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94" w:rsidRDefault="00BF6E94" w:rsidP="00510F8B">
      <w:pPr>
        <w:rPr>
          <w:szCs w:val="22"/>
        </w:rPr>
      </w:pPr>
      <w:bookmarkStart w:id="0" w:name="_GoBack"/>
      <w:bookmarkEnd w:id="0"/>
    </w:p>
    <w:p w:rsidR="007B4593" w:rsidRPr="00D804F2" w:rsidRDefault="00613D0A" w:rsidP="00650855">
      <w:pPr>
        <w:pStyle w:val="Title"/>
        <w:spacing w:before="0"/>
        <w:rPr>
          <w:sz w:val="28"/>
          <w:szCs w:val="28"/>
        </w:rPr>
      </w:pPr>
      <w:r w:rsidRPr="00D804F2">
        <w:rPr>
          <w:sz w:val="28"/>
          <w:szCs w:val="28"/>
        </w:rPr>
        <w:t>7.06</w:t>
      </w:r>
      <w:r w:rsidR="007B4593" w:rsidRPr="00D804F2">
        <w:rPr>
          <w:sz w:val="28"/>
          <w:szCs w:val="28"/>
        </w:rPr>
        <w:tab/>
        <w:t>NIVOLUMAB, concentrate solution for infusion, 10</w:t>
      </w:r>
      <w:r w:rsidR="007B4593" w:rsidRPr="00D804F2">
        <w:rPr>
          <w:rFonts w:hint="eastAsia"/>
          <w:sz w:val="28"/>
          <w:szCs w:val="28"/>
        </w:rPr>
        <w:t> </w:t>
      </w:r>
      <w:r w:rsidR="007B4593" w:rsidRPr="00D804F2">
        <w:rPr>
          <w:sz w:val="28"/>
          <w:szCs w:val="28"/>
        </w:rPr>
        <w:t>mg/mL, 1 x 4</w:t>
      </w:r>
      <w:r w:rsidR="007B4593" w:rsidRPr="00D804F2">
        <w:rPr>
          <w:rFonts w:hint="eastAsia"/>
          <w:sz w:val="28"/>
          <w:szCs w:val="28"/>
        </w:rPr>
        <w:t> </w:t>
      </w:r>
      <w:r w:rsidR="007B4593" w:rsidRPr="00D804F2">
        <w:rPr>
          <w:sz w:val="28"/>
          <w:szCs w:val="28"/>
        </w:rPr>
        <w:t>mL vial, concentrate solution for infusion, 10</w:t>
      </w:r>
      <w:r w:rsidR="007B4593" w:rsidRPr="00D804F2">
        <w:rPr>
          <w:rFonts w:hint="eastAsia"/>
          <w:sz w:val="28"/>
          <w:szCs w:val="28"/>
        </w:rPr>
        <w:t> </w:t>
      </w:r>
      <w:r w:rsidR="007B4593" w:rsidRPr="00D804F2">
        <w:rPr>
          <w:sz w:val="28"/>
          <w:szCs w:val="28"/>
        </w:rPr>
        <w:t>mg/mL, 1 x 10</w:t>
      </w:r>
      <w:r w:rsidR="007B4593" w:rsidRPr="00D804F2">
        <w:rPr>
          <w:rFonts w:hint="eastAsia"/>
          <w:sz w:val="28"/>
          <w:szCs w:val="28"/>
        </w:rPr>
        <w:t> </w:t>
      </w:r>
      <w:r w:rsidR="007B4593" w:rsidRPr="00D804F2">
        <w:rPr>
          <w:sz w:val="28"/>
          <w:szCs w:val="28"/>
        </w:rPr>
        <w:t>mL vial, Opdivo</w:t>
      </w:r>
      <w:r w:rsidR="007B4593" w:rsidRPr="00723B16">
        <w:rPr>
          <w:sz w:val="28"/>
          <w:szCs w:val="28"/>
          <w:vertAlign w:val="superscript"/>
        </w:rPr>
        <w:t>®</w:t>
      </w:r>
      <w:r w:rsidR="007B4593" w:rsidRPr="00D804F2">
        <w:rPr>
          <w:sz w:val="28"/>
          <w:szCs w:val="28"/>
        </w:rPr>
        <w:t>, Bristol Myers Squibb, plus</w:t>
      </w:r>
      <w:r w:rsidR="007B4593" w:rsidRPr="00D804F2">
        <w:rPr>
          <w:sz w:val="28"/>
          <w:szCs w:val="28"/>
        </w:rPr>
        <w:br/>
        <w:t>IPILIMUMAB concentrate solution for infusion, 5</w:t>
      </w:r>
      <w:r w:rsidR="007B4593" w:rsidRPr="00D804F2">
        <w:rPr>
          <w:rFonts w:hint="eastAsia"/>
          <w:sz w:val="28"/>
          <w:szCs w:val="28"/>
        </w:rPr>
        <w:t> </w:t>
      </w:r>
      <w:r w:rsidR="007B4593" w:rsidRPr="00D804F2">
        <w:rPr>
          <w:sz w:val="28"/>
          <w:szCs w:val="28"/>
        </w:rPr>
        <w:t>mg/mL, 1 x 40</w:t>
      </w:r>
      <w:r w:rsidR="007B4593" w:rsidRPr="00D804F2">
        <w:rPr>
          <w:rFonts w:hint="eastAsia"/>
          <w:sz w:val="28"/>
          <w:szCs w:val="28"/>
        </w:rPr>
        <w:t> </w:t>
      </w:r>
      <w:r w:rsidR="007B4593" w:rsidRPr="00D804F2">
        <w:rPr>
          <w:sz w:val="28"/>
          <w:szCs w:val="28"/>
        </w:rPr>
        <w:t>mL vial, concentrate solution for infusion, 5 mg/mL, 1 x 10</w:t>
      </w:r>
      <w:r w:rsidR="007B4593" w:rsidRPr="00D804F2">
        <w:rPr>
          <w:rFonts w:hint="eastAsia"/>
          <w:sz w:val="28"/>
          <w:szCs w:val="28"/>
        </w:rPr>
        <w:t> </w:t>
      </w:r>
      <w:r w:rsidR="007B4593" w:rsidRPr="00D804F2">
        <w:rPr>
          <w:sz w:val="28"/>
          <w:szCs w:val="28"/>
        </w:rPr>
        <w:t>mL vial, Yervoy</w:t>
      </w:r>
      <w:r w:rsidR="007B4593" w:rsidRPr="00723B16">
        <w:rPr>
          <w:sz w:val="28"/>
          <w:szCs w:val="28"/>
          <w:vertAlign w:val="superscript"/>
        </w:rPr>
        <w:t>®</w:t>
      </w:r>
      <w:r w:rsidR="007B4593" w:rsidRPr="00D804F2">
        <w:rPr>
          <w:sz w:val="28"/>
          <w:szCs w:val="28"/>
        </w:rPr>
        <w:t>, Bristol Myers Squibb</w:t>
      </w:r>
      <w:r w:rsidR="003C1450">
        <w:rPr>
          <w:sz w:val="28"/>
          <w:szCs w:val="28"/>
        </w:rPr>
        <w:t>.</w:t>
      </w:r>
    </w:p>
    <w:p w:rsidR="007B4593" w:rsidRDefault="007B4593" w:rsidP="00FA5045">
      <w:pPr>
        <w:pStyle w:val="BodyText"/>
      </w:pPr>
    </w:p>
    <w:p w:rsidR="003C1450" w:rsidRDefault="003C1450" w:rsidP="00FA5045">
      <w:pPr>
        <w:pStyle w:val="BodyText"/>
      </w:pPr>
    </w:p>
    <w:p w:rsidR="00762789" w:rsidRPr="00407F2D" w:rsidRDefault="00762789" w:rsidP="00762789">
      <w:pPr>
        <w:pStyle w:val="PBACheading1"/>
        <w:rPr>
          <w:b/>
        </w:rPr>
      </w:pPr>
      <w:bookmarkStart w:id="1" w:name="_Toc472416735"/>
      <w:r w:rsidRPr="00407F2D">
        <w:rPr>
          <w:b/>
        </w:rPr>
        <w:t>Purpose of Application</w:t>
      </w:r>
      <w:bookmarkEnd w:id="1"/>
    </w:p>
    <w:p w:rsidR="00762789" w:rsidRPr="00882085" w:rsidRDefault="00762789" w:rsidP="00762789">
      <w:pPr>
        <w:rPr>
          <w:szCs w:val="22"/>
        </w:rPr>
      </w:pPr>
    </w:p>
    <w:p w:rsidR="00762789" w:rsidRPr="00F338FF" w:rsidRDefault="00762789" w:rsidP="009E7F9E">
      <w:pPr>
        <w:pStyle w:val="ListParagraph"/>
        <w:widowControl/>
        <w:numPr>
          <w:ilvl w:val="1"/>
          <w:numId w:val="3"/>
        </w:numPr>
        <w:rPr>
          <w:szCs w:val="22"/>
        </w:rPr>
      </w:pPr>
      <w:r>
        <w:t xml:space="preserve">The </w:t>
      </w:r>
      <w:r w:rsidR="008D1756">
        <w:t>resubmission</w:t>
      </w:r>
      <w:r>
        <w:t xml:space="preserve"> requested a Section 100 (Efficient Funding of Chemotherapy – Public and Private Hospital) Authority Required listing </w:t>
      </w:r>
      <w:r w:rsidR="009B6F47">
        <w:t>for the</w:t>
      </w:r>
      <w:r>
        <w:t xml:space="preserve"> concurrent use of nivolumab and ipilimumab for the treatment of unresectable Stage III or Stage IV malignant melanoma. </w:t>
      </w:r>
      <w:r w:rsidRPr="00AE568B">
        <w:t xml:space="preserve">The </w:t>
      </w:r>
      <w:r>
        <w:t>first</w:t>
      </w:r>
      <w:r w:rsidRPr="00AE568B">
        <w:t xml:space="preserve"> submission was </w:t>
      </w:r>
      <w:r>
        <w:t>considere</w:t>
      </w:r>
      <w:r w:rsidR="007E058C">
        <w:t>d by the PBAC in November 2015.</w:t>
      </w:r>
    </w:p>
    <w:p w:rsidR="00762789" w:rsidRDefault="00762789" w:rsidP="00762789"/>
    <w:p w:rsidR="003C1450" w:rsidRDefault="003C1450" w:rsidP="00762789"/>
    <w:p w:rsidR="00762789" w:rsidRPr="00407F2D" w:rsidRDefault="00762789" w:rsidP="00762789">
      <w:pPr>
        <w:pStyle w:val="PBACheading1"/>
        <w:rPr>
          <w:b/>
        </w:rPr>
      </w:pPr>
      <w:bookmarkStart w:id="2" w:name="_Toc472416736"/>
      <w:r w:rsidRPr="00407F2D">
        <w:rPr>
          <w:b/>
        </w:rPr>
        <w:t>Requested listing</w:t>
      </w:r>
      <w:bookmarkEnd w:id="2"/>
    </w:p>
    <w:p w:rsidR="00762789" w:rsidRPr="00882085" w:rsidRDefault="00762789" w:rsidP="00762789"/>
    <w:p w:rsidR="002F530E" w:rsidRDefault="00762789" w:rsidP="009E7F9E">
      <w:pPr>
        <w:pStyle w:val="ListParagraph"/>
        <w:widowControl/>
        <w:numPr>
          <w:ilvl w:val="1"/>
          <w:numId w:val="3"/>
        </w:numPr>
      </w:pPr>
      <w:r w:rsidRPr="00C56368">
        <w:t>The requested restriction, including both induction (</w:t>
      </w:r>
      <w:r w:rsidR="00A66B45" w:rsidRPr="00C56368">
        <w:t xml:space="preserve">combination </w:t>
      </w:r>
      <w:r w:rsidRPr="00C56368">
        <w:t>nivolumab and ipi</w:t>
      </w:r>
      <w:r w:rsidR="00546720" w:rsidRPr="00C56368">
        <w:t>limumab) and continuing (single-</w:t>
      </w:r>
      <w:r w:rsidRPr="00C56368">
        <w:t>agent nivolumab) treatment phases, is provided below.</w:t>
      </w:r>
      <w:r w:rsidR="00295B19" w:rsidRPr="00C56368">
        <w:t xml:space="preserve"> The ESC’s suggestions are in italics, </w:t>
      </w:r>
      <w:r w:rsidR="00F952BF" w:rsidRPr="00C56368">
        <w:t xml:space="preserve">with </w:t>
      </w:r>
      <w:r w:rsidR="00295B19" w:rsidRPr="00C56368">
        <w:t>deletions in strikethrough</w:t>
      </w:r>
      <w:r w:rsidR="00F952BF" w:rsidRPr="00C56368">
        <w:t xml:space="preserve">, noting that </w:t>
      </w:r>
      <w:r w:rsidR="00245D33" w:rsidRPr="00C56368">
        <w:t xml:space="preserve">further changes would be necessary to create </w:t>
      </w:r>
      <w:r w:rsidR="00F952BF" w:rsidRPr="00C56368">
        <w:t xml:space="preserve">separate restrictions </w:t>
      </w:r>
      <w:r w:rsidR="00245D33" w:rsidRPr="00C56368">
        <w:t xml:space="preserve">for </w:t>
      </w:r>
      <w:r w:rsidR="00F952BF" w:rsidRPr="00C56368">
        <w:t>nivolumab and ipili</w:t>
      </w:r>
      <w:r w:rsidR="000544A7" w:rsidRPr="00C56368">
        <w:t>mumab</w:t>
      </w:r>
      <w:r w:rsidR="00295B19" w:rsidRPr="00C56368">
        <w:t>.</w:t>
      </w:r>
    </w:p>
    <w:p w:rsidR="002F530E" w:rsidRDefault="002F530E">
      <w:pPr>
        <w:widowControl/>
        <w:jc w:val="left"/>
      </w:pPr>
      <w:r>
        <w:br w:type="page"/>
      </w:r>
    </w:p>
    <w:p w:rsidR="00072668" w:rsidRPr="00C56368" w:rsidRDefault="00072668" w:rsidP="009E7F9E">
      <w:pPr>
        <w:pStyle w:val="ListParagraph"/>
        <w:widowControl/>
        <w:numPr>
          <w:ilvl w:val="1"/>
          <w:numId w:val="3"/>
        </w:numPr>
      </w:pPr>
    </w:p>
    <w:tbl>
      <w:tblPr>
        <w:tblW w:w="4627" w:type="pct"/>
        <w:tblInd w:w="756" w:type="dxa"/>
        <w:tblLayout w:type="fixed"/>
        <w:tblCellMar>
          <w:left w:w="28" w:type="dxa"/>
          <w:right w:w="28" w:type="dxa"/>
        </w:tblCellMar>
        <w:tblLook w:val="0000" w:firstRow="0" w:lastRow="0" w:firstColumn="0" w:lastColumn="0" w:noHBand="0" w:noVBand="0"/>
      </w:tblPr>
      <w:tblGrid>
        <w:gridCol w:w="2952"/>
        <w:gridCol w:w="716"/>
        <w:gridCol w:w="711"/>
        <w:gridCol w:w="1803"/>
        <w:gridCol w:w="924"/>
        <w:gridCol w:w="1298"/>
      </w:tblGrid>
      <w:tr w:rsidR="00912C3E" w:rsidRPr="008E61BC" w:rsidTr="00912C3E">
        <w:trPr>
          <w:cantSplit/>
          <w:trHeight w:val="471"/>
        </w:trPr>
        <w:tc>
          <w:tcPr>
            <w:tcW w:w="1756" w:type="pct"/>
            <w:tcBorders>
              <w:bottom w:val="single" w:sz="4" w:space="0" w:color="auto"/>
            </w:tcBorders>
          </w:tcPr>
          <w:p w:rsidR="00912C3E" w:rsidRPr="008E61BC" w:rsidRDefault="00912C3E" w:rsidP="00664409">
            <w:pPr>
              <w:keepNext/>
              <w:rPr>
                <w:rFonts w:ascii="Arial Narrow" w:hAnsi="Arial Narrow"/>
                <w:b/>
                <w:sz w:val="20"/>
              </w:rPr>
            </w:pPr>
            <w:r w:rsidRPr="008E61BC">
              <w:rPr>
                <w:rFonts w:ascii="Arial Narrow" w:hAnsi="Arial Narrow"/>
                <w:b/>
                <w:sz w:val="20"/>
              </w:rPr>
              <w:t>Name, Restriction,</w:t>
            </w:r>
          </w:p>
          <w:p w:rsidR="00912C3E" w:rsidRPr="008E61BC" w:rsidRDefault="00912C3E" w:rsidP="00664409">
            <w:pPr>
              <w:keepNext/>
              <w:rPr>
                <w:rFonts w:ascii="Arial Narrow" w:hAnsi="Arial Narrow"/>
                <w:b/>
                <w:sz w:val="20"/>
              </w:rPr>
            </w:pPr>
            <w:r w:rsidRPr="008E61BC">
              <w:rPr>
                <w:rFonts w:ascii="Arial Narrow" w:hAnsi="Arial Narrow"/>
                <w:b/>
                <w:sz w:val="20"/>
              </w:rPr>
              <w:t>Manner of administration and form</w:t>
            </w:r>
          </w:p>
        </w:tc>
        <w:tc>
          <w:tcPr>
            <w:tcW w:w="426"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Max.</w:t>
            </w:r>
          </w:p>
          <w:p w:rsidR="00912C3E" w:rsidRPr="008E61BC" w:rsidRDefault="00912C3E" w:rsidP="00664409">
            <w:pPr>
              <w:keepNext/>
              <w:jc w:val="center"/>
              <w:rPr>
                <w:rFonts w:ascii="Arial Narrow" w:hAnsi="Arial Narrow"/>
                <w:b/>
                <w:sz w:val="20"/>
              </w:rPr>
            </w:pPr>
            <w:r w:rsidRPr="008E61BC">
              <w:rPr>
                <w:rFonts w:ascii="Arial Narrow" w:hAnsi="Arial Narrow"/>
                <w:b/>
                <w:sz w:val="20"/>
              </w:rPr>
              <w:t>Amt</w:t>
            </w:r>
          </w:p>
        </w:tc>
        <w:tc>
          <w:tcPr>
            <w:tcW w:w="423"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№.of</w:t>
            </w:r>
          </w:p>
          <w:p w:rsidR="00912C3E" w:rsidRPr="008E61BC" w:rsidRDefault="00912C3E" w:rsidP="00664409">
            <w:pPr>
              <w:keepNext/>
              <w:jc w:val="center"/>
              <w:rPr>
                <w:rFonts w:ascii="Arial Narrow" w:hAnsi="Arial Narrow"/>
                <w:b/>
                <w:sz w:val="20"/>
              </w:rPr>
            </w:pPr>
            <w:r w:rsidRPr="008E61BC">
              <w:rPr>
                <w:rFonts w:ascii="Arial Narrow" w:hAnsi="Arial Narrow"/>
                <w:b/>
                <w:sz w:val="20"/>
              </w:rPr>
              <w:t>Rpts</w:t>
            </w:r>
          </w:p>
        </w:tc>
        <w:tc>
          <w:tcPr>
            <w:tcW w:w="1073"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Dispensed Price for Max. Amt</w:t>
            </w:r>
          </w:p>
        </w:tc>
        <w:tc>
          <w:tcPr>
            <w:tcW w:w="1322" w:type="pct"/>
            <w:gridSpan w:val="2"/>
            <w:tcBorders>
              <w:bottom w:val="single" w:sz="4" w:space="0" w:color="auto"/>
            </w:tcBorders>
          </w:tcPr>
          <w:p w:rsidR="00912C3E" w:rsidRPr="00912C3E" w:rsidRDefault="00912C3E" w:rsidP="00664409">
            <w:pPr>
              <w:keepNext/>
              <w:jc w:val="center"/>
              <w:rPr>
                <w:rFonts w:ascii="Arial Narrow" w:hAnsi="Arial Narrow"/>
                <w:b/>
                <w:sz w:val="20"/>
              </w:rPr>
            </w:pPr>
            <w:r w:rsidRPr="008E61BC">
              <w:rPr>
                <w:rFonts w:ascii="Arial Narrow" w:hAnsi="Arial Narrow"/>
                <w:b/>
                <w:sz w:val="20"/>
              </w:rPr>
              <w:t>Proprietary Name and Manufacturer</w:t>
            </w:r>
          </w:p>
        </w:tc>
      </w:tr>
      <w:tr w:rsidR="00912C3E" w:rsidRPr="0082090B" w:rsidTr="00664409">
        <w:trPr>
          <w:cantSplit/>
          <w:trHeight w:val="577"/>
        </w:trPr>
        <w:tc>
          <w:tcPr>
            <w:tcW w:w="1756" w:type="pct"/>
          </w:tcPr>
          <w:p w:rsidR="00912C3E" w:rsidRPr="0082090B" w:rsidRDefault="00912C3E" w:rsidP="00664409">
            <w:pPr>
              <w:keepNext/>
              <w:rPr>
                <w:rFonts w:ascii="Arial Narrow" w:hAnsi="Arial Narrow"/>
                <w:sz w:val="20"/>
              </w:rPr>
            </w:pPr>
            <w:r w:rsidRPr="0082090B">
              <w:rPr>
                <w:rFonts w:ascii="Arial Narrow" w:hAnsi="Arial Narrow"/>
                <w:smallCaps/>
                <w:sz w:val="20"/>
              </w:rPr>
              <w:t>Nivolumab</w:t>
            </w:r>
          </w:p>
          <w:p w:rsidR="00912C3E" w:rsidRPr="00A619DC" w:rsidRDefault="00912C3E" w:rsidP="00664409">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w:t>
            </w:r>
            <w:r w:rsidRPr="00A619DC">
              <w:rPr>
                <w:rFonts w:ascii="Arial Narrow" w:hAnsi="Arial Narrow"/>
                <w:i/>
                <w:sz w:val="20"/>
              </w:rPr>
              <w:t xml:space="preserve"> </w:t>
            </w:r>
            <w:r w:rsidRPr="0082090B">
              <w:rPr>
                <w:rFonts w:ascii="Arial Narrow" w:hAnsi="Arial Narrow"/>
                <w:sz w:val="20"/>
              </w:rPr>
              <w:t>vial</w:t>
            </w:r>
          </w:p>
          <w:p w:rsidR="00912C3E" w:rsidRPr="00A619DC" w:rsidRDefault="00912C3E" w:rsidP="00664409">
            <w:pPr>
              <w:keepNext/>
              <w:rPr>
                <w:rFonts w:ascii="Arial Narrow" w:hAnsi="Arial Narrow"/>
                <w:sz w:val="20"/>
                <w:vertAlign w:val="superscript"/>
              </w:rPr>
            </w:pPr>
            <w:r w:rsidRPr="0082090B">
              <w:rPr>
                <w:rFonts w:ascii="Arial Narrow" w:hAnsi="Arial Narrow"/>
                <w:sz w:val="20"/>
              </w:rPr>
              <w:t xml:space="preserve">100 mg/10 mL injection, </w:t>
            </w:r>
            <w:r w:rsidRPr="00375492">
              <w:rPr>
                <w:rFonts w:ascii="Arial Narrow" w:hAnsi="Arial Narrow"/>
                <w:sz w:val="20"/>
              </w:rPr>
              <w:t>1 x 10 mL</w:t>
            </w:r>
            <w:r w:rsidRPr="0082090B">
              <w:rPr>
                <w:rFonts w:ascii="Arial Narrow" w:hAnsi="Arial Narrow"/>
                <w:sz w:val="20"/>
              </w:rPr>
              <w:t xml:space="preserve"> vial</w:t>
            </w:r>
          </w:p>
        </w:tc>
        <w:tc>
          <w:tcPr>
            <w:tcW w:w="426"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sidRPr="0082090B">
              <w:rPr>
                <w:rFonts w:ascii="Arial Narrow" w:hAnsi="Arial Narrow"/>
                <w:sz w:val="20"/>
              </w:rPr>
              <w:t>120</w:t>
            </w:r>
            <w:r w:rsidR="000544A7">
              <w:rPr>
                <w:rFonts w:ascii="Arial Narrow" w:hAnsi="Arial Narrow"/>
                <w:sz w:val="20"/>
              </w:rPr>
              <w:t> </w:t>
            </w:r>
            <w:r w:rsidRPr="0082090B">
              <w:rPr>
                <w:rFonts w:ascii="Arial Narrow" w:hAnsi="Arial Narrow"/>
                <w:sz w:val="20"/>
              </w:rPr>
              <w:t>mg</w:t>
            </w:r>
          </w:p>
        </w:tc>
        <w:tc>
          <w:tcPr>
            <w:tcW w:w="423"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sidRPr="0082090B">
              <w:rPr>
                <w:rFonts w:ascii="Arial Narrow" w:hAnsi="Arial Narrow"/>
                <w:sz w:val="20"/>
              </w:rPr>
              <w:t>3</w:t>
            </w:r>
          </w:p>
        </w:tc>
        <w:tc>
          <w:tcPr>
            <w:tcW w:w="1073"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sidRPr="0082090B">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(private)</w:t>
            </w:r>
          </w:p>
          <w:p w:rsidR="00912C3E" w:rsidRPr="0082090B" w:rsidRDefault="00912C3E" w:rsidP="00664409">
            <w:pPr>
              <w:keepNext/>
              <w:jc w:val="center"/>
              <w:rPr>
                <w:rFonts w:ascii="Arial Narrow" w:hAnsi="Arial Narrow"/>
                <w:sz w:val="20"/>
              </w:rPr>
            </w:pPr>
            <w:r w:rsidRPr="0082090B">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(public)</w:t>
            </w:r>
          </w:p>
        </w:tc>
        <w:tc>
          <w:tcPr>
            <w:tcW w:w="550" w:type="pct"/>
            <w:vAlign w:val="center"/>
          </w:tcPr>
          <w:p w:rsidR="00912C3E" w:rsidRPr="0082090B" w:rsidRDefault="00912C3E" w:rsidP="00664409">
            <w:pPr>
              <w:keepNext/>
              <w:jc w:val="center"/>
              <w:rPr>
                <w:rFonts w:ascii="Arial Narrow" w:hAnsi="Arial Narrow"/>
                <w:sz w:val="20"/>
                <w:vertAlign w:val="superscript"/>
              </w:rPr>
            </w:pPr>
            <w:r w:rsidRPr="0082090B">
              <w:rPr>
                <w:rFonts w:ascii="Arial Narrow" w:hAnsi="Arial Narrow"/>
                <w:sz w:val="20"/>
              </w:rPr>
              <w:t>Opdivo</w:t>
            </w:r>
            <w:r w:rsidRPr="0082090B">
              <w:rPr>
                <w:rFonts w:ascii="Arial Narrow" w:hAnsi="Arial Narrow"/>
                <w:sz w:val="20"/>
                <w:vertAlign w:val="superscript"/>
              </w:rPr>
              <w:t>®</w:t>
            </w:r>
          </w:p>
        </w:tc>
        <w:tc>
          <w:tcPr>
            <w:tcW w:w="772" w:type="pct"/>
            <w:vAlign w:val="center"/>
          </w:tcPr>
          <w:p w:rsidR="00912C3E" w:rsidRPr="0082090B" w:rsidRDefault="00912C3E" w:rsidP="00664409">
            <w:pPr>
              <w:keepNext/>
              <w:jc w:val="center"/>
              <w:rPr>
                <w:rFonts w:ascii="Arial Narrow" w:hAnsi="Arial Narrow"/>
                <w:sz w:val="20"/>
              </w:rPr>
            </w:pPr>
            <w:r w:rsidRPr="003E5190">
              <w:rPr>
                <w:rFonts w:ascii="Arial Narrow" w:hAnsi="Arial Narrow"/>
                <w:sz w:val="20"/>
              </w:rPr>
              <w:t>Bristol-Myers Squibb Australia Pty Ltd (BQ)</w:t>
            </w:r>
          </w:p>
        </w:tc>
      </w:tr>
    </w:tbl>
    <w:p w:rsidR="00912C3E" w:rsidRDefault="00912C3E"/>
    <w:tbl>
      <w:tblPr>
        <w:tblW w:w="4627" w:type="pct"/>
        <w:tblInd w:w="756" w:type="dxa"/>
        <w:tblLayout w:type="fixed"/>
        <w:tblCellMar>
          <w:left w:w="28" w:type="dxa"/>
          <w:right w:w="28" w:type="dxa"/>
        </w:tblCellMar>
        <w:tblLook w:val="0000" w:firstRow="0" w:lastRow="0" w:firstColumn="0" w:lastColumn="0" w:noHBand="0" w:noVBand="0"/>
      </w:tblPr>
      <w:tblGrid>
        <w:gridCol w:w="2952"/>
        <w:gridCol w:w="716"/>
        <w:gridCol w:w="711"/>
        <w:gridCol w:w="1803"/>
        <w:gridCol w:w="924"/>
        <w:gridCol w:w="1298"/>
      </w:tblGrid>
      <w:tr w:rsidR="00762789" w:rsidRPr="0082090B" w:rsidTr="00AA0DF7">
        <w:trPr>
          <w:cantSplit/>
          <w:trHeight w:val="577"/>
        </w:trPr>
        <w:tc>
          <w:tcPr>
            <w:tcW w:w="1756" w:type="pct"/>
          </w:tcPr>
          <w:p w:rsidR="00762789" w:rsidRPr="0082090B" w:rsidRDefault="00762789" w:rsidP="00762789">
            <w:pPr>
              <w:keepNext/>
              <w:rPr>
                <w:rFonts w:ascii="Arial Narrow" w:hAnsi="Arial Narrow"/>
                <w:sz w:val="20"/>
              </w:rPr>
            </w:pPr>
            <w:r>
              <w:rPr>
                <w:rFonts w:ascii="Arial Narrow" w:hAnsi="Arial Narrow"/>
                <w:smallCaps/>
                <w:sz w:val="20"/>
              </w:rPr>
              <w:t>Ipilimumab</w:t>
            </w:r>
          </w:p>
          <w:p w:rsidR="00762789" w:rsidRPr="00A619DC" w:rsidRDefault="00762789" w:rsidP="00762789">
            <w:pPr>
              <w:keepNext/>
              <w:rPr>
                <w:rFonts w:ascii="Arial Narrow" w:hAnsi="Arial Narrow"/>
                <w:sz w:val="20"/>
                <w:vertAlign w:val="superscript"/>
              </w:rPr>
            </w:pPr>
            <w:r>
              <w:rPr>
                <w:rFonts w:ascii="Arial Narrow" w:hAnsi="Arial Narrow"/>
                <w:sz w:val="20"/>
              </w:rPr>
              <w:t>200</w:t>
            </w:r>
            <w:r w:rsidRPr="0082090B">
              <w:rPr>
                <w:rFonts w:ascii="Arial Narrow" w:hAnsi="Arial Narrow"/>
                <w:sz w:val="20"/>
              </w:rPr>
              <w:t> mg/4</w:t>
            </w:r>
            <w:r>
              <w:rPr>
                <w:rFonts w:ascii="Arial Narrow" w:hAnsi="Arial Narrow"/>
                <w:sz w:val="20"/>
              </w:rPr>
              <w:t>0</w:t>
            </w:r>
            <w:r w:rsidRPr="0082090B">
              <w:rPr>
                <w:rFonts w:ascii="Arial Narrow" w:hAnsi="Arial Narrow"/>
                <w:sz w:val="20"/>
              </w:rPr>
              <w:t xml:space="preserve"> mL injection, 1 x </w:t>
            </w:r>
            <w:r w:rsidRPr="00975755">
              <w:rPr>
                <w:rFonts w:ascii="Arial Narrow" w:hAnsi="Arial Narrow"/>
                <w:sz w:val="20"/>
              </w:rPr>
              <w:t>4</w:t>
            </w:r>
            <w:r>
              <w:rPr>
                <w:rFonts w:ascii="Arial Narrow" w:hAnsi="Arial Narrow"/>
                <w:sz w:val="20"/>
              </w:rPr>
              <w:t>0</w:t>
            </w:r>
            <w:r w:rsidRPr="00975755">
              <w:rPr>
                <w:rFonts w:ascii="Arial Narrow" w:hAnsi="Arial Narrow"/>
                <w:sz w:val="20"/>
              </w:rPr>
              <w:t> mL</w:t>
            </w:r>
            <w:r w:rsidRPr="00A619DC">
              <w:rPr>
                <w:rFonts w:ascii="Arial Narrow" w:hAnsi="Arial Narrow"/>
                <w:i/>
                <w:sz w:val="20"/>
              </w:rPr>
              <w:t xml:space="preserve"> </w:t>
            </w:r>
            <w:r w:rsidRPr="0082090B">
              <w:rPr>
                <w:rFonts w:ascii="Arial Narrow" w:hAnsi="Arial Narrow"/>
                <w:sz w:val="20"/>
              </w:rPr>
              <w:t>vial</w:t>
            </w:r>
          </w:p>
          <w:p w:rsidR="00762789" w:rsidRPr="00A619DC" w:rsidRDefault="00762789" w:rsidP="00762789">
            <w:pPr>
              <w:keepNext/>
              <w:rPr>
                <w:rFonts w:ascii="Arial Narrow" w:hAnsi="Arial Narrow"/>
                <w:sz w:val="20"/>
                <w:vertAlign w:val="superscript"/>
              </w:rPr>
            </w:pPr>
            <w:r>
              <w:rPr>
                <w:rFonts w:ascii="Arial Narrow" w:hAnsi="Arial Narrow"/>
                <w:sz w:val="20"/>
              </w:rPr>
              <w:t>5</w:t>
            </w:r>
            <w:r w:rsidRPr="0082090B">
              <w:rPr>
                <w:rFonts w:ascii="Arial Narrow" w:hAnsi="Arial Narrow"/>
                <w:sz w:val="20"/>
              </w:rPr>
              <w:t xml:space="preserve">0 mg/10 mL injection, 1 x </w:t>
            </w:r>
            <w:r w:rsidRPr="00975755">
              <w:rPr>
                <w:rFonts w:ascii="Arial Narrow" w:hAnsi="Arial Narrow"/>
                <w:sz w:val="20"/>
              </w:rPr>
              <w:t>10 mL</w:t>
            </w:r>
            <w:r w:rsidRPr="0082090B">
              <w:rPr>
                <w:rFonts w:ascii="Arial Narrow" w:hAnsi="Arial Narrow"/>
                <w:sz w:val="20"/>
              </w:rPr>
              <w:t xml:space="preserve"> vial</w:t>
            </w:r>
          </w:p>
        </w:tc>
        <w:tc>
          <w:tcPr>
            <w:tcW w:w="426" w:type="pct"/>
          </w:tcPr>
          <w:p w:rsidR="00762789" w:rsidRPr="0082090B" w:rsidRDefault="00762789" w:rsidP="00762789">
            <w:pPr>
              <w:keepNext/>
              <w:jc w:val="center"/>
              <w:rPr>
                <w:rFonts w:ascii="Arial Narrow" w:hAnsi="Arial Narrow"/>
                <w:sz w:val="20"/>
              </w:rPr>
            </w:pPr>
          </w:p>
          <w:p w:rsidR="00762789" w:rsidRPr="0082090B" w:rsidRDefault="00762789" w:rsidP="00762789">
            <w:pPr>
              <w:keepNext/>
              <w:jc w:val="center"/>
              <w:rPr>
                <w:rFonts w:ascii="Arial Narrow" w:hAnsi="Arial Narrow"/>
                <w:sz w:val="20"/>
              </w:rPr>
            </w:pPr>
            <w:r>
              <w:rPr>
                <w:rFonts w:ascii="Arial Narrow" w:hAnsi="Arial Narrow"/>
                <w:sz w:val="20"/>
              </w:rPr>
              <w:t>36</w:t>
            </w:r>
            <w:r w:rsidRPr="0082090B">
              <w:rPr>
                <w:rFonts w:ascii="Arial Narrow" w:hAnsi="Arial Narrow"/>
                <w:sz w:val="20"/>
              </w:rPr>
              <w:t>0</w:t>
            </w:r>
            <w:r>
              <w:rPr>
                <w:rFonts w:ascii="Arial Narrow" w:hAnsi="Arial Narrow"/>
                <w:sz w:val="20"/>
              </w:rPr>
              <w:t> </w:t>
            </w:r>
            <w:r w:rsidRPr="0082090B">
              <w:rPr>
                <w:rFonts w:ascii="Arial Narrow" w:hAnsi="Arial Narrow"/>
                <w:sz w:val="20"/>
              </w:rPr>
              <w:t>mg</w:t>
            </w:r>
          </w:p>
        </w:tc>
        <w:tc>
          <w:tcPr>
            <w:tcW w:w="423" w:type="pct"/>
          </w:tcPr>
          <w:p w:rsidR="00762789" w:rsidRPr="0082090B" w:rsidRDefault="00762789" w:rsidP="00762789">
            <w:pPr>
              <w:keepNext/>
              <w:jc w:val="center"/>
              <w:rPr>
                <w:rFonts w:ascii="Arial Narrow" w:hAnsi="Arial Narrow"/>
                <w:sz w:val="20"/>
              </w:rPr>
            </w:pPr>
          </w:p>
          <w:p w:rsidR="00762789" w:rsidRPr="0082090B" w:rsidRDefault="00762789" w:rsidP="00762789">
            <w:pPr>
              <w:keepNext/>
              <w:jc w:val="center"/>
              <w:rPr>
                <w:rFonts w:ascii="Arial Narrow" w:hAnsi="Arial Narrow"/>
                <w:sz w:val="20"/>
              </w:rPr>
            </w:pPr>
            <w:r>
              <w:rPr>
                <w:rFonts w:ascii="Arial Narrow" w:hAnsi="Arial Narrow"/>
                <w:sz w:val="20"/>
              </w:rPr>
              <w:t>3</w:t>
            </w:r>
          </w:p>
        </w:tc>
        <w:tc>
          <w:tcPr>
            <w:tcW w:w="1073" w:type="pct"/>
          </w:tcPr>
          <w:p w:rsidR="00762789" w:rsidRPr="0082090B" w:rsidRDefault="00762789" w:rsidP="00762789">
            <w:pPr>
              <w:keepNext/>
              <w:jc w:val="center"/>
              <w:rPr>
                <w:rFonts w:ascii="Arial Narrow" w:hAnsi="Arial Narrow"/>
                <w:sz w:val="20"/>
              </w:rPr>
            </w:pPr>
          </w:p>
          <w:p w:rsidR="00762789" w:rsidRPr="0082090B" w:rsidRDefault="00762789" w:rsidP="00762789">
            <w:pPr>
              <w:keepNext/>
              <w:jc w:val="center"/>
              <w:rPr>
                <w:rFonts w:ascii="Arial Narrow" w:hAnsi="Arial Narrow"/>
                <w:sz w:val="20"/>
              </w:rPr>
            </w:pPr>
            <w:r w:rsidRPr="0082090B">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(private)</w:t>
            </w:r>
          </w:p>
          <w:p w:rsidR="00762789" w:rsidRPr="0082090B" w:rsidRDefault="00762789" w:rsidP="00762789">
            <w:pPr>
              <w:keepNext/>
              <w:jc w:val="center"/>
              <w:rPr>
                <w:rFonts w:ascii="Arial Narrow" w:hAnsi="Arial Narrow"/>
                <w:sz w:val="20"/>
              </w:rPr>
            </w:pPr>
            <w:r>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(public)</w:t>
            </w:r>
          </w:p>
        </w:tc>
        <w:tc>
          <w:tcPr>
            <w:tcW w:w="550" w:type="pct"/>
            <w:vAlign w:val="center"/>
          </w:tcPr>
          <w:p w:rsidR="00762789" w:rsidRPr="0082090B" w:rsidRDefault="00AC58BA" w:rsidP="008E61BC">
            <w:pPr>
              <w:keepNext/>
              <w:jc w:val="center"/>
              <w:rPr>
                <w:rFonts w:ascii="Arial Narrow" w:hAnsi="Arial Narrow"/>
                <w:sz w:val="20"/>
                <w:vertAlign w:val="superscript"/>
              </w:rPr>
            </w:pPr>
            <w:r>
              <w:rPr>
                <w:rFonts w:ascii="Arial Narrow" w:hAnsi="Arial Narrow"/>
                <w:sz w:val="20"/>
              </w:rPr>
              <w:t>Yervoy</w:t>
            </w:r>
            <w:r w:rsidR="00762789" w:rsidRPr="0082090B">
              <w:rPr>
                <w:rFonts w:ascii="Arial Narrow" w:hAnsi="Arial Narrow"/>
                <w:sz w:val="20"/>
                <w:vertAlign w:val="superscript"/>
              </w:rPr>
              <w:t>®</w:t>
            </w:r>
          </w:p>
        </w:tc>
        <w:tc>
          <w:tcPr>
            <w:tcW w:w="772" w:type="pct"/>
            <w:vAlign w:val="center"/>
          </w:tcPr>
          <w:p w:rsidR="00762789" w:rsidRPr="0082090B" w:rsidRDefault="00762789" w:rsidP="008E61BC">
            <w:pPr>
              <w:keepNext/>
              <w:jc w:val="center"/>
              <w:rPr>
                <w:rFonts w:ascii="Arial Narrow" w:hAnsi="Arial Narrow"/>
                <w:sz w:val="20"/>
              </w:rPr>
            </w:pPr>
            <w:r w:rsidRPr="003E5190">
              <w:rPr>
                <w:rFonts w:ascii="Arial Narrow" w:hAnsi="Arial Narrow"/>
                <w:sz w:val="20"/>
              </w:rPr>
              <w:t>Bristol-Myers Squibb Australia Pty Ltd (BQ)</w:t>
            </w:r>
          </w:p>
        </w:tc>
      </w:tr>
    </w:tbl>
    <w:p w:rsidR="00AA0DF7" w:rsidRDefault="00AA0DF7"/>
    <w:tbl>
      <w:tblPr>
        <w:tblW w:w="4547" w:type="pct"/>
        <w:tblInd w:w="836" w:type="dxa"/>
        <w:tblLayout w:type="fixed"/>
        <w:tblLook w:val="0000" w:firstRow="0" w:lastRow="0" w:firstColumn="0" w:lastColumn="0" w:noHBand="0" w:noVBand="0"/>
      </w:tblPr>
      <w:tblGrid>
        <w:gridCol w:w="1794"/>
        <w:gridCol w:w="6611"/>
      </w:tblGrid>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Category / Program</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Pr>
                <w:rFonts w:ascii="Arial Narrow" w:hAnsi="Arial Narrow"/>
                <w:sz w:val="20"/>
              </w:rPr>
              <w:t>Section 100 – Efficient Funding of Chemotherapy</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Prescriber type:</w:t>
            </w:r>
          </w:p>
        </w:tc>
        <w:tc>
          <w:tcPr>
            <w:tcW w:w="39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789" w:rsidRDefault="00762789" w:rsidP="00762789">
            <w:pPr>
              <w:shd w:val="clear" w:color="auto" w:fill="FFFFFF" w:themeFill="background1"/>
              <w:rPr>
                <w:rFonts w:ascii="Arial Narrow" w:hAnsi="Arial Narrow"/>
                <w:sz w:val="20"/>
              </w:rPr>
            </w:pPr>
            <w:r w:rsidRPr="00505497">
              <w:rPr>
                <w:rFonts w:ascii="Arial Narrow" w:hAnsi="Arial Narrow"/>
                <w:sz w:val="20"/>
                <w:shd w:val="clear" w:color="auto" w:fill="FFFFFF" w:themeFill="background1"/>
              </w:rPr>
              <w:fldChar w:fldCharType="begin">
                <w:ffData>
                  <w:name w:val="Check1"/>
                  <w:enabled/>
                  <w:calcOnExit w:val="0"/>
                  <w:checkBox>
                    <w:sizeAuto/>
                    <w:default w:val="0"/>
                  </w:checkBox>
                </w:ffData>
              </w:fldChar>
            </w:r>
            <w:r w:rsidRPr="00505497">
              <w:rPr>
                <w:rFonts w:ascii="Arial Narrow" w:hAnsi="Arial Narrow"/>
                <w:sz w:val="20"/>
                <w:shd w:val="clear" w:color="auto" w:fill="FFFFFF" w:themeFill="background1"/>
              </w:rPr>
              <w:instrText xml:space="preserve"> FORMCHECKBOX </w:instrText>
            </w:r>
            <w:r w:rsidR="00EC7969">
              <w:rPr>
                <w:rFonts w:ascii="Arial Narrow" w:hAnsi="Arial Narrow"/>
                <w:sz w:val="20"/>
                <w:shd w:val="clear" w:color="auto" w:fill="FFFFFF" w:themeFill="background1"/>
              </w:rPr>
            </w:r>
            <w:r w:rsidR="00EC7969">
              <w:rPr>
                <w:rFonts w:ascii="Arial Narrow" w:hAnsi="Arial Narrow"/>
                <w:sz w:val="20"/>
                <w:shd w:val="clear" w:color="auto" w:fill="FFFFFF" w:themeFill="background1"/>
              </w:rPr>
              <w:fldChar w:fldCharType="separate"/>
            </w:r>
            <w:r w:rsidRPr="00505497">
              <w:rPr>
                <w:rFonts w:ascii="Arial Narrow" w:hAnsi="Arial Narrow"/>
                <w:sz w:val="20"/>
                <w:shd w:val="clear" w:color="auto" w:fill="FFFFFF" w:themeFill="background1"/>
              </w:rPr>
              <w:fldChar w:fldCharType="end"/>
            </w:r>
            <w:r>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Optometrists  </w:t>
            </w: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Pr>
                <w:rFonts w:ascii="Arial Narrow" w:hAnsi="Arial Narrow"/>
                <w:sz w:val="20"/>
              </w:rPr>
              <w:fldChar w:fldCharType="end"/>
            </w:r>
            <w:r>
              <w:rPr>
                <w:rFonts w:ascii="Arial Narrow" w:hAnsi="Arial Narrow"/>
                <w:sz w:val="20"/>
              </w:rPr>
              <w:t>Midwives</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Episodicity:</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Pr>
                <w:rFonts w:ascii="Arial Narrow" w:hAnsi="Arial Narrow"/>
                <w:sz w:val="20"/>
              </w:rPr>
              <w:t>-</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Severity:</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Pr>
                <w:rFonts w:ascii="Arial Narrow" w:hAnsi="Arial Narrow"/>
                <w:sz w:val="20"/>
              </w:rPr>
              <w:t>Unresectable Stage III or Stage IV</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Condition:</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Pr>
                <w:rFonts w:ascii="Arial Narrow" w:hAnsi="Arial Narrow"/>
                <w:sz w:val="20"/>
              </w:rPr>
              <w:t>Malignant melanoma</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PBS Indication:</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Pr>
                <w:rFonts w:ascii="Arial Narrow" w:hAnsi="Arial Narrow"/>
                <w:sz w:val="20"/>
              </w:rPr>
              <w:t>Unresectable Stage III or Stage IV malignant melanoma</w:t>
            </w:r>
          </w:p>
        </w:tc>
      </w:tr>
      <w:tr w:rsidR="00762789" w:rsidTr="00AA0DF7">
        <w:trPr>
          <w:cantSplit/>
          <w:trHeight w:val="60"/>
        </w:trPr>
        <w:tc>
          <w:tcPr>
            <w:tcW w:w="5000" w:type="pct"/>
            <w:gridSpan w:val="2"/>
            <w:tcBorders>
              <w:top w:val="single" w:sz="4" w:space="0" w:color="auto"/>
              <w:left w:val="single" w:sz="4" w:space="0" w:color="auto"/>
              <w:bottom w:val="single" w:sz="4" w:space="0" w:color="auto"/>
              <w:right w:val="single" w:sz="4" w:space="0" w:color="auto"/>
            </w:tcBorders>
            <w:vAlign w:val="center"/>
          </w:tcPr>
          <w:p w:rsidR="00762789" w:rsidRPr="00A619DC" w:rsidRDefault="00762789" w:rsidP="00762789">
            <w:pPr>
              <w:rPr>
                <w:rFonts w:ascii="Arial Narrow" w:hAnsi="Arial Narrow"/>
                <w:sz w:val="20"/>
              </w:rPr>
            </w:pPr>
            <w:r>
              <w:rPr>
                <w:rFonts w:ascii="Arial Narrow" w:hAnsi="Arial Narrow"/>
                <w:b/>
                <w:sz w:val="20"/>
              </w:rPr>
              <w:t xml:space="preserve">Treatment phase: </w:t>
            </w:r>
            <w:r w:rsidRPr="00A619DC">
              <w:rPr>
                <w:rFonts w:ascii="Arial Narrow" w:hAnsi="Arial Narrow"/>
                <w:sz w:val="20"/>
              </w:rPr>
              <w:t>Induction (combination</w:t>
            </w:r>
            <w:r w:rsidR="00A66B45">
              <w:rPr>
                <w:rFonts w:ascii="Arial Narrow" w:hAnsi="Arial Narrow"/>
                <w:sz w:val="20"/>
              </w:rPr>
              <w:t xml:space="preserve"> </w:t>
            </w:r>
            <w:r>
              <w:rPr>
                <w:rFonts w:ascii="Arial Narrow" w:hAnsi="Arial Narrow"/>
                <w:sz w:val="20"/>
              </w:rPr>
              <w:t>nivolumab and ipilimumab</w:t>
            </w:r>
            <w:r w:rsidRPr="00A619DC">
              <w:rPr>
                <w:rFonts w:ascii="Arial Narrow" w:hAnsi="Arial Narrow"/>
                <w:sz w:val="20"/>
              </w:rPr>
              <w:t>) phase</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Restriction Method:</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sz w:val="20"/>
              </w:rPr>
            </w:pPr>
            <w:r w:rsidRPr="00A619DC">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sidRPr="00A619DC">
              <w:rPr>
                <w:rFonts w:ascii="Arial Narrow" w:hAnsi="Arial Narrow"/>
                <w:sz w:val="20"/>
              </w:rPr>
              <w:fldChar w:fldCharType="end"/>
            </w:r>
            <w:r>
              <w:rPr>
                <w:rFonts w:ascii="Arial Narrow" w:hAnsi="Arial Narrow"/>
                <w:sz w:val="20"/>
              </w:rPr>
              <w:t>Streamlined</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Clinical criteria:</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Pr="00A619DC" w:rsidRDefault="00762789" w:rsidP="00762789">
            <w:pPr>
              <w:rPr>
                <w:rFonts w:ascii="Arial Narrow" w:hAnsi="Arial Narrow"/>
                <w:sz w:val="20"/>
              </w:rPr>
            </w:pPr>
            <w:r w:rsidRPr="00A619DC">
              <w:rPr>
                <w:rFonts w:ascii="Arial Narrow" w:hAnsi="Arial Narrow"/>
                <w:sz w:val="20"/>
              </w:rPr>
              <w:t xml:space="preserve">Patient must be receiving PBS-subsidised </w:t>
            </w:r>
            <w:r>
              <w:rPr>
                <w:rFonts w:ascii="Arial Narrow" w:hAnsi="Arial Narrow"/>
                <w:sz w:val="20"/>
              </w:rPr>
              <w:t xml:space="preserve">nivolumab and </w:t>
            </w:r>
            <w:r w:rsidRPr="00A619DC">
              <w:rPr>
                <w:rFonts w:ascii="Arial Narrow" w:hAnsi="Arial Narrow"/>
                <w:sz w:val="20"/>
              </w:rPr>
              <w:t>ipilimumab concomitantly for this condition</w:t>
            </w:r>
            <w:r w:rsidR="008C794B">
              <w:rPr>
                <w:rFonts w:ascii="Arial Narrow" w:hAnsi="Arial Narrow"/>
                <w:sz w:val="20"/>
              </w:rPr>
              <w:t>,</w:t>
            </w:r>
          </w:p>
          <w:p w:rsidR="00762789" w:rsidRPr="00A619DC" w:rsidRDefault="00762789" w:rsidP="00762789">
            <w:pPr>
              <w:rPr>
                <w:rFonts w:ascii="Arial Narrow" w:hAnsi="Arial Narrow"/>
                <w:sz w:val="20"/>
              </w:rPr>
            </w:pPr>
            <w:r w:rsidRPr="00A619DC">
              <w:rPr>
                <w:rFonts w:ascii="Arial Narrow" w:hAnsi="Arial Narrow"/>
                <w:sz w:val="20"/>
              </w:rPr>
              <w:t>AND</w:t>
            </w:r>
          </w:p>
          <w:p w:rsidR="00762789" w:rsidRPr="00A619DC" w:rsidRDefault="00762789" w:rsidP="00762789">
            <w:pPr>
              <w:rPr>
                <w:rFonts w:ascii="Arial Narrow" w:hAnsi="Arial Narrow"/>
                <w:sz w:val="20"/>
              </w:rPr>
            </w:pPr>
            <w:r w:rsidRPr="00A619DC">
              <w:rPr>
                <w:rFonts w:ascii="Arial Narrow" w:hAnsi="Arial Narrow"/>
                <w:sz w:val="20"/>
              </w:rPr>
              <w:t xml:space="preserve">Patient must not have received </w:t>
            </w:r>
            <w:r>
              <w:rPr>
                <w:rFonts w:ascii="Arial Narrow" w:hAnsi="Arial Narrow"/>
                <w:sz w:val="20"/>
              </w:rPr>
              <w:t>prior treatment with ipilimumab</w:t>
            </w:r>
            <w:r w:rsidR="00113A3D" w:rsidRPr="00113A3D">
              <w:rPr>
                <w:rFonts w:ascii="Arial Narrow" w:hAnsi="Arial Narrow"/>
                <w:i/>
                <w:sz w:val="20"/>
              </w:rPr>
              <w:t xml:space="preserve"> or a PD-1 inhibitor</w:t>
            </w:r>
            <w:r w:rsidR="008C794B">
              <w:rPr>
                <w:rFonts w:ascii="Arial Narrow" w:hAnsi="Arial Narrow"/>
                <w:sz w:val="20"/>
              </w:rPr>
              <w:t>,</w:t>
            </w:r>
          </w:p>
          <w:p w:rsidR="00762789" w:rsidRPr="00A619DC" w:rsidRDefault="00762789" w:rsidP="00762789">
            <w:pPr>
              <w:rPr>
                <w:rFonts w:ascii="Arial Narrow" w:hAnsi="Arial Narrow"/>
                <w:sz w:val="20"/>
              </w:rPr>
            </w:pPr>
            <w:r w:rsidRPr="00A619DC">
              <w:rPr>
                <w:rFonts w:ascii="Arial Narrow" w:hAnsi="Arial Narrow"/>
                <w:sz w:val="20"/>
              </w:rPr>
              <w:t>AND</w:t>
            </w:r>
          </w:p>
          <w:p w:rsidR="00762789" w:rsidRPr="00A619DC" w:rsidRDefault="00762789" w:rsidP="009B6F47">
            <w:pPr>
              <w:rPr>
                <w:rFonts w:ascii="Arial Narrow" w:hAnsi="Arial Narrow"/>
                <w:sz w:val="20"/>
              </w:rPr>
            </w:pPr>
            <w:r w:rsidRPr="00A619DC">
              <w:rPr>
                <w:rFonts w:ascii="Arial Narrow" w:hAnsi="Arial Narrow"/>
                <w:sz w:val="20"/>
              </w:rPr>
              <w:t xml:space="preserve">The treatment </w:t>
            </w:r>
            <w:r>
              <w:rPr>
                <w:rFonts w:ascii="Arial Narrow" w:hAnsi="Arial Narrow"/>
                <w:sz w:val="20"/>
              </w:rPr>
              <w:t xml:space="preserve">with nivolumab </w:t>
            </w:r>
            <w:r w:rsidRPr="00A619DC">
              <w:rPr>
                <w:rFonts w:ascii="Arial Narrow" w:hAnsi="Arial Narrow"/>
                <w:sz w:val="20"/>
              </w:rPr>
              <w:t>must not exceed a total of 4 doses at a maximum dose of 1 mg per kg every 3 weeks</w:t>
            </w:r>
            <w:r>
              <w:rPr>
                <w:rFonts w:ascii="Arial Narrow" w:hAnsi="Arial Narrow"/>
                <w:sz w:val="20"/>
              </w:rPr>
              <w:t>, t</w:t>
            </w:r>
            <w:r w:rsidRPr="003D046A">
              <w:rPr>
                <w:rFonts w:ascii="Arial Narrow" w:hAnsi="Arial Narrow"/>
                <w:sz w:val="20"/>
              </w:rPr>
              <w:t xml:space="preserve">he treatment </w:t>
            </w:r>
            <w:r>
              <w:rPr>
                <w:rFonts w:ascii="Arial Narrow" w:hAnsi="Arial Narrow"/>
                <w:sz w:val="20"/>
              </w:rPr>
              <w:t xml:space="preserve">with ipilimumab </w:t>
            </w:r>
            <w:r w:rsidRPr="003D046A">
              <w:rPr>
                <w:rFonts w:ascii="Arial Narrow" w:hAnsi="Arial Narrow"/>
                <w:sz w:val="20"/>
              </w:rPr>
              <w:t>must not exceed a total of 4 doses at a maximum dose of 3</w:t>
            </w:r>
            <w:r w:rsidR="009B6F47">
              <w:rPr>
                <w:rFonts w:ascii="Arial Narrow" w:hAnsi="Arial Narrow"/>
                <w:sz w:val="20"/>
              </w:rPr>
              <w:t> </w:t>
            </w:r>
            <w:r w:rsidRPr="003D046A">
              <w:rPr>
                <w:rFonts w:ascii="Arial Narrow" w:hAnsi="Arial Narrow"/>
                <w:sz w:val="20"/>
              </w:rPr>
              <w:t>mg per kg every 3 weeks</w:t>
            </w:r>
            <w:r>
              <w:rPr>
                <w:rFonts w:ascii="Arial Narrow" w:hAnsi="Arial Narrow"/>
                <w:sz w:val="20"/>
              </w:rPr>
              <w:t>.</w:t>
            </w:r>
          </w:p>
        </w:tc>
      </w:tr>
      <w:tr w:rsidR="00767476" w:rsidTr="00767476">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7476" w:rsidRDefault="00767476" w:rsidP="00664409">
            <w:pPr>
              <w:rPr>
                <w:rFonts w:ascii="Arial Narrow" w:hAnsi="Arial Narrow"/>
                <w:b/>
                <w:sz w:val="20"/>
              </w:rPr>
            </w:pPr>
            <w:r>
              <w:rPr>
                <w:rFonts w:ascii="Arial Narrow" w:hAnsi="Arial Narrow"/>
                <w:b/>
                <w:sz w:val="20"/>
              </w:rPr>
              <w:t>Prescriber Instructions</w:t>
            </w:r>
          </w:p>
        </w:tc>
        <w:tc>
          <w:tcPr>
            <w:tcW w:w="3933" w:type="pct"/>
            <w:tcBorders>
              <w:top w:val="single" w:sz="4" w:space="0" w:color="auto"/>
              <w:left w:val="single" w:sz="4" w:space="0" w:color="auto"/>
              <w:bottom w:val="single" w:sz="4" w:space="0" w:color="auto"/>
              <w:right w:val="single" w:sz="4" w:space="0" w:color="auto"/>
            </w:tcBorders>
            <w:vAlign w:val="center"/>
          </w:tcPr>
          <w:p w:rsidR="00767476" w:rsidRDefault="00767476" w:rsidP="00664409">
            <w:pPr>
              <w:rPr>
                <w:rFonts w:ascii="Arial Narrow" w:hAnsi="Arial Narrow"/>
                <w:sz w:val="20"/>
              </w:rPr>
            </w:pPr>
            <w:r>
              <w:rPr>
                <w:rFonts w:ascii="Arial Narrow" w:hAnsi="Arial Narrow"/>
                <w:sz w:val="20"/>
              </w:rPr>
              <w:t>The patient’s body weight must be documented in the patient’s medical records at the time treatment is initiated.</w:t>
            </w:r>
          </w:p>
        </w:tc>
      </w:tr>
      <w:tr w:rsidR="00762789" w:rsidTr="00AA0DF7">
        <w:trPr>
          <w:cantSplit/>
          <w:trHeight w:val="60"/>
        </w:trPr>
        <w:tc>
          <w:tcPr>
            <w:tcW w:w="1067" w:type="pct"/>
            <w:tcBorders>
              <w:top w:val="single" w:sz="4" w:space="0" w:color="auto"/>
              <w:left w:val="single" w:sz="4" w:space="0" w:color="auto"/>
              <w:bottom w:val="single" w:sz="4" w:space="0" w:color="auto"/>
              <w:right w:val="single" w:sz="4" w:space="0" w:color="auto"/>
            </w:tcBorders>
            <w:vAlign w:val="center"/>
          </w:tcPr>
          <w:p w:rsidR="00762789" w:rsidRDefault="00762789" w:rsidP="00762789">
            <w:pPr>
              <w:rPr>
                <w:rFonts w:ascii="Arial Narrow" w:hAnsi="Arial Narrow"/>
                <w:b/>
                <w:sz w:val="20"/>
              </w:rPr>
            </w:pPr>
            <w:r>
              <w:rPr>
                <w:rFonts w:ascii="Arial Narrow" w:hAnsi="Arial Narrow"/>
                <w:b/>
                <w:sz w:val="20"/>
              </w:rPr>
              <w:t>Administrative Advice</w:t>
            </w:r>
          </w:p>
        </w:tc>
        <w:tc>
          <w:tcPr>
            <w:tcW w:w="3933" w:type="pct"/>
            <w:tcBorders>
              <w:top w:val="single" w:sz="4" w:space="0" w:color="auto"/>
              <w:left w:val="single" w:sz="4" w:space="0" w:color="auto"/>
              <w:bottom w:val="single" w:sz="4" w:space="0" w:color="auto"/>
              <w:right w:val="single" w:sz="4" w:space="0" w:color="auto"/>
            </w:tcBorders>
            <w:vAlign w:val="center"/>
          </w:tcPr>
          <w:p w:rsidR="00762789" w:rsidRPr="00A619DC" w:rsidRDefault="00762789" w:rsidP="00762789">
            <w:pPr>
              <w:rPr>
                <w:rFonts w:ascii="Arial Narrow" w:hAnsi="Arial Narrow"/>
                <w:sz w:val="20"/>
              </w:rPr>
            </w:pPr>
            <w:r w:rsidRPr="00A619DC">
              <w:rPr>
                <w:rFonts w:ascii="Arial Narrow" w:hAnsi="Arial Narrow"/>
                <w:sz w:val="20"/>
              </w:rPr>
              <w:t>No increase in the maximum number of repeats may be authorised.</w:t>
            </w:r>
          </w:p>
          <w:p w:rsidR="00762789" w:rsidRDefault="00762789" w:rsidP="00762789">
            <w:pPr>
              <w:rPr>
                <w:rFonts w:ascii="Arial Narrow" w:hAnsi="Arial Narrow"/>
                <w:sz w:val="20"/>
              </w:rPr>
            </w:pPr>
            <w:r w:rsidRPr="00A619DC">
              <w:rPr>
                <w:rFonts w:ascii="Arial Narrow" w:hAnsi="Arial Narrow"/>
                <w:sz w:val="20"/>
              </w:rPr>
              <w:t>Special Pricing Arrangements apply.</w:t>
            </w:r>
          </w:p>
        </w:tc>
      </w:tr>
    </w:tbl>
    <w:p w:rsidR="00AA0DF7" w:rsidRDefault="00AA0DF7"/>
    <w:tbl>
      <w:tblPr>
        <w:tblW w:w="4627" w:type="pct"/>
        <w:tblInd w:w="756" w:type="dxa"/>
        <w:tblLayout w:type="fixed"/>
        <w:tblCellMar>
          <w:left w:w="28" w:type="dxa"/>
          <w:right w:w="28" w:type="dxa"/>
        </w:tblCellMar>
        <w:tblLook w:val="0000" w:firstRow="0" w:lastRow="0" w:firstColumn="0" w:lastColumn="0" w:noHBand="0" w:noVBand="0"/>
      </w:tblPr>
      <w:tblGrid>
        <w:gridCol w:w="2952"/>
        <w:gridCol w:w="716"/>
        <w:gridCol w:w="711"/>
        <w:gridCol w:w="1803"/>
        <w:gridCol w:w="924"/>
        <w:gridCol w:w="1298"/>
      </w:tblGrid>
      <w:tr w:rsidR="00912C3E" w:rsidRPr="008E61BC" w:rsidTr="002F09E9">
        <w:trPr>
          <w:cantSplit/>
          <w:trHeight w:val="471"/>
        </w:trPr>
        <w:tc>
          <w:tcPr>
            <w:tcW w:w="1756" w:type="pct"/>
            <w:tcBorders>
              <w:bottom w:val="single" w:sz="4" w:space="0" w:color="auto"/>
            </w:tcBorders>
          </w:tcPr>
          <w:p w:rsidR="00912C3E" w:rsidRPr="008E61BC" w:rsidRDefault="00912C3E" w:rsidP="00664409">
            <w:pPr>
              <w:keepNext/>
              <w:rPr>
                <w:rFonts w:ascii="Arial Narrow" w:hAnsi="Arial Narrow"/>
                <w:b/>
                <w:sz w:val="20"/>
              </w:rPr>
            </w:pPr>
            <w:r w:rsidRPr="008E61BC">
              <w:rPr>
                <w:rFonts w:ascii="Arial Narrow" w:hAnsi="Arial Narrow"/>
                <w:b/>
                <w:sz w:val="20"/>
              </w:rPr>
              <w:t>Name, Restriction,</w:t>
            </w:r>
          </w:p>
          <w:p w:rsidR="00912C3E" w:rsidRPr="008E61BC" w:rsidRDefault="00912C3E" w:rsidP="00664409">
            <w:pPr>
              <w:keepNext/>
              <w:rPr>
                <w:rFonts w:ascii="Arial Narrow" w:hAnsi="Arial Narrow"/>
                <w:b/>
                <w:sz w:val="20"/>
              </w:rPr>
            </w:pPr>
            <w:r w:rsidRPr="008E61BC">
              <w:rPr>
                <w:rFonts w:ascii="Arial Narrow" w:hAnsi="Arial Narrow"/>
                <w:b/>
                <w:sz w:val="20"/>
              </w:rPr>
              <w:t>Manner of administration and form</w:t>
            </w:r>
          </w:p>
        </w:tc>
        <w:tc>
          <w:tcPr>
            <w:tcW w:w="426"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Max.</w:t>
            </w:r>
          </w:p>
          <w:p w:rsidR="00912C3E" w:rsidRPr="008E61BC" w:rsidRDefault="00912C3E" w:rsidP="00664409">
            <w:pPr>
              <w:keepNext/>
              <w:jc w:val="center"/>
              <w:rPr>
                <w:rFonts w:ascii="Arial Narrow" w:hAnsi="Arial Narrow"/>
                <w:b/>
                <w:sz w:val="20"/>
              </w:rPr>
            </w:pPr>
            <w:r w:rsidRPr="008E61BC">
              <w:rPr>
                <w:rFonts w:ascii="Arial Narrow" w:hAnsi="Arial Narrow"/>
                <w:b/>
                <w:sz w:val="20"/>
              </w:rPr>
              <w:t>Amt</w:t>
            </w:r>
          </w:p>
        </w:tc>
        <w:tc>
          <w:tcPr>
            <w:tcW w:w="423"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№.of</w:t>
            </w:r>
          </w:p>
          <w:p w:rsidR="00912C3E" w:rsidRPr="008E61BC" w:rsidRDefault="00912C3E" w:rsidP="00664409">
            <w:pPr>
              <w:keepNext/>
              <w:jc w:val="center"/>
              <w:rPr>
                <w:rFonts w:ascii="Arial Narrow" w:hAnsi="Arial Narrow"/>
                <w:b/>
                <w:sz w:val="20"/>
              </w:rPr>
            </w:pPr>
            <w:r w:rsidRPr="008E61BC">
              <w:rPr>
                <w:rFonts w:ascii="Arial Narrow" w:hAnsi="Arial Narrow"/>
                <w:b/>
                <w:sz w:val="20"/>
              </w:rPr>
              <w:t>Rpts</w:t>
            </w:r>
          </w:p>
        </w:tc>
        <w:tc>
          <w:tcPr>
            <w:tcW w:w="1073" w:type="pct"/>
            <w:tcBorders>
              <w:bottom w:val="single" w:sz="4" w:space="0" w:color="auto"/>
            </w:tcBorders>
          </w:tcPr>
          <w:p w:rsidR="00912C3E" w:rsidRPr="008E61BC" w:rsidRDefault="00912C3E" w:rsidP="00664409">
            <w:pPr>
              <w:keepNext/>
              <w:jc w:val="center"/>
              <w:rPr>
                <w:rFonts w:ascii="Arial Narrow" w:hAnsi="Arial Narrow"/>
                <w:b/>
                <w:sz w:val="20"/>
              </w:rPr>
            </w:pPr>
            <w:r w:rsidRPr="008E61BC">
              <w:rPr>
                <w:rFonts w:ascii="Arial Narrow" w:hAnsi="Arial Narrow"/>
                <w:b/>
                <w:sz w:val="20"/>
              </w:rPr>
              <w:t>Dispensed Price for Max. Amt</w:t>
            </w:r>
          </w:p>
        </w:tc>
        <w:tc>
          <w:tcPr>
            <w:tcW w:w="1322" w:type="pct"/>
            <w:gridSpan w:val="2"/>
            <w:tcBorders>
              <w:bottom w:val="single" w:sz="4" w:space="0" w:color="auto"/>
            </w:tcBorders>
          </w:tcPr>
          <w:p w:rsidR="00912C3E" w:rsidRPr="008E61BC" w:rsidRDefault="00912C3E" w:rsidP="00664409">
            <w:pPr>
              <w:keepNext/>
              <w:jc w:val="center"/>
              <w:rPr>
                <w:rFonts w:ascii="Arial Narrow" w:hAnsi="Arial Narrow"/>
                <w:b/>
                <w:sz w:val="20"/>
                <w:lang w:val="fr-FR"/>
              </w:rPr>
            </w:pPr>
            <w:r w:rsidRPr="008E61BC">
              <w:rPr>
                <w:rFonts w:ascii="Arial Narrow" w:hAnsi="Arial Narrow"/>
                <w:b/>
                <w:sz w:val="20"/>
              </w:rPr>
              <w:t>Proprietary Name and Manufacturer</w:t>
            </w:r>
          </w:p>
        </w:tc>
      </w:tr>
      <w:tr w:rsidR="00912C3E" w:rsidRPr="0082090B" w:rsidTr="002F09E9">
        <w:trPr>
          <w:cantSplit/>
          <w:trHeight w:val="577"/>
        </w:trPr>
        <w:tc>
          <w:tcPr>
            <w:tcW w:w="1756" w:type="pct"/>
          </w:tcPr>
          <w:p w:rsidR="00912C3E" w:rsidRPr="0082090B" w:rsidRDefault="00912C3E" w:rsidP="00664409">
            <w:pPr>
              <w:keepNext/>
              <w:rPr>
                <w:rFonts w:ascii="Arial Narrow" w:hAnsi="Arial Narrow"/>
                <w:sz w:val="20"/>
              </w:rPr>
            </w:pPr>
            <w:r w:rsidRPr="0082090B">
              <w:rPr>
                <w:rFonts w:ascii="Arial Narrow" w:hAnsi="Arial Narrow"/>
                <w:smallCaps/>
                <w:sz w:val="20"/>
              </w:rPr>
              <w:t>Nivolumab</w:t>
            </w:r>
          </w:p>
          <w:p w:rsidR="00912C3E" w:rsidRPr="00A619DC" w:rsidRDefault="00912C3E" w:rsidP="00664409">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912C3E" w:rsidRPr="00A619DC" w:rsidRDefault="00912C3E" w:rsidP="00664409">
            <w:pPr>
              <w:keepNext/>
              <w:rPr>
                <w:rFonts w:ascii="Arial Narrow" w:hAnsi="Arial Narrow"/>
                <w:sz w:val="20"/>
                <w:vertAlign w:val="superscript"/>
              </w:rPr>
            </w:pPr>
            <w:r w:rsidRPr="0082090B">
              <w:rPr>
                <w:rFonts w:ascii="Arial Narrow" w:hAnsi="Arial Narrow"/>
                <w:sz w:val="20"/>
              </w:rPr>
              <w:t xml:space="preserve">100 mg/10 mL injection, 1 x </w:t>
            </w:r>
            <w:r w:rsidRPr="00375492">
              <w:rPr>
                <w:rFonts w:ascii="Arial Narrow" w:hAnsi="Arial Narrow"/>
                <w:sz w:val="20"/>
              </w:rPr>
              <w:t>10 mL</w:t>
            </w:r>
            <w:r w:rsidRPr="0082090B">
              <w:rPr>
                <w:rFonts w:ascii="Arial Narrow" w:hAnsi="Arial Narrow"/>
                <w:sz w:val="20"/>
              </w:rPr>
              <w:t xml:space="preserve"> vial</w:t>
            </w:r>
          </w:p>
        </w:tc>
        <w:tc>
          <w:tcPr>
            <w:tcW w:w="426"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Pr>
                <w:rFonts w:ascii="Arial Narrow" w:hAnsi="Arial Narrow"/>
                <w:sz w:val="20"/>
              </w:rPr>
              <w:t>36</w:t>
            </w:r>
            <w:r w:rsidRPr="0082090B">
              <w:rPr>
                <w:rFonts w:ascii="Arial Narrow" w:hAnsi="Arial Narrow"/>
                <w:sz w:val="20"/>
              </w:rPr>
              <w:t>0</w:t>
            </w:r>
            <w:r>
              <w:rPr>
                <w:rFonts w:ascii="Arial Narrow" w:hAnsi="Arial Narrow"/>
                <w:sz w:val="20"/>
              </w:rPr>
              <w:t> </w:t>
            </w:r>
            <w:r w:rsidRPr="0082090B">
              <w:rPr>
                <w:rFonts w:ascii="Arial Narrow" w:hAnsi="Arial Narrow"/>
                <w:sz w:val="20"/>
              </w:rPr>
              <w:t>mg</w:t>
            </w:r>
          </w:p>
        </w:tc>
        <w:tc>
          <w:tcPr>
            <w:tcW w:w="423"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Pr>
                <w:rFonts w:ascii="Arial Narrow" w:hAnsi="Arial Narrow"/>
                <w:sz w:val="20"/>
              </w:rPr>
              <w:t>11</w:t>
            </w:r>
          </w:p>
        </w:tc>
        <w:tc>
          <w:tcPr>
            <w:tcW w:w="1073" w:type="pct"/>
          </w:tcPr>
          <w:p w:rsidR="00912C3E" w:rsidRPr="0082090B" w:rsidRDefault="00912C3E" w:rsidP="00664409">
            <w:pPr>
              <w:keepNext/>
              <w:jc w:val="center"/>
              <w:rPr>
                <w:rFonts w:ascii="Arial Narrow" w:hAnsi="Arial Narrow"/>
                <w:sz w:val="20"/>
              </w:rPr>
            </w:pPr>
          </w:p>
          <w:p w:rsidR="00912C3E" w:rsidRPr="0082090B" w:rsidRDefault="00912C3E" w:rsidP="00664409">
            <w:pPr>
              <w:keepNext/>
              <w:jc w:val="center"/>
              <w:rPr>
                <w:rFonts w:ascii="Arial Narrow" w:hAnsi="Arial Narrow"/>
                <w:sz w:val="20"/>
              </w:rPr>
            </w:pPr>
            <w:r w:rsidRPr="0082090B">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(private)</w:t>
            </w:r>
          </w:p>
          <w:p w:rsidR="00912C3E" w:rsidRPr="0082090B" w:rsidRDefault="00912C3E" w:rsidP="00664409">
            <w:pPr>
              <w:keepNext/>
              <w:jc w:val="center"/>
              <w:rPr>
                <w:rFonts w:ascii="Arial Narrow" w:hAnsi="Arial Narrow"/>
                <w:sz w:val="20"/>
              </w:rPr>
            </w:pPr>
            <w:r>
              <w:rPr>
                <w:rFonts w:ascii="Arial Narrow" w:hAnsi="Arial Narrow"/>
                <w:sz w:val="20"/>
              </w:rPr>
              <w:t>$</w:t>
            </w:r>
            <w:r w:rsidR="00EC7969">
              <w:rPr>
                <w:rFonts w:ascii="Arial Narrow" w:hAnsi="Arial Narrow"/>
                <w:noProof/>
                <w:color w:val="000000"/>
                <w:sz w:val="20"/>
                <w:highlight w:val="black"/>
              </w:rPr>
              <w:t>'''''''''''''''''''''</w:t>
            </w:r>
            <w:r w:rsidRPr="0082090B">
              <w:rPr>
                <w:rFonts w:ascii="Arial Narrow" w:hAnsi="Arial Narrow"/>
                <w:sz w:val="20"/>
              </w:rPr>
              <w:t xml:space="preserve"> (public)</w:t>
            </w:r>
          </w:p>
        </w:tc>
        <w:tc>
          <w:tcPr>
            <w:tcW w:w="550" w:type="pct"/>
            <w:vAlign w:val="center"/>
          </w:tcPr>
          <w:p w:rsidR="00912C3E" w:rsidRPr="0082090B" w:rsidRDefault="00912C3E" w:rsidP="00664409">
            <w:pPr>
              <w:keepNext/>
              <w:jc w:val="center"/>
              <w:rPr>
                <w:rFonts w:ascii="Arial Narrow" w:hAnsi="Arial Narrow"/>
                <w:sz w:val="20"/>
                <w:vertAlign w:val="superscript"/>
              </w:rPr>
            </w:pPr>
            <w:r w:rsidRPr="0082090B">
              <w:rPr>
                <w:rFonts w:ascii="Arial Narrow" w:hAnsi="Arial Narrow"/>
                <w:sz w:val="20"/>
              </w:rPr>
              <w:t>Opdivo</w:t>
            </w:r>
            <w:r w:rsidRPr="0082090B">
              <w:rPr>
                <w:rFonts w:ascii="Arial Narrow" w:hAnsi="Arial Narrow"/>
                <w:sz w:val="20"/>
                <w:vertAlign w:val="superscript"/>
              </w:rPr>
              <w:t>®</w:t>
            </w:r>
          </w:p>
        </w:tc>
        <w:tc>
          <w:tcPr>
            <w:tcW w:w="772" w:type="pct"/>
            <w:vAlign w:val="center"/>
          </w:tcPr>
          <w:p w:rsidR="00912C3E" w:rsidRPr="0082090B" w:rsidRDefault="00912C3E" w:rsidP="00664409">
            <w:pPr>
              <w:keepNext/>
              <w:jc w:val="center"/>
              <w:rPr>
                <w:rFonts w:ascii="Arial Narrow" w:hAnsi="Arial Narrow"/>
                <w:sz w:val="20"/>
              </w:rPr>
            </w:pPr>
            <w:r w:rsidRPr="003E5190">
              <w:rPr>
                <w:rFonts w:ascii="Arial Narrow" w:hAnsi="Arial Narrow"/>
                <w:sz w:val="20"/>
              </w:rPr>
              <w:t>Bristol-Myers Squibb Australia Pty Ltd (BQ)</w:t>
            </w:r>
          </w:p>
        </w:tc>
      </w:tr>
    </w:tbl>
    <w:p w:rsidR="002F09E9" w:rsidRDefault="002F09E9"/>
    <w:tbl>
      <w:tblPr>
        <w:tblW w:w="4547" w:type="pct"/>
        <w:tblInd w:w="836" w:type="dxa"/>
        <w:tblLayout w:type="fixed"/>
        <w:tblLook w:val="04A0" w:firstRow="1" w:lastRow="0" w:firstColumn="1" w:lastColumn="0" w:noHBand="0" w:noVBand="1"/>
      </w:tblPr>
      <w:tblGrid>
        <w:gridCol w:w="1794"/>
        <w:gridCol w:w="6611"/>
      </w:tblGrid>
      <w:tr w:rsidR="00762789" w:rsidRPr="00505497" w:rsidTr="002F09E9">
        <w:trPr>
          <w:cantSplit/>
          <w:trHeight w:val="170"/>
        </w:trPr>
        <w:tc>
          <w:tcPr>
            <w:tcW w:w="5000" w:type="pct"/>
            <w:gridSpan w:val="2"/>
            <w:tcBorders>
              <w:top w:val="single" w:sz="4" w:space="0" w:color="auto"/>
              <w:left w:val="single" w:sz="4" w:space="0" w:color="auto"/>
              <w:bottom w:val="single" w:sz="4" w:space="0" w:color="auto"/>
              <w:right w:val="single" w:sz="4" w:space="0" w:color="auto"/>
            </w:tcBorders>
            <w:hideMark/>
          </w:tcPr>
          <w:p w:rsidR="00762789" w:rsidRPr="00505497" w:rsidRDefault="00762789" w:rsidP="00762789">
            <w:pPr>
              <w:snapToGrid w:val="0"/>
              <w:rPr>
                <w:rFonts w:ascii="Arial Narrow" w:hAnsi="Arial Narrow"/>
                <w:sz w:val="20"/>
              </w:rPr>
            </w:pPr>
            <w:r>
              <w:rPr>
                <w:rFonts w:ascii="Arial Narrow" w:hAnsi="Arial Narrow"/>
                <w:b/>
                <w:sz w:val="20"/>
              </w:rPr>
              <w:t xml:space="preserve">Treatment phase: </w:t>
            </w:r>
            <w:r w:rsidRPr="00505497">
              <w:rPr>
                <w:rFonts w:ascii="Arial Narrow" w:hAnsi="Arial Narrow"/>
                <w:sz w:val="20"/>
              </w:rPr>
              <w:t>Continuing (single</w:t>
            </w:r>
            <w:r w:rsidR="00546720">
              <w:rPr>
                <w:rFonts w:ascii="Arial Narrow" w:hAnsi="Arial Narrow"/>
                <w:sz w:val="20"/>
              </w:rPr>
              <w:t>-</w:t>
            </w:r>
            <w:r w:rsidR="00A66B45">
              <w:rPr>
                <w:rFonts w:ascii="Arial Narrow" w:hAnsi="Arial Narrow"/>
                <w:sz w:val="20"/>
              </w:rPr>
              <w:t xml:space="preserve">agent </w:t>
            </w:r>
            <w:r>
              <w:rPr>
                <w:rFonts w:ascii="Arial Narrow" w:hAnsi="Arial Narrow"/>
                <w:sz w:val="20"/>
              </w:rPr>
              <w:t>nivolumab</w:t>
            </w:r>
            <w:r w:rsidRPr="00505497">
              <w:rPr>
                <w:rFonts w:ascii="Arial Narrow" w:hAnsi="Arial Narrow"/>
                <w:sz w:val="20"/>
              </w:rPr>
              <w:t>) phase</w:t>
            </w:r>
          </w:p>
        </w:tc>
      </w:tr>
      <w:tr w:rsidR="00762789" w:rsidTr="002F09E9">
        <w:trPr>
          <w:cantSplit/>
          <w:trHeight w:val="227"/>
        </w:trPr>
        <w:tc>
          <w:tcPr>
            <w:tcW w:w="1067" w:type="pct"/>
            <w:tcBorders>
              <w:top w:val="single" w:sz="4" w:space="0" w:color="auto"/>
              <w:left w:val="single" w:sz="4" w:space="0" w:color="auto"/>
              <w:bottom w:val="single" w:sz="4" w:space="0" w:color="auto"/>
              <w:right w:val="single" w:sz="4" w:space="0" w:color="auto"/>
            </w:tcBorders>
            <w:hideMark/>
          </w:tcPr>
          <w:p w:rsidR="00762789" w:rsidRDefault="00762789" w:rsidP="00762789">
            <w:pPr>
              <w:snapToGrid w:val="0"/>
              <w:rPr>
                <w:rFonts w:ascii="Arial Narrow" w:hAnsi="Arial Narrow"/>
                <w:b/>
                <w:sz w:val="20"/>
              </w:rPr>
            </w:pPr>
            <w:r>
              <w:rPr>
                <w:rFonts w:ascii="Arial Narrow" w:hAnsi="Arial Narrow"/>
                <w:b/>
                <w:sz w:val="20"/>
              </w:rPr>
              <w:t>Restriction Method:</w:t>
            </w:r>
          </w:p>
        </w:tc>
        <w:tc>
          <w:tcPr>
            <w:tcW w:w="3933" w:type="pct"/>
            <w:tcBorders>
              <w:top w:val="single" w:sz="4" w:space="0" w:color="auto"/>
              <w:left w:val="single" w:sz="4" w:space="0" w:color="auto"/>
              <w:bottom w:val="single" w:sz="4" w:space="0" w:color="auto"/>
              <w:right w:val="single" w:sz="4" w:space="0" w:color="auto"/>
            </w:tcBorders>
            <w:hideMark/>
          </w:tcPr>
          <w:p w:rsidR="00762789" w:rsidRDefault="00762789" w:rsidP="00762789">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EC7969">
              <w:rPr>
                <w:rFonts w:ascii="Arial Narrow" w:hAnsi="Arial Narrow"/>
                <w:sz w:val="20"/>
              </w:rPr>
            </w:r>
            <w:r w:rsidR="00EC7969">
              <w:rPr>
                <w:rFonts w:ascii="Arial Narrow" w:hAnsi="Arial Narrow"/>
                <w:sz w:val="20"/>
              </w:rPr>
              <w:fldChar w:fldCharType="separate"/>
            </w:r>
            <w:r>
              <w:rPr>
                <w:rFonts w:ascii="Arial Narrow" w:hAnsi="Arial Narrow"/>
                <w:sz w:val="20"/>
              </w:rPr>
              <w:fldChar w:fldCharType="end"/>
            </w:r>
            <w:r>
              <w:rPr>
                <w:rFonts w:ascii="Arial Narrow" w:hAnsi="Arial Narrow"/>
                <w:sz w:val="20"/>
              </w:rPr>
              <w:t>Streamlined</w:t>
            </w:r>
          </w:p>
        </w:tc>
      </w:tr>
      <w:tr w:rsidR="00762789" w:rsidTr="002F09E9">
        <w:trPr>
          <w:cantSplit/>
          <w:trHeight w:val="360"/>
        </w:trPr>
        <w:tc>
          <w:tcPr>
            <w:tcW w:w="1067" w:type="pct"/>
            <w:tcBorders>
              <w:top w:val="single" w:sz="4" w:space="0" w:color="auto"/>
              <w:left w:val="single" w:sz="4" w:space="0" w:color="auto"/>
              <w:bottom w:val="single" w:sz="4" w:space="0" w:color="auto"/>
              <w:right w:val="single" w:sz="4" w:space="0" w:color="auto"/>
            </w:tcBorders>
            <w:hideMark/>
          </w:tcPr>
          <w:p w:rsidR="00762789" w:rsidRDefault="00762789" w:rsidP="00762789">
            <w:pPr>
              <w:snapToGrid w:val="0"/>
              <w:rPr>
                <w:rFonts w:ascii="Arial Narrow" w:hAnsi="Arial Narrow"/>
                <w:b/>
                <w:sz w:val="20"/>
              </w:rPr>
            </w:pPr>
            <w:r>
              <w:rPr>
                <w:rFonts w:ascii="Arial Narrow" w:hAnsi="Arial Narrow"/>
                <w:b/>
                <w:sz w:val="20"/>
              </w:rPr>
              <w:t>Clinical criteria:</w:t>
            </w:r>
          </w:p>
        </w:tc>
        <w:tc>
          <w:tcPr>
            <w:tcW w:w="3933" w:type="pct"/>
            <w:tcBorders>
              <w:top w:val="single" w:sz="4" w:space="0" w:color="auto"/>
              <w:left w:val="single" w:sz="4" w:space="0" w:color="auto"/>
              <w:bottom w:val="single" w:sz="4" w:space="0" w:color="auto"/>
              <w:right w:val="single" w:sz="4" w:space="0" w:color="auto"/>
            </w:tcBorders>
          </w:tcPr>
          <w:p w:rsidR="00762789" w:rsidRPr="008C794B" w:rsidRDefault="00762789" w:rsidP="00762789">
            <w:pPr>
              <w:rPr>
                <w:rFonts w:ascii="Arial Narrow" w:hAnsi="Arial Narrow"/>
                <w:sz w:val="20"/>
              </w:rPr>
            </w:pPr>
            <w:r w:rsidRPr="008C794B">
              <w:rPr>
                <w:rFonts w:ascii="Arial Narrow" w:hAnsi="Arial Narrow"/>
                <w:sz w:val="20"/>
              </w:rPr>
              <w:t xml:space="preserve">Patient must have previously been issued with </w:t>
            </w:r>
            <w:r w:rsidRPr="006E29A3">
              <w:rPr>
                <w:rFonts w:ascii="Arial Narrow" w:hAnsi="Arial Narrow"/>
                <w:strike/>
                <w:sz w:val="20"/>
              </w:rPr>
              <w:t>an</w:t>
            </w:r>
            <w:r w:rsidRPr="008C794B">
              <w:rPr>
                <w:rFonts w:ascii="Arial Narrow" w:hAnsi="Arial Narrow"/>
                <w:sz w:val="20"/>
              </w:rPr>
              <w:t xml:space="preserve"> authority prescription</w:t>
            </w:r>
            <w:r w:rsidR="008C794B" w:rsidRPr="006E29A3">
              <w:rPr>
                <w:rFonts w:ascii="Arial Narrow" w:hAnsi="Arial Narrow"/>
                <w:i/>
                <w:sz w:val="20"/>
              </w:rPr>
              <w:t>s</w:t>
            </w:r>
            <w:r w:rsidRPr="008C794B">
              <w:rPr>
                <w:rFonts w:ascii="Arial Narrow" w:hAnsi="Arial Narrow"/>
                <w:sz w:val="20"/>
              </w:rPr>
              <w:t xml:space="preserve"> for</w:t>
            </w:r>
            <w:r w:rsidR="008C794B">
              <w:rPr>
                <w:rFonts w:ascii="Arial Narrow" w:hAnsi="Arial Narrow"/>
                <w:sz w:val="20"/>
              </w:rPr>
              <w:t xml:space="preserve"> </w:t>
            </w:r>
            <w:r w:rsidR="008C794B">
              <w:rPr>
                <w:rFonts w:ascii="Arial Narrow" w:hAnsi="Arial Narrow"/>
                <w:i/>
                <w:sz w:val="20"/>
              </w:rPr>
              <w:t>induction phase</w:t>
            </w:r>
            <w:r w:rsidR="00956C77" w:rsidRPr="008C794B">
              <w:rPr>
                <w:rFonts w:ascii="Arial Narrow" w:hAnsi="Arial Narrow"/>
                <w:sz w:val="20"/>
              </w:rPr>
              <w:t xml:space="preserve"> </w:t>
            </w:r>
            <w:r w:rsidR="008C794B">
              <w:rPr>
                <w:rFonts w:ascii="Arial Narrow" w:hAnsi="Arial Narrow"/>
                <w:i/>
                <w:sz w:val="20"/>
              </w:rPr>
              <w:t xml:space="preserve">ipilimumab and nivolumab combination therapy </w:t>
            </w:r>
            <w:r w:rsidRPr="008C794B">
              <w:rPr>
                <w:rFonts w:ascii="Arial Narrow" w:hAnsi="Arial Narrow"/>
                <w:strike/>
                <w:sz w:val="20"/>
              </w:rPr>
              <w:t>this drug</w:t>
            </w:r>
            <w:r w:rsidRPr="008C794B">
              <w:rPr>
                <w:rFonts w:ascii="Arial Narrow" w:hAnsi="Arial Narrow"/>
                <w:sz w:val="20"/>
              </w:rPr>
              <w:t xml:space="preserve"> for this condition</w:t>
            </w:r>
            <w:r w:rsidR="008C794B">
              <w:rPr>
                <w:rFonts w:ascii="Arial Narrow" w:hAnsi="Arial Narrow"/>
                <w:sz w:val="20"/>
              </w:rPr>
              <w:t>,</w:t>
            </w:r>
          </w:p>
          <w:p w:rsidR="00956C77" w:rsidRPr="008C794B" w:rsidRDefault="00956C77" w:rsidP="00762789">
            <w:pPr>
              <w:rPr>
                <w:rFonts w:ascii="Arial Narrow" w:hAnsi="Arial Narrow"/>
                <w:sz w:val="20"/>
              </w:rPr>
            </w:pPr>
            <w:r w:rsidRPr="008C794B">
              <w:rPr>
                <w:rFonts w:ascii="Arial Narrow" w:hAnsi="Arial Narrow"/>
                <w:i/>
                <w:sz w:val="20"/>
              </w:rPr>
              <w:t>AND</w:t>
            </w:r>
          </w:p>
          <w:p w:rsidR="00956C77" w:rsidRPr="008C794B" w:rsidRDefault="008C794B" w:rsidP="00762789">
            <w:pPr>
              <w:rPr>
                <w:rFonts w:ascii="Arial Narrow" w:hAnsi="Arial Narrow"/>
                <w:i/>
                <w:sz w:val="20"/>
              </w:rPr>
            </w:pPr>
            <w:r w:rsidRPr="008C794B">
              <w:rPr>
                <w:rFonts w:ascii="Arial Narrow" w:hAnsi="Arial Narrow"/>
                <w:i/>
                <w:sz w:val="20"/>
              </w:rPr>
              <w:t xml:space="preserve">This drug must be the sole PBS-subsided </w:t>
            </w:r>
            <w:r w:rsidR="00956C77" w:rsidRPr="008C794B">
              <w:rPr>
                <w:rFonts w:ascii="Arial Narrow" w:hAnsi="Arial Narrow"/>
                <w:i/>
                <w:sz w:val="20"/>
              </w:rPr>
              <w:t>treatment</w:t>
            </w:r>
            <w:r w:rsidRPr="008C794B">
              <w:rPr>
                <w:rFonts w:ascii="Arial Narrow" w:hAnsi="Arial Narrow"/>
                <w:i/>
                <w:sz w:val="20"/>
              </w:rPr>
              <w:t xml:space="preserve"> for this condition,</w:t>
            </w:r>
          </w:p>
          <w:p w:rsidR="00762789" w:rsidRPr="008C794B" w:rsidRDefault="00762789" w:rsidP="00762789">
            <w:pPr>
              <w:rPr>
                <w:rFonts w:ascii="Arial Narrow" w:hAnsi="Arial Narrow"/>
                <w:sz w:val="20"/>
              </w:rPr>
            </w:pPr>
            <w:r w:rsidRPr="008C794B">
              <w:rPr>
                <w:rFonts w:ascii="Arial Narrow" w:hAnsi="Arial Narrow"/>
                <w:sz w:val="20"/>
              </w:rPr>
              <w:t>AND</w:t>
            </w:r>
          </w:p>
          <w:p w:rsidR="00EA2AA9" w:rsidRPr="008C794B" w:rsidRDefault="00EA2AA9" w:rsidP="00EA2AA9">
            <w:pPr>
              <w:rPr>
                <w:rFonts w:ascii="Arial Narrow" w:hAnsi="Arial Narrow"/>
                <w:strike/>
                <w:sz w:val="20"/>
              </w:rPr>
            </w:pPr>
            <w:r w:rsidRPr="008C794B">
              <w:rPr>
                <w:rFonts w:ascii="Arial Narrow" w:hAnsi="Arial Narrow"/>
                <w:sz w:val="20"/>
              </w:rPr>
              <w:t>Patient must have stable or responding disease</w:t>
            </w:r>
            <w:r w:rsidR="008C794B">
              <w:rPr>
                <w:rFonts w:ascii="Arial Narrow" w:hAnsi="Arial Narrow"/>
                <w:sz w:val="20"/>
              </w:rPr>
              <w:t>,</w:t>
            </w:r>
          </w:p>
          <w:p w:rsidR="00762789" w:rsidRPr="008C794B" w:rsidRDefault="00762789" w:rsidP="00762789">
            <w:pPr>
              <w:rPr>
                <w:rFonts w:ascii="Arial Narrow" w:hAnsi="Arial Narrow"/>
                <w:sz w:val="20"/>
              </w:rPr>
            </w:pPr>
            <w:r w:rsidRPr="008C794B">
              <w:rPr>
                <w:rFonts w:ascii="Arial Narrow" w:hAnsi="Arial Narrow"/>
                <w:sz w:val="20"/>
              </w:rPr>
              <w:t>AND</w:t>
            </w:r>
          </w:p>
          <w:p w:rsidR="00762789" w:rsidRPr="008C794B" w:rsidRDefault="00762789" w:rsidP="00762789">
            <w:pPr>
              <w:snapToGrid w:val="0"/>
              <w:rPr>
                <w:rFonts w:ascii="Arial Narrow" w:hAnsi="Arial Narrow"/>
                <w:i/>
                <w:sz w:val="20"/>
              </w:rPr>
            </w:pPr>
            <w:r w:rsidRPr="008C794B">
              <w:rPr>
                <w:rFonts w:ascii="Arial Narrow" w:hAnsi="Arial Narrow"/>
                <w:sz w:val="20"/>
              </w:rPr>
              <w:t>The treatment with nivolumab must not exceed a maximum dose of 3 mg per kg every 2 weeks.</w:t>
            </w:r>
          </w:p>
        </w:tc>
      </w:tr>
      <w:tr w:rsidR="00767476" w:rsidTr="00767476">
        <w:trPr>
          <w:cantSplit/>
          <w:trHeight w:val="360"/>
        </w:trPr>
        <w:tc>
          <w:tcPr>
            <w:tcW w:w="1067" w:type="pct"/>
            <w:tcBorders>
              <w:top w:val="single" w:sz="4" w:space="0" w:color="auto"/>
              <w:left w:val="single" w:sz="4" w:space="0" w:color="auto"/>
              <w:bottom w:val="single" w:sz="4" w:space="0" w:color="auto"/>
              <w:right w:val="single" w:sz="4" w:space="0" w:color="auto"/>
            </w:tcBorders>
            <w:hideMark/>
          </w:tcPr>
          <w:p w:rsidR="00767476" w:rsidRDefault="00767476" w:rsidP="00664409">
            <w:pPr>
              <w:snapToGrid w:val="0"/>
              <w:rPr>
                <w:rFonts w:ascii="Arial Narrow" w:hAnsi="Arial Narrow"/>
                <w:b/>
                <w:sz w:val="20"/>
              </w:rPr>
            </w:pPr>
            <w:r>
              <w:rPr>
                <w:rFonts w:ascii="Arial Narrow" w:hAnsi="Arial Narrow"/>
                <w:b/>
                <w:sz w:val="20"/>
              </w:rPr>
              <w:t>Prescriber Instructions</w:t>
            </w:r>
          </w:p>
        </w:tc>
        <w:tc>
          <w:tcPr>
            <w:tcW w:w="3933" w:type="pct"/>
            <w:tcBorders>
              <w:top w:val="single" w:sz="4" w:space="0" w:color="auto"/>
              <w:left w:val="single" w:sz="4" w:space="0" w:color="auto"/>
              <w:bottom w:val="single" w:sz="4" w:space="0" w:color="auto"/>
              <w:right w:val="single" w:sz="4" w:space="0" w:color="auto"/>
            </w:tcBorders>
          </w:tcPr>
          <w:p w:rsidR="00767476" w:rsidRDefault="00767476" w:rsidP="00767476">
            <w:pPr>
              <w:rPr>
                <w:rFonts w:ascii="Arial Narrow" w:hAnsi="Arial Narrow"/>
                <w:sz w:val="20"/>
              </w:rPr>
            </w:pPr>
            <w:r>
              <w:rPr>
                <w:rFonts w:ascii="Arial Narrow" w:hAnsi="Arial Narrow"/>
                <w:sz w:val="20"/>
              </w:rPr>
              <w:t>The patient’s body weight must be documented in the patient’s medical records at the time treatment is initiated.</w:t>
            </w:r>
          </w:p>
        </w:tc>
      </w:tr>
      <w:tr w:rsidR="00762789" w:rsidTr="002F09E9">
        <w:trPr>
          <w:cantSplit/>
          <w:trHeight w:val="360"/>
        </w:trPr>
        <w:tc>
          <w:tcPr>
            <w:tcW w:w="1067" w:type="pct"/>
            <w:tcBorders>
              <w:top w:val="single" w:sz="4" w:space="0" w:color="auto"/>
              <w:left w:val="single" w:sz="4" w:space="0" w:color="auto"/>
              <w:bottom w:val="single" w:sz="4" w:space="0" w:color="auto"/>
              <w:right w:val="single" w:sz="4" w:space="0" w:color="auto"/>
            </w:tcBorders>
            <w:hideMark/>
          </w:tcPr>
          <w:p w:rsidR="00762789" w:rsidRDefault="00762789" w:rsidP="00762789">
            <w:pPr>
              <w:snapToGrid w:val="0"/>
              <w:rPr>
                <w:rFonts w:ascii="Arial Narrow" w:hAnsi="Arial Narrow"/>
                <w:b/>
                <w:sz w:val="20"/>
              </w:rPr>
            </w:pPr>
            <w:r>
              <w:rPr>
                <w:rFonts w:ascii="Arial Narrow" w:hAnsi="Arial Narrow"/>
                <w:b/>
                <w:sz w:val="20"/>
              </w:rPr>
              <w:t>Administrative Advice</w:t>
            </w:r>
          </w:p>
        </w:tc>
        <w:tc>
          <w:tcPr>
            <w:tcW w:w="3933" w:type="pct"/>
            <w:tcBorders>
              <w:top w:val="single" w:sz="4" w:space="0" w:color="auto"/>
              <w:left w:val="single" w:sz="4" w:space="0" w:color="auto"/>
              <w:bottom w:val="single" w:sz="4" w:space="0" w:color="auto"/>
              <w:right w:val="single" w:sz="4" w:space="0" w:color="auto"/>
            </w:tcBorders>
          </w:tcPr>
          <w:p w:rsidR="00762789" w:rsidRPr="00D95964" w:rsidRDefault="00762789" w:rsidP="00762789">
            <w:pPr>
              <w:rPr>
                <w:rFonts w:ascii="Arial Narrow" w:hAnsi="Arial Narrow"/>
                <w:sz w:val="20"/>
              </w:rPr>
            </w:pPr>
            <w:r w:rsidRPr="00D95964">
              <w:rPr>
                <w:rFonts w:ascii="Arial Narrow" w:hAnsi="Arial Narrow"/>
                <w:sz w:val="20"/>
              </w:rPr>
              <w:t>No increase in the maximum number of repeats may be authorised.</w:t>
            </w:r>
          </w:p>
          <w:p w:rsidR="00762789" w:rsidRDefault="00762789" w:rsidP="00762789">
            <w:pPr>
              <w:snapToGrid w:val="0"/>
              <w:rPr>
                <w:rFonts w:ascii="Arial Narrow" w:hAnsi="Arial Narrow"/>
                <w:i/>
                <w:sz w:val="20"/>
              </w:rPr>
            </w:pPr>
            <w:r w:rsidRPr="00D95964">
              <w:rPr>
                <w:rFonts w:ascii="Arial Narrow" w:hAnsi="Arial Narrow"/>
                <w:sz w:val="20"/>
              </w:rPr>
              <w:t>Special Pricing Arrangements apply.</w:t>
            </w:r>
          </w:p>
        </w:tc>
      </w:tr>
    </w:tbl>
    <w:p w:rsidR="00762789" w:rsidRPr="00882085" w:rsidRDefault="00762789" w:rsidP="00762789"/>
    <w:p w:rsidR="00762789" w:rsidRPr="00D4640F" w:rsidRDefault="00762789" w:rsidP="009E7F9E">
      <w:pPr>
        <w:pStyle w:val="ListParagraph"/>
        <w:widowControl/>
        <w:numPr>
          <w:ilvl w:val="1"/>
          <w:numId w:val="4"/>
        </w:numPr>
        <w:rPr>
          <w:szCs w:val="22"/>
        </w:rPr>
      </w:pPr>
      <w:r w:rsidRPr="00D4640F">
        <w:rPr>
          <w:szCs w:val="22"/>
        </w:rPr>
        <w:lastRenderedPageBreak/>
        <w:t>The requested restriction differed from current listings for programmed death 1 (PD-1) inhibitors for melanoma with regard to the following criteria:</w:t>
      </w:r>
    </w:p>
    <w:p w:rsidR="00762789" w:rsidRPr="00C86F15" w:rsidRDefault="00803007" w:rsidP="00762789">
      <w:pPr>
        <w:pStyle w:val="ListParagraph"/>
        <w:widowControl/>
        <w:rPr>
          <w:szCs w:val="22"/>
        </w:rPr>
      </w:pPr>
      <w:r w:rsidRPr="00803007">
        <w:rPr>
          <w:szCs w:val="22"/>
          <w:u w:val="single"/>
        </w:rPr>
        <w:t>i</w:t>
      </w:r>
      <w:r w:rsidR="00762789" w:rsidRPr="00803007">
        <w:rPr>
          <w:szCs w:val="22"/>
          <w:u w:val="single"/>
        </w:rPr>
        <w:t>nduction (combination) phase</w:t>
      </w:r>
    </w:p>
    <w:p w:rsidR="00762789" w:rsidRPr="00C86F15" w:rsidRDefault="00803007" w:rsidP="009E7F9E">
      <w:pPr>
        <w:pStyle w:val="ListParagraph"/>
        <w:numPr>
          <w:ilvl w:val="0"/>
          <w:numId w:val="2"/>
        </w:numPr>
        <w:ind w:left="1134"/>
        <w:rPr>
          <w:lang w:val="en-US"/>
        </w:rPr>
      </w:pPr>
      <w:r w:rsidRPr="00C86F15">
        <w:rPr>
          <w:lang w:val="en-US"/>
        </w:rPr>
        <w:t>p</w:t>
      </w:r>
      <w:r w:rsidR="00762789" w:rsidRPr="00C86F15">
        <w:rPr>
          <w:lang w:val="en-US"/>
        </w:rPr>
        <w:t xml:space="preserve">atients with BRAF V600 mutation </w:t>
      </w:r>
      <w:r w:rsidR="00827DAF" w:rsidRPr="00C86F15">
        <w:rPr>
          <w:lang w:val="en-US"/>
        </w:rPr>
        <w:t xml:space="preserve">positive melanoma </w:t>
      </w:r>
      <w:r w:rsidR="00762789" w:rsidRPr="00C86F15">
        <w:rPr>
          <w:lang w:val="en-US"/>
        </w:rPr>
        <w:t>were not required to have progressed following BRAF inhibitor treatment;</w:t>
      </w:r>
    </w:p>
    <w:p w:rsidR="00762789" w:rsidRPr="00C86F15" w:rsidRDefault="00803007" w:rsidP="009E7F9E">
      <w:pPr>
        <w:pStyle w:val="ListParagraph"/>
        <w:numPr>
          <w:ilvl w:val="0"/>
          <w:numId w:val="2"/>
        </w:numPr>
        <w:ind w:left="1134"/>
        <w:rPr>
          <w:lang w:val="en-US"/>
        </w:rPr>
      </w:pPr>
      <w:r>
        <w:rPr>
          <w:lang w:val="en-US"/>
        </w:rPr>
        <w:t>t</w:t>
      </w:r>
      <w:r w:rsidR="00762789" w:rsidRPr="00C86F15">
        <w:rPr>
          <w:lang w:val="en-US"/>
        </w:rPr>
        <w:t>he listing did not state that patients must not have received prior treatment with a PD-1 inhibitor for this condition;</w:t>
      </w:r>
    </w:p>
    <w:p w:rsidR="00762789" w:rsidRPr="00C86F15" w:rsidRDefault="00803007" w:rsidP="009E7F9E">
      <w:pPr>
        <w:pStyle w:val="ListParagraph"/>
        <w:numPr>
          <w:ilvl w:val="0"/>
          <w:numId w:val="2"/>
        </w:numPr>
        <w:ind w:left="1134"/>
        <w:rPr>
          <w:szCs w:val="22"/>
        </w:rPr>
      </w:pPr>
      <w:r>
        <w:rPr>
          <w:lang w:val="en-US"/>
        </w:rPr>
        <w:t>t</w:t>
      </w:r>
      <w:r w:rsidR="00762789" w:rsidRPr="00C86F15">
        <w:rPr>
          <w:lang w:val="en-US"/>
        </w:rPr>
        <w:t>here was no administrative note regarding the possibility of early 'pseudo-progression'</w:t>
      </w:r>
      <w:r>
        <w:rPr>
          <w:lang w:val="en-US"/>
        </w:rPr>
        <w:t>; and</w:t>
      </w:r>
    </w:p>
    <w:p w:rsidR="00762789" w:rsidRPr="00803007" w:rsidRDefault="00803007" w:rsidP="002A7C86">
      <w:pPr>
        <w:pStyle w:val="ListParagraph"/>
        <w:widowControl/>
        <w:ind w:left="709"/>
        <w:rPr>
          <w:szCs w:val="22"/>
          <w:u w:val="single"/>
        </w:rPr>
      </w:pPr>
      <w:r w:rsidRPr="00803007">
        <w:rPr>
          <w:szCs w:val="22"/>
          <w:u w:val="single"/>
        </w:rPr>
        <w:t>c</w:t>
      </w:r>
      <w:r w:rsidR="00762789" w:rsidRPr="00803007">
        <w:rPr>
          <w:szCs w:val="22"/>
          <w:u w:val="single"/>
        </w:rPr>
        <w:t>ontinuing (single</w:t>
      </w:r>
      <w:r w:rsidR="00546720" w:rsidRPr="00803007">
        <w:rPr>
          <w:szCs w:val="22"/>
          <w:u w:val="single"/>
        </w:rPr>
        <w:t>-agent</w:t>
      </w:r>
      <w:r w:rsidR="009B6F47" w:rsidRPr="00803007">
        <w:rPr>
          <w:szCs w:val="22"/>
          <w:u w:val="single"/>
        </w:rPr>
        <w:t>) phase</w:t>
      </w:r>
    </w:p>
    <w:p w:rsidR="00762789" w:rsidRPr="00C86F15" w:rsidRDefault="00803007" w:rsidP="009E7F9E">
      <w:pPr>
        <w:pStyle w:val="ListParagraph"/>
        <w:numPr>
          <w:ilvl w:val="0"/>
          <w:numId w:val="2"/>
        </w:numPr>
        <w:ind w:left="1134"/>
        <w:rPr>
          <w:lang w:val="en-US"/>
        </w:rPr>
      </w:pPr>
      <w:r>
        <w:rPr>
          <w:lang w:val="en-US"/>
        </w:rPr>
        <w:t>t</w:t>
      </w:r>
      <w:r w:rsidR="00762789" w:rsidRPr="00C86F15">
        <w:rPr>
          <w:lang w:val="en-US"/>
        </w:rPr>
        <w:t>he listing did not state that the treatment must be the sole PBS-subsidised therapy for this condition.</w:t>
      </w:r>
    </w:p>
    <w:p w:rsidR="00762789" w:rsidRPr="00C86F15" w:rsidRDefault="00762789" w:rsidP="007E058C">
      <w:pPr>
        <w:widowControl/>
        <w:rPr>
          <w:szCs w:val="22"/>
        </w:rPr>
      </w:pPr>
    </w:p>
    <w:p w:rsidR="00762789" w:rsidRPr="00C86F15" w:rsidRDefault="009E4EA4" w:rsidP="009E7F9E">
      <w:pPr>
        <w:pStyle w:val="ListParagraph"/>
        <w:widowControl/>
        <w:numPr>
          <w:ilvl w:val="1"/>
          <w:numId w:val="4"/>
        </w:numPr>
        <w:rPr>
          <w:szCs w:val="22"/>
        </w:rPr>
      </w:pPr>
      <w:r w:rsidRPr="00C86F15">
        <w:rPr>
          <w:szCs w:val="22"/>
        </w:rPr>
        <w:t xml:space="preserve">The PSCR acknowledged that </w:t>
      </w:r>
      <w:r w:rsidR="00762789" w:rsidRPr="00C86F15">
        <w:rPr>
          <w:szCs w:val="22"/>
        </w:rPr>
        <w:t xml:space="preserve">eligibility for nivolumab in combination with ipilimumab (NIVO+IPI) in </w:t>
      </w:r>
      <w:r w:rsidR="00827DAF" w:rsidRPr="00C86F15">
        <w:rPr>
          <w:szCs w:val="22"/>
        </w:rPr>
        <w:t xml:space="preserve">patients with </w:t>
      </w:r>
      <w:r w:rsidR="00762789" w:rsidRPr="00C86F15">
        <w:rPr>
          <w:szCs w:val="22"/>
        </w:rPr>
        <w:t xml:space="preserve">BRAF mutant </w:t>
      </w:r>
      <w:r w:rsidR="006E326B">
        <w:rPr>
          <w:szCs w:val="22"/>
        </w:rPr>
        <w:t>melanoma</w:t>
      </w:r>
      <w:r w:rsidR="00762789" w:rsidRPr="00C86F15">
        <w:rPr>
          <w:szCs w:val="22"/>
        </w:rPr>
        <w:t xml:space="preserve"> should be restricted to those who have progressed following treatment with a BRAF inhibitor, consistent with the current listing for nivolumab</w:t>
      </w:r>
      <w:r w:rsidR="00A275D3">
        <w:rPr>
          <w:szCs w:val="22"/>
        </w:rPr>
        <w:t xml:space="preserve"> in melanoma</w:t>
      </w:r>
      <w:r w:rsidR="00886D13" w:rsidRPr="00C86F15">
        <w:rPr>
          <w:szCs w:val="22"/>
        </w:rPr>
        <w:t xml:space="preserve">. </w:t>
      </w:r>
      <w:r w:rsidRPr="00C86F15">
        <w:rPr>
          <w:szCs w:val="22"/>
        </w:rPr>
        <w:t>The ESC, h</w:t>
      </w:r>
      <w:r w:rsidR="00886D13" w:rsidRPr="00C86F15">
        <w:rPr>
          <w:szCs w:val="22"/>
        </w:rPr>
        <w:t>owever,</w:t>
      </w:r>
      <w:r w:rsidRPr="00C86F15">
        <w:rPr>
          <w:szCs w:val="22"/>
        </w:rPr>
        <w:t xml:space="preserve"> noted that</w:t>
      </w:r>
      <w:r w:rsidR="00886D13" w:rsidRPr="00C86F15">
        <w:rPr>
          <w:szCs w:val="22"/>
        </w:rPr>
        <w:t xml:space="preserve"> there we</w:t>
      </w:r>
      <w:r w:rsidR="00762789" w:rsidRPr="00C86F15">
        <w:rPr>
          <w:szCs w:val="22"/>
        </w:rPr>
        <w:t>re no clinical data to support the use of NIVO+IPI i</w:t>
      </w:r>
      <w:r w:rsidR="00886D13" w:rsidRPr="00C86F15">
        <w:rPr>
          <w:szCs w:val="22"/>
        </w:rPr>
        <w:t>n the second-line setting</w:t>
      </w:r>
      <w:r w:rsidR="003E4AFF" w:rsidRPr="00C86F15">
        <w:rPr>
          <w:szCs w:val="22"/>
        </w:rPr>
        <w:t xml:space="preserve"> following a BRAF inhibitor</w:t>
      </w:r>
      <w:r w:rsidR="00886D13" w:rsidRPr="00C86F15">
        <w:rPr>
          <w:szCs w:val="22"/>
        </w:rPr>
        <w:t>, nor wa</w:t>
      </w:r>
      <w:r w:rsidR="00762789" w:rsidRPr="00C86F15">
        <w:rPr>
          <w:szCs w:val="22"/>
        </w:rPr>
        <w:t xml:space="preserve">s this strategy included in the economic model presented in the </w:t>
      </w:r>
      <w:r w:rsidR="008D1756" w:rsidRPr="00C86F15">
        <w:rPr>
          <w:szCs w:val="22"/>
        </w:rPr>
        <w:t>resubmission</w:t>
      </w:r>
      <w:r w:rsidR="00762789" w:rsidRPr="00C86F15">
        <w:rPr>
          <w:szCs w:val="22"/>
        </w:rPr>
        <w:t>.</w:t>
      </w:r>
      <w:r w:rsidRPr="00C86F15">
        <w:rPr>
          <w:szCs w:val="22"/>
        </w:rPr>
        <w:t xml:space="preserve"> The ESC therefore advised that </w:t>
      </w:r>
      <w:r w:rsidR="001B4F14" w:rsidRPr="00C86F15">
        <w:rPr>
          <w:szCs w:val="22"/>
        </w:rPr>
        <w:t>any PBS</w:t>
      </w:r>
      <w:r w:rsidRPr="00C86F15">
        <w:rPr>
          <w:szCs w:val="22"/>
        </w:rPr>
        <w:t xml:space="preserve"> listing should be restricted to patients with BRAF wild type </w:t>
      </w:r>
      <w:r w:rsidR="006E326B">
        <w:rPr>
          <w:szCs w:val="22"/>
        </w:rPr>
        <w:t>melanoma</w:t>
      </w:r>
      <w:r w:rsidRPr="00C86F15">
        <w:rPr>
          <w:szCs w:val="22"/>
        </w:rPr>
        <w:t xml:space="preserve"> only.</w:t>
      </w:r>
    </w:p>
    <w:p w:rsidR="00762789" w:rsidRPr="00C86F15" w:rsidRDefault="00762789" w:rsidP="00762789">
      <w:pPr>
        <w:widowControl/>
        <w:rPr>
          <w:szCs w:val="22"/>
        </w:rPr>
      </w:pPr>
    </w:p>
    <w:p w:rsidR="00762789" w:rsidRPr="007A7DA2" w:rsidRDefault="00245D33" w:rsidP="009E7F9E">
      <w:pPr>
        <w:pStyle w:val="ListParagraph"/>
        <w:widowControl/>
        <w:numPr>
          <w:ilvl w:val="1"/>
          <w:numId w:val="4"/>
        </w:numPr>
        <w:rPr>
          <w:szCs w:val="22"/>
        </w:rPr>
      </w:pPr>
      <w:r w:rsidRPr="00C86F15">
        <w:t xml:space="preserve">The ESC </w:t>
      </w:r>
      <w:r w:rsidR="00762789" w:rsidRPr="00C86F15">
        <w:t>suggested that the induction phase listing for nivolumab should restrict use to patients who have not received prior treatment w</w:t>
      </w:r>
      <w:r w:rsidR="00886D13" w:rsidRPr="00C86F15">
        <w:t>ith a PD-1 inhibitor, as there wa</w:t>
      </w:r>
      <w:r w:rsidR="00762789" w:rsidRPr="00C86F15">
        <w:t>s no evidence to support the use of NIVO+IPI combination therapy following prior PD-1 inhibitor therapy. It is also suggested that the continuation phase restriction should specify that the patient must have previously been issued with an authority prescription for concomitant use of nivolumab with ipilimumab, to prevent use of this item number following initial treatment with nivolumab monotherapy.</w:t>
      </w:r>
    </w:p>
    <w:p w:rsidR="007A7DA2" w:rsidRPr="00803007" w:rsidRDefault="007A7DA2" w:rsidP="007A7DA2">
      <w:pPr>
        <w:rPr>
          <w:szCs w:val="22"/>
        </w:rPr>
      </w:pPr>
    </w:p>
    <w:p w:rsidR="009F0506" w:rsidRDefault="007A7DA2" w:rsidP="00EF6897">
      <w:pPr>
        <w:pStyle w:val="ListParagraph"/>
        <w:widowControl/>
        <w:numPr>
          <w:ilvl w:val="1"/>
          <w:numId w:val="4"/>
        </w:numPr>
        <w:rPr>
          <w:szCs w:val="22"/>
        </w:rPr>
      </w:pPr>
      <w:r>
        <w:rPr>
          <w:szCs w:val="22"/>
        </w:rPr>
        <w:t xml:space="preserve">The </w:t>
      </w:r>
      <w:r w:rsidR="00803007">
        <w:rPr>
          <w:szCs w:val="22"/>
        </w:rPr>
        <w:t>p</w:t>
      </w:r>
      <w:r>
        <w:rPr>
          <w:szCs w:val="22"/>
        </w:rPr>
        <w:t>re-</w:t>
      </w:r>
      <w:r w:rsidR="009F0506">
        <w:rPr>
          <w:szCs w:val="22"/>
        </w:rPr>
        <w:t xml:space="preserve">PBAC </w:t>
      </w:r>
      <w:r w:rsidR="00803007">
        <w:rPr>
          <w:szCs w:val="22"/>
        </w:rPr>
        <w:t>r</w:t>
      </w:r>
      <w:r w:rsidR="009F0506">
        <w:rPr>
          <w:szCs w:val="22"/>
        </w:rPr>
        <w:t>esponse proposed that NIVO+IPI be used in the second-line setting after a BRAF-inhibitor for BRAF-mutant patients</w:t>
      </w:r>
      <w:r w:rsidR="00EF6897">
        <w:rPr>
          <w:szCs w:val="22"/>
        </w:rPr>
        <w:t xml:space="preserve">, and that NIVO+IPI has proven activity in BRAF-mutant patients, and restricting access to patients with BRAF wild type </w:t>
      </w:r>
      <w:r w:rsidR="006E326B">
        <w:rPr>
          <w:szCs w:val="22"/>
        </w:rPr>
        <w:t>melanoma</w:t>
      </w:r>
      <w:r w:rsidR="00EF6897">
        <w:rPr>
          <w:szCs w:val="22"/>
        </w:rPr>
        <w:t xml:space="preserve"> would be inappropriate.</w:t>
      </w:r>
    </w:p>
    <w:p w:rsidR="00B66FA0" w:rsidRPr="00803007" w:rsidRDefault="00B66FA0" w:rsidP="00B66FA0">
      <w:pPr>
        <w:rPr>
          <w:szCs w:val="22"/>
        </w:rPr>
      </w:pPr>
    </w:p>
    <w:p w:rsidR="00B66FA0" w:rsidRDefault="00B66FA0" w:rsidP="00CD1E2E">
      <w:pPr>
        <w:pStyle w:val="ListParagraph"/>
        <w:widowControl/>
        <w:numPr>
          <w:ilvl w:val="1"/>
          <w:numId w:val="4"/>
        </w:numPr>
        <w:rPr>
          <w:bCs/>
          <w:szCs w:val="22"/>
        </w:rPr>
      </w:pPr>
      <w:r>
        <w:rPr>
          <w:bCs/>
          <w:szCs w:val="22"/>
        </w:rPr>
        <w:t>T</w:t>
      </w:r>
      <w:r w:rsidRPr="00B66FA0">
        <w:rPr>
          <w:bCs/>
          <w:szCs w:val="22"/>
        </w:rPr>
        <w:t>he PBAC noted the findings of a recent network meta-analysis on immune checkpoint inhibitors and targeted therapies for metastatic melanoma (Pasquali et al, 2017) which showed that a combination of BRAF+MEK inhibitors was both more efficacious and less toxic than combination immunotherapy.</w:t>
      </w:r>
      <w:r>
        <w:rPr>
          <w:rStyle w:val="FootnoteReference"/>
          <w:bCs/>
          <w:szCs w:val="22"/>
        </w:rPr>
        <w:footnoteReference w:id="1"/>
      </w:r>
    </w:p>
    <w:p w:rsidR="00762789" w:rsidRPr="00C86F15" w:rsidRDefault="00762789" w:rsidP="00762789">
      <w:pPr>
        <w:widowControl/>
        <w:rPr>
          <w:szCs w:val="22"/>
        </w:rPr>
      </w:pPr>
    </w:p>
    <w:p w:rsidR="00762789" w:rsidRPr="00C86F15" w:rsidRDefault="00762789" w:rsidP="009E7F9E">
      <w:pPr>
        <w:pStyle w:val="ListParagraph"/>
        <w:widowControl/>
        <w:numPr>
          <w:ilvl w:val="1"/>
          <w:numId w:val="4"/>
        </w:numPr>
        <w:rPr>
          <w:szCs w:val="22"/>
        </w:rPr>
      </w:pPr>
      <w:r w:rsidRPr="00C86F15">
        <w:rPr>
          <w:szCs w:val="22"/>
        </w:rPr>
        <w:t xml:space="preserve">The </w:t>
      </w:r>
      <w:r w:rsidR="008D1756" w:rsidRPr="00C86F15">
        <w:rPr>
          <w:szCs w:val="22"/>
        </w:rPr>
        <w:t>resubmission</w:t>
      </w:r>
      <w:r w:rsidRPr="00C86F15">
        <w:rPr>
          <w:szCs w:val="22"/>
        </w:rPr>
        <w:t xml:space="preserve"> sought listing based on a cost-utility analysis of NIVO+IPI followed by best supportive care (BSC) upon disease progression compared with nivolumab monotherapy followed by ipilimumab monoth</w:t>
      </w:r>
      <w:r w:rsidR="007E058C" w:rsidRPr="00C86F15">
        <w:rPr>
          <w:szCs w:val="22"/>
        </w:rPr>
        <w:t>erapy upon disease progression.</w:t>
      </w:r>
    </w:p>
    <w:p w:rsidR="00762789" w:rsidRDefault="00762789" w:rsidP="00762789">
      <w:pPr>
        <w:widowControl/>
        <w:rPr>
          <w:szCs w:val="22"/>
        </w:rPr>
      </w:pPr>
    </w:p>
    <w:p w:rsidR="008F6B85" w:rsidRDefault="008F6B85" w:rsidP="008F6B85">
      <w:pPr>
        <w:ind w:firstLine="720"/>
        <w:rPr>
          <w:bCs/>
          <w:i/>
          <w:szCs w:val="22"/>
        </w:rPr>
      </w:pPr>
      <w:r w:rsidRPr="00085350">
        <w:rPr>
          <w:bCs/>
          <w:i/>
          <w:szCs w:val="22"/>
        </w:rPr>
        <w:t>For more detail on PBAC’s view, see section 7 “PBAC outcome”</w:t>
      </w:r>
      <w:r w:rsidR="00803007">
        <w:rPr>
          <w:bCs/>
          <w:i/>
          <w:szCs w:val="22"/>
        </w:rPr>
        <w:t>.</w:t>
      </w:r>
    </w:p>
    <w:p w:rsidR="002F530E" w:rsidRDefault="002F530E">
      <w:pPr>
        <w:widowControl/>
        <w:jc w:val="left"/>
        <w:rPr>
          <w:bCs/>
          <w:szCs w:val="22"/>
        </w:rPr>
      </w:pPr>
      <w:r>
        <w:rPr>
          <w:bCs/>
          <w:szCs w:val="22"/>
        </w:rPr>
        <w:br w:type="page"/>
      </w:r>
    </w:p>
    <w:p w:rsidR="00803007" w:rsidRPr="0005234D" w:rsidRDefault="00803007" w:rsidP="00803007">
      <w:pPr>
        <w:rPr>
          <w:bCs/>
          <w:szCs w:val="22"/>
        </w:rPr>
      </w:pPr>
    </w:p>
    <w:p w:rsidR="00762789" w:rsidRPr="00407F2D" w:rsidRDefault="00762789" w:rsidP="00762789">
      <w:pPr>
        <w:pStyle w:val="PBACheading1"/>
      </w:pPr>
      <w:bookmarkStart w:id="3" w:name="_Toc472416737"/>
      <w:r w:rsidRPr="00407F2D">
        <w:rPr>
          <w:b/>
        </w:rPr>
        <w:t>Background</w:t>
      </w:r>
      <w:bookmarkEnd w:id="3"/>
    </w:p>
    <w:p w:rsidR="00762789" w:rsidRPr="00882085" w:rsidRDefault="00762789" w:rsidP="00762789">
      <w:pPr>
        <w:rPr>
          <w:szCs w:val="22"/>
        </w:rPr>
      </w:pPr>
    </w:p>
    <w:p w:rsidR="00EA2AA9" w:rsidRPr="00C86F15" w:rsidRDefault="00CF0A0C" w:rsidP="009E7F9E">
      <w:pPr>
        <w:pStyle w:val="ListParagraph"/>
        <w:widowControl/>
        <w:numPr>
          <w:ilvl w:val="1"/>
          <w:numId w:val="3"/>
        </w:numPr>
        <w:rPr>
          <w:szCs w:val="22"/>
        </w:rPr>
      </w:pPr>
      <w:r w:rsidRPr="00731B67">
        <w:rPr>
          <w:b/>
          <w:bCs/>
          <w:szCs w:val="22"/>
        </w:rPr>
        <w:t xml:space="preserve">TGA status at time of </w:t>
      </w:r>
      <w:r w:rsidR="009D1E9F" w:rsidRPr="00731B67">
        <w:rPr>
          <w:b/>
          <w:bCs/>
          <w:szCs w:val="22"/>
        </w:rPr>
        <w:t>PBAC consideration</w:t>
      </w:r>
      <w:r w:rsidRPr="00731B67">
        <w:rPr>
          <w:b/>
          <w:bCs/>
          <w:szCs w:val="22"/>
        </w:rPr>
        <w:t>:</w:t>
      </w:r>
      <w:r w:rsidRPr="00E8466E">
        <w:rPr>
          <w:bCs/>
          <w:szCs w:val="22"/>
        </w:rPr>
        <w:t xml:space="preserve"> </w:t>
      </w:r>
      <w:r w:rsidR="00EA2AA9" w:rsidRPr="00C86F15">
        <w:t xml:space="preserve">Nivolumab, in combination with ipilimumab, was registered by the TGA and listed </w:t>
      </w:r>
      <w:r w:rsidR="007E058C" w:rsidRPr="00C86F15">
        <w:t>i</w:t>
      </w:r>
      <w:r w:rsidR="00EA2AA9" w:rsidRPr="00C86F15">
        <w:t>n the Australian Register of Therapeutic Goods on 11 January 2016 for the treatment of patients with metastatic (Stage IV) melanoma with M1c disease or elevated lactic dehydrogenase (LDH)</w:t>
      </w:r>
      <w:r w:rsidR="00EA2AA9" w:rsidRPr="00C86F15">
        <w:rPr>
          <w:rStyle w:val="FootnoteReference"/>
        </w:rPr>
        <w:footnoteReference w:id="2"/>
      </w:r>
      <w:r w:rsidR="00EA2AA9" w:rsidRPr="00C86F15">
        <w:t>. The requested PBS restriction was broader than the TGA-approved indication by including patients with unresectable Stage III disease and not restricting the use of NIVO+IPI combination therapy to patients with Mc1 disease or elevated LDH.</w:t>
      </w:r>
    </w:p>
    <w:p w:rsidR="00916A7D" w:rsidRPr="00C86F15" w:rsidRDefault="00916A7D" w:rsidP="00762789">
      <w:pPr>
        <w:widowControl/>
        <w:rPr>
          <w:szCs w:val="22"/>
        </w:rPr>
      </w:pPr>
    </w:p>
    <w:p w:rsidR="001B4F14" w:rsidRPr="00C86F15" w:rsidRDefault="00C4133D" w:rsidP="009E7F9E">
      <w:pPr>
        <w:pStyle w:val="ListParagraph"/>
        <w:widowControl/>
        <w:numPr>
          <w:ilvl w:val="1"/>
          <w:numId w:val="3"/>
        </w:numPr>
      </w:pPr>
      <w:r w:rsidRPr="00C86F15">
        <w:t xml:space="preserve">While acknowledging the increased toxicity associated with combination therapy, the </w:t>
      </w:r>
      <w:r w:rsidR="007A6E68" w:rsidRPr="00C86F15">
        <w:t>Advisory Committee on Prescription Medicines</w:t>
      </w:r>
      <w:r w:rsidRPr="00C86F15">
        <w:t xml:space="preserve"> </w:t>
      </w:r>
      <w:r w:rsidR="00342F6F" w:rsidRPr="00C86F15">
        <w:t xml:space="preserve">(ACPM) </w:t>
      </w:r>
      <w:r w:rsidRPr="00C86F15">
        <w:t>was of the view that combination therapy has a role in the treatment of patients with poor prognosis</w:t>
      </w:r>
      <w:r w:rsidR="00C012EF" w:rsidRPr="00C86F15">
        <w:t xml:space="preserve"> who generally do</w:t>
      </w:r>
      <w:r w:rsidR="007E058C" w:rsidRPr="00C86F15">
        <w:t xml:space="preserve"> </w:t>
      </w:r>
      <w:r w:rsidR="00C012EF" w:rsidRPr="00C86F15">
        <w:t>n</w:t>
      </w:r>
      <w:r w:rsidR="007E058C" w:rsidRPr="00C86F15">
        <w:t>o</w:t>
      </w:r>
      <w:r w:rsidR="00C012EF" w:rsidRPr="00C86F15">
        <w:t>t respond well on treatment with ipilimumab or nivolumab monotherapy</w:t>
      </w:r>
      <w:r w:rsidR="007C7BF1" w:rsidRPr="00C86F15">
        <w:t xml:space="preserve">. This poor prognosis group can be identified by elevated LDH or M1c melanoma </w:t>
      </w:r>
      <w:r w:rsidRPr="00C86F15">
        <w:t xml:space="preserve">(ACPM ratified minutes of meeting 307, 3-4 December 2015). </w:t>
      </w:r>
      <w:r w:rsidR="0006752F" w:rsidRPr="00C86F15">
        <w:t>No further details were provided for the ACPM decision.</w:t>
      </w:r>
      <w:r w:rsidR="001B4F14" w:rsidRPr="00C86F15">
        <w:t xml:space="preserve"> </w:t>
      </w:r>
      <w:r w:rsidR="001B4F14" w:rsidRPr="00C86F15">
        <w:rPr>
          <w:szCs w:val="22"/>
        </w:rPr>
        <w:t>The ESC advised that the PBAC may wish to further restrict any PBS listing to patients with M1c melanoma or elevated LDH levels, in line with the TGA-approved indication. The PSCR stated that</w:t>
      </w:r>
      <w:r w:rsidR="002A647B" w:rsidRPr="00C86F15">
        <w:rPr>
          <w:szCs w:val="22"/>
        </w:rPr>
        <w:t>,</w:t>
      </w:r>
      <w:r w:rsidR="001B4F14" w:rsidRPr="00C86F15">
        <w:rPr>
          <w:szCs w:val="22"/>
        </w:rPr>
        <w:t xml:space="preserve"> in CA209-067, 209/214 (66.6%) of NIVO+IPI patients and 204/316 (64.6%) of nivolumab patients had M1c melanoma or elevated LDH levels.</w:t>
      </w:r>
    </w:p>
    <w:p w:rsidR="00916A7D" w:rsidRPr="00C86F15" w:rsidRDefault="00916A7D" w:rsidP="001B4F14"/>
    <w:p w:rsidR="00762789" w:rsidRPr="00C86F15" w:rsidRDefault="00762789" w:rsidP="009E7F9E">
      <w:pPr>
        <w:pStyle w:val="ListParagraph"/>
        <w:widowControl/>
        <w:numPr>
          <w:ilvl w:val="1"/>
          <w:numId w:val="3"/>
        </w:numPr>
        <w:rPr>
          <w:szCs w:val="22"/>
        </w:rPr>
      </w:pPr>
      <w:r w:rsidRPr="00C86F15">
        <w:t xml:space="preserve">The </w:t>
      </w:r>
      <w:r w:rsidR="008D1756" w:rsidRPr="00C86F15">
        <w:t>resubmission</w:t>
      </w:r>
      <w:r w:rsidRPr="00C86F15">
        <w:t xml:space="preserve"> stated that an application to the TGA was planned for the end of 2016 or early 2017, with the purpose of broadening the TGA indication to include all patients with unresectable or metastatic melanoma, irrespective of </w:t>
      </w:r>
      <w:r w:rsidR="007E058C" w:rsidRPr="00C86F15">
        <w:t>m</w:t>
      </w:r>
      <w:r w:rsidR="00CD4F6C" w:rsidRPr="00C86F15">
        <w:t>etastatic (</w:t>
      </w:r>
      <w:r w:rsidRPr="00C86F15">
        <w:t>M</w:t>
      </w:r>
      <w:r w:rsidR="00CD4F6C" w:rsidRPr="00C86F15">
        <w:t>)</w:t>
      </w:r>
      <w:r w:rsidRPr="00C86F15">
        <w:t xml:space="preserve"> stage, thereby matching the</w:t>
      </w:r>
      <w:r w:rsidR="007E058C" w:rsidRPr="00C86F15">
        <w:t xml:space="preserve"> key clinical trial population.</w:t>
      </w:r>
    </w:p>
    <w:p w:rsidR="00762789" w:rsidRPr="00C86F15" w:rsidRDefault="00762789" w:rsidP="00762789">
      <w:pPr>
        <w:widowControl/>
        <w:rPr>
          <w:szCs w:val="22"/>
        </w:rPr>
      </w:pPr>
    </w:p>
    <w:p w:rsidR="00762789" w:rsidRPr="00C86F15" w:rsidRDefault="00FE09CF" w:rsidP="009E7F9E">
      <w:pPr>
        <w:pStyle w:val="ListParagraph"/>
        <w:widowControl/>
        <w:numPr>
          <w:ilvl w:val="1"/>
          <w:numId w:val="3"/>
        </w:numPr>
        <w:rPr>
          <w:szCs w:val="22"/>
        </w:rPr>
      </w:pPr>
      <w:r w:rsidRPr="00C86F15">
        <w:rPr>
          <w:szCs w:val="22"/>
        </w:rPr>
        <w:t>This wa</w:t>
      </w:r>
      <w:r w:rsidR="00762789" w:rsidRPr="00C86F15">
        <w:rPr>
          <w:szCs w:val="22"/>
        </w:rPr>
        <w:t xml:space="preserve">s the second consideration of NIVO+IPI by the PBAC for the treatment of unresectable Stage III or Stage IV malignant melanoma. Pembrolizumab and nivolumab, two PD-1 inhibitors, were recommended </w:t>
      </w:r>
      <w:r w:rsidR="00EA2AA9" w:rsidRPr="00C86F15">
        <w:rPr>
          <w:szCs w:val="22"/>
        </w:rPr>
        <w:t xml:space="preserve">as monotherapies </w:t>
      </w:r>
      <w:r w:rsidR="00762789" w:rsidRPr="00C86F15">
        <w:rPr>
          <w:szCs w:val="22"/>
        </w:rPr>
        <w:t>by the PBAC in March 2015 and November 2015, respectively, for the same indication. Ipilimumab was recommended by the PBAC in November 2012 for this indication. In July 2016, the PBAC recommended an amendment to the restriction wording for the PBS listing of ipilimumab for this indication from “the treatment must be as monotherapy” to “the treatment must be the sole PBS-subsidis</w:t>
      </w:r>
      <w:r w:rsidR="007E058C" w:rsidRPr="00C86F15">
        <w:rPr>
          <w:szCs w:val="22"/>
        </w:rPr>
        <w:t>ed therapy for this condition.”</w:t>
      </w:r>
    </w:p>
    <w:p w:rsidR="00762789" w:rsidRPr="00C86F15" w:rsidRDefault="00762789" w:rsidP="00762789"/>
    <w:p w:rsidR="00EA2AA9" w:rsidRPr="00C86F15" w:rsidRDefault="00EA2AA9" w:rsidP="009E7F9E">
      <w:pPr>
        <w:pStyle w:val="ListParagraph"/>
        <w:widowControl/>
        <w:numPr>
          <w:ilvl w:val="1"/>
          <w:numId w:val="3"/>
        </w:numPr>
        <w:rPr>
          <w:szCs w:val="22"/>
        </w:rPr>
      </w:pPr>
      <w:r w:rsidRPr="00C86F15">
        <w:t xml:space="preserve">The previous submission nominated ipilimumab monotherapy as the main comparator. This was revised to pembrolizumab monotherapy in the </w:t>
      </w:r>
      <w:r w:rsidR="00291AC3" w:rsidRPr="00C86F15">
        <w:t>P</w:t>
      </w:r>
      <w:r w:rsidRPr="00C86F15">
        <w:t>re-</w:t>
      </w:r>
      <w:r w:rsidR="00291AC3" w:rsidRPr="00C86F15">
        <w:t>S</w:t>
      </w:r>
      <w:r w:rsidRPr="00C86F15">
        <w:t xml:space="preserve">ubcommittee </w:t>
      </w:r>
      <w:r w:rsidR="00291AC3" w:rsidRPr="00C86F15">
        <w:t>R</w:t>
      </w:r>
      <w:r w:rsidRPr="00C86F15">
        <w:t>esponse</w:t>
      </w:r>
      <w:r w:rsidR="007E058C" w:rsidRPr="00C86F15">
        <w:t xml:space="preserve"> following that submission</w:t>
      </w:r>
      <w:r w:rsidRPr="00C86F15">
        <w:t xml:space="preserve">. </w:t>
      </w:r>
      <w:r w:rsidR="007E058C" w:rsidRPr="00C86F15">
        <w:t>The main comparator nominated i</w:t>
      </w:r>
      <w:r w:rsidRPr="00C86F15">
        <w:t xml:space="preserve">n the </w:t>
      </w:r>
      <w:r w:rsidR="008D1756" w:rsidRPr="00C86F15">
        <w:t>resubmission</w:t>
      </w:r>
      <w:r w:rsidR="007E058C" w:rsidRPr="00C86F15">
        <w:t xml:space="preserve"> was</w:t>
      </w:r>
      <w:r w:rsidRPr="00C86F15">
        <w:t xml:space="preserve"> sequential PD-1 inhibitor monotherapy followed by ipilimumab monotherapy upon disease progression, and new economic and financial analyses were provided. The key differences between the previous submission and the current </w:t>
      </w:r>
      <w:r w:rsidR="008D1756" w:rsidRPr="00C86F15">
        <w:t>resubmission</w:t>
      </w:r>
      <w:r w:rsidRPr="00C86F15">
        <w:t xml:space="preserve"> are summarised below.</w:t>
      </w:r>
    </w:p>
    <w:p w:rsidR="002F530E" w:rsidRDefault="002F530E">
      <w:pPr>
        <w:widowControl/>
        <w:jc w:val="left"/>
      </w:pPr>
      <w:r>
        <w:br w:type="page"/>
      </w:r>
    </w:p>
    <w:p w:rsidR="00762789" w:rsidRPr="00C86F15" w:rsidRDefault="00762789" w:rsidP="00762789"/>
    <w:p w:rsidR="0022491E" w:rsidRPr="00BA03C0" w:rsidRDefault="0022491E" w:rsidP="0022491E">
      <w:pPr>
        <w:ind w:left="709" w:firstLine="11"/>
        <w:rPr>
          <w:rFonts w:ascii="Arial Narrow" w:hAnsi="Arial Narrow"/>
          <w:b/>
          <w:sz w:val="20"/>
        </w:rPr>
      </w:pPr>
      <w:r w:rsidRPr="006D43FB">
        <w:rPr>
          <w:rStyle w:val="CommentReference"/>
          <w:szCs w:val="20"/>
        </w:rPr>
        <w:t xml:space="preserve">Table 1: Summary of the key differences between the previous submission and current </w:t>
      </w:r>
      <w:r w:rsidR="008D1756" w:rsidRPr="006D43FB">
        <w:rPr>
          <w:rStyle w:val="CommentReference"/>
          <w:szCs w:val="20"/>
        </w:rPr>
        <w:t>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4"/>
        <w:gridCol w:w="3722"/>
        <w:gridCol w:w="3519"/>
      </w:tblGrid>
      <w:tr w:rsidR="00C27C12" w:rsidRPr="00BA03C0" w:rsidTr="007E058C">
        <w:trPr>
          <w:trHeight w:val="231"/>
        </w:trPr>
        <w:tc>
          <w:tcPr>
            <w:tcW w:w="0" w:type="auto"/>
            <w:shd w:val="clear" w:color="auto" w:fill="auto"/>
          </w:tcPr>
          <w:p w:rsidR="00EA2AA9" w:rsidRPr="00BA03C0" w:rsidRDefault="00EA2AA9" w:rsidP="00EA2AA9">
            <w:pPr>
              <w:rPr>
                <w:rFonts w:ascii="Arial Narrow" w:hAnsi="Arial Narrow"/>
                <w:sz w:val="20"/>
              </w:rPr>
            </w:pPr>
          </w:p>
        </w:tc>
        <w:tc>
          <w:tcPr>
            <w:tcW w:w="0" w:type="auto"/>
            <w:shd w:val="clear" w:color="auto" w:fill="auto"/>
          </w:tcPr>
          <w:p w:rsidR="00EA2AA9" w:rsidRPr="00BA03C0" w:rsidRDefault="00EA2AA9" w:rsidP="00EA2AA9">
            <w:pPr>
              <w:jc w:val="center"/>
              <w:rPr>
                <w:rFonts w:ascii="Arial Narrow" w:hAnsi="Arial Narrow"/>
                <w:b/>
                <w:sz w:val="20"/>
              </w:rPr>
            </w:pPr>
            <w:r w:rsidRPr="00BA03C0">
              <w:rPr>
                <w:rFonts w:ascii="Arial Narrow" w:hAnsi="Arial Narrow"/>
                <w:b/>
                <w:sz w:val="20"/>
              </w:rPr>
              <w:t>Submission considered in November 2015</w:t>
            </w:r>
          </w:p>
        </w:tc>
        <w:tc>
          <w:tcPr>
            <w:tcW w:w="0" w:type="auto"/>
            <w:shd w:val="clear" w:color="auto" w:fill="auto"/>
          </w:tcPr>
          <w:p w:rsidR="00EA2AA9" w:rsidRPr="00BA03C0" w:rsidRDefault="00EA2AA9" w:rsidP="00EA2AA9">
            <w:pPr>
              <w:jc w:val="center"/>
              <w:rPr>
                <w:rFonts w:ascii="Arial Narrow" w:hAnsi="Arial Narrow"/>
                <w:b/>
                <w:sz w:val="20"/>
              </w:rPr>
            </w:pPr>
            <w:r w:rsidRPr="00BA03C0">
              <w:rPr>
                <w:rFonts w:ascii="Arial Narrow" w:hAnsi="Arial Narrow"/>
                <w:b/>
                <w:sz w:val="20"/>
              </w:rPr>
              <w:t xml:space="preserve">Current </w:t>
            </w:r>
            <w:r w:rsidR="008D1756">
              <w:rPr>
                <w:rFonts w:ascii="Arial Narrow" w:hAnsi="Arial Narrow"/>
                <w:b/>
                <w:sz w:val="20"/>
              </w:rPr>
              <w:t>resubmission</w:t>
            </w:r>
          </w:p>
        </w:tc>
      </w:tr>
      <w:tr w:rsidR="00C27C12" w:rsidRPr="00BA03C0" w:rsidTr="009E57B5">
        <w:trPr>
          <w:trHeight w:val="453"/>
        </w:trPr>
        <w:tc>
          <w:tcPr>
            <w:tcW w:w="0" w:type="auto"/>
            <w:shd w:val="clear" w:color="auto" w:fill="auto"/>
          </w:tcPr>
          <w:p w:rsidR="00EA2AA9" w:rsidRPr="00BA03C0" w:rsidRDefault="00EA2AA9" w:rsidP="00EA2AA9">
            <w:pPr>
              <w:rPr>
                <w:rFonts w:ascii="Arial Narrow" w:hAnsi="Arial Narrow"/>
                <w:sz w:val="20"/>
              </w:rPr>
            </w:pPr>
            <w:r w:rsidRPr="00BA03C0">
              <w:rPr>
                <w:rFonts w:ascii="Arial Narrow" w:hAnsi="Arial Narrow"/>
                <w:sz w:val="20"/>
              </w:rPr>
              <w:t>Main comparator</w:t>
            </w:r>
          </w:p>
        </w:tc>
        <w:tc>
          <w:tcPr>
            <w:tcW w:w="0" w:type="auto"/>
            <w:shd w:val="clear" w:color="auto" w:fill="auto"/>
          </w:tcPr>
          <w:p w:rsidR="00EA2AA9" w:rsidRPr="00BA03C0" w:rsidRDefault="00EA2AA9" w:rsidP="00EA2AA9">
            <w:pPr>
              <w:jc w:val="left"/>
              <w:rPr>
                <w:rFonts w:ascii="Arial Narrow" w:hAnsi="Arial Narrow"/>
                <w:sz w:val="20"/>
              </w:rPr>
            </w:pPr>
            <w:r w:rsidRPr="00BA03C0">
              <w:rPr>
                <w:rFonts w:ascii="Arial Narrow" w:hAnsi="Arial Narrow"/>
                <w:sz w:val="20"/>
              </w:rPr>
              <w:t>The submission nominated ipilimumab monotherapy.</w:t>
            </w:r>
          </w:p>
          <w:p w:rsidR="00EA2AA9" w:rsidRPr="00BA03C0" w:rsidRDefault="00EA2AA9" w:rsidP="00EA2AA9">
            <w:pPr>
              <w:jc w:val="left"/>
              <w:rPr>
                <w:rFonts w:ascii="Arial Narrow" w:hAnsi="Arial Narrow"/>
                <w:sz w:val="20"/>
              </w:rPr>
            </w:pPr>
            <w:r w:rsidRPr="00BA03C0">
              <w:rPr>
                <w:rFonts w:ascii="Arial Narrow" w:hAnsi="Arial Narrow"/>
                <w:sz w:val="20"/>
              </w:rPr>
              <w:t>Revised to pembrolizumab monotherapy in the PSCR.</w:t>
            </w:r>
          </w:p>
          <w:p w:rsidR="00EA2AA9" w:rsidRPr="00BA03C0" w:rsidRDefault="00EA2AA9" w:rsidP="00EA2AA9">
            <w:pPr>
              <w:jc w:val="left"/>
              <w:rPr>
                <w:rFonts w:ascii="Arial Narrow" w:hAnsi="Arial Narrow"/>
                <w:sz w:val="20"/>
              </w:rPr>
            </w:pPr>
            <w:r w:rsidRPr="00BA03C0">
              <w:rPr>
                <w:rFonts w:ascii="Arial Narrow" w:hAnsi="Arial Narrow"/>
                <w:sz w:val="20"/>
              </w:rPr>
              <w:t>Additional comparator: nivolumab monotherapy.</w:t>
            </w:r>
          </w:p>
          <w:p w:rsidR="00EA2AA9" w:rsidRPr="00BA03C0" w:rsidRDefault="00EA2AA9" w:rsidP="00EA2AA9">
            <w:pPr>
              <w:jc w:val="left"/>
              <w:rPr>
                <w:rFonts w:ascii="Arial Narrow" w:hAnsi="Arial Narrow"/>
                <w:sz w:val="20"/>
              </w:rPr>
            </w:pPr>
          </w:p>
          <w:p w:rsidR="00EA2AA9" w:rsidRPr="00BA03C0" w:rsidRDefault="00EA2AA9" w:rsidP="00EA2AA9">
            <w:pPr>
              <w:jc w:val="left"/>
              <w:rPr>
                <w:rFonts w:ascii="Arial Narrow" w:hAnsi="Arial Narrow"/>
                <w:sz w:val="20"/>
              </w:rPr>
            </w:pPr>
            <w:r w:rsidRPr="00BA03C0">
              <w:rPr>
                <w:rFonts w:ascii="Arial Narrow" w:hAnsi="Arial Narrow"/>
                <w:b/>
                <w:sz w:val="20"/>
              </w:rPr>
              <w:t>PBAC Comment:</w:t>
            </w:r>
            <w:r w:rsidRPr="00BA03C0">
              <w:rPr>
                <w:rFonts w:ascii="Arial Narrow" w:hAnsi="Arial Narrow"/>
                <w:sz w:val="20"/>
              </w:rPr>
              <w:t xml:space="preserve"> The PBAC considered that the revised main comparator, pembrolizumab monotherapy, was appropriate, but considered that sequential use of a PD-1 inhibitor followed by ipilimumab, and dabrafenib ± trametinib were also appropriate comparators (paragraph 7.3, November 2015 PSD).</w:t>
            </w:r>
          </w:p>
        </w:tc>
        <w:tc>
          <w:tcPr>
            <w:tcW w:w="0" w:type="auto"/>
            <w:shd w:val="clear" w:color="auto" w:fill="auto"/>
          </w:tcPr>
          <w:p w:rsidR="00EA2AA9" w:rsidRPr="00C86F15" w:rsidRDefault="00EA2AA9" w:rsidP="006E326B">
            <w:pPr>
              <w:jc w:val="left"/>
              <w:rPr>
                <w:rFonts w:ascii="Arial Narrow" w:hAnsi="Arial Narrow"/>
                <w:sz w:val="20"/>
              </w:rPr>
            </w:pPr>
            <w:r w:rsidRPr="00C86F15">
              <w:rPr>
                <w:rFonts w:ascii="Arial Narrow" w:hAnsi="Arial Narrow"/>
                <w:sz w:val="20"/>
              </w:rPr>
              <w:t xml:space="preserve">Sequential use of PD-1 inhibitor monotherapy followed by ipilimumab monotherapy upon progression. An additional comparison with dabrafenib ± trametinib </w:t>
            </w:r>
            <w:r w:rsidR="00FB74E7" w:rsidRPr="00C86F15">
              <w:rPr>
                <w:rFonts w:ascii="Arial Narrow" w:hAnsi="Arial Narrow"/>
                <w:sz w:val="20"/>
              </w:rPr>
              <w:t>was</w:t>
            </w:r>
            <w:r w:rsidRPr="00C86F15">
              <w:rPr>
                <w:rFonts w:ascii="Arial Narrow" w:hAnsi="Arial Narrow"/>
                <w:sz w:val="20"/>
              </w:rPr>
              <w:t xml:space="preserve"> been provided, even though the requested listing does not preclude the treatment of BRAF mutant </w:t>
            </w:r>
            <w:r w:rsidR="006E326B">
              <w:rPr>
                <w:rFonts w:ascii="Arial Narrow" w:hAnsi="Arial Narrow"/>
                <w:sz w:val="20"/>
              </w:rPr>
              <w:t>melanoma</w:t>
            </w:r>
            <w:r w:rsidRPr="00C86F15">
              <w:rPr>
                <w:rFonts w:ascii="Arial Narrow" w:hAnsi="Arial Narrow"/>
                <w:sz w:val="20"/>
              </w:rPr>
              <w:t>.</w:t>
            </w:r>
          </w:p>
        </w:tc>
      </w:tr>
      <w:tr w:rsidR="00C27C12" w:rsidRPr="00BA03C0" w:rsidTr="009E57B5">
        <w:trPr>
          <w:trHeight w:val="453"/>
        </w:trPr>
        <w:tc>
          <w:tcPr>
            <w:tcW w:w="0" w:type="auto"/>
            <w:shd w:val="clear" w:color="auto" w:fill="auto"/>
          </w:tcPr>
          <w:p w:rsidR="00EA2AA9" w:rsidRPr="00BA03C0" w:rsidRDefault="00EA2AA9" w:rsidP="00EA2AA9">
            <w:pPr>
              <w:rPr>
                <w:rFonts w:ascii="Arial Narrow" w:hAnsi="Arial Narrow"/>
                <w:sz w:val="20"/>
              </w:rPr>
            </w:pPr>
            <w:r w:rsidRPr="00BA03C0">
              <w:rPr>
                <w:rFonts w:ascii="Arial Narrow" w:hAnsi="Arial Narrow"/>
                <w:sz w:val="20"/>
              </w:rPr>
              <w:t>Clinical evidence</w:t>
            </w:r>
          </w:p>
        </w:tc>
        <w:tc>
          <w:tcPr>
            <w:tcW w:w="0" w:type="auto"/>
            <w:shd w:val="clear" w:color="auto" w:fill="auto"/>
          </w:tcPr>
          <w:p w:rsidR="00EA2AA9" w:rsidRPr="00BA03C0" w:rsidRDefault="00EA2AA9" w:rsidP="00EA2AA9">
            <w:pPr>
              <w:jc w:val="left"/>
              <w:rPr>
                <w:rFonts w:ascii="Arial Narrow" w:hAnsi="Arial Narrow"/>
                <w:sz w:val="20"/>
              </w:rPr>
            </w:pPr>
            <w:r w:rsidRPr="00BA03C0">
              <w:rPr>
                <w:rFonts w:ascii="Arial Narrow" w:hAnsi="Arial Narrow"/>
                <w:sz w:val="20"/>
              </w:rPr>
              <w:t>Direct comparison</w:t>
            </w:r>
            <w:r>
              <w:rPr>
                <w:rFonts w:ascii="Arial Narrow" w:hAnsi="Arial Narrow"/>
                <w:sz w:val="20"/>
              </w:rPr>
              <w:t>s</w:t>
            </w:r>
            <w:r w:rsidRPr="00BA03C0">
              <w:rPr>
                <w:rFonts w:ascii="Arial Narrow" w:hAnsi="Arial Narrow"/>
                <w:sz w:val="20"/>
              </w:rPr>
              <w:t xml:space="preserve"> of NIVO+IPI combination therapy with ipilimumab </w:t>
            </w:r>
            <w:r>
              <w:rPr>
                <w:rFonts w:ascii="Arial Narrow" w:hAnsi="Arial Narrow"/>
                <w:sz w:val="20"/>
              </w:rPr>
              <w:t xml:space="preserve">monotherapy </w:t>
            </w:r>
            <w:r w:rsidRPr="00BA03C0">
              <w:rPr>
                <w:rFonts w:ascii="Arial Narrow" w:hAnsi="Arial Narrow"/>
                <w:sz w:val="20"/>
              </w:rPr>
              <w:t>and nivolumab monotherapy (Trials CA209-067 and CA209-069)</w:t>
            </w:r>
          </w:p>
          <w:p w:rsidR="00EA2AA9" w:rsidRPr="00BA03C0" w:rsidRDefault="00EA2AA9" w:rsidP="00EA2AA9">
            <w:pPr>
              <w:jc w:val="left"/>
              <w:rPr>
                <w:rFonts w:ascii="Arial Narrow" w:hAnsi="Arial Narrow"/>
                <w:sz w:val="20"/>
              </w:rPr>
            </w:pPr>
            <w:r w:rsidRPr="00BA03C0">
              <w:rPr>
                <w:rFonts w:ascii="Arial Narrow" w:hAnsi="Arial Narrow"/>
                <w:sz w:val="20"/>
              </w:rPr>
              <w:t>Indirect comparison of combination therapy with pembrolizumab monotherapy.</w:t>
            </w:r>
          </w:p>
        </w:tc>
        <w:tc>
          <w:tcPr>
            <w:tcW w:w="0" w:type="auto"/>
            <w:shd w:val="clear" w:color="auto" w:fill="auto"/>
          </w:tcPr>
          <w:p w:rsidR="00EA2AA9" w:rsidRPr="00C86F15" w:rsidRDefault="00EA2AA9" w:rsidP="00EA2AA9">
            <w:pPr>
              <w:jc w:val="left"/>
              <w:rPr>
                <w:rFonts w:ascii="Arial Narrow" w:hAnsi="Arial Narrow"/>
                <w:sz w:val="20"/>
              </w:rPr>
            </w:pPr>
            <w:r w:rsidRPr="00C86F15">
              <w:rPr>
                <w:rFonts w:ascii="Arial Narrow" w:hAnsi="Arial Narrow"/>
                <w:sz w:val="20"/>
              </w:rPr>
              <w:t>Direct comparison of NIVO+IPI combination therapy with nivolumab monotherapy in the first-line setting (CA209-067).</w:t>
            </w:r>
          </w:p>
        </w:tc>
      </w:tr>
      <w:tr w:rsidR="00C27C12" w:rsidRPr="00BA03C0" w:rsidTr="009E57B5">
        <w:trPr>
          <w:trHeight w:val="170"/>
        </w:trPr>
        <w:tc>
          <w:tcPr>
            <w:tcW w:w="0" w:type="auto"/>
            <w:shd w:val="clear" w:color="auto" w:fill="auto"/>
          </w:tcPr>
          <w:p w:rsidR="00EA2AA9" w:rsidRPr="00BA03C0" w:rsidRDefault="00EA2AA9" w:rsidP="00EA2AA9">
            <w:pPr>
              <w:rPr>
                <w:rFonts w:ascii="Arial Narrow" w:hAnsi="Arial Narrow"/>
                <w:sz w:val="20"/>
              </w:rPr>
            </w:pPr>
            <w:r w:rsidRPr="005A6753">
              <w:rPr>
                <w:rFonts w:ascii="Arial Narrow" w:hAnsi="Arial Narrow"/>
                <w:sz w:val="20"/>
              </w:rPr>
              <w:t>Key effectiveness data*</w:t>
            </w:r>
          </w:p>
        </w:tc>
        <w:tc>
          <w:tcPr>
            <w:tcW w:w="0" w:type="auto"/>
            <w:shd w:val="clear" w:color="auto" w:fill="auto"/>
          </w:tcPr>
          <w:p w:rsidR="00EA2AA9" w:rsidRPr="00BA03C0" w:rsidRDefault="00EA2AA9" w:rsidP="00EA2AA9">
            <w:pPr>
              <w:jc w:val="left"/>
              <w:rPr>
                <w:rFonts w:ascii="Arial Narrow" w:hAnsi="Arial Narrow"/>
                <w:sz w:val="20"/>
                <w:u w:val="single"/>
              </w:rPr>
            </w:pPr>
            <w:r w:rsidRPr="00BA03C0">
              <w:rPr>
                <w:rFonts w:ascii="Arial Narrow" w:hAnsi="Arial Narrow"/>
                <w:sz w:val="20"/>
              </w:rPr>
              <w:t>PFS: NIVO+IPI vs NIVO monotherapy</w:t>
            </w:r>
          </w:p>
          <w:p w:rsidR="00EA2AA9" w:rsidRPr="00BA03C0" w:rsidRDefault="00EA2AA9" w:rsidP="00EA2AA9">
            <w:pPr>
              <w:ind w:left="223"/>
              <w:jc w:val="left"/>
              <w:rPr>
                <w:rFonts w:ascii="Arial Narrow" w:hAnsi="Arial Narrow"/>
                <w:sz w:val="20"/>
              </w:rPr>
            </w:pPr>
            <w:r w:rsidRPr="00BA03C0">
              <w:rPr>
                <w:rFonts w:ascii="Arial Narrow" w:hAnsi="Arial Narrow"/>
                <w:sz w:val="20"/>
              </w:rPr>
              <w:t>HR 0.74 (95% CI: 0.60, 0.92)</w:t>
            </w:r>
          </w:p>
          <w:p w:rsidR="00EA2AA9" w:rsidRPr="00BA03C0" w:rsidRDefault="00EA2AA9" w:rsidP="00EA2AA9">
            <w:pPr>
              <w:ind w:left="223"/>
              <w:jc w:val="left"/>
              <w:rPr>
                <w:rFonts w:ascii="Arial Narrow" w:hAnsi="Arial Narrow"/>
                <w:sz w:val="20"/>
              </w:rPr>
            </w:pPr>
            <w:r w:rsidRPr="00BA03C0">
              <w:rPr>
                <w:rFonts w:ascii="Arial Narrow" w:hAnsi="Arial Narrow"/>
                <w:sz w:val="20"/>
              </w:rPr>
              <w:t>Difference in median PFS 4.6 months</w:t>
            </w:r>
          </w:p>
          <w:p w:rsidR="00EA2AA9" w:rsidRPr="00BA03C0" w:rsidRDefault="00EA2AA9" w:rsidP="007E058C">
            <w:pPr>
              <w:jc w:val="left"/>
              <w:rPr>
                <w:rFonts w:ascii="Arial Narrow" w:hAnsi="Arial Narrow"/>
                <w:sz w:val="20"/>
              </w:rPr>
            </w:pPr>
            <w:r w:rsidRPr="00BA03C0">
              <w:rPr>
                <w:rFonts w:ascii="Arial Narrow" w:hAnsi="Arial Narrow"/>
                <w:sz w:val="20"/>
              </w:rPr>
              <w:t>OS data not available.</w:t>
            </w:r>
          </w:p>
        </w:tc>
        <w:tc>
          <w:tcPr>
            <w:tcW w:w="0" w:type="auto"/>
            <w:shd w:val="clear" w:color="auto" w:fill="auto"/>
          </w:tcPr>
          <w:p w:rsidR="00EA2AA9" w:rsidRPr="00C86F15" w:rsidRDefault="00EA2AA9" w:rsidP="00EA2AA9">
            <w:pPr>
              <w:jc w:val="left"/>
              <w:rPr>
                <w:rFonts w:ascii="Arial Narrow" w:hAnsi="Arial Narrow"/>
                <w:sz w:val="20"/>
              </w:rPr>
            </w:pPr>
            <w:r w:rsidRPr="00C86F15">
              <w:rPr>
                <w:rFonts w:ascii="Arial Narrow" w:hAnsi="Arial Narrow"/>
                <w:sz w:val="20"/>
              </w:rPr>
              <w:t>NIVO+IPI versus NIVO monotherapy:</w:t>
            </w:r>
          </w:p>
          <w:p w:rsidR="00EA2AA9" w:rsidRPr="00C86F15" w:rsidRDefault="00EA2AA9" w:rsidP="00EA2AA9">
            <w:pPr>
              <w:jc w:val="left"/>
              <w:rPr>
                <w:rFonts w:ascii="Arial Narrow" w:hAnsi="Arial Narrow"/>
                <w:sz w:val="20"/>
              </w:rPr>
            </w:pPr>
            <w:r w:rsidRPr="00C86F15">
              <w:rPr>
                <w:rFonts w:ascii="Arial Narrow" w:hAnsi="Arial Narrow"/>
                <w:sz w:val="20"/>
              </w:rPr>
              <w:t>PFS: HR 0.76 (95% CI: 0.62, 0.94)</w:t>
            </w:r>
          </w:p>
          <w:p w:rsidR="00EA2AA9" w:rsidRPr="00C86F15" w:rsidRDefault="00EA2AA9" w:rsidP="00EA2AA9">
            <w:pPr>
              <w:jc w:val="left"/>
              <w:rPr>
                <w:rFonts w:ascii="Arial Narrow" w:hAnsi="Arial Narrow"/>
                <w:sz w:val="20"/>
              </w:rPr>
            </w:pPr>
            <w:r w:rsidRPr="00C86F15">
              <w:rPr>
                <w:rFonts w:ascii="Arial Narrow" w:hAnsi="Arial Narrow"/>
                <w:sz w:val="20"/>
              </w:rPr>
              <w:t>Difference in median PFS 4.8 months OS: HR 0.88 (95% CI: 0.69, 1.12)</w:t>
            </w:r>
          </w:p>
          <w:p w:rsidR="00EA2AA9" w:rsidRPr="00C86F15" w:rsidRDefault="00EA2AA9" w:rsidP="00EA2AA9">
            <w:pPr>
              <w:jc w:val="left"/>
              <w:rPr>
                <w:rFonts w:ascii="Arial Narrow" w:hAnsi="Arial Narrow"/>
                <w:sz w:val="20"/>
              </w:rPr>
            </w:pPr>
            <w:r w:rsidRPr="00C86F15">
              <w:rPr>
                <w:rFonts w:ascii="Arial Narrow" w:hAnsi="Arial Narrow"/>
                <w:sz w:val="20"/>
              </w:rPr>
              <w:t>Median OS not reached in either treatment arm</w:t>
            </w:r>
            <w:r w:rsidR="00190DCA" w:rsidRPr="00C86F15">
              <w:rPr>
                <w:rFonts w:ascii="Arial Narrow" w:hAnsi="Arial Narrow"/>
                <w:sz w:val="20"/>
              </w:rPr>
              <w:t>.</w:t>
            </w:r>
          </w:p>
        </w:tc>
      </w:tr>
      <w:tr w:rsidR="00C27C12" w:rsidRPr="00BA03C0" w:rsidTr="00B01C56">
        <w:trPr>
          <w:trHeight w:val="196"/>
        </w:trPr>
        <w:tc>
          <w:tcPr>
            <w:tcW w:w="0" w:type="auto"/>
            <w:tcBorders>
              <w:bottom w:val="single" w:sz="4" w:space="0" w:color="auto"/>
            </w:tcBorders>
            <w:shd w:val="clear" w:color="auto" w:fill="auto"/>
          </w:tcPr>
          <w:p w:rsidR="00EA2AA9" w:rsidRPr="00BA03C0" w:rsidRDefault="00EA2AA9" w:rsidP="00EA2AA9">
            <w:pPr>
              <w:rPr>
                <w:rFonts w:ascii="Arial Narrow" w:hAnsi="Arial Narrow"/>
                <w:sz w:val="20"/>
              </w:rPr>
            </w:pPr>
            <w:r w:rsidRPr="00BA03C0">
              <w:rPr>
                <w:rFonts w:ascii="Arial Narrow" w:hAnsi="Arial Narrow"/>
                <w:sz w:val="20"/>
              </w:rPr>
              <w:t>Economic model</w:t>
            </w:r>
          </w:p>
        </w:tc>
        <w:tc>
          <w:tcPr>
            <w:tcW w:w="0" w:type="auto"/>
            <w:tcBorders>
              <w:bottom w:val="single" w:sz="4" w:space="0" w:color="auto"/>
            </w:tcBorders>
            <w:shd w:val="clear" w:color="auto" w:fill="auto"/>
          </w:tcPr>
          <w:p w:rsidR="00EA2AA9" w:rsidRPr="007E058C" w:rsidRDefault="00EA2AA9" w:rsidP="00EA2AA9">
            <w:pPr>
              <w:jc w:val="left"/>
              <w:rPr>
                <w:rFonts w:ascii="Arial Narrow" w:hAnsi="Arial Narrow"/>
                <w:sz w:val="20"/>
              </w:rPr>
            </w:pPr>
            <w:r w:rsidRPr="00BA03C0">
              <w:rPr>
                <w:rFonts w:ascii="Arial Narrow" w:hAnsi="Arial Narrow"/>
                <w:sz w:val="20"/>
              </w:rPr>
              <w:t>Cost-utility model with cost/QALY:</w:t>
            </w:r>
          </w:p>
          <w:p w:rsidR="00EA2AA9" w:rsidRPr="00BA03C0" w:rsidRDefault="00EA2AA9" w:rsidP="00C27C12">
            <w:pPr>
              <w:tabs>
                <w:tab w:val="left" w:pos="1640"/>
              </w:tabs>
              <w:ind w:left="81"/>
              <w:jc w:val="left"/>
              <w:rPr>
                <w:rFonts w:ascii="Arial Narrow" w:hAnsi="Arial Narrow"/>
                <w:sz w:val="20"/>
              </w:rPr>
            </w:pPr>
            <w:r w:rsidRPr="00BA03C0">
              <w:rPr>
                <w:rFonts w:ascii="Arial Narrow" w:hAnsi="Arial Narrow"/>
                <w:sz w:val="20"/>
              </w:rPr>
              <w:t xml:space="preserve">NIVO+IPI vs NIVO: </w:t>
            </w:r>
            <w:r w:rsidRPr="00BA03C0">
              <w:rPr>
                <w:rFonts w:ascii="Arial Narrow" w:hAnsi="Arial Narrow"/>
                <w:sz w:val="20"/>
              </w:rPr>
              <w:tab/>
              <w:t>$</w:t>
            </w:r>
            <w:r w:rsidR="00C27C12">
              <w:rPr>
                <w:rFonts w:ascii="Arial Narrow" w:hAnsi="Arial Narrow"/>
                <w:sz w:val="20"/>
              </w:rPr>
              <w:t>45,000 - $75,000</w:t>
            </w:r>
            <w:r w:rsidRPr="00BA03C0">
              <w:rPr>
                <w:rFonts w:ascii="Arial Narrow" w:hAnsi="Arial Narrow"/>
                <w:sz w:val="20"/>
              </w:rPr>
              <w:t>/QALY gained</w:t>
            </w:r>
          </w:p>
        </w:tc>
        <w:tc>
          <w:tcPr>
            <w:tcW w:w="0" w:type="auto"/>
            <w:tcBorders>
              <w:bottom w:val="single" w:sz="4" w:space="0" w:color="auto"/>
            </w:tcBorders>
            <w:shd w:val="clear" w:color="auto" w:fill="auto"/>
          </w:tcPr>
          <w:p w:rsidR="00EA2AA9" w:rsidRPr="00C86F15" w:rsidRDefault="00EA2AA9" w:rsidP="00C27C12">
            <w:pPr>
              <w:jc w:val="left"/>
              <w:rPr>
                <w:rFonts w:ascii="Arial Narrow" w:hAnsi="Arial Narrow"/>
                <w:sz w:val="20"/>
              </w:rPr>
            </w:pPr>
            <w:r w:rsidRPr="00C86F15">
              <w:rPr>
                <w:rFonts w:ascii="Arial Narrow" w:hAnsi="Arial Narrow"/>
                <w:sz w:val="20"/>
              </w:rPr>
              <w:t xml:space="preserve">Cost-utility model with a dominant ICER. There was an error in the </w:t>
            </w:r>
            <w:r w:rsidR="008D1756" w:rsidRPr="00C86F15">
              <w:rPr>
                <w:rFonts w:ascii="Arial Narrow" w:hAnsi="Arial Narrow"/>
                <w:sz w:val="20"/>
              </w:rPr>
              <w:t>resubmission</w:t>
            </w:r>
            <w:r w:rsidRPr="00C86F15">
              <w:rPr>
                <w:rFonts w:ascii="Arial Narrow" w:hAnsi="Arial Narrow"/>
                <w:sz w:val="20"/>
              </w:rPr>
              <w:t xml:space="preserve">’s model which, when corrected, resulted in an ICER of </w:t>
            </w:r>
            <w:r w:rsidR="00C27C12">
              <w:rPr>
                <w:rFonts w:ascii="Arial Narrow" w:hAnsi="Arial Narrow"/>
                <w:sz w:val="20"/>
              </w:rPr>
              <w:t xml:space="preserve">more than </w:t>
            </w:r>
            <w:r w:rsidRPr="00C86F15">
              <w:rPr>
                <w:rFonts w:ascii="Arial Narrow" w:hAnsi="Arial Narrow"/>
                <w:sz w:val="20"/>
              </w:rPr>
              <w:t>$</w:t>
            </w:r>
            <w:r w:rsidR="00C27C12">
              <w:rPr>
                <w:rFonts w:ascii="Arial Narrow" w:hAnsi="Arial Narrow"/>
                <w:sz w:val="20"/>
              </w:rPr>
              <w:t>200,000</w:t>
            </w:r>
            <w:r w:rsidRPr="00C86F15">
              <w:rPr>
                <w:rFonts w:ascii="Arial Narrow" w:hAnsi="Arial Narrow"/>
                <w:sz w:val="20"/>
              </w:rPr>
              <w:t>/QALY.</w:t>
            </w:r>
            <w:r w:rsidR="008B6136" w:rsidRPr="00C86F15">
              <w:rPr>
                <w:rFonts w:ascii="Arial Narrow" w:hAnsi="Arial Narrow"/>
                <w:sz w:val="20"/>
              </w:rPr>
              <w:t xml:space="preserve"> </w:t>
            </w:r>
            <w:r w:rsidR="00DE52A4" w:rsidRPr="00C86F15">
              <w:rPr>
                <w:rFonts w:ascii="Arial Narrow" w:hAnsi="Arial Narrow"/>
                <w:sz w:val="20"/>
              </w:rPr>
              <w:t>The PSCR</w:t>
            </w:r>
            <w:r w:rsidR="003E52BF" w:rsidRPr="00C86F15">
              <w:rPr>
                <w:rFonts w:ascii="Arial Narrow" w:hAnsi="Arial Narrow"/>
                <w:sz w:val="20"/>
              </w:rPr>
              <w:t xml:space="preserve"> </w:t>
            </w:r>
            <w:r w:rsidR="00DE52A4" w:rsidRPr="00C86F15">
              <w:rPr>
                <w:rFonts w:ascii="Arial Narrow" w:hAnsi="Arial Narrow"/>
                <w:sz w:val="20"/>
              </w:rPr>
              <w:t xml:space="preserve">accepted this error (&amp; other modifications) to result in an ICER of </w:t>
            </w:r>
            <w:r w:rsidR="00C27C12">
              <w:rPr>
                <w:rFonts w:ascii="Arial Narrow" w:hAnsi="Arial Narrow"/>
                <w:sz w:val="20"/>
              </w:rPr>
              <w:t xml:space="preserve">more than </w:t>
            </w:r>
            <w:r w:rsidR="00DE52A4" w:rsidRPr="00C86F15">
              <w:rPr>
                <w:rFonts w:ascii="Arial Narrow" w:hAnsi="Arial Narrow"/>
                <w:sz w:val="20"/>
              </w:rPr>
              <w:t>$2</w:t>
            </w:r>
            <w:r w:rsidR="00C27C12">
              <w:rPr>
                <w:rFonts w:ascii="Arial Narrow" w:hAnsi="Arial Narrow"/>
                <w:sz w:val="20"/>
              </w:rPr>
              <w:t>00,000</w:t>
            </w:r>
            <w:r w:rsidR="00DE52A4" w:rsidRPr="00C86F15">
              <w:rPr>
                <w:rFonts w:ascii="Arial Narrow" w:hAnsi="Arial Narrow"/>
                <w:sz w:val="20"/>
              </w:rPr>
              <w:t>/QALY</w:t>
            </w:r>
            <w:r w:rsidR="003E52BF" w:rsidRPr="00C86F15">
              <w:rPr>
                <w:rFonts w:ascii="Arial Narrow" w:hAnsi="Arial Narrow"/>
                <w:sz w:val="20"/>
              </w:rPr>
              <w:t xml:space="preserve"> gained</w:t>
            </w:r>
            <w:r w:rsidR="00DE52A4" w:rsidRPr="00C86F15">
              <w:rPr>
                <w:rFonts w:ascii="Arial Narrow" w:hAnsi="Arial Narrow"/>
                <w:sz w:val="20"/>
              </w:rPr>
              <w:t>.</w:t>
            </w:r>
          </w:p>
        </w:tc>
      </w:tr>
      <w:tr w:rsidR="00C27C12" w:rsidRPr="00BA03C0" w:rsidTr="00B01C56">
        <w:trPr>
          <w:trHeight w:val="453"/>
        </w:trPr>
        <w:tc>
          <w:tcPr>
            <w:tcW w:w="0" w:type="auto"/>
            <w:tcBorders>
              <w:bottom w:val="nil"/>
            </w:tcBorders>
            <w:shd w:val="clear" w:color="auto" w:fill="auto"/>
          </w:tcPr>
          <w:p w:rsidR="00EA2AA9" w:rsidRPr="00BA03C0" w:rsidRDefault="00EA2AA9" w:rsidP="00EA2AA9">
            <w:pPr>
              <w:rPr>
                <w:rFonts w:ascii="Arial Narrow" w:hAnsi="Arial Narrow"/>
                <w:sz w:val="20"/>
              </w:rPr>
            </w:pPr>
            <w:r w:rsidRPr="00BA03C0">
              <w:rPr>
                <w:rFonts w:ascii="Arial Narrow" w:hAnsi="Arial Narrow"/>
                <w:sz w:val="20"/>
              </w:rPr>
              <w:t>Financial analysis</w:t>
            </w:r>
          </w:p>
        </w:tc>
        <w:tc>
          <w:tcPr>
            <w:tcW w:w="0" w:type="auto"/>
            <w:tcBorders>
              <w:bottom w:val="nil"/>
            </w:tcBorders>
            <w:shd w:val="clear" w:color="auto" w:fill="auto"/>
          </w:tcPr>
          <w:p w:rsidR="005B647A" w:rsidRDefault="005B647A" w:rsidP="005B647A">
            <w:pPr>
              <w:spacing w:after="60"/>
              <w:jc w:val="left"/>
              <w:rPr>
                <w:rFonts w:ascii="Arial Narrow" w:hAnsi="Arial Narrow"/>
                <w:sz w:val="20"/>
              </w:rPr>
            </w:pPr>
            <w:r w:rsidRPr="00A02F56">
              <w:rPr>
                <w:rFonts w:ascii="Arial Narrow" w:hAnsi="Arial Narrow"/>
                <w:sz w:val="20"/>
              </w:rPr>
              <w:t>The incidence of unresectable Stage III and Stage IV malignant melanoma was based on projections of mortality rates from AIWH data and the 12-month survival rate for ipilimumab.</w:t>
            </w:r>
          </w:p>
          <w:p w:rsidR="00EA2AA9" w:rsidRPr="00BA03C0" w:rsidRDefault="009C3D89" w:rsidP="009C3D89">
            <w:pPr>
              <w:spacing w:after="60"/>
              <w:jc w:val="left"/>
              <w:rPr>
                <w:rFonts w:ascii="Arial Narrow" w:hAnsi="Arial Narrow"/>
                <w:sz w:val="20"/>
              </w:rPr>
            </w:pPr>
            <w:r>
              <w:rPr>
                <w:rFonts w:ascii="Arial Narrow" w:hAnsi="Arial Narrow"/>
                <w:sz w:val="20"/>
              </w:rPr>
              <w:t>The treatment algorithms and the assumed uptake of alternative treatments were based on expert opinion.</w:t>
            </w:r>
          </w:p>
        </w:tc>
        <w:tc>
          <w:tcPr>
            <w:tcW w:w="0" w:type="auto"/>
            <w:tcBorders>
              <w:bottom w:val="nil"/>
            </w:tcBorders>
            <w:shd w:val="clear" w:color="auto" w:fill="auto"/>
          </w:tcPr>
          <w:p w:rsidR="005B647A" w:rsidRPr="00C86F15" w:rsidRDefault="005B647A" w:rsidP="00EA2AA9">
            <w:pPr>
              <w:spacing w:after="60"/>
              <w:jc w:val="left"/>
              <w:rPr>
                <w:rFonts w:ascii="Arial Narrow" w:hAnsi="Arial Narrow"/>
                <w:sz w:val="20"/>
              </w:rPr>
            </w:pPr>
            <w:r w:rsidRPr="00C86F15">
              <w:rPr>
                <w:rFonts w:ascii="Arial Narrow" w:hAnsi="Arial Narrow"/>
                <w:sz w:val="20"/>
              </w:rPr>
              <w:t>New analysis presented reflecting the change in comparator. Incidence based on 2014 PBS data from the DUSC report ‘Ipilimumab and dabrafenib: predicted versus actual analysis.’</w:t>
            </w:r>
          </w:p>
          <w:p w:rsidR="00B01C56" w:rsidRPr="00C86F15" w:rsidRDefault="009C3D89" w:rsidP="009E57B5">
            <w:pPr>
              <w:spacing w:after="60"/>
              <w:jc w:val="left"/>
              <w:rPr>
                <w:rFonts w:ascii="Arial Narrow" w:hAnsi="Arial Narrow"/>
                <w:sz w:val="20"/>
              </w:rPr>
            </w:pPr>
            <w:r w:rsidRPr="00C86F15">
              <w:rPr>
                <w:rFonts w:ascii="Arial Narrow" w:hAnsi="Arial Narrow"/>
                <w:sz w:val="20"/>
              </w:rPr>
              <w:t xml:space="preserve">The proposed treatment algorithms and the assumed uptake of alternative treatment options </w:t>
            </w:r>
            <w:r w:rsidR="009E57B5" w:rsidRPr="00C86F15">
              <w:rPr>
                <w:rFonts w:ascii="Arial Narrow" w:hAnsi="Arial Narrow"/>
                <w:sz w:val="20"/>
              </w:rPr>
              <w:t xml:space="preserve">were based on expert opinion but </w:t>
            </w:r>
            <w:r w:rsidRPr="00C86F15">
              <w:rPr>
                <w:rFonts w:ascii="Arial Narrow" w:hAnsi="Arial Narrow"/>
                <w:sz w:val="20"/>
              </w:rPr>
              <w:t>differed from the previous submission</w:t>
            </w:r>
            <w:r w:rsidR="00B01C56" w:rsidRPr="00C86F15">
              <w:rPr>
                <w:rFonts w:ascii="Arial Narrow" w:hAnsi="Arial Narrow"/>
                <w:sz w:val="20"/>
              </w:rPr>
              <w:t>.</w:t>
            </w:r>
          </w:p>
        </w:tc>
      </w:tr>
      <w:tr w:rsidR="00C27C12" w:rsidRPr="00BA03C0" w:rsidTr="00B01C56">
        <w:trPr>
          <w:trHeight w:val="453"/>
        </w:trPr>
        <w:tc>
          <w:tcPr>
            <w:tcW w:w="0" w:type="auto"/>
            <w:tcBorders>
              <w:top w:val="nil"/>
            </w:tcBorders>
            <w:shd w:val="clear" w:color="auto" w:fill="auto"/>
          </w:tcPr>
          <w:p w:rsidR="005B647A" w:rsidRPr="00BA03C0" w:rsidRDefault="005B647A" w:rsidP="00EA2AA9">
            <w:pPr>
              <w:rPr>
                <w:rFonts w:ascii="Arial Narrow" w:hAnsi="Arial Narrow"/>
                <w:sz w:val="20"/>
              </w:rPr>
            </w:pPr>
          </w:p>
        </w:tc>
        <w:tc>
          <w:tcPr>
            <w:tcW w:w="0" w:type="auto"/>
            <w:tcBorders>
              <w:top w:val="nil"/>
            </w:tcBorders>
            <w:shd w:val="clear" w:color="auto" w:fill="auto"/>
          </w:tcPr>
          <w:p w:rsidR="005B647A" w:rsidRPr="00BA03C0" w:rsidRDefault="00C27C12" w:rsidP="005B647A">
            <w:pPr>
              <w:spacing w:after="60"/>
              <w:jc w:val="left"/>
              <w:rPr>
                <w:rFonts w:ascii="Arial Narrow" w:hAnsi="Arial Narrow"/>
                <w:sz w:val="20"/>
              </w:rPr>
            </w:pPr>
            <w:r>
              <w:rPr>
                <w:rFonts w:ascii="Arial Narrow" w:hAnsi="Arial Narrow"/>
                <w:sz w:val="20"/>
              </w:rPr>
              <w:t>Less than 10,000</w:t>
            </w:r>
            <w:r w:rsidR="005B647A" w:rsidRPr="00BA03C0">
              <w:rPr>
                <w:rFonts w:ascii="Arial Narrow" w:hAnsi="Arial Narrow"/>
                <w:sz w:val="20"/>
              </w:rPr>
              <w:t xml:space="preserve"> patients in Year 1 increasing to </w:t>
            </w:r>
            <w:r>
              <w:rPr>
                <w:rFonts w:ascii="Arial Narrow" w:hAnsi="Arial Narrow"/>
                <w:sz w:val="20"/>
              </w:rPr>
              <w:t>less than 10,000</w:t>
            </w:r>
            <w:r w:rsidR="005B647A" w:rsidRPr="00BA03C0">
              <w:rPr>
                <w:rFonts w:ascii="Arial Narrow" w:hAnsi="Arial Narrow"/>
                <w:sz w:val="20"/>
              </w:rPr>
              <w:t xml:space="preserve"> in Year</w:t>
            </w:r>
            <w:r w:rsidR="00190DCA">
              <w:rPr>
                <w:rFonts w:ascii="Arial Narrow" w:hAnsi="Arial Narrow"/>
                <w:sz w:val="20"/>
              </w:rPr>
              <w:t> </w:t>
            </w:r>
            <w:r w:rsidR="005B647A" w:rsidRPr="00BA03C0">
              <w:rPr>
                <w:rFonts w:ascii="Arial Narrow" w:hAnsi="Arial Narrow"/>
                <w:sz w:val="20"/>
              </w:rPr>
              <w:t>5.</w:t>
            </w:r>
          </w:p>
          <w:p w:rsidR="005B647A" w:rsidRPr="00A02F56" w:rsidRDefault="005B647A" w:rsidP="00C27C12">
            <w:pPr>
              <w:spacing w:after="120"/>
              <w:jc w:val="left"/>
              <w:rPr>
                <w:rFonts w:ascii="Arial Narrow" w:hAnsi="Arial Narrow"/>
                <w:sz w:val="20"/>
              </w:rPr>
            </w:pPr>
            <w:r w:rsidRPr="00BA03C0">
              <w:rPr>
                <w:rFonts w:ascii="Arial Narrow" w:hAnsi="Arial Narrow"/>
                <w:sz w:val="20"/>
              </w:rPr>
              <w:t>$3</w:t>
            </w:r>
            <w:r w:rsidR="00C27C12">
              <w:rPr>
                <w:rFonts w:ascii="Arial Narrow" w:hAnsi="Arial Narrow"/>
                <w:sz w:val="20"/>
              </w:rPr>
              <w:t>0 - $60</w:t>
            </w:r>
            <w:r w:rsidRPr="00BA03C0">
              <w:rPr>
                <w:rFonts w:ascii="Arial Narrow" w:hAnsi="Arial Narrow"/>
                <w:sz w:val="20"/>
              </w:rPr>
              <w:t xml:space="preserve"> million in Year 1 increasing to $</w:t>
            </w:r>
            <w:r w:rsidR="00C27C12">
              <w:rPr>
                <w:rFonts w:ascii="Arial Narrow" w:hAnsi="Arial Narrow"/>
                <w:sz w:val="20"/>
              </w:rPr>
              <w:t>30 - 60</w:t>
            </w:r>
            <w:r w:rsidRPr="00BA03C0">
              <w:rPr>
                <w:rFonts w:ascii="Arial Narrow" w:hAnsi="Arial Narrow"/>
                <w:sz w:val="20"/>
              </w:rPr>
              <w:t xml:space="preserve"> million in Year 5 for a total of </w:t>
            </w:r>
            <w:r w:rsidR="00C27C12">
              <w:rPr>
                <w:rFonts w:ascii="Arial Narrow" w:hAnsi="Arial Narrow"/>
                <w:sz w:val="20"/>
              </w:rPr>
              <w:t>more than</w:t>
            </w:r>
            <w:r w:rsidRPr="00BA03C0">
              <w:rPr>
                <w:rFonts w:ascii="Arial Narrow" w:hAnsi="Arial Narrow"/>
                <w:sz w:val="20"/>
              </w:rPr>
              <w:t xml:space="preserve"> $1</w:t>
            </w:r>
            <w:r w:rsidR="00C27C12">
              <w:rPr>
                <w:rFonts w:ascii="Arial Narrow" w:hAnsi="Arial Narrow"/>
                <w:sz w:val="20"/>
              </w:rPr>
              <w:t>00</w:t>
            </w:r>
            <w:r w:rsidRPr="00BA03C0">
              <w:rPr>
                <w:rFonts w:ascii="Arial Narrow" w:hAnsi="Arial Narrow"/>
                <w:sz w:val="20"/>
              </w:rPr>
              <w:t xml:space="preserve"> million over the first 5 years of listing.</w:t>
            </w:r>
          </w:p>
        </w:tc>
        <w:tc>
          <w:tcPr>
            <w:tcW w:w="0" w:type="auto"/>
            <w:tcBorders>
              <w:top w:val="nil"/>
            </w:tcBorders>
            <w:shd w:val="clear" w:color="auto" w:fill="auto"/>
          </w:tcPr>
          <w:p w:rsidR="005B647A" w:rsidRPr="00C86F15" w:rsidRDefault="005B647A" w:rsidP="005B647A">
            <w:pPr>
              <w:spacing w:after="60"/>
              <w:jc w:val="left"/>
              <w:rPr>
                <w:rFonts w:ascii="Arial Narrow" w:hAnsi="Arial Narrow"/>
                <w:sz w:val="20"/>
              </w:rPr>
            </w:pPr>
            <w:r w:rsidRPr="00C86F15">
              <w:rPr>
                <w:rFonts w:ascii="Arial Narrow" w:hAnsi="Arial Narrow"/>
                <w:sz w:val="20"/>
              </w:rPr>
              <w:t>750 patients in Year 1 increasing to 800 in Year 5.</w:t>
            </w:r>
          </w:p>
          <w:p w:rsidR="005B647A" w:rsidRPr="00C86F15" w:rsidRDefault="005B647A" w:rsidP="00C27C12">
            <w:pPr>
              <w:spacing w:after="60"/>
              <w:jc w:val="left"/>
              <w:rPr>
                <w:rFonts w:ascii="Arial Narrow" w:hAnsi="Arial Narrow"/>
                <w:sz w:val="20"/>
              </w:rPr>
            </w:pPr>
            <w:r w:rsidRPr="00C86F15">
              <w:rPr>
                <w:rFonts w:ascii="Arial Narrow" w:hAnsi="Arial Narrow"/>
                <w:sz w:val="20"/>
              </w:rPr>
              <w:t>$3</w:t>
            </w:r>
            <w:r w:rsidR="00C27C12">
              <w:rPr>
                <w:rFonts w:ascii="Arial Narrow" w:hAnsi="Arial Narrow"/>
                <w:sz w:val="20"/>
              </w:rPr>
              <w:t>0 - $60</w:t>
            </w:r>
            <w:r w:rsidRPr="00C86F15">
              <w:rPr>
                <w:rFonts w:ascii="Arial Narrow" w:hAnsi="Arial Narrow"/>
                <w:sz w:val="20"/>
              </w:rPr>
              <w:t xml:space="preserve"> million in Year 1 increasing to $</w:t>
            </w:r>
            <w:r w:rsidR="00C27C12">
              <w:rPr>
                <w:rFonts w:ascii="Arial Narrow" w:hAnsi="Arial Narrow"/>
                <w:sz w:val="20"/>
              </w:rPr>
              <w:t>30 - $60</w:t>
            </w:r>
            <w:r w:rsidRPr="00C86F15">
              <w:rPr>
                <w:rFonts w:ascii="Arial Narrow" w:hAnsi="Arial Narrow"/>
                <w:sz w:val="20"/>
              </w:rPr>
              <w:t xml:space="preserve"> million in Year 5 for a total of </w:t>
            </w:r>
            <w:r w:rsidR="00C27C12">
              <w:rPr>
                <w:rFonts w:ascii="Arial Narrow" w:hAnsi="Arial Narrow"/>
                <w:sz w:val="20"/>
              </w:rPr>
              <w:t>more than</w:t>
            </w:r>
            <w:r w:rsidR="00C27C12" w:rsidRPr="00C86F15">
              <w:rPr>
                <w:rFonts w:ascii="Arial Narrow" w:hAnsi="Arial Narrow"/>
                <w:sz w:val="20"/>
              </w:rPr>
              <w:t xml:space="preserve"> </w:t>
            </w:r>
            <w:r w:rsidRPr="00C86F15">
              <w:rPr>
                <w:rFonts w:ascii="Arial Narrow" w:hAnsi="Arial Narrow"/>
                <w:sz w:val="20"/>
              </w:rPr>
              <w:t>$1</w:t>
            </w:r>
            <w:r w:rsidR="00C27C12">
              <w:rPr>
                <w:rFonts w:ascii="Arial Narrow" w:hAnsi="Arial Narrow"/>
                <w:sz w:val="20"/>
              </w:rPr>
              <w:t>00</w:t>
            </w:r>
            <w:r w:rsidRPr="00C86F15">
              <w:rPr>
                <w:rFonts w:ascii="Arial Narrow" w:hAnsi="Arial Narrow"/>
                <w:sz w:val="20"/>
              </w:rPr>
              <w:t xml:space="preserve"> million over the first 5 years of listing</w:t>
            </w:r>
            <w:r w:rsidR="009C3D89" w:rsidRPr="00C86F15">
              <w:rPr>
                <w:rFonts w:ascii="Arial Narrow" w:hAnsi="Arial Narrow"/>
                <w:sz w:val="20"/>
              </w:rPr>
              <w:t>.</w:t>
            </w:r>
          </w:p>
        </w:tc>
      </w:tr>
      <w:tr w:rsidR="00C27C12" w:rsidRPr="00BA03C0" w:rsidTr="009E57B5">
        <w:trPr>
          <w:trHeight w:val="453"/>
        </w:trPr>
        <w:tc>
          <w:tcPr>
            <w:tcW w:w="0" w:type="auto"/>
            <w:shd w:val="clear" w:color="auto" w:fill="auto"/>
          </w:tcPr>
          <w:p w:rsidR="00EA2AA9" w:rsidRPr="00BA03C0" w:rsidRDefault="00EA2AA9" w:rsidP="00EA2AA9">
            <w:pPr>
              <w:rPr>
                <w:rFonts w:ascii="Arial Narrow" w:hAnsi="Arial Narrow"/>
                <w:sz w:val="20"/>
              </w:rPr>
            </w:pPr>
            <w:r w:rsidRPr="00BA03C0">
              <w:rPr>
                <w:rFonts w:ascii="Arial Narrow" w:hAnsi="Arial Narrow"/>
                <w:sz w:val="20"/>
              </w:rPr>
              <w:br w:type="page"/>
              <w:t>PBAC decision</w:t>
            </w:r>
          </w:p>
        </w:tc>
        <w:tc>
          <w:tcPr>
            <w:tcW w:w="0" w:type="auto"/>
            <w:shd w:val="clear" w:color="auto" w:fill="auto"/>
          </w:tcPr>
          <w:p w:rsidR="00EA2AA9" w:rsidRPr="00BA03C0" w:rsidRDefault="00EA2AA9" w:rsidP="00EA2AA9">
            <w:pPr>
              <w:spacing w:after="60"/>
              <w:jc w:val="left"/>
              <w:rPr>
                <w:rFonts w:ascii="Arial Narrow" w:hAnsi="Arial Narrow"/>
                <w:sz w:val="20"/>
              </w:rPr>
            </w:pPr>
            <w:r w:rsidRPr="00BA03C0">
              <w:rPr>
                <w:rFonts w:ascii="Arial Narrow" w:hAnsi="Arial Narrow"/>
                <w:sz w:val="20"/>
              </w:rPr>
              <w:t>Reject. The PBAC noted that the use of combination immunotherapy was associated with a modest improvement in PFS, but a substantial increase in adverse events. The net clinical benefit of combination treatment was therefore uncertain (paragraph 7.1, November 2015 PSD).</w:t>
            </w:r>
          </w:p>
        </w:tc>
        <w:tc>
          <w:tcPr>
            <w:tcW w:w="0" w:type="auto"/>
            <w:shd w:val="clear" w:color="auto" w:fill="auto"/>
          </w:tcPr>
          <w:p w:rsidR="00EA2AA9" w:rsidRPr="00C86F15" w:rsidRDefault="00EA2AA9" w:rsidP="00EA2AA9">
            <w:pPr>
              <w:spacing w:after="60"/>
              <w:jc w:val="left"/>
              <w:rPr>
                <w:rFonts w:ascii="Arial Narrow" w:hAnsi="Arial Narrow"/>
                <w:sz w:val="20"/>
              </w:rPr>
            </w:pPr>
            <w:r w:rsidRPr="00C86F15">
              <w:rPr>
                <w:rFonts w:ascii="Arial Narrow" w:hAnsi="Arial Narrow"/>
                <w:sz w:val="20"/>
              </w:rPr>
              <w:t>-</w:t>
            </w:r>
          </w:p>
        </w:tc>
      </w:tr>
    </w:tbl>
    <w:p w:rsidR="005F5C7B" w:rsidRPr="003144A1" w:rsidRDefault="005F5C7B" w:rsidP="005F5C7B">
      <w:pPr>
        <w:pStyle w:val="TableFooter"/>
        <w:ind w:left="709"/>
      </w:pPr>
      <w:r w:rsidRPr="003144A1">
        <w:t>CI = confidence interval; HR = hazard ratio; ICER = incremental cost-effectiveness ratio; IPI = ipilimumab; NIVO = nivolumab; OS = overall survival; PD-1 = programmed death 1; PFS = progression</w:t>
      </w:r>
      <w:r w:rsidR="002253F0">
        <w:t>-</w:t>
      </w:r>
      <w:r w:rsidRPr="003144A1">
        <w:t xml:space="preserve">free survival; </w:t>
      </w:r>
      <w:r>
        <w:t xml:space="preserve">PSCR = Pre-subcommittee response; </w:t>
      </w:r>
      <w:r w:rsidRPr="003144A1">
        <w:t>PSD = Public Summary Document; QALY = quality-adjusted life-year</w:t>
      </w:r>
    </w:p>
    <w:p w:rsidR="005F5C7B" w:rsidRPr="005A6753" w:rsidRDefault="005F5C7B" w:rsidP="00F1530B">
      <w:pPr>
        <w:pStyle w:val="TableFooter"/>
        <w:ind w:left="851" w:hanging="142"/>
      </w:pPr>
      <w:r w:rsidRPr="003144A1">
        <w:t xml:space="preserve">* </w:t>
      </w:r>
      <w:r w:rsidRPr="005A6753">
        <w:t xml:space="preserve">Only data relevant to the comparison of NIVO+IPI versus nivolumab monotherapy have been </w:t>
      </w:r>
      <w:r w:rsidR="003E52BF">
        <w:t xml:space="preserve">summarised from </w:t>
      </w:r>
      <w:r w:rsidRPr="005A6753">
        <w:t>the November 2015 submission.</w:t>
      </w:r>
    </w:p>
    <w:p w:rsidR="005F5C7B" w:rsidRPr="001D112E" w:rsidRDefault="005F5C7B" w:rsidP="005F5C7B">
      <w:pPr>
        <w:pStyle w:val="TableFooter"/>
        <w:ind w:firstLine="720"/>
      </w:pPr>
      <w:r w:rsidRPr="005A6753">
        <w:t>Source: Compiled during the evaluation</w:t>
      </w:r>
    </w:p>
    <w:p w:rsidR="00762789" w:rsidRDefault="00762789" w:rsidP="00762789"/>
    <w:p w:rsidR="008F6B85" w:rsidRPr="0005234D" w:rsidRDefault="008F6B85" w:rsidP="008F6B85">
      <w:pPr>
        <w:ind w:firstLine="720"/>
        <w:rPr>
          <w:bCs/>
          <w:szCs w:val="22"/>
        </w:rPr>
      </w:pPr>
      <w:r w:rsidRPr="005F3AC6">
        <w:rPr>
          <w:bCs/>
          <w:i/>
          <w:szCs w:val="22"/>
        </w:rPr>
        <w:t>For more detail on PBAC’s view, see section 7 “PBAC outcome”</w:t>
      </w:r>
      <w:r w:rsidR="00EB44E1">
        <w:rPr>
          <w:bCs/>
          <w:i/>
          <w:szCs w:val="22"/>
        </w:rPr>
        <w:t>.</w:t>
      </w:r>
    </w:p>
    <w:p w:rsidR="008F6B85" w:rsidRDefault="008F6B85" w:rsidP="00762789"/>
    <w:p w:rsidR="003C1450" w:rsidRPr="00882085" w:rsidRDefault="003C1450" w:rsidP="00762789"/>
    <w:p w:rsidR="00762789" w:rsidRPr="00407F2D" w:rsidRDefault="00762789" w:rsidP="00762789">
      <w:pPr>
        <w:pStyle w:val="PBACheading1"/>
        <w:rPr>
          <w:b/>
        </w:rPr>
      </w:pPr>
      <w:bookmarkStart w:id="4" w:name="_Toc472416738"/>
      <w:r w:rsidRPr="00407F2D">
        <w:rPr>
          <w:b/>
        </w:rPr>
        <w:t>Clinical place for the proposed therapy</w:t>
      </w:r>
      <w:bookmarkEnd w:id="4"/>
    </w:p>
    <w:p w:rsidR="00762789" w:rsidRPr="00C86F15" w:rsidRDefault="00762789" w:rsidP="00762789">
      <w:pPr>
        <w:rPr>
          <w:szCs w:val="22"/>
        </w:rPr>
      </w:pPr>
    </w:p>
    <w:p w:rsidR="00762789" w:rsidRPr="00C86F15" w:rsidRDefault="00762789" w:rsidP="009E7F9E">
      <w:pPr>
        <w:pStyle w:val="ListParagraph"/>
        <w:widowControl/>
        <w:numPr>
          <w:ilvl w:val="1"/>
          <w:numId w:val="3"/>
        </w:numPr>
        <w:rPr>
          <w:szCs w:val="22"/>
        </w:rPr>
      </w:pPr>
      <w:r w:rsidRPr="00C86F15">
        <w:t xml:space="preserve">Nivolumab is a human monoclonal immunoglobulin G4 antibody that acts as a </w:t>
      </w:r>
      <w:r w:rsidR="00674DEF" w:rsidRPr="00C86F15">
        <w:t>PD-1</w:t>
      </w:r>
      <w:r w:rsidRPr="00C86F15">
        <w:t xml:space="preserve"> immune checkpoint inhibitor. Ipilimumab is a recombinant human monoclonal antibody that selectively binds to cytotoxic T lymphocyte associated antigen 4 (CTLA-4). The two agents target two distinct checkpoint pathways. </w:t>
      </w:r>
      <w:r w:rsidR="00036510" w:rsidRPr="00C86F15">
        <w:t xml:space="preserve">PD-1 inhibitors reactivate T-cells at the tumour site and </w:t>
      </w:r>
      <w:r w:rsidRPr="00C86F15">
        <w:t>CTLA-4 inhibitors increase the number of activated T-cells migrating to the tumour</w:t>
      </w:r>
      <w:r w:rsidR="00036510" w:rsidRPr="00C86F15">
        <w:t>.</w:t>
      </w:r>
    </w:p>
    <w:p w:rsidR="00762789" w:rsidRPr="00C86F15" w:rsidRDefault="00762789" w:rsidP="00762789">
      <w:pPr>
        <w:widowControl/>
        <w:rPr>
          <w:szCs w:val="22"/>
        </w:rPr>
      </w:pPr>
    </w:p>
    <w:p w:rsidR="00EA2AA9" w:rsidRPr="00C86F15" w:rsidRDefault="00EA2AA9" w:rsidP="009E7F9E">
      <w:pPr>
        <w:pStyle w:val="ListParagraph"/>
        <w:widowControl/>
        <w:numPr>
          <w:ilvl w:val="1"/>
          <w:numId w:val="3"/>
        </w:numPr>
        <w:rPr>
          <w:szCs w:val="22"/>
        </w:rPr>
      </w:pPr>
      <w:r w:rsidRPr="00C86F15">
        <w:t xml:space="preserve">The </w:t>
      </w:r>
      <w:r w:rsidR="008D1756" w:rsidRPr="00C86F15">
        <w:t>resubmission</w:t>
      </w:r>
      <w:r w:rsidRPr="00C86F15">
        <w:t xml:space="preserve"> considered that NIVO+IPI would be used in the first-line setting for patients with BRAF wild type </w:t>
      </w:r>
      <w:r w:rsidR="006E326B">
        <w:t>melanoma</w:t>
      </w:r>
      <w:r w:rsidRPr="00C86F15">
        <w:t>, while the vast majority o</w:t>
      </w:r>
      <w:r w:rsidR="00827DAF" w:rsidRPr="00C86F15">
        <w:t xml:space="preserve">f patients with BRAF mutant </w:t>
      </w:r>
      <w:r w:rsidR="006E326B">
        <w:t>melanoma</w:t>
      </w:r>
      <w:r w:rsidRPr="00C86F15">
        <w:t xml:space="preserve"> would receive first-line BRAF inhibitor treatment followed by second-line NIVO+IPI upon progression. However, the requested restriction included all patients with stage III or IV unresectable metastatic melanoma, irrespective of BRAF status or treatment line. This was unchanged from the previous submission.</w:t>
      </w:r>
      <w:r w:rsidR="008325D7" w:rsidRPr="00C86F15">
        <w:t xml:space="preserve"> </w:t>
      </w:r>
      <w:r w:rsidR="006373DC" w:rsidRPr="00C86F15">
        <w:t xml:space="preserve">Under the requested restriction, NIVO+IPI may substitute for </w:t>
      </w:r>
      <w:r w:rsidR="002E2070">
        <w:t xml:space="preserve">the combination of </w:t>
      </w:r>
      <w:r w:rsidR="006373DC" w:rsidRPr="00C86F15">
        <w:t xml:space="preserve">BRAF </w:t>
      </w:r>
      <w:r w:rsidR="002E2070">
        <w:t xml:space="preserve">and MEK </w:t>
      </w:r>
      <w:r w:rsidR="006373DC" w:rsidRPr="00C86F15">
        <w:t xml:space="preserve">inhibitors in the first-line setting. </w:t>
      </w:r>
      <w:r w:rsidR="008325D7" w:rsidRPr="00C86F15">
        <w:t xml:space="preserve">No </w:t>
      </w:r>
      <w:r w:rsidR="006373DC" w:rsidRPr="00C86F15">
        <w:t xml:space="preserve">comparative </w:t>
      </w:r>
      <w:r w:rsidR="008325D7" w:rsidRPr="00C86F15">
        <w:t xml:space="preserve">evidence was provided to support the use of NIVO+IPI </w:t>
      </w:r>
      <w:r w:rsidR="006373DC" w:rsidRPr="00C86F15">
        <w:t>in place o</w:t>
      </w:r>
      <w:r w:rsidR="007C7BF1" w:rsidRPr="00C86F15">
        <w:t xml:space="preserve">f </w:t>
      </w:r>
      <w:r w:rsidR="002E2070">
        <w:t xml:space="preserve">the combination of </w:t>
      </w:r>
      <w:r w:rsidR="007C7BF1" w:rsidRPr="00C86F15">
        <w:t xml:space="preserve">a BRAF </w:t>
      </w:r>
      <w:r w:rsidR="002E2070">
        <w:t xml:space="preserve">and MEK </w:t>
      </w:r>
      <w:r w:rsidR="007C7BF1" w:rsidRPr="00C86F15">
        <w:t>inhibitor in the first-</w:t>
      </w:r>
      <w:r w:rsidR="006373DC" w:rsidRPr="00C86F15">
        <w:t>line setting.</w:t>
      </w:r>
      <w:r w:rsidR="0006752F" w:rsidRPr="00C86F15">
        <w:t xml:space="preserve"> Similarly, n</w:t>
      </w:r>
      <w:r w:rsidR="006373DC" w:rsidRPr="00C86F15">
        <w:t>o evidence was provided to support th</w:t>
      </w:r>
      <w:r w:rsidR="00DE6026" w:rsidRPr="00C86F15">
        <w:t>e use of NIVO+IPI in the second-</w:t>
      </w:r>
      <w:r w:rsidR="006373DC" w:rsidRPr="00C86F15">
        <w:t>line setting following a BRAF</w:t>
      </w:r>
      <w:r w:rsidR="002E2070">
        <w:t>/MEK</w:t>
      </w:r>
      <w:r w:rsidR="006373DC" w:rsidRPr="00C86F15">
        <w:t xml:space="preserve"> inhibitor.</w:t>
      </w:r>
    </w:p>
    <w:p w:rsidR="00ED0E15" w:rsidRPr="00C86F15" w:rsidRDefault="00ED0E15" w:rsidP="00ED0E15">
      <w:pPr>
        <w:rPr>
          <w:szCs w:val="22"/>
        </w:rPr>
      </w:pPr>
    </w:p>
    <w:p w:rsidR="008F6B85" w:rsidRPr="0005234D" w:rsidRDefault="008F6B85" w:rsidP="008F6B85">
      <w:pPr>
        <w:ind w:firstLine="720"/>
        <w:rPr>
          <w:bCs/>
          <w:szCs w:val="22"/>
        </w:rPr>
      </w:pPr>
      <w:r w:rsidRPr="007A081A">
        <w:rPr>
          <w:bCs/>
          <w:i/>
          <w:szCs w:val="22"/>
        </w:rPr>
        <w:t>For more detail on PBAC’s view, see section 7 “PBAC outcome”</w:t>
      </w:r>
      <w:r w:rsidR="00EB44E1">
        <w:rPr>
          <w:bCs/>
          <w:i/>
          <w:szCs w:val="22"/>
        </w:rPr>
        <w:t>.</w:t>
      </w:r>
    </w:p>
    <w:p w:rsidR="0060171D" w:rsidRDefault="0060171D" w:rsidP="000C5DD5">
      <w:pPr>
        <w:widowControl/>
        <w:rPr>
          <w:szCs w:val="22"/>
        </w:rPr>
      </w:pPr>
    </w:p>
    <w:p w:rsidR="003C1450" w:rsidRPr="000C5DD5" w:rsidRDefault="003C1450" w:rsidP="000C5DD5">
      <w:pPr>
        <w:widowControl/>
        <w:rPr>
          <w:szCs w:val="22"/>
        </w:rPr>
      </w:pPr>
    </w:p>
    <w:p w:rsidR="00762789" w:rsidRPr="00407F2D" w:rsidRDefault="00762789" w:rsidP="00762789">
      <w:pPr>
        <w:pStyle w:val="PBACheading1"/>
        <w:rPr>
          <w:b/>
        </w:rPr>
      </w:pPr>
      <w:bookmarkStart w:id="5" w:name="_Toc472416739"/>
      <w:r w:rsidRPr="00407F2D">
        <w:rPr>
          <w:b/>
        </w:rPr>
        <w:t>Comparator</w:t>
      </w:r>
      <w:bookmarkEnd w:id="5"/>
    </w:p>
    <w:p w:rsidR="00762789" w:rsidRPr="00882085" w:rsidRDefault="00762789" w:rsidP="00762789"/>
    <w:p w:rsidR="00897148" w:rsidRPr="00C86F15" w:rsidRDefault="00897148" w:rsidP="009E7F9E">
      <w:pPr>
        <w:pStyle w:val="ListParagraph"/>
        <w:widowControl/>
        <w:numPr>
          <w:ilvl w:val="1"/>
          <w:numId w:val="3"/>
        </w:numPr>
        <w:rPr>
          <w:szCs w:val="22"/>
        </w:rPr>
      </w:pPr>
      <w:r w:rsidRPr="00C86F15">
        <w:t xml:space="preserve">The </w:t>
      </w:r>
      <w:r w:rsidR="008D1756" w:rsidRPr="00C86F15">
        <w:t>resubmission</w:t>
      </w:r>
      <w:r w:rsidRPr="00C86F15">
        <w:t xml:space="preserve"> nominated the treatment sequence of PD-1 inhibitor monotherapy followed by ipilimumab monotherapy upon disease progression (in the first/second-line setting for </w:t>
      </w:r>
      <w:r w:rsidR="008F2A12" w:rsidRPr="00C86F15">
        <w:t xml:space="preserve">patients with </w:t>
      </w:r>
      <w:r w:rsidRPr="00C86F15">
        <w:t xml:space="preserve">BRAF wild type </w:t>
      </w:r>
      <w:r w:rsidR="006E326B">
        <w:t>melanoma</w:t>
      </w:r>
      <w:r w:rsidRPr="00C86F15">
        <w:t xml:space="preserve"> and in the second/third-line setting post first-line BRAF</w:t>
      </w:r>
      <w:r w:rsidR="002E2070">
        <w:t>/MEK</w:t>
      </w:r>
      <w:r w:rsidRPr="00C86F15">
        <w:t xml:space="preserve"> inhibitor in </w:t>
      </w:r>
      <w:r w:rsidR="00827DAF" w:rsidRPr="00C86F15">
        <w:t xml:space="preserve">patients with BRAF mutant </w:t>
      </w:r>
      <w:r w:rsidR="006E326B">
        <w:t>melanoma</w:t>
      </w:r>
      <w:r w:rsidRPr="00C86F15">
        <w:t>) as the main comparator fo</w:t>
      </w:r>
      <w:r w:rsidR="000C5DD5" w:rsidRPr="00C86F15">
        <w:t>r NIVO+IPI combination therapy.</w:t>
      </w:r>
    </w:p>
    <w:p w:rsidR="00762789" w:rsidRPr="00C86F15" w:rsidRDefault="00762789" w:rsidP="00762789">
      <w:pPr>
        <w:widowControl/>
        <w:rPr>
          <w:szCs w:val="22"/>
        </w:rPr>
      </w:pPr>
    </w:p>
    <w:p w:rsidR="00897148" w:rsidRPr="00C86F15" w:rsidRDefault="00762789" w:rsidP="009E7F9E">
      <w:pPr>
        <w:pStyle w:val="ListParagraph"/>
        <w:widowControl/>
        <w:numPr>
          <w:ilvl w:val="1"/>
          <w:numId w:val="3"/>
        </w:numPr>
        <w:rPr>
          <w:szCs w:val="22"/>
        </w:rPr>
      </w:pPr>
      <w:r w:rsidRPr="00C86F15">
        <w:t>The PBAC</w:t>
      </w:r>
      <w:r w:rsidR="00C654FE" w:rsidRPr="00C86F15">
        <w:t xml:space="preserve"> previously</w:t>
      </w:r>
      <w:r w:rsidRPr="00C86F15">
        <w:t xml:space="preserve"> considered that </w:t>
      </w:r>
      <w:r w:rsidR="00C654FE" w:rsidRPr="00C86F15">
        <w:t xml:space="preserve">the revised </w:t>
      </w:r>
      <w:r w:rsidR="0055348B" w:rsidRPr="00C86F15">
        <w:t>main comparator in the November </w:t>
      </w:r>
      <w:r w:rsidR="00C654FE" w:rsidRPr="00C86F15">
        <w:t xml:space="preserve">2015 submission, </w:t>
      </w:r>
      <w:r w:rsidR="00540A73" w:rsidRPr="00C86F15">
        <w:t>pembrolizumab monotherapy</w:t>
      </w:r>
      <w:r w:rsidRPr="00C86F15">
        <w:t xml:space="preserve">, </w:t>
      </w:r>
      <w:r w:rsidR="00C654FE" w:rsidRPr="00C86F15">
        <w:t xml:space="preserve">was appropriate, and that </w:t>
      </w:r>
      <w:r w:rsidR="00C654FE" w:rsidRPr="00C86F15">
        <w:rPr>
          <w:bCs/>
          <w:szCs w:val="22"/>
          <w:lang w:val="en-GB"/>
        </w:rPr>
        <w:t>the sequential use of a PD-1 inhibitor followed by ipilimumab, and dabrafenib ± trametinib for BRAF mutant patients, were also appropriate comparators</w:t>
      </w:r>
      <w:r w:rsidRPr="00C86F15">
        <w:t xml:space="preserve"> (paragraph 7.3, 5.10 nivolumab plus ipilimumab </w:t>
      </w:r>
      <w:r w:rsidR="004D301A" w:rsidRPr="00C86F15">
        <w:t>Public Summary Document (</w:t>
      </w:r>
      <w:r w:rsidRPr="00C86F15">
        <w:t>PSD</w:t>
      </w:r>
      <w:r w:rsidR="004D301A" w:rsidRPr="00C86F15">
        <w:t>)</w:t>
      </w:r>
      <w:r w:rsidR="004421E6" w:rsidRPr="00C86F15">
        <w:t>, November 2015 PBA</w:t>
      </w:r>
      <w:r w:rsidRPr="00C86F15">
        <w:t xml:space="preserve">C meeting). </w:t>
      </w:r>
      <w:r w:rsidR="00540A73" w:rsidRPr="00C86F15">
        <w:t>Nivolumab, as monotherapy, was not listed for this indication at the time of the previous submission.</w:t>
      </w:r>
      <w:r w:rsidR="00246E28" w:rsidRPr="00C86F15">
        <w:t xml:space="preserve"> </w:t>
      </w:r>
      <w:r w:rsidR="00897148" w:rsidRPr="00C86F15">
        <w:rPr>
          <w:lang w:val="en-US"/>
        </w:rPr>
        <w:t xml:space="preserve">The </w:t>
      </w:r>
      <w:r w:rsidR="008D1756" w:rsidRPr="00C86F15">
        <w:rPr>
          <w:lang w:val="en-US"/>
        </w:rPr>
        <w:t>resubmission</w:t>
      </w:r>
      <w:r w:rsidR="00897148" w:rsidRPr="00C86F15">
        <w:rPr>
          <w:lang w:val="en-US"/>
        </w:rPr>
        <w:t xml:space="preserve"> stated that it chose not to compare NIVO+IPI combination with PD-1 inhibitor monotherapy, as substitution for such w</w:t>
      </w:r>
      <w:r w:rsidR="000C5DD5" w:rsidRPr="00C86F15">
        <w:rPr>
          <w:lang w:val="en-US"/>
        </w:rPr>
        <w:t>ould</w:t>
      </w:r>
      <w:r w:rsidR="00897148" w:rsidRPr="00C86F15">
        <w:rPr>
          <w:lang w:val="en-US"/>
        </w:rPr>
        <w:t xml:space="preserve"> be relatively minor compared to substitution for the </w:t>
      </w:r>
      <w:r w:rsidR="00574A97" w:rsidRPr="00C86F15">
        <w:rPr>
          <w:lang w:val="en-US"/>
        </w:rPr>
        <w:t xml:space="preserve">two monotherapies in </w:t>
      </w:r>
      <w:r w:rsidR="00897148" w:rsidRPr="00C86F15">
        <w:rPr>
          <w:lang w:val="en-US"/>
        </w:rPr>
        <w:t xml:space="preserve">sequence. </w:t>
      </w:r>
      <w:r w:rsidR="00DA515F" w:rsidRPr="00C86F15">
        <w:t>This claim was poorly supported</w:t>
      </w:r>
      <w:r w:rsidR="003802EF" w:rsidRPr="00C86F15">
        <w:t xml:space="preserve"> as it was based on expert opinion (n=7)</w:t>
      </w:r>
      <w:r w:rsidR="00DA515F" w:rsidRPr="00C86F15">
        <w:rPr>
          <w:szCs w:val="24"/>
        </w:rPr>
        <w:t>.</w:t>
      </w:r>
    </w:p>
    <w:p w:rsidR="00BA3AB7" w:rsidRPr="00C86F15" w:rsidRDefault="00BA3AB7" w:rsidP="003E52BF">
      <w:pPr>
        <w:rPr>
          <w:lang w:val="en-US"/>
        </w:rPr>
      </w:pPr>
    </w:p>
    <w:p w:rsidR="00BA3AB7" w:rsidRPr="00C86F15" w:rsidRDefault="00BA3AB7" w:rsidP="009E7F9E">
      <w:pPr>
        <w:pStyle w:val="ListParagraph"/>
        <w:widowControl/>
        <w:numPr>
          <w:ilvl w:val="1"/>
          <w:numId w:val="3"/>
        </w:numPr>
        <w:rPr>
          <w:szCs w:val="22"/>
        </w:rPr>
      </w:pPr>
      <w:r w:rsidRPr="00C86F15">
        <w:rPr>
          <w:szCs w:val="22"/>
        </w:rPr>
        <w:t xml:space="preserve">The PSCR </w:t>
      </w:r>
      <w:r w:rsidR="00F13CF3" w:rsidRPr="00C86F15">
        <w:rPr>
          <w:szCs w:val="22"/>
        </w:rPr>
        <w:t xml:space="preserve">stated that the comparator selection was guided by an advisory board of seven clinical advisors (who treat approximately 50% of metastatic melanoma </w:t>
      </w:r>
      <w:r w:rsidR="002F30CA" w:rsidRPr="00C86F15">
        <w:rPr>
          <w:szCs w:val="22"/>
        </w:rPr>
        <w:t>patients in</w:t>
      </w:r>
      <w:r w:rsidR="00F13CF3" w:rsidRPr="00C86F15">
        <w:rPr>
          <w:szCs w:val="22"/>
        </w:rPr>
        <w:t xml:space="preserve"> Australia</w:t>
      </w:r>
      <w:r w:rsidR="002F30CA" w:rsidRPr="00C86F15">
        <w:rPr>
          <w:szCs w:val="22"/>
        </w:rPr>
        <w:t>). The board stat</w:t>
      </w:r>
      <w:r w:rsidR="003E52BF" w:rsidRPr="00C86F15">
        <w:rPr>
          <w:szCs w:val="22"/>
        </w:rPr>
        <w:t>ed</w:t>
      </w:r>
      <w:r w:rsidR="002F30CA" w:rsidRPr="00C86F15">
        <w:rPr>
          <w:szCs w:val="22"/>
        </w:rPr>
        <w:t xml:space="preserve"> that combination therapy would replace sequential therapy if PBS listed. The ESC advised that the current PBS data shows that </w:t>
      </w:r>
      <w:r w:rsidR="003C60D0" w:rsidRPr="00C86F15">
        <w:rPr>
          <w:szCs w:val="22"/>
        </w:rPr>
        <w:t xml:space="preserve">the majority of </w:t>
      </w:r>
      <w:r w:rsidR="002F30CA" w:rsidRPr="00C86F15">
        <w:rPr>
          <w:szCs w:val="22"/>
        </w:rPr>
        <w:t xml:space="preserve">patients </w:t>
      </w:r>
      <w:r w:rsidR="0011599F">
        <w:rPr>
          <w:szCs w:val="22"/>
        </w:rPr>
        <w:t xml:space="preserve">who </w:t>
      </w:r>
      <w:r w:rsidR="002F30CA" w:rsidRPr="00C86F15">
        <w:rPr>
          <w:szCs w:val="22"/>
        </w:rPr>
        <w:t xml:space="preserve">are </w:t>
      </w:r>
      <w:r w:rsidR="00EB44E1">
        <w:rPr>
          <w:szCs w:val="22"/>
        </w:rPr>
        <w:t xml:space="preserve">currently being </w:t>
      </w:r>
      <w:r w:rsidR="002F30CA" w:rsidRPr="00C86F15">
        <w:rPr>
          <w:szCs w:val="22"/>
        </w:rPr>
        <w:t xml:space="preserve">treated with ipilimumab </w:t>
      </w:r>
      <w:r w:rsidR="0011599F">
        <w:rPr>
          <w:szCs w:val="22"/>
        </w:rPr>
        <w:t xml:space="preserve">have previously received </w:t>
      </w:r>
      <w:r w:rsidR="002F30CA" w:rsidRPr="00C86F15">
        <w:rPr>
          <w:szCs w:val="22"/>
        </w:rPr>
        <w:t>treatment with a PD-L1 inhibitor.</w:t>
      </w:r>
    </w:p>
    <w:p w:rsidR="00762789" w:rsidRPr="00C86F15" w:rsidRDefault="00762789" w:rsidP="000C5DD5">
      <w:pPr>
        <w:widowControl/>
        <w:rPr>
          <w:szCs w:val="22"/>
        </w:rPr>
      </w:pPr>
    </w:p>
    <w:p w:rsidR="00762789" w:rsidRPr="00C86F15" w:rsidRDefault="00762789" w:rsidP="009E7F9E">
      <w:pPr>
        <w:pStyle w:val="ListParagraph"/>
        <w:widowControl/>
        <w:numPr>
          <w:ilvl w:val="1"/>
          <w:numId w:val="3"/>
        </w:numPr>
        <w:rPr>
          <w:szCs w:val="22"/>
        </w:rPr>
      </w:pPr>
      <w:r w:rsidRPr="00C86F15">
        <w:rPr>
          <w:szCs w:val="22"/>
        </w:rPr>
        <w:t xml:space="preserve">Since the nominated comparator spans two treatment lines, the requested treatment regimen should also span two treatment lines. The </w:t>
      </w:r>
      <w:r w:rsidR="008D1756" w:rsidRPr="00C86F15">
        <w:rPr>
          <w:szCs w:val="22"/>
        </w:rPr>
        <w:t>resubmission</w:t>
      </w:r>
      <w:r w:rsidRPr="00C86F15">
        <w:rPr>
          <w:szCs w:val="22"/>
        </w:rPr>
        <w:t>’s economic model was based on a comparison of the following two treatment strategies:</w:t>
      </w:r>
    </w:p>
    <w:p w:rsidR="00762789" w:rsidRPr="00C86F15" w:rsidRDefault="000C5DD5" w:rsidP="009E7F9E">
      <w:pPr>
        <w:pStyle w:val="ListParagraph"/>
        <w:widowControl/>
        <w:numPr>
          <w:ilvl w:val="0"/>
          <w:numId w:val="6"/>
        </w:numPr>
        <w:ind w:left="1134"/>
        <w:rPr>
          <w:szCs w:val="22"/>
        </w:rPr>
      </w:pPr>
      <w:r w:rsidRPr="00C86F15">
        <w:rPr>
          <w:szCs w:val="22"/>
        </w:rPr>
        <w:t>f</w:t>
      </w:r>
      <w:r w:rsidR="00762789" w:rsidRPr="00C86F15">
        <w:rPr>
          <w:szCs w:val="22"/>
        </w:rPr>
        <w:t>irst-line NIVO+IPI followed by BSC upon disease progression, and</w:t>
      </w:r>
    </w:p>
    <w:p w:rsidR="00762789" w:rsidRPr="00C86F15" w:rsidRDefault="000C5DD5" w:rsidP="009E7F9E">
      <w:pPr>
        <w:pStyle w:val="ListParagraph"/>
        <w:widowControl/>
        <w:numPr>
          <w:ilvl w:val="0"/>
          <w:numId w:val="6"/>
        </w:numPr>
        <w:ind w:left="1134"/>
        <w:rPr>
          <w:szCs w:val="22"/>
        </w:rPr>
      </w:pPr>
      <w:r w:rsidRPr="00C86F15">
        <w:rPr>
          <w:szCs w:val="22"/>
        </w:rPr>
        <w:t>f</w:t>
      </w:r>
      <w:r w:rsidR="00762789" w:rsidRPr="00C86F15">
        <w:rPr>
          <w:szCs w:val="22"/>
        </w:rPr>
        <w:t>irst-line nivolumab monotherapy followed by ipilimumab monotherapy upon disease progression.</w:t>
      </w:r>
    </w:p>
    <w:p w:rsidR="00762789" w:rsidRPr="00C86F15" w:rsidRDefault="00762789" w:rsidP="000C5DD5">
      <w:pPr>
        <w:widowControl/>
        <w:rPr>
          <w:szCs w:val="22"/>
        </w:rPr>
      </w:pPr>
    </w:p>
    <w:p w:rsidR="00762789" w:rsidRPr="00C86F15" w:rsidRDefault="00762789" w:rsidP="009E7F9E">
      <w:pPr>
        <w:pStyle w:val="ListParagraph"/>
        <w:widowControl/>
        <w:numPr>
          <w:ilvl w:val="1"/>
          <w:numId w:val="3"/>
        </w:numPr>
        <w:rPr>
          <w:szCs w:val="22"/>
        </w:rPr>
      </w:pPr>
      <w:r w:rsidRPr="00C86F15">
        <w:rPr>
          <w:szCs w:val="22"/>
        </w:rPr>
        <w:t xml:space="preserve">The </w:t>
      </w:r>
      <w:r w:rsidR="008D1756" w:rsidRPr="00C86F15">
        <w:rPr>
          <w:szCs w:val="22"/>
        </w:rPr>
        <w:t>resubmission</w:t>
      </w:r>
      <w:r w:rsidRPr="00C86F15">
        <w:rPr>
          <w:szCs w:val="22"/>
        </w:rPr>
        <w:t xml:space="preserve"> appeared to define BSC as the absence of any systemic anti-cancer therapy. Assuming no patients would receive further systemic therapy following progression on NIVO+IPI was not consistent with:</w:t>
      </w:r>
    </w:p>
    <w:p w:rsidR="00762789" w:rsidRPr="00C86F15" w:rsidRDefault="000C5DD5" w:rsidP="009E7F9E">
      <w:pPr>
        <w:pStyle w:val="ListParagraph"/>
        <w:numPr>
          <w:ilvl w:val="0"/>
          <w:numId w:val="2"/>
        </w:numPr>
        <w:ind w:left="1134"/>
        <w:rPr>
          <w:lang w:val="en-US"/>
        </w:rPr>
      </w:pPr>
      <w:r w:rsidRPr="00C86F15">
        <w:rPr>
          <w:lang w:val="en-US"/>
        </w:rPr>
        <w:t>t</w:t>
      </w:r>
      <w:r w:rsidR="00B2024C" w:rsidRPr="00C86F15">
        <w:rPr>
          <w:lang w:val="en-US"/>
        </w:rPr>
        <w:t>he proposed treatment algorithm presented in Section A,</w:t>
      </w:r>
      <w:r w:rsidR="00762789" w:rsidRPr="00C86F15">
        <w:rPr>
          <w:lang w:val="en-US"/>
        </w:rPr>
        <w:t xml:space="preserve"> which indicated that, of those who progress on NIVO+IPI, 25% of </w:t>
      </w:r>
      <w:r w:rsidR="00827DAF" w:rsidRPr="00C86F15">
        <w:rPr>
          <w:lang w:val="en-US"/>
        </w:rPr>
        <w:t xml:space="preserve">patients with </w:t>
      </w:r>
      <w:r w:rsidR="00762789" w:rsidRPr="00C86F15">
        <w:rPr>
          <w:lang w:val="en-US"/>
        </w:rPr>
        <w:t xml:space="preserve">BRAF wild type </w:t>
      </w:r>
      <w:r w:rsidR="006E326B">
        <w:rPr>
          <w:lang w:val="en-US"/>
        </w:rPr>
        <w:t>melanoma</w:t>
      </w:r>
      <w:r w:rsidR="00762789" w:rsidRPr="00C86F15">
        <w:rPr>
          <w:lang w:val="en-US"/>
        </w:rPr>
        <w:t xml:space="preserve"> and </w:t>
      </w:r>
      <w:r w:rsidR="00A81A74" w:rsidRPr="00C86F15">
        <w:rPr>
          <w:lang w:val="en-US"/>
        </w:rPr>
        <w:t>approximately 20</w:t>
      </w:r>
      <w:r w:rsidR="00762789" w:rsidRPr="00C86F15">
        <w:rPr>
          <w:lang w:val="en-US"/>
        </w:rPr>
        <w:t xml:space="preserve">% of </w:t>
      </w:r>
      <w:r w:rsidR="00827DAF" w:rsidRPr="00C86F15">
        <w:rPr>
          <w:lang w:val="en-US"/>
        </w:rPr>
        <w:t xml:space="preserve">patients with BRAF mutant </w:t>
      </w:r>
      <w:r w:rsidR="006E326B">
        <w:rPr>
          <w:lang w:val="en-US"/>
        </w:rPr>
        <w:t>melanoma</w:t>
      </w:r>
      <w:r w:rsidR="00762789" w:rsidRPr="00C86F15">
        <w:rPr>
          <w:lang w:val="en-US"/>
        </w:rPr>
        <w:t xml:space="preserve"> would receive chemotherapy;</w:t>
      </w:r>
      <w:r w:rsidR="00B2024C" w:rsidRPr="00C86F15">
        <w:rPr>
          <w:lang w:val="en-US"/>
        </w:rPr>
        <w:t xml:space="preserve"> </w:t>
      </w:r>
      <w:r w:rsidR="006373DC" w:rsidRPr="00C86F15">
        <w:rPr>
          <w:lang w:val="en-US"/>
        </w:rPr>
        <w:t>and</w:t>
      </w:r>
    </w:p>
    <w:p w:rsidR="00373F85" w:rsidRPr="00C86F15" w:rsidRDefault="000C5DD5" w:rsidP="009E7F9E">
      <w:pPr>
        <w:pStyle w:val="ListParagraph"/>
        <w:numPr>
          <w:ilvl w:val="0"/>
          <w:numId w:val="2"/>
        </w:numPr>
        <w:ind w:left="1134"/>
        <w:rPr>
          <w:lang w:val="en-US"/>
        </w:rPr>
      </w:pPr>
      <w:r w:rsidRPr="00C86F15">
        <w:rPr>
          <w:lang w:val="en-US"/>
        </w:rPr>
        <w:t>t</w:t>
      </w:r>
      <w:r w:rsidR="00373F85" w:rsidRPr="00C86F15">
        <w:rPr>
          <w:lang w:val="en-US"/>
        </w:rPr>
        <w:t xml:space="preserve">he key trial presented in Section B of the </w:t>
      </w:r>
      <w:r w:rsidR="008D1756" w:rsidRPr="00C86F15">
        <w:rPr>
          <w:lang w:val="en-US"/>
        </w:rPr>
        <w:t>resubmission</w:t>
      </w:r>
      <w:r w:rsidR="00373F85" w:rsidRPr="00C86F15">
        <w:rPr>
          <w:lang w:val="en-US"/>
        </w:rPr>
        <w:t xml:space="preserve"> (CA209-067), in which 32% of all randomised patients in the NIVO+IPI treatment arm had received subsequent systemic therapy at the latest database lock in September 2016 (only 54% of patients in the NIVO+IPI arm had experienced a progression event at this time-point)</w:t>
      </w:r>
      <w:r w:rsidR="00B2024C" w:rsidRPr="00C86F15">
        <w:rPr>
          <w:lang w:val="en-US"/>
        </w:rPr>
        <w:t>.</w:t>
      </w:r>
    </w:p>
    <w:p w:rsidR="00762789" w:rsidRPr="00C86F15" w:rsidRDefault="00762789" w:rsidP="000C5DD5">
      <w:pPr>
        <w:widowControl/>
        <w:rPr>
          <w:szCs w:val="22"/>
        </w:rPr>
      </w:pPr>
    </w:p>
    <w:p w:rsidR="00CD1E2E" w:rsidRDefault="0000647A" w:rsidP="00CD1E2E">
      <w:pPr>
        <w:pStyle w:val="ListParagraph"/>
        <w:widowControl/>
        <w:numPr>
          <w:ilvl w:val="1"/>
          <w:numId w:val="3"/>
        </w:numPr>
        <w:rPr>
          <w:szCs w:val="22"/>
        </w:rPr>
      </w:pPr>
      <w:r w:rsidRPr="00C86F15">
        <w:rPr>
          <w:szCs w:val="22"/>
        </w:rPr>
        <w:t>Furthermore, t</w:t>
      </w:r>
      <w:r w:rsidR="00886D13" w:rsidRPr="00C86F15">
        <w:rPr>
          <w:szCs w:val="22"/>
        </w:rPr>
        <w:t>he current listing for ipilimumab allow</w:t>
      </w:r>
      <w:r w:rsidR="006373DC" w:rsidRPr="00C86F15">
        <w:rPr>
          <w:szCs w:val="22"/>
        </w:rPr>
        <w:t>s</w:t>
      </w:r>
      <w:r w:rsidR="00886D13" w:rsidRPr="00C86F15">
        <w:rPr>
          <w:szCs w:val="22"/>
        </w:rPr>
        <w:t xml:space="preserve"> for re-induction of treatment in patients who have progressive disease after achieving an initial objective response</w:t>
      </w:r>
      <w:r w:rsidR="006373DC" w:rsidRPr="00C86F15">
        <w:rPr>
          <w:szCs w:val="22"/>
        </w:rPr>
        <w:t xml:space="preserve">, therefore </w:t>
      </w:r>
      <w:r w:rsidR="00342F6F" w:rsidRPr="00C86F15">
        <w:rPr>
          <w:szCs w:val="22"/>
        </w:rPr>
        <w:t>subsequent</w:t>
      </w:r>
      <w:r w:rsidR="006373DC" w:rsidRPr="00C86F15">
        <w:rPr>
          <w:szCs w:val="22"/>
        </w:rPr>
        <w:t xml:space="preserve"> treatment with </w:t>
      </w:r>
      <w:r w:rsidR="00342F6F" w:rsidRPr="00C86F15">
        <w:rPr>
          <w:szCs w:val="22"/>
        </w:rPr>
        <w:t>ipilimumab monotherapy</w:t>
      </w:r>
      <w:r w:rsidR="006373DC" w:rsidRPr="00C86F15">
        <w:rPr>
          <w:szCs w:val="22"/>
        </w:rPr>
        <w:t xml:space="preserve"> may occur </w:t>
      </w:r>
      <w:r w:rsidR="00342F6F" w:rsidRPr="00C86F15">
        <w:rPr>
          <w:szCs w:val="22"/>
        </w:rPr>
        <w:t xml:space="preserve">following progression on </w:t>
      </w:r>
      <w:r w:rsidR="003802EF" w:rsidRPr="00C86F15">
        <w:rPr>
          <w:szCs w:val="22"/>
        </w:rPr>
        <w:t>either NIVO+IPI or nivolumab</w:t>
      </w:r>
      <w:r w:rsidR="000C5DD5" w:rsidRPr="00C86F15">
        <w:rPr>
          <w:szCs w:val="22"/>
        </w:rPr>
        <w:t xml:space="preserve"> monotherapy.</w:t>
      </w:r>
    </w:p>
    <w:p w:rsidR="00CD1E2E" w:rsidRPr="00EB44E1" w:rsidRDefault="00CD1E2E" w:rsidP="00CD1E2E">
      <w:pPr>
        <w:widowControl/>
        <w:rPr>
          <w:szCs w:val="22"/>
        </w:rPr>
      </w:pPr>
    </w:p>
    <w:p w:rsidR="00CD1E2E" w:rsidRDefault="00CD1E2E" w:rsidP="00CD1E2E">
      <w:pPr>
        <w:pStyle w:val="ListParagraph"/>
        <w:widowControl/>
        <w:numPr>
          <w:ilvl w:val="1"/>
          <w:numId w:val="3"/>
        </w:numPr>
        <w:rPr>
          <w:szCs w:val="22"/>
        </w:rPr>
      </w:pPr>
      <w:r w:rsidRPr="00CD1E2E">
        <w:rPr>
          <w:szCs w:val="22"/>
        </w:rPr>
        <w:t xml:space="preserve">The </w:t>
      </w:r>
      <w:r w:rsidR="00803007" w:rsidRPr="00CD1E2E">
        <w:rPr>
          <w:szCs w:val="22"/>
        </w:rPr>
        <w:t>p</w:t>
      </w:r>
      <w:r w:rsidRPr="00CD1E2E">
        <w:rPr>
          <w:szCs w:val="22"/>
        </w:rPr>
        <w:t xml:space="preserve">re-PBAC </w:t>
      </w:r>
      <w:r w:rsidR="00803007" w:rsidRPr="00CD1E2E">
        <w:rPr>
          <w:szCs w:val="22"/>
        </w:rPr>
        <w:t>r</w:t>
      </w:r>
      <w:r w:rsidRPr="00CD1E2E">
        <w:rPr>
          <w:szCs w:val="22"/>
        </w:rPr>
        <w:t>esponse stated that the pivotal trial CA209-067 did not allow NIVO+IPI patients to be retreated with IPI and the sponsor maintained that retreatment with IPI should not be permitted under the PBS listing.</w:t>
      </w:r>
    </w:p>
    <w:p w:rsidR="00CD1E2E" w:rsidRPr="00EB44E1" w:rsidRDefault="00CD1E2E" w:rsidP="00CD1E2E">
      <w:pPr>
        <w:rPr>
          <w:szCs w:val="22"/>
        </w:rPr>
      </w:pPr>
    </w:p>
    <w:p w:rsidR="008F6B85" w:rsidRPr="0005234D" w:rsidRDefault="008F6B85" w:rsidP="008F6B85">
      <w:pPr>
        <w:ind w:firstLine="720"/>
        <w:rPr>
          <w:bCs/>
          <w:szCs w:val="22"/>
        </w:rPr>
      </w:pPr>
      <w:r w:rsidRPr="00FD023A">
        <w:rPr>
          <w:bCs/>
          <w:i/>
          <w:szCs w:val="22"/>
        </w:rPr>
        <w:t>For more detail on PBAC’s view, see section 7 “PBAC outcome”</w:t>
      </w:r>
      <w:r w:rsidR="00EB44E1">
        <w:rPr>
          <w:bCs/>
          <w:i/>
          <w:szCs w:val="22"/>
        </w:rPr>
        <w:t>.</w:t>
      </w:r>
    </w:p>
    <w:p w:rsidR="0060171D" w:rsidRDefault="0060171D" w:rsidP="00762789"/>
    <w:p w:rsidR="003C1450" w:rsidRPr="00506E16" w:rsidRDefault="003C1450" w:rsidP="00762789"/>
    <w:p w:rsidR="00762789" w:rsidRPr="00407F2D" w:rsidRDefault="00762789" w:rsidP="00762789">
      <w:pPr>
        <w:pStyle w:val="PBACheading1"/>
        <w:rPr>
          <w:b/>
        </w:rPr>
      </w:pPr>
      <w:bookmarkStart w:id="6" w:name="_Toc472416740"/>
      <w:r>
        <w:rPr>
          <w:b/>
        </w:rPr>
        <w:t>C</w:t>
      </w:r>
      <w:r w:rsidRPr="00407F2D">
        <w:rPr>
          <w:b/>
        </w:rPr>
        <w:t>onsideration of the evidence</w:t>
      </w:r>
      <w:bookmarkEnd w:id="6"/>
    </w:p>
    <w:p w:rsidR="00762789" w:rsidRDefault="00762789" w:rsidP="004E03E4"/>
    <w:p w:rsidR="008F6B85" w:rsidRPr="00637D24" w:rsidRDefault="008F6B85" w:rsidP="00637D24">
      <w:pPr>
        <w:pStyle w:val="Heading2"/>
        <w:rPr>
          <w:i/>
        </w:rPr>
      </w:pPr>
      <w:r w:rsidRPr="00637D24">
        <w:rPr>
          <w:i/>
        </w:rPr>
        <w:t>Sponsor hearing</w:t>
      </w:r>
    </w:p>
    <w:p w:rsidR="008F6B85" w:rsidRPr="00EB44E1" w:rsidRDefault="008F6B85" w:rsidP="008F6B85">
      <w:pPr>
        <w:rPr>
          <w:bCs/>
          <w:szCs w:val="22"/>
        </w:rPr>
      </w:pPr>
    </w:p>
    <w:p w:rsidR="008F6B85" w:rsidRPr="00D21FA7" w:rsidRDefault="008F6B85" w:rsidP="009E7F9E">
      <w:pPr>
        <w:widowControl/>
        <w:numPr>
          <w:ilvl w:val="1"/>
          <w:numId w:val="3"/>
        </w:numPr>
        <w:jc w:val="left"/>
        <w:rPr>
          <w:bCs/>
          <w:szCs w:val="22"/>
        </w:rPr>
      </w:pPr>
      <w:r w:rsidRPr="00D21FA7">
        <w:rPr>
          <w:bCs/>
          <w:szCs w:val="22"/>
        </w:rPr>
        <w:t>The</w:t>
      </w:r>
      <w:r w:rsidR="00D21FA7" w:rsidRPr="00D21FA7">
        <w:rPr>
          <w:bCs/>
          <w:szCs w:val="22"/>
        </w:rPr>
        <w:t>re was no hearing for this item</w:t>
      </w:r>
      <w:r w:rsidRPr="00D21FA7">
        <w:rPr>
          <w:bCs/>
          <w:szCs w:val="22"/>
        </w:rPr>
        <w:t>.</w:t>
      </w:r>
    </w:p>
    <w:p w:rsidR="008F6B85" w:rsidRPr="00817EFB" w:rsidRDefault="008F6B85" w:rsidP="008F6B85">
      <w:pPr>
        <w:rPr>
          <w:bCs/>
          <w:szCs w:val="22"/>
          <w:highlight w:val="yellow"/>
        </w:rPr>
      </w:pPr>
    </w:p>
    <w:p w:rsidR="008F6B85" w:rsidRPr="0061332C" w:rsidRDefault="008F6B85" w:rsidP="00637D24">
      <w:pPr>
        <w:pStyle w:val="Heading2"/>
        <w:rPr>
          <w:i/>
        </w:rPr>
      </w:pPr>
      <w:r w:rsidRPr="0061332C">
        <w:rPr>
          <w:i/>
        </w:rPr>
        <w:t>Consumer comments</w:t>
      </w:r>
    </w:p>
    <w:p w:rsidR="008F6B85" w:rsidRPr="00EB44E1" w:rsidRDefault="008F6B85" w:rsidP="008F6B85">
      <w:pPr>
        <w:rPr>
          <w:bCs/>
          <w:szCs w:val="22"/>
        </w:rPr>
      </w:pPr>
    </w:p>
    <w:p w:rsidR="0061332C" w:rsidRPr="0061332C" w:rsidRDefault="0061332C" w:rsidP="0061332C">
      <w:pPr>
        <w:widowControl/>
        <w:numPr>
          <w:ilvl w:val="1"/>
          <w:numId w:val="3"/>
        </w:numPr>
        <w:rPr>
          <w:bCs/>
          <w:szCs w:val="22"/>
        </w:rPr>
      </w:pPr>
      <w:r w:rsidRPr="0061332C">
        <w:rPr>
          <w:bCs/>
          <w:szCs w:val="22"/>
        </w:rPr>
        <w:t>The PBAC noted and welcomed the input from individuals (1), health care professionals (2)</w:t>
      </w:r>
      <w:r w:rsidR="00EB44E1">
        <w:rPr>
          <w:bCs/>
          <w:szCs w:val="22"/>
        </w:rPr>
        <w:t>,</w:t>
      </w:r>
      <w:r w:rsidRPr="0061332C">
        <w:rPr>
          <w:bCs/>
          <w:szCs w:val="22"/>
        </w:rPr>
        <w:t xml:space="preserve"> and organisations (2) via the Consumer Comments facility on the PBS website</w:t>
      </w:r>
      <w:r w:rsidRPr="00EB44E1">
        <w:rPr>
          <w:bCs/>
          <w:szCs w:val="22"/>
        </w:rPr>
        <w:t>. T</w:t>
      </w:r>
      <w:r w:rsidRPr="0061332C">
        <w:rPr>
          <w:bCs/>
          <w:szCs w:val="22"/>
        </w:rPr>
        <w:t xml:space="preserve">he comments described the substantial, rapid and durable clinical benefits observed using nivolumab and ipilimumab combination therapy. In addition, the comments emphasised the severity of adverse events associated with combination therapy, noting the intensive involvement of the healthcare team in monitoring </w:t>
      </w:r>
      <w:r w:rsidR="00EB44E1">
        <w:rPr>
          <w:bCs/>
          <w:szCs w:val="22"/>
        </w:rPr>
        <w:t xml:space="preserve">for </w:t>
      </w:r>
      <w:r w:rsidRPr="0061332C">
        <w:rPr>
          <w:bCs/>
          <w:szCs w:val="22"/>
        </w:rPr>
        <w:t>and managing these adverse events. It was also noted that patients who discontinue due to toxicity may also experience the most durable responses to therapy.</w:t>
      </w:r>
    </w:p>
    <w:p w:rsidR="00E93875" w:rsidRPr="006C6B00" w:rsidRDefault="00E93875" w:rsidP="00EB44E1">
      <w:pPr>
        <w:widowControl/>
        <w:rPr>
          <w:bCs/>
          <w:szCs w:val="22"/>
          <w:highlight w:val="yellow"/>
        </w:rPr>
      </w:pPr>
    </w:p>
    <w:p w:rsidR="00E93875" w:rsidRPr="006F65ED" w:rsidRDefault="00E93875" w:rsidP="006D18A5">
      <w:pPr>
        <w:widowControl/>
        <w:numPr>
          <w:ilvl w:val="1"/>
          <w:numId w:val="3"/>
        </w:numPr>
        <w:rPr>
          <w:bCs/>
          <w:szCs w:val="22"/>
        </w:rPr>
      </w:pPr>
      <w:r w:rsidRPr="006F65ED">
        <w:rPr>
          <w:bCs/>
          <w:szCs w:val="22"/>
        </w:rPr>
        <w:t xml:space="preserve">The PBAC noted the </w:t>
      </w:r>
      <w:r w:rsidR="007450DA" w:rsidRPr="006F65ED">
        <w:rPr>
          <w:bCs/>
          <w:szCs w:val="22"/>
        </w:rPr>
        <w:t>correspondence</w:t>
      </w:r>
      <w:r w:rsidRPr="006F65ED">
        <w:rPr>
          <w:bCs/>
          <w:szCs w:val="22"/>
        </w:rPr>
        <w:t xml:space="preserve"> received </w:t>
      </w:r>
      <w:r w:rsidR="007450DA" w:rsidRPr="006F65ED">
        <w:rPr>
          <w:bCs/>
          <w:szCs w:val="22"/>
        </w:rPr>
        <w:t xml:space="preserve">from </w:t>
      </w:r>
      <w:r w:rsidRPr="006F65ED">
        <w:rPr>
          <w:bCs/>
          <w:szCs w:val="22"/>
        </w:rPr>
        <w:t>the Austral</w:t>
      </w:r>
      <w:r w:rsidR="00D56062" w:rsidRPr="006F65ED">
        <w:rPr>
          <w:bCs/>
          <w:szCs w:val="22"/>
        </w:rPr>
        <w:t xml:space="preserve">ian Melanoma Consumer Alliance supporting equitable access to NIVO+IPI combination therapy as a </w:t>
      </w:r>
      <w:r w:rsidR="002E2070">
        <w:rPr>
          <w:bCs/>
          <w:szCs w:val="22"/>
        </w:rPr>
        <w:t>“</w:t>
      </w:r>
      <w:r w:rsidR="00D56062" w:rsidRPr="006F65ED">
        <w:rPr>
          <w:bCs/>
          <w:szCs w:val="22"/>
        </w:rPr>
        <w:t>life-prolonging</w:t>
      </w:r>
      <w:r w:rsidR="002E2070">
        <w:rPr>
          <w:bCs/>
          <w:szCs w:val="22"/>
        </w:rPr>
        <w:t>”</w:t>
      </w:r>
      <w:r w:rsidR="00D56062" w:rsidRPr="006F65ED">
        <w:rPr>
          <w:bCs/>
          <w:szCs w:val="22"/>
        </w:rPr>
        <w:t xml:space="preserve"> option for patients with advanced melanoma.</w:t>
      </w:r>
      <w:r w:rsidR="007450DA" w:rsidRPr="006F65ED">
        <w:rPr>
          <w:bCs/>
          <w:szCs w:val="22"/>
        </w:rPr>
        <w:t xml:space="preserve"> The PBAC also noted the advice from Melanoma Patients Australia</w:t>
      </w:r>
      <w:r w:rsidR="00D10F4E">
        <w:rPr>
          <w:bCs/>
          <w:szCs w:val="22"/>
        </w:rPr>
        <w:t xml:space="preserve"> (MPA)</w:t>
      </w:r>
      <w:r w:rsidR="006F65ED" w:rsidRPr="006F65ED">
        <w:rPr>
          <w:bCs/>
          <w:szCs w:val="22"/>
        </w:rPr>
        <w:t>, expressing support for the listing</w:t>
      </w:r>
      <w:r w:rsidR="00D10F4E">
        <w:rPr>
          <w:bCs/>
          <w:szCs w:val="22"/>
        </w:rPr>
        <w:t>. MPA also provided a</w:t>
      </w:r>
      <w:r w:rsidR="006F65ED" w:rsidRPr="006F65ED">
        <w:rPr>
          <w:bCs/>
          <w:szCs w:val="22"/>
        </w:rPr>
        <w:t xml:space="preserve"> summary of individual patient comments, describing the benefits of treatment response, the severity of AEs, and the acceptabilit</w:t>
      </w:r>
      <w:r w:rsidR="006F65ED">
        <w:rPr>
          <w:bCs/>
          <w:szCs w:val="22"/>
        </w:rPr>
        <w:t>y of this benefit-harm profile.</w:t>
      </w:r>
    </w:p>
    <w:p w:rsidR="00E93875" w:rsidRPr="00342295" w:rsidRDefault="00E93875" w:rsidP="00E93875">
      <w:pPr>
        <w:rPr>
          <w:bCs/>
          <w:szCs w:val="22"/>
        </w:rPr>
      </w:pPr>
    </w:p>
    <w:p w:rsidR="0063447F" w:rsidRDefault="0063447F" w:rsidP="00342295">
      <w:pPr>
        <w:widowControl/>
        <w:numPr>
          <w:ilvl w:val="1"/>
          <w:numId w:val="3"/>
        </w:numPr>
      </w:pPr>
      <w:r>
        <w:t xml:space="preserve">The Medical Oncology Group of Australia (MOGA) also expressed its support for the </w:t>
      </w:r>
      <w:r w:rsidR="00010567">
        <w:t>NIVO+IPI</w:t>
      </w:r>
      <w:r>
        <w:t xml:space="preserve"> submission, on the basis of </w:t>
      </w:r>
      <w:r w:rsidR="00FD6CF2">
        <w:t>being supported by phase 3 trial evidence</w:t>
      </w:r>
      <w:r>
        <w:t xml:space="preserve">. The PBAC noted that the MOGA presented the European Society for Medical Oncology Magnitude of Clinical Benefit Scale (ESMO-MCBS) for </w:t>
      </w:r>
      <w:r w:rsidR="00FD6CF2">
        <w:t>NIVO+IPI</w:t>
      </w:r>
      <w:r>
        <w:t xml:space="preserve">, which was limited to </w:t>
      </w:r>
      <w:r w:rsidR="00FD6CF2">
        <w:t>3</w:t>
      </w:r>
      <w:r>
        <w:t xml:space="preserve"> (out of a maximum of 5, where 5 and 4 represent the grades with substantial improvement</w:t>
      </w:r>
      <w:r w:rsidRPr="0063447F">
        <w:t>)</w:t>
      </w:r>
      <w:r w:rsidR="004331B1">
        <w:rPr>
          <w:rStyle w:val="FootnoteReference"/>
        </w:rPr>
        <w:footnoteReference w:id="3"/>
      </w:r>
      <w:r w:rsidRPr="0063447F">
        <w:t>,</w:t>
      </w:r>
      <w:r>
        <w:t xml:space="preserve"> based on a comparison with </w:t>
      </w:r>
      <w:r w:rsidR="00FD6CF2">
        <w:t>ipilimumab</w:t>
      </w:r>
      <w:r w:rsidR="00342295">
        <w:t>.</w:t>
      </w:r>
    </w:p>
    <w:p w:rsidR="0063447F" w:rsidRDefault="0063447F" w:rsidP="0063447F"/>
    <w:p w:rsidR="008F6B85" w:rsidRPr="009D398F" w:rsidRDefault="008F6B85" w:rsidP="009D398F">
      <w:pPr>
        <w:widowControl/>
        <w:numPr>
          <w:ilvl w:val="1"/>
          <w:numId w:val="3"/>
        </w:numPr>
        <w:rPr>
          <w:bCs/>
          <w:szCs w:val="22"/>
        </w:rPr>
      </w:pPr>
      <w:r w:rsidRPr="00B114C7">
        <w:rPr>
          <w:bCs/>
          <w:szCs w:val="22"/>
        </w:rPr>
        <w:t xml:space="preserve">The PBAC noted the advice </w:t>
      </w:r>
      <w:r w:rsidR="00902F21">
        <w:rPr>
          <w:bCs/>
          <w:szCs w:val="22"/>
        </w:rPr>
        <w:t xml:space="preserve">prepared by </w:t>
      </w:r>
      <w:r w:rsidR="00B114C7">
        <w:rPr>
          <w:bCs/>
          <w:szCs w:val="22"/>
        </w:rPr>
        <w:t>an expert clinician</w:t>
      </w:r>
      <w:r w:rsidR="00902F21">
        <w:rPr>
          <w:bCs/>
          <w:szCs w:val="22"/>
        </w:rPr>
        <w:t xml:space="preserve"> and forwarded by the sponsor</w:t>
      </w:r>
      <w:r w:rsidR="00B114C7">
        <w:rPr>
          <w:bCs/>
          <w:szCs w:val="22"/>
        </w:rPr>
        <w:t xml:space="preserve">, </w:t>
      </w:r>
      <w:r w:rsidRPr="00B114C7">
        <w:rPr>
          <w:bCs/>
          <w:szCs w:val="22"/>
        </w:rPr>
        <w:t xml:space="preserve">clarifying the likely use of </w:t>
      </w:r>
      <w:r w:rsidR="00971B77">
        <w:rPr>
          <w:bCs/>
          <w:szCs w:val="22"/>
        </w:rPr>
        <w:t>NIVO+IPI</w:t>
      </w:r>
      <w:r w:rsidR="00342295">
        <w:rPr>
          <w:bCs/>
          <w:szCs w:val="22"/>
        </w:rPr>
        <w:t xml:space="preserve"> in clinical practice. </w:t>
      </w:r>
      <w:r w:rsidRPr="00B114C7">
        <w:rPr>
          <w:bCs/>
          <w:szCs w:val="22"/>
        </w:rPr>
        <w:t xml:space="preserve">The PBAC specifically noted the advice that the use of </w:t>
      </w:r>
      <w:r w:rsidR="00971B77">
        <w:rPr>
          <w:bCs/>
          <w:szCs w:val="22"/>
        </w:rPr>
        <w:t xml:space="preserve">NIVO+IPI </w:t>
      </w:r>
      <w:r w:rsidR="00EF2600">
        <w:rPr>
          <w:bCs/>
          <w:szCs w:val="22"/>
        </w:rPr>
        <w:t xml:space="preserve">was of particular benefit in patients with rapidly progressing disease, who benefit from the higher response rates </w:t>
      </w:r>
      <w:r w:rsidR="002E2070">
        <w:rPr>
          <w:bCs/>
          <w:szCs w:val="22"/>
        </w:rPr>
        <w:t>associated with combination immunotherapy</w:t>
      </w:r>
      <w:r w:rsidR="00EF2600">
        <w:rPr>
          <w:bCs/>
          <w:szCs w:val="22"/>
        </w:rPr>
        <w:t xml:space="preserve">. These patients include patients with BRAF mutant </w:t>
      </w:r>
      <w:r w:rsidR="006E326B">
        <w:rPr>
          <w:bCs/>
          <w:szCs w:val="22"/>
        </w:rPr>
        <w:t>melanoma</w:t>
      </w:r>
      <w:r w:rsidR="00EF2600">
        <w:rPr>
          <w:bCs/>
          <w:szCs w:val="22"/>
        </w:rPr>
        <w:t xml:space="preserve"> who may progress rapidly following cessation of first-line BRAF+MEK inhibitor treatment. </w:t>
      </w:r>
      <w:r w:rsidR="009D398F">
        <w:rPr>
          <w:bCs/>
          <w:szCs w:val="22"/>
        </w:rPr>
        <w:t xml:space="preserve">The clinician emphasised that AEs could be managed by experienced clinicians with careful patient selection and early intervention, and that the majority could be managed without hospital admission. </w:t>
      </w:r>
      <w:r w:rsidRPr="009D398F">
        <w:rPr>
          <w:bCs/>
          <w:szCs w:val="22"/>
        </w:rPr>
        <w:t xml:space="preserve">The PBAC noted that this advice was </w:t>
      </w:r>
      <w:r w:rsidR="00342295">
        <w:rPr>
          <w:bCs/>
          <w:szCs w:val="22"/>
        </w:rPr>
        <w:t>consistent with</w:t>
      </w:r>
      <w:r w:rsidRPr="009D398F">
        <w:rPr>
          <w:bCs/>
          <w:szCs w:val="22"/>
        </w:rPr>
        <w:t xml:space="preserve"> the evidence provided in the submission.</w:t>
      </w:r>
    </w:p>
    <w:p w:rsidR="008F6B85" w:rsidRPr="00817EFB" w:rsidRDefault="008F6B85" w:rsidP="008F6B85">
      <w:pPr>
        <w:rPr>
          <w:bCs/>
          <w:szCs w:val="22"/>
          <w:highlight w:val="yellow"/>
        </w:rPr>
      </w:pPr>
    </w:p>
    <w:p w:rsidR="00762789" w:rsidRPr="00497F10" w:rsidRDefault="00762789" w:rsidP="00762789">
      <w:pPr>
        <w:pStyle w:val="Heading2"/>
        <w:rPr>
          <w:i/>
        </w:rPr>
      </w:pPr>
      <w:bookmarkStart w:id="7" w:name="_Toc472416741"/>
      <w:r w:rsidRPr="00497F10">
        <w:rPr>
          <w:i/>
        </w:rPr>
        <w:t>Clinical trials</w:t>
      </w:r>
      <w:bookmarkEnd w:id="7"/>
    </w:p>
    <w:p w:rsidR="00762789" w:rsidRPr="00882085" w:rsidRDefault="00762789" w:rsidP="00762789">
      <w:pPr>
        <w:rPr>
          <w:szCs w:val="22"/>
        </w:rPr>
      </w:pPr>
    </w:p>
    <w:p w:rsidR="000C0CE5" w:rsidRPr="00C86F15" w:rsidRDefault="000C0CE5" w:rsidP="009E7F9E">
      <w:pPr>
        <w:pStyle w:val="ListParagraph"/>
        <w:widowControl/>
        <w:numPr>
          <w:ilvl w:val="1"/>
          <w:numId w:val="3"/>
        </w:numPr>
      </w:pPr>
      <w:r w:rsidRPr="00C86F15">
        <w:t xml:space="preserve">No direct </w:t>
      </w:r>
      <w:r w:rsidR="00664409" w:rsidRPr="00C86F15">
        <w:t xml:space="preserve">randomised </w:t>
      </w:r>
      <w:r w:rsidRPr="00C86F15">
        <w:t xml:space="preserve">trials were identified that </w:t>
      </w:r>
      <w:r w:rsidR="003C60D0" w:rsidRPr="00C86F15">
        <w:t xml:space="preserve">compared </w:t>
      </w:r>
      <w:r w:rsidRPr="00C86F15">
        <w:t xml:space="preserve">NIVO+IPI followed by BSC upon progression versus PD-1 inhibitor monotherapy followed by ipilimumab monotherapy upon progression. Therefore, the </w:t>
      </w:r>
      <w:r w:rsidR="008D1756" w:rsidRPr="00C86F15">
        <w:t>resubmission</w:t>
      </w:r>
      <w:r w:rsidRPr="00C86F15">
        <w:t xml:space="preserve"> used a strategy of separating out the lines of therapy</w:t>
      </w:r>
      <w:r w:rsidR="00483EBE" w:rsidRPr="00C86F15">
        <w:t xml:space="preserve"> (see Figure 1 below)</w:t>
      </w:r>
      <w:r w:rsidRPr="00C86F15">
        <w:t>.</w:t>
      </w:r>
    </w:p>
    <w:p w:rsidR="000C0CE5" w:rsidRPr="00C86F15" w:rsidRDefault="000C0CE5" w:rsidP="000C0CE5">
      <w:pPr>
        <w:widowControl/>
        <w:rPr>
          <w:szCs w:val="22"/>
        </w:rPr>
      </w:pPr>
    </w:p>
    <w:p w:rsidR="00762789" w:rsidRPr="00C86F15" w:rsidRDefault="00762789" w:rsidP="009E7F9E">
      <w:pPr>
        <w:pStyle w:val="ListParagraph"/>
        <w:widowControl/>
        <w:numPr>
          <w:ilvl w:val="1"/>
          <w:numId w:val="3"/>
        </w:numPr>
        <w:rPr>
          <w:szCs w:val="22"/>
        </w:rPr>
      </w:pPr>
      <w:r w:rsidRPr="00C86F15">
        <w:t xml:space="preserve">The </w:t>
      </w:r>
      <w:r w:rsidR="008D1756" w:rsidRPr="00C86F15">
        <w:t>resubmission</w:t>
      </w:r>
      <w:r w:rsidRPr="00C86F15">
        <w:t xml:space="preserve"> was based on the following trials in patients with unresectable Stage III or Stage IV malignant melanoma:</w:t>
      </w:r>
    </w:p>
    <w:p w:rsidR="00762789" w:rsidRPr="00C86F15" w:rsidRDefault="00762789" w:rsidP="009E7F9E">
      <w:pPr>
        <w:pStyle w:val="ListParagraph"/>
        <w:numPr>
          <w:ilvl w:val="0"/>
          <w:numId w:val="2"/>
        </w:numPr>
        <w:ind w:left="1134"/>
        <w:rPr>
          <w:lang w:val="en-US"/>
        </w:rPr>
      </w:pPr>
      <w:r w:rsidRPr="00C86F15">
        <w:rPr>
          <w:lang w:val="en-US"/>
        </w:rPr>
        <w:t xml:space="preserve">CA209-067: </w:t>
      </w:r>
      <w:r w:rsidR="000C5DD5" w:rsidRPr="00C86F15">
        <w:rPr>
          <w:lang w:val="en-US"/>
        </w:rPr>
        <w:t>a</w:t>
      </w:r>
      <w:r w:rsidRPr="00C86F15">
        <w:rPr>
          <w:lang w:val="en-US"/>
        </w:rPr>
        <w:t xml:space="preserve"> </w:t>
      </w:r>
      <w:r w:rsidR="000C5DD5" w:rsidRPr="00C86F15">
        <w:rPr>
          <w:lang w:val="en-US"/>
        </w:rPr>
        <w:t>randomised, double-blind, three-</w:t>
      </w:r>
      <w:r w:rsidRPr="00C86F15">
        <w:rPr>
          <w:lang w:val="en-US"/>
        </w:rPr>
        <w:t>arm trial comparing NIVO+IPI</w:t>
      </w:r>
      <w:r w:rsidR="00876EAF" w:rsidRPr="00C86F15">
        <w:rPr>
          <w:lang w:val="en-US"/>
        </w:rPr>
        <w:t xml:space="preserve"> and</w:t>
      </w:r>
      <w:r w:rsidRPr="00C86F15">
        <w:rPr>
          <w:lang w:val="en-US"/>
        </w:rPr>
        <w:t xml:space="preserve"> nivolumab monotherapy </w:t>
      </w:r>
      <w:r w:rsidR="00876EAF" w:rsidRPr="00C86F15">
        <w:rPr>
          <w:lang w:val="en-US"/>
        </w:rPr>
        <w:t>to</w:t>
      </w:r>
      <w:r w:rsidRPr="00C86F15">
        <w:rPr>
          <w:lang w:val="en-US"/>
        </w:rPr>
        <w:t xml:space="preserve"> ipilimumab monotherapy in previously untreated patients (n=945).</w:t>
      </w:r>
      <w:r w:rsidR="000C5DD5" w:rsidRPr="00C86F15">
        <w:rPr>
          <w:lang w:val="en-US"/>
        </w:rPr>
        <w:t xml:space="preserve"> </w:t>
      </w:r>
      <w:r w:rsidRPr="00C86F15">
        <w:rPr>
          <w:lang w:val="en-US"/>
        </w:rPr>
        <w:t xml:space="preserve">This trial was </w:t>
      </w:r>
      <w:r w:rsidR="006125BC" w:rsidRPr="00C86F15">
        <w:rPr>
          <w:lang w:val="en-US"/>
        </w:rPr>
        <w:t>also presented</w:t>
      </w:r>
      <w:r w:rsidRPr="00C86F15">
        <w:rPr>
          <w:lang w:val="en-US"/>
        </w:rPr>
        <w:t xml:space="preserve"> as key evidence in </w:t>
      </w:r>
      <w:r w:rsidR="00897148" w:rsidRPr="00C86F15">
        <w:rPr>
          <w:lang w:val="en-US"/>
        </w:rPr>
        <w:t xml:space="preserve">the </w:t>
      </w:r>
      <w:r w:rsidRPr="00C86F15">
        <w:rPr>
          <w:lang w:val="en-US"/>
        </w:rPr>
        <w:t xml:space="preserve">previous submission. </w:t>
      </w:r>
      <w:r w:rsidR="00A96FD9" w:rsidRPr="00C86F15">
        <w:rPr>
          <w:lang w:val="en-US"/>
        </w:rPr>
        <w:t>Updated results were</w:t>
      </w:r>
      <w:r w:rsidR="000C5DD5" w:rsidRPr="00C86F15">
        <w:rPr>
          <w:lang w:val="en-US"/>
        </w:rPr>
        <w:t xml:space="preserve"> provided in the </w:t>
      </w:r>
      <w:r w:rsidR="008D1756" w:rsidRPr="00C86F15">
        <w:rPr>
          <w:lang w:val="en-US"/>
        </w:rPr>
        <w:t>resubmission</w:t>
      </w:r>
      <w:r w:rsidR="000C5DD5" w:rsidRPr="00C86F15">
        <w:rPr>
          <w:lang w:val="en-US"/>
        </w:rPr>
        <w:t>.</w:t>
      </w:r>
    </w:p>
    <w:p w:rsidR="00762789" w:rsidRPr="00C86F15" w:rsidRDefault="000C5DD5" w:rsidP="009E7F9E">
      <w:pPr>
        <w:pStyle w:val="ListParagraph"/>
        <w:widowControl/>
        <w:numPr>
          <w:ilvl w:val="0"/>
          <w:numId w:val="2"/>
        </w:numPr>
        <w:ind w:left="1134"/>
        <w:rPr>
          <w:szCs w:val="22"/>
        </w:rPr>
      </w:pPr>
      <w:r w:rsidRPr="00C86F15">
        <w:rPr>
          <w:lang w:val="en-US"/>
        </w:rPr>
        <w:t>MDX010-020: a randomised, double-blind, three-</w:t>
      </w:r>
      <w:r w:rsidR="00762789" w:rsidRPr="00C86F15">
        <w:rPr>
          <w:lang w:val="en-US"/>
        </w:rPr>
        <w:t>arm trial comparing ipilimumab monotherapy, melanoma peptide vaccine gp100 and combination ipilimumab+gp100 in patients who had relapsed, failed, or were not able to tolerate at least one o</w:t>
      </w:r>
      <w:r w:rsidR="006125BC" w:rsidRPr="00C86F15">
        <w:rPr>
          <w:lang w:val="en-US"/>
        </w:rPr>
        <w:t>r more prior treatment regimens</w:t>
      </w:r>
      <w:r w:rsidR="00A96FD9" w:rsidRPr="00C86F15">
        <w:rPr>
          <w:lang w:val="en-US"/>
        </w:rPr>
        <w:t>.</w:t>
      </w:r>
    </w:p>
    <w:p w:rsidR="00800C5F" w:rsidRPr="00C86F15" w:rsidRDefault="00800C5F" w:rsidP="00800C5F">
      <w:pPr>
        <w:pStyle w:val="ListParagraph"/>
        <w:widowControl/>
        <w:ind w:left="709"/>
        <w:rPr>
          <w:lang w:val="en-US"/>
        </w:rPr>
      </w:pPr>
      <w:r w:rsidRPr="00C86F15">
        <w:rPr>
          <w:lang w:val="en-US"/>
        </w:rPr>
        <w:t>Neither trial restricted eligibility</w:t>
      </w:r>
      <w:r w:rsidR="000C0CE5" w:rsidRPr="00C86F15">
        <w:rPr>
          <w:lang w:val="en-US"/>
        </w:rPr>
        <w:t xml:space="preserve"> for treatment</w:t>
      </w:r>
      <w:r w:rsidRPr="00C86F15">
        <w:rPr>
          <w:lang w:val="en-US"/>
        </w:rPr>
        <w:t xml:space="preserve"> by BRAF mutation status.</w:t>
      </w:r>
    </w:p>
    <w:p w:rsidR="00850FCF" w:rsidRPr="00C86F15" w:rsidRDefault="00850FCF" w:rsidP="000C5DD5">
      <w:pPr>
        <w:widowControl/>
        <w:rPr>
          <w:szCs w:val="22"/>
        </w:rPr>
      </w:pPr>
    </w:p>
    <w:p w:rsidR="00850FCF" w:rsidRPr="004E03E4" w:rsidRDefault="00850FCF" w:rsidP="009E7F9E">
      <w:pPr>
        <w:pStyle w:val="ListParagraph"/>
        <w:widowControl/>
        <w:numPr>
          <w:ilvl w:val="1"/>
          <w:numId w:val="3"/>
        </w:numPr>
        <w:rPr>
          <w:szCs w:val="22"/>
        </w:rPr>
      </w:pPr>
      <w:r w:rsidRPr="004E03E4">
        <w:rPr>
          <w:szCs w:val="22"/>
        </w:rPr>
        <w:t xml:space="preserve">The approach taken in the submission is summarised in Figure </w:t>
      </w:r>
      <w:r w:rsidR="00B620C2" w:rsidRPr="004E03E4">
        <w:rPr>
          <w:szCs w:val="22"/>
        </w:rPr>
        <w:t>1.</w:t>
      </w:r>
    </w:p>
    <w:p w:rsidR="00415C8E" w:rsidRPr="000C5DD5" w:rsidRDefault="00415C8E" w:rsidP="00415C8E">
      <w:pPr>
        <w:widowControl/>
        <w:rPr>
          <w:szCs w:val="22"/>
        </w:rPr>
      </w:pPr>
    </w:p>
    <w:p w:rsidR="00415C8E" w:rsidRPr="00F81D63" w:rsidRDefault="00415C8E" w:rsidP="00751E97">
      <w:pPr>
        <w:pStyle w:val="ListParagraph"/>
        <w:keepNext/>
        <w:widowControl/>
        <w:rPr>
          <w:rStyle w:val="CommentReference"/>
        </w:rPr>
      </w:pPr>
      <w:r w:rsidRPr="00415C8E">
        <w:rPr>
          <w:rStyle w:val="CommentReference"/>
        </w:rPr>
        <w:t xml:space="preserve">Figure 1: Overview of clinical trial data presented in Section B of the </w:t>
      </w:r>
      <w:r w:rsidR="008D1756">
        <w:rPr>
          <w:rStyle w:val="CommentReference"/>
        </w:rPr>
        <w:t>resubmission</w:t>
      </w:r>
    </w:p>
    <w:p w:rsidR="00850FCF" w:rsidRPr="00415C8E" w:rsidRDefault="00850FCF" w:rsidP="00415C8E">
      <w:pPr>
        <w:ind w:left="709"/>
        <w:rPr>
          <w:rStyle w:val="CommentReference"/>
        </w:rPr>
      </w:pPr>
      <w:r w:rsidRPr="00415C8E">
        <w:rPr>
          <w:rStyle w:val="CommentReference"/>
          <w:noProof/>
          <w:lang w:eastAsia="en-AU"/>
        </w:rPr>
        <w:drawing>
          <wp:inline distT="0" distB="0" distL="0" distR="0" wp14:anchorId="4FF65BDF" wp14:editId="6AFD27C2">
            <wp:extent cx="4323080" cy="1781175"/>
            <wp:effectExtent l="0" t="0" r="1270" b="9525"/>
            <wp:docPr id="26" name="Picture 26" title="Figure 1: Overview of clinical trial data presented in Section B of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7618" cy="1795405"/>
                    </a:xfrm>
                    <a:prstGeom prst="rect">
                      <a:avLst/>
                    </a:prstGeom>
                  </pic:spPr>
                </pic:pic>
              </a:graphicData>
            </a:graphic>
          </wp:inline>
        </w:drawing>
      </w:r>
    </w:p>
    <w:p w:rsidR="00850FCF" w:rsidRDefault="00850FCF" w:rsidP="00850FCF">
      <w:pPr>
        <w:pStyle w:val="TableFooter"/>
        <w:ind w:left="709"/>
      </w:pPr>
      <w:r>
        <w:t xml:space="preserve">BSC = best supportive care; IPI = ipilimumab; NIVO= nivolumab </w:t>
      </w:r>
    </w:p>
    <w:p w:rsidR="00850FCF" w:rsidRPr="00074588" w:rsidRDefault="00850FCF" w:rsidP="00850FCF">
      <w:pPr>
        <w:pStyle w:val="TableFooter"/>
        <w:ind w:left="709"/>
      </w:pPr>
      <w:r w:rsidRPr="00074588">
        <w:t xml:space="preserve">Note: The dashed arrow indicates the implicit assumption in the </w:t>
      </w:r>
      <w:r w:rsidR="008D1756" w:rsidRPr="00074588">
        <w:t>resubmission</w:t>
      </w:r>
      <w:r w:rsidRPr="00074588">
        <w:t xml:space="preserve"> that patients will only receive BSC following progression on NIVO+IPI.</w:t>
      </w:r>
    </w:p>
    <w:p w:rsidR="00850FCF" w:rsidRDefault="00850FCF" w:rsidP="00850FCF">
      <w:pPr>
        <w:pStyle w:val="TableFooter"/>
        <w:ind w:left="709"/>
      </w:pPr>
      <w:r w:rsidRPr="00074588">
        <w:t xml:space="preserve">Source: Constructed during the evaluation, adapted from Figure 10, p45 of the </w:t>
      </w:r>
      <w:r w:rsidR="008D1756" w:rsidRPr="00074588">
        <w:t>resubmission</w:t>
      </w:r>
      <w:r w:rsidRPr="00074588">
        <w:t>.</w:t>
      </w:r>
    </w:p>
    <w:p w:rsidR="00342295" w:rsidRPr="00342295" w:rsidRDefault="00342295" w:rsidP="00342295">
      <w:pPr>
        <w:widowControl/>
        <w:rPr>
          <w:szCs w:val="22"/>
        </w:rPr>
      </w:pPr>
    </w:p>
    <w:p w:rsidR="00762789" w:rsidRDefault="00762789" w:rsidP="009E7F9E">
      <w:pPr>
        <w:pStyle w:val="ListParagraph"/>
        <w:widowControl/>
        <w:numPr>
          <w:ilvl w:val="1"/>
          <w:numId w:val="3"/>
        </w:numPr>
        <w:rPr>
          <w:szCs w:val="22"/>
        </w:rPr>
      </w:pPr>
      <w:r w:rsidRPr="00D06FD4">
        <w:rPr>
          <w:szCs w:val="22"/>
        </w:rPr>
        <w:t xml:space="preserve">Details of the trials presented in the </w:t>
      </w:r>
      <w:r w:rsidR="008D1756">
        <w:rPr>
          <w:szCs w:val="22"/>
        </w:rPr>
        <w:t>resubmission</w:t>
      </w:r>
      <w:r w:rsidRPr="00D06FD4">
        <w:rPr>
          <w:szCs w:val="22"/>
        </w:rPr>
        <w:t xml:space="preserve"> ar</w:t>
      </w:r>
      <w:r w:rsidR="000C5DD5">
        <w:rPr>
          <w:szCs w:val="22"/>
        </w:rPr>
        <w:t>e provided in the table below.</w:t>
      </w:r>
    </w:p>
    <w:p w:rsidR="00342295" w:rsidRPr="00342295" w:rsidRDefault="00342295" w:rsidP="00342295">
      <w:pPr>
        <w:widowControl/>
        <w:rPr>
          <w:szCs w:val="22"/>
        </w:rPr>
      </w:pPr>
    </w:p>
    <w:p w:rsidR="00762789" w:rsidRDefault="00762789" w:rsidP="00762789">
      <w:pPr>
        <w:ind w:firstLine="720"/>
        <w:rPr>
          <w:rStyle w:val="CommentReference"/>
        </w:rPr>
      </w:pPr>
      <w:r w:rsidRPr="000812CA">
        <w:rPr>
          <w:rStyle w:val="CommentReference"/>
        </w:rPr>
        <w:t xml:space="preserve">Table </w:t>
      </w:r>
      <w:r>
        <w:rPr>
          <w:rStyle w:val="CommentReference"/>
        </w:rPr>
        <w:t>2</w:t>
      </w:r>
      <w:r w:rsidRPr="000812CA">
        <w:rPr>
          <w:rStyle w:val="CommentReference"/>
        </w:rPr>
        <w:t xml:space="preserve">: Trials and associated reports presented in the </w:t>
      </w:r>
      <w:r w:rsidR="008D1756">
        <w:rPr>
          <w:rStyle w:val="CommentReference"/>
        </w:rPr>
        <w:t>resubmission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1"/>
        <w:gridCol w:w="5098"/>
        <w:gridCol w:w="2250"/>
      </w:tblGrid>
      <w:tr w:rsidR="00762789" w:rsidRPr="004E2ADC" w:rsidTr="000C5DD5">
        <w:tc>
          <w:tcPr>
            <w:tcW w:w="594" w:type="pct"/>
          </w:tcPr>
          <w:p w:rsidR="00762789" w:rsidRPr="004E2ADC" w:rsidRDefault="00762789" w:rsidP="00762789">
            <w:pPr>
              <w:jc w:val="left"/>
              <w:rPr>
                <w:rFonts w:ascii="Arial Narrow" w:hAnsi="Arial Narrow"/>
                <w:b/>
                <w:sz w:val="20"/>
              </w:rPr>
            </w:pPr>
            <w:r w:rsidRPr="004E2ADC">
              <w:rPr>
                <w:rFonts w:ascii="Arial Narrow" w:hAnsi="Arial Narrow"/>
                <w:b/>
                <w:sz w:val="20"/>
              </w:rPr>
              <w:t>Trial ID</w:t>
            </w:r>
          </w:p>
        </w:tc>
        <w:tc>
          <w:tcPr>
            <w:tcW w:w="3057" w:type="pct"/>
          </w:tcPr>
          <w:p w:rsidR="00762789" w:rsidRPr="004E2ADC" w:rsidRDefault="00762789" w:rsidP="00762789">
            <w:pPr>
              <w:jc w:val="center"/>
              <w:rPr>
                <w:rFonts w:ascii="Arial Narrow" w:hAnsi="Arial Narrow"/>
                <w:b/>
                <w:sz w:val="20"/>
              </w:rPr>
            </w:pPr>
            <w:r w:rsidRPr="004E2ADC">
              <w:rPr>
                <w:rFonts w:ascii="Arial Narrow" w:hAnsi="Arial Narrow"/>
                <w:b/>
                <w:sz w:val="20"/>
              </w:rPr>
              <w:t>Protocol title/ Publication title</w:t>
            </w:r>
          </w:p>
        </w:tc>
        <w:tc>
          <w:tcPr>
            <w:tcW w:w="1348" w:type="pct"/>
          </w:tcPr>
          <w:p w:rsidR="00762789" w:rsidRPr="004E2ADC" w:rsidRDefault="00762789" w:rsidP="00762789">
            <w:pPr>
              <w:jc w:val="center"/>
              <w:rPr>
                <w:rFonts w:ascii="Arial Narrow" w:hAnsi="Arial Narrow"/>
                <w:b/>
                <w:sz w:val="20"/>
              </w:rPr>
            </w:pPr>
            <w:r w:rsidRPr="004E2ADC">
              <w:rPr>
                <w:rFonts w:ascii="Arial Narrow" w:hAnsi="Arial Narrow"/>
                <w:b/>
                <w:sz w:val="20"/>
              </w:rPr>
              <w:t>Publication citation</w:t>
            </w:r>
          </w:p>
        </w:tc>
      </w:tr>
      <w:tr w:rsidR="00762789" w:rsidRPr="004E2ADC" w:rsidTr="00762789">
        <w:tc>
          <w:tcPr>
            <w:tcW w:w="5000" w:type="pct"/>
            <w:gridSpan w:val="3"/>
            <w:tcBorders>
              <w:bottom w:val="single" w:sz="4" w:space="0" w:color="auto"/>
            </w:tcBorders>
          </w:tcPr>
          <w:p w:rsidR="00762789" w:rsidRPr="004E2ADC" w:rsidRDefault="00762789" w:rsidP="00762789">
            <w:pPr>
              <w:jc w:val="left"/>
              <w:rPr>
                <w:rFonts w:ascii="Arial Narrow" w:hAnsi="Arial Narrow"/>
                <w:b/>
                <w:sz w:val="20"/>
              </w:rPr>
            </w:pPr>
            <w:r>
              <w:rPr>
                <w:rFonts w:ascii="Arial Narrow" w:hAnsi="Arial Narrow"/>
                <w:b/>
                <w:sz w:val="20"/>
              </w:rPr>
              <w:t>Direct randomised trials</w:t>
            </w:r>
          </w:p>
        </w:tc>
      </w:tr>
      <w:tr w:rsidR="00762789" w:rsidRPr="004E2ADC" w:rsidTr="000C5DD5">
        <w:tc>
          <w:tcPr>
            <w:tcW w:w="594" w:type="pct"/>
            <w:tcBorders>
              <w:bottom w:val="nil"/>
            </w:tcBorders>
          </w:tcPr>
          <w:p w:rsidR="00762789" w:rsidRPr="004E2ADC" w:rsidRDefault="00762789" w:rsidP="00762789">
            <w:pPr>
              <w:jc w:val="left"/>
              <w:rPr>
                <w:rFonts w:ascii="Arial Narrow" w:hAnsi="Arial Narrow"/>
                <w:sz w:val="20"/>
              </w:rPr>
            </w:pPr>
            <w:r>
              <w:rPr>
                <w:rFonts w:ascii="Arial Narrow" w:hAnsi="Arial Narrow"/>
                <w:sz w:val="20"/>
              </w:rPr>
              <w:t>CA209-067</w:t>
            </w:r>
          </w:p>
        </w:tc>
        <w:tc>
          <w:tcPr>
            <w:tcW w:w="3057" w:type="pct"/>
            <w:tcBorders>
              <w:bottom w:val="nil"/>
            </w:tcBorders>
          </w:tcPr>
          <w:p w:rsidR="00762789" w:rsidRPr="00762423" w:rsidRDefault="00762789" w:rsidP="00762789">
            <w:pPr>
              <w:spacing w:after="60"/>
              <w:jc w:val="left"/>
              <w:rPr>
                <w:rFonts w:ascii="Arial Narrow" w:hAnsi="Arial Narrow"/>
                <w:sz w:val="20"/>
              </w:rPr>
            </w:pPr>
            <w:r>
              <w:rPr>
                <w:rFonts w:ascii="Arial Narrow" w:hAnsi="Arial Narrow"/>
                <w:sz w:val="20"/>
              </w:rPr>
              <w:t>Interim Clinical Study Report: A Phase 3, r</w:t>
            </w:r>
            <w:r w:rsidRPr="00E405E7">
              <w:rPr>
                <w:rFonts w:ascii="Arial Narrow" w:hAnsi="Arial Narrow"/>
                <w:sz w:val="20"/>
              </w:rPr>
              <w:t xml:space="preserve">andomized, </w:t>
            </w:r>
            <w:r>
              <w:rPr>
                <w:rFonts w:ascii="Arial Narrow" w:hAnsi="Arial Narrow"/>
                <w:sz w:val="20"/>
              </w:rPr>
              <w:t>d</w:t>
            </w:r>
            <w:r w:rsidRPr="00E405E7">
              <w:rPr>
                <w:rFonts w:ascii="Arial Narrow" w:hAnsi="Arial Narrow"/>
                <w:sz w:val="20"/>
              </w:rPr>
              <w:t>ouble-</w:t>
            </w:r>
            <w:r>
              <w:rPr>
                <w:rFonts w:ascii="Arial Narrow" w:hAnsi="Arial Narrow"/>
                <w:sz w:val="20"/>
              </w:rPr>
              <w:t>b</w:t>
            </w:r>
            <w:r w:rsidRPr="00E405E7">
              <w:rPr>
                <w:rFonts w:ascii="Arial Narrow" w:hAnsi="Arial Narrow"/>
                <w:sz w:val="20"/>
              </w:rPr>
              <w:t xml:space="preserve">lind </w:t>
            </w:r>
            <w:r>
              <w:rPr>
                <w:rFonts w:ascii="Arial Narrow" w:hAnsi="Arial Narrow"/>
                <w:sz w:val="20"/>
              </w:rPr>
              <w:t>study of nivolumab monotherapy or nivolumab combined w</w:t>
            </w:r>
            <w:r w:rsidRPr="00E405E7">
              <w:rPr>
                <w:rFonts w:ascii="Arial Narrow" w:hAnsi="Arial Narrow"/>
                <w:sz w:val="20"/>
              </w:rPr>
              <w:t xml:space="preserve">ith </w:t>
            </w:r>
            <w:r>
              <w:rPr>
                <w:rFonts w:ascii="Arial Narrow" w:hAnsi="Arial Narrow"/>
                <w:sz w:val="20"/>
              </w:rPr>
              <w:t>i</w:t>
            </w:r>
            <w:r w:rsidRPr="00E405E7">
              <w:rPr>
                <w:rFonts w:ascii="Arial Narrow" w:hAnsi="Arial Narrow"/>
                <w:sz w:val="20"/>
              </w:rPr>
              <w:t xml:space="preserve">pilimumab </w:t>
            </w:r>
            <w:r>
              <w:rPr>
                <w:rFonts w:ascii="Arial Narrow" w:hAnsi="Arial Narrow"/>
                <w:sz w:val="20"/>
              </w:rPr>
              <w:t>versus ipilimumab monotherapy in subjects with previously untreated unresectable or metastatic m</w:t>
            </w:r>
            <w:r w:rsidRPr="00E405E7">
              <w:rPr>
                <w:rFonts w:ascii="Arial Narrow" w:hAnsi="Arial Narrow"/>
                <w:sz w:val="20"/>
              </w:rPr>
              <w:t>elanoma</w:t>
            </w:r>
            <w:r>
              <w:rPr>
                <w:rFonts w:ascii="Arial Narrow" w:hAnsi="Arial Narrow"/>
                <w:sz w:val="20"/>
              </w:rPr>
              <w:t>. Database lock February 2015.</w:t>
            </w:r>
          </w:p>
        </w:tc>
        <w:tc>
          <w:tcPr>
            <w:tcW w:w="1348" w:type="pct"/>
            <w:tcBorders>
              <w:bottom w:val="nil"/>
            </w:tcBorders>
          </w:tcPr>
          <w:p w:rsidR="00762789" w:rsidRPr="004E2ADC" w:rsidRDefault="00762789" w:rsidP="00762789">
            <w:pPr>
              <w:jc w:val="left"/>
              <w:rPr>
                <w:rFonts w:ascii="Arial Narrow" w:hAnsi="Arial Narrow"/>
                <w:b/>
                <w:sz w:val="20"/>
              </w:rPr>
            </w:pPr>
            <w:r>
              <w:rPr>
                <w:rFonts w:ascii="Arial Narrow" w:hAnsi="Arial Narrow"/>
                <w:sz w:val="20"/>
              </w:rPr>
              <w:t>19 June 2015</w:t>
            </w:r>
          </w:p>
        </w:tc>
      </w:tr>
      <w:tr w:rsidR="00762789" w:rsidRPr="004E2ADC" w:rsidTr="000C5DD5">
        <w:tc>
          <w:tcPr>
            <w:tcW w:w="594" w:type="pct"/>
            <w:tcBorders>
              <w:top w:val="nil"/>
              <w:bottom w:val="nil"/>
            </w:tcBorders>
          </w:tcPr>
          <w:p w:rsidR="00762789" w:rsidRDefault="00762789" w:rsidP="00762789">
            <w:pPr>
              <w:jc w:val="left"/>
              <w:rPr>
                <w:rFonts w:ascii="Arial Narrow" w:hAnsi="Arial Narrow"/>
                <w:sz w:val="20"/>
              </w:rPr>
            </w:pPr>
          </w:p>
        </w:tc>
        <w:tc>
          <w:tcPr>
            <w:tcW w:w="3057" w:type="pct"/>
            <w:tcBorders>
              <w:top w:val="nil"/>
              <w:bottom w:val="nil"/>
            </w:tcBorders>
          </w:tcPr>
          <w:p w:rsidR="00762789" w:rsidRDefault="00762789" w:rsidP="00762789">
            <w:pPr>
              <w:spacing w:after="60"/>
              <w:jc w:val="left"/>
              <w:rPr>
                <w:rFonts w:ascii="Arial Narrow" w:hAnsi="Arial Narrow"/>
                <w:sz w:val="20"/>
              </w:rPr>
            </w:pPr>
            <w:r>
              <w:rPr>
                <w:rFonts w:ascii="Arial Narrow" w:hAnsi="Arial Narrow"/>
                <w:sz w:val="20"/>
              </w:rPr>
              <w:t>Topline Report. Database lock September 2016.</w:t>
            </w:r>
          </w:p>
        </w:tc>
        <w:tc>
          <w:tcPr>
            <w:tcW w:w="1348" w:type="pct"/>
            <w:tcBorders>
              <w:top w:val="nil"/>
              <w:bottom w:val="nil"/>
            </w:tcBorders>
          </w:tcPr>
          <w:p w:rsidR="00762789" w:rsidRDefault="00762789" w:rsidP="00762789">
            <w:pPr>
              <w:jc w:val="left"/>
              <w:rPr>
                <w:rFonts w:ascii="Arial Narrow" w:hAnsi="Arial Narrow"/>
                <w:sz w:val="20"/>
              </w:rPr>
            </w:pPr>
            <w:r>
              <w:rPr>
                <w:rFonts w:ascii="Arial Narrow" w:hAnsi="Arial Narrow"/>
                <w:sz w:val="20"/>
              </w:rPr>
              <w:t>18 October 2016</w:t>
            </w:r>
          </w:p>
        </w:tc>
      </w:tr>
      <w:tr w:rsidR="00762789" w:rsidRPr="004E2ADC" w:rsidTr="000C5DD5">
        <w:tc>
          <w:tcPr>
            <w:tcW w:w="594" w:type="pct"/>
            <w:tcBorders>
              <w:top w:val="nil"/>
              <w:bottom w:val="single" w:sz="4" w:space="0" w:color="auto"/>
            </w:tcBorders>
          </w:tcPr>
          <w:p w:rsidR="00762789" w:rsidRDefault="00762789" w:rsidP="00762789">
            <w:pPr>
              <w:jc w:val="left"/>
              <w:rPr>
                <w:rFonts w:ascii="Arial Narrow" w:hAnsi="Arial Narrow"/>
                <w:sz w:val="20"/>
              </w:rPr>
            </w:pPr>
          </w:p>
        </w:tc>
        <w:tc>
          <w:tcPr>
            <w:tcW w:w="3057" w:type="pct"/>
            <w:tcBorders>
              <w:top w:val="nil"/>
              <w:bottom w:val="single" w:sz="4" w:space="0" w:color="auto"/>
            </w:tcBorders>
          </w:tcPr>
          <w:p w:rsidR="00762789" w:rsidRPr="00E405E7" w:rsidRDefault="00762789" w:rsidP="00762789">
            <w:pPr>
              <w:jc w:val="left"/>
              <w:rPr>
                <w:rFonts w:ascii="Arial Narrow" w:hAnsi="Arial Narrow"/>
                <w:sz w:val="20"/>
              </w:rPr>
            </w:pPr>
            <w:r w:rsidRPr="00E405E7">
              <w:rPr>
                <w:rFonts w:ascii="Arial Narrow" w:hAnsi="Arial Narrow"/>
                <w:sz w:val="20"/>
              </w:rPr>
              <w:t>Larkin J, Chiarion-Sileni V, Gonzalez R et al. Combined Nivolumab and Ipilimumab or Monotherapy in Untreated Melanoma</w:t>
            </w:r>
          </w:p>
        </w:tc>
        <w:tc>
          <w:tcPr>
            <w:tcW w:w="1348" w:type="pct"/>
            <w:tcBorders>
              <w:top w:val="nil"/>
              <w:bottom w:val="single" w:sz="4" w:space="0" w:color="auto"/>
            </w:tcBorders>
          </w:tcPr>
          <w:p w:rsidR="00762789" w:rsidRPr="004E2ADC" w:rsidRDefault="00762789" w:rsidP="00762789">
            <w:pPr>
              <w:jc w:val="left"/>
              <w:rPr>
                <w:rFonts w:ascii="Arial Narrow" w:hAnsi="Arial Narrow"/>
                <w:sz w:val="20"/>
              </w:rPr>
            </w:pPr>
            <w:r w:rsidRPr="002C7223">
              <w:rPr>
                <w:rFonts w:ascii="Arial Narrow" w:eastAsia="SimSun" w:hAnsi="Arial Narrow" w:cs="Arial Narrow"/>
                <w:i/>
                <w:sz w:val="20"/>
              </w:rPr>
              <w:t>NEJM</w:t>
            </w:r>
            <w:r>
              <w:rPr>
                <w:rFonts w:ascii="Arial Narrow" w:eastAsia="SimSun" w:hAnsi="Arial Narrow" w:cs="Arial Narrow"/>
                <w:sz w:val="20"/>
              </w:rPr>
              <w:t xml:space="preserve"> 2015; 373 (1): 23-34.</w:t>
            </w:r>
          </w:p>
        </w:tc>
      </w:tr>
      <w:tr w:rsidR="00762789" w:rsidRPr="004E2ADC" w:rsidTr="000C5DD5">
        <w:trPr>
          <w:trHeight w:val="1275"/>
        </w:trPr>
        <w:tc>
          <w:tcPr>
            <w:tcW w:w="594" w:type="pct"/>
            <w:tcBorders>
              <w:bottom w:val="nil"/>
            </w:tcBorders>
          </w:tcPr>
          <w:p w:rsidR="00762789" w:rsidRPr="004E2ADC" w:rsidRDefault="00762789" w:rsidP="00762789">
            <w:pPr>
              <w:jc w:val="left"/>
              <w:rPr>
                <w:rFonts w:ascii="Arial Narrow" w:hAnsi="Arial Narrow"/>
                <w:sz w:val="20"/>
              </w:rPr>
            </w:pPr>
            <w:r>
              <w:rPr>
                <w:rFonts w:ascii="Arial Narrow" w:hAnsi="Arial Narrow"/>
                <w:sz w:val="20"/>
              </w:rPr>
              <w:t>MDX010-020</w:t>
            </w:r>
          </w:p>
        </w:tc>
        <w:tc>
          <w:tcPr>
            <w:tcW w:w="3057" w:type="pct"/>
            <w:tcBorders>
              <w:bottom w:val="nil"/>
            </w:tcBorders>
          </w:tcPr>
          <w:p w:rsidR="00762789" w:rsidRPr="004E2ADC" w:rsidRDefault="00762789" w:rsidP="00762789">
            <w:pPr>
              <w:spacing w:after="60"/>
              <w:jc w:val="left"/>
              <w:rPr>
                <w:rFonts w:ascii="Arial Narrow" w:hAnsi="Arial Narrow"/>
                <w:b/>
                <w:sz w:val="20"/>
              </w:rPr>
            </w:pPr>
            <w:r>
              <w:rPr>
                <w:rFonts w:ascii="Arial Narrow" w:eastAsia="SimSun" w:hAnsi="Arial Narrow" w:cs="Arial Narrow"/>
                <w:sz w:val="20"/>
              </w:rPr>
              <w:t>Clinical Study Report: A randomized, d</w:t>
            </w:r>
            <w:r w:rsidRPr="002A15B0">
              <w:rPr>
                <w:rFonts w:ascii="Arial Narrow" w:eastAsia="SimSun" w:hAnsi="Arial Narrow" w:cs="Arial Narrow"/>
                <w:sz w:val="20"/>
              </w:rPr>
              <w:t xml:space="preserve">ouble-blind, </w:t>
            </w:r>
            <w:r>
              <w:rPr>
                <w:rFonts w:ascii="Arial Narrow" w:eastAsia="SimSun" w:hAnsi="Arial Narrow" w:cs="Arial Narrow"/>
                <w:sz w:val="20"/>
              </w:rPr>
              <w:t>multicentre</w:t>
            </w:r>
            <w:r w:rsidRPr="002A15B0">
              <w:rPr>
                <w:rFonts w:ascii="Arial Narrow" w:eastAsia="SimSun" w:hAnsi="Arial Narrow" w:cs="Arial Narrow"/>
                <w:sz w:val="20"/>
              </w:rPr>
              <w:t xml:space="preserve"> </w:t>
            </w:r>
            <w:r>
              <w:rPr>
                <w:rFonts w:ascii="Arial Narrow" w:eastAsia="SimSun" w:hAnsi="Arial Narrow" w:cs="Arial Narrow"/>
                <w:sz w:val="20"/>
              </w:rPr>
              <w:t>s</w:t>
            </w:r>
            <w:r w:rsidRPr="002A15B0">
              <w:rPr>
                <w:rFonts w:ascii="Arial Narrow" w:eastAsia="SimSun" w:hAnsi="Arial Narrow" w:cs="Arial Narrow"/>
                <w:sz w:val="20"/>
              </w:rPr>
              <w:t xml:space="preserve">tudy </w:t>
            </w:r>
            <w:r>
              <w:rPr>
                <w:rFonts w:ascii="Arial Narrow" w:eastAsia="SimSun" w:hAnsi="Arial Narrow" w:cs="Arial Narrow"/>
                <w:sz w:val="20"/>
              </w:rPr>
              <w:t>c</w:t>
            </w:r>
            <w:r w:rsidRPr="002A15B0">
              <w:rPr>
                <w:rFonts w:ascii="Arial Narrow" w:eastAsia="SimSun" w:hAnsi="Arial Narrow" w:cs="Arial Narrow"/>
                <w:sz w:val="20"/>
              </w:rPr>
              <w:t>omparing</w:t>
            </w:r>
            <w:r>
              <w:rPr>
                <w:rFonts w:ascii="Arial Narrow" w:eastAsia="SimSun" w:hAnsi="Arial Narrow" w:cs="Arial Narrow"/>
                <w:sz w:val="20"/>
              </w:rPr>
              <w:t xml:space="preserve"> </w:t>
            </w:r>
            <w:r w:rsidRPr="002A15B0">
              <w:rPr>
                <w:rFonts w:ascii="Arial Narrow" w:eastAsia="SimSun" w:hAnsi="Arial Narrow" w:cs="Arial Narrow"/>
                <w:sz w:val="20"/>
              </w:rPr>
              <w:t xml:space="preserve">MDX-010 </w:t>
            </w:r>
            <w:r>
              <w:rPr>
                <w:rFonts w:ascii="Arial Narrow" w:eastAsia="SimSun" w:hAnsi="Arial Narrow" w:cs="Arial Narrow"/>
                <w:sz w:val="20"/>
              </w:rPr>
              <w:t>m</w:t>
            </w:r>
            <w:r w:rsidRPr="002A15B0">
              <w:rPr>
                <w:rFonts w:ascii="Arial Narrow" w:eastAsia="SimSun" w:hAnsi="Arial Narrow" w:cs="Arial Narrow"/>
                <w:sz w:val="20"/>
              </w:rPr>
              <w:t xml:space="preserve">onotherapy, MDX-010 in </w:t>
            </w:r>
            <w:r>
              <w:rPr>
                <w:rFonts w:ascii="Arial Narrow" w:eastAsia="SimSun" w:hAnsi="Arial Narrow" w:cs="Arial Narrow"/>
                <w:sz w:val="20"/>
              </w:rPr>
              <w:t>c</w:t>
            </w:r>
            <w:r w:rsidRPr="002A15B0">
              <w:rPr>
                <w:rFonts w:ascii="Arial Narrow" w:eastAsia="SimSun" w:hAnsi="Arial Narrow" w:cs="Arial Narrow"/>
                <w:sz w:val="20"/>
              </w:rPr>
              <w:t>ombination with a</w:t>
            </w:r>
            <w:r>
              <w:rPr>
                <w:rFonts w:ascii="Arial Narrow" w:eastAsia="SimSun" w:hAnsi="Arial Narrow" w:cs="Arial Narrow"/>
                <w:sz w:val="20"/>
              </w:rPr>
              <w:t xml:space="preserve"> m</w:t>
            </w:r>
            <w:r w:rsidRPr="002A15B0">
              <w:rPr>
                <w:rFonts w:ascii="Arial Narrow" w:eastAsia="SimSun" w:hAnsi="Arial Narrow" w:cs="Arial Narrow"/>
                <w:sz w:val="20"/>
              </w:rPr>
              <w:t xml:space="preserve">elanoma </w:t>
            </w:r>
            <w:r>
              <w:rPr>
                <w:rFonts w:ascii="Arial Narrow" w:eastAsia="SimSun" w:hAnsi="Arial Narrow" w:cs="Arial Narrow"/>
                <w:sz w:val="20"/>
              </w:rPr>
              <w:t>p</w:t>
            </w:r>
            <w:r w:rsidRPr="002A15B0">
              <w:rPr>
                <w:rFonts w:ascii="Arial Narrow" w:eastAsia="SimSun" w:hAnsi="Arial Narrow" w:cs="Arial Narrow"/>
                <w:sz w:val="20"/>
              </w:rPr>
              <w:t xml:space="preserve">eptide </w:t>
            </w:r>
            <w:r>
              <w:rPr>
                <w:rFonts w:ascii="Arial Narrow" w:eastAsia="SimSun" w:hAnsi="Arial Narrow" w:cs="Arial Narrow"/>
                <w:sz w:val="20"/>
              </w:rPr>
              <w:t>v</w:t>
            </w:r>
            <w:r w:rsidRPr="002A15B0">
              <w:rPr>
                <w:rFonts w:ascii="Arial Narrow" w:eastAsia="SimSun" w:hAnsi="Arial Narrow" w:cs="Arial Narrow"/>
                <w:sz w:val="20"/>
              </w:rPr>
              <w:t xml:space="preserve">accine, and </w:t>
            </w:r>
            <w:r>
              <w:rPr>
                <w:rFonts w:ascii="Arial Narrow" w:eastAsia="SimSun" w:hAnsi="Arial Narrow" w:cs="Arial Narrow"/>
                <w:sz w:val="20"/>
              </w:rPr>
              <w:t>m</w:t>
            </w:r>
            <w:r w:rsidRPr="002A15B0">
              <w:rPr>
                <w:rFonts w:ascii="Arial Narrow" w:eastAsia="SimSun" w:hAnsi="Arial Narrow" w:cs="Arial Narrow"/>
                <w:sz w:val="20"/>
              </w:rPr>
              <w:t xml:space="preserve">elanoma </w:t>
            </w:r>
            <w:r>
              <w:rPr>
                <w:rFonts w:ascii="Arial Narrow" w:eastAsia="SimSun" w:hAnsi="Arial Narrow" w:cs="Arial Narrow"/>
                <w:sz w:val="20"/>
              </w:rPr>
              <w:t>v</w:t>
            </w:r>
            <w:r w:rsidRPr="002A15B0">
              <w:rPr>
                <w:rFonts w:ascii="Arial Narrow" w:eastAsia="SimSun" w:hAnsi="Arial Narrow" w:cs="Arial Narrow"/>
                <w:sz w:val="20"/>
              </w:rPr>
              <w:t xml:space="preserve">accine </w:t>
            </w:r>
            <w:r>
              <w:rPr>
                <w:rFonts w:ascii="Arial Narrow" w:eastAsia="SimSun" w:hAnsi="Arial Narrow" w:cs="Arial Narrow"/>
                <w:sz w:val="20"/>
              </w:rPr>
              <w:t>m</w:t>
            </w:r>
            <w:r w:rsidRPr="002A15B0">
              <w:rPr>
                <w:rFonts w:ascii="Arial Narrow" w:eastAsia="SimSun" w:hAnsi="Arial Narrow" w:cs="Arial Narrow"/>
                <w:sz w:val="20"/>
              </w:rPr>
              <w:t>onotherapy</w:t>
            </w:r>
            <w:r>
              <w:rPr>
                <w:rFonts w:ascii="Arial Narrow" w:eastAsia="SimSun" w:hAnsi="Arial Narrow" w:cs="Arial Narrow"/>
                <w:sz w:val="20"/>
              </w:rPr>
              <w:t xml:space="preserve"> </w:t>
            </w:r>
            <w:r w:rsidRPr="002A15B0">
              <w:rPr>
                <w:rFonts w:ascii="Arial Narrow" w:eastAsia="SimSun" w:hAnsi="Arial Narrow" w:cs="Arial Narrow"/>
                <w:sz w:val="20"/>
              </w:rPr>
              <w:t>in HLA-A*0201-</w:t>
            </w:r>
            <w:r>
              <w:rPr>
                <w:rFonts w:ascii="Arial Narrow" w:eastAsia="SimSun" w:hAnsi="Arial Narrow" w:cs="Arial Narrow"/>
                <w:sz w:val="20"/>
              </w:rPr>
              <w:t>p</w:t>
            </w:r>
            <w:r w:rsidRPr="002A15B0">
              <w:rPr>
                <w:rFonts w:ascii="Arial Narrow" w:eastAsia="SimSun" w:hAnsi="Arial Narrow" w:cs="Arial Narrow"/>
                <w:sz w:val="20"/>
              </w:rPr>
              <w:t xml:space="preserve">ositive </w:t>
            </w:r>
            <w:r>
              <w:rPr>
                <w:rFonts w:ascii="Arial Narrow" w:eastAsia="SimSun" w:hAnsi="Arial Narrow" w:cs="Arial Narrow"/>
                <w:sz w:val="20"/>
              </w:rPr>
              <w:t>patients with previously t</w:t>
            </w:r>
            <w:r w:rsidRPr="002A15B0">
              <w:rPr>
                <w:rFonts w:ascii="Arial Narrow" w:eastAsia="SimSun" w:hAnsi="Arial Narrow" w:cs="Arial Narrow"/>
                <w:sz w:val="20"/>
              </w:rPr>
              <w:t>reated</w:t>
            </w:r>
            <w:r>
              <w:rPr>
                <w:rFonts w:ascii="Arial Narrow" w:eastAsia="SimSun" w:hAnsi="Arial Narrow" w:cs="Arial Narrow"/>
                <w:sz w:val="20"/>
              </w:rPr>
              <w:t xml:space="preserve"> unresectable Stage III or IV m</w:t>
            </w:r>
            <w:r w:rsidRPr="002A15B0">
              <w:rPr>
                <w:rFonts w:ascii="Arial Narrow" w:eastAsia="SimSun" w:hAnsi="Arial Narrow" w:cs="Arial Narrow"/>
                <w:sz w:val="20"/>
              </w:rPr>
              <w:t>elanoma</w:t>
            </w:r>
            <w:r>
              <w:rPr>
                <w:rFonts w:ascii="Arial Narrow" w:eastAsia="SimSun" w:hAnsi="Arial Narrow" w:cs="Arial Narrow"/>
                <w:sz w:val="20"/>
              </w:rPr>
              <w:t>.</w:t>
            </w:r>
          </w:p>
        </w:tc>
        <w:tc>
          <w:tcPr>
            <w:tcW w:w="1348" w:type="pct"/>
            <w:tcBorders>
              <w:bottom w:val="nil"/>
            </w:tcBorders>
          </w:tcPr>
          <w:p w:rsidR="00762789" w:rsidRPr="004E2ADC" w:rsidRDefault="00762789" w:rsidP="00762789">
            <w:pPr>
              <w:jc w:val="left"/>
              <w:rPr>
                <w:rFonts w:ascii="Arial Narrow" w:hAnsi="Arial Narrow"/>
                <w:sz w:val="20"/>
              </w:rPr>
            </w:pPr>
            <w:r>
              <w:rPr>
                <w:rFonts w:ascii="Arial Narrow" w:hAnsi="Arial Narrow"/>
                <w:sz w:val="20"/>
              </w:rPr>
              <w:t>May 2010</w:t>
            </w:r>
          </w:p>
          <w:p w:rsidR="00762789" w:rsidRPr="00076464" w:rsidRDefault="00762789" w:rsidP="00762789">
            <w:pPr>
              <w:jc w:val="left"/>
              <w:rPr>
                <w:rFonts w:ascii="Arial Narrow" w:hAnsi="Arial Narrow"/>
                <w:b/>
                <w:sz w:val="20"/>
              </w:rPr>
            </w:pPr>
          </w:p>
        </w:tc>
      </w:tr>
      <w:tr w:rsidR="00762789" w:rsidRPr="004E2ADC" w:rsidTr="000C5DD5">
        <w:tc>
          <w:tcPr>
            <w:tcW w:w="594" w:type="pct"/>
            <w:tcBorders>
              <w:top w:val="nil"/>
            </w:tcBorders>
          </w:tcPr>
          <w:p w:rsidR="00762789" w:rsidRDefault="00762789" w:rsidP="00762789">
            <w:pPr>
              <w:jc w:val="left"/>
              <w:rPr>
                <w:rFonts w:ascii="Arial Narrow" w:hAnsi="Arial Narrow"/>
                <w:sz w:val="20"/>
              </w:rPr>
            </w:pPr>
          </w:p>
        </w:tc>
        <w:tc>
          <w:tcPr>
            <w:tcW w:w="3057" w:type="pct"/>
            <w:tcBorders>
              <w:top w:val="nil"/>
            </w:tcBorders>
          </w:tcPr>
          <w:p w:rsidR="00762789" w:rsidRDefault="00762789" w:rsidP="00762789">
            <w:pPr>
              <w:jc w:val="left"/>
              <w:rPr>
                <w:rFonts w:ascii="Arial Narrow" w:eastAsia="SimSun" w:hAnsi="Arial Narrow" w:cs="Arial Narrow"/>
                <w:sz w:val="20"/>
              </w:rPr>
            </w:pPr>
            <w:r>
              <w:rPr>
                <w:rFonts w:ascii="Arial Narrow" w:eastAsia="SimSun" w:hAnsi="Arial Narrow" w:cs="Arial Narrow"/>
                <w:sz w:val="20"/>
              </w:rPr>
              <w:t>Hodi FS, O’Day SJ, McDermott DF, et al. Improved survival with ipilimumab in patients with metastatic melanoma.</w:t>
            </w:r>
          </w:p>
        </w:tc>
        <w:tc>
          <w:tcPr>
            <w:tcW w:w="1348" w:type="pct"/>
            <w:tcBorders>
              <w:top w:val="nil"/>
            </w:tcBorders>
          </w:tcPr>
          <w:p w:rsidR="00762789" w:rsidRPr="00865DFA" w:rsidRDefault="00762789" w:rsidP="00762789">
            <w:pPr>
              <w:jc w:val="left"/>
              <w:rPr>
                <w:rFonts w:ascii="Arial Narrow" w:hAnsi="Arial Narrow"/>
                <w:sz w:val="20"/>
              </w:rPr>
            </w:pPr>
            <w:r>
              <w:rPr>
                <w:rFonts w:ascii="Arial Narrow" w:hAnsi="Arial Narrow"/>
                <w:i/>
                <w:sz w:val="20"/>
              </w:rPr>
              <w:t>NEJM</w:t>
            </w:r>
            <w:r>
              <w:rPr>
                <w:rFonts w:ascii="Arial Narrow" w:hAnsi="Arial Narrow"/>
                <w:sz w:val="20"/>
              </w:rPr>
              <w:t xml:space="preserve"> 2010; 363 (8): 711-23.</w:t>
            </w:r>
          </w:p>
        </w:tc>
      </w:tr>
    </w:tbl>
    <w:p w:rsidR="00762789" w:rsidRPr="00D13A3E" w:rsidRDefault="00762789" w:rsidP="00762789">
      <w:pPr>
        <w:pStyle w:val="TableFooter"/>
        <w:ind w:firstLine="720"/>
      </w:pPr>
      <w:r w:rsidRPr="00D13A3E">
        <w:t>Source:</w:t>
      </w:r>
      <w:r>
        <w:t xml:space="preserve"> Table 16, p53 and Tabl</w:t>
      </w:r>
      <w:r w:rsidR="000C5DD5">
        <w:t xml:space="preserve">e 19, p56 of the </w:t>
      </w:r>
      <w:r w:rsidR="008D1756">
        <w:t>resubmission</w:t>
      </w:r>
      <w:r w:rsidR="000C5DD5">
        <w:t>.</w:t>
      </w:r>
    </w:p>
    <w:p w:rsidR="00762789" w:rsidRPr="000C5DD5" w:rsidRDefault="00762789" w:rsidP="000C5DD5">
      <w:pPr>
        <w:rPr>
          <w:rStyle w:val="CommentReference"/>
          <w:rFonts w:ascii="Arial" w:hAnsi="Arial"/>
          <w:b w:val="0"/>
          <w:sz w:val="22"/>
          <w:szCs w:val="22"/>
        </w:rPr>
      </w:pPr>
    </w:p>
    <w:p w:rsidR="00762789" w:rsidRPr="00D06FD4" w:rsidRDefault="00762789" w:rsidP="009E7F9E">
      <w:pPr>
        <w:pStyle w:val="ListParagraph"/>
        <w:widowControl/>
        <w:numPr>
          <w:ilvl w:val="1"/>
          <w:numId w:val="3"/>
        </w:numPr>
        <w:rPr>
          <w:szCs w:val="22"/>
        </w:rPr>
      </w:pPr>
      <w:r w:rsidRPr="00D06FD4">
        <w:rPr>
          <w:szCs w:val="22"/>
        </w:rPr>
        <w:t xml:space="preserve">The key features of the randomised trials are </w:t>
      </w:r>
      <w:r w:rsidR="000C5DD5">
        <w:rPr>
          <w:szCs w:val="22"/>
        </w:rPr>
        <w:t>summarised in the table below.</w:t>
      </w:r>
    </w:p>
    <w:p w:rsidR="002F530E" w:rsidRDefault="002F530E">
      <w:pPr>
        <w:widowControl/>
        <w:jc w:val="left"/>
        <w:rPr>
          <w:szCs w:val="22"/>
        </w:rPr>
      </w:pPr>
      <w:r>
        <w:rPr>
          <w:szCs w:val="22"/>
        </w:rPr>
        <w:br w:type="page"/>
      </w:r>
    </w:p>
    <w:p w:rsidR="00762789" w:rsidRDefault="00762789" w:rsidP="00762789">
      <w:pPr>
        <w:widowControl/>
        <w:rPr>
          <w:szCs w:val="22"/>
        </w:rPr>
      </w:pPr>
    </w:p>
    <w:p w:rsidR="00762789" w:rsidRPr="007F79C8" w:rsidRDefault="00762789" w:rsidP="006125BC">
      <w:pPr>
        <w:keepNext/>
        <w:keepLines/>
        <w:ind w:firstLine="720"/>
        <w:rPr>
          <w:rFonts w:ascii="Arial Narrow" w:hAnsi="Arial Narrow"/>
          <w:b/>
          <w:sz w:val="20"/>
        </w:rPr>
      </w:pPr>
      <w:r>
        <w:rPr>
          <w:rFonts w:ascii="Arial Narrow" w:hAnsi="Arial Narrow"/>
          <w:b/>
          <w:sz w:val="20"/>
        </w:rPr>
        <w:t xml:space="preserve">Table 3: Summary of trials presented in the </w:t>
      </w:r>
      <w:r w:rsidR="008D1756">
        <w:rPr>
          <w:rFonts w:ascii="Arial Narrow" w:hAnsi="Arial Narrow"/>
          <w:b/>
          <w:sz w:val="20"/>
        </w:rPr>
        <w:t>resubmission</w:t>
      </w:r>
    </w:p>
    <w:tbl>
      <w:tblPr>
        <w:tblStyle w:val="TableGrid"/>
        <w:tblW w:w="4616" w:type="pct"/>
        <w:tblInd w:w="743" w:type="dxa"/>
        <w:tblLook w:val="04A0" w:firstRow="1" w:lastRow="0" w:firstColumn="1" w:lastColumn="0" w:noHBand="0" w:noVBand="1"/>
        <w:tblCaption w:val="Table 3: Summary of trials presented in the resubmission"/>
      </w:tblPr>
      <w:tblGrid>
        <w:gridCol w:w="935"/>
        <w:gridCol w:w="502"/>
        <w:gridCol w:w="3611"/>
        <w:gridCol w:w="918"/>
        <w:gridCol w:w="1044"/>
        <w:gridCol w:w="1522"/>
      </w:tblGrid>
      <w:tr w:rsidR="00762789" w:rsidRPr="00D444CF" w:rsidTr="00A439A2">
        <w:trPr>
          <w:tblHeader/>
        </w:trPr>
        <w:tc>
          <w:tcPr>
            <w:tcW w:w="548" w:type="pct"/>
          </w:tcPr>
          <w:p w:rsidR="00762789" w:rsidRPr="00D444CF" w:rsidRDefault="00762789" w:rsidP="006125BC">
            <w:pPr>
              <w:keepNext/>
              <w:keepLines/>
              <w:jc w:val="left"/>
              <w:rPr>
                <w:rFonts w:ascii="Arial Narrow" w:hAnsi="Arial Narrow"/>
                <w:b/>
                <w:sz w:val="20"/>
              </w:rPr>
            </w:pPr>
            <w:r>
              <w:rPr>
                <w:rFonts w:ascii="Arial Narrow" w:hAnsi="Arial Narrow"/>
                <w:b/>
                <w:sz w:val="20"/>
              </w:rPr>
              <w:t>Trial ID</w:t>
            </w:r>
          </w:p>
        </w:tc>
        <w:tc>
          <w:tcPr>
            <w:tcW w:w="294" w:type="pct"/>
          </w:tcPr>
          <w:p w:rsidR="00762789" w:rsidRPr="00D444CF" w:rsidRDefault="00762789" w:rsidP="006125BC">
            <w:pPr>
              <w:keepNext/>
              <w:keepLines/>
              <w:jc w:val="center"/>
              <w:rPr>
                <w:rFonts w:ascii="Arial Narrow" w:hAnsi="Arial Narrow"/>
                <w:b/>
                <w:sz w:val="20"/>
              </w:rPr>
            </w:pPr>
            <w:r>
              <w:rPr>
                <w:rFonts w:ascii="Arial Narrow" w:hAnsi="Arial Narrow"/>
                <w:b/>
                <w:sz w:val="20"/>
              </w:rPr>
              <w:t>N</w:t>
            </w:r>
          </w:p>
        </w:tc>
        <w:tc>
          <w:tcPr>
            <w:tcW w:w="2116" w:type="pct"/>
          </w:tcPr>
          <w:p w:rsidR="00762789" w:rsidRPr="00D444CF" w:rsidRDefault="00762789" w:rsidP="006125BC">
            <w:pPr>
              <w:keepNext/>
              <w:keepLines/>
              <w:jc w:val="center"/>
              <w:rPr>
                <w:rFonts w:ascii="Arial Narrow" w:hAnsi="Arial Narrow"/>
                <w:b/>
                <w:sz w:val="20"/>
              </w:rPr>
            </w:pPr>
            <w:r>
              <w:rPr>
                <w:rFonts w:ascii="Arial Narrow" w:hAnsi="Arial Narrow"/>
                <w:b/>
                <w:sz w:val="20"/>
              </w:rPr>
              <w:t>Comparison</w:t>
            </w:r>
          </w:p>
        </w:tc>
        <w:tc>
          <w:tcPr>
            <w:tcW w:w="538" w:type="pct"/>
          </w:tcPr>
          <w:p w:rsidR="00762789" w:rsidRPr="00D444CF" w:rsidRDefault="00762789" w:rsidP="006125BC">
            <w:pPr>
              <w:keepNext/>
              <w:keepLines/>
              <w:jc w:val="center"/>
              <w:rPr>
                <w:rFonts w:ascii="Arial Narrow" w:hAnsi="Arial Narrow"/>
                <w:b/>
                <w:sz w:val="20"/>
              </w:rPr>
            </w:pPr>
            <w:r>
              <w:rPr>
                <w:rFonts w:ascii="Arial Narrow" w:hAnsi="Arial Narrow"/>
                <w:b/>
                <w:sz w:val="20"/>
              </w:rPr>
              <w:t>Trial design</w:t>
            </w:r>
          </w:p>
        </w:tc>
        <w:tc>
          <w:tcPr>
            <w:tcW w:w="612" w:type="pct"/>
          </w:tcPr>
          <w:p w:rsidR="00762789" w:rsidRPr="00D444CF" w:rsidRDefault="00762789" w:rsidP="006125BC">
            <w:pPr>
              <w:keepNext/>
              <w:keepLines/>
              <w:jc w:val="center"/>
              <w:rPr>
                <w:rFonts w:ascii="Arial Narrow" w:hAnsi="Arial Narrow"/>
                <w:b/>
                <w:sz w:val="20"/>
              </w:rPr>
            </w:pPr>
            <w:r>
              <w:rPr>
                <w:rFonts w:ascii="Arial Narrow" w:hAnsi="Arial Narrow"/>
                <w:b/>
                <w:sz w:val="20"/>
              </w:rPr>
              <w:t>Outcomes</w:t>
            </w:r>
          </w:p>
        </w:tc>
        <w:tc>
          <w:tcPr>
            <w:tcW w:w="891" w:type="pct"/>
          </w:tcPr>
          <w:p w:rsidR="00762789" w:rsidRPr="00D444CF" w:rsidRDefault="00762789" w:rsidP="006125BC">
            <w:pPr>
              <w:keepNext/>
              <w:keepLines/>
              <w:jc w:val="center"/>
              <w:rPr>
                <w:rFonts w:ascii="Arial Narrow" w:hAnsi="Arial Narrow"/>
                <w:b/>
                <w:sz w:val="20"/>
              </w:rPr>
            </w:pPr>
            <w:r>
              <w:rPr>
                <w:rFonts w:ascii="Arial Narrow" w:hAnsi="Arial Narrow"/>
                <w:b/>
                <w:sz w:val="20"/>
              </w:rPr>
              <w:t>Use in the economic evaluation</w:t>
            </w:r>
          </w:p>
        </w:tc>
      </w:tr>
      <w:tr w:rsidR="00762789" w:rsidRPr="00463FEB" w:rsidTr="004D301A">
        <w:tc>
          <w:tcPr>
            <w:tcW w:w="5000" w:type="pct"/>
            <w:gridSpan w:val="6"/>
            <w:vAlign w:val="center"/>
          </w:tcPr>
          <w:p w:rsidR="00762789" w:rsidRPr="00463FEB" w:rsidRDefault="00762789" w:rsidP="00762789">
            <w:pPr>
              <w:jc w:val="left"/>
              <w:rPr>
                <w:rFonts w:ascii="Arial Narrow" w:hAnsi="Arial Narrow"/>
                <w:b/>
                <w:sz w:val="20"/>
              </w:rPr>
            </w:pPr>
            <w:r>
              <w:rPr>
                <w:rFonts w:ascii="Arial Narrow" w:hAnsi="Arial Narrow"/>
                <w:b/>
                <w:sz w:val="20"/>
              </w:rPr>
              <w:t>NIVO+IPI versus nivolumab monotherapy – first line</w:t>
            </w:r>
          </w:p>
        </w:tc>
      </w:tr>
      <w:tr w:rsidR="00762789" w:rsidTr="004D301A">
        <w:trPr>
          <w:trHeight w:val="737"/>
        </w:trPr>
        <w:tc>
          <w:tcPr>
            <w:tcW w:w="548" w:type="pct"/>
            <w:vAlign w:val="center"/>
          </w:tcPr>
          <w:p w:rsidR="00762789" w:rsidRDefault="00762789" w:rsidP="00762789">
            <w:pPr>
              <w:jc w:val="left"/>
              <w:rPr>
                <w:rFonts w:ascii="Arial Narrow" w:hAnsi="Arial Narrow"/>
                <w:sz w:val="20"/>
              </w:rPr>
            </w:pPr>
            <w:r>
              <w:rPr>
                <w:rFonts w:ascii="Arial Narrow" w:hAnsi="Arial Narrow"/>
                <w:sz w:val="20"/>
              </w:rPr>
              <w:t>CA209-067</w:t>
            </w:r>
          </w:p>
        </w:tc>
        <w:tc>
          <w:tcPr>
            <w:tcW w:w="294" w:type="pct"/>
            <w:vAlign w:val="center"/>
          </w:tcPr>
          <w:p w:rsidR="00762789" w:rsidRDefault="00762789" w:rsidP="00762789">
            <w:pPr>
              <w:jc w:val="center"/>
              <w:rPr>
                <w:rFonts w:ascii="Arial Narrow" w:hAnsi="Arial Narrow"/>
                <w:sz w:val="20"/>
              </w:rPr>
            </w:pPr>
            <w:r>
              <w:rPr>
                <w:rFonts w:ascii="Arial Narrow" w:hAnsi="Arial Narrow"/>
                <w:sz w:val="20"/>
              </w:rPr>
              <w:t>945</w:t>
            </w:r>
          </w:p>
        </w:tc>
        <w:tc>
          <w:tcPr>
            <w:tcW w:w="2116" w:type="pct"/>
            <w:vAlign w:val="center"/>
          </w:tcPr>
          <w:p w:rsidR="00762789" w:rsidRDefault="00762789" w:rsidP="009E7F9E">
            <w:pPr>
              <w:pStyle w:val="ListParagraph"/>
              <w:numPr>
                <w:ilvl w:val="0"/>
                <w:numId w:val="5"/>
              </w:numPr>
              <w:spacing w:after="40"/>
              <w:ind w:left="165" w:hanging="142"/>
              <w:contextualSpacing w:val="0"/>
              <w:jc w:val="left"/>
              <w:rPr>
                <w:rFonts w:ascii="Arial Narrow" w:hAnsi="Arial Narrow"/>
                <w:sz w:val="20"/>
              </w:rPr>
            </w:pPr>
            <w:r>
              <w:rPr>
                <w:rFonts w:ascii="Arial Narrow" w:hAnsi="Arial Narrow"/>
                <w:sz w:val="20"/>
              </w:rPr>
              <w:t>NIVO 1mg/kg IV, plus IPI 3mg/kg, Q3W x 4, then NIVO 3mg/kg IV Q2W (n=314)</w:t>
            </w:r>
          </w:p>
          <w:p w:rsidR="00762789" w:rsidRDefault="00762789" w:rsidP="009E7F9E">
            <w:pPr>
              <w:pStyle w:val="ListParagraph"/>
              <w:numPr>
                <w:ilvl w:val="0"/>
                <w:numId w:val="5"/>
              </w:numPr>
              <w:spacing w:after="40"/>
              <w:ind w:left="165" w:hanging="142"/>
              <w:contextualSpacing w:val="0"/>
              <w:jc w:val="left"/>
              <w:rPr>
                <w:rFonts w:ascii="Arial Narrow" w:hAnsi="Arial Narrow"/>
                <w:sz w:val="20"/>
              </w:rPr>
            </w:pPr>
            <w:r>
              <w:rPr>
                <w:rFonts w:ascii="Arial Narrow" w:hAnsi="Arial Narrow"/>
                <w:sz w:val="20"/>
              </w:rPr>
              <w:t>NIVO 3mg/kg IV Q2W (n=316)</w:t>
            </w:r>
          </w:p>
          <w:p w:rsidR="00762789" w:rsidRPr="00463FEB" w:rsidRDefault="00762789" w:rsidP="009E7F9E">
            <w:pPr>
              <w:pStyle w:val="ListParagraph"/>
              <w:numPr>
                <w:ilvl w:val="0"/>
                <w:numId w:val="5"/>
              </w:numPr>
              <w:spacing w:after="40"/>
              <w:ind w:left="165" w:hanging="142"/>
              <w:jc w:val="left"/>
              <w:rPr>
                <w:rFonts w:ascii="Arial Narrow" w:hAnsi="Arial Narrow"/>
                <w:sz w:val="20"/>
              </w:rPr>
            </w:pPr>
            <w:r>
              <w:rPr>
                <w:rFonts w:ascii="Arial Narrow" w:hAnsi="Arial Narrow"/>
                <w:sz w:val="20"/>
              </w:rPr>
              <w:t>IPI 3mg/kg IV Q3W x 4 (n=315)</w:t>
            </w:r>
          </w:p>
        </w:tc>
        <w:tc>
          <w:tcPr>
            <w:tcW w:w="538" w:type="pct"/>
            <w:vAlign w:val="center"/>
          </w:tcPr>
          <w:p w:rsidR="00762789" w:rsidRDefault="00762789" w:rsidP="00762789">
            <w:pPr>
              <w:jc w:val="center"/>
              <w:rPr>
                <w:rFonts w:ascii="Arial Narrow" w:hAnsi="Arial Narrow"/>
                <w:sz w:val="20"/>
              </w:rPr>
            </w:pPr>
            <w:r>
              <w:rPr>
                <w:rFonts w:ascii="Arial Narrow" w:hAnsi="Arial Narrow"/>
                <w:sz w:val="20"/>
              </w:rPr>
              <w:t>Phase III</w:t>
            </w:r>
          </w:p>
          <w:p w:rsidR="00762789" w:rsidRDefault="00762789" w:rsidP="00762789">
            <w:pPr>
              <w:jc w:val="center"/>
              <w:rPr>
                <w:rFonts w:ascii="Arial Narrow" w:hAnsi="Arial Narrow"/>
                <w:sz w:val="20"/>
              </w:rPr>
            </w:pPr>
            <w:r>
              <w:rPr>
                <w:rFonts w:ascii="Arial Narrow" w:hAnsi="Arial Narrow"/>
                <w:sz w:val="20"/>
              </w:rPr>
              <w:t>R, DB, MC</w:t>
            </w:r>
          </w:p>
        </w:tc>
        <w:tc>
          <w:tcPr>
            <w:tcW w:w="612" w:type="pct"/>
            <w:vAlign w:val="center"/>
          </w:tcPr>
          <w:p w:rsidR="00762789" w:rsidRDefault="00762789" w:rsidP="00762789">
            <w:pPr>
              <w:jc w:val="center"/>
              <w:rPr>
                <w:rFonts w:ascii="Arial Narrow" w:hAnsi="Arial Narrow"/>
                <w:sz w:val="20"/>
              </w:rPr>
            </w:pPr>
            <w:r>
              <w:rPr>
                <w:rFonts w:ascii="Arial Narrow" w:hAnsi="Arial Narrow"/>
                <w:sz w:val="20"/>
              </w:rPr>
              <w:t>PFS, OS</w:t>
            </w:r>
          </w:p>
        </w:tc>
        <w:tc>
          <w:tcPr>
            <w:tcW w:w="891" w:type="pct"/>
            <w:vAlign w:val="center"/>
          </w:tcPr>
          <w:p w:rsidR="00762789" w:rsidRDefault="00762789" w:rsidP="00762789">
            <w:pPr>
              <w:jc w:val="center"/>
              <w:rPr>
                <w:rFonts w:ascii="Arial Narrow" w:hAnsi="Arial Narrow"/>
                <w:sz w:val="20"/>
              </w:rPr>
            </w:pPr>
            <w:r>
              <w:rPr>
                <w:rFonts w:ascii="Arial Narrow" w:hAnsi="Arial Narrow"/>
                <w:sz w:val="20"/>
              </w:rPr>
              <w:t>Transition from:</w:t>
            </w:r>
          </w:p>
          <w:p w:rsidR="00762789" w:rsidRDefault="00762789" w:rsidP="00762789">
            <w:pPr>
              <w:jc w:val="center"/>
              <w:rPr>
                <w:rFonts w:ascii="Arial Narrow" w:hAnsi="Arial Narrow"/>
                <w:sz w:val="20"/>
              </w:rPr>
            </w:pPr>
            <w:r>
              <w:rPr>
                <w:rFonts w:ascii="Arial Narrow" w:hAnsi="Arial Narrow"/>
                <w:sz w:val="20"/>
              </w:rPr>
              <w:t>P0 → P1</w:t>
            </w:r>
          </w:p>
          <w:p w:rsidR="00762789" w:rsidRDefault="00762789" w:rsidP="00762789">
            <w:pPr>
              <w:jc w:val="center"/>
              <w:rPr>
                <w:rFonts w:ascii="Arial Narrow" w:hAnsi="Arial Narrow"/>
                <w:sz w:val="20"/>
              </w:rPr>
            </w:pPr>
            <w:r>
              <w:rPr>
                <w:rFonts w:ascii="Arial Narrow" w:hAnsi="Arial Narrow"/>
                <w:sz w:val="20"/>
              </w:rPr>
              <w:t>P0 → Death</w:t>
            </w:r>
          </w:p>
        </w:tc>
      </w:tr>
      <w:tr w:rsidR="00762789" w:rsidTr="004D301A">
        <w:tc>
          <w:tcPr>
            <w:tcW w:w="5000" w:type="pct"/>
            <w:gridSpan w:val="6"/>
            <w:vAlign w:val="center"/>
          </w:tcPr>
          <w:p w:rsidR="00762789" w:rsidRPr="002E3A0B" w:rsidRDefault="00762789" w:rsidP="00762789">
            <w:pPr>
              <w:jc w:val="left"/>
              <w:rPr>
                <w:rFonts w:ascii="Arial Narrow" w:hAnsi="Arial Narrow"/>
                <w:b/>
                <w:sz w:val="20"/>
              </w:rPr>
            </w:pPr>
            <w:r>
              <w:rPr>
                <w:rFonts w:ascii="Arial Narrow" w:hAnsi="Arial Narrow"/>
                <w:b/>
                <w:sz w:val="20"/>
              </w:rPr>
              <w:t>BSC versus Ipilimumab monotherapy – second line*</w:t>
            </w:r>
          </w:p>
        </w:tc>
      </w:tr>
      <w:tr w:rsidR="00762789" w:rsidTr="004D301A">
        <w:trPr>
          <w:trHeight w:val="609"/>
        </w:trPr>
        <w:tc>
          <w:tcPr>
            <w:tcW w:w="548" w:type="pct"/>
            <w:vAlign w:val="center"/>
          </w:tcPr>
          <w:p w:rsidR="00762789" w:rsidRDefault="00762789" w:rsidP="00762789">
            <w:pPr>
              <w:jc w:val="left"/>
              <w:rPr>
                <w:rFonts w:ascii="Arial Narrow" w:hAnsi="Arial Narrow"/>
                <w:sz w:val="20"/>
              </w:rPr>
            </w:pPr>
            <w:r>
              <w:rPr>
                <w:rFonts w:ascii="Arial Narrow" w:hAnsi="Arial Narrow"/>
                <w:sz w:val="20"/>
              </w:rPr>
              <w:t>MDX010-020</w:t>
            </w:r>
          </w:p>
        </w:tc>
        <w:tc>
          <w:tcPr>
            <w:tcW w:w="294" w:type="pct"/>
            <w:vAlign w:val="center"/>
          </w:tcPr>
          <w:p w:rsidR="00762789" w:rsidRDefault="00762789" w:rsidP="00762789">
            <w:pPr>
              <w:jc w:val="center"/>
              <w:rPr>
                <w:rFonts w:ascii="Arial Narrow" w:hAnsi="Arial Narrow"/>
                <w:sz w:val="20"/>
              </w:rPr>
            </w:pPr>
            <w:r w:rsidRPr="00120E55">
              <w:rPr>
                <w:rFonts w:ascii="Arial Narrow" w:hAnsi="Arial Narrow"/>
                <w:sz w:val="20"/>
              </w:rPr>
              <w:t>676</w:t>
            </w:r>
          </w:p>
        </w:tc>
        <w:tc>
          <w:tcPr>
            <w:tcW w:w="2116" w:type="pct"/>
            <w:vAlign w:val="center"/>
          </w:tcPr>
          <w:p w:rsidR="00762789" w:rsidRDefault="00762789" w:rsidP="009E7F9E">
            <w:pPr>
              <w:pStyle w:val="ListParagraph"/>
              <w:numPr>
                <w:ilvl w:val="0"/>
                <w:numId w:val="5"/>
              </w:numPr>
              <w:spacing w:after="40"/>
              <w:ind w:left="165" w:hanging="142"/>
              <w:contextualSpacing w:val="0"/>
              <w:jc w:val="left"/>
              <w:rPr>
                <w:rFonts w:ascii="Arial Narrow" w:hAnsi="Arial Narrow"/>
                <w:sz w:val="20"/>
              </w:rPr>
            </w:pPr>
            <w:r>
              <w:rPr>
                <w:rFonts w:ascii="Arial Narrow" w:hAnsi="Arial Narrow"/>
                <w:sz w:val="20"/>
              </w:rPr>
              <w:t>IPI 3mg/kg IV Q3W plus gp100 SC</w:t>
            </w:r>
            <w:r w:rsidR="004D301A">
              <w:rPr>
                <w:rFonts w:ascii="Arial Narrow" w:hAnsi="Arial Narrow"/>
                <w:sz w:val="20"/>
              </w:rPr>
              <w:t xml:space="preserve"> </w:t>
            </w:r>
            <w:r>
              <w:rPr>
                <w:rFonts w:ascii="Arial Narrow" w:hAnsi="Arial Narrow"/>
                <w:sz w:val="20"/>
              </w:rPr>
              <w:t>Q3W</w:t>
            </w:r>
            <w:r>
              <w:rPr>
                <w:rFonts w:ascii="Arial Narrow" w:hAnsi="Arial Narrow"/>
                <w:sz w:val="20"/>
                <w:vertAlign w:val="superscript"/>
              </w:rPr>
              <w:t>a</w:t>
            </w:r>
            <w:r>
              <w:rPr>
                <w:rFonts w:ascii="Arial Narrow" w:hAnsi="Arial Narrow"/>
                <w:sz w:val="20"/>
              </w:rPr>
              <w:t>, up to 4 doses</w:t>
            </w:r>
            <w:r>
              <w:rPr>
                <w:rFonts w:ascii="Arial Narrow" w:hAnsi="Arial Narrow"/>
                <w:sz w:val="20"/>
                <w:vertAlign w:val="superscript"/>
              </w:rPr>
              <w:t xml:space="preserve">b </w:t>
            </w:r>
            <w:r>
              <w:rPr>
                <w:rFonts w:ascii="Arial Narrow" w:hAnsi="Arial Narrow"/>
                <w:sz w:val="20"/>
              </w:rPr>
              <w:t>(n=403)</w:t>
            </w:r>
          </w:p>
          <w:p w:rsidR="00762789" w:rsidRDefault="00762789" w:rsidP="009E7F9E">
            <w:pPr>
              <w:pStyle w:val="ListParagraph"/>
              <w:numPr>
                <w:ilvl w:val="0"/>
                <w:numId w:val="5"/>
              </w:numPr>
              <w:spacing w:after="40"/>
              <w:ind w:left="165" w:hanging="142"/>
              <w:contextualSpacing w:val="0"/>
              <w:jc w:val="left"/>
              <w:rPr>
                <w:rFonts w:ascii="Arial Narrow" w:hAnsi="Arial Narrow"/>
                <w:sz w:val="20"/>
              </w:rPr>
            </w:pPr>
            <w:r>
              <w:rPr>
                <w:rFonts w:ascii="Arial Narrow" w:hAnsi="Arial Narrow"/>
                <w:sz w:val="20"/>
              </w:rPr>
              <w:t>IPI 3mg/kg IV Q3W, up to 4 doses</w:t>
            </w:r>
            <w:r>
              <w:rPr>
                <w:rFonts w:ascii="Arial Narrow" w:hAnsi="Arial Narrow"/>
                <w:sz w:val="20"/>
                <w:vertAlign w:val="superscript"/>
              </w:rPr>
              <w:t xml:space="preserve">b </w:t>
            </w:r>
            <w:r>
              <w:rPr>
                <w:rFonts w:ascii="Arial Narrow" w:hAnsi="Arial Narrow"/>
                <w:sz w:val="20"/>
              </w:rPr>
              <w:t>(</w:t>
            </w:r>
            <w:r w:rsidR="00927CF3">
              <w:rPr>
                <w:rFonts w:ascii="Arial Narrow" w:hAnsi="Arial Narrow"/>
                <w:sz w:val="20"/>
              </w:rPr>
              <w:t>n=</w:t>
            </w:r>
            <w:r>
              <w:rPr>
                <w:rFonts w:ascii="Arial Narrow" w:hAnsi="Arial Narrow"/>
                <w:sz w:val="20"/>
              </w:rPr>
              <w:t>137</w:t>
            </w:r>
            <w:r w:rsidRPr="00F44968">
              <w:rPr>
                <w:rFonts w:ascii="Arial Narrow" w:hAnsi="Arial Narrow"/>
                <w:sz w:val="20"/>
              </w:rPr>
              <w:t>)</w:t>
            </w:r>
          </w:p>
          <w:p w:rsidR="00762789" w:rsidRDefault="00762789" w:rsidP="009E7F9E">
            <w:pPr>
              <w:pStyle w:val="ListParagraph"/>
              <w:numPr>
                <w:ilvl w:val="0"/>
                <w:numId w:val="5"/>
              </w:numPr>
              <w:ind w:left="165" w:hanging="142"/>
              <w:jc w:val="left"/>
              <w:rPr>
                <w:rFonts w:ascii="Arial Narrow" w:hAnsi="Arial Narrow"/>
                <w:sz w:val="20"/>
              </w:rPr>
            </w:pPr>
            <w:r>
              <w:rPr>
                <w:rFonts w:ascii="Arial Narrow" w:hAnsi="Arial Narrow"/>
                <w:sz w:val="20"/>
              </w:rPr>
              <w:t>gp100</w:t>
            </w:r>
            <w:r w:rsidR="00370F89">
              <w:rPr>
                <w:rFonts w:ascii="Arial Narrow" w:hAnsi="Arial Narrow"/>
                <w:sz w:val="20"/>
              </w:rPr>
              <w:t xml:space="preserve"> </w:t>
            </w:r>
            <w:r>
              <w:rPr>
                <w:rFonts w:ascii="Arial Narrow" w:hAnsi="Arial Narrow"/>
                <w:sz w:val="20"/>
              </w:rPr>
              <w:t>SC Q3W</w:t>
            </w:r>
            <w:r>
              <w:rPr>
                <w:rFonts w:ascii="Arial Narrow" w:hAnsi="Arial Narrow"/>
                <w:sz w:val="20"/>
                <w:vertAlign w:val="superscript"/>
              </w:rPr>
              <w:t>a</w:t>
            </w:r>
            <w:r>
              <w:rPr>
                <w:rFonts w:ascii="Arial Narrow" w:hAnsi="Arial Narrow"/>
                <w:sz w:val="20"/>
              </w:rPr>
              <w:t>, up to 4 doses</w:t>
            </w:r>
            <w:r>
              <w:rPr>
                <w:rFonts w:ascii="Arial Narrow" w:hAnsi="Arial Narrow"/>
                <w:sz w:val="20"/>
                <w:vertAlign w:val="superscript"/>
              </w:rPr>
              <w:t>b</w:t>
            </w:r>
            <w:r>
              <w:rPr>
                <w:rFonts w:ascii="Arial Narrow" w:hAnsi="Arial Narrow"/>
                <w:sz w:val="20"/>
              </w:rPr>
              <w:t xml:space="preserve"> (</w:t>
            </w:r>
            <w:r w:rsidRPr="00F44968">
              <w:rPr>
                <w:rFonts w:ascii="Arial Narrow" w:hAnsi="Arial Narrow"/>
                <w:sz w:val="20"/>
              </w:rPr>
              <w:t>n=</w:t>
            </w:r>
            <w:r>
              <w:rPr>
                <w:rFonts w:ascii="Arial Narrow" w:hAnsi="Arial Narrow"/>
                <w:sz w:val="20"/>
              </w:rPr>
              <w:t>136</w:t>
            </w:r>
            <w:r w:rsidRPr="00F44968">
              <w:rPr>
                <w:rFonts w:ascii="Arial Narrow" w:hAnsi="Arial Narrow"/>
                <w:sz w:val="20"/>
              </w:rPr>
              <w:t>)</w:t>
            </w:r>
          </w:p>
        </w:tc>
        <w:tc>
          <w:tcPr>
            <w:tcW w:w="538" w:type="pct"/>
            <w:vAlign w:val="center"/>
          </w:tcPr>
          <w:p w:rsidR="00762789" w:rsidRDefault="00762789" w:rsidP="00762789">
            <w:pPr>
              <w:jc w:val="center"/>
              <w:rPr>
                <w:rFonts w:ascii="Arial Narrow" w:hAnsi="Arial Narrow"/>
                <w:sz w:val="20"/>
              </w:rPr>
            </w:pPr>
            <w:r>
              <w:rPr>
                <w:rFonts w:ascii="Arial Narrow" w:hAnsi="Arial Narrow"/>
                <w:sz w:val="20"/>
              </w:rPr>
              <w:t>Phase III</w:t>
            </w:r>
          </w:p>
          <w:p w:rsidR="00762789" w:rsidRDefault="00762789" w:rsidP="00762789">
            <w:pPr>
              <w:jc w:val="center"/>
              <w:rPr>
                <w:rFonts w:ascii="Arial Narrow" w:hAnsi="Arial Narrow"/>
                <w:sz w:val="20"/>
              </w:rPr>
            </w:pPr>
            <w:r>
              <w:rPr>
                <w:rFonts w:ascii="Arial Narrow" w:hAnsi="Arial Narrow"/>
                <w:sz w:val="20"/>
              </w:rPr>
              <w:t>R, DB, MC</w:t>
            </w:r>
          </w:p>
        </w:tc>
        <w:tc>
          <w:tcPr>
            <w:tcW w:w="612" w:type="pct"/>
            <w:vAlign w:val="center"/>
          </w:tcPr>
          <w:p w:rsidR="00762789" w:rsidRDefault="00762789" w:rsidP="00762789">
            <w:pPr>
              <w:jc w:val="center"/>
              <w:rPr>
                <w:rFonts w:ascii="Arial Narrow" w:hAnsi="Arial Narrow"/>
                <w:sz w:val="20"/>
              </w:rPr>
            </w:pPr>
            <w:r w:rsidRPr="00E30A2A">
              <w:rPr>
                <w:rFonts w:ascii="Arial Narrow" w:hAnsi="Arial Narrow"/>
                <w:sz w:val="20"/>
              </w:rPr>
              <w:t>PFS,</w:t>
            </w:r>
            <w:r>
              <w:rPr>
                <w:rFonts w:ascii="Arial Narrow" w:hAnsi="Arial Narrow"/>
                <w:sz w:val="20"/>
              </w:rPr>
              <w:t xml:space="preserve"> OS</w:t>
            </w:r>
          </w:p>
        </w:tc>
        <w:tc>
          <w:tcPr>
            <w:tcW w:w="891" w:type="pct"/>
            <w:vAlign w:val="center"/>
          </w:tcPr>
          <w:p w:rsidR="00762789" w:rsidRDefault="00762789" w:rsidP="00762789">
            <w:pPr>
              <w:jc w:val="center"/>
              <w:rPr>
                <w:rFonts w:ascii="Arial Narrow" w:hAnsi="Arial Narrow"/>
                <w:sz w:val="20"/>
              </w:rPr>
            </w:pPr>
            <w:r>
              <w:rPr>
                <w:rFonts w:ascii="Arial Narrow" w:hAnsi="Arial Narrow"/>
                <w:sz w:val="20"/>
              </w:rPr>
              <w:t>Transition from:</w:t>
            </w:r>
          </w:p>
          <w:p w:rsidR="00762789" w:rsidRDefault="00762789" w:rsidP="00762789">
            <w:pPr>
              <w:jc w:val="center"/>
              <w:rPr>
                <w:rFonts w:ascii="Arial Narrow" w:hAnsi="Arial Narrow"/>
                <w:sz w:val="20"/>
              </w:rPr>
            </w:pPr>
            <w:r>
              <w:rPr>
                <w:rFonts w:ascii="Arial Narrow" w:hAnsi="Arial Narrow"/>
                <w:sz w:val="20"/>
              </w:rPr>
              <w:t>P1 → P2</w:t>
            </w:r>
          </w:p>
          <w:p w:rsidR="00762789" w:rsidRDefault="00762789" w:rsidP="00762789">
            <w:pPr>
              <w:jc w:val="center"/>
              <w:rPr>
                <w:rFonts w:ascii="Arial Narrow" w:hAnsi="Arial Narrow"/>
                <w:sz w:val="20"/>
              </w:rPr>
            </w:pPr>
            <w:r>
              <w:rPr>
                <w:rFonts w:ascii="Arial Narrow" w:hAnsi="Arial Narrow"/>
                <w:sz w:val="20"/>
              </w:rPr>
              <w:t>P1 → Death</w:t>
            </w:r>
          </w:p>
          <w:p w:rsidR="00762789" w:rsidRDefault="00762789" w:rsidP="00762789">
            <w:pPr>
              <w:jc w:val="center"/>
              <w:rPr>
                <w:rFonts w:ascii="Arial Narrow" w:hAnsi="Arial Narrow"/>
                <w:sz w:val="20"/>
              </w:rPr>
            </w:pPr>
            <w:r>
              <w:rPr>
                <w:rFonts w:ascii="Arial Narrow" w:hAnsi="Arial Narrow"/>
                <w:sz w:val="20"/>
              </w:rPr>
              <w:t>P2 → Death</w:t>
            </w:r>
          </w:p>
        </w:tc>
      </w:tr>
    </w:tbl>
    <w:p w:rsidR="00762789" w:rsidRDefault="000E4CFD" w:rsidP="00762789">
      <w:pPr>
        <w:pStyle w:val="TableFooter"/>
        <w:ind w:left="710"/>
      </w:pPr>
      <w:r>
        <w:t xml:space="preserve">BSC = best supportive care; </w:t>
      </w:r>
      <w:r w:rsidR="00762789" w:rsidRPr="0072461D">
        <w:t xml:space="preserve">DB = double blind; </w:t>
      </w:r>
      <w:r w:rsidR="00762789">
        <w:t>IPI</w:t>
      </w:r>
      <w:r w:rsidR="00762789" w:rsidRPr="0072461D">
        <w:t xml:space="preserve"> = ipilimumab; IV = intr</w:t>
      </w:r>
      <w:r w:rsidR="00762789">
        <w:t>avenous; MC = multi-centre; NIVO</w:t>
      </w:r>
      <w:r w:rsidR="00762789" w:rsidRPr="0072461D">
        <w:t xml:space="preserve"> = nivolumab; OS = overall survival; </w:t>
      </w:r>
      <w:r w:rsidR="00762789">
        <w:t>P0 = alive, no progression health state; P1 = alive post 1</w:t>
      </w:r>
      <w:r w:rsidR="00762789" w:rsidRPr="00CE3F12">
        <w:rPr>
          <w:vertAlign w:val="superscript"/>
        </w:rPr>
        <w:t>st</w:t>
      </w:r>
      <w:r w:rsidR="00762789">
        <w:t xml:space="preserve"> progression; P2 = alive post 2</w:t>
      </w:r>
      <w:r w:rsidR="00762789" w:rsidRPr="00CE3F12">
        <w:rPr>
          <w:vertAlign w:val="superscript"/>
        </w:rPr>
        <w:t>nd</w:t>
      </w:r>
      <w:r w:rsidR="00762789">
        <w:t xml:space="preserve"> progression; </w:t>
      </w:r>
      <w:r w:rsidR="00762789" w:rsidRPr="0072461D">
        <w:t>PFS = progression-free survival; Q2W = every 2 weeks; Q3W = every 3 weeks; R = randomised</w:t>
      </w:r>
      <w:r w:rsidR="00762789">
        <w:t>; SC = subcutaneous</w:t>
      </w:r>
    </w:p>
    <w:p w:rsidR="00762789" w:rsidRPr="00960EA9" w:rsidRDefault="00762789" w:rsidP="00762789">
      <w:pPr>
        <w:pStyle w:val="TableFooter"/>
        <w:ind w:left="852" w:hanging="142"/>
      </w:pPr>
      <w:r>
        <w:rPr>
          <w:vertAlign w:val="superscript"/>
        </w:rPr>
        <w:t>a</w:t>
      </w:r>
      <w:r>
        <w:t xml:space="preserve"> The melanoma peptide vaccine gp100 contained 2 mg Peptide A and 2 mg Peptide B.</w:t>
      </w:r>
    </w:p>
    <w:p w:rsidR="00762789" w:rsidRDefault="00762789" w:rsidP="00762789">
      <w:pPr>
        <w:pStyle w:val="TableFooter"/>
        <w:ind w:left="852" w:hanging="142"/>
      </w:pPr>
      <w:r>
        <w:rPr>
          <w:vertAlign w:val="superscript"/>
        </w:rPr>
        <w:t>b</w:t>
      </w:r>
      <w:r>
        <w:t xml:space="preserve"> Patients with stable disease for 3 months’ duration after week 12 or a confirmed partial or complete response could receive additional courses of therapy with their assigned treatment regimen if they had disease progression.</w:t>
      </w:r>
      <w:r w:rsidR="004421E6">
        <w:rPr>
          <w:rStyle w:val="FootnoteReference"/>
        </w:rPr>
        <w:footnoteReference w:id="4"/>
      </w:r>
      <w:r w:rsidR="004421E6">
        <w:t xml:space="preserve"> </w:t>
      </w:r>
    </w:p>
    <w:p w:rsidR="00762789" w:rsidRDefault="00762789" w:rsidP="00762789">
      <w:pPr>
        <w:pStyle w:val="TableFooter"/>
        <w:ind w:left="852" w:hanging="142"/>
      </w:pPr>
      <w:r w:rsidRPr="00902DAA">
        <w:t>*</w:t>
      </w:r>
      <w:r>
        <w:t xml:space="preserve"> Patients in MDX010-020 must have previously received at least one course of systemic treatment. Prior therapies included interleukin-2, dacarbazine, temozolamide, fotemustine and/or carboplatin.</w:t>
      </w:r>
    </w:p>
    <w:p w:rsidR="00762789" w:rsidRPr="004101D4" w:rsidRDefault="00762789" w:rsidP="004101D4">
      <w:pPr>
        <w:pStyle w:val="TableFooter"/>
        <w:ind w:left="852" w:hanging="142"/>
      </w:pPr>
      <w:r w:rsidRPr="004101D4">
        <w:t>Source: Compiled during the evaluation</w:t>
      </w:r>
    </w:p>
    <w:p w:rsidR="00762789" w:rsidRDefault="00762789" w:rsidP="00762789"/>
    <w:p w:rsidR="00897148" w:rsidRPr="00D4640F" w:rsidRDefault="00897148" w:rsidP="009E7F9E">
      <w:pPr>
        <w:pStyle w:val="ListParagraph"/>
        <w:widowControl/>
        <w:numPr>
          <w:ilvl w:val="1"/>
          <w:numId w:val="3"/>
        </w:numPr>
      </w:pPr>
      <w:r w:rsidRPr="00D4640F">
        <w:t>CA209-067 provided clinical evidence for the comparative effectiveness and safety of NIVO+IPI relative to nivolumab monotherapy in the first-line setting, with a variety of subsequent therapies used in both treatment arms.</w:t>
      </w:r>
      <w:r w:rsidR="00EB6AE4" w:rsidRPr="00D4640F">
        <w:t xml:space="preserve"> </w:t>
      </w:r>
      <w:r w:rsidR="009D2FE9" w:rsidRPr="00D4640F">
        <w:t>Of</w:t>
      </w:r>
      <w:r w:rsidR="007D0836" w:rsidRPr="00D4640F">
        <w:t xml:space="preserve"> patients who had experienced a progression event</w:t>
      </w:r>
      <w:r w:rsidR="009D2FE9" w:rsidRPr="00D4640F">
        <w:t xml:space="preserve"> </w:t>
      </w:r>
      <w:r w:rsidR="004257FE" w:rsidRPr="00D4640F">
        <w:t xml:space="preserve">(documented progression or death) </w:t>
      </w:r>
      <w:r w:rsidR="009D2FE9" w:rsidRPr="00D4640F">
        <w:t>at the September 2016 database lock</w:t>
      </w:r>
      <w:r w:rsidR="007D0836" w:rsidRPr="00D4640F">
        <w:t xml:space="preserve">, approximately 60% </w:t>
      </w:r>
      <w:r w:rsidR="004D35A5" w:rsidRPr="00D4640F">
        <w:t xml:space="preserve">in the NIVO+IPI arm </w:t>
      </w:r>
      <w:r w:rsidR="007D0836" w:rsidRPr="00D4640F">
        <w:t xml:space="preserve">and 70% in the nivolumab monotherapy arm had received at least one subsequent systemic therapy. </w:t>
      </w:r>
      <w:r w:rsidR="004D35A5" w:rsidRPr="00D4640F">
        <w:t>Of</w:t>
      </w:r>
      <w:r w:rsidR="00C22E77" w:rsidRPr="00D4640F">
        <w:t xml:space="preserve"> the </w:t>
      </w:r>
      <w:r w:rsidR="00CA23DB" w:rsidRPr="00D4640F">
        <w:t xml:space="preserve">patients in the nivolumab monotherapy arm </w:t>
      </w:r>
      <w:r w:rsidR="00C22E77" w:rsidRPr="00D4640F">
        <w:t>who r</w:t>
      </w:r>
      <w:r w:rsidR="00CA23DB" w:rsidRPr="00D4640F">
        <w:t xml:space="preserve">eceived </w:t>
      </w:r>
      <w:r w:rsidR="00C22E77" w:rsidRPr="00D4640F">
        <w:t>further system</w:t>
      </w:r>
      <w:r w:rsidR="00CA23DB" w:rsidRPr="00D4640F">
        <w:t>i</w:t>
      </w:r>
      <w:r w:rsidR="00C22E77" w:rsidRPr="00D4640F">
        <w:t xml:space="preserve">c therapy, 59% </w:t>
      </w:r>
      <w:r w:rsidR="00422B0C" w:rsidRPr="00D4640F">
        <w:t>had</w:t>
      </w:r>
      <w:r w:rsidR="00EB6AE4" w:rsidRPr="00D4640F">
        <w:t xml:space="preserve"> </w:t>
      </w:r>
      <w:r w:rsidR="00C22E77" w:rsidRPr="00D4640F">
        <w:t>received ipilimumab.</w:t>
      </w:r>
    </w:p>
    <w:p w:rsidR="006550B6" w:rsidRPr="00C86F15" w:rsidRDefault="006550B6" w:rsidP="006550B6">
      <w:pPr>
        <w:widowControl/>
      </w:pPr>
    </w:p>
    <w:p w:rsidR="00762789" w:rsidRPr="00C86F15" w:rsidRDefault="00D1700F" w:rsidP="009E7F9E">
      <w:pPr>
        <w:pStyle w:val="ListParagraph"/>
        <w:widowControl/>
        <w:numPr>
          <w:ilvl w:val="1"/>
          <w:numId w:val="3"/>
        </w:numPr>
      </w:pPr>
      <w:r w:rsidRPr="00C86F15">
        <w:t>The use of BRAF inhibitors and PD-1 inhibitors post-progression in the trial did not reflect the current PBS listings for these drugs. These are precluded in patients who have received prior treatment with a PD-1 inhibitor.</w:t>
      </w:r>
    </w:p>
    <w:p w:rsidR="00D1700F" w:rsidRPr="00C86F15" w:rsidRDefault="00D1700F" w:rsidP="00D1700F">
      <w:pPr>
        <w:widowControl/>
      </w:pPr>
    </w:p>
    <w:p w:rsidR="00263B2E" w:rsidRPr="00C86F15" w:rsidRDefault="00762789" w:rsidP="009E7F9E">
      <w:pPr>
        <w:pStyle w:val="ListParagraph"/>
        <w:widowControl/>
        <w:numPr>
          <w:ilvl w:val="1"/>
          <w:numId w:val="3"/>
        </w:numPr>
      </w:pPr>
      <w:r w:rsidRPr="00C86F15">
        <w:t xml:space="preserve">MDX010-020 did not provide clinical evidence directly relevant to the nominated comparison of NIVO+IPI followed by BSC versus PD-1 inhibitor monotherapy followed by ipilimumab monotherapy. </w:t>
      </w:r>
      <w:r w:rsidR="00263B2E" w:rsidRPr="00C86F15">
        <w:t xml:space="preserve">The </w:t>
      </w:r>
      <w:r w:rsidR="008D1756" w:rsidRPr="00C86F15">
        <w:t>resubmission</w:t>
      </w:r>
      <w:r w:rsidR="00263B2E" w:rsidRPr="00C86F15">
        <w:t xml:space="preserve"> used </w:t>
      </w:r>
      <w:r w:rsidR="00263B2E" w:rsidRPr="00C86F15">
        <w:rPr>
          <w:lang w:val="en-US"/>
        </w:rPr>
        <w:t xml:space="preserve">MDX010-020 to provide data specific to the comparison of BSC with ipilimumab monotherapy in the second-line setting, using the gp100 treatment arm as a surrogate for BSC. </w:t>
      </w:r>
      <w:r w:rsidR="0022287A" w:rsidRPr="00C86F15">
        <w:t>None of the patients in MDX010-020 were reported to have received a prior PD-1 inhibitor. Therefore, the trial population was not representative of the population who have progressed after treatment with NIVO+IPI or nivolumab monotherapy.</w:t>
      </w:r>
    </w:p>
    <w:p w:rsidR="0022287A" w:rsidRPr="00C86F15" w:rsidRDefault="0022287A" w:rsidP="0022287A">
      <w:pPr>
        <w:widowControl/>
      </w:pPr>
    </w:p>
    <w:p w:rsidR="007C1943" w:rsidRPr="00C86F15" w:rsidRDefault="002253F0" w:rsidP="009E7F9E">
      <w:pPr>
        <w:pStyle w:val="ListParagraph"/>
        <w:widowControl/>
        <w:numPr>
          <w:ilvl w:val="1"/>
          <w:numId w:val="3"/>
        </w:numPr>
      </w:pPr>
      <w:r w:rsidRPr="00C86F15">
        <w:t>The progression-</w:t>
      </w:r>
      <w:r w:rsidR="00762789" w:rsidRPr="00C86F15">
        <w:t xml:space="preserve">free survival (PFS) and overall survival (OS) results from </w:t>
      </w:r>
      <w:r w:rsidR="00263B2E" w:rsidRPr="00C86F15">
        <w:t>MDX010-020</w:t>
      </w:r>
      <w:r w:rsidR="00762789" w:rsidRPr="00C86F15">
        <w:t xml:space="preserve"> were used in the economic evaluation to model </w:t>
      </w:r>
      <w:r w:rsidR="0026752B" w:rsidRPr="00C86F15">
        <w:t>transitions</w:t>
      </w:r>
      <w:r w:rsidR="00762789" w:rsidRPr="00C86F15">
        <w:t xml:space="preserve"> from the P1 health state (alive </w:t>
      </w:r>
      <w:r w:rsidR="000C5DD5" w:rsidRPr="00C86F15">
        <w:t>after</w:t>
      </w:r>
      <w:r w:rsidR="00762789" w:rsidRPr="00C86F15">
        <w:t xml:space="preserve"> </w:t>
      </w:r>
      <w:r w:rsidR="000C5DD5" w:rsidRPr="00C86F15">
        <w:t>fir</w:t>
      </w:r>
      <w:r w:rsidR="00762789" w:rsidRPr="00C86F15">
        <w:t xml:space="preserve">st progression) to the P2 </w:t>
      </w:r>
      <w:r w:rsidR="000C5DD5" w:rsidRPr="00C86F15">
        <w:t xml:space="preserve">health state </w:t>
      </w:r>
      <w:r w:rsidR="00762789" w:rsidRPr="00C86F15">
        <w:t xml:space="preserve">(alive </w:t>
      </w:r>
      <w:r w:rsidR="000C5DD5" w:rsidRPr="00C86F15">
        <w:t>after second</w:t>
      </w:r>
      <w:r w:rsidR="00762789" w:rsidRPr="00C86F15">
        <w:t xml:space="preserve"> progression) and </w:t>
      </w:r>
      <w:r w:rsidR="00ED4298" w:rsidRPr="00C86F15">
        <w:t xml:space="preserve">from P1 and P2 to the </w:t>
      </w:r>
      <w:r w:rsidR="000C5DD5" w:rsidRPr="00C86F15">
        <w:t>“</w:t>
      </w:r>
      <w:r w:rsidR="00ED4298" w:rsidRPr="00C86F15">
        <w:t>dead</w:t>
      </w:r>
      <w:r w:rsidR="000C5DD5" w:rsidRPr="00C86F15">
        <w:t>”</w:t>
      </w:r>
      <w:r w:rsidR="00ED4298" w:rsidRPr="00C86F15">
        <w:t xml:space="preserve"> health state.</w:t>
      </w:r>
    </w:p>
    <w:p w:rsidR="00762789" w:rsidRDefault="00762789" w:rsidP="00762789"/>
    <w:p w:rsidR="00762789" w:rsidRPr="00497F10" w:rsidRDefault="00762789" w:rsidP="00762789">
      <w:pPr>
        <w:pStyle w:val="Heading2"/>
        <w:rPr>
          <w:i/>
        </w:rPr>
      </w:pPr>
      <w:bookmarkStart w:id="8" w:name="_Toc472416742"/>
      <w:r w:rsidRPr="00497F10">
        <w:rPr>
          <w:i/>
        </w:rPr>
        <w:t>Comparative effectiveness</w:t>
      </w:r>
      <w:bookmarkEnd w:id="8"/>
    </w:p>
    <w:p w:rsidR="00762789" w:rsidRPr="00882085" w:rsidRDefault="00762789" w:rsidP="00762789">
      <w:pPr>
        <w:rPr>
          <w:szCs w:val="22"/>
        </w:rPr>
      </w:pPr>
    </w:p>
    <w:p w:rsidR="00762789" w:rsidRPr="00346333" w:rsidRDefault="00762789" w:rsidP="009E7F9E">
      <w:pPr>
        <w:pStyle w:val="ListParagraph"/>
        <w:widowControl/>
        <w:numPr>
          <w:ilvl w:val="1"/>
          <w:numId w:val="3"/>
        </w:numPr>
      </w:pPr>
      <w:r>
        <w:t>The OS results from the CA209-067 September 2016 database lock (28 months minimum follow-up) are summarised in Table 4 below.</w:t>
      </w:r>
      <w:r w:rsidRPr="00A111DA">
        <w:t xml:space="preserve"> </w:t>
      </w:r>
      <w:r>
        <w:t>The corresponding Kaplan-Meier plot is presented in Figure</w:t>
      </w:r>
      <w:r w:rsidR="00E15CC3">
        <w:t xml:space="preserve"> 2</w:t>
      </w:r>
      <w:r>
        <w:t>.</w:t>
      </w:r>
    </w:p>
    <w:p w:rsidR="00762789" w:rsidRDefault="00762789" w:rsidP="00762789"/>
    <w:p w:rsidR="00762789" w:rsidRPr="00D71DDD" w:rsidRDefault="00762789" w:rsidP="00827DAF">
      <w:pPr>
        <w:tabs>
          <w:tab w:val="left" w:pos="3544"/>
        </w:tabs>
        <w:ind w:left="709"/>
        <w:rPr>
          <w:rFonts w:ascii="Arial Narrow" w:hAnsi="Arial Narrow"/>
          <w:b/>
          <w:sz w:val="20"/>
        </w:rPr>
      </w:pPr>
      <w:r>
        <w:rPr>
          <w:rFonts w:ascii="Arial Narrow" w:hAnsi="Arial Narrow"/>
          <w:b/>
          <w:sz w:val="20"/>
        </w:rPr>
        <w:t>Table 4: Overall survival results in patients</w:t>
      </w:r>
      <w:r w:rsidR="00B13F8B">
        <w:rPr>
          <w:rFonts w:ascii="Arial Narrow" w:hAnsi="Arial Narrow"/>
          <w:b/>
          <w:sz w:val="20"/>
        </w:rPr>
        <w:t xml:space="preserve"> with </w:t>
      </w:r>
      <w:r w:rsidR="00827DAF" w:rsidRPr="00EC5585">
        <w:rPr>
          <w:rFonts w:ascii="Arial Narrow" w:hAnsi="Arial Narrow"/>
          <w:b/>
          <w:i/>
          <w:sz w:val="20"/>
        </w:rPr>
        <w:t>BRAF</w:t>
      </w:r>
      <w:r w:rsidR="00827DAF">
        <w:rPr>
          <w:rFonts w:ascii="Arial Narrow" w:hAnsi="Arial Narrow"/>
          <w:b/>
          <w:sz w:val="20"/>
        </w:rPr>
        <w:t xml:space="preserve"> WT and MT tumours</w:t>
      </w:r>
      <w:r>
        <w:rPr>
          <w:rFonts w:ascii="Arial Narrow" w:hAnsi="Arial Narrow"/>
          <w:b/>
          <w:sz w:val="20"/>
        </w:rPr>
        <w:t>, CA209-067 minimum follow-up 28 months</w:t>
      </w:r>
    </w:p>
    <w:tbl>
      <w:tblPr>
        <w:tblStyle w:val="TableGrid"/>
        <w:tblW w:w="4620" w:type="pct"/>
        <w:tblInd w:w="737" w:type="dxa"/>
        <w:tblLook w:val="04A0" w:firstRow="1" w:lastRow="0" w:firstColumn="1" w:lastColumn="0" w:noHBand="0" w:noVBand="1"/>
        <w:tblCaption w:val="Table 4: Overall survival results in patients with BRAF WT and MT tumours, CA209-067 minimum follow-up 28 months"/>
      </w:tblPr>
      <w:tblGrid>
        <w:gridCol w:w="2499"/>
        <w:gridCol w:w="2951"/>
        <w:gridCol w:w="3090"/>
      </w:tblGrid>
      <w:tr w:rsidR="00762789" w:rsidRPr="00191ACD" w:rsidTr="00A439A2">
        <w:trPr>
          <w:tblHeader/>
        </w:trPr>
        <w:tc>
          <w:tcPr>
            <w:tcW w:w="1463" w:type="pct"/>
          </w:tcPr>
          <w:p w:rsidR="00762789" w:rsidRPr="00191ACD" w:rsidRDefault="00762789" w:rsidP="00762789">
            <w:pPr>
              <w:jc w:val="left"/>
              <w:rPr>
                <w:rFonts w:ascii="Arial Narrow" w:hAnsi="Arial Narrow"/>
                <w:b/>
                <w:sz w:val="20"/>
              </w:rPr>
            </w:pPr>
          </w:p>
        </w:tc>
        <w:tc>
          <w:tcPr>
            <w:tcW w:w="1728" w:type="pct"/>
          </w:tcPr>
          <w:p w:rsidR="00762789" w:rsidRDefault="00762789" w:rsidP="00762789">
            <w:pPr>
              <w:jc w:val="center"/>
              <w:rPr>
                <w:rFonts w:ascii="Arial Narrow" w:hAnsi="Arial Narrow"/>
                <w:b/>
                <w:sz w:val="20"/>
              </w:rPr>
            </w:pPr>
            <w:r>
              <w:rPr>
                <w:rFonts w:ascii="Arial Narrow" w:hAnsi="Arial Narrow"/>
                <w:b/>
                <w:sz w:val="20"/>
              </w:rPr>
              <w:t xml:space="preserve">NIVO+IPI </w:t>
            </w:r>
          </w:p>
          <w:p w:rsidR="00762789" w:rsidRPr="00191ACD" w:rsidRDefault="00762789" w:rsidP="00762789">
            <w:pPr>
              <w:jc w:val="center"/>
              <w:rPr>
                <w:rFonts w:ascii="Arial Narrow" w:hAnsi="Arial Narrow"/>
                <w:b/>
                <w:sz w:val="20"/>
              </w:rPr>
            </w:pPr>
            <w:r>
              <w:rPr>
                <w:rFonts w:ascii="Arial Narrow" w:hAnsi="Arial Narrow"/>
                <w:b/>
                <w:sz w:val="20"/>
              </w:rPr>
              <w:t>N=314</w:t>
            </w:r>
          </w:p>
        </w:tc>
        <w:tc>
          <w:tcPr>
            <w:tcW w:w="1809" w:type="pct"/>
          </w:tcPr>
          <w:p w:rsidR="00762789" w:rsidRDefault="00762789" w:rsidP="00762789">
            <w:pPr>
              <w:jc w:val="center"/>
              <w:rPr>
                <w:rFonts w:ascii="Arial Narrow" w:hAnsi="Arial Narrow"/>
                <w:b/>
                <w:sz w:val="20"/>
              </w:rPr>
            </w:pPr>
            <w:r>
              <w:rPr>
                <w:rFonts w:ascii="Arial Narrow" w:hAnsi="Arial Narrow"/>
                <w:b/>
                <w:sz w:val="20"/>
              </w:rPr>
              <w:t>Nivolumab monotherapy</w:t>
            </w:r>
          </w:p>
          <w:p w:rsidR="00762789" w:rsidRPr="00191ACD" w:rsidRDefault="00762789" w:rsidP="00762789">
            <w:pPr>
              <w:jc w:val="center"/>
              <w:rPr>
                <w:rFonts w:ascii="Arial Narrow" w:hAnsi="Arial Narrow"/>
                <w:b/>
                <w:sz w:val="20"/>
              </w:rPr>
            </w:pPr>
            <w:r>
              <w:rPr>
                <w:rFonts w:ascii="Arial Narrow" w:hAnsi="Arial Narrow"/>
                <w:b/>
                <w:sz w:val="20"/>
              </w:rPr>
              <w:t>N=316</w:t>
            </w:r>
          </w:p>
        </w:tc>
      </w:tr>
      <w:tr w:rsidR="00762789" w:rsidTr="00762789">
        <w:tc>
          <w:tcPr>
            <w:tcW w:w="1463" w:type="pct"/>
          </w:tcPr>
          <w:p w:rsidR="00762789" w:rsidRDefault="00762789" w:rsidP="00762789">
            <w:pPr>
              <w:jc w:val="left"/>
              <w:rPr>
                <w:rFonts w:ascii="Arial Narrow" w:hAnsi="Arial Narrow"/>
                <w:sz w:val="20"/>
              </w:rPr>
            </w:pPr>
            <w:r>
              <w:rPr>
                <w:rFonts w:ascii="Arial Narrow" w:hAnsi="Arial Narrow"/>
                <w:sz w:val="20"/>
              </w:rPr>
              <w:t>Number of events, n (%)</w:t>
            </w:r>
          </w:p>
        </w:tc>
        <w:tc>
          <w:tcPr>
            <w:tcW w:w="1728" w:type="pct"/>
          </w:tcPr>
          <w:p w:rsidR="00762789" w:rsidRDefault="00762789" w:rsidP="00762789">
            <w:pPr>
              <w:jc w:val="center"/>
              <w:rPr>
                <w:rFonts w:ascii="Arial Narrow" w:hAnsi="Arial Narrow"/>
                <w:sz w:val="20"/>
              </w:rPr>
            </w:pPr>
            <w:r>
              <w:rPr>
                <w:rFonts w:ascii="Arial Narrow" w:hAnsi="Arial Narrow"/>
                <w:sz w:val="20"/>
              </w:rPr>
              <w:t>128 (40.8%)</w:t>
            </w:r>
          </w:p>
        </w:tc>
        <w:tc>
          <w:tcPr>
            <w:tcW w:w="1809" w:type="pct"/>
          </w:tcPr>
          <w:p w:rsidR="00762789" w:rsidRDefault="00762789" w:rsidP="00762789">
            <w:pPr>
              <w:jc w:val="center"/>
              <w:rPr>
                <w:rFonts w:ascii="Arial Narrow" w:hAnsi="Arial Narrow"/>
                <w:sz w:val="20"/>
              </w:rPr>
            </w:pPr>
            <w:r>
              <w:rPr>
                <w:rFonts w:ascii="Arial Narrow" w:hAnsi="Arial Narrow"/>
                <w:sz w:val="20"/>
              </w:rPr>
              <w:t>142 (44.9%)</w:t>
            </w:r>
          </w:p>
        </w:tc>
      </w:tr>
      <w:tr w:rsidR="00762789" w:rsidTr="00762789">
        <w:tc>
          <w:tcPr>
            <w:tcW w:w="1463" w:type="pct"/>
          </w:tcPr>
          <w:p w:rsidR="00762789" w:rsidRDefault="00762789" w:rsidP="00762789">
            <w:pPr>
              <w:jc w:val="left"/>
              <w:rPr>
                <w:rFonts w:ascii="Arial Narrow" w:hAnsi="Arial Narrow"/>
                <w:sz w:val="20"/>
              </w:rPr>
            </w:pPr>
            <w:r>
              <w:rPr>
                <w:rFonts w:ascii="Arial Narrow" w:hAnsi="Arial Narrow"/>
                <w:sz w:val="20"/>
              </w:rPr>
              <w:t>Median OS, months (95% CI)</w:t>
            </w:r>
          </w:p>
        </w:tc>
        <w:tc>
          <w:tcPr>
            <w:tcW w:w="1728" w:type="pct"/>
          </w:tcPr>
          <w:p w:rsidR="00762789" w:rsidRDefault="00762789" w:rsidP="00762789">
            <w:pPr>
              <w:jc w:val="center"/>
              <w:rPr>
                <w:rFonts w:ascii="Arial Narrow" w:hAnsi="Arial Narrow"/>
                <w:sz w:val="20"/>
              </w:rPr>
            </w:pPr>
            <w:r>
              <w:rPr>
                <w:rFonts w:ascii="Arial Narrow" w:hAnsi="Arial Narrow"/>
                <w:sz w:val="20"/>
              </w:rPr>
              <w:t xml:space="preserve">NA </w:t>
            </w:r>
          </w:p>
        </w:tc>
        <w:tc>
          <w:tcPr>
            <w:tcW w:w="1809" w:type="pct"/>
          </w:tcPr>
          <w:p w:rsidR="00762789" w:rsidRDefault="00762789" w:rsidP="00762789">
            <w:pPr>
              <w:jc w:val="center"/>
              <w:rPr>
                <w:rFonts w:ascii="Arial Narrow" w:hAnsi="Arial Narrow"/>
                <w:sz w:val="20"/>
              </w:rPr>
            </w:pPr>
            <w:r>
              <w:rPr>
                <w:rFonts w:ascii="Arial Narrow" w:hAnsi="Arial Narrow"/>
                <w:sz w:val="20"/>
              </w:rPr>
              <w:t>NA (29.1, NA)</w:t>
            </w:r>
          </w:p>
        </w:tc>
      </w:tr>
      <w:tr w:rsidR="00762789" w:rsidTr="00762789">
        <w:tc>
          <w:tcPr>
            <w:tcW w:w="1463" w:type="pct"/>
          </w:tcPr>
          <w:p w:rsidR="00762789" w:rsidRPr="00D911BD" w:rsidRDefault="00762789" w:rsidP="00762789">
            <w:pPr>
              <w:jc w:val="left"/>
              <w:rPr>
                <w:rFonts w:ascii="Arial Narrow" w:hAnsi="Arial Narrow"/>
                <w:sz w:val="20"/>
                <w:vertAlign w:val="superscript"/>
              </w:rPr>
            </w:pPr>
            <w:r>
              <w:rPr>
                <w:rFonts w:ascii="Arial Narrow" w:hAnsi="Arial Narrow"/>
                <w:sz w:val="20"/>
              </w:rPr>
              <w:t>Stratified HR (95% CI)</w:t>
            </w:r>
            <w:r>
              <w:rPr>
                <w:rFonts w:ascii="Arial Narrow" w:hAnsi="Arial Narrow"/>
                <w:sz w:val="20"/>
                <w:vertAlign w:val="superscript"/>
              </w:rPr>
              <w:t>a, b</w:t>
            </w:r>
          </w:p>
        </w:tc>
        <w:tc>
          <w:tcPr>
            <w:tcW w:w="3537" w:type="pct"/>
            <w:gridSpan w:val="2"/>
          </w:tcPr>
          <w:p w:rsidR="00762789" w:rsidRDefault="00762789" w:rsidP="00762789">
            <w:pPr>
              <w:jc w:val="center"/>
              <w:rPr>
                <w:rFonts w:ascii="Arial Narrow" w:hAnsi="Arial Narrow"/>
                <w:sz w:val="20"/>
              </w:rPr>
            </w:pPr>
            <w:r>
              <w:rPr>
                <w:rFonts w:ascii="Arial Narrow" w:hAnsi="Arial Narrow"/>
                <w:sz w:val="20"/>
              </w:rPr>
              <w:t>0.88 (0.69, 1.12)</w:t>
            </w:r>
          </w:p>
        </w:tc>
      </w:tr>
      <w:tr w:rsidR="00762789" w:rsidTr="00762789">
        <w:tc>
          <w:tcPr>
            <w:tcW w:w="1463" w:type="pct"/>
          </w:tcPr>
          <w:p w:rsidR="00762789" w:rsidRDefault="00762789" w:rsidP="00762789">
            <w:pPr>
              <w:jc w:val="left"/>
              <w:rPr>
                <w:rFonts w:ascii="Arial Narrow" w:hAnsi="Arial Narrow"/>
                <w:sz w:val="20"/>
              </w:rPr>
            </w:pPr>
            <w:r>
              <w:rPr>
                <w:rFonts w:ascii="Arial Narrow" w:hAnsi="Arial Narrow"/>
                <w:sz w:val="20"/>
              </w:rPr>
              <w:t>OS rate, % (95% CI)</w:t>
            </w:r>
          </w:p>
        </w:tc>
        <w:tc>
          <w:tcPr>
            <w:tcW w:w="1728" w:type="pct"/>
          </w:tcPr>
          <w:p w:rsidR="00762789" w:rsidRDefault="00762789" w:rsidP="00762789">
            <w:pPr>
              <w:jc w:val="center"/>
              <w:rPr>
                <w:rFonts w:ascii="Arial Narrow" w:hAnsi="Arial Narrow"/>
                <w:sz w:val="20"/>
              </w:rPr>
            </w:pPr>
          </w:p>
        </w:tc>
        <w:tc>
          <w:tcPr>
            <w:tcW w:w="1809" w:type="pct"/>
          </w:tcPr>
          <w:p w:rsidR="00762789" w:rsidRDefault="00762789" w:rsidP="00762789">
            <w:pPr>
              <w:jc w:val="center"/>
              <w:rPr>
                <w:rFonts w:ascii="Arial Narrow" w:hAnsi="Arial Narrow"/>
                <w:sz w:val="20"/>
              </w:rPr>
            </w:pPr>
          </w:p>
        </w:tc>
      </w:tr>
      <w:tr w:rsidR="00762789" w:rsidTr="00762789">
        <w:tc>
          <w:tcPr>
            <w:tcW w:w="1463" w:type="pct"/>
          </w:tcPr>
          <w:p w:rsidR="00762789" w:rsidRDefault="00762789" w:rsidP="00762789">
            <w:pPr>
              <w:ind w:left="171"/>
              <w:jc w:val="left"/>
              <w:rPr>
                <w:rFonts w:ascii="Arial Narrow" w:hAnsi="Arial Narrow"/>
                <w:sz w:val="20"/>
              </w:rPr>
            </w:pPr>
            <w:r>
              <w:rPr>
                <w:rFonts w:ascii="Arial Narrow" w:hAnsi="Arial Narrow"/>
                <w:sz w:val="20"/>
              </w:rPr>
              <w:t>OS rate at 12 months</w:t>
            </w:r>
          </w:p>
        </w:tc>
        <w:tc>
          <w:tcPr>
            <w:tcW w:w="1728"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73</w:t>
            </w:r>
            <w:r>
              <w:rPr>
                <w:rFonts w:ascii="Arial Narrow" w:hAnsi="Arial Narrow"/>
                <w:sz w:val="20"/>
                <w:lang w:val="en-US"/>
              </w:rPr>
              <w:t>% (</w:t>
            </w:r>
            <w:r w:rsidRPr="00D911BD">
              <w:rPr>
                <w:rFonts w:ascii="Arial Narrow" w:hAnsi="Arial Narrow"/>
                <w:sz w:val="20"/>
                <w:lang w:val="en-US"/>
              </w:rPr>
              <w:t>68</w:t>
            </w:r>
            <w:r>
              <w:rPr>
                <w:rFonts w:ascii="Arial Narrow" w:hAnsi="Arial Narrow"/>
                <w:sz w:val="20"/>
                <w:lang w:val="en-US"/>
              </w:rPr>
              <w:t xml:space="preserve">%, </w:t>
            </w:r>
            <w:r w:rsidRPr="00D911BD">
              <w:rPr>
                <w:rFonts w:ascii="Arial Narrow" w:hAnsi="Arial Narrow"/>
                <w:sz w:val="20"/>
                <w:lang w:val="en-US"/>
              </w:rPr>
              <w:t>78</w:t>
            </w:r>
            <w:r>
              <w:rPr>
                <w:rFonts w:ascii="Arial Narrow" w:hAnsi="Arial Narrow"/>
                <w:sz w:val="20"/>
                <w:lang w:val="en-US"/>
              </w:rPr>
              <w:t>%</w:t>
            </w:r>
            <w:r w:rsidRPr="00D911BD">
              <w:rPr>
                <w:rFonts w:ascii="Arial Narrow" w:hAnsi="Arial Narrow"/>
                <w:sz w:val="20"/>
                <w:lang w:val="en-US"/>
              </w:rPr>
              <w:t>)</w:t>
            </w:r>
          </w:p>
        </w:tc>
        <w:tc>
          <w:tcPr>
            <w:tcW w:w="1809"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74</w:t>
            </w:r>
            <w:r>
              <w:rPr>
                <w:rFonts w:ascii="Arial Narrow" w:hAnsi="Arial Narrow"/>
                <w:sz w:val="20"/>
                <w:lang w:val="en-US"/>
              </w:rPr>
              <w:t xml:space="preserve">% (69%, </w:t>
            </w:r>
            <w:r w:rsidRPr="00D911BD">
              <w:rPr>
                <w:rFonts w:ascii="Arial Narrow" w:hAnsi="Arial Narrow"/>
                <w:sz w:val="20"/>
                <w:lang w:val="en-US"/>
              </w:rPr>
              <w:t>79</w:t>
            </w:r>
            <w:r>
              <w:rPr>
                <w:rFonts w:ascii="Arial Narrow" w:hAnsi="Arial Narrow"/>
                <w:sz w:val="20"/>
                <w:lang w:val="en-US"/>
              </w:rPr>
              <w:t>%</w:t>
            </w:r>
            <w:r w:rsidRPr="00D911BD">
              <w:rPr>
                <w:rFonts w:ascii="Arial Narrow" w:hAnsi="Arial Narrow"/>
                <w:sz w:val="20"/>
                <w:lang w:val="en-US"/>
              </w:rPr>
              <w:t>)</w:t>
            </w:r>
          </w:p>
        </w:tc>
      </w:tr>
      <w:tr w:rsidR="00762789" w:rsidTr="00762789">
        <w:tc>
          <w:tcPr>
            <w:tcW w:w="1463" w:type="pct"/>
          </w:tcPr>
          <w:p w:rsidR="00762789" w:rsidRDefault="00762789" w:rsidP="00762789">
            <w:pPr>
              <w:ind w:left="171"/>
              <w:jc w:val="left"/>
              <w:rPr>
                <w:rFonts w:ascii="Arial Narrow" w:hAnsi="Arial Narrow"/>
                <w:sz w:val="20"/>
              </w:rPr>
            </w:pPr>
            <w:r>
              <w:rPr>
                <w:rFonts w:ascii="Arial Narrow" w:hAnsi="Arial Narrow"/>
                <w:sz w:val="20"/>
              </w:rPr>
              <w:t>OS rate at 18 months</w:t>
            </w:r>
          </w:p>
        </w:tc>
        <w:tc>
          <w:tcPr>
            <w:tcW w:w="1728"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68</w:t>
            </w:r>
            <w:r>
              <w:rPr>
                <w:rFonts w:ascii="Arial Narrow" w:hAnsi="Arial Narrow"/>
                <w:sz w:val="20"/>
                <w:lang w:val="en-US"/>
              </w:rPr>
              <w:t>% (</w:t>
            </w:r>
            <w:r w:rsidRPr="00D911BD">
              <w:rPr>
                <w:rFonts w:ascii="Arial Narrow" w:hAnsi="Arial Narrow"/>
                <w:sz w:val="20"/>
                <w:lang w:val="en-US"/>
              </w:rPr>
              <w:t>62</w:t>
            </w:r>
            <w:r>
              <w:rPr>
                <w:rFonts w:ascii="Arial Narrow" w:hAnsi="Arial Narrow"/>
                <w:sz w:val="20"/>
                <w:lang w:val="en-US"/>
              </w:rPr>
              <w:t xml:space="preserve">%, </w:t>
            </w:r>
            <w:r w:rsidRPr="00D911BD">
              <w:rPr>
                <w:rFonts w:ascii="Arial Narrow" w:hAnsi="Arial Narrow"/>
                <w:sz w:val="20"/>
                <w:lang w:val="en-US"/>
              </w:rPr>
              <w:t>73</w:t>
            </w:r>
            <w:r>
              <w:rPr>
                <w:rFonts w:ascii="Arial Narrow" w:hAnsi="Arial Narrow"/>
                <w:sz w:val="20"/>
                <w:lang w:val="en-US"/>
              </w:rPr>
              <w:t>%</w:t>
            </w:r>
            <w:r w:rsidRPr="00D911BD">
              <w:rPr>
                <w:rFonts w:ascii="Arial Narrow" w:hAnsi="Arial Narrow"/>
                <w:sz w:val="20"/>
                <w:lang w:val="en-US"/>
              </w:rPr>
              <w:t>)</w:t>
            </w:r>
          </w:p>
        </w:tc>
        <w:tc>
          <w:tcPr>
            <w:tcW w:w="1809"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65</w:t>
            </w:r>
            <w:r>
              <w:rPr>
                <w:rFonts w:ascii="Arial Narrow" w:hAnsi="Arial Narrow"/>
                <w:sz w:val="20"/>
                <w:lang w:val="en-US"/>
              </w:rPr>
              <w:t xml:space="preserve">% (60%, </w:t>
            </w:r>
            <w:r w:rsidRPr="00D911BD">
              <w:rPr>
                <w:rFonts w:ascii="Arial Narrow" w:hAnsi="Arial Narrow"/>
                <w:sz w:val="20"/>
                <w:lang w:val="en-US"/>
              </w:rPr>
              <w:t>70</w:t>
            </w:r>
            <w:r>
              <w:rPr>
                <w:rFonts w:ascii="Arial Narrow" w:hAnsi="Arial Narrow"/>
                <w:sz w:val="20"/>
                <w:lang w:val="en-US"/>
              </w:rPr>
              <w:t>%</w:t>
            </w:r>
            <w:r w:rsidRPr="00D911BD">
              <w:rPr>
                <w:rFonts w:ascii="Arial Narrow" w:hAnsi="Arial Narrow"/>
                <w:sz w:val="20"/>
                <w:lang w:val="en-US"/>
              </w:rPr>
              <w:t>)</w:t>
            </w:r>
          </w:p>
        </w:tc>
      </w:tr>
      <w:tr w:rsidR="00762789" w:rsidTr="00762789">
        <w:tc>
          <w:tcPr>
            <w:tcW w:w="1463" w:type="pct"/>
          </w:tcPr>
          <w:p w:rsidR="00762789" w:rsidRDefault="00762789" w:rsidP="00762789">
            <w:pPr>
              <w:ind w:left="171"/>
              <w:jc w:val="left"/>
              <w:rPr>
                <w:rFonts w:ascii="Arial Narrow" w:hAnsi="Arial Narrow"/>
                <w:sz w:val="20"/>
              </w:rPr>
            </w:pPr>
            <w:r>
              <w:rPr>
                <w:rFonts w:ascii="Arial Narrow" w:hAnsi="Arial Narrow"/>
                <w:sz w:val="20"/>
              </w:rPr>
              <w:t>OS rate at 24 months</w:t>
            </w:r>
          </w:p>
        </w:tc>
        <w:tc>
          <w:tcPr>
            <w:tcW w:w="1728"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64</w:t>
            </w:r>
            <w:r>
              <w:rPr>
                <w:rFonts w:ascii="Arial Narrow" w:hAnsi="Arial Narrow"/>
                <w:sz w:val="20"/>
                <w:lang w:val="en-US"/>
              </w:rPr>
              <w:t>% (</w:t>
            </w:r>
            <w:r w:rsidRPr="00D911BD">
              <w:rPr>
                <w:rFonts w:ascii="Arial Narrow" w:hAnsi="Arial Narrow"/>
                <w:sz w:val="20"/>
                <w:lang w:val="en-US"/>
              </w:rPr>
              <w:t>59</w:t>
            </w:r>
            <w:r>
              <w:rPr>
                <w:rFonts w:ascii="Arial Narrow" w:hAnsi="Arial Narrow"/>
                <w:sz w:val="20"/>
                <w:lang w:val="en-US"/>
              </w:rPr>
              <w:t xml:space="preserve">%, </w:t>
            </w:r>
            <w:r w:rsidRPr="00D911BD">
              <w:rPr>
                <w:rFonts w:ascii="Arial Narrow" w:hAnsi="Arial Narrow"/>
                <w:sz w:val="20"/>
                <w:lang w:val="en-US"/>
              </w:rPr>
              <w:t>69</w:t>
            </w:r>
            <w:r>
              <w:rPr>
                <w:rFonts w:ascii="Arial Narrow" w:hAnsi="Arial Narrow"/>
                <w:sz w:val="20"/>
                <w:lang w:val="en-US"/>
              </w:rPr>
              <w:t>%</w:t>
            </w:r>
            <w:r w:rsidRPr="00D911BD">
              <w:rPr>
                <w:rFonts w:ascii="Arial Narrow" w:hAnsi="Arial Narrow"/>
                <w:sz w:val="20"/>
                <w:lang w:val="en-US"/>
              </w:rPr>
              <w:t>)</w:t>
            </w:r>
          </w:p>
        </w:tc>
        <w:tc>
          <w:tcPr>
            <w:tcW w:w="1809" w:type="pct"/>
          </w:tcPr>
          <w:p w:rsidR="00762789" w:rsidRPr="00D911BD" w:rsidRDefault="00762789" w:rsidP="00762789">
            <w:pPr>
              <w:jc w:val="center"/>
              <w:rPr>
                <w:rFonts w:ascii="Arial Narrow" w:hAnsi="Arial Narrow"/>
                <w:sz w:val="20"/>
              </w:rPr>
            </w:pPr>
            <w:r w:rsidRPr="00D911BD">
              <w:rPr>
                <w:rFonts w:ascii="Arial Narrow" w:hAnsi="Arial Narrow"/>
                <w:sz w:val="20"/>
                <w:lang w:val="en-US"/>
              </w:rPr>
              <w:t>59</w:t>
            </w:r>
            <w:r>
              <w:rPr>
                <w:rFonts w:ascii="Arial Narrow" w:hAnsi="Arial Narrow"/>
                <w:sz w:val="20"/>
                <w:lang w:val="en-US"/>
              </w:rPr>
              <w:t xml:space="preserve">% (53%, </w:t>
            </w:r>
            <w:r w:rsidRPr="00D911BD">
              <w:rPr>
                <w:rFonts w:ascii="Arial Narrow" w:hAnsi="Arial Narrow"/>
                <w:sz w:val="20"/>
                <w:lang w:val="en-US"/>
              </w:rPr>
              <w:t>64</w:t>
            </w:r>
            <w:r>
              <w:rPr>
                <w:rFonts w:ascii="Arial Narrow" w:hAnsi="Arial Narrow"/>
                <w:sz w:val="20"/>
                <w:lang w:val="en-US"/>
              </w:rPr>
              <w:t>%</w:t>
            </w:r>
            <w:r w:rsidRPr="00D911BD">
              <w:rPr>
                <w:rFonts w:ascii="Arial Narrow" w:hAnsi="Arial Narrow"/>
                <w:sz w:val="20"/>
                <w:lang w:val="en-US"/>
              </w:rPr>
              <w:t>)</w:t>
            </w:r>
          </w:p>
        </w:tc>
      </w:tr>
    </w:tbl>
    <w:p w:rsidR="00762789" w:rsidRDefault="00762789" w:rsidP="00762789">
      <w:pPr>
        <w:pStyle w:val="TableFooter"/>
        <w:ind w:left="720"/>
      </w:pPr>
      <w:r>
        <w:t xml:space="preserve">CI = confidence interval; HR = hazard ratio; IPI = ipilimumab; </w:t>
      </w:r>
      <w:r w:rsidR="00897148">
        <w:t xml:space="preserve">MT = mutant type; </w:t>
      </w:r>
      <w:r>
        <w:t>NA = not available; NIVO = nivolumab; OS = overall survival</w:t>
      </w:r>
      <w:r w:rsidR="00897148">
        <w:t>; WT = wild type</w:t>
      </w:r>
    </w:p>
    <w:p w:rsidR="00762789" w:rsidRDefault="00762789" w:rsidP="00762789">
      <w:pPr>
        <w:pStyle w:val="TableFooter"/>
        <w:ind w:left="720"/>
      </w:pPr>
      <w:r>
        <w:rPr>
          <w:vertAlign w:val="superscript"/>
        </w:rPr>
        <w:t>a</w:t>
      </w:r>
      <w:r>
        <w:t xml:space="preserve"> NIVO+IPI versus nivolumab monotherapy</w:t>
      </w:r>
    </w:p>
    <w:p w:rsidR="00762789" w:rsidRDefault="00762789" w:rsidP="00762789">
      <w:pPr>
        <w:pStyle w:val="TableFooter"/>
        <w:ind w:left="720"/>
      </w:pPr>
      <w:r>
        <w:rPr>
          <w:vertAlign w:val="superscript"/>
        </w:rPr>
        <w:t>b</w:t>
      </w:r>
      <w:r>
        <w:t xml:space="preserve"> Stratified by PD-L1 status, </w:t>
      </w:r>
      <w:r w:rsidRPr="006A37A7">
        <w:rPr>
          <w:i/>
        </w:rPr>
        <w:t>BRAF</w:t>
      </w:r>
      <w:r>
        <w:t xml:space="preserve"> status and M stage.</w:t>
      </w:r>
    </w:p>
    <w:p w:rsidR="00762789" w:rsidRPr="00D911BD" w:rsidRDefault="00762789" w:rsidP="00762789">
      <w:pPr>
        <w:pStyle w:val="TableFooter"/>
        <w:ind w:left="720"/>
      </w:pPr>
      <w:r>
        <w:t xml:space="preserve">Source: Table 31, p85 and Table 32, p86 of the </w:t>
      </w:r>
      <w:r w:rsidR="008D1756">
        <w:t>resubmission</w:t>
      </w:r>
      <w:r>
        <w:t xml:space="preserve"> and Table 3.3.1-1, p7 Topline Report database lock September 2016, Attachment 6 to the </w:t>
      </w:r>
      <w:r w:rsidR="008D1756">
        <w:t>resubmission</w:t>
      </w:r>
      <w:r>
        <w:t>.</w:t>
      </w:r>
    </w:p>
    <w:p w:rsidR="00762789" w:rsidRDefault="00762789" w:rsidP="00762789"/>
    <w:p w:rsidR="00762789" w:rsidRDefault="00E15CC3" w:rsidP="00B13F8B">
      <w:pPr>
        <w:keepNext/>
        <w:keepLines/>
        <w:ind w:left="709"/>
      </w:pPr>
      <w:r>
        <w:rPr>
          <w:rFonts w:ascii="Arial Narrow" w:hAnsi="Arial Narrow"/>
          <w:b/>
          <w:sz w:val="20"/>
        </w:rPr>
        <w:t>Figure 2</w:t>
      </w:r>
      <w:r w:rsidR="00762789">
        <w:rPr>
          <w:rFonts w:ascii="Arial Narrow" w:hAnsi="Arial Narrow"/>
          <w:b/>
          <w:sz w:val="20"/>
        </w:rPr>
        <w:t>: Kaplan</w:t>
      </w:r>
      <w:r w:rsidR="000B5270">
        <w:rPr>
          <w:rFonts w:ascii="Arial Narrow" w:hAnsi="Arial Narrow"/>
          <w:b/>
          <w:sz w:val="20"/>
        </w:rPr>
        <w:t xml:space="preserve"> Meier plot for OS in</w:t>
      </w:r>
      <w:r w:rsidR="00B13F8B">
        <w:rPr>
          <w:rFonts w:ascii="Arial Narrow" w:hAnsi="Arial Narrow"/>
          <w:b/>
          <w:sz w:val="20"/>
        </w:rPr>
        <w:t xml:space="preserve"> patients with </w:t>
      </w:r>
      <w:r w:rsidR="00B13F8B" w:rsidRPr="000C5DD5">
        <w:rPr>
          <w:rFonts w:ascii="Arial Narrow" w:hAnsi="Arial Narrow"/>
          <w:b/>
          <w:i/>
          <w:sz w:val="20"/>
        </w:rPr>
        <w:t>BRAF</w:t>
      </w:r>
      <w:r w:rsidR="00B13F8B">
        <w:rPr>
          <w:rFonts w:ascii="Arial Narrow" w:hAnsi="Arial Narrow"/>
          <w:b/>
          <w:sz w:val="20"/>
        </w:rPr>
        <w:t xml:space="preserve"> WT and MT tumour</w:t>
      </w:r>
      <w:r w:rsidR="000B5270">
        <w:rPr>
          <w:rFonts w:ascii="Arial Narrow" w:hAnsi="Arial Narrow"/>
          <w:b/>
          <w:sz w:val="20"/>
        </w:rPr>
        <w:t xml:space="preserve">s, CA209-067 </w:t>
      </w:r>
      <w:r w:rsidR="00762789">
        <w:rPr>
          <w:rFonts w:ascii="Arial Narrow" w:hAnsi="Arial Narrow"/>
          <w:b/>
          <w:sz w:val="20"/>
        </w:rPr>
        <w:t>minimum follow-up 28 months</w:t>
      </w:r>
    </w:p>
    <w:p w:rsidR="00762789" w:rsidRDefault="00762789" w:rsidP="000B5270">
      <w:pPr>
        <w:ind w:left="567"/>
      </w:pPr>
      <w:r w:rsidRPr="001C5A9B">
        <w:rPr>
          <w:noProof/>
          <w:lang w:eastAsia="en-AU"/>
        </w:rPr>
        <w:drawing>
          <wp:inline distT="0" distB="0" distL="0" distR="0" wp14:anchorId="57AE3C97" wp14:editId="4FE4589B">
            <wp:extent cx="5372100" cy="4356713"/>
            <wp:effectExtent l="0" t="0" r="0" b="6350"/>
            <wp:docPr id="11" name="Picture 11" title="Figure 2: Kaplan Meier plot for OS in patients with BRAF WT and MT tumours, CA209-067 minimum follow-up 28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5174" cy="4399755"/>
                    </a:xfrm>
                    <a:prstGeom prst="rect">
                      <a:avLst/>
                    </a:prstGeom>
                  </pic:spPr>
                </pic:pic>
              </a:graphicData>
            </a:graphic>
          </wp:inline>
        </w:drawing>
      </w:r>
    </w:p>
    <w:p w:rsidR="000B5270" w:rsidRDefault="000B5270" w:rsidP="000B5270">
      <w:pPr>
        <w:pStyle w:val="TableFooter"/>
        <w:ind w:left="709"/>
      </w:pPr>
      <w:r>
        <w:t>CI = confidence interval; MT = mutant type; NA = not available; WT = wild type</w:t>
      </w:r>
    </w:p>
    <w:p w:rsidR="000B5270" w:rsidRDefault="000B5270" w:rsidP="000B5270">
      <w:pPr>
        <w:pStyle w:val="TableFooter"/>
        <w:ind w:left="709"/>
      </w:pPr>
      <w:r>
        <w:t xml:space="preserve">Source: Figure 12, p85 of the </w:t>
      </w:r>
      <w:r w:rsidR="008D1756">
        <w:t>resubmission</w:t>
      </w:r>
      <w:r>
        <w:t>.</w:t>
      </w:r>
    </w:p>
    <w:p w:rsidR="00762789" w:rsidRDefault="00762789" w:rsidP="00762789">
      <w:pPr>
        <w:widowControl/>
        <w:rPr>
          <w:szCs w:val="22"/>
        </w:rPr>
      </w:pPr>
    </w:p>
    <w:p w:rsidR="0085599E" w:rsidRPr="00C86F15" w:rsidRDefault="0085599E" w:rsidP="009E7F9E">
      <w:pPr>
        <w:pStyle w:val="ListParagraph"/>
        <w:widowControl/>
        <w:numPr>
          <w:ilvl w:val="1"/>
          <w:numId w:val="3"/>
        </w:numPr>
        <w:rPr>
          <w:szCs w:val="22"/>
        </w:rPr>
      </w:pPr>
      <w:r w:rsidRPr="00C86F15">
        <w:t xml:space="preserve">The </w:t>
      </w:r>
      <w:r w:rsidR="008D1756" w:rsidRPr="00C86F15">
        <w:t>resubmission</w:t>
      </w:r>
      <w:r w:rsidRPr="00C86F15">
        <w:t xml:space="preserve"> stated that the Kaplan-Meier OS analysis descriptively showed an improvement favouring NIVO+IPI over nivolumab monotherapy, and that the incremental difference between the NIVO+IPI survival rate and the nivolumab monotherapy survival rate was widening over time (favouring NIVO+IPI). The OS results were immature</w:t>
      </w:r>
      <w:r w:rsidR="0022287A" w:rsidRPr="00C86F15">
        <w:t>.</w:t>
      </w:r>
    </w:p>
    <w:p w:rsidR="0085599E" w:rsidRPr="00C86F15" w:rsidRDefault="0085599E" w:rsidP="00762789">
      <w:pPr>
        <w:widowControl/>
        <w:rPr>
          <w:szCs w:val="22"/>
        </w:rPr>
      </w:pPr>
    </w:p>
    <w:p w:rsidR="00762789" w:rsidRPr="00C86F15" w:rsidRDefault="00762789" w:rsidP="009E7F9E">
      <w:pPr>
        <w:pStyle w:val="ListParagraph"/>
        <w:widowControl/>
        <w:numPr>
          <w:ilvl w:val="1"/>
          <w:numId w:val="3"/>
        </w:numPr>
        <w:rPr>
          <w:szCs w:val="22"/>
        </w:rPr>
      </w:pPr>
      <w:r w:rsidRPr="00C86F15">
        <w:t>A</w:t>
      </w:r>
      <w:r w:rsidR="002253F0" w:rsidRPr="00C86F15">
        <w:t>fter a minimum follow-up of</w:t>
      </w:r>
      <w:r w:rsidRPr="00C86F15">
        <w:t xml:space="preserve"> 2</w:t>
      </w:r>
      <w:r w:rsidR="002253F0" w:rsidRPr="00C86F15">
        <w:t>8</w:t>
      </w:r>
      <w:r w:rsidRPr="00C86F15">
        <w:t xml:space="preserve"> months, the hazard ratio (HR) for OS for NIVO+IPI vs nivolumab monotherapy was 0.88 (95% confidence interval (CI): 0.69, 1.12). The median OS </w:t>
      </w:r>
      <w:r w:rsidR="00842FF0" w:rsidRPr="00C86F15">
        <w:t>had</w:t>
      </w:r>
      <w:r w:rsidRPr="00C86F15">
        <w:t xml:space="preserve"> not </w:t>
      </w:r>
      <w:r w:rsidR="00842FF0" w:rsidRPr="00C86F15">
        <w:t xml:space="preserve">been </w:t>
      </w:r>
      <w:r w:rsidR="0039048A">
        <w:t xml:space="preserve">reached in either </w:t>
      </w:r>
      <w:r w:rsidRPr="00C86F15">
        <w:t>the NIVO+IPI or the nivolu</w:t>
      </w:r>
      <w:r w:rsidR="00EC5585" w:rsidRPr="00C86F15">
        <w:t>mab monotherapy treatment arms.</w:t>
      </w:r>
    </w:p>
    <w:p w:rsidR="00762789" w:rsidRPr="00C86F15" w:rsidRDefault="00762789" w:rsidP="009E7F9E">
      <w:pPr>
        <w:pStyle w:val="ListParagraph"/>
        <w:numPr>
          <w:ilvl w:val="0"/>
          <w:numId w:val="2"/>
        </w:numPr>
        <w:ind w:left="1134"/>
      </w:pPr>
      <w:r w:rsidRPr="00C86F15">
        <w:rPr>
          <w:lang w:val="en-US"/>
        </w:rPr>
        <w:t xml:space="preserve">There was no statistically significant difference in OS between the two treatment arms, although it should be noted that the comparison of NIVO+IPI and nivolumab monotherapy was only a secondary objective and the trial was not adequately powered </w:t>
      </w:r>
      <w:r w:rsidR="00897148" w:rsidRPr="00C86F15">
        <w:rPr>
          <w:lang w:val="en-US"/>
        </w:rPr>
        <w:t>for this comparison.</w:t>
      </w:r>
      <w:r w:rsidR="00F3253B" w:rsidRPr="00C86F15">
        <w:rPr>
          <w:lang w:val="en-US"/>
        </w:rPr>
        <w:t xml:space="preserve"> </w:t>
      </w:r>
      <w:r w:rsidR="00F3253B" w:rsidRPr="00C86F15">
        <w:t>The PSCR stated that future data cuts (3-year OS) are projected to be presented in September 2017.</w:t>
      </w:r>
    </w:p>
    <w:p w:rsidR="00762789" w:rsidRPr="00C86F15" w:rsidRDefault="00762789" w:rsidP="009E7F9E">
      <w:pPr>
        <w:pStyle w:val="ListParagraph"/>
        <w:numPr>
          <w:ilvl w:val="0"/>
          <w:numId w:val="2"/>
        </w:numPr>
        <w:ind w:left="1134"/>
      </w:pPr>
      <w:r w:rsidRPr="00C86F15">
        <w:rPr>
          <w:lang w:val="en-US"/>
        </w:rPr>
        <w:t>There was no difference in OS between the two treatment arms over the first 12 months following</w:t>
      </w:r>
      <w:r w:rsidRPr="00C86F15">
        <w:rPr>
          <w:lang w:val="en-GB"/>
        </w:rPr>
        <w:t xml:space="preserve"> randomisation</w:t>
      </w:r>
      <w:r w:rsidRPr="00C86F15">
        <w:rPr>
          <w:lang w:val="en-US"/>
        </w:rPr>
        <w:t>, with a 5% difference in OS at 24 months.</w:t>
      </w:r>
    </w:p>
    <w:p w:rsidR="00762789" w:rsidRPr="00D4640F" w:rsidRDefault="00762789" w:rsidP="00EC5585">
      <w:pPr>
        <w:widowControl/>
        <w:rPr>
          <w:szCs w:val="22"/>
        </w:rPr>
      </w:pPr>
    </w:p>
    <w:p w:rsidR="00762789" w:rsidRDefault="00762789" w:rsidP="009E7F9E">
      <w:pPr>
        <w:pStyle w:val="ListParagraph"/>
        <w:widowControl/>
        <w:numPr>
          <w:ilvl w:val="1"/>
          <w:numId w:val="3"/>
        </w:numPr>
        <w:rPr>
          <w:szCs w:val="22"/>
        </w:rPr>
      </w:pPr>
      <w:r w:rsidRPr="00D4640F">
        <w:rPr>
          <w:szCs w:val="22"/>
        </w:rPr>
        <w:t>Table 5 below compares the PFS results presented in the previous submission (February 2015 database lock) with the updated results from the September 2016</w:t>
      </w:r>
      <w:r w:rsidRPr="00702078">
        <w:rPr>
          <w:szCs w:val="22"/>
        </w:rPr>
        <w:t xml:space="preserve"> database lock. The Kaplan-Meier curves for PFS, based on the updated data, are presented in Figure </w:t>
      </w:r>
      <w:r w:rsidR="00E15CC3">
        <w:rPr>
          <w:szCs w:val="22"/>
        </w:rPr>
        <w:t>3</w:t>
      </w:r>
      <w:r w:rsidRPr="00702078">
        <w:rPr>
          <w:szCs w:val="22"/>
        </w:rPr>
        <w:t>.</w:t>
      </w:r>
    </w:p>
    <w:p w:rsidR="00762789" w:rsidRPr="00EC5585" w:rsidRDefault="00762789" w:rsidP="00762789">
      <w:pPr>
        <w:rPr>
          <w:szCs w:val="22"/>
        </w:rPr>
      </w:pPr>
    </w:p>
    <w:p w:rsidR="00762789" w:rsidRDefault="002253F0" w:rsidP="00762789">
      <w:pPr>
        <w:ind w:firstLine="720"/>
      </w:pPr>
      <w:r>
        <w:rPr>
          <w:rFonts w:ascii="Arial Narrow" w:hAnsi="Arial Narrow"/>
          <w:b/>
          <w:sz w:val="20"/>
        </w:rPr>
        <w:t>Table 5: Progression-</w:t>
      </w:r>
      <w:r w:rsidR="00762789">
        <w:rPr>
          <w:rFonts w:ascii="Arial Narrow" w:hAnsi="Arial Narrow"/>
          <w:b/>
          <w:sz w:val="20"/>
        </w:rPr>
        <w:t xml:space="preserve">free survival results in </w:t>
      </w:r>
      <w:r w:rsidR="00B13F8B">
        <w:rPr>
          <w:rFonts w:ascii="Arial Narrow" w:hAnsi="Arial Narrow"/>
          <w:b/>
          <w:sz w:val="20"/>
        </w:rPr>
        <w:t xml:space="preserve">patients with </w:t>
      </w:r>
      <w:r w:rsidR="00B13F8B" w:rsidRPr="00EC5585">
        <w:rPr>
          <w:rFonts w:ascii="Arial Narrow" w:hAnsi="Arial Narrow"/>
          <w:b/>
          <w:i/>
          <w:sz w:val="20"/>
        </w:rPr>
        <w:t>BRAF</w:t>
      </w:r>
      <w:r w:rsidR="00B13F8B">
        <w:rPr>
          <w:rFonts w:ascii="Arial Narrow" w:hAnsi="Arial Narrow"/>
          <w:b/>
          <w:sz w:val="20"/>
        </w:rPr>
        <w:t xml:space="preserve"> WT and MT tumour</w:t>
      </w:r>
      <w:r w:rsidR="00762789">
        <w:rPr>
          <w:rFonts w:ascii="Arial Narrow" w:hAnsi="Arial Narrow"/>
          <w:b/>
          <w:sz w:val="20"/>
        </w:rPr>
        <w:t>s, CA209-067</w:t>
      </w:r>
    </w:p>
    <w:tbl>
      <w:tblPr>
        <w:tblStyle w:val="TableGrid"/>
        <w:tblW w:w="4620" w:type="pct"/>
        <w:tblInd w:w="737" w:type="dxa"/>
        <w:tblLook w:val="04A0" w:firstRow="1" w:lastRow="0" w:firstColumn="1" w:lastColumn="0" w:noHBand="0" w:noVBand="1"/>
        <w:tblCaption w:val="Table 5: Progression-free survival results in patients with BRAF WT and MT tumours, CA209-067"/>
      </w:tblPr>
      <w:tblGrid>
        <w:gridCol w:w="2584"/>
        <w:gridCol w:w="1450"/>
        <w:gridCol w:w="1457"/>
        <w:gridCol w:w="1599"/>
        <w:gridCol w:w="1450"/>
      </w:tblGrid>
      <w:tr w:rsidR="00762789" w:rsidRPr="00191ACD" w:rsidTr="00A439A2">
        <w:trPr>
          <w:tblHeader/>
        </w:trPr>
        <w:tc>
          <w:tcPr>
            <w:tcW w:w="1513" w:type="pct"/>
          </w:tcPr>
          <w:p w:rsidR="00762789" w:rsidRPr="00191ACD" w:rsidRDefault="00762789" w:rsidP="00762789">
            <w:pPr>
              <w:jc w:val="left"/>
              <w:rPr>
                <w:rFonts w:ascii="Arial Narrow" w:hAnsi="Arial Narrow"/>
                <w:b/>
                <w:sz w:val="20"/>
              </w:rPr>
            </w:pPr>
          </w:p>
        </w:tc>
        <w:tc>
          <w:tcPr>
            <w:tcW w:w="1702" w:type="pct"/>
            <w:gridSpan w:val="2"/>
          </w:tcPr>
          <w:p w:rsidR="00762789" w:rsidRDefault="002F530E" w:rsidP="002F530E">
            <w:pPr>
              <w:tabs>
                <w:tab w:val="left" w:pos="369"/>
                <w:tab w:val="left" w:pos="1170"/>
                <w:tab w:val="center" w:pos="1345"/>
              </w:tabs>
              <w:jc w:val="left"/>
              <w:rPr>
                <w:rFonts w:ascii="Arial Narrow" w:hAnsi="Arial Narrow"/>
                <w:b/>
                <w:sz w:val="20"/>
              </w:rPr>
            </w:pPr>
            <w:r>
              <w:rPr>
                <w:rFonts w:ascii="Arial Narrow" w:hAnsi="Arial Narrow"/>
                <w:b/>
                <w:sz w:val="20"/>
              </w:rPr>
              <w:tab/>
            </w:r>
            <w:r>
              <w:rPr>
                <w:rFonts w:ascii="Arial Narrow" w:hAnsi="Arial Narrow"/>
                <w:b/>
                <w:sz w:val="20"/>
              </w:rPr>
              <w:tab/>
            </w:r>
            <w:r w:rsidR="00762789">
              <w:rPr>
                <w:rFonts w:ascii="Arial Narrow" w:hAnsi="Arial Narrow"/>
                <w:b/>
                <w:sz w:val="20"/>
              </w:rPr>
              <w:t>CA209-067 CSR</w:t>
            </w:r>
          </w:p>
          <w:p w:rsidR="00762789" w:rsidRPr="00191ACD" w:rsidRDefault="00762789" w:rsidP="00762789">
            <w:pPr>
              <w:jc w:val="center"/>
              <w:rPr>
                <w:rFonts w:ascii="Arial Narrow" w:hAnsi="Arial Narrow"/>
                <w:b/>
                <w:sz w:val="20"/>
              </w:rPr>
            </w:pPr>
            <w:r>
              <w:rPr>
                <w:rFonts w:ascii="Arial Narrow" w:hAnsi="Arial Narrow"/>
                <w:b/>
                <w:sz w:val="20"/>
              </w:rPr>
              <w:t>Minimum follow-up 9 months</w:t>
            </w:r>
          </w:p>
        </w:tc>
        <w:tc>
          <w:tcPr>
            <w:tcW w:w="1786" w:type="pct"/>
            <w:gridSpan w:val="2"/>
          </w:tcPr>
          <w:p w:rsidR="00762789" w:rsidRDefault="00762789" w:rsidP="00762789">
            <w:pPr>
              <w:jc w:val="center"/>
              <w:rPr>
                <w:rFonts w:ascii="Arial Narrow" w:hAnsi="Arial Narrow"/>
                <w:b/>
                <w:sz w:val="20"/>
              </w:rPr>
            </w:pPr>
            <w:r>
              <w:rPr>
                <w:rFonts w:ascii="Arial Narrow" w:hAnsi="Arial Narrow"/>
                <w:b/>
                <w:sz w:val="20"/>
              </w:rPr>
              <w:t>CA209-067 Topline report</w:t>
            </w:r>
          </w:p>
          <w:p w:rsidR="00762789" w:rsidRPr="00191ACD" w:rsidRDefault="00762789" w:rsidP="00762789">
            <w:pPr>
              <w:jc w:val="center"/>
              <w:rPr>
                <w:rFonts w:ascii="Arial Narrow" w:hAnsi="Arial Narrow"/>
                <w:b/>
                <w:sz w:val="20"/>
              </w:rPr>
            </w:pPr>
            <w:r>
              <w:rPr>
                <w:rFonts w:ascii="Arial Narrow" w:hAnsi="Arial Narrow"/>
                <w:b/>
                <w:sz w:val="20"/>
              </w:rPr>
              <w:t>Minimum follow-up 28 months</w:t>
            </w:r>
          </w:p>
        </w:tc>
      </w:tr>
      <w:tr w:rsidR="00762789" w:rsidTr="009F17D3">
        <w:tc>
          <w:tcPr>
            <w:tcW w:w="1513" w:type="pct"/>
          </w:tcPr>
          <w:p w:rsidR="00762789" w:rsidRDefault="00762789" w:rsidP="00762789">
            <w:pPr>
              <w:jc w:val="left"/>
              <w:rPr>
                <w:rFonts w:ascii="Arial Narrow" w:hAnsi="Arial Narrow"/>
                <w:sz w:val="20"/>
              </w:rPr>
            </w:pPr>
          </w:p>
        </w:tc>
        <w:tc>
          <w:tcPr>
            <w:tcW w:w="849" w:type="pct"/>
          </w:tcPr>
          <w:p w:rsidR="00762789" w:rsidRDefault="00762789" w:rsidP="00762789">
            <w:pPr>
              <w:jc w:val="center"/>
              <w:rPr>
                <w:rFonts w:ascii="Arial Narrow" w:hAnsi="Arial Narrow"/>
                <w:b/>
                <w:sz w:val="20"/>
              </w:rPr>
            </w:pPr>
            <w:r>
              <w:rPr>
                <w:rFonts w:ascii="Arial Narrow" w:hAnsi="Arial Narrow"/>
                <w:b/>
                <w:sz w:val="20"/>
              </w:rPr>
              <w:t xml:space="preserve">NIVO+IPI </w:t>
            </w:r>
          </w:p>
          <w:p w:rsidR="00762789" w:rsidRDefault="00762789" w:rsidP="00762789">
            <w:pPr>
              <w:jc w:val="center"/>
              <w:rPr>
                <w:rFonts w:ascii="Arial Narrow" w:hAnsi="Arial Narrow"/>
                <w:sz w:val="20"/>
              </w:rPr>
            </w:pPr>
            <w:r>
              <w:rPr>
                <w:rFonts w:ascii="Arial Narrow" w:hAnsi="Arial Narrow"/>
                <w:b/>
                <w:sz w:val="20"/>
              </w:rPr>
              <w:t>N=314</w:t>
            </w:r>
          </w:p>
        </w:tc>
        <w:tc>
          <w:tcPr>
            <w:tcW w:w="852" w:type="pct"/>
          </w:tcPr>
          <w:p w:rsidR="00762789" w:rsidRDefault="00762789" w:rsidP="00762789">
            <w:pPr>
              <w:jc w:val="center"/>
              <w:rPr>
                <w:rFonts w:ascii="Arial Narrow" w:hAnsi="Arial Narrow"/>
                <w:b/>
                <w:sz w:val="20"/>
              </w:rPr>
            </w:pPr>
            <w:r>
              <w:rPr>
                <w:rFonts w:ascii="Arial Narrow" w:hAnsi="Arial Narrow"/>
                <w:b/>
                <w:sz w:val="20"/>
              </w:rPr>
              <w:t>NIVO mono</w:t>
            </w:r>
          </w:p>
          <w:p w:rsidR="00762789" w:rsidRDefault="00762789" w:rsidP="00762789">
            <w:pPr>
              <w:jc w:val="center"/>
              <w:rPr>
                <w:rFonts w:ascii="Arial Narrow" w:hAnsi="Arial Narrow"/>
                <w:sz w:val="20"/>
              </w:rPr>
            </w:pPr>
            <w:r>
              <w:rPr>
                <w:rFonts w:ascii="Arial Narrow" w:hAnsi="Arial Narrow"/>
                <w:b/>
                <w:sz w:val="20"/>
              </w:rPr>
              <w:t>N=316</w:t>
            </w:r>
          </w:p>
        </w:tc>
        <w:tc>
          <w:tcPr>
            <w:tcW w:w="936" w:type="pct"/>
          </w:tcPr>
          <w:p w:rsidR="00762789" w:rsidRDefault="00762789" w:rsidP="00762789">
            <w:pPr>
              <w:jc w:val="center"/>
              <w:rPr>
                <w:rFonts w:ascii="Arial Narrow" w:hAnsi="Arial Narrow"/>
                <w:b/>
                <w:sz w:val="20"/>
              </w:rPr>
            </w:pPr>
            <w:r>
              <w:rPr>
                <w:rFonts w:ascii="Arial Narrow" w:hAnsi="Arial Narrow"/>
                <w:b/>
                <w:sz w:val="20"/>
              </w:rPr>
              <w:t xml:space="preserve">NIVO+IPI </w:t>
            </w:r>
          </w:p>
          <w:p w:rsidR="00762789" w:rsidRDefault="00762789" w:rsidP="00762789">
            <w:pPr>
              <w:jc w:val="center"/>
              <w:rPr>
                <w:rFonts w:ascii="Arial Narrow" w:hAnsi="Arial Narrow"/>
                <w:b/>
                <w:sz w:val="20"/>
              </w:rPr>
            </w:pPr>
            <w:r>
              <w:rPr>
                <w:rFonts w:ascii="Arial Narrow" w:hAnsi="Arial Narrow"/>
                <w:b/>
                <w:sz w:val="20"/>
              </w:rPr>
              <w:t>N=314</w:t>
            </w:r>
          </w:p>
        </w:tc>
        <w:tc>
          <w:tcPr>
            <w:tcW w:w="849" w:type="pct"/>
          </w:tcPr>
          <w:p w:rsidR="00762789" w:rsidRDefault="00762789" w:rsidP="00762789">
            <w:pPr>
              <w:jc w:val="center"/>
              <w:rPr>
                <w:rFonts w:ascii="Arial Narrow" w:hAnsi="Arial Narrow"/>
                <w:b/>
                <w:sz w:val="20"/>
              </w:rPr>
            </w:pPr>
            <w:r>
              <w:rPr>
                <w:rFonts w:ascii="Arial Narrow" w:hAnsi="Arial Narrow"/>
                <w:b/>
                <w:sz w:val="20"/>
              </w:rPr>
              <w:t>NIVO mono</w:t>
            </w:r>
          </w:p>
          <w:p w:rsidR="00762789" w:rsidRDefault="00762789" w:rsidP="00762789">
            <w:pPr>
              <w:jc w:val="center"/>
              <w:rPr>
                <w:rFonts w:ascii="Arial Narrow" w:hAnsi="Arial Narrow"/>
                <w:b/>
                <w:sz w:val="20"/>
              </w:rPr>
            </w:pPr>
            <w:r>
              <w:rPr>
                <w:rFonts w:ascii="Arial Narrow" w:hAnsi="Arial Narrow"/>
                <w:b/>
                <w:sz w:val="20"/>
              </w:rPr>
              <w:t>N=316</w:t>
            </w:r>
          </w:p>
        </w:tc>
      </w:tr>
      <w:tr w:rsidR="00762789" w:rsidTr="009F17D3">
        <w:tc>
          <w:tcPr>
            <w:tcW w:w="1513" w:type="pct"/>
          </w:tcPr>
          <w:p w:rsidR="00762789" w:rsidRDefault="00762789" w:rsidP="00762789">
            <w:pPr>
              <w:jc w:val="left"/>
              <w:rPr>
                <w:rFonts w:ascii="Arial Narrow" w:hAnsi="Arial Narrow"/>
                <w:sz w:val="20"/>
              </w:rPr>
            </w:pPr>
            <w:r>
              <w:rPr>
                <w:rFonts w:ascii="Arial Narrow" w:hAnsi="Arial Narrow"/>
                <w:sz w:val="20"/>
              </w:rPr>
              <w:t>Number of events, n (%)</w:t>
            </w:r>
          </w:p>
        </w:tc>
        <w:tc>
          <w:tcPr>
            <w:tcW w:w="849"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151 (48.1</w:t>
            </w:r>
            <w:r w:rsidR="00897148">
              <w:rPr>
                <w:rFonts w:ascii="Arial Narrow" w:hAnsi="Arial Narrow"/>
                <w:sz w:val="20"/>
                <w:lang w:val="en-US"/>
              </w:rPr>
              <w:t>%</w:t>
            </w:r>
            <w:r w:rsidRPr="00893F23">
              <w:rPr>
                <w:rFonts w:ascii="Arial Narrow" w:hAnsi="Arial Narrow"/>
                <w:sz w:val="20"/>
                <w:lang w:val="en-US"/>
              </w:rPr>
              <w:t>)</w:t>
            </w:r>
          </w:p>
        </w:tc>
        <w:tc>
          <w:tcPr>
            <w:tcW w:w="852"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174 (55.1</w:t>
            </w:r>
            <w:r w:rsidR="00897148">
              <w:rPr>
                <w:rFonts w:ascii="Arial Narrow" w:hAnsi="Arial Narrow"/>
                <w:sz w:val="20"/>
                <w:lang w:val="en-US"/>
              </w:rPr>
              <w:t>%</w:t>
            </w:r>
            <w:r w:rsidRPr="00893F23">
              <w:rPr>
                <w:rFonts w:ascii="Arial Narrow" w:hAnsi="Arial Narrow"/>
                <w:sz w:val="20"/>
                <w:lang w:val="en-US"/>
              </w:rPr>
              <w:t>)</w:t>
            </w:r>
          </w:p>
        </w:tc>
        <w:tc>
          <w:tcPr>
            <w:tcW w:w="936"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169</w:t>
            </w:r>
            <w:r w:rsidR="00897148">
              <w:rPr>
                <w:rFonts w:ascii="Arial Narrow" w:hAnsi="Arial Narrow"/>
                <w:sz w:val="20"/>
                <w:lang w:val="en-US"/>
              </w:rPr>
              <w:t xml:space="preserve"> (53.8%)</w:t>
            </w:r>
          </w:p>
        </w:tc>
        <w:tc>
          <w:tcPr>
            <w:tcW w:w="849"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195</w:t>
            </w:r>
            <w:r w:rsidR="00897148">
              <w:rPr>
                <w:rFonts w:ascii="Arial Narrow" w:hAnsi="Arial Narrow"/>
                <w:sz w:val="20"/>
                <w:lang w:val="en-US"/>
              </w:rPr>
              <w:t xml:space="preserve"> (61.7%)</w:t>
            </w:r>
          </w:p>
        </w:tc>
      </w:tr>
      <w:tr w:rsidR="00762789" w:rsidTr="009F17D3">
        <w:tc>
          <w:tcPr>
            <w:tcW w:w="1513" w:type="pct"/>
          </w:tcPr>
          <w:p w:rsidR="00762789" w:rsidRDefault="00762789" w:rsidP="00762789">
            <w:pPr>
              <w:jc w:val="left"/>
              <w:rPr>
                <w:rFonts w:ascii="Arial Narrow" w:hAnsi="Arial Narrow"/>
                <w:sz w:val="20"/>
              </w:rPr>
            </w:pPr>
            <w:r>
              <w:rPr>
                <w:rFonts w:ascii="Arial Narrow" w:hAnsi="Arial Narrow"/>
                <w:sz w:val="20"/>
              </w:rPr>
              <w:t>Median PFS, months (95% CI)</w:t>
            </w:r>
          </w:p>
        </w:tc>
        <w:tc>
          <w:tcPr>
            <w:tcW w:w="849" w:type="pct"/>
          </w:tcPr>
          <w:p w:rsidR="00762789" w:rsidRPr="00893F23" w:rsidRDefault="00762789" w:rsidP="00762789">
            <w:pPr>
              <w:jc w:val="center"/>
              <w:rPr>
                <w:rFonts w:ascii="Arial Narrow" w:hAnsi="Arial Narrow"/>
                <w:sz w:val="20"/>
              </w:rPr>
            </w:pPr>
            <w:r>
              <w:rPr>
                <w:rFonts w:ascii="Arial Narrow" w:hAnsi="Arial Narrow"/>
                <w:sz w:val="20"/>
                <w:lang w:val="en-US"/>
              </w:rPr>
              <w:t>11.5 (8.9, 16.7</w:t>
            </w:r>
            <w:r w:rsidRPr="00893F23">
              <w:rPr>
                <w:rFonts w:ascii="Arial Narrow" w:hAnsi="Arial Narrow"/>
                <w:sz w:val="20"/>
                <w:lang w:val="en-US"/>
              </w:rPr>
              <w:t>)</w:t>
            </w:r>
          </w:p>
        </w:tc>
        <w:tc>
          <w:tcPr>
            <w:tcW w:w="852"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6.</w:t>
            </w:r>
            <w:r>
              <w:rPr>
                <w:rFonts w:ascii="Arial Narrow" w:hAnsi="Arial Narrow"/>
                <w:sz w:val="20"/>
                <w:lang w:val="en-US"/>
              </w:rPr>
              <w:t>9 (4.3</w:t>
            </w:r>
            <w:r w:rsidRPr="00893F23">
              <w:rPr>
                <w:rFonts w:ascii="Arial Narrow" w:hAnsi="Arial Narrow"/>
                <w:sz w:val="20"/>
                <w:lang w:val="en-US"/>
              </w:rPr>
              <w:t>, 9.</w:t>
            </w:r>
            <w:r>
              <w:rPr>
                <w:rFonts w:ascii="Arial Narrow" w:hAnsi="Arial Narrow"/>
                <w:sz w:val="20"/>
                <w:lang w:val="en-US"/>
              </w:rPr>
              <w:t>5</w:t>
            </w:r>
            <w:r w:rsidRPr="00893F23">
              <w:rPr>
                <w:rFonts w:ascii="Arial Narrow" w:hAnsi="Arial Narrow"/>
                <w:sz w:val="20"/>
                <w:lang w:val="en-US"/>
              </w:rPr>
              <w:t>)</w:t>
            </w:r>
          </w:p>
        </w:tc>
        <w:tc>
          <w:tcPr>
            <w:tcW w:w="936"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11.7</w:t>
            </w:r>
            <w:r>
              <w:rPr>
                <w:rFonts w:ascii="Arial Narrow" w:hAnsi="Arial Narrow"/>
                <w:sz w:val="20"/>
                <w:lang w:val="en-US"/>
              </w:rPr>
              <w:t xml:space="preserve"> (8.9, 21.9</w:t>
            </w:r>
            <w:r w:rsidRPr="00893F23">
              <w:rPr>
                <w:rFonts w:ascii="Arial Narrow" w:hAnsi="Arial Narrow"/>
                <w:sz w:val="20"/>
                <w:lang w:val="en-US"/>
              </w:rPr>
              <w:t>)</w:t>
            </w:r>
          </w:p>
        </w:tc>
        <w:tc>
          <w:tcPr>
            <w:tcW w:w="849" w:type="pct"/>
          </w:tcPr>
          <w:p w:rsidR="00762789" w:rsidRPr="00893F23" w:rsidRDefault="00762789" w:rsidP="00762789">
            <w:pPr>
              <w:jc w:val="center"/>
              <w:rPr>
                <w:rFonts w:ascii="Arial Narrow" w:hAnsi="Arial Narrow"/>
                <w:sz w:val="20"/>
              </w:rPr>
            </w:pPr>
            <w:r w:rsidRPr="00893F23">
              <w:rPr>
                <w:rFonts w:ascii="Arial Narrow" w:hAnsi="Arial Narrow"/>
                <w:sz w:val="20"/>
                <w:lang w:val="en-US"/>
              </w:rPr>
              <w:t>6.</w:t>
            </w:r>
            <w:r>
              <w:rPr>
                <w:rFonts w:ascii="Arial Narrow" w:hAnsi="Arial Narrow"/>
                <w:sz w:val="20"/>
                <w:lang w:val="en-US"/>
              </w:rPr>
              <w:t>9 (4.3, 9.5</w:t>
            </w:r>
            <w:r w:rsidRPr="00893F23">
              <w:rPr>
                <w:rFonts w:ascii="Arial Narrow" w:hAnsi="Arial Narrow"/>
                <w:sz w:val="20"/>
                <w:lang w:val="en-US"/>
              </w:rPr>
              <w:t>)</w:t>
            </w:r>
          </w:p>
        </w:tc>
      </w:tr>
      <w:tr w:rsidR="00762789" w:rsidTr="009F17D3">
        <w:tc>
          <w:tcPr>
            <w:tcW w:w="1513" w:type="pct"/>
          </w:tcPr>
          <w:p w:rsidR="00762789" w:rsidRDefault="00762789" w:rsidP="00762789">
            <w:pPr>
              <w:jc w:val="left"/>
              <w:rPr>
                <w:rFonts w:ascii="Arial Narrow" w:hAnsi="Arial Narrow"/>
                <w:sz w:val="20"/>
              </w:rPr>
            </w:pPr>
            <w:r>
              <w:rPr>
                <w:rFonts w:ascii="Arial Narrow" w:hAnsi="Arial Narrow"/>
                <w:sz w:val="20"/>
              </w:rPr>
              <w:t>Direct HR (95% CI)</w:t>
            </w:r>
            <w:r>
              <w:rPr>
                <w:rFonts w:ascii="Arial Narrow" w:hAnsi="Arial Narrow"/>
                <w:sz w:val="20"/>
                <w:vertAlign w:val="superscript"/>
              </w:rPr>
              <w:t>a</w:t>
            </w:r>
          </w:p>
        </w:tc>
        <w:tc>
          <w:tcPr>
            <w:tcW w:w="1702" w:type="pct"/>
            <w:gridSpan w:val="2"/>
          </w:tcPr>
          <w:p w:rsidR="00762789" w:rsidRDefault="00762789" w:rsidP="00762789">
            <w:pPr>
              <w:jc w:val="center"/>
              <w:rPr>
                <w:rFonts w:ascii="Arial Narrow" w:hAnsi="Arial Narrow"/>
                <w:sz w:val="20"/>
              </w:rPr>
            </w:pPr>
            <w:r>
              <w:rPr>
                <w:rFonts w:ascii="Arial Narrow" w:hAnsi="Arial Narrow"/>
                <w:sz w:val="20"/>
              </w:rPr>
              <w:t>0.74 (0.60, 0.92)</w:t>
            </w:r>
          </w:p>
        </w:tc>
        <w:tc>
          <w:tcPr>
            <w:tcW w:w="1786" w:type="pct"/>
            <w:gridSpan w:val="2"/>
          </w:tcPr>
          <w:p w:rsidR="00762789" w:rsidRDefault="00762789" w:rsidP="00762789">
            <w:pPr>
              <w:jc w:val="center"/>
              <w:rPr>
                <w:rFonts w:ascii="Arial Narrow" w:hAnsi="Arial Narrow"/>
                <w:sz w:val="20"/>
              </w:rPr>
            </w:pPr>
            <w:r>
              <w:rPr>
                <w:rFonts w:ascii="Arial Narrow" w:hAnsi="Arial Narrow"/>
                <w:sz w:val="20"/>
              </w:rPr>
              <w:t>0.76 (0.62, 0.94)</w:t>
            </w:r>
          </w:p>
        </w:tc>
      </w:tr>
    </w:tbl>
    <w:p w:rsidR="00762789" w:rsidRDefault="00762789" w:rsidP="00762789">
      <w:pPr>
        <w:pStyle w:val="TableFooter"/>
        <w:ind w:left="720"/>
      </w:pPr>
      <w:r>
        <w:t xml:space="preserve">CI = confidence interval; </w:t>
      </w:r>
      <w:r w:rsidR="005F2DD7">
        <w:t xml:space="preserve">CSR = Clinical study report; </w:t>
      </w:r>
      <w:r>
        <w:t>HR = hazard ratio; IPI = ipilimumab; mono = monotherapy</w:t>
      </w:r>
      <w:r w:rsidR="005F2DD7">
        <w:t>; MT = mutant type;</w:t>
      </w:r>
      <w:r>
        <w:t xml:space="preserve"> NIVO</w:t>
      </w:r>
      <w:r w:rsidR="002253F0">
        <w:t xml:space="preserve"> = nivolumab; PFS = progression-</w:t>
      </w:r>
      <w:r>
        <w:t>free survival</w:t>
      </w:r>
      <w:r w:rsidR="005F2DD7">
        <w:t>; WT = wild type</w:t>
      </w:r>
    </w:p>
    <w:p w:rsidR="00762789" w:rsidRDefault="00762789" w:rsidP="00762789">
      <w:pPr>
        <w:pStyle w:val="TableFooter"/>
        <w:ind w:left="720"/>
      </w:pPr>
      <w:r>
        <w:rPr>
          <w:vertAlign w:val="superscript"/>
        </w:rPr>
        <w:t>a</w:t>
      </w:r>
      <w:r>
        <w:t xml:space="preserve"> NIVO+IPI versus nivolumab monotherapy</w:t>
      </w:r>
    </w:p>
    <w:p w:rsidR="00762789" w:rsidRPr="00D911BD" w:rsidRDefault="00762789" w:rsidP="00762789">
      <w:pPr>
        <w:pStyle w:val="TableFooter"/>
        <w:ind w:left="720"/>
      </w:pPr>
      <w:r>
        <w:t xml:space="preserve">Source: Table 33, p88 of the </w:t>
      </w:r>
      <w:r w:rsidR="008D1756">
        <w:t>resubmission</w:t>
      </w:r>
      <w:r>
        <w:t xml:space="preserve"> </w:t>
      </w:r>
    </w:p>
    <w:p w:rsidR="00762789" w:rsidRPr="00EC5585" w:rsidRDefault="00762789" w:rsidP="00EC5585">
      <w:pPr>
        <w:rPr>
          <w:szCs w:val="22"/>
        </w:rPr>
      </w:pPr>
    </w:p>
    <w:p w:rsidR="00762789" w:rsidRPr="00775883" w:rsidRDefault="00E15CC3" w:rsidP="00762789">
      <w:pPr>
        <w:keepNext/>
        <w:keepLines/>
        <w:ind w:left="720"/>
        <w:rPr>
          <w:rFonts w:ascii="Arial Narrow" w:hAnsi="Arial Narrow"/>
          <w:b/>
          <w:sz w:val="20"/>
        </w:rPr>
      </w:pPr>
      <w:r>
        <w:rPr>
          <w:rFonts w:ascii="Arial Narrow" w:hAnsi="Arial Narrow"/>
          <w:b/>
          <w:sz w:val="20"/>
        </w:rPr>
        <w:t>Figure 3</w:t>
      </w:r>
      <w:r w:rsidR="00762789">
        <w:rPr>
          <w:rFonts w:ascii="Arial Narrow" w:hAnsi="Arial Narrow"/>
          <w:b/>
          <w:sz w:val="20"/>
        </w:rPr>
        <w:t xml:space="preserve">: Kaplan Meier plot for </w:t>
      </w:r>
      <w:r w:rsidR="000B5270">
        <w:rPr>
          <w:rFonts w:ascii="Arial Narrow" w:hAnsi="Arial Narrow"/>
          <w:b/>
          <w:sz w:val="20"/>
        </w:rPr>
        <w:t>PFS</w:t>
      </w:r>
      <w:r w:rsidR="00762789">
        <w:rPr>
          <w:rFonts w:ascii="Arial Narrow" w:hAnsi="Arial Narrow"/>
          <w:b/>
          <w:sz w:val="20"/>
        </w:rPr>
        <w:t xml:space="preserve"> in </w:t>
      </w:r>
      <w:r w:rsidR="00B13F8B">
        <w:rPr>
          <w:rFonts w:ascii="Arial Narrow" w:hAnsi="Arial Narrow"/>
          <w:b/>
          <w:sz w:val="20"/>
        </w:rPr>
        <w:t xml:space="preserve">patients with </w:t>
      </w:r>
      <w:r w:rsidR="00B13F8B" w:rsidRPr="00EC5585">
        <w:rPr>
          <w:rFonts w:ascii="Arial Narrow" w:hAnsi="Arial Narrow"/>
          <w:b/>
          <w:i/>
          <w:sz w:val="20"/>
        </w:rPr>
        <w:t>BRAF</w:t>
      </w:r>
      <w:r w:rsidR="00B13F8B">
        <w:rPr>
          <w:rFonts w:ascii="Arial Narrow" w:hAnsi="Arial Narrow"/>
          <w:b/>
          <w:sz w:val="20"/>
        </w:rPr>
        <w:t xml:space="preserve"> WT and MT tumour</w:t>
      </w:r>
      <w:r w:rsidR="00762789">
        <w:rPr>
          <w:rFonts w:ascii="Arial Narrow" w:hAnsi="Arial Narrow"/>
          <w:b/>
          <w:sz w:val="20"/>
        </w:rPr>
        <w:t>s, CA209-067 minimum follow-up 28 months</w:t>
      </w:r>
    </w:p>
    <w:p w:rsidR="00762789" w:rsidRDefault="00762789" w:rsidP="00762789">
      <w:pPr>
        <w:pStyle w:val="ListParagraph"/>
        <w:rPr>
          <w:szCs w:val="22"/>
        </w:rPr>
      </w:pPr>
      <w:r w:rsidRPr="00893F23">
        <w:rPr>
          <w:noProof/>
          <w:lang w:eastAsia="en-AU"/>
        </w:rPr>
        <w:drawing>
          <wp:inline distT="0" distB="0" distL="0" distR="0" wp14:anchorId="7D44FE09" wp14:editId="091E7BFE">
            <wp:extent cx="4763193" cy="4217532"/>
            <wp:effectExtent l="0" t="0" r="0" b="0"/>
            <wp:docPr id="12" name="Picture 12" title="Figure 3: Kaplan Meier plot for PFS in patients with BRAF WT and MT tumours, CA209-067 minimum follow-up 28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6530" cy="4238195"/>
                    </a:xfrm>
                    <a:prstGeom prst="rect">
                      <a:avLst/>
                    </a:prstGeom>
                  </pic:spPr>
                </pic:pic>
              </a:graphicData>
            </a:graphic>
          </wp:inline>
        </w:drawing>
      </w:r>
    </w:p>
    <w:p w:rsidR="000B5270" w:rsidRDefault="000B5270" w:rsidP="000B5270">
      <w:pPr>
        <w:pStyle w:val="TableFooter"/>
        <w:ind w:left="709"/>
      </w:pPr>
      <w:r>
        <w:t>CI = confidence interval; MT =</w:t>
      </w:r>
      <w:r w:rsidR="002253F0">
        <w:t xml:space="preserve"> mutant type; PFS = progression-</w:t>
      </w:r>
      <w:r>
        <w:t>free survival; WT = wild type</w:t>
      </w:r>
    </w:p>
    <w:p w:rsidR="000B5270" w:rsidRDefault="000B5270" w:rsidP="000B5270">
      <w:pPr>
        <w:pStyle w:val="TableFooter"/>
        <w:ind w:left="709"/>
      </w:pPr>
      <w:r>
        <w:t xml:space="preserve">Source: Figure 15, p88 of the </w:t>
      </w:r>
      <w:r w:rsidR="008D1756">
        <w:t>resubmission</w:t>
      </w:r>
      <w:r>
        <w:t>.</w:t>
      </w:r>
    </w:p>
    <w:p w:rsidR="00762789" w:rsidRPr="00EC5585" w:rsidRDefault="00762789" w:rsidP="00EC5585">
      <w:pPr>
        <w:widowControl/>
        <w:rPr>
          <w:szCs w:val="22"/>
        </w:rPr>
      </w:pPr>
    </w:p>
    <w:p w:rsidR="00762789" w:rsidRPr="00495D9D" w:rsidRDefault="00762789" w:rsidP="009E7F9E">
      <w:pPr>
        <w:pStyle w:val="ListParagraph"/>
        <w:widowControl/>
        <w:numPr>
          <w:ilvl w:val="1"/>
          <w:numId w:val="3"/>
        </w:numPr>
        <w:rPr>
          <w:szCs w:val="22"/>
        </w:rPr>
      </w:pPr>
      <w:r w:rsidRPr="00D4640F">
        <w:rPr>
          <w:bCs/>
          <w:szCs w:val="22"/>
          <w:lang w:val="en-GB"/>
        </w:rPr>
        <w:t xml:space="preserve">The median PFS was 11.7 months in the NIVO+IPI arm, compared to 6.9 months in the nivolumab monotherapy arm. The PBAC previously noted that the combination therapy showed an improvement in median PFS of 4.6 months compared to nivolumab monotherapy in the trial CA209-067, and considered that the clinical significance of this </w:t>
      </w:r>
      <w:r w:rsidRPr="00C86F15">
        <w:rPr>
          <w:bCs/>
          <w:szCs w:val="22"/>
          <w:lang w:val="en-GB"/>
        </w:rPr>
        <w:t xml:space="preserve">gain had not been adequately demonstrated either in terms of an improvement in quality of life or as a valid surrogate for OS. The </w:t>
      </w:r>
      <w:r w:rsidR="008D1756" w:rsidRPr="00C86F15">
        <w:rPr>
          <w:bCs/>
          <w:szCs w:val="22"/>
          <w:lang w:val="en-GB"/>
        </w:rPr>
        <w:t>resubmission</w:t>
      </w:r>
      <w:r w:rsidRPr="00C86F15">
        <w:rPr>
          <w:bCs/>
          <w:szCs w:val="22"/>
          <w:lang w:val="en-GB"/>
        </w:rPr>
        <w:t xml:space="preserve"> has not addressed these concerns.</w:t>
      </w:r>
      <w:r w:rsidR="00125750" w:rsidRPr="00C86F15">
        <w:rPr>
          <w:bCs/>
          <w:szCs w:val="22"/>
          <w:lang w:val="en-GB"/>
        </w:rPr>
        <w:t xml:space="preserve"> The ESC noted that the PSCR did not address these concerns.</w:t>
      </w:r>
    </w:p>
    <w:p w:rsidR="00762789" w:rsidRPr="00C86F15" w:rsidRDefault="00762789" w:rsidP="00762789">
      <w:pPr>
        <w:widowControl/>
        <w:rPr>
          <w:szCs w:val="22"/>
        </w:rPr>
      </w:pPr>
    </w:p>
    <w:p w:rsidR="00762789" w:rsidRPr="00C86F15" w:rsidRDefault="00762789" w:rsidP="009E7F9E">
      <w:pPr>
        <w:pStyle w:val="ListParagraph"/>
        <w:widowControl/>
        <w:numPr>
          <w:ilvl w:val="1"/>
          <w:numId w:val="3"/>
        </w:numPr>
        <w:rPr>
          <w:szCs w:val="22"/>
        </w:rPr>
      </w:pPr>
      <w:r w:rsidRPr="00C86F15">
        <w:rPr>
          <w:szCs w:val="22"/>
        </w:rPr>
        <w:t xml:space="preserve">One of the secondary objectives of CA209-067 was to evaluate whether PD-L1 expression is a predictive marker for </w:t>
      </w:r>
      <w:r w:rsidR="00342295">
        <w:rPr>
          <w:szCs w:val="22"/>
        </w:rPr>
        <w:t xml:space="preserve">the effect of treatment on </w:t>
      </w:r>
      <w:r w:rsidRPr="00C86F15">
        <w:rPr>
          <w:szCs w:val="22"/>
        </w:rPr>
        <w:t xml:space="preserve">OS. Despite this, the </w:t>
      </w:r>
      <w:r w:rsidR="008D1756" w:rsidRPr="00C86F15">
        <w:rPr>
          <w:szCs w:val="22"/>
        </w:rPr>
        <w:t>resubmission</w:t>
      </w:r>
      <w:r w:rsidRPr="00C86F15">
        <w:rPr>
          <w:szCs w:val="22"/>
        </w:rPr>
        <w:t xml:space="preserve"> did not report OS results categorised by PD-L1 status, nor did it provide updated subgroup analyses for PFS. The subgroup analyses of PFS by PD-L1 status, as presented in the previous submission, suggested that the addition of ipilimumab to first-line nivolumab therapy had minimal benefit in terms of PFS in PD-L1 positive patients</w:t>
      </w:r>
      <w:r w:rsidR="00D27B3A" w:rsidRPr="00C86F15">
        <w:rPr>
          <w:szCs w:val="22"/>
        </w:rPr>
        <w:t xml:space="preserve"> (</w:t>
      </w:r>
      <w:r w:rsidR="00563A13" w:rsidRPr="00C86F15">
        <w:rPr>
          <w:szCs w:val="22"/>
        </w:rPr>
        <w:t>≥</w:t>
      </w:r>
      <w:r w:rsidR="00D27B3A" w:rsidRPr="00C86F15">
        <w:rPr>
          <w:szCs w:val="22"/>
        </w:rPr>
        <w:t>5%</w:t>
      </w:r>
      <w:r w:rsidR="00563A13" w:rsidRPr="00C86F15">
        <w:rPr>
          <w:szCs w:val="22"/>
        </w:rPr>
        <w:t xml:space="preserve"> expression in tumour tissue</w:t>
      </w:r>
      <w:r w:rsidR="00D27B3A" w:rsidRPr="00C86F15">
        <w:rPr>
          <w:szCs w:val="22"/>
        </w:rPr>
        <w:t>)</w:t>
      </w:r>
      <w:r w:rsidRPr="00C86F15">
        <w:rPr>
          <w:szCs w:val="22"/>
        </w:rPr>
        <w:t xml:space="preserve">. Although the analysis was exploratory and statistically underpowered, the HR for PFS in PD-L1 positive patients was close to one (HR 0.96; 95% CI: 0.58, 1.58), compared to an HR of 0.70 (95% CI: 0.54, 0.91) in the </w:t>
      </w:r>
      <w:r w:rsidR="00467EFB" w:rsidRPr="00C86F15">
        <w:rPr>
          <w:szCs w:val="22"/>
        </w:rPr>
        <w:t xml:space="preserve">PD-L1 negative subgroup. </w:t>
      </w:r>
      <w:r w:rsidR="00574A97" w:rsidRPr="00C86F15">
        <w:rPr>
          <w:szCs w:val="22"/>
        </w:rPr>
        <w:t>Given that the safety profile of NIVO+IPI is inferior to that of nivolumab monotherapy, overall survival data by PD-L1 status may be necessary to fully inform a decision on listing with or without PD-L1 eligibility criteria.</w:t>
      </w:r>
    </w:p>
    <w:p w:rsidR="00ED66E9" w:rsidRPr="00C86F15" w:rsidRDefault="00ED66E9" w:rsidP="00ED66E9">
      <w:pPr>
        <w:rPr>
          <w:szCs w:val="22"/>
        </w:rPr>
      </w:pPr>
    </w:p>
    <w:p w:rsidR="00394014" w:rsidRPr="00C86F15" w:rsidRDefault="00145F60" w:rsidP="009E7F9E">
      <w:pPr>
        <w:pStyle w:val="ListParagraph"/>
        <w:widowControl/>
        <w:numPr>
          <w:ilvl w:val="1"/>
          <w:numId w:val="3"/>
        </w:numPr>
      </w:pPr>
      <w:r w:rsidRPr="00C86F15">
        <w:rPr>
          <w:szCs w:val="22"/>
        </w:rPr>
        <w:t>A</w:t>
      </w:r>
      <w:r w:rsidR="00ED66E9" w:rsidRPr="00C86F15">
        <w:rPr>
          <w:szCs w:val="22"/>
        </w:rPr>
        <w:t xml:space="preserve">ddendum 01 to the </w:t>
      </w:r>
      <w:r w:rsidR="00960E02" w:rsidRPr="00C86F15">
        <w:rPr>
          <w:szCs w:val="22"/>
        </w:rPr>
        <w:t>Clinical Study Report for CA209-067</w:t>
      </w:r>
      <w:r w:rsidR="00ED66E9" w:rsidRPr="00C86F15">
        <w:rPr>
          <w:szCs w:val="22"/>
        </w:rPr>
        <w:t>, reporting the PD-L1 results of CA209-067</w:t>
      </w:r>
      <w:r w:rsidR="00960E02" w:rsidRPr="00C86F15">
        <w:rPr>
          <w:szCs w:val="22"/>
        </w:rPr>
        <w:t xml:space="preserve"> by PD-L1 expression status, was provided with the PSCR</w:t>
      </w:r>
      <w:r w:rsidR="00ED66E9" w:rsidRPr="00C86F15">
        <w:rPr>
          <w:szCs w:val="22"/>
        </w:rPr>
        <w:t>.</w:t>
      </w:r>
      <w:r w:rsidR="00DF2EEC" w:rsidRPr="00C86F15">
        <w:rPr>
          <w:szCs w:val="22"/>
        </w:rPr>
        <w:t xml:space="preserve"> </w:t>
      </w:r>
      <w:r w:rsidR="00960E02" w:rsidRPr="00C86F15">
        <w:rPr>
          <w:szCs w:val="22"/>
        </w:rPr>
        <w:t>In this context, t</w:t>
      </w:r>
      <w:r w:rsidR="00DF2EEC" w:rsidRPr="00C86F15">
        <w:rPr>
          <w:szCs w:val="22"/>
        </w:rPr>
        <w:t>he ESC noted the conclusions in Larkin et al. (2015), that “</w:t>
      </w:r>
      <w:r w:rsidR="00394014" w:rsidRPr="00C86F15">
        <w:rPr>
          <w:rFonts w:eastAsiaTheme="minorEastAsia"/>
        </w:rPr>
        <w:t>Among previously untreated patients with metastatic melanoma, nivolumab alone or combined with ipilimumab resulted in significan</w:t>
      </w:r>
      <w:r w:rsidR="00007A7D" w:rsidRPr="00C86F15">
        <w:rPr>
          <w:rFonts w:eastAsiaTheme="minorEastAsia"/>
        </w:rPr>
        <w:t>tly longer progression-free sur</w:t>
      </w:r>
      <w:r w:rsidR="00394014" w:rsidRPr="00C86F15">
        <w:rPr>
          <w:rFonts w:eastAsiaTheme="minorEastAsia"/>
        </w:rPr>
        <w:t xml:space="preserve">vival than ipilimumab alone. In patients with PD-L1–negative </w:t>
      </w:r>
      <w:r w:rsidR="00B01C56" w:rsidRPr="00C86F15">
        <w:rPr>
          <w:rFonts w:eastAsiaTheme="minorEastAsia"/>
        </w:rPr>
        <w:t>tumours</w:t>
      </w:r>
      <w:r w:rsidR="00394014" w:rsidRPr="00C86F15">
        <w:rPr>
          <w:rFonts w:eastAsiaTheme="minorEastAsia"/>
        </w:rPr>
        <w:t>, the combination of PD-1 and CTLA-4 blockade was more effective than either agent alone</w:t>
      </w:r>
      <w:r w:rsidR="00126F9B" w:rsidRPr="00C86F15">
        <w:rPr>
          <w:rFonts w:eastAsiaTheme="minorEastAsia"/>
        </w:rPr>
        <w:t xml:space="preserve">”. </w:t>
      </w:r>
      <w:r w:rsidR="00960E02" w:rsidRPr="00C86F15">
        <w:rPr>
          <w:rFonts w:eastAsiaTheme="minorEastAsia"/>
        </w:rPr>
        <w:t>The ESC also noted that no request had been made to enrich the eligible population for the combination therapy according to PD-L1 expression status.</w:t>
      </w:r>
    </w:p>
    <w:p w:rsidR="00762789" w:rsidRPr="00A602DD" w:rsidRDefault="00762789" w:rsidP="00762789">
      <w:pPr>
        <w:widowControl/>
        <w:rPr>
          <w:szCs w:val="22"/>
        </w:rPr>
      </w:pPr>
    </w:p>
    <w:p w:rsidR="00762789" w:rsidRPr="00497F10" w:rsidRDefault="00762789" w:rsidP="00762789">
      <w:pPr>
        <w:pStyle w:val="Heading2"/>
        <w:rPr>
          <w:i/>
        </w:rPr>
      </w:pPr>
      <w:bookmarkStart w:id="9" w:name="_Toc472416743"/>
      <w:r w:rsidRPr="00497F10">
        <w:rPr>
          <w:i/>
        </w:rPr>
        <w:t>Comparative harms</w:t>
      </w:r>
      <w:bookmarkEnd w:id="9"/>
    </w:p>
    <w:p w:rsidR="00762789" w:rsidRPr="00882085" w:rsidRDefault="00762789" w:rsidP="00762789">
      <w:pPr>
        <w:ind w:left="720" w:hanging="720"/>
        <w:rPr>
          <w:szCs w:val="22"/>
        </w:rPr>
      </w:pPr>
    </w:p>
    <w:p w:rsidR="00762789" w:rsidRDefault="00762789" w:rsidP="009E7F9E">
      <w:pPr>
        <w:pStyle w:val="ListParagraph"/>
        <w:widowControl/>
        <w:numPr>
          <w:ilvl w:val="1"/>
          <w:numId w:val="3"/>
        </w:numPr>
        <w:rPr>
          <w:szCs w:val="22"/>
        </w:rPr>
      </w:pPr>
      <w:r>
        <w:rPr>
          <w:szCs w:val="22"/>
        </w:rPr>
        <w:t xml:space="preserve">The </w:t>
      </w:r>
      <w:r w:rsidR="008D1756">
        <w:rPr>
          <w:szCs w:val="22"/>
        </w:rPr>
        <w:t>resubmission</w:t>
      </w:r>
      <w:r>
        <w:rPr>
          <w:szCs w:val="22"/>
        </w:rPr>
        <w:t xml:space="preserve"> did not present any updated safety data from CA209</w:t>
      </w:r>
      <w:r w:rsidR="002D1C47">
        <w:rPr>
          <w:szCs w:val="22"/>
        </w:rPr>
        <w:t>-</w:t>
      </w:r>
      <w:r w:rsidR="00D00C90">
        <w:rPr>
          <w:szCs w:val="22"/>
        </w:rPr>
        <w:t>0</w:t>
      </w:r>
      <w:r>
        <w:rPr>
          <w:szCs w:val="22"/>
        </w:rPr>
        <w:t>67. The safety outcomes in CA209-067 are summarised in Table 6 below.</w:t>
      </w:r>
    </w:p>
    <w:p w:rsidR="00762789" w:rsidRPr="00EC5585" w:rsidRDefault="00762789" w:rsidP="00762789">
      <w:pPr>
        <w:widowControl/>
        <w:rPr>
          <w:szCs w:val="22"/>
        </w:rPr>
      </w:pPr>
    </w:p>
    <w:p w:rsidR="00762789" w:rsidRPr="00BF6EEB" w:rsidRDefault="00762789" w:rsidP="00762789">
      <w:pPr>
        <w:pStyle w:val="ListParagraph"/>
        <w:keepNext/>
        <w:keepLines/>
        <w:widowControl/>
        <w:rPr>
          <w:szCs w:val="22"/>
        </w:rPr>
      </w:pPr>
      <w:r w:rsidRPr="003144A1">
        <w:rPr>
          <w:rFonts w:ascii="Arial Narrow" w:hAnsi="Arial Narrow"/>
          <w:b/>
          <w:sz w:val="20"/>
        </w:rPr>
        <w:t>Table 6: Summary of safety outcomes in CA209-067</w:t>
      </w:r>
      <w:r w:rsidR="00BF6EEB">
        <w:rPr>
          <w:rFonts w:ascii="Arial Narrow" w:hAnsi="Arial Narrow"/>
          <w:b/>
          <w:sz w:val="20"/>
        </w:rPr>
        <w:t>, minimum follow-up 9 months</w:t>
      </w:r>
      <w:r w:rsidR="007C62F3">
        <w:rPr>
          <w:rFonts w:ascii="Arial Narrow" w:hAnsi="Arial Narrow"/>
          <w:b/>
          <w:sz w:val="20"/>
          <w:vertAlign w:val="superscript"/>
        </w:rPr>
        <w:t>a</w:t>
      </w:r>
    </w:p>
    <w:tbl>
      <w:tblPr>
        <w:tblW w:w="4649"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all comparisons – safety outcomes"/>
      </w:tblPr>
      <w:tblGrid>
        <w:gridCol w:w="2944"/>
        <w:gridCol w:w="1265"/>
        <w:gridCol w:w="1265"/>
        <w:gridCol w:w="1485"/>
        <w:gridCol w:w="1485"/>
      </w:tblGrid>
      <w:tr w:rsidR="00762789" w:rsidRPr="003144A1" w:rsidTr="005C3E67">
        <w:trPr>
          <w:trHeight w:val="350"/>
        </w:trPr>
        <w:tc>
          <w:tcPr>
            <w:tcW w:w="1754" w:type="pct"/>
            <w:vAlign w:val="center"/>
          </w:tcPr>
          <w:p w:rsidR="00762789" w:rsidRPr="003144A1" w:rsidRDefault="00762789" w:rsidP="005C3E67">
            <w:pPr>
              <w:keepNext/>
              <w:keepLines/>
              <w:tabs>
                <w:tab w:val="left" w:pos="150"/>
              </w:tabs>
              <w:jc w:val="center"/>
              <w:rPr>
                <w:rFonts w:ascii="Arial Narrow" w:hAnsi="Arial Narrow"/>
                <w:sz w:val="20"/>
              </w:rPr>
            </w:pPr>
            <w:r w:rsidRPr="003144A1">
              <w:rPr>
                <w:rFonts w:ascii="Arial Narrow" w:hAnsi="Arial Narrow"/>
                <w:b/>
                <w:sz w:val="20"/>
              </w:rPr>
              <w:t>Adverse event</w:t>
            </w:r>
          </w:p>
        </w:tc>
        <w:tc>
          <w:tcPr>
            <w:tcW w:w="760" w:type="pct"/>
            <w:vAlign w:val="center"/>
          </w:tcPr>
          <w:p w:rsidR="00762789" w:rsidRPr="003144A1" w:rsidRDefault="00762789" w:rsidP="005C3E67">
            <w:pPr>
              <w:keepNext/>
              <w:keepLines/>
              <w:widowControl/>
              <w:jc w:val="center"/>
              <w:rPr>
                <w:rFonts w:ascii="Arial Narrow" w:hAnsi="Arial Narrow"/>
                <w:b/>
                <w:sz w:val="20"/>
              </w:rPr>
            </w:pPr>
            <w:r w:rsidRPr="003144A1">
              <w:rPr>
                <w:rFonts w:ascii="Arial Narrow" w:hAnsi="Arial Narrow"/>
                <w:b/>
                <w:sz w:val="20"/>
              </w:rPr>
              <w:t>NIVO+IPI</w:t>
            </w:r>
          </w:p>
        </w:tc>
        <w:tc>
          <w:tcPr>
            <w:tcW w:w="759" w:type="pct"/>
            <w:vAlign w:val="center"/>
          </w:tcPr>
          <w:p w:rsidR="00762789" w:rsidRPr="003144A1" w:rsidRDefault="00762789" w:rsidP="005C3E67">
            <w:pPr>
              <w:keepNext/>
              <w:keepLines/>
              <w:widowControl/>
              <w:jc w:val="center"/>
              <w:rPr>
                <w:rFonts w:ascii="Arial Narrow" w:hAnsi="Arial Narrow"/>
                <w:b/>
                <w:sz w:val="20"/>
              </w:rPr>
            </w:pPr>
            <w:r w:rsidRPr="003144A1">
              <w:rPr>
                <w:rFonts w:ascii="Arial Narrow" w:hAnsi="Arial Narrow"/>
                <w:b/>
                <w:sz w:val="20"/>
              </w:rPr>
              <w:t>Monotherapy</w:t>
            </w:r>
          </w:p>
        </w:tc>
        <w:tc>
          <w:tcPr>
            <w:tcW w:w="880" w:type="pct"/>
            <w:vAlign w:val="center"/>
          </w:tcPr>
          <w:p w:rsidR="00762789" w:rsidRPr="003144A1" w:rsidRDefault="00762789" w:rsidP="000A7C55">
            <w:pPr>
              <w:keepNext/>
              <w:keepLines/>
              <w:widowControl/>
              <w:jc w:val="center"/>
              <w:rPr>
                <w:rFonts w:ascii="Arial Narrow" w:hAnsi="Arial Narrow"/>
                <w:b/>
                <w:sz w:val="20"/>
              </w:rPr>
            </w:pPr>
            <w:r w:rsidRPr="003144A1">
              <w:rPr>
                <w:rFonts w:ascii="Arial Narrow" w:hAnsi="Arial Narrow"/>
                <w:b/>
                <w:sz w:val="20"/>
              </w:rPr>
              <w:t>RD</w:t>
            </w:r>
            <w:r w:rsidR="000A7C55">
              <w:rPr>
                <w:rFonts w:ascii="Arial Narrow" w:hAnsi="Arial Narrow"/>
                <w:b/>
                <w:sz w:val="20"/>
              </w:rPr>
              <w:t xml:space="preserve"> </w:t>
            </w:r>
            <w:r w:rsidRPr="003144A1">
              <w:rPr>
                <w:rFonts w:ascii="Arial Narrow" w:hAnsi="Arial Narrow" w:cs="Times New Roman"/>
                <w:b/>
                <w:snapToGrid/>
                <w:color w:val="000000"/>
                <w:sz w:val="20"/>
                <w:lang w:val="en-US"/>
              </w:rPr>
              <w:t>(95% CI)</w:t>
            </w:r>
          </w:p>
        </w:tc>
        <w:tc>
          <w:tcPr>
            <w:tcW w:w="847" w:type="pct"/>
            <w:vAlign w:val="center"/>
          </w:tcPr>
          <w:p w:rsidR="00762789" w:rsidRPr="003144A1" w:rsidRDefault="00762789" w:rsidP="000A7C55">
            <w:pPr>
              <w:keepNext/>
              <w:keepLines/>
              <w:widowControl/>
              <w:jc w:val="center"/>
              <w:rPr>
                <w:rFonts w:ascii="Arial Narrow" w:hAnsi="Arial Narrow"/>
                <w:b/>
                <w:sz w:val="20"/>
              </w:rPr>
            </w:pPr>
            <w:r w:rsidRPr="003144A1">
              <w:rPr>
                <w:rFonts w:ascii="Arial Narrow" w:hAnsi="Arial Narrow"/>
                <w:b/>
                <w:sz w:val="20"/>
              </w:rPr>
              <w:t>RR</w:t>
            </w:r>
            <w:r w:rsidR="000A7C55">
              <w:rPr>
                <w:rFonts w:ascii="Arial Narrow" w:hAnsi="Arial Narrow"/>
                <w:b/>
                <w:sz w:val="20"/>
              </w:rPr>
              <w:t xml:space="preserve"> </w:t>
            </w:r>
            <w:r w:rsidRPr="003144A1">
              <w:rPr>
                <w:rFonts w:ascii="Arial Narrow" w:hAnsi="Arial Narrow" w:cs="Times New Roman"/>
                <w:b/>
                <w:snapToGrid/>
                <w:color w:val="000000"/>
                <w:sz w:val="20"/>
                <w:lang w:val="en-US"/>
              </w:rPr>
              <w:t>(95% CI)</w:t>
            </w: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center"/>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b/>
                <w:snapToGrid/>
                <w:color w:val="000000"/>
                <w:sz w:val="20"/>
                <w:lang w:val="en-US"/>
              </w:rPr>
              <w:t>NIVO+IPI vs NIVO monotherapy</w:t>
            </w:r>
          </w:p>
        </w:tc>
        <w:tc>
          <w:tcPr>
            <w:tcW w:w="760" w:type="pct"/>
          </w:tcPr>
          <w:p w:rsidR="00762789" w:rsidRPr="003144A1" w:rsidRDefault="00762789" w:rsidP="00762789">
            <w:pPr>
              <w:keepNext/>
              <w:keepLines/>
              <w:widowControl/>
              <w:jc w:val="center"/>
              <w:rPr>
                <w:rFonts w:ascii="Arial Narrow" w:hAnsi="Arial Narrow"/>
                <w:b/>
                <w:sz w:val="20"/>
              </w:rPr>
            </w:pPr>
            <w:r w:rsidRPr="003144A1">
              <w:rPr>
                <w:rFonts w:ascii="Arial Narrow" w:hAnsi="Arial Narrow"/>
                <w:b/>
                <w:sz w:val="20"/>
              </w:rPr>
              <w:t>NIVO+IPI</w:t>
            </w:r>
          </w:p>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b/>
                <w:sz w:val="20"/>
              </w:rPr>
              <w:t>N=313</w:t>
            </w:r>
          </w:p>
        </w:tc>
        <w:tc>
          <w:tcPr>
            <w:tcW w:w="759" w:type="pct"/>
          </w:tcPr>
          <w:p w:rsidR="00762789" w:rsidRPr="003144A1" w:rsidRDefault="00762789" w:rsidP="00762789">
            <w:pPr>
              <w:keepNext/>
              <w:keepLines/>
              <w:widowControl/>
              <w:jc w:val="center"/>
              <w:rPr>
                <w:rFonts w:ascii="Arial Narrow" w:hAnsi="Arial Narrow"/>
                <w:b/>
                <w:sz w:val="20"/>
              </w:rPr>
            </w:pPr>
            <w:r w:rsidRPr="003144A1">
              <w:rPr>
                <w:rFonts w:ascii="Arial Narrow" w:hAnsi="Arial Narrow"/>
                <w:b/>
                <w:sz w:val="20"/>
              </w:rPr>
              <w:t>Nivolumab</w:t>
            </w:r>
          </w:p>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b/>
                <w:sz w:val="20"/>
              </w:rPr>
              <w:t>N=313</w:t>
            </w:r>
          </w:p>
        </w:tc>
        <w:tc>
          <w:tcPr>
            <w:tcW w:w="880" w:type="pct"/>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47" w:type="pct"/>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bottom"/>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Overall drug-related AEs</w:t>
            </w:r>
          </w:p>
        </w:tc>
        <w:tc>
          <w:tcPr>
            <w:tcW w:w="760"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759"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80" w:type="pct"/>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47" w:type="pct"/>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AE</w:t>
            </w:r>
          </w:p>
        </w:tc>
        <w:tc>
          <w:tcPr>
            <w:tcW w:w="760"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299 (95.5%)</w:t>
            </w:r>
          </w:p>
        </w:tc>
        <w:tc>
          <w:tcPr>
            <w:tcW w:w="759"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257 (82.1%)</w:t>
            </w:r>
          </w:p>
        </w:tc>
        <w:tc>
          <w:tcPr>
            <w:tcW w:w="880"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0.13 (0.09, 0.18)</w:t>
            </w:r>
          </w:p>
        </w:tc>
        <w:tc>
          <w:tcPr>
            <w:tcW w:w="847"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1.16 (1.10, 1.23)</w:t>
            </w: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serious AE</w:t>
            </w:r>
          </w:p>
        </w:tc>
        <w:tc>
          <w:tcPr>
            <w:tcW w:w="760"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150 (47.9%)</w:t>
            </w:r>
          </w:p>
        </w:tc>
        <w:tc>
          <w:tcPr>
            <w:tcW w:w="759"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25 (8.0%)</w:t>
            </w:r>
          </w:p>
        </w:tc>
        <w:tc>
          <w:tcPr>
            <w:tcW w:w="880"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0.40 (0.34, 0.46)</w:t>
            </w:r>
          </w:p>
        </w:tc>
        <w:tc>
          <w:tcPr>
            <w:tcW w:w="847"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6.00 (4.05, 8.89)</w:t>
            </w: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severe AE (Grade ≥3)</w:t>
            </w:r>
          </w:p>
        </w:tc>
        <w:tc>
          <w:tcPr>
            <w:tcW w:w="760"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172 (55.0%)</w:t>
            </w:r>
          </w:p>
        </w:tc>
        <w:tc>
          <w:tcPr>
            <w:tcW w:w="759"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51 (16.3%)</w:t>
            </w:r>
          </w:p>
        </w:tc>
        <w:tc>
          <w:tcPr>
            <w:tcW w:w="880"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0.39 (0.32, 0.46)</w:t>
            </w:r>
          </w:p>
        </w:tc>
        <w:tc>
          <w:tcPr>
            <w:tcW w:w="847"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3.37 (2.57, 4.42)</w:t>
            </w:r>
          </w:p>
        </w:tc>
      </w:tr>
      <w:tr w:rsidR="00762789" w:rsidRPr="003144A1" w:rsidTr="00762789">
        <w:tblPrEx>
          <w:tblCellMar>
            <w:left w:w="108" w:type="dxa"/>
            <w:right w:w="108" w:type="dxa"/>
          </w:tblCellMar>
          <w:tblLook w:val="04A0" w:firstRow="1" w:lastRow="0" w:firstColumn="1" w:lastColumn="0" w:noHBand="0" w:noVBand="1"/>
        </w:tblPrEx>
        <w:tc>
          <w:tcPr>
            <w:tcW w:w="1754" w:type="pct"/>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AE leading to discontinuation</w:t>
            </w:r>
          </w:p>
        </w:tc>
        <w:tc>
          <w:tcPr>
            <w:tcW w:w="760"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114 (36.4%)</w:t>
            </w:r>
          </w:p>
        </w:tc>
        <w:tc>
          <w:tcPr>
            <w:tcW w:w="759" w:type="pct"/>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24 (7.7%)</w:t>
            </w:r>
          </w:p>
        </w:tc>
        <w:tc>
          <w:tcPr>
            <w:tcW w:w="880"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0.29 (0.23, 0.35)</w:t>
            </w:r>
          </w:p>
        </w:tc>
        <w:tc>
          <w:tcPr>
            <w:tcW w:w="847" w:type="pct"/>
            <w:shd w:val="clear" w:color="auto" w:fill="auto"/>
            <w:noWrap/>
            <w:vAlign w:val="bottom"/>
            <w:hideMark/>
          </w:tcPr>
          <w:p w:rsidR="00762789" w:rsidRPr="00467EFB" w:rsidRDefault="00762789" w:rsidP="00762789">
            <w:pPr>
              <w:keepNext/>
              <w:keepLines/>
              <w:widowControl/>
              <w:jc w:val="center"/>
              <w:rPr>
                <w:rFonts w:ascii="Arial Narrow" w:hAnsi="Arial Narrow" w:cs="Times New Roman"/>
                <w:b/>
                <w:snapToGrid/>
                <w:color w:val="000000"/>
                <w:sz w:val="20"/>
                <w:lang w:val="en-US"/>
              </w:rPr>
            </w:pPr>
            <w:r w:rsidRPr="00467EFB">
              <w:rPr>
                <w:rFonts w:ascii="Arial Narrow" w:hAnsi="Arial Narrow" w:cs="Times New Roman"/>
                <w:b/>
                <w:snapToGrid/>
                <w:color w:val="000000"/>
                <w:sz w:val="20"/>
                <w:lang w:val="en-US"/>
              </w:rPr>
              <w:t>4.75 (3.15, 7.17)</w:t>
            </w: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6"/>
        </w:trPr>
        <w:tc>
          <w:tcPr>
            <w:tcW w:w="1754" w:type="pct"/>
            <w:tcBorders>
              <w:top w:val="single" w:sz="4" w:space="0" w:color="auto"/>
              <w:left w:val="single" w:sz="4" w:space="0" w:color="auto"/>
              <w:right w:val="single" w:sz="4" w:space="0" w:color="auto"/>
            </w:tcBorders>
            <w:shd w:val="clear" w:color="auto" w:fill="auto"/>
            <w:noWrap/>
            <w:vAlign w:val="center"/>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b/>
                <w:snapToGrid/>
                <w:color w:val="000000"/>
                <w:sz w:val="20"/>
                <w:lang w:val="en-US"/>
              </w:rPr>
              <w:t>NIVO+IPI vs IPI monotherapy</w:t>
            </w:r>
          </w:p>
        </w:tc>
        <w:tc>
          <w:tcPr>
            <w:tcW w:w="760"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b/>
                <w:sz w:val="20"/>
              </w:rPr>
            </w:pPr>
            <w:r w:rsidRPr="003144A1">
              <w:rPr>
                <w:rFonts w:ascii="Arial Narrow" w:hAnsi="Arial Narrow"/>
                <w:b/>
                <w:sz w:val="20"/>
              </w:rPr>
              <w:t>NIVO+IPI</w:t>
            </w:r>
          </w:p>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b/>
                <w:sz w:val="20"/>
              </w:rPr>
              <w:t>N=313</w:t>
            </w:r>
          </w:p>
        </w:tc>
        <w:tc>
          <w:tcPr>
            <w:tcW w:w="759"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b/>
                <w:sz w:val="20"/>
              </w:rPr>
            </w:pPr>
            <w:r w:rsidRPr="003144A1">
              <w:rPr>
                <w:rFonts w:ascii="Arial Narrow" w:hAnsi="Arial Narrow"/>
                <w:b/>
                <w:sz w:val="20"/>
              </w:rPr>
              <w:t>Ipilimumab</w:t>
            </w:r>
          </w:p>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b/>
                <w:sz w:val="20"/>
              </w:rPr>
              <w:t>N=311</w:t>
            </w:r>
          </w:p>
        </w:tc>
        <w:tc>
          <w:tcPr>
            <w:tcW w:w="880" w:type="pct"/>
            <w:tcBorders>
              <w:top w:val="single" w:sz="4" w:space="0" w:color="auto"/>
              <w:left w:val="single" w:sz="4" w:space="0" w:color="auto"/>
              <w:right w:val="single" w:sz="4" w:space="0" w:color="auto"/>
            </w:tcBorders>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47" w:type="pct"/>
            <w:tcBorders>
              <w:top w:val="single" w:sz="4" w:space="0" w:color="auto"/>
              <w:left w:val="single" w:sz="4" w:space="0" w:color="auto"/>
              <w:right w:val="single" w:sz="4" w:space="0" w:color="auto"/>
            </w:tcBorders>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6"/>
        </w:trPr>
        <w:tc>
          <w:tcPr>
            <w:tcW w:w="1754" w:type="pct"/>
            <w:tcBorders>
              <w:top w:val="single" w:sz="4" w:space="0" w:color="auto"/>
              <w:left w:val="single" w:sz="4" w:space="0" w:color="auto"/>
              <w:right w:val="single" w:sz="4" w:space="0" w:color="auto"/>
            </w:tcBorders>
            <w:shd w:val="clear" w:color="auto" w:fill="auto"/>
            <w:noWrap/>
            <w:vAlign w:val="bottom"/>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Overall drug-related AEs</w:t>
            </w:r>
          </w:p>
        </w:tc>
        <w:tc>
          <w:tcPr>
            <w:tcW w:w="760"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759"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80" w:type="pct"/>
            <w:tcBorders>
              <w:top w:val="single" w:sz="4" w:space="0" w:color="auto"/>
              <w:left w:val="single" w:sz="4" w:space="0" w:color="auto"/>
              <w:right w:val="single" w:sz="4" w:space="0" w:color="auto"/>
            </w:tcBorders>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c>
          <w:tcPr>
            <w:tcW w:w="847" w:type="pct"/>
            <w:tcBorders>
              <w:top w:val="single" w:sz="4" w:space="0" w:color="auto"/>
              <w:left w:val="single" w:sz="4" w:space="0" w:color="auto"/>
              <w:right w:val="single" w:sz="4" w:space="0" w:color="auto"/>
            </w:tcBorders>
            <w:shd w:val="clear" w:color="auto" w:fill="auto"/>
            <w:noWrap/>
            <w:vAlign w:val="bottom"/>
          </w:tcPr>
          <w:p w:rsidR="00762789" w:rsidRPr="003144A1" w:rsidRDefault="00762789" w:rsidP="00762789">
            <w:pPr>
              <w:keepNext/>
              <w:keepLines/>
              <w:widowControl/>
              <w:jc w:val="center"/>
              <w:rPr>
                <w:rFonts w:ascii="Arial Narrow" w:hAnsi="Arial Narrow" w:cs="Times New Roman"/>
                <w:snapToGrid/>
                <w:color w:val="000000"/>
                <w:sz w:val="20"/>
                <w:lang w:val="en-US"/>
              </w:rPr>
            </w:pP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6"/>
        </w:trPr>
        <w:tc>
          <w:tcPr>
            <w:tcW w:w="1754" w:type="pct"/>
            <w:tcBorders>
              <w:top w:val="single" w:sz="4" w:space="0" w:color="auto"/>
              <w:left w:val="single" w:sz="4" w:space="0" w:color="auto"/>
              <w:right w:val="single" w:sz="4" w:space="0" w:color="auto"/>
            </w:tcBorders>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AE</w:t>
            </w:r>
          </w:p>
        </w:tc>
        <w:tc>
          <w:tcPr>
            <w:tcW w:w="760"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299 (95.5%)</w:t>
            </w:r>
          </w:p>
        </w:tc>
        <w:tc>
          <w:tcPr>
            <w:tcW w:w="759" w:type="pct"/>
            <w:tcBorders>
              <w:top w:val="single" w:sz="4" w:space="0" w:color="auto"/>
              <w:left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269 (86.2%)</w:t>
            </w:r>
          </w:p>
        </w:tc>
        <w:tc>
          <w:tcPr>
            <w:tcW w:w="880" w:type="pct"/>
            <w:tcBorders>
              <w:top w:val="single" w:sz="4" w:space="0" w:color="auto"/>
              <w:left w:val="single" w:sz="4"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0.09 (0.05, 13.5)</w:t>
            </w:r>
            <w:r w:rsidR="007C62F3" w:rsidRPr="007C62F3">
              <w:rPr>
                <w:rFonts w:ascii="Arial Narrow" w:hAnsi="Arial Narrow" w:cs="Times New Roman"/>
                <w:b/>
                <w:snapToGrid/>
                <w:color w:val="000000"/>
                <w:sz w:val="20"/>
                <w:vertAlign w:val="superscript"/>
                <w:lang w:val="en-US"/>
              </w:rPr>
              <w:t>b</w:t>
            </w:r>
          </w:p>
        </w:tc>
        <w:tc>
          <w:tcPr>
            <w:tcW w:w="847" w:type="pct"/>
            <w:tcBorders>
              <w:top w:val="single" w:sz="4" w:space="0" w:color="auto"/>
              <w:left w:val="single" w:sz="4"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1.10 (1.05, 1.16)</w:t>
            </w:r>
            <w:r w:rsidR="007C62F3" w:rsidRPr="007C62F3">
              <w:rPr>
                <w:rFonts w:ascii="Arial Narrow" w:hAnsi="Arial Narrow" w:cs="Times New Roman"/>
                <w:b/>
                <w:snapToGrid/>
                <w:color w:val="000000"/>
                <w:sz w:val="20"/>
                <w:vertAlign w:val="superscript"/>
                <w:lang w:val="en-US"/>
              </w:rPr>
              <w:t>b</w:t>
            </w: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9"/>
        </w:trPr>
        <w:tc>
          <w:tcPr>
            <w:tcW w:w="1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serious AE</w:t>
            </w:r>
          </w:p>
        </w:tc>
        <w:tc>
          <w:tcPr>
            <w:tcW w:w="760" w:type="pct"/>
            <w:tcBorders>
              <w:top w:val="single" w:sz="4" w:space="0" w:color="auto"/>
              <w:left w:val="single" w:sz="4" w:space="0" w:color="auto"/>
              <w:bottom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150 (47.9%)</w:t>
            </w:r>
          </w:p>
        </w:tc>
        <w:tc>
          <w:tcPr>
            <w:tcW w:w="759" w:type="pct"/>
            <w:tcBorders>
              <w:top w:val="single" w:sz="4" w:space="0" w:color="auto"/>
              <w:left w:val="single" w:sz="4" w:space="0" w:color="auto"/>
              <w:bottom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69 (22.2%)</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0.26 (0.19, 0.33)</w:t>
            </w:r>
            <w:r w:rsidR="007C62F3" w:rsidRPr="007C62F3">
              <w:rPr>
                <w:rFonts w:ascii="Arial Narrow" w:hAnsi="Arial Narrow" w:cs="Times New Roman"/>
                <w:b/>
                <w:snapToGrid/>
                <w:color w:val="000000"/>
                <w:sz w:val="20"/>
                <w:vertAlign w:val="superscript"/>
                <w:lang w:val="en-US"/>
              </w:rPr>
              <w:t>b</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7C62F3" w:rsidRDefault="00762789" w:rsidP="007C62F3">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2.16 (1.70, 2.74)</w:t>
            </w:r>
            <w:r w:rsidR="007C62F3" w:rsidRPr="007C62F3">
              <w:rPr>
                <w:rFonts w:ascii="Arial Narrow" w:hAnsi="Arial Narrow" w:cs="Times New Roman"/>
                <w:b/>
                <w:snapToGrid/>
                <w:color w:val="000000"/>
                <w:sz w:val="20"/>
                <w:vertAlign w:val="superscript"/>
                <w:lang w:val="en-US"/>
              </w:rPr>
              <w:t>b</w:t>
            </w: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9"/>
        </w:trPr>
        <w:tc>
          <w:tcPr>
            <w:tcW w:w="1754"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Any severe AE (Grade ≥3)</w:t>
            </w:r>
          </w:p>
        </w:tc>
        <w:tc>
          <w:tcPr>
            <w:tcW w:w="760" w:type="pct"/>
            <w:tcBorders>
              <w:top w:val="single" w:sz="4" w:space="0" w:color="auto"/>
              <w:left w:val="single" w:sz="4" w:space="0" w:color="auto"/>
              <w:bottom w:val="single" w:sz="2"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172 (55.0%)</w:t>
            </w:r>
          </w:p>
        </w:tc>
        <w:tc>
          <w:tcPr>
            <w:tcW w:w="759" w:type="pct"/>
            <w:tcBorders>
              <w:top w:val="single" w:sz="4" w:space="0" w:color="auto"/>
              <w:left w:val="single" w:sz="4" w:space="0" w:color="auto"/>
              <w:bottom w:val="single" w:sz="2"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86 (27.7%)</w:t>
            </w:r>
          </w:p>
        </w:tc>
        <w:tc>
          <w:tcPr>
            <w:tcW w:w="880"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0.27 (0.20, 0.35)</w:t>
            </w:r>
            <w:r w:rsidR="007C62F3" w:rsidRPr="007C62F3">
              <w:rPr>
                <w:rFonts w:ascii="Arial Narrow" w:hAnsi="Arial Narrow" w:cs="Times New Roman"/>
                <w:b/>
                <w:snapToGrid/>
                <w:color w:val="000000"/>
                <w:sz w:val="20"/>
                <w:vertAlign w:val="superscript"/>
                <w:lang w:val="en-US"/>
              </w:rPr>
              <w:t>b</w:t>
            </w:r>
          </w:p>
        </w:tc>
        <w:tc>
          <w:tcPr>
            <w:tcW w:w="847"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1.99 (1.62, 2.44)</w:t>
            </w:r>
            <w:r w:rsidR="007C62F3" w:rsidRPr="007C62F3">
              <w:rPr>
                <w:rFonts w:ascii="Arial Narrow" w:hAnsi="Arial Narrow" w:cs="Times New Roman"/>
                <w:b/>
                <w:snapToGrid/>
                <w:color w:val="000000"/>
                <w:sz w:val="20"/>
                <w:vertAlign w:val="superscript"/>
                <w:lang w:val="en-US"/>
              </w:rPr>
              <w:t>b</w:t>
            </w:r>
          </w:p>
        </w:tc>
      </w:tr>
      <w:tr w:rsidR="00762789" w:rsidRPr="003144A1" w:rsidTr="0076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0"/>
        </w:trPr>
        <w:tc>
          <w:tcPr>
            <w:tcW w:w="1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3144A1" w:rsidRDefault="00762789" w:rsidP="00762789">
            <w:pPr>
              <w:keepNext/>
              <w:keepLines/>
              <w:widowControl/>
              <w:tabs>
                <w:tab w:val="left" w:pos="268"/>
              </w:tabs>
              <w:jc w:val="left"/>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ab/>
              <w:t>AE leading to discontinuation</w:t>
            </w:r>
          </w:p>
        </w:tc>
        <w:tc>
          <w:tcPr>
            <w:tcW w:w="760" w:type="pct"/>
            <w:tcBorders>
              <w:top w:val="single" w:sz="4" w:space="0" w:color="auto"/>
              <w:left w:val="single" w:sz="4" w:space="0" w:color="auto"/>
              <w:bottom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114 (36.4%)</w:t>
            </w:r>
          </w:p>
        </w:tc>
        <w:tc>
          <w:tcPr>
            <w:tcW w:w="759" w:type="pct"/>
            <w:tcBorders>
              <w:top w:val="single" w:sz="4" w:space="0" w:color="auto"/>
              <w:left w:val="single" w:sz="4" w:space="0" w:color="auto"/>
              <w:bottom w:val="single" w:sz="4" w:space="0" w:color="auto"/>
              <w:right w:val="single" w:sz="4" w:space="0" w:color="auto"/>
            </w:tcBorders>
          </w:tcPr>
          <w:p w:rsidR="00762789" w:rsidRPr="003144A1" w:rsidRDefault="00762789" w:rsidP="00762789">
            <w:pPr>
              <w:keepNext/>
              <w:keepLines/>
              <w:widowControl/>
              <w:jc w:val="center"/>
              <w:rPr>
                <w:rFonts w:ascii="Arial Narrow" w:hAnsi="Arial Narrow" w:cs="Times New Roman"/>
                <w:snapToGrid/>
                <w:color w:val="000000"/>
                <w:sz w:val="20"/>
                <w:lang w:val="en-US"/>
              </w:rPr>
            </w:pPr>
            <w:r w:rsidRPr="003144A1">
              <w:rPr>
                <w:rFonts w:ascii="Arial Narrow" w:hAnsi="Arial Narrow" w:cs="Times New Roman"/>
                <w:snapToGrid/>
                <w:color w:val="000000"/>
                <w:sz w:val="20"/>
                <w:lang w:val="en-US"/>
              </w:rPr>
              <w:t>46 (14.8%)</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0.22 (15.0, 28.3)</w:t>
            </w:r>
            <w:r w:rsidR="007C62F3" w:rsidRPr="007C62F3">
              <w:rPr>
                <w:rFonts w:ascii="Arial Narrow" w:hAnsi="Arial Narrow" w:cs="Times New Roman"/>
                <w:b/>
                <w:snapToGrid/>
                <w:color w:val="000000"/>
                <w:sz w:val="20"/>
                <w:vertAlign w:val="superscript"/>
                <w:lang w:val="en-US"/>
              </w:rPr>
              <w:t>b</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789" w:rsidRPr="007C62F3" w:rsidRDefault="00762789" w:rsidP="00762789">
            <w:pPr>
              <w:keepNext/>
              <w:keepLines/>
              <w:widowControl/>
              <w:jc w:val="center"/>
              <w:rPr>
                <w:rFonts w:ascii="Arial Narrow" w:hAnsi="Arial Narrow" w:cs="Times New Roman"/>
                <w:b/>
                <w:snapToGrid/>
                <w:color w:val="000000"/>
                <w:sz w:val="20"/>
                <w:lang w:val="en-US"/>
              </w:rPr>
            </w:pPr>
            <w:r w:rsidRPr="007C62F3">
              <w:rPr>
                <w:rFonts w:ascii="Arial Narrow" w:hAnsi="Arial Narrow" w:cs="Times New Roman"/>
                <w:b/>
                <w:snapToGrid/>
                <w:color w:val="000000"/>
                <w:sz w:val="20"/>
                <w:lang w:val="en-US"/>
              </w:rPr>
              <w:t>2.46 (1.82, 3.34)</w:t>
            </w:r>
            <w:r w:rsidR="007C62F3" w:rsidRPr="007C62F3">
              <w:rPr>
                <w:rFonts w:ascii="Arial Narrow" w:hAnsi="Arial Narrow" w:cs="Times New Roman"/>
                <w:b/>
                <w:snapToGrid/>
                <w:color w:val="000000"/>
                <w:sz w:val="20"/>
                <w:vertAlign w:val="superscript"/>
                <w:lang w:val="en-US"/>
              </w:rPr>
              <w:t>b</w:t>
            </w:r>
          </w:p>
        </w:tc>
      </w:tr>
    </w:tbl>
    <w:p w:rsidR="00762789" w:rsidRDefault="00762789" w:rsidP="00762789">
      <w:pPr>
        <w:pStyle w:val="TableFooter"/>
        <w:ind w:left="720"/>
        <w:jc w:val="left"/>
      </w:pPr>
      <w:r>
        <w:t>AE = adverse event; CI = confidence interval; IPI = ipilimumab; NIVO = nivolumab; RD = risk difference; RR = risk ratio</w:t>
      </w:r>
    </w:p>
    <w:p w:rsidR="00BF6EEB" w:rsidRDefault="007C62F3" w:rsidP="00BF6EEB">
      <w:pPr>
        <w:pStyle w:val="TableFooter"/>
        <w:ind w:left="720"/>
        <w:jc w:val="left"/>
      </w:pPr>
      <w:r w:rsidRPr="007C62F3">
        <w:rPr>
          <w:vertAlign w:val="superscript"/>
        </w:rPr>
        <w:t xml:space="preserve">a </w:t>
      </w:r>
      <w:r w:rsidR="00BF6EEB">
        <w:t>Median follow-up 12.2-12.5 months across arms</w:t>
      </w:r>
    </w:p>
    <w:p w:rsidR="00762789" w:rsidRPr="007C62F3" w:rsidRDefault="007C62F3" w:rsidP="00762789">
      <w:pPr>
        <w:pStyle w:val="TableFooter"/>
        <w:ind w:left="720"/>
        <w:jc w:val="left"/>
      </w:pPr>
      <w:r w:rsidRPr="007C62F3">
        <w:rPr>
          <w:vertAlign w:val="superscript"/>
        </w:rPr>
        <w:t>b</w:t>
      </w:r>
      <w:r w:rsidR="000A7C55">
        <w:rPr>
          <w:vertAlign w:val="superscript"/>
        </w:rPr>
        <w:t xml:space="preserve"> </w:t>
      </w:r>
      <w:r w:rsidR="00762789" w:rsidRPr="007C62F3">
        <w:t>Figures calculated during the evaluation</w:t>
      </w:r>
    </w:p>
    <w:p w:rsidR="00467EFB" w:rsidRPr="00467EFB" w:rsidRDefault="00467EFB" w:rsidP="00762789">
      <w:pPr>
        <w:pStyle w:val="TableFooter"/>
        <w:ind w:left="720"/>
        <w:jc w:val="left"/>
        <w:rPr>
          <w:b/>
        </w:rPr>
      </w:pPr>
      <w:r>
        <w:rPr>
          <w:b/>
        </w:rPr>
        <w:t>Bolded figures i</w:t>
      </w:r>
      <w:r w:rsidR="00776171">
        <w:rPr>
          <w:b/>
        </w:rPr>
        <w:t>ndicate</w:t>
      </w:r>
      <w:r>
        <w:rPr>
          <w:b/>
        </w:rPr>
        <w:t xml:space="preserve"> statistically significant differences</w:t>
      </w:r>
    </w:p>
    <w:p w:rsidR="00762789" w:rsidRDefault="00762789" w:rsidP="00762789">
      <w:pPr>
        <w:pStyle w:val="TableFooter"/>
        <w:ind w:left="720"/>
      </w:pPr>
      <w:r>
        <w:t>Source: Table 32, p111, Table 36, p124, Table 55, p159, Table 58, p164 November 2015 submission.</w:t>
      </w:r>
    </w:p>
    <w:p w:rsidR="00762789" w:rsidRPr="00EC5585" w:rsidRDefault="00762789" w:rsidP="00EC5585">
      <w:pPr>
        <w:widowControl/>
        <w:rPr>
          <w:szCs w:val="22"/>
        </w:rPr>
      </w:pPr>
    </w:p>
    <w:p w:rsidR="00762789" w:rsidRPr="00C86F15" w:rsidRDefault="00762789" w:rsidP="009E7F9E">
      <w:pPr>
        <w:pStyle w:val="ListParagraph"/>
        <w:widowControl/>
        <w:numPr>
          <w:ilvl w:val="1"/>
          <w:numId w:val="3"/>
        </w:numPr>
        <w:rPr>
          <w:szCs w:val="22"/>
        </w:rPr>
      </w:pPr>
      <w:r w:rsidRPr="00C86F15">
        <w:rPr>
          <w:bCs/>
          <w:szCs w:val="22"/>
          <w:lang w:val="en-GB"/>
        </w:rPr>
        <w:t xml:space="preserve">The PBAC previously considered that combination treatment with nivolumab and ipilimumab had a significantly inferior safety profile compared to pembrolizumab monotherapy, nivolumab monotherapy or ipilimumab monotherapy. The PBAC noted that there were significantly higher rates of serious adverse events </w:t>
      </w:r>
      <w:r w:rsidR="00AD685D" w:rsidRPr="00C86F15">
        <w:rPr>
          <w:bCs/>
          <w:szCs w:val="22"/>
          <w:lang w:val="en-GB"/>
        </w:rPr>
        <w:t xml:space="preserve">(AEs) </w:t>
      </w:r>
      <w:r w:rsidRPr="00C86F15">
        <w:rPr>
          <w:bCs/>
          <w:szCs w:val="22"/>
          <w:lang w:val="en-GB"/>
        </w:rPr>
        <w:t xml:space="preserve">with </w:t>
      </w:r>
      <w:r w:rsidR="00646C33" w:rsidRPr="00C86F15">
        <w:rPr>
          <w:bCs/>
          <w:szCs w:val="22"/>
          <w:lang w:val="en-GB"/>
        </w:rPr>
        <w:t>NIVO+IPI</w:t>
      </w:r>
      <w:r w:rsidRPr="00C86F15">
        <w:rPr>
          <w:bCs/>
          <w:szCs w:val="22"/>
          <w:lang w:val="en-GB"/>
        </w:rPr>
        <w:t xml:space="preserve"> combination therapy compared to the monotherapies, with the combination treatment having, for example, an odds ratio of 6.27 (95% CI: 4.42, 8.89) for any severe </w:t>
      </w:r>
      <w:r w:rsidR="00AD685D" w:rsidRPr="00C86F15">
        <w:rPr>
          <w:bCs/>
          <w:szCs w:val="22"/>
          <w:lang w:val="en-GB"/>
        </w:rPr>
        <w:t>AE</w:t>
      </w:r>
      <w:r w:rsidR="005563BE" w:rsidRPr="00C86F15">
        <w:rPr>
          <w:bCs/>
          <w:szCs w:val="22"/>
          <w:lang w:val="en-GB"/>
        </w:rPr>
        <w:t xml:space="preserve"> </w:t>
      </w:r>
      <w:r w:rsidRPr="00C86F15">
        <w:rPr>
          <w:bCs/>
          <w:szCs w:val="22"/>
          <w:lang w:val="en-GB"/>
        </w:rPr>
        <w:t xml:space="preserve">over nivolumab monotherapy, and an odds ratio for discontinuations due to drug-related </w:t>
      </w:r>
      <w:r w:rsidR="005563BE" w:rsidRPr="00C86F15">
        <w:rPr>
          <w:bCs/>
          <w:szCs w:val="22"/>
          <w:lang w:val="en-GB"/>
        </w:rPr>
        <w:t>AEs</w:t>
      </w:r>
      <w:r w:rsidRPr="00C86F15">
        <w:rPr>
          <w:bCs/>
          <w:szCs w:val="22"/>
          <w:lang w:val="en-GB"/>
        </w:rPr>
        <w:t xml:space="preserve"> of 6.90 (95% CI: 4.32, 11.01) over nivolumab monotherapy. The PBAC was also concerned by early reports of endocrine toxicity, with the possibility of irreversible diabetes (paragraph 7.5, 5.10 nivolumab plus ipilimumab, November 2015 PBAC meeting).</w:t>
      </w:r>
    </w:p>
    <w:p w:rsidR="00026095" w:rsidRPr="00C86F15" w:rsidRDefault="00026095" w:rsidP="002F3F85">
      <w:pPr>
        <w:rPr>
          <w:lang w:val="en-GB"/>
        </w:rPr>
      </w:pPr>
    </w:p>
    <w:p w:rsidR="00026095" w:rsidRPr="00C86F15" w:rsidRDefault="00026095" w:rsidP="009E7F9E">
      <w:pPr>
        <w:pStyle w:val="ListParagraph"/>
        <w:widowControl/>
        <w:numPr>
          <w:ilvl w:val="1"/>
          <w:numId w:val="3"/>
        </w:numPr>
        <w:rPr>
          <w:szCs w:val="22"/>
        </w:rPr>
      </w:pPr>
      <w:r w:rsidRPr="00C86F15">
        <w:rPr>
          <w:lang w:val="en-GB"/>
        </w:rPr>
        <w:t>The PSCR argued that the vast majority of grade 3/4 AEs were manageable using established algorithms involving immune-modulating agen</w:t>
      </w:r>
      <w:r w:rsidR="007B1CDC" w:rsidRPr="00C86F15">
        <w:rPr>
          <w:lang w:val="en-GB"/>
        </w:rPr>
        <w:t>ts</w:t>
      </w:r>
      <w:r w:rsidRPr="00C86F15">
        <w:rPr>
          <w:lang w:val="en-GB"/>
        </w:rPr>
        <w:t xml:space="preserve"> and resolve within 4-5 weeks (Sznol 2016).</w:t>
      </w:r>
      <w:r w:rsidRPr="00C86F15">
        <w:rPr>
          <w:rStyle w:val="FootnoteReference"/>
          <w:bCs/>
          <w:szCs w:val="22"/>
          <w:lang w:val="en-GB"/>
        </w:rPr>
        <w:footnoteReference w:id="5"/>
      </w:r>
      <w:r w:rsidRPr="00C86F15">
        <w:rPr>
          <w:lang w:val="en-GB"/>
        </w:rPr>
        <w:t xml:space="preserve"> The ESC also noted the evidence in the PSCR that NIVO+IPI combination patients who discontinued treatment due to AEs still derived a significant efficacy benefit (Schadendorf 2016).</w:t>
      </w:r>
      <w:r w:rsidRPr="00C86F15">
        <w:rPr>
          <w:rStyle w:val="FootnoteReference"/>
          <w:bCs/>
          <w:szCs w:val="22"/>
          <w:lang w:val="en-GB"/>
        </w:rPr>
        <w:footnoteReference w:id="6"/>
      </w:r>
    </w:p>
    <w:p w:rsidR="00762789" w:rsidRPr="00D4640F" w:rsidRDefault="00762789" w:rsidP="00762789">
      <w:pPr>
        <w:widowControl/>
        <w:rPr>
          <w:szCs w:val="22"/>
        </w:rPr>
      </w:pPr>
    </w:p>
    <w:p w:rsidR="00762789" w:rsidRPr="00D4640F" w:rsidRDefault="00762789" w:rsidP="009E7F9E">
      <w:pPr>
        <w:pStyle w:val="ListParagraph"/>
        <w:widowControl/>
        <w:numPr>
          <w:ilvl w:val="1"/>
          <w:numId w:val="3"/>
        </w:numPr>
        <w:rPr>
          <w:szCs w:val="22"/>
        </w:rPr>
      </w:pPr>
      <w:r w:rsidRPr="00D4640F">
        <w:t xml:space="preserve">The </w:t>
      </w:r>
      <w:r w:rsidR="008D1756">
        <w:t>resubmission</w:t>
      </w:r>
      <w:r w:rsidRPr="00D4640F">
        <w:t xml:space="preserve"> also presented the safety data from </w:t>
      </w:r>
      <w:r w:rsidR="000A423F" w:rsidRPr="00D4640F">
        <w:t xml:space="preserve">the </w:t>
      </w:r>
      <w:r w:rsidRPr="00D4640F">
        <w:t>ipilimumab monotherapy arm of MDX010-020 as an indication of the safety profile of second-line ipilimumab monotherapy after progression o</w:t>
      </w:r>
      <w:r w:rsidR="00120875" w:rsidRPr="00D4640F">
        <w:t>n first line treatment with PD-</w:t>
      </w:r>
      <w:r w:rsidRPr="00D4640F">
        <w:t>1 inhibitors. Th</w:t>
      </w:r>
      <w:r w:rsidR="00041ABB" w:rsidRPr="00D4640F">
        <w:t>e population in the MDX010-020 wa</w:t>
      </w:r>
      <w:r w:rsidRPr="00D4640F">
        <w:t>s not representative of the population who have progressed after first-line PD-L1 inhibitors</w:t>
      </w:r>
      <w:r w:rsidR="00A8451B">
        <w:t>, as none of the patients in MDX010-020 were reported to have received a prior PD-inhibitor</w:t>
      </w:r>
      <w:r w:rsidRPr="00D4640F">
        <w:t xml:space="preserve">. In addition, as the </w:t>
      </w:r>
      <w:r w:rsidR="008D1756">
        <w:t>resubmission</w:t>
      </w:r>
      <w:r w:rsidRPr="00D4640F">
        <w:t xml:space="preserve"> only presented safety outcomes for the ipilimumab monotherapy arm of the trial</w:t>
      </w:r>
      <w:r w:rsidR="00EC5585" w:rsidRPr="00D4640F">
        <w:t>,</w:t>
      </w:r>
      <w:r w:rsidRPr="00D4640F">
        <w:t xml:space="preserve"> these data were essentially non-comparative.</w:t>
      </w:r>
    </w:p>
    <w:p w:rsidR="00762789" w:rsidRPr="00D4640F" w:rsidRDefault="00762789" w:rsidP="00762789">
      <w:pPr>
        <w:rPr>
          <w:szCs w:val="22"/>
        </w:rPr>
      </w:pPr>
    </w:p>
    <w:p w:rsidR="00762789" w:rsidRPr="00D4640F" w:rsidRDefault="00762789" w:rsidP="009E7F9E">
      <w:pPr>
        <w:pStyle w:val="ListParagraph"/>
        <w:widowControl/>
        <w:numPr>
          <w:ilvl w:val="1"/>
          <w:numId w:val="3"/>
        </w:numPr>
        <w:rPr>
          <w:szCs w:val="22"/>
        </w:rPr>
      </w:pPr>
      <w:r w:rsidRPr="00D4640F">
        <w:rPr>
          <w:szCs w:val="22"/>
        </w:rPr>
        <w:t xml:space="preserve">The </w:t>
      </w:r>
      <w:r w:rsidR="008D1756">
        <w:rPr>
          <w:szCs w:val="22"/>
        </w:rPr>
        <w:t>resubmission</w:t>
      </w:r>
      <w:r w:rsidRPr="00D4640F">
        <w:rPr>
          <w:szCs w:val="22"/>
        </w:rPr>
        <w:t xml:space="preserve"> claimed that, although the frequency and severity of AEs with </w:t>
      </w:r>
      <w:r w:rsidR="000B7560" w:rsidRPr="00D4640F">
        <w:rPr>
          <w:szCs w:val="22"/>
        </w:rPr>
        <w:t>NIVO+IPI</w:t>
      </w:r>
      <w:r w:rsidRPr="00D4640F">
        <w:rPr>
          <w:szCs w:val="22"/>
        </w:rPr>
        <w:t xml:space="preserve"> combination were higher than with either </w:t>
      </w:r>
      <w:r w:rsidR="005563BE" w:rsidRPr="00D4640F">
        <w:rPr>
          <w:szCs w:val="22"/>
        </w:rPr>
        <w:t>nivolumab</w:t>
      </w:r>
      <w:r w:rsidRPr="00D4640F">
        <w:rPr>
          <w:szCs w:val="22"/>
        </w:rPr>
        <w:t xml:space="preserve"> or </w:t>
      </w:r>
      <w:r w:rsidR="005563BE" w:rsidRPr="00D4640F">
        <w:rPr>
          <w:szCs w:val="22"/>
        </w:rPr>
        <w:t>ipilimumab</w:t>
      </w:r>
      <w:r w:rsidRPr="00D4640F">
        <w:rPr>
          <w:szCs w:val="22"/>
        </w:rPr>
        <w:t xml:space="preserve"> monotherapy, they were similar when considering the context of the sequence of </w:t>
      </w:r>
      <w:r w:rsidR="005563BE" w:rsidRPr="00D4640F">
        <w:rPr>
          <w:szCs w:val="22"/>
        </w:rPr>
        <w:t>nivolumab</w:t>
      </w:r>
      <w:r w:rsidRPr="00D4640F">
        <w:rPr>
          <w:szCs w:val="22"/>
        </w:rPr>
        <w:t xml:space="preserve"> monotherapy followed by</w:t>
      </w:r>
      <w:r w:rsidR="005563BE" w:rsidRPr="00D4640F">
        <w:rPr>
          <w:szCs w:val="22"/>
        </w:rPr>
        <w:t xml:space="preserve"> ipilimumab</w:t>
      </w:r>
      <w:r w:rsidRPr="00D4640F">
        <w:rPr>
          <w:szCs w:val="22"/>
        </w:rPr>
        <w:t xml:space="preserve"> monotherapy. </w:t>
      </w:r>
      <w:r w:rsidR="0041581D" w:rsidRPr="00D4640F">
        <w:rPr>
          <w:szCs w:val="22"/>
        </w:rPr>
        <w:t>T</w:t>
      </w:r>
      <w:r w:rsidR="00BC7559" w:rsidRPr="00D4640F">
        <w:rPr>
          <w:szCs w:val="22"/>
        </w:rPr>
        <w:t>he s</w:t>
      </w:r>
      <w:r w:rsidR="00FC068B" w:rsidRPr="00D4640F">
        <w:t xml:space="preserve">equential toxicity across two lines of treatment </w:t>
      </w:r>
      <w:r w:rsidR="000A423F" w:rsidRPr="00D4640F">
        <w:t xml:space="preserve">(additive toxicity) </w:t>
      </w:r>
      <w:r w:rsidR="00FC068B" w:rsidRPr="00D4640F">
        <w:t>is not equivalent to the combined toxicity observed when the two treatments are administered concomitantly</w:t>
      </w:r>
      <w:r w:rsidR="000A423F" w:rsidRPr="00D4640F">
        <w:t xml:space="preserve"> (multiplicative toxicity)</w:t>
      </w:r>
      <w:r w:rsidR="00FC068B" w:rsidRPr="00D4640F">
        <w:t>.</w:t>
      </w:r>
    </w:p>
    <w:p w:rsidR="00762789" w:rsidRPr="00D4640F" w:rsidRDefault="00762789" w:rsidP="00762789">
      <w:pPr>
        <w:rPr>
          <w:szCs w:val="22"/>
        </w:rPr>
      </w:pPr>
    </w:p>
    <w:p w:rsidR="00762789" w:rsidRPr="00D4640F" w:rsidRDefault="00762789" w:rsidP="009E7F9E">
      <w:pPr>
        <w:pStyle w:val="ListParagraph"/>
        <w:widowControl/>
        <w:numPr>
          <w:ilvl w:val="1"/>
          <w:numId w:val="3"/>
        </w:numPr>
        <w:rPr>
          <w:szCs w:val="22"/>
        </w:rPr>
      </w:pPr>
      <w:r w:rsidRPr="00D4640F">
        <w:t>The TGA delegate reported that there was a clear signal of a major increase in toxicity with the combined use of PD-1</w:t>
      </w:r>
      <w:r w:rsidR="00CD4719" w:rsidRPr="00D4640F">
        <w:t xml:space="preserve"> inhibitors</w:t>
      </w:r>
      <w:r w:rsidRPr="00D4640F">
        <w:t xml:space="preserve"> and </w:t>
      </w:r>
      <w:r w:rsidR="00CD4719" w:rsidRPr="00D4640F">
        <w:t xml:space="preserve">ipilimumab. </w:t>
      </w:r>
      <w:r w:rsidRPr="00D4640F">
        <w:t>Pneumonitis, hepatitis, hypophysitis and similar potentially fatal AEs were all seen at a much higher frequency than with use of nivolumab or ipilimumab</w:t>
      </w:r>
      <w:r w:rsidR="000A423F" w:rsidRPr="00D4640F">
        <w:t xml:space="preserve"> monotherapy</w:t>
      </w:r>
      <w:r w:rsidRPr="00D4640F">
        <w:t xml:space="preserve">. The delegate also noted the apparent need for intense clinical monitoring to diagnose and manage immune-mediated reactions at an early stage, </w:t>
      </w:r>
      <w:r w:rsidR="000A423F" w:rsidRPr="00D4640F">
        <w:t xml:space="preserve">in order </w:t>
      </w:r>
      <w:r w:rsidRPr="00D4640F">
        <w:t>to maintain the good record of reversibility and absence of fatal adverse drug reactions seen in the key clinical trial for combination therapy.</w:t>
      </w:r>
    </w:p>
    <w:p w:rsidR="00762789" w:rsidRPr="00D4640F" w:rsidRDefault="00762789" w:rsidP="00762789">
      <w:pPr>
        <w:pStyle w:val="ListParagraph"/>
        <w:ind w:left="0"/>
        <w:rPr>
          <w:szCs w:val="22"/>
        </w:rPr>
      </w:pPr>
    </w:p>
    <w:p w:rsidR="00762789" w:rsidRPr="00497F10" w:rsidRDefault="00762789" w:rsidP="00762789">
      <w:pPr>
        <w:pStyle w:val="Heading2"/>
        <w:rPr>
          <w:i/>
          <w:szCs w:val="22"/>
        </w:rPr>
      </w:pPr>
      <w:bookmarkStart w:id="10" w:name="_Toc472416744"/>
      <w:r w:rsidRPr="00497F10">
        <w:rPr>
          <w:i/>
        </w:rPr>
        <w:t>Benefits/harms</w:t>
      </w:r>
      <w:bookmarkEnd w:id="10"/>
    </w:p>
    <w:p w:rsidR="00762789" w:rsidRPr="007F1017" w:rsidRDefault="00762789" w:rsidP="00762789">
      <w:pPr>
        <w:pStyle w:val="ListParagraph"/>
        <w:ind w:left="0"/>
        <w:rPr>
          <w:szCs w:val="22"/>
        </w:rPr>
      </w:pPr>
    </w:p>
    <w:p w:rsidR="00762789" w:rsidRPr="00D4640F" w:rsidRDefault="00762789" w:rsidP="009E7F9E">
      <w:pPr>
        <w:pStyle w:val="ListParagraph"/>
        <w:widowControl/>
        <w:numPr>
          <w:ilvl w:val="1"/>
          <w:numId w:val="3"/>
        </w:numPr>
        <w:rPr>
          <w:szCs w:val="22"/>
        </w:rPr>
      </w:pPr>
      <w:r w:rsidRPr="00D4640F">
        <w:rPr>
          <w:szCs w:val="22"/>
        </w:rPr>
        <w:t xml:space="preserve">A summary of the comparative benefits and harms for NIVO+IPI versus nivolumab monotherapy in treatment naïve patients is presented in the table below. </w:t>
      </w:r>
      <w:r w:rsidR="004C5030" w:rsidRPr="00D4640F">
        <w:rPr>
          <w:szCs w:val="22"/>
        </w:rPr>
        <w:t>No evidence wa</w:t>
      </w:r>
      <w:r w:rsidRPr="00D4640F">
        <w:rPr>
          <w:szCs w:val="22"/>
        </w:rPr>
        <w:t>s provided to support a comparison between NIVO+IPI followed by BSC versus nivolumab monotherapy followed by ipilimumab monotherapy.</w:t>
      </w:r>
    </w:p>
    <w:p w:rsidR="00762789" w:rsidRPr="00D4640F" w:rsidRDefault="00762789" w:rsidP="00762789">
      <w:pPr>
        <w:widowControl/>
        <w:rPr>
          <w:szCs w:val="22"/>
        </w:rPr>
      </w:pPr>
    </w:p>
    <w:p w:rsidR="00762789" w:rsidRPr="00A578DC" w:rsidRDefault="00762789" w:rsidP="00762789">
      <w:pPr>
        <w:pStyle w:val="ListParagraph"/>
        <w:rPr>
          <w:rStyle w:val="CommentReference"/>
        </w:rPr>
      </w:pPr>
      <w:r w:rsidRPr="00A578DC">
        <w:rPr>
          <w:rStyle w:val="CommentReference"/>
        </w:rPr>
        <w:t xml:space="preserve">Table </w:t>
      </w:r>
      <w:r>
        <w:rPr>
          <w:rStyle w:val="CommentReference"/>
        </w:rPr>
        <w:t>7</w:t>
      </w:r>
      <w:r w:rsidRPr="00A578DC">
        <w:rPr>
          <w:rStyle w:val="CommentReference"/>
        </w:rPr>
        <w:t xml:space="preserve">: Summary of comparative benefits and harms for </w:t>
      </w:r>
      <w:r>
        <w:rPr>
          <w:rStyle w:val="CommentReference"/>
        </w:rPr>
        <w:t>NIVO+IPI</w:t>
      </w:r>
      <w:r w:rsidRPr="00A578DC">
        <w:rPr>
          <w:rStyle w:val="CommentReference"/>
        </w:rPr>
        <w:t xml:space="preserve"> and </w:t>
      </w:r>
      <w:r>
        <w:rPr>
          <w:rStyle w:val="CommentReference"/>
        </w:rPr>
        <w:t>nivolumab monotherapy – CA209-067</w:t>
      </w:r>
    </w:p>
    <w:tbl>
      <w:tblPr>
        <w:tblStyle w:val="TableGrid"/>
        <w:tblW w:w="4602" w:type="pct"/>
        <w:tblInd w:w="737" w:type="dxa"/>
        <w:tblLayout w:type="fixed"/>
        <w:tblCellMar>
          <w:left w:w="28" w:type="dxa"/>
          <w:right w:w="28" w:type="dxa"/>
        </w:tblCellMar>
        <w:tblLook w:val="04A0" w:firstRow="1" w:lastRow="0" w:firstColumn="1" w:lastColumn="0" w:noHBand="0" w:noVBand="1"/>
        <w:tblCaption w:val="Table 7: Summary of comparative benefits and harms for NIVO+IPI and nivolumab monotherapy – CA209-067"/>
      </w:tblPr>
      <w:tblGrid>
        <w:gridCol w:w="1397"/>
        <w:gridCol w:w="570"/>
        <w:gridCol w:w="453"/>
        <w:gridCol w:w="1018"/>
        <w:gridCol w:w="125"/>
        <w:gridCol w:w="1242"/>
        <w:gridCol w:w="192"/>
        <w:gridCol w:w="1142"/>
        <w:gridCol w:w="423"/>
        <w:gridCol w:w="662"/>
        <w:gridCol w:w="1128"/>
        <w:gridCol w:w="7"/>
      </w:tblGrid>
      <w:tr w:rsidR="00762789" w:rsidRPr="00E2771E" w:rsidTr="00A439A2">
        <w:trPr>
          <w:gridAfter w:val="1"/>
          <w:wAfter w:w="5" w:type="pct"/>
          <w:tblHeader/>
        </w:trPr>
        <w:tc>
          <w:tcPr>
            <w:tcW w:w="4995" w:type="pct"/>
            <w:gridSpan w:val="11"/>
            <w:shd w:val="clear" w:color="auto" w:fill="auto"/>
            <w:vAlign w:val="center"/>
          </w:tcPr>
          <w:p w:rsidR="00762789" w:rsidRPr="00E2771E" w:rsidRDefault="00DC05DA" w:rsidP="00762789">
            <w:pPr>
              <w:rPr>
                <w:rFonts w:ascii="Arial Narrow" w:hAnsi="Arial Narrow"/>
                <w:b/>
                <w:color w:val="000000"/>
                <w:sz w:val="20"/>
                <w:szCs w:val="18"/>
              </w:rPr>
            </w:pPr>
            <w:r>
              <w:rPr>
                <w:rFonts w:ascii="Arial Narrow" w:hAnsi="Arial Narrow"/>
                <w:b/>
                <w:color w:val="000000"/>
                <w:sz w:val="20"/>
                <w:szCs w:val="18"/>
              </w:rPr>
              <w:t>Benefit</w:t>
            </w:r>
            <w:r w:rsidR="00762789">
              <w:rPr>
                <w:rFonts w:ascii="Arial Narrow" w:hAnsi="Arial Narrow"/>
                <w:b/>
                <w:color w:val="000000"/>
                <w:sz w:val="20"/>
                <w:szCs w:val="18"/>
              </w:rPr>
              <w:t xml:space="preserve"> – PFS</w:t>
            </w:r>
            <w:r w:rsidR="000A423F">
              <w:rPr>
                <w:rFonts w:ascii="Arial Narrow" w:hAnsi="Arial Narrow"/>
                <w:b/>
                <w:color w:val="000000"/>
                <w:sz w:val="20"/>
                <w:szCs w:val="18"/>
              </w:rPr>
              <w:t xml:space="preserve"> (minimum follow-up 28 months)*</w:t>
            </w:r>
          </w:p>
        </w:tc>
      </w:tr>
      <w:tr w:rsidR="00762789" w:rsidRPr="00E2771E" w:rsidTr="000A423F">
        <w:trPr>
          <w:gridAfter w:val="1"/>
          <w:wAfter w:w="5" w:type="pct"/>
        </w:trPr>
        <w:tc>
          <w:tcPr>
            <w:tcW w:w="1176" w:type="pct"/>
            <w:gridSpan w:val="2"/>
            <w:shd w:val="clear" w:color="auto" w:fill="auto"/>
            <w:vAlign w:val="center"/>
          </w:tcPr>
          <w:p w:rsidR="00762789" w:rsidRPr="00E2771E" w:rsidRDefault="00762789" w:rsidP="00762789">
            <w:pPr>
              <w:jc w:val="center"/>
              <w:rPr>
                <w:rFonts w:ascii="Arial Narrow" w:hAnsi="Arial Narrow"/>
                <w:color w:val="000000"/>
                <w:sz w:val="20"/>
                <w:szCs w:val="18"/>
              </w:rPr>
            </w:pPr>
          </w:p>
        </w:tc>
        <w:tc>
          <w:tcPr>
            <w:tcW w:w="880" w:type="pct"/>
            <w:gridSpan w:val="2"/>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NIVO+IPI</w:t>
            </w:r>
          </w:p>
        </w:tc>
        <w:tc>
          <w:tcPr>
            <w:tcW w:w="818" w:type="pct"/>
            <w:gridSpan w:val="2"/>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w:t>
            </w:r>
          </w:p>
        </w:tc>
        <w:tc>
          <w:tcPr>
            <w:tcW w:w="1051" w:type="pct"/>
            <w:gridSpan w:val="3"/>
            <w:vAlign w:val="center"/>
          </w:tcPr>
          <w:p w:rsidR="00762789" w:rsidRPr="00E2771E" w:rsidRDefault="00762789" w:rsidP="00EC5585">
            <w:pPr>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sidR="00EC5585">
              <w:rPr>
                <w:rFonts w:ascii="Arial Narrow" w:hAnsi="Arial Narrow"/>
                <w:b/>
                <w:color w:val="000000"/>
                <w:sz w:val="20"/>
                <w:szCs w:val="18"/>
              </w:rPr>
              <w:t>d</w:t>
            </w:r>
            <w:r w:rsidRPr="00E2771E">
              <w:rPr>
                <w:rFonts w:ascii="Arial Narrow" w:hAnsi="Arial Narrow"/>
                <w:b/>
                <w:color w:val="000000"/>
                <w:sz w:val="20"/>
                <w:szCs w:val="18"/>
              </w:rPr>
              <w:t>ifference</w:t>
            </w:r>
          </w:p>
        </w:tc>
        <w:tc>
          <w:tcPr>
            <w:tcW w:w="1071" w:type="pct"/>
            <w:gridSpan w:val="2"/>
            <w:vAlign w:val="center"/>
          </w:tcPr>
          <w:p w:rsidR="00762789" w:rsidRPr="00E2771E" w:rsidRDefault="00762789" w:rsidP="00762789">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762789" w:rsidRPr="00E2771E" w:rsidTr="000A423F">
        <w:trPr>
          <w:gridAfter w:val="1"/>
          <w:wAfter w:w="5" w:type="pct"/>
        </w:trPr>
        <w:tc>
          <w:tcPr>
            <w:tcW w:w="1176" w:type="pct"/>
            <w:gridSpan w:val="2"/>
            <w:shd w:val="clear" w:color="auto" w:fill="auto"/>
          </w:tcPr>
          <w:p w:rsidR="00762789" w:rsidRPr="00E2771E" w:rsidRDefault="000A423F" w:rsidP="000A423F">
            <w:pPr>
              <w:jc w:val="left"/>
              <w:rPr>
                <w:rFonts w:ascii="Arial Narrow" w:hAnsi="Arial Narrow"/>
                <w:color w:val="000000"/>
                <w:sz w:val="20"/>
                <w:szCs w:val="18"/>
              </w:rPr>
            </w:pPr>
            <w:r>
              <w:rPr>
                <w:rFonts w:ascii="Arial Narrow" w:hAnsi="Arial Narrow"/>
                <w:color w:val="000000"/>
                <w:sz w:val="20"/>
                <w:szCs w:val="18"/>
              </w:rPr>
              <w:t xml:space="preserve">Progressed </w:t>
            </w:r>
          </w:p>
        </w:tc>
        <w:tc>
          <w:tcPr>
            <w:tcW w:w="880" w:type="pct"/>
            <w:gridSpan w:val="2"/>
          </w:tcPr>
          <w:p w:rsidR="00762789" w:rsidRPr="00E2771E" w:rsidRDefault="00762789" w:rsidP="00762789">
            <w:pPr>
              <w:jc w:val="center"/>
              <w:rPr>
                <w:rFonts w:ascii="Arial Narrow" w:hAnsi="Arial Narrow"/>
                <w:sz w:val="20"/>
              </w:rPr>
            </w:pPr>
            <w:r>
              <w:rPr>
                <w:rFonts w:ascii="Arial Narrow" w:hAnsi="Arial Narrow"/>
                <w:sz w:val="20"/>
              </w:rPr>
              <w:t>169</w:t>
            </w:r>
            <w:r w:rsidRPr="00E2771E">
              <w:rPr>
                <w:rFonts w:ascii="Arial Narrow" w:hAnsi="Arial Narrow"/>
                <w:sz w:val="20"/>
              </w:rPr>
              <w:t>/</w:t>
            </w:r>
            <w:r>
              <w:rPr>
                <w:rFonts w:ascii="Arial Narrow" w:hAnsi="Arial Narrow"/>
                <w:sz w:val="20"/>
              </w:rPr>
              <w:t>314</w:t>
            </w:r>
            <w:r w:rsidR="000A423F">
              <w:rPr>
                <w:rFonts w:ascii="Arial Narrow" w:hAnsi="Arial Narrow"/>
                <w:sz w:val="20"/>
              </w:rPr>
              <w:t xml:space="preserve"> (53.8%)</w:t>
            </w:r>
          </w:p>
        </w:tc>
        <w:tc>
          <w:tcPr>
            <w:tcW w:w="818" w:type="pct"/>
            <w:gridSpan w:val="2"/>
          </w:tcPr>
          <w:p w:rsidR="00762789" w:rsidRPr="00E2771E" w:rsidRDefault="00762789" w:rsidP="00762789">
            <w:pPr>
              <w:jc w:val="center"/>
              <w:rPr>
                <w:rFonts w:ascii="Arial Narrow" w:hAnsi="Arial Narrow"/>
                <w:sz w:val="20"/>
              </w:rPr>
            </w:pPr>
            <w:r>
              <w:rPr>
                <w:rFonts w:ascii="Arial Narrow" w:hAnsi="Arial Narrow"/>
                <w:sz w:val="20"/>
              </w:rPr>
              <w:t>195</w:t>
            </w:r>
            <w:r w:rsidRPr="00E2771E">
              <w:rPr>
                <w:rFonts w:ascii="Arial Narrow" w:hAnsi="Arial Narrow"/>
                <w:sz w:val="20"/>
              </w:rPr>
              <w:t>/</w:t>
            </w:r>
            <w:r>
              <w:rPr>
                <w:rFonts w:ascii="Arial Narrow" w:hAnsi="Arial Narrow"/>
                <w:sz w:val="20"/>
              </w:rPr>
              <w:t>316</w:t>
            </w:r>
            <w:r w:rsidRPr="00E2771E">
              <w:rPr>
                <w:rFonts w:ascii="Arial Narrow" w:hAnsi="Arial Narrow"/>
                <w:sz w:val="20"/>
              </w:rPr>
              <w:t xml:space="preserve"> </w:t>
            </w:r>
            <w:r w:rsidR="000A423F">
              <w:rPr>
                <w:rFonts w:ascii="Arial Narrow" w:hAnsi="Arial Narrow"/>
                <w:sz w:val="20"/>
              </w:rPr>
              <w:t>(61.7%)</w:t>
            </w:r>
          </w:p>
        </w:tc>
        <w:tc>
          <w:tcPr>
            <w:tcW w:w="1051" w:type="pct"/>
            <w:gridSpan w:val="3"/>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p>
        </w:tc>
        <w:tc>
          <w:tcPr>
            <w:tcW w:w="1071"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sz w:val="20"/>
              </w:rPr>
              <w:t>0.76 (0.62, 0.94)</w:t>
            </w:r>
          </w:p>
        </w:tc>
      </w:tr>
      <w:tr w:rsidR="00762789" w:rsidRPr="00E2771E" w:rsidTr="000A423F">
        <w:trPr>
          <w:gridAfter w:val="1"/>
          <w:wAfter w:w="5" w:type="pct"/>
        </w:trPr>
        <w:tc>
          <w:tcPr>
            <w:tcW w:w="1176" w:type="pct"/>
            <w:gridSpan w:val="2"/>
            <w:shd w:val="clear" w:color="auto" w:fill="auto"/>
            <w:vAlign w:val="center"/>
          </w:tcPr>
          <w:p w:rsidR="00762789" w:rsidRPr="00E2771E" w:rsidRDefault="00762789" w:rsidP="00762789">
            <w:pPr>
              <w:rPr>
                <w:rFonts w:ascii="Arial Narrow" w:hAnsi="Arial Narrow"/>
                <w:color w:val="000000"/>
                <w:sz w:val="20"/>
                <w:szCs w:val="18"/>
              </w:rPr>
            </w:pPr>
            <w:r w:rsidRPr="00E2771E">
              <w:rPr>
                <w:rFonts w:ascii="Arial Narrow" w:hAnsi="Arial Narrow"/>
                <w:color w:val="000000"/>
                <w:sz w:val="20"/>
                <w:szCs w:val="18"/>
              </w:rPr>
              <w:t xml:space="preserve">Median </w:t>
            </w:r>
            <w:r>
              <w:rPr>
                <w:rFonts w:ascii="Arial Narrow" w:hAnsi="Arial Narrow"/>
                <w:color w:val="000000"/>
                <w:sz w:val="20"/>
                <w:szCs w:val="18"/>
              </w:rPr>
              <w:t xml:space="preserve">PFS </w:t>
            </w:r>
            <w:r w:rsidRPr="00E2771E">
              <w:rPr>
                <w:rFonts w:ascii="Arial Narrow" w:hAnsi="Arial Narrow"/>
                <w:color w:val="000000"/>
                <w:sz w:val="20"/>
                <w:szCs w:val="18"/>
              </w:rPr>
              <w:t>(m</w:t>
            </w:r>
            <w:r w:rsidR="00EC5585">
              <w:rPr>
                <w:rFonts w:ascii="Arial Narrow" w:hAnsi="Arial Narrow"/>
                <w:color w:val="000000"/>
                <w:sz w:val="20"/>
                <w:szCs w:val="18"/>
              </w:rPr>
              <w:t>on</w:t>
            </w:r>
            <w:r w:rsidRPr="00E2771E">
              <w:rPr>
                <w:rFonts w:ascii="Arial Narrow" w:hAnsi="Arial Narrow"/>
                <w:color w:val="000000"/>
                <w:sz w:val="20"/>
                <w:szCs w:val="18"/>
              </w:rPr>
              <w:t>ths)</w:t>
            </w:r>
          </w:p>
        </w:tc>
        <w:tc>
          <w:tcPr>
            <w:tcW w:w="880" w:type="pct"/>
            <w:gridSpan w:val="2"/>
          </w:tcPr>
          <w:p w:rsidR="00762789" w:rsidRPr="00E2771E" w:rsidRDefault="00762789" w:rsidP="00762789">
            <w:pPr>
              <w:jc w:val="center"/>
              <w:rPr>
                <w:rFonts w:ascii="Arial Narrow" w:hAnsi="Arial Narrow"/>
                <w:sz w:val="20"/>
              </w:rPr>
            </w:pPr>
            <w:r>
              <w:rPr>
                <w:rFonts w:ascii="Arial Narrow" w:hAnsi="Arial Narrow"/>
                <w:sz w:val="20"/>
              </w:rPr>
              <w:t>11.7 (8.9, 21.9)</w:t>
            </w:r>
          </w:p>
        </w:tc>
        <w:tc>
          <w:tcPr>
            <w:tcW w:w="818" w:type="pct"/>
            <w:gridSpan w:val="2"/>
          </w:tcPr>
          <w:p w:rsidR="00762789" w:rsidRPr="00E2771E" w:rsidRDefault="00762789" w:rsidP="00762789">
            <w:pPr>
              <w:jc w:val="center"/>
              <w:rPr>
                <w:rFonts w:ascii="Arial Narrow" w:hAnsi="Arial Narrow"/>
                <w:sz w:val="20"/>
              </w:rPr>
            </w:pPr>
            <w:r>
              <w:rPr>
                <w:rFonts w:ascii="Arial Narrow" w:hAnsi="Arial Narrow"/>
                <w:sz w:val="20"/>
              </w:rPr>
              <w:t>6.9 (4.3, 9.5)</w:t>
            </w:r>
          </w:p>
        </w:tc>
        <w:tc>
          <w:tcPr>
            <w:tcW w:w="1051" w:type="pct"/>
            <w:gridSpan w:val="3"/>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4.8</w:t>
            </w:r>
          </w:p>
        </w:tc>
        <w:tc>
          <w:tcPr>
            <w:tcW w:w="1071" w:type="pct"/>
            <w:gridSpan w:val="2"/>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p>
        </w:tc>
      </w:tr>
      <w:tr w:rsidR="00762789" w:rsidRPr="00E2771E" w:rsidTr="000A423F">
        <w:trPr>
          <w:gridAfter w:val="1"/>
          <w:wAfter w:w="5" w:type="pct"/>
        </w:trPr>
        <w:tc>
          <w:tcPr>
            <w:tcW w:w="4995" w:type="pct"/>
            <w:gridSpan w:val="11"/>
            <w:shd w:val="clear" w:color="auto" w:fill="auto"/>
            <w:vAlign w:val="center"/>
          </w:tcPr>
          <w:p w:rsidR="00762789" w:rsidRPr="00E2771E" w:rsidRDefault="00762789" w:rsidP="00762789">
            <w:pPr>
              <w:rPr>
                <w:rFonts w:ascii="Arial Narrow" w:hAnsi="Arial Narrow"/>
                <w:b/>
                <w:color w:val="000000"/>
                <w:sz w:val="20"/>
                <w:szCs w:val="18"/>
              </w:rPr>
            </w:pPr>
            <w:r>
              <w:rPr>
                <w:rFonts w:ascii="Arial Narrow" w:hAnsi="Arial Narrow"/>
                <w:b/>
                <w:color w:val="000000"/>
                <w:sz w:val="20"/>
                <w:szCs w:val="18"/>
              </w:rPr>
              <w:t xml:space="preserve">Benefit – OS </w:t>
            </w:r>
            <w:r w:rsidR="000A423F">
              <w:rPr>
                <w:rFonts w:ascii="Arial Narrow" w:hAnsi="Arial Narrow"/>
                <w:b/>
                <w:color w:val="000000"/>
                <w:sz w:val="20"/>
                <w:szCs w:val="18"/>
              </w:rPr>
              <w:t>(minimum follow-up 28 months)*</w:t>
            </w:r>
          </w:p>
        </w:tc>
      </w:tr>
      <w:tr w:rsidR="00762789" w:rsidRPr="00E2771E" w:rsidTr="000A423F">
        <w:trPr>
          <w:gridAfter w:val="1"/>
          <w:wAfter w:w="5" w:type="pct"/>
        </w:trPr>
        <w:tc>
          <w:tcPr>
            <w:tcW w:w="1176" w:type="pct"/>
            <w:gridSpan w:val="2"/>
            <w:shd w:val="clear" w:color="auto" w:fill="auto"/>
          </w:tcPr>
          <w:p w:rsidR="00762789" w:rsidRPr="00E2771E" w:rsidRDefault="00762789" w:rsidP="000A423F">
            <w:pPr>
              <w:jc w:val="left"/>
              <w:rPr>
                <w:rFonts w:ascii="Arial Narrow" w:hAnsi="Arial Narrow"/>
                <w:color w:val="000000"/>
                <w:sz w:val="20"/>
                <w:szCs w:val="18"/>
              </w:rPr>
            </w:pPr>
            <w:r>
              <w:rPr>
                <w:rFonts w:ascii="Arial Narrow" w:hAnsi="Arial Narrow"/>
                <w:color w:val="000000"/>
                <w:sz w:val="20"/>
                <w:szCs w:val="18"/>
              </w:rPr>
              <w:t>Death</w:t>
            </w:r>
            <w:r w:rsidR="000A423F">
              <w:rPr>
                <w:rFonts w:ascii="Arial Narrow" w:hAnsi="Arial Narrow"/>
                <w:color w:val="000000"/>
                <w:sz w:val="20"/>
                <w:szCs w:val="18"/>
              </w:rPr>
              <w:t xml:space="preserve"> </w:t>
            </w:r>
          </w:p>
        </w:tc>
        <w:tc>
          <w:tcPr>
            <w:tcW w:w="880" w:type="pct"/>
            <w:gridSpan w:val="2"/>
          </w:tcPr>
          <w:p w:rsidR="00762789" w:rsidRPr="00E2771E" w:rsidRDefault="00762789" w:rsidP="00762789">
            <w:pPr>
              <w:jc w:val="center"/>
              <w:rPr>
                <w:rFonts w:ascii="Arial Narrow" w:hAnsi="Arial Narrow"/>
                <w:sz w:val="20"/>
              </w:rPr>
            </w:pPr>
            <w:r>
              <w:rPr>
                <w:rFonts w:ascii="Arial Narrow" w:hAnsi="Arial Narrow"/>
                <w:sz w:val="20"/>
              </w:rPr>
              <w:t>128</w:t>
            </w:r>
            <w:r w:rsidRPr="00E2771E">
              <w:rPr>
                <w:rFonts w:ascii="Arial Narrow" w:hAnsi="Arial Narrow"/>
                <w:sz w:val="20"/>
              </w:rPr>
              <w:t>/</w:t>
            </w:r>
            <w:r>
              <w:rPr>
                <w:rFonts w:ascii="Arial Narrow" w:hAnsi="Arial Narrow"/>
                <w:sz w:val="20"/>
              </w:rPr>
              <w:t>314</w:t>
            </w:r>
            <w:r w:rsidR="000A423F">
              <w:rPr>
                <w:rFonts w:ascii="Arial Narrow" w:hAnsi="Arial Narrow"/>
                <w:sz w:val="20"/>
              </w:rPr>
              <w:t xml:space="preserve"> (40.8%)</w:t>
            </w:r>
          </w:p>
        </w:tc>
        <w:tc>
          <w:tcPr>
            <w:tcW w:w="818" w:type="pct"/>
            <w:gridSpan w:val="2"/>
          </w:tcPr>
          <w:p w:rsidR="00762789" w:rsidRPr="00E2771E" w:rsidRDefault="00762789" w:rsidP="00762789">
            <w:pPr>
              <w:jc w:val="center"/>
              <w:rPr>
                <w:rFonts w:ascii="Arial Narrow" w:hAnsi="Arial Narrow"/>
                <w:sz w:val="20"/>
              </w:rPr>
            </w:pPr>
            <w:r>
              <w:rPr>
                <w:rFonts w:ascii="Arial Narrow" w:hAnsi="Arial Narrow"/>
                <w:sz w:val="20"/>
              </w:rPr>
              <w:t>142</w:t>
            </w:r>
            <w:r w:rsidRPr="00E2771E">
              <w:rPr>
                <w:rFonts w:ascii="Arial Narrow" w:hAnsi="Arial Narrow"/>
                <w:sz w:val="20"/>
              </w:rPr>
              <w:t>/</w:t>
            </w:r>
            <w:r>
              <w:rPr>
                <w:rFonts w:ascii="Arial Narrow" w:hAnsi="Arial Narrow"/>
                <w:sz w:val="20"/>
              </w:rPr>
              <w:t>316</w:t>
            </w:r>
            <w:r w:rsidRPr="00E2771E">
              <w:rPr>
                <w:rFonts w:ascii="Arial Narrow" w:hAnsi="Arial Narrow"/>
                <w:sz w:val="20"/>
              </w:rPr>
              <w:t xml:space="preserve"> </w:t>
            </w:r>
            <w:r w:rsidR="000A423F">
              <w:rPr>
                <w:rFonts w:ascii="Arial Narrow" w:hAnsi="Arial Narrow"/>
                <w:sz w:val="20"/>
              </w:rPr>
              <w:t>(44.9%)</w:t>
            </w:r>
          </w:p>
        </w:tc>
        <w:tc>
          <w:tcPr>
            <w:tcW w:w="1051" w:type="pct"/>
            <w:gridSpan w:val="3"/>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p>
        </w:tc>
        <w:tc>
          <w:tcPr>
            <w:tcW w:w="1071"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sz w:val="20"/>
              </w:rPr>
              <w:t>0.88 (0.69, 1.12)</w:t>
            </w:r>
          </w:p>
        </w:tc>
      </w:tr>
      <w:tr w:rsidR="00762789" w:rsidRPr="00E2771E" w:rsidTr="000A423F">
        <w:trPr>
          <w:gridAfter w:val="1"/>
          <w:wAfter w:w="5" w:type="pct"/>
        </w:trPr>
        <w:tc>
          <w:tcPr>
            <w:tcW w:w="1176" w:type="pct"/>
            <w:gridSpan w:val="2"/>
            <w:shd w:val="clear" w:color="auto" w:fill="auto"/>
            <w:vAlign w:val="center"/>
          </w:tcPr>
          <w:p w:rsidR="00762789" w:rsidRPr="00E2771E" w:rsidRDefault="00762789" w:rsidP="00762789">
            <w:pPr>
              <w:rPr>
                <w:rFonts w:ascii="Arial Narrow" w:hAnsi="Arial Narrow"/>
                <w:color w:val="000000"/>
                <w:sz w:val="20"/>
                <w:szCs w:val="18"/>
              </w:rPr>
            </w:pPr>
            <w:r w:rsidRPr="00E2771E">
              <w:rPr>
                <w:rFonts w:ascii="Arial Narrow" w:hAnsi="Arial Narrow"/>
                <w:color w:val="000000"/>
                <w:sz w:val="20"/>
                <w:szCs w:val="18"/>
              </w:rPr>
              <w:t xml:space="preserve">Median </w:t>
            </w:r>
            <w:r>
              <w:rPr>
                <w:rFonts w:ascii="Arial Narrow" w:hAnsi="Arial Narrow"/>
                <w:color w:val="000000"/>
                <w:sz w:val="20"/>
                <w:szCs w:val="18"/>
              </w:rPr>
              <w:t xml:space="preserve">OS </w:t>
            </w:r>
            <w:r w:rsidRPr="00E2771E">
              <w:rPr>
                <w:rFonts w:ascii="Arial Narrow" w:hAnsi="Arial Narrow"/>
                <w:color w:val="000000"/>
                <w:sz w:val="20"/>
                <w:szCs w:val="18"/>
              </w:rPr>
              <w:t>(m</w:t>
            </w:r>
            <w:r w:rsidR="00EC5585">
              <w:rPr>
                <w:rFonts w:ascii="Arial Narrow" w:hAnsi="Arial Narrow"/>
                <w:color w:val="000000"/>
                <w:sz w:val="20"/>
                <w:szCs w:val="18"/>
              </w:rPr>
              <w:t>on</w:t>
            </w:r>
            <w:r w:rsidRPr="00E2771E">
              <w:rPr>
                <w:rFonts w:ascii="Arial Narrow" w:hAnsi="Arial Narrow"/>
                <w:color w:val="000000"/>
                <w:sz w:val="20"/>
                <w:szCs w:val="18"/>
              </w:rPr>
              <w:t>ths)</w:t>
            </w:r>
          </w:p>
        </w:tc>
        <w:tc>
          <w:tcPr>
            <w:tcW w:w="880" w:type="pct"/>
            <w:gridSpan w:val="2"/>
          </w:tcPr>
          <w:p w:rsidR="00762789" w:rsidRPr="00E2771E" w:rsidRDefault="00762789" w:rsidP="00762789">
            <w:pPr>
              <w:jc w:val="center"/>
              <w:rPr>
                <w:rFonts w:ascii="Arial Narrow" w:hAnsi="Arial Narrow"/>
                <w:sz w:val="20"/>
              </w:rPr>
            </w:pPr>
            <w:r>
              <w:rPr>
                <w:rFonts w:ascii="Arial Narrow" w:hAnsi="Arial Narrow"/>
                <w:sz w:val="20"/>
              </w:rPr>
              <w:t>NA</w:t>
            </w:r>
          </w:p>
        </w:tc>
        <w:tc>
          <w:tcPr>
            <w:tcW w:w="818" w:type="pct"/>
            <w:gridSpan w:val="2"/>
          </w:tcPr>
          <w:p w:rsidR="00762789" w:rsidRPr="00E2771E" w:rsidRDefault="00762789" w:rsidP="00762789">
            <w:pPr>
              <w:jc w:val="center"/>
              <w:rPr>
                <w:rFonts w:ascii="Arial Narrow" w:hAnsi="Arial Narrow"/>
                <w:sz w:val="20"/>
              </w:rPr>
            </w:pPr>
            <w:r>
              <w:rPr>
                <w:rFonts w:ascii="Arial Narrow" w:hAnsi="Arial Narrow"/>
                <w:sz w:val="20"/>
              </w:rPr>
              <w:t>NA (29.1, NA)</w:t>
            </w:r>
          </w:p>
        </w:tc>
        <w:tc>
          <w:tcPr>
            <w:tcW w:w="1051" w:type="pct"/>
            <w:gridSpan w:val="3"/>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w:t>
            </w:r>
          </w:p>
        </w:tc>
        <w:tc>
          <w:tcPr>
            <w:tcW w:w="1071" w:type="pct"/>
            <w:gridSpan w:val="2"/>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p>
        </w:tc>
      </w:tr>
      <w:tr w:rsidR="00762789" w:rsidRPr="00E2771E" w:rsidTr="000A423F">
        <w:trPr>
          <w:gridAfter w:val="1"/>
          <w:wAfter w:w="5" w:type="pct"/>
        </w:trPr>
        <w:tc>
          <w:tcPr>
            <w:tcW w:w="4995" w:type="pct"/>
            <w:gridSpan w:val="11"/>
            <w:tcBorders>
              <w:top w:val="double" w:sz="4" w:space="0" w:color="auto"/>
            </w:tcBorders>
            <w:shd w:val="clear" w:color="auto" w:fill="auto"/>
            <w:vAlign w:val="center"/>
          </w:tcPr>
          <w:p w:rsidR="00762789" w:rsidRPr="00E2771E" w:rsidRDefault="00EC5585" w:rsidP="002B1FF5">
            <w:pPr>
              <w:rPr>
                <w:rFonts w:ascii="Arial Narrow" w:hAnsi="Arial Narrow"/>
                <w:b/>
                <w:color w:val="000000"/>
                <w:sz w:val="20"/>
                <w:szCs w:val="18"/>
              </w:rPr>
            </w:pPr>
            <w:r>
              <w:rPr>
                <w:rFonts w:ascii="Arial Narrow" w:hAnsi="Arial Narrow"/>
                <w:b/>
                <w:color w:val="000000"/>
                <w:sz w:val="20"/>
                <w:szCs w:val="18"/>
              </w:rPr>
              <w:t>Harms</w:t>
            </w:r>
          </w:p>
        </w:tc>
      </w:tr>
      <w:tr w:rsidR="00762789" w:rsidRPr="00E2771E" w:rsidTr="000A423F">
        <w:trPr>
          <w:trHeight w:val="70"/>
        </w:trPr>
        <w:tc>
          <w:tcPr>
            <w:tcW w:w="835" w:type="pct"/>
            <w:vMerge w:val="restart"/>
            <w:shd w:val="clear" w:color="auto" w:fill="auto"/>
            <w:vAlign w:val="center"/>
          </w:tcPr>
          <w:p w:rsidR="00762789" w:rsidRPr="00E2771E" w:rsidRDefault="00762789" w:rsidP="00762789">
            <w:pPr>
              <w:rPr>
                <w:rFonts w:ascii="Arial Narrow" w:hAnsi="Arial Narrow"/>
                <w:b/>
                <w:color w:val="000000"/>
                <w:sz w:val="20"/>
                <w:szCs w:val="18"/>
              </w:rPr>
            </w:pPr>
          </w:p>
        </w:tc>
        <w:tc>
          <w:tcPr>
            <w:tcW w:w="612" w:type="pct"/>
            <w:gridSpan w:val="2"/>
            <w:vMerge w:val="restart"/>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NIVO+IPI</w:t>
            </w:r>
          </w:p>
        </w:tc>
        <w:tc>
          <w:tcPr>
            <w:tcW w:w="684" w:type="pct"/>
            <w:gridSpan w:val="2"/>
            <w:vMerge w:val="restart"/>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w:t>
            </w:r>
          </w:p>
        </w:tc>
        <w:tc>
          <w:tcPr>
            <w:tcW w:w="858" w:type="pct"/>
            <w:gridSpan w:val="2"/>
            <w:vMerge w:val="restart"/>
            <w:vAlign w:val="center"/>
          </w:tcPr>
          <w:p w:rsidR="00762789" w:rsidRPr="00E2771E" w:rsidRDefault="00762789" w:rsidP="00762789">
            <w:pPr>
              <w:jc w:val="center"/>
              <w:rPr>
                <w:rFonts w:ascii="Arial Narrow" w:hAnsi="Arial Narrow"/>
                <w:b/>
                <w:color w:val="000000"/>
                <w:sz w:val="20"/>
                <w:szCs w:val="18"/>
              </w:rPr>
            </w:pPr>
            <w:r w:rsidRPr="00E2771E">
              <w:rPr>
                <w:rFonts w:ascii="Arial Narrow" w:hAnsi="Arial Narrow"/>
                <w:b/>
                <w:color w:val="000000"/>
                <w:sz w:val="20"/>
                <w:szCs w:val="18"/>
              </w:rPr>
              <w:t>RR</w:t>
            </w:r>
          </w:p>
          <w:p w:rsidR="00762789" w:rsidRPr="00E2771E" w:rsidRDefault="00762789" w:rsidP="00762789">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32" w:type="pct"/>
            <w:gridSpan w:val="3"/>
            <w:vAlign w:val="center"/>
          </w:tcPr>
          <w:p w:rsidR="00762789" w:rsidRPr="00E2771E" w:rsidRDefault="00762789" w:rsidP="00197AA2">
            <w:pPr>
              <w:jc w:val="center"/>
              <w:rPr>
                <w:rFonts w:ascii="Arial Narrow" w:hAnsi="Arial Narrow"/>
                <w:b/>
                <w:color w:val="000000"/>
                <w:sz w:val="20"/>
                <w:szCs w:val="18"/>
              </w:rPr>
            </w:pPr>
            <w:r w:rsidRPr="00E2771E">
              <w:rPr>
                <w:rFonts w:ascii="Arial Narrow" w:hAnsi="Arial Narrow"/>
                <w:b/>
                <w:color w:val="000000"/>
                <w:sz w:val="20"/>
                <w:szCs w:val="18"/>
              </w:rPr>
              <w:t>Event rate/100 patients*</w:t>
            </w:r>
            <w:r>
              <w:rPr>
                <w:rFonts w:ascii="Arial Narrow" w:hAnsi="Arial Narrow"/>
                <w:b/>
                <w:color w:val="000000"/>
                <w:sz w:val="20"/>
                <w:szCs w:val="18"/>
              </w:rPr>
              <w:t>*</w:t>
            </w:r>
          </w:p>
        </w:tc>
        <w:tc>
          <w:tcPr>
            <w:tcW w:w="680" w:type="pct"/>
            <w:gridSpan w:val="2"/>
            <w:vMerge w:val="restart"/>
            <w:vAlign w:val="center"/>
          </w:tcPr>
          <w:p w:rsidR="00762789" w:rsidRPr="00E2771E" w:rsidRDefault="00762789" w:rsidP="00762789">
            <w:pPr>
              <w:jc w:val="center"/>
              <w:rPr>
                <w:rFonts w:ascii="Arial Narrow" w:hAnsi="Arial Narrow"/>
                <w:b/>
                <w:color w:val="000000"/>
                <w:sz w:val="20"/>
                <w:szCs w:val="18"/>
              </w:rPr>
            </w:pPr>
            <w:r w:rsidRPr="00E2771E">
              <w:rPr>
                <w:rFonts w:ascii="Arial Narrow" w:hAnsi="Arial Narrow"/>
                <w:b/>
                <w:color w:val="000000"/>
                <w:sz w:val="20"/>
                <w:szCs w:val="18"/>
              </w:rPr>
              <w:t>RD</w:t>
            </w:r>
          </w:p>
          <w:p w:rsidR="00762789" w:rsidRPr="00E2771E" w:rsidRDefault="00762789" w:rsidP="00762789">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762789" w:rsidRPr="00E2771E" w:rsidTr="00EC5585">
        <w:trPr>
          <w:trHeight w:val="189"/>
        </w:trPr>
        <w:tc>
          <w:tcPr>
            <w:tcW w:w="835" w:type="pct"/>
            <w:vMerge/>
            <w:shd w:val="clear" w:color="auto" w:fill="auto"/>
            <w:vAlign w:val="center"/>
          </w:tcPr>
          <w:p w:rsidR="00762789" w:rsidRPr="00E2771E" w:rsidRDefault="00762789" w:rsidP="00762789">
            <w:pPr>
              <w:rPr>
                <w:rFonts w:ascii="Arial Narrow" w:hAnsi="Arial Narrow"/>
                <w:b/>
                <w:color w:val="000000"/>
                <w:sz w:val="20"/>
                <w:szCs w:val="18"/>
              </w:rPr>
            </w:pPr>
          </w:p>
        </w:tc>
        <w:tc>
          <w:tcPr>
            <w:tcW w:w="612" w:type="pct"/>
            <w:gridSpan w:val="2"/>
            <w:vMerge/>
            <w:vAlign w:val="center"/>
          </w:tcPr>
          <w:p w:rsidR="00762789" w:rsidRPr="00E2771E" w:rsidRDefault="00762789" w:rsidP="00762789">
            <w:pPr>
              <w:jc w:val="center"/>
              <w:rPr>
                <w:rFonts w:ascii="Arial Narrow" w:hAnsi="Arial Narrow"/>
                <w:b/>
                <w:color w:val="000000"/>
                <w:sz w:val="20"/>
                <w:szCs w:val="18"/>
              </w:rPr>
            </w:pPr>
          </w:p>
        </w:tc>
        <w:tc>
          <w:tcPr>
            <w:tcW w:w="684" w:type="pct"/>
            <w:gridSpan w:val="2"/>
            <w:vMerge/>
            <w:vAlign w:val="center"/>
          </w:tcPr>
          <w:p w:rsidR="00762789" w:rsidRPr="00E2771E" w:rsidRDefault="00762789" w:rsidP="00762789">
            <w:pPr>
              <w:jc w:val="center"/>
              <w:rPr>
                <w:rFonts w:ascii="Arial Narrow" w:hAnsi="Arial Narrow"/>
                <w:b/>
                <w:color w:val="000000"/>
                <w:sz w:val="20"/>
                <w:szCs w:val="18"/>
              </w:rPr>
            </w:pPr>
          </w:p>
        </w:tc>
        <w:tc>
          <w:tcPr>
            <w:tcW w:w="858" w:type="pct"/>
            <w:gridSpan w:val="2"/>
            <w:vMerge/>
            <w:vAlign w:val="center"/>
          </w:tcPr>
          <w:p w:rsidR="00762789" w:rsidRPr="00E2771E" w:rsidRDefault="00762789" w:rsidP="00762789">
            <w:pPr>
              <w:jc w:val="center"/>
              <w:rPr>
                <w:rFonts w:ascii="Arial Narrow" w:hAnsi="Arial Narrow"/>
                <w:b/>
                <w:color w:val="000000"/>
                <w:sz w:val="20"/>
                <w:szCs w:val="18"/>
              </w:rPr>
            </w:pPr>
          </w:p>
        </w:tc>
        <w:tc>
          <w:tcPr>
            <w:tcW w:w="683" w:type="pct"/>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NIVO+IPI</w:t>
            </w:r>
          </w:p>
        </w:tc>
        <w:tc>
          <w:tcPr>
            <w:tcW w:w="649" w:type="pct"/>
            <w:gridSpan w:val="2"/>
            <w:vAlign w:val="center"/>
          </w:tcPr>
          <w:p w:rsidR="00762789" w:rsidRPr="00E2771E" w:rsidRDefault="00762789" w:rsidP="00762789">
            <w:pPr>
              <w:jc w:val="center"/>
              <w:rPr>
                <w:rFonts w:ascii="Arial Narrow" w:hAnsi="Arial Narrow"/>
                <w:b/>
                <w:color w:val="000000"/>
                <w:sz w:val="20"/>
                <w:szCs w:val="18"/>
              </w:rPr>
            </w:pPr>
            <w:r>
              <w:rPr>
                <w:rFonts w:ascii="Arial Narrow" w:hAnsi="Arial Narrow"/>
                <w:b/>
                <w:color w:val="000000"/>
                <w:sz w:val="20"/>
                <w:szCs w:val="18"/>
              </w:rPr>
              <w:t>NIVO</w:t>
            </w:r>
          </w:p>
        </w:tc>
        <w:tc>
          <w:tcPr>
            <w:tcW w:w="680" w:type="pct"/>
            <w:gridSpan w:val="2"/>
            <w:vMerge/>
            <w:vAlign w:val="center"/>
          </w:tcPr>
          <w:p w:rsidR="00762789" w:rsidRPr="00E2771E" w:rsidRDefault="00762789" w:rsidP="00762789">
            <w:pPr>
              <w:jc w:val="center"/>
              <w:rPr>
                <w:rFonts w:ascii="Arial Narrow" w:hAnsi="Arial Narrow"/>
                <w:b/>
                <w:color w:val="000000"/>
                <w:sz w:val="20"/>
                <w:szCs w:val="18"/>
              </w:rPr>
            </w:pPr>
          </w:p>
        </w:tc>
      </w:tr>
      <w:tr w:rsidR="00762789" w:rsidRPr="00E2771E" w:rsidTr="000A423F">
        <w:trPr>
          <w:gridAfter w:val="1"/>
          <w:wAfter w:w="5" w:type="pct"/>
        </w:trPr>
        <w:tc>
          <w:tcPr>
            <w:tcW w:w="4995" w:type="pct"/>
            <w:gridSpan w:val="11"/>
            <w:shd w:val="clear" w:color="auto" w:fill="auto"/>
            <w:vAlign w:val="center"/>
          </w:tcPr>
          <w:p w:rsidR="00762789" w:rsidRPr="00E2771E" w:rsidRDefault="000A423F" w:rsidP="00762789">
            <w:pPr>
              <w:rPr>
                <w:rFonts w:ascii="Arial Narrow" w:hAnsi="Arial Narrow"/>
                <w:b/>
                <w:color w:val="000000"/>
                <w:sz w:val="20"/>
                <w:szCs w:val="18"/>
              </w:rPr>
            </w:pPr>
            <w:r>
              <w:rPr>
                <w:rFonts w:ascii="Arial Narrow" w:hAnsi="Arial Narrow"/>
                <w:b/>
                <w:color w:val="000000"/>
                <w:sz w:val="20"/>
                <w:szCs w:val="18"/>
              </w:rPr>
              <w:t>Study-drug related AEs</w:t>
            </w:r>
            <w:r w:rsidR="002B1FF5">
              <w:rPr>
                <w:rFonts w:ascii="Arial Narrow" w:hAnsi="Arial Narrow"/>
                <w:b/>
                <w:color w:val="000000"/>
                <w:sz w:val="20"/>
                <w:szCs w:val="18"/>
              </w:rPr>
              <w:t xml:space="preserve"> (minimum follow-up 9 months)**</w:t>
            </w:r>
          </w:p>
        </w:tc>
      </w:tr>
      <w:tr w:rsidR="00762789" w:rsidRPr="00E2771E" w:rsidTr="000A423F">
        <w:tc>
          <w:tcPr>
            <w:tcW w:w="835" w:type="pct"/>
            <w:shd w:val="clear" w:color="auto" w:fill="auto"/>
          </w:tcPr>
          <w:p w:rsidR="00762789" w:rsidRPr="00E2771E" w:rsidRDefault="00762789" w:rsidP="000A423F">
            <w:pPr>
              <w:jc w:val="left"/>
              <w:rPr>
                <w:rFonts w:ascii="Arial Narrow" w:hAnsi="Arial Narrow"/>
                <w:color w:val="000000"/>
                <w:sz w:val="20"/>
                <w:szCs w:val="18"/>
              </w:rPr>
            </w:pPr>
            <w:r>
              <w:rPr>
                <w:rFonts w:ascii="Arial Narrow" w:hAnsi="Arial Narrow"/>
                <w:color w:val="000000"/>
                <w:sz w:val="20"/>
                <w:szCs w:val="18"/>
              </w:rPr>
              <w:t>Any severe AE (Grade ≥ 3)</w:t>
            </w:r>
          </w:p>
        </w:tc>
        <w:tc>
          <w:tcPr>
            <w:tcW w:w="612"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172</w:t>
            </w:r>
            <w:r w:rsidRPr="00E2771E">
              <w:rPr>
                <w:rFonts w:ascii="Arial Narrow" w:hAnsi="Arial Narrow"/>
                <w:color w:val="000000"/>
                <w:sz w:val="20"/>
                <w:szCs w:val="18"/>
              </w:rPr>
              <w:t>/</w:t>
            </w:r>
            <w:r>
              <w:rPr>
                <w:rFonts w:ascii="Arial Narrow" w:hAnsi="Arial Narrow"/>
                <w:color w:val="000000"/>
                <w:sz w:val="20"/>
                <w:szCs w:val="18"/>
              </w:rPr>
              <w:t>313</w:t>
            </w:r>
            <w:r w:rsidR="00DC05DA">
              <w:rPr>
                <w:rFonts w:ascii="Arial Narrow" w:hAnsi="Arial Narrow"/>
                <w:color w:val="000000"/>
                <w:sz w:val="20"/>
                <w:szCs w:val="18"/>
              </w:rPr>
              <w:t xml:space="preserve"> (55.0%)</w:t>
            </w:r>
          </w:p>
        </w:tc>
        <w:tc>
          <w:tcPr>
            <w:tcW w:w="684" w:type="pct"/>
            <w:gridSpan w:val="2"/>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5</w:t>
            </w:r>
            <w:r>
              <w:rPr>
                <w:rFonts w:ascii="Arial Narrow" w:hAnsi="Arial Narrow"/>
                <w:color w:val="000000"/>
                <w:sz w:val="20"/>
                <w:szCs w:val="18"/>
              </w:rPr>
              <w:t>1</w:t>
            </w:r>
            <w:r w:rsidRPr="00E2771E">
              <w:rPr>
                <w:rFonts w:ascii="Arial Narrow" w:hAnsi="Arial Narrow"/>
                <w:color w:val="000000"/>
                <w:sz w:val="20"/>
                <w:szCs w:val="18"/>
              </w:rPr>
              <w:t>/</w:t>
            </w:r>
            <w:r>
              <w:rPr>
                <w:rFonts w:ascii="Arial Narrow" w:hAnsi="Arial Narrow"/>
                <w:color w:val="000000"/>
                <w:sz w:val="20"/>
                <w:szCs w:val="18"/>
              </w:rPr>
              <w:t>313</w:t>
            </w:r>
            <w:r w:rsidR="00DC05DA">
              <w:rPr>
                <w:rFonts w:ascii="Arial Narrow" w:hAnsi="Arial Narrow"/>
                <w:color w:val="000000"/>
                <w:sz w:val="20"/>
                <w:szCs w:val="18"/>
              </w:rPr>
              <w:t xml:space="preserve"> (16.3%)</w:t>
            </w:r>
          </w:p>
        </w:tc>
        <w:tc>
          <w:tcPr>
            <w:tcW w:w="858"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3.37</w:t>
            </w:r>
          </w:p>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r>
              <w:rPr>
                <w:rFonts w:ascii="Arial Narrow" w:hAnsi="Arial Narrow"/>
                <w:color w:val="000000"/>
                <w:sz w:val="20"/>
                <w:szCs w:val="18"/>
              </w:rPr>
              <w:t>2.57</w:t>
            </w:r>
            <w:r w:rsidRPr="00E2771E">
              <w:rPr>
                <w:rFonts w:ascii="Arial Narrow" w:hAnsi="Arial Narrow"/>
                <w:color w:val="000000"/>
                <w:sz w:val="20"/>
                <w:szCs w:val="18"/>
              </w:rPr>
              <w:t xml:space="preserve">, </w:t>
            </w:r>
            <w:r>
              <w:rPr>
                <w:rFonts w:ascii="Arial Narrow" w:hAnsi="Arial Narrow"/>
                <w:color w:val="000000"/>
                <w:sz w:val="20"/>
                <w:szCs w:val="18"/>
              </w:rPr>
              <w:t>4.42</w:t>
            </w:r>
            <w:r w:rsidRPr="00E2771E">
              <w:rPr>
                <w:rFonts w:ascii="Arial Narrow" w:hAnsi="Arial Narrow"/>
                <w:color w:val="000000"/>
                <w:sz w:val="20"/>
                <w:szCs w:val="18"/>
              </w:rPr>
              <w:t>)</w:t>
            </w:r>
          </w:p>
        </w:tc>
        <w:tc>
          <w:tcPr>
            <w:tcW w:w="683" w:type="pct"/>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55</w:t>
            </w:r>
          </w:p>
        </w:tc>
        <w:tc>
          <w:tcPr>
            <w:tcW w:w="649"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16.3</w:t>
            </w:r>
          </w:p>
        </w:tc>
        <w:tc>
          <w:tcPr>
            <w:tcW w:w="680" w:type="pct"/>
            <w:gridSpan w:val="2"/>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0.</w:t>
            </w:r>
            <w:r>
              <w:rPr>
                <w:rFonts w:ascii="Arial Narrow" w:hAnsi="Arial Narrow"/>
                <w:color w:val="000000"/>
                <w:sz w:val="20"/>
                <w:szCs w:val="18"/>
              </w:rPr>
              <w:t>39</w:t>
            </w:r>
          </w:p>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(0.</w:t>
            </w:r>
            <w:r>
              <w:rPr>
                <w:rFonts w:ascii="Arial Narrow" w:hAnsi="Arial Narrow"/>
                <w:color w:val="000000"/>
                <w:sz w:val="20"/>
                <w:szCs w:val="18"/>
              </w:rPr>
              <w:t>32</w:t>
            </w:r>
            <w:r w:rsidRPr="00E2771E">
              <w:rPr>
                <w:rFonts w:ascii="Arial Narrow" w:hAnsi="Arial Narrow"/>
                <w:color w:val="000000"/>
                <w:sz w:val="20"/>
                <w:szCs w:val="18"/>
              </w:rPr>
              <w:t>, 0.</w:t>
            </w:r>
            <w:r>
              <w:rPr>
                <w:rFonts w:ascii="Arial Narrow" w:hAnsi="Arial Narrow"/>
                <w:color w:val="000000"/>
                <w:sz w:val="20"/>
                <w:szCs w:val="18"/>
              </w:rPr>
              <w:t>46</w:t>
            </w:r>
            <w:r w:rsidRPr="00E2771E">
              <w:rPr>
                <w:rFonts w:ascii="Arial Narrow" w:hAnsi="Arial Narrow"/>
                <w:color w:val="000000"/>
                <w:sz w:val="20"/>
                <w:szCs w:val="18"/>
              </w:rPr>
              <w:t>)</w:t>
            </w:r>
          </w:p>
        </w:tc>
      </w:tr>
      <w:tr w:rsidR="00762789" w:rsidRPr="00E2771E" w:rsidTr="000A423F">
        <w:tc>
          <w:tcPr>
            <w:tcW w:w="835" w:type="pct"/>
            <w:shd w:val="clear" w:color="auto" w:fill="auto"/>
          </w:tcPr>
          <w:p w:rsidR="00762789" w:rsidRPr="00E2771E" w:rsidRDefault="00762789" w:rsidP="000A423F">
            <w:pPr>
              <w:jc w:val="left"/>
              <w:rPr>
                <w:rFonts w:ascii="Arial Narrow" w:hAnsi="Arial Narrow"/>
                <w:color w:val="000000"/>
                <w:sz w:val="20"/>
                <w:szCs w:val="18"/>
              </w:rPr>
            </w:pPr>
            <w:r>
              <w:rPr>
                <w:rFonts w:ascii="Arial Narrow" w:hAnsi="Arial Narrow"/>
                <w:color w:val="000000"/>
                <w:sz w:val="20"/>
                <w:szCs w:val="18"/>
              </w:rPr>
              <w:t>AE leading to discontinuation</w:t>
            </w:r>
          </w:p>
        </w:tc>
        <w:tc>
          <w:tcPr>
            <w:tcW w:w="612"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114</w:t>
            </w:r>
            <w:r w:rsidRPr="00E2771E">
              <w:rPr>
                <w:rFonts w:ascii="Arial Narrow" w:hAnsi="Arial Narrow"/>
                <w:color w:val="000000"/>
                <w:sz w:val="20"/>
                <w:szCs w:val="18"/>
              </w:rPr>
              <w:t>/</w:t>
            </w:r>
            <w:r>
              <w:rPr>
                <w:rFonts w:ascii="Arial Narrow" w:hAnsi="Arial Narrow"/>
                <w:color w:val="000000"/>
                <w:sz w:val="20"/>
                <w:szCs w:val="18"/>
              </w:rPr>
              <w:t>313</w:t>
            </w:r>
            <w:r w:rsidR="00DC05DA">
              <w:rPr>
                <w:rFonts w:ascii="Arial Narrow" w:hAnsi="Arial Narrow"/>
                <w:color w:val="000000"/>
                <w:sz w:val="20"/>
                <w:szCs w:val="18"/>
              </w:rPr>
              <w:t xml:space="preserve"> (36.4%)</w:t>
            </w:r>
          </w:p>
        </w:tc>
        <w:tc>
          <w:tcPr>
            <w:tcW w:w="684" w:type="pct"/>
            <w:gridSpan w:val="2"/>
            <w:vAlign w:val="center"/>
          </w:tcPr>
          <w:p w:rsidR="00762789" w:rsidRPr="00E2771E" w:rsidRDefault="00762789" w:rsidP="00DC05DA">
            <w:pPr>
              <w:jc w:val="center"/>
              <w:rPr>
                <w:rFonts w:ascii="Arial Narrow" w:hAnsi="Arial Narrow"/>
                <w:color w:val="000000"/>
                <w:sz w:val="20"/>
                <w:szCs w:val="18"/>
              </w:rPr>
            </w:pPr>
            <w:r>
              <w:rPr>
                <w:rFonts w:ascii="Arial Narrow" w:hAnsi="Arial Narrow"/>
                <w:color w:val="000000"/>
                <w:sz w:val="20"/>
                <w:szCs w:val="18"/>
              </w:rPr>
              <w:t>24</w:t>
            </w:r>
            <w:r w:rsidRPr="00E2771E">
              <w:rPr>
                <w:rFonts w:ascii="Arial Narrow" w:hAnsi="Arial Narrow"/>
                <w:color w:val="000000"/>
                <w:sz w:val="20"/>
                <w:szCs w:val="18"/>
              </w:rPr>
              <w:t>/</w:t>
            </w:r>
            <w:r>
              <w:rPr>
                <w:rFonts w:ascii="Arial Narrow" w:hAnsi="Arial Narrow"/>
                <w:color w:val="000000"/>
                <w:sz w:val="20"/>
                <w:szCs w:val="18"/>
              </w:rPr>
              <w:t>313</w:t>
            </w:r>
            <w:r w:rsidR="00DC05DA">
              <w:rPr>
                <w:rFonts w:ascii="Arial Narrow" w:hAnsi="Arial Narrow"/>
                <w:color w:val="000000"/>
                <w:sz w:val="20"/>
                <w:szCs w:val="18"/>
              </w:rPr>
              <w:br/>
              <w:t>(7.7%)</w:t>
            </w:r>
          </w:p>
        </w:tc>
        <w:tc>
          <w:tcPr>
            <w:tcW w:w="858"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4.75</w:t>
            </w:r>
          </w:p>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w:t>
            </w:r>
            <w:r>
              <w:rPr>
                <w:rFonts w:ascii="Arial Narrow" w:hAnsi="Arial Narrow"/>
                <w:color w:val="000000"/>
                <w:sz w:val="20"/>
                <w:szCs w:val="18"/>
              </w:rPr>
              <w:t>3.15</w:t>
            </w:r>
            <w:r w:rsidRPr="00E2771E">
              <w:rPr>
                <w:rFonts w:ascii="Arial Narrow" w:hAnsi="Arial Narrow"/>
                <w:color w:val="000000"/>
                <w:sz w:val="20"/>
                <w:szCs w:val="18"/>
              </w:rPr>
              <w:t xml:space="preserve">, </w:t>
            </w:r>
            <w:r>
              <w:rPr>
                <w:rFonts w:ascii="Arial Narrow" w:hAnsi="Arial Narrow"/>
                <w:color w:val="000000"/>
                <w:sz w:val="20"/>
                <w:szCs w:val="18"/>
              </w:rPr>
              <w:t>7.17</w:t>
            </w:r>
            <w:r w:rsidRPr="00E2771E">
              <w:rPr>
                <w:rFonts w:ascii="Arial Narrow" w:hAnsi="Arial Narrow"/>
                <w:color w:val="000000"/>
                <w:sz w:val="20"/>
                <w:szCs w:val="18"/>
              </w:rPr>
              <w:t>)</w:t>
            </w:r>
          </w:p>
        </w:tc>
        <w:tc>
          <w:tcPr>
            <w:tcW w:w="683" w:type="pct"/>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36.4</w:t>
            </w:r>
          </w:p>
        </w:tc>
        <w:tc>
          <w:tcPr>
            <w:tcW w:w="649" w:type="pct"/>
            <w:gridSpan w:val="2"/>
            <w:vAlign w:val="center"/>
          </w:tcPr>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7.7</w:t>
            </w:r>
          </w:p>
        </w:tc>
        <w:tc>
          <w:tcPr>
            <w:tcW w:w="680" w:type="pct"/>
            <w:gridSpan w:val="2"/>
            <w:vAlign w:val="center"/>
          </w:tcPr>
          <w:p w:rsidR="00762789" w:rsidRPr="00E2771E" w:rsidRDefault="00762789" w:rsidP="00762789">
            <w:pPr>
              <w:jc w:val="center"/>
              <w:rPr>
                <w:rFonts w:ascii="Arial Narrow" w:hAnsi="Arial Narrow"/>
                <w:color w:val="000000"/>
                <w:sz w:val="20"/>
                <w:szCs w:val="18"/>
              </w:rPr>
            </w:pPr>
            <w:r w:rsidRPr="00E2771E">
              <w:rPr>
                <w:rFonts w:ascii="Arial Narrow" w:hAnsi="Arial Narrow"/>
                <w:color w:val="000000"/>
                <w:sz w:val="20"/>
                <w:szCs w:val="18"/>
              </w:rPr>
              <w:t>0.</w:t>
            </w:r>
            <w:r>
              <w:rPr>
                <w:rFonts w:ascii="Arial Narrow" w:hAnsi="Arial Narrow"/>
                <w:color w:val="000000"/>
                <w:sz w:val="20"/>
                <w:szCs w:val="18"/>
              </w:rPr>
              <w:t>29</w:t>
            </w:r>
          </w:p>
          <w:p w:rsidR="00762789" w:rsidRPr="00E2771E" w:rsidRDefault="00762789" w:rsidP="00762789">
            <w:pPr>
              <w:jc w:val="center"/>
              <w:rPr>
                <w:rFonts w:ascii="Arial Narrow" w:hAnsi="Arial Narrow"/>
                <w:color w:val="000000"/>
                <w:sz w:val="20"/>
                <w:szCs w:val="18"/>
              </w:rPr>
            </w:pPr>
            <w:r>
              <w:rPr>
                <w:rFonts w:ascii="Arial Narrow" w:hAnsi="Arial Narrow"/>
                <w:color w:val="000000"/>
                <w:sz w:val="20"/>
                <w:szCs w:val="18"/>
              </w:rPr>
              <w:t>(0.23</w:t>
            </w:r>
            <w:r w:rsidRPr="00E2771E">
              <w:rPr>
                <w:rFonts w:ascii="Arial Narrow" w:hAnsi="Arial Narrow"/>
                <w:color w:val="000000"/>
                <w:sz w:val="20"/>
                <w:szCs w:val="18"/>
              </w:rPr>
              <w:t xml:space="preserve">, </w:t>
            </w:r>
            <w:r>
              <w:rPr>
                <w:rFonts w:ascii="Arial Narrow" w:hAnsi="Arial Narrow"/>
                <w:color w:val="000000"/>
                <w:sz w:val="20"/>
                <w:szCs w:val="18"/>
              </w:rPr>
              <w:t>0.35</w:t>
            </w:r>
            <w:r w:rsidRPr="00E2771E">
              <w:rPr>
                <w:rFonts w:ascii="Arial Narrow" w:hAnsi="Arial Narrow"/>
                <w:color w:val="000000"/>
                <w:sz w:val="20"/>
                <w:szCs w:val="18"/>
              </w:rPr>
              <w:t>)</w:t>
            </w:r>
          </w:p>
        </w:tc>
      </w:tr>
    </w:tbl>
    <w:p w:rsidR="00AD685D" w:rsidRPr="0072416F" w:rsidRDefault="00AD685D" w:rsidP="00AD685D">
      <w:pPr>
        <w:pStyle w:val="TableFooter"/>
        <w:ind w:left="720"/>
      </w:pPr>
      <w:r>
        <w:t>AE = adverse event; CI = confidence interval; HR = hazard ratio; IPI = ipilimumab;</w:t>
      </w:r>
      <w:r w:rsidRPr="0072416F">
        <w:t xml:space="preserve"> </w:t>
      </w:r>
      <w:r>
        <w:t>NA = not available; NIVO = nivolumab; OS = over</w:t>
      </w:r>
      <w:r w:rsidR="002253F0">
        <w:t>all survival; PFS = progression-</w:t>
      </w:r>
      <w:r>
        <w:t xml:space="preserve">free survival; </w:t>
      </w:r>
      <w:r w:rsidRPr="0072416F">
        <w:t>RD = risk difference; RR = risk ratio</w:t>
      </w:r>
      <w:r w:rsidR="00197AA2">
        <w:t>.</w:t>
      </w:r>
    </w:p>
    <w:p w:rsidR="00762789" w:rsidRDefault="00762789" w:rsidP="00762789">
      <w:pPr>
        <w:pStyle w:val="TableFooter"/>
        <w:ind w:left="720"/>
      </w:pPr>
      <w:r w:rsidRPr="0072416F">
        <w:t xml:space="preserve">* </w:t>
      </w:r>
      <w:r>
        <w:t xml:space="preserve">Minimum </w:t>
      </w:r>
      <w:r w:rsidRPr="0072416F">
        <w:t>duration of follow-up</w:t>
      </w:r>
      <w:r>
        <w:t xml:space="preserve"> 28 months; median duration of follow-up not reported.</w:t>
      </w:r>
    </w:p>
    <w:p w:rsidR="00762789" w:rsidRDefault="00762789" w:rsidP="00762789">
      <w:pPr>
        <w:pStyle w:val="TableFooter"/>
        <w:ind w:left="720"/>
      </w:pPr>
      <w:r w:rsidRPr="00D543B2">
        <w:t>** Minimum duration of follow-up 9 months</w:t>
      </w:r>
      <w:r>
        <w:t>; median duration of follow-up 12.2-12.5 months across arms</w:t>
      </w:r>
    </w:p>
    <w:p w:rsidR="00762789" w:rsidRPr="0072416F" w:rsidRDefault="00762789" w:rsidP="00762789">
      <w:pPr>
        <w:pStyle w:val="TableFooter"/>
        <w:ind w:left="720"/>
      </w:pPr>
      <w:r w:rsidRPr="0072416F">
        <w:t>Source: Compiled during the evaluation</w:t>
      </w:r>
    </w:p>
    <w:p w:rsidR="00762789" w:rsidRDefault="00762789" w:rsidP="00EC5585"/>
    <w:p w:rsidR="002B1FF5" w:rsidRPr="00D06FD4" w:rsidRDefault="00762789" w:rsidP="009E7F9E">
      <w:pPr>
        <w:pStyle w:val="ListParagraph"/>
        <w:widowControl/>
        <w:numPr>
          <w:ilvl w:val="1"/>
          <w:numId w:val="3"/>
        </w:numPr>
        <w:rPr>
          <w:szCs w:val="22"/>
        </w:rPr>
      </w:pPr>
      <w:r w:rsidRPr="00CF6EE4">
        <w:t xml:space="preserve">On the basis of </w:t>
      </w:r>
      <w:r w:rsidR="002B1FF5">
        <w:t xml:space="preserve">the </w:t>
      </w:r>
      <w:r w:rsidRPr="00CF6EE4">
        <w:t xml:space="preserve">direct evidence presented </w:t>
      </w:r>
      <w:r w:rsidR="002B1FF5">
        <w:t>in</w:t>
      </w:r>
      <w:r w:rsidRPr="00CF6EE4">
        <w:t xml:space="preserve"> the </w:t>
      </w:r>
      <w:r w:rsidR="008D1756">
        <w:t>resubmission</w:t>
      </w:r>
      <w:r w:rsidRPr="00CF6EE4">
        <w:t xml:space="preserve">, </w:t>
      </w:r>
      <w:r>
        <w:t xml:space="preserve">there would be approximately 4.8 months increase in median progression-free survival in patients treated with NIVO+IPI in comparison with nivolumab monotherapy in the first-line setting. </w:t>
      </w:r>
      <w:r w:rsidR="002B1FF5">
        <w:t>There would be no improvement in overall survival between these two groups, although the OS data were immature</w:t>
      </w:r>
      <w:r w:rsidR="002B1FF5" w:rsidRPr="002B1FF5">
        <w:rPr>
          <w:lang w:val="en-US"/>
        </w:rPr>
        <w:t xml:space="preserve"> and the trial was not adequately powered for this comparison</w:t>
      </w:r>
      <w:r w:rsidR="002B1FF5" w:rsidRPr="002B1FF5">
        <w:t>.</w:t>
      </w:r>
      <w:r w:rsidR="002B1FF5">
        <w:t xml:space="preserve"> F</w:t>
      </w:r>
      <w:r w:rsidR="002B1FF5" w:rsidRPr="00CF6EE4">
        <w:t xml:space="preserve">or every 100 patients treated with </w:t>
      </w:r>
      <w:r w:rsidR="002B1FF5">
        <w:t>NIVO+IPI</w:t>
      </w:r>
      <w:r w:rsidR="002B1FF5" w:rsidRPr="00CF6EE4">
        <w:t xml:space="preserve"> in comparison to </w:t>
      </w:r>
      <w:r w:rsidR="002B1FF5">
        <w:t>nivolumab monotherapy</w:t>
      </w:r>
      <w:r w:rsidR="008867E3">
        <w:t xml:space="preserve"> </w:t>
      </w:r>
      <w:r w:rsidR="008867E3" w:rsidRPr="009C2D98">
        <w:rPr>
          <w:lang w:val="en-US"/>
        </w:rPr>
        <w:t>over a minimum duration of follow-up of 9 months</w:t>
      </w:r>
      <w:r w:rsidR="00EC5585">
        <w:t>:</w:t>
      </w:r>
    </w:p>
    <w:p w:rsidR="002B1FF5" w:rsidRPr="009C2D98" w:rsidRDefault="00EC5585" w:rsidP="009E7F9E">
      <w:pPr>
        <w:pStyle w:val="ListParagraph"/>
        <w:numPr>
          <w:ilvl w:val="0"/>
          <w:numId w:val="2"/>
        </w:numPr>
        <w:ind w:left="1134"/>
        <w:rPr>
          <w:lang w:val="en-US"/>
        </w:rPr>
      </w:pPr>
      <w:r>
        <w:rPr>
          <w:lang w:val="en-US"/>
        </w:rPr>
        <w:t>a</w:t>
      </w:r>
      <w:r w:rsidR="002B1FF5" w:rsidRPr="009C2D98">
        <w:rPr>
          <w:lang w:val="en-US"/>
        </w:rPr>
        <w:t>pproximately 39 additional patients would experience a Grade 3 or higher treatment-related severe AE;</w:t>
      </w:r>
    </w:p>
    <w:p w:rsidR="002B1FF5" w:rsidRPr="009C2D98" w:rsidRDefault="00EC5585" w:rsidP="009E7F9E">
      <w:pPr>
        <w:pStyle w:val="ListParagraph"/>
        <w:numPr>
          <w:ilvl w:val="0"/>
          <w:numId w:val="2"/>
        </w:numPr>
        <w:ind w:left="1134"/>
        <w:rPr>
          <w:lang w:val="en-US"/>
        </w:rPr>
      </w:pPr>
      <w:r>
        <w:rPr>
          <w:lang w:val="en-US"/>
        </w:rPr>
        <w:t>a</w:t>
      </w:r>
      <w:r w:rsidR="002B1FF5" w:rsidRPr="009C2D98">
        <w:rPr>
          <w:lang w:val="en-US"/>
        </w:rPr>
        <w:t xml:space="preserve">pproximately 29 additional patients would experience a treatment-related AE leading to discontinuation </w:t>
      </w:r>
      <w:r w:rsidR="002B1FF5">
        <w:rPr>
          <w:lang w:val="en-US"/>
        </w:rPr>
        <w:t>of treatment</w:t>
      </w:r>
      <w:r w:rsidR="002B1FF5" w:rsidRPr="009C2D98">
        <w:rPr>
          <w:lang w:val="en-US"/>
        </w:rPr>
        <w:t>.</w:t>
      </w:r>
    </w:p>
    <w:p w:rsidR="00762789" w:rsidRPr="00882085" w:rsidRDefault="00762789" w:rsidP="00762789"/>
    <w:p w:rsidR="00762789" w:rsidRPr="00497F10" w:rsidRDefault="00762789" w:rsidP="00762789">
      <w:pPr>
        <w:pStyle w:val="Heading2"/>
        <w:rPr>
          <w:i/>
        </w:rPr>
      </w:pPr>
      <w:bookmarkStart w:id="11" w:name="_Toc472416745"/>
      <w:r w:rsidRPr="00497F10">
        <w:rPr>
          <w:i/>
        </w:rPr>
        <w:t>Clinical claim</w:t>
      </w:r>
      <w:bookmarkEnd w:id="11"/>
    </w:p>
    <w:p w:rsidR="00762789" w:rsidRPr="00882085" w:rsidRDefault="00762789" w:rsidP="00762789">
      <w:pPr>
        <w:pStyle w:val="BodyText"/>
      </w:pPr>
    </w:p>
    <w:p w:rsidR="00762789" w:rsidRPr="00D4640F" w:rsidRDefault="00762789" w:rsidP="009E7F9E">
      <w:pPr>
        <w:pStyle w:val="ListParagraph"/>
        <w:widowControl/>
        <w:numPr>
          <w:ilvl w:val="1"/>
          <w:numId w:val="3"/>
        </w:numPr>
        <w:rPr>
          <w:szCs w:val="22"/>
        </w:rPr>
      </w:pPr>
      <w:r w:rsidRPr="00D4640F">
        <w:t xml:space="preserve">The </w:t>
      </w:r>
      <w:r w:rsidR="008D1756">
        <w:t>resubmission</w:t>
      </w:r>
      <w:r w:rsidRPr="00D4640F">
        <w:t xml:space="preserve"> described NIVO+IPI combination therapy as superior in terms of comparative effectiveness and inferior in terms of comparative safety over sequential use of nivolumab monotherapy followed by ipilimumab monotherapy upon progression.</w:t>
      </w:r>
    </w:p>
    <w:p w:rsidR="00762789" w:rsidRPr="00D4640F" w:rsidRDefault="00762789" w:rsidP="00762789">
      <w:pPr>
        <w:widowControl/>
        <w:rPr>
          <w:szCs w:val="22"/>
        </w:rPr>
      </w:pPr>
    </w:p>
    <w:p w:rsidR="00BD30C1" w:rsidRPr="00D4640F" w:rsidRDefault="00BD30C1" w:rsidP="009E7F9E">
      <w:pPr>
        <w:pStyle w:val="ListParagraph"/>
        <w:widowControl/>
        <w:numPr>
          <w:ilvl w:val="1"/>
          <w:numId w:val="3"/>
        </w:numPr>
        <w:rPr>
          <w:szCs w:val="22"/>
        </w:rPr>
      </w:pPr>
      <w:r w:rsidRPr="00D4640F">
        <w:t>The claim of superior comparative effectiveness was not adequately supported.</w:t>
      </w:r>
      <w:r w:rsidR="00EC5585" w:rsidRPr="00D4640F">
        <w:t xml:space="preserve"> </w:t>
      </w:r>
      <w:r w:rsidRPr="00D4640F">
        <w:rPr>
          <w:lang w:val="en-US"/>
        </w:rPr>
        <w:t xml:space="preserve">No evidence for the comparative safety and effectiveness of NIVO+IPI followed by BSC versus nivolumab followed by ipilimumab was provided in the </w:t>
      </w:r>
      <w:r w:rsidR="008D1756">
        <w:rPr>
          <w:lang w:val="en-US"/>
        </w:rPr>
        <w:t>resubmission</w:t>
      </w:r>
      <w:r w:rsidRPr="00D4640F">
        <w:rPr>
          <w:lang w:val="en-US"/>
        </w:rPr>
        <w:t>.</w:t>
      </w:r>
    </w:p>
    <w:p w:rsidR="00BD30C1" w:rsidRPr="00D4640F" w:rsidRDefault="00BD30C1" w:rsidP="00BD30C1"/>
    <w:p w:rsidR="00BD30C1" w:rsidRPr="00D4640F" w:rsidRDefault="00BD30C1" w:rsidP="009E7F9E">
      <w:pPr>
        <w:pStyle w:val="ListParagraph"/>
        <w:widowControl/>
        <w:numPr>
          <w:ilvl w:val="1"/>
          <w:numId w:val="3"/>
        </w:numPr>
      </w:pPr>
      <w:r w:rsidRPr="00D4640F">
        <w:t>Although the evidence on comparative safety did not include a direct comparison</w:t>
      </w:r>
      <w:r w:rsidR="00AD0215" w:rsidRPr="00D4640F">
        <w:t xml:space="preserve"> of NIVO+IPI followed by BSC versus nivolumab monotherapy followed by ipilimumab monotherapy</w:t>
      </w:r>
      <w:r w:rsidRPr="00D4640F">
        <w:t>, such evidence as was available did not contradict the sponsor’s acknowledgement of inferior comparative safety.</w:t>
      </w:r>
    </w:p>
    <w:p w:rsidR="0026376F" w:rsidRPr="00D4640F" w:rsidRDefault="0026376F" w:rsidP="0026376F">
      <w:pPr>
        <w:widowControl/>
      </w:pPr>
    </w:p>
    <w:p w:rsidR="00BD30C1" w:rsidRPr="00D4640F" w:rsidRDefault="00762789" w:rsidP="009E7F9E">
      <w:pPr>
        <w:pStyle w:val="ListParagraph"/>
        <w:widowControl/>
        <w:numPr>
          <w:ilvl w:val="1"/>
          <w:numId w:val="3"/>
        </w:numPr>
        <w:rPr>
          <w:szCs w:val="22"/>
        </w:rPr>
      </w:pPr>
      <w:r w:rsidRPr="00D4640F">
        <w:t xml:space="preserve">CA209-067 </w:t>
      </w:r>
      <w:r w:rsidR="00BD30C1" w:rsidRPr="00D4640F">
        <w:t xml:space="preserve">provided evidence on </w:t>
      </w:r>
      <w:r w:rsidR="00383EEE" w:rsidRPr="00D4640F">
        <w:t>the comparative effectiveness and safety of NIVO+IPI and nivolumab monotherapy in the first-line setting, with both trial arms followed by a variety of subsequent systemic therapies, in patients with Grade III/IV melanoma, unselected by BRAF status:</w:t>
      </w:r>
    </w:p>
    <w:p w:rsidR="00BD30C1" w:rsidRPr="00D4640F" w:rsidRDefault="00EC5585" w:rsidP="009E7F9E">
      <w:pPr>
        <w:pStyle w:val="ListParagraph"/>
        <w:numPr>
          <w:ilvl w:val="0"/>
          <w:numId w:val="2"/>
        </w:numPr>
        <w:ind w:left="1134"/>
        <w:rPr>
          <w:lang w:val="en-US"/>
        </w:rPr>
      </w:pPr>
      <w:r w:rsidRPr="00D4640F">
        <w:rPr>
          <w:lang w:val="en-US"/>
        </w:rPr>
        <w:t>t</w:t>
      </w:r>
      <w:r w:rsidR="00BD30C1" w:rsidRPr="00D4640F">
        <w:rPr>
          <w:lang w:val="en-US"/>
        </w:rPr>
        <w:t>here was no statistically significant difference in OS between the NIVO+IPI and the nivolumab monotherapy treatment arms</w:t>
      </w:r>
      <w:r w:rsidR="00AD0215" w:rsidRPr="00D4640F">
        <w:rPr>
          <w:lang w:val="en-US"/>
        </w:rPr>
        <w:t>, although the data were immature and the trial was not adequately powered for this comparison</w:t>
      </w:r>
      <w:r w:rsidR="00BD30C1" w:rsidRPr="00D4640F">
        <w:rPr>
          <w:lang w:val="en-US"/>
        </w:rPr>
        <w:t>;</w:t>
      </w:r>
    </w:p>
    <w:p w:rsidR="00BD30C1" w:rsidRPr="00D4640F" w:rsidRDefault="00EC5585" w:rsidP="009E7F9E">
      <w:pPr>
        <w:pStyle w:val="ListParagraph"/>
        <w:numPr>
          <w:ilvl w:val="0"/>
          <w:numId w:val="2"/>
        </w:numPr>
        <w:ind w:left="1134"/>
        <w:rPr>
          <w:lang w:val="en-US"/>
        </w:rPr>
      </w:pPr>
      <w:r w:rsidRPr="00D4640F">
        <w:rPr>
          <w:lang w:val="en-US"/>
        </w:rPr>
        <w:t>c</w:t>
      </w:r>
      <w:r w:rsidR="00BD30C1" w:rsidRPr="00D4640F">
        <w:rPr>
          <w:lang w:val="en-US"/>
        </w:rPr>
        <w:t>ombination therapy with NIVO+IPI resulted in an improvement in median PFS of approximately 4.8 months compa</w:t>
      </w:r>
      <w:r w:rsidRPr="00D4640F">
        <w:rPr>
          <w:lang w:val="en-US"/>
        </w:rPr>
        <w:t>red with nivolumab monotherapy;</w:t>
      </w:r>
    </w:p>
    <w:p w:rsidR="00BD30C1" w:rsidRPr="00D4640F" w:rsidRDefault="00EC5585" w:rsidP="009E7F9E">
      <w:pPr>
        <w:pStyle w:val="ListParagraph"/>
        <w:numPr>
          <w:ilvl w:val="0"/>
          <w:numId w:val="2"/>
        </w:numPr>
        <w:ind w:left="1134"/>
        <w:rPr>
          <w:lang w:val="en-US"/>
        </w:rPr>
      </w:pPr>
      <w:r w:rsidRPr="00D4640F">
        <w:rPr>
          <w:lang w:val="en-US"/>
        </w:rPr>
        <w:t>t</w:t>
      </w:r>
      <w:r w:rsidR="00BD30C1" w:rsidRPr="00D4640F">
        <w:rPr>
          <w:lang w:val="en-US"/>
        </w:rPr>
        <w:t>here were significantly higher rates of serious AEs with NIVO+IPI combination therapy compared to nivolumab monotherapy;</w:t>
      </w:r>
    </w:p>
    <w:p w:rsidR="00BD30C1" w:rsidRPr="00D4640F" w:rsidRDefault="00EC5585" w:rsidP="009E7F9E">
      <w:pPr>
        <w:pStyle w:val="ListParagraph"/>
        <w:numPr>
          <w:ilvl w:val="0"/>
          <w:numId w:val="2"/>
        </w:numPr>
        <w:ind w:left="1134"/>
        <w:rPr>
          <w:lang w:val="en-US"/>
        </w:rPr>
      </w:pPr>
      <w:r w:rsidRPr="00D4640F">
        <w:rPr>
          <w:lang w:val="en-US"/>
        </w:rPr>
        <w:t>i</w:t>
      </w:r>
      <w:r w:rsidR="00BD30C1" w:rsidRPr="00D4640F">
        <w:rPr>
          <w:lang w:val="en-US"/>
        </w:rPr>
        <w:t xml:space="preserve">n the absence of conclusive evidence that first-line NIVO+IPI confers any benefit over first-line nivolumab monotherapy in terms of overall survival, the clinical significance of an improvement in PFS of 4.8 months </w:t>
      </w:r>
      <w:r w:rsidR="00A77AB3">
        <w:rPr>
          <w:lang w:val="en-US"/>
        </w:rPr>
        <w:t>should</w:t>
      </w:r>
      <w:r w:rsidR="00A77AB3" w:rsidRPr="00D4640F">
        <w:rPr>
          <w:lang w:val="en-US"/>
        </w:rPr>
        <w:t xml:space="preserve"> </w:t>
      </w:r>
      <w:r w:rsidR="00BD30C1" w:rsidRPr="00D4640F">
        <w:rPr>
          <w:lang w:val="en-US"/>
        </w:rPr>
        <w:t>be considered against the considerable increase in toxicity associated with combination therapy.</w:t>
      </w:r>
    </w:p>
    <w:p w:rsidR="00762789" w:rsidRDefault="00762789" w:rsidP="00762789">
      <w:pPr>
        <w:rPr>
          <w:szCs w:val="22"/>
        </w:rPr>
      </w:pPr>
    </w:p>
    <w:p w:rsidR="00FD023A" w:rsidRPr="00E02350" w:rsidRDefault="00FD023A" w:rsidP="00FD023A">
      <w:pPr>
        <w:pStyle w:val="ListParagraph"/>
        <w:widowControl/>
        <w:numPr>
          <w:ilvl w:val="1"/>
          <w:numId w:val="3"/>
        </w:numPr>
        <w:rPr>
          <w:bCs/>
        </w:rPr>
      </w:pPr>
      <w:r w:rsidRPr="00E02350">
        <w:rPr>
          <w:bCs/>
          <w:szCs w:val="22"/>
        </w:rPr>
        <w:t xml:space="preserve">The PBAC </w:t>
      </w:r>
      <w:r w:rsidR="00E02350" w:rsidRPr="00E02350">
        <w:rPr>
          <w:bCs/>
          <w:szCs w:val="22"/>
        </w:rPr>
        <w:t xml:space="preserve">reiterated </w:t>
      </w:r>
      <w:r w:rsidRPr="00E02350">
        <w:rPr>
          <w:bCs/>
          <w:szCs w:val="22"/>
        </w:rPr>
        <w:t xml:space="preserve">that the claim of superior comparative effectiveness was </w:t>
      </w:r>
      <w:r w:rsidR="00E02350" w:rsidRPr="00E02350">
        <w:rPr>
          <w:bCs/>
          <w:szCs w:val="22"/>
        </w:rPr>
        <w:t>demonstrated for a gain in PFS, but was not convinced that this gain in PFS had a clinically meaningful benefit with regard to estimating any effect on quality of life or predicting any effect on overall survival.</w:t>
      </w:r>
    </w:p>
    <w:p w:rsidR="00FD023A" w:rsidRPr="003136C3" w:rsidRDefault="00FD023A" w:rsidP="00FD023A">
      <w:pPr>
        <w:rPr>
          <w:bCs/>
          <w:szCs w:val="22"/>
          <w:highlight w:val="yellow"/>
        </w:rPr>
      </w:pPr>
    </w:p>
    <w:p w:rsidR="00FD023A" w:rsidRPr="00E331DB" w:rsidRDefault="00FD023A" w:rsidP="00FD023A">
      <w:pPr>
        <w:pStyle w:val="ListParagraph"/>
        <w:widowControl/>
        <w:numPr>
          <w:ilvl w:val="1"/>
          <w:numId w:val="3"/>
        </w:numPr>
        <w:rPr>
          <w:szCs w:val="22"/>
        </w:rPr>
      </w:pPr>
      <w:r w:rsidRPr="00E331DB">
        <w:rPr>
          <w:szCs w:val="22"/>
        </w:rPr>
        <w:t xml:space="preserve">The PBAC </w:t>
      </w:r>
      <w:r w:rsidR="00E02350">
        <w:rPr>
          <w:szCs w:val="22"/>
        </w:rPr>
        <w:t>reiterated</w:t>
      </w:r>
      <w:r w:rsidRPr="00E331DB">
        <w:rPr>
          <w:szCs w:val="22"/>
        </w:rPr>
        <w:t xml:space="preserve"> that the claim of inferior comparative safety was </w:t>
      </w:r>
      <w:r w:rsidR="00274090">
        <w:rPr>
          <w:szCs w:val="22"/>
        </w:rPr>
        <w:t>reasonable.</w:t>
      </w:r>
    </w:p>
    <w:p w:rsidR="00E82956" w:rsidRPr="00882085" w:rsidRDefault="00E82956" w:rsidP="00762789">
      <w:pPr>
        <w:rPr>
          <w:szCs w:val="22"/>
        </w:rPr>
      </w:pPr>
    </w:p>
    <w:p w:rsidR="002F530E" w:rsidRDefault="002F530E">
      <w:pPr>
        <w:widowControl/>
        <w:jc w:val="left"/>
        <w:rPr>
          <w:b/>
          <w:i/>
        </w:rPr>
      </w:pPr>
      <w:bookmarkStart w:id="12" w:name="_Toc472416746"/>
      <w:r>
        <w:rPr>
          <w:i/>
        </w:rPr>
        <w:br w:type="page"/>
      </w:r>
    </w:p>
    <w:p w:rsidR="005B521E" w:rsidRPr="00497F10" w:rsidRDefault="005B521E" w:rsidP="005B521E">
      <w:pPr>
        <w:pStyle w:val="Heading2"/>
        <w:rPr>
          <w:i/>
        </w:rPr>
      </w:pPr>
      <w:r w:rsidRPr="00497F10">
        <w:rPr>
          <w:i/>
        </w:rPr>
        <w:t>Economic analysis</w:t>
      </w:r>
      <w:bookmarkEnd w:id="12"/>
    </w:p>
    <w:p w:rsidR="005B521E" w:rsidRPr="00882085" w:rsidRDefault="005B521E" w:rsidP="005B521E">
      <w:pPr>
        <w:ind w:left="720" w:hanging="720"/>
        <w:rPr>
          <w:szCs w:val="22"/>
        </w:rPr>
      </w:pPr>
    </w:p>
    <w:p w:rsidR="005B521E" w:rsidRPr="00D4640F" w:rsidRDefault="005B521E" w:rsidP="009E7F9E">
      <w:pPr>
        <w:pStyle w:val="ListParagraph"/>
        <w:widowControl/>
        <w:numPr>
          <w:ilvl w:val="1"/>
          <w:numId w:val="3"/>
        </w:numPr>
        <w:rPr>
          <w:szCs w:val="22"/>
        </w:rPr>
      </w:pPr>
      <w:r w:rsidRPr="00D4640F">
        <w:t xml:space="preserve">The </w:t>
      </w:r>
      <w:r w:rsidR="008D1756">
        <w:t>resubmission</w:t>
      </w:r>
      <w:r w:rsidRPr="00D4640F">
        <w:t xml:space="preserve"> presented a modelled economic analysis comparing two alternative treatment strategies:</w:t>
      </w:r>
    </w:p>
    <w:p w:rsidR="005B521E" w:rsidRPr="00D4640F" w:rsidRDefault="00EC5585" w:rsidP="009E7F9E">
      <w:pPr>
        <w:pStyle w:val="ListParagraph"/>
        <w:widowControl/>
        <w:numPr>
          <w:ilvl w:val="0"/>
          <w:numId w:val="2"/>
        </w:numPr>
        <w:ind w:left="1134"/>
        <w:rPr>
          <w:szCs w:val="22"/>
        </w:rPr>
      </w:pPr>
      <w:r w:rsidRPr="00D4640F">
        <w:t>f</w:t>
      </w:r>
      <w:r w:rsidR="005B521E" w:rsidRPr="00D4640F">
        <w:t>irst-line NIVO+IPI followed by second-line BSC; and</w:t>
      </w:r>
    </w:p>
    <w:p w:rsidR="005B521E" w:rsidRPr="00D4640F" w:rsidRDefault="00EC5585" w:rsidP="009E7F9E">
      <w:pPr>
        <w:pStyle w:val="ListParagraph"/>
        <w:widowControl/>
        <w:numPr>
          <w:ilvl w:val="0"/>
          <w:numId w:val="2"/>
        </w:numPr>
        <w:ind w:left="1134"/>
        <w:rPr>
          <w:szCs w:val="22"/>
        </w:rPr>
      </w:pPr>
      <w:r w:rsidRPr="00D4640F">
        <w:t>f</w:t>
      </w:r>
      <w:r w:rsidR="005B521E" w:rsidRPr="00D4640F">
        <w:t>irst-line nivolumab followed by second-line ipilimumab.</w:t>
      </w:r>
    </w:p>
    <w:p w:rsidR="005B521E" w:rsidRPr="00D4640F" w:rsidRDefault="005B521E" w:rsidP="00EC5585">
      <w:pPr>
        <w:widowControl/>
        <w:rPr>
          <w:szCs w:val="22"/>
        </w:rPr>
      </w:pPr>
    </w:p>
    <w:p w:rsidR="005B521E" w:rsidRPr="00D4640F" w:rsidRDefault="005B521E" w:rsidP="009E7F9E">
      <w:pPr>
        <w:pStyle w:val="ListParagraph"/>
        <w:widowControl/>
        <w:numPr>
          <w:ilvl w:val="1"/>
          <w:numId w:val="3"/>
        </w:numPr>
        <w:rPr>
          <w:szCs w:val="22"/>
        </w:rPr>
      </w:pPr>
      <w:r w:rsidRPr="00D4640F">
        <w:rPr>
          <w:szCs w:val="22"/>
        </w:rPr>
        <w:t xml:space="preserve">The economic model presented in the </w:t>
      </w:r>
      <w:r w:rsidR="008D1756">
        <w:rPr>
          <w:szCs w:val="22"/>
        </w:rPr>
        <w:t>resubmission</w:t>
      </w:r>
      <w:r w:rsidRPr="00D4640F">
        <w:rPr>
          <w:szCs w:val="22"/>
        </w:rPr>
        <w:t xml:space="preserve"> used:</w:t>
      </w:r>
    </w:p>
    <w:p w:rsidR="005B521E" w:rsidRPr="00D4640F" w:rsidRDefault="005B521E" w:rsidP="009E7F9E">
      <w:pPr>
        <w:pStyle w:val="ListParagraph"/>
        <w:widowControl/>
        <w:numPr>
          <w:ilvl w:val="0"/>
          <w:numId w:val="2"/>
        </w:numPr>
        <w:ind w:left="1134"/>
      </w:pPr>
      <w:r w:rsidRPr="00D4640F">
        <w:t>Trial CA209-067 data to inform PFS and OS for first-line NIVO+IPI and first-line nivolumab monotherapy; and</w:t>
      </w:r>
    </w:p>
    <w:p w:rsidR="005B521E" w:rsidRPr="00D4640F" w:rsidRDefault="00197AA2" w:rsidP="009E7F9E">
      <w:pPr>
        <w:pStyle w:val="ListParagraph"/>
        <w:widowControl/>
        <w:numPr>
          <w:ilvl w:val="0"/>
          <w:numId w:val="2"/>
        </w:numPr>
        <w:ind w:left="1134"/>
      </w:pPr>
      <w:r w:rsidRPr="00D4640F">
        <w:t>u</w:t>
      </w:r>
      <w:r w:rsidR="005B521E" w:rsidRPr="00D4640F">
        <w:t xml:space="preserve">nadjusted results from Trial MDX010-020 to inform PFS and OS for second-line </w:t>
      </w:r>
      <w:r w:rsidR="005B521E" w:rsidRPr="00D4640F">
        <w:rPr>
          <w:snapToGrid/>
          <w:lang w:eastAsia="en-AU"/>
        </w:rPr>
        <w:t>BSC (gp100 vaccine arm) and second-line</w:t>
      </w:r>
      <w:r w:rsidR="005B521E" w:rsidRPr="00D4640F">
        <w:t xml:space="preserve"> ipilimumab </w:t>
      </w:r>
      <w:r w:rsidR="005B521E" w:rsidRPr="00D4640F">
        <w:rPr>
          <w:snapToGrid/>
          <w:lang w:eastAsia="en-AU"/>
        </w:rPr>
        <w:t>(combined gp100 vaccine + ipilimumab and ipilimumab monotherapy arms)</w:t>
      </w:r>
      <w:r w:rsidR="0039569F" w:rsidRPr="00D4640F">
        <w:rPr>
          <w:snapToGrid/>
          <w:lang w:eastAsia="en-AU"/>
        </w:rPr>
        <w:t>.</w:t>
      </w:r>
    </w:p>
    <w:p w:rsidR="005B521E" w:rsidRPr="00D4640F" w:rsidRDefault="005B521E" w:rsidP="005B521E">
      <w:pPr>
        <w:widowControl/>
      </w:pPr>
    </w:p>
    <w:p w:rsidR="00587D2B" w:rsidRDefault="005B521E" w:rsidP="009E7F9E">
      <w:pPr>
        <w:pStyle w:val="ListParagraph"/>
        <w:widowControl/>
        <w:numPr>
          <w:ilvl w:val="1"/>
          <w:numId w:val="3"/>
        </w:numPr>
      </w:pPr>
      <w:r w:rsidRPr="00C86F15">
        <w:t>The model d</w:t>
      </w:r>
      <w:r w:rsidR="00197AA2" w:rsidRPr="00C86F15">
        <w:t>id</w:t>
      </w:r>
      <w:r w:rsidRPr="00C86F15">
        <w:t xml:space="preserve"> not allow for active treatments following failure of first-line therapy in the NIVO+IPI arm</w:t>
      </w:r>
      <w:r w:rsidR="00587D2B" w:rsidRPr="00C86F15">
        <w:t xml:space="preserve"> and assumed that all patients who progress from first-line nivolumab monotherapy in the comparator arm will </w:t>
      </w:r>
      <w:r w:rsidR="00220B18" w:rsidRPr="00C86F15">
        <w:t xml:space="preserve">subsequently </w:t>
      </w:r>
      <w:r w:rsidR="00587D2B" w:rsidRPr="00C86F15">
        <w:t>receive ipilimumab</w:t>
      </w:r>
      <w:r w:rsidRPr="00C86F15">
        <w:t xml:space="preserve">. This </w:t>
      </w:r>
      <w:r w:rsidR="00197AA2" w:rsidRPr="00C86F15">
        <w:t>wa</w:t>
      </w:r>
      <w:r w:rsidRPr="00C86F15">
        <w:t xml:space="preserve">s not reasonable. </w:t>
      </w:r>
      <w:r w:rsidR="00587D2B" w:rsidRPr="00C86F15">
        <w:t xml:space="preserve">Of patients who had experienced a progression event (documented progression or death) at the September 2016 database lock, approximately 60% in the NIVO+IPI arm had received at least </w:t>
      </w:r>
      <w:r w:rsidR="008D347B" w:rsidRPr="00C86F15">
        <w:t>one subsequent systemic therapy</w:t>
      </w:r>
      <w:r w:rsidR="00587D2B" w:rsidRPr="00C86F15">
        <w:t xml:space="preserve"> and 70% in the nivolumab monotherapy arm had received at least one subsequent systemic therapy. Of the patients in the nivolumab monotherapy arm who received further systemic therapy, 59% had received ipilimumab. </w:t>
      </w:r>
      <w:r w:rsidR="00AE7FB0" w:rsidRPr="00C86F15">
        <w:t xml:space="preserve">The PSCR acknowledged that approximately 30-35% of patients receiving NIVO monotherapy may not be well enough to receive IPI therapy in the second-line setting. </w:t>
      </w:r>
      <w:r w:rsidR="00587D2B" w:rsidRPr="00C86F15">
        <w:t>The</w:t>
      </w:r>
      <w:r w:rsidR="00AE7FB0" w:rsidRPr="00C86F15">
        <w:t xml:space="preserve"> model’s </w:t>
      </w:r>
      <w:r w:rsidR="00587D2B" w:rsidRPr="00C86F15">
        <w:t xml:space="preserve">assumptions </w:t>
      </w:r>
      <w:r w:rsidR="00AE7FB0" w:rsidRPr="00C86F15">
        <w:t xml:space="preserve">therefore </w:t>
      </w:r>
      <w:r w:rsidR="00197AA2" w:rsidRPr="00C86F15">
        <w:t>underestimate</w:t>
      </w:r>
      <w:r w:rsidRPr="00C86F15">
        <w:t xml:space="preserve"> the cost associated with the NIVO+IPI arm </w:t>
      </w:r>
      <w:r w:rsidR="00587D2B" w:rsidRPr="00C86F15">
        <w:t xml:space="preserve">and overestimate the costs associated with the </w:t>
      </w:r>
      <w:r w:rsidR="00220B18" w:rsidRPr="00C86F15">
        <w:t>comparator</w:t>
      </w:r>
      <w:r w:rsidR="00587D2B" w:rsidRPr="00C86F15">
        <w:t xml:space="preserve"> arm</w:t>
      </w:r>
      <w:r w:rsidR="00623A63" w:rsidRPr="00C86F15">
        <w:t>.</w:t>
      </w:r>
    </w:p>
    <w:p w:rsidR="00257696" w:rsidRDefault="00257696" w:rsidP="00257696">
      <w:pPr>
        <w:widowControl/>
      </w:pPr>
    </w:p>
    <w:p w:rsidR="00623A63" w:rsidRPr="00677F85" w:rsidRDefault="00623A63" w:rsidP="009E7F9E">
      <w:pPr>
        <w:pStyle w:val="ListParagraph"/>
        <w:numPr>
          <w:ilvl w:val="1"/>
          <w:numId w:val="3"/>
        </w:numPr>
      </w:pPr>
      <w:r w:rsidRPr="00677F85">
        <w:t xml:space="preserve">The </w:t>
      </w:r>
      <w:r w:rsidR="00731A23">
        <w:t xml:space="preserve">ipilimumab </w:t>
      </w:r>
      <w:r w:rsidRPr="00677F85">
        <w:t xml:space="preserve">population in Trial MDX010-020 is not representative of the </w:t>
      </w:r>
      <w:r w:rsidR="00731A23">
        <w:t xml:space="preserve">ipilimumab </w:t>
      </w:r>
      <w:r w:rsidRPr="00677F85">
        <w:t xml:space="preserve">population who have progressed after being treated with </w:t>
      </w:r>
      <w:r w:rsidR="000E341D" w:rsidRPr="00677F85">
        <w:t xml:space="preserve">first-line </w:t>
      </w:r>
      <w:r w:rsidRPr="00677F85">
        <w:t xml:space="preserve">NIVO+IPI or nivolumab monotherapy. </w:t>
      </w:r>
      <w:r w:rsidR="00702432" w:rsidRPr="00677F85">
        <w:t>The PSCR agreed that there is limited to no data available specific to a comparison of the NIVO+IPI regimen vs sequencing of NIVO followed by IPI.</w:t>
      </w:r>
    </w:p>
    <w:p w:rsidR="000B4CF8" w:rsidRPr="00677F85" w:rsidRDefault="000B4CF8" w:rsidP="00623A63">
      <w:pPr>
        <w:widowControl/>
      </w:pPr>
    </w:p>
    <w:p w:rsidR="00826C68" w:rsidRPr="00677F85" w:rsidRDefault="004B544D" w:rsidP="009E7F9E">
      <w:pPr>
        <w:pStyle w:val="ListParagraph"/>
        <w:widowControl/>
        <w:numPr>
          <w:ilvl w:val="1"/>
          <w:numId w:val="3"/>
        </w:numPr>
      </w:pPr>
      <w:r w:rsidRPr="00677F85">
        <w:t xml:space="preserve">The </w:t>
      </w:r>
      <w:r w:rsidR="00702432" w:rsidRPr="00677F85">
        <w:t xml:space="preserve">ESC advised that the </w:t>
      </w:r>
      <w:r w:rsidR="008D347B" w:rsidRPr="00677F85">
        <w:t>impact</w:t>
      </w:r>
      <w:r w:rsidRPr="00677F85">
        <w:t xml:space="preserve"> of </w:t>
      </w:r>
      <w:r w:rsidR="00623A63" w:rsidRPr="00677F85">
        <w:t xml:space="preserve">observed </w:t>
      </w:r>
      <w:r w:rsidRPr="00677F85">
        <w:t>second-line active treatment</w:t>
      </w:r>
      <w:r w:rsidR="00AE1563" w:rsidRPr="00677F85">
        <w:t>s</w:t>
      </w:r>
      <w:r w:rsidRPr="00677F85">
        <w:t xml:space="preserve"> on OS </w:t>
      </w:r>
      <w:r w:rsidR="00AE1563" w:rsidRPr="00677F85">
        <w:t xml:space="preserve">in both arms over a 2-year model time horizon </w:t>
      </w:r>
      <w:r w:rsidR="00AE7FB0" w:rsidRPr="00677F85">
        <w:t xml:space="preserve">had been already </w:t>
      </w:r>
      <w:r w:rsidRPr="00677F85">
        <w:t>captured by CA209-067</w:t>
      </w:r>
      <w:r w:rsidR="00F204E0" w:rsidRPr="00677F85">
        <w:t>.</w:t>
      </w:r>
      <w:r w:rsidR="00AE7FB0" w:rsidRPr="00677F85">
        <w:t xml:space="preserve"> Figure 4 below </w:t>
      </w:r>
      <w:r w:rsidR="008D347B" w:rsidRPr="00677F85">
        <w:t xml:space="preserve">shows </w:t>
      </w:r>
      <w:r w:rsidR="00826C68" w:rsidRPr="00677F85">
        <w:t>that the model estimate</w:t>
      </w:r>
      <w:r w:rsidR="000E341D" w:rsidRPr="00677F85">
        <w:t>d</w:t>
      </w:r>
      <w:r w:rsidR="00826C68" w:rsidRPr="00677F85">
        <w:t xml:space="preserve"> a smaller OS advantage than the trial</w:t>
      </w:r>
      <w:r w:rsidR="00C73EAD" w:rsidRPr="00677F85">
        <w:t xml:space="preserve"> (the cost-effectiveness results are driven by the cost difference not the QALY difference)</w:t>
      </w:r>
      <w:r w:rsidR="00826C68" w:rsidRPr="00677F85">
        <w:t xml:space="preserve">. </w:t>
      </w:r>
      <w:r w:rsidR="00C73EAD" w:rsidRPr="00677F85">
        <w:t>T</w:t>
      </w:r>
      <w:r w:rsidR="00826C68" w:rsidRPr="00677F85">
        <w:t>he model b</w:t>
      </w:r>
      <w:r w:rsidR="000E341D" w:rsidRPr="00677F85">
        <w:t>or</w:t>
      </w:r>
      <w:r w:rsidR="00826C68" w:rsidRPr="00677F85">
        <w:t>e little relation to the observed trial data with respect to absolute or relative OS</w:t>
      </w:r>
      <w:r w:rsidR="000E341D" w:rsidRPr="00677F85">
        <w:t xml:space="preserve"> gains</w:t>
      </w:r>
      <w:r w:rsidR="003A3678">
        <w:t>, as illustrated by the following figure.</w:t>
      </w:r>
    </w:p>
    <w:p w:rsidR="00826C68" w:rsidRPr="00D4640F" w:rsidRDefault="00826C68" w:rsidP="006B39CC"/>
    <w:p w:rsidR="00C35B17" w:rsidRPr="00BF412F" w:rsidRDefault="00C35B17" w:rsidP="0060171D">
      <w:pPr>
        <w:keepNext/>
        <w:ind w:firstLine="720"/>
        <w:rPr>
          <w:rStyle w:val="CommentReference"/>
        </w:rPr>
      </w:pPr>
      <w:r w:rsidRPr="00BF412F">
        <w:rPr>
          <w:rStyle w:val="CommentReference"/>
        </w:rPr>
        <w:t xml:space="preserve">Figure </w:t>
      </w:r>
      <w:r w:rsidR="008D347B" w:rsidRPr="00BF412F">
        <w:rPr>
          <w:rStyle w:val="CommentReference"/>
        </w:rPr>
        <w:t>4</w:t>
      </w:r>
      <w:r w:rsidRPr="00BF412F">
        <w:rPr>
          <w:rStyle w:val="CommentReference"/>
        </w:rPr>
        <w:t>: Modelled overall survival</w:t>
      </w:r>
      <w:r w:rsidR="00731A23">
        <w:rPr>
          <w:rStyle w:val="CommentReference"/>
        </w:rPr>
        <w:t xml:space="preserve"> compared with</w:t>
      </w:r>
      <w:r w:rsidRPr="00BF412F">
        <w:rPr>
          <w:rStyle w:val="CommentReference"/>
        </w:rPr>
        <w:t xml:space="preserve"> overall survival from Trial CA209-067</w:t>
      </w:r>
    </w:p>
    <w:p w:rsidR="00C35B17" w:rsidRDefault="00C35B17" w:rsidP="00C35B17">
      <w:r w:rsidRPr="005F0DFA">
        <w:rPr>
          <w:noProof/>
          <w:lang w:eastAsia="en-AU"/>
        </w:rPr>
        <w:drawing>
          <wp:inline distT="0" distB="0" distL="0" distR="0" wp14:anchorId="0CA58672" wp14:editId="34BF5F32">
            <wp:extent cx="5731510" cy="3542028"/>
            <wp:effectExtent l="0" t="0" r="2540" b="1905"/>
            <wp:docPr id="8" name="Picture 8" title="Figure 4: Modelled overall survival compared with overall survival from Trial CA20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42028"/>
                    </a:xfrm>
                    <a:prstGeom prst="rect">
                      <a:avLst/>
                    </a:prstGeom>
                    <a:noFill/>
                    <a:ln>
                      <a:noFill/>
                    </a:ln>
                  </pic:spPr>
                </pic:pic>
              </a:graphicData>
            </a:graphic>
          </wp:inline>
        </w:drawing>
      </w:r>
    </w:p>
    <w:p w:rsidR="00C35B17" w:rsidRPr="00677F85" w:rsidRDefault="00C35B17" w:rsidP="00D65E1F">
      <w:pPr>
        <w:pStyle w:val="TableFooter"/>
        <w:ind w:firstLine="720"/>
      </w:pPr>
      <w:r w:rsidRPr="00677F85">
        <w:t>Source: compiled during the evaluation</w:t>
      </w:r>
    </w:p>
    <w:p w:rsidR="005B521E" w:rsidRPr="00D4640F" w:rsidRDefault="005B521E" w:rsidP="005B521E">
      <w:pPr>
        <w:widowControl/>
        <w:rPr>
          <w:szCs w:val="22"/>
        </w:rPr>
      </w:pPr>
    </w:p>
    <w:p w:rsidR="005B521E" w:rsidRPr="00D4640F" w:rsidRDefault="005B521E" w:rsidP="009E7F9E">
      <w:pPr>
        <w:pStyle w:val="ListParagraph"/>
        <w:widowControl/>
        <w:numPr>
          <w:ilvl w:val="1"/>
          <w:numId w:val="3"/>
        </w:numPr>
        <w:rPr>
          <w:szCs w:val="22"/>
        </w:rPr>
      </w:pPr>
      <w:r w:rsidRPr="00D4640F">
        <w:t xml:space="preserve">The structure of the economic model was broadly similar to that in the previous submission, with the exception of the addition of a health state to capture progressions in the second-line setting and an adjustment of the time horizon from 10.12 years to 24 months. The </w:t>
      </w:r>
      <w:r w:rsidR="008D1756">
        <w:t>resubmission</w:t>
      </w:r>
      <w:r w:rsidRPr="00D4640F">
        <w:t xml:space="preserve"> has not addressed concerns raised by the PBAC previously (paragraphs 7.6 and 6.5.1, 5.10 nivolumab + ipilimumab PSD, November 2015 PBAC meeting), including:</w:t>
      </w:r>
    </w:p>
    <w:p w:rsidR="005B521E" w:rsidRPr="00D4640F" w:rsidRDefault="005B521E" w:rsidP="009E7F9E">
      <w:pPr>
        <w:pStyle w:val="ListParagraph"/>
        <w:numPr>
          <w:ilvl w:val="0"/>
          <w:numId w:val="2"/>
        </w:numPr>
        <w:ind w:left="1134"/>
        <w:rPr>
          <w:szCs w:val="22"/>
        </w:rPr>
      </w:pPr>
      <w:r w:rsidRPr="00D4640F">
        <w:rPr>
          <w:szCs w:val="22"/>
        </w:rPr>
        <w:t xml:space="preserve">the unnecessarily complex approach to modelling the transitions between health states </w:t>
      </w:r>
      <w:r w:rsidR="00E85A3F">
        <w:rPr>
          <w:szCs w:val="22"/>
        </w:rPr>
        <w:t>(</w:t>
      </w:r>
      <w:r w:rsidR="005E2928">
        <w:rPr>
          <w:szCs w:val="22"/>
        </w:rPr>
        <w:t>f</w:t>
      </w:r>
      <w:r w:rsidR="00E85A3F">
        <w:rPr>
          <w:szCs w:val="22"/>
        </w:rPr>
        <w:t>or example,</w:t>
      </w:r>
      <w:r w:rsidRPr="00D4640F">
        <w:rPr>
          <w:szCs w:val="22"/>
        </w:rPr>
        <w:t xml:space="preserve"> splitting of overall survival into pre-progression overall survival and post-progression overall</w:t>
      </w:r>
      <w:r w:rsidR="00197AA2" w:rsidRPr="00D4640F">
        <w:rPr>
          <w:szCs w:val="22"/>
        </w:rPr>
        <w:t xml:space="preserve"> survival</w:t>
      </w:r>
      <w:r w:rsidR="00E85A3F">
        <w:rPr>
          <w:szCs w:val="22"/>
        </w:rPr>
        <w:t>)</w:t>
      </w:r>
      <w:r w:rsidRPr="00D4640F">
        <w:rPr>
          <w:szCs w:val="22"/>
        </w:rPr>
        <w:t>; and</w:t>
      </w:r>
    </w:p>
    <w:p w:rsidR="005B521E" w:rsidRPr="00D4640F" w:rsidRDefault="005B521E" w:rsidP="009E7F9E">
      <w:pPr>
        <w:pStyle w:val="ListParagraph"/>
        <w:numPr>
          <w:ilvl w:val="0"/>
          <w:numId w:val="2"/>
        </w:numPr>
        <w:ind w:left="1134"/>
        <w:rPr>
          <w:szCs w:val="22"/>
        </w:rPr>
      </w:pPr>
      <w:r w:rsidRPr="00D4640F">
        <w:rPr>
          <w:szCs w:val="22"/>
        </w:rPr>
        <w:t>the</w:t>
      </w:r>
      <w:r w:rsidR="00E85A3F">
        <w:rPr>
          <w:szCs w:val="22"/>
        </w:rPr>
        <w:t xml:space="preserve"> </w:t>
      </w:r>
      <w:r w:rsidR="00E85A3F" w:rsidRPr="00BE4413">
        <w:rPr>
          <w:szCs w:val="22"/>
        </w:rPr>
        <w:t>high</w:t>
      </w:r>
      <w:r w:rsidRPr="00D4640F">
        <w:rPr>
          <w:szCs w:val="22"/>
        </w:rPr>
        <w:t xml:space="preserve"> absolute utility values for </w:t>
      </w:r>
      <w:r w:rsidR="00E85A3F">
        <w:rPr>
          <w:szCs w:val="22"/>
        </w:rPr>
        <w:t>pre</w:t>
      </w:r>
      <w:r w:rsidR="005E2928">
        <w:rPr>
          <w:szCs w:val="22"/>
        </w:rPr>
        <w:t>-</w:t>
      </w:r>
      <w:r w:rsidRPr="00D4640F">
        <w:rPr>
          <w:szCs w:val="22"/>
        </w:rPr>
        <w:t xml:space="preserve"> and</w:t>
      </w:r>
      <w:r w:rsidR="00E85A3F">
        <w:rPr>
          <w:szCs w:val="22"/>
        </w:rPr>
        <w:t xml:space="preserve"> post-progression</w:t>
      </w:r>
      <w:r w:rsidRPr="00D4640F">
        <w:rPr>
          <w:szCs w:val="22"/>
        </w:rPr>
        <w:t xml:space="preserve"> disease states.</w:t>
      </w:r>
    </w:p>
    <w:p w:rsidR="005B521E" w:rsidRPr="00197AA2" w:rsidRDefault="005B521E" w:rsidP="00197AA2">
      <w:pPr>
        <w:widowControl/>
        <w:rPr>
          <w:szCs w:val="22"/>
        </w:rPr>
      </w:pPr>
    </w:p>
    <w:p w:rsidR="0039048A" w:rsidRDefault="0039048A">
      <w:pPr>
        <w:widowControl/>
        <w:jc w:val="left"/>
      </w:pPr>
      <w:r>
        <w:br w:type="page"/>
      </w:r>
    </w:p>
    <w:p w:rsidR="005B521E" w:rsidRPr="00BE7E6B" w:rsidRDefault="005B521E" w:rsidP="009E7F9E">
      <w:pPr>
        <w:pStyle w:val="ListParagraph"/>
        <w:widowControl/>
        <w:numPr>
          <w:ilvl w:val="1"/>
          <w:numId w:val="3"/>
        </w:numPr>
        <w:rPr>
          <w:szCs w:val="22"/>
        </w:rPr>
      </w:pPr>
      <w:r w:rsidRPr="0039794A">
        <w:t xml:space="preserve">A summary </w:t>
      </w:r>
      <w:r w:rsidRPr="00BE7E6B">
        <w:t>of the model structure and rational</w:t>
      </w:r>
      <w:r w:rsidR="00197AA2">
        <w:t>e is provided in Table 8 below.</w:t>
      </w:r>
    </w:p>
    <w:p w:rsidR="005B521E" w:rsidRPr="00197AA2" w:rsidRDefault="005B521E" w:rsidP="005B521E">
      <w:pPr>
        <w:widowControl/>
        <w:rPr>
          <w:szCs w:val="22"/>
        </w:rPr>
      </w:pPr>
    </w:p>
    <w:p w:rsidR="005B521E" w:rsidRPr="00D06FD4" w:rsidRDefault="005B521E" w:rsidP="005B521E">
      <w:pPr>
        <w:pStyle w:val="ListParagraph"/>
        <w:widowControl/>
        <w:rPr>
          <w:szCs w:val="22"/>
        </w:rPr>
      </w:pPr>
      <w:r w:rsidRPr="00BE7E6B">
        <w:rPr>
          <w:rStyle w:val="CommentReference"/>
        </w:rPr>
        <w:t>Table 8: Summary of model structure and rationale</w:t>
      </w:r>
    </w:p>
    <w:tbl>
      <w:tblPr>
        <w:tblW w:w="822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6521"/>
      </w:tblGrid>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Time horizon</w:t>
            </w:r>
          </w:p>
        </w:tc>
        <w:tc>
          <w:tcPr>
            <w:tcW w:w="652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 xml:space="preserve">24 months in the </w:t>
            </w:r>
            <w:r>
              <w:rPr>
                <w:rFonts w:ascii="Arial Narrow" w:hAnsi="Arial Narrow"/>
                <w:sz w:val="20"/>
              </w:rPr>
              <w:t>model</w:t>
            </w:r>
            <w:r w:rsidRPr="001B33C4">
              <w:rPr>
                <w:rFonts w:ascii="Arial Narrow" w:hAnsi="Arial Narrow"/>
                <w:sz w:val="20"/>
              </w:rPr>
              <w:t xml:space="preserve"> versus </w:t>
            </w:r>
            <w:r>
              <w:rPr>
                <w:rFonts w:ascii="Arial Narrow" w:hAnsi="Arial Narrow"/>
                <w:sz w:val="20"/>
              </w:rPr>
              <w:t>minimum 28</w:t>
            </w:r>
            <w:r w:rsidRPr="001B33C4">
              <w:rPr>
                <w:rFonts w:ascii="Arial Narrow" w:hAnsi="Arial Narrow"/>
                <w:sz w:val="20"/>
              </w:rPr>
              <w:t xml:space="preserve"> months </w:t>
            </w:r>
            <w:r>
              <w:rPr>
                <w:rFonts w:ascii="Arial Narrow" w:hAnsi="Arial Narrow"/>
                <w:sz w:val="20"/>
              </w:rPr>
              <w:t>follow up i</w:t>
            </w:r>
            <w:r w:rsidRPr="001B33C4">
              <w:rPr>
                <w:rFonts w:ascii="Arial Narrow" w:hAnsi="Arial Narrow"/>
                <w:sz w:val="20"/>
              </w:rPr>
              <w:t>n the trial.</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Outcomes</w:t>
            </w:r>
          </w:p>
        </w:tc>
        <w:tc>
          <w:tcPr>
            <w:tcW w:w="652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QALY, LYG</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Methods used to generate results</w:t>
            </w:r>
          </w:p>
        </w:tc>
        <w:tc>
          <w:tcPr>
            <w:tcW w:w="6521" w:type="dxa"/>
            <w:shd w:val="clear" w:color="auto" w:fill="auto"/>
          </w:tcPr>
          <w:p w:rsidR="005B521E" w:rsidRPr="001B33C4" w:rsidRDefault="005B521E" w:rsidP="00415C8E">
            <w:pPr>
              <w:rPr>
                <w:rFonts w:ascii="Arial Narrow" w:hAnsi="Arial Narrow"/>
                <w:sz w:val="20"/>
              </w:rPr>
            </w:pPr>
            <w:r>
              <w:rPr>
                <w:rFonts w:ascii="Arial Narrow" w:hAnsi="Arial Narrow"/>
                <w:sz w:val="20"/>
              </w:rPr>
              <w:t>Cohort expected value analysis, based on the PFS and OS estimates from CA209-067 and MDX010-020.</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Pr>
                <w:rFonts w:ascii="Arial Narrow" w:hAnsi="Arial Narrow"/>
                <w:sz w:val="20"/>
              </w:rPr>
              <w:t>Health states</w:t>
            </w:r>
          </w:p>
        </w:tc>
        <w:tc>
          <w:tcPr>
            <w:tcW w:w="6521" w:type="dxa"/>
            <w:shd w:val="clear" w:color="auto" w:fill="auto"/>
          </w:tcPr>
          <w:p w:rsidR="005B521E" w:rsidRDefault="005B521E" w:rsidP="00415C8E">
            <w:pPr>
              <w:rPr>
                <w:rFonts w:ascii="Arial Narrow" w:hAnsi="Arial Narrow"/>
                <w:sz w:val="20"/>
              </w:rPr>
            </w:pPr>
            <w:r w:rsidRPr="00294814">
              <w:rPr>
                <w:rFonts w:ascii="Arial Narrow" w:hAnsi="Arial Narrow"/>
                <w:sz w:val="20"/>
              </w:rPr>
              <w:t>P0: ‘Alive, pre progression’; P1: ‘Alive post 1st progression’; P2: ‘Alive post 2nd progression’; and dead.</w:t>
            </w:r>
            <w:r>
              <w:rPr>
                <w:rFonts w:ascii="Arial Narrow" w:hAnsi="Arial Narrow"/>
                <w:sz w:val="20"/>
              </w:rPr>
              <w:t xml:space="preserve"> The model allowed for a splitting of overall survival into pre-progression overall survival and post-progression overall survival.</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Cycle length</w:t>
            </w:r>
          </w:p>
        </w:tc>
        <w:tc>
          <w:tcPr>
            <w:tcW w:w="652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2 weeks</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Transition probabilities</w:t>
            </w:r>
          </w:p>
        </w:tc>
        <w:tc>
          <w:tcPr>
            <w:tcW w:w="6521" w:type="dxa"/>
            <w:shd w:val="clear" w:color="auto" w:fill="auto"/>
          </w:tcPr>
          <w:p w:rsidR="005B521E" w:rsidRDefault="005B521E" w:rsidP="00415C8E">
            <w:pPr>
              <w:rPr>
                <w:rFonts w:ascii="Arial Narrow" w:hAnsi="Arial Narrow"/>
                <w:sz w:val="20"/>
              </w:rPr>
            </w:pPr>
            <w:r>
              <w:rPr>
                <w:rFonts w:ascii="Arial Narrow" w:hAnsi="Arial Narrow"/>
                <w:sz w:val="20"/>
              </w:rPr>
              <w:t>The following transition probab</w:t>
            </w:r>
            <w:r w:rsidR="00197AA2">
              <w:rPr>
                <w:rFonts w:ascii="Arial Narrow" w:hAnsi="Arial Narrow"/>
                <w:sz w:val="20"/>
              </w:rPr>
              <w:t>ilities were based on CA209-067</w:t>
            </w:r>
          </w:p>
          <w:p w:rsidR="005B521E" w:rsidRDefault="005B521E" w:rsidP="009E7F9E">
            <w:pPr>
              <w:pStyle w:val="ListParagraph"/>
              <w:numPr>
                <w:ilvl w:val="0"/>
                <w:numId w:val="8"/>
              </w:numPr>
              <w:ind w:left="474"/>
              <w:rPr>
                <w:rFonts w:ascii="Arial Narrow" w:hAnsi="Arial Narrow"/>
                <w:sz w:val="20"/>
              </w:rPr>
            </w:pPr>
            <w:r>
              <w:rPr>
                <w:rFonts w:ascii="Arial Narrow" w:hAnsi="Arial Narrow"/>
                <w:sz w:val="20"/>
              </w:rPr>
              <w:t>P0 to death based on OS data</w:t>
            </w:r>
          </w:p>
          <w:p w:rsidR="005B521E" w:rsidRDefault="005B521E" w:rsidP="009E7F9E">
            <w:pPr>
              <w:pStyle w:val="ListParagraph"/>
              <w:numPr>
                <w:ilvl w:val="0"/>
                <w:numId w:val="8"/>
              </w:numPr>
              <w:ind w:left="474"/>
              <w:rPr>
                <w:rFonts w:ascii="Arial Narrow" w:hAnsi="Arial Narrow"/>
                <w:sz w:val="20"/>
              </w:rPr>
            </w:pPr>
            <w:r>
              <w:rPr>
                <w:rFonts w:ascii="Arial Narrow" w:hAnsi="Arial Narrow"/>
                <w:sz w:val="20"/>
              </w:rPr>
              <w:t>P0 to P1 based on PFS data, less patients who have died (using OS data);</w:t>
            </w:r>
          </w:p>
          <w:p w:rsidR="005B521E" w:rsidRDefault="005B521E" w:rsidP="00415C8E">
            <w:pPr>
              <w:rPr>
                <w:rFonts w:ascii="Arial Narrow" w:hAnsi="Arial Narrow"/>
                <w:sz w:val="20"/>
              </w:rPr>
            </w:pPr>
            <w:r>
              <w:rPr>
                <w:rFonts w:ascii="Arial Narrow" w:hAnsi="Arial Narrow"/>
                <w:sz w:val="20"/>
              </w:rPr>
              <w:t>The following transition probabilities were based on MDX010-020:</w:t>
            </w:r>
          </w:p>
          <w:p w:rsidR="005B521E" w:rsidRPr="00F40E4C" w:rsidRDefault="005B521E" w:rsidP="009E7F9E">
            <w:pPr>
              <w:pStyle w:val="ListParagraph"/>
              <w:numPr>
                <w:ilvl w:val="0"/>
                <w:numId w:val="8"/>
              </w:numPr>
              <w:ind w:left="474"/>
              <w:rPr>
                <w:rFonts w:ascii="Arial Narrow" w:hAnsi="Arial Narrow"/>
                <w:sz w:val="20"/>
              </w:rPr>
            </w:pPr>
            <w:r>
              <w:rPr>
                <w:rFonts w:ascii="Arial Narrow" w:hAnsi="Arial Narrow"/>
                <w:sz w:val="20"/>
              </w:rPr>
              <w:t>P1 and P2 to death based on OS data</w:t>
            </w:r>
          </w:p>
          <w:p w:rsidR="005B521E" w:rsidRPr="006E19F8" w:rsidRDefault="005B521E" w:rsidP="009E7F9E">
            <w:pPr>
              <w:pStyle w:val="ListParagraph"/>
              <w:numPr>
                <w:ilvl w:val="0"/>
                <w:numId w:val="8"/>
              </w:numPr>
              <w:ind w:left="474"/>
              <w:rPr>
                <w:rFonts w:ascii="Arial Narrow" w:hAnsi="Arial Narrow"/>
                <w:sz w:val="20"/>
              </w:rPr>
            </w:pPr>
            <w:r>
              <w:rPr>
                <w:rFonts w:ascii="Arial Narrow" w:hAnsi="Arial Narrow"/>
                <w:sz w:val="20"/>
              </w:rPr>
              <w:t>P1 to P2 based on PFS data, less patients who have died (using OS data).</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Discount rate</w:t>
            </w:r>
          </w:p>
        </w:tc>
        <w:tc>
          <w:tcPr>
            <w:tcW w:w="652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5% p.a. for costs and outcomes</w:t>
            </w:r>
          </w:p>
        </w:tc>
      </w:tr>
      <w:tr w:rsidR="005B521E" w:rsidRPr="001B33C4" w:rsidTr="00415C8E">
        <w:tc>
          <w:tcPr>
            <w:tcW w:w="170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Software package</w:t>
            </w:r>
          </w:p>
        </w:tc>
        <w:tc>
          <w:tcPr>
            <w:tcW w:w="6521" w:type="dxa"/>
            <w:shd w:val="clear" w:color="auto" w:fill="auto"/>
          </w:tcPr>
          <w:p w:rsidR="005B521E" w:rsidRPr="001B33C4" w:rsidRDefault="005B521E" w:rsidP="00415C8E">
            <w:pPr>
              <w:rPr>
                <w:rFonts w:ascii="Arial Narrow" w:hAnsi="Arial Narrow"/>
                <w:sz w:val="20"/>
              </w:rPr>
            </w:pPr>
            <w:r w:rsidRPr="001B33C4">
              <w:rPr>
                <w:rFonts w:ascii="Arial Narrow" w:hAnsi="Arial Narrow"/>
                <w:sz w:val="20"/>
              </w:rPr>
              <w:t>Excel 2010</w:t>
            </w:r>
          </w:p>
        </w:tc>
      </w:tr>
    </w:tbl>
    <w:p w:rsidR="005B521E" w:rsidRDefault="005B521E" w:rsidP="005B521E">
      <w:pPr>
        <w:pStyle w:val="TableFooter"/>
        <w:ind w:firstLine="720"/>
      </w:pPr>
      <w:r>
        <w:t>QALY = quality-adjusted life year gained; LYG = life</w:t>
      </w:r>
      <w:r w:rsidR="002253F0">
        <w:t xml:space="preserve"> year gained; PFS = progression-</w:t>
      </w:r>
      <w:r>
        <w:t>free survival; OS = overall survival.</w:t>
      </w:r>
    </w:p>
    <w:p w:rsidR="005B521E" w:rsidRPr="00275C5A" w:rsidRDefault="005B521E" w:rsidP="005B521E">
      <w:pPr>
        <w:pStyle w:val="TableFooter"/>
        <w:ind w:firstLine="720"/>
      </w:pPr>
      <w:r w:rsidRPr="00275C5A">
        <w:t>Source: compiled during the evaluation</w:t>
      </w:r>
    </w:p>
    <w:p w:rsidR="005B521E" w:rsidRPr="00275C5A" w:rsidRDefault="005B521E" w:rsidP="005B521E">
      <w:pPr>
        <w:widowControl/>
        <w:rPr>
          <w:szCs w:val="22"/>
        </w:rPr>
      </w:pPr>
    </w:p>
    <w:p w:rsidR="005B521E" w:rsidRPr="00BE7E6B" w:rsidRDefault="005B521E" w:rsidP="009E7F9E">
      <w:pPr>
        <w:pStyle w:val="ListParagraph"/>
        <w:widowControl/>
        <w:numPr>
          <w:ilvl w:val="1"/>
          <w:numId w:val="3"/>
        </w:numPr>
        <w:rPr>
          <w:szCs w:val="22"/>
        </w:rPr>
      </w:pPr>
      <w:r w:rsidRPr="00581C20">
        <w:t xml:space="preserve">The key </w:t>
      </w:r>
      <w:r w:rsidRPr="00BE7E6B">
        <w:t>drivers of the model are provided in Table 9.</w:t>
      </w:r>
    </w:p>
    <w:p w:rsidR="005B521E" w:rsidRPr="00BE7E6B" w:rsidRDefault="005B521E" w:rsidP="005B521E">
      <w:pPr>
        <w:widowControl/>
        <w:rPr>
          <w:szCs w:val="22"/>
        </w:rPr>
      </w:pPr>
    </w:p>
    <w:p w:rsidR="005B521E" w:rsidRPr="00BE7E6B" w:rsidRDefault="005B521E" w:rsidP="005B521E">
      <w:pPr>
        <w:ind w:firstLine="720"/>
        <w:rPr>
          <w:rStyle w:val="CommentReference"/>
        </w:rPr>
      </w:pPr>
      <w:r w:rsidRPr="00BE7E6B">
        <w:rPr>
          <w:rStyle w:val="CommentReference"/>
        </w:rPr>
        <w:t>Table 9: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536"/>
        <w:gridCol w:w="2108"/>
      </w:tblGrid>
      <w:tr w:rsidR="005B521E" w:rsidRPr="00E2771E" w:rsidTr="00197AA2">
        <w:trPr>
          <w:tblHeader/>
        </w:trPr>
        <w:tc>
          <w:tcPr>
            <w:tcW w:w="1019" w:type="pct"/>
            <w:shd w:val="clear" w:color="auto" w:fill="auto"/>
            <w:vAlign w:val="center"/>
          </w:tcPr>
          <w:p w:rsidR="005B521E" w:rsidRPr="00BE7E6B" w:rsidRDefault="005B521E" w:rsidP="00415C8E">
            <w:pPr>
              <w:jc w:val="left"/>
              <w:rPr>
                <w:rFonts w:ascii="Arial Narrow" w:hAnsi="Arial Narrow"/>
                <w:b/>
                <w:sz w:val="20"/>
                <w:lang w:val="en-US"/>
              </w:rPr>
            </w:pPr>
            <w:r w:rsidRPr="00BE7E6B">
              <w:rPr>
                <w:rFonts w:ascii="Arial Narrow" w:hAnsi="Arial Narrow"/>
                <w:b/>
                <w:sz w:val="20"/>
                <w:lang w:val="en-US"/>
              </w:rPr>
              <w:t>Description</w:t>
            </w:r>
          </w:p>
        </w:tc>
        <w:tc>
          <w:tcPr>
            <w:tcW w:w="2718" w:type="pct"/>
            <w:shd w:val="clear" w:color="auto" w:fill="auto"/>
            <w:vAlign w:val="center"/>
          </w:tcPr>
          <w:p w:rsidR="005B521E" w:rsidRPr="00BE7E6B" w:rsidRDefault="005B521E" w:rsidP="00415C8E">
            <w:pPr>
              <w:jc w:val="center"/>
              <w:rPr>
                <w:rFonts w:ascii="Arial Narrow" w:hAnsi="Arial Narrow"/>
                <w:b/>
                <w:sz w:val="20"/>
                <w:lang w:val="en-US"/>
              </w:rPr>
            </w:pPr>
            <w:r w:rsidRPr="00BE7E6B">
              <w:rPr>
                <w:rFonts w:ascii="Arial Narrow" w:hAnsi="Arial Narrow"/>
                <w:b/>
                <w:sz w:val="20"/>
                <w:lang w:val="en-US"/>
              </w:rPr>
              <w:t>Method/Value</w:t>
            </w:r>
          </w:p>
        </w:tc>
        <w:tc>
          <w:tcPr>
            <w:tcW w:w="1263" w:type="pct"/>
            <w:shd w:val="clear" w:color="auto" w:fill="auto"/>
            <w:vAlign w:val="center"/>
          </w:tcPr>
          <w:p w:rsidR="005B521E" w:rsidRPr="00E2771E" w:rsidRDefault="005B521E" w:rsidP="00415C8E">
            <w:pPr>
              <w:jc w:val="center"/>
              <w:rPr>
                <w:rFonts w:ascii="Arial Narrow" w:hAnsi="Arial Narrow"/>
                <w:b/>
                <w:sz w:val="20"/>
                <w:lang w:val="en-US"/>
              </w:rPr>
            </w:pPr>
            <w:r w:rsidRPr="00BE7E6B">
              <w:rPr>
                <w:rFonts w:ascii="Arial Narrow" w:hAnsi="Arial Narrow"/>
                <w:b/>
                <w:sz w:val="20"/>
                <w:lang w:val="en-US"/>
              </w:rPr>
              <w:t>Impact</w:t>
            </w:r>
          </w:p>
        </w:tc>
      </w:tr>
      <w:tr w:rsidR="001E52C2" w:rsidRPr="00677F85" w:rsidTr="00197AA2">
        <w:tc>
          <w:tcPr>
            <w:tcW w:w="1019" w:type="pct"/>
            <w:shd w:val="clear" w:color="auto" w:fill="auto"/>
            <w:vAlign w:val="center"/>
          </w:tcPr>
          <w:p w:rsidR="001E52C2" w:rsidRPr="00677F85" w:rsidRDefault="001E52C2" w:rsidP="00415C8E">
            <w:pPr>
              <w:jc w:val="left"/>
              <w:rPr>
                <w:rFonts w:ascii="Arial Narrow" w:hAnsi="Arial Narrow"/>
                <w:sz w:val="20"/>
                <w:lang w:val="en-US"/>
              </w:rPr>
            </w:pPr>
            <w:r w:rsidRPr="00677F85">
              <w:rPr>
                <w:rFonts w:ascii="Arial Narrow" w:hAnsi="Arial Narrow"/>
                <w:sz w:val="20"/>
                <w:lang w:val="en-US"/>
              </w:rPr>
              <w:t>Costing error</w:t>
            </w:r>
          </w:p>
        </w:tc>
        <w:tc>
          <w:tcPr>
            <w:tcW w:w="2718" w:type="pct"/>
            <w:shd w:val="clear" w:color="auto" w:fill="auto"/>
            <w:vAlign w:val="center"/>
          </w:tcPr>
          <w:p w:rsidR="001E52C2" w:rsidRPr="00677F85" w:rsidRDefault="001E52C2" w:rsidP="00415C8E">
            <w:pPr>
              <w:jc w:val="center"/>
              <w:rPr>
                <w:rFonts w:ascii="Arial Narrow" w:hAnsi="Arial Narrow"/>
                <w:sz w:val="20"/>
                <w:lang w:val="en-US"/>
              </w:rPr>
            </w:pPr>
            <w:r w:rsidRPr="00677F85">
              <w:rPr>
                <w:rFonts w:ascii="Arial Narrow" w:hAnsi="Arial Narrow"/>
                <w:sz w:val="20"/>
                <w:lang w:val="en-US"/>
              </w:rPr>
              <w:t>Incorrect cost entered for ipilimumab in the combination therapy arm</w:t>
            </w:r>
          </w:p>
        </w:tc>
        <w:tc>
          <w:tcPr>
            <w:tcW w:w="1263" w:type="pct"/>
            <w:shd w:val="clear" w:color="auto" w:fill="auto"/>
            <w:vAlign w:val="center"/>
          </w:tcPr>
          <w:p w:rsidR="001E52C2" w:rsidRPr="00677F85" w:rsidRDefault="001E52C2" w:rsidP="00415C8E">
            <w:pPr>
              <w:jc w:val="center"/>
              <w:rPr>
                <w:rFonts w:ascii="Arial Narrow" w:hAnsi="Arial Narrow"/>
                <w:sz w:val="20"/>
                <w:lang w:val="en-US"/>
              </w:rPr>
            </w:pPr>
            <w:r w:rsidRPr="00677F85">
              <w:rPr>
                <w:rFonts w:ascii="Arial Narrow" w:hAnsi="Arial Narrow"/>
                <w:sz w:val="20"/>
                <w:lang w:val="en-US"/>
              </w:rPr>
              <w:t>High, favours NIVO+IPI</w:t>
            </w:r>
          </w:p>
        </w:tc>
      </w:tr>
      <w:tr w:rsidR="005B521E" w:rsidRPr="00677F85" w:rsidTr="00197AA2">
        <w:tc>
          <w:tcPr>
            <w:tcW w:w="1019" w:type="pct"/>
            <w:shd w:val="clear" w:color="auto" w:fill="auto"/>
            <w:vAlign w:val="center"/>
          </w:tcPr>
          <w:p w:rsidR="005B521E" w:rsidRPr="00677F85" w:rsidRDefault="005B521E" w:rsidP="00415C8E">
            <w:pPr>
              <w:jc w:val="left"/>
              <w:rPr>
                <w:rFonts w:ascii="Arial Narrow" w:hAnsi="Arial Narrow"/>
                <w:sz w:val="20"/>
                <w:lang w:val="en-US"/>
              </w:rPr>
            </w:pPr>
            <w:r w:rsidRPr="00677F85">
              <w:rPr>
                <w:rFonts w:ascii="Arial Narrow" w:hAnsi="Arial Narrow"/>
                <w:sz w:val="20"/>
                <w:lang w:val="en-US"/>
              </w:rPr>
              <w:t>Utilities</w:t>
            </w:r>
          </w:p>
        </w:tc>
        <w:tc>
          <w:tcPr>
            <w:tcW w:w="2718" w:type="pct"/>
            <w:shd w:val="clear" w:color="auto" w:fill="auto"/>
            <w:vAlign w:val="center"/>
          </w:tcPr>
          <w:p w:rsidR="005B521E" w:rsidRPr="00677F85" w:rsidRDefault="005B521E" w:rsidP="00415C8E">
            <w:pPr>
              <w:jc w:val="center"/>
              <w:rPr>
                <w:rFonts w:ascii="Arial Narrow" w:hAnsi="Arial Narrow"/>
                <w:sz w:val="20"/>
                <w:lang w:val="en-US"/>
              </w:rPr>
            </w:pPr>
            <w:r w:rsidRPr="00677F85">
              <w:rPr>
                <w:rFonts w:ascii="Arial Narrow" w:hAnsi="Arial Narrow"/>
                <w:sz w:val="20"/>
                <w:lang w:val="en-US"/>
              </w:rPr>
              <w:t>High values for model health states, and no disutility for AEs</w:t>
            </w:r>
          </w:p>
        </w:tc>
        <w:tc>
          <w:tcPr>
            <w:tcW w:w="1263" w:type="pct"/>
            <w:shd w:val="clear" w:color="auto" w:fill="auto"/>
            <w:vAlign w:val="center"/>
          </w:tcPr>
          <w:p w:rsidR="005B521E" w:rsidRPr="00677F85" w:rsidRDefault="005B521E" w:rsidP="00415C8E">
            <w:pPr>
              <w:jc w:val="center"/>
              <w:rPr>
                <w:rFonts w:ascii="Arial Narrow" w:hAnsi="Arial Narrow"/>
                <w:sz w:val="20"/>
                <w:lang w:val="en-US"/>
              </w:rPr>
            </w:pPr>
            <w:r w:rsidRPr="00677F85">
              <w:rPr>
                <w:rFonts w:ascii="Arial Narrow" w:hAnsi="Arial Narrow"/>
                <w:sz w:val="20"/>
                <w:lang w:val="en-US"/>
              </w:rPr>
              <w:t>High, favours NIVO+IPI</w:t>
            </w:r>
          </w:p>
        </w:tc>
      </w:tr>
      <w:tr w:rsidR="001E52C2" w:rsidRPr="00677F85" w:rsidTr="00B935D3">
        <w:tc>
          <w:tcPr>
            <w:tcW w:w="1019" w:type="pct"/>
            <w:shd w:val="clear" w:color="auto" w:fill="auto"/>
            <w:vAlign w:val="center"/>
          </w:tcPr>
          <w:p w:rsidR="001E52C2" w:rsidRPr="00677F85" w:rsidRDefault="002E136D" w:rsidP="002E136D">
            <w:pPr>
              <w:jc w:val="left"/>
              <w:rPr>
                <w:rFonts w:ascii="Arial Narrow" w:hAnsi="Arial Narrow"/>
                <w:sz w:val="20"/>
                <w:lang w:val="en-US"/>
              </w:rPr>
            </w:pPr>
            <w:r w:rsidRPr="00677F85">
              <w:rPr>
                <w:rFonts w:ascii="Arial Narrow" w:hAnsi="Arial Narrow"/>
                <w:sz w:val="20"/>
                <w:lang w:val="en-US"/>
              </w:rPr>
              <w:t>Second-</w:t>
            </w:r>
            <w:r w:rsidR="001E52C2" w:rsidRPr="00677F85">
              <w:rPr>
                <w:rFonts w:ascii="Arial Narrow" w:hAnsi="Arial Narrow"/>
                <w:sz w:val="20"/>
                <w:lang w:val="en-US"/>
              </w:rPr>
              <w:t>line therapies</w:t>
            </w:r>
          </w:p>
        </w:tc>
        <w:tc>
          <w:tcPr>
            <w:tcW w:w="2718" w:type="pct"/>
            <w:shd w:val="clear" w:color="auto" w:fill="auto"/>
            <w:vAlign w:val="center"/>
          </w:tcPr>
          <w:p w:rsidR="001E52C2" w:rsidRPr="00677F85" w:rsidRDefault="001E52C2" w:rsidP="00B935D3">
            <w:pPr>
              <w:jc w:val="center"/>
              <w:rPr>
                <w:rFonts w:ascii="Arial Narrow" w:hAnsi="Arial Narrow"/>
                <w:sz w:val="20"/>
                <w:lang w:val="en-US"/>
              </w:rPr>
            </w:pPr>
            <w:r w:rsidRPr="00677F85">
              <w:rPr>
                <w:rFonts w:ascii="Arial Narrow" w:hAnsi="Arial Narrow"/>
                <w:sz w:val="20"/>
                <w:lang w:val="en-US"/>
              </w:rPr>
              <w:t xml:space="preserve">No active treatment in the nivolumab plus ipilimumab arm, and all patients receive treatment with ipilimumab after progression </w:t>
            </w:r>
            <w:r w:rsidR="005E2928" w:rsidRPr="00677F85">
              <w:rPr>
                <w:rFonts w:ascii="Arial Narrow" w:hAnsi="Arial Narrow"/>
                <w:sz w:val="20"/>
                <w:lang w:val="en-US"/>
              </w:rPr>
              <w:t xml:space="preserve">with nivolumab monotherapy </w:t>
            </w:r>
            <w:r w:rsidRPr="00677F85">
              <w:rPr>
                <w:rFonts w:ascii="Arial Narrow" w:hAnsi="Arial Narrow"/>
                <w:sz w:val="20"/>
                <w:lang w:val="en-US"/>
              </w:rPr>
              <w:t>in the comparator arm.</w:t>
            </w:r>
          </w:p>
        </w:tc>
        <w:tc>
          <w:tcPr>
            <w:tcW w:w="1263" w:type="pct"/>
            <w:shd w:val="clear" w:color="auto" w:fill="auto"/>
            <w:vAlign w:val="center"/>
          </w:tcPr>
          <w:p w:rsidR="001E52C2" w:rsidRPr="00677F85" w:rsidRDefault="001E52C2" w:rsidP="00B935D3">
            <w:pPr>
              <w:jc w:val="center"/>
              <w:rPr>
                <w:rFonts w:ascii="Arial Narrow" w:hAnsi="Arial Narrow"/>
                <w:sz w:val="20"/>
                <w:lang w:val="en-US"/>
              </w:rPr>
            </w:pPr>
            <w:r w:rsidRPr="00677F85">
              <w:rPr>
                <w:rFonts w:ascii="Arial Narrow" w:hAnsi="Arial Narrow"/>
                <w:sz w:val="20"/>
                <w:lang w:val="en-US"/>
              </w:rPr>
              <w:t>High, favours NIVO+IPI</w:t>
            </w:r>
          </w:p>
        </w:tc>
      </w:tr>
      <w:tr w:rsidR="005B521E" w:rsidRPr="00677F85" w:rsidTr="00197AA2">
        <w:tc>
          <w:tcPr>
            <w:tcW w:w="1019" w:type="pct"/>
            <w:shd w:val="clear" w:color="auto" w:fill="auto"/>
            <w:vAlign w:val="center"/>
          </w:tcPr>
          <w:p w:rsidR="005B521E" w:rsidRPr="00677F85" w:rsidRDefault="005B521E" w:rsidP="00197AA2">
            <w:pPr>
              <w:jc w:val="left"/>
              <w:rPr>
                <w:rFonts w:ascii="Arial Narrow" w:hAnsi="Arial Narrow"/>
                <w:sz w:val="20"/>
                <w:lang w:val="en-US"/>
              </w:rPr>
            </w:pPr>
            <w:r w:rsidRPr="00677F85">
              <w:rPr>
                <w:rFonts w:ascii="Arial Narrow" w:hAnsi="Arial Narrow"/>
                <w:sz w:val="20"/>
                <w:lang w:val="en-US"/>
              </w:rPr>
              <w:t xml:space="preserve">Model </w:t>
            </w:r>
            <w:r w:rsidR="00197AA2" w:rsidRPr="00677F85">
              <w:rPr>
                <w:rFonts w:ascii="Arial Narrow" w:hAnsi="Arial Narrow"/>
                <w:sz w:val="20"/>
                <w:lang w:val="en-US"/>
              </w:rPr>
              <w:t>s</w:t>
            </w:r>
            <w:r w:rsidRPr="00677F85">
              <w:rPr>
                <w:rFonts w:ascii="Arial Narrow" w:hAnsi="Arial Narrow"/>
                <w:sz w:val="20"/>
                <w:lang w:val="en-US"/>
              </w:rPr>
              <w:t>tructure</w:t>
            </w:r>
          </w:p>
        </w:tc>
        <w:tc>
          <w:tcPr>
            <w:tcW w:w="2718" w:type="pct"/>
            <w:shd w:val="clear" w:color="auto" w:fill="auto"/>
            <w:vAlign w:val="center"/>
          </w:tcPr>
          <w:p w:rsidR="005B521E" w:rsidRPr="00677F85" w:rsidRDefault="005B521E" w:rsidP="00415C8E">
            <w:pPr>
              <w:jc w:val="center"/>
              <w:rPr>
                <w:rFonts w:ascii="Arial Narrow" w:hAnsi="Arial Narrow"/>
                <w:sz w:val="20"/>
                <w:lang w:val="en-US"/>
              </w:rPr>
            </w:pPr>
            <w:r w:rsidRPr="00677F85">
              <w:rPr>
                <w:rFonts w:ascii="Arial Narrow" w:hAnsi="Arial Narrow"/>
                <w:sz w:val="20"/>
                <w:lang w:val="en-US"/>
              </w:rPr>
              <w:t>Splitting overall survival into pre-progression overall survival and post-progression survival</w:t>
            </w:r>
          </w:p>
        </w:tc>
        <w:tc>
          <w:tcPr>
            <w:tcW w:w="1263" w:type="pct"/>
            <w:shd w:val="clear" w:color="auto" w:fill="auto"/>
            <w:vAlign w:val="center"/>
          </w:tcPr>
          <w:p w:rsidR="005B521E" w:rsidRPr="00677F85" w:rsidRDefault="002E136D" w:rsidP="002E136D">
            <w:pPr>
              <w:jc w:val="center"/>
              <w:rPr>
                <w:rFonts w:ascii="Arial Narrow" w:hAnsi="Arial Narrow"/>
                <w:sz w:val="20"/>
                <w:lang w:val="en-US"/>
              </w:rPr>
            </w:pPr>
            <w:r w:rsidRPr="00677F85">
              <w:rPr>
                <w:rFonts w:ascii="Arial Narrow" w:hAnsi="Arial Narrow"/>
                <w:sz w:val="20"/>
                <w:lang w:val="en-US"/>
              </w:rPr>
              <w:t xml:space="preserve"> </w:t>
            </w:r>
            <w:r w:rsidR="001E52C2" w:rsidRPr="00677F85">
              <w:rPr>
                <w:rFonts w:ascii="Arial Narrow" w:hAnsi="Arial Narrow"/>
                <w:sz w:val="20"/>
                <w:lang w:val="en-US"/>
              </w:rPr>
              <w:t xml:space="preserve">Linked to representation of </w:t>
            </w:r>
            <w:r w:rsidRPr="00677F85">
              <w:rPr>
                <w:rFonts w:ascii="Arial Narrow" w:hAnsi="Arial Narrow"/>
                <w:sz w:val="20"/>
                <w:lang w:val="en-US"/>
              </w:rPr>
              <w:t>second-</w:t>
            </w:r>
            <w:r w:rsidR="001E52C2" w:rsidRPr="00677F85">
              <w:rPr>
                <w:rFonts w:ascii="Arial Narrow" w:hAnsi="Arial Narrow"/>
                <w:sz w:val="20"/>
                <w:lang w:val="en-US"/>
              </w:rPr>
              <w:t>line therapies</w:t>
            </w:r>
          </w:p>
        </w:tc>
      </w:tr>
    </w:tbl>
    <w:p w:rsidR="005B521E" w:rsidRPr="00677F85" w:rsidRDefault="005B521E" w:rsidP="005B521E">
      <w:pPr>
        <w:pStyle w:val="TableFooter"/>
        <w:ind w:firstLine="720"/>
      </w:pPr>
      <w:r w:rsidRPr="00677F85">
        <w:t>AE = adverse events</w:t>
      </w:r>
      <w:r w:rsidR="00197AA2" w:rsidRPr="00677F85">
        <w:t>; IPI = ipilimumab; NIVO = nivolumab</w:t>
      </w:r>
      <w:r w:rsidRPr="00677F85">
        <w:t>.</w:t>
      </w:r>
    </w:p>
    <w:p w:rsidR="005B521E" w:rsidRPr="00677F85" w:rsidRDefault="005B521E" w:rsidP="005B521E">
      <w:pPr>
        <w:pStyle w:val="TableFooter"/>
        <w:ind w:firstLine="720"/>
      </w:pPr>
      <w:r w:rsidRPr="00677F85">
        <w:t>Source: compiled during the evaluation</w:t>
      </w:r>
    </w:p>
    <w:p w:rsidR="005B521E" w:rsidRPr="00275C5A" w:rsidRDefault="005B521E" w:rsidP="005B521E">
      <w:pPr>
        <w:widowControl/>
        <w:rPr>
          <w:szCs w:val="22"/>
        </w:rPr>
      </w:pPr>
    </w:p>
    <w:p w:rsidR="005B521E" w:rsidRPr="00D4640F" w:rsidRDefault="004B544D" w:rsidP="009E7F9E">
      <w:pPr>
        <w:pStyle w:val="ListParagraph"/>
        <w:widowControl/>
        <w:numPr>
          <w:ilvl w:val="1"/>
          <w:numId w:val="3"/>
        </w:numPr>
        <w:rPr>
          <w:szCs w:val="22"/>
        </w:rPr>
      </w:pPr>
      <w:r w:rsidRPr="00D4640F">
        <w:t xml:space="preserve">A major error was identified in the </w:t>
      </w:r>
      <w:r w:rsidR="008D1756">
        <w:t>resubmission</w:t>
      </w:r>
      <w:r w:rsidRPr="00D4640F">
        <w:t>’s model, where the total regimen cost of ipilimumab (12 weeks/4 cycles) was applied every cycle (3 weeks) in the comparator arm. This meant that the regimen cost for patients progressing in the comparator arm was four</w:t>
      </w:r>
      <w:r w:rsidR="00BE4413">
        <w:t xml:space="preserve"> </w:t>
      </w:r>
      <w:r w:rsidRPr="00D4640F">
        <w:t>times what it should have been. The cost of ipilimumab was correctly applied in the NIVO+IPI arm. Correcting this error resulted in an incremental cost per patient of $</w:t>
      </w:r>
      <w:r w:rsidR="00EC7969">
        <w:rPr>
          <w:noProof/>
          <w:color w:val="000000"/>
          <w:highlight w:val="black"/>
        </w:rPr>
        <w:t>'''''''''''''''''</w:t>
      </w:r>
      <w:r w:rsidRPr="00D4640F">
        <w:t>, rather than a cost saving of $</w:t>
      </w:r>
      <w:r w:rsidR="00EC7969">
        <w:rPr>
          <w:noProof/>
          <w:color w:val="000000"/>
          <w:highlight w:val="black"/>
        </w:rPr>
        <w:t>'''''''''''''''</w:t>
      </w:r>
      <w:r w:rsidRPr="00D4640F">
        <w:t xml:space="preserve"> as presented in the </w:t>
      </w:r>
      <w:r w:rsidR="008D1756">
        <w:t>resubmission</w:t>
      </w:r>
      <w:r w:rsidRPr="00D4640F">
        <w:t xml:space="preserve">. All else being equal, this resulted in an ICER of </w:t>
      </w:r>
      <w:r w:rsidR="00D212A5">
        <w:t xml:space="preserve">more than </w:t>
      </w:r>
      <w:r w:rsidRPr="00D4640F">
        <w:rPr>
          <w:rStyle w:val="inline-comment-marker"/>
        </w:rPr>
        <w:t>$</w:t>
      </w:r>
      <w:r w:rsidR="00D212A5">
        <w:rPr>
          <w:rStyle w:val="inline-comment-marker"/>
        </w:rPr>
        <w:t>200,000</w:t>
      </w:r>
      <w:r w:rsidRPr="00D4640F">
        <w:t>/QALY.</w:t>
      </w:r>
    </w:p>
    <w:p w:rsidR="0039048A" w:rsidRDefault="0039048A">
      <w:pPr>
        <w:widowControl/>
        <w:jc w:val="left"/>
      </w:pPr>
      <w:r>
        <w:br w:type="page"/>
      </w:r>
    </w:p>
    <w:p w:rsidR="005B521E" w:rsidRDefault="005B521E" w:rsidP="005B521E"/>
    <w:p w:rsidR="005B521E" w:rsidRPr="00BE7E6B" w:rsidRDefault="005B521E" w:rsidP="005B521E">
      <w:pPr>
        <w:ind w:left="709"/>
        <w:rPr>
          <w:rFonts w:ascii="Arial Narrow" w:hAnsi="Arial Narrow"/>
          <w:b/>
          <w:sz w:val="20"/>
          <w:szCs w:val="22"/>
        </w:rPr>
      </w:pPr>
      <w:r>
        <w:rPr>
          <w:rFonts w:ascii="Arial Narrow" w:hAnsi="Arial Narrow"/>
          <w:b/>
          <w:sz w:val="20"/>
          <w:szCs w:val="22"/>
        </w:rPr>
        <w:t>Table 10</w:t>
      </w:r>
      <w:r w:rsidRPr="00BE7E6B">
        <w:rPr>
          <w:rFonts w:ascii="Arial Narrow" w:hAnsi="Arial Narrow"/>
          <w:b/>
          <w:sz w:val="20"/>
          <w:szCs w:val="22"/>
        </w:rPr>
        <w:t xml:space="preserve">: Results of the </w:t>
      </w:r>
      <w:r>
        <w:rPr>
          <w:rFonts w:ascii="Arial Narrow" w:hAnsi="Arial Narrow"/>
          <w:b/>
          <w:sz w:val="20"/>
          <w:szCs w:val="22"/>
        </w:rPr>
        <w:t>e</w:t>
      </w:r>
      <w:r w:rsidRPr="00BE7E6B">
        <w:rPr>
          <w:rFonts w:ascii="Arial Narrow" w:hAnsi="Arial Narrow"/>
          <w:b/>
          <w:sz w:val="20"/>
          <w:szCs w:val="22"/>
        </w:rPr>
        <w:t>conomic evaluation</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2692"/>
        <w:gridCol w:w="1986"/>
        <w:gridCol w:w="1842"/>
      </w:tblGrid>
      <w:tr w:rsidR="005B521E" w:rsidRPr="004E2ADC" w:rsidTr="00415C8E">
        <w:tc>
          <w:tcPr>
            <w:tcW w:w="1035" w:type="pct"/>
          </w:tcPr>
          <w:p w:rsidR="005B521E" w:rsidRPr="004E2ADC" w:rsidRDefault="005B521E" w:rsidP="00415C8E">
            <w:pPr>
              <w:rPr>
                <w:rFonts w:ascii="Arial Narrow" w:hAnsi="Arial Narrow"/>
                <w:b/>
                <w:sz w:val="20"/>
              </w:rPr>
            </w:pPr>
            <w:r w:rsidRPr="004E2ADC">
              <w:rPr>
                <w:rFonts w:ascii="Arial Narrow" w:hAnsi="Arial Narrow"/>
                <w:b/>
                <w:sz w:val="20"/>
              </w:rPr>
              <w:t>Component</w:t>
            </w:r>
          </w:p>
        </w:tc>
        <w:tc>
          <w:tcPr>
            <w:tcW w:w="1637" w:type="pct"/>
            <w:vAlign w:val="center"/>
          </w:tcPr>
          <w:p w:rsidR="005B521E" w:rsidRPr="004E2ADC" w:rsidRDefault="005B521E" w:rsidP="00415C8E">
            <w:pPr>
              <w:jc w:val="center"/>
              <w:rPr>
                <w:rFonts w:ascii="Arial Narrow" w:hAnsi="Arial Narrow"/>
                <w:b/>
                <w:sz w:val="20"/>
              </w:rPr>
            </w:pPr>
            <w:r>
              <w:rPr>
                <w:rFonts w:ascii="Arial Narrow" w:hAnsi="Arial Narrow"/>
                <w:b/>
                <w:sz w:val="20"/>
              </w:rPr>
              <w:t>NIVO+IPI followed by BSC</w:t>
            </w:r>
          </w:p>
        </w:tc>
        <w:tc>
          <w:tcPr>
            <w:tcW w:w="1208" w:type="pct"/>
            <w:vAlign w:val="center"/>
          </w:tcPr>
          <w:p w:rsidR="005B521E" w:rsidRPr="004E2ADC" w:rsidRDefault="005B521E" w:rsidP="00415C8E">
            <w:pPr>
              <w:jc w:val="center"/>
              <w:rPr>
                <w:rFonts w:ascii="Arial Narrow" w:hAnsi="Arial Narrow"/>
                <w:b/>
                <w:sz w:val="20"/>
              </w:rPr>
            </w:pPr>
            <w:r>
              <w:rPr>
                <w:rFonts w:ascii="Arial Narrow" w:hAnsi="Arial Narrow"/>
                <w:b/>
                <w:sz w:val="20"/>
              </w:rPr>
              <w:t>NIVO followed by IPI</w:t>
            </w:r>
          </w:p>
        </w:tc>
        <w:tc>
          <w:tcPr>
            <w:tcW w:w="1120" w:type="pct"/>
          </w:tcPr>
          <w:p w:rsidR="005B521E" w:rsidRPr="004E2ADC" w:rsidRDefault="005B521E" w:rsidP="00415C8E">
            <w:pPr>
              <w:jc w:val="center"/>
              <w:rPr>
                <w:rFonts w:ascii="Arial Narrow" w:hAnsi="Arial Narrow"/>
                <w:b/>
                <w:sz w:val="20"/>
              </w:rPr>
            </w:pPr>
            <w:r w:rsidRPr="004E2ADC">
              <w:rPr>
                <w:rFonts w:ascii="Arial Narrow" w:hAnsi="Arial Narrow"/>
                <w:b/>
                <w:sz w:val="20"/>
              </w:rPr>
              <w:t>Increment</w:t>
            </w:r>
          </w:p>
        </w:tc>
      </w:tr>
      <w:tr w:rsidR="005B521E" w:rsidRPr="004E2ADC" w:rsidTr="00415C8E">
        <w:tc>
          <w:tcPr>
            <w:tcW w:w="1035" w:type="pct"/>
            <w:tcBorders>
              <w:bottom w:val="nil"/>
            </w:tcBorders>
            <w:vAlign w:val="center"/>
          </w:tcPr>
          <w:p w:rsidR="005B521E" w:rsidRPr="004E2ADC" w:rsidRDefault="005B521E" w:rsidP="00197AA2">
            <w:pPr>
              <w:rPr>
                <w:rFonts w:ascii="Arial Narrow" w:hAnsi="Arial Narrow"/>
                <w:sz w:val="20"/>
              </w:rPr>
            </w:pPr>
            <w:r>
              <w:rPr>
                <w:rFonts w:ascii="Arial Narrow" w:hAnsi="Arial Narrow" w:cs="Times New Roman"/>
                <w:sz w:val="20"/>
              </w:rPr>
              <w:t xml:space="preserve">Total </w:t>
            </w:r>
            <w:r w:rsidR="00197AA2">
              <w:rPr>
                <w:rFonts w:ascii="Arial Narrow" w:hAnsi="Arial Narrow" w:cs="Times New Roman"/>
                <w:sz w:val="20"/>
              </w:rPr>
              <w:t>c</w:t>
            </w:r>
            <w:r>
              <w:rPr>
                <w:rFonts w:ascii="Arial Narrow" w:hAnsi="Arial Narrow" w:cs="Times New Roman"/>
                <w:sz w:val="20"/>
              </w:rPr>
              <w:t>osts</w:t>
            </w:r>
          </w:p>
        </w:tc>
        <w:tc>
          <w:tcPr>
            <w:tcW w:w="1637" w:type="pct"/>
            <w:tcBorders>
              <w:bottom w:val="nil"/>
            </w:tcBorders>
          </w:tcPr>
          <w:p w:rsidR="005B521E" w:rsidRPr="004E2ADC" w:rsidRDefault="005B521E" w:rsidP="00415C8E">
            <w:pPr>
              <w:jc w:val="center"/>
              <w:rPr>
                <w:rFonts w:ascii="Arial Narrow" w:hAnsi="Arial Narrow"/>
                <w:sz w:val="20"/>
              </w:rPr>
            </w:pPr>
            <w:r w:rsidRPr="00A76149">
              <w:rPr>
                <w:rFonts w:ascii="Arial Narrow" w:hAnsi="Arial Narrow"/>
                <w:sz w:val="20"/>
              </w:rPr>
              <w:t>$</w:t>
            </w:r>
            <w:r w:rsidR="00EC7969">
              <w:rPr>
                <w:rFonts w:ascii="Arial Narrow" w:hAnsi="Arial Narrow"/>
                <w:noProof/>
                <w:color w:val="000000"/>
                <w:sz w:val="20"/>
                <w:highlight w:val="black"/>
              </w:rPr>
              <w:t>'''''''''''''''''</w:t>
            </w:r>
          </w:p>
        </w:tc>
        <w:tc>
          <w:tcPr>
            <w:tcW w:w="1208" w:type="pct"/>
            <w:tcBorders>
              <w:bottom w:val="nil"/>
            </w:tcBorders>
          </w:tcPr>
          <w:p w:rsidR="005B521E" w:rsidRPr="004E2ADC" w:rsidRDefault="005B521E" w:rsidP="00415C8E">
            <w:pPr>
              <w:jc w:val="center"/>
              <w:rPr>
                <w:rFonts w:ascii="Arial Narrow" w:hAnsi="Arial Narrow"/>
                <w:sz w:val="20"/>
              </w:rPr>
            </w:pPr>
            <w:r w:rsidRPr="00A76149">
              <w:rPr>
                <w:rFonts w:ascii="Arial Narrow" w:hAnsi="Arial Narrow"/>
                <w:sz w:val="20"/>
              </w:rPr>
              <w:t>$</w:t>
            </w:r>
            <w:r w:rsidR="00EC7969">
              <w:rPr>
                <w:rFonts w:ascii="Arial Narrow" w:hAnsi="Arial Narrow"/>
                <w:noProof/>
                <w:color w:val="000000"/>
                <w:sz w:val="20"/>
                <w:highlight w:val="black"/>
              </w:rPr>
              <w:t>'''''''''''''''''''</w:t>
            </w:r>
          </w:p>
        </w:tc>
        <w:tc>
          <w:tcPr>
            <w:tcW w:w="1120" w:type="pct"/>
            <w:tcBorders>
              <w:bottom w:val="nil"/>
            </w:tcBorders>
          </w:tcPr>
          <w:p w:rsidR="005B521E" w:rsidRPr="004E2ADC" w:rsidRDefault="005B521E" w:rsidP="00415C8E">
            <w:pPr>
              <w:jc w:val="center"/>
              <w:rPr>
                <w:rFonts w:ascii="Arial Narrow" w:hAnsi="Arial Narrow"/>
                <w:sz w:val="20"/>
              </w:rPr>
            </w:pPr>
            <w:r w:rsidRPr="00A76149">
              <w:rPr>
                <w:rFonts w:ascii="Arial Narrow" w:hAnsi="Arial Narrow"/>
                <w:sz w:val="20"/>
              </w:rPr>
              <w:t>-$</w:t>
            </w:r>
            <w:r w:rsidR="00EC7969">
              <w:rPr>
                <w:rFonts w:ascii="Arial Narrow" w:hAnsi="Arial Narrow"/>
                <w:noProof/>
                <w:color w:val="000000"/>
                <w:sz w:val="20"/>
                <w:highlight w:val="black"/>
              </w:rPr>
              <w:t>''''''''''''''''</w:t>
            </w:r>
          </w:p>
        </w:tc>
      </w:tr>
      <w:tr w:rsidR="005B521E" w:rsidRPr="00F12F62" w:rsidTr="00415C8E">
        <w:tc>
          <w:tcPr>
            <w:tcW w:w="1035" w:type="pct"/>
            <w:tcBorders>
              <w:top w:val="nil"/>
            </w:tcBorders>
            <w:vAlign w:val="center"/>
          </w:tcPr>
          <w:p w:rsidR="005B521E" w:rsidRPr="00F12F62" w:rsidRDefault="005B521E" w:rsidP="00415C8E">
            <w:pPr>
              <w:rPr>
                <w:rFonts w:ascii="Arial Narrow" w:hAnsi="Arial Narrow"/>
                <w:sz w:val="20"/>
              </w:rPr>
            </w:pPr>
            <w:r w:rsidRPr="00F12F62">
              <w:rPr>
                <w:rFonts w:ascii="Arial Narrow" w:hAnsi="Arial Narrow" w:cs="Times New Roman"/>
                <w:sz w:val="20"/>
              </w:rPr>
              <w:t>Revised</w:t>
            </w:r>
            <w:r w:rsidRPr="00F12F62">
              <w:rPr>
                <w:rFonts w:ascii="Arial Narrow" w:hAnsi="Arial Narrow" w:cs="Times New Roman"/>
                <w:sz w:val="20"/>
                <w:vertAlign w:val="superscript"/>
              </w:rPr>
              <w:t>1</w:t>
            </w:r>
          </w:p>
        </w:tc>
        <w:tc>
          <w:tcPr>
            <w:tcW w:w="1637" w:type="pct"/>
            <w:tcBorders>
              <w:top w:val="nil"/>
            </w:tcBorders>
          </w:tcPr>
          <w:p w:rsidR="005B521E" w:rsidRPr="00F12F62" w:rsidRDefault="005B521E" w:rsidP="00415C8E">
            <w:pPr>
              <w:jc w:val="center"/>
              <w:rPr>
                <w:rFonts w:ascii="Arial Narrow" w:hAnsi="Arial Narrow"/>
                <w:sz w:val="20"/>
              </w:rPr>
            </w:pPr>
            <w:r w:rsidRPr="00F12F62">
              <w:rPr>
                <w:rFonts w:ascii="Arial Narrow" w:hAnsi="Arial Narrow"/>
                <w:sz w:val="20"/>
              </w:rPr>
              <w:t>$</w:t>
            </w:r>
            <w:r w:rsidR="00EC7969">
              <w:rPr>
                <w:rFonts w:ascii="Arial Narrow" w:hAnsi="Arial Narrow"/>
                <w:noProof/>
                <w:color w:val="000000"/>
                <w:sz w:val="20"/>
                <w:highlight w:val="black"/>
              </w:rPr>
              <w:t>''''''''''''''''''</w:t>
            </w:r>
          </w:p>
        </w:tc>
        <w:tc>
          <w:tcPr>
            <w:tcW w:w="1208" w:type="pct"/>
            <w:tcBorders>
              <w:top w:val="nil"/>
            </w:tcBorders>
          </w:tcPr>
          <w:p w:rsidR="005B521E" w:rsidRPr="00F12F62" w:rsidRDefault="005B521E" w:rsidP="00415C8E">
            <w:pPr>
              <w:jc w:val="center"/>
              <w:rPr>
                <w:rFonts w:ascii="Arial Narrow" w:hAnsi="Arial Narrow"/>
                <w:sz w:val="20"/>
              </w:rPr>
            </w:pPr>
            <w:r w:rsidRPr="00F12F62">
              <w:rPr>
                <w:rFonts w:ascii="Arial Narrow" w:hAnsi="Arial Narrow"/>
                <w:sz w:val="20"/>
              </w:rPr>
              <w:t>$</w:t>
            </w:r>
            <w:r w:rsidR="00EC7969">
              <w:rPr>
                <w:rFonts w:ascii="Arial Narrow" w:hAnsi="Arial Narrow"/>
                <w:noProof/>
                <w:color w:val="000000"/>
                <w:sz w:val="20"/>
                <w:highlight w:val="black"/>
              </w:rPr>
              <w:t>''''''''''''''''''''</w:t>
            </w:r>
          </w:p>
        </w:tc>
        <w:tc>
          <w:tcPr>
            <w:tcW w:w="1120" w:type="pct"/>
            <w:tcBorders>
              <w:top w:val="nil"/>
            </w:tcBorders>
          </w:tcPr>
          <w:p w:rsidR="005B521E" w:rsidRPr="00F12F62" w:rsidRDefault="005B521E" w:rsidP="00415C8E">
            <w:pPr>
              <w:jc w:val="center"/>
              <w:rPr>
                <w:rFonts w:ascii="Arial Narrow" w:hAnsi="Arial Narrow"/>
                <w:sz w:val="20"/>
              </w:rPr>
            </w:pPr>
            <w:r w:rsidRPr="00F12F62">
              <w:rPr>
                <w:rFonts w:ascii="Arial Narrow" w:hAnsi="Arial Narrow"/>
                <w:sz w:val="20"/>
              </w:rPr>
              <w:t>$</w:t>
            </w:r>
            <w:r w:rsidR="00EC7969">
              <w:rPr>
                <w:rFonts w:ascii="Arial Narrow" w:hAnsi="Arial Narrow"/>
                <w:noProof/>
                <w:color w:val="000000"/>
                <w:sz w:val="20"/>
                <w:highlight w:val="black"/>
              </w:rPr>
              <w:t>'''''''''''''''''</w:t>
            </w:r>
          </w:p>
        </w:tc>
      </w:tr>
      <w:tr w:rsidR="005B521E" w:rsidRPr="004E2ADC" w:rsidTr="00415C8E">
        <w:tc>
          <w:tcPr>
            <w:tcW w:w="1035" w:type="pct"/>
          </w:tcPr>
          <w:p w:rsidR="005B521E" w:rsidRPr="004E2ADC" w:rsidRDefault="005B521E" w:rsidP="00415C8E">
            <w:pPr>
              <w:rPr>
                <w:rFonts w:ascii="Arial Narrow" w:hAnsi="Arial Narrow"/>
                <w:sz w:val="20"/>
              </w:rPr>
            </w:pPr>
            <w:r>
              <w:rPr>
                <w:rFonts w:ascii="Arial Narrow" w:hAnsi="Arial Narrow"/>
                <w:sz w:val="20"/>
              </w:rPr>
              <w:t>Total QALYs</w:t>
            </w:r>
          </w:p>
        </w:tc>
        <w:tc>
          <w:tcPr>
            <w:tcW w:w="1637" w:type="pct"/>
            <w:vAlign w:val="center"/>
          </w:tcPr>
          <w:p w:rsidR="005B521E" w:rsidRPr="004E2ADC" w:rsidRDefault="005B521E" w:rsidP="00415C8E">
            <w:pPr>
              <w:jc w:val="center"/>
              <w:rPr>
                <w:rFonts w:ascii="Arial Narrow" w:hAnsi="Arial Narrow"/>
                <w:sz w:val="20"/>
              </w:rPr>
            </w:pPr>
            <w:r w:rsidRPr="006D6ED0">
              <w:rPr>
                <w:rFonts w:ascii="Arial Narrow" w:hAnsi="Arial Narrow"/>
                <w:sz w:val="20"/>
              </w:rPr>
              <w:t>1.112</w:t>
            </w:r>
          </w:p>
        </w:tc>
        <w:tc>
          <w:tcPr>
            <w:tcW w:w="1208" w:type="pct"/>
            <w:vAlign w:val="center"/>
          </w:tcPr>
          <w:p w:rsidR="005B521E" w:rsidRPr="004E2ADC" w:rsidRDefault="005B521E" w:rsidP="00415C8E">
            <w:pPr>
              <w:jc w:val="center"/>
              <w:rPr>
                <w:rFonts w:ascii="Arial Narrow" w:hAnsi="Arial Narrow"/>
                <w:sz w:val="20"/>
              </w:rPr>
            </w:pPr>
            <w:r w:rsidRPr="006D6ED0">
              <w:rPr>
                <w:rFonts w:ascii="Arial Narrow" w:hAnsi="Arial Narrow"/>
                <w:sz w:val="20"/>
              </w:rPr>
              <w:t>1.102</w:t>
            </w:r>
          </w:p>
        </w:tc>
        <w:tc>
          <w:tcPr>
            <w:tcW w:w="1120" w:type="pct"/>
          </w:tcPr>
          <w:p w:rsidR="005B521E" w:rsidRPr="004E2ADC" w:rsidRDefault="005B521E" w:rsidP="00415C8E">
            <w:pPr>
              <w:jc w:val="center"/>
              <w:rPr>
                <w:rFonts w:ascii="Arial Narrow" w:hAnsi="Arial Narrow"/>
                <w:sz w:val="20"/>
              </w:rPr>
            </w:pPr>
            <w:r w:rsidRPr="006D6ED0">
              <w:rPr>
                <w:rFonts w:ascii="Arial Narrow" w:hAnsi="Arial Narrow"/>
                <w:sz w:val="20"/>
              </w:rPr>
              <w:t>0.009</w:t>
            </w:r>
          </w:p>
        </w:tc>
      </w:tr>
      <w:tr w:rsidR="005B521E" w:rsidRPr="004E2ADC" w:rsidTr="00415C8E">
        <w:tc>
          <w:tcPr>
            <w:tcW w:w="1035" w:type="pct"/>
          </w:tcPr>
          <w:p w:rsidR="005B521E" w:rsidRDefault="005B521E" w:rsidP="00415C8E">
            <w:pPr>
              <w:rPr>
                <w:rFonts w:ascii="Arial Narrow" w:hAnsi="Arial Narrow"/>
                <w:sz w:val="20"/>
              </w:rPr>
            </w:pPr>
            <w:r>
              <w:rPr>
                <w:rFonts w:ascii="Arial Narrow" w:hAnsi="Arial Narrow"/>
                <w:sz w:val="20"/>
              </w:rPr>
              <w:t>Total LYG</w:t>
            </w:r>
          </w:p>
        </w:tc>
        <w:tc>
          <w:tcPr>
            <w:tcW w:w="1637" w:type="pct"/>
            <w:vAlign w:val="center"/>
          </w:tcPr>
          <w:p w:rsidR="005B521E" w:rsidRPr="006D6ED0" w:rsidRDefault="005B521E" w:rsidP="00415C8E">
            <w:pPr>
              <w:jc w:val="center"/>
              <w:rPr>
                <w:rFonts w:ascii="Arial Narrow" w:hAnsi="Arial Narrow"/>
                <w:sz w:val="20"/>
              </w:rPr>
            </w:pPr>
            <w:r w:rsidRPr="006D6ED0">
              <w:rPr>
                <w:rFonts w:ascii="Arial Narrow" w:hAnsi="Arial Narrow"/>
                <w:sz w:val="20"/>
              </w:rPr>
              <w:t>1.343</w:t>
            </w:r>
          </w:p>
        </w:tc>
        <w:tc>
          <w:tcPr>
            <w:tcW w:w="1208" w:type="pct"/>
            <w:vAlign w:val="center"/>
          </w:tcPr>
          <w:p w:rsidR="005B521E" w:rsidRPr="006D6ED0" w:rsidRDefault="005B521E" w:rsidP="00415C8E">
            <w:pPr>
              <w:jc w:val="center"/>
              <w:rPr>
                <w:rFonts w:ascii="Arial Narrow" w:hAnsi="Arial Narrow"/>
                <w:sz w:val="20"/>
              </w:rPr>
            </w:pPr>
            <w:r w:rsidRPr="006D6ED0">
              <w:rPr>
                <w:rFonts w:ascii="Arial Narrow" w:hAnsi="Arial Narrow"/>
                <w:sz w:val="20"/>
              </w:rPr>
              <w:t>1.340</w:t>
            </w:r>
          </w:p>
        </w:tc>
        <w:tc>
          <w:tcPr>
            <w:tcW w:w="1120" w:type="pct"/>
            <w:vAlign w:val="center"/>
          </w:tcPr>
          <w:p w:rsidR="005B521E" w:rsidRPr="006D6ED0" w:rsidRDefault="005B521E" w:rsidP="00415C8E">
            <w:pPr>
              <w:jc w:val="center"/>
              <w:rPr>
                <w:rFonts w:ascii="Arial Narrow" w:hAnsi="Arial Narrow"/>
                <w:sz w:val="20"/>
              </w:rPr>
            </w:pPr>
            <w:r w:rsidRPr="006D6ED0">
              <w:rPr>
                <w:rFonts w:ascii="Arial Narrow" w:hAnsi="Arial Narrow"/>
                <w:sz w:val="20"/>
              </w:rPr>
              <w:t>0.003</w:t>
            </w:r>
          </w:p>
        </w:tc>
      </w:tr>
      <w:tr w:rsidR="005B521E" w:rsidRPr="004E2ADC" w:rsidTr="00415C8E">
        <w:tc>
          <w:tcPr>
            <w:tcW w:w="3880" w:type="pct"/>
            <w:gridSpan w:val="3"/>
            <w:tcBorders>
              <w:bottom w:val="nil"/>
            </w:tcBorders>
          </w:tcPr>
          <w:p w:rsidR="005B521E" w:rsidRPr="004E2ADC" w:rsidRDefault="005B521E" w:rsidP="00415C8E">
            <w:pPr>
              <w:rPr>
                <w:rFonts w:ascii="Arial Narrow" w:hAnsi="Arial Narrow"/>
                <w:b/>
                <w:sz w:val="20"/>
              </w:rPr>
            </w:pPr>
            <w:r w:rsidRPr="004E2ADC">
              <w:rPr>
                <w:rFonts w:ascii="Arial Narrow" w:hAnsi="Arial Narrow"/>
                <w:b/>
                <w:sz w:val="20"/>
              </w:rPr>
              <w:t xml:space="preserve">Incremental cost/extra </w:t>
            </w:r>
            <w:r>
              <w:rPr>
                <w:rFonts w:ascii="Arial Narrow" w:hAnsi="Arial Narrow"/>
                <w:b/>
                <w:sz w:val="20"/>
              </w:rPr>
              <w:t>QALY</w:t>
            </w:r>
            <w:r w:rsidRPr="004E2ADC">
              <w:rPr>
                <w:rFonts w:ascii="Arial Narrow" w:hAnsi="Arial Narrow"/>
                <w:b/>
                <w:sz w:val="20"/>
              </w:rPr>
              <w:t xml:space="preserve"> gained</w:t>
            </w:r>
          </w:p>
        </w:tc>
        <w:tc>
          <w:tcPr>
            <w:tcW w:w="1120" w:type="pct"/>
            <w:tcBorders>
              <w:bottom w:val="nil"/>
            </w:tcBorders>
          </w:tcPr>
          <w:p w:rsidR="005B521E" w:rsidRPr="004E2ADC" w:rsidRDefault="005B521E" w:rsidP="00415C8E">
            <w:pPr>
              <w:jc w:val="center"/>
              <w:rPr>
                <w:rFonts w:ascii="Arial Narrow" w:hAnsi="Arial Narrow"/>
                <w:b/>
                <w:sz w:val="20"/>
              </w:rPr>
            </w:pPr>
            <w:r>
              <w:rPr>
                <w:rFonts w:ascii="Arial Narrow" w:hAnsi="Arial Narrow"/>
                <w:b/>
                <w:sz w:val="20"/>
              </w:rPr>
              <w:t>Dominant</w:t>
            </w:r>
          </w:p>
        </w:tc>
      </w:tr>
      <w:tr w:rsidR="005B521E" w:rsidRPr="00F12F62" w:rsidTr="00415C8E">
        <w:tc>
          <w:tcPr>
            <w:tcW w:w="3880" w:type="pct"/>
            <w:gridSpan w:val="3"/>
            <w:tcBorders>
              <w:top w:val="nil"/>
            </w:tcBorders>
          </w:tcPr>
          <w:p w:rsidR="005B521E" w:rsidRPr="00F12F62" w:rsidRDefault="005B521E" w:rsidP="00415C8E">
            <w:pPr>
              <w:rPr>
                <w:rFonts w:ascii="Arial Narrow" w:hAnsi="Arial Narrow"/>
                <w:b/>
                <w:sz w:val="20"/>
              </w:rPr>
            </w:pPr>
            <w:r w:rsidRPr="00F12F62">
              <w:rPr>
                <w:rFonts w:ascii="Arial Narrow" w:hAnsi="Arial Narrow" w:cs="Times New Roman"/>
                <w:sz w:val="20"/>
              </w:rPr>
              <w:t>Revised incremental cost/extra QALY gained</w:t>
            </w:r>
            <w:r w:rsidRPr="00F12F62">
              <w:rPr>
                <w:rFonts w:ascii="Arial Narrow" w:hAnsi="Arial Narrow" w:cs="Times New Roman"/>
                <w:sz w:val="20"/>
                <w:vertAlign w:val="superscript"/>
              </w:rPr>
              <w:t>1</w:t>
            </w:r>
          </w:p>
        </w:tc>
        <w:tc>
          <w:tcPr>
            <w:tcW w:w="1120" w:type="pct"/>
            <w:tcBorders>
              <w:top w:val="nil"/>
            </w:tcBorders>
          </w:tcPr>
          <w:p w:rsidR="005B521E" w:rsidRPr="00F12F62" w:rsidRDefault="005B521E" w:rsidP="00415C8E">
            <w:pPr>
              <w:jc w:val="center"/>
              <w:rPr>
                <w:rFonts w:ascii="Arial Narrow" w:hAnsi="Arial Narrow"/>
                <w:sz w:val="20"/>
              </w:rPr>
            </w:pPr>
            <w:r w:rsidRPr="00F12F62">
              <w:rPr>
                <w:rFonts w:ascii="Arial Narrow" w:hAnsi="Arial Narrow"/>
                <w:sz w:val="20"/>
              </w:rPr>
              <w:t>$</w:t>
            </w:r>
            <w:r w:rsidR="00EC7969">
              <w:rPr>
                <w:rFonts w:ascii="Arial Narrow" w:hAnsi="Arial Narrow"/>
                <w:noProof/>
                <w:color w:val="000000"/>
                <w:sz w:val="20"/>
                <w:highlight w:val="black"/>
              </w:rPr>
              <w:t>'''''''''''''''</w:t>
            </w:r>
          </w:p>
        </w:tc>
      </w:tr>
      <w:tr w:rsidR="005B521E" w:rsidRPr="004E2ADC" w:rsidTr="00415C8E">
        <w:tc>
          <w:tcPr>
            <w:tcW w:w="3880" w:type="pct"/>
            <w:gridSpan w:val="3"/>
            <w:tcBorders>
              <w:bottom w:val="nil"/>
            </w:tcBorders>
          </w:tcPr>
          <w:p w:rsidR="005B521E" w:rsidRPr="004E2ADC" w:rsidRDefault="00197AA2" w:rsidP="00415C8E">
            <w:pPr>
              <w:rPr>
                <w:rFonts w:ascii="Arial Narrow" w:hAnsi="Arial Narrow"/>
                <w:b/>
                <w:sz w:val="20"/>
              </w:rPr>
            </w:pPr>
            <w:r>
              <w:rPr>
                <w:rFonts w:ascii="Arial Narrow" w:hAnsi="Arial Narrow"/>
                <w:b/>
                <w:sz w:val="20"/>
              </w:rPr>
              <w:t>Incremental cost/extra life-</w:t>
            </w:r>
            <w:r w:rsidR="005B521E">
              <w:rPr>
                <w:rFonts w:ascii="Arial Narrow" w:hAnsi="Arial Narrow"/>
                <w:b/>
                <w:sz w:val="20"/>
              </w:rPr>
              <w:t>year gained</w:t>
            </w:r>
          </w:p>
        </w:tc>
        <w:tc>
          <w:tcPr>
            <w:tcW w:w="1120" w:type="pct"/>
            <w:tcBorders>
              <w:bottom w:val="nil"/>
            </w:tcBorders>
          </w:tcPr>
          <w:p w:rsidR="005B521E" w:rsidRPr="004E2ADC" w:rsidRDefault="005B521E" w:rsidP="00415C8E">
            <w:pPr>
              <w:jc w:val="center"/>
              <w:rPr>
                <w:rFonts w:ascii="Arial Narrow" w:hAnsi="Arial Narrow"/>
                <w:b/>
                <w:sz w:val="20"/>
              </w:rPr>
            </w:pPr>
            <w:r>
              <w:rPr>
                <w:rFonts w:ascii="Arial Narrow" w:hAnsi="Arial Narrow"/>
                <w:b/>
                <w:sz w:val="20"/>
              </w:rPr>
              <w:t>Dominant</w:t>
            </w:r>
          </w:p>
        </w:tc>
      </w:tr>
      <w:tr w:rsidR="005B521E" w:rsidRPr="00F12F62" w:rsidTr="00415C8E">
        <w:tc>
          <w:tcPr>
            <w:tcW w:w="3880" w:type="pct"/>
            <w:gridSpan w:val="3"/>
            <w:tcBorders>
              <w:top w:val="nil"/>
            </w:tcBorders>
          </w:tcPr>
          <w:p w:rsidR="005B521E" w:rsidRPr="00F12F62" w:rsidRDefault="005B521E" w:rsidP="00415C8E">
            <w:pPr>
              <w:rPr>
                <w:rFonts w:ascii="Arial Narrow" w:hAnsi="Arial Narrow"/>
                <w:b/>
                <w:sz w:val="20"/>
              </w:rPr>
            </w:pPr>
            <w:r w:rsidRPr="00F12F62">
              <w:rPr>
                <w:rFonts w:ascii="Arial Narrow" w:hAnsi="Arial Narrow" w:cs="Times New Roman"/>
                <w:sz w:val="20"/>
              </w:rPr>
              <w:t>Revised incremental cost/extra life year gained</w:t>
            </w:r>
            <w:r w:rsidRPr="00F12F62">
              <w:rPr>
                <w:rFonts w:ascii="Arial Narrow" w:hAnsi="Arial Narrow" w:cs="Times New Roman"/>
                <w:sz w:val="20"/>
                <w:vertAlign w:val="superscript"/>
              </w:rPr>
              <w:t>1</w:t>
            </w:r>
          </w:p>
        </w:tc>
        <w:tc>
          <w:tcPr>
            <w:tcW w:w="1120" w:type="pct"/>
            <w:tcBorders>
              <w:top w:val="nil"/>
            </w:tcBorders>
          </w:tcPr>
          <w:p w:rsidR="005B521E" w:rsidRPr="00F12F62" w:rsidRDefault="005B521E" w:rsidP="00415C8E">
            <w:pPr>
              <w:jc w:val="center"/>
              <w:rPr>
                <w:rFonts w:ascii="Arial Narrow" w:hAnsi="Arial Narrow"/>
                <w:sz w:val="20"/>
              </w:rPr>
            </w:pPr>
            <w:r w:rsidRPr="00F12F62">
              <w:rPr>
                <w:rFonts w:ascii="Arial Narrow" w:hAnsi="Arial Narrow"/>
                <w:sz w:val="20"/>
              </w:rPr>
              <w:t>$</w:t>
            </w:r>
            <w:r w:rsidR="00EC7969">
              <w:rPr>
                <w:rFonts w:ascii="Arial Narrow" w:hAnsi="Arial Narrow"/>
                <w:noProof/>
                <w:color w:val="000000"/>
                <w:sz w:val="20"/>
                <w:highlight w:val="black"/>
              </w:rPr>
              <w:t>''''''''''''''''''''</w:t>
            </w:r>
          </w:p>
        </w:tc>
      </w:tr>
    </w:tbl>
    <w:p w:rsidR="00197AA2" w:rsidRPr="00B95F92" w:rsidRDefault="00197AA2" w:rsidP="00197AA2">
      <w:pPr>
        <w:pStyle w:val="TableFooter"/>
        <w:ind w:left="709"/>
      </w:pPr>
      <w:r>
        <w:t>BSC = best supportive care;</w:t>
      </w:r>
      <w:r w:rsidRPr="00197AA2">
        <w:t xml:space="preserve"> </w:t>
      </w:r>
      <w:r>
        <w:t>IPI = ipilimumab;</w:t>
      </w:r>
      <w:r w:rsidRPr="0072416F">
        <w:t xml:space="preserve"> </w:t>
      </w:r>
      <w:r>
        <w:t>NIVO = nivolumab;</w:t>
      </w:r>
      <w:r w:rsidRPr="00197AA2">
        <w:t xml:space="preserve"> </w:t>
      </w:r>
      <w:r>
        <w:t>QALY = quality-adjusted life year gained.</w:t>
      </w:r>
    </w:p>
    <w:p w:rsidR="005B521E" w:rsidRDefault="005B521E" w:rsidP="005B521E">
      <w:pPr>
        <w:pStyle w:val="TableFooter"/>
        <w:ind w:left="709"/>
      </w:pPr>
      <w:r w:rsidRPr="00B43BFC">
        <w:rPr>
          <w:vertAlign w:val="superscript"/>
        </w:rPr>
        <w:t>1</w:t>
      </w:r>
      <w:r>
        <w:t xml:space="preserve"> Revised to correct for the </w:t>
      </w:r>
      <w:r w:rsidR="008D1756">
        <w:t>resubmission</w:t>
      </w:r>
      <w:r>
        <w:t xml:space="preserve">’s calculation error that applied the total regimen cost of ipilimumab </w:t>
      </w:r>
      <w:r w:rsidRPr="00B95F92">
        <w:t>(four three-weekly cycles) every cycle, resulting in the cost of ipilimumab being four-times higher than it should.</w:t>
      </w:r>
    </w:p>
    <w:p w:rsidR="005B521E" w:rsidRDefault="005B521E" w:rsidP="005B521E">
      <w:pPr>
        <w:ind w:firstLine="720"/>
        <w:rPr>
          <w:rFonts w:ascii="Arial Narrow" w:hAnsi="Arial Narrow"/>
          <w:sz w:val="18"/>
        </w:rPr>
      </w:pPr>
      <w:r w:rsidRPr="00197AA2">
        <w:rPr>
          <w:rFonts w:ascii="Arial Narrow" w:hAnsi="Arial Narrow"/>
          <w:sz w:val="18"/>
        </w:rPr>
        <w:t xml:space="preserve">Source: Table 63 and Table 64, p156, Section D of the </w:t>
      </w:r>
      <w:r w:rsidR="008D1756">
        <w:rPr>
          <w:rFonts w:ascii="Arial Narrow" w:hAnsi="Arial Narrow"/>
          <w:sz w:val="18"/>
        </w:rPr>
        <w:t>resubmission</w:t>
      </w:r>
      <w:r w:rsidRPr="00197AA2">
        <w:rPr>
          <w:rFonts w:ascii="Arial Narrow" w:hAnsi="Arial Narrow"/>
          <w:sz w:val="18"/>
        </w:rPr>
        <w:t>.</w:t>
      </w:r>
    </w:p>
    <w:p w:rsidR="007D2854" w:rsidRPr="00966443" w:rsidRDefault="007D2854" w:rsidP="00966443">
      <w:pPr>
        <w:widowControl/>
        <w:rPr>
          <w:szCs w:val="22"/>
        </w:rPr>
      </w:pPr>
    </w:p>
    <w:p w:rsidR="002F3F85" w:rsidRPr="00677F85" w:rsidRDefault="002F3F85" w:rsidP="009E7F9E">
      <w:pPr>
        <w:pStyle w:val="ListParagraph"/>
        <w:widowControl/>
        <w:numPr>
          <w:ilvl w:val="1"/>
          <w:numId w:val="3"/>
        </w:numPr>
      </w:pPr>
      <w:r w:rsidRPr="00677F85">
        <w:t xml:space="preserve">The PSCR acknowledged this error, and made two further modifications: i) inclusion of ipilimumab re-induction in the sequence arm (8.8% in MDX010-020) and ii) correction of the mean doses of ipilimumab for the NIVO+IPI arm (3.2 instead of 4). The resulting ICER was </w:t>
      </w:r>
      <w:r w:rsidR="00D212A5">
        <w:t>more than</w:t>
      </w:r>
      <w:r w:rsidR="00D212A5" w:rsidRPr="00677F85">
        <w:t xml:space="preserve"> </w:t>
      </w:r>
      <w:r w:rsidRPr="00677F85">
        <w:t>$2</w:t>
      </w:r>
      <w:r w:rsidR="00D212A5">
        <w:t>00,000</w:t>
      </w:r>
      <w:r w:rsidRPr="00677F85">
        <w:t xml:space="preserve">/QALY gained. </w:t>
      </w:r>
      <w:r w:rsidR="00EB0709" w:rsidRPr="00677F85">
        <w:t xml:space="preserve">The ESC could not confirm this, as the changes to the model to achieve the second of these modifications would be complex, and so could not be independently verified without an electronic version of the modified model. However, the ESC noted that the revised ICER had not substantially reduced. </w:t>
      </w:r>
      <w:r w:rsidRPr="00677F85">
        <w:t>The PSCR further noted that the small incremental difference in effect between the two treatment arms result in “an extremely sensitive economic model”, and stated that “reduction in the proposed cost of the NIVO+IPI regimen of 20% would equate to NIVO+IPI being dominant”.</w:t>
      </w:r>
    </w:p>
    <w:p w:rsidR="007D2854" w:rsidRPr="00677F85" w:rsidRDefault="007D2854" w:rsidP="007D2854">
      <w:pPr>
        <w:widowControl/>
      </w:pPr>
    </w:p>
    <w:p w:rsidR="00882701" w:rsidRPr="00677F85" w:rsidRDefault="007D2854" w:rsidP="00FD023A">
      <w:pPr>
        <w:pStyle w:val="ListParagraph"/>
        <w:widowControl/>
        <w:numPr>
          <w:ilvl w:val="1"/>
          <w:numId w:val="3"/>
        </w:numPr>
      </w:pPr>
      <w:r w:rsidRPr="00677F85">
        <w:t xml:space="preserve">The </w:t>
      </w:r>
      <w:r w:rsidR="00D17CCD" w:rsidRPr="00677F85">
        <w:t xml:space="preserve">ESC advised that the </w:t>
      </w:r>
      <w:r w:rsidRPr="00677F85">
        <w:t xml:space="preserve">adjustment of mean dose </w:t>
      </w:r>
      <w:r w:rsidR="00966443" w:rsidRPr="00677F85">
        <w:t>wa</w:t>
      </w:r>
      <w:r w:rsidRPr="00677F85">
        <w:t>s reasonable</w:t>
      </w:r>
      <w:r w:rsidR="00966443" w:rsidRPr="00677F85">
        <w:t>. However,</w:t>
      </w:r>
      <w:r w:rsidRPr="00677F85">
        <w:t xml:space="preserve"> the inclusion of re-induction in the sequence arm, but not the combination arm</w:t>
      </w:r>
      <w:r w:rsidR="00966443" w:rsidRPr="00677F85">
        <w:t>, wa</w:t>
      </w:r>
      <w:r w:rsidRPr="00677F85">
        <w:t>s not reasonable.</w:t>
      </w:r>
      <w:r w:rsidR="00FD023A">
        <w:t xml:space="preserve"> As noted previously, t</w:t>
      </w:r>
      <w:r w:rsidR="00882701">
        <w:t xml:space="preserve">he </w:t>
      </w:r>
      <w:r w:rsidR="00803007">
        <w:t>p</w:t>
      </w:r>
      <w:r w:rsidR="00882701">
        <w:t xml:space="preserve">re-PBAC </w:t>
      </w:r>
      <w:r w:rsidR="00803007">
        <w:t>r</w:t>
      </w:r>
      <w:r w:rsidR="00882701">
        <w:t>esponse stated that the pivotal trial CA209-067 did not allow NIVO+IPI patients to be retreated with IPI and the sponsor maintained that retreatment with IPI should not be permitted under the PBS listing.</w:t>
      </w:r>
      <w:r w:rsidR="00FB537B">
        <w:t xml:space="preserve"> The PBAC considered that, if the listing were to be implemented as requested, the re-induction treatment restriction for ipilimumab would need to be revised to ensure this intention is clear to prescribers.</w:t>
      </w:r>
    </w:p>
    <w:p w:rsidR="007D2854" w:rsidRPr="00677F85" w:rsidRDefault="007D2854" w:rsidP="007D2854">
      <w:pPr>
        <w:widowControl/>
      </w:pPr>
    </w:p>
    <w:p w:rsidR="007D2854" w:rsidRPr="00677F85" w:rsidRDefault="00731A23" w:rsidP="009E7F9E">
      <w:pPr>
        <w:pStyle w:val="ListParagraph"/>
        <w:widowControl/>
        <w:numPr>
          <w:ilvl w:val="1"/>
          <w:numId w:val="3"/>
        </w:numPr>
      </w:pPr>
      <w:r>
        <w:t>As in the previous NIVO+IPI submission, b</w:t>
      </w:r>
      <w:r w:rsidR="007D2854" w:rsidRPr="00677F85">
        <w:t xml:space="preserve">ase case utility values across all model states (progression-free, post-progression1 and post-progression 2) were 0.828 and 0.813 – 0.827 for the NIVO+IPI arm and the NIVO monotherapy arms, respectively. As noted </w:t>
      </w:r>
      <w:r w:rsidR="00D17CCD" w:rsidRPr="00677F85">
        <w:t>previously</w:t>
      </w:r>
      <w:r w:rsidR="006C37CE" w:rsidRPr="00677F85">
        <w:t>,</w:t>
      </w:r>
      <w:r w:rsidR="007D2854" w:rsidRPr="00677F85">
        <w:t xml:space="preserve"> such absolute values are similar to values observed in the general population and the relative values between the arms do not align with the </w:t>
      </w:r>
      <w:r w:rsidR="000A7C55" w:rsidRPr="00677F85">
        <w:t xml:space="preserve">serious </w:t>
      </w:r>
      <w:r w:rsidR="007D2854" w:rsidRPr="00677F85">
        <w:t>AE profiles as</w:t>
      </w:r>
      <w:r w:rsidR="00763CE1" w:rsidRPr="00677F85">
        <w:t xml:space="preserve"> illustrated in </w:t>
      </w:r>
      <w:r w:rsidR="000A7C55" w:rsidRPr="00677F85">
        <w:t>T</w:t>
      </w:r>
      <w:r w:rsidR="00763CE1" w:rsidRPr="00677F85">
        <w:t xml:space="preserve">able </w:t>
      </w:r>
      <w:r w:rsidR="000A7C55" w:rsidRPr="00677F85">
        <w:t>6 above</w:t>
      </w:r>
      <w:r w:rsidR="00763CE1" w:rsidRPr="00677F85">
        <w:t xml:space="preserve">. </w:t>
      </w:r>
      <w:r w:rsidR="00763CE1" w:rsidRPr="00677F85">
        <w:rPr>
          <w:szCs w:val="22"/>
        </w:rPr>
        <w:t xml:space="preserve">The PSCR argued that the study results show that there was no deterioration in </w:t>
      </w:r>
      <w:r w:rsidR="00A275D3">
        <w:rPr>
          <w:szCs w:val="22"/>
        </w:rPr>
        <w:t>health-related quality of life (</w:t>
      </w:r>
      <w:r w:rsidR="00763CE1" w:rsidRPr="00677F85">
        <w:rPr>
          <w:szCs w:val="22"/>
        </w:rPr>
        <w:t>HRQoL</w:t>
      </w:r>
      <w:r w:rsidR="00A275D3">
        <w:rPr>
          <w:szCs w:val="22"/>
        </w:rPr>
        <w:t>)</w:t>
      </w:r>
      <w:r w:rsidR="00763CE1" w:rsidRPr="00677F85">
        <w:rPr>
          <w:szCs w:val="22"/>
        </w:rPr>
        <w:t xml:space="preserve"> even in the subgroup of patients experiencing grade 3/4 adverse events.</w:t>
      </w:r>
      <w:r w:rsidR="009C095F" w:rsidRPr="00677F85">
        <w:rPr>
          <w:szCs w:val="22"/>
        </w:rPr>
        <w:t xml:space="preserve"> The ESC considered that</w:t>
      </w:r>
      <w:r w:rsidR="00972754" w:rsidRPr="00677F85">
        <w:rPr>
          <w:szCs w:val="22"/>
        </w:rPr>
        <w:t xml:space="preserve"> this may reflect the choice of HRQoL measure and the frequency and timing of the collection of HRQoL data, and</w:t>
      </w:r>
      <w:r w:rsidR="009C095F" w:rsidRPr="00677F85">
        <w:rPr>
          <w:szCs w:val="22"/>
        </w:rPr>
        <w:t xml:space="preserve"> it</w:t>
      </w:r>
      <w:r w:rsidR="00972754" w:rsidRPr="00677F85">
        <w:rPr>
          <w:szCs w:val="22"/>
        </w:rPr>
        <w:t xml:space="preserve"> certainly</w:t>
      </w:r>
      <w:r w:rsidR="009C095F" w:rsidRPr="00677F85">
        <w:rPr>
          <w:szCs w:val="22"/>
        </w:rPr>
        <w:t xml:space="preserve"> did not support an improvement in utility values.</w:t>
      </w:r>
    </w:p>
    <w:p w:rsidR="005B521E" w:rsidRPr="00677F85" w:rsidRDefault="005B521E" w:rsidP="005B521E">
      <w:pPr>
        <w:widowControl/>
        <w:rPr>
          <w:szCs w:val="22"/>
        </w:rPr>
      </w:pPr>
    </w:p>
    <w:p w:rsidR="005B521E" w:rsidRPr="00677F85" w:rsidRDefault="007D2854" w:rsidP="009E7F9E">
      <w:pPr>
        <w:pStyle w:val="ListParagraph"/>
        <w:widowControl/>
        <w:numPr>
          <w:ilvl w:val="1"/>
          <w:numId w:val="3"/>
        </w:numPr>
      </w:pPr>
      <w:r w:rsidRPr="00677F85">
        <w:t xml:space="preserve">Correcting the current model for the likely utility effects of AEs would almost certainly result in </w:t>
      </w:r>
      <w:r w:rsidR="005B521E" w:rsidRPr="00677F85">
        <w:t>NIVO+IPI followed by BSC be</w:t>
      </w:r>
      <w:r w:rsidRPr="00677F85">
        <w:t>ing</w:t>
      </w:r>
      <w:r w:rsidR="005B521E" w:rsidRPr="00677F85">
        <w:t xml:space="preserve"> dominated by</w:t>
      </w:r>
      <w:r w:rsidR="004405E2" w:rsidRPr="00677F85">
        <w:t xml:space="preserve"> </w:t>
      </w:r>
      <w:r w:rsidR="005B521E" w:rsidRPr="00677F85">
        <w:t>nivolumab monotherapy followed by ipilimumab monotherapy</w:t>
      </w:r>
      <w:r w:rsidRPr="00677F85">
        <w:t>.</w:t>
      </w:r>
    </w:p>
    <w:p w:rsidR="007D2854" w:rsidRPr="00677F85" w:rsidRDefault="007D2854" w:rsidP="007D2854">
      <w:pPr>
        <w:widowControl/>
      </w:pPr>
    </w:p>
    <w:p w:rsidR="007D2854" w:rsidRPr="00677F85" w:rsidRDefault="007D2854" w:rsidP="009E7F9E">
      <w:pPr>
        <w:pStyle w:val="ListParagraph"/>
        <w:widowControl/>
        <w:numPr>
          <w:ilvl w:val="1"/>
          <w:numId w:val="3"/>
        </w:numPr>
      </w:pPr>
      <w:r w:rsidRPr="00677F85">
        <w:t xml:space="preserve">The </w:t>
      </w:r>
      <w:r w:rsidR="001A74EA" w:rsidRPr="00677F85">
        <w:t>ESC advised that a</w:t>
      </w:r>
      <w:r w:rsidRPr="00677F85">
        <w:t xml:space="preserve"> potentially valid approach </w:t>
      </w:r>
      <w:r w:rsidR="001A74EA" w:rsidRPr="00677F85">
        <w:t>would be</w:t>
      </w:r>
      <w:r w:rsidRPr="00677F85">
        <w:t xml:space="preserve"> to extrapolate PFS and OS using the CA209-067 study data, including perhaps an external estimate of </w:t>
      </w:r>
      <w:r w:rsidR="001A74EA" w:rsidRPr="00677F85">
        <w:t>second-</w:t>
      </w:r>
      <w:r w:rsidRPr="00677F85">
        <w:t xml:space="preserve">line PFS. </w:t>
      </w:r>
      <w:r w:rsidR="000A7C55" w:rsidRPr="00677F85">
        <w:t xml:space="preserve">The ESC considered that it was </w:t>
      </w:r>
      <w:r w:rsidRPr="00677F85">
        <w:t xml:space="preserve">likely that such an approach would not demonstrate cost-effectiveness (or even </w:t>
      </w:r>
      <w:r w:rsidR="000A7C55" w:rsidRPr="00677F85">
        <w:t xml:space="preserve">improved </w:t>
      </w:r>
      <w:r w:rsidRPr="00677F85">
        <w:t xml:space="preserve">effectiveness) over the observed 2-year time horizon. </w:t>
      </w:r>
      <w:r w:rsidR="000A7C55" w:rsidRPr="00677F85">
        <w:t>This would need to be resolved before considering what time horizon would be appropriate</w:t>
      </w:r>
      <w:r w:rsidR="001A74EA" w:rsidRPr="00677F85">
        <w:t xml:space="preserve">, and whether the </w:t>
      </w:r>
      <w:r w:rsidRPr="00677F85">
        <w:t>extrapolation over that time horizon</w:t>
      </w:r>
      <w:r w:rsidR="001A74EA" w:rsidRPr="00677F85">
        <w:t xml:space="preserve"> would be</w:t>
      </w:r>
      <w:r w:rsidRPr="00677F85">
        <w:t xml:space="preserve"> valid</w:t>
      </w:r>
      <w:r w:rsidR="001A74EA" w:rsidRPr="00677F85">
        <w:t>.</w:t>
      </w:r>
    </w:p>
    <w:p w:rsidR="00FD5A37" w:rsidRPr="00D4640F" w:rsidRDefault="00FD5A37" w:rsidP="00FD5A37">
      <w:pPr>
        <w:widowControl/>
      </w:pPr>
    </w:p>
    <w:p w:rsidR="00C25D9C" w:rsidRDefault="00C25D9C" w:rsidP="00497F10">
      <w:pPr>
        <w:pStyle w:val="Heading2"/>
        <w:rPr>
          <w:i/>
        </w:rPr>
      </w:pPr>
      <w:bookmarkStart w:id="13" w:name="_Toc472416747"/>
      <w:r w:rsidRPr="00497F10">
        <w:rPr>
          <w:i/>
        </w:rPr>
        <w:t>Drug c</w:t>
      </w:r>
      <w:r w:rsidR="00F7265E">
        <w:rPr>
          <w:i/>
        </w:rPr>
        <w:t>ost/patient/course</w:t>
      </w:r>
      <w:r w:rsidR="00377AE3" w:rsidRPr="003E474E">
        <w:rPr>
          <w:i/>
        </w:rPr>
        <w:t>: $</w:t>
      </w:r>
      <w:bookmarkEnd w:id="13"/>
      <w:r w:rsidR="00EC7969">
        <w:rPr>
          <w:i/>
          <w:noProof/>
          <w:color w:val="000000"/>
          <w:highlight w:val="black"/>
        </w:rPr>
        <w:t>''''''''''''''''</w:t>
      </w:r>
    </w:p>
    <w:p w:rsidR="00276D81" w:rsidRPr="00677F85" w:rsidRDefault="00276D81" w:rsidP="00276D81"/>
    <w:p w:rsidR="0031679B" w:rsidRPr="00677F85" w:rsidRDefault="00120875" w:rsidP="009E7F9E">
      <w:pPr>
        <w:pStyle w:val="ListParagraph"/>
        <w:numPr>
          <w:ilvl w:val="1"/>
          <w:numId w:val="3"/>
        </w:numPr>
      </w:pPr>
      <w:r w:rsidRPr="00677F85">
        <w:rPr>
          <w:szCs w:val="22"/>
        </w:rPr>
        <w:t>The cost/patient/course of NIVO+IPI was estimated to be $</w:t>
      </w:r>
      <w:r w:rsidR="00EC7969">
        <w:rPr>
          <w:noProof/>
          <w:color w:val="000000"/>
          <w:szCs w:val="22"/>
          <w:highlight w:val="black"/>
        </w:rPr>
        <w:t>'''''''''''''''''''''</w:t>
      </w:r>
      <w:r w:rsidRPr="00677F85">
        <w:rPr>
          <w:szCs w:val="22"/>
        </w:rPr>
        <w:t>. This was compared with $</w:t>
      </w:r>
      <w:r w:rsidR="00EC7969">
        <w:rPr>
          <w:noProof/>
          <w:color w:val="000000"/>
          <w:szCs w:val="22"/>
          <w:highlight w:val="black"/>
        </w:rPr>
        <w:t>''''''''''''''''''</w:t>
      </w:r>
      <w:r w:rsidRPr="00677F85">
        <w:rPr>
          <w:szCs w:val="22"/>
        </w:rPr>
        <w:t xml:space="preserve"> for the sequential treatment with nivolumab monotherapy followed by ipilimumab monotherapy upon progression. However, it should be noted that the estimation was based on the assumption that no patients receive active second-line treatment following progression on NIVO+IPI, while all surviving patients receive active second-line treatment with ipilimumab following progression on nivolumab monotherapy in the comparator arm. </w:t>
      </w:r>
      <w:r w:rsidR="00BD30C1" w:rsidRPr="00677F85">
        <w:rPr>
          <w:szCs w:val="22"/>
        </w:rPr>
        <w:t>This is not reasonable.</w:t>
      </w:r>
      <w:r w:rsidR="00112952" w:rsidRPr="00677F85">
        <w:rPr>
          <w:szCs w:val="22"/>
        </w:rPr>
        <w:t xml:space="preserve"> </w:t>
      </w:r>
      <w:r w:rsidR="00112952" w:rsidRPr="00677F85">
        <w:t xml:space="preserve">The PSCR </w:t>
      </w:r>
      <w:r w:rsidR="002D2C93" w:rsidRPr="00677F85">
        <w:t xml:space="preserve">acknowledged </w:t>
      </w:r>
      <w:r w:rsidR="00112952" w:rsidRPr="00677F85">
        <w:t>that approximately 30-35% of patients receiving NIVO monotherapy may not be well enough to receive IPI therapy in the second-line setting.</w:t>
      </w:r>
      <w:r w:rsidR="002D2C93" w:rsidRPr="00677F85">
        <w:t xml:space="preserve"> The ESC considered that, as a result, the </w:t>
      </w:r>
      <w:r w:rsidR="00AE7FB0" w:rsidRPr="00677F85">
        <w:t xml:space="preserve">financial estimates also </w:t>
      </w:r>
      <w:r w:rsidR="002D2C93" w:rsidRPr="00677F85">
        <w:t xml:space="preserve">inappropriately reflected </w:t>
      </w:r>
      <w:r w:rsidR="00113A3D" w:rsidRPr="00677F85">
        <w:t>an</w:t>
      </w:r>
      <w:r w:rsidR="002D2C93" w:rsidRPr="00677F85">
        <w:t xml:space="preserve"> unrealistic scenario that, in the absence of NIVO+IPI, all patients would receive the sequence of NIVO followed by IPI.</w:t>
      </w:r>
    </w:p>
    <w:p w:rsidR="0031679B" w:rsidRPr="00677F85" w:rsidRDefault="0031679B" w:rsidP="0031679B">
      <w:pPr>
        <w:widowControl/>
        <w:snapToGrid w:val="0"/>
        <w:rPr>
          <w:szCs w:val="22"/>
        </w:rPr>
      </w:pPr>
    </w:p>
    <w:p w:rsidR="00F7265E" w:rsidRPr="00D4640F" w:rsidRDefault="005A608E" w:rsidP="009E7F9E">
      <w:pPr>
        <w:pStyle w:val="ListParagraph"/>
        <w:widowControl/>
        <w:numPr>
          <w:ilvl w:val="1"/>
          <w:numId w:val="3"/>
        </w:numPr>
        <w:snapToGrid w:val="0"/>
        <w:rPr>
          <w:szCs w:val="22"/>
        </w:rPr>
      </w:pPr>
      <w:r w:rsidRPr="00677F85">
        <w:rPr>
          <w:szCs w:val="22"/>
        </w:rPr>
        <w:t xml:space="preserve">A summary of the estimated drug cost/patient/course for NIVO+IPI combination </w:t>
      </w:r>
      <w:r w:rsidR="002A743C" w:rsidRPr="00677F85">
        <w:rPr>
          <w:szCs w:val="22"/>
        </w:rPr>
        <w:t xml:space="preserve">therapy, and for the nominated comparator, sequential therapy with nivolumab monotherapy followed by ipilimumab monotherapy, </w:t>
      </w:r>
      <w:r w:rsidRPr="00677F85">
        <w:rPr>
          <w:szCs w:val="22"/>
        </w:rPr>
        <w:t>is presented in the table below</w:t>
      </w:r>
      <w:r w:rsidRPr="00D4640F">
        <w:rPr>
          <w:szCs w:val="22"/>
        </w:rPr>
        <w:t>.</w:t>
      </w:r>
    </w:p>
    <w:p w:rsidR="0039048A" w:rsidRDefault="0039048A">
      <w:pPr>
        <w:widowControl/>
        <w:jc w:val="left"/>
        <w:rPr>
          <w:rFonts w:ascii="Arial Narrow" w:hAnsi="Arial Narrow"/>
          <w:b/>
          <w:sz w:val="20"/>
        </w:rPr>
      </w:pPr>
      <w:r>
        <w:rPr>
          <w:rFonts w:ascii="Arial Narrow" w:hAnsi="Arial Narrow"/>
          <w:b/>
          <w:sz w:val="20"/>
        </w:rPr>
        <w:br w:type="page"/>
      </w:r>
    </w:p>
    <w:p w:rsidR="00BA4FAA" w:rsidRDefault="00BA4FAA">
      <w:pPr>
        <w:widowControl/>
        <w:jc w:val="left"/>
        <w:rPr>
          <w:rFonts w:ascii="Arial Narrow" w:hAnsi="Arial Narrow"/>
          <w:b/>
          <w:sz w:val="20"/>
        </w:rPr>
      </w:pPr>
    </w:p>
    <w:p w:rsidR="002E17D1" w:rsidRPr="00634EAE" w:rsidRDefault="00634EAE" w:rsidP="00634EAE">
      <w:pPr>
        <w:ind w:left="709"/>
        <w:rPr>
          <w:rFonts w:ascii="Arial Narrow" w:hAnsi="Arial Narrow"/>
          <w:b/>
          <w:sz w:val="20"/>
        </w:rPr>
      </w:pPr>
      <w:r>
        <w:rPr>
          <w:rFonts w:ascii="Arial Narrow" w:hAnsi="Arial Narrow"/>
          <w:b/>
          <w:sz w:val="20"/>
        </w:rPr>
        <w:t xml:space="preserve">Table </w:t>
      </w:r>
      <w:r w:rsidR="0045255C">
        <w:rPr>
          <w:rFonts w:ascii="Arial Narrow" w:hAnsi="Arial Narrow"/>
          <w:b/>
          <w:sz w:val="20"/>
        </w:rPr>
        <w:t>11</w:t>
      </w:r>
      <w:r>
        <w:rPr>
          <w:rFonts w:ascii="Arial Narrow" w:hAnsi="Arial Narrow"/>
          <w:b/>
          <w:sz w:val="20"/>
        </w:rPr>
        <w:t xml:space="preserve">: </w:t>
      </w:r>
      <w:r w:rsidR="005A608E">
        <w:rPr>
          <w:rFonts w:ascii="Arial Narrow" w:hAnsi="Arial Narrow"/>
          <w:b/>
          <w:sz w:val="20"/>
        </w:rPr>
        <w:t>S</w:t>
      </w:r>
      <w:r w:rsidR="00D238D9">
        <w:rPr>
          <w:rFonts w:ascii="Arial Narrow" w:hAnsi="Arial Narrow"/>
          <w:b/>
          <w:sz w:val="20"/>
        </w:rPr>
        <w:t>ummary of drug costs/patient/course for</w:t>
      </w:r>
      <w:r>
        <w:rPr>
          <w:rFonts w:ascii="Arial Narrow" w:hAnsi="Arial Narrow"/>
          <w:b/>
          <w:sz w:val="20"/>
        </w:rPr>
        <w:t xml:space="preserve"> NIVO+IPI combination therapy</w:t>
      </w:r>
    </w:p>
    <w:tbl>
      <w:tblPr>
        <w:tblStyle w:val="TableGrid"/>
        <w:tblW w:w="8379" w:type="dxa"/>
        <w:tblInd w:w="709" w:type="dxa"/>
        <w:tblLook w:val="04A0" w:firstRow="1" w:lastRow="0" w:firstColumn="1" w:lastColumn="0" w:noHBand="0" w:noVBand="1"/>
        <w:tblCaption w:val="Table 11: Summary of drug costs/patient/course for NIVO+IPI combination therapy"/>
      </w:tblPr>
      <w:tblGrid>
        <w:gridCol w:w="1264"/>
        <w:gridCol w:w="1700"/>
        <w:gridCol w:w="1341"/>
        <w:gridCol w:w="1884"/>
        <w:gridCol w:w="1011"/>
        <w:gridCol w:w="1179"/>
      </w:tblGrid>
      <w:tr w:rsidR="005116AC" w:rsidRPr="00631ED9" w:rsidTr="00A439A2">
        <w:trPr>
          <w:tblHeader/>
        </w:trPr>
        <w:tc>
          <w:tcPr>
            <w:tcW w:w="1264" w:type="dxa"/>
          </w:tcPr>
          <w:p w:rsidR="002E17D1" w:rsidRPr="00631ED9" w:rsidRDefault="002E17D1" w:rsidP="002E17D1">
            <w:pPr>
              <w:rPr>
                <w:rFonts w:ascii="Arial Narrow" w:hAnsi="Arial Narrow"/>
                <w:b/>
                <w:sz w:val="20"/>
              </w:rPr>
            </w:pPr>
          </w:p>
        </w:tc>
        <w:tc>
          <w:tcPr>
            <w:tcW w:w="1701" w:type="dxa"/>
          </w:tcPr>
          <w:p w:rsidR="00273E17" w:rsidRPr="00631ED9" w:rsidRDefault="002E17D1" w:rsidP="00273E17">
            <w:pPr>
              <w:jc w:val="center"/>
              <w:rPr>
                <w:rFonts w:ascii="Arial Narrow" w:hAnsi="Arial Narrow"/>
                <w:b/>
                <w:sz w:val="20"/>
              </w:rPr>
            </w:pPr>
            <w:r w:rsidRPr="00631ED9">
              <w:rPr>
                <w:rFonts w:ascii="Arial Narrow" w:hAnsi="Arial Narrow"/>
                <w:b/>
                <w:sz w:val="20"/>
              </w:rPr>
              <w:t>Dos</w:t>
            </w:r>
            <w:r w:rsidR="00FC5876" w:rsidRPr="00631ED9">
              <w:rPr>
                <w:rFonts w:ascii="Arial Narrow" w:hAnsi="Arial Narrow"/>
                <w:b/>
                <w:sz w:val="20"/>
              </w:rPr>
              <w:t>age/</w:t>
            </w:r>
          </w:p>
          <w:p w:rsidR="002E17D1" w:rsidRPr="00631ED9" w:rsidRDefault="00FC5876" w:rsidP="00273E17">
            <w:pPr>
              <w:jc w:val="center"/>
              <w:rPr>
                <w:rFonts w:ascii="Arial Narrow" w:hAnsi="Arial Narrow"/>
                <w:b/>
                <w:sz w:val="20"/>
                <w:vertAlign w:val="superscript"/>
              </w:rPr>
            </w:pPr>
            <w:r w:rsidRPr="00631ED9">
              <w:rPr>
                <w:rFonts w:ascii="Arial Narrow" w:hAnsi="Arial Narrow"/>
                <w:b/>
                <w:sz w:val="20"/>
              </w:rPr>
              <w:t>average dose</w:t>
            </w:r>
          </w:p>
        </w:tc>
        <w:tc>
          <w:tcPr>
            <w:tcW w:w="1341" w:type="dxa"/>
          </w:tcPr>
          <w:p w:rsidR="002E17D1" w:rsidRPr="00631ED9" w:rsidRDefault="002E17D1" w:rsidP="00273E17">
            <w:pPr>
              <w:jc w:val="center"/>
              <w:rPr>
                <w:rFonts w:ascii="Arial Narrow" w:hAnsi="Arial Narrow"/>
                <w:b/>
                <w:sz w:val="20"/>
              </w:rPr>
            </w:pPr>
            <w:r w:rsidRPr="00631ED9">
              <w:rPr>
                <w:rFonts w:ascii="Arial Narrow" w:hAnsi="Arial Narrow"/>
                <w:b/>
                <w:sz w:val="20"/>
              </w:rPr>
              <w:t>Number of vials</w:t>
            </w:r>
          </w:p>
        </w:tc>
        <w:tc>
          <w:tcPr>
            <w:tcW w:w="1885" w:type="dxa"/>
          </w:tcPr>
          <w:p w:rsidR="002E17D1" w:rsidRPr="00631ED9" w:rsidRDefault="002E17D1" w:rsidP="00273E17">
            <w:pPr>
              <w:jc w:val="center"/>
              <w:rPr>
                <w:rFonts w:ascii="Arial Narrow" w:hAnsi="Arial Narrow"/>
                <w:b/>
                <w:sz w:val="20"/>
                <w:vertAlign w:val="superscript"/>
              </w:rPr>
            </w:pPr>
            <w:r w:rsidRPr="00631ED9">
              <w:rPr>
                <w:rFonts w:ascii="Arial Narrow" w:hAnsi="Arial Narrow"/>
                <w:b/>
                <w:sz w:val="20"/>
              </w:rPr>
              <w:t>Dispensed price per infusion</w:t>
            </w:r>
          </w:p>
        </w:tc>
        <w:tc>
          <w:tcPr>
            <w:tcW w:w="1009" w:type="dxa"/>
          </w:tcPr>
          <w:p w:rsidR="002E17D1" w:rsidRPr="00631ED9" w:rsidRDefault="00C32B48" w:rsidP="00634EAE">
            <w:pPr>
              <w:jc w:val="center"/>
              <w:rPr>
                <w:rFonts w:ascii="Arial Narrow" w:hAnsi="Arial Narrow"/>
                <w:b/>
                <w:sz w:val="20"/>
                <w:vertAlign w:val="superscript"/>
              </w:rPr>
            </w:pPr>
            <w:r w:rsidRPr="00631ED9">
              <w:rPr>
                <w:rFonts w:ascii="Arial Narrow" w:hAnsi="Arial Narrow"/>
                <w:b/>
                <w:sz w:val="20"/>
              </w:rPr>
              <w:t>Mean</w:t>
            </w:r>
            <w:r w:rsidR="002E17D1" w:rsidRPr="00631ED9">
              <w:rPr>
                <w:rFonts w:ascii="Arial Narrow" w:hAnsi="Arial Narrow"/>
                <w:b/>
                <w:sz w:val="20"/>
              </w:rPr>
              <w:t xml:space="preserve"> </w:t>
            </w:r>
            <w:r w:rsidR="005116AC" w:rsidRPr="00631ED9">
              <w:rPr>
                <w:rFonts w:ascii="Arial Narrow" w:hAnsi="Arial Narrow"/>
                <w:b/>
                <w:sz w:val="20"/>
              </w:rPr>
              <w:t xml:space="preserve">no. </w:t>
            </w:r>
            <w:r w:rsidR="002E17D1" w:rsidRPr="00631ED9">
              <w:rPr>
                <w:rFonts w:ascii="Arial Narrow" w:hAnsi="Arial Narrow"/>
                <w:b/>
                <w:sz w:val="20"/>
              </w:rPr>
              <w:t>infusions</w:t>
            </w:r>
            <w:r w:rsidR="004314FD" w:rsidRPr="00631ED9">
              <w:rPr>
                <w:rFonts w:ascii="Arial Narrow" w:hAnsi="Arial Narrow"/>
                <w:b/>
                <w:sz w:val="20"/>
                <w:vertAlign w:val="superscript"/>
              </w:rPr>
              <w:t>d</w:t>
            </w:r>
          </w:p>
        </w:tc>
        <w:tc>
          <w:tcPr>
            <w:tcW w:w="1179" w:type="dxa"/>
          </w:tcPr>
          <w:p w:rsidR="002E17D1" w:rsidRPr="00631ED9" w:rsidRDefault="002E17D1" w:rsidP="00273E17">
            <w:pPr>
              <w:jc w:val="center"/>
              <w:rPr>
                <w:rFonts w:ascii="Arial Narrow" w:hAnsi="Arial Narrow"/>
                <w:b/>
                <w:sz w:val="20"/>
              </w:rPr>
            </w:pPr>
            <w:r w:rsidRPr="00631ED9">
              <w:rPr>
                <w:rFonts w:ascii="Arial Narrow" w:hAnsi="Arial Narrow"/>
                <w:b/>
                <w:sz w:val="20"/>
              </w:rPr>
              <w:t>Total cost</w:t>
            </w:r>
          </w:p>
        </w:tc>
      </w:tr>
      <w:tr w:rsidR="002A743C" w:rsidRPr="00631ED9" w:rsidTr="002A743C">
        <w:tc>
          <w:tcPr>
            <w:tcW w:w="8379" w:type="dxa"/>
            <w:gridSpan w:val="6"/>
          </w:tcPr>
          <w:p w:rsidR="002A743C" w:rsidRPr="00631ED9" w:rsidRDefault="002A743C" w:rsidP="002A743C">
            <w:pPr>
              <w:jc w:val="left"/>
              <w:rPr>
                <w:rFonts w:ascii="Arial Narrow" w:hAnsi="Arial Narrow"/>
                <w:b/>
                <w:sz w:val="20"/>
              </w:rPr>
            </w:pPr>
            <w:r w:rsidRPr="00631ED9">
              <w:rPr>
                <w:rFonts w:ascii="Arial Narrow" w:hAnsi="Arial Narrow"/>
                <w:b/>
                <w:sz w:val="20"/>
              </w:rPr>
              <w:t>NIVO+IPI combination therapy</w:t>
            </w:r>
          </w:p>
        </w:tc>
      </w:tr>
      <w:tr w:rsidR="00634EAE" w:rsidRPr="00631ED9" w:rsidTr="00634EAE">
        <w:tc>
          <w:tcPr>
            <w:tcW w:w="8379" w:type="dxa"/>
            <w:gridSpan w:val="6"/>
          </w:tcPr>
          <w:p w:rsidR="00634EAE" w:rsidRPr="00631ED9" w:rsidRDefault="00634EAE" w:rsidP="002E17D1">
            <w:pPr>
              <w:rPr>
                <w:rFonts w:ascii="Arial Narrow" w:hAnsi="Arial Narrow"/>
                <w:sz w:val="20"/>
              </w:rPr>
            </w:pPr>
            <w:r w:rsidRPr="00631ED9">
              <w:rPr>
                <w:rFonts w:ascii="Arial Narrow" w:hAnsi="Arial Narrow"/>
                <w:sz w:val="20"/>
              </w:rPr>
              <w:t xml:space="preserve">Nivolumab </w:t>
            </w:r>
          </w:p>
        </w:tc>
      </w:tr>
      <w:tr w:rsidR="005116AC" w:rsidRPr="00631ED9" w:rsidTr="00842D99">
        <w:tc>
          <w:tcPr>
            <w:tcW w:w="1264" w:type="dxa"/>
          </w:tcPr>
          <w:p w:rsidR="002E17D1" w:rsidRPr="00631ED9" w:rsidRDefault="002E17D1" w:rsidP="002E17D1">
            <w:pPr>
              <w:rPr>
                <w:rFonts w:ascii="Arial Narrow" w:hAnsi="Arial Narrow"/>
                <w:sz w:val="20"/>
              </w:rPr>
            </w:pPr>
            <w:r w:rsidRPr="00631ED9">
              <w:rPr>
                <w:rFonts w:ascii="Arial Narrow" w:hAnsi="Arial Narrow"/>
                <w:sz w:val="20"/>
              </w:rPr>
              <w:t>In</w:t>
            </w:r>
            <w:r w:rsidR="00FC5876" w:rsidRPr="00631ED9">
              <w:rPr>
                <w:rFonts w:ascii="Arial Narrow" w:hAnsi="Arial Narrow"/>
                <w:sz w:val="20"/>
              </w:rPr>
              <w:t>duction phase</w:t>
            </w:r>
          </w:p>
        </w:tc>
        <w:tc>
          <w:tcPr>
            <w:tcW w:w="1701" w:type="dxa"/>
          </w:tcPr>
          <w:p w:rsidR="002E17D1" w:rsidRPr="00631ED9" w:rsidRDefault="00FC5876" w:rsidP="00273E17">
            <w:pPr>
              <w:jc w:val="left"/>
              <w:rPr>
                <w:rFonts w:ascii="Arial Narrow" w:hAnsi="Arial Narrow"/>
                <w:sz w:val="20"/>
              </w:rPr>
            </w:pPr>
            <w:r w:rsidRPr="00631ED9">
              <w:rPr>
                <w:rFonts w:ascii="Arial Narrow" w:hAnsi="Arial Narrow"/>
                <w:sz w:val="20"/>
              </w:rPr>
              <w:t>1 mg/kg Q3W</w:t>
            </w:r>
          </w:p>
          <w:p w:rsidR="00FC5876" w:rsidRPr="00631ED9" w:rsidRDefault="00634EAE" w:rsidP="00273E17">
            <w:pPr>
              <w:jc w:val="left"/>
              <w:rPr>
                <w:rFonts w:ascii="Arial Narrow" w:hAnsi="Arial Narrow"/>
                <w:sz w:val="20"/>
                <w:vertAlign w:val="superscript"/>
              </w:rPr>
            </w:pPr>
            <w:r w:rsidRPr="00631ED9">
              <w:rPr>
                <w:rFonts w:ascii="Arial Narrow" w:hAnsi="Arial Narrow"/>
                <w:sz w:val="20"/>
              </w:rPr>
              <w:t>Ave</w:t>
            </w:r>
            <w:r w:rsidR="00FC5876" w:rsidRPr="00631ED9">
              <w:rPr>
                <w:rFonts w:ascii="Arial Narrow" w:hAnsi="Arial Narrow"/>
                <w:sz w:val="20"/>
              </w:rPr>
              <w:t xml:space="preserve"> dose: 83.3 mg</w:t>
            </w:r>
            <w:r w:rsidRPr="00631ED9">
              <w:rPr>
                <w:rFonts w:ascii="Arial Narrow" w:hAnsi="Arial Narrow"/>
                <w:sz w:val="20"/>
                <w:vertAlign w:val="superscript"/>
              </w:rPr>
              <w:t>a</w:t>
            </w:r>
          </w:p>
        </w:tc>
        <w:tc>
          <w:tcPr>
            <w:tcW w:w="1341" w:type="dxa"/>
          </w:tcPr>
          <w:p w:rsidR="002E17D1" w:rsidRPr="00631ED9" w:rsidRDefault="00842D99" w:rsidP="00842D99">
            <w:pPr>
              <w:jc w:val="left"/>
              <w:rPr>
                <w:rFonts w:ascii="Arial Narrow" w:hAnsi="Arial Narrow"/>
                <w:sz w:val="20"/>
              </w:rPr>
            </w:pPr>
            <w:r w:rsidRPr="00631ED9">
              <w:rPr>
                <w:rFonts w:ascii="Arial Narrow" w:hAnsi="Arial Narrow"/>
                <w:sz w:val="20"/>
              </w:rPr>
              <w:t>1 x 100</w:t>
            </w:r>
            <w:r w:rsidR="00FC5876" w:rsidRPr="00631ED9">
              <w:rPr>
                <w:rFonts w:ascii="Arial Narrow" w:hAnsi="Arial Narrow"/>
                <w:sz w:val="20"/>
              </w:rPr>
              <w:t> mg vial</w:t>
            </w:r>
          </w:p>
        </w:tc>
        <w:tc>
          <w:tcPr>
            <w:tcW w:w="1885" w:type="dxa"/>
          </w:tcPr>
          <w:p w:rsidR="00FC5876" w:rsidRPr="00631ED9" w:rsidRDefault="00842D99" w:rsidP="00FC5876">
            <w:pPr>
              <w:jc w:val="left"/>
              <w:rPr>
                <w:rFonts w:ascii="Arial Narrow" w:hAnsi="Arial Narrow"/>
                <w:sz w:val="20"/>
                <w:vertAlign w:val="superscript"/>
              </w:rPr>
            </w:pPr>
            <w:r w:rsidRPr="00631ED9">
              <w:rPr>
                <w:rFonts w:ascii="Arial Narrow" w:hAnsi="Arial Narrow"/>
                <w:sz w:val="20"/>
              </w:rPr>
              <w:t>Public: $</w:t>
            </w:r>
            <w:r w:rsidR="00EC7969">
              <w:rPr>
                <w:rFonts w:ascii="Arial Narrow" w:hAnsi="Arial Narrow"/>
                <w:noProof/>
                <w:color w:val="000000"/>
                <w:sz w:val="20"/>
                <w:highlight w:val="black"/>
              </w:rPr>
              <w:t>'''''''''''''''</w:t>
            </w:r>
            <w:r w:rsidR="00EA00D6" w:rsidRPr="00631ED9">
              <w:rPr>
                <w:rFonts w:ascii="Arial Narrow" w:hAnsi="Arial Narrow"/>
                <w:sz w:val="20"/>
                <w:vertAlign w:val="superscript"/>
              </w:rPr>
              <w:t>b</w:t>
            </w:r>
          </w:p>
          <w:p w:rsidR="00FC5876" w:rsidRPr="00631ED9" w:rsidRDefault="00842D99" w:rsidP="00FC5876">
            <w:pPr>
              <w:jc w:val="left"/>
              <w:rPr>
                <w:rFonts w:ascii="Arial Narrow" w:hAnsi="Arial Narrow"/>
                <w:sz w:val="20"/>
                <w:vertAlign w:val="superscript"/>
              </w:rPr>
            </w:pPr>
            <w:r w:rsidRPr="00631ED9">
              <w:rPr>
                <w:rFonts w:ascii="Arial Narrow" w:hAnsi="Arial Narrow"/>
                <w:sz w:val="20"/>
              </w:rPr>
              <w:t>Private: $</w:t>
            </w:r>
            <w:r w:rsidR="00EC7969">
              <w:rPr>
                <w:rFonts w:ascii="Arial Narrow" w:hAnsi="Arial Narrow"/>
                <w:noProof/>
                <w:color w:val="000000"/>
                <w:sz w:val="20"/>
                <w:highlight w:val="black"/>
              </w:rPr>
              <w:t>'''''''''''''</w:t>
            </w:r>
            <w:r w:rsidR="00EA00D6" w:rsidRPr="00631ED9">
              <w:rPr>
                <w:rFonts w:ascii="Arial Narrow" w:hAnsi="Arial Narrow"/>
                <w:sz w:val="20"/>
                <w:vertAlign w:val="superscript"/>
              </w:rPr>
              <w:t>b</w:t>
            </w:r>
          </w:p>
          <w:p w:rsidR="002E17D1" w:rsidRPr="00631ED9" w:rsidRDefault="00842D99" w:rsidP="00FC5876">
            <w:pPr>
              <w:jc w:val="left"/>
              <w:rPr>
                <w:rFonts w:ascii="Arial Narrow" w:hAnsi="Arial Narrow"/>
                <w:sz w:val="20"/>
                <w:vertAlign w:val="superscript"/>
              </w:rPr>
            </w:pPr>
            <w:r w:rsidRPr="00631ED9">
              <w:rPr>
                <w:rFonts w:ascii="Arial Narrow" w:hAnsi="Arial Narrow"/>
                <w:sz w:val="20"/>
              </w:rPr>
              <w:t>Weighted: $</w:t>
            </w:r>
            <w:r w:rsidR="00EC7969">
              <w:rPr>
                <w:rFonts w:ascii="Arial Narrow" w:hAnsi="Arial Narrow"/>
                <w:noProof/>
                <w:color w:val="000000"/>
                <w:sz w:val="20"/>
                <w:highlight w:val="black"/>
              </w:rPr>
              <w:t>''''''''''''</w:t>
            </w:r>
            <w:r w:rsidR="00634EAE" w:rsidRPr="00631ED9">
              <w:rPr>
                <w:rFonts w:ascii="Arial Narrow" w:hAnsi="Arial Narrow"/>
                <w:sz w:val="20"/>
                <w:vertAlign w:val="superscript"/>
              </w:rPr>
              <w:t>b</w:t>
            </w:r>
          </w:p>
        </w:tc>
        <w:tc>
          <w:tcPr>
            <w:tcW w:w="1009" w:type="dxa"/>
          </w:tcPr>
          <w:p w:rsidR="002E17D1" w:rsidRPr="00631ED9" w:rsidRDefault="00273E17" w:rsidP="00634EAE">
            <w:pPr>
              <w:jc w:val="center"/>
              <w:rPr>
                <w:rFonts w:ascii="Arial Narrow" w:hAnsi="Arial Narrow"/>
                <w:sz w:val="20"/>
                <w:vertAlign w:val="superscript"/>
              </w:rPr>
            </w:pPr>
            <w:r w:rsidRPr="00631ED9">
              <w:rPr>
                <w:rFonts w:ascii="Arial Narrow" w:hAnsi="Arial Narrow"/>
                <w:sz w:val="20"/>
              </w:rPr>
              <w:t>3.25</w:t>
            </w:r>
            <w:r w:rsidR="008B2CF7" w:rsidRPr="00631ED9">
              <w:rPr>
                <w:rFonts w:ascii="Arial Narrow" w:hAnsi="Arial Narrow"/>
                <w:sz w:val="20"/>
                <w:vertAlign w:val="superscript"/>
              </w:rPr>
              <w:t>d</w:t>
            </w:r>
          </w:p>
        </w:tc>
        <w:tc>
          <w:tcPr>
            <w:tcW w:w="1179" w:type="dxa"/>
          </w:tcPr>
          <w:p w:rsidR="002E17D1" w:rsidRPr="00631ED9" w:rsidRDefault="00842D99" w:rsidP="00634EAE">
            <w:pPr>
              <w:jc w:val="right"/>
              <w:rPr>
                <w:rFonts w:ascii="Arial Narrow" w:hAnsi="Arial Narrow"/>
                <w:sz w:val="20"/>
              </w:rPr>
            </w:pPr>
            <w:r w:rsidRPr="00631ED9">
              <w:rPr>
                <w:rFonts w:ascii="Arial Narrow" w:hAnsi="Arial Narrow"/>
                <w:sz w:val="20"/>
              </w:rPr>
              <w:t>$</w:t>
            </w:r>
            <w:r w:rsidR="00EC7969">
              <w:rPr>
                <w:rFonts w:ascii="Arial Narrow" w:hAnsi="Arial Narrow"/>
                <w:noProof/>
                <w:color w:val="000000"/>
                <w:sz w:val="20"/>
                <w:highlight w:val="black"/>
              </w:rPr>
              <w:t>''''''''''''''</w:t>
            </w:r>
          </w:p>
        </w:tc>
      </w:tr>
      <w:tr w:rsidR="005116AC" w:rsidRPr="00631ED9" w:rsidTr="002A743C">
        <w:tc>
          <w:tcPr>
            <w:tcW w:w="1264" w:type="dxa"/>
          </w:tcPr>
          <w:p w:rsidR="002E17D1" w:rsidRPr="00631ED9" w:rsidRDefault="00273E17" w:rsidP="002E17D1">
            <w:pPr>
              <w:rPr>
                <w:rFonts w:ascii="Arial Narrow" w:hAnsi="Arial Narrow"/>
                <w:sz w:val="20"/>
              </w:rPr>
            </w:pPr>
            <w:r w:rsidRPr="00631ED9">
              <w:rPr>
                <w:rFonts w:ascii="Arial Narrow" w:hAnsi="Arial Narrow"/>
                <w:sz w:val="20"/>
              </w:rPr>
              <w:t>Continuing</w:t>
            </w:r>
            <w:r w:rsidR="00634EAE" w:rsidRPr="00631ED9">
              <w:rPr>
                <w:rFonts w:ascii="Arial Narrow" w:hAnsi="Arial Narrow"/>
                <w:sz w:val="20"/>
              </w:rPr>
              <w:t xml:space="preserve"> phase</w:t>
            </w:r>
          </w:p>
        </w:tc>
        <w:tc>
          <w:tcPr>
            <w:tcW w:w="1701" w:type="dxa"/>
          </w:tcPr>
          <w:p w:rsidR="002E17D1" w:rsidRPr="00631ED9" w:rsidRDefault="00273E17" w:rsidP="00273E17">
            <w:pPr>
              <w:jc w:val="left"/>
              <w:rPr>
                <w:rFonts w:ascii="Arial Narrow" w:hAnsi="Arial Narrow"/>
                <w:sz w:val="20"/>
              </w:rPr>
            </w:pPr>
            <w:r w:rsidRPr="00631ED9">
              <w:rPr>
                <w:rFonts w:ascii="Arial Narrow" w:hAnsi="Arial Narrow"/>
                <w:sz w:val="20"/>
              </w:rPr>
              <w:t>3 mg/kg Q2W</w:t>
            </w:r>
          </w:p>
          <w:p w:rsidR="00273E17" w:rsidRPr="00631ED9" w:rsidRDefault="00273E17" w:rsidP="00273E17">
            <w:pPr>
              <w:jc w:val="left"/>
              <w:rPr>
                <w:rFonts w:ascii="Arial Narrow" w:hAnsi="Arial Narrow"/>
                <w:sz w:val="20"/>
                <w:vertAlign w:val="superscript"/>
              </w:rPr>
            </w:pPr>
            <w:r w:rsidRPr="00631ED9">
              <w:rPr>
                <w:rFonts w:ascii="Arial Narrow" w:hAnsi="Arial Narrow"/>
                <w:sz w:val="20"/>
              </w:rPr>
              <w:t>Ave dose: 250 mg</w:t>
            </w:r>
            <w:r w:rsidR="00634EAE" w:rsidRPr="00631ED9">
              <w:rPr>
                <w:rFonts w:ascii="Arial Narrow" w:hAnsi="Arial Narrow"/>
                <w:sz w:val="20"/>
                <w:vertAlign w:val="superscript"/>
              </w:rPr>
              <w:t>a</w:t>
            </w:r>
          </w:p>
        </w:tc>
        <w:tc>
          <w:tcPr>
            <w:tcW w:w="1341" w:type="dxa"/>
          </w:tcPr>
          <w:p w:rsidR="002E17D1" w:rsidRPr="00631ED9" w:rsidRDefault="00273E17" w:rsidP="002E17D1">
            <w:pPr>
              <w:rPr>
                <w:rFonts w:ascii="Arial Narrow" w:hAnsi="Arial Narrow"/>
                <w:sz w:val="20"/>
              </w:rPr>
            </w:pPr>
            <w:r w:rsidRPr="00631ED9">
              <w:rPr>
                <w:rFonts w:ascii="Arial Narrow" w:hAnsi="Arial Narrow"/>
                <w:sz w:val="20"/>
              </w:rPr>
              <w:t>1 x 100 mg vial</w:t>
            </w:r>
          </w:p>
          <w:p w:rsidR="00273E17" w:rsidRPr="00631ED9" w:rsidRDefault="00273E17" w:rsidP="002E17D1">
            <w:pPr>
              <w:rPr>
                <w:rFonts w:ascii="Arial Narrow" w:hAnsi="Arial Narrow"/>
                <w:sz w:val="20"/>
              </w:rPr>
            </w:pPr>
            <w:r w:rsidRPr="00631ED9">
              <w:rPr>
                <w:rFonts w:ascii="Arial Narrow" w:hAnsi="Arial Narrow"/>
                <w:sz w:val="20"/>
              </w:rPr>
              <w:t>4 x 40 mg vials</w:t>
            </w:r>
          </w:p>
        </w:tc>
        <w:tc>
          <w:tcPr>
            <w:tcW w:w="1885" w:type="dxa"/>
          </w:tcPr>
          <w:p w:rsidR="00273E17" w:rsidRPr="00631ED9" w:rsidRDefault="00273E17" w:rsidP="00273E17">
            <w:pPr>
              <w:jc w:val="left"/>
              <w:rPr>
                <w:rFonts w:ascii="Arial Narrow" w:hAnsi="Arial Narrow"/>
                <w:sz w:val="20"/>
                <w:vertAlign w:val="superscript"/>
              </w:rPr>
            </w:pPr>
            <w:r w:rsidRPr="00631ED9">
              <w:rPr>
                <w:rFonts w:ascii="Arial Narrow" w:hAnsi="Arial Narrow"/>
                <w:sz w:val="20"/>
              </w:rPr>
              <w:t>Public: $</w:t>
            </w:r>
            <w:r w:rsidR="00EC7969">
              <w:rPr>
                <w:rFonts w:ascii="Arial Narrow" w:hAnsi="Arial Narrow"/>
                <w:noProof/>
                <w:color w:val="000000"/>
                <w:sz w:val="20"/>
                <w:highlight w:val="black"/>
              </w:rPr>
              <w:t>''''''''''''</w:t>
            </w:r>
            <w:r w:rsidR="00EA00D6" w:rsidRPr="00631ED9">
              <w:rPr>
                <w:rFonts w:ascii="Arial Narrow" w:hAnsi="Arial Narrow"/>
                <w:sz w:val="20"/>
                <w:vertAlign w:val="superscript"/>
              </w:rPr>
              <w:t>b</w:t>
            </w:r>
          </w:p>
          <w:p w:rsidR="00273E17" w:rsidRPr="00631ED9" w:rsidRDefault="00273E17" w:rsidP="00273E17">
            <w:pPr>
              <w:jc w:val="left"/>
              <w:rPr>
                <w:rFonts w:ascii="Arial Narrow" w:hAnsi="Arial Narrow"/>
                <w:sz w:val="20"/>
                <w:vertAlign w:val="superscript"/>
              </w:rPr>
            </w:pPr>
            <w:r w:rsidRPr="00631ED9">
              <w:rPr>
                <w:rFonts w:ascii="Arial Narrow" w:hAnsi="Arial Narrow"/>
                <w:sz w:val="20"/>
              </w:rPr>
              <w:t>Private: $</w:t>
            </w:r>
            <w:r w:rsidR="00EC7969">
              <w:rPr>
                <w:rFonts w:ascii="Arial Narrow" w:hAnsi="Arial Narrow"/>
                <w:noProof/>
                <w:color w:val="000000"/>
                <w:sz w:val="20"/>
                <w:highlight w:val="black"/>
              </w:rPr>
              <w:t>'''''''''''''''''</w:t>
            </w:r>
          </w:p>
          <w:p w:rsidR="002E17D1" w:rsidRPr="00631ED9" w:rsidRDefault="00273E17" w:rsidP="00273E17">
            <w:pPr>
              <w:rPr>
                <w:rFonts w:ascii="Arial Narrow" w:hAnsi="Arial Narrow"/>
                <w:sz w:val="20"/>
                <w:vertAlign w:val="superscript"/>
              </w:rPr>
            </w:pPr>
            <w:r w:rsidRPr="00631ED9">
              <w:rPr>
                <w:rFonts w:ascii="Arial Narrow" w:hAnsi="Arial Narrow"/>
                <w:sz w:val="20"/>
              </w:rPr>
              <w:t>Weighted: $</w:t>
            </w:r>
            <w:r w:rsidR="00EC7969">
              <w:rPr>
                <w:rFonts w:ascii="Arial Narrow" w:hAnsi="Arial Narrow"/>
                <w:noProof/>
                <w:color w:val="000000"/>
                <w:sz w:val="20"/>
                <w:highlight w:val="black"/>
              </w:rPr>
              <w:t>''''''''''''''''</w:t>
            </w:r>
          </w:p>
        </w:tc>
        <w:tc>
          <w:tcPr>
            <w:tcW w:w="1009" w:type="dxa"/>
          </w:tcPr>
          <w:p w:rsidR="002E17D1" w:rsidRPr="00631ED9" w:rsidRDefault="00273E17" w:rsidP="00634EAE">
            <w:pPr>
              <w:jc w:val="center"/>
              <w:rPr>
                <w:rFonts w:ascii="Arial Narrow" w:hAnsi="Arial Narrow"/>
                <w:sz w:val="20"/>
                <w:vertAlign w:val="superscript"/>
              </w:rPr>
            </w:pPr>
            <w:r w:rsidRPr="00631ED9">
              <w:rPr>
                <w:rFonts w:ascii="Arial Narrow" w:hAnsi="Arial Narrow"/>
                <w:sz w:val="20"/>
              </w:rPr>
              <w:t>17.75</w:t>
            </w:r>
            <w:r w:rsidR="008B2CF7" w:rsidRPr="00631ED9">
              <w:rPr>
                <w:rFonts w:ascii="Arial Narrow" w:hAnsi="Arial Narrow"/>
                <w:sz w:val="20"/>
                <w:vertAlign w:val="superscript"/>
              </w:rPr>
              <w:t>d</w:t>
            </w:r>
          </w:p>
        </w:tc>
        <w:tc>
          <w:tcPr>
            <w:tcW w:w="1179" w:type="dxa"/>
          </w:tcPr>
          <w:p w:rsidR="002E17D1" w:rsidRPr="00631ED9" w:rsidRDefault="002A743C" w:rsidP="00634EAE">
            <w:pPr>
              <w:jc w:val="right"/>
              <w:rPr>
                <w:rFonts w:ascii="Arial Narrow" w:hAnsi="Arial Narrow"/>
                <w:sz w:val="20"/>
              </w:rPr>
            </w:pPr>
            <w:r w:rsidRPr="00631ED9">
              <w:rPr>
                <w:rFonts w:ascii="Arial Narrow" w:hAnsi="Arial Narrow"/>
                <w:sz w:val="20"/>
              </w:rPr>
              <w:t>$</w:t>
            </w:r>
            <w:r w:rsidR="00EC7969">
              <w:rPr>
                <w:rFonts w:ascii="Arial Narrow" w:hAnsi="Arial Narrow"/>
                <w:noProof/>
                <w:color w:val="000000"/>
                <w:sz w:val="20"/>
                <w:highlight w:val="black"/>
              </w:rPr>
              <w:t>'''''''''''''''''</w:t>
            </w:r>
          </w:p>
        </w:tc>
      </w:tr>
      <w:tr w:rsidR="00634EAE" w:rsidRPr="00631ED9" w:rsidTr="002A743C">
        <w:tc>
          <w:tcPr>
            <w:tcW w:w="8379" w:type="dxa"/>
            <w:gridSpan w:val="6"/>
          </w:tcPr>
          <w:p w:rsidR="00634EAE" w:rsidRPr="00631ED9" w:rsidRDefault="00634EAE" w:rsidP="002A743C">
            <w:pPr>
              <w:jc w:val="left"/>
              <w:rPr>
                <w:rFonts w:ascii="Arial Narrow" w:hAnsi="Arial Narrow"/>
                <w:sz w:val="20"/>
              </w:rPr>
            </w:pPr>
            <w:r w:rsidRPr="00631ED9">
              <w:rPr>
                <w:rFonts w:ascii="Arial Narrow" w:hAnsi="Arial Narrow"/>
                <w:sz w:val="20"/>
              </w:rPr>
              <w:t xml:space="preserve">Ipilimumab </w:t>
            </w:r>
          </w:p>
        </w:tc>
      </w:tr>
      <w:tr w:rsidR="005116AC" w:rsidRPr="00631ED9" w:rsidTr="002A743C">
        <w:tc>
          <w:tcPr>
            <w:tcW w:w="1264" w:type="dxa"/>
            <w:tcBorders>
              <w:bottom w:val="single" w:sz="4" w:space="0" w:color="auto"/>
            </w:tcBorders>
          </w:tcPr>
          <w:p w:rsidR="002E17D1" w:rsidRPr="00631ED9" w:rsidRDefault="00273E17" w:rsidP="002E17D1">
            <w:pPr>
              <w:rPr>
                <w:rFonts w:ascii="Arial Narrow" w:hAnsi="Arial Narrow"/>
                <w:sz w:val="20"/>
              </w:rPr>
            </w:pPr>
            <w:r w:rsidRPr="00631ED9">
              <w:rPr>
                <w:rFonts w:ascii="Arial Narrow" w:hAnsi="Arial Narrow"/>
                <w:sz w:val="20"/>
              </w:rPr>
              <w:t>Induction phase</w:t>
            </w:r>
          </w:p>
        </w:tc>
        <w:tc>
          <w:tcPr>
            <w:tcW w:w="1701" w:type="dxa"/>
            <w:tcBorders>
              <w:bottom w:val="single" w:sz="4" w:space="0" w:color="auto"/>
            </w:tcBorders>
          </w:tcPr>
          <w:p w:rsidR="002E17D1" w:rsidRPr="00631ED9" w:rsidRDefault="00273E17" w:rsidP="00273E17">
            <w:pPr>
              <w:jc w:val="left"/>
              <w:rPr>
                <w:rFonts w:ascii="Arial Narrow" w:hAnsi="Arial Narrow"/>
                <w:sz w:val="20"/>
              </w:rPr>
            </w:pPr>
            <w:r w:rsidRPr="00631ED9">
              <w:rPr>
                <w:rFonts w:ascii="Arial Narrow" w:hAnsi="Arial Narrow"/>
                <w:sz w:val="20"/>
              </w:rPr>
              <w:t>3 mg/kg Q3W</w:t>
            </w:r>
          </w:p>
          <w:p w:rsidR="00634EAE" w:rsidRPr="00631ED9" w:rsidRDefault="00634EAE" w:rsidP="00273E17">
            <w:pPr>
              <w:jc w:val="left"/>
              <w:rPr>
                <w:rFonts w:ascii="Arial Narrow" w:hAnsi="Arial Narrow"/>
                <w:sz w:val="20"/>
                <w:vertAlign w:val="superscript"/>
              </w:rPr>
            </w:pPr>
            <w:r w:rsidRPr="00631ED9">
              <w:rPr>
                <w:rFonts w:ascii="Arial Narrow" w:hAnsi="Arial Narrow"/>
                <w:sz w:val="20"/>
              </w:rPr>
              <w:t>Ave dose: 250 mg</w:t>
            </w:r>
            <w:r w:rsidRPr="00631ED9">
              <w:rPr>
                <w:rFonts w:ascii="Arial Narrow" w:hAnsi="Arial Narrow"/>
                <w:sz w:val="20"/>
                <w:vertAlign w:val="superscript"/>
              </w:rPr>
              <w:t>a</w:t>
            </w:r>
          </w:p>
        </w:tc>
        <w:tc>
          <w:tcPr>
            <w:tcW w:w="1341" w:type="dxa"/>
            <w:tcBorders>
              <w:bottom w:val="single" w:sz="4" w:space="0" w:color="auto"/>
            </w:tcBorders>
          </w:tcPr>
          <w:p w:rsidR="002E17D1" w:rsidRPr="00631ED9" w:rsidRDefault="00273E17" w:rsidP="002E17D1">
            <w:pPr>
              <w:rPr>
                <w:rFonts w:ascii="Arial Narrow" w:hAnsi="Arial Narrow"/>
                <w:sz w:val="20"/>
              </w:rPr>
            </w:pPr>
            <w:r w:rsidRPr="00631ED9">
              <w:rPr>
                <w:rFonts w:ascii="Arial Narrow" w:hAnsi="Arial Narrow"/>
                <w:sz w:val="20"/>
              </w:rPr>
              <w:t>1 x 200 mg vial</w:t>
            </w:r>
          </w:p>
          <w:p w:rsidR="00273E17" w:rsidRPr="00631ED9" w:rsidRDefault="00273E17" w:rsidP="002E17D1">
            <w:pPr>
              <w:rPr>
                <w:rFonts w:ascii="Arial Narrow" w:hAnsi="Arial Narrow"/>
                <w:sz w:val="20"/>
              </w:rPr>
            </w:pPr>
            <w:r w:rsidRPr="00631ED9">
              <w:rPr>
                <w:rFonts w:ascii="Arial Narrow" w:hAnsi="Arial Narrow"/>
                <w:sz w:val="20"/>
              </w:rPr>
              <w:t>1 x 50 mg vial</w:t>
            </w:r>
          </w:p>
        </w:tc>
        <w:tc>
          <w:tcPr>
            <w:tcW w:w="1885" w:type="dxa"/>
            <w:tcBorders>
              <w:bottom w:val="single" w:sz="4" w:space="0" w:color="auto"/>
            </w:tcBorders>
          </w:tcPr>
          <w:p w:rsidR="00273E17" w:rsidRPr="00631ED9" w:rsidRDefault="00273E17" w:rsidP="00273E17">
            <w:pPr>
              <w:rPr>
                <w:rFonts w:ascii="Arial Narrow" w:hAnsi="Arial Narrow"/>
                <w:sz w:val="20"/>
                <w:vertAlign w:val="superscript"/>
              </w:rPr>
            </w:pPr>
            <w:r w:rsidRPr="00631ED9">
              <w:rPr>
                <w:rFonts w:ascii="Arial Narrow" w:hAnsi="Arial Narrow"/>
                <w:sz w:val="20"/>
              </w:rPr>
              <w:t>Public: $</w:t>
            </w:r>
            <w:r w:rsidR="00EC7969">
              <w:rPr>
                <w:rFonts w:ascii="Arial Narrow" w:hAnsi="Arial Narrow"/>
                <w:noProof/>
                <w:color w:val="000000"/>
                <w:sz w:val="20"/>
                <w:highlight w:val="black"/>
              </w:rPr>
              <w:t>''''''''''''''''''</w:t>
            </w:r>
          </w:p>
          <w:p w:rsidR="00273E17" w:rsidRPr="00631ED9" w:rsidRDefault="00273E17" w:rsidP="00273E17">
            <w:pPr>
              <w:rPr>
                <w:rFonts w:ascii="Arial Narrow" w:hAnsi="Arial Narrow"/>
                <w:sz w:val="20"/>
                <w:vertAlign w:val="superscript"/>
              </w:rPr>
            </w:pPr>
            <w:r w:rsidRPr="00631ED9">
              <w:rPr>
                <w:rFonts w:ascii="Arial Narrow" w:hAnsi="Arial Narrow"/>
                <w:sz w:val="20"/>
              </w:rPr>
              <w:t>Private: $</w:t>
            </w:r>
            <w:r w:rsidR="00EC7969">
              <w:rPr>
                <w:rFonts w:ascii="Arial Narrow" w:hAnsi="Arial Narrow"/>
                <w:noProof/>
                <w:color w:val="000000"/>
                <w:sz w:val="20"/>
                <w:highlight w:val="black"/>
              </w:rPr>
              <w:t>'''''''''''''''''</w:t>
            </w:r>
            <w:r w:rsidR="00634EAE" w:rsidRPr="00631ED9">
              <w:rPr>
                <w:rFonts w:ascii="Arial Narrow" w:hAnsi="Arial Narrow"/>
                <w:sz w:val="20"/>
                <w:vertAlign w:val="superscript"/>
              </w:rPr>
              <w:t>c</w:t>
            </w:r>
          </w:p>
          <w:p w:rsidR="002E17D1" w:rsidRPr="00631ED9" w:rsidRDefault="00273E17" w:rsidP="00273E17">
            <w:pPr>
              <w:rPr>
                <w:rFonts w:ascii="Arial Narrow" w:hAnsi="Arial Narrow"/>
                <w:sz w:val="20"/>
                <w:vertAlign w:val="superscript"/>
              </w:rPr>
            </w:pPr>
            <w:r w:rsidRPr="00631ED9">
              <w:rPr>
                <w:rFonts w:ascii="Arial Narrow" w:hAnsi="Arial Narrow"/>
                <w:sz w:val="20"/>
              </w:rPr>
              <w:t>Weighted: $</w:t>
            </w:r>
            <w:r w:rsidR="00EC7969">
              <w:rPr>
                <w:rFonts w:ascii="Arial Narrow" w:hAnsi="Arial Narrow"/>
                <w:noProof/>
                <w:color w:val="000000"/>
                <w:sz w:val="20"/>
                <w:highlight w:val="black"/>
              </w:rPr>
              <w:t>'''''''''''''''</w:t>
            </w:r>
            <w:r w:rsidR="00634EAE" w:rsidRPr="00631ED9">
              <w:rPr>
                <w:rFonts w:ascii="Arial Narrow" w:hAnsi="Arial Narrow"/>
                <w:sz w:val="20"/>
                <w:vertAlign w:val="superscript"/>
              </w:rPr>
              <w:t>b,c</w:t>
            </w:r>
          </w:p>
        </w:tc>
        <w:tc>
          <w:tcPr>
            <w:tcW w:w="1009" w:type="dxa"/>
            <w:tcBorders>
              <w:bottom w:val="single" w:sz="4" w:space="0" w:color="auto"/>
            </w:tcBorders>
          </w:tcPr>
          <w:p w:rsidR="002E17D1" w:rsidRPr="00631ED9" w:rsidRDefault="00273E17" w:rsidP="00634EAE">
            <w:pPr>
              <w:jc w:val="center"/>
              <w:rPr>
                <w:rFonts w:ascii="Arial Narrow" w:hAnsi="Arial Narrow"/>
                <w:sz w:val="20"/>
                <w:vertAlign w:val="superscript"/>
              </w:rPr>
            </w:pPr>
            <w:r w:rsidRPr="00631ED9">
              <w:rPr>
                <w:rFonts w:ascii="Arial Narrow" w:hAnsi="Arial Narrow"/>
                <w:sz w:val="20"/>
              </w:rPr>
              <w:t>3.25</w:t>
            </w:r>
            <w:r w:rsidR="008B2CF7" w:rsidRPr="00631ED9">
              <w:rPr>
                <w:rFonts w:ascii="Arial Narrow" w:hAnsi="Arial Narrow"/>
                <w:sz w:val="20"/>
                <w:vertAlign w:val="superscript"/>
              </w:rPr>
              <w:t>d</w:t>
            </w:r>
          </w:p>
        </w:tc>
        <w:tc>
          <w:tcPr>
            <w:tcW w:w="1179" w:type="dxa"/>
            <w:tcBorders>
              <w:bottom w:val="single" w:sz="4" w:space="0" w:color="auto"/>
            </w:tcBorders>
          </w:tcPr>
          <w:p w:rsidR="002E17D1" w:rsidRPr="00631ED9" w:rsidRDefault="002A743C" w:rsidP="00634EAE">
            <w:pPr>
              <w:jc w:val="right"/>
              <w:rPr>
                <w:rFonts w:ascii="Arial Narrow" w:hAnsi="Arial Narrow"/>
                <w:sz w:val="20"/>
              </w:rPr>
            </w:pPr>
            <w:r w:rsidRPr="00631ED9">
              <w:rPr>
                <w:rFonts w:ascii="Arial Narrow" w:hAnsi="Arial Narrow"/>
                <w:sz w:val="20"/>
              </w:rPr>
              <w:t>$</w:t>
            </w:r>
            <w:r w:rsidR="00EC7969">
              <w:rPr>
                <w:rFonts w:ascii="Arial Narrow" w:hAnsi="Arial Narrow"/>
                <w:noProof/>
                <w:color w:val="000000"/>
                <w:sz w:val="20"/>
                <w:highlight w:val="black"/>
              </w:rPr>
              <w:t>'''''''''''''''</w:t>
            </w:r>
          </w:p>
        </w:tc>
      </w:tr>
      <w:tr w:rsidR="00634EAE" w:rsidRPr="00631ED9" w:rsidTr="002A743C">
        <w:tc>
          <w:tcPr>
            <w:tcW w:w="7200" w:type="dxa"/>
            <w:gridSpan w:val="5"/>
            <w:tcBorders>
              <w:bottom w:val="double" w:sz="4" w:space="0" w:color="auto"/>
            </w:tcBorders>
          </w:tcPr>
          <w:p w:rsidR="00634EAE" w:rsidRPr="00631ED9" w:rsidRDefault="001D2CD4" w:rsidP="001D2CD4">
            <w:pPr>
              <w:rPr>
                <w:rFonts w:ascii="Arial Narrow" w:hAnsi="Arial Narrow"/>
                <w:sz w:val="20"/>
              </w:rPr>
            </w:pPr>
            <w:r w:rsidRPr="00631ED9">
              <w:rPr>
                <w:rFonts w:ascii="Arial Narrow" w:hAnsi="Arial Narrow"/>
                <w:b/>
                <w:sz w:val="20"/>
              </w:rPr>
              <w:t>Total cost/patient/course</w:t>
            </w:r>
          </w:p>
        </w:tc>
        <w:tc>
          <w:tcPr>
            <w:tcW w:w="1179" w:type="dxa"/>
            <w:tcBorders>
              <w:bottom w:val="double" w:sz="4" w:space="0" w:color="auto"/>
            </w:tcBorders>
          </w:tcPr>
          <w:p w:rsidR="00634EAE" w:rsidRPr="00631ED9" w:rsidRDefault="00634EAE" w:rsidP="00634EAE">
            <w:pPr>
              <w:jc w:val="right"/>
              <w:rPr>
                <w:rFonts w:ascii="Arial Narrow" w:hAnsi="Arial Narrow"/>
                <w:b/>
                <w:sz w:val="20"/>
              </w:rPr>
            </w:pPr>
            <w:r w:rsidRPr="00631ED9">
              <w:rPr>
                <w:rFonts w:ascii="Arial Narrow" w:hAnsi="Arial Narrow"/>
                <w:b/>
                <w:sz w:val="20"/>
              </w:rPr>
              <w:t>$</w:t>
            </w:r>
            <w:r w:rsidR="00EC7969">
              <w:rPr>
                <w:rFonts w:ascii="Arial Narrow" w:hAnsi="Arial Narrow"/>
                <w:b/>
                <w:noProof/>
                <w:color w:val="000000"/>
                <w:sz w:val="20"/>
                <w:highlight w:val="black"/>
              </w:rPr>
              <w:t>''''''''''''''''</w:t>
            </w:r>
          </w:p>
        </w:tc>
      </w:tr>
      <w:tr w:rsidR="002A743C" w:rsidRPr="00631ED9" w:rsidTr="002A743C">
        <w:tc>
          <w:tcPr>
            <w:tcW w:w="8379" w:type="dxa"/>
            <w:gridSpan w:val="6"/>
            <w:tcBorders>
              <w:top w:val="double" w:sz="4" w:space="0" w:color="auto"/>
            </w:tcBorders>
          </w:tcPr>
          <w:p w:rsidR="002A743C" w:rsidRPr="00631ED9" w:rsidRDefault="002A743C" w:rsidP="002A743C">
            <w:pPr>
              <w:rPr>
                <w:rFonts w:ascii="Arial Narrow" w:hAnsi="Arial Narrow"/>
                <w:b/>
                <w:sz w:val="20"/>
              </w:rPr>
            </w:pPr>
            <w:r w:rsidRPr="00631ED9">
              <w:rPr>
                <w:rFonts w:ascii="Arial Narrow" w:hAnsi="Arial Narrow"/>
                <w:b/>
                <w:sz w:val="20"/>
              </w:rPr>
              <w:t>Sequential therapy with nivolumab and ipilimumab</w:t>
            </w:r>
          </w:p>
        </w:tc>
      </w:tr>
      <w:tr w:rsidR="002A743C" w:rsidRPr="00631ED9" w:rsidTr="002A743C">
        <w:tc>
          <w:tcPr>
            <w:tcW w:w="1264" w:type="dxa"/>
          </w:tcPr>
          <w:p w:rsidR="002A743C" w:rsidRPr="00631ED9" w:rsidRDefault="002A743C" w:rsidP="00742432">
            <w:pPr>
              <w:rPr>
                <w:rFonts w:ascii="Arial Narrow" w:hAnsi="Arial Narrow"/>
                <w:sz w:val="20"/>
              </w:rPr>
            </w:pPr>
            <w:r w:rsidRPr="00631ED9">
              <w:rPr>
                <w:rFonts w:ascii="Arial Narrow" w:hAnsi="Arial Narrow"/>
                <w:sz w:val="20"/>
              </w:rPr>
              <w:t>Nivolumab monotherapy</w:t>
            </w:r>
          </w:p>
        </w:tc>
        <w:tc>
          <w:tcPr>
            <w:tcW w:w="1701" w:type="dxa"/>
          </w:tcPr>
          <w:p w:rsidR="002A743C" w:rsidRPr="00631ED9" w:rsidRDefault="002A743C" w:rsidP="00742432">
            <w:pPr>
              <w:jc w:val="left"/>
              <w:rPr>
                <w:rFonts w:ascii="Arial Narrow" w:hAnsi="Arial Narrow"/>
                <w:sz w:val="20"/>
              </w:rPr>
            </w:pPr>
            <w:r w:rsidRPr="00631ED9">
              <w:rPr>
                <w:rFonts w:ascii="Arial Narrow" w:hAnsi="Arial Narrow"/>
                <w:sz w:val="20"/>
              </w:rPr>
              <w:t>3 mg/kg Q2W</w:t>
            </w:r>
          </w:p>
          <w:p w:rsidR="002A743C" w:rsidRPr="00631ED9" w:rsidRDefault="002A743C" w:rsidP="00742432">
            <w:pPr>
              <w:jc w:val="left"/>
              <w:rPr>
                <w:rFonts w:ascii="Arial Narrow" w:hAnsi="Arial Narrow"/>
                <w:sz w:val="20"/>
                <w:vertAlign w:val="superscript"/>
              </w:rPr>
            </w:pPr>
            <w:r w:rsidRPr="00631ED9">
              <w:rPr>
                <w:rFonts w:ascii="Arial Narrow" w:hAnsi="Arial Narrow"/>
                <w:sz w:val="20"/>
              </w:rPr>
              <w:t>Ave dose: 250 mg</w:t>
            </w:r>
            <w:r w:rsidRPr="00631ED9">
              <w:rPr>
                <w:rFonts w:ascii="Arial Narrow" w:hAnsi="Arial Narrow"/>
                <w:sz w:val="20"/>
                <w:vertAlign w:val="superscript"/>
              </w:rPr>
              <w:t>a</w:t>
            </w:r>
          </w:p>
        </w:tc>
        <w:tc>
          <w:tcPr>
            <w:tcW w:w="1341" w:type="dxa"/>
          </w:tcPr>
          <w:p w:rsidR="002A743C" w:rsidRPr="00631ED9" w:rsidRDefault="002A743C" w:rsidP="00742432">
            <w:pPr>
              <w:rPr>
                <w:rFonts w:ascii="Arial Narrow" w:hAnsi="Arial Narrow"/>
                <w:sz w:val="20"/>
              </w:rPr>
            </w:pPr>
            <w:r w:rsidRPr="00631ED9">
              <w:rPr>
                <w:rFonts w:ascii="Arial Narrow" w:hAnsi="Arial Narrow"/>
                <w:sz w:val="20"/>
              </w:rPr>
              <w:t>1 x 100 mg vial</w:t>
            </w:r>
          </w:p>
          <w:p w:rsidR="002A743C" w:rsidRPr="00631ED9" w:rsidRDefault="002A743C" w:rsidP="00742432">
            <w:pPr>
              <w:rPr>
                <w:rFonts w:ascii="Arial Narrow" w:hAnsi="Arial Narrow"/>
                <w:sz w:val="20"/>
              </w:rPr>
            </w:pPr>
            <w:r w:rsidRPr="00631ED9">
              <w:rPr>
                <w:rFonts w:ascii="Arial Narrow" w:hAnsi="Arial Narrow"/>
                <w:sz w:val="20"/>
              </w:rPr>
              <w:t>4 x 40 mg vials</w:t>
            </w:r>
          </w:p>
        </w:tc>
        <w:tc>
          <w:tcPr>
            <w:tcW w:w="1885" w:type="dxa"/>
          </w:tcPr>
          <w:p w:rsidR="002A743C" w:rsidRPr="00631ED9" w:rsidRDefault="002A743C" w:rsidP="00742432">
            <w:pPr>
              <w:jc w:val="left"/>
              <w:rPr>
                <w:rFonts w:ascii="Arial Narrow" w:hAnsi="Arial Narrow"/>
                <w:sz w:val="20"/>
                <w:vertAlign w:val="superscript"/>
              </w:rPr>
            </w:pPr>
            <w:r w:rsidRPr="00631ED9">
              <w:rPr>
                <w:rFonts w:ascii="Arial Narrow" w:hAnsi="Arial Narrow"/>
                <w:sz w:val="20"/>
              </w:rPr>
              <w:t>Public: $</w:t>
            </w:r>
            <w:r w:rsidR="00EC7969">
              <w:rPr>
                <w:rFonts w:ascii="Arial Narrow" w:hAnsi="Arial Narrow"/>
                <w:noProof/>
                <w:color w:val="000000"/>
                <w:sz w:val="20"/>
                <w:highlight w:val="black"/>
              </w:rPr>
              <w:t>'''''''''''''</w:t>
            </w:r>
            <w:r w:rsidRPr="00631ED9">
              <w:rPr>
                <w:rFonts w:ascii="Arial Narrow" w:hAnsi="Arial Narrow"/>
                <w:sz w:val="20"/>
                <w:vertAlign w:val="superscript"/>
              </w:rPr>
              <w:t>b</w:t>
            </w:r>
          </w:p>
          <w:p w:rsidR="002A743C" w:rsidRPr="00631ED9" w:rsidRDefault="002A743C" w:rsidP="00742432">
            <w:pPr>
              <w:jc w:val="left"/>
              <w:rPr>
                <w:rFonts w:ascii="Arial Narrow" w:hAnsi="Arial Narrow"/>
                <w:sz w:val="20"/>
                <w:vertAlign w:val="superscript"/>
              </w:rPr>
            </w:pPr>
            <w:r w:rsidRPr="00631ED9">
              <w:rPr>
                <w:rFonts w:ascii="Arial Narrow" w:hAnsi="Arial Narrow"/>
                <w:sz w:val="20"/>
              </w:rPr>
              <w:t>Private: $</w:t>
            </w:r>
            <w:r w:rsidR="00EC7969">
              <w:rPr>
                <w:rFonts w:ascii="Arial Narrow" w:hAnsi="Arial Narrow"/>
                <w:noProof/>
                <w:color w:val="000000"/>
                <w:sz w:val="20"/>
                <w:highlight w:val="black"/>
              </w:rPr>
              <w:t>'''''''''''''</w:t>
            </w:r>
            <w:r w:rsidRPr="00631ED9">
              <w:rPr>
                <w:rFonts w:ascii="Arial Narrow" w:hAnsi="Arial Narrow"/>
                <w:sz w:val="20"/>
                <w:vertAlign w:val="superscript"/>
              </w:rPr>
              <w:t>b</w:t>
            </w:r>
          </w:p>
          <w:p w:rsidR="002A743C" w:rsidRPr="00631ED9" w:rsidRDefault="002A743C" w:rsidP="00742432">
            <w:pPr>
              <w:rPr>
                <w:rFonts w:ascii="Arial Narrow" w:hAnsi="Arial Narrow"/>
                <w:sz w:val="20"/>
                <w:vertAlign w:val="superscript"/>
              </w:rPr>
            </w:pPr>
            <w:r w:rsidRPr="00631ED9">
              <w:rPr>
                <w:rFonts w:ascii="Arial Narrow" w:hAnsi="Arial Narrow"/>
                <w:sz w:val="20"/>
              </w:rPr>
              <w:t>Weighted: $</w:t>
            </w:r>
            <w:r w:rsidR="00EC7969">
              <w:rPr>
                <w:rFonts w:ascii="Arial Narrow" w:hAnsi="Arial Narrow"/>
                <w:noProof/>
                <w:color w:val="000000"/>
                <w:sz w:val="20"/>
                <w:highlight w:val="black"/>
              </w:rPr>
              <w:t>''''''''''''''</w:t>
            </w:r>
            <w:r w:rsidRPr="00631ED9">
              <w:rPr>
                <w:rFonts w:ascii="Arial Narrow" w:hAnsi="Arial Narrow"/>
                <w:sz w:val="20"/>
                <w:vertAlign w:val="superscript"/>
              </w:rPr>
              <w:t>b</w:t>
            </w:r>
          </w:p>
        </w:tc>
        <w:tc>
          <w:tcPr>
            <w:tcW w:w="1009" w:type="dxa"/>
          </w:tcPr>
          <w:p w:rsidR="002A743C" w:rsidRPr="00631ED9" w:rsidRDefault="002A743C" w:rsidP="00742432">
            <w:pPr>
              <w:jc w:val="center"/>
              <w:rPr>
                <w:rFonts w:ascii="Arial Narrow" w:hAnsi="Arial Narrow"/>
                <w:sz w:val="20"/>
                <w:vertAlign w:val="superscript"/>
              </w:rPr>
            </w:pPr>
            <w:r w:rsidRPr="00631ED9">
              <w:rPr>
                <w:rFonts w:ascii="Arial Narrow" w:hAnsi="Arial Narrow"/>
                <w:sz w:val="20"/>
              </w:rPr>
              <w:t>27.6</w:t>
            </w:r>
            <w:r w:rsidR="008B2CF7" w:rsidRPr="00631ED9">
              <w:rPr>
                <w:rFonts w:ascii="Arial Narrow" w:hAnsi="Arial Narrow"/>
                <w:sz w:val="20"/>
                <w:vertAlign w:val="superscript"/>
              </w:rPr>
              <w:t>e</w:t>
            </w:r>
          </w:p>
        </w:tc>
        <w:tc>
          <w:tcPr>
            <w:tcW w:w="1179" w:type="dxa"/>
          </w:tcPr>
          <w:p w:rsidR="002A743C" w:rsidRPr="00631ED9" w:rsidRDefault="002A743C" w:rsidP="002A743C">
            <w:pPr>
              <w:jc w:val="right"/>
              <w:rPr>
                <w:rFonts w:ascii="Arial Narrow" w:hAnsi="Arial Narrow"/>
                <w:sz w:val="20"/>
              </w:rPr>
            </w:pPr>
            <w:r w:rsidRPr="00631ED9">
              <w:rPr>
                <w:rFonts w:ascii="Arial Narrow" w:hAnsi="Arial Narrow"/>
                <w:sz w:val="20"/>
              </w:rPr>
              <w:t>$</w:t>
            </w:r>
            <w:r w:rsidR="00EC7969">
              <w:rPr>
                <w:rFonts w:ascii="Arial Narrow" w:hAnsi="Arial Narrow"/>
                <w:noProof/>
                <w:color w:val="000000"/>
                <w:sz w:val="20"/>
                <w:highlight w:val="black"/>
              </w:rPr>
              <w:t>''''''''''''''''''''</w:t>
            </w:r>
          </w:p>
        </w:tc>
      </w:tr>
      <w:tr w:rsidR="002A743C" w:rsidRPr="00631ED9" w:rsidTr="002A743C">
        <w:tc>
          <w:tcPr>
            <w:tcW w:w="1264" w:type="dxa"/>
          </w:tcPr>
          <w:p w:rsidR="002A743C" w:rsidRPr="00631ED9" w:rsidRDefault="002A743C" w:rsidP="00742432">
            <w:pPr>
              <w:rPr>
                <w:rFonts w:ascii="Arial Narrow" w:hAnsi="Arial Narrow"/>
                <w:sz w:val="20"/>
              </w:rPr>
            </w:pPr>
            <w:r w:rsidRPr="00631ED9">
              <w:rPr>
                <w:rFonts w:ascii="Arial Narrow" w:hAnsi="Arial Narrow"/>
                <w:sz w:val="20"/>
              </w:rPr>
              <w:t>Ipilimumab monotherapy</w:t>
            </w:r>
          </w:p>
        </w:tc>
        <w:tc>
          <w:tcPr>
            <w:tcW w:w="1701" w:type="dxa"/>
          </w:tcPr>
          <w:p w:rsidR="002A743C" w:rsidRPr="00631ED9" w:rsidRDefault="002A743C" w:rsidP="00742432">
            <w:pPr>
              <w:jc w:val="left"/>
              <w:rPr>
                <w:rFonts w:ascii="Arial Narrow" w:hAnsi="Arial Narrow"/>
                <w:sz w:val="20"/>
              </w:rPr>
            </w:pPr>
            <w:r w:rsidRPr="00631ED9">
              <w:rPr>
                <w:rFonts w:ascii="Arial Narrow" w:hAnsi="Arial Narrow"/>
                <w:sz w:val="20"/>
              </w:rPr>
              <w:t>3 mg/kg Q3W</w:t>
            </w:r>
          </w:p>
          <w:p w:rsidR="002A743C" w:rsidRPr="00631ED9" w:rsidRDefault="002A743C" w:rsidP="00742432">
            <w:pPr>
              <w:jc w:val="left"/>
              <w:rPr>
                <w:rFonts w:ascii="Arial Narrow" w:hAnsi="Arial Narrow"/>
                <w:sz w:val="20"/>
                <w:vertAlign w:val="superscript"/>
              </w:rPr>
            </w:pPr>
            <w:r w:rsidRPr="00631ED9">
              <w:rPr>
                <w:rFonts w:ascii="Arial Narrow" w:hAnsi="Arial Narrow"/>
                <w:sz w:val="20"/>
              </w:rPr>
              <w:t>Ave dose: 250 mg</w:t>
            </w:r>
            <w:r w:rsidRPr="00631ED9">
              <w:rPr>
                <w:rFonts w:ascii="Arial Narrow" w:hAnsi="Arial Narrow"/>
                <w:sz w:val="20"/>
                <w:vertAlign w:val="superscript"/>
              </w:rPr>
              <w:t>a</w:t>
            </w:r>
          </w:p>
        </w:tc>
        <w:tc>
          <w:tcPr>
            <w:tcW w:w="1341" w:type="dxa"/>
          </w:tcPr>
          <w:p w:rsidR="002A743C" w:rsidRPr="00631ED9" w:rsidRDefault="002A743C" w:rsidP="00742432">
            <w:pPr>
              <w:rPr>
                <w:rFonts w:ascii="Arial Narrow" w:hAnsi="Arial Narrow"/>
                <w:sz w:val="20"/>
              </w:rPr>
            </w:pPr>
            <w:r w:rsidRPr="00631ED9">
              <w:rPr>
                <w:rFonts w:ascii="Arial Narrow" w:hAnsi="Arial Narrow"/>
                <w:sz w:val="20"/>
              </w:rPr>
              <w:t>1 x 200 mg vial</w:t>
            </w:r>
          </w:p>
          <w:p w:rsidR="002A743C" w:rsidRPr="00631ED9" w:rsidRDefault="002A743C" w:rsidP="00742432">
            <w:pPr>
              <w:rPr>
                <w:rFonts w:ascii="Arial Narrow" w:hAnsi="Arial Narrow"/>
                <w:sz w:val="20"/>
              </w:rPr>
            </w:pPr>
            <w:r w:rsidRPr="00631ED9">
              <w:rPr>
                <w:rFonts w:ascii="Arial Narrow" w:hAnsi="Arial Narrow"/>
                <w:sz w:val="20"/>
              </w:rPr>
              <w:t>1 x 50 mg vial</w:t>
            </w:r>
          </w:p>
        </w:tc>
        <w:tc>
          <w:tcPr>
            <w:tcW w:w="1885" w:type="dxa"/>
          </w:tcPr>
          <w:p w:rsidR="00F1264F" w:rsidRPr="00EC7969" w:rsidRDefault="002A743C" w:rsidP="00742432">
            <w:pPr>
              <w:rPr>
                <w:rFonts w:ascii="Arial Narrow" w:hAnsi="Arial Narrow"/>
                <w:sz w:val="20"/>
              </w:rPr>
            </w:pPr>
            <w:r w:rsidRPr="00631ED9">
              <w:rPr>
                <w:rFonts w:ascii="Arial Narrow" w:hAnsi="Arial Narrow"/>
                <w:sz w:val="20"/>
              </w:rPr>
              <w:t>Public: $</w:t>
            </w:r>
            <w:r w:rsidR="00EC7969">
              <w:rPr>
                <w:rFonts w:ascii="Arial Narrow" w:hAnsi="Arial Narrow"/>
                <w:noProof/>
                <w:color w:val="000000"/>
                <w:sz w:val="20"/>
                <w:highlight w:val="black"/>
              </w:rPr>
              <w:t>'''''''''''''''</w:t>
            </w:r>
          </w:p>
          <w:p w:rsidR="002A743C" w:rsidRPr="00631ED9" w:rsidRDefault="002A743C" w:rsidP="00742432">
            <w:pPr>
              <w:rPr>
                <w:rFonts w:ascii="Arial Narrow" w:hAnsi="Arial Narrow"/>
                <w:sz w:val="20"/>
                <w:vertAlign w:val="superscript"/>
              </w:rPr>
            </w:pPr>
            <w:r w:rsidRPr="00631ED9">
              <w:rPr>
                <w:rFonts w:ascii="Arial Narrow" w:hAnsi="Arial Narrow"/>
                <w:sz w:val="20"/>
                <w:vertAlign w:val="superscript"/>
              </w:rPr>
              <w:t>c</w:t>
            </w:r>
          </w:p>
          <w:p w:rsidR="002A743C" w:rsidRPr="00631ED9" w:rsidRDefault="002A743C" w:rsidP="00742432">
            <w:pPr>
              <w:rPr>
                <w:rFonts w:ascii="Arial Narrow" w:hAnsi="Arial Narrow"/>
                <w:sz w:val="20"/>
                <w:vertAlign w:val="superscript"/>
              </w:rPr>
            </w:pPr>
            <w:r w:rsidRPr="00631ED9">
              <w:rPr>
                <w:rFonts w:ascii="Arial Narrow" w:hAnsi="Arial Narrow"/>
                <w:sz w:val="20"/>
              </w:rPr>
              <w:t>Private: $</w:t>
            </w:r>
            <w:r w:rsidR="00EC7969">
              <w:rPr>
                <w:rFonts w:ascii="Arial Narrow" w:hAnsi="Arial Narrow"/>
                <w:noProof/>
                <w:color w:val="000000"/>
                <w:sz w:val="20"/>
                <w:highlight w:val="black"/>
              </w:rPr>
              <w:t>''''''''''''''''</w:t>
            </w:r>
            <w:r w:rsidRPr="00631ED9">
              <w:rPr>
                <w:rFonts w:ascii="Arial Narrow" w:hAnsi="Arial Narrow"/>
                <w:sz w:val="20"/>
                <w:vertAlign w:val="superscript"/>
              </w:rPr>
              <w:t>c</w:t>
            </w:r>
          </w:p>
          <w:p w:rsidR="002A743C" w:rsidRPr="00631ED9" w:rsidRDefault="002A743C" w:rsidP="00742432">
            <w:pPr>
              <w:rPr>
                <w:rFonts w:ascii="Arial Narrow" w:hAnsi="Arial Narrow"/>
                <w:sz w:val="20"/>
                <w:vertAlign w:val="superscript"/>
              </w:rPr>
            </w:pPr>
            <w:r w:rsidRPr="00631ED9">
              <w:rPr>
                <w:rFonts w:ascii="Arial Narrow" w:hAnsi="Arial Narrow"/>
                <w:sz w:val="20"/>
              </w:rPr>
              <w:t>Weighted: $</w:t>
            </w:r>
            <w:r w:rsidR="00EC7969">
              <w:rPr>
                <w:rFonts w:ascii="Arial Narrow" w:hAnsi="Arial Narrow"/>
                <w:noProof/>
                <w:color w:val="000000"/>
                <w:sz w:val="20"/>
                <w:highlight w:val="black"/>
              </w:rPr>
              <w:t>''''''''''''''''</w:t>
            </w:r>
            <w:r w:rsidRPr="00631ED9">
              <w:rPr>
                <w:rFonts w:ascii="Arial Narrow" w:hAnsi="Arial Narrow"/>
                <w:sz w:val="20"/>
                <w:vertAlign w:val="superscript"/>
              </w:rPr>
              <w:t>b,c</w:t>
            </w:r>
          </w:p>
        </w:tc>
        <w:tc>
          <w:tcPr>
            <w:tcW w:w="1009" w:type="dxa"/>
          </w:tcPr>
          <w:p w:rsidR="002A743C" w:rsidRPr="00631ED9" w:rsidRDefault="002A743C" w:rsidP="002A743C">
            <w:pPr>
              <w:jc w:val="center"/>
              <w:rPr>
                <w:rFonts w:ascii="Arial Narrow" w:hAnsi="Arial Narrow"/>
                <w:sz w:val="20"/>
                <w:vertAlign w:val="superscript"/>
              </w:rPr>
            </w:pPr>
            <w:r w:rsidRPr="00631ED9">
              <w:rPr>
                <w:rFonts w:ascii="Arial Narrow" w:hAnsi="Arial Narrow"/>
                <w:sz w:val="20"/>
              </w:rPr>
              <w:t>3.4</w:t>
            </w:r>
            <w:r w:rsidR="008B2CF7" w:rsidRPr="00631ED9">
              <w:rPr>
                <w:rFonts w:ascii="Arial Narrow" w:hAnsi="Arial Narrow"/>
                <w:sz w:val="20"/>
                <w:vertAlign w:val="superscript"/>
              </w:rPr>
              <w:t>f</w:t>
            </w:r>
          </w:p>
        </w:tc>
        <w:tc>
          <w:tcPr>
            <w:tcW w:w="1179" w:type="dxa"/>
          </w:tcPr>
          <w:p w:rsidR="002A743C" w:rsidRPr="00631ED9" w:rsidRDefault="002A743C" w:rsidP="00742432">
            <w:pPr>
              <w:jc w:val="right"/>
              <w:rPr>
                <w:rFonts w:ascii="Arial Narrow" w:hAnsi="Arial Narrow"/>
                <w:sz w:val="20"/>
              </w:rPr>
            </w:pPr>
            <w:r w:rsidRPr="00631ED9">
              <w:rPr>
                <w:rFonts w:ascii="Arial Narrow" w:hAnsi="Arial Narrow"/>
                <w:sz w:val="20"/>
              </w:rPr>
              <w:t>$</w:t>
            </w:r>
            <w:r w:rsidR="00EC7969">
              <w:rPr>
                <w:rFonts w:ascii="Arial Narrow" w:hAnsi="Arial Narrow"/>
                <w:noProof/>
                <w:color w:val="000000"/>
                <w:sz w:val="20"/>
                <w:highlight w:val="black"/>
              </w:rPr>
              <w:t>'''''''''''''''''</w:t>
            </w:r>
          </w:p>
        </w:tc>
      </w:tr>
      <w:tr w:rsidR="002A743C" w:rsidRPr="00631ED9" w:rsidTr="002A743C">
        <w:tc>
          <w:tcPr>
            <w:tcW w:w="7200" w:type="dxa"/>
            <w:gridSpan w:val="5"/>
          </w:tcPr>
          <w:p w:rsidR="002A743C" w:rsidRPr="00631ED9" w:rsidRDefault="002A743C" w:rsidP="001D2CD4">
            <w:pPr>
              <w:rPr>
                <w:rFonts w:ascii="Arial Narrow" w:hAnsi="Arial Narrow"/>
                <w:b/>
                <w:sz w:val="20"/>
              </w:rPr>
            </w:pPr>
            <w:r w:rsidRPr="00631ED9">
              <w:rPr>
                <w:rFonts w:ascii="Arial Narrow" w:hAnsi="Arial Narrow"/>
                <w:b/>
                <w:sz w:val="20"/>
              </w:rPr>
              <w:t>Total cost/patient/course</w:t>
            </w:r>
          </w:p>
        </w:tc>
        <w:tc>
          <w:tcPr>
            <w:tcW w:w="1179" w:type="dxa"/>
          </w:tcPr>
          <w:p w:rsidR="002A743C" w:rsidRPr="00631ED9" w:rsidRDefault="002A743C" w:rsidP="00634EAE">
            <w:pPr>
              <w:jc w:val="right"/>
              <w:rPr>
                <w:rFonts w:ascii="Arial Narrow" w:hAnsi="Arial Narrow"/>
                <w:b/>
                <w:sz w:val="20"/>
              </w:rPr>
            </w:pPr>
            <w:r w:rsidRPr="00631ED9">
              <w:rPr>
                <w:rFonts w:ascii="Arial Narrow" w:hAnsi="Arial Narrow"/>
                <w:b/>
                <w:sz w:val="20"/>
              </w:rPr>
              <w:t>$</w:t>
            </w:r>
            <w:r w:rsidR="00EC7969">
              <w:rPr>
                <w:rFonts w:ascii="Arial Narrow" w:hAnsi="Arial Narrow"/>
                <w:b/>
                <w:noProof/>
                <w:color w:val="000000"/>
                <w:sz w:val="20"/>
                <w:highlight w:val="black"/>
              </w:rPr>
              <w:t>'''''''''''''''''</w:t>
            </w:r>
          </w:p>
        </w:tc>
      </w:tr>
    </w:tbl>
    <w:p w:rsidR="0002187E" w:rsidRPr="00631ED9" w:rsidRDefault="0002187E" w:rsidP="00FC5876">
      <w:pPr>
        <w:pStyle w:val="TableFooter"/>
        <w:ind w:left="709"/>
      </w:pPr>
      <w:r w:rsidRPr="00631ED9">
        <w:t>Q2W = every 2 weeks; Q3W = every 3 weeks</w:t>
      </w:r>
    </w:p>
    <w:p w:rsidR="002E17D1" w:rsidRPr="00631ED9" w:rsidRDefault="00FC5876" w:rsidP="00FC5876">
      <w:pPr>
        <w:pStyle w:val="TableFooter"/>
        <w:ind w:left="709"/>
      </w:pPr>
      <w:r w:rsidRPr="00631ED9">
        <w:rPr>
          <w:vertAlign w:val="superscript"/>
        </w:rPr>
        <w:t xml:space="preserve">a </w:t>
      </w:r>
      <w:r w:rsidRPr="00631ED9">
        <w:t xml:space="preserve">Based on a mean </w:t>
      </w:r>
      <w:r w:rsidR="00C32B48" w:rsidRPr="00631ED9">
        <w:t xml:space="preserve">body </w:t>
      </w:r>
      <w:r w:rsidRPr="00631ED9">
        <w:t>weight of 83.3</w:t>
      </w:r>
      <w:r w:rsidR="006A37A7" w:rsidRPr="00631ED9">
        <w:t> </w:t>
      </w:r>
      <w:r w:rsidRPr="00631ED9">
        <w:t>kg</w:t>
      </w:r>
    </w:p>
    <w:p w:rsidR="00EA00D6" w:rsidRPr="00631ED9" w:rsidRDefault="00EA00D6" w:rsidP="00FC5876">
      <w:pPr>
        <w:pStyle w:val="TableFooter"/>
        <w:ind w:left="709"/>
      </w:pPr>
      <w:r w:rsidRPr="00631ED9">
        <w:rPr>
          <w:vertAlign w:val="superscript"/>
        </w:rPr>
        <w:t xml:space="preserve">b </w:t>
      </w:r>
      <w:r w:rsidRPr="00631ED9">
        <w:t>Based on the ex-manufacturer price for nivolumab IV infusion 40 mg in 4 mL = $</w:t>
      </w:r>
      <w:r w:rsidR="00EC7969">
        <w:rPr>
          <w:noProof/>
          <w:color w:val="000000"/>
          <w:highlight w:val="black"/>
        </w:rPr>
        <w:t>''''''''''''''''</w:t>
      </w:r>
      <w:r w:rsidRPr="00631ED9">
        <w:t xml:space="preserve"> and 100 mg in 10 mL = $</w:t>
      </w:r>
      <w:r w:rsidR="00EC7969">
        <w:rPr>
          <w:noProof/>
          <w:color w:val="000000"/>
          <w:highlight w:val="black"/>
        </w:rPr>
        <w:t>''''''''''''''''''''</w:t>
      </w:r>
    </w:p>
    <w:p w:rsidR="00634EAE" w:rsidRPr="00631ED9" w:rsidRDefault="00EA00D6" w:rsidP="001D2CD4">
      <w:pPr>
        <w:pStyle w:val="TableFooter"/>
        <w:ind w:left="851" w:hanging="142"/>
      </w:pPr>
      <w:r w:rsidRPr="00631ED9">
        <w:rPr>
          <w:vertAlign w:val="superscript"/>
        </w:rPr>
        <w:t>c</w:t>
      </w:r>
      <w:r w:rsidR="00634EAE" w:rsidRPr="00631ED9">
        <w:t xml:space="preserve"> </w:t>
      </w:r>
      <w:r w:rsidRPr="00631ED9">
        <w:t>Based on</w:t>
      </w:r>
      <w:r w:rsidR="00634EAE" w:rsidRPr="00631ED9">
        <w:t xml:space="preserve"> the effective ex-manufacturer price </w:t>
      </w:r>
      <w:r w:rsidRPr="00631ED9">
        <w:t>for</w:t>
      </w:r>
      <w:r w:rsidR="00634EAE" w:rsidRPr="00631ED9">
        <w:t xml:space="preserve"> ipilimumab</w:t>
      </w:r>
      <w:r w:rsidR="008A52B1" w:rsidRPr="00631ED9">
        <w:t xml:space="preserve"> as supplied by the Department of Health: </w:t>
      </w:r>
      <w:r w:rsidR="00634EAE" w:rsidRPr="00631ED9">
        <w:t>injection c</w:t>
      </w:r>
      <w:r w:rsidRPr="00631ED9">
        <w:t>oncentrate for IV</w:t>
      </w:r>
      <w:r w:rsidR="00634EAE" w:rsidRPr="00631ED9">
        <w:t xml:space="preserve"> infusion 50 mg in 10 mL = $</w:t>
      </w:r>
      <w:r w:rsidR="00EC7969">
        <w:rPr>
          <w:noProof/>
          <w:color w:val="000000"/>
          <w:highlight w:val="black"/>
        </w:rPr>
        <w:t>''''''''''''''''''''''</w:t>
      </w:r>
      <w:r w:rsidR="00634EAE" w:rsidRPr="00631ED9">
        <w:t xml:space="preserve"> and ipilimumab injection concentrate for I.V. infusion 200 mg in 40 mL = $</w:t>
      </w:r>
      <w:r w:rsidR="00EC7969">
        <w:rPr>
          <w:noProof/>
          <w:color w:val="000000"/>
          <w:highlight w:val="black"/>
        </w:rPr>
        <w:t>''''''''''''''''''''''''</w:t>
      </w:r>
    </w:p>
    <w:p w:rsidR="005116AC" w:rsidRPr="00631ED9" w:rsidRDefault="004314FD" w:rsidP="005116AC">
      <w:pPr>
        <w:pStyle w:val="TableFooter"/>
        <w:ind w:left="851" w:hanging="142"/>
      </w:pPr>
      <w:r w:rsidRPr="00631ED9">
        <w:rPr>
          <w:vertAlign w:val="superscript"/>
        </w:rPr>
        <w:t>d</w:t>
      </w:r>
      <w:r w:rsidR="005116AC" w:rsidRPr="00631ED9">
        <w:t xml:space="preserve"> </w:t>
      </w:r>
      <w:r w:rsidR="00C32B48" w:rsidRPr="00631ED9">
        <w:t xml:space="preserve">Derived using </w:t>
      </w:r>
      <w:r w:rsidR="005116AC" w:rsidRPr="00631ED9">
        <w:t xml:space="preserve">the </w:t>
      </w:r>
      <w:r w:rsidR="00C32B48" w:rsidRPr="00631ED9">
        <w:t>mean</w:t>
      </w:r>
      <w:r w:rsidR="005116AC" w:rsidRPr="00631ED9">
        <w:t xml:space="preserve"> number of doses received in CA209-067 and advice from seven oncologists on the sponsor’s Advisory Board.</w:t>
      </w:r>
    </w:p>
    <w:p w:rsidR="008B2CF7" w:rsidRPr="00631ED9" w:rsidRDefault="008B2CF7" w:rsidP="005116AC">
      <w:pPr>
        <w:pStyle w:val="TableFooter"/>
        <w:ind w:left="851" w:hanging="142"/>
      </w:pPr>
      <w:r w:rsidRPr="00631ED9">
        <w:rPr>
          <w:vertAlign w:val="superscript"/>
        </w:rPr>
        <w:t>e</w:t>
      </w:r>
      <w:r w:rsidRPr="00631ED9">
        <w:t xml:space="preserve"> Based on the mean number of doses in the nivolumab monotherapy arm of CA209-067</w:t>
      </w:r>
    </w:p>
    <w:p w:rsidR="008B2CF7" w:rsidRPr="00631ED9" w:rsidRDefault="008B2CF7" w:rsidP="005116AC">
      <w:pPr>
        <w:pStyle w:val="TableFooter"/>
        <w:ind w:left="851" w:hanging="142"/>
      </w:pPr>
      <w:r w:rsidRPr="00631ED9">
        <w:rPr>
          <w:vertAlign w:val="superscript"/>
        </w:rPr>
        <w:t>f</w:t>
      </w:r>
      <w:r w:rsidRPr="00631ED9">
        <w:t xml:space="preserve"> Based on the mean number of doses in the ipilimumab monotherapy arm of MDX010-020</w:t>
      </w:r>
    </w:p>
    <w:p w:rsidR="005A608E" w:rsidRPr="00631ED9" w:rsidRDefault="005A608E" w:rsidP="001D2CD4">
      <w:pPr>
        <w:pStyle w:val="TableFooter"/>
        <w:ind w:left="851" w:hanging="142"/>
      </w:pPr>
      <w:r w:rsidRPr="00631ED9">
        <w:t>Source: Compiled during the evaluation</w:t>
      </w:r>
    </w:p>
    <w:p w:rsidR="002E17D1" w:rsidRPr="00882085" w:rsidRDefault="002E17D1" w:rsidP="001456B0">
      <w:pPr>
        <w:rPr>
          <w:szCs w:val="22"/>
        </w:rPr>
      </w:pPr>
    </w:p>
    <w:p w:rsidR="00B60939" w:rsidRPr="00497F10" w:rsidRDefault="00B60939" w:rsidP="00966AA1">
      <w:pPr>
        <w:pStyle w:val="Heading2"/>
        <w:tabs>
          <w:tab w:val="left" w:pos="4536"/>
        </w:tabs>
        <w:rPr>
          <w:i/>
        </w:rPr>
      </w:pPr>
      <w:bookmarkStart w:id="14" w:name="_Toc472416748"/>
      <w:r w:rsidRPr="00497F10">
        <w:rPr>
          <w:i/>
        </w:rPr>
        <w:t>Estimated PBS usage &amp; financial implications</w:t>
      </w:r>
      <w:bookmarkEnd w:id="14"/>
    </w:p>
    <w:p w:rsidR="00B60939" w:rsidRPr="00882085" w:rsidRDefault="00B60939" w:rsidP="00497F10"/>
    <w:p w:rsidR="00DB7794" w:rsidRPr="004E03E4" w:rsidRDefault="00C25D9C" w:rsidP="009E7F9E">
      <w:pPr>
        <w:pStyle w:val="ListParagraph"/>
        <w:widowControl/>
        <w:numPr>
          <w:ilvl w:val="1"/>
          <w:numId w:val="3"/>
        </w:numPr>
      </w:pPr>
      <w:r w:rsidRPr="00C53E49">
        <w:t xml:space="preserve">This </w:t>
      </w:r>
      <w:r w:rsidR="008D1756">
        <w:t>resubmission</w:t>
      </w:r>
      <w:r w:rsidR="00120875" w:rsidRPr="00C53E49">
        <w:t xml:space="preserve"> </w:t>
      </w:r>
      <w:r w:rsidR="00966AA1">
        <w:t>was not</w:t>
      </w:r>
      <w:r w:rsidRPr="004E03E4">
        <w:t xml:space="preserve"> considered by DUSC</w:t>
      </w:r>
      <w:r w:rsidR="00184096" w:rsidRPr="004E03E4">
        <w:t xml:space="preserve">. The </w:t>
      </w:r>
      <w:r w:rsidR="008D1756">
        <w:t>resubmission</w:t>
      </w:r>
      <w:r w:rsidR="00184096" w:rsidRPr="004E03E4">
        <w:t xml:space="preserve"> </w:t>
      </w:r>
      <w:r w:rsidR="00DB7794" w:rsidRPr="004E03E4">
        <w:t xml:space="preserve">presented a new financial analysis reflecting the change in the nominated comparator. The </w:t>
      </w:r>
      <w:r w:rsidR="008D1756">
        <w:t>resubmission</w:t>
      </w:r>
      <w:r w:rsidR="00DB7794" w:rsidRPr="004E03E4">
        <w:t xml:space="preserve"> used a different approach to estimate the eligible population </w:t>
      </w:r>
      <w:r w:rsidR="00D33254" w:rsidRPr="004E03E4">
        <w:t>from</w:t>
      </w:r>
      <w:r w:rsidR="00DB7794" w:rsidRPr="004E03E4">
        <w:t xml:space="preserve"> that </w:t>
      </w:r>
      <w:r w:rsidR="00C94812">
        <w:t>used in the previous submission</w:t>
      </w:r>
      <w:r w:rsidR="00DB7794" w:rsidRPr="00631ED9">
        <w:t>.</w:t>
      </w:r>
      <w:r w:rsidR="00DB7794" w:rsidRPr="004E03E4">
        <w:t xml:space="preserve"> The proposed treatment algorithms and the assumed uptake of alternative treatment options also differed betw</w:t>
      </w:r>
      <w:r w:rsidR="0045255C">
        <w:t>een the submissions.</w:t>
      </w:r>
    </w:p>
    <w:p w:rsidR="00DB7794" w:rsidRDefault="00DB7794" w:rsidP="00DB7794">
      <w:pPr>
        <w:widowControl/>
      </w:pPr>
    </w:p>
    <w:p w:rsidR="00184096" w:rsidRPr="006751B2" w:rsidRDefault="00DB7794" w:rsidP="009E7F9E">
      <w:pPr>
        <w:pStyle w:val="ListParagraph"/>
        <w:widowControl/>
        <w:numPr>
          <w:ilvl w:val="1"/>
          <w:numId w:val="3"/>
        </w:numPr>
        <w:rPr>
          <w:szCs w:val="22"/>
        </w:rPr>
      </w:pPr>
      <w:r>
        <w:t xml:space="preserve">The </w:t>
      </w:r>
      <w:r w:rsidR="008D1756">
        <w:t>resubmission</w:t>
      </w:r>
      <w:r>
        <w:t xml:space="preserve"> </w:t>
      </w:r>
      <w:r w:rsidR="00184096" w:rsidRPr="00C53E49">
        <w:t xml:space="preserve">used an epidemiological approach to estimate the eligible population, based on DUSC utilisation data for ipilimumab and dabrafenib for unresectable Stage III and Stage IV malignant melanoma. The </w:t>
      </w:r>
      <w:r w:rsidR="006E47EC" w:rsidRPr="00C53E49">
        <w:t xml:space="preserve">proportion of patients assumed to receive each treatment option, at each line of therapy, was based on </w:t>
      </w:r>
      <w:r w:rsidR="00184096" w:rsidRPr="00C53E49">
        <w:t>expert opinion.</w:t>
      </w:r>
    </w:p>
    <w:p w:rsidR="006751B2" w:rsidRPr="00D4640F" w:rsidRDefault="006751B2" w:rsidP="006751B2">
      <w:pPr>
        <w:widowControl/>
        <w:rPr>
          <w:szCs w:val="22"/>
        </w:rPr>
      </w:pPr>
    </w:p>
    <w:p w:rsidR="00214A52" w:rsidRPr="00D4640F" w:rsidRDefault="00742432" w:rsidP="009E7F9E">
      <w:pPr>
        <w:pStyle w:val="ListParagraph"/>
        <w:widowControl/>
        <w:numPr>
          <w:ilvl w:val="1"/>
          <w:numId w:val="3"/>
        </w:numPr>
        <w:rPr>
          <w:szCs w:val="22"/>
        </w:rPr>
      </w:pPr>
      <w:r w:rsidRPr="00D4640F">
        <w:t>There was considerable uncertainty in the proportions of patients assumed to receive each treatment option, given that they were based on adv</w:t>
      </w:r>
      <w:r w:rsidR="006507E0" w:rsidRPr="00D4640F">
        <w:t xml:space="preserve">ice from </w:t>
      </w:r>
      <w:r w:rsidRPr="00D4640F">
        <w:t xml:space="preserve">seven expert members of the sponsor’s </w:t>
      </w:r>
      <w:r w:rsidR="00C431E1" w:rsidRPr="00D4640F">
        <w:t>Advisory Board</w:t>
      </w:r>
      <w:r w:rsidRPr="00D4640F">
        <w:t>. L</w:t>
      </w:r>
      <w:r w:rsidR="00214A52" w:rsidRPr="00D4640F">
        <w:t xml:space="preserve">imited detail </w:t>
      </w:r>
      <w:r w:rsidRPr="00D4640F">
        <w:t xml:space="preserve">was </w:t>
      </w:r>
      <w:r w:rsidR="00214A52" w:rsidRPr="00D4640F">
        <w:t xml:space="preserve">provided on the level of </w:t>
      </w:r>
      <w:r w:rsidRPr="00D4640F">
        <w:t>agreement</w:t>
      </w:r>
      <w:r w:rsidR="00214A52" w:rsidRPr="00D4640F">
        <w:t xml:space="preserve"> </w:t>
      </w:r>
      <w:r w:rsidRPr="00D4640F">
        <w:t>among</w:t>
      </w:r>
      <w:r w:rsidR="00214A52" w:rsidRPr="00D4640F">
        <w:t xml:space="preserve"> the </w:t>
      </w:r>
      <w:r w:rsidRPr="00D4640F">
        <w:t>advisors</w:t>
      </w:r>
      <w:r w:rsidR="00214A52" w:rsidRPr="00D4640F">
        <w:t xml:space="preserve"> and the rationale for the nominated proportions. </w:t>
      </w:r>
      <w:r w:rsidR="00E14E9F" w:rsidRPr="00D4640F">
        <w:t xml:space="preserve">These inputs were critical determinants of both the number of patients likely to be treated with NIVO+IPI and the cost-offsets resulting from substitution for sequential therapy with a PD-1 inhibitor and ipilimumab. The </w:t>
      </w:r>
      <w:r w:rsidR="008D1756">
        <w:t>resubmission</w:t>
      </w:r>
      <w:r w:rsidR="00E14E9F" w:rsidRPr="00D4640F">
        <w:t xml:space="preserve"> did not provide any sensitivity analysis around these </w:t>
      </w:r>
      <w:r w:rsidR="00BD30C1" w:rsidRPr="00D4640F">
        <w:t>estimates</w:t>
      </w:r>
      <w:r w:rsidR="00E14E9F" w:rsidRPr="00D4640F">
        <w:t>.</w:t>
      </w:r>
    </w:p>
    <w:p w:rsidR="00214A52" w:rsidRPr="00D4640F" w:rsidRDefault="00214A52" w:rsidP="00214A52">
      <w:pPr>
        <w:widowControl/>
        <w:rPr>
          <w:szCs w:val="22"/>
        </w:rPr>
      </w:pPr>
    </w:p>
    <w:p w:rsidR="004F3FE6" w:rsidRPr="00D4640F" w:rsidRDefault="004F3FE6" w:rsidP="009E7F9E">
      <w:pPr>
        <w:pStyle w:val="ListParagraph"/>
        <w:widowControl/>
        <w:numPr>
          <w:ilvl w:val="1"/>
          <w:numId w:val="3"/>
        </w:numPr>
        <w:rPr>
          <w:szCs w:val="22"/>
        </w:rPr>
      </w:pPr>
      <w:r w:rsidRPr="00D4640F">
        <w:t xml:space="preserve">The </w:t>
      </w:r>
      <w:r w:rsidR="008D1756">
        <w:t>resubmission</w:t>
      </w:r>
      <w:r w:rsidRPr="00D4640F">
        <w:t xml:space="preserve"> used incidence data to estimate the number of patients likely to be treated each year. In doing so, rather than carrying over surviving patients to the following year, the </w:t>
      </w:r>
      <w:r w:rsidR="008D1756">
        <w:t>resubmission</w:t>
      </w:r>
      <w:r w:rsidRPr="00D4640F">
        <w:t xml:space="preserve"> assumed that all patients </w:t>
      </w:r>
      <w:r w:rsidR="00BC1071" w:rsidRPr="00D4640F">
        <w:t xml:space="preserve">would </w:t>
      </w:r>
      <w:r w:rsidRPr="00D4640F">
        <w:t>complete all systemic anti-cancer therapy (up to three lines) within 12 months. Thus the full cost of each line of therapy received in both the first and any subsequent years was included in the estimates by being assigned to the incident year.</w:t>
      </w:r>
    </w:p>
    <w:p w:rsidR="004F3FE6" w:rsidRPr="00D4640F" w:rsidRDefault="004F3FE6" w:rsidP="004F3FE6">
      <w:pPr>
        <w:widowControl/>
      </w:pPr>
    </w:p>
    <w:p w:rsidR="00C25D9C" w:rsidRPr="00C53E49" w:rsidRDefault="00B05D47" w:rsidP="009E7F9E">
      <w:pPr>
        <w:pStyle w:val="ListParagraph"/>
        <w:widowControl/>
        <w:numPr>
          <w:ilvl w:val="1"/>
          <w:numId w:val="3"/>
        </w:numPr>
        <w:rPr>
          <w:szCs w:val="22"/>
        </w:rPr>
      </w:pPr>
      <w:r w:rsidRPr="00D4640F">
        <w:t xml:space="preserve">The cost per infusion for each treatment phase of NIVO+IPI combination therapy, first-line nivolumab monotherapy and second-line ipilimumab monotherapy were derived using the methodology outlined in Table 11, above. </w:t>
      </w:r>
      <w:r w:rsidRPr="00D4640F">
        <w:rPr>
          <w:szCs w:val="24"/>
        </w:rPr>
        <w:t xml:space="preserve">The </w:t>
      </w:r>
      <w:r w:rsidR="008D1756">
        <w:rPr>
          <w:szCs w:val="24"/>
        </w:rPr>
        <w:t>resubmission</w:t>
      </w:r>
      <w:r w:rsidRPr="00D4640F">
        <w:rPr>
          <w:szCs w:val="24"/>
        </w:rPr>
        <w:t xml:space="preserve"> </w:t>
      </w:r>
      <w:r w:rsidR="00BC1071" w:rsidRPr="00D4640F">
        <w:rPr>
          <w:szCs w:val="24"/>
        </w:rPr>
        <w:t xml:space="preserve">did not </w:t>
      </w:r>
      <w:r w:rsidR="00B463C0" w:rsidRPr="00D4640F">
        <w:rPr>
          <w:szCs w:val="24"/>
        </w:rPr>
        <w:t xml:space="preserve">use </w:t>
      </w:r>
      <w:r w:rsidRPr="00D4640F">
        <w:rPr>
          <w:szCs w:val="24"/>
        </w:rPr>
        <w:t>the most efficient vial combinat</w:t>
      </w:r>
      <w:r w:rsidR="00E634E7" w:rsidRPr="00D4640F">
        <w:rPr>
          <w:szCs w:val="24"/>
        </w:rPr>
        <w:t>ion</w:t>
      </w:r>
      <w:r w:rsidR="00B463C0" w:rsidRPr="00D4640F">
        <w:rPr>
          <w:szCs w:val="24"/>
        </w:rPr>
        <w:t>s</w:t>
      </w:r>
      <w:r w:rsidR="00E634E7" w:rsidRPr="00D4640F">
        <w:rPr>
          <w:szCs w:val="24"/>
        </w:rPr>
        <w:t xml:space="preserve"> in both the induction </w:t>
      </w:r>
      <w:r w:rsidRPr="00D4640F">
        <w:rPr>
          <w:szCs w:val="24"/>
        </w:rPr>
        <w:t>and co</w:t>
      </w:r>
      <w:r w:rsidR="00E634E7" w:rsidRPr="00D4640F">
        <w:rPr>
          <w:szCs w:val="24"/>
        </w:rPr>
        <w:t>ntinuing phase</w:t>
      </w:r>
      <w:r w:rsidR="00B463C0" w:rsidRPr="00D4640F">
        <w:rPr>
          <w:szCs w:val="24"/>
        </w:rPr>
        <w:t>s</w:t>
      </w:r>
      <w:r w:rsidR="00E634E7" w:rsidRPr="00D4640F">
        <w:rPr>
          <w:szCs w:val="24"/>
        </w:rPr>
        <w:t xml:space="preserve"> of NIVO+IPI </w:t>
      </w:r>
      <w:r w:rsidR="00B463C0" w:rsidRPr="00D4640F">
        <w:rPr>
          <w:szCs w:val="24"/>
        </w:rPr>
        <w:t xml:space="preserve">combination </w:t>
      </w:r>
      <w:r w:rsidR="00E634E7" w:rsidRPr="00D4640F">
        <w:rPr>
          <w:szCs w:val="24"/>
        </w:rPr>
        <w:t>therapy, and for nivolumab monotherapy</w:t>
      </w:r>
      <w:r>
        <w:rPr>
          <w:i/>
          <w:szCs w:val="24"/>
        </w:rPr>
        <w:t>.</w:t>
      </w:r>
    </w:p>
    <w:p w:rsidR="0039048A" w:rsidRDefault="0039048A">
      <w:pPr>
        <w:widowControl/>
        <w:jc w:val="left"/>
        <w:rPr>
          <w:szCs w:val="22"/>
        </w:rPr>
      </w:pPr>
      <w:r>
        <w:rPr>
          <w:szCs w:val="22"/>
        </w:rPr>
        <w:br w:type="page"/>
      </w:r>
    </w:p>
    <w:p w:rsidR="0004231D" w:rsidRPr="001222FC" w:rsidRDefault="004B6212" w:rsidP="00B608CF">
      <w:pPr>
        <w:ind w:firstLine="709"/>
        <w:rPr>
          <w:rStyle w:val="CommentReference"/>
        </w:rPr>
      </w:pPr>
      <w:r>
        <w:rPr>
          <w:rStyle w:val="CommentReference"/>
        </w:rPr>
        <w:t xml:space="preserve">Table </w:t>
      </w:r>
      <w:r w:rsidR="0045255C">
        <w:rPr>
          <w:rStyle w:val="CommentReference"/>
        </w:rPr>
        <w:t>12</w:t>
      </w:r>
      <w:r w:rsidR="0004231D" w:rsidRPr="001222FC">
        <w:rPr>
          <w:rStyle w:val="CommentReference"/>
        </w:rPr>
        <w:t>: Estimated use and financial implications</w:t>
      </w:r>
    </w:p>
    <w:tbl>
      <w:tblPr>
        <w:tblW w:w="455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9"/>
        <w:gridCol w:w="1153"/>
        <w:gridCol w:w="1176"/>
        <w:gridCol w:w="1176"/>
        <w:gridCol w:w="1153"/>
        <w:gridCol w:w="1121"/>
      </w:tblGrid>
      <w:tr w:rsidR="000F3C0E" w:rsidRPr="00677F85" w:rsidTr="00CB3392">
        <w:trPr>
          <w:tblHeader/>
        </w:trPr>
        <w:tc>
          <w:tcPr>
            <w:tcW w:w="1707" w:type="pct"/>
            <w:shd w:val="clear" w:color="auto" w:fill="auto"/>
            <w:vAlign w:val="center"/>
          </w:tcPr>
          <w:p w:rsidR="0004231D" w:rsidRPr="00677F85" w:rsidRDefault="0004231D" w:rsidP="00577717">
            <w:pPr>
              <w:tabs>
                <w:tab w:val="left" w:pos="142"/>
              </w:tabs>
              <w:ind w:right="93"/>
              <w:jc w:val="left"/>
              <w:rPr>
                <w:rFonts w:ascii="Arial Narrow" w:hAnsi="Arial Narrow"/>
                <w:b/>
                <w:sz w:val="20"/>
              </w:rPr>
            </w:pPr>
          </w:p>
        </w:tc>
        <w:tc>
          <w:tcPr>
            <w:tcW w:w="647" w:type="pct"/>
            <w:shd w:val="clear" w:color="auto" w:fill="auto"/>
            <w:vAlign w:val="center"/>
          </w:tcPr>
          <w:p w:rsidR="0004231D" w:rsidRPr="00677F85" w:rsidRDefault="0004231D" w:rsidP="00577717">
            <w:pPr>
              <w:ind w:right="93"/>
              <w:jc w:val="center"/>
              <w:rPr>
                <w:rFonts w:ascii="Arial Narrow" w:hAnsi="Arial Narrow"/>
                <w:b/>
                <w:sz w:val="20"/>
              </w:rPr>
            </w:pPr>
            <w:r w:rsidRPr="00677F85">
              <w:rPr>
                <w:rFonts w:ascii="Arial Narrow" w:hAnsi="Arial Narrow"/>
                <w:b/>
                <w:sz w:val="20"/>
              </w:rPr>
              <w:t>Year 1</w:t>
            </w:r>
          </w:p>
        </w:tc>
        <w:tc>
          <w:tcPr>
            <w:tcW w:w="647" w:type="pct"/>
            <w:shd w:val="clear" w:color="auto" w:fill="auto"/>
            <w:vAlign w:val="center"/>
          </w:tcPr>
          <w:p w:rsidR="0004231D" w:rsidRPr="00677F85" w:rsidRDefault="0004231D" w:rsidP="00577717">
            <w:pPr>
              <w:ind w:right="93"/>
              <w:jc w:val="center"/>
              <w:rPr>
                <w:rFonts w:ascii="Arial Narrow" w:hAnsi="Arial Narrow"/>
                <w:b/>
                <w:sz w:val="20"/>
              </w:rPr>
            </w:pPr>
            <w:r w:rsidRPr="00677F85">
              <w:rPr>
                <w:rFonts w:ascii="Arial Narrow" w:hAnsi="Arial Narrow"/>
                <w:b/>
                <w:sz w:val="20"/>
              </w:rPr>
              <w:t>Year 2</w:t>
            </w:r>
          </w:p>
        </w:tc>
        <w:tc>
          <w:tcPr>
            <w:tcW w:w="647" w:type="pct"/>
            <w:shd w:val="clear" w:color="auto" w:fill="auto"/>
            <w:vAlign w:val="center"/>
          </w:tcPr>
          <w:p w:rsidR="0004231D" w:rsidRPr="00677F85" w:rsidRDefault="0004231D" w:rsidP="00577717">
            <w:pPr>
              <w:ind w:right="93"/>
              <w:jc w:val="center"/>
              <w:rPr>
                <w:rFonts w:ascii="Arial Narrow" w:hAnsi="Arial Narrow"/>
                <w:b/>
                <w:sz w:val="20"/>
              </w:rPr>
            </w:pPr>
            <w:r w:rsidRPr="00677F85">
              <w:rPr>
                <w:rFonts w:ascii="Arial Narrow" w:hAnsi="Arial Narrow"/>
                <w:b/>
                <w:sz w:val="20"/>
              </w:rPr>
              <w:t>Year 3</w:t>
            </w:r>
          </w:p>
        </w:tc>
        <w:tc>
          <w:tcPr>
            <w:tcW w:w="647" w:type="pct"/>
            <w:shd w:val="clear" w:color="auto" w:fill="auto"/>
            <w:vAlign w:val="center"/>
          </w:tcPr>
          <w:p w:rsidR="0004231D" w:rsidRPr="00677F85" w:rsidRDefault="0004231D" w:rsidP="00577717">
            <w:pPr>
              <w:ind w:right="93"/>
              <w:jc w:val="center"/>
              <w:rPr>
                <w:rFonts w:ascii="Arial Narrow" w:hAnsi="Arial Narrow"/>
                <w:b/>
                <w:sz w:val="20"/>
              </w:rPr>
            </w:pPr>
            <w:r w:rsidRPr="00677F85">
              <w:rPr>
                <w:rFonts w:ascii="Arial Narrow" w:hAnsi="Arial Narrow"/>
                <w:b/>
                <w:sz w:val="20"/>
              </w:rPr>
              <w:t>Year 4</w:t>
            </w:r>
          </w:p>
        </w:tc>
        <w:tc>
          <w:tcPr>
            <w:tcW w:w="705" w:type="pct"/>
            <w:shd w:val="clear" w:color="auto" w:fill="auto"/>
            <w:vAlign w:val="center"/>
          </w:tcPr>
          <w:p w:rsidR="0004231D" w:rsidRPr="00677F85" w:rsidRDefault="0004231D" w:rsidP="00577717">
            <w:pPr>
              <w:ind w:right="93"/>
              <w:jc w:val="center"/>
              <w:rPr>
                <w:rFonts w:ascii="Arial Narrow" w:hAnsi="Arial Narrow"/>
                <w:b/>
                <w:sz w:val="20"/>
              </w:rPr>
            </w:pPr>
            <w:r w:rsidRPr="00677F85">
              <w:rPr>
                <w:rFonts w:ascii="Arial Narrow" w:hAnsi="Arial Narrow"/>
                <w:b/>
                <w:sz w:val="20"/>
              </w:rPr>
              <w:t>Year 5</w:t>
            </w:r>
          </w:p>
        </w:tc>
      </w:tr>
      <w:tr w:rsidR="000F3C0E" w:rsidRPr="00677F85" w:rsidTr="00CB3392">
        <w:tc>
          <w:tcPr>
            <w:tcW w:w="5000" w:type="pct"/>
            <w:gridSpan w:val="6"/>
            <w:shd w:val="clear" w:color="auto" w:fill="auto"/>
            <w:vAlign w:val="center"/>
          </w:tcPr>
          <w:p w:rsidR="0004231D" w:rsidRPr="00677F85" w:rsidRDefault="0004231D" w:rsidP="00577717">
            <w:pPr>
              <w:ind w:right="93"/>
              <w:jc w:val="left"/>
              <w:rPr>
                <w:rFonts w:ascii="Arial Narrow" w:hAnsi="Arial Narrow"/>
                <w:b/>
                <w:bCs/>
                <w:sz w:val="20"/>
                <w:vertAlign w:val="superscript"/>
              </w:rPr>
            </w:pPr>
            <w:r w:rsidRPr="00677F85">
              <w:rPr>
                <w:rFonts w:ascii="Arial Narrow" w:hAnsi="Arial Narrow"/>
                <w:b/>
                <w:bCs/>
                <w:sz w:val="20"/>
              </w:rPr>
              <w:t>Estimated extent of use</w:t>
            </w:r>
          </w:p>
        </w:tc>
      </w:tr>
      <w:tr w:rsidR="000F3C0E" w:rsidRPr="00677F85" w:rsidTr="00CB3392">
        <w:tc>
          <w:tcPr>
            <w:tcW w:w="1707" w:type="pct"/>
            <w:shd w:val="clear" w:color="auto" w:fill="auto"/>
            <w:vAlign w:val="center"/>
          </w:tcPr>
          <w:p w:rsidR="000F3C0E" w:rsidRPr="00677F85" w:rsidRDefault="00CC45FA" w:rsidP="000F3C0E">
            <w:pPr>
              <w:tabs>
                <w:tab w:val="left" w:pos="142"/>
              </w:tabs>
              <w:ind w:right="93"/>
              <w:jc w:val="left"/>
              <w:rPr>
                <w:rFonts w:ascii="Arial Narrow" w:hAnsi="Arial Narrow"/>
                <w:sz w:val="20"/>
                <w:vertAlign w:val="superscript"/>
              </w:rPr>
            </w:pPr>
            <w:r w:rsidRPr="00677F85">
              <w:rPr>
                <w:rFonts w:ascii="Arial Narrow" w:hAnsi="Arial Narrow"/>
                <w:sz w:val="20"/>
              </w:rPr>
              <w:t xml:space="preserve">Number </w:t>
            </w:r>
            <w:r w:rsidR="000F3C0E" w:rsidRPr="00677F85">
              <w:rPr>
                <w:rFonts w:ascii="Arial Narrow" w:hAnsi="Arial Narrow"/>
                <w:sz w:val="20"/>
              </w:rPr>
              <w:t>treated</w:t>
            </w:r>
          </w:p>
        </w:tc>
        <w:tc>
          <w:tcPr>
            <w:tcW w:w="647" w:type="pct"/>
            <w:shd w:val="clear" w:color="auto" w:fill="auto"/>
            <w:vAlign w:val="center"/>
          </w:tcPr>
          <w:p w:rsidR="000F3C0E" w:rsidRPr="00EC7969" w:rsidRDefault="00EC7969" w:rsidP="000F3C0E">
            <w:pPr>
              <w:ind w:right="93"/>
              <w:jc w:val="center"/>
              <w:rPr>
                <w:rFonts w:ascii="Arial Narrow" w:hAnsi="Arial Narrow"/>
                <w:bCs/>
                <w:sz w:val="20"/>
                <w:highlight w:val="black"/>
              </w:rPr>
            </w:pPr>
            <w:r>
              <w:rPr>
                <w:rFonts w:ascii="Arial Narrow" w:hAnsi="Arial Narrow"/>
                <w:noProof/>
                <w:color w:val="000000"/>
                <w:sz w:val="20"/>
                <w:highlight w:val="black"/>
              </w:rPr>
              <w:t>''''''''</w:t>
            </w:r>
            <w:r w:rsidR="000F3C0E" w:rsidRPr="00EC7969">
              <w:rPr>
                <w:rFonts w:ascii="Arial Narrow" w:hAnsi="Arial Narrow"/>
                <w:sz w:val="20"/>
                <w:highlight w:val="black"/>
              </w:rPr>
              <w:t xml:space="preserve"> </w:t>
            </w:r>
          </w:p>
        </w:tc>
        <w:tc>
          <w:tcPr>
            <w:tcW w:w="647" w:type="pct"/>
            <w:shd w:val="clear" w:color="auto" w:fill="auto"/>
            <w:vAlign w:val="center"/>
          </w:tcPr>
          <w:p w:rsidR="000F3C0E" w:rsidRPr="00EC7969" w:rsidRDefault="00EC7969" w:rsidP="000F3C0E">
            <w:pPr>
              <w:ind w:right="93"/>
              <w:jc w:val="center"/>
              <w:rPr>
                <w:rFonts w:ascii="Arial Narrow" w:hAnsi="Arial Narrow"/>
                <w:bCs/>
                <w:sz w:val="20"/>
                <w:highlight w:val="black"/>
              </w:rPr>
            </w:pPr>
            <w:r>
              <w:rPr>
                <w:rFonts w:ascii="Arial Narrow" w:hAnsi="Arial Narrow"/>
                <w:noProof/>
                <w:color w:val="000000"/>
                <w:sz w:val="20"/>
                <w:highlight w:val="black"/>
              </w:rPr>
              <w:t>'''''''''</w:t>
            </w:r>
            <w:r w:rsidR="000F3C0E" w:rsidRPr="00EC7969">
              <w:rPr>
                <w:rFonts w:ascii="Arial Narrow" w:hAnsi="Arial Narrow"/>
                <w:sz w:val="20"/>
                <w:highlight w:val="black"/>
              </w:rPr>
              <w:t xml:space="preserve"> </w:t>
            </w:r>
          </w:p>
        </w:tc>
        <w:tc>
          <w:tcPr>
            <w:tcW w:w="647" w:type="pct"/>
            <w:shd w:val="clear" w:color="auto" w:fill="auto"/>
            <w:vAlign w:val="center"/>
          </w:tcPr>
          <w:p w:rsidR="000F3C0E" w:rsidRPr="00EC7969" w:rsidRDefault="00EC7969" w:rsidP="000F3C0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47" w:type="pct"/>
            <w:shd w:val="clear" w:color="auto" w:fill="auto"/>
            <w:vAlign w:val="center"/>
          </w:tcPr>
          <w:p w:rsidR="000F3C0E" w:rsidRPr="00EC7969" w:rsidRDefault="00EC7969" w:rsidP="000F3C0E">
            <w:pPr>
              <w:ind w:right="93"/>
              <w:jc w:val="center"/>
              <w:rPr>
                <w:rFonts w:ascii="Arial Narrow" w:hAnsi="Arial Narrow"/>
                <w:bCs/>
                <w:sz w:val="20"/>
                <w:highlight w:val="black"/>
              </w:rPr>
            </w:pPr>
            <w:r>
              <w:rPr>
                <w:rFonts w:ascii="Arial Narrow" w:hAnsi="Arial Narrow"/>
                <w:noProof/>
                <w:color w:val="000000"/>
                <w:sz w:val="20"/>
                <w:highlight w:val="black"/>
              </w:rPr>
              <w:t>'''''''''</w:t>
            </w:r>
            <w:r w:rsidR="000F3C0E" w:rsidRPr="00EC7969">
              <w:rPr>
                <w:rFonts w:ascii="Arial Narrow" w:hAnsi="Arial Narrow"/>
                <w:sz w:val="20"/>
                <w:highlight w:val="black"/>
              </w:rPr>
              <w:t xml:space="preserve"> </w:t>
            </w:r>
          </w:p>
        </w:tc>
        <w:tc>
          <w:tcPr>
            <w:tcW w:w="705" w:type="pct"/>
            <w:shd w:val="clear" w:color="auto" w:fill="auto"/>
            <w:vAlign w:val="center"/>
          </w:tcPr>
          <w:p w:rsidR="000F3C0E" w:rsidRPr="00EC7969" w:rsidRDefault="00EC7969" w:rsidP="000F3C0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742432" w:rsidRPr="00677F85" w:rsidTr="00CB3392">
        <w:tc>
          <w:tcPr>
            <w:tcW w:w="1707" w:type="pct"/>
            <w:shd w:val="clear" w:color="auto" w:fill="auto"/>
            <w:vAlign w:val="center"/>
          </w:tcPr>
          <w:p w:rsidR="00742432" w:rsidRPr="00677F85" w:rsidRDefault="00742432" w:rsidP="00742432">
            <w:pPr>
              <w:tabs>
                <w:tab w:val="left" w:pos="142"/>
              </w:tabs>
              <w:ind w:right="93"/>
              <w:jc w:val="left"/>
              <w:rPr>
                <w:rFonts w:ascii="Arial Narrow" w:hAnsi="Arial Narrow"/>
                <w:sz w:val="20"/>
                <w:vertAlign w:val="superscript"/>
              </w:rPr>
            </w:pPr>
            <w:r w:rsidRPr="00677F85">
              <w:rPr>
                <w:rFonts w:ascii="Arial Narrow" w:hAnsi="Arial Narrow"/>
                <w:sz w:val="20"/>
              </w:rPr>
              <w:t>Number treated - Nov 2015</w:t>
            </w:r>
            <w:r w:rsidR="00C859B2" w:rsidRPr="00677F85">
              <w:rPr>
                <w:rFonts w:ascii="Arial Narrow" w:hAnsi="Arial Narrow"/>
                <w:sz w:val="20"/>
                <w:vertAlign w:val="superscript"/>
              </w:rPr>
              <w:t>a</w:t>
            </w:r>
          </w:p>
        </w:tc>
        <w:tc>
          <w:tcPr>
            <w:tcW w:w="647" w:type="pct"/>
            <w:shd w:val="clear" w:color="auto" w:fill="auto"/>
            <w:vAlign w:val="center"/>
          </w:tcPr>
          <w:p w:rsidR="00742432" w:rsidRPr="00EC7969" w:rsidRDefault="00EC7969" w:rsidP="00742432">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47" w:type="pct"/>
            <w:shd w:val="clear" w:color="auto" w:fill="auto"/>
            <w:vAlign w:val="center"/>
          </w:tcPr>
          <w:p w:rsidR="00742432" w:rsidRPr="00EC7969" w:rsidRDefault="00EC7969" w:rsidP="00742432">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47" w:type="pct"/>
            <w:shd w:val="clear" w:color="auto" w:fill="auto"/>
            <w:vAlign w:val="center"/>
          </w:tcPr>
          <w:p w:rsidR="00742432" w:rsidRPr="00EC7969" w:rsidRDefault="00EC7969" w:rsidP="00742432">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47" w:type="pct"/>
            <w:shd w:val="clear" w:color="auto" w:fill="auto"/>
            <w:vAlign w:val="center"/>
          </w:tcPr>
          <w:p w:rsidR="00742432" w:rsidRPr="00EC7969" w:rsidRDefault="00EC7969" w:rsidP="00742432">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05" w:type="pct"/>
            <w:shd w:val="clear" w:color="auto" w:fill="auto"/>
            <w:vAlign w:val="center"/>
          </w:tcPr>
          <w:p w:rsidR="00742432" w:rsidRPr="00EC7969" w:rsidRDefault="00EC7969" w:rsidP="00742432">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0F3C0E" w:rsidRPr="00677F85" w:rsidTr="00CB3392">
        <w:tc>
          <w:tcPr>
            <w:tcW w:w="5000" w:type="pct"/>
            <w:gridSpan w:val="6"/>
            <w:tcBorders>
              <w:bottom w:val="single" w:sz="4" w:space="0" w:color="auto"/>
            </w:tcBorders>
            <w:shd w:val="clear" w:color="auto" w:fill="auto"/>
            <w:vAlign w:val="center"/>
          </w:tcPr>
          <w:p w:rsidR="0004231D" w:rsidRPr="00677F85" w:rsidRDefault="00412B7D" w:rsidP="00577717">
            <w:pPr>
              <w:ind w:right="93"/>
              <w:jc w:val="left"/>
              <w:rPr>
                <w:rFonts w:ascii="Arial Narrow" w:hAnsi="Arial Narrow"/>
                <w:b/>
                <w:bCs/>
                <w:sz w:val="20"/>
              </w:rPr>
            </w:pPr>
            <w:r w:rsidRPr="00677F85">
              <w:rPr>
                <w:rFonts w:ascii="Arial Narrow" w:hAnsi="Arial Narrow"/>
                <w:b/>
                <w:bCs/>
                <w:sz w:val="20"/>
              </w:rPr>
              <w:t>Estimated net cost to government health budgets</w:t>
            </w:r>
          </w:p>
        </w:tc>
      </w:tr>
      <w:tr w:rsidR="000F3C0E" w:rsidRPr="00677F85" w:rsidTr="00CB3392">
        <w:tc>
          <w:tcPr>
            <w:tcW w:w="1707" w:type="pct"/>
            <w:tcBorders>
              <w:bottom w:val="nil"/>
            </w:tcBorders>
            <w:shd w:val="clear" w:color="auto" w:fill="auto"/>
            <w:vAlign w:val="center"/>
          </w:tcPr>
          <w:p w:rsidR="000F3C0E" w:rsidRPr="00677F85" w:rsidRDefault="000F3C0E" w:rsidP="000F3C0E">
            <w:pPr>
              <w:tabs>
                <w:tab w:val="left" w:pos="142"/>
              </w:tabs>
              <w:ind w:right="93"/>
              <w:jc w:val="left"/>
              <w:rPr>
                <w:rFonts w:ascii="Arial Narrow" w:hAnsi="Arial Narrow"/>
                <w:sz w:val="20"/>
              </w:rPr>
            </w:pPr>
            <w:r w:rsidRPr="00677F85">
              <w:rPr>
                <w:rFonts w:ascii="Arial Narrow" w:hAnsi="Arial Narrow"/>
                <w:sz w:val="20"/>
              </w:rPr>
              <w:t>Net cost to PBS</w:t>
            </w:r>
            <w:r w:rsidR="00C136A7" w:rsidRPr="00677F85">
              <w:rPr>
                <w:rFonts w:ascii="Arial Narrow" w:hAnsi="Arial Narrow"/>
                <w:sz w:val="20"/>
              </w:rPr>
              <w:t>/RPBS</w:t>
            </w:r>
            <w:r w:rsidRPr="00677F85">
              <w:rPr>
                <w:rFonts w:ascii="Arial Narrow" w:hAnsi="Arial Narrow"/>
                <w:sz w:val="20"/>
              </w:rPr>
              <w:t xml:space="preserve"> </w:t>
            </w:r>
          </w:p>
        </w:tc>
        <w:tc>
          <w:tcPr>
            <w:tcW w:w="647" w:type="pct"/>
            <w:tcBorders>
              <w:bottom w:val="nil"/>
            </w:tcBorders>
            <w:shd w:val="clear" w:color="auto" w:fill="auto"/>
            <w:vAlign w:val="center"/>
          </w:tcPr>
          <w:p w:rsidR="000F3C0E" w:rsidRPr="00677F85" w:rsidRDefault="000F3C0E" w:rsidP="000F3C0E">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0F3C0E" w:rsidRPr="00677F85" w:rsidRDefault="000F3C0E" w:rsidP="000F3C0E">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0F3C0E" w:rsidRPr="00677F85" w:rsidRDefault="000F3C0E" w:rsidP="000F3C0E">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0F3C0E" w:rsidRPr="00677F85" w:rsidRDefault="000F3C0E" w:rsidP="000F3C0E">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bottom w:val="nil"/>
            </w:tcBorders>
            <w:shd w:val="clear" w:color="auto" w:fill="auto"/>
            <w:vAlign w:val="center"/>
          </w:tcPr>
          <w:p w:rsidR="000F3C0E" w:rsidRPr="00677F85" w:rsidRDefault="000F3C0E" w:rsidP="000F3C0E">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21E65" w:rsidRPr="00677F85" w:rsidTr="00CB3392">
        <w:tc>
          <w:tcPr>
            <w:tcW w:w="1707" w:type="pct"/>
            <w:tcBorders>
              <w:top w:val="nil"/>
              <w:bottom w:val="single" w:sz="4" w:space="0" w:color="auto"/>
            </w:tcBorders>
            <w:shd w:val="clear" w:color="auto" w:fill="auto"/>
            <w:vAlign w:val="center"/>
          </w:tcPr>
          <w:p w:rsidR="00C21E65" w:rsidRPr="00677F85" w:rsidRDefault="00C21E65" w:rsidP="008F0112">
            <w:pPr>
              <w:tabs>
                <w:tab w:val="left" w:pos="506"/>
              </w:tabs>
              <w:ind w:left="223" w:right="93"/>
              <w:jc w:val="left"/>
              <w:rPr>
                <w:rFonts w:ascii="Arial Narrow" w:hAnsi="Arial Narrow"/>
                <w:sz w:val="20"/>
                <w:vertAlign w:val="superscript"/>
              </w:rPr>
            </w:pPr>
            <w:r w:rsidRPr="00677F85">
              <w:rPr>
                <w:rFonts w:ascii="Arial Narrow" w:hAnsi="Arial Narrow"/>
                <w:sz w:val="20"/>
              </w:rPr>
              <w:t>Corrected</w:t>
            </w:r>
            <w:r w:rsidR="00631ED9" w:rsidRPr="00677F85">
              <w:rPr>
                <w:rFonts w:ascii="Arial Narrow" w:hAnsi="Arial Narrow"/>
                <w:sz w:val="20"/>
              </w:rPr>
              <w:t xml:space="preserve"> during the evaluation</w:t>
            </w:r>
            <w:r w:rsidR="008923A1" w:rsidRPr="00677F85">
              <w:rPr>
                <w:rFonts w:ascii="Arial Narrow" w:hAnsi="Arial Narrow"/>
                <w:sz w:val="20"/>
                <w:vertAlign w:val="superscript"/>
              </w:rPr>
              <w:t>b,c</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tcBorders>
              <w:bottom w:val="nil"/>
            </w:tcBorders>
            <w:shd w:val="clear" w:color="auto" w:fill="auto"/>
            <w:vAlign w:val="center"/>
          </w:tcPr>
          <w:p w:rsidR="00C136A7" w:rsidRPr="00677F85" w:rsidRDefault="00C136A7" w:rsidP="00C136A7">
            <w:pPr>
              <w:tabs>
                <w:tab w:val="left" w:pos="142"/>
              </w:tabs>
              <w:ind w:right="93"/>
              <w:jc w:val="left"/>
              <w:rPr>
                <w:rFonts w:ascii="Arial Narrow" w:hAnsi="Arial Narrow"/>
                <w:sz w:val="20"/>
              </w:rPr>
            </w:pPr>
            <w:r w:rsidRPr="00677F85">
              <w:rPr>
                <w:rFonts w:ascii="Arial Narrow" w:hAnsi="Arial Narrow"/>
                <w:sz w:val="20"/>
              </w:rPr>
              <w:t>Net cost to PBS/RPBS Nov 2015</w:t>
            </w:r>
            <w:r w:rsidR="001338CA" w:rsidRPr="00677F85">
              <w:rPr>
                <w:rFonts w:ascii="Arial Narrow" w:hAnsi="Arial Narrow"/>
                <w:sz w:val="20"/>
              </w:rPr>
              <w:t>*</w:t>
            </w:r>
          </w:p>
        </w:tc>
        <w:tc>
          <w:tcPr>
            <w:tcW w:w="647" w:type="pct"/>
            <w:tcBorders>
              <w:bottom w:val="nil"/>
            </w:tcBorders>
            <w:shd w:val="clear" w:color="auto" w:fill="auto"/>
            <w:vAlign w:val="bottom"/>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vAlign w:val="bottom"/>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vAlign w:val="bottom"/>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vAlign w:val="bottom"/>
          </w:tcPr>
          <w:p w:rsidR="00C136A7" w:rsidRPr="00677F85" w:rsidRDefault="00C136A7" w:rsidP="00C136A7">
            <w:pPr>
              <w:ind w:right="93"/>
              <w:jc w:val="right"/>
              <w:rPr>
                <w:rFonts w:ascii="Arial Narrow" w:hAnsi="Arial Narrow"/>
                <w:sz w:val="20"/>
              </w:rPr>
            </w:pPr>
          </w:p>
        </w:tc>
        <w:tc>
          <w:tcPr>
            <w:tcW w:w="705" w:type="pct"/>
            <w:tcBorders>
              <w:bottom w:val="nil"/>
            </w:tcBorders>
            <w:shd w:val="clear" w:color="auto" w:fill="auto"/>
            <w:vAlign w:val="bottom"/>
          </w:tcPr>
          <w:p w:rsidR="00C136A7" w:rsidRPr="00677F85" w:rsidRDefault="00C136A7" w:rsidP="00C136A7">
            <w:pPr>
              <w:ind w:right="93"/>
              <w:jc w:val="right"/>
              <w:rPr>
                <w:rFonts w:ascii="Arial Narrow" w:hAnsi="Arial Narrow"/>
                <w:sz w:val="20"/>
              </w:rPr>
            </w:pPr>
          </w:p>
        </w:tc>
      </w:tr>
      <w:tr w:rsidR="00C136A7" w:rsidRPr="00677F85" w:rsidTr="00CB3392">
        <w:tc>
          <w:tcPr>
            <w:tcW w:w="1707" w:type="pct"/>
            <w:tcBorders>
              <w:top w:val="nil"/>
              <w:bottom w:val="nil"/>
            </w:tcBorders>
            <w:shd w:val="clear" w:color="auto" w:fill="auto"/>
            <w:vAlign w:val="center"/>
          </w:tcPr>
          <w:p w:rsidR="00C136A7" w:rsidRPr="00677F85" w:rsidRDefault="006A37A7" w:rsidP="006A37A7">
            <w:pPr>
              <w:tabs>
                <w:tab w:val="left" w:pos="142"/>
              </w:tabs>
              <w:ind w:left="223" w:right="93"/>
              <w:jc w:val="left"/>
              <w:rPr>
                <w:rFonts w:ascii="Arial Narrow" w:hAnsi="Arial Narrow"/>
                <w:sz w:val="20"/>
                <w:vertAlign w:val="superscript"/>
              </w:rPr>
            </w:pPr>
            <w:r w:rsidRPr="00677F85">
              <w:rPr>
                <w:rFonts w:ascii="Arial Narrow" w:hAnsi="Arial Narrow"/>
                <w:sz w:val="20"/>
              </w:rPr>
              <w:t>Previous</w:t>
            </w:r>
            <w:r w:rsidR="00C136A7" w:rsidRPr="00677F85">
              <w:rPr>
                <w:rFonts w:ascii="Arial Narrow" w:hAnsi="Arial Narrow"/>
                <w:sz w:val="20"/>
              </w:rPr>
              <w:t xml:space="preserve"> commentary estimates</w:t>
            </w:r>
            <w:r w:rsidR="008923A1" w:rsidRPr="00677F85">
              <w:rPr>
                <w:rFonts w:ascii="Arial Narrow" w:hAnsi="Arial Narrow"/>
                <w:sz w:val="20"/>
                <w:vertAlign w:val="superscript"/>
              </w:rPr>
              <w:t>d</w:t>
            </w:r>
          </w:p>
        </w:tc>
        <w:tc>
          <w:tcPr>
            <w:tcW w:w="647" w:type="pct"/>
            <w:tcBorders>
              <w:top w:val="nil"/>
              <w:bottom w:val="nil"/>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bottom w:val="nil"/>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tcBorders>
              <w:top w:val="nil"/>
              <w:bottom w:val="single" w:sz="4" w:space="0" w:color="auto"/>
            </w:tcBorders>
            <w:shd w:val="clear" w:color="auto" w:fill="auto"/>
            <w:vAlign w:val="center"/>
          </w:tcPr>
          <w:p w:rsidR="00C136A7" w:rsidRPr="00677F85" w:rsidRDefault="00BC1071" w:rsidP="00C136A7">
            <w:pPr>
              <w:tabs>
                <w:tab w:val="left" w:pos="142"/>
              </w:tabs>
              <w:ind w:left="223" w:right="93"/>
              <w:jc w:val="left"/>
              <w:rPr>
                <w:rFonts w:ascii="Arial Narrow" w:hAnsi="Arial Narrow"/>
                <w:sz w:val="20"/>
                <w:vertAlign w:val="superscript"/>
              </w:rPr>
            </w:pPr>
            <w:r w:rsidRPr="00677F85">
              <w:rPr>
                <w:rFonts w:ascii="Arial Narrow" w:hAnsi="Arial Narrow"/>
                <w:sz w:val="20"/>
              </w:rPr>
              <w:t xml:space="preserve">Previous </w:t>
            </w:r>
            <w:r w:rsidR="00C136A7" w:rsidRPr="00677F85">
              <w:rPr>
                <w:rFonts w:ascii="Arial Narrow" w:hAnsi="Arial Narrow"/>
                <w:sz w:val="20"/>
              </w:rPr>
              <w:t>PSCR estimates</w:t>
            </w:r>
            <w:r w:rsidR="008923A1" w:rsidRPr="00677F85">
              <w:rPr>
                <w:rFonts w:ascii="Arial Narrow" w:hAnsi="Arial Narrow"/>
                <w:sz w:val="20"/>
                <w:vertAlign w:val="superscript"/>
              </w:rPr>
              <w:t>e</w:t>
            </w:r>
          </w:p>
        </w:tc>
        <w:tc>
          <w:tcPr>
            <w:tcW w:w="647" w:type="pct"/>
            <w:tcBorders>
              <w:top w:val="nil"/>
              <w:bottom w:val="single" w:sz="4" w:space="0" w:color="auto"/>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single" w:sz="4" w:space="0" w:color="auto"/>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bottom w:val="single" w:sz="4" w:space="0" w:color="auto"/>
            </w:tcBorders>
            <w:shd w:val="clear" w:color="auto" w:fill="auto"/>
            <w:vAlign w:val="bottom"/>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422B73" w:rsidRPr="00677F85" w:rsidTr="00CB3392">
        <w:tc>
          <w:tcPr>
            <w:tcW w:w="1707" w:type="pct"/>
            <w:tcBorders>
              <w:bottom w:val="nil"/>
            </w:tcBorders>
            <w:shd w:val="clear" w:color="auto" w:fill="auto"/>
            <w:vAlign w:val="center"/>
          </w:tcPr>
          <w:p w:rsidR="00422B73" w:rsidRPr="00677F85" w:rsidRDefault="00422B73" w:rsidP="00422B73">
            <w:pPr>
              <w:tabs>
                <w:tab w:val="left" w:pos="142"/>
              </w:tabs>
              <w:ind w:right="93"/>
              <w:jc w:val="left"/>
              <w:rPr>
                <w:rFonts w:ascii="Arial Narrow" w:hAnsi="Arial Narrow"/>
                <w:sz w:val="20"/>
              </w:rPr>
            </w:pPr>
            <w:r w:rsidRPr="00677F85">
              <w:rPr>
                <w:rFonts w:ascii="Arial Narrow" w:hAnsi="Arial Narrow"/>
                <w:sz w:val="20"/>
              </w:rPr>
              <w:t>Net cost to MBS</w:t>
            </w:r>
          </w:p>
        </w:tc>
        <w:tc>
          <w:tcPr>
            <w:tcW w:w="647" w:type="pct"/>
            <w:tcBorders>
              <w:bottom w:val="nil"/>
            </w:tcBorders>
            <w:shd w:val="clear" w:color="auto" w:fill="auto"/>
            <w:vAlign w:val="center"/>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bottom w:val="nil"/>
            </w:tcBorders>
            <w:shd w:val="clear" w:color="auto" w:fill="auto"/>
            <w:vAlign w:val="center"/>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bottom w:val="nil"/>
            </w:tcBorders>
            <w:shd w:val="clear" w:color="auto" w:fill="auto"/>
            <w:vAlign w:val="center"/>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422B73" w:rsidRPr="00677F85" w:rsidTr="00CB3392">
        <w:tc>
          <w:tcPr>
            <w:tcW w:w="1707" w:type="pct"/>
            <w:tcBorders>
              <w:top w:val="nil"/>
            </w:tcBorders>
            <w:shd w:val="clear" w:color="auto" w:fill="auto"/>
            <w:vAlign w:val="center"/>
          </w:tcPr>
          <w:p w:rsidR="00422B73" w:rsidRPr="00677F85" w:rsidRDefault="00422B73" w:rsidP="00422B73">
            <w:pPr>
              <w:tabs>
                <w:tab w:val="left" w:pos="142"/>
              </w:tabs>
              <w:ind w:left="223" w:right="93"/>
              <w:jc w:val="left"/>
              <w:rPr>
                <w:rFonts w:ascii="Arial Narrow" w:hAnsi="Arial Narrow"/>
                <w:sz w:val="20"/>
                <w:vertAlign w:val="superscript"/>
              </w:rPr>
            </w:pPr>
            <w:r w:rsidRPr="00677F85">
              <w:rPr>
                <w:rFonts w:ascii="Arial Narrow" w:hAnsi="Arial Narrow"/>
                <w:sz w:val="20"/>
              </w:rPr>
              <w:t>Corrected</w:t>
            </w:r>
            <w:r w:rsidR="00631ED9" w:rsidRPr="00677F85">
              <w:rPr>
                <w:rFonts w:ascii="Arial Narrow" w:hAnsi="Arial Narrow"/>
                <w:sz w:val="20"/>
              </w:rPr>
              <w:t xml:space="preserve"> during the evaluation</w:t>
            </w:r>
            <w:r w:rsidR="008923A1" w:rsidRPr="00677F85">
              <w:rPr>
                <w:rFonts w:ascii="Arial Narrow" w:hAnsi="Arial Narrow"/>
                <w:sz w:val="20"/>
                <w:vertAlign w:val="superscript"/>
              </w:rPr>
              <w:t>f</w:t>
            </w:r>
          </w:p>
        </w:tc>
        <w:tc>
          <w:tcPr>
            <w:tcW w:w="647" w:type="pct"/>
            <w:tcBorders>
              <w:top w:val="nil"/>
            </w:tcBorders>
            <w:shd w:val="clear" w:color="auto" w:fill="auto"/>
            <w:vAlign w:val="bottom"/>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vAlign w:val="bottom"/>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vAlign w:val="bottom"/>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vAlign w:val="bottom"/>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tcBorders>
            <w:shd w:val="clear" w:color="auto" w:fill="auto"/>
            <w:vAlign w:val="bottom"/>
          </w:tcPr>
          <w:p w:rsidR="00422B73" w:rsidRPr="00677F85" w:rsidRDefault="00422B73" w:rsidP="00422B73">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shd w:val="clear" w:color="auto" w:fill="auto"/>
            <w:vAlign w:val="center"/>
          </w:tcPr>
          <w:p w:rsidR="00C136A7" w:rsidRPr="00677F85" w:rsidRDefault="00C136A7" w:rsidP="00C136A7">
            <w:pPr>
              <w:tabs>
                <w:tab w:val="left" w:pos="142"/>
              </w:tabs>
              <w:ind w:right="93"/>
              <w:jc w:val="left"/>
              <w:rPr>
                <w:rFonts w:ascii="Arial Narrow" w:hAnsi="Arial Narrow"/>
                <w:sz w:val="20"/>
              </w:rPr>
            </w:pPr>
            <w:r w:rsidRPr="00677F85">
              <w:rPr>
                <w:rFonts w:ascii="Arial Narrow" w:hAnsi="Arial Narrow"/>
                <w:sz w:val="20"/>
              </w:rPr>
              <w:t>Net cost to MBS Nov 2015</w:t>
            </w:r>
          </w:p>
        </w:tc>
        <w:tc>
          <w:tcPr>
            <w:tcW w:w="647" w:type="pct"/>
            <w:shd w:val="clear" w:color="auto" w:fill="auto"/>
            <w:vAlign w:val="center"/>
          </w:tcPr>
          <w:p w:rsidR="00C136A7" w:rsidRPr="00677F85" w:rsidRDefault="00C136A7" w:rsidP="00C136A7">
            <w:pPr>
              <w:ind w:right="93"/>
              <w:jc w:val="right"/>
              <w:rPr>
                <w:rFonts w:ascii="Arial Narrow" w:hAnsi="Arial Narrow"/>
                <w:bCs/>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bCs/>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bCs/>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bCs/>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shd w:val="clear" w:color="auto" w:fill="auto"/>
            <w:vAlign w:val="center"/>
          </w:tcPr>
          <w:p w:rsidR="00C136A7" w:rsidRPr="00677F85" w:rsidRDefault="00C136A7" w:rsidP="00C136A7">
            <w:pPr>
              <w:ind w:right="93"/>
              <w:jc w:val="right"/>
              <w:rPr>
                <w:rFonts w:ascii="Arial Narrow" w:hAnsi="Arial Narrow"/>
                <w:bCs/>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shd w:val="clear" w:color="auto" w:fill="auto"/>
            <w:vAlign w:val="center"/>
          </w:tcPr>
          <w:p w:rsidR="00C136A7" w:rsidRPr="00677F85" w:rsidRDefault="00C136A7" w:rsidP="00C136A7">
            <w:pPr>
              <w:tabs>
                <w:tab w:val="left" w:pos="142"/>
              </w:tabs>
              <w:ind w:right="93"/>
              <w:jc w:val="left"/>
              <w:rPr>
                <w:rFonts w:ascii="Arial Narrow" w:hAnsi="Arial Narrow"/>
                <w:sz w:val="20"/>
              </w:rPr>
            </w:pPr>
            <w:r w:rsidRPr="00677F85">
              <w:rPr>
                <w:rFonts w:ascii="Arial Narrow" w:hAnsi="Arial Narrow"/>
                <w:sz w:val="20"/>
              </w:rPr>
              <w:t>Cost to government of AE</w:t>
            </w:r>
            <w:r w:rsidR="00CB3392" w:rsidRPr="00677F85">
              <w:rPr>
                <w:rFonts w:ascii="Arial Narrow" w:hAnsi="Arial Narrow"/>
                <w:sz w:val="20"/>
              </w:rPr>
              <w:t xml:space="preserve"> treatment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shd w:val="clear" w:color="auto" w:fill="auto"/>
            <w:vAlign w:val="center"/>
          </w:tcPr>
          <w:p w:rsidR="00C136A7" w:rsidRPr="00677F85" w:rsidRDefault="00CB3392" w:rsidP="003F71C2">
            <w:pPr>
              <w:tabs>
                <w:tab w:val="left" w:pos="142"/>
              </w:tabs>
              <w:ind w:left="81" w:right="93" w:hanging="81"/>
              <w:jc w:val="left"/>
              <w:rPr>
                <w:rFonts w:ascii="Arial Narrow" w:hAnsi="Arial Narrow"/>
                <w:sz w:val="20"/>
              </w:rPr>
            </w:pPr>
            <w:r w:rsidRPr="00677F85">
              <w:rPr>
                <w:rFonts w:ascii="Arial Narrow" w:hAnsi="Arial Narrow"/>
                <w:sz w:val="20"/>
              </w:rPr>
              <w:t>C</w:t>
            </w:r>
            <w:r w:rsidR="00C136A7" w:rsidRPr="00677F85">
              <w:rPr>
                <w:rFonts w:ascii="Arial Narrow" w:hAnsi="Arial Narrow"/>
                <w:sz w:val="20"/>
              </w:rPr>
              <w:t>ost to government of AE</w:t>
            </w:r>
            <w:r w:rsidRPr="00677F85">
              <w:rPr>
                <w:rFonts w:ascii="Arial Narrow" w:hAnsi="Arial Narrow"/>
                <w:sz w:val="20"/>
              </w:rPr>
              <w:t xml:space="preserve"> treatment</w:t>
            </w:r>
            <w:r w:rsidR="00C136A7" w:rsidRPr="00677F85">
              <w:rPr>
                <w:rFonts w:ascii="Arial Narrow" w:hAnsi="Arial Narrow"/>
                <w:sz w:val="20"/>
              </w:rPr>
              <w:t xml:space="preserve"> Nov 2015</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shd w:val="clear" w:color="auto" w:fill="auto"/>
            <w:vAlign w:val="center"/>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5000" w:type="pct"/>
            <w:gridSpan w:val="6"/>
            <w:tcBorders>
              <w:bottom w:val="single" w:sz="4" w:space="0" w:color="auto"/>
            </w:tcBorders>
            <w:shd w:val="clear" w:color="auto" w:fill="auto"/>
            <w:vAlign w:val="center"/>
          </w:tcPr>
          <w:p w:rsidR="00C136A7" w:rsidRPr="00677F85" w:rsidRDefault="00C136A7" w:rsidP="00C136A7">
            <w:pPr>
              <w:ind w:right="93"/>
              <w:jc w:val="left"/>
              <w:rPr>
                <w:rFonts w:ascii="Arial Narrow" w:hAnsi="Arial Narrow"/>
                <w:b/>
                <w:sz w:val="20"/>
              </w:rPr>
            </w:pPr>
            <w:r w:rsidRPr="00677F85">
              <w:rPr>
                <w:rFonts w:ascii="Arial Narrow" w:hAnsi="Arial Narrow"/>
                <w:b/>
                <w:sz w:val="20"/>
              </w:rPr>
              <w:t>Estimated total net cost</w:t>
            </w:r>
          </w:p>
        </w:tc>
      </w:tr>
      <w:tr w:rsidR="00C136A7" w:rsidRPr="00677F85" w:rsidTr="00CB3392">
        <w:tc>
          <w:tcPr>
            <w:tcW w:w="1707" w:type="pct"/>
            <w:tcBorders>
              <w:bottom w:val="nil"/>
            </w:tcBorders>
            <w:shd w:val="clear" w:color="auto" w:fill="auto"/>
            <w:vAlign w:val="center"/>
          </w:tcPr>
          <w:p w:rsidR="00C136A7" w:rsidRPr="00677F85" w:rsidRDefault="00C136A7" w:rsidP="00C136A7">
            <w:pPr>
              <w:tabs>
                <w:tab w:val="left" w:pos="142"/>
              </w:tabs>
              <w:ind w:right="93"/>
              <w:jc w:val="left"/>
              <w:rPr>
                <w:rFonts w:ascii="Arial Narrow" w:hAnsi="Arial Narrow"/>
                <w:b/>
                <w:sz w:val="20"/>
              </w:rPr>
            </w:pPr>
            <w:r w:rsidRPr="00677F85">
              <w:rPr>
                <w:rFonts w:ascii="Arial Narrow" w:hAnsi="Arial Narrow"/>
                <w:b/>
                <w:bCs/>
                <w:sz w:val="20"/>
              </w:rPr>
              <w:t>Net cost to health budget</w:t>
            </w:r>
          </w:p>
        </w:tc>
        <w:tc>
          <w:tcPr>
            <w:tcW w:w="647" w:type="pct"/>
            <w:tcBorders>
              <w:bottom w:val="nil"/>
            </w:tcBorders>
            <w:shd w:val="clear" w:color="auto" w:fill="auto"/>
          </w:tcPr>
          <w:p w:rsidR="00C136A7" w:rsidRPr="00677F85" w:rsidRDefault="00C136A7" w:rsidP="00C136A7">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bottom w:val="nil"/>
            </w:tcBorders>
            <w:shd w:val="clear" w:color="auto" w:fill="auto"/>
          </w:tcPr>
          <w:p w:rsidR="00C136A7" w:rsidRPr="00677F85" w:rsidRDefault="00C136A7" w:rsidP="00C136A7">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bottom w:val="nil"/>
            </w:tcBorders>
            <w:shd w:val="clear" w:color="auto" w:fill="auto"/>
          </w:tcPr>
          <w:p w:rsidR="00C136A7" w:rsidRPr="00677F85" w:rsidRDefault="00C136A7" w:rsidP="00C136A7">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bottom w:val="nil"/>
            </w:tcBorders>
            <w:shd w:val="clear" w:color="auto" w:fill="auto"/>
          </w:tcPr>
          <w:p w:rsidR="00C136A7" w:rsidRPr="00677F85" w:rsidRDefault="00C136A7" w:rsidP="00C136A7">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705" w:type="pct"/>
            <w:tcBorders>
              <w:bottom w:val="nil"/>
            </w:tcBorders>
            <w:shd w:val="clear" w:color="auto" w:fill="auto"/>
          </w:tcPr>
          <w:p w:rsidR="00C136A7" w:rsidRPr="00677F85" w:rsidRDefault="00C136A7" w:rsidP="00C136A7">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r>
      <w:tr w:rsidR="00C21E65" w:rsidRPr="00677F85" w:rsidTr="00457B1F">
        <w:tc>
          <w:tcPr>
            <w:tcW w:w="1707" w:type="pct"/>
            <w:tcBorders>
              <w:top w:val="nil"/>
              <w:bottom w:val="single" w:sz="4" w:space="0" w:color="auto"/>
            </w:tcBorders>
            <w:shd w:val="clear" w:color="auto" w:fill="auto"/>
            <w:vAlign w:val="center"/>
          </w:tcPr>
          <w:p w:rsidR="00C21E65" w:rsidRPr="00677F85" w:rsidRDefault="00C21E65" w:rsidP="008923A1">
            <w:pPr>
              <w:tabs>
                <w:tab w:val="left" w:pos="142"/>
              </w:tabs>
              <w:ind w:left="223" w:right="93"/>
              <w:jc w:val="left"/>
              <w:rPr>
                <w:rFonts w:ascii="Arial Narrow" w:hAnsi="Arial Narrow"/>
                <w:b/>
                <w:bCs/>
                <w:sz w:val="20"/>
                <w:vertAlign w:val="superscript"/>
              </w:rPr>
            </w:pPr>
            <w:r w:rsidRPr="00677F85">
              <w:rPr>
                <w:rFonts w:ascii="Arial Narrow" w:hAnsi="Arial Narrow"/>
                <w:b/>
                <w:bCs/>
                <w:sz w:val="20"/>
              </w:rPr>
              <w:t>Corrected</w:t>
            </w:r>
            <w:r w:rsidR="00631ED9" w:rsidRPr="00677F85">
              <w:rPr>
                <w:rFonts w:ascii="Arial Narrow" w:hAnsi="Arial Narrow"/>
                <w:b/>
                <w:bCs/>
                <w:sz w:val="20"/>
              </w:rPr>
              <w:t xml:space="preserve"> during the evaluation</w:t>
            </w:r>
            <w:r w:rsidR="008923A1" w:rsidRPr="00677F85">
              <w:rPr>
                <w:rFonts w:ascii="Arial Narrow" w:hAnsi="Arial Narrow"/>
                <w:b/>
                <w:bCs/>
                <w:sz w:val="20"/>
                <w:vertAlign w:val="superscript"/>
              </w:rPr>
              <w:t>b,c,e</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647"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c>
          <w:tcPr>
            <w:tcW w:w="705" w:type="pct"/>
            <w:tcBorders>
              <w:top w:val="nil"/>
              <w:bottom w:val="single" w:sz="4" w:space="0" w:color="auto"/>
            </w:tcBorders>
            <w:shd w:val="clear" w:color="auto" w:fill="auto"/>
            <w:vAlign w:val="bottom"/>
          </w:tcPr>
          <w:p w:rsidR="00C21E65" w:rsidRPr="00677F85" w:rsidRDefault="00C21E65" w:rsidP="00C21E65">
            <w:pPr>
              <w:ind w:right="93"/>
              <w:jc w:val="right"/>
              <w:rPr>
                <w:rFonts w:ascii="Arial Narrow" w:hAnsi="Arial Narrow"/>
                <w:b/>
                <w:sz w:val="20"/>
              </w:rPr>
            </w:pPr>
            <w:r w:rsidRPr="00677F85">
              <w:rPr>
                <w:rFonts w:ascii="Arial Narrow" w:hAnsi="Arial Narrow"/>
                <w:b/>
                <w:sz w:val="20"/>
              </w:rPr>
              <w:t>$</w:t>
            </w:r>
            <w:r w:rsidR="00EC7969">
              <w:rPr>
                <w:rFonts w:ascii="Arial Narrow" w:hAnsi="Arial Narrow"/>
                <w:b/>
                <w:noProof/>
                <w:color w:val="000000"/>
                <w:sz w:val="20"/>
                <w:highlight w:val="black"/>
              </w:rPr>
              <w:t>''''''''''''''''''''</w:t>
            </w:r>
          </w:p>
        </w:tc>
      </w:tr>
      <w:tr w:rsidR="00C136A7" w:rsidRPr="00677F85" w:rsidTr="00CB3392">
        <w:tc>
          <w:tcPr>
            <w:tcW w:w="1707" w:type="pct"/>
            <w:tcBorders>
              <w:bottom w:val="nil"/>
            </w:tcBorders>
            <w:shd w:val="clear" w:color="auto" w:fill="auto"/>
            <w:vAlign w:val="center"/>
          </w:tcPr>
          <w:p w:rsidR="00C136A7" w:rsidRPr="00677F85" w:rsidRDefault="00CB3392" w:rsidP="00C136A7">
            <w:pPr>
              <w:tabs>
                <w:tab w:val="left" w:pos="142"/>
              </w:tabs>
              <w:ind w:right="93"/>
              <w:jc w:val="left"/>
              <w:rPr>
                <w:rFonts w:ascii="Arial Narrow" w:hAnsi="Arial Narrow"/>
                <w:bCs/>
                <w:sz w:val="20"/>
              </w:rPr>
            </w:pPr>
            <w:r w:rsidRPr="00677F85">
              <w:rPr>
                <w:rFonts w:ascii="Arial Narrow" w:hAnsi="Arial Narrow"/>
                <w:bCs/>
                <w:sz w:val="20"/>
              </w:rPr>
              <w:t>Net</w:t>
            </w:r>
            <w:r w:rsidR="00C136A7" w:rsidRPr="00677F85">
              <w:rPr>
                <w:rFonts w:ascii="Arial Narrow" w:hAnsi="Arial Narrow"/>
                <w:bCs/>
                <w:sz w:val="20"/>
              </w:rPr>
              <w:t xml:space="preserve"> cost to health budget Nov 2015</w:t>
            </w:r>
            <w:r w:rsidR="001338CA" w:rsidRPr="00677F85">
              <w:rPr>
                <w:rFonts w:ascii="Arial Narrow" w:hAnsi="Arial Narrow"/>
                <w:bCs/>
                <w:sz w:val="20"/>
              </w:rPr>
              <w:t>*</w:t>
            </w:r>
          </w:p>
        </w:tc>
        <w:tc>
          <w:tcPr>
            <w:tcW w:w="647" w:type="pct"/>
            <w:tcBorders>
              <w:bottom w:val="nil"/>
            </w:tcBorders>
            <w:shd w:val="clear" w:color="auto" w:fill="auto"/>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tcPr>
          <w:p w:rsidR="00C136A7" w:rsidRPr="00677F85" w:rsidRDefault="00C136A7" w:rsidP="00C136A7">
            <w:pPr>
              <w:ind w:right="93"/>
              <w:jc w:val="right"/>
              <w:rPr>
                <w:rFonts w:ascii="Arial Narrow" w:hAnsi="Arial Narrow"/>
                <w:sz w:val="20"/>
              </w:rPr>
            </w:pPr>
          </w:p>
        </w:tc>
        <w:tc>
          <w:tcPr>
            <w:tcW w:w="647" w:type="pct"/>
            <w:tcBorders>
              <w:bottom w:val="nil"/>
            </w:tcBorders>
            <w:shd w:val="clear" w:color="auto" w:fill="auto"/>
          </w:tcPr>
          <w:p w:rsidR="00C136A7" w:rsidRPr="00677F85" w:rsidRDefault="00C136A7" w:rsidP="00C136A7">
            <w:pPr>
              <w:ind w:right="93"/>
              <w:jc w:val="right"/>
              <w:rPr>
                <w:rFonts w:ascii="Arial Narrow" w:hAnsi="Arial Narrow"/>
                <w:sz w:val="20"/>
              </w:rPr>
            </w:pPr>
          </w:p>
        </w:tc>
        <w:tc>
          <w:tcPr>
            <w:tcW w:w="705" w:type="pct"/>
            <w:tcBorders>
              <w:bottom w:val="nil"/>
            </w:tcBorders>
            <w:shd w:val="clear" w:color="auto" w:fill="auto"/>
          </w:tcPr>
          <w:p w:rsidR="00C136A7" w:rsidRPr="00677F85" w:rsidRDefault="00C136A7" w:rsidP="00C136A7">
            <w:pPr>
              <w:ind w:right="93"/>
              <w:jc w:val="right"/>
              <w:rPr>
                <w:rFonts w:ascii="Arial Narrow" w:hAnsi="Arial Narrow"/>
                <w:sz w:val="20"/>
              </w:rPr>
            </w:pPr>
          </w:p>
        </w:tc>
      </w:tr>
      <w:tr w:rsidR="00C136A7" w:rsidRPr="00677F85" w:rsidTr="00CB3392">
        <w:tc>
          <w:tcPr>
            <w:tcW w:w="1707" w:type="pct"/>
            <w:tcBorders>
              <w:top w:val="nil"/>
              <w:bottom w:val="nil"/>
            </w:tcBorders>
            <w:shd w:val="clear" w:color="auto" w:fill="auto"/>
            <w:vAlign w:val="center"/>
          </w:tcPr>
          <w:p w:rsidR="00C136A7" w:rsidRPr="00677F85" w:rsidRDefault="006A37A7" w:rsidP="00C136A7">
            <w:pPr>
              <w:tabs>
                <w:tab w:val="left" w:pos="142"/>
              </w:tabs>
              <w:ind w:left="223" w:right="93"/>
              <w:jc w:val="left"/>
              <w:rPr>
                <w:rFonts w:ascii="Arial Narrow" w:hAnsi="Arial Narrow"/>
                <w:bCs/>
                <w:sz w:val="20"/>
                <w:vertAlign w:val="superscript"/>
              </w:rPr>
            </w:pPr>
            <w:r w:rsidRPr="00677F85">
              <w:rPr>
                <w:rFonts w:ascii="Arial Narrow" w:hAnsi="Arial Narrow"/>
                <w:bCs/>
                <w:sz w:val="20"/>
              </w:rPr>
              <w:t>Previous</w:t>
            </w:r>
            <w:r w:rsidR="00C136A7" w:rsidRPr="00677F85">
              <w:rPr>
                <w:rFonts w:ascii="Arial Narrow" w:hAnsi="Arial Narrow"/>
                <w:bCs/>
                <w:sz w:val="20"/>
              </w:rPr>
              <w:t xml:space="preserve"> commentary estimates</w:t>
            </w:r>
            <w:r w:rsidR="008923A1" w:rsidRPr="00677F85">
              <w:rPr>
                <w:rFonts w:ascii="Arial Narrow" w:hAnsi="Arial Narrow"/>
                <w:bCs/>
                <w:sz w:val="20"/>
                <w:vertAlign w:val="superscript"/>
              </w:rPr>
              <w:t>d</w:t>
            </w:r>
          </w:p>
        </w:tc>
        <w:tc>
          <w:tcPr>
            <w:tcW w:w="647" w:type="pct"/>
            <w:tcBorders>
              <w:top w:val="nil"/>
              <w:bottom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bottom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bottom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r w:rsidR="00C136A7" w:rsidRPr="00677F85" w:rsidTr="00CB3392">
        <w:tc>
          <w:tcPr>
            <w:tcW w:w="1707" w:type="pct"/>
            <w:tcBorders>
              <w:top w:val="nil"/>
            </w:tcBorders>
            <w:shd w:val="clear" w:color="auto" w:fill="auto"/>
            <w:vAlign w:val="center"/>
          </w:tcPr>
          <w:p w:rsidR="00C136A7" w:rsidRPr="00677F85" w:rsidRDefault="00BC1071" w:rsidP="00C136A7">
            <w:pPr>
              <w:tabs>
                <w:tab w:val="left" w:pos="506"/>
              </w:tabs>
              <w:ind w:left="223" w:right="93"/>
              <w:jc w:val="left"/>
              <w:rPr>
                <w:rFonts w:ascii="Arial Narrow" w:hAnsi="Arial Narrow"/>
                <w:bCs/>
                <w:sz w:val="20"/>
                <w:vertAlign w:val="superscript"/>
              </w:rPr>
            </w:pPr>
            <w:r w:rsidRPr="00677F85">
              <w:rPr>
                <w:rFonts w:ascii="Arial Narrow" w:hAnsi="Arial Narrow"/>
                <w:bCs/>
                <w:sz w:val="20"/>
              </w:rPr>
              <w:t xml:space="preserve">Previous </w:t>
            </w:r>
            <w:r w:rsidR="00C136A7" w:rsidRPr="00677F85">
              <w:rPr>
                <w:rFonts w:ascii="Arial Narrow" w:hAnsi="Arial Narrow"/>
                <w:bCs/>
                <w:sz w:val="20"/>
              </w:rPr>
              <w:t>PSCR estimates</w:t>
            </w:r>
            <w:r w:rsidR="008923A1" w:rsidRPr="00677F85">
              <w:rPr>
                <w:rFonts w:ascii="Arial Narrow" w:hAnsi="Arial Narrow"/>
                <w:bCs/>
                <w:sz w:val="20"/>
                <w:vertAlign w:val="superscript"/>
              </w:rPr>
              <w:t>e</w:t>
            </w:r>
          </w:p>
        </w:tc>
        <w:tc>
          <w:tcPr>
            <w:tcW w:w="647" w:type="pct"/>
            <w:tcBorders>
              <w:top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647" w:type="pct"/>
            <w:tcBorders>
              <w:top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c>
          <w:tcPr>
            <w:tcW w:w="705" w:type="pct"/>
            <w:tcBorders>
              <w:top w:val="nil"/>
            </w:tcBorders>
            <w:shd w:val="clear" w:color="auto" w:fill="auto"/>
          </w:tcPr>
          <w:p w:rsidR="00C136A7" w:rsidRPr="00677F85" w:rsidRDefault="00C136A7" w:rsidP="00C136A7">
            <w:pPr>
              <w:ind w:right="93"/>
              <w:jc w:val="right"/>
              <w:rPr>
                <w:rFonts w:ascii="Arial Narrow" w:hAnsi="Arial Narrow"/>
                <w:sz w:val="20"/>
              </w:rPr>
            </w:pPr>
            <w:r w:rsidRPr="00677F85">
              <w:rPr>
                <w:rFonts w:ascii="Arial Narrow" w:hAnsi="Arial Narrow"/>
                <w:sz w:val="20"/>
              </w:rPr>
              <w:t>$</w:t>
            </w:r>
            <w:r w:rsidR="00EC7969">
              <w:rPr>
                <w:rFonts w:ascii="Arial Narrow" w:hAnsi="Arial Narrow"/>
                <w:noProof/>
                <w:color w:val="000000"/>
                <w:sz w:val="20"/>
                <w:highlight w:val="black"/>
              </w:rPr>
              <w:t>''''''''''''''''''''''''''''</w:t>
            </w:r>
          </w:p>
        </w:tc>
      </w:tr>
    </w:tbl>
    <w:p w:rsidR="00B871E0" w:rsidRPr="00677F85" w:rsidRDefault="00B871E0" w:rsidP="00B608CF">
      <w:pPr>
        <w:pStyle w:val="TableFooter"/>
        <w:ind w:firstLine="709"/>
      </w:pPr>
      <w:r w:rsidRPr="00677F85">
        <w:t>AE</w:t>
      </w:r>
      <w:r w:rsidR="00CB3392" w:rsidRPr="00677F85">
        <w:t xml:space="preserve"> = adverse event; </w:t>
      </w:r>
      <w:r w:rsidRPr="00677F85">
        <w:t>PSCR = Pre-subcommittee response</w:t>
      </w:r>
    </w:p>
    <w:p w:rsidR="008F0112" w:rsidRPr="00677F85" w:rsidRDefault="008F0112" w:rsidP="008F0112">
      <w:pPr>
        <w:pStyle w:val="TableFooter"/>
        <w:ind w:left="851" w:hanging="142"/>
      </w:pPr>
      <w:r w:rsidRPr="00677F85">
        <w:rPr>
          <w:vertAlign w:val="superscript"/>
        </w:rPr>
        <w:t>a</w:t>
      </w:r>
      <w:r w:rsidRPr="00677F85">
        <w:t xml:space="preserve"> </w:t>
      </w:r>
      <w:r w:rsidR="008923A1" w:rsidRPr="00677F85">
        <w:t xml:space="preserve">The previous submission used a different method to estimate the eligible population from the </w:t>
      </w:r>
      <w:r w:rsidR="008D1756" w:rsidRPr="00677F85">
        <w:t>resubmission</w:t>
      </w:r>
      <w:r w:rsidR="008923A1" w:rsidRPr="00677F85">
        <w:t>. There were also differences in the proposed treatment algorithms and the uptake of alternative treatment options</w:t>
      </w:r>
      <w:r w:rsidR="009E0950" w:rsidRPr="00677F85">
        <w:t xml:space="preserve"> between the submissions</w:t>
      </w:r>
      <w:r w:rsidR="008923A1" w:rsidRPr="00677F85">
        <w:t>.</w:t>
      </w:r>
    </w:p>
    <w:p w:rsidR="00A46F98" w:rsidRPr="00677F85" w:rsidRDefault="008923A1" w:rsidP="00EB199E">
      <w:pPr>
        <w:pStyle w:val="TableFooter"/>
        <w:ind w:left="851" w:hanging="142"/>
      </w:pPr>
      <w:r w:rsidRPr="00677F85">
        <w:rPr>
          <w:vertAlign w:val="superscript"/>
        </w:rPr>
        <w:t>b</w:t>
      </w:r>
      <w:r w:rsidR="00EB199E" w:rsidRPr="00677F85">
        <w:t xml:space="preserve"> Patient numbers based on </w:t>
      </w:r>
      <w:r w:rsidR="00B13F8B" w:rsidRPr="00677F85">
        <w:t>patients with BRAF V600 MT tumour</w:t>
      </w:r>
      <w:r w:rsidR="00EB199E" w:rsidRPr="00677F85">
        <w:t xml:space="preserve">s, rather than </w:t>
      </w:r>
      <w:r w:rsidR="00B13F8B" w:rsidRPr="00677F85">
        <w:t xml:space="preserve">patients with </w:t>
      </w:r>
      <w:r w:rsidR="00EB199E" w:rsidRPr="00677F85">
        <w:t xml:space="preserve">all BRAF MT </w:t>
      </w:r>
      <w:r w:rsidR="00B13F8B" w:rsidRPr="00677F85">
        <w:t>tumours,</w:t>
      </w:r>
      <w:r w:rsidR="00EB199E" w:rsidRPr="00677F85">
        <w:t xml:space="preserve"> as in the </w:t>
      </w:r>
      <w:r w:rsidR="008D1756" w:rsidRPr="00677F85">
        <w:t>resubmission</w:t>
      </w:r>
      <w:r w:rsidR="00EB199E" w:rsidRPr="00677F85">
        <w:t>.</w:t>
      </w:r>
    </w:p>
    <w:p w:rsidR="00EB199E" w:rsidRPr="00677F85" w:rsidRDefault="008923A1" w:rsidP="00EB199E">
      <w:pPr>
        <w:pStyle w:val="TableFooter"/>
        <w:ind w:left="851" w:hanging="142"/>
      </w:pPr>
      <w:r w:rsidRPr="00677F85">
        <w:rPr>
          <w:vertAlign w:val="superscript"/>
        </w:rPr>
        <w:t>c</w:t>
      </w:r>
      <w:r w:rsidR="00A46F98" w:rsidRPr="00677F85">
        <w:t xml:space="preserve"> Costs revised using the effective ex-manufacturer price for ipilimumab, as supplied by the Department of Health, and using the </w:t>
      </w:r>
      <w:r w:rsidR="00EB199E" w:rsidRPr="00677F85">
        <w:t>revised dispensed prices per infusion, as set out in Table E.2.3 and Table E.3.3</w:t>
      </w:r>
      <w:r w:rsidR="00A46F98" w:rsidRPr="00677F85">
        <w:t xml:space="preserve"> of the Commentary</w:t>
      </w:r>
      <w:r w:rsidR="00EB199E" w:rsidRPr="00677F85">
        <w:t>.</w:t>
      </w:r>
    </w:p>
    <w:p w:rsidR="003F71C2" w:rsidRPr="00677F85" w:rsidRDefault="008923A1" w:rsidP="003F71C2">
      <w:pPr>
        <w:pStyle w:val="TableFooter"/>
        <w:ind w:left="709"/>
      </w:pPr>
      <w:r w:rsidRPr="00677F85">
        <w:rPr>
          <w:vertAlign w:val="superscript"/>
        </w:rPr>
        <w:t xml:space="preserve">d </w:t>
      </w:r>
      <w:r w:rsidR="003F71C2" w:rsidRPr="00677F85">
        <w:t xml:space="preserve">Source: Table E.5.3, </w:t>
      </w:r>
      <w:r w:rsidR="00CB3392" w:rsidRPr="00677F85">
        <w:t>5.10</w:t>
      </w:r>
      <w:r w:rsidR="003F71C2" w:rsidRPr="00677F85">
        <w:t>.COM.101</w:t>
      </w:r>
    </w:p>
    <w:p w:rsidR="003F71C2" w:rsidRPr="00677F85" w:rsidRDefault="008923A1" w:rsidP="003F71C2">
      <w:pPr>
        <w:pStyle w:val="TableFooter"/>
        <w:ind w:left="709"/>
      </w:pPr>
      <w:r w:rsidRPr="00677F85">
        <w:rPr>
          <w:vertAlign w:val="superscript"/>
        </w:rPr>
        <w:t>e</w:t>
      </w:r>
      <w:r w:rsidR="008F0112" w:rsidRPr="00677F85">
        <w:rPr>
          <w:vertAlign w:val="superscript"/>
        </w:rPr>
        <w:t xml:space="preserve"> </w:t>
      </w:r>
      <w:r w:rsidR="003F71C2" w:rsidRPr="00677F85">
        <w:t xml:space="preserve">Source: Table 16, Paragraph 6.68 </w:t>
      </w:r>
      <w:r w:rsidR="005F5650">
        <w:t>PSD</w:t>
      </w:r>
      <w:r w:rsidR="003F71C2" w:rsidRPr="00677F85">
        <w:t xml:space="preserve"> November 2015 PBAC meeting.</w:t>
      </w:r>
    </w:p>
    <w:p w:rsidR="00EB199E" w:rsidRPr="00677F85" w:rsidRDefault="008923A1" w:rsidP="008923A1">
      <w:pPr>
        <w:pStyle w:val="TableFooter"/>
        <w:ind w:left="709"/>
      </w:pPr>
      <w:r w:rsidRPr="00677F85">
        <w:rPr>
          <w:vertAlign w:val="superscript"/>
        </w:rPr>
        <w:t xml:space="preserve">f </w:t>
      </w:r>
      <w:r w:rsidR="00EB199E" w:rsidRPr="00677F85">
        <w:t>Based on the number of infusions, rather than the number of scripts</w:t>
      </w:r>
      <w:r w:rsidR="0090529D" w:rsidRPr="00677F85">
        <w:t xml:space="preserve"> used in the </w:t>
      </w:r>
      <w:r w:rsidR="008D1756" w:rsidRPr="00677F85">
        <w:t>resubmission</w:t>
      </w:r>
      <w:r w:rsidR="0090529D" w:rsidRPr="00677F85">
        <w:t>.</w:t>
      </w:r>
    </w:p>
    <w:p w:rsidR="001338CA" w:rsidRPr="00677F85" w:rsidRDefault="001338CA" w:rsidP="001338CA">
      <w:pPr>
        <w:pStyle w:val="TableFooter"/>
        <w:ind w:left="851" w:hanging="142"/>
      </w:pPr>
      <w:r w:rsidRPr="00677F85">
        <w:t>* Note: The November 2015 submission originally nominated ipilimumab as the main comparator. This was revised to pembrolizumab in the PSCR.</w:t>
      </w:r>
    </w:p>
    <w:p w:rsidR="0004231D" w:rsidRPr="00677F85" w:rsidRDefault="003F71C2" w:rsidP="003F71C2">
      <w:pPr>
        <w:pStyle w:val="TableFooter"/>
        <w:ind w:left="709"/>
        <w:rPr>
          <w:szCs w:val="22"/>
        </w:rPr>
      </w:pPr>
      <w:r w:rsidRPr="00677F85">
        <w:t xml:space="preserve">Source: </w:t>
      </w:r>
      <w:r w:rsidR="0004231D" w:rsidRPr="00677F85">
        <w:t>Compiled during the evaluation</w:t>
      </w:r>
    </w:p>
    <w:p w:rsidR="00C25D9C" w:rsidRPr="00D4640F" w:rsidRDefault="00C25D9C" w:rsidP="00C25D9C">
      <w:pPr>
        <w:widowControl/>
        <w:rPr>
          <w:szCs w:val="22"/>
        </w:rPr>
      </w:pPr>
    </w:p>
    <w:p w:rsidR="00330666" w:rsidRDefault="00330666" w:rsidP="009E7F9E">
      <w:pPr>
        <w:pStyle w:val="ListParagraph"/>
        <w:widowControl/>
        <w:numPr>
          <w:ilvl w:val="1"/>
          <w:numId w:val="3"/>
        </w:numPr>
        <w:rPr>
          <w:szCs w:val="22"/>
        </w:rPr>
      </w:pPr>
      <w:r>
        <w:rPr>
          <w:szCs w:val="22"/>
        </w:rPr>
        <w:t xml:space="preserve">Over five years, the estimated number of patients treated </w:t>
      </w:r>
      <w:r w:rsidR="00B36525">
        <w:rPr>
          <w:szCs w:val="22"/>
        </w:rPr>
        <w:t>would be</w:t>
      </w:r>
      <w:r>
        <w:rPr>
          <w:szCs w:val="22"/>
        </w:rPr>
        <w:t xml:space="preserve"> </w:t>
      </w:r>
      <w:r w:rsidR="005F5650">
        <w:rPr>
          <w:szCs w:val="22"/>
        </w:rPr>
        <w:t>less than 10,000</w:t>
      </w:r>
      <w:r w:rsidR="00954E6D">
        <w:rPr>
          <w:szCs w:val="22"/>
        </w:rPr>
        <w:t xml:space="preserve"> </w:t>
      </w:r>
      <w:r>
        <w:rPr>
          <w:szCs w:val="22"/>
        </w:rPr>
        <w:t xml:space="preserve">and the net financial cost to the PBS would be </w:t>
      </w:r>
      <w:r w:rsidR="005F5650">
        <w:rPr>
          <w:szCs w:val="22"/>
        </w:rPr>
        <w:t xml:space="preserve">more than </w:t>
      </w:r>
      <w:r w:rsidR="00954E6D">
        <w:rPr>
          <w:szCs w:val="22"/>
        </w:rPr>
        <w:t>$</w:t>
      </w:r>
      <w:r w:rsidR="005F5650">
        <w:rPr>
          <w:szCs w:val="22"/>
        </w:rPr>
        <w:t>100 million</w:t>
      </w:r>
      <w:r w:rsidR="00954E6D">
        <w:rPr>
          <w:szCs w:val="22"/>
        </w:rPr>
        <w:t>.</w:t>
      </w:r>
    </w:p>
    <w:p w:rsidR="00330666" w:rsidRPr="003A3678" w:rsidRDefault="00330666" w:rsidP="00330666">
      <w:pPr>
        <w:widowControl/>
        <w:rPr>
          <w:szCs w:val="22"/>
        </w:rPr>
      </w:pPr>
    </w:p>
    <w:p w:rsidR="00F70BFB" w:rsidRPr="00D4640F" w:rsidRDefault="00F70BFB" w:rsidP="009E7F9E">
      <w:pPr>
        <w:pStyle w:val="ListParagraph"/>
        <w:widowControl/>
        <w:numPr>
          <w:ilvl w:val="1"/>
          <w:numId w:val="3"/>
        </w:numPr>
        <w:rPr>
          <w:szCs w:val="22"/>
        </w:rPr>
      </w:pPr>
      <w:r w:rsidRPr="00D4640F">
        <w:rPr>
          <w:szCs w:val="22"/>
        </w:rPr>
        <w:t>The financial estimates did not take into account patient</w:t>
      </w:r>
      <w:r w:rsidR="00BD30C1" w:rsidRPr="00D4640F">
        <w:rPr>
          <w:szCs w:val="22"/>
        </w:rPr>
        <w:t>s who may require grandfathered</w:t>
      </w:r>
      <w:r w:rsidRPr="00D4640F">
        <w:rPr>
          <w:szCs w:val="22"/>
        </w:rPr>
        <w:t xml:space="preserve"> treatment.</w:t>
      </w:r>
    </w:p>
    <w:p w:rsidR="00BE7E6B" w:rsidRDefault="00BE7E6B" w:rsidP="00BE7E6B"/>
    <w:p w:rsidR="00576972" w:rsidRPr="00497F10" w:rsidRDefault="00576972" w:rsidP="00497F10">
      <w:pPr>
        <w:pStyle w:val="Heading2"/>
        <w:rPr>
          <w:i/>
          <w:szCs w:val="22"/>
        </w:rPr>
      </w:pPr>
      <w:bookmarkStart w:id="15" w:name="_Toc472416749"/>
      <w:r w:rsidRPr="00497F10">
        <w:rPr>
          <w:i/>
        </w:rPr>
        <w:t>Financial Management – Risk Sharing Arrangements</w:t>
      </w:r>
      <w:bookmarkEnd w:id="15"/>
    </w:p>
    <w:p w:rsidR="00C25D9C" w:rsidRPr="00576972" w:rsidRDefault="00C25D9C" w:rsidP="00576972">
      <w:pPr>
        <w:widowControl/>
        <w:rPr>
          <w:szCs w:val="22"/>
        </w:rPr>
      </w:pPr>
    </w:p>
    <w:p w:rsidR="00B05CFA" w:rsidRDefault="00BD30C1" w:rsidP="009E7F9E">
      <w:pPr>
        <w:pStyle w:val="ListParagraph"/>
        <w:widowControl/>
        <w:numPr>
          <w:ilvl w:val="1"/>
          <w:numId w:val="3"/>
        </w:numPr>
      </w:pPr>
      <w:r>
        <w:t xml:space="preserve">The </w:t>
      </w:r>
      <w:r w:rsidR="008D1756">
        <w:t>resubmission</w:t>
      </w:r>
      <w:r w:rsidR="006127A7">
        <w:t xml:space="preserve"> state</w:t>
      </w:r>
      <w:r w:rsidR="00BC1071">
        <w:t>d</w:t>
      </w:r>
      <w:r w:rsidR="006127A7">
        <w:t xml:space="preserve"> that the </w:t>
      </w:r>
      <w:r>
        <w:t>sponsor believes the current PD-1 inhibitor cap does not</w:t>
      </w:r>
      <w:r w:rsidR="00BC1071">
        <w:t xml:space="preserve"> result in matching to the cost-</w:t>
      </w:r>
      <w:r>
        <w:t xml:space="preserve">minimisation conclusion of the PBAC about per patient cost being similar between ipilimumab and PD-1 inhibitors when patient numbers proposed by the sponsors are used. </w:t>
      </w:r>
      <w:r w:rsidR="00D55E5C">
        <w:t>The sponsor proposed</w:t>
      </w:r>
      <w:r w:rsidR="00D55E5C" w:rsidRPr="00611D11">
        <w:t xml:space="preserve"> that the Department and sponsors utilise the increased level of information now available (i.e. epidemiology publications, DUSC reports, PBS data) to revise and / or consolidate existing caps, which may in turn have an impact on the proposed methodology for addressing uncertainty in expenditure due to u</w:t>
      </w:r>
      <w:r w:rsidR="00D55E5C">
        <w:t>se of the combination of NIVO+</w:t>
      </w:r>
      <w:r w:rsidR="00D55E5C" w:rsidRPr="00611D11">
        <w:t>IPI.</w:t>
      </w:r>
    </w:p>
    <w:p w:rsidR="00B05CFA" w:rsidRDefault="00B05CFA" w:rsidP="005D32BD">
      <w:pPr>
        <w:widowControl/>
        <w:tabs>
          <w:tab w:val="left" w:pos="3845"/>
        </w:tabs>
      </w:pPr>
    </w:p>
    <w:p w:rsidR="008F6B85" w:rsidRDefault="008F6B85" w:rsidP="008F6B85">
      <w:pPr>
        <w:ind w:firstLine="720"/>
        <w:rPr>
          <w:bCs/>
          <w:i/>
          <w:szCs w:val="22"/>
        </w:rPr>
      </w:pPr>
      <w:r w:rsidRPr="000F07AF">
        <w:rPr>
          <w:bCs/>
          <w:i/>
          <w:szCs w:val="22"/>
        </w:rPr>
        <w:t>For more detail on PBAC’s view, see section 7 “PBAC outcome”</w:t>
      </w:r>
      <w:r w:rsidR="003A3678">
        <w:rPr>
          <w:bCs/>
          <w:i/>
          <w:szCs w:val="22"/>
        </w:rPr>
        <w:t>.</w:t>
      </w:r>
    </w:p>
    <w:p w:rsidR="003A3678" w:rsidRDefault="003A3678" w:rsidP="003A3678">
      <w:pPr>
        <w:rPr>
          <w:bCs/>
          <w:szCs w:val="22"/>
        </w:rPr>
      </w:pPr>
    </w:p>
    <w:p w:rsidR="003C1450" w:rsidRDefault="003C1450" w:rsidP="003A3678">
      <w:pPr>
        <w:rPr>
          <w:bCs/>
          <w:szCs w:val="22"/>
        </w:rPr>
      </w:pPr>
    </w:p>
    <w:p w:rsidR="009E7F9E" w:rsidRPr="00D90662" w:rsidRDefault="009E7F9E" w:rsidP="00D90662">
      <w:pPr>
        <w:pStyle w:val="PBACheading1"/>
        <w:rPr>
          <w:b/>
        </w:rPr>
      </w:pPr>
      <w:r w:rsidRPr="00D90662">
        <w:rPr>
          <w:b/>
        </w:rPr>
        <w:t>PBAC Outcome</w:t>
      </w:r>
    </w:p>
    <w:p w:rsidR="009E7F9E" w:rsidRPr="003A3678" w:rsidRDefault="009E7F9E" w:rsidP="009E7F9E">
      <w:pPr>
        <w:rPr>
          <w:bCs/>
          <w:highlight w:val="yellow"/>
          <w:lang w:val="en-GB"/>
        </w:rPr>
      </w:pPr>
    </w:p>
    <w:p w:rsidR="00C27362" w:rsidRDefault="0010679A" w:rsidP="009E7F9E">
      <w:pPr>
        <w:numPr>
          <w:ilvl w:val="1"/>
          <w:numId w:val="3"/>
        </w:numPr>
        <w:rPr>
          <w:bCs/>
          <w:lang w:val="en-GB"/>
        </w:rPr>
      </w:pPr>
      <w:r>
        <w:rPr>
          <w:bCs/>
          <w:lang w:val="en-GB"/>
        </w:rPr>
        <w:t xml:space="preserve">The PBAC did not recommend listing </w:t>
      </w:r>
      <w:r w:rsidRPr="0010679A">
        <w:rPr>
          <w:bCs/>
        </w:rPr>
        <w:t xml:space="preserve">concurrent use of nivolumab and ipilimumab </w:t>
      </w:r>
      <w:r w:rsidR="006A06CF">
        <w:rPr>
          <w:bCs/>
        </w:rPr>
        <w:t xml:space="preserve">(NIVO+IPI) </w:t>
      </w:r>
      <w:r w:rsidRPr="0010679A">
        <w:rPr>
          <w:bCs/>
        </w:rPr>
        <w:t>for the treatment of unresectable Stage III or Stage IV malignant melanoma</w:t>
      </w:r>
      <w:r>
        <w:rPr>
          <w:bCs/>
        </w:rPr>
        <w:t xml:space="preserve">. In </w:t>
      </w:r>
      <w:r w:rsidR="00A64052">
        <w:rPr>
          <w:bCs/>
        </w:rPr>
        <w:t>reaching this conclusion</w:t>
      </w:r>
      <w:r w:rsidR="007461F2">
        <w:rPr>
          <w:bCs/>
        </w:rPr>
        <w:t xml:space="preserve">, the </w:t>
      </w:r>
      <w:r w:rsidR="009A1559">
        <w:rPr>
          <w:bCs/>
        </w:rPr>
        <w:t xml:space="preserve">PBAC </w:t>
      </w:r>
      <w:r w:rsidR="002413B1">
        <w:rPr>
          <w:bCs/>
        </w:rPr>
        <w:t xml:space="preserve">reiterated its previous view that the use of </w:t>
      </w:r>
      <w:r w:rsidR="00CF4857">
        <w:rPr>
          <w:bCs/>
        </w:rPr>
        <w:t>NIVO+IPI</w:t>
      </w:r>
      <w:r w:rsidR="002413B1">
        <w:rPr>
          <w:bCs/>
        </w:rPr>
        <w:t xml:space="preserve"> was associated with a modest improvement in PFS, </w:t>
      </w:r>
      <w:r w:rsidR="00753BC9">
        <w:rPr>
          <w:bCs/>
        </w:rPr>
        <w:t>but also</w:t>
      </w:r>
      <w:r w:rsidR="002413B1">
        <w:rPr>
          <w:bCs/>
        </w:rPr>
        <w:t xml:space="preserve"> a substantial increase in adverse events</w:t>
      </w:r>
      <w:r w:rsidR="00A64052">
        <w:rPr>
          <w:bCs/>
        </w:rPr>
        <w:t>,</w:t>
      </w:r>
      <w:r w:rsidR="002413B1">
        <w:rPr>
          <w:bCs/>
        </w:rPr>
        <w:t xml:space="preserve"> </w:t>
      </w:r>
      <w:r w:rsidR="00A64052">
        <w:rPr>
          <w:bCs/>
        </w:rPr>
        <w:t>and</w:t>
      </w:r>
      <w:r w:rsidR="002413B1">
        <w:rPr>
          <w:bCs/>
        </w:rPr>
        <w:t xml:space="preserve"> </w:t>
      </w:r>
      <w:r w:rsidR="00B66A3B">
        <w:rPr>
          <w:bCs/>
        </w:rPr>
        <w:t xml:space="preserve">the data </w:t>
      </w:r>
      <w:r w:rsidR="002413B1">
        <w:rPr>
          <w:bCs/>
        </w:rPr>
        <w:t xml:space="preserve">had </w:t>
      </w:r>
      <w:r w:rsidR="00753BC9">
        <w:rPr>
          <w:bCs/>
        </w:rPr>
        <w:t xml:space="preserve">not </w:t>
      </w:r>
      <w:r w:rsidR="006675B9">
        <w:rPr>
          <w:bCs/>
        </w:rPr>
        <w:t xml:space="preserve">adequately </w:t>
      </w:r>
      <w:r w:rsidR="00A64052">
        <w:rPr>
          <w:bCs/>
        </w:rPr>
        <w:t>demonstrated</w:t>
      </w:r>
      <w:r w:rsidR="002413B1">
        <w:rPr>
          <w:bCs/>
        </w:rPr>
        <w:t xml:space="preserve"> </w:t>
      </w:r>
      <w:r w:rsidR="00753BC9">
        <w:rPr>
          <w:bCs/>
        </w:rPr>
        <w:t>an</w:t>
      </w:r>
      <w:r w:rsidR="006675B9">
        <w:rPr>
          <w:bCs/>
        </w:rPr>
        <w:t>y</w:t>
      </w:r>
      <w:r w:rsidR="00753BC9">
        <w:rPr>
          <w:bCs/>
        </w:rPr>
        <w:t xml:space="preserve"> advantage in terms of either</w:t>
      </w:r>
      <w:r w:rsidR="00030C84">
        <w:rPr>
          <w:bCs/>
        </w:rPr>
        <w:t xml:space="preserve"> quality of life </w:t>
      </w:r>
      <w:r w:rsidR="00753BC9">
        <w:rPr>
          <w:bCs/>
        </w:rPr>
        <w:t>or</w:t>
      </w:r>
      <w:r w:rsidR="00A64052">
        <w:rPr>
          <w:bCs/>
        </w:rPr>
        <w:t xml:space="preserve"> </w:t>
      </w:r>
      <w:r w:rsidR="006675B9">
        <w:rPr>
          <w:bCs/>
        </w:rPr>
        <w:t xml:space="preserve">overall </w:t>
      </w:r>
      <w:r w:rsidR="00A64052">
        <w:rPr>
          <w:bCs/>
        </w:rPr>
        <w:t>survival</w:t>
      </w:r>
      <w:r w:rsidR="00B66A3B" w:rsidRPr="00B66A3B">
        <w:rPr>
          <w:bCs/>
        </w:rPr>
        <w:t xml:space="preserve"> </w:t>
      </w:r>
      <w:r w:rsidR="00B66A3B">
        <w:rPr>
          <w:bCs/>
        </w:rPr>
        <w:t>associated with combination immunotherapy</w:t>
      </w:r>
      <w:r w:rsidR="00342295">
        <w:rPr>
          <w:bCs/>
        </w:rPr>
        <w:t xml:space="preserve">. </w:t>
      </w:r>
      <w:r w:rsidR="009B3D88">
        <w:rPr>
          <w:bCs/>
        </w:rPr>
        <w:t>Furthermore</w:t>
      </w:r>
      <w:r w:rsidR="002413B1">
        <w:rPr>
          <w:bCs/>
        </w:rPr>
        <w:t xml:space="preserve">, the PBAC considered that the resubmission’s model </w:t>
      </w:r>
      <w:r w:rsidR="000343DF">
        <w:rPr>
          <w:bCs/>
        </w:rPr>
        <w:t>presented</w:t>
      </w:r>
      <w:r w:rsidR="002413B1">
        <w:rPr>
          <w:bCs/>
        </w:rPr>
        <w:t xml:space="preserve"> an unacceptably high and uncertain ICER, and </w:t>
      </w:r>
      <w:r w:rsidR="005E6D51">
        <w:rPr>
          <w:bCs/>
        </w:rPr>
        <w:t xml:space="preserve">thus </w:t>
      </w:r>
      <w:r w:rsidR="002413B1">
        <w:rPr>
          <w:bCs/>
        </w:rPr>
        <w:t xml:space="preserve">failed to demonstrate </w:t>
      </w:r>
      <w:r w:rsidR="00506725">
        <w:rPr>
          <w:bCs/>
        </w:rPr>
        <w:t xml:space="preserve">acceptable </w:t>
      </w:r>
      <w:r w:rsidR="002413B1">
        <w:rPr>
          <w:bCs/>
        </w:rPr>
        <w:t>cost-effectiveness.</w:t>
      </w:r>
    </w:p>
    <w:p w:rsidR="0010679A" w:rsidRPr="00C27362" w:rsidRDefault="0010679A" w:rsidP="003A3678">
      <w:pPr>
        <w:rPr>
          <w:bCs/>
          <w:lang w:val="en-GB"/>
        </w:rPr>
      </w:pPr>
    </w:p>
    <w:p w:rsidR="009C60B6" w:rsidRDefault="009C4D0B" w:rsidP="009C60B6">
      <w:pPr>
        <w:numPr>
          <w:ilvl w:val="1"/>
          <w:numId w:val="3"/>
        </w:numPr>
        <w:rPr>
          <w:bCs/>
        </w:rPr>
      </w:pPr>
      <w:r w:rsidRPr="00791CF0">
        <w:rPr>
          <w:bCs/>
          <w:lang w:val="en-GB"/>
        </w:rPr>
        <w:t xml:space="preserve">In terms of the clinical place in therapy, the PBAC noted that the resubmission considered </w:t>
      </w:r>
      <w:r w:rsidR="005F6348" w:rsidRPr="00791CF0">
        <w:rPr>
          <w:bCs/>
          <w:lang w:val="en-GB"/>
        </w:rPr>
        <w:t xml:space="preserve">that NIVO+IPI would be used in the first-line setting </w:t>
      </w:r>
      <w:r w:rsidR="005F6348" w:rsidRPr="00791CF0">
        <w:rPr>
          <w:bCs/>
        </w:rPr>
        <w:t xml:space="preserve">for patients with BRAF wild type </w:t>
      </w:r>
      <w:r w:rsidR="006E326B">
        <w:rPr>
          <w:bCs/>
        </w:rPr>
        <w:t>melanoma</w:t>
      </w:r>
      <w:r w:rsidR="005F6348" w:rsidRPr="00791CF0">
        <w:rPr>
          <w:bCs/>
        </w:rPr>
        <w:t xml:space="preserve">, while the majority of patients with BRAF mutant </w:t>
      </w:r>
      <w:r w:rsidR="006E326B">
        <w:rPr>
          <w:bCs/>
        </w:rPr>
        <w:t>melanoma</w:t>
      </w:r>
      <w:r w:rsidR="005F6348" w:rsidRPr="00791CF0">
        <w:rPr>
          <w:bCs/>
        </w:rPr>
        <w:t xml:space="preserve"> would receive first-line </w:t>
      </w:r>
      <w:r w:rsidR="00B66A3B">
        <w:rPr>
          <w:bCs/>
        </w:rPr>
        <w:t xml:space="preserve">combination </w:t>
      </w:r>
      <w:r w:rsidR="005F6348" w:rsidRPr="00791CF0">
        <w:rPr>
          <w:bCs/>
        </w:rPr>
        <w:t>BRAF</w:t>
      </w:r>
      <w:r w:rsidR="00B66A3B">
        <w:rPr>
          <w:bCs/>
        </w:rPr>
        <w:t>/MEK</w:t>
      </w:r>
      <w:r w:rsidR="005F6348" w:rsidRPr="00791CF0">
        <w:rPr>
          <w:bCs/>
        </w:rPr>
        <w:t xml:space="preserve"> inhibitor </w:t>
      </w:r>
      <w:r w:rsidR="00B66A3B">
        <w:rPr>
          <w:bCs/>
        </w:rPr>
        <w:t xml:space="preserve">(or in some cases BRAF monotherapy) </w:t>
      </w:r>
      <w:r w:rsidR="005F6348" w:rsidRPr="00791CF0">
        <w:rPr>
          <w:bCs/>
        </w:rPr>
        <w:t xml:space="preserve">followed by second-line NIVO+IPI upon progression. However, </w:t>
      </w:r>
      <w:r w:rsidR="00724E95" w:rsidRPr="00791CF0">
        <w:rPr>
          <w:bCs/>
        </w:rPr>
        <w:t xml:space="preserve">the PBAC </w:t>
      </w:r>
      <w:r w:rsidR="0091264D">
        <w:rPr>
          <w:bCs/>
        </w:rPr>
        <w:t>noted</w:t>
      </w:r>
      <w:r w:rsidR="00724E95" w:rsidRPr="00791CF0">
        <w:rPr>
          <w:bCs/>
        </w:rPr>
        <w:t xml:space="preserve"> that </w:t>
      </w:r>
      <w:r w:rsidR="005F6348" w:rsidRPr="00791CF0">
        <w:rPr>
          <w:bCs/>
        </w:rPr>
        <w:t>the</w:t>
      </w:r>
      <w:r w:rsidR="0026605C" w:rsidRPr="00791CF0">
        <w:rPr>
          <w:bCs/>
        </w:rPr>
        <w:t xml:space="preserve"> requested</w:t>
      </w:r>
      <w:r w:rsidR="005F6348" w:rsidRPr="00791CF0">
        <w:rPr>
          <w:bCs/>
        </w:rPr>
        <w:t xml:space="preserve"> restrict</w:t>
      </w:r>
      <w:r w:rsidR="00724E95" w:rsidRPr="00791CF0">
        <w:rPr>
          <w:bCs/>
        </w:rPr>
        <w:t>ion included all patients with S</w:t>
      </w:r>
      <w:r w:rsidR="005F6348" w:rsidRPr="00791CF0">
        <w:rPr>
          <w:bCs/>
        </w:rPr>
        <w:t xml:space="preserve">tage III or IV unresectable metastatic melanoma, irrespective of </w:t>
      </w:r>
      <w:r w:rsidR="00342295">
        <w:rPr>
          <w:bCs/>
        </w:rPr>
        <w:t xml:space="preserve">BRAF status or treatment line. </w:t>
      </w:r>
      <w:r w:rsidR="00F469F9" w:rsidRPr="00791CF0">
        <w:rPr>
          <w:bCs/>
        </w:rPr>
        <w:t>The PBAC noted the ESC</w:t>
      </w:r>
      <w:r w:rsidR="00506725">
        <w:rPr>
          <w:bCs/>
        </w:rPr>
        <w:t>’s</w:t>
      </w:r>
      <w:r w:rsidR="00F469F9" w:rsidRPr="00791CF0">
        <w:rPr>
          <w:bCs/>
        </w:rPr>
        <w:t xml:space="preserve"> </w:t>
      </w:r>
      <w:r w:rsidR="00506725">
        <w:rPr>
          <w:bCs/>
        </w:rPr>
        <w:t xml:space="preserve">advice </w:t>
      </w:r>
      <w:r w:rsidR="00F469F9" w:rsidRPr="00791CF0">
        <w:rPr>
          <w:bCs/>
        </w:rPr>
        <w:t>that there were no clinical data</w:t>
      </w:r>
      <w:r w:rsidR="00264DE4">
        <w:rPr>
          <w:bCs/>
        </w:rPr>
        <w:t xml:space="preserve"> presented</w:t>
      </w:r>
      <w:r w:rsidR="00F469F9" w:rsidRPr="00791CF0">
        <w:rPr>
          <w:bCs/>
        </w:rPr>
        <w:t xml:space="preserve"> to support the use of NIVO+IPI in the second-line setting following a BRAF</w:t>
      </w:r>
      <w:r w:rsidR="00902F21">
        <w:rPr>
          <w:bCs/>
        </w:rPr>
        <w:t xml:space="preserve"> </w:t>
      </w:r>
      <w:r w:rsidR="00B66A3B">
        <w:rPr>
          <w:bCs/>
        </w:rPr>
        <w:t>+ MEK</w:t>
      </w:r>
      <w:r w:rsidR="00F469F9" w:rsidRPr="00791CF0">
        <w:rPr>
          <w:bCs/>
        </w:rPr>
        <w:t xml:space="preserve"> inhibitor, nor was this strategy included in the economic model present</w:t>
      </w:r>
      <w:r w:rsidR="00823E42">
        <w:rPr>
          <w:bCs/>
        </w:rPr>
        <w:t xml:space="preserve">ed in the resubmission, and that </w:t>
      </w:r>
      <w:r w:rsidR="00823E42" w:rsidRPr="00C86F15">
        <w:rPr>
          <w:szCs w:val="22"/>
        </w:rPr>
        <w:t>any PBS listing should</w:t>
      </w:r>
      <w:r w:rsidR="00823E42">
        <w:rPr>
          <w:szCs w:val="22"/>
        </w:rPr>
        <w:t xml:space="preserve"> therefore</w:t>
      </w:r>
      <w:r w:rsidR="00823E42" w:rsidRPr="00C86F15">
        <w:rPr>
          <w:szCs w:val="22"/>
        </w:rPr>
        <w:t xml:space="preserve"> be restricted to patients with BRAF wild type </w:t>
      </w:r>
      <w:r w:rsidR="006E326B">
        <w:rPr>
          <w:szCs w:val="22"/>
        </w:rPr>
        <w:t>melanoma</w:t>
      </w:r>
      <w:r w:rsidR="00823E42" w:rsidRPr="00C86F15">
        <w:rPr>
          <w:szCs w:val="22"/>
        </w:rPr>
        <w:t xml:space="preserve"> only.</w:t>
      </w:r>
      <w:r w:rsidR="00264DE4">
        <w:rPr>
          <w:bCs/>
        </w:rPr>
        <w:t xml:space="preserve"> </w:t>
      </w:r>
      <w:r w:rsidR="00823E42">
        <w:rPr>
          <w:bCs/>
        </w:rPr>
        <w:t>However</w:t>
      </w:r>
      <w:r w:rsidR="00054716">
        <w:rPr>
          <w:bCs/>
        </w:rPr>
        <w:t>, the</w:t>
      </w:r>
      <w:r w:rsidR="00054716" w:rsidRPr="00791CF0">
        <w:rPr>
          <w:bCs/>
        </w:rPr>
        <w:t xml:space="preserve"> PBAC agreed with the PSCR (p2) that eligibility for NIVO+IPI in patients with BRAF mutant </w:t>
      </w:r>
      <w:r w:rsidR="006E326B">
        <w:rPr>
          <w:bCs/>
        </w:rPr>
        <w:t>melanoma</w:t>
      </w:r>
      <w:r w:rsidR="00054716" w:rsidRPr="00791CF0">
        <w:rPr>
          <w:bCs/>
        </w:rPr>
        <w:t xml:space="preserve"> should </w:t>
      </w:r>
      <w:r w:rsidR="006A06CF">
        <w:rPr>
          <w:bCs/>
        </w:rPr>
        <w:t xml:space="preserve">generally </w:t>
      </w:r>
      <w:r w:rsidR="00054716" w:rsidRPr="00791CF0">
        <w:rPr>
          <w:bCs/>
        </w:rPr>
        <w:t>be restricted to those who have progressed following treatment with a BRAF inhibitor</w:t>
      </w:r>
      <w:r w:rsidR="006A06CF">
        <w:rPr>
          <w:bCs/>
        </w:rPr>
        <w:t xml:space="preserve"> (with or without a MEK inhibitor)</w:t>
      </w:r>
      <w:r w:rsidR="00054716" w:rsidRPr="00791CF0">
        <w:rPr>
          <w:bCs/>
        </w:rPr>
        <w:t xml:space="preserve">, consistent with the current </w:t>
      </w:r>
      <w:r w:rsidR="00506725">
        <w:rPr>
          <w:bCs/>
        </w:rPr>
        <w:t xml:space="preserve">melanoma </w:t>
      </w:r>
      <w:r w:rsidR="006A06CF">
        <w:rPr>
          <w:bCs/>
        </w:rPr>
        <w:t xml:space="preserve">PBS </w:t>
      </w:r>
      <w:r w:rsidR="00054716" w:rsidRPr="00791CF0">
        <w:rPr>
          <w:bCs/>
        </w:rPr>
        <w:t>listing</w:t>
      </w:r>
      <w:r w:rsidR="00506725">
        <w:rPr>
          <w:bCs/>
        </w:rPr>
        <w:t>s</w:t>
      </w:r>
      <w:r w:rsidR="00054716" w:rsidRPr="00791CF0">
        <w:rPr>
          <w:bCs/>
        </w:rPr>
        <w:t xml:space="preserve"> for nivolumab</w:t>
      </w:r>
      <w:r w:rsidR="00506725">
        <w:rPr>
          <w:bCs/>
        </w:rPr>
        <w:t xml:space="preserve"> and </w:t>
      </w:r>
      <w:r w:rsidR="006A06CF">
        <w:rPr>
          <w:bCs/>
        </w:rPr>
        <w:t xml:space="preserve">for </w:t>
      </w:r>
      <w:r w:rsidR="00506725">
        <w:rPr>
          <w:bCs/>
        </w:rPr>
        <w:t>pembrolizumab</w:t>
      </w:r>
      <w:r w:rsidR="00054716" w:rsidRPr="00791CF0">
        <w:rPr>
          <w:bCs/>
        </w:rPr>
        <w:t>.</w:t>
      </w:r>
    </w:p>
    <w:p w:rsidR="009C60B6" w:rsidRDefault="009C60B6" w:rsidP="003A3678">
      <w:pPr>
        <w:rPr>
          <w:bCs/>
        </w:rPr>
      </w:pPr>
    </w:p>
    <w:p w:rsidR="00A5632E" w:rsidRPr="00234A25" w:rsidRDefault="00816212" w:rsidP="00BF61BF">
      <w:pPr>
        <w:numPr>
          <w:ilvl w:val="1"/>
          <w:numId w:val="3"/>
        </w:numPr>
        <w:rPr>
          <w:bCs/>
        </w:rPr>
      </w:pPr>
      <w:r w:rsidRPr="00234A25">
        <w:rPr>
          <w:bCs/>
        </w:rPr>
        <w:t xml:space="preserve">In reaching this view, the PBAC </w:t>
      </w:r>
      <w:r w:rsidR="00A5632E" w:rsidRPr="00234A25">
        <w:rPr>
          <w:bCs/>
        </w:rPr>
        <w:t>noted the findings of a recent network meta-analysis on immune checkpoint inhibitors and targeted therapies for metastatic melanoma (Pasquali et al, 2017</w:t>
      </w:r>
      <w:r w:rsidR="007B369C" w:rsidRPr="00234A25">
        <w:rPr>
          <w:bCs/>
        </w:rPr>
        <w:t>)</w:t>
      </w:r>
      <w:r w:rsidR="00E80A82" w:rsidRPr="00234A25">
        <w:rPr>
          <w:bCs/>
        </w:rPr>
        <w:t xml:space="preserve"> which showed that</w:t>
      </w:r>
      <w:r w:rsidR="00506725">
        <w:rPr>
          <w:bCs/>
        </w:rPr>
        <w:t>, where indicated for patients with melanoma,</w:t>
      </w:r>
      <w:r w:rsidR="00E80A82" w:rsidRPr="00234A25">
        <w:rPr>
          <w:bCs/>
        </w:rPr>
        <w:t xml:space="preserve"> a combination of BRAF+MEK inhibitors was both more efficacious and less toxic than combination immunotherapy. The PBAC </w:t>
      </w:r>
      <w:r w:rsidR="00506725">
        <w:rPr>
          <w:bCs/>
        </w:rPr>
        <w:t xml:space="preserve">advised </w:t>
      </w:r>
      <w:r w:rsidR="00E80A82" w:rsidRPr="00234A25">
        <w:rPr>
          <w:bCs/>
        </w:rPr>
        <w:t xml:space="preserve">that patients with BRAF mutant </w:t>
      </w:r>
      <w:r w:rsidR="00506725">
        <w:rPr>
          <w:bCs/>
        </w:rPr>
        <w:t>melanoma</w:t>
      </w:r>
      <w:r w:rsidR="00E80A82" w:rsidRPr="00234A25">
        <w:rPr>
          <w:bCs/>
        </w:rPr>
        <w:t xml:space="preserve"> should </w:t>
      </w:r>
      <w:r w:rsidR="00506725">
        <w:rPr>
          <w:bCs/>
        </w:rPr>
        <w:t xml:space="preserve">therefore </w:t>
      </w:r>
      <w:r w:rsidR="00E80A82" w:rsidRPr="00234A25">
        <w:rPr>
          <w:bCs/>
        </w:rPr>
        <w:t>receive first-line BRAF</w:t>
      </w:r>
      <w:r w:rsidR="00506725">
        <w:rPr>
          <w:bCs/>
        </w:rPr>
        <w:t>+MEK inhibitor</w:t>
      </w:r>
      <w:r w:rsidR="00E80A82" w:rsidRPr="00234A25">
        <w:rPr>
          <w:bCs/>
        </w:rPr>
        <w:t xml:space="preserve"> treatment </w:t>
      </w:r>
      <w:r w:rsidR="00506725">
        <w:rPr>
          <w:bCs/>
        </w:rPr>
        <w:t>via</w:t>
      </w:r>
      <w:r w:rsidR="00E80A82" w:rsidRPr="00234A25">
        <w:rPr>
          <w:bCs/>
        </w:rPr>
        <w:t xml:space="preserve"> the PBS. In addition, the PBAC noted the clinical expert input describing how these patients are likely to progress rapidly once stopping BRAF+MEK inhibitor treatment due to progression, and are therefore in particular need of the high</w:t>
      </w:r>
      <w:r w:rsidR="0001686F">
        <w:rPr>
          <w:bCs/>
        </w:rPr>
        <w:t>er</w:t>
      </w:r>
      <w:r w:rsidR="00E80A82" w:rsidRPr="00234A25">
        <w:rPr>
          <w:bCs/>
        </w:rPr>
        <w:t xml:space="preserve"> response rate </w:t>
      </w:r>
      <w:r w:rsidR="00BF61BF" w:rsidRPr="00234A25">
        <w:rPr>
          <w:bCs/>
        </w:rPr>
        <w:t>of</w:t>
      </w:r>
      <w:r w:rsidR="00E80A82" w:rsidRPr="00234A25">
        <w:rPr>
          <w:bCs/>
        </w:rPr>
        <w:t xml:space="preserve"> </w:t>
      </w:r>
      <w:r w:rsidR="00BF61BF" w:rsidRPr="00234A25">
        <w:rPr>
          <w:bCs/>
        </w:rPr>
        <w:t>NIVO+IPI</w:t>
      </w:r>
      <w:r w:rsidR="00E80A82" w:rsidRPr="00234A25">
        <w:rPr>
          <w:bCs/>
        </w:rPr>
        <w:t xml:space="preserve">. </w:t>
      </w:r>
      <w:r w:rsidR="00823E42" w:rsidRPr="00234A25">
        <w:rPr>
          <w:bCs/>
        </w:rPr>
        <w:t>Furthermore, t</w:t>
      </w:r>
      <w:r w:rsidR="00E80A82" w:rsidRPr="00234A25">
        <w:rPr>
          <w:bCs/>
        </w:rPr>
        <w:t xml:space="preserve">he PBAC </w:t>
      </w:r>
      <w:r w:rsidR="007D6E31" w:rsidRPr="00234A25">
        <w:rPr>
          <w:bCs/>
        </w:rPr>
        <w:t xml:space="preserve">noted that the </w:t>
      </w:r>
      <w:r w:rsidR="00506725">
        <w:rPr>
          <w:bCs/>
        </w:rPr>
        <w:t xml:space="preserve">key </w:t>
      </w:r>
      <w:r w:rsidR="007D6E31" w:rsidRPr="00234A25">
        <w:rPr>
          <w:bCs/>
        </w:rPr>
        <w:t>trial</w:t>
      </w:r>
      <w:r w:rsidR="00823E42" w:rsidRPr="00234A25">
        <w:rPr>
          <w:bCs/>
        </w:rPr>
        <w:t xml:space="preserve"> </w:t>
      </w:r>
      <w:r w:rsidR="00506725">
        <w:rPr>
          <w:bCs/>
        </w:rPr>
        <w:t xml:space="preserve">of </w:t>
      </w:r>
      <w:r w:rsidR="006A06CF">
        <w:rPr>
          <w:bCs/>
        </w:rPr>
        <w:t>NIV</w:t>
      </w:r>
      <w:r w:rsidR="00883A05">
        <w:rPr>
          <w:bCs/>
        </w:rPr>
        <w:t>O</w:t>
      </w:r>
      <w:r w:rsidR="006A06CF">
        <w:rPr>
          <w:bCs/>
        </w:rPr>
        <w:t>+IPI</w:t>
      </w:r>
      <w:r w:rsidR="00506725">
        <w:rPr>
          <w:bCs/>
        </w:rPr>
        <w:t xml:space="preserve"> in melanoma </w:t>
      </w:r>
      <w:r w:rsidR="007D6E31" w:rsidRPr="00234A25">
        <w:rPr>
          <w:bCs/>
        </w:rPr>
        <w:t>(</w:t>
      </w:r>
      <w:r w:rsidR="00BF61BF" w:rsidRPr="00234A25">
        <w:rPr>
          <w:bCs/>
          <w:lang w:val="en-US"/>
        </w:rPr>
        <w:t>CA209-067</w:t>
      </w:r>
      <w:r w:rsidR="007D6E31" w:rsidRPr="00234A25">
        <w:rPr>
          <w:bCs/>
        </w:rPr>
        <w:t xml:space="preserve">) did not restrict eligibility by BRAF mutation status. Therefore, the PBAC </w:t>
      </w:r>
      <w:r w:rsidR="00506725">
        <w:rPr>
          <w:bCs/>
        </w:rPr>
        <w:t xml:space="preserve">also advised </w:t>
      </w:r>
      <w:r w:rsidR="00AC5A30" w:rsidRPr="00234A25">
        <w:rPr>
          <w:bCs/>
        </w:rPr>
        <w:t>that second-line treatment with</w:t>
      </w:r>
      <w:r w:rsidR="007D6E31" w:rsidRPr="00234A25">
        <w:rPr>
          <w:bCs/>
        </w:rPr>
        <w:t xml:space="preserve"> combination immunotherapy </w:t>
      </w:r>
      <w:r w:rsidR="00506725">
        <w:rPr>
          <w:bCs/>
        </w:rPr>
        <w:t xml:space="preserve">following disease progression with </w:t>
      </w:r>
      <w:r w:rsidR="00506725" w:rsidRPr="00234A25">
        <w:rPr>
          <w:bCs/>
        </w:rPr>
        <w:t>BRAF</w:t>
      </w:r>
      <w:r w:rsidR="00506725">
        <w:rPr>
          <w:bCs/>
        </w:rPr>
        <w:t>+MEK inhibitor</w:t>
      </w:r>
      <w:r w:rsidR="00506725" w:rsidRPr="00234A25">
        <w:rPr>
          <w:bCs/>
        </w:rPr>
        <w:t xml:space="preserve"> treatment </w:t>
      </w:r>
      <w:r w:rsidR="00AC5A30" w:rsidRPr="00234A25">
        <w:rPr>
          <w:bCs/>
        </w:rPr>
        <w:t>would be appropriate for</w:t>
      </w:r>
      <w:r w:rsidR="007D6E31" w:rsidRPr="00234A25">
        <w:rPr>
          <w:bCs/>
        </w:rPr>
        <w:t xml:space="preserve"> patients with BRAF mutant </w:t>
      </w:r>
      <w:r w:rsidR="00506725">
        <w:rPr>
          <w:bCs/>
        </w:rPr>
        <w:t>melanoma</w:t>
      </w:r>
      <w:r w:rsidR="00AC5A30" w:rsidRPr="00234A25">
        <w:rPr>
          <w:bCs/>
        </w:rPr>
        <w:t>, where in line with clinical guidelines.</w:t>
      </w:r>
      <w:r w:rsidR="007D6E31" w:rsidRPr="00234A25">
        <w:rPr>
          <w:bCs/>
        </w:rPr>
        <w:t xml:space="preserve"> </w:t>
      </w:r>
      <w:r w:rsidR="009C60B6" w:rsidRPr="00234A25">
        <w:rPr>
          <w:bCs/>
        </w:rPr>
        <w:t>Regardless</w:t>
      </w:r>
      <w:r w:rsidR="00AC5A30" w:rsidRPr="00234A25">
        <w:rPr>
          <w:bCs/>
        </w:rPr>
        <w:t xml:space="preserve">, the PBAC agreed that this place in therapy would need to be reflected in </w:t>
      </w:r>
      <w:r w:rsidR="005843F4">
        <w:rPr>
          <w:bCs/>
        </w:rPr>
        <w:t xml:space="preserve">a scenario analysis of the base case of </w:t>
      </w:r>
      <w:r w:rsidR="00AC5A30" w:rsidRPr="00234A25">
        <w:rPr>
          <w:bCs/>
        </w:rPr>
        <w:t>the economic model</w:t>
      </w:r>
      <w:r w:rsidR="00506725">
        <w:rPr>
          <w:bCs/>
        </w:rPr>
        <w:t xml:space="preserve"> to provide an informed basis to include this option in any PBS listing </w:t>
      </w:r>
      <w:r w:rsidR="006A06CF">
        <w:rPr>
          <w:bCs/>
        </w:rPr>
        <w:t>for NIVO+IPI</w:t>
      </w:r>
      <w:r w:rsidR="00AC5A30" w:rsidRPr="00234A25">
        <w:rPr>
          <w:bCs/>
        </w:rPr>
        <w:t>.</w:t>
      </w:r>
    </w:p>
    <w:p w:rsidR="00FB4244" w:rsidRPr="003A3678" w:rsidRDefault="00FB4244" w:rsidP="00FB4244">
      <w:pPr>
        <w:rPr>
          <w:bCs/>
          <w:lang w:val="en-GB"/>
        </w:rPr>
      </w:pPr>
    </w:p>
    <w:p w:rsidR="00A70261" w:rsidRPr="00234A25" w:rsidRDefault="00A70261" w:rsidP="00A70261">
      <w:pPr>
        <w:numPr>
          <w:ilvl w:val="1"/>
          <w:numId w:val="3"/>
        </w:numPr>
        <w:rPr>
          <w:bCs/>
          <w:lang w:val="en-GB"/>
        </w:rPr>
      </w:pPr>
      <w:r w:rsidRPr="00234A25">
        <w:rPr>
          <w:bCs/>
          <w:lang w:val="en-GB"/>
        </w:rPr>
        <w:t>The PBAC</w:t>
      </w:r>
      <w:r w:rsidR="004C3269" w:rsidRPr="00234A25">
        <w:rPr>
          <w:bCs/>
          <w:lang w:val="en-GB"/>
        </w:rPr>
        <w:t xml:space="preserve"> </w:t>
      </w:r>
      <w:r w:rsidR="008261A9" w:rsidRPr="00234A25">
        <w:rPr>
          <w:bCs/>
          <w:lang w:val="en-GB"/>
        </w:rPr>
        <w:t xml:space="preserve">recalled </w:t>
      </w:r>
      <w:r w:rsidR="00CC7C17" w:rsidRPr="00234A25">
        <w:rPr>
          <w:bCs/>
        </w:rPr>
        <w:t xml:space="preserve">it previously considered that the revised main comparator in the November 2015 submission, pembrolizumab monotherapy, was appropriate, </w:t>
      </w:r>
      <w:r w:rsidR="00DF4C42">
        <w:rPr>
          <w:bCs/>
        </w:rPr>
        <w:t>but</w:t>
      </w:r>
      <w:r w:rsidR="00CC7C17" w:rsidRPr="00234A25">
        <w:rPr>
          <w:bCs/>
        </w:rPr>
        <w:t xml:space="preserve"> that </w:t>
      </w:r>
      <w:r w:rsidR="00CC7C17" w:rsidRPr="00234A25">
        <w:rPr>
          <w:bCs/>
          <w:lang w:val="en-GB"/>
        </w:rPr>
        <w:t>the sequential use of a PD-1 inhibitor followed by ipilimumab, and dabrafenib ± trametinib for BRAF mutant patients, were also appropriate comparators</w:t>
      </w:r>
      <w:r w:rsidR="00CC7C17" w:rsidRPr="00234A25">
        <w:rPr>
          <w:bCs/>
        </w:rPr>
        <w:t xml:space="preserve"> (paragraph 7.3, 5.10 nivolumab plus ipilimumab Public Summary Document (PSD), November 2015 PBAC meeting). </w:t>
      </w:r>
      <w:r w:rsidR="006A06CF">
        <w:rPr>
          <w:bCs/>
          <w:lang w:val="en-GB"/>
        </w:rPr>
        <w:t>The PBAC noted that nivolumab</w:t>
      </w:r>
      <w:r w:rsidR="00CC7C17" w:rsidRPr="00234A25">
        <w:rPr>
          <w:bCs/>
        </w:rPr>
        <w:t xml:space="preserve">, as monotherapy, was not </w:t>
      </w:r>
      <w:r w:rsidR="00DF4C42">
        <w:rPr>
          <w:bCs/>
        </w:rPr>
        <w:t>PBS-</w:t>
      </w:r>
      <w:r w:rsidR="00CC7C17" w:rsidRPr="00234A25">
        <w:rPr>
          <w:bCs/>
        </w:rPr>
        <w:t xml:space="preserve">listed for </w:t>
      </w:r>
      <w:r w:rsidR="00DF4C42">
        <w:rPr>
          <w:bCs/>
        </w:rPr>
        <w:t>melanoma</w:t>
      </w:r>
      <w:r w:rsidR="00CC7C17" w:rsidRPr="00234A25">
        <w:rPr>
          <w:bCs/>
        </w:rPr>
        <w:t xml:space="preserve"> at the time of the previous submission. Whilst the PBAC considered that the </w:t>
      </w:r>
      <w:r w:rsidR="00C7271D" w:rsidRPr="00234A25">
        <w:rPr>
          <w:bCs/>
        </w:rPr>
        <w:t xml:space="preserve">main comparator in the resubmission </w:t>
      </w:r>
      <w:r w:rsidR="00883A05">
        <w:rPr>
          <w:bCs/>
        </w:rPr>
        <w:t>(</w:t>
      </w:r>
      <w:r w:rsidR="00DF4C42">
        <w:rPr>
          <w:bCs/>
        </w:rPr>
        <w:t xml:space="preserve">a treatment </w:t>
      </w:r>
      <w:r w:rsidR="00883A05">
        <w:rPr>
          <w:bCs/>
        </w:rPr>
        <w:t>sequen</w:t>
      </w:r>
      <w:r w:rsidR="00DF4C42">
        <w:rPr>
          <w:bCs/>
        </w:rPr>
        <w:t xml:space="preserve">ce of </w:t>
      </w:r>
      <w:r w:rsidR="00883A05">
        <w:rPr>
          <w:bCs/>
        </w:rPr>
        <w:t xml:space="preserve">PD-1 inhibitor </w:t>
      </w:r>
      <w:r w:rsidR="00DF4C42">
        <w:rPr>
          <w:bCs/>
        </w:rPr>
        <w:t xml:space="preserve">monotherapy </w:t>
      </w:r>
      <w:r w:rsidR="00883A05">
        <w:rPr>
          <w:bCs/>
        </w:rPr>
        <w:t>followed by ipilimumab</w:t>
      </w:r>
      <w:r w:rsidR="00DF4C42">
        <w:rPr>
          <w:bCs/>
        </w:rPr>
        <w:t xml:space="preserve"> monotherapy upon disease progression</w:t>
      </w:r>
      <w:r w:rsidR="00883A05">
        <w:rPr>
          <w:bCs/>
        </w:rPr>
        <w:t xml:space="preserve">) </w:t>
      </w:r>
      <w:r w:rsidR="00C7271D" w:rsidRPr="00234A25">
        <w:rPr>
          <w:bCs/>
        </w:rPr>
        <w:t>was still appropriate</w:t>
      </w:r>
      <w:r w:rsidR="00883A05">
        <w:rPr>
          <w:bCs/>
        </w:rPr>
        <w:t xml:space="preserve"> a</w:t>
      </w:r>
      <w:r w:rsidR="00DF4C42">
        <w:rPr>
          <w:bCs/>
        </w:rPr>
        <w:t xml:space="preserve">long the lines the committee had </w:t>
      </w:r>
      <w:r w:rsidR="00883A05">
        <w:rPr>
          <w:bCs/>
        </w:rPr>
        <w:t>suggested previously</w:t>
      </w:r>
      <w:r w:rsidR="00C7271D" w:rsidRPr="00234A25">
        <w:rPr>
          <w:bCs/>
        </w:rPr>
        <w:t xml:space="preserve">, the PBAC noted that there was no direct </w:t>
      </w:r>
      <w:r w:rsidR="00606C13">
        <w:rPr>
          <w:bCs/>
        </w:rPr>
        <w:t xml:space="preserve">randomised </w:t>
      </w:r>
      <w:r w:rsidR="00C7271D" w:rsidRPr="00234A25">
        <w:rPr>
          <w:bCs/>
        </w:rPr>
        <w:t xml:space="preserve">trial evidence presented to support this comparison. </w:t>
      </w:r>
      <w:r w:rsidR="002D5653" w:rsidRPr="00234A25">
        <w:rPr>
          <w:bCs/>
        </w:rPr>
        <w:t>The PBAC n</w:t>
      </w:r>
      <w:r w:rsidR="00CF49C9" w:rsidRPr="00234A25">
        <w:rPr>
          <w:bCs/>
        </w:rPr>
        <w:t xml:space="preserve">oted that the </w:t>
      </w:r>
      <w:r w:rsidR="00803007" w:rsidRPr="00234A25">
        <w:rPr>
          <w:bCs/>
        </w:rPr>
        <w:t>p</w:t>
      </w:r>
      <w:r w:rsidR="00CF49C9" w:rsidRPr="00234A25">
        <w:rPr>
          <w:bCs/>
        </w:rPr>
        <w:t xml:space="preserve">re-PBAC </w:t>
      </w:r>
      <w:r w:rsidR="00803007" w:rsidRPr="00234A25">
        <w:rPr>
          <w:bCs/>
        </w:rPr>
        <w:t>r</w:t>
      </w:r>
      <w:r w:rsidR="00CF49C9" w:rsidRPr="00234A25">
        <w:rPr>
          <w:bCs/>
        </w:rPr>
        <w:t xml:space="preserve">esponse (p1) stated that the sponsor used “the best available data to construct a naïve comparison”. The PBAC considered that </w:t>
      </w:r>
      <w:r w:rsidR="00606C13">
        <w:rPr>
          <w:bCs/>
        </w:rPr>
        <w:t xml:space="preserve">the </w:t>
      </w:r>
      <w:r w:rsidR="00CF49C9" w:rsidRPr="00234A25">
        <w:rPr>
          <w:bCs/>
        </w:rPr>
        <w:t xml:space="preserve">CA209-067 </w:t>
      </w:r>
      <w:r w:rsidR="00606C13">
        <w:rPr>
          <w:bCs/>
        </w:rPr>
        <w:t xml:space="preserve">trial </w:t>
      </w:r>
      <w:r w:rsidR="00CF49C9" w:rsidRPr="00234A25">
        <w:rPr>
          <w:bCs/>
        </w:rPr>
        <w:t xml:space="preserve">provided the best available </w:t>
      </w:r>
      <w:r w:rsidR="002A066F" w:rsidRPr="00234A25">
        <w:rPr>
          <w:bCs/>
        </w:rPr>
        <w:t>data</w:t>
      </w:r>
      <w:r w:rsidR="00CF49C9" w:rsidRPr="00234A25">
        <w:rPr>
          <w:bCs/>
        </w:rPr>
        <w:t xml:space="preserve"> for the comparative effectiveness and safety of NIVO+IPI relative to nivolumab monotherapy in the first-line setting, with a variety of subsequent therap</w:t>
      </w:r>
      <w:r w:rsidR="00287735" w:rsidRPr="00234A25">
        <w:rPr>
          <w:bCs/>
        </w:rPr>
        <w:t xml:space="preserve">ies used in both treatment arms, whilst </w:t>
      </w:r>
      <w:r w:rsidR="00DF4C42">
        <w:rPr>
          <w:bCs/>
        </w:rPr>
        <w:t xml:space="preserve">the </w:t>
      </w:r>
      <w:r w:rsidR="00CF49C9" w:rsidRPr="00234A25">
        <w:rPr>
          <w:bCs/>
        </w:rPr>
        <w:t xml:space="preserve">MDX010-020 </w:t>
      </w:r>
      <w:r w:rsidR="00DF4C42">
        <w:rPr>
          <w:bCs/>
        </w:rPr>
        <w:t xml:space="preserve">trial for ipilimumab </w:t>
      </w:r>
      <w:r w:rsidR="00CF49C9" w:rsidRPr="00234A25">
        <w:rPr>
          <w:bCs/>
        </w:rPr>
        <w:t xml:space="preserve">is not representative of the </w:t>
      </w:r>
      <w:r w:rsidR="00DF4C42">
        <w:rPr>
          <w:bCs/>
        </w:rPr>
        <w:t xml:space="preserve">identified </w:t>
      </w:r>
      <w:r w:rsidR="00CF49C9" w:rsidRPr="00234A25">
        <w:rPr>
          <w:bCs/>
        </w:rPr>
        <w:t>population who have progressed after being treated with first-line NIVO+IPI or nivolumab monotherapy</w:t>
      </w:r>
      <w:r w:rsidR="00DF4C42">
        <w:rPr>
          <w:bCs/>
        </w:rPr>
        <w:t xml:space="preserve"> because this trial recruited pa</w:t>
      </w:r>
      <w:r w:rsidR="00731A23">
        <w:rPr>
          <w:bCs/>
        </w:rPr>
        <w:t>rticipants who had not received prior therapy</w:t>
      </w:r>
      <w:r w:rsidR="00CF49C9" w:rsidRPr="00234A25">
        <w:rPr>
          <w:bCs/>
        </w:rPr>
        <w:t>.</w:t>
      </w:r>
      <w:r w:rsidR="00CF49C9" w:rsidRPr="00234A25">
        <w:rPr>
          <w:bCs/>
          <w:i/>
        </w:rPr>
        <w:t xml:space="preserve"> </w:t>
      </w:r>
      <w:r w:rsidR="00CF49C9" w:rsidRPr="00234A25">
        <w:rPr>
          <w:bCs/>
        </w:rPr>
        <w:t xml:space="preserve">For these reasons, the PBAC considered that the best available evidence for an appropriate </w:t>
      </w:r>
      <w:r w:rsidR="00DF4C42">
        <w:rPr>
          <w:bCs/>
        </w:rPr>
        <w:t>compar</w:t>
      </w:r>
      <w:r w:rsidR="008D006C">
        <w:rPr>
          <w:bCs/>
        </w:rPr>
        <w:t xml:space="preserve">ison including subsequent treatment following disease progression with each of these first-line alternatives remained </w:t>
      </w:r>
      <w:r w:rsidR="00CF49C9" w:rsidRPr="00234A25">
        <w:rPr>
          <w:bCs/>
        </w:rPr>
        <w:t>CA209-067</w:t>
      </w:r>
      <w:r w:rsidR="00DF4C42">
        <w:rPr>
          <w:bCs/>
        </w:rPr>
        <w:t xml:space="preserve">, </w:t>
      </w:r>
      <w:r w:rsidR="008D006C">
        <w:rPr>
          <w:bCs/>
        </w:rPr>
        <w:t xml:space="preserve">because </w:t>
      </w:r>
      <w:r w:rsidR="00DF4C42">
        <w:rPr>
          <w:bCs/>
        </w:rPr>
        <w:t>this trial would also provide relevant information on what second-line treatment options would likely be used after each of these first-line alternatives</w:t>
      </w:r>
      <w:r w:rsidR="0001686F">
        <w:rPr>
          <w:bCs/>
        </w:rPr>
        <w:t>.</w:t>
      </w:r>
      <w:r w:rsidR="008D006C">
        <w:rPr>
          <w:bCs/>
        </w:rPr>
        <w:t xml:space="preserve"> This approach would also avoid the unrealistic assumption</w:t>
      </w:r>
      <w:r w:rsidR="006C0040">
        <w:rPr>
          <w:bCs/>
        </w:rPr>
        <w:t>s</w:t>
      </w:r>
      <w:r w:rsidR="008D006C">
        <w:rPr>
          <w:bCs/>
        </w:rPr>
        <w:t xml:space="preserve"> for this comparison that 100% of patients who progress following initial PD-1 inhibitor monotherapy would receive ipilimumab</w:t>
      </w:r>
      <w:r w:rsidR="006C0040">
        <w:rPr>
          <w:bCs/>
        </w:rPr>
        <w:t>, and that 100% of patients who progress following initial NIVO+IPI combination therapy would receive BSC</w:t>
      </w:r>
      <w:r w:rsidR="008D006C">
        <w:rPr>
          <w:bCs/>
        </w:rPr>
        <w:t xml:space="preserve">. However, if there is evidence of </w:t>
      </w:r>
      <w:r w:rsidR="006C0040">
        <w:rPr>
          <w:bCs/>
        </w:rPr>
        <w:t xml:space="preserve">some </w:t>
      </w:r>
      <w:r w:rsidR="008D006C">
        <w:rPr>
          <w:bCs/>
        </w:rPr>
        <w:t xml:space="preserve">subsequent use of ipilimumab following NIVO+IPI in CA209-067, and this option is to be specifically excluded in the context of any PBS listing of NIVO+IPI, </w:t>
      </w:r>
      <w:r w:rsidR="006C0040">
        <w:rPr>
          <w:bCs/>
        </w:rPr>
        <w:t xml:space="preserve">then </w:t>
      </w:r>
      <w:r w:rsidR="008D006C">
        <w:rPr>
          <w:bCs/>
        </w:rPr>
        <w:t xml:space="preserve">an adjustment for this in the clinical and economic </w:t>
      </w:r>
      <w:r w:rsidR="006C0040">
        <w:rPr>
          <w:bCs/>
        </w:rPr>
        <w:t xml:space="preserve">evaluations </w:t>
      </w:r>
      <w:r w:rsidR="008D006C">
        <w:rPr>
          <w:bCs/>
        </w:rPr>
        <w:t>may also need to be considered.</w:t>
      </w:r>
      <w:r w:rsidR="00722475">
        <w:rPr>
          <w:bCs/>
        </w:rPr>
        <w:t xml:space="preserve"> In addition, </w:t>
      </w:r>
      <w:r w:rsidR="00722475">
        <w:t>the re-induction treatment restriction for ipilimumab would need to be revised to ensure this intention is clear to prescribers.</w:t>
      </w:r>
    </w:p>
    <w:p w:rsidR="00CC7C17" w:rsidRPr="00CC7C17" w:rsidRDefault="00CC7C17" w:rsidP="003A3678">
      <w:pPr>
        <w:rPr>
          <w:bCs/>
          <w:highlight w:val="yellow"/>
          <w:lang w:val="en-GB"/>
        </w:rPr>
      </w:pPr>
    </w:p>
    <w:p w:rsidR="00096F11" w:rsidRPr="00096F11" w:rsidRDefault="00096F11" w:rsidP="00F36636">
      <w:pPr>
        <w:numPr>
          <w:ilvl w:val="1"/>
          <w:numId w:val="3"/>
        </w:numPr>
        <w:rPr>
          <w:bCs/>
          <w:lang w:val="en-GB"/>
        </w:rPr>
      </w:pPr>
      <w:r w:rsidRPr="00096F11">
        <w:rPr>
          <w:bCs/>
          <w:lang w:val="en-GB"/>
        </w:rPr>
        <w:t>The PBAC noted the updated</w:t>
      </w:r>
      <w:r>
        <w:rPr>
          <w:bCs/>
          <w:lang w:val="en-GB"/>
        </w:rPr>
        <w:t xml:space="preserve"> clinical data provided</w:t>
      </w:r>
      <w:r w:rsidR="001B757A">
        <w:rPr>
          <w:bCs/>
          <w:lang w:val="en-GB"/>
        </w:rPr>
        <w:t xml:space="preserve"> from</w:t>
      </w:r>
      <w:r w:rsidRPr="00096F11">
        <w:rPr>
          <w:lang w:val="en-US"/>
        </w:rPr>
        <w:t xml:space="preserve"> </w:t>
      </w:r>
      <w:r w:rsidRPr="00096F11">
        <w:rPr>
          <w:bCs/>
          <w:lang w:val="en-US"/>
        </w:rPr>
        <w:t>the September 2016</w:t>
      </w:r>
      <w:r w:rsidR="001B757A">
        <w:rPr>
          <w:bCs/>
          <w:lang w:val="en-US"/>
        </w:rPr>
        <w:t xml:space="preserve"> database lock of CA209-067.</w:t>
      </w:r>
      <w:r w:rsidR="002022C0">
        <w:rPr>
          <w:bCs/>
          <w:lang w:val="en-US"/>
        </w:rPr>
        <w:t xml:space="preserve"> This data reaffirmed the PBAC’s previous conclusion that NIVO+IPI demonstrated an improvement in PFS over nivolumab monotherapy. Nonetheless, the OS data was </w:t>
      </w:r>
      <w:r w:rsidR="008D006C">
        <w:rPr>
          <w:bCs/>
          <w:lang w:val="en-US"/>
        </w:rPr>
        <w:t xml:space="preserve">still </w:t>
      </w:r>
      <w:r w:rsidR="002022C0">
        <w:rPr>
          <w:bCs/>
          <w:lang w:val="en-US"/>
        </w:rPr>
        <w:t xml:space="preserve">immature </w:t>
      </w:r>
      <w:r w:rsidR="006C0040">
        <w:rPr>
          <w:bCs/>
          <w:lang w:val="en-US"/>
        </w:rPr>
        <w:t xml:space="preserve">and showed no </w:t>
      </w:r>
      <w:r w:rsidR="00D00C90">
        <w:rPr>
          <w:bCs/>
          <w:lang w:val="en-US"/>
        </w:rPr>
        <w:t>statistically significant effect</w:t>
      </w:r>
      <w:r w:rsidR="006C0040">
        <w:rPr>
          <w:bCs/>
          <w:lang w:val="en-US"/>
        </w:rPr>
        <w:t xml:space="preserve"> for NIVO+IPI beyond that of nivolumab monotherapy</w:t>
      </w:r>
      <w:r w:rsidR="00D00C90">
        <w:rPr>
          <w:bCs/>
          <w:lang w:val="en-US"/>
        </w:rPr>
        <w:t xml:space="preserve">, </w:t>
      </w:r>
      <w:r w:rsidR="002022C0">
        <w:rPr>
          <w:bCs/>
          <w:lang w:val="en-US"/>
        </w:rPr>
        <w:t>and there was no evidence of improved quality of life. The PBAC noted that future data cuts (3-year OS) are projected to b</w:t>
      </w:r>
      <w:r w:rsidR="00342295">
        <w:rPr>
          <w:bCs/>
          <w:lang w:val="en-US"/>
        </w:rPr>
        <w:t xml:space="preserve">e presented in September 2017. </w:t>
      </w:r>
      <w:r w:rsidR="002022C0">
        <w:rPr>
          <w:bCs/>
          <w:lang w:val="en-US"/>
        </w:rPr>
        <w:t xml:space="preserve">In the absence of </w:t>
      </w:r>
      <w:r w:rsidR="00D00C90">
        <w:rPr>
          <w:bCs/>
          <w:lang w:val="en-US"/>
        </w:rPr>
        <w:t xml:space="preserve">evidence of </w:t>
      </w:r>
      <w:r w:rsidR="002022C0">
        <w:rPr>
          <w:bCs/>
          <w:lang w:val="en-US"/>
        </w:rPr>
        <w:t xml:space="preserve">an improvement in OS, and given the present PBS availability of </w:t>
      </w:r>
      <w:r w:rsidR="006C0040">
        <w:rPr>
          <w:bCs/>
          <w:lang w:val="en-US"/>
        </w:rPr>
        <w:t>nivolumab</w:t>
      </w:r>
      <w:r w:rsidR="002022C0">
        <w:rPr>
          <w:bCs/>
          <w:lang w:val="en-US"/>
        </w:rPr>
        <w:t xml:space="preserve"> monotherapy, the PBAC considered that it was not unreasonable to wait for </w:t>
      </w:r>
      <w:r w:rsidR="00A275D3">
        <w:rPr>
          <w:bCs/>
          <w:lang w:val="en-US"/>
        </w:rPr>
        <w:t xml:space="preserve">these </w:t>
      </w:r>
      <w:r w:rsidR="00574EE2">
        <w:rPr>
          <w:bCs/>
          <w:lang w:val="en-US"/>
        </w:rPr>
        <w:t>further data to inform its consideration of the requested listing.</w:t>
      </w:r>
    </w:p>
    <w:p w:rsidR="00096F11" w:rsidRPr="003A3678" w:rsidRDefault="00096F11" w:rsidP="00096F11">
      <w:pPr>
        <w:rPr>
          <w:bCs/>
          <w:lang w:val="en-GB"/>
        </w:rPr>
      </w:pPr>
    </w:p>
    <w:p w:rsidR="00182152" w:rsidRPr="005F6F87" w:rsidRDefault="00B61C3E" w:rsidP="00182152">
      <w:pPr>
        <w:pStyle w:val="ListParagraph"/>
        <w:widowControl/>
        <w:numPr>
          <w:ilvl w:val="1"/>
          <w:numId w:val="3"/>
        </w:numPr>
        <w:rPr>
          <w:szCs w:val="22"/>
        </w:rPr>
      </w:pPr>
      <w:r w:rsidRPr="005F6F87">
        <w:rPr>
          <w:szCs w:val="22"/>
        </w:rPr>
        <w:t xml:space="preserve">The </w:t>
      </w:r>
      <w:r w:rsidR="00182152" w:rsidRPr="005F6F87">
        <w:rPr>
          <w:szCs w:val="22"/>
        </w:rPr>
        <w:t xml:space="preserve">PBAC noted that the </w:t>
      </w:r>
      <w:r w:rsidRPr="005F6F87">
        <w:rPr>
          <w:szCs w:val="22"/>
        </w:rPr>
        <w:t>resubmission did not present any updated safety data from CA209-</w:t>
      </w:r>
      <w:r w:rsidR="00D00C90">
        <w:rPr>
          <w:szCs w:val="22"/>
        </w:rPr>
        <w:t>0</w:t>
      </w:r>
      <w:r w:rsidRPr="005F6F87">
        <w:rPr>
          <w:szCs w:val="22"/>
        </w:rPr>
        <w:t>67</w:t>
      </w:r>
      <w:r w:rsidR="00182152" w:rsidRPr="005F6F87">
        <w:rPr>
          <w:szCs w:val="22"/>
        </w:rPr>
        <w:t xml:space="preserve">, but claimed that </w:t>
      </w:r>
      <w:r w:rsidRPr="005F6F87">
        <w:rPr>
          <w:szCs w:val="22"/>
        </w:rPr>
        <w:t xml:space="preserve">although the frequency and severity of AEs with </w:t>
      </w:r>
      <w:r w:rsidR="00D00C90">
        <w:rPr>
          <w:szCs w:val="22"/>
        </w:rPr>
        <w:t xml:space="preserve">the </w:t>
      </w:r>
      <w:r w:rsidRPr="005F6F87">
        <w:rPr>
          <w:szCs w:val="22"/>
        </w:rPr>
        <w:t>NIVO+IPI combination were higher than with either nivolumab or ipilimumab monotherapy, they were similar when considering the context of the sequence of nivolumab monotherapy followed by ipilimumab monotherapy.</w:t>
      </w:r>
      <w:r w:rsidR="00BF2896" w:rsidRPr="005F6F87">
        <w:rPr>
          <w:szCs w:val="22"/>
        </w:rPr>
        <w:t xml:space="preserve"> The PBAC considered that </w:t>
      </w:r>
      <w:r w:rsidR="00D00C90">
        <w:rPr>
          <w:szCs w:val="22"/>
        </w:rPr>
        <w:t xml:space="preserve">the evidence from CA209-067 </w:t>
      </w:r>
      <w:r w:rsidR="00BF2896" w:rsidRPr="005F6F87">
        <w:rPr>
          <w:szCs w:val="22"/>
        </w:rPr>
        <w:t>was</w:t>
      </w:r>
      <w:r w:rsidR="00307ABC">
        <w:rPr>
          <w:szCs w:val="22"/>
        </w:rPr>
        <w:t xml:space="preserve"> </w:t>
      </w:r>
      <w:r w:rsidR="00D00C90">
        <w:rPr>
          <w:szCs w:val="22"/>
        </w:rPr>
        <w:t xml:space="preserve">consistent with the general expectation </w:t>
      </w:r>
      <w:r w:rsidR="00BF2896" w:rsidRPr="005F6F87">
        <w:rPr>
          <w:szCs w:val="22"/>
        </w:rPr>
        <w:t xml:space="preserve">that adding </w:t>
      </w:r>
      <w:r w:rsidR="00D00C90">
        <w:rPr>
          <w:szCs w:val="22"/>
        </w:rPr>
        <w:t xml:space="preserve">one medicine to </w:t>
      </w:r>
      <w:r w:rsidR="00BF2896" w:rsidRPr="005F6F87">
        <w:rPr>
          <w:szCs w:val="22"/>
        </w:rPr>
        <w:t xml:space="preserve">another </w:t>
      </w:r>
      <w:r w:rsidR="00D00C90">
        <w:rPr>
          <w:szCs w:val="22"/>
        </w:rPr>
        <w:t xml:space="preserve">medicine </w:t>
      </w:r>
      <w:r w:rsidR="00BF2896" w:rsidRPr="005F6F87">
        <w:rPr>
          <w:szCs w:val="22"/>
        </w:rPr>
        <w:t xml:space="preserve">to </w:t>
      </w:r>
      <w:r w:rsidR="00D00C90">
        <w:rPr>
          <w:szCs w:val="22"/>
        </w:rPr>
        <w:t xml:space="preserve">create </w:t>
      </w:r>
      <w:r w:rsidR="00BF2896" w:rsidRPr="005F6F87">
        <w:rPr>
          <w:szCs w:val="22"/>
        </w:rPr>
        <w:t>a therapeutic combination would generally increase toxicity</w:t>
      </w:r>
      <w:r w:rsidR="005F6F87" w:rsidRPr="005F6F87">
        <w:rPr>
          <w:szCs w:val="22"/>
        </w:rPr>
        <w:t xml:space="preserve">; </w:t>
      </w:r>
      <w:r w:rsidR="00BF2896" w:rsidRPr="005F6F87">
        <w:rPr>
          <w:szCs w:val="22"/>
        </w:rPr>
        <w:t xml:space="preserve">this </w:t>
      </w:r>
      <w:r w:rsidR="00D00C90">
        <w:rPr>
          <w:szCs w:val="22"/>
        </w:rPr>
        <w:t xml:space="preserve">expectation </w:t>
      </w:r>
      <w:r w:rsidR="00BF2896" w:rsidRPr="005F6F87">
        <w:rPr>
          <w:szCs w:val="22"/>
        </w:rPr>
        <w:t>was not unique to the combination in the requested listing.</w:t>
      </w:r>
      <w:r w:rsidR="005F6F87" w:rsidRPr="005F6F87">
        <w:rPr>
          <w:szCs w:val="22"/>
        </w:rPr>
        <w:t xml:space="preserve"> However,</w:t>
      </w:r>
      <w:r w:rsidR="00BF2896" w:rsidRPr="005F6F87">
        <w:rPr>
          <w:szCs w:val="22"/>
        </w:rPr>
        <w:t xml:space="preserve"> </w:t>
      </w:r>
      <w:r w:rsidR="005F6F87" w:rsidRPr="005F6F87">
        <w:rPr>
          <w:szCs w:val="22"/>
        </w:rPr>
        <w:t>t</w:t>
      </w:r>
      <w:r w:rsidR="00BF2896" w:rsidRPr="005F6F87">
        <w:rPr>
          <w:szCs w:val="22"/>
        </w:rPr>
        <w:t>he important consideration was whether the increased toxicity was balanced</w:t>
      </w:r>
      <w:r w:rsidR="005F6F87" w:rsidRPr="005F6F87">
        <w:rPr>
          <w:szCs w:val="22"/>
        </w:rPr>
        <w:t xml:space="preserve"> by improved clinical benefits. </w:t>
      </w:r>
      <w:r w:rsidR="00307ABC">
        <w:rPr>
          <w:szCs w:val="22"/>
        </w:rPr>
        <w:t>In this regard, t</w:t>
      </w:r>
      <w:r w:rsidR="005F6F87" w:rsidRPr="005F6F87">
        <w:rPr>
          <w:szCs w:val="22"/>
        </w:rPr>
        <w:t>he PBAC</w:t>
      </w:r>
      <w:r w:rsidR="00182152" w:rsidRPr="005F6F87">
        <w:rPr>
          <w:szCs w:val="22"/>
        </w:rPr>
        <w:t xml:space="preserve"> noted </w:t>
      </w:r>
      <w:r w:rsidR="005F6F87">
        <w:t>t</w:t>
      </w:r>
      <w:r w:rsidRPr="0094401F">
        <w:t>he ESC</w:t>
      </w:r>
      <w:r w:rsidR="005F6F87">
        <w:t xml:space="preserve">’s advice that </w:t>
      </w:r>
      <w:r w:rsidRPr="005F6F87">
        <w:rPr>
          <w:lang w:val="en-GB"/>
        </w:rPr>
        <w:t>NIVO+IPI combination patients who discontinued treatment due to AEs still derived a significant effi</w:t>
      </w:r>
      <w:r w:rsidR="00307ABC">
        <w:rPr>
          <w:lang w:val="en-GB"/>
        </w:rPr>
        <w:t xml:space="preserve">cacy benefit (Schadendorf 2016). The PBAC also noted the consumer comments indicating patient acceptability </w:t>
      </w:r>
      <w:r w:rsidR="00E63588">
        <w:rPr>
          <w:lang w:val="en-GB"/>
        </w:rPr>
        <w:t>of combination therapy toxicity</w:t>
      </w:r>
      <w:r w:rsidR="00307ABC">
        <w:rPr>
          <w:lang w:val="en-GB"/>
        </w:rPr>
        <w:t xml:space="preserve"> and </w:t>
      </w:r>
      <w:r w:rsidR="00E63588">
        <w:rPr>
          <w:lang w:val="en-GB"/>
        </w:rPr>
        <w:t xml:space="preserve">the </w:t>
      </w:r>
      <w:r w:rsidR="00307ABC">
        <w:rPr>
          <w:lang w:val="en-GB"/>
        </w:rPr>
        <w:t xml:space="preserve">substantial clinician engagement required </w:t>
      </w:r>
      <w:r w:rsidR="00E63588">
        <w:rPr>
          <w:lang w:val="en-GB"/>
        </w:rPr>
        <w:t>to manage</w:t>
      </w:r>
      <w:r w:rsidR="00307ABC">
        <w:rPr>
          <w:lang w:val="en-GB"/>
        </w:rPr>
        <w:t xml:space="preserve"> AEs.</w:t>
      </w:r>
      <w:r w:rsidR="00CD7BAB">
        <w:rPr>
          <w:lang w:val="en-GB"/>
        </w:rPr>
        <w:t xml:space="preserve"> Overall, the PBAC </w:t>
      </w:r>
      <w:r w:rsidR="00D00C90">
        <w:rPr>
          <w:lang w:val="en-GB"/>
        </w:rPr>
        <w:t>concluded</w:t>
      </w:r>
      <w:r w:rsidR="00CD7BAB">
        <w:rPr>
          <w:lang w:val="en-GB"/>
        </w:rPr>
        <w:t xml:space="preserve"> that</w:t>
      </w:r>
      <w:r w:rsidR="00D00C90">
        <w:rPr>
          <w:lang w:val="en-GB"/>
        </w:rPr>
        <w:t>,</w:t>
      </w:r>
      <w:r w:rsidR="00CD7BAB">
        <w:rPr>
          <w:lang w:val="en-GB"/>
        </w:rPr>
        <w:t xml:space="preserve"> in the absence of a</w:t>
      </w:r>
      <w:r w:rsidR="006C0040">
        <w:rPr>
          <w:lang w:val="en-GB"/>
        </w:rPr>
        <w:t xml:space="preserve"> demonstrated</w:t>
      </w:r>
      <w:r w:rsidR="00CD7BAB">
        <w:rPr>
          <w:lang w:val="en-GB"/>
        </w:rPr>
        <w:t xml:space="preserve"> improvement in OS</w:t>
      </w:r>
      <w:r w:rsidR="00D00C90">
        <w:rPr>
          <w:lang w:val="en-GB"/>
        </w:rPr>
        <w:t xml:space="preserve"> or quality of life</w:t>
      </w:r>
      <w:r w:rsidR="00CD7BAB">
        <w:rPr>
          <w:lang w:val="en-GB"/>
        </w:rPr>
        <w:t xml:space="preserve">, </w:t>
      </w:r>
      <w:r w:rsidR="006C0040">
        <w:rPr>
          <w:lang w:val="en-GB"/>
        </w:rPr>
        <w:t xml:space="preserve">the extent to which </w:t>
      </w:r>
      <w:r w:rsidR="00CD7BAB">
        <w:rPr>
          <w:lang w:val="en-GB"/>
        </w:rPr>
        <w:t xml:space="preserve">the inferior safety of NIVO+IPI was </w:t>
      </w:r>
      <w:r w:rsidR="006C0040">
        <w:rPr>
          <w:lang w:val="en-GB"/>
        </w:rPr>
        <w:t xml:space="preserve">exceeded </w:t>
      </w:r>
      <w:r w:rsidR="00CD7BAB">
        <w:rPr>
          <w:lang w:val="en-GB"/>
        </w:rPr>
        <w:t>by improved clinical benefits</w:t>
      </w:r>
      <w:r w:rsidR="006C0040">
        <w:rPr>
          <w:lang w:val="en-GB"/>
        </w:rPr>
        <w:t xml:space="preserve"> remained unclear</w:t>
      </w:r>
      <w:r w:rsidR="00CD7BAB">
        <w:rPr>
          <w:lang w:val="en-GB"/>
        </w:rPr>
        <w:t>.</w:t>
      </w:r>
      <w:r w:rsidR="00D00C90">
        <w:rPr>
          <w:lang w:val="en-GB"/>
        </w:rPr>
        <w:t xml:space="preserve"> In this context, the PBAC was also mindful of the TGA’s decision and rationale for limiting marketing approval to patients with M1c melanoma or </w:t>
      </w:r>
      <w:r w:rsidR="003D10B1">
        <w:rPr>
          <w:lang w:val="en-GB"/>
        </w:rPr>
        <w:t xml:space="preserve">metastatic melanoma with </w:t>
      </w:r>
      <w:r w:rsidR="00D00C90">
        <w:rPr>
          <w:lang w:val="en-GB"/>
        </w:rPr>
        <w:t xml:space="preserve">elevated LDH levels, and proposed to reflect </w:t>
      </w:r>
      <w:r w:rsidR="00A517D6">
        <w:rPr>
          <w:lang w:val="en-GB"/>
        </w:rPr>
        <w:t xml:space="preserve">this </w:t>
      </w:r>
      <w:r w:rsidR="006C0040">
        <w:rPr>
          <w:lang w:val="en-GB"/>
        </w:rPr>
        <w:t xml:space="preserve">more limited </w:t>
      </w:r>
      <w:r w:rsidR="00A517D6">
        <w:rPr>
          <w:lang w:val="en-GB"/>
        </w:rPr>
        <w:t>population in any PBS restriction</w:t>
      </w:r>
      <w:r w:rsidR="00D00C90">
        <w:rPr>
          <w:lang w:val="en-GB"/>
        </w:rPr>
        <w:t>.</w:t>
      </w:r>
    </w:p>
    <w:p w:rsidR="005F6F87" w:rsidRPr="003A3678" w:rsidRDefault="005F6F87" w:rsidP="005F6F87">
      <w:pPr>
        <w:rPr>
          <w:szCs w:val="22"/>
        </w:rPr>
      </w:pPr>
    </w:p>
    <w:p w:rsidR="00142A34" w:rsidRPr="003405DF" w:rsidRDefault="005F042C" w:rsidP="00307693">
      <w:pPr>
        <w:numPr>
          <w:ilvl w:val="1"/>
          <w:numId w:val="3"/>
        </w:numPr>
        <w:rPr>
          <w:bCs/>
          <w:lang w:val="en-GB"/>
        </w:rPr>
      </w:pPr>
      <w:r>
        <w:rPr>
          <w:bCs/>
          <w:lang w:val="en-GB"/>
        </w:rPr>
        <w:t>The PBAC raised a number of concerns regarding the model structure and its inputs</w:t>
      </w:r>
      <w:r w:rsidR="004B7902">
        <w:rPr>
          <w:bCs/>
          <w:lang w:val="en-GB"/>
        </w:rPr>
        <w:t xml:space="preserve">, and considered that the resulting </w:t>
      </w:r>
      <w:r w:rsidR="006C0040">
        <w:rPr>
          <w:bCs/>
          <w:lang w:val="en-GB"/>
        </w:rPr>
        <w:t xml:space="preserve">revised </w:t>
      </w:r>
      <w:r w:rsidR="004B7902">
        <w:rPr>
          <w:bCs/>
          <w:lang w:val="en-GB"/>
        </w:rPr>
        <w:t xml:space="preserve">ICER of </w:t>
      </w:r>
      <w:r w:rsidR="003415B5">
        <w:rPr>
          <w:bCs/>
          <w:lang w:val="en-GB"/>
        </w:rPr>
        <w:t>more than $200,000</w:t>
      </w:r>
      <w:r w:rsidR="005D2DA5">
        <w:rPr>
          <w:bCs/>
        </w:rPr>
        <w:t xml:space="preserve">/QALY </w:t>
      </w:r>
      <w:r w:rsidR="002D1C47">
        <w:rPr>
          <w:bCs/>
        </w:rPr>
        <w:t xml:space="preserve">from the sponsor </w:t>
      </w:r>
      <w:r w:rsidR="005D2DA5">
        <w:rPr>
          <w:bCs/>
        </w:rPr>
        <w:t>was unacceptably high and uncertain.</w:t>
      </w:r>
      <w:r w:rsidR="003405DF">
        <w:rPr>
          <w:bCs/>
        </w:rPr>
        <w:t xml:space="preserve"> The main concerns were:</w:t>
      </w:r>
    </w:p>
    <w:p w:rsidR="003405DF" w:rsidRDefault="003405DF" w:rsidP="003405DF">
      <w:pPr>
        <w:pStyle w:val="ListParagraph"/>
        <w:numPr>
          <w:ilvl w:val="0"/>
          <w:numId w:val="28"/>
        </w:numPr>
        <w:rPr>
          <w:bCs/>
          <w:lang w:val="en-GB"/>
        </w:rPr>
      </w:pPr>
      <w:r>
        <w:rPr>
          <w:bCs/>
          <w:lang w:val="en-GB"/>
        </w:rPr>
        <w:t xml:space="preserve">It was inappropriate to </w:t>
      </w:r>
      <w:r w:rsidR="008E12FB">
        <w:rPr>
          <w:bCs/>
          <w:lang w:val="en-GB"/>
        </w:rPr>
        <w:t xml:space="preserve">assume that the </w:t>
      </w:r>
      <w:r w:rsidR="00902F21">
        <w:rPr>
          <w:bCs/>
          <w:lang w:val="en-GB"/>
        </w:rPr>
        <w:t xml:space="preserve">estimated </w:t>
      </w:r>
      <w:r w:rsidR="008E12FB">
        <w:rPr>
          <w:bCs/>
          <w:lang w:val="en-GB"/>
        </w:rPr>
        <w:t>extent of costs and effects of ipilimumab from the MDX010-020 trial would apply in patients whose melanoma had progressed following nivolumab monotherapy</w:t>
      </w:r>
      <w:r w:rsidR="00902F21">
        <w:rPr>
          <w:bCs/>
          <w:lang w:val="en-GB"/>
        </w:rPr>
        <w:t>,</w:t>
      </w:r>
      <w:r w:rsidR="008E12FB">
        <w:rPr>
          <w:bCs/>
          <w:lang w:val="en-GB"/>
        </w:rPr>
        <w:t xml:space="preserve"> because this trial recruited participants who had not received nivolumab</w:t>
      </w:r>
      <w:r>
        <w:rPr>
          <w:bCs/>
          <w:lang w:val="en-GB"/>
        </w:rPr>
        <w:t>.</w:t>
      </w:r>
    </w:p>
    <w:p w:rsidR="003405DF" w:rsidRDefault="008E12FB" w:rsidP="003405DF">
      <w:pPr>
        <w:pStyle w:val="ListParagraph"/>
        <w:numPr>
          <w:ilvl w:val="0"/>
          <w:numId w:val="28"/>
        </w:numPr>
        <w:rPr>
          <w:bCs/>
          <w:lang w:val="en-GB"/>
        </w:rPr>
      </w:pPr>
      <w:r>
        <w:rPr>
          <w:bCs/>
          <w:lang w:val="en-GB"/>
        </w:rPr>
        <w:t xml:space="preserve">A better source of </w:t>
      </w:r>
      <w:r w:rsidR="003405DF">
        <w:rPr>
          <w:bCs/>
          <w:lang w:val="en-GB"/>
        </w:rPr>
        <w:t>trial data</w:t>
      </w:r>
      <w:r>
        <w:rPr>
          <w:bCs/>
          <w:lang w:val="en-GB"/>
        </w:rPr>
        <w:t xml:space="preserve"> for the model would be CA209-067 including follow-up of participants for subsequent treatment options</w:t>
      </w:r>
      <w:r w:rsidR="00ED7C64">
        <w:rPr>
          <w:bCs/>
          <w:lang w:val="en-GB"/>
        </w:rPr>
        <w:t xml:space="preserve"> and</w:t>
      </w:r>
      <w:r>
        <w:rPr>
          <w:bCs/>
          <w:lang w:val="en-GB"/>
        </w:rPr>
        <w:t xml:space="preserve"> costs beyond disease progression</w:t>
      </w:r>
      <w:r w:rsidR="00ED7C64">
        <w:rPr>
          <w:bCs/>
          <w:lang w:val="en-GB"/>
        </w:rPr>
        <w:t xml:space="preserve"> as well as health outcomes</w:t>
      </w:r>
      <w:r w:rsidR="003405DF">
        <w:rPr>
          <w:bCs/>
          <w:lang w:val="en-GB"/>
        </w:rPr>
        <w:t>.</w:t>
      </w:r>
    </w:p>
    <w:p w:rsidR="00D7676F" w:rsidRDefault="003405DF" w:rsidP="00D7676F">
      <w:pPr>
        <w:pStyle w:val="ListParagraph"/>
        <w:numPr>
          <w:ilvl w:val="0"/>
          <w:numId w:val="28"/>
        </w:numPr>
        <w:rPr>
          <w:bCs/>
          <w:lang w:val="en-GB"/>
        </w:rPr>
      </w:pPr>
      <w:r>
        <w:rPr>
          <w:bCs/>
          <w:lang w:val="en-GB"/>
        </w:rPr>
        <w:t>The model</w:t>
      </w:r>
      <w:r w:rsidR="008E12FB">
        <w:rPr>
          <w:bCs/>
          <w:lang w:val="en-GB"/>
        </w:rPr>
        <w:t>led absolute or relative OS gains</w:t>
      </w:r>
      <w:r>
        <w:rPr>
          <w:bCs/>
          <w:lang w:val="en-GB"/>
        </w:rPr>
        <w:t xml:space="preserve"> bore little relation to the </w:t>
      </w:r>
      <w:r w:rsidR="008C79E7">
        <w:rPr>
          <w:bCs/>
          <w:lang w:val="en-GB"/>
        </w:rPr>
        <w:t xml:space="preserve">non-significant </w:t>
      </w:r>
      <w:r w:rsidR="00ED7C64">
        <w:rPr>
          <w:bCs/>
          <w:lang w:val="en-GB"/>
        </w:rPr>
        <w:t xml:space="preserve">OS </w:t>
      </w:r>
      <w:r w:rsidR="008C79E7">
        <w:rPr>
          <w:bCs/>
          <w:lang w:val="en-GB"/>
        </w:rPr>
        <w:t xml:space="preserve">gains </w:t>
      </w:r>
      <w:r>
        <w:rPr>
          <w:bCs/>
          <w:lang w:val="en-GB"/>
        </w:rPr>
        <w:t xml:space="preserve">observed </w:t>
      </w:r>
      <w:r w:rsidR="008E12FB">
        <w:rPr>
          <w:bCs/>
          <w:lang w:val="en-GB"/>
        </w:rPr>
        <w:t xml:space="preserve">from the </w:t>
      </w:r>
      <w:r w:rsidR="002D1C47">
        <w:rPr>
          <w:bCs/>
          <w:lang w:val="en-GB"/>
        </w:rPr>
        <w:t>CA209-067 trial data</w:t>
      </w:r>
      <w:r>
        <w:rPr>
          <w:bCs/>
          <w:lang w:val="en-GB"/>
        </w:rPr>
        <w:t xml:space="preserve">, appearing to potentially underestimate the </w:t>
      </w:r>
      <w:r w:rsidR="00ED7C64">
        <w:rPr>
          <w:bCs/>
          <w:lang w:val="en-GB"/>
        </w:rPr>
        <w:t xml:space="preserve">possible overall </w:t>
      </w:r>
      <w:r>
        <w:rPr>
          <w:bCs/>
          <w:lang w:val="en-GB"/>
        </w:rPr>
        <w:t>survival benefit.</w:t>
      </w:r>
    </w:p>
    <w:p w:rsidR="008C79E7" w:rsidRPr="008C79E7" w:rsidRDefault="008C79E7" w:rsidP="00D7676F">
      <w:pPr>
        <w:pStyle w:val="ListParagraph"/>
        <w:numPr>
          <w:ilvl w:val="0"/>
          <w:numId w:val="28"/>
        </w:numPr>
        <w:rPr>
          <w:bCs/>
          <w:lang w:val="en-GB"/>
        </w:rPr>
      </w:pPr>
      <w:r>
        <w:rPr>
          <w:bCs/>
          <w:lang w:val="en-GB"/>
        </w:rPr>
        <w:t>The unreasonable assumption that all nivolumab monotherapy patients would also receive post-progression ipilimumab inappropriately increased the costs of this arm in the model.</w:t>
      </w:r>
    </w:p>
    <w:p w:rsidR="00D7676F" w:rsidRPr="00D7676F" w:rsidRDefault="008C79E7" w:rsidP="00D7676F">
      <w:pPr>
        <w:pStyle w:val="ListParagraph"/>
        <w:numPr>
          <w:ilvl w:val="0"/>
          <w:numId w:val="28"/>
        </w:numPr>
        <w:rPr>
          <w:bCs/>
          <w:lang w:val="en-GB"/>
        </w:rPr>
      </w:pPr>
      <w:r>
        <w:rPr>
          <w:bCs/>
        </w:rPr>
        <w:t>The unreasonable assumption that no NIVO+IPI patients received any p</w:t>
      </w:r>
      <w:r w:rsidR="006F6004" w:rsidRPr="00D7676F">
        <w:rPr>
          <w:bCs/>
        </w:rPr>
        <w:t xml:space="preserve">ost-progression therapies </w:t>
      </w:r>
      <w:r>
        <w:rPr>
          <w:bCs/>
        </w:rPr>
        <w:t>inappropriately decreased the costs of this arm in the model</w:t>
      </w:r>
      <w:r w:rsidR="00D7676F" w:rsidRPr="00D7676F">
        <w:rPr>
          <w:bCs/>
        </w:rPr>
        <w:t>.</w:t>
      </w:r>
    </w:p>
    <w:p w:rsidR="008C79E7" w:rsidRPr="00572529" w:rsidRDefault="008C79E7" w:rsidP="00294F9E">
      <w:pPr>
        <w:pStyle w:val="ListParagraph"/>
        <w:numPr>
          <w:ilvl w:val="0"/>
          <w:numId w:val="28"/>
        </w:numPr>
        <w:rPr>
          <w:bCs/>
          <w:lang w:val="en-GB"/>
        </w:rPr>
      </w:pPr>
      <w:r w:rsidRPr="008C79E7">
        <w:rPr>
          <w:bCs/>
          <w:lang w:val="en-GB"/>
        </w:rPr>
        <w:t xml:space="preserve">However, the combined effect of these two unreasonable assumptions was still not sufficient to increase the costs of the </w:t>
      </w:r>
      <w:r w:rsidR="00ED7C64">
        <w:rPr>
          <w:bCs/>
          <w:lang w:val="en-GB"/>
        </w:rPr>
        <w:t xml:space="preserve">modelled </w:t>
      </w:r>
      <w:r w:rsidR="00572529">
        <w:rPr>
          <w:bCs/>
          <w:lang w:val="en-GB"/>
        </w:rPr>
        <w:t xml:space="preserve">comparator </w:t>
      </w:r>
      <w:r w:rsidRPr="008C79E7">
        <w:rPr>
          <w:bCs/>
          <w:lang w:val="en-GB"/>
        </w:rPr>
        <w:t xml:space="preserve">arm </w:t>
      </w:r>
      <w:r>
        <w:rPr>
          <w:bCs/>
          <w:lang w:val="en-GB"/>
        </w:rPr>
        <w:t xml:space="preserve">beyond those of the </w:t>
      </w:r>
      <w:r w:rsidR="00ED7C64">
        <w:rPr>
          <w:bCs/>
          <w:lang w:val="en-GB"/>
        </w:rPr>
        <w:t xml:space="preserve">modelled </w:t>
      </w:r>
      <w:r>
        <w:rPr>
          <w:bCs/>
          <w:lang w:val="en-GB"/>
        </w:rPr>
        <w:t>NIVO+IPI arm.</w:t>
      </w:r>
    </w:p>
    <w:p w:rsidR="009268BE" w:rsidRPr="00BA61B2" w:rsidRDefault="00294F9E" w:rsidP="00294F9E">
      <w:pPr>
        <w:pStyle w:val="ListParagraph"/>
        <w:numPr>
          <w:ilvl w:val="0"/>
          <w:numId w:val="28"/>
        </w:numPr>
        <w:rPr>
          <w:bCs/>
          <w:lang w:val="en-GB"/>
        </w:rPr>
      </w:pPr>
      <w:r>
        <w:rPr>
          <w:bCs/>
          <w:lang w:val="en-GB"/>
        </w:rPr>
        <w:t xml:space="preserve">The utility values were not reasonable, particularly in the NIVO+IPI arm where the excess toxicity of the combination therapy was not compatible with the lack of disutility in the model. Whilst the PSCR argued that the trial results did not show a decline in QoL among patients experiencing grade 3/4 AEs, the PBAC agreed with the ESC that </w:t>
      </w:r>
      <w:r w:rsidR="00572529">
        <w:rPr>
          <w:bCs/>
          <w:lang w:val="en-GB"/>
        </w:rPr>
        <w:t>this</w:t>
      </w:r>
      <w:r w:rsidR="009268BE" w:rsidRPr="00294F9E">
        <w:rPr>
          <w:szCs w:val="22"/>
        </w:rPr>
        <w:t xml:space="preserve"> may reflect the choice of HRQoL measure and the frequency and timing of the collection of HRQoL data, and </w:t>
      </w:r>
      <w:r w:rsidR="00C43873">
        <w:rPr>
          <w:szCs w:val="22"/>
        </w:rPr>
        <w:t xml:space="preserve">the </w:t>
      </w:r>
      <w:r w:rsidR="002D1C47">
        <w:rPr>
          <w:szCs w:val="22"/>
        </w:rPr>
        <w:t xml:space="preserve">CA209-067 </w:t>
      </w:r>
      <w:r w:rsidR="00C43873">
        <w:rPr>
          <w:szCs w:val="22"/>
        </w:rPr>
        <w:t>trial results</w:t>
      </w:r>
      <w:r w:rsidR="009268BE" w:rsidRPr="00294F9E">
        <w:rPr>
          <w:szCs w:val="22"/>
        </w:rPr>
        <w:t xml:space="preserve"> certainly did not support an improvement in utility values.</w:t>
      </w:r>
    </w:p>
    <w:p w:rsidR="00294F9E" w:rsidRPr="00BA61B2" w:rsidRDefault="00294F9E" w:rsidP="00751FB6">
      <w:pPr>
        <w:pStyle w:val="ListParagraph"/>
        <w:numPr>
          <w:ilvl w:val="0"/>
          <w:numId w:val="28"/>
        </w:numPr>
        <w:rPr>
          <w:bCs/>
          <w:lang w:val="en-GB"/>
        </w:rPr>
      </w:pPr>
      <w:r>
        <w:rPr>
          <w:bCs/>
          <w:lang w:val="en-GB"/>
        </w:rPr>
        <w:t xml:space="preserve">The model did not include the </w:t>
      </w:r>
      <w:r w:rsidR="00BA61B2">
        <w:rPr>
          <w:bCs/>
          <w:lang w:val="en-GB"/>
        </w:rPr>
        <w:t xml:space="preserve">consequences of prior </w:t>
      </w:r>
      <w:r>
        <w:rPr>
          <w:bCs/>
          <w:lang w:val="en-GB"/>
        </w:rPr>
        <w:t xml:space="preserve">BRAF+MEK inhibitor therapy </w:t>
      </w:r>
      <w:r w:rsidR="00355F69">
        <w:rPr>
          <w:bCs/>
          <w:lang w:val="en-GB"/>
        </w:rPr>
        <w:t xml:space="preserve">for patients with BRAF mutant melanoma </w:t>
      </w:r>
      <w:r>
        <w:rPr>
          <w:bCs/>
          <w:lang w:val="en-GB"/>
        </w:rPr>
        <w:t>in either arm.</w:t>
      </w:r>
      <w:r w:rsidR="00BA61B2">
        <w:rPr>
          <w:bCs/>
          <w:lang w:val="en-GB"/>
        </w:rPr>
        <w:t xml:space="preserve"> The implicit assumptions behind this exclusion would be either that such prior therapy would have no effect on subsequent therapy, or that such prior therapy would have an equal effect across both arms of the model.</w:t>
      </w:r>
      <w:r w:rsidR="00700A67">
        <w:rPr>
          <w:bCs/>
          <w:lang w:val="en-GB"/>
        </w:rPr>
        <w:t xml:space="preserve"> The evidence or rationale behind the assumption adopted would need to be provided for any further reconsideration</w:t>
      </w:r>
      <w:r w:rsidR="00A83592">
        <w:rPr>
          <w:bCs/>
          <w:lang w:val="en-GB"/>
        </w:rPr>
        <w:t xml:space="preserve"> by the Committee</w:t>
      </w:r>
      <w:r w:rsidR="00700A67">
        <w:rPr>
          <w:bCs/>
          <w:lang w:val="en-GB"/>
        </w:rPr>
        <w:t>, together with a scenario analysis examining the sensitivity of the model to variations from this simplifying assumption.</w:t>
      </w:r>
    </w:p>
    <w:p w:rsidR="00751FB6" w:rsidRDefault="001A3554" w:rsidP="00751FB6">
      <w:pPr>
        <w:pStyle w:val="ListParagraph"/>
        <w:numPr>
          <w:ilvl w:val="0"/>
          <w:numId w:val="28"/>
        </w:numPr>
        <w:rPr>
          <w:bCs/>
          <w:lang w:val="en-GB"/>
        </w:rPr>
      </w:pPr>
      <w:r>
        <w:rPr>
          <w:bCs/>
          <w:lang w:val="en-GB"/>
        </w:rPr>
        <w:t>The c</w:t>
      </w:r>
      <w:r w:rsidRPr="001A3554">
        <w:rPr>
          <w:bCs/>
          <w:lang w:val="en-GB"/>
        </w:rPr>
        <w:t xml:space="preserve">linical data supported a conclusion of improved PFS using NIVO+IPI therapy, </w:t>
      </w:r>
      <w:r>
        <w:rPr>
          <w:bCs/>
          <w:lang w:val="en-GB"/>
        </w:rPr>
        <w:t xml:space="preserve">but </w:t>
      </w:r>
      <w:r w:rsidRPr="001A3554">
        <w:rPr>
          <w:bCs/>
          <w:lang w:val="en-GB"/>
        </w:rPr>
        <w:t xml:space="preserve">the two </w:t>
      </w:r>
      <w:r w:rsidR="00751FB6" w:rsidRPr="001A3554">
        <w:rPr>
          <w:bCs/>
          <w:lang w:val="en-GB"/>
        </w:rPr>
        <w:t>year time horizon exclude</w:t>
      </w:r>
      <w:r w:rsidRPr="001A3554">
        <w:rPr>
          <w:bCs/>
          <w:lang w:val="en-GB"/>
        </w:rPr>
        <w:t>d</w:t>
      </w:r>
      <w:r w:rsidR="00751FB6" w:rsidRPr="001A3554">
        <w:rPr>
          <w:bCs/>
          <w:lang w:val="en-GB"/>
        </w:rPr>
        <w:t xml:space="preserve"> </w:t>
      </w:r>
      <w:r w:rsidR="002D1C47">
        <w:rPr>
          <w:bCs/>
          <w:lang w:val="en-GB"/>
        </w:rPr>
        <w:t xml:space="preserve">any </w:t>
      </w:r>
      <w:r w:rsidR="00751FB6" w:rsidRPr="001A3554">
        <w:rPr>
          <w:bCs/>
          <w:lang w:val="en-GB"/>
        </w:rPr>
        <w:t>consideration of long</w:t>
      </w:r>
      <w:r w:rsidR="002D1C47">
        <w:rPr>
          <w:bCs/>
          <w:lang w:val="en-GB"/>
        </w:rPr>
        <w:t>-</w:t>
      </w:r>
      <w:r w:rsidR="00751FB6" w:rsidRPr="001A3554">
        <w:rPr>
          <w:bCs/>
          <w:lang w:val="en-GB"/>
        </w:rPr>
        <w:t xml:space="preserve">term differences in </w:t>
      </w:r>
      <w:r w:rsidRPr="001A3554">
        <w:rPr>
          <w:bCs/>
          <w:lang w:val="en-GB"/>
        </w:rPr>
        <w:t>PFS</w:t>
      </w:r>
      <w:r w:rsidR="006675B9">
        <w:rPr>
          <w:bCs/>
          <w:lang w:val="en-GB"/>
        </w:rPr>
        <w:t xml:space="preserve"> and possibly in OS</w:t>
      </w:r>
      <w:r w:rsidRPr="001A3554">
        <w:rPr>
          <w:bCs/>
          <w:lang w:val="en-GB"/>
        </w:rPr>
        <w:t>.</w:t>
      </w:r>
      <w:r>
        <w:rPr>
          <w:bCs/>
          <w:lang w:val="en-GB"/>
        </w:rPr>
        <w:t xml:space="preserve"> </w:t>
      </w:r>
      <w:r w:rsidR="006A761C">
        <w:rPr>
          <w:bCs/>
          <w:lang w:val="en-GB"/>
        </w:rPr>
        <w:t xml:space="preserve">The PBAC noted that it had </w:t>
      </w:r>
      <w:r w:rsidR="002D5572">
        <w:rPr>
          <w:bCs/>
          <w:lang w:val="en-GB"/>
        </w:rPr>
        <w:t xml:space="preserve">accepted a five year time horizon in the context of recommending PBS listing of pembrolizumab for melanoma (March 2015 PBAC meeting) and had </w:t>
      </w:r>
      <w:r w:rsidR="007969B0">
        <w:rPr>
          <w:bCs/>
          <w:lang w:val="en-GB"/>
        </w:rPr>
        <w:t xml:space="preserve">advised that </w:t>
      </w:r>
      <w:r w:rsidR="006A761C">
        <w:rPr>
          <w:bCs/>
          <w:lang w:val="en-GB"/>
        </w:rPr>
        <w:t xml:space="preserve">a ten year time horizon </w:t>
      </w:r>
      <w:r w:rsidR="007969B0">
        <w:rPr>
          <w:bCs/>
          <w:lang w:val="en-GB"/>
        </w:rPr>
        <w:t xml:space="preserve">was not supported by the clinical evidence and favoured nivolumab significantly </w:t>
      </w:r>
      <w:r w:rsidR="006A761C">
        <w:rPr>
          <w:bCs/>
          <w:lang w:val="en-GB"/>
        </w:rPr>
        <w:t xml:space="preserve">in </w:t>
      </w:r>
      <w:r w:rsidR="00D0440C">
        <w:rPr>
          <w:bCs/>
          <w:lang w:val="en-GB"/>
        </w:rPr>
        <w:t xml:space="preserve">both </w:t>
      </w:r>
      <w:r w:rsidR="006A761C">
        <w:rPr>
          <w:bCs/>
          <w:lang w:val="en-GB"/>
        </w:rPr>
        <w:t xml:space="preserve">its </w:t>
      </w:r>
      <w:r w:rsidR="007969B0">
        <w:rPr>
          <w:bCs/>
          <w:lang w:val="en-GB"/>
        </w:rPr>
        <w:t xml:space="preserve">rejection of </w:t>
      </w:r>
      <w:r w:rsidR="006A761C">
        <w:rPr>
          <w:bCs/>
          <w:lang w:val="en-GB"/>
        </w:rPr>
        <w:t xml:space="preserve">PBS listing of </w:t>
      </w:r>
      <w:r w:rsidR="007969B0">
        <w:rPr>
          <w:bCs/>
          <w:lang w:val="en-GB"/>
        </w:rPr>
        <w:t xml:space="preserve">nivolumab </w:t>
      </w:r>
      <w:r w:rsidR="002D5572">
        <w:rPr>
          <w:bCs/>
          <w:lang w:val="en-GB"/>
        </w:rPr>
        <w:t xml:space="preserve">for melanoma </w:t>
      </w:r>
      <w:r w:rsidR="006A761C">
        <w:rPr>
          <w:bCs/>
          <w:lang w:val="en-GB"/>
        </w:rPr>
        <w:t>(</w:t>
      </w:r>
      <w:r w:rsidR="007969B0">
        <w:rPr>
          <w:bCs/>
          <w:lang w:val="en-GB"/>
        </w:rPr>
        <w:t xml:space="preserve">July </w:t>
      </w:r>
      <w:r w:rsidR="006A761C">
        <w:rPr>
          <w:bCs/>
          <w:lang w:val="en-GB"/>
        </w:rPr>
        <w:t>201</w:t>
      </w:r>
      <w:r w:rsidR="007969B0">
        <w:rPr>
          <w:bCs/>
          <w:lang w:val="en-GB"/>
        </w:rPr>
        <w:t>5</w:t>
      </w:r>
      <w:r w:rsidR="006A761C">
        <w:rPr>
          <w:bCs/>
          <w:lang w:val="en-GB"/>
        </w:rPr>
        <w:t xml:space="preserve"> PBAC meeting)</w:t>
      </w:r>
      <w:r w:rsidR="00D0440C">
        <w:rPr>
          <w:bCs/>
          <w:lang w:val="en-GB"/>
        </w:rPr>
        <w:t xml:space="preserve"> and also in its previous rejection of the combination of nivolumab and ipilimumab for melanoma (November 2015 PBAC meeting)</w:t>
      </w:r>
      <w:r w:rsidR="006A761C">
        <w:rPr>
          <w:bCs/>
          <w:lang w:val="en-GB"/>
        </w:rPr>
        <w:t>.</w:t>
      </w:r>
    </w:p>
    <w:p w:rsidR="00D04884" w:rsidRPr="00D04884" w:rsidRDefault="00D04884" w:rsidP="00D04884">
      <w:pPr>
        <w:ind w:left="720"/>
        <w:rPr>
          <w:bCs/>
          <w:lang w:val="en-GB"/>
        </w:rPr>
      </w:pPr>
      <w:r>
        <w:rPr>
          <w:bCs/>
          <w:lang w:val="en-GB"/>
        </w:rPr>
        <w:t>Overall, these issues left the PBAC with considerable uncertainty as to the estimation of cost-effectiveness of NIVO+IPI therapy.</w:t>
      </w:r>
    </w:p>
    <w:p w:rsidR="00751FB6" w:rsidRPr="003A3678" w:rsidRDefault="00751FB6" w:rsidP="003A3678">
      <w:pPr>
        <w:rPr>
          <w:bCs/>
          <w:lang w:val="en-GB"/>
        </w:rPr>
      </w:pPr>
    </w:p>
    <w:p w:rsidR="00EE7E37" w:rsidRPr="00D86392" w:rsidRDefault="00330666" w:rsidP="0091264D">
      <w:pPr>
        <w:numPr>
          <w:ilvl w:val="1"/>
          <w:numId w:val="3"/>
        </w:numPr>
        <w:rPr>
          <w:szCs w:val="22"/>
        </w:rPr>
      </w:pPr>
      <w:r w:rsidRPr="00D86392">
        <w:rPr>
          <w:bCs/>
          <w:lang w:val="en-GB"/>
        </w:rPr>
        <w:t xml:space="preserve">The PBAC considered that the financial estimates were uncertain, but considered that </w:t>
      </w:r>
      <w:r w:rsidR="00D86392">
        <w:rPr>
          <w:bCs/>
          <w:lang w:val="en-GB"/>
        </w:rPr>
        <w:t>the financial impact was high (</w:t>
      </w:r>
      <w:r w:rsidR="003415B5">
        <w:rPr>
          <w:bCs/>
          <w:lang w:val="en-GB"/>
        </w:rPr>
        <w:t xml:space="preserve">more than </w:t>
      </w:r>
      <w:r w:rsidR="00D86392">
        <w:rPr>
          <w:szCs w:val="22"/>
        </w:rPr>
        <w:t>$</w:t>
      </w:r>
      <w:r w:rsidR="003415B5">
        <w:rPr>
          <w:szCs w:val="22"/>
        </w:rPr>
        <w:t>100 million</w:t>
      </w:r>
      <w:r w:rsidR="007F33D1">
        <w:rPr>
          <w:szCs w:val="22"/>
        </w:rPr>
        <w:t xml:space="preserve"> over five years</w:t>
      </w:r>
      <w:r w:rsidR="00D86392">
        <w:rPr>
          <w:szCs w:val="22"/>
        </w:rPr>
        <w:t xml:space="preserve">) for approximately 800 patients per year, which was particularly concerning in the </w:t>
      </w:r>
      <w:r w:rsidR="0091011F">
        <w:rPr>
          <w:szCs w:val="22"/>
        </w:rPr>
        <w:t xml:space="preserve">context of </w:t>
      </w:r>
      <w:r w:rsidR="000E3BFF">
        <w:rPr>
          <w:szCs w:val="22"/>
        </w:rPr>
        <w:t xml:space="preserve">an unacceptably high and </w:t>
      </w:r>
      <w:r w:rsidR="0091011F">
        <w:rPr>
          <w:szCs w:val="22"/>
        </w:rPr>
        <w:t xml:space="preserve">uncertain </w:t>
      </w:r>
      <w:r w:rsidR="000E3BFF">
        <w:rPr>
          <w:szCs w:val="22"/>
        </w:rPr>
        <w:t xml:space="preserve">estimate of </w:t>
      </w:r>
      <w:r w:rsidR="0091011F">
        <w:rPr>
          <w:szCs w:val="22"/>
        </w:rPr>
        <w:t>cost-</w:t>
      </w:r>
      <w:r w:rsidR="00D86392">
        <w:rPr>
          <w:szCs w:val="22"/>
        </w:rPr>
        <w:t>effectiveness.</w:t>
      </w:r>
    </w:p>
    <w:p w:rsidR="009E7F9E" w:rsidRDefault="009E7F9E" w:rsidP="003A3678">
      <w:pPr>
        <w:rPr>
          <w:bCs/>
          <w:highlight w:val="yellow"/>
          <w:lang w:val="en-GB"/>
        </w:rPr>
      </w:pPr>
    </w:p>
    <w:p w:rsidR="00583126" w:rsidRDefault="00A70482" w:rsidP="000D5DF3">
      <w:pPr>
        <w:numPr>
          <w:ilvl w:val="1"/>
          <w:numId w:val="3"/>
        </w:numPr>
      </w:pPr>
      <w:r>
        <w:t>The PBAC considered that a</w:t>
      </w:r>
      <w:r w:rsidR="000E3BFF">
        <w:t>ny</w:t>
      </w:r>
      <w:r>
        <w:t xml:space="preserve"> f</w:t>
      </w:r>
      <w:r w:rsidR="00583126" w:rsidRPr="00A70482">
        <w:t xml:space="preserve">uture </w:t>
      </w:r>
      <w:r w:rsidR="000E3BFF">
        <w:t>re</w:t>
      </w:r>
      <w:r w:rsidR="00583126" w:rsidRPr="00A70482">
        <w:t xml:space="preserve">submission should be </w:t>
      </w:r>
      <w:r w:rsidR="009F4EBD">
        <w:t xml:space="preserve">a </w:t>
      </w:r>
      <w:r w:rsidR="00583126" w:rsidRPr="00A70482">
        <w:t xml:space="preserve">major </w:t>
      </w:r>
      <w:r>
        <w:t>submission to</w:t>
      </w:r>
      <w:r w:rsidR="00583126" w:rsidRPr="00A70482">
        <w:t xml:space="preserve"> allow for evaluati</w:t>
      </w:r>
      <w:r>
        <w:t xml:space="preserve">on of updated </w:t>
      </w:r>
      <w:r w:rsidR="000E3BFF">
        <w:t xml:space="preserve">overall </w:t>
      </w:r>
      <w:r>
        <w:t>survival data and economic model</w:t>
      </w:r>
      <w:r w:rsidR="009F4EBD">
        <w:t>ling</w:t>
      </w:r>
      <w:r>
        <w:t>.</w:t>
      </w:r>
    </w:p>
    <w:p w:rsidR="006F58D9" w:rsidRDefault="006F58D9" w:rsidP="003A3678"/>
    <w:p w:rsidR="006F58D9" w:rsidRPr="00A70482" w:rsidRDefault="006F58D9" w:rsidP="000D5DF3">
      <w:pPr>
        <w:numPr>
          <w:ilvl w:val="1"/>
          <w:numId w:val="3"/>
        </w:numPr>
      </w:pPr>
      <w:r>
        <w:t xml:space="preserve">The PBAC noted that </w:t>
      </w:r>
      <w:r w:rsidR="000E3BFF">
        <w:t xml:space="preserve">although </w:t>
      </w:r>
      <w:r>
        <w:t xml:space="preserve">nivolumab is </w:t>
      </w:r>
      <w:r w:rsidR="000E3BFF">
        <w:t xml:space="preserve">now </w:t>
      </w:r>
      <w:r>
        <w:t>TGA-</w:t>
      </w:r>
      <w:r w:rsidR="000E3BFF">
        <w:t xml:space="preserve">approved </w:t>
      </w:r>
      <w:r>
        <w:t xml:space="preserve">for use in combination with ipilimumab, </w:t>
      </w:r>
      <w:r w:rsidR="000E3BFF">
        <w:t xml:space="preserve">the </w:t>
      </w:r>
      <w:r>
        <w:t xml:space="preserve">ipilimumab </w:t>
      </w:r>
      <w:r w:rsidR="000E3BFF">
        <w:t>approval has not been updated</w:t>
      </w:r>
      <w:r w:rsidR="00D0440C">
        <w:t>, so ipilimumab</w:t>
      </w:r>
      <w:r w:rsidR="000E3BFF">
        <w:t xml:space="preserve"> </w:t>
      </w:r>
      <w:r>
        <w:t xml:space="preserve">is </w:t>
      </w:r>
      <w:r w:rsidR="000E3BFF">
        <w:t xml:space="preserve">still </w:t>
      </w:r>
      <w:r>
        <w:t xml:space="preserve">only </w:t>
      </w:r>
      <w:r w:rsidR="000E3BFF">
        <w:t xml:space="preserve">approved </w:t>
      </w:r>
      <w:r>
        <w:t>as monotherapy</w:t>
      </w:r>
      <w:r w:rsidRPr="006F58D9">
        <w:t xml:space="preserve"> for the treatment of patients with unresectable or metastatic melanoma.</w:t>
      </w:r>
      <w:r>
        <w:t xml:space="preserve"> The PBAC </w:t>
      </w:r>
      <w:r w:rsidR="000E3BFF">
        <w:t xml:space="preserve">suggested that the sponsor seek to update </w:t>
      </w:r>
      <w:r>
        <w:t xml:space="preserve">the </w:t>
      </w:r>
      <w:r w:rsidR="00D0440C">
        <w:t xml:space="preserve">TGA approval for </w:t>
      </w:r>
      <w:r>
        <w:t xml:space="preserve">ipilimumab </w:t>
      </w:r>
      <w:r w:rsidR="000E3BFF">
        <w:t xml:space="preserve">in order to minimise the legal policy difficulties that would arise in the event that </w:t>
      </w:r>
      <w:r>
        <w:t xml:space="preserve">a </w:t>
      </w:r>
      <w:r w:rsidR="000E3BFF">
        <w:t xml:space="preserve">PBS listing for ipilimumab in </w:t>
      </w:r>
      <w:r>
        <w:t xml:space="preserve">combination </w:t>
      </w:r>
      <w:r w:rsidR="000E3BFF">
        <w:t xml:space="preserve">with nivolumab were </w:t>
      </w:r>
      <w:r>
        <w:t xml:space="preserve">to </w:t>
      </w:r>
      <w:r w:rsidR="000E3BFF">
        <w:t>be implemented</w:t>
      </w:r>
      <w:r>
        <w:t>.</w:t>
      </w:r>
    </w:p>
    <w:p w:rsidR="009E7F9E" w:rsidRPr="0069654D" w:rsidRDefault="009E7F9E" w:rsidP="009E7F9E">
      <w:pPr>
        <w:rPr>
          <w:bCs/>
          <w:highlight w:val="yellow"/>
          <w:lang w:val="en-GB"/>
        </w:rPr>
      </w:pPr>
    </w:p>
    <w:p w:rsidR="009E7F9E" w:rsidRPr="00473942" w:rsidRDefault="009E7F9E" w:rsidP="009E7F9E">
      <w:pPr>
        <w:numPr>
          <w:ilvl w:val="1"/>
          <w:numId w:val="3"/>
        </w:numPr>
        <w:rPr>
          <w:bCs/>
          <w:lang w:val="en-GB"/>
        </w:rPr>
      </w:pPr>
      <w:r w:rsidRPr="000E2232">
        <w:rPr>
          <w:bCs/>
          <w:lang w:val="en-GB"/>
        </w:rPr>
        <w:t>The PBA</w:t>
      </w:r>
      <w:r w:rsidR="000E2232" w:rsidRPr="000E2232">
        <w:rPr>
          <w:bCs/>
          <w:lang w:val="en-GB"/>
        </w:rPr>
        <w:t>C noted that this submission is</w:t>
      </w:r>
      <w:r w:rsidRPr="000E2232">
        <w:rPr>
          <w:bCs/>
          <w:lang w:val="en-GB"/>
        </w:rPr>
        <w:t xml:space="preserve"> eligible for an Independent Review.</w:t>
      </w:r>
    </w:p>
    <w:p w:rsidR="00473942" w:rsidRPr="00473942" w:rsidRDefault="00473942" w:rsidP="009E7F9E">
      <w:pPr>
        <w:rPr>
          <w:bCs/>
          <w:highlight w:val="yellow"/>
          <w:lang w:val="en-GB"/>
        </w:rPr>
      </w:pPr>
    </w:p>
    <w:p w:rsidR="009E7F9E" w:rsidRPr="002F530E" w:rsidRDefault="009E7F9E" w:rsidP="002F530E">
      <w:pPr>
        <w:rPr>
          <w:b/>
        </w:rPr>
      </w:pPr>
      <w:r w:rsidRPr="002F530E">
        <w:rPr>
          <w:b/>
        </w:rPr>
        <w:t>Outcome:</w:t>
      </w:r>
    </w:p>
    <w:p w:rsidR="008F6B85" w:rsidRDefault="009E7F9E" w:rsidP="0039048A">
      <w:pPr>
        <w:rPr>
          <w:bCs/>
          <w:lang w:val="en-GB"/>
        </w:rPr>
      </w:pPr>
      <w:r w:rsidRPr="001E508B">
        <w:rPr>
          <w:bCs/>
          <w:lang w:val="en-GB"/>
        </w:rPr>
        <w:t>Rejected</w:t>
      </w:r>
    </w:p>
    <w:p w:rsidR="002A6256" w:rsidRDefault="002A6256" w:rsidP="0039048A">
      <w:pPr>
        <w:rPr>
          <w:bCs/>
          <w:lang w:val="en-GB"/>
        </w:rPr>
      </w:pPr>
    </w:p>
    <w:p w:rsidR="003C1450" w:rsidRDefault="003C1450" w:rsidP="0039048A">
      <w:pPr>
        <w:rPr>
          <w:bCs/>
          <w:lang w:val="en-GB"/>
        </w:rPr>
      </w:pPr>
    </w:p>
    <w:p w:rsidR="002A6256" w:rsidRDefault="002A6256" w:rsidP="002A6256">
      <w:pPr>
        <w:pStyle w:val="PBACHeading10"/>
        <w:numPr>
          <w:ilvl w:val="0"/>
          <w:numId w:val="3"/>
        </w:numPr>
        <w:ind w:left="709" w:hanging="709"/>
        <w:outlineLvl w:val="0"/>
      </w:pPr>
      <w:r w:rsidRPr="00485DD3">
        <w:t>Context for Decision</w:t>
      </w:r>
    </w:p>
    <w:p w:rsidR="002A6256" w:rsidRDefault="002A6256" w:rsidP="002A6256">
      <w:pPr>
        <w:ind w:left="709"/>
      </w:pPr>
    </w:p>
    <w:p w:rsidR="002A6256" w:rsidRDefault="002A6256" w:rsidP="002A6256">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A6256" w:rsidRDefault="002A6256" w:rsidP="002A6256">
      <w:pPr>
        <w:ind w:left="709"/>
      </w:pPr>
    </w:p>
    <w:p w:rsidR="003C1450" w:rsidRDefault="003C1450" w:rsidP="002A6256">
      <w:pPr>
        <w:ind w:left="709"/>
      </w:pPr>
    </w:p>
    <w:p w:rsidR="002A6256" w:rsidRPr="00B0280B" w:rsidRDefault="002A6256" w:rsidP="002A6256">
      <w:pPr>
        <w:pStyle w:val="PBACHeading10"/>
        <w:numPr>
          <w:ilvl w:val="0"/>
          <w:numId w:val="3"/>
        </w:numPr>
        <w:ind w:left="709" w:hanging="709"/>
        <w:outlineLvl w:val="0"/>
      </w:pPr>
      <w:r w:rsidRPr="00485DD3">
        <w:t>Sponsor’s Comment</w:t>
      </w:r>
    </w:p>
    <w:p w:rsidR="002A6256" w:rsidRDefault="002A6256" w:rsidP="002A6256">
      <w:pPr>
        <w:ind w:left="709"/>
        <w:rPr>
          <w:bCs/>
          <w:highlight w:val="yellow"/>
          <w:lang w:val="en-GB"/>
        </w:rPr>
      </w:pPr>
    </w:p>
    <w:p w:rsidR="002A6256" w:rsidRPr="00650855" w:rsidRDefault="00140E75" w:rsidP="002F530E">
      <w:pPr>
        <w:spacing w:after="120"/>
        <w:ind w:left="709"/>
        <w:rPr>
          <w:bCs/>
        </w:rPr>
      </w:pPr>
      <w:r w:rsidRPr="00742777">
        <w:rPr>
          <w:bCs/>
          <w:lang w:val="en-GB"/>
        </w:rPr>
        <w:t xml:space="preserve">The sponsor appreciates the consideration given to the current application and looks forward to </w:t>
      </w:r>
      <w:r>
        <w:rPr>
          <w:bCs/>
          <w:lang w:val="en-GB"/>
        </w:rPr>
        <w:t xml:space="preserve">the opportunity to </w:t>
      </w:r>
      <w:r w:rsidRPr="00742777">
        <w:rPr>
          <w:bCs/>
          <w:lang w:val="en-GB"/>
        </w:rPr>
        <w:t>submi</w:t>
      </w:r>
      <w:r>
        <w:rPr>
          <w:bCs/>
          <w:lang w:val="en-GB"/>
        </w:rPr>
        <w:t xml:space="preserve">t </w:t>
      </w:r>
      <w:r w:rsidRPr="00742777">
        <w:rPr>
          <w:bCs/>
          <w:lang w:val="en-GB"/>
        </w:rPr>
        <w:t xml:space="preserve">further data to support the availability of nivolumab+ipilimumab as an option for melanoma patients. </w:t>
      </w:r>
      <w:r>
        <w:rPr>
          <w:bCs/>
          <w:lang w:val="en-GB"/>
        </w:rPr>
        <w:t xml:space="preserve"> </w:t>
      </w:r>
    </w:p>
    <w:sectPr w:rsidR="002A6256" w:rsidRPr="00650855" w:rsidSect="00394DC9">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00582" w15:done="0"/>
  <w15:commentEx w15:paraId="2E2375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69" w:rsidRDefault="00EC7969" w:rsidP="00124A51">
      <w:r>
        <w:separator/>
      </w:r>
    </w:p>
  </w:endnote>
  <w:endnote w:type="continuationSeparator" w:id="0">
    <w:p w:rsidR="00EC7969" w:rsidRDefault="00EC796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69" w:rsidRDefault="00EC7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0E" w:rsidRPr="00D13A3E" w:rsidRDefault="002F530E" w:rsidP="00015886">
    <w:pPr>
      <w:ind w:right="360"/>
      <w:jc w:val="center"/>
      <w:rPr>
        <w:b/>
        <w:sz w:val="20"/>
      </w:rPr>
    </w:pPr>
  </w:p>
  <w:p w:rsidR="002F530E" w:rsidRPr="00EA0990" w:rsidRDefault="002F530E" w:rsidP="00677F85">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EC7969">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69" w:rsidRDefault="00EC7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69" w:rsidRDefault="00EC7969" w:rsidP="00124A51">
      <w:r>
        <w:separator/>
      </w:r>
    </w:p>
  </w:footnote>
  <w:footnote w:type="continuationSeparator" w:id="0">
    <w:p w:rsidR="00EC7969" w:rsidRDefault="00EC7969" w:rsidP="00124A51">
      <w:r>
        <w:continuationSeparator/>
      </w:r>
    </w:p>
  </w:footnote>
  <w:footnote w:id="1">
    <w:p w:rsidR="002F530E" w:rsidRPr="00126F9B" w:rsidRDefault="002F530E" w:rsidP="00B66FA0">
      <w:pPr>
        <w:pStyle w:val="FootnoteText"/>
        <w:rPr>
          <w:sz w:val="18"/>
        </w:rPr>
      </w:pPr>
      <w:r w:rsidRPr="00126F9B">
        <w:rPr>
          <w:rStyle w:val="FootnoteReference"/>
          <w:sz w:val="18"/>
        </w:rPr>
        <w:footnoteRef/>
      </w:r>
      <w:r w:rsidRPr="00126F9B">
        <w:rPr>
          <w:sz w:val="18"/>
        </w:rPr>
        <w:t xml:space="preserve"> Pasquali, S. </w:t>
      </w:r>
      <w:r w:rsidRPr="00126F9B">
        <w:rPr>
          <w:i/>
          <w:sz w:val="18"/>
        </w:rPr>
        <w:t>et al.</w:t>
      </w:r>
      <w:r w:rsidRPr="00126F9B">
        <w:rPr>
          <w:sz w:val="18"/>
        </w:rPr>
        <w:t xml:space="preserve"> (2017). Immune checkpoint inhibitors and targeted therapies for metastatic melanoma: A network meta-analysis, </w:t>
      </w:r>
      <w:r w:rsidRPr="00126F9B">
        <w:rPr>
          <w:i/>
          <w:sz w:val="18"/>
        </w:rPr>
        <w:t xml:space="preserve">Cancer Treatment Reviews </w:t>
      </w:r>
      <w:r w:rsidRPr="00126F9B">
        <w:rPr>
          <w:sz w:val="18"/>
        </w:rPr>
        <w:t>54:34-42</w:t>
      </w:r>
    </w:p>
  </w:footnote>
  <w:footnote w:id="2">
    <w:p w:rsidR="002F530E" w:rsidRPr="00126F9B" w:rsidRDefault="002F530E" w:rsidP="00EA2AA9">
      <w:pPr>
        <w:pStyle w:val="FootnoteText"/>
        <w:rPr>
          <w:sz w:val="18"/>
        </w:rPr>
      </w:pPr>
      <w:r w:rsidRPr="00126F9B">
        <w:rPr>
          <w:rStyle w:val="FootnoteReference"/>
          <w:sz w:val="18"/>
        </w:rPr>
        <w:footnoteRef/>
      </w:r>
      <w:r w:rsidRPr="00126F9B">
        <w:rPr>
          <w:sz w:val="18"/>
        </w:rPr>
        <w:t xml:space="preserve"> Metastatic (M) classification of melanoma: M0 – no distant metastasis; M1a – distant skin, subcutaneous, or nodal metastases, normal LDH; M1b – lung metastases, normal LDH; M1c – all other viscera metastases with normal LDH or any distant metastases with elevated LDH. The presence of distant metastases (M stage) and elevated LDH level are both negative prognostic factors in cutaneous melanoma.</w:t>
      </w:r>
    </w:p>
  </w:footnote>
  <w:footnote w:id="3">
    <w:p w:rsidR="002F530E" w:rsidRPr="00126F9B" w:rsidRDefault="002F530E">
      <w:pPr>
        <w:pStyle w:val="FootnoteText"/>
        <w:rPr>
          <w:sz w:val="18"/>
        </w:rPr>
      </w:pPr>
      <w:r w:rsidRPr="00126F9B">
        <w:rPr>
          <w:rStyle w:val="FootnoteReference"/>
          <w:sz w:val="18"/>
        </w:rPr>
        <w:footnoteRef/>
      </w:r>
      <w:r w:rsidRPr="00126F9B">
        <w:rPr>
          <w:sz w:val="18"/>
        </w:rPr>
        <w:t xml:space="preserve"> 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 w:id="4">
    <w:p w:rsidR="002F530E" w:rsidRPr="00126F9B" w:rsidRDefault="002F530E">
      <w:pPr>
        <w:pStyle w:val="FootnoteText"/>
        <w:rPr>
          <w:sz w:val="18"/>
        </w:rPr>
      </w:pPr>
      <w:r w:rsidRPr="00126F9B">
        <w:rPr>
          <w:rStyle w:val="FootnoteReference"/>
          <w:sz w:val="18"/>
        </w:rPr>
        <w:footnoteRef/>
      </w:r>
      <w:r w:rsidRPr="00126F9B">
        <w:rPr>
          <w:sz w:val="18"/>
        </w:rPr>
        <w:t xml:space="preserve"> Hodi FS, O'Day SJ</w:t>
      </w:r>
      <w:r w:rsidRPr="00126F9B">
        <w:rPr>
          <w:i/>
          <w:sz w:val="18"/>
        </w:rPr>
        <w:t>, et al.</w:t>
      </w:r>
      <w:r w:rsidRPr="00126F9B">
        <w:rPr>
          <w:sz w:val="18"/>
        </w:rPr>
        <w:t xml:space="preserve"> Improved survival with ipilimumab in patients with metastatic melanoma. </w:t>
      </w:r>
      <w:r w:rsidRPr="00126F9B">
        <w:rPr>
          <w:i/>
          <w:sz w:val="18"/>
        </w:rPr>
        <w:t>N Engl J Med</w:t>
      </w:r>
      <w:r w:rsidRPr="00126F9B">
        <w:rPr>
          <w:sz w:val="18"/>
        </w:rPr>
        <w:t>. 2010; 363 (8):711-23</w:t>
      </w:r>
    </w:p>
  </w:footnote>
  <w:footnote w:id="5">
    <w:p w:rsidR="002F530E" w:rsidRPr="00126F9B" w:rsidRDefault="002F530E" w:rsidP="00026095">
      <w:pPr>
        <w:pStyle w:val="FootnoteText"/>
        <w:rPr>
          <w:sz w:val="18"/>
        </w:rPr>
      </w:pPr>
      <w:r w:rsidRPr="00126F9B">
        <w:rPr>
          <w:rStyle w:val="FootnoteReference"/>
          <w:sz w:val="18"/>
        </w:rPr>
        <w:footnoteRef/>
      </w:r>
      <w:r w:rsidRPr="00126F9B">
        <w:rPr>
          <w:sz w:val="18"/>
        </w:rPr>
        <w:t xml:space="preserve"> Snzol M et al. Safety profile of nivolumab and ipilimumab combination therapy in patients with advanced melanoma. ESMO 2016, poster 3434.</w:t>
      </w:r>
    </w:p>
  </w:footnote>
  <w:footnote w:id="6">
    <w:p w:rsidR="002F530E" w:rsidRPr="00126F9B" w:rsidRDefault="002F530E" w:rsidP="00026095">
      <w:pPr>
        <w:pStyle w:val="FootnoteText"/>
        <w:rPr>
          <w:sz w:val="18"/>
        </w:rPr>
      </w:pPr>
      <w:r w:rsidRPr="00126F9B">
        <w:rPr>
          <w:rStyle w:val="FootnoteReference"/>
          <w:sz w:val="18"/>
        </w:rPr>
        <w:footnoteRef/>
      </w:r>
      <w:r w:rsidRPr="00126F9B">
        <w:rPr>
          <w:sz w:val="18"/>
        </w:rPr>
        <w:t xml:space="preserve"> Schadendorf D et al. Efficacy and safety outcomes in patients with advanced melanoma (MEL) who discontinued treatment with nivolumab (NIVO) plus ipilimumab (IPI) due to toxicity. EADO 2016, presentation.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69" w:rsidRDefault="00EC7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0E" w:rsidRPr="00DF217D" w:rsidRDefault="002F530E" w:rsidP="00650855">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2F530E" w:rsidRPr="008C7ECB" w:rsidRDefault="002F530E" w:rsidP="0006046E">
    <w:pPr>
      <w:tabs>
        <w:tab w:val="left" w:pos="142"/>
        <w:tab w:val="right" w:pos="902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69" w:rsidRDefault="00EC7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CD3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74EA8"/>
    <w:multiLevelType w:val="hybridMultilevel"/>
    <w:tmpl w:val="5D18D834"/>
    <w:lvl w:ilvl="0" w:tplc="7344752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AA2533"/>
    <w:multiLevelType w:val="hybridMultilevel"/>
    <w:tmpl w:val="86EC7254"/>
    <w:lvl w:ilvl="0" w:tplc="6B3673D0">
      <w:start w:val="1"/>
      <w:numFmt w:val="bullet"/>
      <w:lvlText w:val="•"/>
      <w:lvlJc w:val="left"/>
      <w:pPr>
        <w:tabs>
          <w:tab w:val="num" w:pos="720"/>
        </w:tabs>
        <w:ind w:left="720" w:hanging="360"/>
      </w:pPr>
      <w:rPr>
        <w:rFonts w:ascii="Arial" w:hAnsi="Arial" w:hint="default"/>
      </w:rPr>
    </w:lvl>
    <w:lvl w:ilvl="1" w:tplc="74764A34" w:tentative="1">
      <w:start w:val="1"/>
      <w:numFmt w:val="bullet"/>
      <w:lvlText w:val="•"/>
      <w:lvlJc w:val="left"/>
      <w:pPr>
        <w:tabs>
          <w:tab w:val="num" w:pos="1440"/>
        </w:tabs>
        <w:ind w:left="1440" w:hanging="360"/>
      </w:pPr>
      <w:rPr>
        <w:rFonts w:ascii="Arial" w:hAnsi="Arial" w:hint="default"/>
      </w:rPr>
    </w:lvl>
    <w:lvl w:ilvl="2" w:tplc="15EA1A78" w:tentative="1">
      <w:start w:val="1"/>
      <w:numFmt w:val="bullet"/>
      <w:lvlText w:val="•"/>
      <w:lvlJc w:val="left"/>
      <w:pPr>
        <w:tabs>
          <w:tab w:val="num" w:pos="2160"/>
        </w:tabs>
        <w:ind w:left="2160" w:hanging="360"/>
      </w:pPr>
      <w:rPr>
        <w:rFonts w:ascii="Arial" w:hAnsi="Arial" w:hint="default"/>
      </w:rPr>
    </w:lvl>
    <w:lvl w:ilvl="3" w:tplc="BC0CB220" w:tentative="1">
      <w:start w:val="1"/>
      <w:numFmt w:val="bullet"/>
      <w:lvlText w:val="•"/>
      <w:lvlJc w:val="left"/>
      <w:pPr>
        <w:tabs>
          <w:tab w:val="num" w:pos="2880"/>
        </w:tabs>
        <w:ind w:left="2880" w:hanging="360"/>
      </w:pPr>
      <w:rPr>
        <w:rFonts w:ascii="Arial" w:hAnsi="Arial" w:hint="default"/>
      </w:rPr>
    </w:lvl>
    <w:lvl w:ilvl="4" w:tplc="FDB0CB82" w:tentative="1">
      <w:start w:val="1"/>
      <w:numFmt w:val="bullet"/>
      <w:lvlText w:val="•"/>
      <w:lvlJc w:val="left"/>
      <w:pPr>
        <w:tabs>
          <w:tab w:val="num" w:pos="3600"/>
        </w:tabs>
        <w:ind w:left="3600" w:hanging="360"/>
      </w:pPr>
      <w:rPr>
        <w:rFonts w:ascii="Arial" w:hAnsi="Arial" w:hint="default"/>
      </w:rPr>
    </w:lvl>
    <w:lvl w:ilvl="5" w:tplc="B1967890" w:tentative="1">
      <w:start w:val="1"/>
      <w:numFmt w:val="bullet"/>
      <w:lvlText w:val="•"/>
      <w:lvlJc w:val="left"/>
      <w:pPr>
        <w:tabs>
          <w:tab w:val="num" w:pos="4320"/>
        </w:tabs>
        <w:ind w:left="4320" w:hanging="360"/>
      </w:pPr>
      <w:rPr>
        <w:rFonts w:ascii="Arial" w:hAnsi="Arial" w:hint="default"/>
      </w:rPr>
    </w:lvl>
    <w:lvl w:ilvl="6" w:tplc="9108647A" w:tentative="1">
      <w:start w:val="1"/>
      <w:numFmt w:val="bullet"/>
      <w:lvlText w:val="•"/>
      <w:lvlJc w:val="left"/>
      <w:pPr>
        <w:tabs>
          <w:tab w:val="num" w:pos="5040"/>
        </w:tabs>
        <w:ind w:left="5040" w:hanging="360"/>
      </w:pPr>
      <w:rPr>
        <w:rFonts w:ascii="Arial" w:hAnsi="Arial" w:hint="default"/>
      </w:rPr>
    </w:lvl>
    <w:lvl w:ilvl="7" w:tplc="FF305DAE" w:tentative="1">
      <w:start w:val="1"/>
      <w:numFmt w:val="bullet"/>
      <w:lvlText w:val="•"/>
      <w:lvlJc w:val="left"/>
      <w:pPr>
        <w:tabs>
          <w:tab w:val="num" w:pos="5760"/>
        </w:tabs>
        <w:ind w:left="5760" w:hanging="360"/>
      </w:pPr>
      <w:rPr>
        <w:rFonts w:ascii="Arial" w:hAnsi="Arial" w:hint="default"/>
      </w:rPr>
    </w:lvl>
    <w:lvl w:ilvl="8" w:tplc="753A8C44" w:tentative="1">
      <w:start w:val="1"/>
      <w:numFmt w:val="bullet"/>
      <w:lvlText w:val="•"/>
      <w:lvlJc w:val="left"/>
      <w:pPr>
        <w:tabs>
          <w:tab w:val="num" w:pos="6480"/>
        </w:tabs>
        <w:ind w:left="6480" w:hanging="360"/>
      </w:pPr>
      <w:rPr>
        <w:rFonts w:ascii="Arial" w:hAnsi="Arial" w:hint="default"/>
      </w:rPr>
    </w:lvl>
  </w:abstractNum>
  <w:abstractNum w:abstractNumId="6">
    <w:nsid w:val="1B2630C0"/>
    <w:multiLevelType w:val="hybridMultilevel"/>
    <w:tmpl w:val="C09E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470D68"/>
    <w:multiLevelType w:val="hybridMultilevel"/>
    <w:tmpl w:val="73C0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BE64AD"/>
    <w:multiLevelType w:val="hybridMultilevel"/>
    <w:tmpl w:val="302A0324"/>
    <w:lvl w:ilvl="0" w:tplc="F95C05FE">
      <w:start w:val="1"/>
      <w:numFmt w:val="bullet"/>
      <w:lvlText w:val="•"/>
      <w:lvlJc w:val="left"/>
      <w:pPr>
        <w:tabs>
          <w:tab w:val="num" w:pos="720"/>
        </w:tabs>
        <w:ind w:left="720" w:hanging="360"/>
      </w:pPr>
      <w:rPr>
        <w:rFonts w:ascii="Arial" w:hAnsi="Arial" w:hint="default"/>
      </w:rPr>
    </w:lvl>
    <w:lvl w:ilvl="1" w:tplc="4AF032F4" w:tentative="1">
      <w:start w:val="1"/>
      <w:numFmt w:val="bullet"/>
      <w:lvlText w:val="•"/>
      <w:lvlJc w:val="left"/>
      <w:pPr>
        <w:tabs>
          <w:tab w:val="num" w:pos="1440"/>
        </w:tabs>
        <w:ind w:left="1440" w:hanging="360"/>
      </w:pPr>
      <w:rPr>
        <w:rFonts w:ascii="Arial" w:hAnsi="Arial" w:hint="default"/>
      </w:rPr>
    </w:lvl>
    <w:lvl w:ilvl="2" w:tplc="29A03256" w:tentative="1">
      <w:start w:val="1"/>
      <w:numFmt w:val="bullet"/>
      <w:lvlText w:val="•"/>
      <w:lvlJc w:val="left"/>
      <w:pPr>
        <w:tabs>
          <w:tab w:val="num" w:pos="2160"/>
        </w:tabs>
        <w:ind w:left="2160" w:hanging="360"/>
      </w:pPr>
      <w:rPr>
        <w:rFonts w:ascii="Arial" w:hAnsi="Arial" w:hint="default"/>
      </w:rPr>
    </w:lvl>
    <w:lvl w:ilvl="3" w:tplc="8566221C" w:tentative="1">
      <w:start w:val="1"/>
      <w:numFmt w:val="bullet"/>
      <w:lvlText w:val="•"/>
      <w:lvlJc w:val="left"/>
      <w:pPr>
        <w:tabs>
          <w:tab w:val="num" w:pos="2880"/>
        </w:tabs>
        <w:ind w:left="2880" w:hanging="360"/>
      </w:pPr>
      <w:rPr>
        <w:rFonts w:ascii="Arial" w:hAnsi="Arial" w:hint="default"/>
      </w:rPr>
    </w:lvl>
    <w:lvl w:ilvl="4" w:tplc="16F4FF94" w:tentative="1">
      <w:start w:val="1"/>
      <w:numFmt w:val="bullet"/>
      <w:lvlText w:val="•"/>
      <w:lvlJc w:val="left"/>
      <w:pPr>
        <w:tabs>
          <w:tab w:val="num" w:pos="3600"/>
        </w:tabs>
        <w:ind w:left="3600" w:hanging="360"/>
      </w:pPr>
      <w:rPr>
        <w:rFonts w:ascii="Arial" w:hAnsi="Arial" w:hint="default"/>
      </w:rPr>
    </w:lvl>
    <w:lvl w:ilvl="5" w:tplc="81B0B67C" w:tentative="1">
      <w:start w:val="1"/>
      <w:numFmt w:val="bullet"/>
      <w:lvlText w:val="•"/>
      <w:lvlJc w:val="left"/>
      <w:pPr>
        <w:tabs>
          <w:tab w:val="num" w:pos="4320"/>
        </w:tabs>
        <w:ind w:left="4320" w:hanging="360"/>
      </w:pPr>
      <w:rPr>
        <w:rFonts w:ascii="Arial" w:hAnsi="Arial" w:hint="default"/>
      </w:rPr>
    </w:lvl>
    <w:lvl w:ilvl="6" w:tplc="2A382012" w:tentative="1">
      <w:start w:val="1"/>
      <w:numFmt w:val="bullet"/>
      <w:lvlText w:val="•"/>
      <w:lvlJc w:val="left"/>
      <w:pPr>
        <w:tabs>
          <w:tab w:val="num" w:pos="5040"/>
        </w:tabs>
        <w:ind w:left="5040" w:hanging="360"/>
      </w:pPr>
      <w:rPr>
        <w:rFonts w:ascii="Arial" w:hAnsi="Arial" w:hint="default"/>
      </w:rPr>
    </w:lvl>
    <w:lvl w:ilvl="7" w:tplc="944481F0" w:tentative="1">
      <w:start w:val="1"/>
      <w:numFmt w:val="bullet"/>
      <w:lvlText w:val="•"/>
      <w:lvlJc w:val="left"/>
      <w:pPr>
        <w:tabs>
          <w:tab w:val="num" w:pos="5760"/>
        </w:tabs>
        <w:ind w:left="5760" w:hanging="360"/>
      </w:pPr>
      <w:rPr>
        <w:rFonts w:ascii="Arial" w:hAnsi="Arial" w:hint="default"/>
      </w:rPr>
    </w:lvl>
    <w:lvl w:ilvl="8" w:tplc="56C06930" w:tentative="1">
      <w:start w:val="1"/>
      <w:numFmt w:val="bullet"/>
      <w:lvlText w:val="•"/>
      <w:lvlJc w:val="left"/>
      <w:pPr>
        <w:tabs>
          <w:tab w:val="num" w:pos="6480"/>
        </w:tabs>
        <w:ind w:left="6480" w:hanging="360"/>
      </w:pPr>
      <w:rPr>
        <w:rFonts w:ascii="Arial" w:hAnsi="Arial"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B05090"/>
    <w:multiLevelType w:val="hybridMultilevel"/>
    <w:tmpl w:val="FB547F28"/>
    <w:lvl w:ilvl="0" w:tplc="0C090001">
      <w:start w:val="1"/>
      <w:numFmt w:val="bullet"/>
      <w:lvlText w:val=""/>
      <w:lvlJc w:val="left"/>
      <w:pPr>
        <w:ind w:left="720" w:hanging="360"/>
      </w:pPr>
      <w:rPr>
        <w:rFonts w:ascii="Symbol" w:hAnsi="Symbol" w:hint="default"/>
      </w:rPr>
    </w:lvl>
    <w:lvl w:ilvl="1" w:tplc="858E0998">
      <w:start w:val="1"/>
      <w:numFmt w:val="bullet"/>
      <w:lvlText w:val="-"/>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5B5F05"/>
    <w:multiLevelType w:val="hybridMultilevel"/>
    <w:tmpl w:val="2ACC2AFA"/>
    <w:lvl w:ilvl="0" w:tplc="0234E960">
      <w:start w:val="1"/>
      <w:numFmt w:val="bullet"/>
      <w:lvlText w:val="•"/>
      <w:lvlJc w:val="left"/>
      <w:pPr>
        <w:tabs>
          <w:tab w:val="num" w:pos="720"/>
        </w:tabs>
        <w:ind w:left="720" w:hanging="360"/>
      </w:pPr>
      <w:rPr>
        <w:rFonts w:ascii="Arial" w:hAnsi="Arial" w:hint="default"/>
      </w:rPr>
    </w:lvl>
    <w:lvl w:ilvl="1" w:tplc="BF76B86A">
      <w:start w:val="2970"/>
      <w:numFmt w:val="bullet"/>
      <w:lvlText w:val="–"/>
      <w:lvlJc w:val="left"/>
      <w:pPr>
        <w:tabs>
          <w:tab w:val="num" w:pos="1440"/>
        </w:tabs>
        <w:ind w:left="1440" w:hanging="360"/>
      </w:pPr>
      <w:rPr>
        <w:rFonts w:ascii="Arial" w:hAnsi="Arial" w:hint="default"/>
      </w:rPr>
    </w:lvl>
    <w:lvl w:ilvl="2" w:tplc="4588F186" w:tentative="1">
      <w:start w:val="1"/>
      <w:numFmt w:val="bullet"/>
      <w:lvlText w:val="•"/>
      <w:lvlJc w:val="left"/>
      <w:pPr>
        <w:tabs>
          <w:tab w:val="num" w:pos="2160"/>
        </w:tabs>
        <w:ind w:left="2160" w:hanging="360"/>
      </w:pPr>
      <w:rPr>
        <w:rFonts w:ascii="Arial" w:hAnsi="Arial" w:hint="default"/>
      </w:rPr>
    </w:lvl>
    <w:lvl w:ilvl="3" w:tplc="4CDC1CA2" w:tentative="1">
      <w:start w:val="1"/>
      <w:numFmt w:val="bullet"/>
      <w:lvlText w:val="•"/>
      <w:lvlJc w:val="left"/>
      <w:pPr>
        <w:tabs>
          <w:tab w:val="num" w:pos="2880"/>
        </w:tabs>
        <w:ind w:left="2880" w:hanging="360"/>
      </w:pPr>
      <w:rPr>
        <w:rFonts w:ascii="Arial" w:hAnsi="Arial" w:hint="default"/>
      </w:rPr>
    </w:lvl>
    <w:lvl w:ilvl="4" w:tplc="EB34CF12" w:tentative="1">
      <w:start w:val="1"/>
      <w:numFmt w:val="bullet"/>
      <w:lvlText w:val="•"/>
      <w:lvlJc w:val="left"/>
      <w:pPr>
        <w:tabs>
          <w:tab w:val="num" w:pos="3600"/>
        </w:tabs>
        <w:ind w:left="3600" w:hanging="360"/>
      </w:pPr>
      <w:rPr>
        <w:rFonts w:ascii="Arial" w:hAnsi="Arial" w:hint="default"/>
      </w:rPr>
    </w:lvl>
    <w:lvl w:ilvl="5" w:tplc="7F461D24" w:tentative="1">
      <w:start w:val="1"/>
      <w:numFmt w:val="bullet"/>
      <w:lvlText w:val="•"/>
      <w:lvlJc w:val="left"/>
      <w:pPr>
        <w:tabs>
          <w:tab w:val="num" w:pos="4320"/>
        </w:tabs>
        <w:ind w:left="4320" w:hanging="360"/>
      </w:pPr>
      <w:rPr>
        <w:rFonts w:ascii="Arial" w:hAnsi="Arial" w:hint="default"/>
      </w:rPr>
    </w:lvl>
    <w:lvl w:ilvl="6" w:tplc="56847A2E" w:tentative="1">
      <w:start w:val="1"/>
      <w:numFmt w:val="bullet"/>
      <w:lvlText w:val="•"/>
      <w:lvlJc w:val="left"/>
      <w:pPr>
        <w:tabs>
          <w:tab w:val="num" w:pos="5040"/>
        </w:tabs>
        <w:ind w:left="5040" w:hanging="360"/>
      </w:pPr>
      <w:rPr>
        <w:rFonts w:ascii="Arial" w:hAnsi="Arial" w:hint="default"/>
      </w:rPr>
    </w:lvl>
    <w:lvl w:ilvl="7" w:tplc="9CF275D2" w:tentative="1">
      <w:start w:val="1"/>
      <w:numFmt w:val="bullet"/>
      <w:lvlText w:val="•"/>
      <w:lvlJc w:val="left"/>
      <w:pPr>
        <w:tabs>
          <w:tab w:val="num" w:pos="5760"/>
        </w:tabs>
        <w:ind w:left="5760" w:hanging="360"/>
      </w:pPr>
      <w:rPr>
        <w:rFonts w:ascii="Arial" w:hAnsi="Arial" w:hint="default"/>
      </w:rPr>
    </w:lvl>
    <w:lvl w:ilvl="8" w:tplc="65E44924" w:tentative="1">
      <w:start w:val="1"/>
      <w:numFmt w:val="bullet"/>
      <w:lvlText w:val="•"/>
      <w:lvlJc w:val="left"/>
      <w:pPr>
        <w:tabs>
          <w:tab w:val="num" w:pos="6480"/>
        </w:tabs>
        <w:ind w:left="6480" w:hanging="360"/>
      </w:pPr>
      <w:rPr>
        <w:rFonts w:ascii="Arial" w:hAnsi="Arial" w:hint="default"/>
      </w:rPr>
    </w:lvl>
  </w:abstractNum>
  <w:abstractNum w:abstractNumId="12">
    <w:nsid w:val="307D5CAF"/>
    <w:multiLevelType w:val="hybridMultilevel"/>
    <w:tmpl w:val="D78004B8"/>
    <w:lvl w:ilvl="0" w:tplc="63B0B3F6">
      <w:start w:val="1"/>
      <w:numFmt w:val="bullet"/>
      <w:lvlText w:val="•"/>
      <w:lvlJc w:val="left"/>
      <w:pPr>
        <w:tabs>
          <w:tab w:val="num" w:pos="720"/>
        </w:tabs>
        <w:ind w:left="720" w:hanging="360"/>
      </w:pPr>
      <w:rPr>
        <w:rFonts w:ascii="Arial" w:hAnsi="Arial" w:hint="default"/>
      </w:rPr>
    </w:lvl>
    <w:lvl w:ilvl="1" w:tplc="6936CAC2" w:tentative="1">
      <w:start w:val="1"/>
      <w:numFmt w:val="bullet"/>
      <w:lvlText w:val="•"/>
      <w:lvlJc w:val="left"/>
      <w:pPr>
        <w:tabs>
          <w:tab w:val="num" w:pos="1440"/>
        </w:tabs>
        <w:ind w:left="1440" w:hanging="360"/>
      </w:pPr>
      <w:rPr>
        <w:rFonts w:ascii="Arial" w:hAnsi="Arial" w:hint="default"/>
      </w:rPr>
    </w:lvl>
    <w:lvl w:ilvl="2" w:tplc="06AE8E4E" w:tentative="1">
      <w:start w:val="1"/>
      <w:numFmt w:val="bullet"/>
      <w:lvlText w:val="•"/>
      <w:lvlJc w:val="left"/>
      <w:pPr>
        <w:tabs>
          <w:tab w:val="num" w:pos="2160"/>
        </w:tabs>
        <w:ind w:left="2160" w:hanging="360"/>
      </w:pPr>
      <w:rPr>
        <w:rFonts w:ascii="Arial" w:hAnsi="Arial" w:hint="default"/>
      </w:rPr>
    </w:lvl>
    <w:lvl w:ilvl="3" w:tplc="C638DCBC" w:tentative="1">
      <w:start w:val="1"/>
      <w:numFmt w:val="bullet"/>
      <w:lvlText w:val="•"/>
      <w:lvlJc w:val="left"/>
      <w:pPr>
        <w:tabs>
          <w:tab w:val="num" w:pos="2880"/>
        </w:tabs>
        <w:ind w:left="2880" w:hanging="360"/>
      </w:pPr>
      <w:rPr>
        <w:rFonts w:ascii="Arial" w:hAnsi="Arial" w:hint="default"/>
      </w:rPr>
    </w:lvl>
    <w:lvl w:ilvl="4" w:tplc="D7DCA976" w:tentative="1">
      <w:start w:val="1"/>
      <w:numFmt w:val="bullet"/>
      <w:lvlText w:val="•"/>
      <w:lvlJc w:val="left"/>
      <w:pPr>
        <w:tabs>
          <w:tab w:val="num" w:pos="3600"/>
        </w:tabs>
        <w:ind w:left="3600" w:hanging="360"/>
      </w:pPr>
      <w:rPr>
        <w:rFonts w:ascii="Arial" w:hAnsi="Arial" w:hint="default"/>
      </w:rPr>
    </w:lvl>
    <w:lvl w:ilvl="5" w:tplc="7E32C722" w:tentative="1">
      <w:start w:val="1"/>
      <w:numFmt w:val="bullet"/>
      <w:lvlText w:val="•"/>
      <w:lvlJc w:val="left"/>
      <w:pPr>
        <w:tabs>
          <w:tab w:val="num" w:pos="4320"/>
        </w:tabs>
        <w:ind w:left="4320" w:hanging="360"/>
      </w:pPr>
      <w:rPr>
        <w:rFonts w:ascii="Arial" w:hAnsi="Arial" w:hint="default"/>
      </w:rPr>
    </w:lvl>
    <w:lvl w:ilvl="6" w:tplc="016608C6" w:tentative="1">
      <w:start w:val="1"/>
      <w:numFmt w:val="bullet"/>
      <w:lvlText w:val="•"/>
      <w:lvlJc w:val="left"/>
      <w:pPr>
        <w:tabs>
          <w:tab w:val="num" w:pos="5040"/>
        </w:tabs>
        <w:ind w:left="5040" w:hanging="360"/>
      </w:pPr>
      <w:rPr>
        <w:rFonts w:ascii="Arial" w:hAnsi="Arial" w:hint="default"/>
      </w:rPr>
    </w:lvl>
    <w:lvl w:ilvl="7" w:tplc="02EA180C" w:tentative="1">
      <w:start w:val="1"/>
      <w:numFmt w:val="bullet"/>
      <w:lvlText w:val="•"/>
      <w:lvlJc w:val="left"/>
      <w:pPr>
        <w:tabs>
          <w:tab w:val="num" w:pos="5760"/>
        </w:tabs>
        <w:ind w:left="5760" w:hanging="360"/>
      </w:pPr>
      <w:rPr>
        <w:rFonts w:ascii="Arial" w:hAnsi="Arial" w:hint="default"/>
      </w:rPr>
    </w:lvl>
    <w:lvl w:ilvl="8" w:tplc="DAAA590C" w:tentative="1">
      <w:start w:val="1"/>
      <w:numFmt w:val="bullet"/>
      <w:lvlText w:val="•"/>
      <w:lvlJc w:val="left"/>
      <w:pPr>
        <w:tabs>
          <w:tab w:val="num" w:pos="6480"/>
        </w:tabs>
        <w:ind w:left="6480" w:hanging="360"/>
      </w:pPr>
      <w:rPr>
        <w:rFonts w:ascii="Arial" w:hAnsi="Arial" w:hint="default"/>
      </w:rPr>
    </w:lvl>
  </w:abstractNum>
  <w:abstractNum w:abstractNumId="13">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C9862CD"/>
    <w:multiLevelType w:val="hybridMultilevel"/>
    <w:tmpl w:val="1D4C3AAE"/>
    <w:lvl w:ilvl="0" w:tplc="BFDA997C">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237C6"/>
    <w:multiLevelType w:val="hybridMultilevel"/>
    <w:tmpl w:val="C914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4305E6"/>
    <w:multiLevelType w:val="hybridMultilevel"/>
    <w:tmpl w:val="014AC232"/>
    <w:lvl w:ilvl="0" w:tplc="AC6094D0">
      <w:start w:val="1"/>
      <w:numFmt w:val="bullet"/>
      <w:lvlText w:val="•"/>
      <w:lvlJc w:val="left"/>
      <w:pPr>
        <w:tabs>
          <w:tab w:val="num" w:pos="720"/>
        </w:tabs>
        <w:ind w:left="720" w:hanging="360"/>
      </w:pPr>
      <w:rPr>
        <w:rFonts w:ascii="Arial" w:hAnsi="Arial" w:hint="default"/>
      </w:rPr>
    </w:lvl>
    <w:lvl w:ilvl="1" w:tplc="7D28C874" w:tentative="1">
      <w:start w:val="1"/>
      <w:numFmt w:val="bullet"/>
      <w:lvlText w:val="•"/>
      <w:lvlJc w:val="left"/>
      <w:pPr>
        <w:tabs>
          <w:tab w:val="num" w:pos="1440"/>
        </w:tabs>
        <w:ind w:left="1440" w:hanging="360"/>
      </w:pPr>
      <w:rPr>
        <w:rFonts w:ascii="Arial" w:hAnsi="Arial" w:hint="default"/>
      </w:rPr>
    </w:lvl>
    <w:lvl w:ilvl="2" w:tplc="C4CC7514" w:tentative="1">
      <w:start w:val="1"/>
      <w:numFmt w:val="bullet"/>
      <w:lvlText w:val="•"/>
      <w:lvlJc w:val="left"/>
      <w:pPr>
        <w:tabs>
          <w:tab w:val="num" w:pos="2160"/>
        </w:tabs>
        <w:ind w:left="2160" w:hanging="360"/>
      </w:pPr>
      <w:rPr>
        <w:rFonts w:ascii="Arial" w:hAnsi="Arial" w:hint="default"/>
      </w:rPr>
    </w:lvl>
    <w:lvl w:ilvl="3" w:tplc="10FE4288" w:tentative="1">
      <w:start w:val="1"/>
      <w:numFmt w:val="bullet"/>
      <w:lvlText w:val="•"/>
      <w:lvlJc w:val="left"/>
      <w:pPr>
        <w:tabs>
          <w:tab w:val="num" w:pos="2880"/>
        </w:tabs>
        <w:ind w:left="2880" w:hanging="360"/>
      </w:pPr>
      <w:rPr>
        <w:rFonts w:ascii="Arial" w:hAnsi="Arial" w:hint="default"/>
      </w:rPr>
    </w:lvl>
    <w:lvl w:ilvl="4" w:tplc="E3E2DC74" w:tentative="1">
      <w:start w:val="1"/>
      <w:numFmt w:val="bullet"/>
      <w:lvlText w:val="•"/>
      <w:lvlJc w:val="left"/>
      <w:pPr>
        <w:tabs>
          <w:tab w:val="num" w:pos="3600"/>
        </w:tabs>
        <w:ind w:left="3600" w:hanging="360"/>
      </w:pPr>
      <w:rPr>
        <w:rFonts w:ascii="Arial" w:hAnsi="Arial" w:hint="default"/>
      </w:rPr>
    </w:lvl>
    <w:lvl w:ilvl="5" w:tplc="021679E4" w:tentative="1">
      <w:start w:val="1"/>
      <w:numFmt w:val="bullet"/>
      <w:lvlText w:val="•"/>
      <w:lvlJc w:val="left"/>
      <w:pPr>
        <w:tabs>
          <w:tab w:val="num" w:pos="4320"/>
        </w:tabs>
        <w:ind w:left="4320" w:hanging="360"/>
      </w:pPr>
      <w:rPr>
        <w:rFonts w:ascii="Arial" w:hAnsi="Arial" w:hint="default"/>
      </w:rPr>
    </w:lvl>
    <w:lvl w:ilvl="6" w:tplc="C096EA9C" w:tentative="1">
      <w:start w:val="1"/>
      <w:numFmt w:val="bullet"/>
      <w:lvlText w:val="•"/>
      <w:lvlJc w:val="left"/>
      <w:pPr>
        <w:tabs>
          <w:tab w:val="num" w:pos="5040"/>
        </w:tabs>
        <w:ind w:left="5040" w:hanging="360"/>
      </w:pPr>
      <w:rPr>
        <w:rFonts w:ascii="Arial" w:hAnsi="Arial" w:hint="default"/>
      </w:rPr>
    </w:lvl>
    <w:lvl w:ilvl="7" w:tplc="F8A453B4" w:tentative="1">
      <w:start w:val="1"/>
      <w:numFmt w:val="bullet"/>
      <w:lvlText w:val="•"/>
      <w:lvlJc w:val="left"/>
      <w:pPr>
        <w:tabs>
          <w:tab w:val="num" w:pos="5760"/>
        </w:tabs>
        <w:ind w:left="5760" w:hanging="360"/>
      </w:pPr>
      <w:rPr>
        <w:rFonts w:ascii="Arial" w:hAnsi="Arial" w:hint="default"/>
      </w:rPr>
    </w:lvl>
    <w:lvl w:ilvl="8" w:tplc="AB9C0612" w:tentative="1">
      <w:start w:val="1"/>
      <w:numFmt w:val="bullet"/>
      <w:lvlText w:val="•"/>
      <w:lvlJc w:val="left"/>
      <w:pPr>
        <w:tabs>
          <w:tab w:val="num" w:pos="6480"/>
        </w:tabs>
        <w:ind w:left="6480" w:hanging="360"/>
      </w:pPr>
      <w:rPr>
        <w:rFonts w:ascii="Arial" w:hAnsi="Arial" w:hint="default"/>
      </w:rPr>
    </w:lvl>
  </w:abstractNum>
  <w:abstractNum w:abstractNumId="17">
    <w:nsid w:val="4D962AA3"/>
    <w:multiLevelType w:val="hybridMultilevel"/>
    <w:tmpl w:val="4AEEDEFC"/>
    <w:lvl w:ilvl="0" w:tplc="BFDA997C">
      <w:start w:val="7"/>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3E0023"/>
    <w:multiLevelType w:val="hybridMultilevel"/>
    <w:tmpl w:val="F66E8C3E"/>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8E57CE"/>
    <w:multiLevelType w:val="hybridMultilevel"/>
    <w:tmpl w:val="6F685E56"/>
    <w:lvl w:ilvl="0" w:tplc="70608A40">
      <w:start w:val="1"/>
      <w:numFmt w:val="bullet"/>
      <w:lvlText w:val="–"/>
      <w:lvlJc w:val="left"/>
      <w:pPr>
        <w:tabs>
          <w:tab w:val="num" w:pos="720"/>
        </w:tabs>
        <w:ind w:left="720" w:hanging="360"/>
      </w:pPr>
      <w:rPr>
        <w:rFonts w:ascii="Arial" w:hAnsi="Arial" w:hint="default"/>
      </w:rPr>
    </w:lvl>
    <w:lvl w:ilvl="1" w:tplc="2C8ED374">
      <w:start w:val="1"/>
      <w:numFmt w:val="bullet"/>
      <w:lvlText w:val="–"/>
      <w:lvlJc w:val="left"/>
      <w:pPr>
        <w:tabs>
          <w:tab w:val="num" w:pos="1440"/>
        </w:tabs>
        <w:ind w:left="1440" w:hanging="360"/>
      </w:pPr>
      <w:rPr>
        <w:rFonts w:ascii="Arial" w:hAnsi="Arial" w:hint="default"/>
      </w:rPr>
    </w:lvl>
    <w:lvl w:ilvl="2" w:tplc="83FE174C" w:tentative="1">
      <w:start w:val="1"/>
      <w:numFmt w:val="bullet"/>
      <w:lvlText w:val="–"/>
      <w:lvlJc w:val="left"/>
      <w:pPr>
        <w:tabs>
          <w:tab w:val="num" w:pos="2160"/>
        </w:tabs>
        <w:ind w:left="2160" w:hanging="360"/>
      </w:pPr>
      <w:rPr>
        <w:rFonts w:ascii="Arial" w:hAnsi="Arial" w:hint="default"/>
      </w:rPr>
    </w:lvl>
    <w:lvl w:ilvl="3" w:tplc="45589558" w:tentative="1">
      <w:start w:val="1"/>
      <w:numFmt w:val="bullet"/>
      <w:lvlText w:val="–"/>
      <w:lvlJc w:val="left"/>
      <w:pPr>
        <w:tabs>
          <w:tab w:val="num" w:pos="2880"/>
        </w:tabs>
        <w:ind w:left="2880" w:hanging="360"/>
      </w:pPr>
      <w:rPr>
        <w:rFonts w:ascii="Arial" w:hAnsi="Arial" w:hint="default"/>
      </w:rPr>
    </w:lvl>
    <w:lvl w:ilvl="4" w:tplc="E1E81468" w:tentative="1">
      <w:start w:val="1"/>
      <w:numFmt w:val="bullet"/>
      <w:lvlText w:val="–"/>
      <w:lvlJc w:val="left"/>
      <w:pPr>
        <w:tabs>
          <w:tab w:val="num" w:pos="3600"/>
        </w:tabs>
        <w:ind w:left="3600" w:hanging="360"/>
      </w:pPr>
      <w:rPr>
        <w:rFonts w:ascii="Arial" w:hAnsi="Arial" w:hint="default"/>
      </w:rPr>
    </w:lvl>
    <w:lvl w:ilvl="5" w:tplc="2C788756" w:tentative="1">
      <w:start w:val="1"/>
      <w:numFmt w:val="bullet"/>
      <w:lvlText w:val="–"/>
      <w:lvlJc w:val="left"/>
      <w:pPr>
        <w:tabs>
          <w:tab w:val="num" w:pos="4320"/>
        </w:tabs>
        <w:ind w:left="4320" w:hanging="360"/>
      </w:pPr>
      <w:rPr>
        <w:rFonts w:ascii="Arial" w:hAnsi="Arial" w:hint="default"/>
      </w:rPr>
    </w:lvl>
    <w:lvl w:ilvl="6" w:tplc="6BA40D76" w:tentative="1">
      <w:start w:val="1"/>
      <w:numFmt w:val="bullet"/>
      <w:lvlText w:val="–"/>
      <w:lvlJc w:val="left"/>
      <w:pPr>
        <w:tabs>
          <w:tab w:val="num" w:pos="5040"/>
        </w:tabs>
        <w:ind w:left="5040" w:hanging="360"/>
      </w:pPr>
      <w:rPr>
        <w:rFonts w:ascii="Arial" w:hAnsi="Arial" w:hint="default"/>
      </w:rPr>
    </w:lvl>
    <w:lvl w:ilvl="7" w:tplc="BD9A746E" w:tentative="1">
      <w:start w:val="1"/>
      <w:numFmt w:val="bullet"/>
      <w:lvlText w:val="–"/>
      <w:lvlJc w:val="left"/>
      <w:pPr>
        <w:tabs>
          <w:tab w:val="num" w:pos="5760"/>
        </w:tabs>
        <w:ind w:left="5760" w:hanging="360"/>
      </w:pPr>
      <w:rPr>
        <w:rFonts w:ascii="Arial" w:hAnsi="Arial" w:hint="default"/>
      </w:rPr>
    </w:lvl>
    <w:lvl w:ilvl="8" w:tplc="4140ACF2" w:tentative="1">
      <w:start w:val="1"/>
      <w:numFmt w:val="bullet"/>
      <w:lvlText w:val="–"/>
      <w:lvlJc w:val="left"/>
      <w:pPr>
        <w:tabs>
          <w:tab w:val="num" w:pos="6480"/>
        </w:tabs>
        <w:ind w:left="6480" w:hanging="360"/>
      </w:pPr>
      <w:rPr>
        <w:rFonts w:ascii="Arial" w:hAnsi="Arial" w:hint="default"/>
      </w:rPr>
    </w:lvl>
  </w:abstractNum>
  <w:abstractNum w:abstractNumId="22">
    <w:nsid w:val="66F33681"/>
    <w:multiLevelType w:val="hybridMultilevel"/>
    <w:tmpl w:val="6F04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826D53"/>
    <w:multiLevelType w:val="hybridMultilevel"/>
    <w:tmpl w:val="C0ECC30C"/>
    <w:lvl w:ilvl="0" w:tplc="BFDA997C">
      <w:start w:val="7"/>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F0D199F"/>
    <w:multiLevelType w:val="multilevel"/>
    <w:tmpl w:val="18BC5E04"/>
    <w:lvl w:ilvl="0">
      <w:start w:val="1"/>
      <w:numFmt w:val="decimal"/>
      <w:pStyle w:val="NumberedText"/>
      <w:lvlText w:val="%1."/>
      <w:lvlJc w:val="left"/>
      <w:pPr>
        <w:tabs>
          <w:tab w:val="num" w:pos="720"/>
        </w:tabs>
        <w:ind w:left="720" w:hanging="720"/>
      </w:pPr>
      <w:rPr>
        <w:rFonts w:hint="default"/>
      </w:rPr>
    </w:lvl>
    <w:lvl w:ilvl="1">
      <w:start w:val="1"/>
      <w:numFmt w:val="lowerLetter"/>
      <w:lvlText w:val="%2"/>
      <w:lvlJc w:val="left"/>
      <w:pPr>
        <w:tabs>
          <w:tab w:val="num" w:pos="1276"/>
        </w:tabs>
        <w:ind w:left="1276" w:hanging="556"/>
      </w:pPr>
      <w:rPr>
        <w:rFonts w:hint="default"/>
      </w:rPr>
    </w:lvl>
    <w:lvl w:ilvl="2">
      <w:start w:val="1"/>
      <w:numFmt w:val="lowerLetter"/>
      <w:lvlText w:val="%3"/>
      <w:lvlJc w:val="left"/>
      <w:pPr>
        <w:tabs>
          <w:tab w:val="num" w:pos="1276"/>
        </w:tabs>
        <w:ind w:left="1276" w:hanging="12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FF5B18"/>
    <w:multiLevelType w:val="hybridMultilevel"/>
    <w:tmpl w:val="BF10745E"/>
    <w:lvl w:ilvl="0" w:tplc="941684DA">
      <w:start w:val="1"/>
      <w:numFmt w:val="bullet"/>
      <w:lvlText w:val="•"/>
      <w:lvlJc w:val="left"/>
      <w:pPr>
        <w:tabs>
          <w:tab w:val="num" w:pos="720"/>
        </w:tabs>
        <w:ind w:left="720" w:hanging="360"/>
      </w:pPr>
      <w:rPr>
        <w:rFonts w:ascii="Arial" w:hAnsi="Arial" w:hint="default"/>
      </w:rPr>
    </w:lvl>
    <w:lvl w:ilvl="1" w:tplc="137A98B8" w:tentative="1">
      <w:start w:val="1"/>
      <w:numFmt w:val="bullet"/>
      <w:lvlText w:val="•"/>
      <w:lvlJc w:val="left"/>
      <w:pPr>
        <w:tabs>
          <w:tab w:val="num" w:pos="1440"/>
        </w:tabs>
        <w:ind w:left="1440" w:hanging="360"/>
      </w:pPr>
      <w:rPr>
        <w:rFonts w:ascii="Arial" w:hAnsi="Arial" w:hint="default"/>
      </w:rPr>
    </w:lvl>
    <w:lvl w:ilvl="2" w:tplc="3B6AB0D2" w:tentative="1">
      <w:start w:val="1"/>
      <w:numFmt w:val="bullet"/>
      <w:lvlText w:val="•"/>
      <w:lvlJc w:val="left"/>
      <w:pPr>
        <w:tabs>
          <w:tab w:val="num" w:pos="2160"/>
        </w:tabs>
        <w:ind w:left="2160" w:hanging="360"/>
      </w:pPr>
      <w:rPr>
        <w:rFonts w:ascii="Arial" w:hAnsi="Arial" w:hint="default"/>
      </w:rPr>
    </w:lvl>
    <w:lvl w:ilvl="3" w:tplc="1820C33E" w:tentative="1">
      <w:start w:val="1"/>
      <w:numFmt w:val="bullet"/>
      <w:lvlText w:val="•"/>
      <w:lvlJc w:val="left"/>
      <w:pPr>
        <w:tabs>
          <w:tab w:val="num" w:pos="2880"/>
        </w:tabs>
        <w:ind w:left="2880" w:hanging="360"/>
      </w:pPr>
      <w:rPr>
        <w:rFonts w:ascii="Arial" w:hAnsi="Arial" w:hint="default"/>
      </w:rPr>
    </w:lvl>
    <w:lvl w:ilvl="4" w:tplc="9FB6A714" w:tentative="1">
      <w:start w:val="1"/>
      <w:numFmt w:val="bullet"/>
      <w:lvlText w:val="•"/>
      <w:lvlJc w:val="left"/>
      <w:pPr>
        <w:tabs>
          <w:tab w:val="num" w:pos="3600"/>
        </w:tabs>
        <w:ind w:left="3600" w:hanging="360"/>
      </w:pPr>
      <w:rPr>
        <w:rFonts w:ascii="Arial" w:hAnsi="Arial" w:hint="default"/>
      </w:rPr>
    </w:lvl>
    <w:lvl w:ilvl="5" w:tplc="419EA098" w:tentative="1">
      <w:start w:val="1"/>
      <w:numFmt w:val="bullet"/>
      <w:lvlText w:val="•"/>
      <w:lvlJc w:val="left"/>
      <w:pPr>
        <w:tabs>
          <w:tab w:val="num" w:pos="4320"/>
        </w:tabs>
        <w:ind w:left="4320" w:hanging="360"/>
      </w:pPr>
      <w:rPr>
        <w:rFonts w:ascii="Arial" w:hAnsi="Arial" w:hint="default"/>
      </w:rPr>
    </w:lvl>
    <w:lvl w:ilvl="6" w:tplc="79763BE2" w:tentative="1">
      <w:start w:val="1"/>
      <w:numFmt w:val="bullet"/>
      <w:lvlText w:val="•"/>
      <w:lvlJc w:val="left"/>
      <w:pPr>
        <w:tabs>
          <w:tab w:val="num" w:pos="5040"/>
        </w:tabs>
        <w:ind w:left="5040" w:hanging="360"/>
      </w:pPr>
      <w:rPr>
        <w:rFonts w:ascii="Arial" w:hAnsi="Arial" w:hint="default"/>
      </w:rPr>
    </w:lvl>
    <w:lvl w:ilvl="7" w:tplc="9806AA36" w:tentative="1">
      <w:start w:val="1"/>
      <w:numFmt w:val="bullet"/>
      <w:lvlText w:val="•"/>
      <w:lvlJc w:val="left"/>
      <w:pPr>
        <w:tabs>
          <w:tab w:val="num" w:pos="5760"/>
        </w:tabs>
        <w:ind w:left="5760" w:hanging="360"/>
      </w:pPr>
      <w:rPr>
        <w:rFonts w:ascii="Arial" w:hAnsi="Arial" w:hint="default"/>
      </w:rPr>
    </w:lvl>
    <w:lvl w:ilvl="8" w:tplc="54F0D470" w:tentative="1">
      <w:start w:val="1"/>
      <w:numFmt w:val="bullet"/>
      <w:lvlText w:val="•"/>
      <w:lvlJc w:val="left"/>
      <w:pPr>
        <w:tabs>
          <w:tab w:val="num" w:pos="6480"/>
        </w:tabs>
        <w:ind w:left="6480" w:hanging="360"/>
      </w:pPr>
      <w:rPr>
        <w:rFonts w:ascii="Arial" w:hAnsi="Arial" w:hint="default"/>
      </w:rPr>
    </w:lvl>
  </w:abstractNum>
  <w:abstractNum w:abstractNumId="26">
    <w:nsid w:val="784D033C"/>
    <w:multiLevelType w:val="multilevel"/>
    <w:tmpl w:val="4E7A077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FBA4F4B"/>
    <w:multiLevelType w:val="hybridMultilevel"/>
    <w:tmpl w:val="4BCE7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FD43D34"/>
    <w:multiLevelType w:val="hybridMultilevel"/>
    <w:tmpl w:val="8668BE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26"/>
  </w:num>
  <w:num w:numId="4">
    <w:abstractNumId w:val="13"/>
  </w:num>
  <w:num w:numId="5">
    <w:abstractNumId w:val="14"/>
  </w:num>
  <w:num w:numId="6">
    <w:abstractNumId w:val="28"/>
  </w:num>
  <w:num w:numId="7">
    <w:abstractNumId w:val="0"/>
  </w:num>
  <w:num w:numId="8">
    <w:abstractNumId w:val="19"/>
  </w:num>
  <w:num w:numId="9">
    <w:abstractNumId w:val="10"/>
  </w:num>
  <w:num w:numId="10">
    <w:abstractNumId w:val="24"/>
  </w:num>
  <w:num w:numId="11">
    <w:abstractNumId w:val="18"/>
  </w:num>
  <w:num w:numId="12">
    <w:abstractNumId w:val="3"/>
  </w:num>
  <w:num w:numId="13">
    <w:abstractNumId w:val="1"/>
  </w:num>
  <w:num w:numId="14">
    <w:abstractNumId w:val="9"/>
  </w:num>
  <w:num w:numId="15">
    <w:abstractNumId w:val="26"/>
  </w:num>
  <w:num w:numId="16">
    <w:abstractNumId w:val="4"/>
  </w:num>
  <w:num w:numId="17">
    <w:abstractNumId w:val="25"/>
  </w:num>
  <w:num w:numId="18">
    <w:abstractNumId w:val="16"/>
  </w:num>
  <w:num w:numId="19">
    <w:abstractNumId w:val="26"/>
  </w:num>
  <w:num w:numId="20">
    <w:abstractNumId w:val="21"/>
  </w:num>
  <w:num w:numId="21">
    <w:abstractNumId w:val="17"/>
  </w:num>
  <w:num w:numId="22">
    <w:abstractNumId w:val="5"/>
  </w:num>
  <w:num w:numId="23">
    <w:abstractNumId w:val="12"/>
  </w:num>
  <w:num w:numId="24">
    <w:abstractNumId w:val="11"/>
  </w:num>
  <w:num w:numId="25">
    <w:abstractNumId w:val="8"/>
  </w:num>
  <w:num w:numId="26">
    <w:abstractNumId w:val="23"/>
  </w:num>
  <w:num w:numId="27">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15"/>
  </w:num>
  <w:num w:numId="31">
    <w:abstractNumId w:val="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65E79"/>
    <w:rsid w:val="00000790"/>
    <w:rsid w:val="00000BE6"/>
    <w:rsid w:val="0000110B"/>
    <w:rsid w:val="0000177E"/>
    <w:rsid w:val="00001A65"/>
    <w:rsid w:val="00002834"/>
    <w:rsid w:val="000039A1"/>
    <w:rsid w:val="00004315"/>
    <w:rsid w:val="0000647A"/>
    <w:rsid w:val="00006752"/>
    <w:rsid w:val="00007A7D"/>
    <w:rsid w:val="000100E1"/>
    <w:rsid w:val="00010567"/>
    <w:rsid w:val="000114C9"/>
    <w:rsid w:val="00012687"/>
    <w:rsid w:val="00012E58"/>
    <w:rsid w:val="00013247"/>
    <w:rsid w:val="0001388C"/>
    <w:rsid w:val="00015886"/>
    <w:rsid w:val="000162EF"/>
    <w:rsid w:val="0001686F"/>
    <w:rsid w:val="00016B8A"/>
    <w:rsid w:val="0002187E"/>
    <w:rsid w:val="0002225F"/>
    <w:rsid w:val="00022F29"/>
    <w:rsid w:val="00023398"/>
    <w:rsid w:val="00023763"/>
    <w:rsid w:val="00023ED5"/>
    <w:rsid w:val="00023F68"/>
    <w:rsid w:val="0002502C"/>
    <w:rsid w:val="0002559C"/>
    <w:rsid w:val="00026095"/>
    <w:rsid w:val="00026110"/>
    <w:rsid w:val="00026255"/>
    <w:rsid w:val="00026678"/>
    <w:rsid w:val="00030264"/>
    <w:rsid w:val="00030C84"/>
    <w:rsid w:val="00030D64"/>
    <w:rsid w:val="00031471"/>
    <w:rsid w:val="00032FB7"/>
    <w:rsid w:val="000336AB"/>
    <w:rsid w:val="000343DF"/>
    <w:rsid w:val="00034606"/>
    <w:rsid w:val="00036510"/>
    <w:rsid w:val="00036791"/>
    <w:rsid w:val="00040895"/>
    <w:rsid w:val="00041ABB"/>
    <w:rsid w:val="0004231D"/>
    <w:rsid w:val="000432A1"/>
    <w:rsid w:val="0004396F"/>
    <w:rsid w:val="00043B21"/>
    <w:rsid w:val="00043C37"/>
    <w:rsid w:val="000443E4"/>
    <w:rsid w:val="000476E9"/>
    <w:rsid w:val="000515B5"/>
    <w:rsid w:val="00052503"/>
    <w:rsid w:val="000544A7"/>
    <w:rsid w:val="000546D7"/>
    <w:rsid w:val="00054716"/>
    <w:rsid w:val="00054BA2"/>
    <w:rsid w:val="00055DC9"/>
    <w:rsid w:val="000568B9"/>
    <w:rsid w:val="00057064"/>
    <w:rsid w:val="00060406"/>
    <w:rsid w:val="0006046E"/>
    <w:rsid w:val="000618D2"/>
    <w:rsid w:val="00062E81"/>
    <w:rsid w:val="00065753"/>
    <w:rsid w:val="00066B5E"/>
    <w:rsid w:val="000672F0"/>
    <w:rsid w:val="0006751F"/>
    <w:rsid w:val="0006752F"/>
    <w:rsid w:val="00071248"/>
    <w:rsid w:val="000713C2"/>
    <w:rsid w:val="00071DCE"/>
    <w:rsid w:val="000720B9"/>
    <w:rsid w:val="00072668"/>
    <w:rsid w:val="00074588"/>
    <w:rsid w:val="00075154"/>
    <w:rsid w:val="000756F8"/>
    <w:rsid w:val="000759BD"/>
    <w:rsid w:val="00076464"/>
    <w:rsid w:val="000768BB"/>
    <w:rsid w:val="0007721D"/>
    <w:rsid w:val="000773E6"/>
    <w:rsid w:val="0007789E"/>
    <w:rsid w:val="00077B92"/>
    <w:rsid w:val="00077E49"/>
    <w:rsid w:val="00080270"/>
    <w:rsid w:val="00080DC0"/>
    <w:rsid w:val="000812CA"/>
    <w:rsid w:val="00081D72"/>
    <w:rsid w:val="00081F3B"/>
    <w:rsid w:val="00082F7D"/>
    <w:rsid w:val="0008382B"/>
    <w:rsid w:val="000842A7"/>
    <w:rsid w:val="000850FB"/>
    <w:rsid w:val="00085350"/>
    <w:rsid w:val="00086C13"/>
    <w:rsid w:val="00086D95"/>
    <w:rsid w:val="000878A5"/>
    <w:rsid w:val="00090C7E"/>
    <w:rsid w:val="00092E23"/>
    <w:rsid w:val="00095417"/>
    <w:rsid w:val="00095BEC"/>
    <w:rsid w:val="00096086"/>
    <w:rsid w:val="00096771"/>
    <w:rsid w:val="00096D62"/>
    <w:rsid w:val="00096F11"/>
    <w:rsid w:val="00097DA7"/>
    <w:rsid w:val="000A0115"/>
    <w:rsid w:val="000A1D28"/>
    <w:rsid w:val="000A27D3"/>
    <w:rsid w:val="000A366E"/>
    <w:rsid w:val="000A423F"/>
    <w:rsid w:val="000A4411"/>
    <w:rsid w:val="000A4D5A"/>
    <w:rsid w:val="000A5A4C"/>
    <w:rsid w:val="000A677E"/>
    <w:rsid w:val="000A7C55"/>
    <w:rsid w:val="000A7FD8"/>
    <w:rsid w:val="000B2BB4"/>
    <w:rsid w:val="000B2FF9"/>
    <w:rsid w:val="000B3090"/>
    <w:rsid w:val="000B4CF8"/>
    <w:rsid w:val="000B5039"/>
    <w:rsid w:val="000B5270"/>
    <w:rsid w:val="000B52B9"/>
    <w:rsid w:val="000B6D24"/>
    <w:rsid w:val="000B7560"/>
    <w:rsid w:val="000B7E9D"/>
    <w:rsid w:val="000C0211"/>
    <w:rsid w:val="000C0CE5"/>
    <w:rsid w:val="000C151E"/>
    <w:rsid w:val="000C1728"/>
    <w:rsid w:val="000C1D7D"/>
    <w:rsid w:val="000C36B5"/>
    <w:rsid w:val="000C41BB"/>
    <w:rsid w:val="000C5DD5"/>
    <w:rsid w:val="000D1BFC"/>
    <w:rsid w:val="000D503E"/>
    <w:rsid w:val="000D57DB"/>
    <w:rsid w:val="000D5DF3"/>
    <w:rsid w:val="000D6190"/>
    <w:rsid w:val="000D682F"/>
    <w:rsid w:val="000D7D67"/>
    <w:rsid w:val="000D7E97"/>
    <w:rsid w:val="000E09CF"/>
    <w:rsid w:val="000E2232"/>
    <w:rsid w:val="000E2359"/>
    <w:rsid w:val="000E2C70"/>
    <w:rsid w:val="000E2DB9"/>
    <w:rsid w:val="000E341D"/>
    <w:rsid w:val="000E37C0"/>
    <w:rsid w:val="000E3BFF"/>
    <w:rsid w:val="000E443B"/>
    <w:rsid w:val="000E4CFD"/>
    <w:rsid w:val="000E5A52"/>
    <w:rsid w:val="000E7142"/>
    <w:rsid w:val="000E7C77"/>
    <w:rsid w:val="000E7FEC"/>
    <w:rsid w:val="000F07AF"/>
    <w:rsid w:val="000F25E5"/>
    <w:rsid w:val="000F34AC"/>
    <w:rsid w:val="000F3C0E"/>
    <w:rsid w:val="000F611B"/>
    <w:rsid w:val="000F6867"/>
    <w:rsid w:val="000F7CAA"/>
    <w:rsid w:val="00100F8A"/>
    <w:rsid w:val="00102A06"/>
    <w:rsid w:val="00104F24"/>
    <w:rsid w:val="0010611E"/>
    <w:rsid w:val="0010616F"/>
    <w:rsid w:val="0010627E"/>
    <w:rsid w:val="0010679A"/>
    <w:rsid w:val="001074E2"/>
    <w:rsid w:val="0011032E"/>
    <w:rsid w:val="001106AF"/>
    <w:rsid w:val="001113B9"/>
    <w:rsid w:val="00111E02"/>
    <w:rsid w:val="00112362"/>
    <w:rsid w:val="00112952"/>
    <w:rsid w:val="00113A3D"/>
    <w:rsid w:val="00115100"/>
    <w:rsid w:val="0011599F"/>
    <w:rsid w:val="00117598"/>
    <w:rsid w:val="001175C4"/>
    <w:rsid w:val="0012057E"/>
    <w:rsid w:val="00120875"/>
    <w:rsid w:val="00120E55"/>
    <w:rsid w:val="00121799"/>
    <w:rsid w:val="001222FC"/>
    <w:rsid w:val="00124A51"/>
    <w:rsid w:val="00124BA3"/>
    <w:rsid w:val="00124E8E"/>
    <w:rsid w:val="00125750"/>
    <w:rsid w:val="00125D45"/>
    <w:rsid w:val="00126521"/>
    <w:rsid w:val="00126621"/>
    <w:rsid w:val="00126F9B"/>
    <w:rsid w:val="001301E9"/>
    <w:rsid w:val="0013061C"/>
    <w:rsid w:val="001311B3"/>
    <w:rsid w:val="001317D1"/>
    <w:rsid w:val="0013186A"/>
    <w:rsid w:val="00131B5F"/>
    <w:rsid w:val="001327A3"/>
    <w:rsid w:val="0013345B"/>
    <w:rsid w:val="001338CA"/>
    <w:rsid w:val="00134E9E"/>
    <w:rsid w:val="001352EB"/>
    <w:rsid w:val="00135BDE"/>
    <w:rsid w:val="0013629F"/>
    <w:rsid w:val="001367FD"/>
    <w:rsid w:val="00137595"/>
    <w:rsid w:val="00137645"/>
    <w:rsid w:val="0014015A"/>
    <w:rsid w:val="00140E75"/>
    <w:rsid w:val="00140E99"/>
    <w:rsid w:val="001419B0"/>
    <w:rsid w:val="00141D8A"/>
    <w:rsid w:val="0014255B"/>
    <w:rsid w:val="001428AC"/>
    <w:rsid w:val="00142A34"/>
    <w:rsid w:val="00142D3C"/>
    <w:rsid w:val="001456B0"/>
    <w:rsid w:val="00145F60"/>
    <w:rsid w:val="001463B1"/>
    <w:rsid w:val="00146FA9"/>
    <w:rsid w:val="00147860"/>
    <w:rsid w:val="001516C9"/>
    <w:rsid w:val="00151EDD"/>
    <w:rsid w:val="00152632"/>
    <w:rsid w:val="00152891"/>
    <w:rsid w:val="00152F61"/>
    <w:rsid w:val="001535ED"/>
    <w:rsid w:val="00153ED2"/>
    <w:rsid w:val="00153F13"/>
    <w:rsid w:val="0015697B"/>
    <w:rsid w:val="00157130"/>
    <w:rsid w:val="00157670"/>
    <w:rsid w:val="00160B6B"/>
    <w:rsid w:val="00160D6B"/>
    <w:rsid w:val="001620AC"/>
    <w:rsid w:val="00162913"/>
    <w:rsid w:val="00162CAC"/>
    <w:rsid w:val="00162E7E"/>
    <w:rsid w:val="00163EFF"/>
    <w:rsid w:val="00164FD6"/>
    <w:rsid w:val="00165317"/>
    <w:rsid w:val="001659C5"/>
    <w:rsid w:val="001661FB"/>
    <w:rsid w:val="001673CD"/>
    <w:rsid w:val="0017135B"/>
    <w:rsid w:val="00171A7E"/>
    <w:rsid w:val="0017271D"/>
    <w:rsid w:val="00172A17"/>
    <w:rsid w:val="00175170"/>
    <w:rsid w:val="00175B1A"/>
    <w:rsid w:val="00177887"/>
    <w:rsid w:val="00177A88"/>
    <w:rsid w:val="00182152"/>
    <w:rsid w:val="00182C16"/>
    <w:rsid w:val="001830FF"/>
    <w:rsid w:val="0018402F"/>
    <w:rsid w:val="00184096"/>
    <w:rsid w:val="0018498F"/>
    <w:rsid w:val="00187273"/>
    <w:rsid w:val="00187476"/>
    <w:rsid w:val="00190DCA"/>
    <w:rsid w:val="00191A7F"/>
    <w:rsid w:val="00191ACD"/>
    <w:rsid w:val="00191CCC"/>
    <w:rsid w:val="0019473F"/>
    <w:rsid w:val="00194C6A"/>
    <w:rsid w:val="00195222"/>
    <w:rsid w:val="00195A19"/>
    <w:rsid w:val="001971A6"/>
    <w:rsid w:val="001975D8"/>
    <w:rsid w:val="0019775D"/>
    <w:rsid w:val="00197AA2"/>
    <w:rsid w:val="001A0567"/>
    <w:rsid w:val="001A1606"/>
    <w:rsid w:val="001A1FE7"/>
    <w:rsid w:val="001A2DD4"/>
    <w:rsid w:val="001A3554"/>
    <w:rsid w:val="001A3A53"/>
    <w:rsid w:val="001A41F4"/>
    <w:rsid w:val="001A5DC1"/>
    <w:rsid w:val="001A6016"/>
    <w:rsid w:val="001A6352"/>
    <w:rsid w:val="001A7106"/>
    <w:rsid w:val="001A7354"/>
    <w:rsid w:val="001A74EA"/>
    <w:rsid w:val="001B2D68"/>
    <w:rsid w:val="001B3443"/>
    <w:rsid w:val="001B4A6F"/>
    <w:rsid w:val="001B4F14"/>
    <w:rsid w:val="001B4F65"/>
    <w:rsid w:val="001B5FE3"/>
    <w:rsid w:val="001B6188"/>
    <w:rsid w:val="001B65AB"/>
    <w:rsid w:val="001B6DBA"/>
    <w:rsid w:val="001B757A"/>
    <w:rsid w:val="001B7795"/>
    <w:rsid w:val="001C1030"/>
    <w:rsid w:val="001C18F8"/>
    <w:rsid w:val="001C2AEA"/>
    <w:rsid w:val="001C5854"/>
    <w:rsid w:val="001C5A9B"/>
    <w:rsid w:val="001C62E1"/>
    <w:rsid w:val="001C6931"/>
    <w:rsid w:val="001C6AAD"/>
    <w:rsid w:val="001C6B11"/>
    <w:rsid w:val="001C6E66"/>
    <w:rsid w:val="001C6EF7"/>
    <w:rsid w:val="001C6F62"/>
    <w:rsid w:val="001D02C1"/>
    <w:rsid w:val="001D108D"/>
    <w:rsid w:val="001D112E"/>
    <w:rsid w:val="001D1BB6"/>
    <w:rsid w:val="001D2040"/>
    <w:rsid w:val="001D27F7"/>
    <w:rsid w:val="001D2CD4"/>
    <w:rsid w:val="001D4909"/>
    <w:rsid w:val="001D50FE"/>
    <w:rsid w:val="001D5FB5"/>
    <w:rsid w:val="001E0663"/>
    <w:rsid w:val="001E0B40"/>
    <w:rsid w:val="001E238E"/>
    <w:rsid w:val="001E240F"/>
    <w:rsid w:val="001E3833"/>
    <w:rsid w:val="001E397C"/>
    <w:rsid w:val="001E3BBB"/>
    <w:rsid w:val="001E508B"/>
    <w:rsid w:val="001E52C2"/>
    <w:rsid w:val="001E52EB"/>
    <w:rsid w:val="001E72D5"/>
    <w:rsid w:val="001E740C"/>
    <w:rsid w:val="001F0F9D"/>
    <w:rsid w:val="001F1235"/>
    <w:rsid w:val="001F1CB3"/>
    <w:rsid w:val="001F33CC"/>
    <w:rsid w:val="001F3EE1"/>
    <w:rsid w:val="001F4774"/>
    <w:rsid w:val="001F6AF8"/>
    <w:rsid w:val="001F7104"/>
    <w:rsid w:val="001F7361"/>
    <w:rsid w:val="0020170F"/>
    <w:rsid w:val="002022C0"/>
    <w:rsid w:val="002025FE"/>
    <w:rsid w:val="002027A5"/>
    <w:rsid w:val="0020282E"/>
    <w:rsid w:val="00204472"/>
    <w:rsid w:val="00204C2F"/>
    <w:rsid w:val="002054F1"/>
    <w:rsid w:val="00205A7C"/>
    <w:rsid w:val="00205D3E"/>
    <w:rsid w:val="00206255"/>
    <w:rsid w:val="00206865"/>
    <w:rsid w:val="00206F86"/>
    <w:rsid w:val="0021021F"/>
    <w:rsid w:val="002105C1"/>
    <w:rsid w:val="0021091C"/>
    <w:rsid w:val="00212297"/>
    <w:rsid w:val="00212B43"/>
    <w:rsid w:val="00214A52"/>
    <w:rsid w:val="00214E54"/>
    <w:rsid w:val="00214EFC"/>
    <w:rsid w:val="00215B69"/>
    <w:rsid w:val="002177F3"/>
    <w:rsid w:val="00220B18"/>
    <w:rsid w:val="0022203E"/>
    <w:rsid w:val="0022287A"/>
    <w:rsid w:val="00222E5F"/>
    <w:rsid w:val="00223B49"/>
    <w:rsid w:val="00224828"/>
    <w:rsid w:val="0022491E"/>
    <w:rsid w:val="00224DD4"/>
    <w:rsid w:val="002253F0"/>
    <w:rsid w:val="00225647"/>
    <w:rsid w:val="002264A4"/>
    <w:rsid w:val="00226504"/>
    <w:rsid w:val="00227AA6"/>
    <w:rsid w:val="002309CC"/>
    <w:rsid w:val="002316BC"/>
    <w:rsid w:val="0023295F"/>
    <w:rsid w:val="00232B93"/>
    <w:rsid w:val="00234A25"/>
    <w:rsid w:val="00234F47"/>
    <w:rsid w:val="00237AD0"/>
    <w:rsid w:val="00240703"/>
    <w:rsid w:val="002413B1"/>
    <w:rsid w:val="0024257C"/>
    <w:rsid w:val="00242C02"/>
    <w:rsid w:val="00245D33"/>
    <w:rsid w:val="00245F82"/>
    <w:rsid w:val="00246621"/>
    <w:rsid w:val="00246D4B"/>
    <w:rsid w:val="00246E28"/>
    <w:rsid w:val="002470F3"/>
    <w:rsid w:val="00247BF5"/>
    <w:rsid w:val="00247E74"/>
    <w:rsid w:val="00251485"/>
    <w:rsid w:val="00252859"/>
    <w:rsid w:val="0025534B"/>
    <w:rsid w:val="00255BB7"/>
    <w:rsid w:val="00257077"/>
    <w:rsid w:val="002570C5"/>
    <w:rsid w:val="00257696"/>
    <w:rsid w:val="002576D6"/>
    <w:rsid w:val="00257EAA"/>
    <w:rsid w:val="0026077A"/>
    <w:rsid w:val="00260F31"/>
    <w:rsid w:val="00262036"/>
    <w:rsid w:val="0026278F"/>
    <w:rsid w:val="002627B9"/>
    <w:rsid w:val="00262A87"/>
    <w:rsid w:val="0026376F"/>
    <w:rsid w:val="00263B2E"/>
    <w:rsid w:val="00263FD6"/>
    <w:rsid w:val="00264320"/>
    <w:rsid w:val="00264D03"/>
    <w:rsid w:val="00264D9B"/>
    <w:rsid w:val="00264DE4"/>
    <w:rsid w:val="00264FD1"/>
    <w:rsid w:val="0026605C"/>
    <w:rsid w:val="00266623"/>
    <w:rsid w:val="00266F25"/>
    <w:rsid w:val="00267055"/>
    <w:rsid w:val="0026752B"/>
    <w:rsid w:val="00270499"/>
    <w:rsid w:val="00273E17"/>
    <w:rsid w:val="00273F79"/>
    <w:rsid w:val="00274090"/>
    <w:rsid w:val="00274294"/>
    <w:rsid w:val="00275371"/>
    <w:rsid w:val="00275C5A"/>
    <w:rsid w:val="00276D81"/>
    <w:rsid w:val="00281E88"/>
    <w:rsid w:val="00282A32"/>
    <w:rsid w:val="00282D5F"/>
    <w:rsid w:val="00282FFC"/>
    <w:rsid w:val="0028394A"/>
    <w:rsid w:val="0028482F"/>
    <w:rsid w:val="00286428"/>
    <w:rsid w:val="00286808"/>
    <w:rsid w:val="00287735"/>
    <w:rsid w:val="0029074C"/>
    <w:rsid w:val="00291AC3"/>
    <w:rsid w:val="002933EC"/>
    <w:rsid w:val="00294F9E"/>
    <w:rsid w:val="00295938"/>
    <w:rsid w:val="00295B19"/>
    <w:rsid w:val="002A03BC"/>
    <w:rsid w:val="002A066F"/>
    <w:rsid w:val="002A14AB"/>
    <w:rsid w:val="002A14E5"/>
    <w:rsid w:val="002A2A73"/>
    <w:rsid w:val="002A2BE2"/>
    <w:rsid w:val="002A2C8B"/>
    <w:rsid w:val="002A35B3"/>
    <w:rsid w:val="002A4185"/>
    <w:rsid w:val="002A5884"/>
    <w:rsid w:val="002A6256"/>
    <w:rsid w:val="002A626A"/>
    <w:rsid w:val="002A647B"/>
    <w:rsid w:val="002A69CF"/>
    <w:rsid w:val="002A705B"/>
    <w:rsid w:val="002A7098"/>
    <w:rsid w:val="002A743C"/>
    <w:rsid w:val="002A7C86"/>
    <w:rsid w:val="002B1795"/>
    <w:rsid w:val="002B1C1F"/>
    <w:rsid w:val="002B1FF5"/>
    <w:rsid w:val="002B2B97"/>
    <w:rsid w:val="002B2C22"/>
    <w:rsid w:val="002B3A84"/>
    <w:rsid w:val="002B3FE0"/>
    <w:rsid w:val="002B432F"/>
    <w:rsid w:val="002B519B"/>
    <w:rsid w:val="002B627D"/>
    <w:rsid w:val="002B6CAE"/>
    <w:rsid w:val="002B6CCE"/>
    <w:rsid w:val="002C0893"/>
    <w:rsid w:val="002C14A1"/>
    <w:rsid w:val="002C193A"/>
    <w:rsid w:val="002C27C1"/>
    <w:rsid w:val="002C3530"/>
    <w:rsid w:val="002C36A6"/>
    <w:rsid w:val="002C5EE9"/>
    <w:rsid w:val="002C5F4D"/>
    <w:rsid w:val="002C7A29"/>
    <w:rsid w:val="002D1C47"/>
    <w:rsid w:val="002D2C93"/>
    <w:rsid w:val="002D33EB"/>
    <w:rsid w:val="002D35CF"/>
    <w:rsid w:val="002D42E3"/>
    <w:rsid w:val="002D5572"/>
    <w:rsid w:val="002D5653"/>
    <w:rsid w:val="002D5F6F"/>
    <w:rsid w:val="002D6297"/>
    <w:rsid w:val="002D78F6"/>
    <w:rsid w:val="002E0173"/>
    <w:rsid w:val="002E03E1"/>
    <w:rsid w:val="002E0FC7"/>
    <w:rsid w:val="002E136D"/>
    <w:rsid w:val="002E17D1"/>
    <w:rsid w:val="002E18C6"/>
    <w:rsid w:val="002E1B07"/>
    <w:rsid w:val="002E2070"/>
    <w:rsid w:val="002E3A0B"/>
    <w:rsid w:val="002E573E"/>
    <w:rsid w:val="002E6D86"/>
    <w:rsid w:val="002F09E9"/>
    <w:rsid w:val="002F0E5C"/>
    <w:rsid w:val="002F285F"/>
    <w:rsid w:val="002F30CA"/>
    <w:rsid w:val="002F3F85"/>
    <w:rsid w:val="002F44D6"/>
    <w:rsid w:val="002F480B"/>
    <w:rsid w:val="002F530E"/>
    <w:rsid w:val="002F57E8"/>
    <w:rsid w:val="002F61AC"/>
    <w:rsid w:val="002F6CD2"/>
    <w:rsid w:val="00300BE4"/>
    <w:rsid w:val="00300E8A"/>
    <w:rsid w:val="00301017"/>
    <w:rsid w:val="003011A8"/>
    <w:rsid w:val="003015C6"/>
    <w:rsid w:val="0030213F"/>
    <w:rsid w:val="003026ED"/>
    <w:rsid w:val="00302D7B"/>
    <w:rsid w:val="0030438B"/>
    <w:rsid w:val="00304C1D"/>
    <w:rsid w:val="00306140"/>
    <w:rsid w:val="00307693"/>
    <w:rsid w:val="0030786C"/>
    <w:rsid w:val="00307ABC"/>
    <w:rsid w:val="00307D6D"/>
    <w:rsid w:val="0031031A"/>
    <w:rsid w:val="00310AEE"/>
    <w:rsid w:val="00310CB1"/>
    <w:rsid w:val="0031102F"/>
    <w:rsid w:val="003115AD"/>
    <w:rsid w:val="00311B68"/>
    <w:rsid w:val="00311FD6"/>
    <w:rsid w:val="00312B4E"/>
    <w:rsid w:val="003136C3"/>
    <w:rsid w:val="00314421"/>
    <w:rsid w:val="003144A1"/>
    <w:rsid w:val="00315179"/>
    <w:rsid w:val="0031528B"/>
    <w:rsid w:val="00315498"/>
    <w:rsid w:val="003157AC"/>
    <w:rsid w:val="0031675D"/>
    <w:rsid w:val="0031679B"/>
    <w:rsid w:val="00316A71"/>
    <w:rsid w:val="003214CE"/>
    <w:rsid w:val="0032163B"/>
    <w:rsid w:val="00321814"/>
    <w:rsid w:val="00321D77"/>
    <w:rsid w:val="003221FE"/>
    <w:rsid w:val="003231C7"/>
    <w:rsid w:val="00323311"/>
    <w:rsid w:val="00323CBF"/>
    <w:rsid w:val="0032429F"/>
    <w:rsid w:val="003247A8"/>
    <w:rsid w:val="003251AB"/>
    <w:rsid w:val="00325439"/>
    <w:rsid w:val="00326033"/>
    <w:rsid w:val="00327736"/>
    <w:rsid w:val="00330666"/>
    <w:rsid w:val="003316D4"/>
    <w:rsid w:val="0033190F"/>
    <w:rsid w:val="00332054"/>
    <w:rsid w:val="00332399"/>
    <w:rsid w:val="00332963"/>
    <w:rsid w:val="00332B09"/>
    <w:rsid w:val="00332E0C"/>
    <w:rsid w:val="00333199"/>
    <w:rsid w:val="003347A0"/>
    <w:rsid w:val="0033540B"/>
    <w:rsid w:val="003355CC"/>
    <w:rsid w:val="003366C9"/>
    <w:rsid w:val="00336FEF"/>
    <w:rsid w:val="00337009"/>
    <w:rsid w:val="00337151"/>
    <w:rsid w:val="003405DF"/>
    <w:rsid w:val="0034115D"/>
    <w:rsid w:val="003415B5"/>
    <w:rsid w:val="003418E2"/>
    <w:rsid w:val="00341AA9"/>
    <w:rsid w:val="00341C1D"/>
    <w:rsid w:val="00341C30"/>
    <w:rsid w:val="00342295"/>
    <w:rsid w:val="00342525"/>
    <w:rsid w:val="003427CD"/>
    <w:rsid w:val="00342F6F"/>
    <w:rsid w:val="00343A80"/>
    <w:rsid w:val="003440C4"/>
    <w:rsid w:val="003445B4"/>
    <w:rsid w:val="00344D62"/>
    <w:rsid w:val="003452C3"/>
    <w:rsid w:val="003456B2"/>
    <w:rsid w:val="003461B0"/>
    <w:rsid w:val="00346255"/>
    <w:rsid w:val="003462A7"/>
    <w:rsid w:val="00346333"/>
    <w:rsid w:val="003501E5"/>
    <w:rsid w:val="00350F9E"/>
    <w:rsid w:val="00351302"/>
    <w:rsid w:val="00351630"/>
    <w:rsid w:val="00352615"/>
    <w:rsid w:val="00353507"/>
    <w:rsid w:val="0035499D"/>
    <w:rsid w:val="00354B07"/>
    <w:rsid w:val="00355F69"/>
    <w:rsid w:val="0035620E"/>
    <w:rsid w:val="003564B9"/>
    <w:rsid w:val="003575A9"/>
    <w:rsid w:val="00357837"/>
    <w:rsid w:val="00357F43"/>
    <w:rsid w:val="003601F1"/>
    <w:rsid w:val="003627DD"/>
    <w:rsid w:val="00363B39"/>
    <w:rsid w:val="0036550A"/>
    <w:rsid w:val="00366D6A"/>
    <w:rsid w:val="00366D6F"/>
    <w:rsid w:val="003705C6"/>
    <w:rsid w:val="00370ED4"/>
    <w:rsid w:val="00370F89"/>
    <w:rsid w:val="00371339"/>
    <w:rsid w:val="00371C11"/>
    <w:rsid w:val="00372BA8"/>
    <w:rsid w:val="00373F85"/>
    <w:rsid w:val="00374406"/>
    <w:rsid w:val="00374762"/>
    <w:rsid w:val="003750CF"/>
    <w:rsid w:val="00375492"/>
    <w:rsid w:val="0037645F"/>
    <w:rsid w:val="00377AE3"/>
    <w:rsid w:val="003802EF"/>
    <w:rsid w:val="00380DF3"/>
    <w:rsid w:val="003811A5"/>
    <w:rsid w:val="00381E33"/>
    <w:rsid w:val="00382D35"/>
    <w:rsid w:val="0038365C"/>
    <w:rsid w:val="00383EEE"/>
    <w:rsid w:val="0038465D"/>
    <w:rsid w:val="003853F9"/>
    <w:rsid w:val="0038682D"/>
    <w:rsid w:val="003874F2"/>
    <w:rsid w:val="0039048A"/>
    <w:rsid w:val="00390A21"/>
    <w:rsid w:val="0039156F"/>
    <w:rsid w:val="00392F80"/>
    <w:rsid w:val="00393F75"/>
    <w:rsid w:val="00394014"/>
    <w:rsid w:val="00394DC7"/>
    <w:rsid w:val="00394DC9"/>
    <w:rsid w:val="0039569F"/>
    <w:rsid w:val="00396FD0"/>
    <w:rsid w:val="00397FF1"/>
    <w:rsid w:val="003A011A"/>
    <w:rsid w:val="003A0CA1"/>
    <w:rsid w:val="003A1A7A"/>
    <w:rsid w:val="003A1CFC"/>
    <w:rsid w:val="003A291A"/>
    <w:rsid w:val="003A2ABE"/>
    <w:rsid w:val="003A2C74"/>
    <w:rsid w:val="003A32F9"/>
    <w:rsid w:val="003A3678"/>
    <w:rsid w:val="003A3C1D"/>
    <w:rsid w:val="003A4341"/>
    <w:rsid w:val="003A48AF"/>
    <w:rsid w:val="003A75B7"/>
    <w:rsid w:val="003A7C14"/>
    <w:rsid w:val="003B073D"/>
    <w:rsid w:val="003B0D71"/>
    <w:rsid w:val="003B1548"/>
    <w:rsid w:val="003B4A15"/>
    <w:rsid w:val="003B5838"/>
    <w:rsid w:val="003B5CBF"/>
    <w:rsid w:val="003C0270"/>
    <w:rsid w:val="003C0969"/>
    <w:rsid w:val="003C09AA"/>
    <w:rsid w:val="003C1450"/>
    <w:rsid w:val="003C1550"/>
    <w:rsid w:val="003C19AB"/>
    <w:rsid w:val="003C218C"/>
    <w:rsid w:val="003C2D1F"/>
    <w:rsid w:val="003C3481"/>
    <w:rsid w:val="003C3CEC"/>
    <w:rsid w:val="003C60D0"/>
    <w:rsid w:val="003C69BC"/>
    <w:rsid w:val="003C7EC8"/>
    <w:rsid w:val="003D09F0"/>
    <w:rsid w:val="003D10B1"/>
    <w:rsid w:val="003D10C3"/>
    <w:rsid w:val="003D17BD"/>
    <w:rsid w:val="003D1828"/>
    <w:rsid w:val="003D2422"/>
    <w:rsid w:val="003D34D8"/>
    <w:rsid w:val="003D364B"/>
    <w:rsid w:val="003D4C68"/>
    <w:rsid w:val="003D5BD7"/>
    <w:rsid w:val="003D7FE1"/>
    <w:rsid w:val="003E0DC5"/>
    <w:rsid w:val="003E3A4F"/>
    <w:rsid w:val="003E474E"/>
    <w:rsid w:val="003E4AFF"/>
    <w:rsid w:val="003E4BC8"/>
    <w:rsid w:val="003E52BF"/>
    <w:rsid w:val="003E61F8"/>
    <w:rsid w:val="003F11CE"/>
    <w:rsid w:val="003F11F1"/>
    <w:rsid w:val="003F18E7"/>
    <w:rsid w:val="003F1C38"/>
    <w:rsid w:val="003F2760"/>
    <w:rsid w:val="003F2ECC"/>
    <w:rsid w:val="003F365A"/>
    <w:rsid w:val="003F3DDB"/>
    <w:rsid w:val="003F4156"/>
    <w:rsid w:val="003F6965"/>
    <w:rsid w:val="003F6E37"/>
    <w:rsid w:val="003F71C2"/>
    <w:rsid w:val="00401CBB"/>
    <w:rsid w:val="00403B6D"/>
    <w:rsid w:val="004101D4"/>
    <w:rsid w:val="004102AF"/>
    <w:rsid w:val="00410868"/>
    <w:rsid w:val="00410A83"/>
    <w:rsid w:val="00410B9C"/>
    <w:rsid w:val="00410EC7"/>
    <w:rsid w:val="00411361"/>
    <w:rsid w:val="00411A9B"/>
    <w:rsid w:val="00412805"/>
    <w:rsid w:val="00412B7D"/>
    <w:rsid w:val="00414476"/>
    <w:rsid w:val="00414B8F"/>
    <w:rsid w:val="00415518"/>
    <w:rsid w:val="0041581D"/>
    <w:rsid w:val="00415C8E"/>
    <w:rsid w:val="00416CA5"/>
    <w:rsid w:val="00417371"/>
    <w:rsid w:val="00420B9F"/>
    <w:rsid w:val="00421481"/>
    <w:rsid w:val="00421EF4"/>
    <w:rsid w:val="00422B0C"/>
    <w:rsid w:val="00422B73"/>
    <w:rsid w:val="004237BE"/>
    <w:rsid w:val="0042403C"/>
    <w:rsid w:val="00425519"/>
    <w:rsid w:val="004257FE"/>
    <w:rsid w:val="00425CB2"/>
    <w:rsid w:val="00427654"/>
    <w:rsid w:val="00431357"/>
    <w:rsid w:val="004314FD"/>
    <w:rsid w:val="004319F8"/>
    <w:rsid w:val="0043280A"/>
    <w:rsid w:val="004328B8"/>
    <w:rsid w:val="004331B1"/>
    <w:rsid w:val="00433791"/>
    <w:rsid w:val="004337EE"/>
    <w:rsid w:val="004362FA"/>
    <w:rsid w:val="00436463"/>
    <w:rsid w:val="00437107"/>
    <w:rsid w:val="004405E2"/>
    <w:rsid w:val="00440E98"/>
    <w:rsid w:val="004421E6"/>
    <w:rsid w:val="0044243E"/>
    <w:rsid w:val="00442557"/>
    <w:rsid w:val="004443A7"/>
    <w:rsid w:val="00444A0C"/>
    <w:rsid w:val="0044640B"/>
    <w:rsid w:val="004464EB"/>
    <w:rsid w:val="004466BF"/>
    <w:rsid w:val="00446B60"/>
    <w:rsid w:val="00450013"/>
    <w:rsid w:val="00450685"/>
    <w:rsid w:val="00451570"/>
    <w:rsid w:val="0045255C"/>
    <w:rsid w:val="00453585"/>
    <w:rsid w:val="00455D45"/>
    <w:rsid w:val="00455EEE"/>
    <w:rsid w:val="00456F03"/>
    <w:rsid w:val="00457B1F"/>
    <w:rsid w:val="00461BC8"/>
    <w:rsid w:val="0046340F"/>
    <w:rsid w:val="00463FEB"/>
    <w:rsid w:val="00464595"/>
    <w:rsid w:val="0046495D"/>
    <w:rsid w:val="004663E4"/>
    <w:rsid w:val="00466617"/>
    <w:rsid w:val="00466A3C"/>
    <w:rsid w:val="00466DD9"/>
    <w:rsid w:val="00467111"/>
    <w:rsid w:val="004674C0"/>
    <w:rsid w:val="00467CC3"/>
    <w:rsid w:val="00467EFB"/>
    <w:rsid w:val="0047026F"/>
    <w:rsid w:val="00472359"/>
    <w:rsid w:val="00472A12"/>
    <w:rsid w:val="00473833"/>
    <w:rsid w:val="00473942"/>
    <w:rsid w:val="00473AEB"/>
    <w:rsid w:val="00474308"/>
    <w:rsid w:val="0047456A"/>
    <w:rsid w:val="0047469F"/>
    <w:rsid w:val="00475C52"/>
    <w:rsid w:val="00476F20"/>
    <w:rsid w:val="0047749A"/>
    <w:rsid w:val="004800B9"/>
    <w:rsid w:val="00481CD8"/>
    <w:rsid w:val="00481D9A"/>
    <w:rsid w:val="00481F6D"/>
    <w:rsid w:val="004820AB"/>
    <w:rsid w:val="0048359D"/>
    <w:rsid w:val="00483EBE"/>
    <w:rsid w:val="00484D08"/>
    <w:rsid w:val="004867E2"/>
    <w:rsid w:val="004874F1"/>
    <w:rsid w:val="00491B3A"/>
    <w:rsid w:val="00494D1A"/>
    <w:rsid w:val="00495D9D"/>
    <w:rsid w:val="00496927"/>
    <w:rsid w:val="0049709E"/>
    <w:rsid w:val="00497C76"/>
    <w:rsid w:val="00497F10"/>
    <w:rsid w:val="004A00ED"/>
    <w:rsid w:val="004A0118"/>
    <w:rsid w:val="004A06D8"/>
    <w:rsid w:val="004A0DA1"/>
    <w:rsid w:val="004A12A4"/>
    <w:rsid w:val="004A138D"/>
    <w:rsid w:val="004A1413"/>
    <w:rsid w:val="004A2F6E"/>
    <w:rsid w:val="004A3486"/>
    <w:rsid w:val="004A5054"/>
    <w:rsid w:val="004A6094"/>
    <w:rsid w:val="004A6597"/>
    <w:rsid w:val="004A6D02"/>
    <w:rsid w:val="004A70F5"/>
    <w:rsid w:val="004A7338"/>
    <w:rsid w:val="004B1761"/>
    <w:rsid w:val="004B2F18"/>
    <w:rsid w:val="004B3DDB"/>
    <w:rsid w:val="004B44FD"/>
    <w:rsid w:val="004B544D"/>
    <w:rsid w:val="004B559A"/>
    <w:rsid w:val="004B5CFC"/>
    <w:rsid w:val="004B6212"/>
    <w:rsid w:val="004B7902"/>
    <w:rsid w:val="004B7CD1"/>
    <w:rsid w:val="004B7ECD"/>
    <w:rsid w:val="004C0A42"/>
    <w:rsid w:val="004C1D2D"/>
    <w:rsid w:val="004C239B"/>
    <w:rsid w:val="004C28B1"/>
    <w:rsid w:val="004C2F72"/>
    <w:rsid w:val="004C3269"/>
    <w:rsid w:val="004C4AED"/>
    <w:rsid w:val="004C4B70"/>
    <w:rsid w:val="004C5030"/>
    <w:rsid w:val="004C5835"/>
    <w:rsid w:val="004C6513"/>
    <w:rsid w:val="004D0650"/>
    <w:rsid w:val="004D301A"/>
    <w:rsid w:val="004D35A5"/>
    <w:rsid w:val="004D3F78"/>
    <w:rsid w:val="004D4400"/>
    <w:rsid w:val="004D60D9"/>
    <w:rsid w:val="004D6588"/>
    <w:rsid w:val="004D7336"/>
    <w:rsid w:val="004D777B"/>
    <w:rsid w:val="004D7E9D"/>
    <w:rsid w:val="004E01FB"/>
    <w:rsid w:val="004E0246"/>
    <w:rsid w:val="004E03E4"/>
    <w:rsid w:val="004E076B"/>
    <w:rsid w:val="004E0EB8"/>
    <w:rsid w:val="004E15A4"/>
    <w:rsid w:val="004E2392"/>
    <w:rsid w:val="004E24C4"/>
    <w:rsid w:val="004E2ADC"/>
    <w:rsid w:val="004E31B6"/>
    <w:rsid w:val="004E4005"/>
    <w:rsid w:val="004E56DD"/>
    <w:rsid w:val="004E57DA"/>
    <w:rsid w:val="004E5AD2"/>
    <w:rsid w:val="004E70DB"/>
    <w:rsid w:val="004F0122"/>
    <w:rsid w:val="004F0407"/>
    <w:rsid w:val="004F0488"/>
    <w:rsid w:val="004F17D9"/>
    <w:rsid w:val="004F1D02"/>
    <w:rsid w:val="004F2679"/>
    <w:rsid w:val="004F38A8"/>
    <w:rsid w:val="004F3FE6"/>
    <w:rsid w:val="004F59A0"/>
    <w:rsid w:val="004F60C3"/>
    <w:rsid w:val="004F7D93"/>
    <w:rsid w:val="005018A2"/>
    <w:rsid w:val="00503738"/>
    <w:rsid w:val="005039B1"/>
    <w:rsid w:val="00503C03"/>
    <w:rsid w:val="00503FF3"/>
    <w:rsid w:val="00505266"/>
    <w:rsid w:val="005052BE"/>
    <w:rsid w:val="00505497"/>
    <w:rsid w:val="00506725"/>
    <w:rsid w:val="00506E16"/>
    <w:rsid w:val="00510AD0"/>
    <w:rsid w:val="00510BCF"/>
    <w:rsid w:val="00510D92"/>
    <w:rsid w:val="00510F8B"/>
    <w:rsid w:val="005116AC"/>
    <w:rsid w:val="0051209A"/>
    <w:rsid w:val="005122BA"/>
    <w:rsid w:val="00512F8E"/>
    <w:rsid w:val="00513676"/>
    <w:rsid w:val="00513CED"/>
    <w:rsid w:val="0051488A"/>
    <w:rsid w:val="00514A86"/>
    <w:rsid w:val="00514DC5"/>
    <w:rsid w:val="005150E7"/>
    <w:rsid w:val="005152B5"/>
    <w:rsid w:val="00515F7B"/>
    <w:rsid w:val="00516304"/>
    <w:rsid w:val="00516A68"/>
    <w:rsid w:val="00516DFC"/>
    <w:rsid w:val="0051714B"/>
    <w:rsid w:val="0051743A"/>
    <w:rsid w:val="005177CE"/>
    <w:rsid w:val="00520432"/>
    <w:rsid w:val="005211B3"/>
    <w:rsid w:val="00521319"/>
    <w:rsid w:val="00523C28"/>
    <w:rsid w:val="00524FC0"/>
    <w:rsid w:val="0052590E"/>
    <w:rsid w:val="00525CFE"/>
    <w:rsid w:val="00525EE1"/>
    <w:rsid w:val="005275B7"/>
    <w:rsid w:val="00531555"/>
    <w:rsid w:val="00531759"/>
    <w:rsid w:val="00531D38"/>
    <w:rsid w:val="0053275E"/>
    <w:rsid w:val="00532E80"/>
    <w:rsid w:val="005330A8"/>
    <w:rsid w:val="00534139"/>
    <w:rsid w:val="005346E2"/>
    <w:rsid w:val="00534F4B"/>
    <w:rsid w:val="00535C1C"/>
    <w:rsid w:val="00536924"/>
    <w:rsid w:val="0054013D"/>
    <w:rsid w:val="005406FB"/>
    <w:rsid w:val="00540A56"/>
    <w:rsid w:val="00540A73"/>
    <w:rsid w:val="00546543"/>
    <w:rsid w:val="00546720"/>
    <w:rsid w:val="00546C1E"/>
    <w:rsid w:val="00550AC2"/>
    <w:rsid w:val="005515BE"/>
    <w:rsid w:val="00551E7E"/>
    <w:rsid w:val="0055348B"/>
    <w:rsid w:val="0055395E"/>
    <w:rsid w:val="00555109"/>
    <w:rsid w:val="00555238"/>
    <w:rsid w:val="005552EF"/>
    <w:rsid w:val="00555C02"/>
    <w:rsid w:val="00555FDD"/>
    <w:rsid w:val="005563BE"/>
    <w:rsid w:val="00556F55"/>
    <w:rsid w:val="00557434"/>
    <w:rsid w:val="00557854"/>
    <w:rsid w:val="00557CEC"/>
    <w:rsid w:val="005607FB"/>
    <w:rsid w:val="00560FB0"/>
    <w:rsid w:val="0056276A"/>
    <w:rsid w:val="005634B5"/>
    <w:rsid w:val="00563A13"/>
    <w:rsid w:val="00564067"/>
    <w:rsid w:val="0056465F"/>
    <w:rsid w:val="00564741"/>
    <w:rsid w:val="00565069"/>
    <w:rsid w:val="00565DCC"/>
    <w:rsid w:val="00566359"/>
    <w:rsid w:val="0056696F"/>
    <w:rsid w:val="005669FB"/>
    <w:rsid w:val="00566C49"/>
    <w:rsid w:val="00567255"/>
    <w:rsid w:val="00567958"/>
    <w:rsid w:val="00571F91"/>
    <w:rsid w:val="00572529"/>
    <w:rsid w:val="00572630"/>
    <w:rsid w:val="005737D7"/>
    <w:rsid w:val="00573B29"/>
    <w:rsid w:val="00574A97"/>
    <w:rsid w:val="00574EE2"/>
    <w:rsid w:val="005753B9"/>
    <w:rsid w:val="005755C1"/>
    <w:rsid w:val="00576972"/>
    <w:rsid w:val="00576EEF"/>
    <w:rsid w:val="00577717"/>
    <w:rsid w:val="005801E9"/>
    <w:rsid w:val="00580889"/>
    <w:rsid w:val="00581358"/>
    <w:rsid w:val="00581F0A"/>
    <w:rsid w:val="00583126"/>
    <w:rsid w:val="005833F9"/>
    <w:rsid w:val="00583699"/>
    <w:rsid w:val="00584068"/>
    <w:rsid w:val="005843F4"/>
    <w:rsid w:val="0058468D"/>
    <w:rsid w:val="005849F5"/>
    <w:rsid w:val="00584BB2"/>
    <w:rsid w:val="00584FBA"/>
    <w:rsid w:val="00585899"/>
    <w:rsid w:val="0058633B"/>
    <w:rsid w:val="00586DDF"/>
    <w:rsid w:val="00587D2B"/>
    <w:rsid w:val="00590201"/>
    <w:rsid w:val="00591032"/>
    <w:rsid w:val="00591784"/>
    <w:rsid w:val="00591939"/>
    <w:rsid w:val="00592F69"/>
    <w:rsid w:val="00594701"/>
    <w:rsid w:val="00594C3C"/>
    <w:rsid w:val="00595412"/>
    <w:rsid w:val="00597682"/>
    <w:rsid w:val="005A0AD4"/>
    <w:rsid w:val="005A374C"/>
    <w:rsid w:val="005A42D9"/>
    <w:rsid w:val="005A48AC"/>
    <w:rsid w:val="005A5351"/>
    <w:rsid w:val="005A594C"/>
    <w:rsid w:val="005A608E"/>
    <w:rsid w:val="005A65E6"/>
    <w:rsid w:val="005A6753"/>
    <w:rsid w:val="005A77BD"/>
    <w:rsid w:val="005A78DD"/>
    <w:rsid w:val="005B018C"/>
    <w:rsid w:val="005B10E9"/>
    <w:rsid w:val="005B111F"/>
    <w:rsid w:val="005B2E77"/>
    <w:rsid w:val="005B521E"/>
    <w:rsid w:val="005B5857"/>
    <w:rsid w:val="005B6200"/>
    <w:rsid w:val="005B647A"/>
    <w:rsid w:val="005B6561"/>
    <w:rsid w:val="005B711B"/>
    <w:rsid w:val="005C1B83"/>
    <w:rsid w:val="005C3191"/>
    <w:rsid w:val="005C346B"/>
    <w:rsid w:val="005C3A31"/>
    <w:rsid w:val="005C3E67"/>
    <w:rsid w:val="005C4169"/>
    <w:rsid w:val="005C4439"/>
    <w:rsid w:val="005C5482"/>
    <w:rsid w:val="005C71A5"/>
    <w:rsid w:val="005D0408"/>
    <w:rsid w:val="005D10B2"/>
    <w:rsid w:val="005D18AD"/>
    <w:rsid w:val="005D1FCF"/>
    <w:rsid w:val="005D2DA5"/>
    <w:rsid w:val="005D32BD"/>
    <w:rsid w:val="005D4565"/>
    <w:rsid w:val="005D501C"/>
    <w:rsid w:val="005D625B"/>
    <w:rsid w:val="005D6EE9"/>
    <w:rsid w:val="005D7E3E"/>
    <w:rsid w:val="005E1310"/>
    <w:rsid w:val="005E2928"/>
    <w:rsid w:val="005E3332"/>
    <w:rsid w:val="005E54F6"/>
    <w:rsid w:val="005E5ADA"/>
    <w:rsid w:val="005E60F9"/>
    <w:rsid w:val="005E6C7B"/>
    <w:rsid w:val="005E6D51"/>
    <w:rsid w:val="005F042C"/>
    <w:rsid w:val="005F0E5F"/>
    <w:rsid w:val="005F1148"/>
    <w:rsid w:val="005F11DE"/>
    <w:rsid w:val="005F2197"/>
    <w:rsid w:val="005F2706"/>
    <w:rsid w:val="005F2DD7"/>
    <w:rsid w:val="005F3AC6"/>
    <w:rsid w:val="005F5650"/>
    <w:rsid w:val="005F5C7B"/>
    <w:rsid w:val="005F6015"/>
    <w:rsid w:val="005F6348"/>
    <w:rsid w:val="005F6A8F"/>
    <w:rsid w:val="005F6F87"/>
    <w:rsid w:val="005F72CD"/>
    <w:rsid w:val="005F77A5"/>
    <w:rsid w:val="005F7B6F"/>
    <w:rsid w:val="0060026B"/>
    <w:rsid w:val="0060171D"/>
    <w:rsid w:val="0060202F"/>
    <w:rsid w:val="006026C3"/>
    <w:rsid w:val="00602861"/>
    <w:rsid w:val="00603B4D"/>
    <w:rsid w:val="006041BC"/>
    <w:rsid w:val="00604830"/>
    <w:rsid w:val="0060517E"/>
    <w:rsid w:val="00605753"/>
    <w:rsid w:val="00605C25"/>
    <w:rsid w:val="00605C56"/>
    <w:rsid w:val="00606470"/>
    <w:rsid w:val="00606B3D"/>
    <w:rsid w:val="00606C13"/>
    <w:rsid w:val="00607669"/>
    <w:rsid w:val="00607AC9"/>
    <w:rsid w:val="006102D1"/>
    <w:rsid w:val="00610717"/>
    <w:rsid w:val="0061112E"/>
    <w:rsid w:val="00611E8C"/>
    <w:rsid w:val="006125BC"/>
    <w:rsid w:val="006127A7"/>
    <w:rsid w:val="00612A59"/>
    <w:rsid w:val="00612F97"/>
    <w:rsid w:val="0061332C"/>
    <w:rsid w:val="00613D0A"/>
    <w:rsid w:val="00614470"/>
    <w:rsid w:val="00615C6A"/>
    <w:rsid w:val="00615C89"/>
    <w:rsid w:val="00616802"/>
    <w:rsid w:val="0061697A"/>
    <w:rsid w:val="006170D4"/>
    <w:rsid w:val="00617378"/>
    <w:rsid w:val="00617E12"/>
    <w:rsid w:val="0062020F"/>
    <w:rsid w:val="0062041D"/>
    <w:rsid w:val="00621477"/>
    <w:rsid w:val="006219D4"/>
    <w:rsid w:val="00622059"/>
    <w:rsid w:val="00622B6C"/>
    <w:rsid w:val="006231F8"/>
    <w:rsid w:val="00623A63"/>
    <w:rsid w:val="00624392"/>
    <w:rsid w:val="00624F87"/>
    <w:rsid w:val="00626625"/>
    <w:rsid w:val="00626A85"/>
    <w:rsid w:val="00631D6B"/>
    <w:rsid w:val="00631ED9"/>
    <w:rsid w:val="00632CC3"/>
    <w:rsid w:val="0063439D"/>
    <w:rsid w:val="006343E0"/>
    <w:rsid w:val="0063447F"/>
    <w:rsid w:val="0063479F"/>
    <w:rsid w:val="00634ABE"/>
    <w:rsid w:val="00634EAE"/>
    <w:rsid w:val="00635A42"/>
    <w:rsid w:val="00636387"/>
    <w:rsid w:val="006364A1"/>
    <w:rsid w:val="00636812"/>
    <w:rsid w:val="006373DC"/>
    <w:rsid w:val="00637BFD"/>
    <w:rsid w:val="00637D24"/>
    <w:rsid w:val="0064131E"/>
    <w:rsid w:val="006413B8"/>
    <w:rsid w:val="0064162B"/>
    <w:rsid w:val="006417D7"/>
    <w:rsid w:val="00641C3F"/>
    <w:rsid w:val="00642DE5"/>
    <w:rsid w:val="006435BB"/>
    <w:rsid w:val="00643F7A"/>
    <w:rsid w:val="0064414F"/>
    <w:rsid w:val="006463D2"/>
    <w:rsid w:val="006469B2"/>
    <w:rsid w:val="00646C33"/>
    <w:rsid w:val="006471CC"/>
    <w:rsid w:val="0065079F"/>
    <w:rsid w:val="006507E0"/>
    <w:rsid w:val="00650855"/>
    <w:rsid w:val="00650A22"/>
    <w:rsid w:val="00651319"/>
    <w:rsid w:val="00651578"/>
    <w:rsid w:val="00651B34"/>
    <w:rsid w:val="00651F3B"/>
    <w:rsid w:val="00652187"/>
    <w:rsid w:val="00653794"/>
    <w:rsid w:val="0065402C"/>
    <w:rsid w:val="006550B6"/>
    <w:rsid w:val="006553AC"/>
    <w:rsid w:val="0065752E"/>
    <w:rsid w:val="00657F91"/>
    <w:rsid w:val="00660441"/>
    <w:rsid w:val="006608DD"/>
    <w:rsid w:val="00661FE2"/>
    <w:rsid w:val="00664409"/>
    <w:rsid w:val="006648AC"/>
    <w:rsid w:val="00664EFB"/>
    <w:rsid w:val="00665C4B"/>
    <w:rsid w:val="0066610B"/>
    <w:rsid w:val="0066650F"/>
    <w:rsid w:val="0066656B"/>
    <w:rsid w:val="00667184"/>
    <w:rsid w:val="006675B9"/>
    <w:rsid w:val="00667BFF"/>
    <w:rsid w:val="00670519"/>
    <w:rsid w:val="00670588"/>
    <w:rsid w:val="00670842"/>
    <w:rsid w:val="0067090B"/>
    <w:rsid w:val="00670DE8"/>
    <w:rsid w:val="006718FB"/>
    <w:rsid w:val="00671A2D"/>
    <w:rsid w:val="00673C36"/>
    <w:rsid w:val="00674093"/>
    <w:rsid w:val="00674DEF"/>
    <w:rsid w:val="00674E42"/>
    <w:rsid w:val="006751B2"/>
    <w:rsid w:val="00677DDD"/>
    <w:rsid w:val="00677F85"/>
    <w:rsid w:val="00680136"/>
    <w:rsid w:val="00681008"/>
    <w:rsid w:val="00681059"/>
    <w:rsid w:val="006813A8"/>
    <w:rsid w:val="00681966"/>
    <w:rsid w:val="00681F11"/>
    <w:rsid w:val="00681F65"/>
    <w:rsid w:val="00682112"/>
    <w:rsid w:val="006840BC"/>
    <w:rsid w:val="006846EA"/>
    <w:rsid w:val="00684B5B"/>
    <w:rsid w:val="006856AB"/>
    <w:rsid w:val="006860CC"/>
    <w:rsid w:val="00687173"/>
    <w:rsid w:val="00687BFD"/>
    <w:rsid w:val="0069027A"/>
    <w:rsid w:val="0069113A"/>
    <w:rsid w:val="00692D37"/>
    <w:rsid w:val="0069366D"/>
    <w:rsid w:val="00693EAE"/>
    <w:rsid w:val="00693F7A"/>
    <w:rsid w:val="006943A4"/>
    <w:rsid w:val="00694699"/>
    <w:rsid w:val="00694F44"/>
    <w:rsid w:val="00697311"/>
    <w:rsid w:val="006A00A3"/>
    <w:rsid w:val="006A06CF"/>
    <w:rsid w:val="006A1FF6"/>
    <w:rsid w:val="006A2DB2"/>
    <w:rsid w:val="006A37A7"/>
    <w:rsid w:val="006A4CD0"/>
    <w:rsid w:val="006A6510"/>
    <w:rsid w:val="006A7146"/>
    <w:rsid w:val="006A761C"/>
    <w:rsid w:val="006B1499"/>
    <w:rsid w:val="006B1784"/>
    <w:rsid w:val="006B1935"/>
    <w:rsid w:val="006B22F8"/>
    <w:rsid w:val="006B236E"/>
    <w:rsid w:val="006B2FB0"/>
    <w:rsid w:val="006B317A"/>
    <w:rsid w:val="006B3942"/>
    <w:rsid w:val="006B39CC"/>
    <w:rsid w:val="006B3DA8"/>
    <w:rsid w:val="006B5301"/>
    <w:rsid w:val="006B6F8A"/>
    <w:rsid w:val="006B751D"/>
    <w:rsid w:val="006C0040"/>
    <w:rsid w:val="006C131C"/>
    <w:rsid w:val="006C1350"/>
    <w:rsid w:val="006C263F"/>
    <w:rsid w:val="006C2A8E"/>
    <w:rsid w:val="006C37CE"/>
    <w:rsid w:val="006C3EB2"/>
    <w:rsid w:val="006C441A"/>
    <w:rsid w:val="006C4630"/>
    <w:rsid w:val="006C56C6"/>
    <w:rsid w:val="006C6B00"/>
    <w:rsid w:val="006D12D2"/>
    <w:rsid w:val="006D1696"/>
    <w:rsid w:val="006D18A5"/>
    <w:rsid w:val="006D1D1D"/>
    <w:rsid w:val="006D2388"/>
    <w:rsid w:val="006D37E8"/>
    <w:rsid w:val="006D3C71"/>
    <w:rsid w:val="006D3C7D"/>
    <w:rsid w:val="006D3C95"/>
    <w:rsid w:val="006D43FB"/>
    <w:rsid w:val="006D44B7"/>
    <w:rsid w:val="006D4DD3"/>
    <w:rsid w:val="006D5FB8"/>
    <w:rsid w:val="006D67AD"/>
    <w:rsid w:val="006D6AB2"/>
    <w:rsid w:val="006D705D"/>
    <w:rsid w:val="006E1602"/>
    <w:rsid w:val="006E29A3"/>
    <w:rsid w:val="006E2F08"/>
    <w:rsid w:val="006E326B"/>
    <w:rsid w:val="006E3CCC"/>
    <w:rsid w:val="006E3D07"/>
    <w:rsid w:val="006E4335"/>
    <w:rsid w:val="006E47EC"/>
    <w:rsid w:val="006E55A0"/>
    <w:rsid w:val="006E5918"/>
    <w:rsid w:val="006E6C6A"/>
    <w:rsid w:val="006F0067"/>
    <w:rsid w:val="006F08FC"/>
    <w:rsid w:val="006F1AAA"/>
    <w:rsid w:val="006F1DAC"/>
    <w:rsid w:val="006F2091"/>
    <w:rsid w:val="006F243A"/>
    <w:rsid w:val="006F261B"/>
    <w:rsid w:val="006F435E"/>
    <w:rsid w:val="006F4F05"/>
    <w:rsid w:val="006F58D9"/>
    <w:rsid w:val="006F6004"/>
    <w:rsid w:val="006F63A5"/>
    <w:rsid w:val="006F65ED"/>
    <w:rsid w:val="006F75DA"/>
    <w:rsid w:val="00700A67"/>
    <w:rsid w:val="00702432"/>
    <w:rsid w:val="0070276E"/>
    <w:rsid w:val="007028EA"/>
    <w:rsid w:val="00703145"/>
    <w:rsid w:val="00704656"/>
    <w:rsid w:val="00704973"/>
    <w:rsid w:val="00704D77"/>
    <w:rsid w:val="00705AE3"/>
    <w:rsid w:val="00705EF6"/>
    <w:rsid w:val="0070730F"/>
    <w:rsid w:val="00710252"/>
    <w:rsid w:val="00710B31"/>
    <w:rsid w:val="00711283"/>
    <w:rsid w:val="0071154B"/>
    <w:rsid w:val="00711A36"/>
    <w:rsid w:val="00712C27"/>
    <w:rsid w:val="007130CE"/>
    <w:rsid w:val="007141B7"/>
    <w:rsid w:val="00714245"/>
    <w:rsid w:val="00714D38"/>
    <w:rsid w:val="0071697A"/>
    <w:rsid w:val="00716C84"/>
    <w:rsid w:val="00716FB7"/>
    <w:rsid w:val="007172AD"/>
    <w:rsid w:val="00717C5D"/>
    <w:rsid w:val="00717C7E"/>
    <w:rsid w:val="0072015D"/>
    <w:rsid w:val="00722475"/>
    <w:rsid w:val="00723B16"/>
    <w:rsid w:val="0072461D"/>
    <w:rsid w:val="00724E95"/>
    <w:rsid w:val="007257B8"/>
    <w:rsid w:val="00725E56"/>
    <w:rsid w:val="007265FB"/>
    <w:rsid w:val="0072759C"/>
    <w:rsid w:val="007309FA"/>
    <w:rsid w:val="007315DF"/>
    <w:rsid w:val="00731A23"/>
    <w:rsid w:val="00731B67"/>
    <w:rsid w:val="00731F68"/>
    <w:rsid w:val="00732A25"/>
    <w:rsid w:val="00733416"/>
    <w:rsid w:val="0073385F"/>
    <w:rsid w:val="00734F69"/>
    <w:rsid w:val="00735328"/>
    <w:rsid w:val="007353B0"/>
    <w:rsid w:val="007367B2"/>
    <w:rsid w:val="0073685B"/>
    <w:rsid w:val="007374F9"/>
    <w:rsid w:val="00737510"/>
    <w:rsid w:val="00741542"/>
    <w:rsid w:val="007423F3"/>
    <w:rsid w:val="00742432"/>
    <w:rsid w:val="00742D64"/>
    <w:rsid w:val="00743D8A"/>
    <w:rsid w:val="007440EC"/>
    <w:rsid w:val="007450DA"/>
    <w:rsid w:val="00745E67"/>
    <w:rsid w:val="007461F2"/>
    <w:rsid w:val="0074675D"/>
    <w:rsid w:val="007474AD"/>
    <w:rsid w:val="0075023B"/>
    <w:rsid w:val="00750AE0"/>
    <w:rsid w:val="00751E97"/>
    <w:rsid w:val="00751FB6"/>
    <w:rsid w:val="007537CB"/>
    <w:rsid w:val="00753BC9"/>
    <w:rsid w:val="00754E3B"/>
    <w:rsid w:val="007607C6"/>
    <w:rsid w:val="0076121C"/>
    <w:rsid w:val="00762423"/>
    <w:rsid w:val="00762789"/>
    <w:rsid w:val="00762D5D"/>
    <w:rsid w:val="00763977"/>
    <w:rsid w:val="00763CE1"/>
    <w:rsid w:val="00764DA0"/>
    <w:rsid w:val="0076562E"/>
    <w:rsid w:val="00765A08"/>
    <w:rsid w:val="007661DE"/>
    <w:rsid w:val="0076741D"/>
    <w:rsid w:val="00767476"/>
    <w:rsid w:val="00767A30"/>
    <w:rsid w:val="0077069B"/>
    <w:rsid w:val="00770767"/>
    <w:rsid w:val="007712E2"/>
    <w:rsid w:val="0077201C"/>
    <w:rsid w:val="007755C1"/>
    <w:rsid w:val="00775883"/>
    <w:rsid w:val="00776035"/>
    <w:rsid w:val="00776171"/>
    <w:rsid w:val="007765B8"/>
    <w:rsid w:val="007765F2"/>
    <w:rsid w:val="00776D76"/>
    <w:rsid w:val="007770AF"/>
    <w:rsid w:val="00781025"/>
    <w:rsid w:val="00781A7B"/>
    <w:rsid w:val="007820B7"/>
    <w:rsid w:val="00783879"/>
    <w:rsid w:val="00784D20"/>
    <w:rsid w:val="00786925"/>
    <w:rsid w:val="0079079F"/>
    <w:rsid w:val="00790E0D"/>
    <w:rsid w:val="00791BF0"/>
    <w:rsid w:val="00791CF0"/>
    <w:rsid w:val="00792D21"/>
    <w:rsid w:val="0079336C"/>
    <w:rsid w:val="00796740"/>
    <w:rsid w:val="007969B0"/>
    <w:rsid w:val="007975C0"/>
    <w:rsid w:val="00797992"/>
    <w:rsid w:val="007A081A"/>
    <w:rsid w:val="007A125F"/>
    <w:rsid w:val="007A1E7D"/>
    <w:rsid w:val="007A2075"/>
    <w:rsid w:val="007A276B"/>
    <w:rsid w:val="007A30D5"/>
    <w:rsid w:val="007A4074"/>
    <w:rsid w:val="007A4BEF"/>
    <w:rsid w:val="007A4FF0"/>
    <w:rsid w:val="007A50A4"/>
    <w:rsid w:val="007A56B6"/>
    <w:rsid w:val="007A6E68"/>
    <w:rsid w:val="007A77DD"/>
    <w:rsid w:val="007A7DA2"/>
    <w:rsid w:val="007B07B3"/>
    <w:rsid w:val="007B0804"/>
    <w:rsid w:val="007B0B90"/>
    <w:rsid w:val="007B1CDC"/>
    <w:rsid w:val="007B251D"/>
    <w:rsid w:val="007B369C"/>
    <w:rsid w:val="007B370E"/>
    <w:rsid w:val="007B3CBB"/>
    <w:rsid w:val="007B4593"/>
    <w:rsid w:val="007B77D1"/>
    <w:rsid w:val="007C00F5"/>
    <w:rsid w:val="007C1943"/>
    <w:rsid w:val="007C2027"/>
    <w:rsid w:val="007C25C5"/>
    <w:rsid w:val="007C2756"/>
    <w:rsid w:val="007C2B22"/>
    <w:rsid w:val="007C4D49"/>
    <w:rsid w:val="007C4E63"/>
    <w:rsid w:val="007C505C"/>
    <w:rsid w:val="007C62F3"/>
    <w:rsid w:val="007C759A"/>
    <w:rsid w:val="007C7BF1"/>
    <w:rsid w:val="007D0352"/>
    <w:rsid w:val="007D0836"/>
    <w:rsid w:val="007D0B38"/>
    <w:rsid w:val="007D22FE"/>
    <w:rsid w:val="007D2854"/>
    <w:rsid w:val="007D3E03"/>
    <w:rsid w:val="007D4221"/>
    <w:rsid w:val="007D4B72"/>
    <w:rsid w:val="007D5D9E"/>
    <w:rsid w:val="007D6196"/>
    <w:rsid w:val="007D6E31"/>
    <w:rsid w:val="007D6E3C"/>
    <w:rsid w:val="007D77E0"/>
    <w:rsid w:val="007D7FE5"/>
    <w:rsid w:val="007E058C"/>
    <w:rsid w:val="007E0EA1"/>
    <w:rsid w:val="007E2740"/>
    <w:rsid w:val="007E39C3"/>
    <w:rsid w:val="007E412C"/>
    <w:rsid w:val="007E4C2E"/>
    <w:rsid w:val="007E578B"/>
    <w:rsid w:val="007E6FEF"/>
    <w:rsid w:val="007E701E"/>
    <w:rsid w:val="007E7BC7"/>
    <w:rsid w:val="007F0376"/>
    <w:rsid w:val="007F0F50"/>
    <w:rsid w:val="007F1017"/>
    <w:rsid w:val="007F295D"/>
    <w:rsid w:val="007F33D1"/>
    <w:rsid w:val="007F4A3F"/>
    <w:rsid w:val="007F79C8"/>
    <w:rsid w:val="00800C5F"/>
    <w:rsid w:val="00800E33"/>
    <w:rsid w:val="008010EC"/>
    <w:rsid w:val="00801342"/>
    <w:rsid w:val="00802BB5"/>
    <w:rsid w:val="00802C96"/>
    <w:rsid w:val="00803007"/>
    <w:rsid w:val="00803201"/>
    <w:rsid w:val="00803901"/>
    <w:rsid w:val="00805142"/>
    <w:rsid w:val="008051AE"/>
    <w:rsid w:val="00805828"/>
    <w:rsid w:val="008059A6"/>
    <w:rsid w:val="00805D42"/>
    <w:rsid w:val="008060E4"/>
    <w:rsid w:val="00807A8B"/>
    <w:rsid w:val="00807C8D"/>
    <w:rsid w:val="00812149"/>
    <w:rsid w:val="008137B7"/>
    <w:rsid w:val="00814D2E"/>
    <w:rsid w:val="00815143"/>
    <w:rsid w:val="00816212"/>
    <w:rsid w:val="008166EF"/>
    <w:rsid w:val="00816A97"/>
    <w:rsid w:val="0081722B"/>
    <w:rsid w:val="00817408"/>
    <w:rsid w:val="00817EB1"/>
    <w:rsid w:val="00820187"/>
    <w:rsid w:val="0082084F"/>
    <w:rsid w:val="0082090B"/>
    <w:rsid w:val="00822B2B"/>
    <w:rsid w:val="008239E3"/>
    <w:rsid w:val="00823E42"/>
    <w:rsid w:val="0082486D"/>
    <w:rsid w:val="00824A73"/>
    <w:rsid w:val="00825571"/>
    <w:rsid w:val="008261A9"/>
    <w:rsid w:val="008262C7"/>
    <w:rsid w:val="008264EB"/>
    <w:rsid w:val="00826C68"/>
    <w:rsid w:val="00827B23"/>
    <w:rsid w:val="00827DAF"/>
    <w:rsid w:val="00827FAA"/>
    <w:rsid w:val="008301ED"/>
    <w:rsid w:val="00830D82"/>
    <w:rsid w:val="00831DB3"/>
    <w:rsid w:val="008325D7"/>
    <w:rsid w:val="0083501C"/>
    <w:rsid w:val="00835300"/>
    <w:rsid w:val="00836E70"/>
    <w:rsid w:val="00837694"/>
    <w:rsid w:val="00840CA2"/>
    <w:rsid w:val="00841CAE"/>
    <w:rsid w:val="00842A28"/>
    <w:rsid w:val="00842D99"/>
    <w:rsid w:val="00842F00"/>
    <w:rsid w:val="00842FF0"/>
    <w:rsid w:val="00843EE9"/>
    <w:rsid w:val="00844465"/>
    <w:rsid w:val="0084493B"/>
    <w:rsid w:val="008455B0"/>
    <w:rsid w:val="008457FF"/>
    <w:rsid w:val="00845AEC"/>
    <w:rsid w:val="00846071"/>
    <w:rsid w:val="0084661E"/>
    <w:rsid w:val="00847640"/>
    <w:rsid w:val="008478E6"/>
    <w:rsid w:val="00850FCF"/>
    <w:rsid w:val="00855024"/>
    <w:rsid w:val="008550EE"/>
    <w:rsid w:val="0085564F"/>
    <w:rsid w:val="0085599E"/>
    <w:rsid w:val="00856637"/>
    <w:rsid w:val="00856E9A"/>
    <w:rsid w:val="008574F6"/>
    <w:rsid w:val="00857FF6"/>
    <w:rsid w:val="008607B7"/>
    <w:rsid w:val="00861BCF"/>
    <w:rsid w:val="00865BC9"/>
    <w:rsid w:val="00865BEB"/>
    <w:rsid w:val="00865DFA"/>
    <w:rsid w:val="008665A6"/>
    <w:rsid w:val="00867005"/>
    <w:rsid w:val="00867687"/>
    <w:rsid w:val="008702DA"/>
    <w:rsid w:val="00870BC0"/>
    <w:rsid w:val="00872109"/>
    <w:rsid w:val="00872602"/>
    <w:rsid w:val="00873198"/>
    <w:rsid w:val="00874A38"/>
    <w:rsid w:val="00876EAF"/>
    <w:rsid w:val="008808AE"/>
    <w:rsid w:val="00880E81"/>
    <w:rsid w:val="008810DF"/>
    <w:rsid w:val="008812B5"/>
    <w:rsid w:val="00882701"/>
    <w:rsid w:val="00882874"/>
    <w:rsid w:val="00883787"/>
    <w:rsid w:val="00883854"/>
    <w:rsid w:val="00883A05"/>
    <w:rsid w:val="008855DE"/>
    <w:rsid w:val="00885A92"/>
    <w:rsid w:val="008867E3"/>
    <w:rsid w:val="00886A3F"/>
    <w:rsid w:val="00886D13"/>
    <w:rsid w:val="0089067B"/>
    <w:rsid w:val="00890E59"/>
    <w:rsid w:val="00891DB2"/>
    <w:rsid w:val="008923A1"/>
    <w:rsid w:val="00893F23"/>
    <w:rsid w:val="008959CA"/>
    <w:rsid w:val="00895B3E"/>
    <w:rsid w:val="008963A5"/>
    <w:rsid w:val="00897148"/>
    <w:rsid w:val="008A07C0"/>
    <w:rsid w:val="008A0D73"/>
    <w:rsid w:val="008A15F5"/>
    <w:rsid w:val="008A3318"/>
    <w:rsid w:val="008A3C3E"/>
    <w:rsid w:val="008A4ABE"/>
    <w:rsid w:val="008A52B1"/>
    <w:rsid w:val="008A6669"/>
    <w:rsid w:val="008A699C"/>
    <w:rsid w:val="008A79DE"/>
    <w:rsid w:val="008B0A80"/>
    <w:rsid w:val="008B2CF7"/>
    <w:rsid w:val="008B3005"/>
    <w:rsid w:val="008B3D9F"/>
    <w:rsid w:val="008B4A6B"/>
    <w:rsid w:val="008B5960"/>
    <w:rsid w:val="008B5CEC"/>
    <w:rsid w:val="008B5EB5"/>
    <w:rsid w:val="008B6136"/>
    <w:rsid w:val="008B66E5"/>
    <w:rsid w:val="008B7D7E"/>
    <w:rsid w:val="008C0964"/>
    <w:rsid w:val="008C0A9E"/>
    <w:rsid w:val="008C0CD6"/>
    <w:rsid w:val="008C275F"/>
    <w:rsid w:val="008C4A0A"/>
    <w:rsid w:val="008C4DC6"/>
    <w:rsid w:val="008C53EF"/>
    <w:rsid w:val="008C5E25"/>
    <w:rsid w:val="008C62CE"/>
    <w:rsid w:val="008C6AD6"/>
    <w:rsid w:val="008C6D74"/>
    <w:rsid w:val="008C6ED0"/>
    <w:rsid w:val="008C7397"/>
    <w:rsid w:val="008C74F2"/>
    <w:rsid w:val="008C794B"/>
    <w:rsid w:val="008C79E7"/>
    <w:rsid w:val="008C7B8B"/>
    <w:rsid w:val="008C7ECB"/>
    <w:rsid w:val="008D006C"/>
    <w:rsid w:val="008D0A89"/>
    <w:rsid w:val="008D0B30"/>
    <w:rsid w:val="008D0E62"/>
    <w:rsid w:val="008D1666"/>
    <w:rsid w:val="008D1756"/>
    <w:rsid w:val="008D176E"/>
    <w:rsid w:val="008D271C"/>
    <w:rsid w:val="008D2BA2"/>
    <w:rsid w:val="008D32F0"/>
    <w:rsid w:val="008D33EE"/>
    <w:rsid w:val="008D347B"/>
    <w:rsid w:val="008D35F1"/>
    <w:rsid w:val="008D39A1"/>
    <w:rsid w:val="008D666D"/>
    <w:rsid w:val="008D76EE"/>
    <w:rsid w:val="008D79B2"/>
    <w:rsid w:val="008D7B44"/>
    <w:rsid w:val="008E0958"/>
    <w:rsid w:val="008E101C"/>
    <w:rsid w:val="008E12AC"/>
    <w:rsid w:val="008E12FB"/>
    <w:rsid w:val="008E19A8"/>
    <w:rsid w:val="008E1B9E"/>
    <w:rsid w:val="008E1BAF"/>
    <w:rsid w:val="008E2636"/>
    <w:rsid w:val="008E48D6"/>
    <w:rsid w:val="008E520B"/>
    <w:rsid w:val="008E5611"/>
    <w:rsid w:val="008E5642"/>
    <w:rsid w:val="008E58BF"/>
    <w:rsid w:val="008E61BC"/>
    <w:rsid w:val="008E7B90"/>
    <w:rsid w:val="008E7DD5"/>
    <w:rsid w:val="008F0112"/>
    <w:rsid w:val="008F02A5"/>
    <w:rsid w:val="008F1D46"/>
    <w:rsid w:val="008F2179"/>
    <w:rsid w:val="008F2A12"/>
    <w:rsid w:val="008F48EB"/>
    <w:rsid w:val="008F4F0B"/>
    <w:rsid w:val="008F6B85"/>
    <w:rsid w:val="0090060A"/>
    <w:rsid w:val="0090106D"/>
    <w:rsid w:val="00902DAA"/>
    <w:rsid w:val="00902F21"/>
    <w:rsid w:val="00903FBC"/>
    <w:rsid w:val="00904C91"/>
    <w:rsid w:val="009051C9"/>
    <w:rsid w:val="0090529D"/>
    <w:rsid w:val="00905366"/>
    <w:rsid w:val="00905946"/>
    <w:rsid w:val="009062A5"/>
    <w:rsid w:val="0090684F"/>
    <w:rsid w:val="00906992"/>
    <w:rsid w:val="00907914"/>
    <w:rsid w:val="0091011F"/>
    <w:rsid w:val="0091029B"/>
    <w:rsid w:val="00910FC4"/>
    <w:rsid w:val="00911272"/>
    <w:rsid w:val="00911793"/>
    <w:rsid w:val="00912032"/>
    <w:rsid w:val="0091264D"/>
    <w:rsid w:val="00912C3E"/>
    <w:rsid w:val="00914DFE"/>
    <w:rsid w:val="00915C8F"/>
    <w:rsid w:val="00916608"/>
    <w:rsid w:val="00916A7D"/>
    <w:rsid w:val="009170D3"/>
    <w:rsid w:val="00917C41"/>
    <w:rsid w:val="00920C99"/>
    <w:rsid w:val="00920EC8"/>
    <w:rsid w:val="0092143F"/>
    <w:rsid w:val="00921593"/>
    <w:rsid w:val="009215C5"/>
    <w:rsid w:val="00922952"/>
    <w:rsid w:val="0092303E"/>
    <w:rsid w:val="009243D7"/>
    <w:rsid w:val="009257E5"/>
    <w:rsid w:val="009267F4"/>
    <w:rsid w:val="009268BE"/>
    <w:rsid w:val="00927B05"/>
    <w:rsid w:val="00927CF3"/>
    <w:rsid w:val="00927E2A"/>
    <w:rsid w:val="00927F49"/>
    <w:rsid w:val="009300DF"/>
    <w:rsid w:val="0093063C"/>
    <w:rsid w:val="00931FC0"/>
    <w:rsid w:val="00935018"/>
    <w:rsid w:val="0093527A"/>
    <w:rsid w:val="009356C9"/>
    <w:rsid w:val="00935AAE"/>
    <w:rsid w:val="009379BA"/>
    <w:rsid w:val="00937A04"/>
    <w:rsid w:val="009403AF"/>
    <w:rsid w:val="009404F9"/>
    <w:rsid w:val="009406F7"/>
    <w:rsid w:val="009424D6"/>
    <w:rsid w:val="00942E5F"/>
    <w:rsid w:val="0094401F"/>
    <w:rsid w:val="009440B9"/>
    <w:rsid w:val="00945F09"/>
    <w:rsid w:val="009506BE"/>
    <w:rsid w:val="00950AA6"/>
    <w:rsid w:val="00951B45"/>
    <w:rsid w:val="00952A17"/>
    <w:rsid w:val="00952E27"/>
    <w:rsid w:val="00953930"/>
    <w:rsid w:val="00954E6D"/>
    <w:rsid w:val="00955F50"/>
    <w:rsid w:val="00956C77"/>
    <w:rsid w:val="0095768C"/>
    <w:rsid w:val="00960212"/>
    <w:rsid w:val="00960C95"/>
    <w:rsid w:val="00960E02"/>
    <w:rsid w:val="00960EA9"/>
    <w:rsid w:val="00961AF9"/>
    <w:rsid w:val="00961D63"/>
    <w:rsid w:val="00962860"/>
    <w:rsid w:val="00962CB9"/>
    <w:rsid w:val="00964312"/>
    <w:rsid w:val="00964E19"/>
    <w:rsid w:val="00965D89"/>
    <w:rsid w:val="00966443"/>
    <w:rsid w:val="00966AA1"/>
    <w:rsid w:val="00970C95"/>
    <w:rsid w:val="0097131D"/>
    <w:rsid w:val="00971B77"/>
    <w:rsid w:val="0097255F"/>
    <w:rsid w:val="00972754"/>
    <w:rsid w:val="00975481"/>
    <w:rsid w:val="00975755"/>
    <w:rsid w:val="0097633A"/>
    <w:rsid w:val="0098002F"/>
    <w:rsid w:val="0098091E"/>
    <w:rsid w:val="00983A1E"/>
    <w:rsid w:val="00983E57"/>
    <w:rsid w:val="009841E2"/>
    <w:rsid w:val="009870A7"/>
    <w:rsid w:val="0098755C"/>
    <w:rsid w:val="009906DD"/>
    <w:rsid w:val="00991089"/>
    <w:rsid w:val="00991B24"/>
    <w:rsid w:val="00991EA8"/>
    <w:rsid w:val="0099251C"/>
    <w:rsid w:val="00993FB6"/>
    <w:rsid w:val="009944F2"/>
    <w:rsid w:val="009946BB"/>
    <w:rsid w:val="009951EF"/>
    <w:rsid w:val="009955E9"/>
    <w:rsid w:val="00995847"/>
    <w:rsid w:val="00996B1A"/>
    <w:rsid w:val="00996CEA"/>
    <w:rsid w:val="009A03AB"/>
    <w:rsid w:val="009A05A9"/>
    <w:rsid w:val="009A06AB"/>
    <w:rsid w:val="009A1559"/>
    <w:rsid w:val="009A299C"/>
    <w:rsid w:val="009A3678"/>
    <w:rsid w:val="009A4263"/>
    <w:rsid w:val="009A4655"/>
    <w:rsid w:val="009A51F0"/>
    <w:rsid w:val="009A5ABB"/>
    <w:rsid w:val="009B1D7D"/>
    <w:rsid w:val="009B256A"/>
    <w:rsid w:val="009B2ADC"/>
    <w:rsid w:val="009B3D88"/>
    <w:rsid w:val="009B3E26"/>
    <w:rsid w:val="009B4E0E"/>
    <w:rsid w:val="009B581A"/>
    <w:rsid w:val="009B5996"/>
    <w:rsid w:val="009B6F47"/>
    <w:rsid w:val="009B71C1"/>
    <w:rsid w:val="009B7A71"/>
    <w:rsid w:val="009B7AA5"/>
    <w:rsid w:val="009B7F6B"/>
    <w:rsid w:val="009C055D"/>
    <w:rsid w:val="009C095F"/>
    <w:rsid w:val="009C1E60"/>
    <w:rsid w:val="009C2D98"/>
    <w:rsid w:val="009C3D89"/>
    <w:rsid w:val="009C4D0B"/>
    <w:rsid w:val="009C4E26"/>
    <w:rsid w:val="009C5520"/>
    <w:rsid w:val="009C5669"/>
    <w:rsid w:val="009C60B6"/>
    <w:rsid w:val="009C78AC"/>
    <w:rsid w:val="009C7F1C"/>
    <w:rsid w:val="009D1059"/>
    <w:rsid w:val="009D1E9F"/>
    <w:rsid w:val="009D2EB2"/>
    <w:rsid w:val="009D2FE9"/>
    <w:rsid w:val="009D398F"/>
    <w:rsid w:val="009D412F"/>
    <w:rsid w:val="009D45D3"/>
    <w:rsid w:val="009D598D"/>
    <w:rsid w:val="009D5B91"/>
    <w:rsid w:val="009D64D8"/>
    <w:rsid w:val="009D65AC"/>
    <w:rsid w:val="009D6A77"/>
    <w:rsid w:val="009E022F"/>
    <w:rsid w:val="009E0346"/>
    <w:rsid w:val="009E03AB"/>
    <w:rsid w:val="009E0569"/>
    <w:rsid w:val="009E0874"/>
    <w:rsid w:val="009E0950"/>
    <w:rsid w:val="009E0A0B"/>
    <w:rsid w:val="009E0F85"/>
    <w:rsid w:val="009E1225"/>
    <w:rsid w:val="009E19B6"/>
    <w:rsid w:val="009E21BE"/>
    <w:rsid w:val="009E23BC"/>
    <w:rsid w:val="009E2E0C"/>
    <w:rsid w:val="009E2E8F"/>
    <w:rsid w:val="009E346E"/>
    <w:rsid w:val="009E39D3"/>
    <w:rsid w:val="009E4C07"/>
    <w:rsid w:val="009E4EA4"/>
    <w:rsid w:val="009E5735"/>
    <w:rsid w:val="009E57B5"/>
    <w:rsid w:val="009E7F9E"/>
    <w:rsid w:val="009E7FC5"/>
    <w:rsid w:val="009F0506"/>
    <w:rsid w:val="009F17D3"/>
    <w:rsid w:val="009F211E"/>
    <w:rsid w:val="009F24F2"/>
    <w:rsid w:val="009F2640"/>
    <w:rsid w:val="009F2913"/>
    <w:rsid w:val="009F2D00"/>
    <w:rsid w:val="009F399A"/>
    <w:rsid w:val="009F3B29"/>
    <w:rsid w:val="009F43E2"/>
    <w:rsid w:val="009F4A87"/>
    <w:rsid w:val="009F4EBD"/>
    <w:rsid w:val="009F6D7E"/>
    <w:rsid w:val="00A0062D"/>
    <w:rsid w:val="00A01C14"/>
    <w:rsid w:val="00A01EB3"/>
    <w:rsid w:val="00A02F56"/>
    <w:rsid w:val="00A03890"/>
    <w:rsid w:val="00A03D43"/>
    <w:rsid w:val="00A03DE9"/>
    <w:rsid w:val="00A040C6"/>
    <w:rsid w:val="00A04380"/>
    <w:rsid w:val="00A043F8"/>
    <w:rsid w:val="00A04D26"/>
    <w:rsid w:val="00A05794"/>
    <w:rsid w:val="00A05EED"/>
    <w:rsid w:val="00A06AAA"/>
    <w:rsid w:val="00A072EF"/>
    <w:rsid w:val="00A074BD"/>
    <w:rsid w:val="00A07BBF"/>
    <w:rsid w:val="00A10207"/>
    <w:rsid w:val="00A111DA"/>
    <w:rsid w:val="00A11478"/>
    <w:rsid w:val="00A13948"/>
    <w:rsid w:val="00A1691A"/>
    <w:rsid w:val="00A20CB7"/>
    <w:rsid w:val="00A25F72"/>
    <w:rsid w:val="00A260D9"/>
    <w:rsid w:val="00A275D3"/>
    <w:rsid w:val="00A27AEC"/>
    <w:rsid w:val="00A27FE7"/>
    <w:rsid w:val="00A32A52"/>
    <w:rsid w:val="00A32C1E"/>
    <w:rsid w:val="00A33F63"/>
    <w:rsid w:val="00A3435F"/>
    <w:rsid w:val="00A346FB"/>
    <w:rsid w:val="00A35D16"/>
    <w:rsid w:val="00A366D6"/>
    <w:rsid w:val="00A367A9"/>
    <w:rsid w:val="00A40A3F"/>
    <w:rsid w:val="00A412D4"/>
    <w:rsid w:val="00A41663"/>
    <w:rsid w:val="00A4222B"/>
    <w:rsid w:val="00A4332D"/>
    <w:rsid w:val="00A43397"/>
    <w:rsid w:val="00A439A2"/>
    <w:rsid w:val="00A43C59"/>
    <w:rsid w:val="00A4556D"/>
    <w:rsid w:val="00A45B8B"/>
    <w:rsid w:val="00A46F98"/>
    <w:rsid w:val="00A47288"/>
    <w:rsid w:val="00A4753D"/>
    <w:rsid w:val="00A47702"/>
    <w:rsid w:val="00A47745"/>
    <w:rsid w:val="00A50B8E"/>
    <w:rsid w:val="00A50ECD"/>
    <w:rsid w:val="00A517D6"/>
    <w:rsid w:val="00A522A0"/>
    <w:rsid w:val="00A52729"/>
    <w:rsid w:val="00A53551"/>
    <w:rsid w:val="00A53675"/>
    <w:rsid w:val="00A53BBB"/>
    <w:rsid w:val="00A545A1"/>
    <w:rsid w:val="00A556C6"/>
    <w:rsid w:val="00A5632E"/>
    <w:rsid w:val="00A56B6A"/>
    <w:rsid w:val="00A56D27"/>
    <w:rsid w:val="00A571A5"/>
    <w:rsid w:val="00A572A9"/>
    <w:rsid w:val="00A577F2"/>
    <w:rsid w:val="00A578DC"/>
    <w:rsid w:val="00A602DD"/>
    <w:rsid w:val="00A60CEE"/>
    <w:rsid w:val="00A619DC"/>
    <w:rsid w:val="00A61BB7"/>
    <w:rsid w:val="00A64052"/>
    <w:rsid w:val="00A64B5A"/>
    <w:rsid w:val="00A6573C"/>
    <w:rsid w:val="00A6587B"/>
    <w:rsid w:val="00A667B5"/>
    <w:rsid w:val="00A66B45"/>
    <w:rsid w:val="00A6725B"/>
    <w:rsid w:val="00A70261"/>
    <w:rsid w:val="00A70482"/>
    <w:rsid w:val="00A71DEB"/>
    <w:rsid w:val="00A73CD9"/>
    <w:rsid w:val="00A74CE8"/>
    <w:rsid w:val="00A75010"/>
    <w:rsid w:val="00A76C16"/>
    <w:rsid w:val="00A770A1"/>
    <w:rsid w:val="00A77228"/>
    <w:rsid w:val="00A77AB3"/>
    <w:rsid w:val="00A805A8"/>
    <w:rsid w:val="00A80A3F"/>
    <w:rsid w:val="00A815D8"/>
    <w:rsid w:val="00A819A8"/>
    <w:rsid w:val="00A81A74"/>
    <w:rsid w:val="00A83592"/>
    <w:rsid w:val="00A83CEE"/>
    <w:rsid w:val="00A8451B"/>
    <w:rsid w:val="00A85ECC"/>
    <w:rsid w:val="00A86E8B"/>
    <w:rsid w:val="00A872CD"/>
    <w:rsid w:val="00A8769E"/>
    <w:rsid w:val="00A90A53"/>
    <w:rsid w:val="00A92865"/>
    <w:rsid w:val="00A92DAD"/>
    <w:rsid w:val="00A93072"/>
    <w:rsid w:val="00A94EC0"/>
    <w:rsid w:val="00A95244"/>
    <w:rsid w:val="00A95A40"/>
    <w:rsid w:val="00A96FD9"/>
    <w:rsid w:val="00A97709"/>
    <w:rsid w:val="00AA0A07"/>
    <w:rsid w:val="00AA0A61"/>
    <w:rsid w:val="00AA0DF7"/>
    <w:rsid w:val="00AA1B9A"/>
    <w:rsid w:val="00AA35FE"/>
    <w:rsid w:val="00AA70A9"/>
    <w:rsid w:val="00AA732D"/>
    <w:rsid w:val="00AB042A"/>
    <w:rsid w:val="00AB08D0"/>
    <w:rsid w:val="00AB0E9A"/>
    <w:rsid w:val="00AB3430"/>
    <w:rsid w:val="00AB3B3F"/>
    <w:rsid w:val="00AB4779"/>
    <w:rsid w:val="00AB7CFA"/>
    <w:rsid w:val="00AC103D"/>
    <w:rsid w:val="00AC2093"/>
    <w:rsid w:val="00AC27BC"/>
    <w:rsid w:val="00AC2C7C"/>
    <w:rsid w:val="00AC5211"/>
    <w:rsid w:val="00AC52D3"/>
    <w:rsid w:val="00AC58BA"/>
    <w:rsid w:val="00AC5A30"/>
    <w:rsid w:val="00AC719F"/>
    <w:rsid w:val="00AD0215"/>
    <w:rsid w:val="00AD05AE"/>
    <w:rsid w:val="00AD0823"/>
    <w:rsid w:val="00AD19D7"/>
    <w:rsid w:val="00AD2417"/>
    <w:rsid w:val="00AD27AD"/>
    <w:rsid w:val="00AD2DEA"/>
    <w:rsid w:val="00AD303E"/>
    <w:rsid w:val="00AD5291"/>
    <w:rsid w:val="00AD6199"/>
    <w:rsid w:val="00AD685D"/>
    <w:rsid w:val="00AD79FB"/>
    <w:rsid w:val="00AE0433"/>
    <w:rsid w:val="00AE1563"/>
    <w:rsid w:val="00AE284E"/>
    <w:rsid w:val="00AE3895"/>
    <w:rsid w:val="00AE3FF4"/>
    <w:rsid w:val="00AE738A"/>
    <w:rsid w:val="00AE7ECB"/>
    <w:rsid w:val="00AE7FB0"/>
    <w:rsid w:val="00AF09D4"/>
    <w:rsid w:val="00AF1409"/>
    <w:rsid w:val="00AF1647"/>
    <w:rsid w:val="00AF23C4"/>
    <w:rsid w:val="00AF2E3B"/>
    <w:rsid w:val="00AF3258"/>
    <w:rsid w:val="00AF3A04"/>
    <w:rsid w:val="00AF3C95"/>
    <w:rsid w:val="00AF451E"/>
    <w:rsid w:val="00AF4E0C"/>
    <w:rsid w:val="00AF7B03"/>
    <w:rsid w:val="00B00AE2"/>
    <w:rsid w:val="00B01C56"/>
    <w:rsid w:val="00B01CB4"/>
    <w:rsid w:val="00B0318F"/>
    <w:rsid w:val="00B033CF"/>
    <w:rsid w:val="00B05681"/>
    <w:rsid w:val="00B056B8"/>
    <w:rsid w:val="00B05CFA"/>
    <w:rsid w:val="00B05D47"/>
    <w:rsid w:val="00B079BC"/>
    <w:rsid w:val="00B10B84"/>
    <w:rsid w:val="00B114C7"/>
    <w:rsid w:val="00B11C35"/>
    <w:rsid w:val="00B1252E"/>
    <w:rsid w:val="00B12865"/>
    <w:rsid w:val="00B13071"/>
    <w:rsid w:val="00B134B0"/>
    <w:rsid w:val="00B13F8B"/>
    <w:rsid w:val="00B14D73"/>
    <w:rsid w:val="00B16F47"/>
    <w:rsid w:val="00B1720E"/>
    <w:rsid w:val="00B17CB9"/>
    <w:rsid w:val="00B2024C"/>
    <w:rsid w:val="00B2094A"/>
    <w:rsid w:val="00B20B85"/>
    <w:rsid w:val="00B21AD9"/>
    <w:rsid w:val="00B22399"/>
    <w:rsid w:val="00B22455"/>
    <w:rsid w:val="00B22E1E"/>
    <w:rsid w:val="00B23004"/>
    <w:rsid w:val="00B252FA"/>
    <w:rsid w:val="00B256F8"/>
    <w:rsid w:val="00B26487"/>
    <w:rsid w:val="00B30A42"/>
    <w:rsid w:val="00B32DD3"/>
    <w:rsid w:val="00B34D94"/>
    <w:rsid w:val="00B35D6A"/>
    <w:rsid w:val="00B36135"/>
    <w:rsid w:val="00B362FC"/>
    <w:rsid w:val="00B36525"/>
    <w:rsid w:val="00B3673B"/>
    <w:rsid w:val="00B36A6E"/>
    <w:rsid w:val="00B36BEF"/>
    <w:rsid w:val="00B36FA1"/>
    <w:rsid w:val="00B373E2"/>
    <w:rsid w:val="00B40187"/>
    <w:rsid w:val="00B4114B"/>
    <w:rsid w:val="00B41383"/>
    <w:rsid w:val="00B4211B"/>
    <w:rsid w:val="00B42207"/>
    <w:rsid w:val="00B42851"/>
    <w:rsid w:val="00B4329B"/>
    <w:rsid w:val="00B44E32"/>
    <w:rsid w:val="00B45504"/>
    <w:rsid w:val="00B4560C"/>
    <w:rsid w:val="00B4596B"/>
    <w:rsid w:val="00B45BBC"/>
    <w:rsid w:val="00B45F30"/>
    <w:rsid w:val="00B46317"/>
    <w:rsid w:val="00B463C0"/>
    <w:rsid w:val="00B46CE7"/>
    <w:rsid w:val="00B4737C"/>
    <w:rsid w:val="00B47D89"/>
    <w:rsid w:val="00B50A4E"/>
    <w:rsid w:val="00B50CCB"/>
    <w:rsid w:val="00B50D16"/>
    <w:rsid w:val="00B50D29"/>
    <w:rsid w:val="00B54AEF"/>
    <w:rsid w:val="00B54B5B"/>
    <w:rsid w:val="00B55217"/>
    <w:rsid w:val="00B5562E"/>
    <w:rsid w:val="00B55A5E"/>
    <w:rsid w:val="00B57000"/>
    <w:rsid w:val="00B57C4E"/>
    <w:rsid w:val="00B608CF"/>
    <w:rsid w:val="00B60939"/>
    <w:rsid w:val="00B60AFD"/>
    <w:rsid w:val="00B60DC5"/>
    <w:rsid w:val="00B60F3B"/>
    <w:rsid w:val="00B61C3E"/>
    <w:rsid w:val="00B620C2"/>
    <w:rsid w:val="00B62715"/>
    <w:rsid w:val="00B643DC"/>
    <w:rsid w:val="00B653D1"/>
    <w:rsid w:val="00B656FB"/>
    <w:rsid w:val="00B65D84"/>
    <w:rsid w:val="00B66A3B"/>
    <w:rsid w:val="00B66FA0"/>
    <w:rsid w:val="00B67084"/>
    <w:rsid w:val="00B70858"/>
    <w:rsid w:val="00B7169F"/>
    <w:rsid w:val="00B72E8E"/>
    <w:rsid w:val="00B73231"/>
    <w:rsid w:val="00B74A96"/>
    <w:rsid w:val="00B74DBA"/>
    <w:rsid w:val="00B75682"/>
    <w:rsid w:val="00B75866"/>
    <w:rsid w:val="00B75AA7"/>
    <w:rsid w:val="00B76E95"/>
    <w:rsid w:val="00B771F4"/>
    <w:rsid w:val="00B77A3A"/>
    <w:rsid w:val="00B77B52"/>
    <w:rsid w:val="00B8032C"/>
    <w:rsid w:val="00B81357"/>
    <w:rsid w:val="00B818A4"/>
    <w:rsid w:val="00B86128"/>
    <w:rsid w:val="00B8649C"/>
    <w:rsid w:val="00B86F65"/>
    <w:rsid w:val="00B871E0"/>
    <w:rsid w:val="00B877A8"/>
    <w:rsid w:val="00B902B0"/>
    <w:rsid w:val="00B90DCD"/>
    <w:rsid w:val="00B91D7F"/>
    <w:rsid w:val="00B925E9"/>
    <w:rsid w:val="00B926D7"/>
    <w:rsid w:val="00B92B00"/>
    <w:rsid w:val="00B92D0B"/>
    <w:rsid w:val="00B932EB"/>
    <w:rsid w:val="00B935D3"/>
    <w:rsid w:val="00B94101"/>
    <w:rsid w:val="00B94945"/>
    <w:rsid w:val="00B951C5"/>
    <w:rsid w:val="00B955F0"/>
    <w:rsid w:val="00B956D7"/>
    <w:rsid w:val="00B96284"/>
    <w:rsid w:val="00B96483"/>
    <w:rsid w:val="00BA03C0"/>
    <w:rsid w:val="00BA154D"/>
    <w:rsid w:val="00BA3AB7"/>
    <w:rsid w:val="00BA3CE5"/>
    <w:rsid w:val="00BA4FAA"/>
    <w:rsid w:val="00BA5B56"/>
    <w:rsid w:val="00BA5F85"/>
    <w:rsid w:val="00BA61B2"/>
    <w:rsid w:val="00BA662F"/>
    <w:rsid w:val="00BB0F02"/>
    <w:rsid w:val="00BB1244"/>
    <w:rsid w:val="00BB12E2"/>
    <w:rsid w:val="00BB17EC"/>
    <w:rsid w:val="00BB184C"/>
    <w:rsid w:val="00BB2079"/>
    <w:rsid w:val="00BB307C"/>
    <w:rsid w:val="00BB3625"/>
    <w:rsid w:val="00BB383E"/>
    <w:rsid w:val="00BB3DCD"/>
    <w:rsid w:val="00BB4189"/>
    <w:rsid w:val="00BB45C2"/>
    <w:rsid w:val="00BB47DA"/>
    <w:rsid w:val="00BB6B34"/>
    <w:rsid w:val="00BB78F1"/>
    <w:rsid w:val="00BC1071"/>
    <w:rsid w:val="00BC1175"/>
    <w:rsid w:val="00BC1751"/>
    <w:rsid w:val="00BC1FE0"/>
    <w:rsid w:val="00BC2198"/>
    <w:rsid w:val="00BC2DB6"/>
    <w:rsid w:val="00BC3C88"/>
    <w:rsid w:val="00BC5FC3"/>
    <w:rsid w:val="00BC743E"/>
    <w:rsid w:val="00BC7559"/>
    <w:rsid w:val="00BD07C0"/>
    <w:rsid w:val="00BD111D"/>
    <w:rsid w:val="00BD13F6"/>
    <w:rsid w:val="00BD17C0"/>
    <w:rsid w:val="00BD1E18"/>
    <w:rsid w:val="00BD2174"/>
    <w:rsid w:val="00BD30C1"/>
    <w:rsid w:val="00BD4615"/>
    <w:rsid w:val="00BD696E"/>
    <w:rsid w:val="00BD72C7"/>
    <w:rsid w:val="00BD7B6C"/>
    <w:rsid w:val="00BD7BCB"/>
    <w:rsid w:val="00BD7D88"/>
    <w:rsid w:val="00BE1DAD"/>
    <w:rsid w:val="00BE2180"/>
    <w:rsid w:val="00BE2E9E"/>
    <w:rsid w:val="00BE4275"/>
    <w:rsid w:val="00BE4413"/>
    <w:rsid w:val="00BE5D8D"/>
    <w:rsid w:val="00BE63A2"/>
    <w:rsid w:val="00BE65A0"/>
    <w:rsid w:val="00BE7BB4"/>
    <w:rsid w:val="00BE7E6B"/>
    <w:rsid w:val="00BF0DAB"/>
    <w:rsid w:val="00BF14B0"/>
    <w:rsid w:val="00BF2320"/>
    <w:rsid w:val="00BF23ED"/>
    <w:rsid w:val="00BF2433"/>
    <w:rsid w:val="00BF2857"/>
    <w:rsid w:val="00BF2896"/>
    <w:rsid w:val="00BF412F"/>
    <w:rsid w:val="00BF5049"/>
    <w:rsid w:val="00BF5B6E"/>
    <w:rsid w:val="00BF61BF"/>
    <w:rsid w:val="00BF61C9"/>
    <w:rsid w:val="00BF6E94"/>
    <w:rsid w:val="00BF6EEB"/>
    <w:rsid w:val="00BF7473"/>
    <w:rsid w:val="00BF770F"/>
    <w:rsid w:val="00C00F85"/>
    <w:rsid w:val="00C012EF"/>
    <w:rsid w:val="00C0151A"/>
    <w:rsid w:val="00C02D35"/>
    <w:rsid w:val="00C04230"/>
    <w:rsid w:val="00C05647"/>
    <w:rsid w:val="00C061C3"/>
    <w:rsid w:val="00C064EE"/>
    <w:rsid w:val="00C0716D"/>
    <w:rsid w:val="00C072E2"/>
    <w:rsid w:val="00C073CD"/>
    <w:rsid w:val="00C10D10"/>
    <w:rsid w:val="00C10D37"/>
    <w:rsid w:val="00C11CD1"/>
    <w:rsid w:val="00C11DED"/>
    <w:rsid w:val="00C123D9"/>
    <w:rsid w:val="00C132EF"/>
    <w:rsid w:val="00C136A7"/>
    <w:rsid w:val="00C14630"/>
    <w:rsid w:val="00C148DD"/>
    <w:rsid w:val="00C20C9A"/>
    <w:rsid w:val="00C21B1C"/>
    <w:rsid w:val="00C21E65"/>
    <w:rsid w:val="00C2251F"/>
    <w:rsid w:val="00C22C98"/>
    <w:rsid w:val="00C22E77"/>
    <w:rsid w:val="00C22EDA"/>
    <w:rsid w:val="00C22F7C"/>
    <w:rsid w:val="00C2475F"/>
    <w:rsid w:val="00C25418"/>
    <w:rsid w:val="00C25D9C"/>
    <w:rsid w:val="00C269FD"/>
    <w:rsid w:val="00C27362"/>
    <w:rsid w:val="00C27C12"/>
    <w:rsid w:val="00C314A8"/>
    <w:rsid w:val="00C31649"/>
    <w:rsid w:val="00C32B19"/>
    <w:rsid w:val="00C32B48"/>
    <w:rsid w:val="00C33A19"/>
    <w:rsid w:val="00C35B17"/>
    <w:rsid w:val="00C40385"/>
    <w:rsid w:val="00C40554"/>
    <w:rsid w:val="00C411B9"/>
    <w:rsid w:val="00C411E7"/>
    <w:rsid w:val="00C4133D"/>
    <w:rsid w:val="00C430A7"/>
    <w:rsid w:val="00C431E1"/>
    <w:rsid w:val="00C43873"/>
    <w:rsid w:val="00C43CBA"/>
    <w:rsid w:val="00C43F38"/>
    <w:rsid w:val="00C43FC7"/>
    <w:rsid w:val="00C462E1"/>
    <w:rsid w:val="00C4730F"/>
    <w:rsid w:val="00C5054B"/>
    <w:rsid w:val="00C50F32"/>
    <w:rsid w:val="00C538B6"/>
    <w:rsid w:val="00C53DB7"/>
    <w:rsid w:val="00C53E49"/>
    <w:rsid w:val="00C53F88"/>
    <w:rsid w:val="00C5474F"/>
    <w:rsid w:val="00C56368"/>
    <w:rsid w:val="00C56412"/>
    <w:rsid w:val="00C564A8"/>
    <w:rsid w:val="00C60A1D"/>
    <w:rsid w:val="00C63205"/>
    <w:rsid w:val="00C632E2"/>
    <w:rsid w:val="00C63BB5"/>
    <w:rsid w:val="00C654FE"/>
    <w:rsid w:val="00C65576"/>
    <w:rsid w:val="00C65AD6"/>
    <w:rsid w:val="00C66165"/>
    <w:rsid w:val="00C6656B"/>
    <w:rsid w:val="00C7271D"/>
    <w:rsid w:val="00C73EAD"/>
    <w:rsid w:val="00C740EE"/>
    <w:rsid w:val="00C756E8"/>
    <w:rsid w:val="00C75E09"/>
    <w:rsid w:val="00C75E84"/>
    <w:rsid w:val="00C76F7E"/>
    <w:rsid w:val="00C772C3"/>
    <w:rsid w:val="00C773F0"/>
    <w:rsid w:val="00C77C47"/>
    <w:rsid w:val="00C77C55"/>
    <w:rsid w:val="00C820FD"/>
    <w:rsid w:val="00C8213F"/>
    <w:rsid w:val="00C8285B"/>
    <w:rsid w:val="00C82C65"/>
    <w:rsid w:val="00C8457F"/>
    <w:rsid w:val="00C853DE"/>
    <w:rsid w:val="00C859B2"/>
    <w:rsid w:val="00C85C24"/>
    <w:rsid w:val="00C8611C"/>
    <w:rsid w:val="00C86F15"/>
    <w:rsid w:val="00C8797A"/>
    <w:rsid w:val="00C87F3F"/>
    <w:rsid w:val="00C90335"/>
    <w:rsid w:val="00C907A1"/>
    <w:rsid w:val="00C91A41"/>
    <w:rsid w:val="00C938CF"/>
    <w:rsid w:val="00C9410B"/>
    <w:rsid w:val="00C94277"/>
    <w:rsid w:val="00C9448C"/>
    <w:rsid w:val="00C94812"/>
    <w:rsid w:val="00C94A49"/>
    <w:rsid w:val="00C959B6"/>
    <w:rsid w:val="00C95D66"/>
    <w:rsid w:val="00C96FBC"/>
    <w:rsid w:val="00CA056F"/>
    <w:rsid w:val="00CA0B12"/>
    <w:rsid w:val="00CA1605"/>
    <w:rsid w:val="00CA23DB"/>
    <w:rsid w:val="00CA28F1"/>
    <w:rsid w:val="00CA4E89"/>
    <w:rsid w:val="00CA4F60"/>
    <w:rsid w:val="00CA5245"/>
    <w:rsid w:val="00CA58E6"/>
    <w:rsid w:val="00CA5F56"/>
    <w:rsid w:val="00CA7B09"/>
    <w:rsid w:val="00CB0244"/>
    <w:rsid w:val="00CB0899"/>
    <w:rsid w:val="00CB0CB3"/>
    <w:rsid w:val="00CB1674"/>
    <w:rsid w:val="00CB1AA1"/>
    <w:rsid w:val="00CB2E2E"/>
    <w:rsid w:val="00CB3392"/>
    <w:rsid w:val="00CB3AAC"/>
    <w:rsid w:val="00CB4B90"/>
    <w:rsid w:val="00CB51E0"/>
    <w:rsid w:val="00CB5B1A"/>
    <w:rsid w:val="00CB660E"/>
    <w:rsid w:val="00CC0647"/>
    <w:rsid w:val="00CC0A25"/>
    <w:rsid w:val="00CC20C7"/>
    <w:rsid w:val="00CC238E"/>
    <w:rsid w:val="00CC2D54"/>
    <w:rsid w:val="00CC3318"/>
    <w:rsid w:val="00CC3EAF"/>
    <w:rsid w:val="00CC45FA"/>
    <w:rsid w:val="00CC56EC"/>
    <w:rsid w:val="00CC651D"/>
    <w:rsid w:val="00CC6C24"/>
    <w:rsid w:val="00CC7C17"/>
    <w:rsid w:val="00CD0CEE"/>
    <w:rsid w:val="00CD0E25"/>
    <w:rsid w:val="00CD144F"/>
    <w:rsid w:val="00CD1E2E"/>
    <w:rsid w:val="00CD4719"/>
    <w:rsid w:val="00CD4DFE"/>
    <w:rsid w:val="00CD4F6C"/>
    <w:rsid w:val="00CD6436"/>
    <w:rsid w:val="00CD6ADC"/>
    <w:rsid w:val="00CD733A"/>
    <w:rsid w:val="00CD79D9"/>
    <w:rsid w:val="00CD7BAB"/>
    <w:rsid w:val="00CE0851"/>
    <w:rsid w:val="00CE0B72"/>
    <w:rsid w:val="00CE1E46"/>
    <w:rsid w:val="00CE253F"/>
    <w:rsid w:val="00CE256A"/>
    <w:rsid w:val="00CE27C7"/>
    <w:rsid w:val="00CE2CE0"/>
    <w:rsid w:val="00CE3F12"/>
    <w:rsid w:val="00CE4FB0"/>
    <w:rsid w:val="00CE6274"/>
    <w:rsid w:val="00CE6766"/>
    <w:rsid w:val="00CF0043"/>
    <w:rsid w:val="00CF0A0C"/>
    <w:rsid w:val="00CF17F1"/>
    <w:rsid w:val="00CF1938"/>
    <w:rsid w:val="00CF1990"/>
    <w:rsid w:val="00CF29B5"/>
    <w:rsid w:val="00CF319C"/>
    <w:rsid w:val="00CF456B"/>
    <w:rsid w:val="00CF4655"/>
    <w:rsid w:val="00CF4857"/>
    <w:rsid w:val="00CF49C9"/>
    <w:rsid w:val="00CF4ACB"/>
    <w:rsid w:val="00CF5809"/>
    <w:rsid w:val="00CF5A22"/>
    <w:rsid w:val="00CF77E0"/>
    <w:rsid w:val="00D00A6E"/>
    <w:rsid w:val="00D00B44"/>
    <w:rsid w:val="00D00C90"/>
    <w:rsid w:val="00D01BAA"/>
    <w:rsid w:val="00D01BC0"/>
    <w:rsid w:val="00D0262E"/>
    <w:rsid w:val="00D0268F"/>
    <w:rsid w:val="00D029EB"/>
    <w:rsid w:val="00D0440C"/>
    <w:rsid w:val="00D04884"/>
    <w:rsid w:val="00D04C42"/>
    <w:rsid w:val="00D06FD4"/>
    <w:rsid w:val="00D1037B"/>
    <w:rsid w:val="00D1049A"/>
    <w:rsid w:val="00D10F4E"/>
    <w:rsid w:val="00D110BD"/>
    <w:rsid w:val="00D1191F"/>
    <w:rsid w:val="00D1222F"/>
    <w:rsid w:val="00D12AF5"/>
    <w:rsid w:val="00D137A9"/>
    <w:rsid w:val="00D14B43"/>
    <w:rsid w:val="00D1657F"/>
    <w:rsid w:val="00D16C4F"/>
    <w:rsid w:val="00D1700F"/>
    <w:rsid w:val="00D17CCD"/>
    <w:rsid w:val="00D17D6C"/>
    <w:rsid w:val="00D201A4"/>
    <w:rsid w:val="00D20210"/>
    <w:rsid w:val="00D209C6"/>
    <w:rsid w:val="00D212A5"/>
    <w:rsid w:val="00D216A0"/>
    <w:rsid w:val="00D216EF"/>
    <w:rsid w:val="00D21FA7"/>
    <w:rsid w:val="00D22B4E"/>
    <w:rsid w:val="00D22FBA"/>
    <w:rsid w:val="00D238D9"/>
    <w:rsid w:val="00D24B91"/>
    <w:rsid w:val="00D2584E"/>
    <w:rsid w:val="00D25B18"/>
    <w:rsid w:val="00D25F6D"/>
    <w:rsid w:val="00D27B3A"/>
    <w:rsid w:val="00D305EA"/>
    <w:rsid w:val="00D307D9"/>
    <w:rsid w:val="00D31E24"/>
    <w:rsid w:val="00D33254"/>
    <w:rsid w:val="00D333B2"/>
    <w:rsid w:val="00D35565"/>
    <w:rsid w:val="00D3561F"/>
    <w:rsid w:val="00D36DB8"/>
    <w:rsid w:val="00D37894"/>
    <w:rsid w:val="00D41A0F"/>
    <w:rsid w:val="00D44426"/>
    <w:rsid w:val="00D444CF"/>
    <w:rsid w:val="00D4486E"/>
    <w:rsid w:val="00D45BEC"/>
    <w:rsid w:val="00D4640F"/>
    <w:rsid w:val="00D479B5"/>
    <w:rsid w:val="00D47A86"/>
    <w:rsid w:val="00D509F7"/>
    <w:rsid w:val="00D523E4"/>
    <w:rsid w:val="00D52DA1"/>
    <w:rsid w:val="00D53C53"/>
    <w:rsid w:val="00D543B2"/>
    <w:rsid w:val="00D54AF2"/>
    <w:rsid w:val="00D550D3"/>
    <w:rsid w:val="00D55BD4"/>
    <w:rsid w:val="00D55E5C"/>
    <w:rsid w:val="00D56062"/>
    <w:rsid w:val="00D566CB"/>
    <w:rsid w:val="00D56CE0"/>
    <w:rsid w:val="00D604CD"/>
    <w:rsid w:val="00D63FCA"/>
    <w:rsid w:val="00D6460F"/>
    <w:rsid w:val="00D65E1F"/>
    <w:rsid w:val="00D660BC"/>
    <w:rsid w:val="00D66920"/>
    <w:rsid w:val="00D70344"/>
    <w:rsid w:val="00D71DDD"/>
    <w:rsid w:val="00D729C0"/>
    <w:rsid w:val="00D72A57"/>
    <w:rsid w:val="00D73511"/>
    <w:rsid w:val="00D737F0"/>
    <w:rsid w:val="00D744E2"/>
    <w:rsid w:val="00D7572A"/>
    <w:rsid w:val="00D7676F"/>
    <w:rsid w:val="00D76A44"/>
    <w:rsid w:val="00D77A32"/>
    <w:rsid w:val="00D804F2"/>
    <w:rsid w:val="00D8058E"/>
    <w:rsid w:val="00D8060F"/>
    <w:rsid w:val="00D808D3"/>
    <w:rsid w:val="00D8147A"/>
    <w:rsid w:val="00D816A8"/>
    <w:rsid w:val="00D82097"/>
    <w:rsid w:val="00D844AE"/>
    <w:rsid w:val="00D85D58"/>
    <w:rsid w:val="00D86392"/>
    <w:rsid w:val="00D86A83"/>
    <w:rsid w:val="00D876BC"/>
    <w:rsid w:val="00D905FD"/>
    <w:rsid w:val="00D90662"/>
    <w:rsid w:val="00D908EE"/>
    <w:rsid w:val="00D911BD"/>
    <w:rsid w:val="00D9239A"/>
    <w:rsid w:val="00D92F07"/>
    <w:rsid w:val="00D93753"/>
    <w:rsid w:val="00D93C0D"/>
    <w:rsid w:val="00D93D29"/>
    <w:rsid w:val="00D9448D"/>
    <w:rsid w:val="00D9453C"/>
    <w:rsid w:val="00D94713"/>
    <w:rsid w:val="00D94CF1"/>
    <w:rsid w:val="00D95964"/>
    <w:rsid w:val="00D95ABF"/>
    <w:rsid w:val="00D96849"/>
    <w:rsid w:val="00D976CF"/>
    <w:rsid w:val="00DA2AE2"/>
    <w:rsid w:val="00DA2EA3"/>
    <w:rsid w:val="00DA515F"/>
    <w:rsid w:val="00DA6414"/>
    <w:rsid w:val="00DA77A5"/>
    <w:rsid w:val="00DB0586"/>
    <w:rsid w:val="00DB16D7"/>
    <w:rsid w:val="00DB3BC2"/>
    <w:rsid w:val="00DB4317"/>
    <w:rsid w:val="00DB6CDE"/>
    <w:rsid w:val="00DB7181"/>
    <w:rsid w:val="00DB7794"/>
    <w:rsid w:val="00DC0254"/>
    <w:rsid w:val="00DC05DA"/>
    <w:rsid w:val="00DC1760"/>
    <w:rsid w:val="00DC4A60"/>
    <w:rsid w:val="00DC5501"/>
    <w:rsid w:val="00DC6B84"/>
    <w:rsid w:val="00DD2072"/>
    <w:rsid w:val="00DD25CB"/>
    <w:rsid w:val="00DD25D7"/>
    <w:rsid w:val="00DD3317"/>
    <w:rsid w:val="00DD3F28"/>
    <w:rsid w:val="00DD4537"/>
    <w:rsid w:val="00DD4E15"/>
    <w:rsid w:val="00DD5071"/>
    <w:rsid w:val="00DD5951"/>
    <w:rsid w:val="00DD629F"/>
    <w:rsid w:val="00DD7234"/>
    <w:rsid w:val="00DE0411"/>
    <w:rsid w:val="00DE0DB2"/>
    <w:rsid w:val="00DE3825"/>
    <w:rsid w:val="00DE4114"/>
    <w:rsid w:val="00DE4451"/>
    <w:rsid w:val="00DE4918"/>
    <w:rsid w:val="00DE4CFB"/>
    <w:rsid w:val="00DE4FCB"/>
    <w:rsid w:val="00DE52A4"/>
    <w:rsid w:val="00DE6026"/>
    <w:rsid w:val="00DF2EEC"/>
    <w:rsid w:val="00DF4C42"/>
    <w:rsid w:val="00DF56BD"/>
    <w:rsid w:val="00DF5A62"/>
    <w:rsid w:val="00DF742C"/>
    <w:rsid w:val="00E018C2"/>
    <w:rsid w:val="00E01A93"/>
    <w:rsid w:val="00E01AF0"/>
    <w:rsid w:val="00E02350"/>
    <w:rsid w:val="00E031F5"/>
    <w:rsid w:val="00E03694"/>
    <w:rsid w:val="00E04393"/>
    <w:rsid w:val="00E045E3"/>
    <w:rsid w:val="00E04EB3"/>
    <w:rsid w:val="00E066C1"/>
    <w:rsid w:val="00E10149"/>
    <w:rsid w:val="00E1174F"/>
    <w:rsid w:val="00E14E9F"/>
    <w:rsid w:val="00E153A7"/>
    <w:rsid w:val="00E159AC"/>
    <w:rsid w:val="00E15CC3"/>
    <w:rsid w:val="00E16372"/>
    <w:rsid w:val="00E17223"/>
    <w:rsid w:val="00E172B0"/>
    <w:rsid w:val="00E17F21"/>
    <w:rsid w:val="00E20ED6"/>
    <w:rsid w:val="00E21358"/>
    <w:rsid w:val="00E215C8"/>
    <w:rsid w:val="00E2249B"/>
    <w:rsid w:val="00E2251C"/>
    <w:rsid w:val="00E239F4"/>
    <w:rsid w:val="00E24976"/>
    <w:rsid w:val="00E256B9"/>
    <w:rsid w:val="00E25817"/>
    <w:rsid w:val="00E26843"/>
    <w:rsid w:val="00E26DC4"/>
    <w:rsid w:val="00E2771E"/>
    <w:rsid w:val="00E277B5"/>
    <w:rsid w:val="00E30460"/>
    <w:rsid w:val="00E30B25"/>
    <w:rsid w:val="00E30EEA"/>
    <w:rsid w:val="00E331DB"/>
    <w:rsid w:val="00E33997"/>
    <w:rsid w:val="00E34B82"/>
    <w:rsid w:val="00E35589"/>
    <w:rsid w:val="00E36B83"/>
    <w:rsid w:val="00E37569"/>
    <w:rsid w:val="00E4072C"/>
    <w:rsid w:val="00E41BDD"/>
    <w:rsid w:val="00E41E30"/>
    <w:rsid w:val="00E425B3"/>
    <w:rsid w:val="00E43194"/>
    <w:rsid w:val="00E4352E"/>
    <w:rsid w:val="00E469F4"/>
    <w:rsid w:val="00E46C0E"/>
    <w:rsid w:val="00E47757"/>
    <w:rsid w:val="00E4790A"/>
    <w:rsid w:val="00E47B2C"/>
    <w:rsid w:val="00E51727"/>
    <w:rsid w:val="00E52FEE"/>
    <w:rsid w:val="00E53275"/>
    <w:rsid w:val="00E552EA"/>
    <w:rsid w:val="00E55424"/>
    <w:rsid w:val="00E55C4B"/>
    <w:rsid w:val="00E571AB"/>
    <w:rsid w:val="00E574EB"/>
    <w:rsid w:val="00E60214"/>
    <w:rsid w:val="00E62F99"/>
    <w:rsid w:val="00E63119"/>
    <w:rsid w:val="00E63291"/>
    <w:rsid w:val="00E634E7"/>
    <w:rsid w:val="00E63588"/>
    <w:rsid w:val="00E6426C"/>
    <w:rsid w:val="00E658B2"/>
    <w:rsid w:val="00E65CAF"/>
    <w:rsid w:val="00E65E79"/>
    <w:rsid w:val="00E67416"/>
    <w:rsid w:val="00E705F7"/>
    <w:rsid w:val="00E718B6"/>
    <w:rsid w:val="00E7221E"/>
    <w:rsid w:val="00E72FA1"/>
    <w:rsid w:val="00E73581"/>
    <w:rsid w:val="00E75DC2"/>
    <w:rsid w:val="00E76A5C"/>
    <w:rsid w:val="00E770AB"/>
    <w:rsid w:val="00E77965"/>
    <w:rsid w:val="00E80403"/>
    <w:rsid w:val="00E805CF"/>
    <w:rsid w:val="00E80A82"/>
    <w:rsid w:val="00E80B18"/>
    <w:rsid w:val="00E8114C"/>
    <w:rsid w:val="00E81BBC"/>
    <w:rsid w:val="00E81F62"/>
    <w:rsid w:val="00E82081"/>
    <w:rsid w:val="00E82956"/>
    <w:rsid w:val="00E83BDF"/>
    <w:rsid w:val="00E83BEF"/>
    <w:rsid w:val="00E84344"/>
    <w:rsid w:val="00E844D6"/>
    <w:rsid w:val="00E84583"/>
    <w:rsid w:val="00E8466E"/>
    <w:rsid w:val="00E84C05"/>
    <w:rsid w:val="00E85A3F"/>
    <w:rsid w:val="00E861FF"/>
    <w:rsid w:val="00E86398"/>
    <w:rsid w:val="00E86605"/>
    <w:rsid w:val="00E8694B"/>
    <w:rsid w:val="00E8787D"/>
    <w:rsid w:val="00E87FD2"/>
    <w:rsid w:val="00E91AD7"/>
    <w:rsid w:val="00E91B92"/>
    <w:rsid w:val="00E92E2A"/>
    <w:rsid w:val="00E93875"/>
    <w:rsid w:val="00E94FF2"/>
    <w:rsid w:val="00E95BA1"/>
    <w:rsid w:val="00E97967"/>
    <w:rsid w:val="00EA00D6"/>
    <w:rsid w:val="00EA07C2"/>
    <w:rsid w:val="00EA0990"/>
    <w:rsid w:val="00EA0A95"/>
    <w:rsid w:val="00EA2AA9"/>
    <w:rsid w:val="00EA3209"/>
    <w:rsid w:val="00EA3864"/>
    <w:rsid w:val="00EA3BA2"/>
    <w:rsid w:val="00EA55E0"/>
    <w:rsid w:val="00EA5CFF"/>
    <w:rsid w:val="00EA6380"/>
    <w:rsid w:val="00EA7004"/>
    <w:rsid w:val="00EA75AA"/>
    <w:rsid w:val="00EA78B8"/>
    <w:rsid w:val="00EB05F5"/>
    <w:rsid w:val="00EB0709"/>
    <w:rsid w:val="00EB199E"/>
    <w:rsid w:val="00EB2FE1"/>
    <w:rsid w:val="00EB4448"/>
    <w:rsid w:val="00EB44E1"/>
    <w:rsid w:val="00EB4748"/>
    <w:rsid w:val="00EB57C8"/>
    <w:rsid w:val="00EB632F"/>
    <w:rsid w:val="00EB6A2D"/>
    <w:rsid w:val="00EB6AE4"/>
    <w:rsid w:val="00EB7AE5"/>
    <w:rsid w:val="00EC00C9"/>
    <w:rsid w:val="00EC2797"/>
    <w:rsid w:val="00EC356A"/>
    <w:rsid w:val="00EC3B56"/>
    <w:rsid w:val="00EC3D1A"/>
    <w:rsid w:val="00EC4C90"/>
    <w:rsid w:val="00EC4F06"/>
    <w:rsid w:val="00EC5585"/>
    <w:rsid w:val="00EC6267"/>
    <w:rsid w:val="00EC7969"/>
    <w:rsid w:val="00ED0E15"/>
    <w:rsid w:val="00ED3608"/>
    <w:rsid w:val="00ED399B"/>
    <w:rsid w:val="00ED4298"/>
    <w:rsid w:val="00ED4B5C"/>
    <w:rsid w:val="00ED5D35"/>
    <w:rsid w:val="00ED6314"/>
    <w:rsid w:val="00ED66E9"/>
    <w:rsid w:val="00ED6731"/>
    <w:rsid w:val="00ED68F3"/>
    <w:rsid w:val="00ED78AB"/>
    <w:rsid w:val="00ED7C64"/>
    <w:rsid w:val="00EE051C"/>
    <w:rsid w:val="00EE076A"/>
    <w:rsid w:val="00EE07D3"/>
    <w:rsid w:val="00EE219C"/>
    <w:rsid w:val="00EE2B6C"/>
    <w:rsid w:val="00EE2CBA"/>
    <w:rsid w:val="00EE6265"/>
    <w:rsid w:val="00EE6898"/>
    <w:rsid w:val="00EE6BB9"/>
    <w:rsid w:val="00EE76E2"/>
    <w:rsid w:val="00EE7929"/>
    <w:rsid w:val="00EE7E37"/>
    <w:rsid w:val="00EF197D"/>
    <w:rsid w:val="00EF2600"/>
    <w:rsid w:val="00EF2BD6"/>
    <w:rsid w:val="00EF33D4"/>
    <w:rsid w:val="00EF35D0"/>
    <w:rsid w:val="00EF5023"/>
    <w:rsid w:val="00EF5643"/>
    <w:rsid w:val="00EF5716"/>
    <w:rsid w:val="00EF5931"/>
    <w:rsid w:val="00EF59B2"/>
    <w:rsid w:val="00EF657D"/>
    <w:rsid w:val="00EF6897"/>
    <w:rsid w:val="00EF7D8C"/>
    <w:rsid w:val="00EF7EA1"/>
    <w:rsid w:val="00F00521"/>
    <w:rsid w:val="00F007C5"/>
    <w:rsid w:val="00F01452"/>
    <w:rsid w:val="00F03D67"/>
    <w:rsid w:val="00F04635"/>
    <w:rsid w:val="00F058C9"/>
    <w:rsid w:val="00F067A2"/>
    <w:rsid w:val="00F104C0"/>
    <w:rsid w:val="00F107E9"/>
    <w:rsid w:val="00F11545"/>
    <w:rsid w:val="00F1264F"/>
    <w:rsid w:val="00F12EF9"/>
    <w:rsid w:val="00F12F62"/>
    <w:rsid w:val="00F137FD"/>
    <w:rsid w:val="00F13B72"/>
    <w:rsid w:val="00F13CF3"/>
    <w:rsid w:val="00F1530B"/>
    <w:rsid w:val="00F17F7B"/>
    <w:rsid w:val="00F204E0"/>
    <w:rsid w:val="00F2102D"/>
    <w:rsid w:val="00F220BF"/>
    <w:rsid w:val="00F23C99"/>
    <w:rsid w:val="00F24837"/>
    <w:rsid w:val="00F24CDF"/>
    <w:rsid w:val="00F2575F"/>
    <w:rsid w:val="00F30151"/>
    <w:rsid w:val="00F3253B"/>
    <w:rsid w:val="00F338FF"/>
    <w:rsid w:val="00F33DE9"/>
    <w:rsid w:val="00F343FB"/>
    <w:rsid w:val="00F3619A"/>
    <w:rsid w:val="00F36636"/>
    <w:rsid w:val="00F36AEF"/>
    <w:rsid w:val="00F3709B"/>
    <w:rsid w:val="00F37D9F"/>
    <w:rsid w:val="00F4253F"/>
    <w:rsid w:val="00F42C00"/>
    <w:rsid w:val="00F4313C"/>
    <w:rsid w:val="00F441B8"/>
    <w:rsid w:val="00F442FD"/>
    <w:rsid w:val="00F45280"/>
    <w:rsid w:val="00F456DC"/>
    <w:rsid w:val="00F469DB"/>
    <w:rsid w:val="00F469F9"/>
    <w:rsid w:val="00F46CB6"/>
    <w:rsid w:val="00F4751A"/>
    <w:rsid w:val="00F47C53"/>
    <w:rsid w:val="00F50C2F"/>
    <w:rsid w:val="00F5189D"/>
    <w:rsid w:val="00F51D65"/>
    <w:rsid w:val="00F51E79"/>
    <w:rsid w:val="00F52DFE"/>
    <w:rsid w:val="00F531D2"/>
    <w:rsid w:val="00F536E0"/>
    <w:rsid w:val="00F55E73"/>
    <w:rsid w:val="00F56934"/>
    <w:rsid w:val="00F573C4"/>
    <w:rsid w:val="00F5750A"/>
    <w:rsid w:val="00F60389"/>
    <w:rsid w:val="00F6093D"/>
    <w:rsid w:val="00F60C85"/>
    <w:rsid w:val="00F6218D"/>
    <w:rsid w:val="00F622C8"/>
    <w:rsid w:val="00F624F5"/>
    <w:rsid w:val="00F6253D"/>
    <w:rsid w:val="00F63E3A"/>
    <w:rsid w:val="00F6495A"/>
    <w:rsid w:val="00F6568C"/>
    <w:rsid w:val="00F657D8"/>
    <w:rsid w:val="00F6795C"/>
    <w:rsid w:val="00F7019D"/>
    <w:rsid w:val="00F70BFB"/>
    <w:rsid w:val="00F7265E"/>
    <w:rsid w:val="00F72891"/>
    <w:rsid w:val="00F7357A"/>
    <w:rsid w:val="00F73930"/>
    <w:rsid w:val="00F742E0"/>
    <w:rsid w:val="00F764DC"/>
    <w:rsid w:val="00F7698C"/>
    <w:rsid w:val="00F7712D"/>
    <w:rsid w:val="00F77A31"/>
    <w:rsid w:val="00F77B56"/>
    <w:rsid w:val="00F77DD6"/>
    <w:rsid w:val="00F800EC"/>
    <w:rsid w:val="00F8036D"/>
    <w:rsid w:val="00F80E5D"/>
    <w:rsid w:val="00F81B38"/>
    <w:rsid w:val="00F81D63"/>
    <w:rsid w:val="00F81D79"/>
    <w:rsid w:val="00F822F5"/>
    <w:rsid w:val="00F8275F"/>
    <w:rsid w:val="00F82B5D"/>
    <w:rsid w:val="00F8341E"/>
    <w:rsid w:val="00F84447"/>
    <w:rsid w:val="00F84ECC"/>
    <w:rsid w:val="00F851CE"/>
    <w:rsid w:val="00F86C0D"/>
    <w:rsid w:val="00F904FC"/>
    <w:rsid w:val="00F919DE"/>
    <w:rsid w:val="00F91F1C"/>
    <w:rsid w:val="00F93FFA"/>
    <w:rsid w:val="00F952BF"/>
    <w:rsid w:val="00F96285"/>
    <w:rsid w:val="00F9674F"/>
    <w:rsid w:val="00F96BE5"/>
    <w:rsid w:val="00F97A78"/>
    <w:rsid w:val="00FA1A79"/>
    <w:rsid w:val="00FA1CFA"/>
    <w:rsid w:val="00FA2B29"/>
    <w:rsid w:val="00FA3842"/>
    <w:rsid w:val="00FA484E"/>
    <w:rsid w:val="00FA5045"/>
    <w:rsid w:val="00FA63A7"/>
    <w:rsid w:val="00FA757D"/>
    <w:rsid w:val="00FA7B34"/>
    <w:rsid w:val="00FA7F41"/>
    <w:rsid w:val="00FA7F77"/>
    <w:rsid w:val="00FB2008"/>
    <w:rsid w:val="00FB23E3"/>
    <w:rsid w:val="00FB2FCB"/>
    <w:rsid w:val="00FB3DA3"/>
    <w:rsid w:val="00FB4244"/>
    <w:rsid w:val="00FB537B"/>
    <w:rsid w:val="00FB54A4"/>
    <w:rsid w:val="00FB5E9C"/>
    <w:rsid w:val="00FB6440"/>
    <w:rsid w:val="00FB65F9"/>
    <w:rsid w:val="00FB71BB"/>
    <w:rsid w:val="00FB74E7"/>
    <w:rsid w:val="00FC068B"/>
    <w:rsid w:val="00FC1074"/>
    <w:rsid w:val="00FC1884"/>
    <w:rsid w:val="00FC18F6"/>
    <w:rsid w:val="00FC1BD7"/>
    <w:rsid w:val="00FC37FF"/>
    <w:rsid w:val="00FC38CE"/>
    <w:rsid w:val="00FC39F5"/>
    <w:rsid w:val="00FC3DCE"/>
    <w:rsid w:val="00FC3F4F"/>
    <w:rsid w:val="00FC4269"/>
    <w:rsid w:val="00FC51CE"/>
    <w:rsid w:val="00FC5876"/>
    <w:rsid w:val="00FC62DE"/>
    <w:rsid w:val="00FD023A"/>
    <w:rsid w:val="00FD036D"/>
    <w:rsid w:val="00FD0791"/>
    <w:rsid w:val="00FD1CCA"/>
    <w:rsid w:val="00FD2083"/>
    <w:rsid w:val="00FD2100"/>
    <w:rsid w:val="00FD2926"/>
    <w:rsid w:val="00FD2C3E"/>
    <w:rsid w:val="00FD3281"/>
    <w:rsid w:val="00FD34B7"/>
    <w:rsid w:val="00FD37BA"/>
    <w:rsid w:val="00FD3B89"/>
    <w:rsid w:val="00FD4043"/>
    <w:rsid w:val="00FD446D"/>
    <w:rsid w:val="00FD50D0"/>
    <w:rsid w:val="00FD5810"/>
    <w:rsid w:val="00FD5A37"/>
    <w:rsid w:val="00FD649F"/>
    <w:rsid w:val="00FD6A8E"/>
    <w:rsid w:val="00FD6CF2"/>
    <w:rsid w:val="00FD71F8"/>
    <w:rsid w:val="00FD7975"/>
    <w:rsid w:val="00FD7ABA"/>
    <w:rsid w:val="00FE0097"/>
    <w:rsid w:val="00FE0734"/>
    <w:rsid w:val="00FE07F8"/>
    <w:rsid w:val="00FE09CF"/>
    <w:rsid w:val="00FE1903"/>
    <w:rsid w:val="00FE1E60"/>
    <w:rsid w:val="00FE2231"/>
    <w:rsid w:val="00FE281B"/>
    <w:rsid w:val="00FE2E4C"/>
    <w:rsid w:val="00FE2F70"/>
    <w:rsid w:val="00FE49F9"/>
    <w:rsid w:val="00FE5ECF"/>
    <w:rsid w:val="00FE6DA2"/>
    <w:rsid w:val="00FE70B2"/>
    <w:rsid w:val="00FE7DED"/>
    <w:rsid w:val="00FF0E70"/>
    <w:rsid w:val="00FF123C"/>
    <w:rsid w:val="00FF24DA"/>
    <w:rsid w:val="00FF301B"/>
    <w:rsid w:val="00FF3DCF"/>
    <w:rsid w:val="00FF5032"/>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870BC0"/>
    <w:pPr>
      <w:spacing w:before="240" w:after="60"/>
      <w:ind w:left="720" w:hanging="720"/>
      <w:jc w:val="left"/>
      <w:outlineLvl w:val="0"/>
    </w:pPr>
    <w:rPr>
      <w:b/>
      <w:bCs/>
      <w:kern w:val="28"/>
      <w:sz w:val="32"/>
      <w:szCs w:val="32"/>
    </w:rPr>
  </w:style>
  <w:style w:type="character" w:customStyle="1" w:styleId="TitleChar">
    <w:name w:val="Title Char"/>
    <w:basedOn w:val="DefaultParagraphFont"/>
    <w:link w:val="Title"/>
    <w:rsid w:val="00870BC0"/>
    <w:rPr>
      <w:rFonts w:ascii="Arial" w:hAnsi="Arial"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8D176E"/>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qFormat/>
    <w:rsid w:val="003E474E"/>
    <w:pPr>
      <w:tabs>
        <w:tab w:val="left" w:pos="440"/>
        <w:tab w:val="right" w:leader="dot" w:pos="9016"/>
      </w:tabs>
      <w:spacing w:before="240" w:after="120"/>
      <w:ind w:left="567" w:hanging="567"/>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70BC0"/>
    <w:pPr>
      <w:numPr>
        <w:numId w:val="3"/>
      </w:numPr>
      <w:outlineLvl w:val="0"/>
    </w:pPr>
    <w:rPr>
      <w:rFonts w:ascii="Arial" w:hAnsi="Arial" w:cs="Arial"/>
      <w:snapToGrid w:val="0"/>
      <w:sz w:val="22"/>
      <w:szCs w:val="22"/>
      <w:lang w:eastAsia="en-US"/>
    </w:rPr>
  </w:style>
  <w:style w:type="paragraph" w:customStyle="1" w:styleId="PBACHeading10">
    <w:name w:val="PBAC Heading 1"/>
    <w:qFormat/>
    <w:rsid w:val="00FC62DE"/>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FC62DE"/>
    <w:rPr>
      <w:rFonts w:ascii="Arial" w:hAnsi="Arial" w:cs="Arial"/>
      <w:snapToGrid w:val="0"/>
      <w:sz w:val="22"/>
      <w:lang w:eastAsia="en-US"/>
    </w:rPr>
  </w:style>
  <w:style w:type="paragraph" w:customStyle="1" w:styleId="Default">
    <w:name w:val="Default"/>
    <w:rsid w:val="004A06D8"/>
    <w:pPr>
      <w:autoSpaceDE w:val="0"/>
      <w:autoSpaceDN w:val="0"/>
      <w:adjustRightInd w:val="0"/>
    </w:pPr>
    <w:rPr>
      <w:rFonts w:ascii="Calibri" w:hAnsi="Calibri" w:cs="Calibri"/>
      <w:color w:val="000000"/>
      <w:sz w:val="24"/>
      <w:szCs w:val="24"/>
    </w:rPr>
  </w:style>
  <w:style w:type="paragraph" w:styleId="FootnoteText">
    <w:name w:val="footnote text"/>
    <w:aliases w:val="Char,wcp_Footnote,Footnote_Bas Page,Footnote Text Char Char,Footnote Text Char2,Footnote Text Char Char1"/>
    <w:basedOn w:val="Normal"/>
    <w:link w:val="FootnoteTextChar"/>
    <w:semiHidden/>
    <w:unhideWhenUsed/>
    <w:rsid w:val="0098091E"/>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semiHidden/>
    <w:rsid w:val="0098091E"/>
    <w:rPr>
      <w:rFonts w:ascii="Arial" w:hAnsi="Arial" w:cs="Arial"/>
      <w:snapToGrid w:val="0"/>
      <w:lang w:eastAsia="en-US"/>
    </w:rPr>
  </w:style>
  <w:style w:type="character" w:styleId="FootnoteReference">
    <w:name w:val="footnote reference"/>
    <w:basedOn w:val="DefaultParagraphFont"/>
    <w:uiPriority w:val="99"/>
    <w:semiHidden/>
    <w:unhideWhenUsed/>
    <w:rsid w:val="0098091E"/>
    <w:rPr>
      <w:vertAlign w:val="superscript"/>
    </w:rPr>
  </w:style>
  <w:style w:type="character" w:customStyle="1" w:styleId="MainBodyTextChar">
    <w:name w:val="Main Body Text Char"/>
    <w:link w:val="MainBodyText"/>
    <w:rsid w:val="009F2640"/>
    <w:rPr>
      <w:rFonts w:ascii="Arial" w:hAnsi="Arial"/>
    </w:rPr>
  </w:style>
  <w:style w:type="paragraph" w:customStyle="1" w:styleId="MainBodyText">
    <w:name w:val="Main Body Text"/>
    <w:basedOn w:val="Normal"/>
    <w:link w:val="MainBodyTextChar"/>
    <w:rsid w:val="009F2640"/>
    <w:pPr>
      <w:widowControl/>
      <w:spacing w:line="360" w:lineRule="auto"/>
    </w:pPr>
    <w:rPr>
      <w:rFonts w:cs="Times New Roman"/>
      <w:snapToGrid/>
      <w:sz w:val="20"/>
      <w:lang w:eastAsia="en-AU"/>
    </w:rPr>
  </w:style>
  <w:style w:type="table" w:customStyle="1" w:styleId="TableGridbeth5">
    <w:name w:val="Table Gridbeth5"/>
    <w:basedOn w:val="TableNormal"/>
    <w:next w:val="TableGrid"/>
    <w:uiPriority w:val="59"/>
    <w:rsid w:val="00E03694"/>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qFormat/>
    <w:rsid w:val="006102D1"/>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6102D1"/>
    <w:rPr>
      <w:rFonts w:ascii="Arial Narrow" w:hAnsi="Arial Narrow"/>
    </w:rPr>
  </w:style>
  <w:style w:type="paragraph" w:customStyle="1" w:styleId="Tablefootnote">
    <w:name w:val="Table footnote"/>
    <w:basedOn w:val="Normal"/>
    <w:uiPriority w:val="99"/>
    <w:rsid w:val="004820AB"/>
    <w:pPr>
      <w:keepNext/>
      <w:keepLines/>
      <w:widowControl/>
      <w:adjustRightInd w:val="0"/>
      <w:spacing w:line="276" w:lineRule="auto"/>
      <w:textAlignment w:val="baseline"/>
    </w:pPr>
    <w:rPr>
      <w:rFonts w:cs="Times New Roman"/>
      <w:snapToGrid/>
      <w:sz w:val="16"/>
    </w:rPr>
  </w:style>
  <w:style w:type="character" w:customStyle="1" w:styleId="TableTextChar0">
    <w:name w:val="TableText Char"/>
    <w:link w:val="TableText0"/>
    <w:uiPriority w:val="99"/>
    <w:rsid w:val="003461B0"/>
    <w:rPr>
      <w:rFonts w:ascii="Arial Narrow" w:hAnsi="Arial Narrow" w:cs="Arial Narrow"/>
      <w:lang w:eastAsia="en-US"/>
    </w:rPr>
  </w:style>
  <w:style w:type="paragraph" w:styleId="ListBullet">
    <w:name w:val="List Bullet"/>
    <w:basedOn w:val="Normal"/>
    <w:unhideWhenUsed/>
    <w:rsid w:val="00FA5045"/>
    <w:pPr>
      <w:numPr>
        <w:numId w:val="7"/>
      </w:numPr>
      <w:contextualSpacing/>
    </w:pPr>
  </w:style>
  <w:style w:type="character" w:customStyle="1" w:styleId="inline-comment-marker">
    <w:name w:val="inline-comment-marker"/>
    <w:basedOn w:val="DefaultParagraphFont"/>
    <w:rsid w:val="00A25F72"/>
  </w:style>
  <w:style w:type="paragraph" w:customStyle="1" w:styleId="NumberedText">
    <w:name w:val="Numbered Text"/>
    <w:basedOn w:val="Normal"/>
    <w:uiPriority w:val="99"/>
    <w:rsid w:val="00A25F72"/>
    <w:pPr>
      <w:widowControl/>
      <w:numPr>
        <w:numId w:val="10"/>
      </w:numPr>
      <w:spacing w:line="360" w:lineRule="auto"/>
    </w:pPr>
    <w:rPr>
      <w:rFonts w:cs="Times New Roman"/>
      <w:snapToGrid/>
      <w:szCs w:val="22"/>
      <w:lang w:eastAsia="en-AU"/>
    </w:rPr>
  </w:style>
  <w:style w:type="paragraph" w:customStyle="1" w:styleId="EndNoteBibliographyTitle">
    <w:name w:val="EndNote Bibliography Title"/>
    <w:basedOn w:val="Normal"/>
    <w:link w:val="EndNoteBibliographyTitleChar"/>
    <w:rsid w:val="00C462E1"/>
    <w:pPr>
      <w:jc w:val="center"/>
    </w:pPr>
    <w:rPr>
      <w:noProof/>
      <w:lang w:val="en-US"/>
    </w:rPr>
  </w:style>
  <w:style w:type="character" w:customStyle="1" w:styleId="EndNoteBibliographyTitleChar">
    <w:name w:val="EndNote Bibliography Title Char"/>
    <w:basedOn w:val="DefaultParagraphFont"/>
    <w:link w:val="EndNoteBibliographyTitle"/>
    <w:rsid w:val="00C462E1"/>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C462E1"/>
    <w:rPr>
      <w:noProof/>
      <w:lang w:val="en-US"/>
    </w:rPr>
  </w:style>
  <w:style w:type="character" w:customStyle="1" w:styleId="EndNoteBibliographyChar">
    <w:name w:val="EndNote Bibliography Char"/>
    <w:basedOn w:val="DefaultParagraphFont"/>
    <w:link w:val="EndNoteBibliography"/>
    <w:rsid w:val="00C462E1"/>
    <w:rPr>
      <w:rFonts w:ascii="Arial" w:hAnsi="Arial" w:cs="Arial"/>
      <w:noProof/>
      <w:snapToGrid w:val="0"/>
      <w:sz w:val="22"/>
      <w:lang w:val="en-US" w:eastAsia="en-US"/>
    </w:rPr>
  </w:style>
  <w:style w:type="character" w:styleId="FollowedHyperlink">
    <w:name w:val="FollowedHyperlink"/>
    <w:basedOn w:val="DefaultParagraphFont"/>
    <w:semiHidden/>
    <w:unhideWhenUsed/>
    <w:rsid w:val="007D6E3C"/>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4ACB"/>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870BC0"/>
    <w:rPr>
      <w:rFonts w:ascii="Arial Bold" w:hAnsi="Arial Bold" w:cs="Arial"/>
      <w:b/>
      <w:caps/>
      <w:snapToGrid w:val="0"/>
      <w:sz w:val="22"/>
      <w:lang w:eastAsia="en-US"/>
    </w:rPr>
  </w:style>
  <w:style w:type="paragraph" w:styleId="Subtitle">
    <w:name w:val="Subtitle"/>
    <w:aliases w:val="PBAC Paragraph"/>
    <w:basedOn w:val="ListParagraph"/>
    <w:next w:val="Normal"/>
    <w:link w:val="SubtitleChar"/>
    <w:uiPriority w:val="11"/>
    <w:qFormat/>
    <w:rsid w:val="008F6B85"/>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8F6B85"/>
    <w:rPr>
      <w:rFonts w:eastAsiaTheme="majorEastAsia" w:cs="Arial"/>
      <w:snapToGrid w:val="0"/>
      <w:sz w:val="24"/>
      <w:szCs w:val="24"/>
      <w:lang w:eastAsia="en-US"/>
    </w:rPr>
  </w:style>
  <w:style w:type="character" w:styleId="IntenseReference">
    <w:name w:val="Intense Reference"/>
    <w:basedOn w:val="DefaultParagraphFont"/>
    <w:uiPriority w:val="32"/>
    <w:rsid w:val="009E7F9E"/>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870BC0"/>
    <w:pPr>
      <w:spacing w:before="240" w:after="60"/>
      <w:ind w:left="720" w:hanging="720"/>
      <w:jc w:val="left"/>
      <w:outlineLvl w:val="0"/>
    </w:pPr>
    <w:rPr>
      <w:b/>
      <w:bCs/>
      <w:kern w:val="28"/>
      <w:sz w:val="32"/>
      <w:szCs w:val="32"/>
    </w:rPr>
  </w:style>
  <w:style w:type="character" w:customStyle="1" w:styleId="TitleChar">
    <w:name w:val="Title Char"/>
    <w:basedOn w:val="DefaultParagraphFont"/>
    <w:link w:val="Title"/>
    <w:rsid w:val="00870BC0"/>
    <w:rPr>
      <w:rFonts w:ascii="Arial" w:hAnsi="Arial"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8D176E"/>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qFormat/>
    <w:rsid w:val="003E474E"/>
    <w:pPr>
      <w:tabs>
        <w:tab w:val="left" w:pos="440"/>
        <w:tab w:val="right" w:leader="dot" w:pos="9016"/>
      </w:tabs>
      <w:spacing w:before="240" w:after="120"/>
      <w:ind w:left="567" w:hanging="567"/>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70BC0"/>
    <w:pPr>
      <w:numPr>
        <w:numId w:val="3"/>
      </w:numPr>
      <w:outlineLvl w:val="0"/>
    </w:pPr>
    <w:rPr>
      <w:rFonts w:ascii="Arial" w:hAnsi="Arial" w:cs="Arial"/>
      <w:snapToGrid w:val="0"/>
      <w:sz w:val="22"/>
      <w:szCs w:val="22"/>
      <w:lang w:eastAsia="en-US"/>
    </w:rPr>
  </w:style>
  <w:style w:type="paragraph" w:customStyle="1" w:styleId="PBACHeading10">
    <w:name w:val="PBAC Heading 1"/>
    <w:qFormat/>
    <w:rsid w:val="00FC62DE"/>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FC62DE"/>
    <w:rPr>
      <w:rFonts w:ascii="Arial" w:hAnsi="Arial" w:cs="Arial"/>
      <w:snapToGrid w:val="0"/>
      <w:sz w:val="22"/>
      <w:lang w:eastAsia="en-US"/>
    </w:rPr>
  </w:style>
  <w:style w:type="paragraph" w:customStyle="1" w:styleId="Default">
    <w:name w:val="Default"/>
    <w:rsid w:val="004A06D8"/>
    <w:pPr>
      <w:autoSpaceDE w:val="0"/>
      <w:autoSpaceDN w:val="0"/>
      <w:adjustRightInd w:val="0"/>
    </w:pPr>
    <w:rPr>
      <w:rFonts w:ascii="Calibri" w:hAnsi="Calibri" w:cs="Calibri"/>
      <w:color w:val="000000"/>
      <w:sz w:val="24"/>
      <w:szCs w:val="24"/>
    </w:rPr>
  </w:style>
  <w:style w:type="paragraph" w:styleId="FootnoteText">
    <w:name w:val="footnote text"/>
    <w:aliases w:val="Char,wcp_Footnote,Footnote_Bas Page,Footnote Text Char Char,Footnote Text Char2,Footnote Text Char Char1"/>
    <w:basedOn w:val="Normal"/>
    <w:link w:val="FootnoteTextChar"/>
    <w:semiHidden/>
    <w:unhideWhenUsed/>
    <w:rsid w:val="0098091E"/>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semiHidden/>
    <w:rsid w:val="0098091E"/>
    <w:rPr>
      <w:rFonts w:ascii="Arial" w:hAnsi="Arial" w:cs="Arial"/>
      <w:snapToGrid w:val="0"/>
      <w:lang w:eastAsia="en-US"/>
    </w:rPr>
  </w:style>
  <w:style w:type="character" w:styleId="FootnoteReference">
    <w:name w:val="footnote reference"/>
    <w:basedOn w:val="DefaultParagraphFont"/>
    <w:uiPriority w:val="99"/>
    <w:semiHidden/>
    <w:unhideWhenUsed/>
    <w:rsid w:val="0098091E"/>
    <w:rPr>
      <w:vertAlign w:val="superscript"/>
    </w:rPr>
  </w:style>
  <w:style w:type="character" w:customStyle="1" w:styleId="MainBodyTextChar">
    <w:name w:val="Main Body Text Char"/>
    <w:link w:val="MainBodyText"/>
    <w:rsid w:val="009F2640"/>
    <w:rPr>
      <w:rFonts w:ascii="Arial" w:hAnsi="Arial"/>
    </w:rPr>
  </w:style>
  <w:style w:type="paragraph" w:customStyle="1" w:styleId="MainBodyText">
    <w:name w:val="Main Body Text"/>
    <w:basedOn w:val="Normal"/>
    <w:link w:val="MainBodyTextChar"/>
    <w:rsid w:val="009F2640"/>
    <w:pPr>
      <w:widowControl/>
      <w:spacing w:line="360" w:lineRule="auto"/>
    </w:pPr>
    <w:rPr>
      <w:rFonts w:cs="Times New Roman"/>
      <w:snapToGrid/>
      <w:sz w:val="20"/>
      <w:lang w:eastAsia="en-AU"/>
    </w:rPr>
  </w:style>
  <w:style w:type="table" w:customStyle="1" w:styleId="TableGridbeth5">
    <w:name w:val="Table Gridbeth5"/>
    <w:basedOn w:val="TableNormal"/>
    <w:next w:val="TableGrid"/>
    <w:uiPriority w:val="59"/>
    <w:rsid w:val="00E03694"/>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qFormat/>
    <w:rsid w:val="006102D1"/>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6102D1"/>
    <w:rPr>
      <w:rFonts w:ascii="Arial Narrow" w:hAnsi="Arial Narrow"/>
    </w:rPr>
  </w:style>
  <w:style w:type="paragraph" w:customStyle="1" w:styleId="Tablefootnote">
    <w:name w:val="Table footnote"/>
    <w:basedOn w:val="Normal"/>
    <w:uiPriority w:val="99"/>
    <w:rsid w:val="004820AB"/>
    <w:pPr>
      <w:keepNext/>
      <w:keepLines/>
      <w:widowControl/>
      <w:adjustRightInd w:val="0"/>
      <w:spacing w:line="276" w:lineRule="auto"/>
      <w:textAlignment w:val="baseline"/>
    </w:pPr>
    <w:rPr>
      <w:rFonts w:cs="Times New Roman"/>
      <w:snapToGrid/>
      <w:sz w:val="16"/>
    </w:rPr>
  </w:style>
  <w:style w:type="character" w:customStyle="1" w:styleId="TableTextChar0">
    <w:name w:val="TableText Char"/>
    <w:link w:val="TableText0"/>
    <w:uiPriority w:val="99"/>
    <w:rsid w:val="003461B0"/>
    <w:rPr>
      <w:rFonts w:ascii="Arial Narrow" w:hAnsi="Arial Narrow" w:cs="Arial Narrow"/>
      <w:lang w:eastAsia="en-US"/>
    </w:rPr>
  </w:style>
  <w:style w:type="paragraph" w:styleId="ListBullet">
    <w:name w:val="List Bullet"/>
    <w:basedOn w:val="Normal"/>
    <w:unhideWhenUsed/>
    <w:rsid w:val="00FA5045"/>
    <w:pPr>
      <w:numPr>
        <w:numId w:val="7"/>
      </w:numPr>
      <w:contextualSpacing/>
    </w:pPr>
  </w:style>
  <w:style w:type="character" w:customStyle="1" w:styleId="inline-comment-marker">
    <w:name w:val="inline-comment-marker"/>
    <w:basedOn w:val="DefaultParagraphFont"/>
    <w:rsid w:val="00A25F72"/>
  </w:style>
  <w:style w:type="paragraph" w:customStyle="1" w:styleId="NumberedText">
    <w:name w:val="Numbered Text"/>
    <w:basedOn w:val="Normal"/>
    <w:uiPriority w:val="99"/>
    <w:rsid w:val="00A25F72"/>
    <w:pPr>
      <w:widowControl/>
      <w:numPr>
        <w:numId w:val="10"/>
      </w:numPr>
      <w:spacing w:line="360" w:lineRule="auto"/>
    </w:pPr>
    <w:rPr>
      <w:rFonts w:cs="Times New Roman"/>
      <w:snapToGrid/>
      <w:szCs w:val="22"/>
      <w:lang w:eastAsia="en-AU"/>
    </w:rPr>
  </w:style>
  <w:style w:type="paragraph" w:customStyle="1" w:styleId="EndNoteBibliographyTitle">
    <w:name w:val="EndNote Bibliography Title"/>
    <w:basedOn w:val="Normal"/>
    <w:link w:val="EndNoteBibliographyTitleChar"/>
    <w:rsid w:val="00C462E1"/>
    <w:pPr>
      <w:jc w:val="center"/>
    </w:pPr>
    <w:rPr>
      <w:noProof/>
      <w:lang w:val="en-US"/>
    </w:rPr>
  </w:style>
  <w:style w:type="character" w:customStyle="1" w:styleId="EndNoteBibliographyTitleChar">
    <w:name w:val="EndNote Bibliography Title Char"/>
    <w:basedOn w:val="DefaultParagraphFont"/>
    <w:link w:val="EndNoteBibliographyTitle"/>
    <w:rsid w:val="00C462E1"/>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C462E1"/>
    <w:rPr>
      <w:noProof/>
      <w:lang w:val="en-US"/>
    </w:rPr>
  </w:style>
  <w:style w:type="character" w:customStyle="1" w:styleId="EndNoteBibliographyChar">
    <w:name w:val="EndNote Bibliography Char"/>
    <w:basedOn w:val="DefaultParagraphFont"/>
    <w:link w:val="EndNoteBibliography"/>
    <w:rsid w:val="00C462E1"/>
    <w:rPr>
      <w:rFonts w:ascii="Arial" w:hAnsi="Arial" w:cs="Arial"/>
      <w:noProof/>
      <w:snapToGrid w:val="0"/>
      <w:sz w:val="22"/>
      <w:lang w:val="en-US" w:eastAsia="en-US"/>
    </w:rPr>
  </w:style>
  <w:style w:type="character" w:styleId="FollowedHyperlink">
    <w:name w:val="FollowedHyperlink"/>
    <w:basedOn w:val="DefaultParagraphFont"/>
    <w:semiHidden/>
    <w:unhideWhenUsed/>
    <w:rsid w:val="007D6E3C"/>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4ACB"/>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870BC0"/>
    <w:rPr>
      <w:rFonts w:ascii="Arial Bold" w:hAnsi="Arial Bold" w:cs="Arial"/>
      <w:b/>
      <w:caps/>
      <w:snapToGrid w:val="0"/>
      <w:sz w:val="22"/>
      <w:lang w:eastAsia="en-US"/>
    </w:rPr>
  </w:style>
  <w:style w:type="paragraph" w:styleId="Subtitle">
    <w:name w:val="Subtitle"/>
    <w:aliases w:val="PBAC Paragraph"/>
    <w:basedOn w:val="ListParagraph"/>
    <w:next w:val="Normal"/>
    <w:link w:val="SubtitleChar"/>
    <w:uiPriority w:val="11"/>
    <w:qFormat/>
    <w:rsid w:val="008F6B85"/>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8F6B85"/>
    <w:rPr>
      <w:rFonts w:eastAsiaTheme="majorEastAsia" w:cs="Arial"/>
      <w:snapToGrid w:val="0"/>
      <w:sz w:val="24"/>
      <w:szCs w:val="24"/>
      <w:lang w:eastAsia="en-US"/>
    </w:rPr>
  </w:style>
  <w:style w:type="character" w:styleId="IntenseReference">
    <w:name w:val="Intense Reference"/>
    <w:basedOn w:val="DefaultParagraphFont"/>
    <w:uiPriority w:val="32"/>
    <w:rsid w:val="009E7F9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8895">
      <w:bodyDiv w:val="1"/>
      <w:marLeft w:val="0"/>
      <w:marRight w:val="0"/>
      <w:marTop w:val="0"/>
      <w:marBottom w:val="0"/>
      <w:divBdr>
        <w:top w:val="none" w:sz="0" w:space="0" w:color="auto"/>
        <w:left w:val="none" w:sz="0" w:space="0" w:color="auto"/>
        <w:bottom w:val="none" w:sz="0" w:space="0" w:color="auto"/>
        <w:right w:val="none" w:sz="0" w:space="0" w:color="auto"/>
      </w:divBdr>
      <w:divsChild>
        <w:div w:id="2118407493">
          <w:marLeft w:val="1166"/>
          <w:marRight w:val="0"/>
          <w:marTop w:val="125"/>
          <w:marBottom w:val="0"/>
          <w:divBdr>
            <w:top w:val="none" w:sz="0" w:space="0" w:color="auto"/>
            <w:left w:val="none" w:sz="0" w:space="0" w:color="auto"/>
            <w:bottom w:val="none" w:sz="0" w:space="0" w:color="auto"/>
            <w:right w:val="none" w:sz="0" w:space="0" w:color="auto"/>
          </w:divBdr>
        </w:div>
        <w:div w:id="1035303407">
          <w:marLeft w:val="1166"/>
          <w:marRight w:val="0"/>
          <w:marTop w:val="125"/>
          <w:marBottom w:val="0"/>
          <w:divBdr>
            <w:top w:val="none" w:sz="0" w:space="0" w:color="auto"/>
            <w:left w:val="none" w:sz="0" w:space="0" w:color="auto"/>
            <w:bottom w:val="none" w:sz="0" w:space="0" w:color="auto"/>
            <w:right w:val="none" w:sz="0" w:space="0" w:color="auto"/>
          </w:divBdr>
        </w:div>
        <w:div w:id="1414863664">
          <w:marLeft w:val="1166"/>
          <w:marRight w:val="0"/>
          <w:marTop w:val="125"/>
          <w:marBottom w:val="0"/>
          <w:divBdr>
            <w:top w:val="none" w:sz="0" w:space="0" w:color="auto"/>
            <w:left w:val="none" w:sz="0" w:space="0" w:color="auto"/>
            <w:bottom w:val="none" w:sz="0" w:space="0" w:color="auto"/>
            <w:right w:val="none" w:sz="0" w:space="0" w:color="auto"/>
          </w:divBdr>
        </w:div>
      </w:divsChild>
    </w:div>
    <w:div w:id="75828324">
      <w:bodyDiv w:val="1"/>
      <w:marLeft w:val="0"/>
      <w:marRight w:val="0"/>
      <w:marTop w:val="0"/>
      <w:marBottom w:val="0"/>
      <w:divBdr>
        <w:top w:val="none" w:sz="0" w:space="0" w:color="auto"/>
        <w:left w:val="none" w:sz="0" w:space="0" w:color="auto"/>
        <w:bottom w:val="none" w:sz="0" w:space="0" w:color="auto"/>
        <w:right w:val="none" w:sz="0" w:space="0" w:color="auto"/>
      </w:divBdr>
    </w:div>
    <w:div w:id="126896888">
      <w:bodyDiv w:val="1"/>
      <w:marLeft w:val="0"/>
      <w:marRight w:val="0"/>
      <w:marTop w:val="0"/>
      <w:marBottom w:val="0"/>
      <w:divBdr>
        <w:top w:val="none" w:sz="0" w:space="0" w:color="auto"/>
        <w:left w:val="none" w:sz="0" w:space="0" w:color="auto"/>
        <w:bottom w:val="none" w:sz="0" w:space="0" w:color="auto"/>
        <w:right w:val="none" w:sz="0" w:space="0" w:color="auto"/>
      </w:divBdr>
    </w:div>
    <w:div w:id="146554858">
      <w:bodyDiv w:val="1"/>
      <w:marLeft w:val="0"/>
      <w:marRight w:val="0"/>
      <w:marTop w:val="0"/>
      <w:marBottom w:val="0"/>
      <w:divBdr>
        <w:top w:val="none" w:sz="0" w:space="0" w:color="auto"/>
        <w:left w:val="none" w:sz="0" w:space="0" w:color="auto"/>
        <w:bottom w:val="none" w:sz="0" w:space="0" w:color="auto"/>
        <w:right w:val="none" w:sz="0" w:space="0" w:color="auto"/>
      </w:divBdr>
    </w:div>
    <w:div w:id="249317823">
      <w:bodyDiv w:val="1"/>
      <w:marLeft w:val="0"/>
      <w:marRight w:val="0"/>
      <w:marTop w:val="0"/>
      <w:marBottom w:val="0"/>
      <w:divBdr>
        <w:top w:val="none" w:sz="0" w:space="0" w:color="auto"/>
        <w:left w:val="none" w:sz="0" w:space="0" w:color="auto"/>
        <w:bottom w:val="none" w:sz="0" w:space="0" w:color="auto"/>
        <w:right w:val="none" w:sz="0" w:space="0" w:color="auto"/>
      </w:divBdr>
    </w:div>
    <w:div w:id="459962818">
      <w:bodyDiv w:val="1"/>
      <w:marLeft w:val="0"/>
      <w:marRight w:val="0"/>
      <w:marTop w:val="0"/>
      <w:marBottom w:val="0"/>
      <w:divBdr>
        <w:top w:val="none" w:sz="0" w:space="0" w:color="auto"/>
        <w:left w:val="none" w:sz="0" w:space="0" w:color="auto"/>
        <w:bottom w:val="none" w:sz="0" w:space="0" w:color="auto"/>
        <w:right w:val="none" w:sz="0" w:space="0" w:color="auto"/>
      </w:divBdr>
    </w:div>
    <w:div w:id="797333320">
      <w:bodyDiv w:val="1"/>
      <w:marLeft w:val="0"/>
      <w:marRight w:val="0"/>
      <w:marTop w:val="0"/>
      <w:marBottom w:val="0"/>
      <w:divBdr>
        <w:top w:val="none" w:sz="0" w:space="0" w:color="auto"/>
        <w:left w:val="none" w:sz="0" w:space="0" w:color="auto"/>
        <w:bottom w:val="none" w:sz="0" w:space="0" w:color="auto"/>
        <w:right w:val="none" w:sz="0" w:space="0" w:color="auto"/>
      </w:divBdr>
    </w:div>
    <w:div w:id="870651909">
      <w:bodyDiv w:val="1"/>
      <w:marLeft w:val="0"/>
      <w:marRight w:val="0"/>
      <w:marTop w:val="0"/>
      <w:marBottom w:val="0"/>
      <w:divBdr>
        <w:top w:val="none" w:sz="0" w:space="0" w:color="auto"/>
        <w:left w:val="none" w:sz="0" w:space="0" w:color="auto"/>
        <w:bottom w:val="none" w:sz="0" w:space="0" w:color="auto"/>
        <w:right w:val="none" w:sz="0" w:space="0" w:color="auto"/>
      </w:divBdr>
    </w:div>
    <w:div w:id="1011108522">
      <w:bodyDiv w:val="1"/>
      <w:marLeft w:val="0"/>
      <w:marRight w:val="0"/>
      <w:marTop w:val="0"/>
      <w:marBottom w:val="0"/>
      <w:divBdr>
        <w:top w:val="none" w:sz="0" w:space="0" w:color="auto"/>
        <w:left w:val="none" w:sz="0" w:space="0" w:color="auto"/>
        <w:bottom w:val="none" w:sz="0" w:space="0" w:color="auto"/>
        <w:right w:val="none" w:sz="0" w:space="0" w:color="auto"/>
      </w:divBdr>
    </w:div>
    <w:div w:id="1082677741">
      <w:bodyDiv w:val="1"/>
      <w:marLeft w:val="0"/>
      <w:marRight w:val="0"/>
      <w:marTop w:val="0"/>
      <w:marBottom w:val="0"/>
      <w:divBdr>
        <w:top w:val="none" w:sz="0" w:space="0" w:color="auto"/>
        <w:left w:val="none" w:sz="0" w:space="0" w:color="auto"/>
        <w:bottom w:val="none" w:sz="0" w:space="0" w:color="auto"/>
        <w:right w:val="none" w:sz="0" w:space="0" w:color="auto"/>
      </w:divBdr>
      <w:divsChild>
        <w:div w:id="1470047983">
          <w:marLeft w:val="533"/>
          <w:marRight w:val="0"/>
          <w:marTop w:val="130"/>
          <w:marBottom w:val="0"/>
          <w:divBdr>
            <w:top w:val="none" w:sz="0" w:space="0" w:color="auto"/>
            <w:left w:val="none" w:sz="0" w:space="0" w:color="auto"/>
            <w:bottom w:val="none" w:sz="0" w:space="0" w:color="auto"/>
            <w:right w:val="none" w:sz="0" w:space="0" w:color="auto"/>
          </w:divBdr>
        </w:div>
      </w:divsChild>
    </w:div>
    <w:div w:id="1090271058">
      <w:bodyDiv w:val="1"/>
      <w:marLeft w:val="0"/>
      <w:marRight w:val="0"/>
      <w:marTop w:val="0"/>
      <w:marBottom w:val="0"/>
      <w:divBdr>
        <w:top w:val="none" w:sz="0" w:space="0" w:color="auto"/>
        <w:left w:val="none" w:sz="0" w:space="0" w:color="auto"/>
        <w:bottom w:val="none" w:sz="0" w:space="0" w:color="auto"/>
        <w:right w:val="none" w:sz="0" w:space="0" w:color="auto"/>
      </w:divBdr>
    </w:div>
    <w:div w:id="1159999307">
      <w:bodyDiv w:val="1"/>
      <w:marLeft w:val="0"/>
      <w:marRight w:val="0"/>
      <w:marTop w:val="0"/>
      <w:marBottom w:val="0"/>
      <w:divBdr>
        <w:top w:val="none" w:sz="0" w:space="0" w:color="auto"/>
        <w:left w:val="none" w:sz="0" w:space="0" w:color="auto"/>
        <w:bottom w:val="none" w:sz="0" w:space="0" w:color="auto"/>
        <w:right w:val="none" w:sz="0" w:space="0" w:color="auto"/>
      </w:divBdr>
      <w:divsChild>
        <w:div w:id="285238370">
          <w:marLeft w:val="533"/>
          <w:marRight w:val="0"/>
          <w:marTop w:val="130"/>
          <w:marBottom w:val="0"/>
          <w:divBdr>
            <w:top w:val="none" w:sz="0" w:space="0" w:color="auto"/>
            <w:left w:val="none" w:sz="0" w:space="0" w:color="auto"/>
            <w:bottom w:val="none" w:sz="0" w:space="0" w:color="auto"/>
            <w:right w:val="none" w:sz="0" w:space="0" w:color="auto"/>
          </w:divBdr>
        </w:div>
        <w:div w:id="55322434">
          <w:marLeft w:val="533"/>
          <w:marRight w:val="0"/>
          <w:marTop w:val="130"/>
          <w:marBottom w:val="0"/>
          <w:divBdr>
            <w:top w:val="none" w:sz="0" w:space="0" w:color="auto"/>
            <w:left w:val="none" w:sz="0" w:space="0" w:color="auto"/>
            <w:bottom w:val="none" w:sz="0" w:space="0" w:color="auto"/>
            <w:right w:val="none" w:sz="0" w:space="0" w:color="auto"/>
          </w:divBdr>
        </w:div>
        <w:div w:id="1018392652">
          <w:marLeft w:val="533"/>
          <w:marRight w:val="0"/>
          <w:marTop w:val="130"/>
          <w:marBottom w:val="0"/>
          <w:divBdr>
            <w:top w:val="none" w:sz="0" w:space="0" w:color="auto"/>
            <w:left w:val="none" w:sz="0" w:space="0" w:color="auto"/>
            <w:bottom w:val="none" w:sz="0" w:space="0" w:color="auto"/>
            <w:right w:val="none" w:sz="0" w:space="0" w:color="auto"/>
          </w:divBdr>
        </w:div>
        <w:div w:id="335151423">
          <w:marLeft w:val="533"/>
          <w:marRight w:val="0"/>
          <w:marTop w:val="130"/>
          <w:marBottom w:val="0"/>
          <w:divBdr>
            <w:top w:val="none" w:sz="0" w:space="0" w:color="auto"/>
            <w:left w:val="none" w:sz="0" w:space="0" w:color="auto"/>
            <w:bottom w:val="none" w:sz="0" w:space="0" w:color="auto"/>
            <w:right w:val="none" w:sz="0" w:space="0" w:color="auto"/>
          </w:divBdr>
        </w:div>
        <w:div w:id="45953937">
          <w:marLeft w:val="533"/>
          <w:marRight w:val="0"/>
          <w:marTop w:val="130"/>
          <w:marBottom w:val="0"/>
          <w:divBdr>
            <w:top w:val="none" w:sz="0" w:space="0" w:color="auto"/>
            <w:left w:val="none" w:sz="0" w:space="0" w:color="auto"/>
            <w:bottom w:val="none" w:sz="0" w:space="0" w:color="auto"/>
            <w:right w:val="none" w:sz="0" w:space="0" w:color="auto"/>
          </w:divBdr>
        </w:div>
        <w:div w:id="1970896196">
          <w:marLeft w:val="533"/>
          <w:marRight w:val="0"/>
          <w:marTop w:val="130"/>
          <w:marBottom w:val="0"/>
          <w:divBdr>
            <w:top w:val="none" w:sz="0" w:space="0" w:color="auto"/>
            <w:left w:val="none" w:sz="0" w:space="0" w:color="auto"/>
            <w:bottom w:val="none" w:sz="0" w:space="0" w:color="auto"/>
            <w:right w:val="none" w:sz="0" w:space="0" w:color="auto"/>
          </w:divBdr>
        </w:div>
      </w:divsChild>
    </w:div>
    <w:div w:id="1280330752">
      <w:bodyDiv w:val="1"/>
      <w:marLeft w:val="0"/>
      <w:marRight w:val="0"/>
      <w:marTop w:val="0"/>
      <w:marBottom w:val="0"/>
      <w:divBdr>
        <w:top w:val="none" w:sz="0" w:space="0" w:color="auto"/>
        <w:left w:val="none" w:sz="0" w:space="0" w:color="auto"/>
        <w:bottom w:val="none" w:sz="0" w:space="0" w:color="auto"/>
        <w:right w:val="none" w:sz="0" w:space="0" w:color="auto"/>
      </w:divBdr>
    </w:div>
    <w:div w:id="1349142509">
      <w:bodyDiv w:val="1"/>
      <w:marLeft w:val="0"/>
      <w:marRight w:val="0"/>
      <w:marTop w:val="0"/>
      <w:marBottom w:val="0"/>
      <w:divBdr>
        <w:top w:val="none" w:sz="0" w:space="0" w:color="auto"/>
        <w:left w:val="none" w:sz="0" w:space="0" w:color="auto"/>
        <w:bottom w:val="none" w:sz="0" w:space="0" w:color="auto"/>
        <w:right w:val="none" w:sz="0" w:space="0" w:color="auto"/>
      </w:divBdr>
    </w:div>
    <w:div w:id="1389065215">
      <w:bodyDiv w:val="1"/>
      <w:marLeft w:val="0"/>
      <w:marRight w:val="0"/>
      <w:marTop w:val="0"/>
      <w:marBottom w:val="0"/>
      <w:divBdr>
        <w:top w:val="none" w:sz="0" w:space="0" w:color="auto"/>
        <w:left w:val="none" w:sz="0" w:space="0" w:color="auto"/>
        <w:bottom w:val="none" w:sz="0" w:space="0" w:color="auto"/>
        <w:right w:val="none" w:sz="0" w:space="0" w:color="auto"/>
      </w:divBdr>
    </w:div>
    <w:div w:id="1481581083">
      <w:bodyDiv w:val="1"/>
      <w:marLeft w:val="0"/>
      <w:marRight w:val="0"/>
      <w:marTop w:val="0"/>
      <w:marBottom w:val="0"/>
      <w:divBdr>
        <w:top w:val="none" w:sz="0" w:space="0" w:color="auto"/>
        <w:left w:val="none" w:sz="0" w:space="0" w:color="auto"/>
        <w:bottom w:val="none" w:sz="0" w:space="0" w:color="auto"/>
        <w:right w:val="none" w:sz="0" w:space="0" w:color="auto"/>
      </w:divBdr>
    </w:div>
    <w:div w:id="1486241311">
      <w:bodyDiv w:val="1"/>
      <w:marLeft w:val="0"/>
      <w:marRight w:val="0"/>
      <w:marTop w:val="0"/>
      <w:marBottom w:val="0"/>
      <w:divBdr>
        <w:top w:val="none" w:sz="0" w:space="0" w:color="auto"/>
        <w:left w:val="none" w:sz="0" w:space="0" w:color="auto"/>
        <w:bottom w:val="none" w:sz="0" w:space="0" w:color="auto"/>
        <w:right w:val="none" w:sz="0" w:space="0" w:color="auto"/>
      </w:divBdr>
    </w:div>
    <w:div w:id="1532180841">
      <w:bodyDiv w:val="1"/>
      <w:marLeft w:val="0"/>
      <w:marRight w:val="0"/>
      <w:marTop w:val="0"/>
      <w:marBottom w:val="0"/>
      <w:divBdr>
        <w:top w:val="none" w:sz="0" w:space="0" w:color="auto"/>
        <w:left w:val="none" w:sz="0" w:space="0" w:color="auto"/>
        <w:bottom w:val="none" w:sz="0" w:space="0" w:color="auto"/>
        <w:right w:val="none" w:sz="0" w:space="0" w:color="auto"/>
      </w:divBdr>
      <w:divsChild>
        <w:div w:id="1459176600">
          <w:marLeft w:val="533"/>
          <w:marRight w:val="0"/>
          <w:marTop w:val="130"/>
          <w:marBottom w:val="0"/>
          <w:divBdr>
            <w:top w:val="none" w:sz="0" w:space="0" w:color="auto"/>
            <w:left w:val="none" w:sz="0" w:space="0" w:color="auto"/>
            <w:bottom w:val="none" w:sz="0" w:space="0" w:color="auto"/>
            <w:right w:val="none" w:sz="0" w:space="0" w:color="auto"/>
          </w:divBdr>
        </w:div>
        <w:div w:id="478302872">
          <w:marLeft w:val="1166"/>
          <w:marRight w:val="0"/>
          <w:marTop w:val="115"/>
          <w:marBottom w:val="0"/>
          <w:divBdr>
            <w:top w:val="none" w:sz="0" w:space="0" w:color="auto"/>
            <w:left w:val="none" w:sz="0" w:space="0" w:color="auto"/>
            <w:bottom w:val="none" w:sz="0" w:space="0" w:color="auto"/>
            <w:right w:val="none" w:sz="0" w:space="0" w:color="auto"/>
          </w:divBdr>
        </w:div>
        <w:div w:id="1123039342">
          <w:marLeft w:val="1166"/>
          <w:marRight w:val="0"/>
          <w:marTop w:val="115"/>
          <w:marBottom w:val="0"/>
          <w:divBdr>
            <w:top w:val="none" w:sz="0" w:space="0" w:color="auto"/>
            <w:left w:val="none" w:sz="0" w:space="0" w:color="auto"/>
            <w:bottom w:val="none" w:sz="0" w:space="0" w:color="auto"/>
            <w:right w:val="none" w:sz="0" w:space="0" w:color="auto"/>
          </w:divBdr>
        </w:div>
      </w:divsChild>
    </w:div>
    <w:div w:id="1600523695">
      <w:bodyDiv w:val="1"/>
      <w:marLeft w:val="0"/>
      <w:marRight w:val="0"/>
      <w:marTop w:val="0"/>
      <w:marBottom w:val="0"/>
      <w:divBdr>
        <w:top w:val="none" w:sz="0" w:space="0" w:color="auto"/>
        <w:left w:val="none" w:sz="0" w:space="0" w:color="auto"/>
        <w:bottom w:val="none" w:sz="0" w:space="0" w:color="auto"/>
        <w:right w:val="none" w:sz="0" w:space="0" w:color="auto"/>
      </w:divBdr>
    </w:div>
    <w:div w:id="1707951067">
      <w:bodyDiv w:val="1"/>
      <w:marLeft w:val="0"/>
      <w:marRight w:val="0"/>
      <w:marTop w:val="0"/>
      <w:marBottom w:val="0"/>
      <w:divBdr>
        <w:top w:val="none" w:sz="0" w:space="0" w:color="auto"/>
        <w:left w:val="none" w:sz="0" w:space="0" w:color="auto"/>
        <w:bottom w:val="none" w:sz="0" w:space="0" w:color="auto"/>
        <w:right w:val="none" w:sz="0" w:space="0" w:color="auto"/>
      </w:divBdr>
      <w:divsChild>
        <w:div w:id="1929270107">
          <w:marLeft w:val="533"/>
          <w:marRight w:val="0"/>
          <w:marTop w:val="130"/>
          <w:marBottom w:val="0"/>
          <w:divBdr>
            <w:top w:val="none" w:sz="0" w:space="0" w:color="auto"/>
            <w:left w:val="none" w:sz="0" w:space="0" w:color="auto"/>
            <w:bottom w:val="none" w:sz="0" w:space="0" w:color="auto"/>
            <w:right w:val="none" w:sz="0" w:space="0" w:color="auto"/>
          </w:divBdr>
        </w:div>
      </w:divsChild>
    </w:div>
    <w:div w:id="1739589177">
      <w:bodyDiv w:val="1"/>
      <w:marLeft w:val="0"/>
      <w:marRight w:val="0"/>
      <w:marTop w:val="0"/>
      <w:marBottom w:val="0"/>
      <w:divBdr>
        <w:top w:val="none" w:sz="0" w:space="0" w:color="auto"/>
        <w:left w:val="none" w:sz="0" w:space="0" w:color="auto"/>
        <w:bottom w:val="none" w:sz="0" w:space="0" w:color="auto"/>
        <w:right w:val="none" w:sz="0" w:space="0" w:color="auto"/>
      </w:divBdr>
    </w:div>
    <w:div w:id="1792741585">
      <w:bodyDiv w:val="1"/>
      <w:marLeft w:val="0"/>
      <w:marRight w:val="0"/>
      <w:marTop w:val="0"/>
      <w:marBottom w:val="0"/>
      <w:divBdr>
        <w:top w:val="none" w:sz="0" w:space="0" w:color="auto"/>
        <w:left w:val="none" w:sz="0" w:space="0" w:color="auto"/>
        <w:bottom w:val="none" w:sz="0" w:space="0" w:color="auto"/>
        <w:right w:val="none" w:sz="0" w:space="0" w:color="auto"/>
      </w:divBdr>
      <w:divsChild>
        <w:div w:id="1900238430">
          <w:marLeft w:val="533"/>
          <w:marRight w:val="0"/>
          <w:marTop w:val="130"/>
          <w:marBottom w:val="0"/>
          <w:divBdr>
            <w:top w:val="none" w:sz="0" w:space="0" w:color="auto"/>
            <w:left w:val="none" w:sz="0" w:space="0" w:color="auto"/>
            <w:bottom w:val="none" w:sz="0" w:space="0" w:color="auto"/>
            <w:right w:val="none" w:sz="0" w:space="0" w:color="auto"/>
          </w:divBdr>
        </w:div>
      </w:divsChild>
    </w:div>
    <w:div w:id="1989092136">
      <w:bodyDiv w:val="1"/>
      <w:marLeft w:val="0"/>
      <w:marRight w:val="0"/>
      <w:marTop w:val="0"/>
      <w:marBottom w:val="0"/>
      <w:divBdr>
        <w:top w:val="none" w:sz="0" w:space="0" w:color="auto"/>
        <w:left w:val="none" w:sz="0" w:space="0" w:color="auto"/>
        <w:bottom w:val="none" w:sz="0" w:space="0" w:color="auto"/>
        <w:right w:val="none" w:sz="0" w:space="0" w:color="auto"/>
      </w:divBdr>
      <w:divsChild>
        <w:div w:id="1650405482">
          <w:marLeft w:val="533"/>
          <w:marRight w:val="0"/>
          <w:marTop w:val="120"/>
          <w:marBottom w:val="0"/>
          <w:divBdr>
            <w:top w:val="none" w:sz="0" w:space="0" w:color="auto"/>
            <w:left w:val="none" w:sz="0" w:space="0" w:color="auto"/>
            <w:bottom w:val="none" w:sz="0" w:space="0" w:color="auto"/>
            <w:right w:val="none" w:sz="0" w:space="0" w:color="auto"/>
          </w:divBdr>
        </w:div>
      </w:divsChild>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1545-3D2C-4A79-8B6C-B7B81BC1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11310</Words>
  <Characters>64467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2017-06-19T07:30:00Z</dcterms:created>
  <dcterms:modified xsi:type="dcterms:W3CDTF">2017-06-19T07:31:00Z</dcterms:modified>
</cp:coreProperties>
</file>