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B4" w:rsidRDefault="001609B4" w:rsidP="001609B4">
      <w:bookmarkStart w:id="0" w:name="_Toc472509746"/>
    </w:p>
    <w:p w:rsidR="00A65838" w:rsidRPr="0011092C" w:rsidRDefault="009B1A8E" w:rsidP="00701BE6">
      <w:pPr>
        <w:pStyle w:val="Heading1"/>
        <w:jc w:val="left"/>
        <w:rPr>
          <w:sz w:val="28"/>
          <w:szCs w:val="28"/>
        </w:rPr>
      </w:pPr>
      <w:r w:rsidRPr="0011092C">
        <w:rPr>
          <w:sz w:val="28"/>
          <w:szCs w:val="28"/>
        </w:rPr>
        <w:t>7.05</w:t>
      </w:r>
      <w:r w:rsidRPr="0011092C">
        <w:rPr>
          <w:sz w:val="28"/>
          <w:szCs w:val="28"/>
        </w:rPr>
        <w:tab/>
        <w:t>Nivolumab,</w:t>
      </w:r>
      <w:r w:rsidR="00701BE6">
        <w:rPr>
          <w:sz w:val="28"/>
          <w:szCs w:val="28"/>
        </w:rPr>
        <w:br/>
      </w:r>
      <w:r w:rsidR="0092184F" w:rsidRPr="0011092C">
        <w:rPr>
          <w:caps w:val="0"/>
          <w:sz w:val="28"/>
          <w:szCs w:val="28"/>
        </w:rPr>
        <w:t>Injection concentrate for I.V. infusion 40 mg in 4 mL</w:t>
      </w:r>
      <w:r w:rsidR="00701BE6">
        <w:rPr>
          <w:caps w:val="0"/>
          <w:sz w:val="28"/>
          <w:szCs w:val="28"/>
        </w:rPr>
        <w:t>,</w:t>
      </w:r>
      <w:r w:rsidR="00701BE6">
        <w:rPr>
          <w:caps w:val="0"/>
          <w:sz w:val="28"/>
          <w:szCs w:val="28"/>
        </w:rPr>
        <w:br/>
      </w:r>
      <w:r w:rsidR="0092184F" w:rsidRPr="0011092C">
        <w:rPr>
          <w:caps w:val="0"/>
          <w:sz w:val="28"/>
          <w:szCs w:val="28"/>
        </w:rPr>
        <w:t>Injection concentrate for I.V. infusion 100 mg in 10 mL</w:t>
      </w:r>
      <w:r w:rsidRPr="0011092C">
        <w:rPr>
          <w:caps w:val="0"/>
          <w:sz w:val="28"/>
          <w:szCs w:val="28"/>
        </w:rPr>
        <w:t>,</w:t>
      </w:r>
      <w:r w:rsidR="00701BE6">
        <w:rPr>
          <w:caps w:val="0"/>
          <w:sz w:val="28"/>
          <w:szCs w:val="28"/>
        </w:rPr>
        <w:br/>
      </w:r>
      <w:r w:rsidRPr="0011092C">
        <w:rPr>
          <w:caps w:val="0"/>
          <w:sz w:val="28"/>
          <w:szCs w:val="28"/>
        </w:rPr>
        <w:t>Opdivo®, Bristol-Myers Squibb Australia Pty Ltd</w:t>
      </w:r>
      <w:bookmarkEnd w:id="0"/>
      <w:r w:rsidR="0011092C" w:rsidRPr="0011092C">
        <w:rPr>
          <w:caps w:val="0"/>
          <w:sz w:val="28"/>
          <w:szCs w:val="28"/>
        </w:rPr>
        <w:t>.</w:t>
      </w:r>
    </w:p>
    <w:p w:rsidR="00F91962" w:rsidRPr="00600064" w:rsidRDefault="00F91962" w:rsidP="00F91962"/>
    <w:p w:rsidR="009D2F50" w:rsidRPr="00600064" w:rsidRDefault="009D2F50" w:rsidP="00A65838"/>
    <w:p w:rsidR="00A65838" w:rsidRPr="00600064" w:rsidRDefault="00A65838" w:rsidP="00F81F0E">
      <w:pPr>
        <w:pStyle w:val="PBACheading1"/>
        <w:rPr>
          <w:b/>
        </w:rPr>
      </w:pPr>
      <w:bookmarkStart w:id="1" w:name="_Toc472509748"/>
      <w:r w:rsidRPr="00600064">
        <w:rPr>
          <w:b/>
        </w:rPr>
        <w:t>Purpose of Application</w:t>
      </w:r>
      <w:bookmarkEnd w:id="1"/>
    </w:p>
    <w:p w:rsidR="006A3DE1" w:rsidRPr="00600064" w:rsidRDefault="006A3DE1" w:rsidP="00323460"/>
    <w:p w:rsidR="00A65838" w:rsidRPr="00600064" w:rsidRDefault="006A3DE1" w:rsidP="00A65838">
      <w:pPr>
        <w:widowControl/>
        <w:numPr>
          <w:ilvl w:val="1"/>
          <w:numId w:val="11"/>
        </w:numPr>
        <w:contextualSpacing/>
      </w:pPr>
      <w:r w:rsidRPr="00600064">
        <w:rPr>
          <w:szCs w:val="24"/>
        </w:rPr>
        <w:t xml:space="preserve">To request a </w:t>
      </w:r>
      <w:r w:rsidR="00A65838" w:rsidRPr="00600064">
        <w:rPr>
          <w:szCs w:val="24"/>
        </w:rPr>
        <w:t xml:space="preserve">Section 100 (Efficient Funding of Chemotherapy – Public and Private Hospital) Authority </w:t>
      </w:r>
      <w:proofErr w:type="gramStart"/>
      <w:r w:rsidR="00A65838" w:rsidRPr="00600064">
        <w:rPr>
          <w:szCs w:val="24"/>
        </w:rPr>
        <w:t>Required</w:t>
      </w:r>
      <w:proofErr w:type="gramEnd"/>
      <w:r w:rsidR="00A65838" w:rsidRPr="00600064">
        <w:rPr>
          <w:szCs w:val="24"/>
        </w:rPr>
        <w:t xml:space="preserve"> listing for the treatment of Stage IV clear cell variant renal cell carcinoma (RCC) in patients who have progressed according to Response Evaluation Criteria in Solid Tumours (RECIST) following first line treatment with a tyrosine-kinase inhibitor (TKI).</w:t>
      </w:r>
    </w:p>
    <w:p w:rsidR="00A65838" w:rsidRPr="00600064" w:rsidRDefault="00A65838" w:rsidP="00A65838"/>
    <w:p w:rsidR="0036597A" w:rsidRPr="00600064" w:rsidRDefault="0036597A">
      <w:pPr>
        <w:widowControl/>
        <w:jc w:val="left"/>
      </w:pPr>
    </w:p>
    <w:p w:rsidR="00A65838" w:rsidRPr="00600064" w:rsidRDefault="00A65838" w:rsidP="00A65838">
      <w:pPr>
        <w:pStyle w:val="PBACheading1"/>
        <w:rPr>
          <w:b/>
        </w:rPr>
      </w:pPr>
      <w:bookmarkStart w:id="2" w:name="_Toc472509749"/>
      <w:r w:rsidRPr="00600064">
        <w:rPr>
          <w:b/>
        </w:rPr>
        <w:t>Requested listing</w:t>
      </w:r>
      <w:bookmarkEnd w:id="2"/>
    </w:p>
    <w:p w:rsidR="006A3DE1" w:rsidRPr="00600064" w:rsidRDefault="006A3DE1" w:rsidP="00323460"/>
    <w:p w:rsidR="00A65838" w:rsidRPr="00600064" w:rsidRDefault="00A65838" w:rsidP="00A65838">
      <w:pPr>
        <w:pStyle w:val="ListParagraph"/>
        <w:widowControl/>
        <w:numPr>
          <w:ilvl w:val="1"/>
          <w:numId w:val="4"/>
        </w:numPr>
        <w:rPr>
          <w:szCs w:val="22"/>
        </w:rPr>
      </w:pPr>
      <w:r w:rsidRPr="00600064">
        <w:rPr>
          <w:szCs w:val="22"/>
        </w:rPr>
        <w:t>The proposed PBS listing</w:t>
      </w:r>
      <w:r w:rsidR="006D71F7" w:rsidRPr="00600064">
        <w:rPr>
          <w:szCs w:val="22"/>
        </w:rPr>
        <w:t>s</w:t>
      </w:r>
      <w:r w:rsidRPr="00600064">
        <w:rPr>
          <w:szCs w:val="22"/>
        </w:rPr>
        <w:t xml:space="preserve"> for nivolumab (initial and continuing t</w:t>
      </w:r>
      <w:r w:rsidR="00652C9D" w:rsidRPr="00600064">
        <w:rPr>
          <w:szCs w:val="22"/>
        </w:rPr>
        <w:t>reatments) are presented below.</w:t>
      </w:r>
    </w:p>
    <w:p w:rsidR="00A65838" w:rsidRPr="00600064" w:rsidRDefault="00A65838" w:rsidP="00A65838"/>
    <w:p w:rsidR="00A65838" w:rsidRPr="00600064" w:rsidRDefault="00A65838" w:rsidP="006451BE">
      <w:pPr>
        <w:keepNext/>
        <w:keepLines/>
        <w:rPr>
          <w:rFonts w:ascii="Arial Narrow" w:hAnsi="Arial Narrow"/>
          <w:b/>
          <w:sz w:val="20"/>
        </w:rPr>
      </w:pPr>
      <w:r w:rsidRPr="00600064">
        <w:rPr>
          <w:rFonts w:ascii="Arial Narrow" w:hAnsi="Arial Narrow"/>
          <w:b/>
          <w:sz w:val="20"/>
        </w:rPr>
        <w:t>Proposed PBS lis</w:t>
      </w:r>
      <w:r w:rsidR="00984796" w:rsidRPr="00600064">
        <w:rPr>
          <w:rFonts w:ascii="Arial Narrow" w:hAnsi="Arial Narrow"/>
          <w:b/>
          <w:sz w:val="20"/>
        </w:rPr>
        <w:t xml:space="preserve">ting for </w:t>
      </w:r>
      <w:r w:rsidR="00474A74" w:rsidRPr="00600064">
        <w:rPr>
          <w:rFonts w:ascii="Arial Narrow" w:hAnsi="Arial Narrow"/>
          <w:b/>
          <w:sz w:val="20"/>
        </w:rPr>
        <w:t>i</w:t>
      </w:r>
      <w:r w:rsidR="00984796" w:rsidRPr="00600064">
        <w:rPr>
          <w:rFonts w:ascii="Arial Narrow" w:hAnsi="Arial Narrow"/>
          <w:b/>
          <w:sz w:val="20"/>
        </w:rPr>
        <w:t>nitial treatment</w:t>
      </w:r>
    </w:p>
    <w:tbl>
      <w:tblPr>
        <w:tblW w:w="9073" w:type="dxa"/>
        <w:tblInd w:w="108" w:type="dxa"/>
        <w:tblLook w:val="0000" w:firstRow="0" w:lastRow="0" w:firstColumn="0" w:lastColumn="0" w:noHBand="0" w:noVBand="0"/>
      </w:tblPr>
      <w:tblGrid>
        <w:gridCol w:w="1843"/>
        <w:gridCol w:w="7230"/>
      </w:tblGrid>
      <w:tr w:rsidR="00555106" w:rsidRPr="00600064" w:rsidTr="00555106">
        <w:trPr>
          <w:cantSplit/>
          <w:trHeight w:val="267"/>
        </w:trPr>
        <w:tc>
          <w:tcPr>
            <w:tcW w:w="9073" w:type="dxa"/>
            <w:gridSpan w:val="2"/>
            <w:tcBorders>
              <w:bottom w:val="single" w:sz="4" w:space="0" w:color="auto"/>
            </w:tcBorders>
          </w:tcPr>
          <w:p w:rsidR="00555106" w:rsidRPr="00600064" w:rsidRDefault="00555106" w:rsidP="00555106">
            <w:pPr>
              <w:widowControl/>
              <w:rPr>
                <w:rFonts w:cs="Times New Roman"/>
                <w:snapToGrid/>
                <w:sz w:val="20"/>
                <w:lang w:eastAsia="en-AU"/>
              </w:rPr>
            </w:pPr>
          </w:p>
          <w:tbl>
            <w:tblPr>
              <w:tblW w:w="5000" w:type="pct"/>
              <w:tblLook w:val="0000" w:firstRow="0" w:lastRow="0" w:firstColumn="0" w:lastColumn="0" w:noHBand="0" w:noVBand="0"/>
            </w:tblPr>
            <w:tblGrid>
              <w:gridCol w:w="3295"/>
              <w:gridCol w:w="850"/>
              <w:gridCol w:w="850"/>
              <w:gridCol w:w="2018"/>
              <w:gridCol w:w="1844"/>
            </w:tblGrid>
            <w:tr w:rsidR="00555106" w:rsidRPr="00600064" w:rsidTr="00234010">
              <w:trPr>
                <w:cantSplit/>
                <w:trHeight w:val="567"/>
              </w:trPr>
              <w:tc>
                <w:tcPr>
                  <w:tcW w:w="1860" w:type="pct"/>
                  <w:tcBorders>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Name, Restriction,</w:t>
                  </w:r>
                </w:p>
                <w:p w:rsidR="00555106" w:rsidRPr="00600064" w:rsidRDefault="00555106" w:rsidP="00555106">
                  <w:pPr>
                    <w:jc w:val="left"/>
                    <w:rPr>
                      <w:rFonts w:ascii="Arial Narrow" w:hAnsi="Arial Narrow"/>
                      <w:b/>
                      <w:sz w:val="20"/>
                    </w:rPr>
                  </w:pPr>
                  <w:r w:rsidRPr="00600064">
                    <w:rPr>
                      <w:rFonts w:ascii="Arial Narrow" w:hAnsi="Arial Narrow"/>
                      <w:b/>
                      <w:sz w:val="20"/>
                    </w:rPr>
                    <w:t>Manner of administration and form</w:t>
                  </w:r>
                </w:p>
              </w:tc>
              <w:tc>
                <w:tcPr>
                  <w:tcW w:w="480"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Max.</w:t>
                  </w:r>
                </w:p>
                <w:p w:rsidR="00555106" w:rsidRPr="00600064" w:rsidRDefault="00555106" w:rsidP="00555106">
                  <w:pPr>
                    <w:jc w:val="left"/>
                    <w:rPr>
                      <w:rFonts w:ascii="Arial Narrow" w:hAnsi="Arial Narrow"/>
                      <w:b/>
                      <w:sz w:val="20"/>
                    </w:rPr>
                  </w:pPr>
                  <w:proofErr w:type="spellStart"/>
                  <w:r w:rsidRPr="00600064">
                    <w:rPr>
                      <w:rFonts w:ascii="Arial Narrow" w:hAnsi="Arial Narrow"/>
                      <w:b/>
                      <w:sz w:val="20"/>
                    </w:rPr>
                    <w:t>Qty</w:t>
                  </w:r>
                  <w:proofErr w:type="spellEnd"/>
                </w:p>
              </w:tc>
              <w:tc>
                <w:tcPr>
                  <w:tcW w:w="480"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№.of</w:t>
                  </w:r>
                </w:p>
                <w:p w:rsidR="00555106" w:rsidRPr="00600064" w:rsidRDefault="00555106" w:rsidP="00555106">
                  <w:pPr>
                    <w:jc w:val="left"/>
                    <w:rPr>
                      <w:rFonts w:ascii="Arial Narrow" w:hAnsi="Arial Narrow"/>
                      <w:b/>
                      <w:sz w:val="20"/>
                    </w:rPr>
                  </w:pPr>
                  <w:proofErr w:type="spellStart"/>
                  <w:r w:rsidRPr="00600064">
                    <w:rPr>
                      <w:rFonts w:ascii="Arial Narrow" w:hAnsi="Arial Narrow"/>
                      <w:b/>
                      <w:sz w:val="20"/>
                    </w:rPr>
                    <w:t>Rpts</w:t>
                  </w:r>
                  <w:proofErr w:type="spellEnd"/>
                </w:p>
              </w:tc>
              <w:tc>
                <w:tcPr>
                  <w:tcW w:w="1139"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 xml:space="preserve">Proposed AEMP (resubmission addendum – </w:t>
                  </w:r>
                  <w:r w:rsidR="002004CB" w:rsidRPr="00600064">
                    <w:rPr>
                      <w:rFonts w:ascii="Arial Narrow" w:hAnsi="Arial Narrow"/>
                      <w:b/>
                      <w:sz w:val="20"/>
                    </w:rPr>
                    <w:t>“</w:t>
                  </w:r>
                  <w:r w:rsidRPr="00600064">
                    <w:rPr>
                      <w:rFonts w:ascii="Arial Narrow" w:hAnsi="Arial Narrow"/>
                      <w:b/>
                      <w:sz w:val="20"/>
                    </w:rPr>
                    <w:t>PBAC amended base case</w:t>
                  </w:r>
                  <w:r w:rsidR="002004CB" w:rsidRPr="00600064">
                    <w:rPr>
                      <w:rFonts w:ascii="Arial Narrow" w:hAnsi="Arial Narrow"/>
                      <w:b/>
                      <w:sz w:val="20"/>
                    </w:rPr>
                    <w:t>”</w:t>
                  </w:r>
                  <w:r w:rsidRPr="00600064">
                    <w:rPr>
                      <w:rFonts w:ascii="Arial Narrow" w:hAnsi="Arial Narrow"/>
                      <w:b/>
                      <w:sz w:val="20"/>
                    </w:rPr>
                    <w:t>)</w:t>
                  </w:r>
                </w:p>
              </w:tc>
              <w:tc>
                <w:tcPr>
                  <w:tcW w:w="1041"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Proprietary Name and Manufacturer</w:t>
                  </w:r>
                </w:p>
              </w:tc>
            </w:tr>
            <w:tr w:rsidR="00555106" w:rsidRPr="00600064" w:rsidTr="00234010">
              <w:trPr>
                <w:cantSplit/>
                <w:trHeight w:val="577"/>
              </w:trPr>
              <w:tc>
                <w:tcPr>
                  <w:tcW w:w="1860" w:type="pct"/>
                  <w:tcBorders>
                    <w:top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t>Nivolumab</w:t>
                  </w:r>
                </w:p>
                <w:p w:rsidR="00555106" w:rsidRPr="00600064" w:rsidRDefault="00555106" w:rsidP="00555106">
                  <w:pPr>
                    <w:rPr>
                      <w:rFonts w:ascii="Arial Narrow" w:hAnsi="Arial Narrow"/>
                      <w:sz w:val="20"/>
                    </w:rPr>
                  </w:pPr>
                  <w:r w:rsidRPr="00600064">
                    <w:rPr>
                      <w:rFonts w:ascii="Arial Narrow" w:hAnsi="Arial Narrow"/>
                      <w:sz w:val="20"/>
                    </w:rPr>
                    <w:t>40 mg/4 mL injection 1 x 4 mL vial</w:t>
                  </w:r>
                </w:p>
                <w:p w:rsidR="00555106" w:rsidRPr="00600064" w:rsidRDefault="00555106" w:rsidP="00555106">
                  <w:pPr>
                    <w:rPr>
                      <w:rFonts w:ascii="Arial Narrow" w:hAnsi="Arial Narrow"/>
                      <w:sz w:val="20"/>
                    </w:rPr>
                  </w:pPr>
                </w:p>
                <w:p w:rsidR="00555106" w:rsidRPr="00600064" w:rsidRDefault="00555106" w:rsidP="00555106">
                  <w:pPr>
                    <w:rPr>
                      <w:rFonts w:ascii="Arial Narrow" w:hAnsi="Arial Narrow"/>
                      <w:sz w:val="20"/>
                    </w:rPr>
                  </w:pPr>
                  <w:r w:rsidRPr="00600064">
                    <w:rPr>
                      <w:rFonts w:ascii="Arial Narrow" w:hAnsi="Arial Narrow"/>
                      <w:sz w:val="20"/>
                    </w:rPr>
                    <w:t>100 mg/10 mL injection 1 x 10 mL vial</w:t>
                  </w:r>
                </w:p>
              </w:tc>
              <w:tc>
                <w:tcPr>
                  <w:tcW w:w="480" w:type="pct"/>
                  <w:tcBorders>
                    <w:top w:val="single" w:sz="4" w:space="0" w:color="auto"/>
                    <w:left w:val="nil"/>
                  </w:tcBorders>
                </w:tcPr>
                <w:p w:rsidR="00555106" w:rsidRPr="00600064" w:rsidRDefault="00555106" w:rsidP="00555106">
                  <w:pPr>
                    <w:rPr>
                      <w:rFonts w:ascii="Arial Narrow" w:hAnsi="Arial Narrow"/>
                      <w:sz w:val="20"/>
                    </w:rPr>
                  </w:pPr>
                  <w:r w:rsidRPr="00600064">
                    <w:rPr>
                      <w:rFonts w:ascii="Arial Narrow" w:hAnsi="Arial Narrow"/>
                      <w:sz w:val="20"/>
                    </w:rPr>
                    <w:t>360 mg</w:t>
                  </w:r>
                </w:p>
              </w:tc>
              <w:tc>
                <w:tcPr>
                  <w:tcW w:w="480" w:type="pct"/>
                  <w:tcBorders>
                    <w:top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t>8</w:t>
                  </w:r>
                </w:p>
              </w:tc>
              <w:tc>
                <w:tcPr>
                  <w:tcW w:w="1139" w:type="pct"/>
                  <w:tcBorders>
                    <w:top w:val="single" w:sz="4" w:space="0" w:color="auto"/>
                    <w:left w:val="nil"/>
                  </w:tcBorders>
                </w:tcPr>
                <w:p w:rsidR="00555106" w:rsidRPr="00600064" w:rsidRDefault="00555106" w:rsidP="00555106">
                  <w:pPr>
                    <w:rPr>
                      <w:rFonts w:ascii="Arial Narrow" w:hAnsi="Arial Narrow"/>
                      <w:sz w:val="20"/>
                    </w:rPr>
                  </w:pPr>
                  <w:r w:rsidRPr="00600064">
                    <w:rPr>
                      <w:rFonts w:ascii="Arial Narrow" w:hAnsi="Arial Narrow"/>
                      <w:sz w:val="20"/>
                    </w:rPr>
                    <w:t>$830.70 (</w:t>
                  </w:r>
                  <w:r w:rsidR="00474A74" w:rsidRPr="00600064">
                    <w:rPr>
                      <w:rFonts w:ascii="Arial Narrow" w:hAnsi="Arial Narrow"/>
                      <w:sz w:val="20"/>
                    </w:rPr>
                    <w:t>published</w:t>
                  </w:r>
                  <w:r w:rsidRPr="00600064">
                    <w:rPr>
                      <w:rFonts w:ascii="Arial Narrow" w:hAnsi="Arial Narrow"/>
                      <w:sz w:val="20"/>
                    </w:rPr>
                    <w:t>)</w:t>
                  </w:r>
                </w:p>
                <w:p w:rsidR="00555106" w:rsidRPr="00600064" w:rsidRDefault="00555106" w:rsidP="00555106">
                  <w:pP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r w:rsidRPr="00600064">
                    <w:rPr>
                      <w:rFonts w:ascii="Arial Narrow" w:hAnsi="Arial Narrow"/>
                      <w:sz w:val="20"/>
                    </w:rPr>
                    <w:t xml:space="preserve"> (</w:t>
                  </w:r>
                  <w:r w:rsidR="00474A74" w:rsidRPr="00600064">
                    <w:rPr>
                      <w:rFonts w:ascii="Arial Narrow" w:hAnsi="Arial Narrow"/>
                      <w:sz w:val="20"/>
                    </w:rPr>
                    <w:t>effective</w:t>
                  </w:r>
                  <w:r w:rsidRPr="00600064">
                    <w:rPr>
                      <w:rFonts w:ascii="Arial Narrow" w:hAnsi="Arial Narrow"/>
                      <w:sz w:val="20"/>
                    </w:rPr>
                    <w:t>)</w:t>
                  </w:r>
                </w:p>
                <w:p w:rsidR="00555106" w:rsidRPr="00600064" w:rsidRDefault="00555106" w:rsidP="00555106">
                  <w:pPr>
                    <w:rPr>
                      <w:rFonts w:ascii="Arial Narrow" w:hAnsi="Arial Narrow"/>
                      <w:sz w:val="20"/>
                    </w:rPr>
                  </w:pPr>
                  <w:r w:rsidRPr="00600064">
                    <w:rPr>
                      <w:rFonts w:ascii="Arial Narrow" w:hAnsi="Arial Narrow"/>
                      <w:sz w:val="20"/>
                    </w:rPr>
                    <w:t>$2076.50 (</w:t>
                  </w:r>
                  <w:r w:rsidR="00474A74" w:rsidRPr="00600064">
                    <w:rPr>
                      <w:rFonts w:ascii="Arial Narrow" w:hAnsi="Arial Narrow"/>
                      <w:sz w:val="20"/>
                    </w:rPr>
                    <w:t>published</w:t>
                  </w:r>
                  <w:r w:rsidRPr="00600064">
                    <w:rPr>
                      <w:rFonts w:ascii="Arial Narrow" w:hAnsi="Arial Narrow"/>
                      <w:sz w:val="20"/>
                    </w:rPr>
                    <w:t>)</w:t>
                  </w:r>
                </w:p>
                <w:p w:rsidR="00555106" w:rsidRPr="00600064" w:rsidRDefault="00555106" w:rsidP="00474A74">
                  <w:pP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r w:rsidRPr="00600064">
                    <w:rPr>
                      <w:rFonts w:ascii="Arial Narrow" w:hAnsi="Arial Narrow"/>
                      <w:sz w:val="20"/>
                    </w:rPr>
                    <w:t>(</w:t>
                  </w:r>
                  <w:r w:rsidR="00474A74" w:rsidRPr="00600064">
                    <w:rPr>
                      <w:rFonts w:ascii="Arial Narrow" w:hAnsi="Arial Narrow"/>
                      <w:sz w:val="20"/>
                    </w:rPr>
                    <w:t>effective</w:t>
                  </w:r>
                  <w:r w:rsidRPr="00600064">
                    <w:rPr>
                      <w:rFonts w:ascii="Arial Narrow" w:hAnsi="Arial Narrow"/>
                      <w:sz w:val="20"/>
                    </w:rPr>
                    <w:t>)</w:t>
                  </w:r>
                </w:p>
              </w:tc>
              <w:tc>
                <w:tcPr>
                  <w:tcW w:w="1041" w:type="pct"/>
                  <w:tcBorders>
                    <w:top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t>OPDIVO®</w:t>
                  </w:r>
                </w:p>
                <w:p w:rsidR="00555106" w:rsidRPr="00600064" w:rsidRDefault="00555106" w:rsidP="00555106">
                  <w:pPr>
                    <w:rPr>
                      <w:rFonts w:ascii="Arial Narrow" w:hAnsi="Arial Narrow"/>
                      <w:sz w:val="20"/>
                    </w:rPr>
                  </w:pPr>
                </w:p>
                <w:p w:rsidR="00555106" w:rsidRPr="00600064" w:rsidRDefault="00555106" w:rsidP="00555106">
                  <w:pPr>
                    <w:rPr>
                      <w:rFonts w:ascii="Arial Narrow" w:hAnsi="Arial Narrow"/>
                      <w:sz w:val="20"/>
                    </w:rPr>
                  </w:pPr>
                  <w:r w:rsidRPr="00600064">
                    <w:rPr>
                      <w:rFonts w:ascii="Arial Narrow" w:hAnsi="Arial Narrow"/>
                      <w:sz w:val="20"/>
                    </w:rPr>
                    <w:t>Bristol-Myers Squibb Australia Pty Ltd</w:t>
                  </w:r>
                </w:p>
              </w:tc>
            </w:tr>
          </w:tbl>
          <w:p w:rsidR="00555106" w:rsidRPr="00600064" w:rsidRDefault="00555106" w:rsidP="00555106">
            <w:pPr>
              <w:widowControl/>
              <w:rPr>
                <w:rFonts w:cs="Times New Roman"/>
                <w:snapToGrid/>
                <w:sz w:val="20"/>
                <w:lang w:eastAsia="en-AU"/>
              </w:rPr>
            </w:pPr>
          </w:p>
        </w:tc>
      </w:tr>
      <w:tr w:rsidR="00555106" w:rsidRPr="00600064" w:rsidTr="00555106">
        <w:trPr>
          <w:trHeight w:val="360"/>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 xml:space="preserve">Category / Program </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Section 100 - Efficient funding of Chemotherapy</w:t>
            </w:r>
          </w:p>
        </w:tc>
      </w:tr>
      <w:tr w:rsidR="00555106" w:rsidRPr="00600064" w:rsidTr="00555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snapToGrid w:val="0"/>
              <w:rPr>
                <w:rFonts w:ascii="Arial Narrow" w:hAnsi="Arial Narrow"/>
                <w:b/>
                <w:sz w:val="20"/>
              </w:rPr>
            </w:pPr>
            <w:r w:rsidRPr="00600064">
              <w:rPr>
                <w:rFonts w:ascii="Arial Narrow" w:hAnsi="Arial Narrow"/>
                <w:b/>
                <w:sz w:val="20"/>
              </w:rPr>
              <w:t>Prescriber type:</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fldChar w:fldCharType="begin">
                <w:ffData>
                  <w:name w:val="Check1"/>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Dental  </w:t>
            </w:r>
            <w:r w:rsidRPr="00600064">
              <w:rPr>
                <w:rFonts w:ascii="Arial Narrow" w:hAnsi="Arial Narrow"/>
                <w:sz w:val="20"/>
              </w:rPr>
              <w:fldChar w:fldCharType="begin">
                <w:ffData>
                  <w:name w:val="Check5"/>
                  <w:enabled/>
                  <w:calcOnExit w:val="0"/>
                  <w:checkBox>
                    <w:sizeAuto/>
                    <w:default w:val="1"/>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Medical Practitioners  </w:t>
            </w:r>
            <w:r w:rsidRPr="00600064">
              <w:rPr>
                <w:rFonts w:ascii="Arial Narrow" w:hAnsi="Arial Narrow"/>
                <w:sz w:val="20"/>
              </w:rPr>
              <w:fldChar w:fldCharType="begin">
                <w:ffData>
                  <w:name w:val="Check3"/>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Nurse practitioners  </w:t>
            </w:r>
            <w:r w:rsidRPr="00600064">
              <w:rPr>
                <w:rFonts w:ascii="Arial Narrow" w:hAnsi="Arial Narrow"/>
                <w:sz w:val="20"/>
              </w:rPr>
              <w:fldChar w:fldCharType="begin">
                <w:ffData>
                  <w:name w:val=""/>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Optometrists</w:t>
            </w:r>
          </w:p>
          <w:p w:rsidR="00555106" w:rsidRPr="00600064" w:rsidRDefault="00555106" w:rsidP="00555106">
            <w:pPr>
              <w:snapToGrid w:val="0"/>
              <w:ind w:right="17"/>
              <w:rPr>
                <w:rFonts w:ascii="Arial Narrow" w:hAnsi="Arial Narrow"/>
                <w:sz w:val="20"/>
              </w:rPr>
            </w:pPr>
            <w:r w:rsidRPr="00600064">
              <w:rPr>
                <w:rFonts w:ascii="Arial Narrow" w:hAnsi="Arial Narrow"/>
                <w:sz w:val="20"/>
              </w:rPr>
              <w:fldChar w:fldCharType="begin">
                <w:ffData>
                  <w:name w:val="Check5"/>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Midwives</w:t>
            </w:r>
          </w:p>
        </w:tc>
      </w:tr>
      <w:tr w:rsidR="00555106" w:rsidRPr="00600064" w:rsidTr="00555106">
        <w:trPr>
          <w:trHeight w:val="360"/>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Prescriber type</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Medical Practitioners</w:t>
            </w:r>
          </w:p>
        </w:tc>
      </w:tr>
      <w:tr w:rsidR="00555106" w:rsidRPr="00600064" w:rsidTr="00555106">
        <w:trPr>
          <w:trHeight w:val="417"/>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Severity:</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Stage IV</w:t>
            </w:r>
          </w:p>
        </w:tc>
      </w:tr>
      <w:tr w:rsidR="00555106" w:rsidRPr="00600064" w:rsidTr="00474A74">
        <w:trPr>
          <w:trHeight w:val="414"/>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Condition:</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Clear cell variant renal cell carcinoma (RCC)</w:t>
            </w:r>
          </w:p>
        </w:tc>
      </w:tr>
      <w:tr w:rsidR="00555106" w:rsidRPr="00600064" w:rsidTr="00474A74">
        <w:trPr>
          <w:trHeight w:val="392"/>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PBS Indication:</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Stage IV clear cell variant renal cell carcinoma (RCC)</w:t>
            </w:r>
          </w:p>
        </w:tc>
      </w:tr>
      <w:tr w:rsidR="00555106" w:rsidRPr="00600064" w:rsidTr="00555106">
        <w:trPr>
          <w:trHeight w:val="360"/>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Treatment phase:</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Initial treatment</w:t>
            </w:r>
          </w:p>
        </w:tc>
      </w:tr>
      <w:tr w:rsidR="00555106" w:rsidRPr="00600064" w:rsidTr="00555106">
        <w:trPr>
          <w:trHeight w:val="360"/>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Restriction Level / Method:</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1"/>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Restricted benefit</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In Writing</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3"/>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Telephone</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Emergency</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5"/>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Electronic</w:t>
            </w:r>
          </w:p>
          <w:p w:rsidR="00555106" w:rsidRPr="00600064" w:rsidRDefault="00555106" w:rsidP="00555106">
            <w:pPr>
              <w:widowControl/>
              <w:spacing w:line="360" w:lineRule="auto"/>
              <w:jc w:val="left"/>
              <w:rPr>
                <w:rFonts w:ascii="Arial Narrow" w:hAnsi="Arial Narrow" w:cs="Times New Roman"/>
                <w:snapToGrid/>
                <w:sz w:val="20"/>
                <w:lang w:eastAsia="en-AU"/>
              </w:rPr>
            </w:pPr>
            <w:r w:rsidRPr="00600064">
              <w:rPr>
                <w:rFonts w:ascii="Arial Narrow" w:hAnsi="Arial Narrow" w:cs="Times New Roman"/>
                <w:snapToGrid/>
                <w:sz w:val="20"/>
                <w:lang w:eastAsia="en-AU"/>
              </w:rPr>
              <w:fldChar w:fldCharType="begin">
                <w:ffData>
                  <w:name w:val="Check5"/>
                  <w:enabled/>
                  <w:calcOnExit w:val="0"/>
                  <w:checkBox>
                    <w:sizeAuto/>
                    <w:default w:val="1"/>
                  </w:checkBox>
                </w:ffData>
              </w:fldChar>
            </w:r>
            <w:r w:rsidRPr="00600064">
              <w:rPr>
                <w:rFonts w:ascii="Arial Narrow" w:hAnsi="Arial Narrow" w:cs="Times New Roman"/>
                <w:snapToGrid/>
                <w:sz w:val="20"/>
                <w:lang w:eastAsia="en-AU"/>
              </w:rPr>
              <w:instrText xml:space="preserve"> FORMCHECKBOX </w:instrText>
            </w:r>
            <w:r w:rsidR="00E25D57">
              <w:rPr>
                <w:rFonts w:ascii="Arial Narrow" w:hAnsi="Arial Narrow" w:cs="Times New Roman"/>
                <w:snapToGrid/>
                <w:sz w:val="20"/>
                <w:lang w:eastAsia="en-AU"/>
              </w:rPr>
            </w:r>
            <w:r w:rsidR="00E25D57">
              <w:rPr>
                <w:rFonts w:ascii="Arial Narrow" w:hAnsi="Arial Narrow" w:cs="Times New Roman"/>
                <w:snapToGrid/>
                <w:sz w:val="20"/>
                <w:lang w:eastAsia="en-AU"/>
              </w:rPr>
              <w:fldChar w:fldCharType="separate"/>
            </w:r>
            <w:r w:rsidRPr="00600064">
              <w:rPr>
                <w:rFonts w:ascii="Arial Narrow" w:hAnsi="Arial Narrow" w:cs="Times New Roman"/>
                <w:snapToGrid/>
                <w:sz w:val="20"/>
                <w:lang w:eastAsia="en-AU"/>
              </w:rPr>
              <w:fldChar w:fldCharType="end"/>
            </w:r>
            <w:r w:rsidRPr="00600064">
              <w:rPr>
                <w:rFonts w:ascii="Arial Narrow" w:hAnsi="Arial Narrow" w:cs="Times New Roman"/>
                <w:snapToGrid/>
                <w:sz w:val="20"/>
                <w:lang w:eastAsia="en-AU"/>
              </w:rPr>
              <w:t>S</w:t>
            </w:r>
            <w:r w:rsidRPr="00600064">
              <w:rPr>
                <w:rFonts w:ascii="Arial Narrow" w:hAnsi="Arial Narrow"/>
                <w:snapToGrid/>
                <w:sz w:val="20"/>
                <w:lang w:eastAsia="en-AU"/>
              </w:rPr>
              <w:t>treamlined</w:t>
            </w:r>
          </w:p>
        </w:tc>
      </w:tr>
      <w:tr w:rsidR="00555106" w:rsidRPr="00600064" w:rsidTr="00555106">
        <w:trPr>
          <w:trHeight w:val="795"/>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lastRenderedPageBreak/>
              <w:t>Clinical criteria:</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The treatment must be the sole PBS-subsidised therapy for this condition</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Patient must have a WHO performance status of 2 or less</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Patient must have progressive disease according to the Response Evaluation Criteria in Solid Tumours (RECIST) following first-line treatment with a tyrosine kinase inhibitor</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OR</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Patient must have developed intolerance to a tyrosine kinase inhibitor of a severity necessitating permanent treatment withdrawal</w:t>
            </w:r>
          </w:p>
        </w:tc>
      </w:tr>
      <w:tr w:rsidR="00555106" w:rsidRPr="00600064" w:rsidTr="00555106">
        <w:trPr>
          <w:trHeight w:val="1841"/>
        </w:trPr>
        <w:tc>
          <w:tcPr>
            <w:tcW w:w="1843"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Definitions</w:t>
            </w:r>
          </w:p>
        </w:tc>
        <w:tc>
          <w:tcPr>
            <w:tcW w:w="7230" w:type="dxa"/>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Response Evaluation Criteria In Solid Tumours (RECIST) is defined as follows:</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Complete response (CR) is disappearance of all target lesions.</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Partial response (PR) is a 30% decrease in the sum of the longest diameter of target lesions.</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Progressive disease (PD) is a 20% increase in the sum of the longest diameter of target lesions.</w:t>
            </w:r>
          </w:p>
          <w:p w:rsidR="00166CB7" w:rsidRPr="00600064" w:rsidRDefault="00166CB7" w:rsidP="00555106">
            <w:pPr>
              <w:widowControl/>
              <w:jc w:val="left"/>
              <w:rPr>
                <w:rFonts w:ascii="Arial Narrow" w:hAnsi="Arial Narrow"/>
                <w:snapToGrid/>
                <w:sz w:val="20"/>
                <w:lang w:eastAsia="en-AU"/>
              </w:rPr>
            </w:pPr>
          </w:p>
          <w:p w:rsidR="00166CB7" w:rsidRPr="00600064" w:rsidRDefault="00166CB7" w:rsidP="00474A74">
            <w:pPr>
              <w:widowControl/>
              <w:jc w:val="left"/>
              <w:rPr>
                <w:rFonts w:ascii="Arial Narrow" w:hAnsi="Arial Narrow"/>
                <w:snapToGrid/>
                <w:sz w:val="20"/>
                <w:lang w:eastAsia="en-AU"/>
              </w:rPr>
            </w:pPr>
            <w:r w:rsidRPr="00600064">
              <w:rPr>
                <w:rFonts w:ascii="Arial Narrow" w:hAnsi="Arial Narrow"/>
                <w:snapToGrid/>
                <w:sz w:val="20"/>
                <w:lang w:eastAsia="en-AU"/>
              </w:rPr>
              <w:t>Stable disease (SD) is small changes that do not meet above criteria.</w:t>
            </w:r>
          </w:p>
        </w:tc>
      </w:tr>
      <w:tr w:rsidR="00555106" w:rsidRPr="00600064" w:rsidTr="00555106">
        <w:trPr>
          <w:trHeight w:val="670"/>
        </w:trPr>
        <w:tc>
          <w:tcPr>
            <w:tcW w:w="1843" w:type="dxa"/>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b/>
                <w:snapToGrid/>
                <w:sz w:val="20"/>
                <w:lang w:eastAsia="en-AU"/>
              </w:rPr>
              <w:t>Prescriber Instructions</w:t>
            </w:r>
          </w:p>
        </w:tc>
        <w:tc>
          <w:tcPr>
            <w:tcW w:w="7230" w:type="dxa"/>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The patient’s body weight must be documented in the patient’s medical records at the time treatment is initiated.</w:t>
            </w:r>
          </w:p>
        </w:tc>
      </w:tr>
      <w:tr w:rsidR="00555106" w:rsidRPr="00600064" w:rsidTr="00555106">
        <w:trPr>
          <w:trHeight w:val="670"/>
        </w:trPr>
        <w:tc>
          <w:tcPr>
            <w:tcW w:w="1843" w:type="dxa"/>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b/>
                <w:snapToGrid/>
                <w:sz w:val="20"/>
                <w:lang w:eastAsia="en-AU"/>
              </w:rPr>
            </w:pPr>
            <w:r w:rsidRPr="00600064">
              <w:rPr>
                <w:rFonts w:ascii="Arial Narrow" w:hAnsi="Arial Narrow"/>
                <w:b/>
                <w:snapToGrid/>
                <w:sz w:val="20"/>
                <w:lang w:eastAsia="en-AU"/>
              </w:rPr>
              <w:t>Administrative Advice</w:t>
            </w:r>
          </w:p>
        </w:tc>
        <w:tc>
          <w:tcPr>
            <w:tcW w:w="7230" w:type="dxa"/>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555106" w:rsidRPr="00600064" w:rsidRDefault="00555106" w:rsidP="00555106">
      <w:pPr>
        <w:rPr>
          <w:i/>
        </w:rPr>
      </w:pPr>
    </w:p>
    <w:p w:rsidR="00555106" w:rsidRPr="00600064" w:rsidRDefault="00555106" w:rsidP="00555106">
      <w:pPr>
        <w:keepNext/>
        <w:keepLines/>
        <w:rPr>
          <w:rFonts w:ascii="Arial Narrow" w:hAnsi="Arial Narrow"/>
          <w:b/>
          <w:sz w:val="20"/>
        </w:rPr>
      </w:pPr>
      <w:r w:rsidRPr="00600064">
        <w:rPr>
          <w:rFonts w:ascii="Arial Narrow" w:hAnsi="Arial Narrow"/>
          <w:b/>
          <w:sz w:val="20"/>
        </w:rPr>
        <w:t>Proposed PBS listing for continuing treatment</w:t>
      </w:r>
    </w:p>
    <w:tbl>
      <w:tblPr>
        <w:tblW w:w="4942" w:type="pct"/>
        <w:tblInd w:w="108" w:type="dxa"/>
        <w:tblLook w:val="0000" w:firstRow="0" w:lastRow="0" w:firstColumn="0" w:lastColumn="0" w:noHBand="0" w:noVBand="0"/>
      </w:tblPr>
      <w:tblGrid>
        <w:gridCol w:w="1842"/>
        <w:gridCol w:w="7294"/>
      </w:tblGrid>
      <w:tr w:rsidR="00555106" w:rsidRPr="00600064" w:rsidTr="00234010">
        <w:trPr>
          <w:cantSplit/>
          <w:trHeight w:val="267"/>
        </w:trPr>
        <w:tc>
          <w:tcPr>
            <w:tcW w:w="5000" w:type="pct"/>
            <w:gridSpan w:val="2"/>
            <w:tcBorders>
              <w:bottom w:val="single" w:sz="4" w:space="0" w:color="auto"/>
            </w:tcBorders>
          </w:tcPr>
          <w:p w:rsidR="00555106" w:rsidRPr="00600064" w:rsidRDefault="00555106" w:rsidP="00555106">
            <w:pPr>
              <w:widowControl/>
              <w:rPr>
                <w:rFonts w:cs="Times New Roman"/>
                <w:snapToGrid/>
                <w:sz w:val="20"/>
                <w:lang w:eastAsia="en-AU"/>
              </w:rPr>
            </w:pPr>
          </w:p>
          <w:tbl>
            <w:tblPr>
              <w:tblW w:w="5000" w:type="pct"/>
              <w:tblLook w:val="0000" w:firstRow="0" w:lastRow="0" w:firstColumn="0" w:lastColumn="0" w:noHBand="0" w:noVBand="0"/>
            </w:tblPr>
            <w:tblGrid>
              <w:gridCol w:w="3362"/>
              <w:gridCol w:w="842"/>
              <w:gridCol w:w="838"/>
              <w:gridCol w:w="2021"/>
              <w:gridCol w:w="1857"/>
            </w:tblGrid>
            <w:tr w:rsidR="00555106" w:rsidRPr="00600064" w:rsidTr="00474A74">
              <w:trPr>
                <w:cantSplit/>
                <w:trHeight w:val="567"/>
              </w:trPr>
              <w:tc>
                <w:tcPr>
                  <w:tcW w:w="1884" w:type="pct"/>
                  <w:tcBorders>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Name, Restriction,</w:t>
                  </w:r>
                </w:p>
                <w:p w:rsidR="00555106" w:rsidRPr="00600064" w:rsidRDefault="00555106" w:rsidP="00555106">
                  <w:pPr>
                    <w:jc w:val="left"/>
                    <w:rPr>
                      <w:rFonts w:ascii="Arial Narrow" w:hAnsi="Arial Narrow"/>
                      <w:b/>
                      <w:sz w:val="20"/>
                    </w:rPr>
                  </w:pPr>
                  <w:r w:rsidRPr="00600064">
                    <w:rPr>
                      <w:rFonts w:ascii="Arial Narrow" w:hAnsi="Arial Narrow"/>
                      <w:b/>
                      <w:sz w:val="20"/>
                    </w:rPr>
                    <w:t>Manner of administration and form</w:t>
                  </w:r>
                </w:p>
              </w:tc>
              <w:tc>
                <w:tcPr>
                  <w:tcW w:w="472"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Max.</w:t>
                  </w:r>
                </w:p>
                <w:p w:rsidR="00555106" w:rsidRPr="00600064" w:rsidRDefault="00555106" w:rsidP="00555106">
                  <w:pPr>
                    <w:jc w:val="left"/>
                    <w:rPr>
                      <w:rFonts w:ascii="Arial Narrow" w:hAnsi="Arial Narrow"/>
                      <w:b/>
                      <w:sz w:val="20"/>
                    </w:rPr>
                  </w:pPr>
                  <w:proofErr w:type="spellStart"/>
                  <w:r w:rsidRPr="00600064">
                    <w:rPr>
                      <w:rFonts w:ascii="Arial Narrow" w:hAnsi="Arial Narrow"/>
                      <w:b/>
                      <w:sz w:val="20"/>
                    </w:rPr>
                    <w:t>Qty</w:t>
                  </w:r>
                  <w:proofErr w:type="spellEnd"/>
                </w:p>
              </w:tc>
              <w:tc>
                <w:tcPr>
                  <w:tcW w:w="470"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№.of</w:t>
                  </w:r>
                </w:p>
                <w:p w:rsidR="00555106" w:rsidRPr="00600064" w:rsidRDefault="00555106" w:rsidP="00555106">
                  <w:pPr>
                    <w:jc w:val="left"/>
                    <w:rPr>
                      <w:rFonts w:ascii="Arial Narrow" w:hAnsi="Arial Narrow"/>
                      <w:b/>
                      <w:sz w:val="20"/>
                    </w:rPr>
                  </w:pPr>
                  <w:proofErr w:type="spellStart"/>
                  <w:r w:rsidRPr="00600064">
                    <w:rPr>
                      <w:rFonts w:ascii="Arial Narrow" w:hAnsi="Arial Narrow"/>
                      <w:b/>
                      <w:sz w:val="20"/>
                    </w:rPr>
                    <w:t>Rpts</w:t>
                  </w:r>
                  <w:proofErr w:type="spellEnd"/>
                </w:p>
              </w:tc>
              <w:tc>
                <w:tcPr>
                  <w:tcW w:w="1133"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 xml:space="preserve">Proposed AEMP (resubmission addendum – </w:t>
                  </w:r>
                  <w:r w:rsidR="002004CB" w:rsidRPr="00600064">
                    <w:rPr>
                      <w:rFonts w:ascii="Arial Narrow" w:hAnsi="Arial Narrow"/>
                      <w:b/>
                      <w:sz w:val="20"/>
                    </w:rPr>
                    <w:t>“</w:t>
                  </w:r>
                  <w:r w:rsidRPr="00600064">
                    <w:rPr>
                      <w:rFonts w:ascii="Arial Narrow" w:hAnsi="Arial Narrow"/>
                      <w:b/>
                      <w:sz w:val="20"/>
                    </w:rPr>
                    <w:t>PBAC amended base case</w:t>
                  </w:r>
                  <w:r w:rsidR="002004CB" w:rsidRPr="00600064">
                    <w:rPr>
                      <w:rFonts w:ascii="Arial Narrow" w:hAnsi="Arial Narrow"/>
                      <w:b/>
                      <w:sz w:val="20"/>
                    </w:rPr>
                    <w:t>”</w:t>
                  </w:r>
                  <w:r w:rsidRPr="00600064">
                    <w:rPr>
                      <w:rFonts w:ascii="Arial Narrow" w:hAnsi="Arial Narrow"/>
                      <w:b/>
                      <w:sz w:val="20"/>
                    </w:rPr>
                    <w:t>)</w:t>
                  </w:r>
                </w:p>
              </w:tc>
              <w:tc>
                <w:tcPr>
                  <w:tcW w:w="1041" w:type="pct"/>
                  <w:tcBorders>
                    <w:left w:val="nil"/>
                    <w:bottom w:val="single" w:sz="4" w:space="0" w:color="auto"/>
                  </w:tcBorders>
                </w:tcPr>
                <w:p w:rsidR="00555106" w:rsidRPr="00600064" w:rsidRDefault="00555106" w:rsidP="00555106">
                  <w:pPr>
                    <w:jc w:val="left"/>
                    <w:rPr>
                      <w:rFonts w:ascii="Arial Narrow" w:hAnsi="Arial Narrow"/>
                      <w:b/>
                      <w:sz w:val="20"/>
                    </w:rPr>
                  </w:pPr>
                  <w:r w:rsidRPr="00600064">
                    <w:rPr>
                      <w:rFonts w:ascii="Arial Narrow" w:hAnsi="Arial Narrow"/>
                      <w:b/>
                      <w:sz w:val="20"/>
                    </w:rPr>
                    <w:t>Proprietary Name and Manufacturer</w:t>
                  </w:r>
                </w:p>
              </w:tc>
            </w:tr>
            <w:tr w:rsidR="00555106" w:rsidRPr="00600064" w:rsidTr="00474A74">
              <w:trPr>
                <w:cantSplit/>
                <w:trHeight w:val="577"/>
              </w:trPr>
              <w:tc>
                <w:tcPr>
                  <w:tcW w:w="1884" w:type="pct"/>
                  <w:tcBorders>
                    <w:top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t>Nivolumab</w:t>
                  </w:r>
                </w:p>
                <w:p w:rsidR="00555106" w:rsidRPr="00600064" w:rsidRDefault="00555106" w:rsidP="00555106">
                  <w:pPr>
                    <w:rPr>
                      <w:rFonts w:ascii="Arial Narrow" w:hAnsi="Arial Narrow"/>
                      <w:sz w:val="20"/>
                    </w:rPr>
                  </w:pPr>
                  <w:r w:rsidRPr="00600064">
                    <w:rPr>
                      <w:rFonts w:ascii="Arial Narrow" w:hAnsi="Arial Narrow"/>
                      <w:sz w:val="20"/>
                    </w:rPr>
                    <w:t>40 mg/4 mL injection 1 x 4 mL vial</w:t>
                  </w:r>
                </w:p>
                <w:p w:rsidR="00555106" w:rsidRPr="00600064" w:rsidRDefault="00555106" w:rsidP="00555106">
                  <w:pPr>
                    <w:rPr>
                      <w:rFonts w:ascii="Arial Narrow" w:hAnsi="Arial Narrow"/>
                      <w:sz w:val="20"/>
                    </w:rPr>
                  </w:pPr>
                </w:p>
                <w:p w:rsidR="00555106" w:rsidRPr="00600064" w:rsidRDefault="00555106" w:rsidP="00555106">
                  <w:pPr>
                    <w:rPr>
                      <w:rFonts w:ascii="Arial Narrow" w:hAnsi="Arial Narrow"/>
                      <w:sz w:val="20"/>
                    </w:rPr>
                  </w:pPr>
                  <w:r w:rsidRPr="00600064">
                    <w:rPr>
                      <w:rFonts w:ascii="Arial Narrow" w:hAnsi="Arial Narrow"/>
                      <w:sz w:val="20"/>
                    </w:rPr>
                    <w:t>100 mg/10 mL injection 1 x 10 mL vial</w:t>
                  </w:r>
                </w:p>
              </w:tc>
              <w:tc>
                <w:tcPr>
                  <w:tcW w:w="472" w:type="pct"/>
                  <w:tcBorders>
                    <w:top w:val="single" w:sz="4" w:space="0" w:color="auto"/>
                    <w:left w:val="nil"/>
                  </w:tcBorders>
                </w:tcPr>
                <w:p w:rsidR="00555106" w:rsidRPr="00600064" w:rsidRDefault="00555106" w:rsidP="00555106">
                  <w:pPr>
                    <w:rPr>
                      <w:rFonts w:ascii="Arial Narrow" w:hAnsi="Arial Narrow"/>
                      <w:sz w:val="20"/>
                    </w:rPr>
                  </w:pPr>
                  <w:r w:rsidRPr="00600064">
                    <w:rPr>
                      <w:rFonts w:ascii="Arial Narrow" w:hAnsi="Arial Narrow"/>
                      <w:sz w:val="20"/>
                    </w:rPr>
                    <w:t>360 mg</w:t>
                  </w:r>
                </w:p>
              </w:tc>
              <w:tc>
                <w:tcPr>
                  <w:tcW w:w="470" w:type="pct"/>
                  <w:tcBorders>
                    <w:top w:val="single" w:sz="4" w:space="0" w:color="auto"/>
                  </w:tcBorders>
                </w:tcPr>
                <w:p w:rsidR="00555106" w:rsidRPr="00600064" w:rsidRDefault="006D6EEE" w:rsidP="00555106">
                  <w:pPr>
                    <w:rPr>
                      <w:rFonts w:ascii="Arial Narrow" w:hAnsi="Arial Narrow"/>
                      <w:sz w:val="20"/>
                    </w:rPr>
                  </w:pPr>
                  <w:r w:rsidRPr="00600064">
                    <w:rPr>
                      <w:rFonts w:ascii="Arial Narrow" w:hAnsi="Arial Narrow"/>
                      <w:sz w:val="20"/>
                    </w:rPr>
                    <w:t>11</w:t>
                  </w:r>
                </w:p>
              </w:tc>
              <w:tc>
                <w:tcPr>
                  <w:tcW w:w="1133" w:type="pct"/>
                  <w:tcBorders>
                    <w:top w:val="single" w:sz="4" w:space="0" w:color="auto"/>
                    <w:left w:val="nil"/>
                  </w:tcBorders>
                </w:tcPr>
                <w:p w:rsidR="00555106" w:rsidRPr="00600064" w:rsidRDefault="00555106" w:rsidP="00555106">
                  <w:pPr>
                    <w:rPr>
                      <w:rFonts w:ascii="Arial Narrow" w:hAnsi="Arial Narrow"/>
                      <w:sz w:val="20"/>
                    </w:rPr>
                  </w:pPr>
                  <w:r w:rsidRPr="00600064">
                    <w:rPr>
                      <w:rFonts w:ascii="Arial Narrow" w:hAnsi="Arial Narrow"/>
                      <w:sz w:val="20"/>
                    </w:rPr>
                    <w:t>$830.70 (</w:t>
                  </w:r>
                  <w:r w:rsidR="00474A74" w:rsidRPr="00600064">
                    <w:rPr>
                      <w:rFonts w:ascii="Arial Narrow" w:hAnsi="Arial Narrow"/>
                      <w:sz w:val="20"/>
                    </w:rPr>
                    <w:t>published</w:t>
                  </w:r>
                  <w:r w:rsidRPr="00600064">
                    <w:rPr>
                      <w:rFonts w:ascii="Arial Narrow" w:hAnsi="Arial Narrow"/>
                      <w:sz w:val="20"/>
                    </w:rPr>
                    <w:t>)</w:t>
                  </w:r>
                </w:p>
                <w:p w:rsidR="00555106" w:rsidRPr="00600064" w:rsidRDefault="00555106" w:rsidP="00555106">
                  <w:pP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r w:rsidRPr="00600064">
                    <w:rPr>
                      <w:rFonts w:ascii="Arial Narrow" w:hAnsi="Arial Narrow"/>
                      <w:sz w:val="20"/>
                    </w:rPr>
                    <w:t xml:space="preserve"> (</w:t>
                  </w:r>
                  <w:r w:rsidR="00474A74" w:rsidRPr="00600064">
                    <w:rPr>
                      <w:rFonts w:ascii="Arial Narrow" w:hAnsi="Arial Narrow"/>
                      <w:sz w:val="20"/>
                    </w:rPr>
                    <w:t>effective</w:t>
                  </w:r>
                  <w:r w:rsidRPr="00600064">
                    <w:rPr>
                      <w:rFonts w:ascii="Arial Narrow" w:hAnsi="Arial Narrow"/>
                      <w:sz w:val="20"/>
                    </w:rPr>
                    <w:t>)</w:t>
                  </w:r>
                </w:p>
                <w:p w:rsidR="00555106" w:rsidRPr="00600064" w:rsidRDefault="00555106" w:rsidP="00555106">
                  <w:pPr>
                    <w:rPr>
                      <w:rFonts w:ascii="Arial Narrow" w:hAnsi="Arial Narrow"/>
                      <w:sz w:val="20"/>
                    </w:rPr>
                  </w:pPr>
                  <w:r w:rsidRPr="00600064">
                    <w:rPr>
                      <w:rFonts w:ascii="Arial Narrow" w:hAnsi="Arial Narrow"/>
                      <w:sz w:val="20"/>
                    </w:rPr>
                    <w:t>$2076.50 (</w:t>
                  </w:r>
                  <w:r w:rsidR="00474A74" w:rsidRPr="00600064">
                    <w:rPr>
                      <w:rFonts w:ascii="Arial Narrow" w:hAnsi="Arial Narrow"/>
                      <w:sz w:val="20"/>
                    </w:rPr>
                    <w:t>published</w:t>
                  </w:r>
                  <w:r w:rsidRPr="00600064">
                    <w:rPr>
                      <w:rFonts w:ascii="Arial Narrow" w:hAnsi="Arial Narrow"/>
                      <w:sz w:val="20"/>
                    </w:rPr>
                    <w:t>)</w:t>
                  </w:r>
                </w:p>
                <w:p w:rsidR="00555106" w:rsidRPr="00600064" w:rsidRDefault="00555106" w:rsidP="00474A74">
                  <w:pP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r w:rsidRPr="00600064">
                    <w:rPr>
                      <w:rFonts w:ascii="Arial Narrow" w:hAnsi="Arial Narrow"/>
                      <w:sz w:val="20"/>
                    </w:rPr>
                    <w:t>(</w:t>
                  </w:r>
                  <w:r w:rsidR="00474A74" w:rsidRPr="00600064">
                    <w:rPr>
                      <w:rFonts w:ascii="Arial Narrow" w:hAnsi="Arial Narrow"/>
                      <w:sz w:val="20"/>
                    </w:rPr>
                    <w:t>effective</w:t>
                  </w:r>
                  <w:r w:rsidRPr="00600064">
                    <w:rPr>
                      <w:rFonts w:ascii="Arial Narrow" w:hAnsi="Arial Narrow"/>
                      <w:sz w:val="20"/>
                    </w:rPr>
                    <w:t>)</w:t>
                  </w:r>
                </w:p>
              </w:tc>
              <w:tc>
                <w:tcPr>
                  <w:tcW w:w="1041" w:type="pct"/>
                  <w:tcBorders>
                    <w:top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t>OPDIVO®</w:t>
                  </w:r>
                </w:p>
                <w:p w:rsidR="00555106" w:rsidRPr="00600064" w:rsidRDefault="00555106" w:rsidP="00555106">
                  <w:pPr>
                    <w:rPr>
                      <w:rFonts w:ascii="Arial Narrow" w:hAnsi="Arial Narrow"/>
                      <w:sz w:val="20"/>
                    </w:rPr>
                  </w:pPr>
                </w:p>
                <w:p w:rsidR="00555106" w:rsidRPr="00600064" w:rsidRDefault="00555106" w:rsidP="00555106">
                  <w:pPr>
                    <w:rPr>
                      <w:rFonts w:ascii="Arial Narrow" w:hAnsi="Arial Narrow"/>
                      <w:sz w:val="20"/>
                    </w:rPr>
                  </w:pPr>
                  <w:r w:rsidRPr="00600064">
                    <w:rPr>
                      <w:rFonts w:ascii="Arial Narrow" w:hAnsi="Arial Narrow"/>
                      <w:sz w:val="20"/>
                    </w:rPr>
                    <w:t>Bristol-Myers Squibb Australia Pty Ltd</w:t>
                  </w:r>
                </w:p>
              </w:tc>
            </w:tr>
          </w:tbl>
          <w:p w:rsidR="00555106" w:rsidRPr="00600064" w:rsidRDefault="00555106" w:rsidP="00555106">
            <w:pPr>
              <w:widowControl/>
              <w:rPr>
                <w:rFonts w:cs="Times New Roman"/>
                <w:snapToGrid/>
                <w:sz w:val="20"/>
                <w:lang w:eastAsia="en-AU"/>
              </w:rPr>
            </w:pPr>
          </w:p>
        </w:tc>
      </w:tr>
      <w:tr w:rsidR="00555106" w:rsidRPr="00600064" w:rsidTr="00234010">
        <w:trPr>
          <w:cantSplit/>
          <w:trHeight w:val="360"/>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 xml:space="preserve">Category / Program </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Section 100 - Efficient funding of Chemotherapy</w:t>
            </w:r>
          </w:p>
        </w:tc>
      </w:tr>
      <w:tr w:rsidR="00555106" w:rsidRPr="00600064" w:rsidTr="00234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snapToGrid w:val="0"/>
              <w:rPr>
                <w:rFonts w:ascii="Arial Narrow" w:hAnsi="Arial Narrow"/>
                <w:b/>
                <w:sz w:val="20"/>
              </w:rPr>
            </w:pPr>
            <w:r w:rsidRPr="00600064">
              <w:rPr>
                <w:rFonts w:ascii="Arial Narrow" w:hAnsi="Arial Narrow"/>
                <w:b/>
                <w:sz w:val="20"/>
              </w:rPr>
              <w:t>Prescriber type:</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rPr>
                <w:rFonts w:ascii="Arial Narrow" w:hAnsi="Arial Narrow"/>
                <w:sz w:val="20"/>
              </w:rPr>
            </w:pPr>
            <w:r w:rsidRPr="00600064">
              <w:rPr>
                <w:rFonts w:ascii="Arial Narrow" w:hAnsi="Arial Narrow"/>
                <w:sz w:val="20"/>
              </w:rPr>
              <w:fldChar w:fldCharType="begin">
                <w:ffData>
                  <w:name w:val="Check1"/>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Dental  </w:t>
            </w:r>
            <w:r w:rsidRPr="00600064">
              <w:rPr>
                <w:rFonts w:ascii="Arial Narrow" w:hAnsi="Arial Narrow"/>
                <w:sz w:val="20"/>
              </w:rPr>
              <w:fldChar w:fldCharType="begin">
                <w:ffData>
                  <w:name w:val="Check5"/>
                  <w:enabled/>
                  <w:calcOnExit w:val="0"/>
                  <w:checkBox>
                    <w:sizeAuto/>
                    <w:default w:val="1"/>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Medical Practitioners  </w:t>
            </w:r>
            <w:r w:rsidRPr="00600064">
              <w:rPr>
                <w:rFonts w:ascii="Arial Narrow" w:hAnsi="Arial Narrow"/>
                <w:sz w:val="20"/>
              </w:rPr>
              <w:fldChar w:fldCharType="begin">
                <w:ffData>
                  <w:name w:val="Check3"/>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Nurse practitioners  </w:t>
            </w:r>
            <w:r w:rsidRPr="00600064">
              <w:rPr>
                <w:rFonts w:ascii="Arial Narrow" w:hAnsi="Arial Narrow"/>
                <w:sz w:val="20"/>
              </w:rPr>
              <w:fldChar w:fldCharType="begin">
                <w:ffData>
                  <w:name w:val=""/>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Optometrists</w:t>
            </w:r>
          </w:p>
          <w:p w:rsidR="00555106" w:rsidRPr="00600064" w:rsidRDefault="00555106" w:rsidP="00555106">
            <w:pPr>
              <w:snapToGrid w:val="0"/>
              <w:ind w:right="17"/>
              <w:rPr>
                <w:rFonts w:ascii="Arial Narrow" w:hAnsi="Arial Narrow"/>
                <w:sz w:val="20"/>
              </w:rPr>
            </w:pPr>
            <w:r w:rsidRPr="00600064">
              <w:rPr>
                <w:rFonts w:ascii="Arial Narrow" w:hAnsi="Arial Narrow"/>
                <w:sz w:val="20"/>
              </w:rPr>
              <w:fldChar w:fldCharType="begin">
                <w:ffData>
                  <w:name w:val="Check5"/>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Midwives</w:t>
            </w:r>
          </w:p>
        </w:tc>
      </w:tr>
      <w:tr w:rsidR="00555106" w:rsidRPr="00600064" w:rsidTr="00234010">
        <w:trPr>
          <w:cantSplit/>
          <w:trHeight w:val="360"/>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Prescriber type</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Medical Practitioners</w:t>
            </w:r>
          </w:p>
        </w:tc>
      </w:tr>
      <w:tr w:rsidR="00555106" w:rsidRPr="00600064" w:rsidTr="00234010">
        <w:trPr>
          <w:cantSplit/>
          <w:trHeight w:val="417"/>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Severity:</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Stage IV</w:t>
            </w:r>
          </w:p>
        </w:tc>
      </w:tr>
      <w:tr w:rsidR="00555106" w:rsidRPr="00600064" w:rsidTr="00234010">
        <w:trPr>
          <w:cantSplit/>
          <w:trHeight w:val="464"/>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Condition:</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Clear cell variant renal cell carcinoma (RCC)</w:t>
            </w:r>
          </w:p>
        </w:tc>
      </w:tr>
      <w:tr w:rsidR="00555106" w:rsidRPr="00600064" w:rsidTr="00234010">
        <w:trPr>
          <w:cantSplit/>
          <w:trHeight w:val="457"/>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PBS Indication:</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Stage IV clear cell variant renal cell carcinoma (RCC)</w:t>
            </w:r>
          </w:p>
        </w:tc>
      </w:tr>
      <w:tr w:rsidR="00555106" w:rsidRPr="00600064" w:rsidTr="00234010">
        <w:trPr>
          <w:cantSplit/>
          <w:trHeight w:val="360"/>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Treatment phase:</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Continuing treatment</w:t>
            </w:r>
          </w:p>
        </w:tc>
      </w:tr>
      <w:tr w:rsidR="00555106" w:rsidRPr="00600064" w:rsidTr="00234010">
        <w:trPr>
          <w:cantSplit/>
          <w:trHeight w:val="360"/>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lastRenderedPageBreak/>
              <w:t>Restriction Level / Method:</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1"/>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Restricted benefit</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In Writing</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3"/>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Telephone</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Emergency</w:t>
            </w:r>
          </w:p>
          <w:p w:rsidR="00555106" w:rsidRPr="00600064" w:rsidRDefault="00555106" w:rsidP="00555106">
            <w:pPr>
              <w:widowControl/>
              <w:spacing w:line="360" w:lineRule="auto"/>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5"/>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Electronic</w:t>
            </w:r>
          </w:p>
          <w:p w:rsidR="00555106" w:rsidRPr="00600064" w:rsidRDefault="00555106" w:rsidP="00555106">
            <w:pPr>
              <w:widowControl/>
              <w:spacing w:line="360" w:lineRule="auto"/>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fldChar w:fldCharType="begin">
                <w:ffData>
                  <w:name w:val="Check5"/>
                  <w:enabled/>
                  <w:calcOnExit w:val="0"/>
                  <w:checkBox>
                    <w:sizeAuto/>
                    <w:default w:val="1"/>
                  </w:checkBox>
                </w:ffData>
              </w:fldChar>
            </w:r>
            <w:r w:rsidRPr="00600064">
              <w:rPr>
                <w:rFonts w:ascii="Arial Narrow" w:hAnsi="Arial Narrow" w:cs="Times New Roman"/>
                <w:snapToGrid/>
                <w:sz w:val="20"/>
                <w:szCs w:val="24"/>
                <w:lang w:eastAsia="en-AU"/>
              </w:rPr>
              <w:instrText xml:space="preserve"> FORMCHECKBOX </w:instrText>
            </w:r>
            <w:r w:rsidR="00E25D57">
              <w:rPr>
                <w:rFonts w:ascii="Arial Narrow" w:hAnsi="Arial Narrow" w:cs="Times New Roman"/>
                <w:snapToGrid/>
                <w:sz w:val="20"/>
                <w:szCs w:val="24"/>
                <w:lang w:eastAsia="en-AU"/>
              </w:rPr>
            </w:r>
            <w:r w:rsidR="00E25D57">
              <w:rPr>
                <w:rFonts w:ascii="Arial Narrow" w:hAnsi="Arial Narrow" w:cs="Times New Roman"/>
                <w:snapToGrid/>
                <w:sz w:val="20"/>
                <w:szCs w:val="24"/>
                <w:lang w:eastAsia="en-AU"/>
              </w:rPr>
              <w:fldChar w:fldCharType="separate"/>
            </w:r>
            <w:r w:rsidRPr="00600064">
              <w:rPr>
                <w:rFonts w:ascii="Arial Narrow" w:hAnsi="Arial Narrow" w:cs="Times New Roman"/>
                <w:snapToGrid/>
                <w:sz w:val="20"/>
                <w:szCs w:val="24"/>
                <w:lang w:eastAsia="en-AU"/>
              </w:rPr>
              <w:fldChar w:fldCharType="end"/>
            </w:r>
            <w:r w:rsidRPr="00600064">
              <w:rPr>
                <w:rFonts w:ascii="Arial Narrow" w:hAnsi="Arial Narrow" w:cs="Times New Roman"/>
                <w:snapToGrid/>
                <w:sz w:val="20"/>
                <w:szCs w:val="24"/>
                <w:lang w:eastAsia="en-AU"/>
              </w:rPr>
              <w:t>S</w:t>
            </w:r>
            <w:r w:rsidRPr="00600064">
              <w:rPr>
                <w:rFonts w:ascii="Arial Narrow" w:hAnsi="Arial Narrow"/>
                <w:snapToGrid/>
                <w:sz w:val="20"/>
                <w:lang w:eastAsia="en-AU"/>
              </w:rPr>
              <w:t>treamlined</w:t>
            </w:r>
          </w:p>
        </w:tc>
      </w:tr>
      <w:tr w:rsidR="00555106" w:rsidRPr="00600064" w:rsidTr="00234010">
        <w:trPr>
          <w:cantSplit/>
          <w:trHeight w:val="2354"/>
        </w:trPr>
        <w:tc>
          <w:tcPr>
            <w:tcW w:w="1008"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rPr>
                <w:rFonts w:ascii="Arial Narrow" w:hAnsi="Arial Narrow"/>
                <w:b/>
                <w:snapToGrid/>
                <w:sz w:val="20"/>
                <w:lang w:eastAsia="en-AU"/>
              </w:rPr>
            </w:pPr>
            <w:r w:rsidRPr="00600064">
              <w:rPr>
                <w:rFonts w:ascii="Arial Narrow" w:hAnsi="Arial Narrow"/>
                <w:b/>
                <w:snapToGrid/>
                <w:sz w:val="20"/>
                <w:lang w:eastAsia="en-AU"/>
              </w:rPr>
              <w:t>Clinical criteria:</w:t>
            </w:r>
          </w:p>
        </w:tc>
        <w:tc>
          <w:tcPr>
            <w:tcW w:w="3992" w:type="pct"/>
            <w:tcBorders>
              <w:top w:val="single" w:sz="4" w:space="0" w:color="auto"/>
              <w:left w:val="single" w:sz="4" w:space="0" w:color="auto"/>
              <w:bottom w:val="single" w:sz="4" w:space="0" w:color="auto"/>
              <w:right w:val="single" w:sz="4" w:space="0" w:color="auto"/>
            </w:tcBorders>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Patient must have previously been issued with an authority prescription for this drug for this condition,</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Patient must have stable or responding disease,</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555106" w:rsidRPr="00600064" w:rsidRDefault="00555106" w:rsidP="00555106">
            <w:pPr>
              <w:widowControl/>
              <w:jc w:val="left"/>
              <w:rPr>
                <w:rFonts w:ascii="Arial Narrow" w:hAnsi="Arial Narrow"/>
                <w:snapToGrid/>
                <w:sz w:val="20"/>
                <w:lang w:eastAsia="en-AU"/>
              </w:rPr>
            </w:pPr>
          </w:p>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The treatment must be the sole PBS-subsidised therapy for this condition.</w:t>
            </w:r>
          </w:p>
        </w:tc>
      </w:tr>
      <w:tr w:rsidR="00555106" w:rsidRPr="00600064" w:rsidTr="00234010">
        <w:trPr>
          <w:cantSplit/>
          <w:trHeight w:val="670"/>
        </w:trPr>
        <w:tc>
          <w:tcPr>
            <w:tcW w:w="1008" w:type="pct"/>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b/>
                <w:snapToGrid/>
                <w:sz w:val="20"/>
                <w:lang w:eastAsia="en-AU"/>
              </w:rPr>
              <w:t>Prescriber Instructions</w:t>
            </w:r>
          </w:p>
        </w:tc>
        <w:tc>
          <w:tcPr>
            <w:tcW w:w="3992" w:type="pct"/>
            <w:tcBorders>
              <w:top w:val="single" w:sz="4" w:space="0" w:color="auto"/>
              <w:left w:val="single" w:sz="4" w:space="0" w:color="auto"/>
              <w:bottom w:val="single" w:sz="4" w:space="0" w:color="auto"/>
              <w:right w:val="single" w:sz="4" w:space="0" w:color="auto"/>
            </w:tcBorders>
            <w:vAlign w:val="center"/>
          </w:tcPr>
          <w:p w:rsidR="00555106" w:rsidRPr="00600064" w:rsidRDefault="00555106" w:rsidP="00555106">
            <w:pPr>
              <w:widowControl/>
              <w:jc w:val="left"/>
              <w:rPr>
                <w:rFonts w:ascii="Arial Narrow" w:hAnsi="Arial Narrow"/>
                <w:snapToGrid/>
                <w:sz w:val="20"/>
                <w:lang w:eastAsia="en-AU"/>
              </w:rPr>
            </w:pPr>
            <w:r w:rsidRPr="00600064">
              <w:rPr>
                <w:rFonts w:ascii="Arial Narrow" w:hAnsi="Arial Narrow"/>
                <w:snapToGrid/>
                <w:sz w:val="20"/>
                <w:lang w:eastAsia="en-AU"/>
              </w:rPr>
              <w:t>The patient’s body weight must be documented in the patient’s medical records at the time treatment is initiated.</w:t>
            </w:r>
          </w:p>
        </w:tc>
      </w:tr>
    </w:tbl>
    <w:p w:rsidR="00A65838" w:rsidRPr="00600064" w:rsidRDefault="00A65838" w:rsidP="00A65838"/>
    <w:p w:rsidR="00CC1E3A" w:rsidRPr="00600064" w:rsidRDefault="00CC1E3A" w:rsidP="00CC1E3A">
      <w:pPr>
        <w:pStyle w:val="ListParagraph"/>
        <w:numPr>
          <w:ilvl w:val="1"/>
          <w:numId w:val="5"/>
        </w:numPr>
        <w:rPr>
          <w:szCs w:val="22"/>
        </w:rPr>
      </w:pPr>
      <w:r w:rsidRPr="00600064">
        <w:rPr>
          <w:szCs w:val="22"/>
        </w:rPr>
        <w:t xml:space="preserve">In the resubmission-addendum, the proposed AEMP for the product was increased </w:t>
      </w:r>
      <w:r w:rsidR="00F61D9A" w:rsidRPr="00600064">
        <w:rPr>
          <w:szCs w:val="22"/>
        </w:rPr>
        <w:t>to either</w:t>
      </w:r>
      <w:r w:rsidRPr="00600064">
        <w:rPr>
          <w:szCs w:val="22"/>
        </w:rPr>
        <w:t xml:space="preserve"> $</w:t>
      </w:r>
      <w:r w:rsidR="003A224F">
        <w:rPr>
          <w:noProof/>
          <w:color w:val="000000"/>
          <w:szCs w:val="22"/>
          <w:highlight w:val="black"/>
        </w:rPr>
        <w:t>''''''''''''''''''''</w:t>
      </w:r>
      <w:r w:rsidRPr="00600064">
        <w:rPr>
          <w:szCs w:val="22"/>
        </w:rPr>
        <w:t xml:space="preserve"> </w:t>
      </w:r>
      <w:r w:rsidR="00F61D9A" w:rsidRPr="00600064">
        <w:rPr>
          <w:szCs w:val="22"/>
        </w:rPr>
        <w:t>or</w:t>
      </w:r>
      <w:r w:rsidRPr="00600064">
        <w:rPr>
          <w:szCs w:val="22"/>
        </w:rPr>
        <w:t xml:space="preserve"> $</w:t>
      </w:r>
      <w:r w:rsidR="003A224F">
        <w:rPr>
          <w:noProof/>
          <w:color w:val="000000"/>
          <w:szCs w:val="22"/>
          <w:highlight w:val="black"/>
        </w:rPr>
        <w:t>'''''''''''''''''''''</w:t>
      </w:r>
      <w:r w:rsidRPr="00600064">
        <w:rPr>
          <w:szCs w:val="22"/>
        </w:rPr>
        <w:t xml:space="preserve"> per 100</w:t>
      </w:r>
      <w:r w:rsidR="00652C9D" w:rsidRPr="00600064">
        <w:rPr>
          <w:szCs w:val="22"/>
        </w:rPr>
        <w:t> </w:t>
      </w:r>
      <w:r w:rsidRPr="00600064">
        <w:rPr>
          <w:szCs w:val="22"/>
        </w:rPr>
        <w:t xml:space="preserve">mg vial, with a corresponding increase envisaged for </w:t>
      </w:r>
      <w:r w:rsidR="007C0FB6" w:rsidRPr="00600064">
        <w:rPr>
          <w:szCs w:val="22"/>
        </w:rPr>
        <w:t xml:space="preserve">the </w:t>
      </w:r>
      <w:r w:rsidR="00652C9D" w:rsidRPr="00600064">
        <w:rPr>
          <w:szCs w:val="22"/>
        </w:rPr>
        <w:t>40 </w:t>
      </w:r>
      <w:r w:rsidRPr="00600064">
        <w:rPr>
          <w:szCs w:val="22"/>
        </w:rPr>
        <w:t xml:space="preserve">mg vial. </w:t>
      </w:r>
      <w:r w:rsidR="00F61D9A" w:rsidRPr="00600064">
        <w:rPr>
          <w:szCs w:val="22"/>
        </w:rPr>
        <w:t xml:space="preserve">The difference in price was due to the resubmission-addendum presenting two analyses using different time horizons, with the drug cost adjusted to meet a target ICER of </w:t>
      </w:r>
      <w:r w:rsidR="008601AB">
        <w:rPr>
          <w:szCs w:val="22"/>
        </w:rPr>
        <w:t xml:space="preserve">$45,000/QALY - $75,000/QALY </w:t>
      </w:r>
      <w:r w:rsidR="00342491" w:rsidRPr="00600064">
        <w:rPr>
          <w:szCs w:val="22"/>
        </w:rPr>
        <w:t>(see detail below)</w:t>
      </w:r>
      <w:r w:rsidR="00F61D9A" w:rsidRPr="00600064">
        <w:rPr>
          <w:szCs w:val="22"/>
        </w:rPr>
        <w:t>.</w:t>
      </w:r>
    </w:p>
    <w:p w:rsidR="00CC1E3A" w:rsidRPr="00600064" w:rsidRDefault="00CC1E3A" w:rsidP="00A11420">
      <w:pPr>
        <w:widowControl/>
        <w:rPr>
          <w:szCs w:val="22"/>
        </w:rPr>
      </w:pPr>
    </w:p>
    <w:p w:rsidR="00A65838" w:rsidRPr="00600064" w:rsidRDefault="00A65838" w:rsidP="00A65838">
      <w:pPr>
        <w:pStyle w:val="ListParagraph"/>
        <w:widowControl/>
        <w:numPr>
          <w:ilvl w:val="1"/>
          <w:numId w:val="5"/>
        </w:numPr>
        <w:rPr>
          <w:szCs w:val="22"/>
        </w:rPr>
      </w:pPr>
      <w:r w:rsidRPr="00600064">
        <w:rPr>
          <w:szCs w:val="22"/>
        </w:rPr>
        <w:t xml:space="preserve">The application for listing of nivolumab </w:t>
      </w:r>
      <w:r w:rsidR="007C0FB6" w:rsidRPr="00600064">
        <w:rPr>
          <w:szCs w:val="22"/>
        </w:rPr>
        <w:t>present</w:t>
      </w:r>
      <w:r w:rsidR="00166CB7" w:rsidRPr="00600064">
        <w:rPr>
          <w:szCs w:val="22"/>
        </w:rPr>
        <w:t>ed</w:t>
      </w:r>
      <w:r w:rsidRPr="00600064">
        <w:rPr>
          <w:szCs w:val="22"/>
        </w:rPr>
        <w:t xml:space="preserve"> a cost-</w:t>
      </w:r>
      <w:r w:rsidR="00A11420" w:rsidRPr="00600064">
        <w:rPr>
          <w:szCs w:val="22"/>
        </w:rPr>
        <w:t xml:space="preserve">utility </w:t>
      </w:r>
      <w:r w:rsidRPr="00600064">
        <w:rPr>
          <w:szCs w:val="22"/>
        </w:rPr>
        <w:t xml:space="preserve">analysis against </w:t>
      </w:r>
      <w:proofErr w:type="spellStart"/>
      <w:r w:rsidRPr="00600064">
        <w:rPr>
          <w:szCs w:val="22"/>
        </w:rPr>
        <w:t>everolimus</w:t>
      </w:r>
      <w:proofErr w:type="spellEnd"/>
      <w:r w:rsidRPr="00600064">
        <w:rPr>
          <w:szCs w:val="22"/>
        </w:rPr>
        <w:t xml:space="preserve">, a drug currently listed </w:t>
      </w:r>
      <w:r w:rsidR="00984796" w:rsidRPr="00600064">
        <w:rPr>
          <w:szCs w:val="22"/>
        </w:rPr>
        <w:t>on the PBS for this indication.</w:t>
      </w:r>
    </w:p>
    <w:p w:rsidR="00A65838" w:rsidRPr="00600064" w:rsidRDefault="00A65838" w:rsidP="00A65838"/>
    <w:p w:rsidR="00A65838" w:rsidRPr="00600064" w:rsidRDefault="00A65838" w:rsidP="003929AA">
      <w:pPr>
        <w:pStyle w:val="ListParagraph"/>
        <w:numPr>
          <w:ilvl w:val="1"/>
          <w:numId w:val="5"/>
        </w:numPr>
      </w:pPr>
      <w:r w:rsidRPr="00600064">
        <w:t>The requested listing in the resubmission adopted key changes recommended by the Secretariat and supported by the Economic</w:t>
      </w:r>
      <w:r w:rsidR="00F61D9A" w:rsidRPr="00600064">
        <w:t>s</w:t>
      </w:r>
      <w:r w:rsidRPr="00600064">
        <w:t xml:space="preserve"> Sub-Committee (ESC) in their respective reviews of the original submission. Changes included separate listings for initial and continuing treatment and a restriction that patients must have Stage IV clear cell variant RCC and a World Health Organisation (WHO) performance status of 2 or less. The ratified minutes of the July 2016 PBAC</w:t>
      </w:r>
      <w:r w:rsidR="00523802" w:rsidRPr="00600064">
        <w:t xml:space="preserve"> meeting</w:t>
      </w:r>
      <w:r w:rsidRPr="00600064">
        <w:t xml:space="preserve"> note that the PBAC had a preference that any future restriction on continuation should be based on standard</w:t>
      </w:r>
      <w:r w:rsidR="00523802" w:rsidRPr="00600064">
        <w:t xml:space="preserve"> RECIST</w:t>
      </w:r>
      <w:r w:rsidR="00030BF9" w:rsidRPr="00600064">
        <w:t>-defined</w:t>
      </w:r>
      <w:r w:rsidRPr="00600064">
        <w:t xml:space="preserve"> progression</w:t>
      </w:r>
      <w:r w:rsidR="00A35918" w:rsidRPr="00600064">
        <w:t>-</w:t>
      </w:r>
      <w:r w:rsidRPr="00600064">
        <w:t>free survival (PFS) criteria, allowing the RECIST criteria to be modified to avoid stopping the medicine in the context of early pseudo-progression as is currently the case in current PBS listings of nivolumab for melanoma (7.5 of ratified minutes). The resubmission</w:t>
      </w:r>
      <w:r w:rsidR="004B4863" w:rsidRPr="00600064">
        <w:t xml:space="preserve"> and Pre-Sub-Committee- Response (PSCR)</w:t>
      </w:r>
      <w:r w:rsidRPr="00600064">
        <w:t xml:space="preserve"> strongly </w:t>
      </w:r>
      <w:r w:rsidR="00523802" w:rsidRPr="00600064">
        <w:t xml:space="preserve">emphasised </w:t>
      </w:r>
      <w:r w:rsidRPr="00600064">
        <w:t>that the implementation of a RECIST</w:t>
      </w:r>
      <w:r w:rsidR="00514F6C" w:rsidRPr="00600064">
        <w:t>-</w:t>
      </w:r>
      <w:r w:rsidR="00523802" w:rsidRPr="00600064">
        <w:t xml:space="preserve">based </w:t>
      </w:r>
      <w:r w:rsidRPr="00600064">
        <w:t xml:space="preserve">stopping rule for nivolumab would “not be appropriate under any circumstance”, given </w:t>
      </w:r>
      <w:r w:rsidR="00FB41AA" w:rsidRPr="00600064">
        <w:t xml:space="preserve">that </w:t>
      </w:r>
      <w:r w:rsidRPr="00600064">
        <w:t>this would represent a significant departure from the accepted approach t</w:t>
      </w:r>
      <w:r w:rsidR="00652C9D" w:rsidRPr="00600064">
        <w:t>o the utilisation of nivolumab.</w:t>
      </w:r>
      <w:r w:rsidR="003929AA" w:rsidRPr="00600064">
        <w:t xml:space="preserve"> The ESC noted that </w:t>
      </w:r>
      <w:r w:rsidR="0088270E" w:rsidRPr="00600064">
        <w:t xml:space="preserve">the intent of </w:t>
      </w:r>
      <w:r w:rsidR="003929AA" w:rsidRPr="00600064">
        <w:t xml:space="preserve">the November 2016 </w:t>
      </w:r>
      <w:r w:rsidR="0088270E" w:rsidRPr="00600064">
        <w:t xml:space="preserve">PBAC in recommending that the </w:t>
      </w:r>
      <w:r w:rsidR="003929AA" w:rsidRPr="00600064">
        <w:t xml:space="preserve">continuation criteria </w:t>
      </w:r>
      <w:r w:rsidR="0088270E" w:rsidRPr="00600064">
        <w:t>should</w:t>
      </w:r>
      <w:r w:rsidR="003929AA" w:rsidRPr="00600064">
        <w:t xml:space="preserve"> exclude pseudo-progression as per nivolumab melanoma </w:t>
      </w:r>
      <w:r w:rsidR="0088270E" w:rsidRPr="00600064">
        <w:t xml:space="preserve">restriction, but that this </w:t>
      </w:r>
      <w:r w:rsidR="00332709" w:rsidRPr="00600064">
        <w:t xml:space="preserve">restriction does not </w:t>
      </w:r>
      <w:r w:rsidR="0088270E" w:rsidRPr="00600064">
        <w:t xml:space="preserve">specifically </w:t>
      </w:r>
      <w:r w:rsidR="00332709" w:rsidRPr="00600064">
        <w:t>define</w:t>
      </w:r>
      <w:r w:rsidR="000F556D" w:rsidRPr="00600064">
        <w:t xml:space="preserve"> </w:t>
      </w:r>
      <w:r w:rsidR="0088270E" w:rsidRPr="00600064">
        <w:t xml:space="preserve">any </w:t>
      </w:r>
      <w:r w:rsidR="000F556D" w:rsidRPr="00600064">
        <w:t>criteria for determining</w:t>
      </w:r>
      <w:r w:rsidR="00332709" w:rsidRPr="00600064">
        <w:t xml:space="preserve"> </w:t>
      </w:r>
      <w:r w:rsidR="0088270E" w:rsidRPr="00600064">
        <w:t>“</w:t>
      </w:r>
      <w:r w:rsidR="00332709" w:rsidRPr="00600064">
        <w:t>stable and responding disease</w:t>
      </w:r>
      <w:r w:rsidR="0088270E" w:rsidRPr="00600064">
        <w:t>”</w:t>
      </w:r>
      <w:r w:rsidR="003929AA" w:rsidRPr="00600064">
        <w:t xml:space="preserve">. </w:t>
      </w:r>
      <w:r w:rsidR="000F556D" w:rsidRPr="00600064">
        <w:t xml:space="preserve">The ESC indicated </w:t>
      </w:r>
      <w:r w:rsidR="0088270E" w:rsidRPr="00600064">
        <w:t xml:space="preserve">if </w:t>
      </w:r>
      <w:r w:rsidR="000F556D" w:rsidRPr="00600064">
        <w:t xml:space="preserve">that the PBAC </w:t>
      </w:r>
      <w:r w:rsidR="0088270E" w:rsidRPr="00600064">
        <w:t xml:space="preserve">also wanted to specify RECIST </w:t>
      </w:r>
      <w:r w:rsidR="000F556D" w:rsidRPr="00600064">
        <w:t xml:space="preserve">criteria to define stable or responding disease in </w:t>
      </w:r>
      <w:r w:rsidR="0088270E" w:rsidRPr="00600064">
        <w:t>a</w:t>
      </w:r>
      <w:r w:rsidR="000F556D" w:rsidRPr="00600064">
        <w:t xml:space="preserve"> continuing restriction </w:t>
      </w:r>
      <w:r w:rsidR="0088270E" w:rsidRPr="00600064">
        <w:t xml:space="preserve">for RCC </w:t>
      </w:r>
      <w:r w:rsidR="000F556D" w:rsidRPr="00600064">
        <w:t xml:space="preserve">to ensure that clinicians </w:t>
      </w:r>
      <w:r w:rsidR="0088270E" w:rsidRPr="00600064">
        <w:t xml:space="preserve">monitor </w:t>
      </w:r>
      <w:r w:rsidR="000F556D" w:rsidRPr="00600064">
        <w:t>for progression</w:t>
      </w:r>
      <w:r w:rsidR="0088270E" w:rsidRPr="00600064">
        <w:t xml:space="preserve"> on these grounds rather than clinical observation, </w:t>
      </w:r>
      <w:r w:rsidR="0088270E" w:rsidRPr="00600064">
        <w:lastRenderedPageBreak/>
        <w:t>then consideration should be given to the consistency of approach with this continuing criterion for melanoma</w:t>
      </w:r>
      <w:r w:rsidR="000F556D" w:rsidRPr="00600064">
        <w:t>.</w:t>
      </w:r>
    </w:p>
    <w:p w:rsidR="00A65838" w:rsidRPr="00600064" w:rsidRDefault="00A65838" w:rsidP="00A65838"/>
    <w:p w:rsidR="00A65838" w:rsidRPr="00600064" w:rsidRDefault="00A65838" w:rsidP="00A65838">
      <w:pPr>
        <w:pStyle w:val="ListParagraph"/>
        <w:widowControl/>
        <w:numPr>
          <w:ilvl w:val="1"/>
          <w:numId w:val="5"/>
        </w:numPr>
        <w:rPr>
          <w:szCs w:val="22"/>
        </w:rPr>
      </w:pPr>
      <w:r w:rsidRPr="00600064">
        <w:t>The PBAC</w:t>
      </w:r>
      <w:r w:rsidR="007C0FB6" w:rsidRPr="00600064">
        <w:t>’s</w:t>
      </w:r>
      <w:r w:rsidRPr="00600064">
        <w:t xml:space="preserve"> preference</w:t>
      </w:r>
      <w:r w:rsidR="00B805E6" w:rsidRPr="00600064">
        <w:t xml:space="preserve"> </w:t>
      </w:r>
      <w:r w:rsidR="00E67873" w:rsidRPr="00600064">
        <w:t>wa</w:t>
      </w:r>
      <w:r w:rsidR="00B805E6" w:rsidRPr="00600064">
        <w:t>s</w:t>
      </w:r>
      <w:r w:rsidRPr="00600064">
        <w:t xml:space="preserve"> that restrictions on treatment should be based on standard PFS criteria (but allowing the RECIST criteria to be modified to avoid stopping the medicine in the context of early pseudo-progression) </w:t>
      </w:r>
      <w:r w:rsidR="004B0547" w:rsidRPr="00600064">
        <w:t xml:space="preserve">and so </w:t>
      </w:r>
      <w:r w:rsidR="00342491" w:rsidRPr="00600064">
        <w:t xml:space="preserve">the PBAC </w:t>
      </w:r>
      <w:r w:rsidR="004B0547" w:rsidRPr="00600064">
        <w:t xml:space="preserve">recommended </w:t>
      </w:r>
      <w:r w:rsidR="00B805E6" w:rsidRPr="00600064">
        <w:t xml:space="preserve">that the </w:t>
      </w:r>
      <w:r w:rsidR="004B0547" w:rsidRPr="00600064">
        <w:t xml:space="preserve">Administrative Advice in the initial treatment </w:t>
      </w:r>
      <w:r w:rsidR="00B805E6" w:rsidRPr="00600064">
        <w:t xml:space="preserve">restriction for renal cell carcinoma should be based on </w:t>
      </w:r>
      <w:r w:rsidR="004B0547" w:rsidRPr="00600064">
        <w:t xml:space="preserve">that </w:t>
      </w:r>
      <w:r w:rsidR="00B805E6" w:rsidRPr="00600064">
        <w:t xml:space="preserve">for nivolumab in melanoma to allow for </w:t>
      </w:r>
      <w:r w:rsidR="004B0547" w:rsidRPr="00600064">
        <w:t>a repeat</w:t>
      </w:r>
      <w:r w:rsidRPr="00600064">
        <w:t xml:space="preserve"> scan to </w:t>
      </w:r>
      <w:r w:rsidR="004B0547" w:rsidRPr="00600064">
        <w:t xml:space="preserve">confirm </w:t>
      </w:r>
      <w:r w:rsidR="00652C9D" w:rsidRPr="00600064">
        <w:t>progression.</w:t>
      </w:r>
    </w:p>
    <w:p w:rsidR="00A65838" w:rsidRPr="00600064" w:rsidRDefault="00A65838" w:rsidP="00A65838">
      <w:pPr>
        <w:widowControl/>
        <w:rPr>
          <w:szCs w:val="22"/>
        </w:rPr>
      </w:pPr>
    </w:p>
    <w:p w:rsidR="00454C7A" w:rsidRPr="00600064" w:rsidRDefault="00454C7A" w:rsidP="00454C7A">
      <w:pPr>
        <w:ind w:firstLine="720"/>
        <w:rPr>
          <w:bCs/>
          <w:szCs w:val="22"/>
        </w:rPr>
      </w:pPr>
      <w:r w:rsidRPr="00600064">
        <w:rPr>
          <w:bCs/>
          <w:i/>
          <w:szCs w:val="22"/>
        </w:rPr>
        <w:t>For more detail on PBAC’s view, see section 7 “PBAC outcome”</w:t>
      </w:r>
      <w:r w:rsidR="004B0547" w:rsidRPr="00600064">
        <w:rPr>
          <w:bCs/>
          <w:i/>
          <w:szCs w:val="22"/>
        </w:rPr>
        <w:t>.</w:t>
      </w:r>
    </w:p>
    <w:p w:rsidR="00454C7A" w:rsidRPr="00600064" w:rsidRDefault="00454C7A" w:rsidP="00A65838">
      <w:pPr>
        <w:widowControl/>
        <w:rPr>
          <w:szCs w:val="22"/>
        </w:rPr>
      </w:pPr>
    </w:p>
    <w:p w:rsidR="00A65838" w:rsidRPr="00600064" w:rsidRDefault="00A65838" w:rsidP="00A65838"/>
    <w:p w:rsidR="00A65838" w:rsidRPr="00600064" w:rsidRDefault="00A65838" w:rsidP="00A65838">
      <w:pPr>
        <w:pStyle w:val="PBACheading1"/>
      </w:pPr>
      <w:bookmarkStart w:id="3" w:name="_Toc472509750"/>
      <w:r w:rsidRPr="00600064">
        <w:rPr>
          <w:b/>
        </w:rPr>
        <w:t>Background</w:t>
      </w:r>
      <w:bookmarkEnd w:id="3"/>
    </w:p>
    <w:p w:rsidR="006A3DE1" w:rsidRPr="00600064" w:rsidRDefault="006A3DE1" w:rsidP="00323460"/>
    <w:p w:rsidR="00A65838" w:rsidRPr="00600064" w:rsidRDefault="00A65838" w:rsidP="00A65838">
      <w:pPr>
        <w:ind w:left="720" w:hanging="720"/>
      </w:pPr>
      <w:r w:rsidRPr="00600064">
        <w:t>3.1</w:t>
      </w:r>
      <w:r w:rsidRPr="00600064">
        <w:tab/>
        <w:t xml:space="preserve">Nivolumab was approved by the Therapeutic Goods Administration (TGA) on 16 November 2016 for “the treatment of adult patients with advanced clear cell renal cell carcinoma (RCC) who had received prior </w:t>
      </w:r>
      <w:proofErr w:type="spellStart"/>
      <w:r w:rsidRPr="00600064">
        <w:t>antiangiogenic</w:t>
      </w:r>
      <w:proofErr w:type="spellEnd"/>
      <w:r w:rsidRPr="00600064">
        <w:t xml:space="preserve"> therapy”. This is in addition to other approved indications </w:t>
      </w:r>
      <w:r w:rsidR="007C0FB6" w:rsidRPr="00600064">
        <w:t>(</w:t>
      </w:r>
      <w:proofErr w:type="spellStart"/>
      <w:r w:rsidR="00BA5826" w:rsidRPr="00600064">
        <w:t>unresectable</w:t>
      </w:r>
      <w:proofErr w:type="spellEnd"/>
      <w:r w:rsidR="00BA5826" w:rsidRPr="00600064">
        <w:t xml:space="preserve"> or </w:t>
      </w:r>
      <w:r w:rsidR="007C0FB6" w:rsidRPr="00600064">
        <w:t xml:space="preserve">metastatic melanoma, </w:t>
      </w:r>
      <w:r w:rsidR="00BA5826" w:rsidRPr="00600064">
        <w:t xml:space="preserve">locally advanced or metastatic squamous or non-squamous non-small cell lung cancer) </w:t>
      </w:r>
      <w:r w:rsidR="00652C9D" w:rsidRPr="00600064">
        <w:t>for the product.</w:t>
      </w:r>
    </w:p>
    <w:p w:rsidR="00A65838" w:rsidRPr="00600064" w:rsidRDefault="00A65838" w:rsidP="00A65838"/>
    <w:p w:rsidR="00A65838" w:rsidRPr="00600064" w:rsidRDefault="00A65838" w:rsidP="00A65838">
      <w:pPr>
        <w:widowControl/>
        <w:ind w:left="720" w:hanging="720"/>
        <w:rPr>
          <w:szCs w:val="22"/>
        </w:rPr>
      </w:pPr>
      <w:r w:rsidRPr="00600064">
        <w:rPr>
          <w:szCs w:val="22"/>
        </w:rPr>
        <w:t>3.2</w:t>
      </w:r>
      <w:r w:rsidRPr="00600064">
        <w:rPr>
          <w:szCs w:val="22"/>
        </w:rPr>
        <w:tab/>
        <w:t xml:space="preserve">The PBAC originally considered an application to list nivolumab on the PBS for the treatment of RCC at </w:t>
      </w:r>
      <w:r w:rsidR="00652C9D" w:rsidRPr="00600064">
        <w:rPr>
          <w:szCs w:val="22"/>
        </w:rPr>
        <w:t>its</w:t>
      </w:r>
      <w:r w:rsidRPr="00600064">
        <w:rPr>
          <w:szCs w:val="22"/>
        </w:rPr>
        <w:t xml:space="preserve"> July 2016 meeting. The PBAC decided not to recommend that nivolumab be listed </w:t>
      </w:r>
      <w:r w:rsidR="007C0FB6" w:rsidRPr="00600064">
        <w:rPr>
          <w:szCs w:val="22"/>
        </w:rPr>
        <w:t xml:space="preserve">on </w:t>
      </w:r>
      <w:r w:rsidRPr="00600064">
        <w:rPr>
          <w:szCs w:val="22"/>
        </w:rPr>
        <w:t>the PBS for this indication based on an unacceptably high and uncertain incremental cost-effectiveness ratio (ICER) at the requested effective price. Other issues</w:t>
      </w:r>
      <w:r w:rsidR="007C0FB6" w:rsidRPr="00600064">
        <w:rPr>
          <w:szCs w:val="22"/>
        </w:rPr>
        <w:t xml:space="preserve"> arising from that submission</w:t>
      </w:r>
      <w:r w:rsidR="006451BE" w:rsidRPr="00600064">
        <w:rPr>
          <w:szCs w:val="22"/>
        </w:rPr>
        <w:t xml:space="preserve"> are</w:t>
      </w:r>
      <w:r w:rsidRPr="00600064">
        <w:rPr>
          <w:szCs w:val="22"/>
        </w:rPr>
        <w:t xml:space="preserve"> summarised in Table 1 below.</w:t>
      </w:r>
    </w:p>
    <w:p w:rsidR="00A65838" w:rsidRPr="00600064" w:rsidRDefault="00A65838" w:rsidP="00A65838">
      <w:pPr>
        <w:widowControl/>
        <w:ind w:left="720" w:hanging="720"/>
        <w:rPr>
          <w:szCs w:val="22"/>
        </w:rPr>
      </w:pPr>
    </w:p>
    <w:p w:rsidR="00A65838" w:rsidRPr="00600064" w:rsidRDefault="00A65838" w:rsidP="00A65838">
      <w:pPr>
        <w:widowControl/>
        <w:ind w:left="720" w:hanging="720"/>
        <w:rPr>
          <w:szCs w:val="22"/>
        </w:rPr>
      </w:pPr>
      <w:r w:rsidRPr="00600064">
        <w:rPr>
          <w:szCs w:val="22"/>
        </w:rPr>
        <w:t>3.3</w:t>
      </w:r>
      <w:r w:rsidRPr="00600064">
        <w:rPr>
          <w:szCs w:val="22"/>
        </w:rPr>
        <w:tab/>
        <w:t>Subsequent to the sponsor</w:t>
      </w:r>
      <w:r w:rsidR="00523802" w:rsidRPr="00600064">
        <w:rPr>
          <w:szCs w:val="22"/>
        </w:rPr>
        <w:t>’s</w:t>
      </w:r>
      <w:r w:rsidRPr="00600064">
        <w:rPr>
          <w:szCs w:val="22"/>
        </w:rPr>
        <w:t xml:space="preserve"> review of the ratified minutes of the July 2016 meeting and discussions with the PBAC Chair and Secretariat, a minor </w:t>
      </w:r>
      <w:r w:rsidR="00523802" w:rsidRPr="00600064">
        <w:rPr>
          <w:szCs w:val="22"/>
        </w:rPr>
        <w:t>re</w:t>
      </w:r>
      <w:r w:rsidRPr="00600064">
        <w:rPr>
          <w:szCs w:val="22"/>
        </w:rPr>
        <w:t xml:space="preserve">submission was lodged for consideration at the November 2016 meeting. This minor </w:t>
      </w:r>
      <w:r w:rsidR="00523802" w:rsidRPr="00600064">
        <w:rPr>
          <w:szCs w:val="22"/>
        </w:rPr>
        <w:t>re</w:t>
      </w:r>
      <w:r w:rsidRPr="00600064">
        <w:rPr>
          <w:szCs w:val="22"/>
        </w:rPr>
        <w:t xml:space="preserve">submission addressed some issues of uncertainty in the clinical evidence by providing additional </w:t>
      </w:r>
      <w:r w:rsidR="00523802" w:rsidRPr="00600064">
        <w:rPr>
          <w:szCs w:val="22"/>
        </w:rPr>
        <w:t>Kaplan-</w:t>
      </w:r>
      <w:r w:rsidRPr="00600064">
        <w:rPr>
          <w:szCs w:val="22"/>
        </w:rPr>
        <w:t xml:space="preserve">Meier (KM) supporting evidence for OS. Re-specification parameters </w:t>
      </w:r>
      <w:r w:rsidR="00CF44DD" w:rsidRPr="00600064">
        <w:rPr>
          <w:szCs w:val="22"/>
        </w:rPr>
        <w:t xml:space="preserve">for the economic model </w:t>
      </w:r>
      <w:r w:rsidRPr="00600064">
        <w:rPr>
          <w:szCs w:val="22"/>
        </w:rPr>
        <w:t xml:space="preserve">set out in section 7.10 of the ratified minutes were addressed. These included reducing the modelled time horizon to 5 years and applying treatment costs for nivolumab and </w:t>
      </w:r>
      <w:proofErr w:type="spellStart"/>
      <w:r w:rsidRPr="00600064">
        <w:rPr>
          <w:szCs w:val="22"/>
        </w:rPr>
        <w:t>everolimus</w:t>
      </w:r>
      <w:proofErr w:type="spellEnd"/>
      <w:r w:rsidRPr="00600064">
        <w:rPr>
          <w:szCs w:val="22"/>
        </w:rPr>
        <w:t xml:space="preserve"> on </w:t>
      </w:r>
      <w:r w:rsidR="00523802" w:rsidRPr="00600064">
        <w:rPr>
          <w:szCs w:val="22"/>
        </w:rPr>
        <w:t xml:space="preserve">a </w:t>
      </w:r>
      <w:r w:rsidRPr="00600064">
        <w:rPr>
          <w:szCs w:val="22"/>
        </w:rPr>
        <w:t xml:space="preserve">per-cycle </w:t>
      </w:r>
      <w:r w:rsidR="00523802" w:rsidRPr="00600064">
        <w:rPr>
          <w:szCs w:val="22"/>
        </w:rPr>
        <w:t xml:space="preserve">basis reflecting time to progression in the key trial, </w:t>
      </w:r>
      <w:r w:rsidRPr="00600064">
        <w:rPr>
          <w:szCs w:val="22"/>
        </w:rPr>
        <w:t xml:space="preserve">rather than </w:t>
      </w:r>
      <w:r w:rsidR="00523802" w:rsidRPr="00600064">
        <w:rPr>
          <w:szCs w:val="22"/>
        </w:rPr>
        <w:t xml:space="preserve">the </w:t>
      </w:r>
      <w:r w:rsidR="00BA5826" w:rsidRPr="00600064">
        <w:rPr>
          <w:szCs w:val="22"/>
        </w:rPr>
        <w:t>front-</w:t>
      </w:r>
      <w:r w:rsidRPr="00600064">
        <w:rPr>
          <w:szCs w:val="22"/>
        </w:rPr>
        <w:t>loading approach</w:t>
      </w:r>
      <w:r w:rsidR="00523802" w:rsidRPr="00600064">
        <w:rPr>
          <w:szCs w:val="22"/>
        </w:rPr>
        <w:t xml:space="preserve"> used previously</w:t>
      </w:r>
      <w:r w:rsidRPr="00600064">
        <w:rPr>
          <w:szCs w:val="22"/>
        </w:rPr>
        <w:t xml:space="preserve">. The effective price of nivolumab was reduced (together with a proposal for a cap on the number of </w:t>
      </w:r>
      <w:r w:rsidR="00802C97" w:rsidRPr="00600064">
        <w:rPr>
          <w:szCs w:val="22"/>
        </w:rPr>
        <w:t xml:space="preserve">nivolumab </w:t>
      </w:r>
      <w:r w:rsidRPr="00600064">
        <w:rPr>
          <w:szCs w:val="22"/>
        </w:rPr>
        <w:t xml:space="preserve">infusions to </w:t>
      </w:r>
      <w:r w:rsidR="00802C97" w:rsidRPr="00600064">
        <w:rPr>
          <w:szCs w:val="22"/>
        </w:rPr>
        <w:t xml:space="preserve">be paid for by the Government and an accompanying </w:t>
      </w:r>
      <w:r w:rsidRPr="00600064">
        <w:rPr>
          <w:szCs w:val="22"/>
        </w:rPr>
        <w:t xml:space="preserve">risk </w:t>
      </w:r>
      <w:r w:rsidR="00802C97" w:rsidRPr="00600064">
        <w:rPr>
          <w:szCs w:val="22"/>
        </w:rPr>
        <w:t>shar</w:t>
      </w:r>
      <w:r w:rsidR="00A97101" w:rsidRPr="00600064">
        <w:rPr>
          <w:szCs w:val="22"/>
        </w:rPr>
        <w:t>ing</w:t>
      </w:r>
      <w:r w:rsidR="00802C97" w:rsidRPr="00600064">
        <w:rPr>
          <w:szCs w:val="22"/>
        </w:rPr>
        <w:t xml:space="preserve"> arrangement</w:t>
      </w:r>
      <w:r w:rsidRPr="00600064">
        <w:rPr>
          <w:szCs w:val="22"/>
        </w:rPr>
        <w:t>) to ensure that the ICER was not greater than the value presented (</w:t>
      </w:r>
      <w:r w:rsidR="0034152D">
        <w:rPr>
          <w:szCs w:val="22"/>
        </w:rPr>
        <w:t>$45,000/QALY - $75,000/QALY</w:t>
      </w:r>
      <w:r w:rsidRPr="00600064">
        <w:rPr>
          <w:szCs w:val="22"/>
        </w:rPr>
        <w:t>) in the original submission</w:t>
      </w:r>
      <w:r w:rsidR="002004CB" w:rsidRPr="00600064">
        <w:rPr>
          <w:szCs w:val="22"/>
        </w:rPr>
        <w:t>’s</w:t>
      </w:r>
      <w:r w:rsidRPr="00600064">
        <w:rPr>
          <w:szCs w:val="22"/>
        </w:rPr>
        <w:t xml:space="preserve"> base case. </w:t>
      </w:r>
      <w:r w:rsidR="00883126" w:rsidRPr="00600064">
        <w:rPr>
          <w:szCs w:val="22"/>
        </w:rPr>
        <w:t>Proposed uptake rates of s</w:t>
      </w:r>
      <w:r w:rsidRPr="00600064">
        <w:rPr>
          <w:szCs w:val="22"/>
        </w:rPr>
        <w:t xml:space="preserve">econd line treatments in RCC </w:t>
      </w:r>
      <w:r w:rsidR="00883126" w:rsidRPr="00600064">
        <w:rPr>
          <w:szCs w:val="22"/>
        </w:rPr>
        <w:t>that had been c</w:t>
      </w:r>
      <w:r w:rsidR="00EE738C" w:rsidRPr="00600064">
        <w:rPr>
          <w:szCs w:val="22"/>
        </w:rPr>
        <w:t xml:space="preserve">onsidered over-estimated by the PBAC were also reduced in </w:t>
      </w:r>
      <w:r w:rsidR="006A3DE1" w:rsidRPr="00600064">
        <w:rPr>
          <w:szCs w:val="22"/>
        </w:rPr>
        <w:t>deriving</w:t>
      </w:r>
      <w:r w:rsidR="00652C9D" w:rsidRPr="00600064">
        <w:rPr>
          <w:szCs w:val="22"/>
        </w:rPr>
        <w:t xml:space="preserve"> the financial estimates.</w:t>
      </w:r>
    </w:p>
    <w:p w:rsidR="00A65838" w:rsidRPr="00600064" w:rsidRDefault="00A65838" w:rsidP="00A65838">
      <w:pPr>
        <w:widowControl/>
        <w:ind w:left="720" w:hanging="720"/>
        <w:rPr>
          <w:szCs w:val="22"/>
        </w:rPr>
      </w:pPr>
    </w:p>
    <w:p w:rsidR="00A65838" w:rsidRPr="00600064" w:rsidRDefault="00A65838" w:rsidP="00A65838">
      <w:pPr>
        <w:widowControl/>
        <w:ind w:left="720" w:hanging="720"/>
        <w:rPr>
          <w:szCs w:val="22"/>
        </w:rPr>
      </w:pPr>
      <w:r w:rsidRPr="00600064">
        <w:rPr>
          <w:szCs w:val="22"/>
        </w:rPr>
        <w:t>3.4</w:t>
      </w:r>
      <w:r w:rsidRPr="00600064">
        <w:rPr>
          <w:szCs w:val="22"/>
        </w:rPr>
        <w:tab/>
        <w:t xml:space="preserve">At </w:t>
      </w:r>
      <w:r w:rsidR="004B0547" w:rsidRPr="00600064">
        <w:rPr>
          <w:szCs w:val="22"/>
        </w:rPr>
        <w:t>its</w:t>
      </w:r>
      <w:r w:rsidRPr="00600064">
        <w:rPr>
          <w:szCs w:val="22"/>
        </w:rPr>
        <w:t xml:space="preserve"> November 2016 meeting, the PBAC decided not to recommend the listing of nivolumab for the treatment of RCC on </w:t>
      </w:r>
      <w:r w:rsidR="00BA5826" w:rsidRPr="00600064">
        <w:rPr>
          <w:szCs w:val="22"/>
        </w:rPr>
        <w:t xml:space="preserve">the </w:t>
      </w:r>
      <w:r w:rsidRPr="00600064">
        <w:rPr>
          <w:szCs w:val="22"/>
        </w:rPr>
        <w:t>grounds of unfavourable and uncertain cost-effectiveness. The PBAC considered that the benefit of treatment with nivolumab was uncertain</w:t>
      </w:r>
      <w:r w:rsidR="00802C97" w:rsidRPr="00600064">
        <w:rPr>
          <w:szCs w:val="22"/>
        </w:rPr>
        <w:t>,</w:t>
      </w:r>
      <w:r w:rsidRPr="00600064">
        <w:rPr>
          <w:szCs w:val="22"/>
        </w:rPr>
        <w:t xml:space="preserve"> and likely overestimated</w:t>
      </w:r>
      <w:r w:rsidR="00802C97" w:rsidRPr="00600064">
        <w:rPr>
          <w:szCs w:val="22"/>
        </w:rPr>
        <w:t>,</w:t>
      </w:r>
      <w:r w:rsidRPr="00600064">
        <w:rPr>
          <w:szCs w:val="22"/>
        </w:rPr>
        <w:t xml:space="preserve"> and that the proposed risk shar</w:t>
      </w:r>
      <w:r w:rsidR="00A97101" w:rsidRPr="00600064">
        <w:rPr>
          <w:szCs w:val="22"/>
        </w:rPr>
        <w:t>ing</w:t>
      </w:r>
      <w:r w:rsidRPr="00600064">
        <w:rPr>
          <w:szCs w:val="22"/>
        </w:rPr>
        <w:t xml:space="preserve"> arrangement would not address this uncertainty.</w:t>
      </w:r>
      <w:r w:rsidR="006A3DE1" w:rsidRPr="00600064">
        <w:rPr>
          <w:szCs w:val="22"/>
        </w:rPr>
        <w:t xml:space="preserve"> The PBAC further updated </w:t>
      </w:r>
      <w:r w:rsidR="006A3DE1" w:rsidRPr="00600064">
        <w:rPr>
          <w:szCs w:val="22"/>
        </w:rPr>
        <w:lastRenderedPageBreak/>
        <w:t xml:space="preserve">the respecified </w:t>
      </w:r>
      <w:r w:rsidR="00B85FA8" w:rsidRPr="00600064">
        <w:rPr>
          <w:szCs w:val="22"/>
        </w:rPr>
        <w:t>parameters to confirm the requirement that RECIST</w:t>
      </w:r>
      <w:r w:rsidR="00030BF9" w:rsidRPr="00600064">
        <w:rPr>
          <w:szCs w:val="22"/>
        </w:rPr>
        <w:t>-defined</w:t>
      </w:r>
      <w:r w:rsidR="00B85FA8" w:rsidRPr="00600064">
        <w:rPr>
          <w:szCs w:val="22"/>
        </w:rPr>
        <w:t xml:space="preserve"> PFS be used to inform both arms of the economic model.</w:t>
      </w:r>
    </w:p>
    <w:p w:rsidR="00A65838" w:rsidRPr="00600064" w:rsidRDefault="00A65838" w:rsidP="00A65838"/>
    <w:p w:rsidR="00A65838" w:rsidRPr="00600064" w:rsidRDefault="00A65838" w:rsidP="00A65838">
      <w:pPr>
        <w:widowControl/>
        <w:ind w:left="720" w:hanging="720"/>
      </w:pPr>
      <w:r w:rsidRPr="00600064">
        <w:t>3.5</w:t>
      </w:r>
      <w:r w:rsidRPr="00600064">
        <w:tab/>
        <w:t>Concurrent with the minor resubmission presented for consideration at the November 2016 meeting, the sponsor</w:t>
      </w:r>
      <w:r w:rsidR="00CF44DD" w:rsidRPr="00600064">
        <w:t xml:space="preserve"> </w:t>
      </w:r>
      <w:r w:rsidRPr="00600064">
        <w:t xml:space="preserve">had also prepared a major resubmission for consideration by the PBAC at </w:t>
      </w:r>
      <w:r w:rsidR="00652C9D" w:rsidRPr="00600064">
        <w:t>its</w:t>
      </w:r>
      <w:r w:rsidRPr="00600064">
        <w:t xml:space="preserve"> March 2017 meeting. The resubmission included a full analysis of the clinical evidence from the pivotal trial based on </w:t>
      </w:r>
      <w:r w:rsidR="00802C97" w:rsidRPr="00600064">
        <w:t xml:space="preserve">a </w:t>
      </w:r>
      <w:r w:rsidRPr="00600064">
        <w:t>second data</w:t>
      </w:r>
      <w:r w:rsidR="00802C97" w:rsidRPr="00600064">
        <w:t>base</w:t>
      </w:r>
      <w:r w:rsidRPr="00600064">
        <w:t xml:space="preserve"> cut</w:t>
      </w:r>
      <w:r w:rsidR="00802C97" w:rsidRPr="00600064">
        <w:t>-</w:t>
      </w:r>
      <w:r w:rsidRPr="00600064">
        <w:t>off (minimum follow up 26 months)</w:t>
      </w:r>
      <w:r w:rsidR="00802C97" w:rsidRPr="00600064">
        <w:t>,</w:t>
      </w:r>
      <w:r w:rsidRPr="00600064">
        <w:t xml:space="preserve"> as well as evidence and argument</w:t>
      </w:r>
      <w:r w:rsidR="00802C97" w:rsidRPr="00600064">
        <w:t>s</w:t>
      </w:r>
      <w:r w:rsidRPr="00600064">
        <w:t xml:space="preserve"> </w:t>
      </w:r>
      <w:r w:rsidR="00802C97" w:rsidRPr="00600064">
        <w:t xml:space="preserve">to justify a </w:t>
      </w:r>
      <w:r w:rsidRPr="00600064">
        <w:t>revised economic</w:t>
      </w:r>
      <w:r w:rsidR="00652C9D" w:rsidRPr="00600064">
        <w:t xml:space="preserve"> model and financial estimates.</w:t>
      </w:r>
    </w:p>
    <w:p w:rsidR="00A65838" w:rsidRPr="00600064" w:rsidRDefault="00A65838" w:rsidP="00A65838">
      <w:pPr>
        <w:widowControl/>
        <w:ind w:left="720" w:hanging="720"/>
      </w:pPr>
    </w:p>
    <w:p w:rsidR="00A65838" w:rsidRPr="00600064" w:rsidRDefault="00A65838" w:rsidP="00A65838">
      <w:pPr>
        <w:widowControl/>
        <w:ind w:left="720" w:hanging="720"/>
      </w:pPr>
      <w:r w:rsidRPr="00600064">
        <w:t>3.6</w:t>
      </w:r>
      <w:r w:rsidRPr="00600064">
        <w:tab/>
        <w:t xml:space="preserve">On review of the ratified minutes of the PBAC November 2016 meeting and following discussion with the Secretariat, the sponsor </w:t>
      </w:r>
      <w:r w:rsidR="004B0547" w:rsidRPr="00600064">
        <w:t xml:space="preserve">then </w:t>
      </w:r>
      <w:r w:rsidRPr="00600064">
        <w:t xml:space="preserve">submitted an addendum to </w:t>
      </w:r>
      <w:r w:rsidR="004B0547" w:rsidRPr="00600064">
        <w:t>its</w:t>
      </w:r>
      <w:r w:rsidRPr="00600064">
        <w:t xml:space="preserve"> major resubmission</w:t>
      </w:r>
      <w:r w:rsidR="004B0547" w:rsidRPr="00600064">
        <w:t xml:space="preserve"> in December 2016</w:t>
      </w:r>
      <w:r w:rsidRPr="00600064">
        <w:t>.</w:t>
      </w:r>
      <w:r w:rsidR="00F36102" w:rsidRPr="00600064">
        <w:t xml:space="preserve"> </w:t>
      </w:r>
      <w:r w:rsidRPr="00600064">
        <w:t xml:space="preserve">It was intended that this addendum be linked to the resubmission and be considered in parallel at the March 2017 PBAC meeting. This addendum primarily addressed a </w:t>
      </w:r>
      <w:r w:rsidR="00B85FA8" w:rsidRPr="00600064">
        <w:t xml:space="preserve">requested </w:t>
      </w:r>
      <w:r w:rsidRPr="00600064">
        <w:t>re-specified base case economic model</w:t>
      </w:r>
      <w:r w:rsidR="00BA5826" w:rsidRPr="00600064">
        <w:t xml:space="preserve">, </w:t>
      </w:r>
      <w:r w:rsidR="00B85FA8" w:rsidRPr="00600064">
        <w:t xml:space="preserve">as confirmed by the PBAC minutes of November 2016, </w:t>
      </w:r>
      <w:r w:rsidR="00BA5826" w:rsidRPr="00600064">
        <w:t>including prices for nivolumab that were higher than those proposed in the resubmission</w:t>
      </w:r>
      <w:r w:rsidRPr="00600064">
        <w:t xml:space="preserve">. </w:t>
      </w:r>
      <w:r w:rsidR="00771880" w:rsidRPr="00600064">
        <w:t>T</w:t>
      </w:r>
      <w:r w:rsidR="00BA5826" w:rsidRPr="00600064">
        <w:t xml:space="preserve">he sponsor </w:t>
      </w:r>
      <w:r w:rsidR="004B0547" w:rsidRPr="00600064">
        <w:t>subsequently submitted</w:t>
      </w:r>
      <w:r w:rsidR="00BA5826" w:rsidRPr="00600064">
        <w:t xml:space="preserve"> </w:t>
      </w:r>
      <w:r w:rsidR="00771880" w:rsidRPr="00600064">
        <w:t>updated financial estimates</w:t>
      </w:r>
      <w:r w:rsidRPr="00600064">
        <w:t xml:space="preserve"> in January 2017.</w:t>
      </w:r>
      <w:r w:rsidR="007C6B62" w:rsidRPr="00600064">
        <w:t xml:space="preserve"> The PBAC considered all </w:t>
      </w:r>
      <w:r w:rsidR="00A70525" w:rsidRPr="00600064">
        <w:t xml:space="preserve">three sources of </w:t>
      </w:r>
      <w:r w:rsidR="007C6B62" w:rsidRPr="00600064">
        <w:t xml:space="preserve">information at </w:t>
      </w:r>
      <w:r w:rsidR="00A70525" w:rsidRPr="00600064">
        <w:t>its</w:t>
      </w:r>
      <w:r w:rsidR="007C6B62" w:rsidRPr="00600064">
        <w:t xml:space="preserve"> March 2017 meeting.</w:t>
      </w:r>
    </w:p>
    <w:p w:rsidR="00A65838" w:rsidRPr="00600064" w:rsidRDefault="00A65838" w:rsidP="00A65838">
      <w:pPr>
        <w:widowControl/>
        <w:ind w:left="720" w:hanging="720"/>
      </w:pPr>
    </w:p>
    <w:p w:rsidR="00A65838" w:rsidRPr="00600064" w:rsidRDefault="00A65838" w:rsidP="00652C9D">
      <w:pPr>
        <w:widowControl/>
        <w:ind w:left="720" w:hanging="720"/>
        <w:rPr>
          <w:szCs w:val="22"/>
        </w:rPr>
      </w:pPr>
      <w:r w:rsidRPr="00600064">
        <w:t>3.7</w:t>
      </w:r>
      <w:r w:rsidRPr="00600064">
        <w:tab/>
        <w:t xml:space="preserve">The key features of the submissions </w:t>
      </w:r>
      <w:r w:rsidR="00BA5826" w:rsidRPr="00600064">
        <w:t xml:space="preserve">for nivolumab </w:t>
      </w:r>
      <w:r w:rsidR="00984796" w:rsidRPr="00600064">
        <w:t xml:space="preserve">in RCC considered at the </w:t>
      </w:r>
      <w:r w:rsidR="00173FE5" w:rsidRPr="00600064">
        <w:t xml:space="preserve">July </w:t>
      </w:r>
      <w:r w:rsidRPr="00600064">
        <w:t>2016 (</w:t>
      </w:r>
      <w:r w:rsidR="00984796" w:rsidRPr="00600064">
        <w:t>original</w:t>
      </w:r>
      <w:r w:rsidR="00802C97" w:rsidRPr="00600064">
        <w:t xml:space="preserve"> </w:t>
      </w:r>
      <w:r w:rsidRPr="00600064">
        <w:t>submission)</w:t>
      </w:r>
      <w:r w:rsidR="00984796" w:rsidRPr="00600064">
        <w:t xml:space="preserve"> and</w:t>
      </w:r>
      <w:r w:rsidRPr="00600064">
        <w:t xml:space="preserve"> November 2016 (minor resubmission)</w:t>
      </w:r>
      <w:r w:rsidR="00BA5826" w:rsidRPr="00600064">
        <w:t xml:space="preserve"> </w:t>
      </w:r>
      <w:r w:rsidR="00984796" w:rsidRPr="00600064">
        <w:t xml:space="preserve">PBAC meeting and </w:t>
      </w:r>
      <w:r w:rsidR="00BA5826" w:rsidRPr="00600064">
        <w:t xml:space="preserve">the current </w:t>
      </w:r>
      <w:r w:rsidRPr="00600064">
        <w:t>major resubmission</w:t>
      </w:r>
      <w:r w:rsidR="00BA5826" w:rsidRPr="00600064">
        <w:t xml:space="preserve"> </w:t>
      </w:r>
      <w:r w:rsidRPr="00600064">
        <w:t xml:space="preserve">and </w:t>
      </w:r>
      <w:r w:rsidR="00BA5826" w:rsidRPr="00600064">
        <w:t>resubmission-</w:t>
      </w:r>
      <w:r w:rsidRPr="00600064">
        <w:t xml:space="preserve">addendum are presented in </w:t>
      </w:r>
      <w:r w:rsidR="00802C97" w:rsidRPr="00600064">
        <w:t>T</w:t>
      </w:r>
      <w:r w:rsidRPr="00600064">
        <w:t>able 1 below.</w:t>
      </w:r>
    </w:p>
    <w:p w:rsidR="00A65838" w:rsidRPr="00600064" w:rsidRDefault="00A65838" w:rsidP="00A65838"/>
    <w:p w:rsidR="00A65838" w:rsidRPr="00600064" w:rsidRDefault="00A65838" w:rsidP="005F42CF">
      <w:pPr>
        <w:rPr>
          <w:rStyle w:val="CommentReference"/>
        </w:rPr>
      </w:pPr>
      <w:r w:rsidRPr="00600064">
        <w:rPr>
          <w:rStyle w:val="CommentReference"/>
        </w:rPr>
        <w:t>Table 1: Summary of the previous submission</w:t>
      </w:r>
      <w:r w:rsidR="00984796" w:rsidRPr="00600064">
        <w:rPr>
          <w:rStyle w:val="CommentReference"/>
        </w:rPr>
        <w:t>s</w:t>
      </w:r>
      <w:r w:rsidRPr="00600064">
        <w:rPr>
          <w:rStyle w:val="CommentReference"/>
        </w:rPr>
        <w:t xml:space="preserve"> and current re-submission</w:t>
      </w: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3"/>
        <w:gridCol w:w="2268"/>
        <w:gridCol w:w="2229"/>
        <w:gridCol w:w="1755"/>
        <w:gridCol w:w="1755"/>
      </w:tblGrid>
      <w:tr w:rsidR="00A65838" w:rsidRPr="00600064" w:rsidTr="005F42CF">
        <w:trPr>
          <w:trHeight w:val="220"/>
          <w:tblHeader/>
        </w:trPr>
        <w:tc>
          <w:tcPr>
            <w:tcW w:w="993" w:type="dxa"/>
          </w:tcPr>
          <w:p w:rsidR="00A65838" w:rsidRPr="00600064" w:rsidRDefault="00A65838" w:rsidP="00A65838">
            <w:pPr>
              <w:jc w:val="center"/>
              <w:rPr>
                <w:rFonts w:ascii="Arial Narrow" w:hAnsi="Arial Narrow"/>
                <w:sz w:val="19"/>
                <w:szCs w:val="19"/>
              </w:rPr>
            </w:pPr>
          </w:p>
        </w:tc>
        <w:tc>
          <w:tcPr>
            <w:tcW w:w="2268" w:type="dxa"/>
          </w:tcPr>
          <w:p w:rsidR="00A65838" w:rsidRPr="00600064" w:rsidRDefault="00B85FA8" w:rsidP="00A11420">
            <w:pPr>
              <w:jc w:val="left"/>
              <w:rPr>
                <w:rFonts w:ascii="Arial Narrow" w:hAnsi="Arial Narrow"/>
                <w:b/>
                <w:sz w:val="19"/>
                <w:szCs w:val="19"/>
              </w:rPr>
            </w:pPr>
            <w:r w:rsidRPr="00600064">
              <w:rPr>
                <w:rFonts w:ascii="Arial Narrow" w:hAnsi="Arial Narrow"/>
                <w:b/>
                <w:sz w:val="19"/>
                <w:szCs w:val="19"/>
              </w:rPr>
              <w:t xml:space="preserve">July </w:t>
            </w:r>
            <w:r w:rsidR="00A65838" w:rsidRPr="00600064">
              <w:rPr>
                <w:rFonts w:ascii="Arial Narrow" w:hAnsi="Arial Narrow"/>
                <w:b/>
                <w:sz w:val="19"/>
                <w:szCs w:val="19"/>
              </w:rPr>
              <w:t>2016 major submission</w:t>
            </w:r>
          </w:p>
        </w:tc>
        <w:tc>
          <w:tcPr>
            <w:tcW w:w="2229" w:type="dxa"/>
          </w:tcPr>
          <w:p w:rsidR="00A65838" w:rsidRPr="00600064" w:rsidRDefault="00B85FA8" w:rsidP="00A11420">
            <w:pPr>
              <w:jc w:val="left"/>
              <w:rPr>
                <w:rFonts w:ascii="Arial Narrow" w:hAnsi="Arial Narrow"/>
                <w:b/>
                <w:sz w:val="19"/>
                <w:szCs w:val="19"/>
              </w:rPr>
            </w:pPr>
            <w:r w:rsidRPr="00600064">
              <w:rPr>
                <w:rFonts w:ascii="Arial Narrow" w:hAnsi="Arial Narrow"/>
                <w:b/>
                <w:sz w:val="19"/>
                <w:szCs w:val="19"/>
              </w:rPr>
              <w:t xml:space="preserve">November </w:t>
            </w:r>
            <w:r w:rsidR="00A65838" w:rsidRPr="00600064">
              <w:rPr>
                <w:rFonts w:ascii="Arial Narrow" w:hAnsi="Arial Narrow"/>
                <w:b/>
                <w:sz w:val="19"/>
                <w:szCs w:val="19"/>
              </w:rPr>
              <w:t xml:space="preserve">2016 minor </w:t>
            </w:r>
            <w:r w:rsidR="00BA48AD" w:rsidRPr="00600064">
              <w:rPr>
                <w:rFonts w:ascii="Arial Narrow" w:hAnsi="Arial Narrow"/>
                <w:b/>
                <w:sz w:val="19"/>
                <w:szCs w:val="19"/>
              </w:rPr>
              <w:t>re</w:t>
            </w:r>
            <w:r w:rsidR="00A65838" w:rsidRPr="00600064">
              <w:rPr>
                <w:rFonts w:ascii="Arial Narrow" w:hAnsi="Arial Narrow"/>
                <w:b/>
                <w:sz w:val="19"/>
                <w:szCs w:val="19"/>
              </w:rPr>
              <w:t>submission</w:t>
            </w:r>
          </w:p>
        </w:tc>
        <w:tc>
          <w:tcPr>
            <w:tcW w:w="1755" w:type="dxa"/>
          </w:tcPr>
          <w:p w:rsidR="00A65838" w:rsidRPr="00600064" w:rsidRDefault="00B85FA8" w:rsidP="00B85FA8">
            <w:pPr>
              <w:jc w:val="left"/>
              <w:rPr>
                <w:rFonts w:ascii="Arial Narrow" w:hAnsi="Arial Narrow"/>
                <w:b/>
                <w:sz w:val="19"/>
                <w:szCs w:val="19"/>
              </w:rPr>
            </w:pPr>
            <w:r w:rsidRPr="00600064">
              <w:rPr>
                <w:rFonts w:ascii="Arial Narrow" w:hAnsi="Arial Narrow"/>
                <w:b/>
                <w:sz w:val="19"/>
                <w:szCs w:val="19"/>
              </w:rPr>
              <w:t xml:space="preserve">March </w:t>
            </w:r>
            <w:r w:rsidR="00A65838" w:rsidRPr="00600064">
              <w:rPr>
                <w:rFonts w:ascii="Arial Narrow" w:hAnsi="Arial Narrow"/>
                <w:b/>
                <w:sz w:val="19"/>
                <w:szCs w:val="19"/>
              </w:rPr>
              <w:t>201</w:t>
            </w:r>
            <w:r w:rsidRPr="00600064">
              <w:rPr>
                <w:rFonts w:ascii="Arial Narrow" w:hAnsi="Arial Narrow"/>
                <w:b/>
                <w:sz w:val="19"/>
                <w:szCs w:val="19"/>
              </w:rPr>
              <w:t>7</w:t>
            </w:r>
            <w:r w:rsidR="00A65838" w:rsidRPr="00600064">
              <w:rPr>
                <w:rFonts w:ascii="Arial Narrow" w:hAnsi="Arial Narrow"/>
                <w:b/>
                <w:sz w:val="19"/>
                <w:szCs w:val="19"/>
              </w:rPr>
              <w:t xml:space="preserve"> major resubmission</w:t>
            </w:r>
          </w:p>
        </w:tc>
        <w:tc>
          <w:tcPr>
            <w:tcW w:w="1755" w:type="dxa"/>
          </w:tcPr>
          <w:p w:rsidR="00A65838" w:rsidRPr="00600064" w:rsidRDefault="00B85FA8" w:rsidP="00B85FA8">
            <w:pPr>
              <w:jc w:val="left"/>
              <w:rPr>
                <w:rFonts w:ascii="Arial Narrow" w:hAnsi="Arial Narrow"/>
                <w:b/>
                <w:sz w:val="19"/>
                <w:szCs w:val="19"/>
              </w:rPr>
            </w:pPr>
            <w:r w:rsidRPr="00600064">
              <w:rPr>
                <w:rFonts w:ascii="Arial Narrow" w:hAnsi="Arial Narrow"/>
                <w:b/>
                <w:sz w:val="19"/>
                <w:szCs w:val="19"/>
              </w:rPr>
              <w:t xml:space="preserve">March </w:t>
            </w:r>
            <w:r w:rsidR="00802C97" w:rsidRPr="00600064">
              <w:rPr>
                <w:rFonts w:ascii="Arial Narrow" w:hAnsi="Arial Narrow"/>
                <w:b/>
                <w:sz w:val="19"/>
                <w:szCs w:val="19"/>
              </w:rPr>
              <w:t>201</w:t>
            </w:r>
            <w:r w:rsidRPr="00600064">
              <w:rPr>
                <w:rFonts w:ascii="Arial Narrow" w:hAnsi="Arial Narrow"/>
                <w:b/>
                <w:sz w:val="19"/>
                <w:szCs w:val="19"/>
              </w:rPr>
              <w:t>7</w:t>
            </w:r>
            <w:r w:rsidR="00802C97" w:rsidRPr="00600064">
              <w:rPr>
                <w:rFonts w:ascii="Arial Narrow" w:hAnsi="Arial Narrow"/>
                <w:b/>
                <w:sz w:val="19"/>
                <w:szCs w:val="19"/>
              </w:rPr>
              <w:t xml:space="preserve"> </w:t>
            </w:r>
            <w:r w:rsidR="00BA5826" w:rsidRPr="00600064">
              <w:rPr>
                <w:rFonts w:ascii="Arial Narrow" w:hAnsi="Arial Narrow"/>
                <w:b/>
                <w:sz w:val="19"/>
                <w:szCs w:val="19"/>
              </w:rPr>
              <w:t>resubmission-</w:t>
            </w:r>
            <w:r w:rsidR="00802C97" w:rsidRPr="00600064">
              <w:rPr>
                <w:rFonts w:ascii="Arial Narrow" w:hAnsi="Arial Narrow"/>
                <w:b/>
                <w:sz w:val="19"/>
                <w:szCs w:val="19"/>
              </w:rPr>
              <w:t>a</w:t>
            </w:r>
            <w:r w:rsidR="00A65838" w:rsidRPr="00600064">
              <w:rPr>
                <w:rFonts w:ascii="Arial Narrow" w:hAnsi="Arial Narrow"/>
                <w:b/>
                <w:sz w:val="19"/>
                <w:szCs w:val="19"/>
              </w:rPr>
              <w:t>ddendum</w:t>
            </w:r>
          </w:p>
        </w:tc>
      </w:tr>
      <w:tr w:rsidR="00A65838" w:rsidRPr="00600064" w:rsidTr="005F42CF">
        <w:trPr>
          <w:trHeight w:val="794"/>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Requested PBS listing</w:t>
            </w:r>
          </w:p>
        </w:tc>
        <w:tc>
          <w:tcPr>
            <w:tcW w:w="2268" w:type="dxa"/>
          </w:tcPr>
          <w:p w:rsidR="00A65838" w:rsidRPr="00600064" w:rsidRDefault="00A65838" w:rsidP="00A65838">
            <w:pPr>
              <w:ind w:left="-28"/>
              <w:jc w:val="left"/>
              <w:rPr>
                <w:rFonts w:ascii="Arial Narrow" w:hAnsi="Arial Narrow"/>
                <w:sz w:val="19"/>
                <w:szCs w:val="19"/>
              </w:rPr>
            </w:pPr>
            <w:r w:rsidRPr="00600064">
              <w:rPr>
                <w:rFonts w:ascii="Arial Narrow" w:hAnsi="Arial Narrow"/>
                <w:sz w:val="19"/>
                <w:szCs w:val="19"/>
              </w:rPr>
              <w:t>Nivolumab for advanced or metastatic clear cell variant RCC in patients with RECIST</w:t>
            </w:r>
            <w:r w:rsidR="00514F6C" w:rsidRPr="00600064">
              <w:rPr>
                <w:rFonts w:ascii="Arial Narrow" w:hAnsi="Arial Narrow"/>
                <w:sz w:val="19"/>
                <w:szCs w:val="19"/>
              </w:rPr>
              <w:t>-</w:t>
            </w:r>
            <w:r w:rsidRPr="00600064">
              <w:rPr>
                <w:rFonts w:ascii="Arial Narrow" w:hAnsi="Arial Narrow"/>
                <w:sz w:val="19"/>
                <w:szCs w:val="19"/>
              </w:rPr>
              <w:t>defined progressed disease.</w:t>
            </w:r>
          </w:p>
          <w:p w:rsidR="00A65838" w:rsidRPr="00600064" w:rsidRDefault="00A65838" w:rsidP="00A65838">
            <w:pPr>
              <w:ind w:left="-108"/>
              <w:jc w:val="left"/>
              <w:rPr>
                <w:rFonts w:ascii="Arial Narrow" w:hAnsi="Arial Narrow"/>
                <w:sz w:val="19"/>
                <w:szCs w:val="19"/>
              </w:rPr>
            </w:pPr>
            <w:r w:rsidRPr="00600064">
              <w:rPr>
                <w:rFonts w:ascii="Arial Narrow" w:hAnsi="Arial Narrow"/>
                <w:b/>
                <w:sz w:val="19"/>
                <w:szCs w:val="19"/>
              </w:rPr>
              <w:t xml:space="preserve"> </w:t>
            </w:r>
          </w:p>
          <w:p w:rsidR="00A65838" w:rsidRPr="00600064" w:rsidRDefault="00A65838" w:rsidP="00802C97">
            <w:pPr>
              <w:jc w:val="left"/>
              <w:rPr>
                <w:rFonts w:ascii="Arial Narrow" w:hAnsi="Arial Narrow"/>
                <w:sz w:val="19"/>
                <w:szCs w:val="19"/>
              </w:rPr>
            </w:pPr>
            <w:r w:rsidRPr="00600064">
              <w:rPr>
                <w:rFonts w:ascii="Arial Narrow" w:hAnsi="Arial Narrow"/>
                <w:b/>
                <w:sz w:val="19"/>
                <w:szCs w:val="19"/>
              </w:rPr>
              <w:t xml:space="preserve">PBAC Comment: </w:t>
            </w:r>
            <w:r w:rsidRPr="00600064">
              <w:rPr>
                <w:rFonts w:ascii="Arial Narrow" w:hAnsi="Arial Narrow"/>
                <w:sz w:val="19"/>
                <w:szCs w:val="19"/>
              </w:rPr>
              <w:t xml:space="preserve">Should be restricted to Stage IV disease and patients with WHO performance status 2 or less. Standard PFS to be used in a future </w:t>
            </w:r>
            <w:r w:rsidR="00802C97" w:rsidRPr="00600064">
              <w:rPr>
                <w:rFonts w:ascii="Arial Narrow" w:hAnsi="Arial Narrow"/>
                <w:sz w:val="19"/>
                <w:szCs w:val="19"/>
              </w:rPr>
              <w:t xml:space="preserve">restriction </w:t>
            </w:r>
            <w:r w:rsidRPr="00600064">
              <w:rPr>
                <w:rFonts w:ascii="Arial Narrow" w:hAnsi="Arial Narrow"/>
                <w:sz w:val="19"/>
                <w:szCs w:val="19"/>
              </w:rPr>
              <w:t>as eligibility criterion (</w:t>
            </w:r>
            <w:r w:rsidR="00BA48AD" w:rsidRPr="00600064">
              <w:rPr>
                <w:rFonts w:ascii="Arial Narrow" w:hAnsi="Arial Narrow"/>
                <w:sz w:val="19"/>
                <w:szCs w:val="19"/>
              </w:rPr>
              <w:t xml:space="preserve">July 2016 minutes </w:t>
            </w:r>
            <w:r w:rsidRPr="00600064">
              <w:rPr>
                <w:rFonts w:ascii="Arial Narrow" w:hAnsi="Arial Narrow"/>
                <w:sz w:val="19"/>
                <w:szCs w:val="19"/>
              </w:rPr>
              <w:t>7.5).</w:t>
            </w:r>
          </w:p>
        </w:tc>
        <w:tc>
          <w:tcPr>
            <w:tcW w:w="2229" w:type="dxa"/>
          </w:tcPr>
          <w:p w:rsidR="00A65838" w:rsidRPr="00600064" w:rsidRDefault="00BA48AD" w:rsidP="00A65838">
            <w:pPr>
              <w:jc w:val="left"/>
              <w:rPr>
                <w:rFonts w:ascii="Arial Narrow" w:hAnsi="Arial Narrow"/>
                <w:sz w:val="19"/>
                <w:szCs w:val="19"/>
              </w:rPr>
            </w:pPr>
            <w:r w:rsidRPr="00600064">
              <w:rPr>
                <w:rFonts w:ascii="Arial Narrow" w:hAnsi="Arial Narrow"/>
                <w:sz w:val="19"/>
                <w:szCs w:val="19"/>
              </w:rPr>
              <w:t>Res</w:t>
            </w:r>
            <w:r w:rsidR="00A65838" w:rsidRPr="00600064">
              <w:rPr>
                <w:rFonts w:ascii="Arial Narrow" w:hAnsi="Arial Narrow"/>
                <w:sz w:val="19"/>
                <w:szCs w:val="19"/>
              </w:rPr>
              <w:t>ubmission stated (p1) that the sponsor and PBAC are aligned with the proposed restriction recommended by ESC</w:t>
            </w:r>
            <w:r w:rsidR="00A65838" w:rsidRPr="00600064">
              <w:rPr>
                <w:rFonts w:ascii="Arial Narrow" w:hAnsi="Arial Narrow"/>
                <w:color w:val="0000FF"/>
                <w:sz w:val="19"/>
                <w:szCs w:val="19"/>
              </w:rPr>
              <w:t>.</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none</w:t>
            </w:r>
          </w:p>
        </w:tc>
        <w:tc>
          <w:tcPr>
            <w:tcW w:w="1755" w:type="dxa"/>
          </w:tcPr>
          <w:p w:rsidR="00A65838" w:rsidRPr="00600064" w:rsidRDefault="00A65838" w:rsidP="00BA48AD">
            <w:pPr>
              <w:jc w:val="left"/>
              <w:rPr>
                <w:rFonts w:ascii="Arial Narrow" w:hAnsi="Arial Narrow"/>
                <w:sz w:val="19"/>
                <w:szCs w:val="19"/>
              </w:rPr>
            </w:pPr>
            <w:r w:rsidRPr="00600064">
              <w:rPr>
                <w:rFonts w:ascii="Arial Narrow" w:hAnsi="Arial Narrow"/>
                <w:sz w:val="19"/>
                <w:szCs w:val="19"/>
              </w:rPr>
              <w:t xml:space="preserve">Requested restriction did not include a criterion that eligibility for continuation would be based on </w:t>
            </w:r>
            <w:r w:rsidR="00BA48AD" w:rsidRPr="00600064">
              <w:rPr>
                <w:rFonts w:ascii="Arial Narrow" w:hAnsi="Arial Narrow"/>
                <w:sz w:val="19"/>
                <w:szCs w:val="19"/>
              </w:rPr>
              <w:t>RECIST</w:t>
            </w:r>
            <w:r w:rsidR="00030BF9" w:rsidRPr="00600064">
              <w:rPr>
                <w:rFonts w:ascii="Arial Narrow" w:hAnsi="Arial Narrow"/>
                <w:sz w:val="19"/>
                <w:szCs w:val="19"/>
              </w:rPr>
              <w:t>-defined</w:t>
            </w:r>
            <w:r w:rsidR="00BA48AD" w:rsidRPr="00600064">
              <w:rPr>
                <w:rFonts w:ascii="Arial Narrow" w:hAnsi="Arial Narrow"/>
                <w:sz w:val="19"/>
                <w:szCs w:val="19"/>
              </w:rPr>
              <w:t xml:space="preserve"> </w:t>
            </w:r>
            <w:r w:rsidRPr="00600064">
              <w:rPr>
                <w:rFonts w:ascii="Arial Narrow" w:hAnsi="Arial Narrow"/>
                <w:sz w:val="19"/>
                <w:szCs w:val="19"/>
              </w:rPr>
              <w:t>PFS.</w:t>
            </w:r>
          </w:p>
        </w:tc>
        <w:tc>
          <w:tcPr>
            <w:tcW w:w="1755" w:type="dxa"/>
          </w:tcPr>
          <w:p w:rsidR="00A65838" w:rsidRPr="00600064" w:rsidRDefault="00A65838" w:rsidP="00BA48AD">
            <w:pPr>
              <w:jc w:val="left"/>
              <w:rPr>
                <w:rFonts w:ascii="Arial Narrow" w:hAnsi="Arial Narrow"/>
                <w:sz w:val="19"/>
                <w:szCs w:val="19"/>
              </w:rPr>
            </w:pPr>
            <w:r w:rsidRPr="00600064">
              <w:rPr>
                <w:rFonts w:ascii="Arial Narrow" w:hAnsi="Arial Narrow"/>
                <w:sz w:val="19"/>
                <w:szCs w:val="19"/>
              </w:rPr>
              <w:t xml:space="preserve">Addendum re-emphasised that it would be clinically inappropriate to include </w:t>
            </w:r>
            <w:r w:rsidR="00BA48AD" w:rsidRPr="00600064">
              <w:rPr>
                <w:rFonts w:ascii="Arial Narrow" w:hAnsi="Arial Narrow"/>
                <w:sz w:val="19"/>
                <w:szCs w:val="19"/>
              </w:rPr>
              <w:t>RECIST</w:t>
            </w:r>
            <w:r w:rsidR="00030BF9" w:rsidRPr="00600064">
              <w:rPr>
                <w:rFonts w:ascii="Arial Narrow" w:hAnsi="Arial Narrow"/>
                <w:sz w:val="19"/>
                <w:szCs w:val="19"/>
              </w:rPr>
              <w:t>-defined</w:t>
            </w:r>
            <w:r w:rsidR="00BA48AD" w:rsidRPr="00600064">
              <w:rPr>
                <w:rFonts w:ascii="Arial Narrow" w:hAnsi="Arial Narrow"/>
                <w:sz w:val="19"/>
                <w:szCs w:val="19"/>
              </w:rPr>
              <w:t xml:space="preserve"> </w:t>
            </w:r>
            <w:r w:rsidRPr="00600064">
              <w:rPr>
                <w:rFonts w:ascii="Arial Narrow" w:hAnsi="Arial Narrow"/>
                <w:sz w:val="19"/>
                <w:szCs w:val="19"/>
              </w:rPr>
              <w:t xml:space="preserve">PFS in </w:t>
            </w:r>
            <w:r w:rsidR="00A52FFA" w:rsidRPr="00600064">
              <w:rPr>
                <w:rFonts w:ascii="Arial Narrow" w:hAnsi="Arial Narrow"/>
                <w:sz w:val="19"/>
                <w:szCs w:val="19"/>
              </w:rPr>
              <w:t xml:space="preserve">the </w:t>
            </w:r>
            <w:r w:rsidRPr="00600064">
              <w:rPr>
                <w:rFonts w:ascii="Arial Narrow" w:hAnsi="Arial Narrow"/>
                <w:sz w:val="19"/>
                <w:szCs w:val="19"/>
              </w:rPr>
              <w:t xml:space="preserve">proposed </w:t>
            </w:r>
            <w:r w:rsidR="00801D7A" w:rsidRPr="00600064">
              <w:rPr>
                <w:rFonts w:ascii="Arial Narrow" w:hAnsi="Arial Narrow"/>
                <w:sz w:val="19"/>
                <w:szCs w:val="19"/>
              </w:rPr>
              <w:t xml:space="preserve">continuing </w:t>
            </w:r>
            <w:r w:rsidRPr="00600064">
              <w:rPr>
                <w:rFonts w:ascii="Arial Narrow" w:hAnsi="Arial Narrow"/>
                <w:sz w:val="19"/>
                <w:szCs w:val="19"/>
              </w:rPr>
              <w:t>restriction.</w:t>
            </w:r>
          </w:p>
        </w:tc>
      </w:tr>
      <w:tr w:rsidR="00A65838" w:rsidRPr="00600064" w:rsidTr="005F42CF">
        <w:trPr>
          <w:trHeight w:val="106"/>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Requested price</w:t>
            </w:r>
          </w:p>
        </w:tc>
        <w:tc>
          <w:tcPr>
            <w:tcW w:w="2268" w:type="dxa"/>
          </w:tcPr>
          <w:p w:rsidR="00A65838" w:rsidRPr="00600064" w:rsidRDefault="00A65838" w:rsidP="00984796">
            <w:pPr>
              <w:jc w:val="left"/>
              <w:rPr>
                <w:rFonts w:ascii="Arial Narrow" w:hAnsi="Arial Narrow"/>
                <w:sz w:val="19"/>
                <w:szCs w:val="19"/>
              </w:rPr>
            </w:pPr>
            <w:r w:rsidRPr="00600064">
              <w:rPr>
                <w:rFonts w:ascii="Arial Narrow" w:hAnsi="Arial Narrow"/>
                <w:sz w:val="19"/>
                <w:szCs w:val="19"/>
              </w:rPr>
              <w:t>$</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(100</w:t>
            </w:r>
            <w:r w:rsidR="00984796" w:rsidRPr="00600064">
              <w:rPr>
                <w:rFonts w:ascii="Arial Narrow" w:hAnsi="Arial Narrow"/>
                <w:sz w:val="19"/>
                <w:szCs w:val="19"/>
              </w:rPr>
              <w:t> </w:t>
            </w:r>
            <w:r w:rsidRPr="00600064">
              <w:rPr>
                <w:rFonts w:ascii="Arial Narrow" w:hAnsi="Arial Narrow"/>
                <w:sz w:val="19"/>
                <w:szCs w:val="19"/>
              </w:rPr>
              <w:t>mg vial)</w:t>
            </w:r>
          </w:p>
        </w:tc>
        <w:tc>
          <w:tcPr>
            <w:tcW w:w="2229" w:type="dxa"/>
          </w:tcPr>
          <w:p w:rsidR="00A65838" w:rsidRPr="00600064" w:rsidRDefault="00A65838" w:rsidP="00BA48AD">
            <w:pPr>
              <w:jc w:val="left"/>
              <w:rPr>
                <w:rFonts w:ascii="Arial Narrow" w:hAnsi="Arial Narrow"/>
                <w:sz w:val="19"/>
                <w:szCs w:val="19"/>
              </w:rPr>
            </w:pPr>
            <w:r w:rsidRPr="00600064">
              <w:rPr>
                <w:rFonts w:ascii="Arial Narrow" w:hAnsi="Arial Narrow"/>
                <w:sz w:val="19"/>
                <w:szCs w:val="19"/>
              </w:rPr>
              <w:t>$</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(100</w:t>
            </w:r>
            <w:r w:rsidR="00984796" w:rsidRPr="00600064">
              <w:rPr>
                <w:rFonts w:ascii="Arial Narrow" w:hAnsi="Arial Narrow"/>
                <w:sz w:val="19"/>
                <w:szCs w:val="19"/>
              </w:rPr>
              <w:t> </w:t>
            </w:r>
            <w:r w:rsidRPr="00600064">
              <w:rPr>
                <w:rFonts w:ascii="Arial Narrow" w:hAnsi="Arial Narrow"/>
                <w:sz w:val="19"/>
                <w:szCs w:val="19"/>
              </w:rPr>
              <w:t xml:space="preserve">mg vial) with maximum costed nivolumab infusions </w:t>
            </w:r>
            <w:r w:rsidR="00BA48AD" w:rsidRPr="00600064">
              <w:rPr>
                <w:rFonts w:ascii="Arial Narrow" w:hAnsi="Arial Narrow"/>
                <w:sz w:val="19"/>
                <w:szCs w:val="19"/>
              </w:rPr>
              <w:t>capped at</w:t>
            </w:r>
            <w:r w:rsidRPr="00600064">
              <w:rPr>
                <w:rFonts w:ascii="Arial Narrow" w:hAnsi="Arial Narrow"/>
                <w:sz w:val="19"/>
                <w:szCs w:val="19"/>
              </w:rPr>
              <w:t xml:space="preserve"> </w:t>
            </w:r>
            <w:r w:rsidR="003A224F">
              <w:rPr>
                <w:rFonts w:ascii="Arial Narrow" w:hAnsi="Arial Narrow"/>
                <w:noProof/>
                <w:color w:val="000000"/>
                <w:sz w:val="19"/>
                <w:szCs w:val="19"/>
                <w:highlight w:val="black"/>
              </w:rPr>
              <w:t>''''''''''''</w:t>
            </w:r>
            <w:r w:rsidRPr="00600064">
              <w:rPr>
                <w:rFonts w:ascii="Arial Narrow" w:hAnsi="Arial Narrow"/>
                <w:sz w:val="19"/>
                <w:szCs w:val="19"/>
              </w:rPr>
              <w:t>.</w:t>
            </w:r>
          </w:p>
        </w:tc>
        <w:tc>
          <w:tcPr>
            <w:tcW w:w="1755" w:type="dxa"/>
          </w:tcPr>
          <w:p w:rsidR="00A65838" w:rsidRPr="00600064" w:rsidRDefault="00A65838" w:rsidP="00984796">
            <w:pPr>
              <w:jc w:val="left"/>
              <w:rPr>
                <w:rFonts w:ascii="Arial Narrow" w:hAnsi="Arial Narrow"/>
                <w:sz w:val="19"/>
                <w:szCs w:val="19"/>
              </w:rPr>
            </w:pPr>
            <w:r w:rsidRPr="00600064">
              <w:rPr>
                <w:rFonts w:ascii="Arial Narrow" w:hAnsi="Arial Narrow"/>
                <w:sz w:val="19"/>
                <w:szCs w:val="19"/>
              </w:rPr>
              <w:t>$</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(100</w:t>
            </w:r>
            <w:r w:rsidR="00984796" w:rsidRPr="00600064">
              <w:rPr>
                <w:rFonts w:ascii="Arial Narrow" w:hAnsi="Arial Narrow"/>
                <w:sz w:val="19"/>
                <w:szCs w:val="19"/>
              </w:rPr>
              <w:t> </w:t>
            </w:r>
            <w:r w:rsidRPr="00600064">
              <w:rPr>
                <w:rFonts w:ascii="Arial Narrow" w:hAnsi="Arial Narrow"/>
                <w:sz w:val="19"/>
                <w:szCs w:val="19"/>
              </w:rPr>
              <w:t xml:space="preserve">mg vial) with maximum costed nivolumab infusions </w:t>
            </w:r>
            <w:r w:rsidR="00BA48AD" w:rsidRPr="00600064">
              <w:rPr>
                <w:rFonts w:ascii="Arial Narrow" w:hAnsi="Arial Narrow"/>
                <w:sz w:val="19"/>
                <w:szCs w:val="19"/>
              </w:rPr>
              <w:t>capped at</w:t>
            </w:r>
            <w:r w:rsidRPr="00600064">
              <w:rPr>
                <w:rFonts w:ascii="Arial Narrow" w:hAnsi="Arial Narrow"/>
                <w:sz w:val="19"/>
                <w:szCs w:val="19"/>
              </w:rPr>
              <w:t xml:space="preserve"> </w:t>
            </w:r>
            <w:r w:rsidR="003A224F">
              <w:rPr>
                <w:rFonts w:ascii="Arial Narrow" w:hAnsi="Arial Narrow"/>
                <w:noProof/>
                <w:color w:val="000000"/>
                <w:sz w:val="19"/>
                <w:szCs w:val="19"/>
                <w:highlight w:val="black"/>
              </w:rPr>
              <w:t>''''''''''''</w:t>
            </w:r>
            <w:r w:rsidRPr="00600064">
              <w:rPr>
                <w:rFonts w:ascii="Arial Narrow" w:hAnsi="Arial Narrow"/>
                <w:sz w:val="19"/>
                <w:szCs w:val="19"/>
              </w:rPr>
              <w:t>.</w:t>
            </w:r>
          </w:p>
        </w:tc>
        <w:tc>
          <w:tcPr>
            <w:tcW w:w="1755"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(100</w:t>
            </w:r>
            <w:r w:rsidR="00984796" w:rsidRPr="00600064">
              <w:rPr>
                <w:rFonts w:ascii="Arial Narrow" w:hAnsi="Arial Narrow"/>
                <w:sz w:val="19"/>
                <w:szCs w:val="19"/>
              </w:rPr>
              <w:t> </w:t>
            </w:r>
            <w:r w:rsidRPr="00600064">
              <w:rPr>
                <w:rFonts w:ascii="Arial Narrow" w:hAnsi="Arial Narrow"/>
                <w:sz w:val="19"/>
                <w:szCs w:val="19"/>
              </w:rPr>
              <w:t xml:space="preserve">mg vial) based on sponsor proposed </w:t>
            </w:r>
            <w:r w:rsidR="00BA5826" w:rsidRPr="00600064">
              <w:rPr>
                <w:rFonts w:ascii="Arial Narrow" w:hAnsi="Arial Narrow"/>
                <w:sz w:val="19"/>
                <w:szCs w:val="19"/>
              </w:rPr>
              <w:t>8-</w:t>
            </w:r>
            <w:r w:rsidR="00984796" w:rsidRPr="00600064">
              <w:rPr>
                <w:rFonts w:ascii="Arial Narrow" w:hAnsi="Arial Narrow"/>
                <w:sz w:val="19"/>
                <w:szCs w:val="19"/>
              </w:rPr>
              <w:t>year time horizon.</w:t>
            </w:r>
          </w:p>
          <w:p w:rsidR="00A65838" w:rsidRPr="00600064" w:rsidRDefault="00A65838" w:rsidP="00A65838">
            <w:pPr>
              <w:jc w:val="left"/>
              <w:rPr>
                <w:rFonts w:ascii="Arial Narrow" w:hAnsi="Arial Narrow"/>
                <w:sz w:val="19"/>
                <w:szCs w:val="19"/>
              </w:rPr>
            </w:pPr>
            <w:r w:rsidRPr="00600064">
              <w:rPr>
                <w:rFonts w:ascii="Arial Narrow" w:hAnsi="Arial Narrow"/>
                <w:sz w:val="19"/>
                <w:szCs w:val="19"/>
              </w:rPr>
              <w:t>$</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(100</w:t>
            </w:r>
            <w:r w:rsidR="00984796" w:rsidRPr="00600064">
              <w:rPr>
                <w:rFonts w:ascii="Arial Narrow" w:hAnsi="Arial Narrow"/>
                <w:sz w:val="19"/>
                <w:szCs w:val="19"/>
              </w:rPr>
              <w:t> </w:t>
            </w:r>
            <w:r w:rsidRPr="00600064">
              <w:rPr>
                <w:rFonts w:ascii="Arial Narrow" w:hAnsi="Arial Narrow"/>
                <w:sz w:val="19"/>
                <w:szCs w:val="19"/>
              </w:rPr>
              <w:t xml:space="preserve">mg vial) based on PBAC proposed </w:t>
            </w:r>
            <w:r w:rsidR="00BA5826" w:rsidRPr="00600064">
              <w:rPr>
                <w:rFonts w:ascii="Arial Narrow" w:hAnsi="Arial Narrow"/>
                <w:sz w:val="19"/>
                <w:szCs w:val="19"/>
              </w:rPr>
              <w:t>5-</w:t>
            </w:r>
            <w:r w:rsidRPr="00600064">
              <w:rPr>
                <w:rFonts w:ascii="Arial Narrow" w:hAnsi="Arial Narrow"/>
                <w:sz w:val="19"/>
                <w:szCs w:val="19"/>
              </w:rPr>
              <w:t>year time horizon.</w:t>
            </w:r>
          </w:p>
          <w:p w:rsidR="00A65838" w:rsidRPr="00600064" w:rsidRDefault="00A65838" w:rsidP="00BA48AD">
            <w:pPr>
              <w:jc w:val="left"/>
              <w:rPr>
                <w:rFonts w:ascii="Arial Narrow" w:hAnsi="Arial Narrow"/>
                <w:sz w:val="19"/>
                <w:szCs w:val="19"/>
              </w:rPr>
            </w:pPr>
            <w:r w:rsidRPr="00600064">
              <w:rPr>
                <w:rFonts w:ascii="Arial Narrow" w:hAnsi="Arial Narrow"/>
                <w:sz w:val="19"/>
                <w:szCs w:val="19"/>
              </w:rPr>
              <w:t xml:space="preserve">No </w:t>
            </w:r>
            <w:r w:rsidR="00BA48AD" w:rsidRPr="00600064">
              <w:rPr>
                <w:rFonts w:ascii="Arial Narrow" w:hAnsi="Arial Narrow"/>
                <w:sz w:val="19"/>
                <w:szCs w:val="19"/>
              </w:rPr>
              <w:t xml:space="preserve">cap proposed on the number of </w:t>
            </w:r>
            <w:r w:rsidRPr="00600064">
              <w:rPr>
                <w:rFonts w:ascii="Arial Narrow" w:hAnsi="Arial Narrow"/>
                <w:sz w:val="19"/>
                <w:szCs w:val="19"/>
              </w:rPr>
              <w:t>nivolumab infusion</w:t>
            </w:r>
            <w:r w:rsidR="00BA48AD" w:rsidRPr="00600064">
              <w:rPr>
                <w:rFonts w:ascii="Arial Narrow" w:hAnsi="Arial Narrow"/>
                <w:sz w:val="19"/>
                <w:szCs w:val="19"/>
              </w:rPr>
              <w:t>s</w:t>
            </w:r>
            <w:r w:rsidRPr="00600064">
              <w:rPr>
                <w:rFonts w:ascii="Arial Narrow" w:hAnsi="Arial Narrow"/>
                <w:sz w:val="19"/>
                <w:szCs w:val="19"/>
              </w:rPr>
              <w:t>.</w:t>
            </w:r>
          </w:p>
        </w:tc>
      </w:tr>
      <w:tr w:rsidR="00A65838" w:rsidRPr="00600064" w:rsidTr="005F42CF">
        <w:trPr>
          <w:trHeight w:val="642"/>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lastRenderedPageBreak/>
              <w:t>Main comparator</w:t>
            </w:r>
          </w:p>
        </w:tc>
        <w:tc>
          <w:tcPr>
            <w:tcW w:w="2268" w:type="dxa"/>
          </w:tcPr>
          <w:p w:rsidR="00A65838" w:rsidRPr="00600064" w:rsidRDefault="00A65838" w:rsidP="00A65838">
            <w:pPr>
              <w:jc w:val="left"/>
              <w:rPr>
                <w:rFonts w:ascii="Arial Narrow" w:hAnsi="Arial Narrow"/>
                <w:sz w:val="19"/>
                <w:szCs w:val="19"/>
              </w:rPr>
            </w:pP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10</w:t>
            </w:r>
            <w:r w:rsidR="00984796" w:rsidRPr="00600064">
              <w:rPr>
                <w:rFonts w:ascii="Arial Narrow" w:hAnsi="Arial Narrow"/>
                <w:sz w:val="19"/>
                <w:szCs w:val="19"/>
              </w:rPr>
              <w:t> </w:t>
            </w:r>
            <w:r w:rsidRPr="00600064">
              <w:rPr>
                <w:rFonts w:ascii="Arial Narrow" w:hAnsi="Arial Narrow"/>
                <w:sz w:val="19"/>
                <w:szCs w:val="19"/>
              </w:rPr>
              <w:t xml:space="preserve">mg </w:t>
            </w:r>
            <w:proofErr w:type="spellStart"/>
            <w:r w:rsidRPr="00600064">
              <w:rPr>
                <w:rFonts w:ascii="Arial Narrow" w:hAnsi="Arial Narrow"/>
                <w:sz w:val="19"/>
                <w:szCs w:val="19"/>
              </w:rPr>
              <w:t>p.o.</w:t>
            </w:r>
            <w:proofErr w:type="spellEnd"/>
            <w:r w:rsidRPr="00600064">
              <w:rPr>
                <w:rFonts w:ascii="Arial Narrow" w:hAnsi="Arial Narrow"/>
                <w:sz w:val="19"/>
                <w:szCs w:val="19"/>
              </w:rPr>
              <w:t xml:space="preserve"> daily.</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Appropriate comparator (7.3)</w:t>
            </w:r>
          </w:p>
        </w:tc>
        <w:tc>
          <w:tcPr>
            <w:tcW w:w="2229" w:type="dxa"/>
          </w:tcPr>
          <w:p w:rsidR="00A65838" w:rsidRPr="00600064" w:rsidRDefault="00A65838" w:rsidP="00984796">
            <w:pPr>
              <w:jc w:val="left"/>
              <w:rPr>
                <w:rFonts w:ascii="Arial Narrow" w:hAnsi="Arial Narrow"/>
                <w:sz w:val="19"/>
                <w:szCs w:val="19"/>
              </w:rPr>
            </w:pP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10</w:t>
            </w:r>
            <w:r w:rsidR="00984796" w:rsidRPr="00600064">
              <w:rPr>
                <w:rFonts w:ascii="Arial Narrow" w:hAnsi="Arial Narrow"/>
                <w:sz w:val="19"/>
                <w:szCs w:val="19"/>
              </w:rPr>
              <w:t> </w:t>
            </w:r>
            <w:r w:rsidRPr="00600064">
              <w:rPr>
                <w:rFonts w:ascii="Arial Narrow" w:hAnsi="Arial Narrow"/>
                <w:sz w:val="19"/>
                <w:szCs w:val="19"/>
              </w:rPr>
              <w:t xml:space="preserve">mg </w:t>
            </w:r>
            <w:proofErr w:type="spellStart"/>
            <w:r w:rsidRPr="00600064">
              <w:rPr>
                <w:rFonts w:ascii="Arial Narrow" w:hAnsi="Arial Narrow"/>
                <w:sz w:val="19"/>
                <w:szCs w:val="19"/>
              </w:rPr>
              <w:t>p.o.</w:t>
            </w:r>
            <w:proofErr w:type="spellEnd"/>
            <w:r w:rsidRPr="00600064">
              <w:rPr>
                <w:rFonts w:ascii="Arial Narrow" w:hAnsi="Arial Narrow"/>
                <w:sz w:val="19"/>
                <w:szCs w:val="19"/>
              </w:rPr>
              <w:t xml:space="preserve"> daily.</w:t>
            </w:r>
          </w:p>
        </w:tc>
        <w:tc>
          <w:tcPr>
            <w:tcW w:w="1755" w:type="dxa"/>
          </w:tcPr>
          <w:p w:rsidR="00A65838" w:rsidRPr="00600064" w:rsidRDefault="00A65838" w:rsidP="00A65838">
            <w:pPr>
              <w:jc w:val="left"/>
              <w:rPr>
                <w:rFonts w:ascii="Arial Narrow" w:hAnsi="Arial Narrow"/>
                <w:sz w:val="19"/>
                <w:szCs w:val="19"/>
              </w:rPr>
            </w:pP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10</w:t>
            </w:r>
            <w:r w:rsidR="00984796" w:rsidRPr="00600064">
              <w:rPr>
                <w:rFonts w:ascii="Arial Narrow" w:hAnsi="Arial Narrow"/>
                <w:sz w:val="19"/>
                <w:szCs w:val="19"/>
              </w:rPr>
              <w:t> </w:t>
            </w:r>
            <w:r w:rsidRPr="00600064">
              <w:rPr>
                <w:rFonts w:ascii="Arial Narrow" w:hAnsi="Arial Narrow"/>
                <w:sz w:val="19"/>
                <w:szCs w:val="19"/>
              </w:rPr>
              <w:t xml:space="preserve">mg </w:t>
            </w:r>
            <w:proofErr w:type="spellStart"/>
            <w:r w:rsidRPr="00600064">
              <w:rPr>
                <w:rFonts w:ascii="Arial Narrow" w:hAnsi="Arial Narrow"/>
                <w:sz w:val="19"/>
                <w:szCs w:val="19"/>
              </w:rPr>
              <w:t>p.o.</w:t>
            </w:r>
            <w:proofErr w:type="spellEnd"/>
            <w:r w:rsidRPr="00600064">
              <w:rPr>
                <w:rFonts w:ascii="Arial Narrow" w:hAnsi="Arial Narrow"/>
                <w:sz w:val="19"/>
                <w:szCs w:val="19"/>
              </w:rPr>
              <w:t xml:space="preserve"> daily.</w:t>
            </w:r>
          </w:p>
        </w:tc>
        <w:tc>
          <w:tcPr>
            <w:tcW w:w="1755" w:type="dxa"/>
          </w:tcPr>
          <w:p w:rsidR="00A65838" w:rsidRPr="00600064" w:rsidRDefault="00A65838" w:rsidP="00984796">
            <w:pPr>
              <w:jc w:val="left"/>
              <w:rPr>
                <w:rFonts w:ascii="Arial Narrow" w:hAnsi="Arial Narrow"/>
                <w:sz w:val="19"/>
                <w:szCs w:val="19"/>
              </w:rPr>
            </w:pP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10</w:t>
            </w:r>
            <w:r w:rsidR="00984796" w:rsidRPr="00600064">
              <w:rPr>
                <w:rFonts w:ascii="Arial Narrow" w:hAnsi="Arial Narrow"/>
                <w:sz w:val="19"/>
                <w:szCs w:val="19"/>
              </w:rPr>
              <w:t> </w:t>
            </w:r>
            <w:r w:rsidRPr="00600064">
              <w:rPr>
                <w:rFonts w:ascii="Arial Narrow" w:hAnsi="Arial Narrow"/>
                <w:sz w:val="19"/>
                <w:szCs w:val="19"/>
              </w:rPr>
              <w:t xml:space="preserve">mg </w:t>
            </w:r>
            <w:proofErr w:type="spellStart"/>
            <w:r w:rsidRPr="00600064">
              <w:rPr>
                <w:rFonts w:ascii="Arial Narrow" w:hAnsi="Arial Narrow"/>
                <w:sz w:val="19"/>
                <w:szCs w:val="19"/>
              </w:rPr>
              <w:t>p.o.</w:t>
            </w:r>
            <w:proofErr w:type="spellEnd"/>
            <w:r w:rsidRPr="00600064">
              <w:rPr>
                <w:rFonts w:ascii="Arial Narrow" w:hAnsi="Arial Narrow"/>
                <w:sz w:val="19"/>
                <w:szCs w:val="19"/>
              </w:rPr>
              <w:t xml:space="preserve"> daily.</w:t>
            </w:r>
          </w:p>
        </w:tc>
      </w:tr>
      <w:tr w:rsidR="00A65838" w:rsidRPr="00600064" w:rsidTr="005F42CF">
        <w:trPr>
          <w:trHeight w:val="860"/>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Clinical evidence</w:t>
            </w:r>
          </w:p>
        </w:tc>
        <w:tc>
          <w:tcPr>
            <w:tcW w:w="2268"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CA209025 study (Nivolumab 3</w:t>
            </w:r>
            <w:r w:rsidR="00984796" w:rsidRPr="00600064">
              <w:rPr>
                <w:rFonts w:ascii="Arial Narrow" w:hAnsi="Arial Narrow"/>
                <w:sz w:val="19"/>
                <w:szCs w:val="19"/>
              </w:rPr>
              <w:t> </w:t>
            </w:r>
            <w:r w:rsidRPr="00600064">
              <w:rPr>
                <w:rFonts w:ascii="Arial Narrow" w:hAnsi="Arial Narrow"/>
                <w:sz w:val="19"/>
                <w:szCs w:val="19"/>
              </w:rPr>
              <w:t xml:space="preserve">mg/kg every 2 weeks n=410 </w:t>
            </w:r>
            <w:proofErr w:type="spellStart"/>
            <w:r w:rsidRPr="00600064">
              <w:rPr>
                <w:rFonts w:ascii="Arial Narrow" w:hAnsi="Arial Narrow"/>
                <w:sz w:val="19"/>
                <w:szCs w:val="19"/>
              </w:rPr>
              <w:t>vs</w:t>
            </w:r>
            <w:proofErr w:type="spellEnd"/>
            <w:r w:rsidRPr="00600064">
              <w:rPr>
                <w:rFonts w:ascii="Arial Narrow" w:hAnsi="Arial Narrow"/>
                <w:sz w:val="19"/>
                <w:szCs w:val="19"/>
              </w:rPr>
              <w:t xml:space="preserve">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10</w:t>
            </w:r>
            <w:r w:rsidR="00984796" w:rsidRPr="00600064">
              <w:rPr>
                <w:rFonts w:ascii="Arial Narrow" w:hAnsi="Arial Narrow"/>
                <w:sz w:val="19"/>
                <w:szCs w:val="19"/>
              </w:rPr>
              <w:t> </w:t>
            </w:r>
            <w:r w:rsidRPr="00600064">
              <w:rPr>
                <w:rFonts w:ascii="Arial Narrow" w:hAnsi="Arial Narrow"/>
                <w:sz w:val="19"/>
                <w:szCs w:val="19"/>
              </w:rPr>
              <w:t xml:space="preserve">mg </w:t>
            </w:r>
            <w:proofErr w:type="spellStart"/>
            <w:r w:rsidRPr="00600064">
              <w:rPr>
                <w:rFonts w:ascii="Arial Narrow" w:hAnsi="Arial Narrow"/>
                <w:sz w:val="19"/>
                <w:szCs w:val="19"/>
              </w:rPr>
              <w:t>po</w:t>
            </w:r>
            <w:proofErr w:type="spellEnd"/>
            <w:r w:rsidRPr="00600064">
              <w:rPr>
                <w:rFonts w:ascii="Arial Narrow" w:hAnsi="Arial Narrow"/>
                <w:sz w:val="19"/>
                <w:szCs w:val="19"/>
              </w:rPr>
              <w:t xml:space="preserve"> daily n= 411, ph</w:t>
            </w:r>
            <w:r w:rsidR="00EE738C" w:rsidRPr="00600064">
              <w:rPr>
                <w:rFonts w:ascii="Arial Narrow" w:hAnsi="Arial Narrow"/>
                <w:sz w:val="19"/>
                <w:szCs w:val="19"/>
              </w:rPr>
              <w:t xml:space="preserve">ase III, R, OL, MC) </w:t>
            </w:r>
          </w:p>
          <w:p w:rsidR="00A65838" w:rsidRPr="00600064" w:rsidRDefault="00A65838" w:rsidP="00A65838">
            <w:pPr>
              <w:jc w:val="left"/>
              <w:rPr>
                <w:rFonts w:ascii="Arial Narrow" w:hAnsi="Arial Narrow"/>
                <w:sz w:val="19"/>
                <w:szCs w:val="19"/>
              </w:rPr>
            </w:pPr>
            <w:r w:rsidRPr="00600064">
              <w:rPr>
                <w:rFonts w:ascii="Arial Narrow" w:hAnsi="Arial Narrow"/>
                <w:sz w:val="19"/>
                <w:szCs w:val="19"/>
              </w:rPr>
              <w:t>18 June 2015 cut-off (14 months minimum follow up).</w:t>
            </w:r>
          </w:p>
          <w:p w:rsidR="00A65838" w:rsidRPr="00600064" w:rsidRDefault="00A65838" w:rsidP="00A65838">
            <w:pPr>
              <w:jc w:val="left"/>
              <w:rPr>
                <w:rFonts w:ascii="Arial Narrow" w:hAnsi="Arial Narrow"/>
                <w:sz w:val="19"/>
                <w:szCs w:val="19"/>
              </w:rPr>
            </w:pPr>
          </w:p>
          <w:p w:rsidR="00A65838" w:rsidRPr="00600064" w:rsidRDefault="00A65838" w:rsidP="00BA48AD">
            <w:pPr>
              <w:jc w:val="left"/>
              <w:rPr>
                <w:rFonts w:ascii="Arial Narrow" w:hAnsi="Arial Narrow"/>
                <w:sz w:val="19"/>
                <w:szCs w:val="19"/>
              </w:rPr>
            </w:pPr>
            <w:r w:rsidRPr="00600064">
              <w:rPr>
                <w:rFonts w:ascii="Arial Narrow" w:hAnsi="Arial Narrow"/>
                <w:b/>
                <w:sz w:val="19"/>
                <w:szCs w:val="19"/>
              </w:rPr>
              <w:t xml:space="preserve">PBAC Comment: </w:t>
            </w:r>
            <w:r w:rsidRPr="00600064">
              <w:rPr>
                <w:rFonts w:ascii="Arial Narrow" w:hAnsi="Arial Narrow"/>
                <w:sz w:val="19"/>
                <w:szCs w:val="19"/>
              </w:rPr>
              <w:t>Early stopping of the key trial may have over-estimated the degree of overall survival gain (</w:t>
            </w:r>
            <w:r w:rsidR="00BA48AD" w:rsidRPr="00600064">
              <w:rPr>
                <w:rFonts w:ascii="Arial Narrow" w:hAnsi="Arial Narrow"/>
                <w:sz w:val="19"/>
                <w:szCs w:val="19"/>
              </w:rPr>
              <w:t xml:space="preserve">July 2016 minutes </w:t>
            </w:r>
            <w:r w:rsidRPr="00600064">
              <w:rPr>
                <w:rFonts w:ascii="Arial Narrow" w:hAnsi="Arial Narrow"/>
                <w:sz w:val="19"/>
                <w:szCs w:val="19"/>
              </w:rPr>
              <w:t xml:space="preserve">7.7). The </w:t>
            </w:r>
            <w:r w:rsidR="00BA48AD" w:rsidRPr="00600064">
              <w:rPr>
                <w:rFonts w:ascii="Arial Narrow" w:hAnsi="Arial Narrow"/>
                <w:sz w:val="19"/>
                <w:szCs w:val="19"/>
              </w:rPr>
              <w:t>post-</w:t>
            </w:r>
            <w:r w:rsidRPr="00600064">
              <w:rPr>
                <w:rFonts w:ascii="Arial Narrow" w:hAnsi="Arial Narrow"/>
                <w:sz w:val="19"/>
                <w:szCs w:val="19"/>
              </w:rPr>
              <w:t>hoc use of a “clinical PFS” outcome for economic modelling was not validated, nor necessarily representative of use in Australian practice (</w:t>
            </w:r>
            <w:r w:rsidR="00BA48AD" w:rsidRPr="00600064">
              <w:rPr>
                <w:rFonts w:ascii="Arial Narrow" w:hAnsi="Arial Narrow"/>
                <w:sz w:val="19"/>
                <w:szCs w:val="19"/>
              </w:rPr>
              <w:t xml:space="preserve">July 2016 minutes </w:t>
            </w:r>
            <w:r w:rsidRPr="00600064">
              <w:rPr>
                <w:rFonts w:ascii="Arial Narrow" w:hAnsi="Arial Narrow"/>
                <w:sz w:val="19"/>
                <w:szCs w:val="19"/>
              </w:rPr>
              <w:t>7.5).</w:t>
            </w:r>
          </w:p>
        </w:tc>
        <w:tc>
          <w:tcPr>
            <w:tcW w:w="2229"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 xml:space="preserve">Additional supporting </w:t>
            </w:r>
            <w:r w:rsidR="00F36102" w:rsidRPr="00600064">
              <w:rPr>
                <w:rFonts w:ascii="Arial Narrow" w:hAnsi="Arial Narrow"/>
                <w:sz w:val="19"/>
                <w:szCs w:val="19"/>
              </w:rPr>
              <w:t>K</w:t>
            </w:r>
            <w:r w:rsidRPr="00600064">
              <w:rPr>
                <w:rFonts w:ascii="Arial Narrow" w:hAnsi="Arial Narrow"/>
                <w:sz w:val="19"/>
                <w:szCs w:val="19"/>
              </w:rPr>
              <w:t>M</w:t>
            </w:r>
            <w:r w:rsidR="003E2CE2" w:rsidRPr="00600064">
              <w:rPr>
                <w:rFonts w:ascii="Arial Narrow" w:hAnsi="Arial Narrow"/>
                <w:sz w:val="19"/>
                <w:szCs w:val="19"/>
              </w:rPr>
              <w:t xml:space="preserve"> </w:t>
            </w:r>
            <w:r w:rsidRPr="00600064">
              <w:rPr>
                <w:rFonts w:ascii="Arial Narrow" w:hAnsi="Arial Narrow"/>
                <w:sz w:val="19"/>
                <w:szCs w:val="19"/>
              </w:rPr>
              <w:t>estimates for OS comparing the original database lock (14 month minimum follow up) versus the latest database lock (</w:t>
            </w:r>
            <w:r w:rsidR="00B740D2" w:rsidRPr="00600064">
              <w:rPr>
                <w:rFonts w:ascii="Arial Narrow" w:hAnsi="Arial Narrow"/>
                <w:sz w:val="19"/>
                <w:szCs w:val="19"/>
              </w:rPr>
              <w:t>26</w:t>
            </w:r>
            <w:r w:rsidR="00E9349C" w:rsidRPr="00600064">
              <w:rPr>
                <w:rFonts w:ascii="Arial Narrow" w:hAnsi="Arial Narrow"/>
                <w:sz w:val="19"/>
                <w:szCs w:val="19"/>
              </w:rPr>
              <w:t>.1</w:t>
            </w:r>
            <w:r w:rsidR="00B740D2" w:rsidRPr="00600064">
              <w:rPr>
                <w:rFonts w:ascii="Arial Narrow" w:hAnsi="Arial Narrow"/>
                <w:sz w:val="19"/>
                <w:szCs w:val="19"/>
              </w:rPr>
              <w:t xml:space="preserve"> </w:t>
            </w:r>
            <w:r w:rsidRPr="00600064">
              <w:rPr>
                <w:rFonts w:ascii="Arial Narrow" w:hAnsi="Arial Narrow"/>
                <w:sz w:val="19"/>
                <w:szCs w:val="19"/>
              </w:rPr>
              <w:t>month</w:t>
            </w:r>
            <w:r w:rsidR="00E9349C" w:rsidRPr="00600064">
              <w:rPr>
                <w:rFonts w:ascii="Arial Narrow" w:hAnsi="Arial Narrow"/>
                <w:sz w:val="19"/>
                <w:szCs w:val="19"/>
              </w:rPr>
              <w:t>s</w:t>
            </w:r>
            <w:r w:rsidRPr="00600064">
              <w:rPr>
                <w:rFonts w:ascii="Arial Narrow" w:hAnsi="Arial Narrow"/>
                <w:sz w:val="19"/>
                <w:szCs w:val="19"/>
              </w:rPr>
              <w:t xml:space="preserve"> minimum follow up</w:t>
            </w:r>
            <w:r w:rsidR="00984796" w:rsidRPr="00600064">
              <w:rPr>
                <w:rFonts w:ascii="Arial Narrow" w:hAnsi="Arial Narrow"/>
                <w:sz w:val="19"/>
                <w:szCs w:val="19"/>
              </w:rPr>
              <w:t>).</w:t>
            </w:r>
          </w:p>
          <w:p w:rsidR="00A65838" w:rsidRPr="00600064" w:rsidRDefault="00A65838" w:rsidP="00A65838">
            <w:pPr>
              <w:jc w:val="left"/>
              <w:rPr>
                <w:rFonts w:ascii="Arial Narrow" w:hAnsi="Arial Narrow"/>
                <w:sz w:val="19"/>
                <w:szCs w:val="19"/>
              </w:rPr>
            </w:pPr>
          </w:p>
          <w:p w:rsidR="00A65838" w:rsidRPr="00600064" w:rsidRDefault="00A65838" w:rsidP="00BA48AD">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w:t>
            </w:r>
            <w:r w:rsidR="00BA48AD" w:rsidRPr="00600064">
              <w:rPr>
                <w:rFonts w:ascii="Arial Narrow" w:hAnsi="Arial Narrow"/>
                <w:sz w:val="19"/>
                <w:szCs w:val="19"/>
              </w:rPr>
              <w:t>“</w:t>
            </w:r>
            <w:r w:rsidRPr="00600064">
              <w:rPr>
                <w:rFonts w:ascii="Arial Narrow" w:hAnsi="Arial Narrow"/>
                <w:sz w:val="19"/>
                <w:szCs w:val="19"/>
              </w:rPr>
              <w:t xml:space="preserve">The PBAC noted the updated 2-year follow-up data on OS which </w:t>
            </w:r>
            <w:r w:rsidR="003A224F">
              <w:rPr>
                <w:rFonts w:ascii="Arial Narrow" w:hAnsi="Arial Narrow"/>
                <w:noProof/>
                <w:color w:val="000000"/>
                <w:sz w:val="19"/>
                <w:szCs w:val="19"/>
                <w:highlight w:val="black"/>
              </w:rPr>
              <w:t>''''''''''''''''''''''''''''' ''''''' '''''''''''''''''''''''' ''''''''''''''''''''''' '''''''' '''''''''''''''' ''''''''''''' ''''' ''''''' '''''''''''''' '''''''''''' '''''''</w:t>
            </w:r>
            <w:r w:rsidRPr="00600064">
              <w:rPr>
                <w:rFonts w:ascii="Arial Narrow" w:hAnsi="Arial Narrow"/>
                <w:sz w:val="19"/>
                <w:szCs w:val="19"/>
              </w:rPr>
              <w:t>, however considered that the degree of benefit in a PBS population was still uncertain</w:t>
            </w:r>
            <w:r w:rsidR="00BA48AD" w:rsidRPr="00600064">
              <w:rPr>
                <w:rFonts w:ascii="Arial Narrow" w:hAnsi="Arial Narrow"/>
                <w:sz w:val="19"/>
                <w:szCs w:val="19"/>
              </w:rPr>
              <w:t>”</w:t>
            </w:r>
            <w:r w:rsidRPr="00600064">
              <w:rPr>
                <w:rFonts w:ascii="Arial Narrow" w:hAnsi="Arial Narrow"/>
                <w:sz w:val="19"/>
                <w:szCs w:val="19"/>
              </w:rPr>
              <w:t xml:space="preserve"> (</w:t>
            </w:r>
            <w:r w:rsidR="00BA48AD" w:rsidRPr="00600064">
              <w:rPr>
                <w:rFonts w:ascii="Arial Narrow" w:hAnsi="Arial Narrow"/>
                <w:sz w:val="19"/>
                <w:szCs w:val="19"/>
              </w:rPr>
              <w:t xml:space="preserve">November 2016 minutes </w:t>
            </w:r>
            <w:r w:rsidRPr="00600064">
              <w:rPr>
                <w:rFonts w:ascii="Arial Narrow" w:hAnsi="Arial Narrow"/>
                <w:sz w:val="19"/>
                <w:szCs w:val="19"/>
              </w:rPr>
              <w:t>7.</w:t>
            </w:r>
            <w:r w:rsidR="00BA48AD" w:rsidRPr="00600064">
              <w:rPr>
                <w:rFonts w:ascii="Arial Narrow" w:hAnsi="Arial Narrow"/>
                <w:sz w:val="19"/>
                <w:szCs w:val="19"/>
              </w:rPr>
              <w:t>3</w:t>
            </w:r>
            <w:r w:rsidRPr="00600064">
              <w:rPr>
                <w:rFonts w:ascii="Arial Narrow" w:hAnsi="Arial Narrow"/>
                <w:sz w:val="19"/>
                <w:szCs w:val="19"/>
              </w:rPr>
              <w:t xml:space="preserve">). </w:t>
            </w:r>
          </w:p>
        </w:tc>
        <w:tc>
          <w:tcPr>
            <w:tcW w:w="1755" w:type="dxa"/>
          </w:tcPr>
          <w:p w:rsidR="00A65838" w:rsidRPr="00600064" w:rsidRDefault="00E9349C" w:rsidP="00A65838">
            <w:pPr>
              <w:jc w:val="left"/>
              <w:rPr>
                <w:rFonts w:ascii="Arial Narrow" w:hAnsi="Arial Narrow"/>
                <w:sz w:val="19"/>
                <w:szCs w:val="19"/>
              </w:rPr>
            </w:pPr>
            <w:r w:rsidRPr="00600064">
              <w:rPr>
                <w:rFonts w:ascii="Arial Narrow" w:hAnsi="Arial Narrow"/>
                <w:sz w:val="19"/>
                <w:szCs w:val="19"/>
              </w:rPr>
              <w:t>T</w:t>
            </w:r>
            <w:r w:rsidR="00A65838" w:rsidRPr="00600064">
              <w:rPr>
                <w:rFonts w:ascii="Arial Narrow" w:hAnsi="Arial Narrow"/>
                <w:sz w:val="19"/>
                <w:szCs w:val="19"/>
              </w:rPr>
              <w:t>he updated results from the May 2016 database lock (</w:t>
            </w:r>
            <w:r w:rsidRPr="00600064">
              <w:rPr>
                <w:rFonts w:ascii="Arial Narrow" w:hAnsi="Arial Narrow"/>
                <w:sz w:val="19"/>
                <w:szCs w:val="19"/>
              </w:rPr>
              <w:t xml:space="preserve">26.1 </w:t>
            </w:r>
            <w:r w:rsidR="00A65838" w:rsidRPr="00600064">
              <w:rPr>
                <w:rFonts w:ascii="Arial Narrow" w:hAnsi="Arial Narrow"/>
                <w:sz w:val="19"/>
                <w:szCs w:val="19"/>
              </w:rPr>
              <w:t>month</w:t>
            </w:r>
            <w:r w:rsidRPr="00600064">
              <w:rPr>
                <w:rFonts w:ascii="Arial Narrow" w:hAnsi="Arial Narrow"/>
                <w:sz w:val="19"/>
                <w:szCs w:val="19"/>
              </w:rPr>
              <w:t>s</w:t>
            </w:r>
            <w:r w:rsidR="00A65838" w:rsidRPr="00600064">
              <w:rPr>
                <w:rFonts w:ascii="Arial Narrow" w:hAnsi="Arial Narrow"/>
                <w:sz w:val="19"/>
                <w:szCs w:val="19"/>
              </w:rPr>
              <w:t xml:space="preserve"> minimum follow-up) </w:t>
            </w:r>
            <w:r w:rsidRPr="00600064">
              <w:rPr>
                <w:rFonts w:ascii="Arial Narrow" w:hAnsi="Arial Narrow"/>
                <w:sz w:val="19"/>
                <w:szCs w:val="19"/>
              </w:rPr>
              <w:t xml:space="preserve">were </w:t>
            </w:r>
            <w:r w:rsidR="00A65838" w:rsidRPr="00600064">
              <w:rPr>
                <w:rFonts w:ascii="Arial Narrow" w:hAnsi="Arial Narrow"/>
                <w:sz w:val="19"/>
                <w:szCs w:val="19"/>
              </w:rPr>
              <w:t>provided.</w:t>
            </w:r>
          </w:p>
          <w:p w:rsidR="00A65838" w:rsidRPr="00600064" w:rsidRDefault="00A65838" w:rsidP="00A65838">
            <w:pPr>
              <w:jc w:val="left"/>
              <w:rPr>
                <w:rFonts w:ascii="Arial Narrow" w:hAnsi="Arial Narrow"/>
                <w:sz w:val="19"/>
                <w:szCs w:val="19"/>
              </w:rPr>
            </w:pPr>
          </w:p>
          <w:p w:rsidR="00A65838" w:rsidRPr="00600064" w:rsidRDefault="00A65838" w:rsidP="00B740D2">
            <w:pPr>
              <w:jc w:val="left"/>
              <w:rPr>
                <w:rFonts w:ascii="Arial Narrow" w:hAnsi="Arial Narrow"/>
                <w:sz w:val="19"/>
                <w:szCs w:val="19"/>
              </w:rPr>
            </w:pPr>
            <w:r w:rsidRPr="00600064">
              <w:rPr>
                <w:rFonts w:ascii="Arial Narrow" w:hAnsi="Arial Narrow"/>
                <w:sz w:val="19"/>
                <w:szCs w:val="19"/>
              </w:rPr>
              <w:t xml:space="preserve">In order to support a time horizon beyond 5 years, the sponsor </w:t>
            </w:r>
            <w:r w:rsidR="00FB729D" w:rsidRPr="00600064">
              <w:rPr>
                <w:rFonts w:ascii="Arial Narrow" w:hAnsi="Arial Narrow"/>
                <w:sz w:val="19"/>
                <w:szCs w:val="19"/>
              </w:rPr>
              <w:t xml:space="preserve">presented evidence </w:t>
            </w:r>
            <w:r w:rsidRPr="00600064">
              <w:rPr>
                <w:rFonts w:ascii="Arial Narrow" w:hAnsi="Arial Narrow"/>
                <w:sz w:val="19"/>
                <w:szCs w:val="19"/>
              </w:rPr>
              <w:t xml:space="preserve">relating to </w:t>
            </w:r>
            <w:r w:rsidR="00FB729D" w:rsidRPr="00600064">
              <w:rPr>
                <w:rFonts w:ascii="Arial Narrow" w:hAnsi="Arial Narrow"/>
                <w:sz w:val="19"/>
                <w:szCs w:val="19"/>
              </w:rPr>
              <w:t xml:space="preserve">the survival </w:t>
            </w:r>
            <w:r w:rsidRPr="00600064">
              <w:rPr>
                <w:rFonts w:ascii="Arial Narrow" w:hAnsi="Arial Narrow"/>
                <w:sz w:val="19"/>
                <w:szCs w:val="19"/>
              </w:rPr>
              <w:t>of patients treated second line in RCC</w:t>
            </w:r>
            <w:r w:rsidR="00B740D2" w:rsidRPr="00600064">
              <w:rPr>
                <w:rFonts w:ascii="Arial Narrow" w:hAnsi="Arial Narrow"/>
                <w:sz w:val="19"/>
                <w:szCs w:val="19"/>
              </w:rPr>
              <w:t>.</w:t>
            </w:r>
          </w:p>
        </w:tc>
        <w:tc>
          <w:tcPr>
            <w:tcW w:w="1755"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No new clinical evidence presented.</w:t>
            </w:r>
          </w:p>
        </w:tc>
      </w:tr>
      <w:tr w:rsidR="00A65838" w:rsidRPr="00600064" w:rsidTr="005F42CF">
        <w:trPr>
          <w:trHeight w:val="1064"/>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Key effectiveness data</w:t>
            </w:r>
          </w:p>
        </w:tc>
        <w:tc>
          <w:tcPr>
            <w:tcW w:w="2268" w:type="dxa"/>
          </w:tcPr>
          <w:p w:rsidR="00FB729D" w:rsidRPr="00600064" w:rsidRDefault="00FB729D" w:rsidP="00A65838">
            <w:pPr>
              <w:jc w:val="left"/>
              <w:rPr>
                <w:rFonts w:ascii="Arial Narrow" w:hAnsi="Arial Narrow"/>
                <w:sz w:val="19"/>
                <w:szCs w:val="19"/>
              </w:rPr>
            </w:pPr>
            <w:r w:rsidRPr="00600064">
              <w:rPr>
                <w:rFonts w:ascii="Arial Narrow" w:hAnsi="Arial Narrow"/>
                <w:sz w:val="19"/>
                <w:szCs w:val="19"/>
              </w:rPr>
              <w:t>First database lock (14 months minimum follow-up).</w:t>
            </w:r>
          </w:p>
          <w:p w:rsidR="00FB729D" w:rsidRPr="00600064" w:rsidRDefault="00FB729D" w:rsidP="00A65838">
            <w:pPr>
              <w:jc w:val="left"/>
              <w:rPr>
                <w:rFonts w:ascii="Arial Narrow" w:hAnsi="Arial Narrow"/>
                <w:sz w:val="19"/>
                <w:szCs w:val="19"/>
                <w:u w:val="single"/>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OS median months</w:t>
            </w:r>
            <w:r w:rsidRPr="00600064">
              <w:rPr>
                <w:rFonts w:ascii="Arial Narrow" w:hAnsi="Arial Narrow"/>
                <w:sz w:val="19"/>
                <w:szCs w:val="19"/>
              </w:rPr>
              <w:t xml:space="preserve"> </w:t>
            </w:r>
          </w:p>
          <w:p w:rsidR="00FB729D" w:rsidRPr="00600064" w:rsidRDefault="00A65838" w:rsidP="00A65838">
            <w:pPr>
              <w:jc w:val="left"/>
              <w:rPr>
                <w:rFonts w:ascii="Arial Narrow" w:hAnsi="Arial Narrow"/>
                <w:sz w:val="19"/>
                <w:szCs w:val="19"/>
              </w:rPr>
            </w:pPr>
            <w:r w:rsidRPr="00600064">
              <w:rPr>
                <w:rFonts w:ascii="Arial Narrow" w:hAnsi="Arial Narrow"/>
                <w:sz w:val="19"/>
                <w:szCs w:val="19"/>
              </w:rPr>
              <w:t xml:space="preserve">25.00 (21.75, NR) for nivolumab and 19.55 (17.64, 23.06) for </w:t>
            </w:r>
            <w:proofErr w:type="spellStart"/>
            <w:r w:rsidRPr="00600064">
              <w:rPr>
                <w:rFonts w:ascii="Arial Narrow" w:hAnsi="Arial Narrow"/>
                <w:sz w:val="19"/>
                <w:szCs w:val="19"/>
              </w:rPr>
              <w:t>everolimus</w:t>
            </w:r>
            <w:proofErr w:type="spellEnd"/>
            <w:r w:rsidRPr="00600064">
              <w:rPr>
                <w:rFonts w:ascii="Arial Narrow" w:hAnsi="Arial Narrow"/>
                <w:sz w:val="19"/>
                <w:szCs w:val="19"/>
              </w:rPr>
              <w:t>. 5.45 months absolute difference</w:t>
            </w:r>
            <w:r w:rsidR="00FB729D" w:rsidRPr="00600064">
              <w:rPr>
                <w:rFonts w:ascii="Arial Narrow" w:hAnsi="Arial Narrow"/>
                <w:sz w:val="19"/>
                <w:szCs w:val="19"/>
              </w:rPr>
              <w:t xml:space="preserve">; </w:t>
            </w:r>
            <w:r w:rsidRPr="00600064">
              <w:rPr>
                <w:rFonts w:ascii="Arial Narrow" w:hAnsi="Arial Narrow"/>
                <w:sz w:val="19"/>
                <w:szCs w:val="19"/>
              </w:rPr>
              <w:t>HR= 0.73 (0.57, 0.93)</w:t>
            </w:r>
            <w:r w:rsidR="00FB729D" w:rsidRPr="00600064">
              <w:rPr>
                <w:rFonts w:ascii="Arial Narrow" w:hAnsi="Arial Narrow"/>
                <w:sz w:val="19"/>
                <w:szCs w:val="19"/>
              </w:rPr>
              <w:t>.</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RECIST</w:t>
            </w:r>
            <w:r w:rsidR="00030BF9" w:rsidRPr="00600064">
              <w:rPr>
                <w:rFonts w:ascii="Arial Narrow" w:hAnsi="Arial Narrow"/>
                <w:sz w:val="19"/>
                <w:szCs w:val="19"/>
                <w:u w:val="single"/>
              </w:rPr>
              <w:t>-defined</w:t>
            </w:r>
            <w:r w:rsidRPr="00600064">
              <w:rPr>
                <w:rFonts w:ascii="Arial Narrow" w:hAnsi="Arial Narrow"/>
                <w:sz w:val="19"/>
                <w:szCs w:val="19"/>
                <w:u w:val="single"/>
              </w:rPr>
              <w:t xml:space="preserve"> PFS median months </w:t>
            </w:r>
          </w:p>
          <w:p w:rsidR="00A65838" w:rsidRPr="00600064" w:rsidRDefault="00A65838" w:rsidP="00A65838">
            <w:pPr>
              <w:jc w:val="left"/>
              <w:rPr>
                <w:rFonts w:ascii="Arial Narrow" w:hAnsi="Arial Narrow"/>
                <w:sz w:val="19"/>
                <w:szCs w:val="19"/>
              </w:rPr>
            </w:pPr>
            <w:r w:rsidRPr="00600064">
              <w:rPr>
                <w:rFonts w:ascii="Arial Narrow" w:hAnsi="Arial Narrow"/>
                <w:sz w:val="19"/>
                <w:szCs w:val="19"/>
              </w:rPr>
              <w:t xml:space="preserve">4.60 (3.71, 5.39) for nivolumab and 4.44 (3.71, 5.52) for </w:t>
            </w:r>
            <w:proofErr w:type="spellStart"/>
            <w:r w:rsidRPr="00600064">
              <w:rPr>
                <w:rFonts w:ascii="Arial Narrow" w:hAnsi="Arial Narrow"/>
                <w:sz w:val="19"/>
                <w:szCs w:val="19"/>
              </w:rPr>
              <w:t>everolimus</w:t>
            </w:r>
            <w:proofErr w:type="spellEnd"/>
            <w:r w:rsidRPr="00600064">
              <w:rPr>
                <w:rFonts w:ascii="Arial Narrow" w:hAnsi="Arial Narrow"/>
                <w:sz w:val="19"/>
                <w:szCs w:val="19"/>
              </w:rPr>
              <w:t>. 0.16</w:t>
            </w:r>
            <w:r w:rsidR="00FB729D" w:rsidRPr="00600064">
              <w:rPr>
                <w:rFonts w:ascii="Arial Narrow" w:hAnsi="Arial Narrow"/>
                <w:sz w:val="19"/>
                <w:szCs w:val="19"/>
              </w:rPr>
              <w:t xml:space="preserve"> </w:t>
            </w:r>
            <w:r w:rsidRPr="00600064">
              <w:rPr>
                <w:rFonts w:ascii="Arial Narrow" w:hAnsi="Arial Narrow"/>
                <w:sz w:val="19"/>
                <w:szCs w:val="19"/>
              </w:rPr>
              <w:t>months absolute difference</w:t>
            </w:r>
            <w:r w:rsidR="00FB729D" w:rsidRPr="00600064">
              <w:rPr>
                <w:rFonts w:ascii="Arial Narrow" w:hAnsi="Arial Narrow"/>
                <w:sz w:val="19"/>
                <w:szCs w:val="19"/>
              </w:rPr>
              <w:t xml:space="preserve">; </w:t>
            </w:r>
            <w:r w:rsidRPr="00600064">
              <w:rPr>
                <w:rFonts w:ascii="Arial Narrow" w:hAnsi="Arial Narrow"/>
                <w:sz w:val="19"/>
                <w:szCs w:val="19"/>
              </w:rPr>
              <w:t>HR = 0.88 (0.75, 1.03)</w:t>
            </w:r>
            <w:r w:rsidR="00FB729D" w:rsidRPr="00600064">
              <w:rPr>
                <w:rFonts w:ascii="Arial Narrow" w:hAnsi="Arial Narrow"/>
                <w:sz w:val="19"/>
                <w:szCs w:val="19"/>
              </w:rPr>
              <w:t>.</w:t>
            </w:r>
          </w:p>
          <w:p w:rsidR="00A65838" w:rsidRPr="00600064" w:rsidRDefault="00A65838" w:rsidP="00A65838">
            <w:pPr>
              <w:jc w:val="left"/>
              <w:rPr>
                <w:rFonts w:ascii="Arial Narrow" w:hAnsi="Arial Narrow"/>
                <w:sz w:val="19"/>
                <w:szCs w:val="19"/>
                <w:u w:val="single"/>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Clinical PFS median months</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 '''''''''''' '''''' '''''''''''''''''''''' '''''''''' ''''''''''' '''''''''''''' '''''''''''' ''''''' ''''''''''''''''''''''''''' '''''''''' '''''''''''''''' '''''''''''''''''' '''''''''''''''''''''''''' '''''''''''' '''''''''''' ''''''''''''''' ''''''''''''''</w:t>
            </w:r>
          </w:p>
          <w:p w:rsidR="00A65838" w:rsidRPr="00600064" w:rsidRDefault="00A65838" w:rsidP="00A65838">
            <w:pPr>
              <w:jc w:val="left"/>
              <w:rPr>
                <w:rFonts w:ascii="Arial Narrow" w:hAnsi="Arial Narrow"/>
                <w:sz w:val="19"/>
                <w:szCs w:val="19"/>
              </w:rPr>
            </w:pPr>
          </w:p>
          <w:p w:rsidR="00A65838" w:rsidRPr="00600064" w:rsidRDefault="00A65838" w:rsidP="005B3341">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The PBAC accepted that nivolumab statistically significantly increased overall survival compared to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w:t>
            </w:r>
            <w:r w:rsidR="00FB729D" w:rsidRPr="00600064">
              <w:rPr>
                <w:rFonts w:ascii="Arial Narrow" w:hAnsi="Arial Narrow"/>
                <w:sz w:val="19"/>
                <w:szCs w:val="19"/>
              </w:rPr>
              <w:t xml:space="preserve">July 2016 minutes </w:t>
            </w:r>
            <w:r w:rsidRPr="00600064">
              <w:rPr>
                <w:rFonts w:ascii="Arial Narrow" w:hAnsi="Arial Narrow"/>
                <w:sz w:val="19"/>
                <w:szCs w:val="19"/>
              </w:rPr>
              <w:t>7.6).</w:t>
            </w:r>
          </w:p>
        </w:tc>
        <w:tc>
          <w:tcPr>
            <w:tcW w:w="2229" w:type="dxa"/>
          </w:tcPr>
          <w:p w:rsidR="00FB729D" w:rsidRPr="00600064" w:rsidRDefault="00FB729D" w:rsidP="00FB729D">
            <w:pPr>
              <w:jc w:val="left"/>
              <w:rPr>
                <w:rFonts w:ascii="Arial Narrow" w:hAnsi="Arial Narrow"/>
                <w:sz w:val="19"/>
                <w:szCs w:val="19"/>
              </w:rPr>
            </w:pPr>
            <w:r w:rsidRPr="00600064">
              <w:rPr>
                <w:rFonts w:ascii="Arial Narrow" w:hAnsi="Arial Narrow"/>
                <w:sz w:val="19"/>
                <w:szCs w:val="19"/>
              </w:rPr>
              <w:t>Second database lock (2</w:t>
            </w:r>
            <w:r w:rsidR="00B740D2" w:rsidRPr="00600064">
              <w:rPr>
                <w:rFonts w:ascii="Arial Narrow" w:hAnsi="Arial Narrow"/>
                <w:sz w:val="19"/>
                <w:szCs w:val="19"/>
              </w:rPr>
              <w:t>6.1</w:t>
            </w:r>
            <w:r w:rsidRPr="00600064">
              <w:rPr>
                <w:rFonts w:ascii="Arial Narrow" w:hAnsi="Arial Narrow"/>
                <w:sz w:val="19"/>
                <w:szCs w:val="19"/>
              </w:rPr>
              <w:t xml:space="preserve"> months minimum follow-up).</w:t>
            </w:r>
          </w:p>
          <w:p w:rsidR="00FB729D" w:rsidRPr="00600064" w:rsidRDefault="00FB729D" w:rsidP="00A65838">
            <w:pPr>
              <w:jc w:val="left"/>
              <w:rPr>
                <w:rFonts w:ascii="Arial Narrow" w:hAnsi="Arial Narrow"/>
                <w:sz w:val="19"/>
                <w:szCs w:val="19"/>
                <w:u w:val="single"/>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 xml:space="preserve">OS median months </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xml:space="preserve">''''''''''''' ''''''''''''''''' '''''''''''''''' '''''' '''''''''''''''''''''''''' ''''''''' '''''''''''''' '''''''''''''''' ''''''''''''''' '''''' '''''''''''''''''''''''' '''''''''' ''''''''''''''''' '''''''''''''''''''' ''''''''''''''''''''''' </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 '''''''''' ''''''''''''''' '''''''''''''''</w:t>
            </w:r>
          </w:p>
          <w:p w:rsidR="00A65838" w:rsidRPr="00600064" w:rsidRDefault="00A65838" w:rsidP="00A65838">
            <w:pPr>
              <w:jc w:val="left"/>
              <w:rPr>
                <w:rFonts w:ascii="Arial Narrow" w:hAnsi="Arial Narrow"/>
                <w:sz w:val="19"/>
                <w:szCs w:val="19"/>
              </w:rPr>
            </w:pPr>
          </w:p>
          <w:p w:rsidR="00A65838" w:rsidRPr="00600064" w:rsidRDefault="00A65838" w:rsidP="00FB729D">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w:t>
            </w:r>
            <w:r w:rsidR="00FB729D" w:rsidRPr="00600064">
              <w:rPr>
                <w:rFonts w:ascii="Arial Narrow" w:hAnsi="Arial Narrow"/>
                <w:sz w:val="19"/>
                <w:szCs w:val="19"/>
              </w:rPr>
              <w:t>“t</w:t>
            </w:r>
            <w:r w:rsidRPr="00600064">
              <w:rPr>
                <w:rFonts w:ascii="Arial Narrow" w:hAnsi="Arial Narrow"/>
                <w:sz w:val="19"/>
                <w:szCs w:val="19"/>
              </w:rPr>
              <w:t>he degree of benefit in a PBS population was still uncertain</w:t>
            </w:r>
            <w:r w:rsidRPr="00600064">
              <w:t xml:space="preserve"> </w:t>
            </w:r>
            <w:r w:rsidRPr="00600064">
              <w:rPr>
                <w:rFonts w:ascii="Arial Narrow" w:hAnsi="Arial Narrow"/>
                <w:sz w:val="19"/>
                <w:szCs w:val="19"/>
              </w:rPr>
              <w:t>as the trial contained patients whose nivolumab treatment continued after disease progression</w:t>
            </w:r>
            <w:r w:rsidR="00FB729D" w:rsidRPr="00600064">
              <w:rPr>
                <w:rFonts w:ascii="Arial Narrow" w:hAnsi="Arial Narrow"/>
                <w:sz w:val="19"/>
                <w:szCs w:val="19"/>
              </w:rPr>
              <w:t>”</w:t>
            </w:r>
            <w:r w:rsidRPr="00600064">
              <w:rPr>
                <w:rFonts w:ascii="Arial Narrow" w:hAnsi="Arial Narrow"/>
                <w:sz w:val="19"/>
                <w:szCs w:val="19"/>
              </w:rPr>
              <w:t xml:space="preserve"> (</w:t>
            </w:r>
            <w:r w:rsidR="00FB729D" w:rsidRPr="00600064">
              <w:rPr>
                <w:rFonts w:ascii="Arial Narrow" w:hAnsi="Arial Narrow"/>
                <w:sz w:val="19"/>
                <w:szCs w:val="19"/>
              </w:rPr>
              <w:t xml:space="preserve">July 2016 minutes </w:t>
            </w:r>
            <w:r w:rsidRPr="00600064">
              <w:rPr>
                <w:rFonts w:ascii="Arial Narrow" w:hAnsi="Arial Narrow"/>
                <w:sz w:val="19"/>
                <w:szCs w:val="19"/>
              </w:rPr>
              <w:t>7.</w:t>
            </w:r>
            <w:r w:rsidR="00FB729D" w:rsidRPr="00600064">
              <w:rPr>
                <w:rFonts w:ascii="Arial Narrow" w:hAnsi="Arial Narrow"/>
                <w:sz w:val="19"/>
                <w:szCs w:val="19"/>
              </w:rPr>
              <w:t>3</w:t>
            </w:r>
            <w:r w:rsidRPr="00600064">
              <w:rPr>
                <w:rFonts w:ascii="Arial Narrow" w:hAnsi="Arial Narrow"/>
                <w:sz w:val="19"/>
                <w:szCs w:val="19"/>
              </w:rPr>
              <w:t>).</w:t>
            </w:r>
          </w:p>
        </w:tc>
        <w:tc>
          <w:tcPr>
            <w:tcW w:w="1755" w:type="dxa"/>
          </w:tcPr>
          <w:p w:rsidR="00FB729D" w:rsidRPr="00600064" w:rsidRDefault="00FB729D" w:rsidP="00FB729D">
            <w:pPr>
              <w:jc w:val="left"/>
              <w:rPr>
                <w:rFonts w:ascii="Arial Narrow" w:hAnsi="Arial Narrow"/>
                <w:sz w:val="19"/>
                <w:szCs w:val="19"/>
              </w:rPr>
            </w:pPr>
            <w:r w:rsidRPr="00600064">
              <w:rPr>
                <w:rFonts w:ascii="Arial Narrow" w:hAnsi="Arial Narrow"/>
                <w:sz w:val="19"/>
                <w:szCs w:val="19"/>
              </w:rPr>
              <w:t>Second database lock (2</w:t>
            </w:r>
            <w:r w:rsidR="00B740D2" w:rsidRPr="00600064">
              <w:rPr>
                <w:rFonts w:ascii="Arial Narrow" w:hAnsi="Arial Narrow"/>
                <w:sz w:val="19"/>
                <w:szCs w:val="19"/>
              </w:rPr>
              <w:t>6.1</w:t>
            </w:r>
            <w:r w:rsidRPr="00600064">
              <w:rPr>
                <w:rFonts w:ascii="Arial Narrow" w:hAnsi="Arial Narrow"/>
                <w:sz w:val="19"/>
                <w:szCs w:val="19"/>
              </w:rPr>
              <w:t xml:space="preserve"> months minimum follow-up).</w:t>
            </w:r>
          </w:p>
          <w:p w:rsidR="00FB729D" w:rsidRPr="00600064" w:rsidRDefault="00FB729D" w:rsidP="00A65838">
            <w:pPr>
              <w:jc w:val="left"/>
              <w:rPr>
                <w:rFonts w:ascii="Arial Narrow" w:hAnsi="Arial Narrow"/>
                <w:sz w:val="19"/>
                <w:szCs w:val="19"/>
                <w:u w:val="single"/>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 xml:space="preserve">OS median months </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xml:space="preserve">''''''''''''' ''''''''''''''' ''''''''''''''' ''''''' ''''''''''''''''''''''' ''''''''' '''''''''''''' ''''''''''''''' ''''''''''''''' ''''''' '''''''''''''''''''''''''' '''''''''''' '''''''''''''''' '''''''''''''''''' '''''''''''''''''''''''''' </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 ''''''''''' ''''''''''''''' '''''''''''''</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RECIST</w:t>
            </w:r>
            <w:r w:rsidR="00030BF9" w:rsidRPr="00600064">
              <w:rPr>
                <w:rFonts w:ascii="Arial Narrow" w:hAnsi="Arial Narrow"/>
                <w:sz w:val="19"/>
                <w:szCs w:val="19"/>
                <w:u w:val="single"/>
              </w:rPr>
              <w:t>-defined</w:t>
            </w:r>
            <w:r w:rsidRPr="00600064">
              <w:rPr>
                <w:rFonts w:ascii="Arial Narrow" w:hAnsi="Arial Narrow"/>
                <w:sz w:val="19"/>
                <w:szCs w:val="19"/>
                <w:u w:val="single"/>
              </w:rPr>
              <w:t xml:space="preserve"> PFS median months</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 '''''''''''' '''''' '''''''''''''''''''''''''' '''''''''' ''''''''''' ''''''''''''''' ''''''''''' '''''' '''''''''''''''''''''''''' ''''''''''' ''''''''''''''''''' '''''''''''''''''''''' ''''''''''''''''''''''''' '''''''''' '''''''''' ''''''''''''' ''''''''''''''</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u w:val="single"/>
              </w:rPr>
            </w:pPr>
            <w:r w:rsidRPr="00600064">
              <w:rPr>
                <w:rFonts w:ascii="Arial Narrow" w:hAnsi="Arial Narrow"/>
                <w:sz w:val="19"/>
                <w:szCs w:val="19"/>
                <w:u w:val="single"/>
              </w:rPr>
              <w:t>Clinical PFS median months (second database lock)</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xml:space="preserve">'''''''''''' ''''''''''''''' ''''''''''''' '''''' ''''''''''''''''''''''' '''''''''' ''''''''''' ''''''''''''''' '''''''''''' ''''''' ''''''''''''''''''''''''' ''''''''''' ''''''''''''''''' '''''''''''''''''''''' '''''''''''''''''''''''''' </w:t>
            </w:r>
          </w:p>
          <w:p w:rsidR="00A65838" w:rsidRPr="003A224F" w:rsidRDefault="003A224F" w:rsidP="00A65838">
            <w:pPr>
              <w:jc w:val="left"/>
              <w:rPr>
                <w:rFonts w:ascii="Arial Narrow" w:hAnsi="Arial Narrow"/>
                <w:sz w:val="19"/>
                <w:szCs w:val="19"/>
                <w:highlight w:val="black"/>
              </w:rPr>
            </w:pPr>
            <w:r>
              <w:rPr>
                <w:rFonts w:ascii="Arial Narrow" w:hAnsi="Arial Narrow"/>
                <w:noProof/>
                <w:color w:val="000000"/>
                <w:sz w:val="19"/>
                <w:szCs w:val="19"/>
                <w:highlight w:val="black"/>
              </w:rPr>
              <w:t>'''''''' '''' ''''''''''' ''''''''''''' ''''''''''''''</w:t>
            </w:r>
          </w:p>
        </w:tc>
        <w:tc>
          <w:tcPr>
            <w:tcW w:w="1755" w:type="dxa"/>
          </w:tcPr>
          <w:p w:rsidR="00A65838" w:rsidRPr="00600064" w:rsidRDefault="00FB729D" w:rsidP="00A65838">
            <w:pPr>
              <w:jc w:val="left"/>
              <w:rPr>
                <w:rFonts w:ascii="Arial Narrow" w:hAnsi="Arial Narrow"/>
                <w:sz w:val="19"/>
                <w:szCs w:val="19"/>
              </w:rPr>
            </w:pPr>
            <w:r w:rsidRPr="00600064">
              <w:rPr>
                <w:rFonts w:ascii="Arial Narrow" w:hAnsi="Arial Narrow"/>
                <w:sz w:val="19"/>
                <w:szCs w:val="19"/>
              </w:rPr>
              <w:t>No effectiveness data were presented in the resubmission addendum.</w:t>
            </w:r>
          </w:p>
        </w:tc>
      </w:tr>
      <w:tr w:rsidR="00B740D2" w:rsidRPr="00600064" w:rsidTr="005F42CF">
        <w:trPr>
          <w:trHeight w:val="860"/>
        </w:trPr>
        <w:tc>
          <w:tcPr>
            <w:tcW w:w="993"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lastRenderedPageBreak/>
              <w:t>Key safety data</w:t>
            </w:r>
          </w:p>
        </w:tc>
        <w:tc>
          <w:tcPr>
            <w:tcW w:w="2268"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t xml:space="preserve">Submission claimed an acceptable safety profile for the treatment of RCC that compared favourably with </w:t>
            </w:r>
            <w:proofErr w:type="spellStart"/>
            <w:r w:rsidRPr="00600064">
              <w:rPr>
                <w:rFonts w:ascii="Arial Narrow" w:hAnsi="Arial Narrow"/>
                <w:sz w:val="19"/>
                <w:szCs w:val="19"/>
              </w:rPr>
              <w:t>everolimus</w:t>
            </w:r>
            <w:proofErr w:type="spellEnd"/>
            <w:r w:rsidRPr="00600064">
              <w:rPr>
                <w:rFonts w:ascii="Arial Narrow" w:hAnsi="Arial Narrow"/>
                <w:sz w:val="19"/>
                <w:szCs w:val="19"/>
              </w:rPr>
              <w:t>, given the significantly reduced frequency of drug related AEs (any grade, grade 3-4) and deaths.</w:t>
            </w:r>
          </w:p>
          <w:p w:rsidR="00B740D2" w:rsidRPr="00600064" w:rsidRDefault="00B740D2" w:rsidP="00EC418B">
            <w:pPr>
              <w:jc w:val="left"/>
              <w:rPr>
                <w:rFonts w:ascii="Arial Narrow" w:hAnsi="Arial Narrow"/>
                <w:sz w:val="19"/>
                <w:szCs w:val="19"/>
              </w:rPr>
            </w:pPr>
          </w:p>
          <w:p w:rsidR="00B740D2" w:rsidRPr="00600064" w:rsidRDefault="00B740D2" w:rsidP="00A65838">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The PBAC concluded that the clinical claim of ‘favourable’ safety for nivolumab over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was not adequately supported by the data supplied (7.8).</w:t>
            </w:r>
          </w:p>
        </w:tc>
        <w:tc>
          <w:tcPr>
            <w:tcW w:w="2229"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No additional safety data presented.</w:t>
            </w:r>
          </w:p>
        </w:tc>
        <w:tc>
          <w:tcPr>
            <w:tcW w:w="1755"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 xml:space="preserve">Maintained the view that nivolumab provides favourable safety over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and therefore disagreed with PBAC view. The resubmission considered that this disagreement is inconsequential to the cost effectiveness assessment given that the costs of adverse events that occur more frequently in the nivolumab group are included in the economic analysis.</w:t>
            </w:r>
          </w:p>
        </w:tc>
        <w:tc>
          <w:tcPr>
            <w:tcW w:w="1755"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No additional safety data presented.</w:t>
            </w:r>
          </w:p>
        </w:tc>
      </w:tr>
      <w:tr w:rsidR="00B740D2" w:rsidRPr="00600064" w:rsidTr="005F42CF">
        <w:trPr>
          <w:trHeight w:val="860"/>
        </w:trPr>
        <w:tc>
          <w:tcPr>
            <w:tcW w:w="993"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Clinical claim</w:t>
            </w:r>
          </w:p>
        </w:tc>
        <w:tc>
          <w:tcPr>
            <w:tcW w:w="2268"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t xml:space="preserve">The submission described nivolumab as superior in terms of comparative efficacy and as favourable in terms of comparative safety to </w:t>
            </w:r>
            <w:proofErr w:type="spellStart"/>
            <w:r w:rsidRPr="00600064">
              <w:rPr>
                <w:rFonts w:ascii="Arial Narrow" w:hAnsi="Arial Narrow"/>
                <w:sz w:val="19"/>
                <w:szCs w:val="19"/>
              </w:rPr>
              <w:t>everolimus</w:t>
            </w:r>
            <w:proofErr w:type="spellEnd"/>
            <w:r w:rsidRPr="00600064">
              <w:rPr>
                <w:rFonts w:ascii="Arial Narrow" w:hAnsi="Arial Narrow"/>
                <w:sz w:val="19"/>
                <w:szCs w:val="19"/>
              </w:rPr>
              <w:t>.</w:t>
            </w:r>
          </w:p>
          <w:p w:rsidR="00B740D2" w:rsidRPr="00600064" w:rsidRDefault="00B740D2" w:rsidP="00EC418B">
            <w:pPr>
              <w:jc w:val="left"/>
              <w:rPr>
                <w:rFonts w:ascii="Arial Narrow" w:hAnsi="Arial Narrow"/>
                <w:b/>
                <w:sz w:val="19"/>
                <w:szCs w:val="19"/>
              </w:rPr>
            </w:pPr>
          </w:p>
          <w:p w:rsidR="00B740D2" w:rsidRPr="00600064" w:rsidRDefault="00B740D2" w:rsidP="00E9349C">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The PBAC accepted that, nivolumab statistically significantly increased overall survival compared to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although the early stopping of the trial may have over-estimated the </w:t>
            </w:r>
            <w:r w:rsidR="00E9349C" w:rsidRPr="00600064">
              <w:rPr>
                <w:rFonts w:ascii="Arial Narrow" w:hAnsi="Arial Narrow"/>
                <w:sz w:val="19"/>
                <w:szCs w:val="19"/>
              </w:rPr>
              <w:t>extent of benefit</w:t>
            </w:r>
            <w:r w:rsidRPr="00600064">
              <w:rPr>
                <w:rFonts w:ascii="Arial Narrow" w:hAnsi="Arial Narrow"/>
                <w:sz w:val="19"/>
                <w:szCs w:val="19"/>
              </w:rPr>
              <w:t>. The claim of favourable safety was not adequately supported by the data provided (7.6, 7.7, 7.8).</w:t>
            </w:r>
          </w:p>
        </w:tc>
        <w:tc>
          <w:tcPr>
            <w:tcW w:w="2229"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No new clinical claim.</w:t>
            </w:r>
          </w:p>
        </w:tc>
        <w:tc>
          <w:tcPr>
            <w:tcW w:w="1755"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t xml:space="preserve">Nivolumab demonstrated a clear OS benefit over </w:t>
            </w:r>
            <w:proofErr w:type="spellStart"/>
            <w:r w:rsidRPr="00600064">
              <w:rPr>
                <w:rFonts w:ascii="Arial Narrow" w:hAnsi="Arial Narrow"/>
                <w:sz w:val="19"/>
                <w:szCs w:val="19"/>
              </w:rPr>
              <w:t>everolimus</w:t>
            </w:r>
            <w:proofErr w:type="spellEnd"/>
            <w:r w:rsidRPr="00600064">
              <w:rPr>
                <w:rFonts w:ascii="Arial Narrow" w:hAnsi="Arial Narrow"/>
                <w:sz w:val="19"/>
                <w:szCs w:val="19"/>
              </w:rPr>
              <w:t>. RECIST</w:t>
            </w:r>
            <w:r w:rsidR="00514F6C" w:rsidRPr="00600064">
              <w:rPr>
                <w:rFonts w:ascii="Arial Narrow" w:hAnsi="Arial Narrow"/>
                <w:sz w:val="19"/>
                <w:szCs w:val="19"/>
              </w:rPr>
              <w:t>-</w:t>
            </w:r>
            <w:r w:rsidRPr="00600064">
              <w:rPr>
                <w:rFonts w:ascii="Arial Narrow" w:hAnsi="Arial Narrow"/>
                <w:sz w:val="19"/>
                <w:szCs w:val="19"/>
              </w:rPr>
              <w:t xml:space="preserve">defined PFS data suggest a benefit for nivolumab over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although this was not statistically significant. The post-hoc analysis of clinical PFS </w:t>
            </w:r>
            <w:r w:rsidR="003A224F">
              <w:rPr>
                <w:rFonts w:ascii="Arial Narrow" w:hAnsi="Arial Narrow"/>
                <w:noProof/>
                <w:color w:val="000000"/>
                <w:sz w:val="19"/>
                <w:szCs w:val="19"/>
                <w:highlight w:val="black"/>
              </w:rPr>
              <w:t>'''''''''''''''''''' ''''' '''''''''''''''''' '''' ''''''''''''''''''''''''''' '''''''''''''''''''''' ''''''''''''''''''''''' '''' '''''''''''''' ''''' '''''''''''''''''''''''</w:t>
            </w:r>
            <w:r w:rsidRPr="00600064">
              <w:rPr>
                <w:rFonts w:ascii="Arial Narrow" w:hAnsi="Arial Narrow"/>
                <w:sz w:val="19"/>
                <w:szCs w:val="19"/>
              </w:rPr>
              <w:t>.</w:t>
            </w:r>
          </w:p>
          <w:p w:rsidR="00B740D2" w:rsidRPr="00600064" w:rsidRDefault="00B740D2" w:rsidP="00EC418B">
            <w:pPr>
              <w:jc w:val="left"/>
              <w:rPr>
                <w:rFonts w:ascii="Arial Narrow" w:hAnsi="Arial Narrow"/>
                <w:sz w:val="19"/>
                <w:szCs w:val="19"/>
              </w:rPr>
            </w:pPr>
          </w:p>
          <w:p w:rsidR="00B740D2" w:rsidRPr="00600064" w:rsidRDefault="00B740D2" w:rsidP="00A65838">
            <w:pPr>
              <w:jc w:val="left"/>
              <w:rPr>
                <w:rFonts w:ascii="Arial Narrow" w:hAnsi="Arial Narrow"/>
                <w:sz w:val="19"/>
                <w:szCs w:val="19"/>
              </w:rPr>
            </w:pPr>
            <w:r w:rsidRPr="00600064">
              <w:rPr>
                <w:rFonts w:ascii="Arial Narrow" w:hAnsi="Arial Narrow"/>
                <w:sz w:val="19"/>
                <w:szCs w:val="19"/>
              </w:rPr>
              <w:t xml:space="preserve">The resubmission maintained the view that the clinical trial data supported a claim of favourable safety for nivolumab over </w:t>
            </w:r>
            <w:proofErr w:type="spellStart"/>
            <w:r w:rsidRPr="00600064">
              <w:rPr>
                <w:rFonts w:ascii="Arial Narrow" w:hAnsi="Arial Narrow"/>
                <w:sz w:val="19"/>
                <w:szCs w:val="19"/>
              </w:rPr>
              <w:t>everolimus</w:t>
            </w:r>
            <w:proofErr w:type="spellEnd"/>
            <w:r w:rsidRPr="00600064">
              <w:rPr>
                <w:rFonts w:ascii="Arial Narrow" w:hAnsi="Arial Narrow"/>
                <w:sz w:val="19"/>
                <w:szCs w:val="19"/>
              </w:rPr>
              <w:t>.</w:t>
            </w:r>
          </w:p>
        </w:tc>
        <w:tc>
          <w:tcPr>
            <w:tcW w:w="1755"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No new clinical claim.</w:t>
            </w:r>
          </w:p>
        </w:tc>
      </w:tr>
      <w:tr w:rsidR="00B740D2" w:rsidRPr="00600064" w:rsidTr="005F42CF">
        <w:trPr>
          <w:trHeight w:val="1298"/>
        </w:trPr>
        <w:tc>
          <w:tcPr>
            <w:tcW w:w="993" w:type="dxa"/>
          </w:tcPr>
          <w:p w:rsidR="00B740D2" w:rsidRPr="00600064" w:rsidRDefault="00B740D2" w:rsidP="00A65838">
            <w:pPr>
              <w:jc w:val="left"/>
              <w:rPr>
                <w:rFonts w:ascii="Arial Narrow" w:hAnsi="Arial Narrow"/>
                <w:sz w:val="19"/>
                <w:szCs w:val="19"/>
              </w:rPr>
            </w:pPr>
            <w:r w:rsidRPr="00600064">
              <w:rPr>
                <w:rFonts w:ascii="Arial Narrow" w:hAnsi="Arial Narrow"/>
                <w:sz w:val="19"/>
                <w:szCs w:val="19"/>
              </w:rPr>
              <w:t>Economic evaluation</w:t>
            </w:r>
          </w:p>
        </w:tc>
        <w:tc>
          <w:tcPr>
            <w:tcW w:w="2268" w:type="dxa"/>
          </w:tcPr>
          <w:p w:rsidR="00B740D2" w:rsidRPr="00600064" w:rsidRDefault="00B740D2" w:rsidP="00EC418B">
            <w:pPr>
              <w:jc w:val="left"/>
              <w:rPr>
                <w:rFonts w:ascii="Arial Narrow" w:hAnsi="Arial Narrow"/>
                <w:b/>
                <w:sz w:val="19"/>
                <w:szCs w:val="19"/>
              </w:rPr>
            </w:pPr>
            <w:r w:rsidRPr="00600064">
              <w:rPr>
                <w:rFonts w:ascii="Arial Narrow" w:hAnsi="Arial Narrow"/>
                <w:sz w:val="19"/>
                <w:szCs w:val="19"/>
              </w:rPr>
              <w:t xml:space="preserve">Cost-utility model with cost/QALY </w:t>
            </w:r>
            <w:r w:rsidR="009E1050" w:rsidRPr="009E1050">
              <w:rPr>
                <w:rFonts w:ascii="Arial Narrow" w:hAnsi="Arial Narrow"/>
                <w:sz w:val="19"/>
                <w:szCs w:val="19"/>
              </w:rPr>
              <w:t>$45,000/QALY - $75,000/QALY</w:t>
            </w:r>
            <w:r w:rsidRPr="00600064">
              <w:rPr>
                <w:rFonts w:ascii="Arial Narrow" w:hAnsi="Arial Narrow"/>
                <w:sz w:val="19"/>
                <w:szCs w:val="19"/>
              </w:rPr>
              <w:t>.</w:t>
            </w:r>
            <w:r w:rsidRPr="00600064">
              <w:rPr>
                <w:rFonts w:ascii="Arial Narrow" w:hAnsi="Arial Narrow"/>
                <w:b/>
                <w:sz w:val="19"/>
                <w:szCs w:val="19"/>
              </w:rPr>
              <w:t xml:space="preserve"> </w:t>
            </w:r>
          </w:p>
          <w:p w:rsidR="00B740D2" w:rsidRPr="00600064" w:rsidRDefault="00B740D2" w:rsidP="00EC418B">
            <w:pPr>
              <w:jc w:val="left"/>
              <w:rPr>
                <w:rFonts w:ascii="Arial Narrow" w:hAnsi="Arial Narrow"/>
                <w:b/>
                <w:sz w:val="19"/>
                <w:szCs w:val="19"/>
              </w:rPr>
            </w:pPr>
          </w:p>
          <w:p w:rsidR="00B740D2" w:rsidRPr="00600064" w:rsidRDefault="00B740D2" w:rsidP="00A65838">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Unacceptably high and uncertain ICER at the requested effective price (7.1). The PBAC proposed a respecified base case to be adopted in a resubmission with a back calculated effective price of nivolumab to achiever an ICER not greater than </w:t>
            </w:r>
            <w:r w:rsidR="009E1050" w:rsidRPr="009E1050">
              <w:rPr>
                <w:rFonts w:ascii="Arial Narrow" w:hAnsi="Arial Narrow"/>
                <w:sz w:val="19"/>
                <w:szCs w:val="19"/>
              </w:rPr>
              <w:t>$45,000/QALY</w:t>
            </w:r>
            <w:r w:rsidR="009E1050">
              <w:rPr>
                <w:rFonts w:ascii="Arial Narrow" w:hAnsi="Arial Narrow"/>
                <w:sz w:val="19"/>
                <w:szCs w:val="19"/>
              </w:rPr>
              <w:t xml:space="preserve"> gained</w:t>
            </w:r>
            <w:r w:rsidR="009E1050" w:rsidRPr="009E1050">
              <w:rPr>
                <w:rFonts w:ascii="Arial Narrow" w:hAnsi="Arial Narrow"/>
                <w:sz w:val="19"/>
                <w:szCs w:val="19"/>
              </w:rPr>
              <w:t xml:space="preserve"> - </w:t>
            </w:r>
            <w:r w:rsidR="009E1050" w:rsidRPr="009E1050">
              <w:rPr>
                <w:rFonts w:ascii="Arial Narrow" w:hAnsi="Arial Narrow"/>
                <w:sz w:val="19"/>
                <w:szCs w:val="19"/>
              </w:rPr>
              <w:lastRenderedPageBreak/>
              <w:t xml:space="preserve">$75,000/QALY </w:t>
            </w:r>
            <w:proofErr w:type="gramStart"/>
            <w:r w:rsidR="009E1050">
              <w:rPr>
                <w:rFonts w:ascii="Arial Narrow" w:hAnsi="Arial Narrow"/>
                <w:sz w:val="19"/>
                <w:szCs w:val="19"/>
              </w:rPr>
              <w:t>gained</w:t>
            </w:r>
            <w:r w:rsidRPr="00600064">
              <w:rPr>
                <w:rFonts w:ascii="Arial Narrow" w:hAnsi="Arial Narrow"/>
                <w:sz w:val="19"/>
                <w:szCs w:val="19"/>
              </w:rPr>
              <w:t>(</w:t>
            </w:r>
            <w:proofErr w:type="gramEnd"/>
            <w:r w:rsidRPr="00600064">
              <w:rPr>
                <w:rFonts w:ascii="Arial Narrow" w:hAnsi="Arial Narrow"/>
                <w:sz w:val="19"/>
                <w:szCs w:val="19"/>
              </w:rPr>
              <w:t>7.10).</w:t>
            </w:r>
          </w:p>
        </w:tc>
        <w:tc>
          <w:tcPr>
            <w:tcW w:w="2229"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lastRenderedPageBreak/>
              <w:t xml:space="preserve">Cost-utility model with cost/QALY </w:t>
            </w:r>
            <w:r w:rsidR="009E1050" w:rsidRPr="009E1050">
              <w:rPr>
                <w:rFonts w:ascii="Arial Narrow" w:hAnsi="Arial Narrow"/>
                <w:sz w:val="19"/>
                <w:szCs w:val="19"/>
              </w:rPr>
              <w:t>$45,000/QALY - $75,000/QALY</w:t>
            </w:r>
            <w:r w:rsidRPr="00600064">
              <w:rPr>
                <w:rFonts w:ascii="Arial Narrow" w:hAnsi="Arial Narrow"/>
                <w:sz w:val="19"/>
                <w:szCs w:val="19"/>
              </w:rPr>
              <w:t>.</w:t>
            </w:r>
          </w:p>
          <w:p w:rsidR="00B740D2" w:rsidRPr="00600064" w:rsidRDefault="00B740D2" w:rsidP="00EC418B">
            <w:pPr>
              <w:jc w:val="left"/>
              <w:rPr>
                <w:rFonts w:ascii="Arial Narrow" w:hAnsi="Arial Narrow"/>
                <w:b/>
                <w:sz w:val="19"/>
                <w:szCs w:val="19"/>
              </w:rPr>
            </w:pPr>
          </w:p>
          <w:p w:rsidR="00B740D2" w:rsidRPr="00600064" w:rsidRDefault="00B740D2" w:rsidP="00EC418B">
            <w:pPr>
              <w:jc w:val="left"/>
              <w:rPr>
                <w:rFonts w:ascii="Arial Narrow" w:hAnsi="Arial Narrow"/>
                <w:sz w:val="19"/>
                <w:szCs w:val="19"/>
              </w:rPr>
            </w:pPr>
            <w:r w:rsidRPr="00600064">
              <w:rPr>
                <w:rFonts w:ascii="Arial Narrow" w:hAnsi="Arial Narrow"/>
                <w:sz w:val="19"/>
                <w:szCs w:val="19"/>
              </w:rPr>
              <w:t xml:space="preserve">Re-specification of the base case undertaken to reduce the modelled time horizon to 5 years, treatment costs to </w:t>
            </w:r>
            <w:proofErr w:type="gramStart"/>
            <w:r w:rsidRPr="00600064">
              <w:rPr>
                <w:rFonts w:ascii="Arial Narrow" w:hAnsi="Arial Narrow"/>
                <w:sz w:val="19"/>
                <w:szCs w:val="19"/>
              </w:rPr>
              <w:t>the per</w:t>
            </w:r>
            <w:proofErr w:type="gramEnd"/>
            <w:r w:rsidRPr="00600064">
              <w:rPr>
                <w:rFonts w:ascii="Arial Narrow" w:hAnsi="Arial Narrow"/>
                <w:sz w:val="19"/>
                <w:szCs w:val="19"/>
              </w:rPr>
              <w:t xml:space="preserve"> cycle approach, </w:t>
            </w:r>
            <w:r w:rsidR="00E9349C" w:rsidRPr="00600064">
              <w:rPr>
                <w:rFonts w:ascii="Arial Narrow" w:hAnsi="Arial Narrow"/>
                <w:sz w:val="19"/>
                <w:szCs w:val="19"/>
              </w:rPr>
              <w:t xml:space="preserve">and </w:t>
            </w:r>
            <w:r w:rsidRPr="00600064">
              <w:rPr>
                <w:rFonts w:ascii="Arial Narrow" w:hAnsi="Arial Narrow"/>
                <w:sz w:val="19"/>
                <w:szCs w:val="19"/>
              </w:rPr>
              <w:t xml:space="preserve">reduced cost of nivolumab which was capped at </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costed infusions.</w:t>
            </w:r>
          </w:p>
          <w:p w:rsidR="00B740D2" w:rsidRPr="00600064" w:rsidRDefault="00B740D2" w:rsidP="00EC418B">
            <w:pPr>
              <w:jc w:val="left"/>
              <w:rPr>
                <w:rFonts w:ascii="Arial Narrow" w:hAnsi="Arial Narrow"/>
                <w:sz w:val="19"/>
                <w:szCs w:val="19"/>
              </w:rPr>
            </w:pPr>
          </w:p>
          <w:p w:rsidR="00B740D2" w:rsidRPr="00600064" w:rsidRDefault="00B740D2" w:rsidP="00A65838">
            <w:pPr>
              <w:jc w:val="left"/>
              <w:rPr>
                <w:rFonts w:ascii="Arial Narrow" w:hAnsi="Arial Narrow"/>
                <w:sz w:val="19"/>
                <w:szCs w:val="19"/>
              </w:rPr>
            </w:pPr>
            <w:r w:rsidRPr="00600064">
              <w:rPr>
                <w:rFonts w:ascii="Arial Narrow" w:hAnsi="Arial Narrow"/>
                <w:b/>
                <w:sz w:val="19"/>
                <w:szCs w:val="19"/>
              </w:rPr>
              <w:t>PBAC comment</w:t>
            </w:r>
            <w:r w:rsidRPr="00600064">
              <w:rPr>
                <w:rFonts w:ascii="Arial Narrow" w:hAnsi="Arial Narrow"/>
                <w:sz w:val="19"/>
                <w:szCs w:val="19"/>
              </w:rPr>
              <w:t xml:space="preserve">: Unfavourable and uncertain </w:t>
            </w:r>
            <w:r w:rsidRPr="00600064">
              <w:rPr>
                <w:rFonts w:ascii="Arial Narrow" w:hAnsi="Arial Narrow"/>
                <w:sz w:val="19"/>
                <w:szCs w:val="19"/>
              </w:rPr>
              <w:lastRenderedPageBreak/>
              <w:t>cost-effectiveness (7.1). The sponsor had complied with some, but not all, of the respecified base case as proposed by the PBAC (7.6)</w:t>
            </w:r>
            <w:r w:rsidR="005B3341" w:rsidRPr="00600064">
              <w:rPr>
                <w:rFonts w:ascii="Arial Narrow" w:hAnsi="Arial Narrow"/>
                <w:sz w:val="19"/>
                <w:szCs w:val="19"/>
              </w:rPr>
              <w:t>.</w:t>
            </w:r>
          </w:p>
        </w:tc>
        <w:tc>
          <w:tcPr>
            <w:tcW w:w="1755"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lastRenderedPageBreak/>
              <w:t xml:space="preserve">Cost-utility model with cost/QALY </w:t>
            </w:r>
            <w:r w:rsidR="009E1050" w:rsidRPr="009E1050">
              <w:rPr>
                <w:rFonts w:ascii="Arial Narrow" w:hAnsi="Arial Narrow"/>
                <w:sz w:val="19"/>
                <w:szCs w:val="19"/>
              </w:rPr>
              <w:t>$45,000/QALY - $75,000/QALY</w:t>
            </w:r>
            <w:r w:rsidRPr="00600064">
              <w:rPr>
                <w:rFonts w:ascii="Arial Narrow" w:hAnsi="Arial Narrow"/>
                <w:sz w:val="19"/>
                <w:szCs w:val="19"/>
              </w:rPr>
              <w:t>.</w:t>
            </w:r>
          </w:p>
          <w:p w:rsidR="00B740D2" w:rsidRPr="00600064" w:rsidRDefault="00B740D2" w:rsidP="00EC418B">
            <w:pPr>
              <w:jc w:val="left"/>
              <w:rPr>
                <w:rFonts w:ascii="Arial Narrow" w:hAnsi="Arial Narrow"/>
                <w:sz w:val="19"/>
                <w:szCs w:val="19"/>
              </w:rPr>
            </w:pPr>
          </w:p>
          <w:p w:rsidR="00B740D2" w:rsidRPr="00600064" w:rsidRDefault="00B740D2" w:rsidP="00A65838">
            <w:pPr>
              <w:jc w:val="left"/>
              <w:rPr>
                <w:rFonts w:ascii="Arial Narrow" w:hAnsi="Arial Narrow"/>
                <w:sz w:val="19"/>
                <w:szCs w:val="19"/>
              </w:rPr>
            </w:pPr>
            <w:r w:rsidRPr="00600064">
              <w:rPr>
                <w:rFonts w:ascii="Arial Narrow" w:hAnsi="Arial Narrow"/>
                <w:sz w:val="19"/>
                <w:szCs w:val="19"/>
              </w:rPr>
              <w:t xml:space="preserve">Further re-specification of the base case undertaken with changes including a modelled time horizon of 8 years, costs of nivolumab capped at </w:t>
            </w:r>
            <w:r w:rsidR="003A224F">
              <w:rPr>
                <w:rFonts w:ascii="Arial Narrow" w:hAnsi="Arial Narrow"/>
                <w:noProof/>
                <w:color w:val="000000"/>
                <w:sz w:val="19"/>
                <w:szCs w:val="19"/>
                <w:highlight w:val="black"/>
              </w:rPr>
              <w:t>'''''''''''''''</w:t>
            </w:r>
            <w:r w:rsidRPr="00600064">
              <w:rPr>
                <w:rFonts w:ascii="Arial Narrow" w:hAnsi="Arial Narrow"/>
                <w:sz w:val="19"/>
                <w:szCs w:val="19"/>
              </w:rPr>
              <w:t xml:space="preserve"> infusions and treatment costs for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based on </w:t>
            </w:r>
            <w:r w:rsidRPr="00600064">
              <w:rPr>
                <w:rFonts w:ascii="Arial Narrow" w:hAnsi="Arial Narrow"/>
                <w:sz w:val="19"/>
                <w:szCs w:val="19"/>
              </w:rPr>
              <w:lastRenderedPageBreak/>
              <w:t>RECIST-</w:t>
            </w:r>
            <w:r w:rsidR="00030BF9" w:rsidRPr="00600064">
              <w:rPr>
                <w:rFonts w:ascii="Arial Narrow" w:hAnsi="Arial Narrow"/>
                <w:sz w:val="19"/>
                <w:szCs w:val="19"/>
              </w:rPr>
              <w:t xml:space="preserve">defined </w:t>
            </w:r>
            <w:r w:rsidRPr="00600064">
              <w:rPr>
                <w:rFonts w:ascii="Arial Narrow" w:hAnsi="Arial Narrow"/>
                <w:sz w:val="19"/>
                <w:szCs w:val="19"/>
              </w:rPr>
              <w:t>PFS rather than clinical PFS.</w:t>
            </w:r>
          </w:p>
        </w:tc>
        <w:tc>
          <w:tcPr>
            <w:tcW w:w="1755" w:type="dxa"/>
          </w:tcPr>
          <w:p w:rsidR="00B740D2" w:rsidRPr="00600064" w:rsidRDefault="00B740D2" w:rsidP="00EC418B">
            <w:pPr>
              <w:jc w:val="left"/>
              <w:rPr>
                <w:rFonts w:ascii="Arial Narrow" w:hAnsi="Arial Narrow"/>
                <w:sz w:val="19"/>
                <w:szCs w:val="19"/>
              </w:rPr>
            </w:pPr>
            <w:r w:rsidRPr="00600064">
              <w:rPr>
                <w:rFonts w:ascii="Arial Narrow" w:hAnsi="Arial Narrow"/>
                <w:sz w:val="19"/>
                <w:szCs w:val="19"/>
              </w:rPr>
              <w:lastRenderedPageBreak/>
              <w:t xml:space="preserve">Cost-utility model with cost/QALY </w:t>
            </w:r>
            <w:r w:rsidR="009E1050" w:rsidRPr="009E1050">
              <w:rPr>
                <w:rFonts w:ascii="Arial Narrow" w:hAnsi="Arial Narrow"/>
                <w:sz w:val="19"/>
                <w:szCs w:val="19"/>
              </w:rPr>
              <w:t>$45,000/QALY - $75,000/QALY</w:t>
            </w:r>
            <w:r w:rsidRPr="00600064">
              <w:rPr>
                <w:rFonts w:ascii="Arial Narrow" w:hAnsi="Arial Narrow"/>
                <w:sz w:val="19"/>
                <w:szCs w:val="19"/>
              </w:rPr>
              <w:t>.</w:t>
            </w:r>
          </w:p>
          <w:p w:rsidR="00B740D2" w:rsidRPr="00600064" w:rsidRDefault="00B740D2" w:rsidP="00EC418B">
            <w:pPr>
              <w:jc w:val="left"/>
              <w:rPr>
                <w:rFonts w:ascii="Arial Narrow" w:hAnsi="Arial Narrow"/>
                <w:sz w:val="19"/>
                <w:szCs w:val="19"/>
              </w:rPr>
            </w:pPr>
          </w:p>
          <w:p w:rsidR="00B740D2" w:rsidRPr="00600064" w:rsidRDefault="00B740D2" w:rsidP="00E9349C">
            <w:pPr>
              <w:jc w:val="left"/>
              <w:rPr>
                <w:rFonts w:ascii="Arial Narrow" w:hAnsi="Arial Narrow"/>
                <w:sz w:val="19"/>
                <w:szCs w:val="19"/>
              </w:rPr>
            </w:pPr>
            <w:r w:rsidRPr="00600064">
              <w:rPr>
                <w:rFonts w:ascii="Arial Narrow" w:hAnsi="Arial Narrow"/>
                <w:sz w:val="19"/>
                <w:szCs w:val="19"/>
              </w:rPr>
              <w:t>Two amended scenarios were presented based on an 8</w:t>
            </w:r>
            <w:r w:rsidR="00E9349C" w:rsidRPr="00600064">
              <w:rPr>
                <w:rFonts w:ascii="Arial Narrow" w:hAnsi="Arial Narrow"/>
                <w:sz w:val="19"/>
                <w:szCs w:val="19"/>
              </w:rPr>
              <w:t>-year</w:t>
            </w:r>
            <w:r w:rsidRPr="00600064">
              <w:rPr>
                <w:rFonts w:ascii="Arial Narrow" w:hAnsi="Arial Narrow"/>
                <w:sz w:val="19"/>
                <w:szCs w:val="19"/>
              </w:rPr>
              <w:t xml:space="preserve"> time horizon (sponsor preferred) and </w:t>
            </w:r>
            <w:r w:rsidR="00E9349C" w:rsidRPr="00600064">
              <w:rPr>
                <w:rFonts w:ascii="Arial Narrow" w:hAnsi="Arial Narrow"/>
                <w:sz w:val="19"/>
                <w:szCs w:val="19"/>
              </w:rPr>
              <w:t>5-</w:t>
            </w:r>
            <w:r w:rsidRPr="00600064">
              <w:rPr>
                <w:rFonts w:ascii="Arial Narrow" w:hAnsi="Arial Narrow"/>
                <w:sz w:val="19"/>
                <w:szCs w:val="19"/>
              </w:rPr>
              <w:t>year horizon (PBAC preferred). Progression states for all arms defined by RECIST-</w:t>
            </w:r>
            <w:r w:rsidR="00030BF9" w:rsidRPr="00600064">
              <w:rPr>
                <w:rFonts w:ascii="Arial Narrow" w:hAnsi="Arial Narrow"/>
                <w:sz w:val="19"/>
                <w:szCs w:val="19"/>
              </w:rPr>
              <w:t xml:space="preserve">defined </w:t>
            </w:r>
            <w:r w:rsidRPr="00600064">
              <w:rPr>
                <w:rFonts w:ascii="Arial Narrow" w:hAnsi="Arial Narrow"/>
                <w:sz w:val="19"/>
                <w:szCs w:val="19"/>
              </w:rPr>
              <w:t xml:space="preserve">PFS rather than </w:t>
            </w:r>
            <w:r w:rsidRPr="00600064">
              <w:rPr>
                <w:rFonts w:ascii="Arial Narrow" w:hAnsi="Arial Narrow"/>
                <w:sz w:val="19"/>
                <w:szCs w:val="19"/>
              </w:rPr>
              <w:lastRenderedPageBreak/>
              <w:t>clinical PFS, and QALY estimates and costs adjusted</w:t>
            </w:r>
            <w:r w:rsidR="00E9349C" w:rsidRPr="00600064">
              <w:rPr>
                <w:rFonts w:ascii="Arial Narrow" w:hAnsi="Arial Narrow"/>
                <w:sz w:val="19"/>
                <w:szCs w:val="19"/>
              </w:rPr>
              <w:t xml:space="preserve"> accordingly</w:t>
            </w:r>
            <w:r w:rsidRPr="00600064">
              <w:rPr>
                <w:rFonts w:ascii="Arial Narrow" w:hAnsi="Arial Narrow"/>
                <w:sz w:val="19"/>
                <w:szCs w:val="19"/>
              </w:rPr>
              <w:t xml:space="preserve">. Prices of nivolumab vials were increased </w:t>
            </w:r>
            <w:r w:rsidR="00E9349C" w:rsidRPr="00600064">
              <w:rPr>
                <w:rFonts w:ascii="Arial Narrow" w:hAnsi="Arial Narrow"/>
                <w:sz w:val="19"/>
                <w:szCs w:val="19"/>
              </w:rPr>
              <w:t xml:space="preserve">(from November resubmission) </w:t>
            </w:r>
            <w:r w:rsidRPr="00600064">
              <w:rPr>
                <w:rFonts w:ascii="Arial Narrow" w:hAnsi="Arial Narrow"/>
                <w:sz w:val="19"/>
                <w:szCs w:val="19"/>
              </w:rPr>
              <w:t>with no proposed cap on treatment duration.</w:t>
            </w:r>
          </w:p>
        </w:tc>
      </w:tr>
      <w:tr w:rsidR="00A65838" w:rsidRPr="00600064" w:rsidTr="005F42CF">
        <w:trPr>
          <w:trHeight w:val="845"/>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lastRenderedPageBreak/>
              <w:t>Number of patients</w:t>
            </w:r>
          </w:p>
        </w:tc>
        <w:tc>
          <w:tcPr>
            <w:tcW w:w="2268" w:type="dxa"/>
          </w:tcPr>
          <w:p w:rsidR="00A65838" w:rsidRPr="00600064" w:rsidRDefault="00F751E0" w:rsidP="00A65838">
            <w:pPr>
              <w:jc w:val="left"/>
              <w:rPr>
                <w:rFonts w:ascii="Arial Narrow" w:hAnsi="Arial Narrow"/>
                <w:sz w:val="19"/>
                <w:szCs w:val="19"/>
              </w:rPr>
            </w:pPr>
            <w:r>
              <w:rPr>
                <w:rFonts w:ascii="Arial Narrow" w:hAnsi="Arial Narrow"/>
                <w:sz w:val="19"/>
                <w:szCs w:val="19"/>
              </w:rPr>
              <w:t>Less than 10,000</w:t>
            </w:r>
            <w:r w:rsidRPr="00600064">
              <w:rPr>
                <w:rFonts w:ascii="Arial Narrow" w:hAnsi="Arial Narrow"/>
                <w:sz w:val="19"/>
                <w:szCs w:val="19"/>
              </w:rPr>
              <w:t xml:space="preserve"> </w:t>
            </w:r>
            <w:r w:rsidR="00A65838" w:rsidRPr="00600064">
              <w:rPr>
                <w:rFonts w:ascii="Arial Narrow" w:hAnsi="Arial Narrow"/>
                <w:sz w:val="19"/>
                <w:szCs w:val="19"/>
              </w:rPr>
              <w:t xml:space="preserve">in Year 1 increasing to </w:t>
            </w:r>
            <w:r>
              <w:rPr>
                <w:rFonts w:ascii="Arial Narrow" w:hAnsi="Arial Narrow"/>
                <w:sz w:val="19"/>
                <w:szCs w:val="19"/>
              </w:rPr>
              <w:t>less than 10,000</w:t>
            </w:r>
            <w:r w:rsidRPr="00600064">
              <w:rPr>
                <w:rFonts w:ascii="Arial Narrow" w:hAnsi="Arial Narrow"/>
                <w:sz w:val="19"/>
                <w:szCs w:val="19"/>
              </w:rPr>
              <w:t xml:space="preserve"> </w:t>
            </w:r>
            <w:r w:rsidR="00A65838" w:rsidRPr="00600064">
              <w:rPr>
                <w:rFonts w:ascii="Arial Narrow" w:hAnsi="Arial Narrow"/>
                <w:sz w:val="19"/>
                <w:szCs w:val="19"/>
              </w:rPr>
              <w:t>in Year 5.</w:t>
            </w:r>
          </w:p>
          <w:p w:rsidR="00A65838" w:rsidRPr="00600064" w:rsidRDefault="00A65838" w:rsidP="00A65838">
            <w:pPr>
              <w:jc w:val="left"/>
              <w:rPr>
                <w:rFonts w:ascii="Arial Narrow" w:hAnsi="Arial Narrow"/>
                <w:b/>
                <w:sz w:val="19"/>
                <w:szCs w:val="19"/>
              </w:rPr>
            </w:pPr>
          </w:p>
          <w:p w:rsidR="00A65838" w:rsidRPr="00600064" w:rsidRDefault="00A65838" w:rsidP="00A65838">
            <w:pPr>
              <w:jc w:val="left"/>
              <w:rPr>
                <w:rFonts w:ascii="Arial Narrow" w:hAnsi="Arial Narrow"/>
                <w:sz w:val="19"/>
                <w:szCs w:val="19"/>
              </w:rPr>
            </w:pPr>
            <w:r w:rsidRPr="00600064">
              <w:rPr>
                <w:rFonts w:ascii="Arial Narrow" w:hAnsi="Arial Narrow"/>
                <w:b/>
                <w:sz w:val="19"/>
                <w:szCs w:val="19"/>
              </w:rPr>
              <w:t>PBAC Comment:</w:t>
            </w:r>
          </w:p>
          <w:p w:rsidR="00CB19DE" w:rsidRPr="00600064" w:rsidRDefault="00096AC7" w:rsidP="00C77B13">
            <w:pPr>
              <w:jc w:val="left"/>
              <w:rPr>
                <w:rFonts w:ascii="Arial Narrow" w:hAnsi="Arial Narrow"/>
                <w:sz w:val="19"/>
                <w:szCs w:val="19"/>
                <w:highlight w:val="yellow"/>
              </w:rPr>
            </w:pPr>
            <w:r w:rsidRPr="00600064">
              <w:rPr>
                <w:rFonts w:ascii="Arial Narrow" w:hAnsi="Arial Narrow"/>
                <w:sz w:val="19"/>
                <w:szCs w:val="19"/>
              </w:rPr>
              <w:t>“T</w:t>
            </w:r>
            <w:r w:rsidR="00CB19DE" w:rsidRPr="00600064">
              <w:rPr>
                <w:rFonts w:ascii="Arial Narrow" w:hAnsi="Arial Narrow"/>
                <w:sz w:val="19"/>
                <w:szCs w:val="19"/>
              </w:rPr>
              <w:t xml:space="preserve">he PBAC advised that the assumed uptake </w:t>
            </w:r>
            <w:r w:rsidR="00D664EF" w:rsidRPr="00600064">
              <w:rPr>
                <w:rFonts w:ascii="Arial Narrow" w:hAnsi="Arial Narrow"/>
                <w:sz w:val="19"/>
                <w:szCs w:val="19"/>
              </w:rPr>
              <w:t>rate  ...</w:t>
            </w:r>
            <w:r w:rsidRPr="00600064">
              <w:rPr>
                <w:rFonts w:ascii="Arial Narrow" w:hAnsi="Arial Narrow"/>
                <w:sz w:val="19"/>
                <w:szCs w:val="19"/>
              </w:rPr>
              <w:t>f</w:t>
            </w:r>
            <w:r w:rsidR="00CB19DE" w:rsidRPr="00600064">
              <w:rPr>
                <w:rFonts w:ascii="Arial Narrow" w:hAnsi="Arial Narrow"/>
                <w:sz w:val="19"/>
                <w:szCs w:val="19"/>
              </w:rPr>
              <w:t>or nivolumab was implausibly high</w:t>
            </w:r>
            <w:r w:rsidR="00C77B13" w:rsidRPr="00600064">
              <w:rPr>
                <w:rFonts w:ascii="Arial Narrow" w:hAnsi="Arial Narrow"/>
                <w:sz w:val="19"/>
                <w:szCs w:val="19"/>
              </w:rPr>
              <w:t xml:space="preserve"> …</w:t>
            </w:r>
            <w:r w:rsidR="00CB19DE" w:rsidRPr="00600064">
              <w:rPr>
                <w:rFonts w:ascii="Arial Narrow" w:hAnsi="Arial Narrow"/>
                <w:sz w:val="19"/>
                <w:szCs w:val="19"/>
              </w:rPr>
              <w:t xml:space="preserve">. However, the PBAC also noted that the submission possibly underestimated the number of patients receiving first-line TKIs. Accordingly, the PBAC recommended that a reduced uptake rate of nivolumab should be identified </w:t>
            </w:r>
            <w:r w:rsidRPr="00600064">
              <w:rPr>
                <w:rFonts w:ascii="Arial Narrow" w:hAnsi="Arial Narrow"/>
                <w:sz w:val="19"/>
                <w:szCs w:val="19"/>
              </w:rPr>
              <w:t>…</w:t>
            </w:r>
            <w:r w:rsidR="00CB19DE" w:rsidRPr="00600064">
              <w:rPr>
                <w:rFonts w:ascii="Arial Narrow" w:hAnsi="Arial Narrow"/>
                <w:sz w:val="19"/>
                <w:szCs w:val="19"/>
              </w:rPr>
              <w:t xml:space="preserve"> in order to support a Risk Sharing A</w:t>
            </w:r>
            <w:r w:rsidR="00736ED6" w:rsidRPr="00600064">
              <w:rPr>
                <w:rFonts w:ascii="Arial Narrow" w:hAnsi="Arial Narrow"/>
                <w:sz w:val="19"/>
                <w:szCs w:val="19"/>
              </w:rPr>
              <w:t>rrangement (7.12).</w:t>
            </w:r>
            <w:r w:rsidRPr="00600064">
              <w:rPr>
                <w:rFonts w:ascii="Arial Narrow" w:hAnsi="Arial Narrow"/>
                <w:sz w:val="19"/>
                <w:szCs w:val="19"/>
              </w:rPr>
              <w:t>”</w:t>
            </w:r>
          </w:p>
        </w:tc>
        <w:tc>
          <w:tcPr>
            <w:tcW w:w="2229" w:type="dxa"/>
          </w:tcPr>
          <w:p w:rsidR="00A65838" w:rsidRPr="00600064" w:rsidRDefault="00B96295" w:rsidP="004E1311">
            <w:pPr>
              <w:jc w:val="left"/>
              <w:rPr>
                <w:rFonts w:ascii="Arial Narrow" w:hAnsi="Arial Narrow"/>
                <w:sz w:val="19"/>
                <w:szCs w:val="19"/>
              </w:rPr>
            </w:pPr>
            <w:r>
              <w:rPr>
                <w:rFonts w:ascii="Arial Narrow" w:hAnsi="Arial Narrow"/>
                <w:sz w:val="19"/>
                <w:szCs w:val="19"/>
              </w:rPr>
              <w:t>L</w:t>
            </w:r>
            <w:r w:rsidR="00F751E0">
              <w:rPr>
                <w:rFonts w:ascii="Arial Narrow" w:hAnsi="Arial Narrow"/>
                <w:sz w:val="19"/>
                <w:szCs w:val="19"/>
              </w:rPr>
              <w:t>ess than 10,000</w:t>
            </w:r>
            <w:r w:rsidR="00A65838" w:rsidRPr="00600064">
              <w:rPr>
                <w:rFonts w:ascii="Arial Narrow" w:hAnsi="Arial Narrow"/>
                <w:sz w:val="19"/>
                <w:szCs w:val="19"/>
              </w:rPr>
              <w:t xml:space="preserve"> in Year 1 increasing to </w:t>
            </w:r>
            <w:r w:rsidR="00F751E0">
              <w:rPr>
                <w:rFonts w:ascii="Arial Narrow" w:hAnsi="Arial Narrow"/>
                <w:sz w:val="19"/>
                <w:szCs w:val="19"/>
              </w:rPr>
              <w:t>less than 10,000</w:t>
            </w:r>
            <w:r w:rsidR="00A65838" w:rsidRPr="00600064">
              <w:rPr>
                <w:rFonts w:ascii="Arial Narrow" w:hAnsi="Arial Narrow"/>
                <w:sz w:val="19"/>
                <w:szCs w:val="19"/>
              </w:rPr>
              <w:t xml:space="preserve"> in Year 5.</w:t>
            </w:r>
          </w:p>
          <w:p w:rsidR="00C4272E" w:rsidRPr="00600064" w:rsidRDefault="00C4272E" w:rsidP="004E1311">
            <w:pPr>
              <w:jc w:val="left"/>
              <w:rPr>
                <w:rFonts w:ascii="Arial Narrow" w:hAnsi="Arial Narrow"/>
                <w:sz w:val="19"/>
                <w:szCs w:val="19"/>
              </w:rPr>
            </w:pPr>
          </w:p>
          <w:p w:rsidR="00C4272E" w:rsidRPr="00600064" w:rsidRDefault="00C4272E" w:rsidP="004E1311">
            <w:pPr>
              <w:jc w:val="left"/>
              <w:rPr>
                <w:rFonts w:ascii="Arial Narrow" w:hAnsi="Arial Narrow"/>
                <w:b/>
                <w:sz w:val="19"/>
                <w:szCs w:val="19"/>
              </w:rPr>
            </w:pPr>
            <w:r w:rsidRPr="00600064">
              <w:rPr>
                <w:rFonts w:ascii="Arial Narrow" w:hAnsi="Arial Narrow"/>
                <w:b/>
                <w:sz w:val="19"/>
                <w:szCs w:val="19"/>
              </w:rPr>
              <w:t>PBAC Comment:</w:t>
            </w:r>
          </w:p>
          <w:p w:rsidR="005879F1" w:rsidRPr="00600064" w:rsidRDefault="005879F1" w:rsidP="005879F1">
            <w:pPr>
              <w:jc w:val="left"/>
              <w:rPr>
                <w:rFonts w:ascii="Arial Narrow" w:hAnsi="Arial Narrow"/>
                <w:sz w:val="19"/>
                <w:szCs w:val="19"/>
              </w:rPr>
            </w:pPr>
            <w:r w:rsidRPr="00600064">
              <w:rPr>
                <w:rFonts w:ascii="Arial Narrow" w:hAnsi="Arial Narrow"/>
                <w:sz w:val="19"/>
                <w:szCs w:val="19"/>
              </w:rPr>
              <w:t>“The PBAC noted that the resubmission reduced the estimated uptake of second-line therapy in RCC …. The PBAC considered that this was still an overestimation of the expected uptake of nivolumab based on current PBS data on uptake of second-line therapy after progression from a TKI” (7.10).</w:t>
            </w:r>
          </w:p>
        </w:tc>
        <w:tc>
          <w:tcPr>
            <w:tcW w:w="1755" w:type="dxa"/>
          </w:tcPr>
          <w:p w:rsidR="00A65838" w:rsidRPr="00600064" w:rsidRDefault="00B96295" w:rsidP="00A65838">
            <w:pPr>
              <w:jc w:val="left"/>
              <w:rPr>
                <w:rFonts w:ascii="Arial Narrow" w:hAnsi="Arial Narrow"/>
                <w:sz w:val="19"/>
                <w:szCs w:val="19"/>
                <w:highlight w:val="yellow"/>
              </w:rPr>
            </w:pPr>
            <w:r>
              <w:rPr>
                <w:rFonts w:ascii="Arial Narrow" w:hAnsi="Arial Narrow"/>
                <w:sz w:val="19"/>
                <w:szCs w:val="19"/>
              </w:rPr>
              <w:t>L</w:t>
            </w:r>
            <w:r w:rsidR="00F751E0">
              <w:rPr>
                <w:rFonts w:ascii="Arial Narrow" w:hAnsi="Arial Narrow"/>
                <w:sz w:val="19"/>
                <w:szCs w:val="19"/>
              </w:rPr>
              <w:t>ess than 10,000</w:t>
            </w:r>
            <w:r w:rsidR="00EF6D01" w:rsidRPr="00600064">
              <w:rPr>
                <w:rFonts w:ascii="Arial Narrow" w:hAnsi="Arial Narrow"/>
                <w:sz w:val="19"/>
                <w:szCs w:val="19"/>
              </w:rPr>
              <w:t xml:space="preserve"> in Year 1 increasing to </w:t>
            </w:r>
            <w:r w:rsidR="00F751E0">
              <w:rPr>
                <w:rFonts w:ascii="Arial Narrow" w:hAnsi="Arial Narrow"/>
                <w:sz w:val="19"/>
                <w:szCs w:val="19"/>
              </w:rPr>
              <w:t>less than 10,000</w:t>
            </w:r>
            <w:r w:rsidR="00EF6D01" w:rsidRPr="00600064">
              <w:rPr>
                <w:rFonts w:ascii="Arial Narrow" w:hAnsi="Arial Narrow"/>
                <w:sz w:val="19"/>
                <w:szCs w:val="19"/>
              </w:rPr>
              <w:t>in Year 5.</w:t>
            </w:r>
          </w:p>
        </w:tc>
        <w:tc>
          <w:tcPr>
            <w:tcW w:w="1755" w:type="dxa"/>
          </w:tcPr>
          <w:p w:rsidR="00A70525" w:rsidRPr="00600064" w:rsidRDefault="00CC5A77" w:rsidP="00BF38DD">
            <w:pPr>
              <w:jc w:val="left"/>
              <w:rPr>
                <w:rFonts w:ascii="Arial Narrow" w:hAnsi="Arial Narrow"/>
                <w:sz w:val="19"/>
                <w:szCs w:val="19"/>
              </w:rPr>
            </w:pPr>
            <w:r w:rsidRPr="00600064">
              <w:rPr>
                <w:rFonts w:ascii="Arial Narrow" w:hAnsi="Arial Narrow"/>
                <w:sz w:val="19"/>
                <w:szCs w:val="19"/>
              </w:rPr>
              <w:t>Unchanged</w:t>
            </w:r>
          </w:p>
          <w:p w:rsidR="00A70525" w:rsidRPr="00600064" w:rsidRDefault="00A70525" w:rsidP="00BF38DD">
            <w:pPr>
              <w:jc w:val="left"/>
              <w:rPr>
                <w:rFonts w:ascii="Arial Narrow" w:hAnsi="Arial Narrow"/>
                <w:sz w:val="19"/>
                <w:szCs w:val="19"/>
              </w:rPr>
            </w:pPr>
          </w:p>
          <w:p w:rsidR="00A70525" w:rsidRPr="00600064" w:rsidRDefault="00A70525" w:rsidP="00BF38DD">
            <w:pPr>
              <w:jc w:val="left"/>
              <w:rPr>
                <w:rFonts w:ascii="Arial Narrow" w:hAnsi="Arial Narrow"/>
                <w:b/>
                <w:sz w:val="19"/>
                <w:szCs w:val="19"/>
              </w:rPr>
            </w:pPr>
            <w:r w:rsidRPr="00600064">
              <w:rPr>
                <w:rFonts w:ascii="Arial Narrow" w:hAnsi="Arial Narrow"/>
                <w:b/>
                <w:sz w:val="19"/>
                <w:szCs w:val="19"/>
              </w:rPr>
              <w:t>March 2017 financial addendum</w:t>
            </w:r>
          </w:p>
          <w:p w:rsidR="00A65838" w:rsidRPr="00600064" w:rsidRDefault="00A70525" w:rsidP="00BF38DD">
            <w:pPr>
              <w:jc w:val="left"/>
              <w:rPr>
                <w:rFonts w:ascii="Arial Narrow" w:hAnsi="Arial Narrow"/>
                <w:i/>
                <w:sz w:val="19"/>
                <w:szCs w:val="19"/>
                <w:highlight w:val="yellow"/>
                <w:vertAlign w:val="superscript"/>
              </w:rPr>
            </w:pPr>
            <w:r w:rsidRPr="00600064">
              <w:rPr>
                <w:rFonts w:ascii="Arial Narrow" w:hAnsi="Arial Narrow"/>
                <w:sz w:val="19"/>
                <w:szCs w:val="19"/>
              </w:rPr>
              <w:t>Unchanged</w:t>
            </w:r>
          </w:p>
        </w:tc>
      </w:tr>
      <w:tr w:rsidR="00A65838" w:rsidRPr="00600064" w:rsidTr="005F42CF">
        <w:trPr>
          <w:trHeight w:val="1080"/>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 xml:space="preserve">Estimated </w:t>
            </w:r>
            <w:r w:rsidR="00383636" w:rsidRPr="00600064">
              <w:rPr>
                <w:rFonts w:ascii="Arial Narrow" w:hAnsi="Arial Narrow"/>
                <w:sz w:val="19"/>
                <w:szCs w:val="19"/>
              </w:rPr>
              <w:t xml:space="preserve">net </w:t>
            </w:r>
            <w:r w:rsidRPr="00600064">
              <w:rPr>
                <w:rFonts w:ascii="Arial Narrow" w:hAnsi="Arial Narrow"/>
                <w:sz w:val="19"/>
                <w:szCs w:val="19"/>
              </w:rPr>
              <w:t>cost to PBS</w:t>
            </w:r>
          </w:p>
        </w:tc>
        <w:tc>
          <w:tcPr>
            <w:tcW w:w="2268" w:type="dxa"/>
          </w:tcPr>
          <w:p w:rsidR="00A65838" w:rsidRPr="00600064" w:rsidRDefault="008845B3" w:rsidP="00A65838">
            <w:pPr>
              <w:jc w:val="left"/>
              <w:rPr>
                <w:rFonts w:ascii="Arial Narrow" w:hAnsi="Arial Narrow"/>
                <w:sz w:val="19"/>
                <w:szCs w:val="19"/>
              </w:rPr>
            </w:pPr>
            <w:r>
              <w:rPr>
                <w:rFonts w:ascii="Arial Narrow" w:hAnsi="Arial Narrow"/>
                <w:sz w:val="19"/>
                <w:szCs w:val="19"/>
              </w:rPr>
              <w:t xml:space="preserve">$10 - $20 million </w:t>
            </w:r>
            <w:r w:rsidR="00A65838" w:rsidRPr="00600064">
              <w:rPr>
                <w:rFonts w:ascii="Arial Narrow" w:hAnsi="Arial Narrow"/>
                <w:sz w:val="19"/>
                <w:szCs w:val="19"/>
              </w:rPr>
              <w:t>in Year 1 increasing to</w:t>
            </w:r>
            <w:r w:rsidR="006E4736" w:rsidRPr="00600064">
              <w:rPr>
                <w:rFonts w:ascii="Arial Narrow" w:hAnsi="Arial Narrow"/>
                <w:sz w:val="19"/>
                <w:szCs w:val="19"/>
              </w:rPr>
              <w:t xml:space="preserve"> </w:t>
            </w:r>
            <w:r>
              <w:rPr>
                <w:rFonts w:ascii="Arial Narrow" w:hAnsi="Arial Narrow"/>
                <w:sz w:val="19"/>
                <w:szCs w:val="19"/>
              </w:rPr>
              <w:t>$20 - $30 million</w:t>
            </w:r>
            <w:r w:rsidR="00A65838" w:rsidRPr="00600064">
              <w:rPr>
                <w:rFonts w:ascii="Arial Narrow" w:hAnsi="Arial Narrow"/>
                <w:sz w:val="19"/>
                <w:szCs w:val="19"/>
              </w:rPr>
              <w:t xml:space="preserve"> in Year 5 for a total of</w:t>
            </w:r>
            <w:r w:rsidR="006E4736" w:rsidRPr="00600064">
              <w:rPr>
                <w:rFonts w:ascii="Arial Narrow" w:hAnsi="Arial Narrow"/>
                <w:sz w:val="19"/>
                <w:szCs w:val="19"/>
              </w:rPr>
              <w:t xml:space="preserve"> </w:t>
            </w:r>
            <w:r>
              <w:rPr>
                <w:rFonts w:ascii="Arial Narrow" w:hAnsi="Arial Narrow"/>
                <w:sz w:val="19"/>
                <w:szCs w:val="19"/>
              </w:rPr>
              <w:t>$60 - $100 million</w:t>
            </w:r>
            <w:r w:rsidR="006E4736" w:rsidRPr="00600064">
              <w:rPr>
                <w:rFonts w:ascii="Arial Narrow" w:hAnsi="Arial Narrow"/>
                <w:sz w:val="19"/>
                <w:szCs w:val="19"/>
              </w:rPr>
              <w:t xml:space="preserve"> </w:t>
            </w:r>
            <w:r w:rsidR="00A65838" w:rsidRPr="00600064">
              <w:rPr>
                <w:rFonts w:ascii="Arial Narrow" w:hAnsi="Arial Narrow"/>
                <w:sz w:val="19"/>
                <w:szCs w:val="19"/>
              </w:rPr>
              <w:t>over the first 5 years of listing.</w:t>
            </w:r>
          </w:p>
          <w:p w:rsidR="00A65838" w:rsidRPr="00600064" w:rsidRDefault="00A65838" w:rsidP="00A65838">
            <w:pPr>
              <w:jc w:val="left"/>
              <w:rPr>
                <w:rFonts w:ascii="Arial Narrow" w:hAnsi="Arial Narrow"/>
                <w:sz w:val="19"/>
                <w:szCs w:val="19"/>
              </w:rPr>
            </w:pPr>
          </w:p>
          <w:p w:rsidR="00A65838" w:rsidRPr="00600064" w:rsidRDefault="00A65838" w:rsidP="00A65838">
            <w:pPr>
              <w:jc w:val="left"/>
              <w:rPr>
                <w:rFonts w:ascii="Arial Narrow" w:hAnsi="Arial Narrow"/>
                <w:sz w:val="19"/>
                <w:szCs w:val="19"/>
              </w:rPr>
            </w:pPr>
            <w:r w:rsidRPr="00600064">
              <w:rPr>
                <w:rFonts w:ascii="Arial Narrow" w:hAnsi="Arial Narrow"/>
                <w:b/>
                <w:sz w:val="19"/>
                <w:szCs w:val="19"/>
              </w:rPr>
              <w:t>PBAC Comment:</w:t>
            </w:r>
          </w:p>
          <w:p w:rsidR="00096AC7" w:rsidRPr="00600064" w:rsidRDefault="00711703" w:rsidP="00711703">
            <w:pPr>
              <w:jc w:val="left"/>
              <w:rPr>
                <w:rFonts w:ascii="Arial Narrow" w:hAnsi="Arial Narrow"/>
                <w:sz w:val="19"/>
                <w:szCs w:val="19"/>
                <w:highlight w:val="yellow"/>
              </w:rPr>
            </w:pPr>
            <w:r w:rsidRPr="00600064">
              <w:rPr>
                <w:rFonts w:ascii="Arial Narrow" w:hAnsi="Arial Narrow"/>
                <w:sz w:val="19"/>
                <w:szCs w:val="19"/>
              </w:rPr>
              <w:t>“</w:t>
            </w:r>
            <w:r w:rsidR="00096AC7" w:rsidRPr="00600064">
              <w:rPr>
                <w:rFonts w:ascii="Arial Narrow" w:hAnsi="Arial Narrow"/>
                <w:sz w:val="19"/>
                <w:szCs w:val="19"/>
              </w:rPr>
              <w:t xml:space="preserve">The PBAC indicated that, despite the underestimation of the duration of nivolumab treatment, the resultant financial estimates were unreliably high due to overestimation of the duration of therapy for replacement therapies acting as cost off-sets, overestimated uptake of nivolumab in second-line therapy, and reliance on published rather than effective prices of </w:t>
            </w:r>
            <w:proofErr w:type="spellStart"/>
            <w:r w:rsidR="00096AC7" w:rsidRPr="00600064">
              <w:rPr>
                <w:rFonts w:ascii="Arial Narrow" w:hAnsi="Arial Narrow"/>
                <w:sz w:val="19"/>
                <w:szCs w:val="19"/>
              </w:rPr>
              <w:t>eve</w:t>
            </w:r>
            <w:r w:rsidRPr="00600064">
              <w:rPr>
                <w:rFonts w:ascii="Arial Narrow" w:hAnsi="Arial Narrow"/>
                <w:sz w:val="19"/>
                <w:szCs w:val="19"/>
              </w:rPr>
              <w:t>rolimus</w:t>
            </w:r>
            <w:proofErr w:type="spellEnd"/>
            <w:r w:rsidRPr="00600064">
              <w:rPr>
                <w:rFonts w:ascii="Arial Narrow" w:hAnsi="Arial Narrow"/>
                <w:sz w:val="19"/>
                <w:szCs w:val="19"/>
              </w:rPr>
              <w:t xml:space="preserve">, </w:t>
            </w:r>
            <w:proofErr w:type="spellStart"/>
            <w:r w:rsidRPr="00600064">
              <w:rPr>
                <w:rFonts w:ascii="Arial Narrow" w:hAnsi="Arial Narrow"/>
                <w:sz w:val="19"/>
                <w:szCs w:val="19"/>
              </w:rPr>
              <w:t>axitinib</w:t>
            </w:r>
            <w:proofErr w:type="spellEnd"/>
            <w:r w:rsidRPr="00600064">
              <w:rPr>
                <w:rFonts w:ascii="Arial Narrow" w:hAnsi="Arial Narrow"/>
                <w:sz w:val="19"/>
                <w:szCs w:val="19"/>
              </w:rPr>
              <w:t xml:space="preserve"> and </w:t>
            </w:r>
            <w:proofErr w:type="spellStart"/>
            <w:r w:rsidRPr="00600064">
              <w:rPr>
                <w:rFonts w:ascii="Arial Narrow" w:hAnsi="Arial Narrow"/>
                <w:sz w:val="19"/>
                <w:szCs w:val="19"/>
              </w:rPr>
              <w:t>sorafenib</w:t>
            </w:r>
            <w:proofErr w:type="spellEnd"/>
            <w:r w:rsidRPr="00600064">
              <w:rPr>
                <w:rFonts w:ascii="Arial Narrow" w:hAnsi="Arial Narrow"/>
                <w:sz w:val="19"/>
                <w:szCs w:val="19"/>
              </w:rPr>
              <w:t xml:space="preserve">” </w:t>
            </w:r>
            <w:r w:rsidR="00096AC7" w:rsidRPr="00600064">
              <w:rPr>
                <w:rFonts w:ascii="Arial Narrow" w:hAnsi="Arial Narrow"/>
                <w:sz w:val="19"/>
                <w:szCs w:val="19"/>
              </w:rPr>
              <w:t>(7.12).</w:t>
            </w:r>
          </w:p>
        </w:tc>
        <w:tc>
          <w:tcPr>
            <w:tcW w:w="2229" w:type="dxa"/>
          </w:tcPr>
          <w:p w:rsidR="00A65838" w:rsidRPr="00600064" w:rsidRDefault="008D18F7" w:rsidP="00A65838">
            <w:pPr>
              <w:jc w:val="left"/>
              <w:rPr>
                <w:rFonts w:ascii="Arial Narrow" w:hAnsi="Arial Narrow"/>
                <w:sz w:val="19"/>
                <w:szCs w:val="19"/>
              </w:rPr>
            </w:pPr>
            <w:r>
              <w:rPr>
                <w:rFonts w:ascii="Arial Narrow" w:hAnsi="Arial Narrow"/>
                <w:sz w:val="19"/>
                <w:szCs w:val="19"/>
              </w:rPr>
              <w:t>$10 - $20 million</w:t>
            </w:r>
            <w:r w:rsidR="00A65838" w:rsidRPr="00600064">
              <w:rPr>
                <w:rFonts w:ascii="Arial Narrow" w:hAnsi="Arial Narrow"/>
                <w:sz w:val="19"/>
                <w:szCs w:val="19"/>
              </w:rPr>
              <w:t xml:space="preserve"> in Year 1 increasing to </w:t>
            </w:r>
            <w:r>
              <w:rPr>
                <w:rFonts w:ascii="Arial Narrow" w:hAnsi="Arial Narrow"/>
                <w:sz w:val="19"/>
                <w:szCs w:val="19"/>
              </w:rPr>
              <w:t>$10 - $20 million</w:t>
            </w:r>
            <w:r w:rsidRPr="00600064" w:rsidDel="008D18F7">
              <w:rPr>
                <w:rFonts w:ascii="Arial Narrow" w:hAnsi="Arial Narrow"/>
                <w:sz w:val="19"/>
                <w:szCs w:val="19"/>
              </w:rPr>
              <w:t xml:space="preserve"> </w:t>
            </w:r>
            <w:r>
              <w:rPr>
                <w:rFonts w:ascii="Arial Narrow" w:hAnsi="Arial Narrow"/>
                <w:sz w:val="19"/>
                <w:szCs w:val="19"/>
              </w:rPr>
              <w:t xml:space="preserve"> </w:t>
            </w:r>
            <w:r w:rsidR="00A65838" w:rsidRPr="00600064">
              <w:rPr>
                <w:rFonts w:ascii="Arial Narrow" w:hAnsi="Arial Narrow"/>
                <w:sz w:val="19"/>
                <w:szCs w:val="19"/>
              </w:rPr>
              <w:t xml:space="preserve">in Year 5 for a total of </w:t>
            </w:r>
            <w:r>
              <w:rPr>
                <w:rFonts w:ascii="Arial Narrow" w:hAnsi="Arial Narrow"/>
                <w:sz w:val="19"/>
                <w:szCs w:val="19"/>
              </w:rPr>
              <w:t>$60 - $100 million</w:t>
            </w:r>
            <w:r w:rsidRPr="00600064" w:rsidDel="008D18F7">
              <w:rPr>
                <w:rFonts w:ascii="Arial Narrow" w:hAnsi="Arial Narrow"/>
                <w:sz w:val="19"/>
                <w:szCs w:val="19"/>
              </w:rPr>
              <w:t xml:space="preserve"> </w:t>
            </w:r>
            <w:r>
              <w:rPr>
                <w:rFonts w:ascii="Arial Narrow" w:hAnsi="Arial Narrow"/>
                <w:sz w:val="19"/>
                <w:szCs w:val="19"/>
              </w:rPr>
              <w:t xml:space="preserve"> </w:t>
            </w:r>
            <w:r w:rsidR="00A65838" w:rsidRPr="00600064">
              <w:rPr>
                <w:rFonts w:ascii="Arial Narrow" w:hAnsi="Arial Narrow"/>
                <w:sz w:val="19"/>
                <w:szCs w:val="19"/>
              </w:rPr>
              <w:t>over the first 5 years of listing.</w:t>
            </w:r>
          </w:p>
          <w:p w:rsidR="00C4272E" w:rsidRPr="00600064" w:rsidRDefault="00C4272E" w:rsidP="00A65838">
            <w:pPr>
              <w:jc w:val="left"/>
              <w:rPr>
                <w:rFonts w:ascii="Arial Narrow" w:hAnsi="Arial Narrow"/>
                <w:sz w:val="19"/>
                <w:szCs w:val="19"/>
                <w:highlight w:val="yellow"/>
              </w:rPr>
            </w:pPr>
          </w:p>
          <w:p w:rsidR="00C4272E" w:rsidRPr="00600064" w:rsidRDefault="00C4272E" w:rsidP="00A65838">
            <w:pPr>
              <w:jc w:val="left"/>
              <w:rPr>
                <w:rFonts w:ascii="Arial Narrow" w:hAnsi="Arial Narrow"/>
                <w:b/>
                <w:sz w:val="19"/>
                <w:szCs w:val="19"/>
              </w:rPr>
            </w:pPr>
            <w:r w:rsidRPr="00600064">
              <w:rPr>
                <w:rFonts w:ascii="Arial Narrow" w:hAnsi="Arial Narrow"/>
                <w:b/>
                <w:sz w:val="19"/>
                <w:szCs w:val="19"/>
              </w:rPr>
              <w:t>PBAC Comment:</w:t>
            </w:r>
          </w:p>
          <w:p w:rsidR="005879F1" w:rsidRPr="00600064" w:rsidRDefault="005879F1" w:rsidP="00EF6D01">
            <w:pPr>
              <w:jc w:val="left"/>
              <w:rPr>
                <w:rFonts w:ascii="Arial Narrow" w:hAnsi="Arial Narrow"/>
                <w:sz w:val="19"/>
                <w:szCs w:val="19"/>
                <w:highlight w:val="yellow"/>
              </w:rPr>
            </w:pPr>
            <w:r w:rsidRPr="00600064">
              <w:rPr>
                <w:rFonts w:ascii="Arial Narrow" w:hAnsi="Arial Narrow"/>
                <w:sz w:val="19"/>
                <w:szCs w:val="19"/>
              </w:rPr>
              <w:t xml:space="preserve">“The PBAC indicated that the financial estimates remained unreliably high due to overestimation of the duration of therapy for replacement therapies acting as cost off-sets, the use of duration of therapy for nivolumab from the unreliable economic model, overestimated uptake of nivolumab in second-line therapy, and reliance on published rather than effective prices of </w:t>
            </w:r>
            <w:proofErr w:type="spellStart"/>
            <w:r w:rsidRPr="00600064">
              <w:rPr>
                <w:rFonts w:ascii="Arial Narrow" w:hAnsi="Arial Narrow"/>
                <w:sz w:val="19"/>
                <w:szCs w:val="19"/>
              </w:rPr>
              <w:t>everolimus</w:t>
            </w:r>
            <w:proofErr w:type="spellEnd"/>
            <w:r w:rsidRPr="00600064">
              <w:rPr>
                <w:rFonts w:ascii="Arial Narrow" w:hAnsi="Arial Narrow"/>
                <w:sz w:val="19"/>
                <w:szCs w:val="19"/>
              </w:rPr>
              <w:t xml:space="preserve">, </w:t>
            </w:r>
            <w:proofErr w:type="spellStart"/>
            <w:r w:rsidRPr="00600064">
              <w:rPr>
                <w:rFonts w:ascii="Arial Narrow" w:hAnsi="Arial Narrow"/>
                <w:sz w:val="19"/>
                <w:szCs w:val="19"/>
              </w:rPr>
              <w:t>axitinib</w:t>
            </w:r>
            <w:proofErr w:type="spellEnd"/>
            <w:r w:rsidRPr="00600064">
              <w:rPr>
                <w:rFonts w:ascii="Arial Narrow" w:hAnsi="Arial Narrow"/>
                <w:sz w:val="19"/>
                <w:szCs w:val="19"/>
              </w:rPr>
              <w:t xml:space="preserve"> and </w:t>
            </w:r>
            <w:proofErr w:type="spellStart"/>
            <w:r w:rsidR="00EF6D01" w:rsidRPr="00600064">
              <w:rPr>
                <w:rFonts w:ascii="Arial Narrow" w:hAnsi="Arial Narrow"/>
                <w:sz w:val="19"/>
                <w:szCs w:val="19"/>
              </w:rPr>
              <w:t>sorafenib</w:t>
            </w:r>
            <w:proofErr w:type="spellEnd"/>
            <w:r w:rsidR="00EF6D01" w:rsidRPr="00600064">
              <w:rPr>
                <w:rFonts w:ascii="Arial Narrow" w:hAnsi="Arial Narrow"/>
                <w:sz w:val="19"/>
                <w:szCs w:val="19"/>
              </w:rPr>
              <w:t>” (7.11).</w:t>
            </w:r>
          </w:p>
        </w:tc>
        <w:tc>
          <w:tcPr>
            <w:tcW w:w="1755" w:type="dxa"/>
          </w:tcPr>
          <w:p w:rsidR="00A65838" w:rsidRPr="00600064" w:rsidRDefault="00C31E96" w:rsidP="004F5A04">
            <w:pPr>
              <w:jc w:val="left"/>
              <w:rPr>
                <w:rFonts w:ascii="Arial Narrow" w:hAnsi="Arial Narrow"/>
                <w:sz w:val="19"/>
                <w:szCs w:val="19"/>
                <w:highlight w:val="yellow"/>
              </w:rPr>
            </w:pPr>
            <w:r>
              <w:rPr>
                <w:rFonts w:ascii="Arial Narrow" w:hAnsi="Arial Narrow"/>
                <w:sz w:val="19"/>
                <w:szCs w:val="19"/>
              </w:rPr>
              <w:t>$20 - $30 million</w:t>
            </w:r>
            <w:r w:rsidRPr="00600064">
              <w:rPr>
                <w:rFonts w:ascii="Arial Narrow" w:hAnsi="Arial Narrow"/>
                <w:sz w:val="19"/>
                <w:szCs w:val="19"/>
              </w:rPr>
              <w:t xml:space="preserve"> </w:t>
            </w:r>
            <w:r>
              <w:rPr>
                <w:rFonts w:ascii="Arial Narrow" w:hAnsi="Arial Narrow"/>
                <w:sz w:val="19"/>
                <w:szCs w:val="19"/>
              </w:rPr>
              <w:t xml:space="preserve"> </w:t>
            </w:r>
            <w:r w:rsidR="00F47835" w:rsidRPr="00600064">
              <w:rPr>
                <w:rFonts w:ascii="Arial Narrow" w:hAnsi="Arial Narrow"/>
                <w:sz w:val="19"/>
                <w:szCs w:val="19"/>
              </w:rPr>
              <w:t xml:space="preserve">in Year 1 increasing to </w:t>
            </w:r>
            <w:r>
              <w:rPr>
                <w:rFonts w:ascii="Arial Narrow" w:hAnsi="Arial Narrow"/>
                <w:sz w:val="19"/>
                <w:szCs w:val="19"/>
              </w:rPr>
              <w:t>$20 - $30 million</w:t>
            </w:r>
            <w:r w:rsidRPr="00600064">
              <w:rPr>
                <w:rFonts w:ascii="Arial Narrow" w:hAnsi="Arial Narrow"/>
                <w:sz w:val="19"/>
                <w:szCs w:val="19"/>
              </w:rPr>
              <w:t xml:space="preserve"> </w:t>
            </w:r>
            <w:r>
              <w:rPr>
                <w:rFonts w:ascii="Arial Narrow" w:hAnsi="Arial Narrow"/>
                <w:sz w:val="19"/>
                <w:szCs w:val="19"/>
              </w:rPr>
              <w:t xml:space="preserve"> </w:t>
            </w:r>
            <w:r w:rsidR="00F47835" w:rsidRPr="00600064">
              <w:rPr>
                <w:rFonts w:ascii="Arial Narrow" w:hAnsi="Arial Narrow"/>
                <w:sz w:val="19"/>
                <w:szCs w:val="19"/>
              </w:rPr>
              <w:t xml:space="preserve">in Year 5 for a total of </w:t>
            </w:r>
            <w:r w:rsidR="004F5A04">
              <w:rPr>
                <w:rFonts w:ascii="Arial Narrow" w:hAnsi="Arial Narrow"/>
                <w:sz w:val="19"/>
                <w:szCs w:val="19"/>
              </w:rPr>
              <w:t xml:space="preserve">more than $100 million </w:t>
            </w:r>
            <w:r w:rsidR="00F47835" w:rsidRPr="00600064">
              <w:rPr>
                <w:rFonts w:ascii="Arial Narrow" w:hAnsi="Arial Narrow"/>
                <w:sz w:val="19"/>
                <w:szCs w:val="19"/>
              </w:rPr>
              <w:t>over the first 5 years of listing.</w:t>
            </w:r>
          </w:p>
        </w:tc>
        <w:tc>
          <w:tcPr>
            <w:tcW w:w="1755" w:type="dxa"/>
          </w:tcPr>
          <w:p w:rsidR="00A70525" w:rsidRPr="00600064" w:rsidRDefault="00A70525" w:rsidP="00A70525">
            <w:pPr>
              <w:jc w:val="left"/>
              <w:rPr>
                <w:rFonts w:ascii="Arial Narrow" w:hAnsi="Arial Narrow"/>
                <w:sz w:val="19"/>
                <w:szCs w:val="19"/>
              </w:rPr>
            </w:pPr>
            <w:r w:rsidRPr="00600064">
              <w:rPr>
                <w:rFonts w:ascii="Arial Narrow" w:hAnsi="Arial Narrow"/>
                <w:sz w:val="19"/>
                <w:szCs w:val="19"/>
              </w:rPr>
              <w:t>Unchanged</w:t>
            </w:r>
          </w:p>
          <w:p w:rsidR="00A70525" w:rsidRPr="00600064" w:rsidRDefault="00A70525" w:rsidP="00A70525">
            <w:pPr>
              <w:jc w:val="left"/>
              <w:rPr>
                <w:rFonts w:ascii="Arial Narrow" w:hAnsi="Arial Narrow"/>
                <w:sz w:val="19"/>
                <w:szCs w:val="19"/>
              </w:rPr>
            </w:pPr>
          </w:p>
          <w:p w:rsidR="00A70525" w:rsidRPr="00600064" w:rsidRDefault="00A70525" w:rsidP="00A70525">
            <w:pPr>
              <w:jc w:val="left"/>
              <w:rPr>
                <w:rFonts w:ascii="Arial Narrow" w:hAnsi="Arial Narrow"/>
                <w:b/>
                <w:sz w:val="19"/>
                <w:szCs w:val="19"/>
              </w:rPr>
            </w:pPr>
            <w:r w:rsidRPr="00600064">
              <w:rPr>
                <w:rFonts w:ascii="Arial Narrow" w:hAnsi="Arial Narrow"/>
                <w:b/>
                <w:sz w:val="19"/>
                <w:szCs w:val="19"/>
              </w:rPr>
              <w:t>March 2017 financial addendum</w:t>
            </w:r>
          </w:p>
          <w:p w:rsidR="00A65838" w:rsidRPr="00600064" w:rsidRDefault="005353C4" w:rsidP="00247727">
            <w:pPr>
              <w:jc w:val="left"/>
              <w:rPr>
                <w:rFonts w:ascii="Arial Narrow" w:hAnsi="Arial Narrow"/>
                <w:sz w:val="19"/>
                <w:szCs w:val="19"/>
              </w:rPr>
            </w:pPr>
            <w:r>
              <w:rPr>
                <w:rFonts w:ascii="Arial Narrow" w:hAnsi="Arial Narrow"/>
                <w:sz w:val="19"/>
                <w:szCs w:val="19"/>
              </w:rPr>
              <w:t>$20 - $30 million</w:t>
            </w:r>
            <w:r w:rsidR="00247727" w:rsidRPr="00600064">
              <w:rPr>
                <w:rFonts w:ascii="Arial Narrow" w:hAnsi="Arial Narrow"/>
                <w:sz w:val="19"/>
                <w:szCs w:val="19"/>
              </w:rPr>
              <w:t xml:space="preserve"> in Year 1 increasing to </w:t>
            </w:r>
            <w:r>
              <w:rPr>
                <w:rFonts w:ascii="Arial Narrow" w:hAnsi="Arial Narrow"/>
                <w:sz w:val="19"/>
                <w:szCs w:val="19"/>
              </w:rPr>
              <w:t>$20 - $30 million</w:t>
            </w:r>
            <w:r w:rsidR="00247727" w:rsidRPr="00600064">
              <w:rPr>
                <w:rFonts w:ascii="Arial Narrow" w:hAnsi="Arial Narrow"/>
                <w:sz w:val="19"/>
                <w:szCs w:val="19"/>
              </w:rPr>
              <w:t xml:space="preserve"> in Year 5 for a total of</w:t>
            </w:r>
            <w:r>
              <w:rPr>
                <w:rFonts w:ascii="Arial Narrow" w:hAnsi="Arial Narrow"/>
                <w:sz w:val="19"/>
                <w:szCs w:val="19"/>
              </w:rPr>
              <w:t xml:space="preserve"> more than $100 million</w:t>
            </w:r>
            <w:r w:rsidR="00247727" w:rsidRPr="00600064">
              <w:rPr>
                <w:rFonts w:ascii="Arial Narrow" w:hAnsi="Arial Narrow"/>
                <w:sz w:val="19"/>
                <w:szCs w:val="19"/>
              </w:rPr>
              <w:t xml:space="preserve"> over the first 5 years of listing.( 5 year, </w:t>
            </w:r>
            <w:r w:rsidR="002004CB" w:rsidRPr="00600064">
              <w:rPr>
                <w:rFonts w:ascii="Arial Narrow" w:hAnsi="Arial Narrow"/>
                <w:sz w:val="19"/>
                <w:szCs w:val="19"/>
              </w:rPr>
              <w:t xml:space="preserve">“PBAC amended </w:t>
            </w:r>
            <w:r w:rsidR="00247727" w:rsidRPr="00600064">
              <w:rPr>
                <w:rFonts w:ascii="Arial Narrow" w:hAnsi="Arial Narrow"/>
                <w:sz w:val="19"/>
                <w:szCs w:val="19"/>
              </w:rPr>
              <w:t>base case</w:t>
            </w:r>
            <w:r w:rsidR="002004CB" w:rsidRPr="00600064">
              <w:rPr>
                <w:rFonts w:ascii="Arial Narrow" w:hAnsi="Arial Narrow"/>
                <w:sz w:val="19"/>
                <w:szCs w:val="19"/>
              </w:rPr>
              <w:t>”</w:t>
            </w:r>
            <w:r w:rsidR="00247727" w:rsidRPr="00600064">
              <w:rPr>
                <w:rFonts w:ascii="Arial Narrow" w:hAnsi="Arial Narrow"/>
                <w:sz w:val="19"/>
                <w:szCs w:val="19"/>
              </w:rPr>
              <w:t>), and</w:t>
            </w:r>
          </w:p>
          <w:p w:rsidR="00247727" w:rsidRPr="00600064" w:rsidRDefault="00247727" w:rsidP="00247727">
            <w:pPr>
              <w:jc w:val="left"/>
              <w:rPr>
                <w:rFonts w:ascii="Arial Narrow" w:hAnsi="Arial Narrow"/>
                <w:sz w:val="19"/>
                <w:szCs w:val="19"/>
              </w:rPr>
            </w:pPr>
          </w:p>
          <w:p w:rsidR="00247727" w:rsidRPr="00600064" w:rsidRDefault="005353C4" w:rsidP="005353C4">
            <w:pPr>
              <w:jc w:val="left"/>
              <w:rPr>
                <w:rFonts w:ascii="Arial Narrow" w:hAnsi="Arial Narrow"/>
                <w:i/>
                <w:sz w:val="19"/>
                <w:szCs w:val="19"/>
                <w:highlight w:val="yellow"/>
              </w:rPr>
            </w:pPr>
            <w:r>
              <w:rPr>
                <w:rFonts w:ascii="Arial Narrow" w:hAnsi="Arial Narrow"/>
                <w:sz w:val="19"/>
                <w:szCs w:val="19"/>
              </w:rPr>
              <w:t>$20 - $30 million</w:t>
            </w:r>
            <w:r w:rsidR="00247727" w:rsidRPr="00600064">
              <w:rPr>
                <w:rFonts w:ascii="Arial Narrow" w:hAnsi="Arial Narrow"/>
                <w:sz w:val="19"/>
                <w:szCs w:val="19"/>
              </w:rPr>
              <w:t xml:space="preserve"> in Year 1 increasing to </w:t>
            </w:r>
            <w:r>
              <w:rPr>
                <w:rFonts w:ascii="Arial Narrow" w:hAnsi="Arial Narrow"/>
                <w:sz w:val="19"/>
                <w:szCs w:val="19"/>
              </w:rPr>
              <w:t>$20 - $30 million</w:t>
            </w:r>
            <w:r w:rsidR="00247727" w:rsidRPr="00600064">
              <w:rPr>
                <w:rFonts w:ascii="Arial Narrow" w:hAnsi="Arial Narrow"/>
                <w:sz w:val="19"/>
                <w:szCs w:val="19"/>
              </w:rPr>
              <w:t xml:space="preserve"> in Year 5 for a total of </w:t>
            </w:r>
            <w:r>
              <w:rPr>
                <w:rFonts w:ascii="Arial Narrow" w:hAnsi="Arial Narrow"/>
                <w:sz w:val="19"/>
                <w:szCs w:val="19"/>
              </w:rPr>
              <w:t>more than $100 million</w:t>
            </w:r>
            <w:r w:rsidR="00247727" w:rsidRPr="00600064">
              <w:rPr>
                <w:rFonts w:ascii="Arial Narrow" w:hAnsi="Arial Narrow"/>
                <w:sz w:val="19"/>
                <w:szCs w:val="19"/>
              </w:rPr>
              <w:t xml:space="preserve"> over the first 5 years of listing (</w:t>
            </w:r>
            <w:r w:rsidR="002004CB" w:rsidRPr="00600064">
              <w:rPr>
                <w:rFonts w:ascii="Arial Narrow" w:hAnsi="Arial Narrow"/>
                <w:sz w:val="19"/>
                <w:szCs w:val="19"/>
              </w:rPr>
              <w:t>8 year “</w:t>
            </w:r>
            <w:r w:rsidR="00247727" w:rsidRPr="00600064">
              <w:rPr>
                <w:rFonts w:ascii="Arial Narrow" w:hAnsi="Arial Narrow"/>
                <w:sz w:val="19"/>
                <w:szCs w:val="19"/>
              </w:rPr>
              <w:t>sponsor amended, base case</w:t>
            </w:r>
            <w:r w:rsidR="002004CB" w:rsidRPr="00600064">
              <w:rPr>
                <w:rFonts w:ascii="Arial Narrow" w:hAnsi="Arial Narrow"/>
                <w:sz w:val="19"/>
                <w:szCs w:val="19"/>
              </w:rPr>
              <w:t>”</w:t>
            </w:r>
            <w:r w:rsidR="00247727" w:rsidRPr="00600064">
              <w:rPr>
                <w:rFonts w:ascii="Arial Narrow" w:hAnsi="Arial Narrow"/>
                <w:sz w:val="19"/>
                <w:szCs w:val="19"/>
              </w:rPr>
              <w:t>).</w:t>
            </w:r>
          </w:p>
        </w:tc>
      </w:tr>
      <w:tr w:rsidR="00A65838" w:rsidRPr="00600064" w:rsidTr="005F42CF">
        <w:trPr>
          <w:trHeight w:val="438"/>
        </w:trPr>
        <w:tc>
          <w:tcPr>
            <w:tcW w:w="993" w:type="dxa"/>
          </w:tcPr>
          <w:p w:rsidR="00A65838" w:rsidRPr="00600064" w:rsidRDefault="00A65838" w:rsidP="00A65838">
            <w:pPr>
              <w:jc w:val="left"/>
              <w:rPr>
                <w:rFonts w:ascii="Arial Narrow" w:hAnsi="Arial Narrow"/>
                <w:sz w:val="19"/>
                <w:szCs w:val="19"/>
              </w:rPr>
            </w:pPr>
            <w:r w:rsidRPr="00600064">
              <w:rPr>
                <w:rFonts w:ascii="Arial Narrow" w:hAnsi="Arial Narrow"/>
              </w:rPr>
              <w:br w:type="page"/>
            </w:r>
            <w:r w:rsidRPr="00600064">
              <w:rPr>
                <w:rFonts w:ascii="Arial Narrow" w:hAnsi="Arial Narrow"/>
                <w:sz w:val="19"/>
                <w:szCs w:val="19"/>
              </w:rPr>
              <w:t>PBAC decision</w:t>
            </w:r>
          </w:p>
        </w:tc>
        <w:tc>
          <w:tcPr>
            <w:tcW w:w="2268" w:type="dxa"/>
          </w:tcPr>
          <w:p w:rsidR="00A65838" w:rsidRPr="00600064" w:rsidRDefault="00A65838" w:rsidP="00A65838">
            <w:pPr>
              <w:jc w:val="left"/>
              <w:rPr>
                <w:rFonts w:ascii="Arial Narrow" w:hAnsi="Arial Narrow"/>
                <w:sz w:val="19"/>
                <w:szCs w:val="19"/>
              </w:rPr>
            </w:pPr>
            <w:r w:rsidRPr="00600064">
              <w:rPr>
                <w:rFonts w:ascii="Arial Narrow" w:hAnsi="Arial Narrow"/>
                <w:sz w:val="19"/>
                <w:szCs w:val="19"/>
              </w:rPr>
              <w:t>Reject</w:t>
            </w:r>
            <w:r w:rsidR="00711703" w:rsidRPr="00600064">
              <w:rPr>
                <w:rFonts w:ascii="Arial Narrow" w:hAnsi="Arial Narrow"/>
                <w:sz w:val="19"/>
                <w:szCs w:val="19"/>
              </w:rPr>
              <w:t>.</w:t>
            </w:r>
          </w:p>
          <w:p w:rsidR="00711703" w:rsidRPr="00600064" w:rsidRDefault="00711703" w:rsidP="00A65838">
            <w:pPr>
              <w:jc w:val="left"/>
              <w:rPr>
                <w:rFonts w:ascii="Arial Narrow" w:hAnsi="Arial Narrow"/>
                <w:sz w:val="19"/>
                <w:szCs w:val="19"/>
                <w:highlight w:val="yellow"/>
              </w:rPr>
            </w:pPr>
            <w:r w:rsidRPr="00600064">
              <w:rPr>
                <w:rFonts w:ascii="Arial Narrow" w:hAnsi="Arial Narrow"/>
                <w:sz w:val="19"/>
                <w:szCs w:val="19"/>
              </w:rPr>
              <w:t xml:space="preserve">“The PBAC decided not to recommend that nivolumab be listed in the PBS for the treatment of advanced or metastatic clear cell variant renal cell carcinoma (RCC) </w:t>
            </w:r>
            <w:r w:rsidRPr="00600064">
              <w:rPr>
                <w:rFonts w:ascii="Arial Narrow" w:hAnsi="Arial Narrow"/>
                <w:sz w:val="19"/>
                <w:szCs w:val="19"/>
              </w:rPr>
              <w:lastRenderedPageBreak/>
              <w:t>based on an unacceptably high and uncertain incremental cost-effectiveness ratio (ICER) at the requested effective price” (7.1).</w:t>
            </w:r>
          </w:p>
        </w:tc>
        <w:tc>
          <w:tcPr>
            <w:tcW w:w="2229" w:type="dxa"/>
          </w:tcPr>
          <w:p w:rsidR="00EF6D01" w:rsidRPr="00600064" w:rsidRDefault="00EF6D01" w:rsidP="00EF6D01">
            <w:pPr>
              <w:jc w:val="left"/>
              <w:rPr>
                <w:rFonts w:ascii="Arial Narrow" w:hAnsi="Arial Narrow"/>
                <w:sz w:val="19"/>
                <w:szCs w:val="19"/>
              </w:rPr>
            </w:pPr>
            <w:r w:rsidRPr="00600064">
              <w:rPr>
                <w:rFonts w:ascii="Arial Narrow" w:hAnsi="Arial Narrow"/>
                <w:sz w:val="19"/>
                <w:szCs w:val="19"/>
              </w:rPr>
              <w:lastRenderedPageBreak/>
              <w:t>Reject.</w:t>
            </w:r>
          </w:p>
          <w:p w:rsidR="00EF6D01" w:rsidRPr="00600064" w:rsidRDefault="00EF6D01" w:rsidP="00EF6D01">
            <w:pPr>
              <w:jc w:val="left"/>
              <w:rPr>
                <w:rFonts w:ascii="Arial Narrow" w:hAnsi="Arial Narrow"/>
                <w:sz w:val="19"/>
                <w:szCs w:val="19"/>
                <w:highlight w:val="yellow"/>
              </w:rPr>
            </w:pPr>
            <w:r w:rsidRPr="00600064">
              <w:rPr>
                <w:rFonts w:ascii="Arial Narrow" w:hAnsi="Arial Narrow"/>
                <w:sz w:val="19"/>
                <w:szCs w:val="19"/>
              </w:rPr>
              <w:t xml:space="preserve">“The PBAC did not recommend the listing of nivolumab for the treatment of advanced or metastatic clear cell variant renal cell carcinoma (RCC) on grounds of unfavourable and </w:t>
            </w:r>
            <w:r w:rsidRPr="00600064">
              <w:rPr>
                <w:rFonts w:ascii="Arial Narrow" w:hAnsi="Arial Narrow"/>
                <w:sz w:val="19"/>
                <w:szCs w:val="19"/>
              </w:rPr>
              <w:lastRenderedPageBreak/>
              <w:t>uncertain cost-effectiveness. The PBAC considered that the benefit of treatment with nivolumab was uncertain and likely overestimated and that the proposed risk sharing arrangement would not address this uncertainty” (7.1).</w:t>
            </w:r>
          </w:p>
        </w:tc>
        <w:tc>
          <w:tcPr>
            <w:tcW w:w="1755" w:type="dxa"/>
          </w:tcPr>
          <w:p w:rsidR="00A65838" w:rsidRPr="00600064" w:rsidRDefault="00A65838" w:rsidP="00A65838">
            <w:pPr>
              <w:jc w:val="left"/>
              <w:rPr>
                <w:rFonts w:ascii="Arial Narrow" w:hAnsi="Arial Narrow"/>
                <w:sz w:val="19"/>
                <w:szCs w:val="19"/>
                <w:highlight w:val="yellow"/>
              </w:rPr>
            </w:pPr>
          </w:p>
        </w:tc>
        <w:tc>
          <w:tcPr>
            <w:tcW w:w="1755" w:type="dxa"/>
          </w:tcPr>
          <w:p w:rsidR="00A65838" w:rsidRPr="00600064" w:rsidRDefault="00A65838" w:rsidP="00A65838">
            <w:pPr>
              <w:jc w:val="left"/>
              <w:rPr>
                <w:rFonts w:ascii="Arial Narrow" w:hAnsi="Arial Narrow"/>
                <w:sz w:val="19"/>
                <w:szCs w:val="19"/>
                <w:highlight w:val="yellow"/>
              </w:rPr>
            </w:pPr>
          </w:p>
        </w:tc>
      </w:tr>
    </w:tbl>
    <w:p w:rsidR="00B740D2" w:rsidRPr="00600064" w:rsidRDefault="00B740D2" w:rsidP="005F42CF">
      <w:pPr>
        <w:pStyle w:val="TableFooter"/>
      </w:pPr>
      <w:r w:rsidRPr="00600064">
        <w:lastRenderedPageBreak/>
        <w:t>Source: Compiled during the evaluation</w:t>
      </w:r>
    </w:p>
    <w:p w:rsidR="00B740D2" w:rsidRPr="00600064" w:rsidRDefault="00B740D2" w:rsidP="005F42CF">
      <w:pPr>
        <w:pStyle w:val="TableFooter"/>
      </w:pPr>
      <w:r w:rsidRPr="00600064">
        <w:t xml:space="preserve">Abbreviations: PBS, Pharmaceutical Benefits Scheme;  RCC, Renal Cell Carcinoma; ESC, Economics Sub-Committee;  PFS, </w:t>
      </w:r>
      <w:r w:rsidR="00A35918" w:rsidRPr="00600064">
        <w:t>P</w:t>
      </w:r>
      <w:r w:rsidRPr="00600064">
        <w:t>rogression</w:t>
      </w:r>
      <w:r w:rsidR="00A35918" w:rsidRPr="00600064">
        <w:t>-</w:t>
      </w:r>
      <w:r w:rsidRPr="00600064">
        <w:t>Free Survival;  WHO, World Health Organisation; PO, oral; R, Randomised; OL, Open Label; MC, Multi-</w:t>
      </w:r>
      <w:proofErr w:type="spellStart"/>
      <w:r w:rsidRPr="00600064">
        <w:t>Center</w:t>
      </w:r>
      <w:proofErr w:type="spellEnd"/>
      <w:r w:rsidRPr="00600064">
        <w:t>;  KM, Kaplan-Meier;  OS, Overall Survival;  NR, Not Reported;  HR, Hazard Ratio; AE, Adverse Event;  QALY, Quality Adjusted Life Year;  ICER, Incremental Cost Effectiveness Ratio.</w:t>
      </w:r>
    </w:p>
    <w:p w:rsidR="00C77B13" w:rsidRPr="00600064" w:rsidRDefault="00C77B13" w:rsidP="00A65838"/>
    <w:p w:rsidR="00A65838" w:rsidRPr="00600064" w:rsidRDefault="00CA17E5" w:rsidP="00CA17E5">
      <w:pPr>
        <w:ind w:left="720" w:hanging="720"/>
      </w:pPr>
      <w:r w:rsidRPr="00600064">
        <w:t>3.8</w:t>
      </w:r>
      <w:r w:rsidRPr="00600064">
        <w:tab/>
        <w:t>Outstanding matters of concern to the PBAC, and how the</w:t>
      </w:r>
      <w:r w:rsidR="00653D18" w:rsidRPr="00600064">
        <w:t>y are addressed by the</w:t>
      </w:r>
      <w:r w:rsidRPr="00600064">
        <w:t xml:space="preserve"> resubmission and </w:t>
      </w:r>
      <w:r w:rsidR="00653D18" w:rsidRPr="00600064">
        <w:t>resubmission-</w:t>
      </w:r>
      <w:r w:rsidRPr="00600064">
        <w:t>addendum</w:t>
      </w:r>
      <w:r w:rsidR="00653D18" w:rsidRPr="00600064">
        <w:t xml:space="preserve">, </w:t>
      </w:r>
      <w:r w:rsidRPr="00600064">
        <w:t>are summarised in Table 2 below.</w:t>
      </w:r>
    </w:p>
    <w:p w:rsidR="006236C7" w:rsidRPr="00600064" w:rsidRDefault="006236C7" w:rsidP="00CA17E5">
      <w:pPr>
        <w:ind w:left="720" w:hanging="720"/>
      </w:pPr>
    </w:p>
    <w:p w:rsidR="00CA17E5" w:rsidRPr="00600064" w:rsidRDefault="00A44F89" w:rsidP="00CA17E5">
      <w:pPr>
        <w:rPr>
          <w:rFonts w:ascii="Arial Narrow" w:hAnsi="Arial Narrow"/>
          <w:b/>
          <w:sz w:val="20"/>
        </w:rPr>
      </w:pPr>
      <w:r w:rsidRPr="00600064">
        <w:rPr>
          <w:rFonts w:ascii="Arial Narrow" w:hAnsi="Arial Narrow"/>
          <w:b/>
          <w:sz w:val="20"/>
        </w:rPr>
        <w:t>Table 2: Outstanding matters of concern to the PBAC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3"/>
        <w:gridCol w:w="4540"/>
      </w:tblGrid>
      <w:tr w:rsidR="00CA17E5" w:rsidRPr="00600064" w:rsidTr="00EC418B">
        <w:trPr>
          <w:trHeight w:val="240"/>
        </w:trPr>
        <w:tc>
          <w:tcPr>
            <w:tcW w:w="2501" w:type="pct"/>
            <w:shd w:val="clear" w:color="auto" w:fill="auto"/>
          </w:tcPr>
          <w:p w:rsidR="00CA17E5" w:rsidRPr="00600064" w:rsidRDefault="00CA17E5" w:rsidP="00EC418B">
            <w:pPr>
              <w:rPr>
                <w:rFonts w:ascii="Arial Narrow" w:hAnsi="Arial Narrow"/>
                <w:b/>
                <w:sz w:val="20"/>
              </w:rPr>
            </w:pPr>
            <w:r w:rsidRPr="00600064">
              <w:rPr>
                <w:rFonts w:ascii="Arial Narrow" w:hAnsi="Arial Narrow"/>
                <w:b/>
                <w:sz w:val="20"/>
              </w:rPr>
              <w:t>Matters of concern</w:t>
            </w:r>
          </w:p>
        </w:tc>
        <w:tc>
          <w:tcPr>
            <w:tcW w:w="2499" w:type="pct"/>
            <w:shd w:val="clear" w:color="auto" w:fill="auto"/>
          </w:tcPr>
          <w:p w:rsidR="00CA17E5" w:rsidRPr="00600064" w:rsidRDefault="00CA17E5" w:rsidP="00EC418B">
            <w:pPr>
              <w:jc w:val="center"/>
              <w:rPr>
                <w:rFonts w:ascii="Arial Narrow" w:hAnsi="Arial Narrow"/>
                <w:b/>
                <w:sz w:val="20"/>
              </w:rPr>
            </w:pPr>
            <w:r w:rsidRPr="00600064">
              <w:rPr>
                <w:rFonts w:ascii="Arial Narrow" w:hAnsi="Arial Narrow"/>
                <w:b/>
                <w:sz w:val="20"/>
              </w:rPr>
              <w:t>How the re-submission addresses it</w:t>
            </w:r>
          </w:p>
        </w:tc>
      </w:tr>
      <w:tr w:rsidR="00CA17E5" w:rsidRPr="00600064" w:rsidTr="00EC418B">
        <w:trPr>
          <w:trHeight w:val="224"/>
        </w:trPr>
        <w:tc>
          <w:tcPr>
            <w:tcW w:w="5000" w:type="pct"/>
            <w:gridSpan w:val="2"/>
            <w:shd w:val="clear" w:color="auto" w:fill="auto"/>
          </w:tcPr>
          <w:p w:rsidR="00CA17E5" w:rsidRPr="00600064" w:rsidRDefault="00CA17E5" w:rsidP="00EC418B">
            <w:pPr>
              <w:rPr>
                <w:rFonts w:ascii="Arial Narrow" w:hAnsi="Arial Narrow"/>
                <w:sz w:val="20"/>
              </w:rPr>
            </w:pPr>
            <w:r w:rsidRPr="00600064">
              <w:rPr>
                <w:rFonts w:ascii="Arial Narrow" w:hAnsi="Arial Narrow"/>
                <w:sz w:val="20"/>
              </w:rPr>
              <w:t>Requested PBS listing</w:t>
            </w:r>
          </w:p>
        </w:tc>
      </w:tr>
      <w:tr w:rsidR="00CA17E5" w:rsidRPr="00600064" w:rsidTr="00EC418B">
        <w:trPr>
          <w:trHeight w:val="930"/>
        </w:trPr>
        <w:tc>
          <w:tcPr>
            <w:tcW w:w="2501" w:type="pct"/>
            <w:shd w:val="clear" w:color="auto" w:fill="auto"/>
          </w:tcPr>
          <w:p w:rsidR="00CA17E5" w:rsidRPr="00600064" w:rsidRDefault="00CA17E5" w:rsidP="005B3341">
            <w:pPr>
              <w:jc w:val="left"/>
              <w:rPr>
                <w:rFonts w:ascii="Arial Narrow" w:hAnsi="Arial Narrow"/>
                <w:sz w:val="20"/>
              </w:rPr>
            </w:pPr>
            <w:r w:rsidRPr="00600064">
              <w:rPr>
                <w:rFonts w:ascii="Arial Narrow" w:hAnsi="Arial Narrow"/>
                <w:sz w:val="20"/>
              </w:rPr>
              <w:t>PBS-listing of nivolumab should be restricted to Stage IV disease, consistent with the first- and second-line agents currently listed for the treatment of RCC. PBS restriction would be limited to patients with a WHO performance score of 0 to 2. The more standard PFS (allowing the RECIST criteria to be modified to avoid stopping the medicine in the context of early pseudo-progression as determined for nivolumab in melanoma) be used in any future PBS restriction</w:t>
            </w:r>
            <w:r w:rsidR="005B3341" w:rsidRPr="00600064">
              <w:rPr>
                <w:rFonts w:ascii="Arial Narrow" w:hAnsi="Arial Narrow"/>
                <w:sz w:val="20"/>
              </w:rPr>
              <w:t>.</w:t>
            </w:r>
            <w:r w:rsidRPr="00600064">
              <w:rPr>
                <w:rFonts w:ascii="Arial Narrow" w:hAnsi="Arial Narrow"/>
                <w:sz w:val="20"/>
              </w:rPr>
              <w:t xml:space="preserve"> </w:t>
            </w:r>
            <w:r w:rsidRPr="00600064">
              <w:rPr>
                <w:rFonts w:ascii="Arial Narrow" w:hAnsi="Arial Narrow"/>
                <w:b/>
                <w:sz w:val="20"/>
              </w:rPr>
              <w:t>[7.2 and 7.5, July 2016 ratified minutes]</w:t>
            </w:r>
          </w:p>
        </w:tc>
        <w:tc>
          <w:tcPr>
            <w:tcW w:w="2499" w:type="pct"/>
            <w:shd w:val="clear" w:color="auto" w:fill="auto"/>
          </w:tcPr>
          <w:p w:rsidR="00CA17E5" w:rsidRPr="00600064" w:rsidRDefault="00CA17E5" w:rsidP="00247727">
            <w:pPr>
              <w:jc w:val="left"/>
              <w:rPr>
                <w:rFonts w:ascii="Arial Narrow" w:hAnsi="Arial Narrow"/>
                <w:sz w:val="20"/>
              </w:rPr>
            </w:pPr>
            <w:r w:rsidRPr="00600064">
              <w:rPr>
                <w:rFonts w:ascii="Arial Narrow" w:hAnsi="Arial Narrow"/>
                <w:sz w:val="20"/>
              </w:rPr>
              <w:t xml:space="preserve">Initiation and continuation criteria were proposed, </w:t>
            </w:r>
            <w:r w:rsidR="00653D18" w:rsidRPr="00600064">
              <w:rPr>
                <w:rFonts w:ascii="Arial Narrow" w:hAnsi="Arial Narrow"/>
                <w:sz w:val="20"/>
              </w:rPr>
              <w:t>including r</w:t>
            </w:r>
            <w:r w:rsidRPr="00600064">
              <w:rPr>
                <w:rFonts w:ascii="Arial Narrow" w:hAnsi="Arial Narrow"/>
                <w:sz w:val="20"/>
              </w:rPr>
              <w:t>estrict</w:t>
            </w:r>
            <w:r w:rsidR="00653D18" w:rsidRPr="00600064">
              <w:rPr>
                <w:rFonts w:ascii="Arial Narrow" w:hAnsi="Arial Narrow"/>
                <w:sz w:val="20"/>
              </w:rPr>
              <w:t xml:space="preserve">ing </w:t>
            </w:r>
            <w:r w:rsidRPr="00600064">
              <w:rPr>
                <w:rFonts w:ascii="Arial Narrow" w:hAnsi="Arial Narrow"/>
                <w:sz w:val="20"/>
              </w:rPr>
              <w:t>access to patients with Stage IV disease and with a WHO performance status of 0 to 2.</w:t>
            </w:r>
            <w:r w:rsidR="00653D18" w:rsidRPr="00600064">
              <w:rPr>
                <w:rFonts w:ascii="Arial Narrow" w:hAnsi="Arial Narrow"/>
                <w:sz w:val="20"/>
              </w:rPr>
              <w:t xml:space="preserve"> The r</w:t>
            </w:r>
            <w:r w:rsidRPr="00600064">
              <w:rPr>
                <w:rFonts w:ascii="Arial Narrow" w:hAnsi="Arial Narrow"/>
                <w:sz w:val="20"/>
              </w:rPr>
              <w:t xml:space="preserve">equested restriction did not include a criterion that eligibility for treatment would be based on standard PFS. </w:t>
            </w:r>
            <w:r w:rsidR="00653D18" w:rsidRPr="00600064">
              <w:rPr>
                <w:rFonts w:ascii="Arial Narrow" w:hAnsi="Arial Narrow"/>
                <w:sz w:val="20"/>
              </w:rPr>
              <w:t>The c</w:t>
            </w:r>
            <w:r w:rsidRPr="00600064">
              <w:rPr>
                <w:rFonts w:ascii="Arial Narrow" w:hAnsi="Arial Narrow"/>
                <w:sz w:val="20"/>
              </w:rPr>
              <w:t xml:space="preserve">ontinuation criteria proposed included a requirement that patients must have stable or responding disease, and the resubmission strongly </w:t>
            </w:r>
            <w:r w:rsidR="00653D18" w:rsidRPr="00600064">
              <w:rPr>
                <w:rFonts w:ascii="Arial Narrow" w:hAnsi="Arial Narrow"/>
                <w:sz w:val="20"/>
              </w:rPr>
              <w:t xml:space="preserve">emphasised </w:t>
            </w:r>
            <w:r w:rsidRPr="00600064">
              <w:rPr>
                <w:rFonts w:ascii="Arial Narrow" w:hAnsi="Arial Narrow"/>
                <w:sz w:val="20"/>
              </w:rPr>
              <w:t>that the implementation of a RECIST</w:t>
            </w:r>
            <w:r w:rsidR="00514F6C" w:rsidRPr="00600064">
              <w:rPr>
                <w:rFonts w:ascii="Arial Narrow" w:hAnsi="Arial Narrow"/>
                <w:sz w:val="20"/>
              </w:rPr>
              <w:t>-based</w:t>
            </w:r>
            <w:r w:rsidRPr="00600064">
              <w:rPr>
                <w:rFonts w:ascii="Arial Narrow" w:hAnsi="Arial Narrow"/>
                <w:sz w:val="20"/>
              </w:rPr>
              <w:t xml:space="preserve"> stopping rule for nivolumab would “not be appropriate under any circumstance”, given this would represent a significant departure from the accepted approach to the utilisation of nivolumab.</w:t>
            </w:r>
          </w:p>
        </w:tc>
      </w:tr>
      <w:tr w:rsidR="00CA17E5" w:rsidRPr="00600064" w:rsidTr="005B3341">
        <w:trPr>
          <w:trHeight w:val="238"/>
        </w:trPr>
        <w:tc>
          <w:tcPr>
            <w:tcW w:w="5000" w:type="pct"/>
            <w:gridSpan w:val="2"/>
            <w:shd w:val="clear" w:color="auto" w:fill="auto"/>
          </w:tcPr>
          <w:p w:rsidR="00CA17E5" w:rsidRPr="00600064" w:rsidRDefault="00CA17E5" w:rsidP="00EC418B">
            <w:pPr>
              <w:rPr>
                <w:rFonts w:ascii="Arial Narrow" w:hAnsi="Arial Narrow"/>
                <w:sz w:val="20"/>
              </w:rPr>
            </w:pPr>
            <w:r w:rsidRPr="00600064">
              <w:rPr>
                <w:rFonts w:ascii="Arial Narrow" w:hAnsi="Arial Narrow"/>
                <w:sz w:val="20"/>
              </w:rPr>
              <w:t>Clinical effectiveness</w:t>
            </w:r>
          </w:p>
        </w:tc>
      </w:tr>
      <w:tr w:rsidR="00CA17E5" w:rsidRPr="00600064" w:rsidTr="00EC418B">
        <w:trPr>
          <w:trHeight w:val="930"/>
        </w:trPr>
        <w:tc>
          <w:tcPr>
            <w:tcW w:w="2501" w:type="pct"/>
            <w:shd w:val="clear" w:color="auto" w:fill="auto"/>
          </w:tcPr>
          <w:p w:rsidR="00CA17E5" w:rsidRPr="00600064" w:rsidRDefault="00CA17E5" w:rsidP="00653D18">
            <w:pPr>
              <w:jc w:val="left"/>
              <w:rPr>
                <w:rFonts w:ascii="Arial Narrow" w:hAnsi="Arial Narrow"/>
                <w:sz w:val="20"/>
              </w:rPr>
            </w:pPr>
            <w:r w:rsidRPr="00600064">
              <w:rPr>
                <w:rFonts w:ascii="Arial Narrow" w:hAnsi="Arial Narrow"/>
                <w:sz w:val="20"/>
              </w:rPr>
              <w:t xml:space="preserve">The </w:t>
            </w:r>
            <w:r w:rsidR="00653D18" w:rsidRPr="00600064">
              <w:rPr>
                <w:rFonts w:ascii="Arial Narrow" w:hAnsi="Arial Narrow"/>
                <w:sz w:val="20"/>
              </w:rPr>
              <w:t>post-</w:t>
            </w:r>
            <w:r w:rsidRPr="00600064">
              <w:rPr>
                <w:rFonts w:ascii="Arial Narrow" w:hAnsi="Arial Narrow"/>
                <w:sz w:val="20"/>
              </w:rPr>
              <w:t>hoc use of a “clinical PFS” outcome for economic modelling was not validated, nor necessarily representative of use in Australian practice.</w:t>
            </w:r>
          </w:p>
        </w:tc>
        <w:tc>
          <w:tcPr>
            <w:tcW w:w="2499" w:type="pct"/>
            <w:shd w:val="clear" w:color="auto" w:fill="auto"/>
          </w:tcPr>
          <w:p w:rsidR="00CA17E5" w:rsidRPr="00600064" w:rsidRDefault="00CA17E5" w:rsidP="00514F6C">
            <w:pPr>
              <w:jc w:val="left"/>
              <w:rPr>
                <w:rFonts w:ascii="Arial Narrow" w:hAnsi="Arial Narrow"/>
                <w:sz w:val="20"/>
              </w:rPr>
            </w:pPr>
            <w:r w:rsidRPr="00600064">
              <w:rPr>
                <w:rFonts w:ascii="Arial Narrow" w:hAnsi="Arial Narrow"/>
                <w:sz w:val="20"/>
              </w:rPr>
              <w:t xml:space="preserve">In the key trial supporting the submission, 46% </w:t>
            </w:r>
            <w:r w:rsidR="00653D18" w:rsidRPr="00600064">
              <w:rPr>
                <w:rFonts w:ascii="Arial Narrow" w:hAnsi="Arial Narrow"/>
                <w:sz w:val="20"/>
              </w:rPr>
              <w:t xml:space="preserve">of </w:t>
            </w:r>
            <w:r w:rsidRPr="00600064">
              <w:rPr>
                <w:rFonts w:ascii="Arial Narrow" w:hAnsi="Arial Narrow"/>
                <w:sz w:val="20"/>
              </w:rPr>
              <w:t xml:space="preserve">nivolumab and 48% </w:t>
            </w:r>
            <w:r w:rsidR="00653D18" w:rsidRPr="00600064">
              <w:rPr>
                <w:rFonts w:ascii="Arial Narrow" w:hAnsi="Arial Narrow"/>
                <w:sz w:val="20"/>
              </w:rPr>
              <w:t xml:space="preserve">of </w:t>
            </w:r>
            <w:proofErr w:type="spellStart"/>
            <w:r w:rsidRPr="00600064">
              <w:rPr>
                <w:rFonts w:ascii="Arial Narrow" w:hAnsi="Arial Narrow"/>
                <w:sz w:val="20"/>
              </w:rPr>
              <w:t>everolimus</w:t>
            </w:r>
            <w:proofErr w:type="spellEnd"/>
            <w:r w:rsidRPr="00600064">
              <w:rPr>
                <w:rFonts w:ascii="Arial Narrow" w:hAnsi="Arial Narrow"/>
                <w:sz w:val="20"/>
              </w:rPr>
              <w:t xml:space="preserve"> patients had continued therapy beyond RECIST</w:t>
            </w:r>
            <w:r w:rsidR="00514F6C" w:rsidRPr="00600064">
              <w:rPr>
                <w:rFonts w:ascii="Arial Narrow" w:hAnsi="Arial Narrow"/>
                <w:sz w:val="20"/>
              </w:rPr>
              <w:t>-</w:t>
            </w:r>
            <w:r w:rsidRPr="00600064">
              <w:rPr>
                <w:rFonts w:ascii="Arial Narrow" w:hAnsi="Arial Narrow"/>
                <w:sz w:val="20"/>
              </w:rPr>
              <w:t>defined progression. The resubmission used RECIST</w:t>
            </w:r>
            <w:r w:rsidR="00514F6C" w:rsidRPr="00600064">
              <w:rPr>
                <w:rFonts w:ascii="Arial Narrow" w:hAnsi="Arial Narrow"/>
                <w:sz w:val="20"/>
              </w:rPr>
              <w:t>-</w:t>
            </w:r>
            <w:r w:rsidRPr="00600064">
              <w:rPr>
                <w:rFonts w:ascii="Arial Narrow" w:hAnsi="Arial Narrow"/>
                <w:sz w:val="20"/>
              </w:rPr>
              <w:t xml:space="preserve">defined progression to model treatment duration for </w:t>
            </w:r>
            <w:proofErr w:type="spellStart"/>
            <w:r w:rsidRPr="00600064">
              <w:rPr>
                <w:rFonts w:ascii="Arial Narrow" w:hAnsi="Arial Narrow"/>
                <w:sz w:val="20"/>
              </w:rPr>
              <w:t>everolimus</w:t>
            </w:r>
            <w:proofErr w:type="spellEnd"/>
            <w:r w:rsidRPr="00600064">
              <w:rPr>
                <w:rFonts w:ascii="Arial Narrow" w:hAnsi="Arial Narrow"/>
                <w:sz w:val="20"/>
              </w:rPr>
              <w:t xml:space="preserve">, but outcomes for both arms and costs for nivolumab were based on clinical PFS. In the </w:t>
            </w:r>
            <w:r w:rsidR="00653D18" w:rsidRPr="00600064">
              <w:rPr>
                <w:rFonts w:ascii="Arial Narrow" w:hAnsi="Arial Narrow"/>
                <w:sz w:val="20"/>
              </w:rPr>
              <w:t>resubmission-addendum</w:t>
            </w:r>
            <w:r w:rsidRPr="00600064">
              <w:rPr>
                <w:rFonts w:ascii="Arial Narrow" w:hAnsi="Arial Narrow"/>
                <w:sz w:val="20"/>
              </w:rPr>
              <w:t>, progression health states were modelled on RECIST</w:t>
            </w:r>
            <w:r w:rsidR="00514F6C" w:rsidRPr="00600064">
              <w:rPr>
                <w:rFonts w:ascii="Arial Narrow" w:hAnsi="Arial Narrow"/>
                <w:sz w:val="20"/>
              </w:rPr>
              <w:t>-</w:t>
            </w:r>
            <w:r w:rsidRPr="00600064">
              <w:rPr>
                <w:rFonts w:ascii="Arial Narrow" w:hAnsi="Arial Narrow"/>
                <w:sz w:val="20"/>
              </w:rPr>
              <w:t>defined PFS as were costs for both arms.</w:t>
            </w:r>
          </w:p>
        </w:tc>
      </w:tr>
      <w:tr w:rsidR="00CF44DD" w:rsidRPr="00600064" w:rsidTr="00EC418B">
        <w:trPr>
          <w:trHeight w:val="930"/>
        </w:trPr>
        <w:tc>
          <w:tcPr>
            <w:tcW w:w="2501" w:type="pct"/>
            <w:shd w:val="clear" w:color="auto" w:fill="auto"/>
          </w:tcPr>
          <w:p w:rsidR="00CF44DD" w:rsidRPr="00600064" w:rsidRDefault="00CF44DD" w:rsidP="005B3341">
            <w:pPr>
              <w:jc w:val="left"/>
              <w:rPr>
                <w:rFonts w:ascii="Arial Narrow" w:hAnsi="Arial Narrow"/>
                <w:sz w:val="20"/>
              </w:rPr>
            </w:pPr>
            <w:r w:rsidRPr="00600064">
              <w:rPr>
                <w:rFonts w:ascii="Arial Narrow" w:hAnsi="Arial Narrow"/>
                <w:sz w:val="20"/>
              </w:rPr>
              <w:t xml:space="preserve">According to the primary analysis of the key trial, nivolumab statistically significantly increased overall survival compared to </w:t>
            </w:r>
            <w:proofErr w:type="spellStart"/>
            <w:r w:rsidRPr="00600064">
              <w:rPr>
                <w:rFonts w:ascii="Arial Narrow" w:hAnsi="Arial Narrow"/>
                <w:sz w:val="20"/>
              </w:rPr>
              <w:t>everolimus</w:t>
            </w:r>
            <w:proofErr w:type="spellEnd"/>
            <w:r w:rsidRPr="00600064">
              <w:rPr>
                <w:rFonts w:ascii="Arial Narrow" w:hAnsi="Arial Narrow"/>
                <w:sz w:val="20"/>
              </w:rPr>
              <w:t xml:space="preserve"> [7.6, July 2016 ratified minutes]. </w:t>
            </w:r>
            <w:r w:rsidRPr="00600064">
              <w:t xml:space="preserve"> </w:t>
            </w:r>
            <w:r w:rsidRPr="00600064">
              <w:rPr>
                <w:rFonts w:ascii="Arial Narrow" w:hAnsi="Arial Narrow"/>
                <w:sz w:val="20"/>
              </w:rPr>
              <w:t>The early stopping of the key trial after the planned interim analysis met the pre-specified early stopping rule may have over-estimated the degree of overall survival gain because this general bias in stopping trials early has been demonstrated in meta-analyses and because hazard ratios tend to become less favourable over time</w:t>
            </w:r>
            <w:r w:rsidR="005B3341" w:rsidRPr="00600064">
              <w:rPr>
                <w:rFonts w:ascii="Arial Narrow" w:hAnsi="Arial Narrow"/>
                <w:sz w:val="20"/>
              </w:rPr>
              <w:t>.</w:t>
            </w:r>
            <w:r w:rsidRPr="00600064">
              <w:rPr>
                <w:rFonts w:ascii="Arial Narrow" w:hAnsi="Arial Narrow"/>
                <w:sz w:val="20"/>
              </w:rPr>
              <w:t xml:space="preserve"> </w:t>
            </w:r>
            <w:r w:rsidRPr="00600064">
              <w:rPr>
                <w:rFonts w:ascii="Arial Narrow" w:hAnsi="Arial Narrow"/>
                <w:b/>
                <w:sz w:val="20"/>
              </w:rPr>
              <w:t>[7.7</w:t>
            </w:r>
            <w:r w:rsidR="005B3341" w:rsidRPr="00600064">
              <w:rPr>
                <w:rFonts w:ascii="Arial Narrow" w:hAnsi="Arial Narrow"/>
                <w:b/>
                <w:sz w:val="20"/>
              </w:rPr>
              <w:t>,</w:t>
            </w:r>
            <w:r w:rsidRPr="00600064">
              <w:rPr>
                <w:rFonts w:ascii="Arial Narrow" w:hAnsi="Arial Narrow"/>
                <w:b/>
                <w:sz w:val="20"/>
              </w:rPr>
              <w:t xml:space="preserve"> July 2016 ratified minutes]</w:t>
            </w:r>
          </w:p>
        </w:tc>
        <w:tc>
          <w:tcPr>
            <w:tcW w:w="2499" w:type="pct"/>
            <w:vMerge w:val="restart"/>
            <w:shd w:val="clear" w:color="auto" w:fill="auto"/>
          </w:tcPr>
          <w:p w:rsidR="00CF44DD" w:rsidRPr="00600064" w:rsidRDefault="00CF44DD" w:rsidP="005B3341">
            <w:pPr>
              <w:jc w:val="left"/>
              <w:rPr>
                <w:rFonts w:ascii="Arial Narrow" w:hAnsi="Arial Narrow"/>
                <w:sz w:val="20"/>
              </w:rPr>
            </w:pPr>
            <w:r w:rsidRPr="00600064">
              <w:rPr>
                <w:rFonts w:ascii="Arial Narrow" w:hAnsi="Arial Narrow"/>
                <w:sz w:val="20"/>
              </w:rPr>
              <w:t xml:space="preserve">Presentation of updated results from the 11 May 2016 database lock showing </w:t>
            </w:r>
            <w:r w:rsidR="003A224F">
              <w:rPr>
                <w:rFonts w:ascii="Arial Narrow" w:hAnsi="Arial Narrow"/>
                <w:noProof/>
                <w:color w:val="000000"/>
                <w:sz w:val="20"/>
                <w:highlight w:val="black"/>
              </w:rPr>
              <w:t>''''''' ''''''''''''''''''''''''''''''''' '''' ''''''''''''''''' '''''''''''''' ''''''''''''''' ''''''''''''''''' ''''''</w:t>
            </w:r>
            <w:r w:rsidRPr="00600064">
              <w:rPr>
                <w:rFonts w:ascii="Arial Narrow" w:hAnsi="Arial Narrow"/>
                <w:sz w:val="20"/>
              </w:rPr>
              <w:t>% of pa</w:t>
            </w:r>
            <w:r w:rsidR="005B3341" w:rsidRPr="00600064">
              <w:rPr>
                <w:rFonts w:ascii="Arial Narrow" w:hAnsi="Arial Narrow"/>
                <w:sz w:val="20"/>
              </w:rPr>
              <w:t xml:space="preserve">rticipants randomised to </w:t>
            </w:r>
            <w:proofErr w:type="spellStart"/>
            <w:r w:rsidR="005B3341" w:rsidRPr="00600064">
              <w:rPr>
                <w:rFonts w:ascii="Arial Narrow" w:hAnsi="Arial Narrow"/>
                <w:sz w:val="20"/>
              </w:rPr>
              <w:t>everolimus</w:t>
            </w:r>
            <w:proofErr w:type="spellEnd"/>
            <w:r w:rsidR="005B3341" w:rsidRPr="00600064">
              <w:rPr>
                <w:rFonts w:ascii="Arial Narrow" w:hAnsi="Arial Narrow"/>
                <w:sz w:val="20"/>
              </w:rPr>
              <w:t xml:space="preserve"> </w:t>
            </w:r>
            <w:r w:rsidRPr="00600064">
              <w:rPr>
                <w:rFonts w:ascii="Arial Narrow" w:hAnsi="Arial Narrow"/>
                <w:sz w:val="20"/>
              </w:rPr>
              <w:t>crossing over to nivol</w:t>
            </w:r>
            <w:r w:rsidR="005B3341" w:rsidRPr="00600064">
              <w:rPr>
                <w:rFonts w:ascii="Arial Narrow" w:hAnsi="Arial Narrow"/>
                <w:sz w:val="20"/>
              </w:rPr>
              <w:t>umab therapy.</w:t>
            </w:r>
          </w:p>
        </w:tc>
      </w:tr>
      <w:tr w:rsidR="00CF44DD" w:rsidRPr="00600064" w:rsidTr="00EC418B">
        <w:trPr>
          <w:trHeight w:val="930"/>
        </w:trPr>
        <w:tc>
          <w:tcPr>
            <w:tcW w:w="2501" w:type="pct"/>
            <w:shd w:val="clear" w:color="auto" w:fill="auto"/>
          </w:tcPr>
          <w:p w:rsidR="00CF44DD" w:rsidRPr="00600064" w:rsidRDefault="00CF44DD" w:rsidP="005B3341">
            <w:pPr>
              <w:jc w:val="left"/>
              <w:rPr>
                <w:rFonts w:ascii="Arial Narrow" w:hAnsi="Arial Narrow"/>
                <w:sz w:val="20"/>
              </w:rPr>
            </w:pPr>
            <w:r w:rsidRPr="00600064">
              <w:rPr>
                <w:rFonts w:ascii="Arial Narrow" w:hAnsi="Arial Narrow"/>
                <w:sz w:val="20"/>
              </w:rPr>
              <w:lastRenderedPageBreak/>
              <w:t xml:space="preserve">The PBAC noted the updated data on OS </w:t>
            </w:r>
            <w:r w:rsidR="003A224F">
              <w:rPr>
                <w:rFonts w:ascii="Arial Narrow" w:hAnsi="Arial Narrow"/>
                <w:noProof/>
                <w:color w:val="000000"/>
                <w:sz w:val="20"/>
                <w:highlight w:val="black"/>
              </w:rPr>
              <w:t>''''''''''''' ''''''''''''''''''''''''''''' ''''''''' ''''''''''''''''''''''''' '''''''''''''''''''''''' '''''''' ''''''''''''''''' '''''''''''' ''''' '''''''' ''''''''''''' '''''''''''' ''''''''</w:t>
            </w:r>
            <w:r w:rsidRPr="00600064">
              <w:rPr>
                <w:rFonts w:ascii="Arial Narrow" w:hAnsi="Arial Narrow"/>
                <w:sz w:val="20"/>
              </w:rPr>
              <w:t>, however considered that the degree of benefit in a PBS population was still uncertain as the trial contained patients whose nivolumab treatment continued after disease progression</w:t>
            </w:r>
            <w:r w:rsidR="005B3341" w:rsidRPr="00600064">
              <w:rPr>
                <w:rFonts w:ascii="Arial Narrow" w:hAnsi="Arial Narrow"/>
                <w:sz w:val="20"/>
              </w:rPr>
              <w:t>.</w:t>
            </w:r>
            <w:r w:rsidRPr="00600064">
              <w:rPr>
                <w:rFonts w:ascii="Arial Narrow" w:hAnsi="Arial Narrow"/>
                <w:sz w:val="20"/>
              </w:rPr>
              <w:t xml:space="preserve"> </w:t>
            </w:r>
            <w:r w:rsidRPr="00600064">
              <w:rPr>
                <w:rFonts w:ascii="Arial Narrow" w:hAnsi="Arial Narrow"/>
                <w:b/>
                <w:sz w:val="20"/>
              </w:rPr>
              <w:t>[7.3</w:t>
            </w:r>
            <w:r w:rsidR="005B3341" w:rsidRPr="00600064">
              <w:rPr>
                <w:rFonts w:ascii="Arial Narrow" w:hAnsi="Arial Narrow"/>
                <w:b/>
                <w:sz w:val="20"/>
              </w:rPr>
              <w:t>,</w:t>
            </w:r>
            <w:r w:rsidRPr="00600064">
              <w:rPr>
                <w:rFonts w:ascii="Arial Narrow" w:hAnsi="Arial Narrow"/>
                <w:b/>
                <w:sz w:val="20"/>
              </w:rPr>
              <w:t xml:space="preserve"> November 2016 </w:t>
            </w:r>
            <w:r w:rsidR="005B3341" w:rsidRPr="00600064">
              <w:rPr>
                <w:rFonts w:ascii="Arial Narrow" w:hAnsi="Arial Narrow"/>
                <w:b/>
                <w:sz w:val="20"/>
              </w:rPr>
              <w:t>ratified minutes</w:t>
            </w:r>
            <w:r w:rsidRPr="00600064">
              <w:rPr>
                <w:rFonts w:ascii="Arial Narrow" w:hAnsi="Arial Narrow"/>
                <w:b/>
                <w:sz w:val="20"/>
              </w:rPr>
              <w:t>]</w:t>
            </w:r>
          </w:p>
        </w:tc>
        <w:tc>
          <w:tcPr>
            <w:tcW w:w="2499" w:type="pct"/>
            <w:vMerge/>
            <w:shd w:val="clear" w:color="auto" w:fill="auto"/>
          </w:tcPr>
          <w:p w:rsidR="00CF44DD" w:rsidRPr="00600064" w:rsidRDefault="00CF44DD" w:rsidP="00EC418B">
            <w:pPr>
              <w:rPr>
                <w:rFonts w:ascii="Arial Narrow" w:hAnsi="Arial Narrow"/>
                <w:sz w:val="20"/>
              </w:rPr>
            </w:pPr>
          </w:p>
        </w:tc>
      </w:tr>
      <w:tr w:rsidR="00CA17E5" w:rsidRPr="00600064" w:rsidTr="00EC418B">
        <w:trPr>
          <w:trHeight w:val="930"/>
        </w:trPr>
        <w:tc>
          <w:tcPr>
            <w:tcW w:w="2501" w:type="pct"/>
            <w:shd w:val="clear" w:color="auto" w:fill="auto"/>
          </w:tcPr>
          <w:p w:rsidR="00CA17E5" w:rsidRPr="00600064" w:rsidRDefault="00CA17E5" w:rsidP="005B3341">
            <w:pPr>
              <w:tabs>
                <w:tab w:val="left" w:pos="3563"/>
              </w:tabs>
              <w:jc w:val="left"/>
              <w:rPr>
                <w:rFonts w:ascii="Arial Narrow" w:hAnsi="Arial Narrow"/>
                <w:sz w:val="20"/>
              </w:rPr>
            </w:pPr>
            <w:r w:rsidRPr="00600064">
              <w:rPr>
                <w:rFonts w:ascii="Arial Narrow" w:hAnsi="Arial Narrow"/>
                <w:sz w:val="20"/>
              </w:rPr>
              <w:t xml:space="preserve">The PBAC considered that the difficulty in determining causality of AEs in the nivolumab arm of the key trial did not support the claim of </w:t>
            </w:r>
            <w:r w:rsidR="00653D18" w:rsidRPr="00600064">
              <w:rPr>
                <w:rFonts w:ascii="Arial Narrow" w:hAnsi="Arial Narrow"/>
                <w:sz w:val="20"/>
              </w:rPr>
              <w:t xml:space="preserve">fewer </w:t>
            </w:r>
            <w:r w:rsidRPr="00600064">
              <w:rPr>
                <w:rFonts w:ascii="Arial Narrow" w:hAnsi="Arial Narrow"/>
                <w:sz w:val="20"/>
              </w:rPr>
              <w:t xml:space="preserve">drug-related AEs. The PBAC indicated that the clinical claim of ‘favourable’ safety for nivolumab over </w:t>
            </w:r>
            <w:proofErr w:type="spellStart"/>
            <w:r w:rsidRPr="00600064">
              <w:rPr>
                <w:rFonts w:ascii="Arial Narrow" w:hAnsi="Arial Narrow"/>
                <w:sz w:val="20"/>
              </w:rPr>
              <w:t>everolimus</w:t>
            </w:r>
            <w:proofErr w:type="spellEnd"/>
            <w:r w:rsidRPr="00600064">
              <w:rPr>
                <w:rFonts w:ascii="Arial Narrow" w:hAnsi="Arial Narrow"/>
                <w:sz w:val="20"/>
              </w:rPr>
              <w:t xml:space="preserve"> was not adequately supported by the data supplied</w:t>
            </w:r>
            <w:r w:rsidR="005B3341" w:rsidRPr="00600064">
              <w:rPr>
                <w:rFonts w:ascii="Arial Narrow" w:hAnsi="Arial Narrow"/>
                <w:sz w:val="20"/>
              </w:rPr>
              <w:t>.</w:t>
            </w:r>
            <w:r w:rsidRPr="00600064">
              <w:rPr>
                <w:rFonts w:ascii="Arial Narrow" w:hAnsi="Arial Narrow"/>
                <w:sz w:val="20"/>
              </w:rPr>
              <w:t xml:space="preserve"> </w:t>
            </w:r>
            <w:r w:rsidRPr="00600064">
              <w:rPr>
                <w:rFonts w:ascii="Arial Narrow" w:hAnsi="Arial Narrow"/>
                <w:b/>
                <w:sz w:val="20"/>
              </w:rPr>
              <w:t>[7.8</w:t>
            </w:r>
            <w:r w:rsidR="005B3341" w:rsidRPr="00600064">
              <w:rPr>
                <w:rFonts w:ascii="Arial Narrow" w:hAnsi="Arial Narrow"/>
                <w:b/>
                <w:sz w:val="20"/>
              </w:rPr>
              <w:t>,</w:t>
            </w:r>
            <w:r w:rsidRPr="00600064">
              <w:rPr>
                <w:rFonts w:ascii="Arial Narrow" w:hAnsi="Arial Narrow"/>
                <w:b/>
                <w:sz w:val="20"/>
              </w:rPr>
              <w:t xml:space="preserve"> July 2016 ratified minutes]</w:t>
            </w:r>
          </w:p>
        </w:tc>
        <w:tc>
          <w:tcPr>
            <w:tcW w:w="2499" w:type="pct"/>
            <w:shd w:val="clear" w:color="auto" w:fill="auto"/>
          </w:tcPr>
          <w:p w:rsidR="00CA17E5" w:rsidRPr="00600064" w:rsidRDefault="00CA17E5" w:rsidP="00F15E43">
            <w:pPr>
              <w:tabs>
                <w:tab w:val="left" w:pos="3563"/>
              </w:tabs>
              <w:jc w:val="left"/>
              <w:rPr>
                <w:rFonts w:ascii="Arial Narrow" w:hAnsi="Arial Narrow"/>
                <w:sz w:val="20"/>
              </w:rPr>
            </w:pPr>
            <w:r w:rsidRPr="00600064">
              <w:rPr>
                <w:rFonts w:ascii="Arial Narrow" w:hAnsi="Arial Narrow"/>
                <w:sz w:val="20"/>
              </w:rPr>
              <w:t xml:space="preserve">The resubmission maintained the view that the clinical trial data supported a claim of favourable safety for nivolumab over </w:t>
            </w:r>
            <w:proofErr w:type="spellStart"/>
            <w:r w:rsidRPr="00600064">
              <w:rPr>
                <w:rFonts w:ascii="Arial Narrow" w:hAnsi="Arial Narrow"/>
                <w:sz w:val="20"/>
              </w:rPr>
              <w:t>everolimus</w:t>
            </w:r>
            <w:proofErr w:type="spellEnd"/>
            <w:r w:rsidRPr="00600064">
              <w:rPr>
                <w:rFonts w:ascii="Arial Narrow" w:hAnsi="Arial Narrow"/>
                <w:sz w:val="20"/>
              </w:rPr>
              <w:t>, and recognised that the PBAC had not agreed with this claim at the July 2016 meeting based on the evidence presented. It was stated that such disagreement was inconsequential as the economic model had not valued a safety advantage.</w:t>
            </w:r>
          </w:p>
        </w:tc>
      </w:tr>
      <w:tr w:rsidR="00CA17E5" w:rsidRPr="00600064" w:rsidTr="005B3341">
        <w:trPr>
          <w:trHeight w:val="155"/>
        </w:trPr>
        <w:tc>
          <w:tcPr>
            <w:tcW w:w="5000" w:type="pct"/>
            <w:gridSpan w:val="2"/>
            <w:shd w:val="clear" w:color="auto" w:fill="auto"/>
          </w:tcPr>
          <w:p w:rsidR="00CA17E5" w:rsidRPr="00600064" w:rsidRDefault="00CA17E5" w:rsidP="00F15E43">
            <w:pPr>
              <w:tabs>
                <w:tab w:val="left" w:pos="3563"/>
              </w:tabs>
              <w:rPr>
                <w:rFonts w:ascii="Arial Narrow" w:hAnsi="Arial Narrow"/>
                <w:sz w:val="20"/>
              </w:rPr>
            </w:pPr>
            <w:r w:rsidRPr="00600064">
              <w:rPr>
                <w:rFonts w:ascii="Arial Narrow" w:hAnsi="Arial Narrow"/>
                <w:sz w:val="20"/>
              </w:rPr>
              <w:t>Economic evaluation</w:t>
            </w:r>
          </w:p>
        </w:tc>
      </w:tr>
      <w:tr w:rsidR="00CA17E5" w:rsidRPr="00600064" w:rsidTr="00EC418B">
        <w:trPr>
          <w:trHeight w:val="930"/>
        </w:trPr>
        <w:tc>
          <w:tcPr>
            <w:tcW w:w="2501" w:type="pct"/>
            <w:shd w:val="clear" w:color="auto" w:fill="auto"/>
          </w:tcPr>
          <w:p w:rsidR="00CA17E5" w:rsidRPr="00600064" w:rsidRDefault="00CA17E5" w:rsidP="00F15E43">
            <w:pPr>
              <w:tabs>
                <w:tab w:val="left" w:pos="3563"/>
              </w:tabs>
              <w:jc w:val="left"/>
              <w:rPr>
                <w:rFonts w:ascii="Arial Narrow" w:hAnsi="Arial Narrow"/>
                <w:sz w:val="20"/>
              </w:rPr>
            </w:pPr>
            <w:r w:rsidRPr="00600064">
              <w:rPr>
                <w:rFonts w:ascii="Arial Narrow" w:hAnsi="Arial Narrow"/>
                <w:sz w:val="20"/>
              </w:rPr>
              <w:t>The more standard PFS (allowing the RECIST criteria to be modified to avoid stopping the medicine in the context of early pseudo-progression as determined for nivolumab in melanoma) be used in economic modelling</w:t>
            </w:r>
            <w:r w:rsidR="005B3341" w:rsidRPr="00600064">
              <w:rPr>
                <w:rFonts w:ascii="Arial Narrow" w:hAnsi="Arial Narrow"/>
                <w:sz w:val="20"/>
              </w:rPr>
              <w:t>.</w:t>
            </w:r>
            <w:r w:rsidRPr="00600064">
              <w:rPr>
                <w:rFonts w:ascii="Arial Narrow" w:hAnsi="Arial Narrow"/>
                <w:sz w:val="20"/>
              </w:rPr>
              <w:t xml:space="preserve"> </w:t>
            </w:r>
            <w:r w:rsidRPr="00600064">
              <w:rPr>
                <w:rFonts w:ascii="Arial Narrow" w:hAnsi="Arial Narrow"/>
                <w:b/>
                <w:sz w:val="20"/>
              </w:rPr>
              <w:t>[7.5, July 2016 ratified minutes]</w:t>
            </w:r>
          </w:p>
        </w:tc>
        <w:tc>
          <w:tcPr>
            <w:tcW w:w="2499" w:type="pct"/>
            <w:shd w:val="clear" w:color="auto" w:fill="auto"/>
          </w:tcPr>
          <w:p w:rsidR="00CA17E5" w:rsidRPr="00600064" w:rsidRDefault="00CA17E5" w:rsidP="00514F6C">
            <w:pPr>
              <w:tabs>
                <w:tab w:val="left" w:pos="3563"/>
              </w:tabs>
              <w:jc w:val="left"/>
              <w:rPr>
                <w:rFonts w:ascii="Arial Narrow" w:hAnsi="Arial Narrow"/>
                <w:sz w:val="20"/>
              </w:rPr>
            </w:pPr>
            <w:r w:rsidRPr="00600064">
              <w:rPr>
                <w:rFonts w:ascii="Arial Narrow" w:hAnsi="Arial Narrow"/>
                <w:sz w:val="20"/>
              </w:rPr>
              <w:t>The resubmission used RECIST</w:t>
            </w:r>
            <w:r w:rsidR="00514F6C" w:rsidRPr="00600064">
              <w:rPr>
                <w:rFonts w:ascii="Arial Narrow" w:hAnsi="Arial Narrow"/>
                <w:sz w:val="20"/>
              </w:rPr>
              <w:t>-</w:t>
            </w:r>
            <w:r w:rsidRPr="00600064">
              <w:rPr>
                <w:rFonts w:ascii="Arial Narrow" w:hAnsi="Arial Narrow"/>
                <w:sz w:val="20"/>
              </w:rPr>
              <w:t xml:space="preserve">defined progression to model treatment duration for </w:t>
            </w:r>
            <w:proofErr w:type="spellStart"/>
            <w:r w:rsidRPr="00600064">
              <w:rPr>
                <w:rFonts w:ascii="Arial Narrow" w:hAnsi="Arial Narrow"/>
                <w:sz w:val="20"/>
              </w:rPr>
              <w:t>everolimus</w:t>
            </w:r>
            <w:proofErr w:type="spellEnd"/>
            <w:r w:rsidRPr="00600064">
              <w:rPr>
                <w:rFonts w:ascii="Arial Narrow" w:hAnsi="Arial Narrow"/>
                <w:sz w:val="20"/>
              </w:rPr>
              <w:t xml:space="preserve">, but outcomes for both arms and costs for nivolumab were based on clinical PFS. In the </w:t>
            </w:r>
            <w:r w:rsidR="00653D18" w:rsidRPr="00600064">
              <w:rPr>
                <w:rFonts w:ascii="Arial Narrow" w:hAnsi="Arial Narrow"/>
                <w:sz w:val="20"/>
              </w:rPr>
              <w:t>resubmission-</w:t>
            </w:r>
            <w:r w:rsidRPr="00600064">
              <w:rPr>
                <w:rFonts w:ascii="Arial Narrow" w:hAnsi="Arial Narrow"/>
                <w:sz w:val="20"/>
              </w:rPr>
              <w:t>addendum progression health states were modelled on RECIST</w:t>
            </w:r>
            <w:r w:rsidR="00514F6C" w:rsidRPr="00600064">
              <w:rPr>
                <w:rFonts w:ascii="Arial Narrow" w:hAnsi="Arial Narrow"/>
                <w:sz w:val="20"/>
              </w:rPr>
              <w:t>-</w:t>
            </w:r>
            <w:r w:rsidRPr="00600064">
              <w:rPr>
                <w:rFonts w:ascii="Arial Narrow" w:hAnsi="Arial Narrow"/>
                <w:sz w:val="20"/>
              </w:rPr>
              <w:t>defined PFS as were costs for both arms.</w:t>
            </w:r>
          </w:p>
        </w:tc>
      </w:tr>
      <w:tr w:rsidR="00CA17E5" w:rsidRPr="00600064" w:rsidTr="00EC418B">
        <w:trPr>
          <w:trHeight w:val="930"/>
        </w:trPr>
        <w:tc>
          <w:tcPr>
            <w:tcW w:w="2501" w:type="pct"/>
            <w:shd w:val="clear" w:color="auto" w:fill="auto"/>
          </w:tcPr>
          <w:p w:rsidR="00A3481E" w:rsidRPr="00600064" w:rsidRDefault="00CA17E5" w:rsidP="00653D18">
            <w:pPr>
              <w:jc w:val="left"/>
              <w:rPr>
                <w:rFonts w:ascii="Arial Narrow" w:hAnsi="Arial Narrow"/>
                <w:sz w:val="20"/>
              </w:rPr>
            </w:pPr>
            <w:r w:rsidRPr="00600064">
              <w:rPr>
                <w:rFonts w:ascii="Arial Narrow" w:hAnsi="Arial Narrow"/>
                <w:sz w:val="20"/>
              </w:rPr>
              <w:t xml:space="preserve">The </w:t>
            </w:r>
            <w:r w:rsidR="005B3341" w:rsidRPr="00600064">
              <w:rPr>
                <w:rFonts w:ascii="Arial Narrow" w:hAnsi="Arial Narrow"/>
                <w:sz w:val="20"/>
              </w:rPr>
              <w:t xml:space="preserve">July 2016 </w:t>
            </w:r>
            <w:r w:rsidRPr="00600064">
              <w:rPr>
                <w:rFonts w:ascii="Arial Narrow" w:hAnsi="Arial Narrow"/>
                <w:sz w:val="20"/>
              </w:rPr>
              <w:t xml:space="preserve">PBAC </w:t>
            </w:r>
            <w:r w:rsidR="005B3341" w:rsidRPr="00600064">
              <w:rPr>
                <w:rFonts w:ascii="Arial Narrow" w:hAnsi="Arial Narrow"/>
                <w:sz w:val="20"/>
              </w:rPr>
              <w:t xml:space="preserve">meeting </w:t>
            </w:r>
            <w:r w:rsidRPr="00600064">
              <w:rPr>
                <w:rFonts w:ascii="Arial Narrow" w:hAnsi="Arial Narrow"/>
                <w:sz w:val="20"/>
              </w:rPr>
              <w:t>proposed the following respecified base case for the model:</w:t>
            </w:r>
          </w:p>
          <w:p w:rsidR="00A3481E" w:rsidRPr="00600064" w:rsidRDefault="003A224F" w:rsidP="00CF44DD">
            <w:pPr>
              <w:pStyle w:val="ListParagraph"/>
              <w:numPr>
                <w:ilvl w:val="0"/>
                <w:numId w:val="20"/>
              </w:numPr>
              <w:ind w:left="540" w:hanging="360"/>
              <w:jc w:val="left"/>
              <w:rPr>
                <w:rFonts w:ascii="Arial Narrow" w:hAnsi="Arial Narrow"/>
                <w:sz w:val="20"/>
              </w:rPr>
            </w:pPr>
            <w:r>
              <w:rPr>
                <w:rFonts w:ascii="Arial Narrow" w:hAnsi="Arial Narrow"/>
                <w:noProof/>
                <w:color w:val="000000"/>
                <w:sz w:val="20"/>
                <w:highlight w:val="black"/>
              </w:rPr>
              <w:t>''''''''''</w:t>
            </w:r>
            <w:r w:rsidR="00CA17E5" w:rsidRPr="00600064">
              <w:rPr>
                <w:rFonts w:ascii="Arial Narrow" w:hAnsi="Arial Narrow"/>
                <w:sz w:val="20"/>
              </w:rPr>
              <w:t xml:space="preserve"> infusions of nivolumab reflecting time to progression in the key trial and costed according to the per cycle approach in the model</w:t>
            </w:r>
            <w:r w:rsidR="00653D18" w:rsidRPr="00600064">
              <w:rPr>
                <w:rFonts w:ascii="Arial Narrow" w:hAnsi="Arial Narrow"/>
                <w:sz w:val="20"/>
              </w:rPr>
              <w:t>.</w:t>
            </w:r>
          </w:p>
          <w:p w:rsidR="00CA17E5" w:rsidRPr="00600064" w:rsidRDefault="00CF44DD" w:rsidP="00CF44DD">
            <w:pPr>
              <w:pStyle w:val="ListParagraph"/>
              <w:numPr>
                <w:ilvl w:val="0"/>
                <w:numId w:val="20"/>
              </w:numPr>
              <w:ind w:left="540" w:hanging="360"/>
              <w:jc w:val="left"/>
            </w:pPr>
            <w:r w:rsidRPr="00600064">
              <w:rPr>
                <w:rFonts w:ascii="Arial Narrow" w:hAnsi="Arial Narrow"/>
                <w:sz w:val="20"/>
              </w:rPr>
              <w:t xml:space="preserve">The </w:t>
            </w:r>
            <w:r w:rsidR="00CA17E5" w:rsidRPr="00600064">
              <w:rPr>
                <w:rFonts w:ascii="Arial Narrow" w:hAnsi="Arial Narrow"/>
                <w:sz w:val="20"/>
              </w:rPr>
              <w:t xml:space="preserve">mean duration of use of </w:t>
            </w:r>
            <w:proofErr w:type="spellStart"/>
            <w:r w:rsidR="00CA17E5" w:rsidRPr="00600064">
              <w:rPr>
                <w:rFonts w:ascii="Arial Narrow" w:hAnsi="Arial Narrow"/>
                <w:sz w:val="20"/>
              </w:rPr>
              <w:t>everolimus</w:t>
            </w:r>
            <w:proofErr w:type="spellEnd"/>
            <w:r w:rsidR="00CA17E5" w:rsidRPr="00600064">
              <w:rPr>
                <w:rFonts w:ascii="Arial Narrow" w:hAnsi="Arial Narrow"/>
                <w:sz w:val="20"/>
              </w:rPr>
              <w:t xml:space="preserve"> and subsequent TKIs as observed in the PBS costed according to the per cycle approach in the model</w:t>
            </w:r>
            <w:r w:rsidR="00653D18" w:rsidRPr="00600064">
              <w:rPr>
                <w:rFonts w:ascii="Arial Narrow" w:hAnsi="Arial Narrow"/>
                <w:sz w:val="20"/>
              </w:rPr>
              <w:t>.</w:t>
            </w:r>
          </w:p>
          <w:p w:rsidR="00A3481E" w:rsidRPr="00600064" w:rsidRDefault="00A3481E" w:rsidP="00653D18">
            <w:pPr>
              <w:jc w:val="left"/>
              <w:rPr>
                <w:rFonts w:ascii="Arial Narrow" w:hAnsi="Arial Narrow"/>
                <w:sz w:val="20"/>
              </w:rPr>
            </w:pPr>
          </w:p>
          <w:p w:rsidR="00CF44DD" w:rsidRPr="00600064" w:rsidRDefault="00CF44DD" w:rsidP="00653D18">
            <w:pPr>
              <w:jc w:val="left"/>
              <w:rPr>
                <w:rFonts w:ascii="Arial Narrow" w:hAnsi="Arial Narrow"/>
                <w:sz w:val="20"/>
              </w:rPr>
            </w:pPr>
          </w:p>
          <w:p w:rsidR="00CA17E5" w:rsidRPr="00600064" w:rsidRDefault="00CA17E5" w:rsidP="00653D18">
            <w:pPr>
              <w:pStyle w:val="ListParagraph"/>
              <w:numPr>
                <w:ilvl w:val="0"/>
                <w:numId w:val="20"/>
              </w:numPr>
              <w:ind w:left="540" w:hanging="360"/>
              <w:jc w:val="left"/>
              <w:rPr>
                <w:rFonts w:ascii="Arial Narrow" w:hAnsi="Arial Narrow"/>
                <w:sz w:val="20"/>
              </w:rPr>
            </w:pPr>
            <w:r w:rsidRPr="00600064">
              <w:rPr>
                <w:rFonts w:ascii="Arial Narrow" w:hAnsi="Arial Narrow"/>
                <w:sz w:val="20"/>
              </w:rPr>
              <w:t>5-year time horizon for the model</w:t>
            </w:r>
            <w:r w:rsidR="00653D18" w:rsidRPr="00600064">
              <w:rPr>
                <w:rFonts w:ascii="Arial Narrow" w:hAnsi="Arial Narrow"/>
                <w:sz w:val="20"/>
              </w:rPr>
              <w:t>.</w:t>
            </w:r>
          </w:p>
          <w:p w:rsidR="00CA17E5" w:rsidRPr="00600064" w:rsidRDefault="00CA17E5" w:rsidP="005B3341">
            <w:pPr>
              <w:jc w:val="left"/>
              <w:rPr>
                <w:rFonts w:ascii="Arial Narrow" w:hAnsi="Arial Narrow"/>
                <w:sz w:val="20"/>
              </w:rPr>
            </w:pPr>
          </w:p>
          <w:p w:rsidR="00A3481E" w:rsidRPr="00600064" w:rsidRDefault="00A3481E" w:rsidP="00CF44DD">
            <w:pPr>
              <w:jc w:val="left"/>
              <w:rPr>
                <w:rFonts w:ascii="Arial Narrow" w:hAnsi="Arial Narrow"/>
                <w:sz w:val="20"/>
              </w:rPr>
            </w:pPr>
          </w:p>
          <w:p w:rsidR="00A3481E" w:rsidRPr="00600064" w:rsidRDefault="00CF44DD"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N</w:t>
            </w:r>
            <w:r w:rsidR="00CA17E5" w:rsidRPr="00600064">
              <w:rPr>
                <w:rFonts w:ascii="Arial Narrow" w:hAnsi="Arial Narrow"/>
                <w:sz w:val="20"/>
              </w:rPr>
              <w:t>o other changes to the method of generating the QALY estimates by the model.</w:t>
            </w:r>
          </w:p>
          <w:p w:rsidR="00A3481E" w:rsidRPr="00600064" w:rsidRDefault="00CF44DD" w:rsidP="00CF44DD">
            <w:pPr>
              <w:pStyle w:val="ListParagraph"/>
              <w:numPr>
                <w:ilvl w:val="0"/>
                <w:numId w:val="20"/>
              </w:numPr>
              <w:ind w:left="540" w:hanging="360"/>
              <w:jc w:val="left"/>
            </w:pPr>
            <w:r w:rsidRPr="00600064">
              <w:rPr>
                <w:rFonts w:ascii="Arial Narrow" w:hAnsi="Arial Narrow"/>
                <w:sz w:val="20"/>
              </w:rPr>
              <w:t>U</w:t>
            </w:r>
            <w:r w:rsidR="00653D18" w:rsidRPr="00600064">
              <w:rPr>
                <w:rFonts w:ascii="Arial Narrow" w:hAnsi="Arial Narrow"/>
                <w:sz w:val="20"/>
              </w:rPr>
              <w:t xml:space="preserve">se of </w:t>
            </w:r>
            <w:r w:rsidR="00CA17E5" w:rsidRPr="00600064">
              <w:rPr>
                <w:rFonts w:ascii="Arial Narrow" w:hAnsi="Arial Narrow"/>
                <w:sz w:val="20"/>
              </w:rPr>
              <w:t xml:space="preserve">effective prices of </w:t>
            </w:r>
            <w:proofErr w:type="spellStart"/>
            <w:r w:rsidR="00CA17E5" w:rsidRPr="00600064">
              <w:rPr>
                <w:rFonts w:ascii="Arial Narrow" w:hAnsi="Arial Narrow"/>
                <w:sz w:val="20"/>
              </w:rPr>
              <w:t>everolimus</w:t>
            </w:r>
            <w:proofErr w:type="spellEnd"/>
            <w:r w:rsidR="00CA17E5" w:rsidRPr="00600064">
              <w:rPr>
                <w:rFonts w:ascii="Arial Narrow" w:hAnsi="Arial Narrow"/>
                <w:sz w:val="20"/>
              </w:rPr>
              <w:t xml:space="preserve">, </w:t>
            </w:r>
            <w:proofErr w:type="spellStart"/>
            <w:r w:rsidR="00CA17E5" w:rsidRPr="00600064">
              <w:rPr>
                <w:rFonts w:ascii="Arial Narrow" w:hAnsi="Arial Narrow"/>
                <w:sz w:val="20"/>
              </w:rPr>
              <w:t>axitinib</w:t>
            </w:r>
            <w:proofErr w:type="spellEnd"/>
            <w:r w:rsidR="00CA17E5" w:rsidRPr="00600064">
              <w:rPr>
                <w:rFonts w:ascii="Arial Narrow" w:hAnsi="Arial Narrow"/>
                <w:sz w:val="20"/>
              </w:rPr>
              <w:t xml:space="preserve"> and </w:t>
            </w:r>
            <w:proofErr w:type="spellStart"/>
            <w:r w:rsidR="00CA17E5" w:rsidRPr="00600064">
              <w:rPr>
                <w:rFonts w:ascii="Arial Narrow" w:hAnsi="Arial Narrow"/>
                <w:sz w:val="20"/>
              </w:rPr>
              <w:t>sorafenib</w:t>
            </w:r>
            <w:proofErr w:type="spellEnd"/>
            <w:r w:rsidR="00653D18" w:rsidRPr="00600064">
              <w:rPr>
                <w:rFonts w:ascii="Arial Narrow" w:hAnsi="Arial Narrow"/>
                <w:sz w:val="20"/>
              </w:rPr>
              <w:t>.</w:t>
            </w:r>
          </w:p>
          <w:p w:rsidR="00CA17E5" w:rsidRPr="00600064" w:rsidRDefault="00CF44DD" w:rsidP="00653D18">
            <w:pPr>
              <w:pStyle w:val="ListParagraph"/>
              <w:numPr>
                <w:ilvl w:val="0"/>
                <w:numId w:val="20"/>
              </w:numPr>
              <w:ind w:left="540" w:hanging="360"/>
              <w:jc w:val="left"/>
              <w:rPr>
                <w:rFonts w:ascii="Arial Narrow" w:hAnsi="Arial Narrow"/>
                <w:sz w:val="20"/>
              </w:rPr>
            </w:pPr>
            <w:r w:rsidRPr="00600064">
              <w:rPr>
                <w:rFonts w:ascii="Arial Narrow" w:hAnsi="Arial Narrow"/>
                <w:sz w:val="20"/>
              </w:rPr>
              <w:t>B</w:t>
            </w:r>
            <w:r w:rsidR="00CA17E5" w:rsidRPr="00600064">
              <w:rPr>
                <w:rFonts w:ascii="Arial Narrow" w:hAnsi="Arial Narrow"/>
                <w:sz w:val="20"/>
              </w:rPr>
              <w:t xml:space="preserve">ack-calculated effective price of nivolumab to give the submission’s base case ICER/QALY of no greater than </w:t>
            </w:r>
            <w:r w:rsidR="005C3D08">
              <w:rPr>
                <w:rFonts w:ascii="Arial Narrow" w:hAnsi="Arial Narrow"/>
                <w:sz w:val="20"/>
              </w:rPr>
              <w:t>$45,000/QALY - $75,000/QALY</w:t>
            </w:r>
            <w:r w:rsidR="00CA17E5" w:rsidRPr="00600064">
              <w:rPr>
                <w:rFonts w:ascii="Arial Narrow" w:hAnsi="Arial Narrow"/>
                <w:sz w:val="20"/>
              </w:rPr>
              <w:t>.</w:t>
            </w:r>
          </w:p>
          <w:p w:rsidR="00CA17E5" w:rsidRPr="00600064" w:rsidRDefault="00CA17E5" w:rsidP="00653D18">
            <w:pPr>
              <w:jc w:val="left"/>
              <w:rPr>
                <w:rFonts w:ascii="Arial Narrow" w:hAnsi="Arial Narrow"/>
                <w:sz w:val="20"/>
              </w:rPr>
            </w:pPr>
          </w:p>
          <w:p w:rsidR="00CA17E5" w:rsidRPr="00600064" w:rsidRDefault="005B3341" w:rsidP="005B3341">
            <w:pPr>
              <w:jc w:val="left"/>
              <w:rPr>
                <w:rFonts w:ascii="Arial Narrow" w:hAnsi="Arial Narrow"/>
                <w:b/>
                <w:sz w:val="20"/>
              </w:rPr>
            </w:pPr>
            <w:r w:rsidRPr="00600064">
              <w:rPr>
                <w:rFonts w:ascii="Arial Narrow" w:hAnsi="Arial Narrow"/>
                <w:b/>
                <w:sz w:val="20"/>
              </w:rPr>
              <w:t>[</w:t>
            </w:r>
            <w:r w:rsidR="00CA17E5" w:rsidRPr="00600064">
              <w:rPr>
                <w:rFonts w:ascii="Arial Narrow" w:hAnsi="Arial Narrow"/>
                <w:b/>
                <w:sz w:val="20"/>
              </w:rPr>
              <w:t>7.10</w:t>
            </w:r>
            <w:r w:rsidRPr="00600064">
              <w:rPr>
                <w:rFonts w:ascii="Arial Narrow" w:hAnsi="Arial Narrow"/>
                <w:b/>
                <w:sz w:val="20"/>
              </w:rPr>
              <w:t>,</w:t>
            </w:r>
            <w:r w:rsidR="00CA17E5" w:rsidRPr="00600064">
              <w:rPr>
                <w:rFonts w:ascii="Arial Narrow" w:hAnsi="Arial Narrow"/>
                <w:b/>
                <w:sz w:val="20"/>
              </w:rPr>
              <w:t xml:space="preserve"> </w:t>
            </w:r>
            <w:r w:rsidR="00A3481E" w:rsidRPr="00600064">
              <w:rPr>
                <w:rFonts w:ascii="Arial Narrow" w:hAnsi="Arial Narrow"/>
                <w:b/>
                <w:sz w:val="20"/>
              </w:rPr>
              <w:t>July</w:t>
            </w:r>
            <w:r w:rsidR="00996D4B" w:rsidRPr="00600064">
              <w:rPr>
                <w:rFonts w:ascii="Arial Narrow" w:hAnsi="Arial Narrow"/>
                <w:b/>
                <w:sz w:val="20"/>
              </w:rPr>
              <w:t xml:space="preserve"> </w:t>
            </w:r>
            <w:r w:rsidR="00CA17E5" w:rsidRPr="00600064">
              <w:rPr>
                <w:rFonts w:ascii="Arial Narrow" w:hAnsi="Arial Narrow"/>
                <w:b/>
                <w:sz w:val="20"/>
              </w:rPr>
              <w:t xml:space="preserve">2016 </w:t>
            </w:r>
            <w:r w:rsidRPr="00600064">
              <w:rPr>
                <w:rFonts w:ascii="Arial Narrow" w:hAnsi="Arial Narrow"/>
                <w:b/>
                <w:sz w:val="20"/>
              </w:rPr>
              <w:t>ratified minutes]</w:t>
            </w:r>
          </w:p>
        </w:tc>
        <w:tc>
          <w:tcPr>
            <w:tcW w:w="2499" w:type="pct"/>
            <w:shd w:val="clear" w:color="auto" w:fill="auto"/>
          </w:tcPr>
          <w:p w:rsidR="00A3481E" w:rsidRPr="00600064" w:rsidRDefault="00CA17E5" w:rsidP="00CF44DD">
            <w:pPr>
              <w:jc w:val="left"/>
              <w:rPr>
                <w:rFonts w:ascii="Arial Narrow" w:hAnsi="Arial Narrow"/>
                <w:sz w:val="20"/>
              </w:rPr>
            </w:pPr>
            <w:r w:rsidRPr="00600064">
              <w:rPr>
                <w:rFonts w:ascii="Arial Narrow" w:hAnsi="Arial Narrow"/>
                <w:sz w:val="20"/>
              </w:rPr>
              <w:t xml:space="preserve">The </w:t>
            </w:r>
            <w:r w:rsidR="007E3DE6" w:rsidRPr="00600064">
              <w:rPr>
                <w:rFonts w:ascii="Arial Narrow" w:hAnsi="Arial Narrow"/>
                <w:sz w:val="20"/>
              </w:rPr>
              <w:t>March 2017</w:t>
            </w:r>
            <w:r w:rsidRPr="00600064">
              <w:rPr>
                <w:rFonts w:ascii="Arial Narrow" w:hAnsi="Arial Narrow"/>
                <w:sz w:val="20"/>
              </w:rPr>
              <w:t xml:space="preserve"> resubmission applied the following respecified base case:</w:t>
            </w:r>
          </w:p>
          <w:p w:rsidR="00CA17E5" w:rsidRPr="00600064" w:rsidRDefault="003A224F" w:rsidP="00996D4B">
            <w:pPr>
              <w:pStyle w:val="ListParagraph"/>
              <w:numPr>
                <w:ilvl w:val="0"/>
                <w:numId w:val="20"/>
              </w:numPr>
              <w:ind w:left="540" w:hanging="360"/>
              <w:jc w:val="left"/>
              <w:rPr>
                <w:rFonts w:ascii="Arial Narrow" w:hAnsi="Arial Narrow"/>
                <w:sz w:val="20"/>
              </w:rPr>
            </w:pPr>
            <w:r>
              <w:rPr>
                <w:rFonts w:ascii="Arial Narrow" w:hAnsi="Arial Narrow"/>
                <w:noProof/>
                <w:color w:val="000000"/>
                <w:sz w:val="20"/>
                <w:highlight w:val="black"/>
              </w:rPr>
              <w:t>'''''''''''''''</w:t>
            </w:r>
            <w:r w:rsidR="00CA17E5" w:rsidRPr="00600064">
              <w:rPr>
                <w:rFonts w:ascii="Arial Narrow" w:hAnsi="Arial Narrow"/>
                <w:sz w:val="20"/>
              </w:rPr>
              <w:t xml:space="preserve"> infusions (capped after 5 years), costed according to the per cycle approach</w:t>
            </w:r>
            <w:r w:rsidR="00A24AE1" w:rsidRPr="00600064">
              <w:rPr>
                <w:rFonts w:ascii="Arial Narrow" w:hAnsi="Arial Narrow"/>
                <w:sz w:val="20"/>
              </w:rPr>
              <w:t>.</w:t>
            </w:r>
          </w:p>
          <w:p w:rsidR="00A3481E" w:rsidRPr="00600064" w:rsidRDefault="00A3481E" w:rsidP="00CF44DD">
            <w:pPr>
              <w:jc w:val="left"/>
              <w:rPr>
                <w:rFonts w:ascii="Arial Narrow" w:hAnsi="Arial Narrow"/>
                <w:sz w:val="20"/>
              </w:rPr>
            </w:pPr>
          </w:p>
          <w:p w:rsidR="00A3481E"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 xml:space="preserve">Mean duration of </w:t>
            </w:r>
            <w:proofErr w:type="spellStart"/>
            <w:r w:rsidRPr="00600064">
              <w:rPr>
                <w:rFonts w:ascii="Arial Narrow" w:hAnsi="Arial Narrow"/>
                <w:sz w:val="20"/>
              </w:rPr>
              <w:t>everolimus</w:t>
            </w:r>
            <w:proofErr w:type="spellEnd"/>
            <w:r w:rsidRPr="00600064">
              <w:rPr>
                <w:rFonts w:ascii="Arial Narrow" w:hAnsi="Arial Narrow"/>
                <w:sz w:val="20"/>
              </w:rPr>
              <w:t xml:space="preserve"> use (</w:t>
            </w:r>
            <w:r w:rsidR="003A224F">
              <w:rPr>
                <w:rFonts w:ascii="Arial Narrow" w:hAnsi="Arial Narrow"/>
                <w:noProof/>
                <w:color w:val="000000"/>
                <w:sz w:val="20"/>
                <w:highlight w:val="black"/>
              </w:rPr>
              <w:t>''''''''''</w:t>
            </w:r>
            <w:r w:rsidRPr="00600064">
              <w:rPr>
                <w:rFonts w:ascii="Arial Narrow" w:hAnsi="Arial Narrow"/>
                <w:sz w:val="20"/>
              </w:rPr>
              <w:t xml:space="preserve"> months) was calculated using a separate tunnel state based on </w:t>
            </w:r>
            <w:r w:rsidR="00653D18" w:rsidRPr="00600064">
              <w:rPr>
                <w:rFonts w:ascii="Arial Narrow" w:hAnsi="Arial Narrow"/>
                <w:sz w:val="20"/>
              </w:rPr>
              <w:t>RECIST-</w:t>
            </w:r>
            <w:r w:rsidR="00030BF9" w:rsidRPr="00600064">
              <w:rPr>
                <w:rFonts w:ascii="Arial Narrow" w:hAnsi="Arial Narrow"/>
                <w:sz w:val="20"/>
              </w:rPr>
              <w:t xml:space="preserve">defined </w:t>
            </w:r>
            <w:r w:rsidRPr="00600064">
              <w:rPr>
                <w:rFonts w:ascii="Arial Narrow" w:hAnsi="Arial Narrow"/>
                <w:sz w:val="20"/>
              </w:rPr>
              <w:t xml:space="preserve">PFS, and was costed according to the per cycle approach. Costs of subsequent TKIs </w:t>
            </w:r>
            <w:r w:rsidR="00653D18" w:rsidRPr="00600064">
              <w:rPr>
                <w:rFonts w:ascii="Arial Narrow" w:hAnsi="Arial Narrow"/>
                <w:sz w:val="20"/>
              </w:rPr>
              <w:t>were front-</w:t>
            </w:r>
            <w:r w:rsidRPr="00600064">
              <w:rPr>
                <w:rFonts w:ascii="Arial Narrow" w:hAnsi="Arial Narrow"/>
                <w:sz w:val="20"/>
              </w:rPr>
              <w:t>loaded.</w:t>
            </w:r>
          </w:p>
          <w:p w:rsidR="00A3481E"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A</w:t>
            </w:r>
            <w:r w:rsidR="00724643" w:rsidRPr="00600064">
              <w:rPr>
                <w:rFonts w:ascii="Arial Narrow" w:hAnsi="Arial Narrow"/>
                <w:sz w:val="20"/>
              </w:rPr>
              <w:t xml:space="preserve">n 8 year time horizon (with convergence of treatment benefit between 5 and 8 years) </w:t>
            </w:r>
            <w:r w:rsidRPr="00600064">
              <w:rPr>
                <w:rFonts w:ascii="Arial Narrow" w:hAnsi="Arial Narrow"/>
                <w:sz w:val="20"/>
              </w:rPr>
              <w:t>was proposed, with clinical evidence supporting long-term survivorship in RCC presented.</w:t>
            </w:r>
          </w:p>
          <w:p w:rsidR="00A3481E" w:rsidRPr="00600064" w:rsidRDefault="00653D18"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No changes were included to the method of generating QALY estimates.</w:t>
            </w:r>
          </w:p>
          <w:p w:rsidR="00A3481E"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 xml:space="preserve">As </w:t>
            </w:r>
            <w:r w:rsidR="00653D18" w:rsidRPr="00600064">
              <w:rPr>
                <w:rFonts w:ascii="Arial Narrow" w:hAnsi="Arial Narrow"/>
                <w:sz w:val="20"/>
              </w:rPr>
              <w:t xml:space="preserve">effective prices of other drugs </w:t>
            </w:r>
            <w:r w:rsidRPr="00600064">
              <w:rPr>
                <w:rFonts w:ascii="Arial Narrow" w:hAnsi="Arial Narrow"/>
                <w:sz w:val="20"/>
              </w:rPr>
              <w:t xml:space="preserve">are not known to the sponsor, they </w:t>
            </w:r>
            <w:r w:rsidR="00653D18" w:rsidRPr="00600064">
              <w:rPr>
                <w:rFonts w:ascii="Arial Narrow" w:hAnsi="Arial Narrow"/>
                <w:sz w:val="20"/>
              </w:rPr>
              <w:t xml:space="preserve">were </w:t>
            </w:r>
            <w:r w:rsidRPr="00600064">
              <w:rPr>
                <w:rFonts w:ascii="Arial Narrow" w:hAnsi="Arial Narrow"/>
                <w:sz w:val="20"/>
              </w:rPr>
              <w:t>not included in the resubmission.</w:t>
            </w:r>
          </w:p>
          <w:p w:rsidR="00CA17E5" w:rsidRPr="00600064" w:rsidRDefault="00CA17E5" w:rsidP="007C782B">
            <w:pPr>
              <w:pStyle w:val="ListParagraph"/>
              <w:numPr>
                <w:ilvl w:val="0"/>
                <w:numId w:val="20"/>
              </w:numPr>
              <w:ind w:left="540" w:hanging="360"/>
              <w:jc w:val="left"/>
              <w:rPr>
                <w:rFonts w:ascii="Arial Narrow" w:hAnsi="Arial Narrow"/>
                <w:sz w:val="20"/>
              </w:rPr>
            </w:pPr>
            <w:r w:rsidRPr="00600064">
              <w:rPr>
                <w:rFonts w:ascii="Arial Narrow" w:hAnsi="Arial Narrow"/>
                <w:sz w:val="20"/>
              </w:rPr>
              <w:t>At a cost of $</w:t>
            </w:r>
            <w:r w:rsidR="003A224F">
              <w:rPr>
                <w:rFonts w:ascii="Arial Narrow" w:hAnsi="Arial Narrow"/>
                <w:noProof/>
                <w:color w:val="000000"/>
                <w:sz w:val="20"/>
                <w:highlight w:val="black"/>
              </w:rPr>
              <w:t>''''''''''''''''''''''</w:t>
            </w:r>
            <w:r w:rsidRPr="00600064">
              <w:rPr>
                <w:rFonts w:ascii="Arial Narrow" w:hAnsi="Arial Narrow"/>
                <w:sz w:val="20"/>
              </w:rPr>
              <w:t xml:space="preserve"> per 100</w:t>
            </w:r>
            <w:r w:rsidR="008B798A" w:rsidRPr="00600064">
              <w:rPr>
                <w:rFonts w:ascii="Arial Narrow" w:hAnsi="Arial Narrow"/>
                <w:sz w:val="20"/>
              </w:rPr>
              <w:t> </w:t>
            </w:r>
            <w:r w:rsidRPr="00600064">
              <w:rPr>
                <w:rFonts w:ascii="Arial Narrow" w:hAnsi="Arial Narrow"/>
                <w:sz w:val="20"/>
              </w:rPr>
              <w:t>mg vial and maximum duration of costed infusions applied at 60</w:t>
            </w:r>
            <w:r w:rsidR="00CF44DD" w:rsidRPr="00600064">
              <w:rPr>
                <w:rFonts w:ascii="Arial Narrow" w:hAnsi="Arial Narrow"/>
                <w:sz w:val="20"/>
              </w:rPr>
              <w:t xml:space="preserve"> </w:t>
            </w:r>
            <w:r w:rsidRPr="00600064">
              <w:rPr>
                <w:rFonts w:ascii="Arial Narrow" w:hAnsi="Arial Narrow"/>
                <w:sz w:val="20"/>
              </w:rPr>
              <w:t xml:space="preserve">months, an ICER/QALY of </w:t>
            </w:r>
            <w:r w:rsidR="007C782B">
              <w:rPr>
                <w:rFonts w:ascii="Arial Narrow" w:hAnsi="Arial Narrow"/>
                <w:sz w:val="20"/>
              </w:rPr>
              <w:t>$45,000/QALY - $75,000/QALY</w:t>
            </w:r>
            <w:r w:rsidRPr="00600064">
              <w:rPr>
                <w:rFonts w:ascii="Arial Narrow" w:hAnsi="Arial Narrow"/>
                <w:sz w:val="20"/>
              </w:rPr>
              <w:t xml:space="preserve"> was derived.</w:t>
            </w:r>
          </w:p>
        </w:tc>
      </w:tr>
      <w:tr w:rsidR="00CA17E5" w:rsidRPr="00600064" w:rsidTr="00EC418B">
        <w:trPr>
          <w:trHeight w:val="930"/>
        </w:trPr>
        <w:tc>
          <w:tcPr>
            <w:tcW w:w="2501" w:type="pct"/>
            <w:shd w:val="clear" w:color="auto" w:fill="auto"/>
          </w:tcPr>
          <w:p w:rsidR="00F15E43" w:rsidRPr="00600064" w:rsidRDefault="00CA17E5" w:rsidP="00996D4B">
            <w:pPr>
              <w:jc w:val="left"/>
              <w:rPr>
                <w:rFonts w:ascii="Arial Narrow" w:hAnsi="Arial Narrow"/>
                <w:sz w:val="20"/>
              </w:rPr>
            </w:pPr>
            <w:r w:rsidRPr="00600064">
              <w:rPr>
                <w:rFonts w:ascii="Arial Narrow" w:hAnsi="Arial Narrow"/>
                <w:sz w:val="20"/>
              </w:rPr>
              <w:t xml:space="preserve">The PBAC summarised further its </w:t>
            </w:r>
            <w:proofErr w:type="spellStart"/>
            <w:r w:rsidRPr="00600064">
              <w:rPr>
                <w:rFonts w:ascii="Arial Narrow" w:hAnsi="Arial Narrow"/>
                <w:sz w:val="20"/>
              </w:rPr>
              <w:t>respecification</w:t>
            </w:r>
            <w:proofErr w:type="spellEnd"/>
            <w:r w:rsidRPr="00600064">
              <w:rPr>
                <w:rFonts w:ascii="Arial Narrow" w:hAnsi="Arial Narrow"/>
                <w:sz w:val="20"/>
              </w:rPr>
              <w:t xml:space="preserve"> of the base case for the model for any resubmission as follows:</w:t>
            </w:r>
          </w:p>
          <w:p w:rsidR="00CA17E5" w:rsidRPr="00E25D57" w:rsidRDefault="00CA17E5" w:rsidP="00996D4B">
            <w:pPr>
              <w:pStyle w:val="ListParagraph"/>
              <w:numPr>
                <w:ilvl w:val="0"/>
                <w:numId w:val="20"/>
              </w:numPr>
              <w:ind w:left="540" w:hanging="360"/>
              <w:jc w:val="left"/>
              <w:rPr>
                <w:rFonts w:ascii="Arial Narrow" w:hAnsi="Arial Narrow"/>
                <w:sz w:val="20"/>
              </w:rPr>
            </w:pPr>
            <w:r w:rsidRPr="00E25D57">
              <w:rPr>
                <w:rFonts w:ascii="Arial Narrow" w:hAnsi="Arial Narrow"/>
                <w:sz w:val="20"/>
              </w:rPr>
              <w:t>5-year time horizon for the model</w:t>
            </w:r>
            <w:r w:rsidR="00A24AE1" w:rsidRPr="00E25D57">
              <w:rPr>
                <w:rFonts w:ascii="Arial Narrow" w:hAnsi="Arial Narrow"/>
                <w:sz w:val="20"/>
              </w:rPr>
              <w:t>.</w:t>
            </w:r>
          </w:p>
          <w:p w:rsidR="00CA17E5" w:rsidRPr="00600064" w:rsidRDefault="00CA17E5" w:rsidP="00996D4B">
            <w:pPr>
              <w:jc w:val="left"/>
              <w:rPr>
                <w:rFonts w:ascii="Arial Narrow" w:hAnsi="Arial Narrow"/>
                <w:sz w:val="20"/>
              </w:rPr>
            </w:pPr>
          </w:p>
          <w:p w:rsidR="00F15E43" w:rsidRPr="00600064" w:rsidRDefault="00F15E43" w:rsidP="00CF44DD">
            <w:pPr>
              <w:jc w:val="left"/>
              <w:rPr>
                <w:rFonts w:ascii="Arial Narrow" w:hAnsi="Arial Narrow"/>
                <w:sz w:val="20"/>
              </w:rPr>
            </w:pPr>
          </w:p>
          <w:p w:rsidR="00F15E43" w:rsidRPr="00600064" w:rsidRDefault="00CF44DD"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U</w:t>
            </w:r>
            <w:r w:rsidR="00CA17E5" w:rsidRPr="00600064">
              <w:rPr>
                <w:rFonts w:ascii="Arial Narrow" w:hAnsi="Arial Narrow"/>
                <w:sz w:val="20"/>
              </w:rPr>
              <w:t>se of the RECIST-</w:t>
            </w:r>
            <w:r w:rsidR="00030BF9" w:rsidRPr="00600064">
              <w:rPr>
                <w:rFonts w:ascii="Arial Narrow" w:hAnsi="Arial Narrow"/>
                <w:sz w:val="20"/>
              </w:rPr>
              <w:t xml:space="preserve">defined </w:t>
            </w:r>
            <w:r w:rsidR="00CA17E5" w:rsidRPr="00600064">
              <w:rPr>
                <w:rFonts w:ascii="Arial Narrow" w:hAnsi="Arial Narrow"/>
                <w:sz w:val="20"/>
              </w:rPr>
              <w:t>PFS criteria, rather than the “clinical PFS” criteria for all treatment arms reflecting time to progression in the key trial in generating the QALY estimates</w:t>
            </w:r>
            <w:r w:rsidRPr="00600064">
              <w:rPr>
                <w:rFonts w:ascii="Arial Narrow" w:hAnsi="Arial Narrow"/>
                <w:sz w:val="20"/>
              </w:rPr>
              <w:t>.</w:t>
            </w:r>
          </w:p>
          <w:p w:rsidR="00F15E43" w:rsidRPr="00600064" w:rsidRDefault="00CF44DD" w:rsidP="00F15E43">
            <w:pPr>
              <w:pStyle w:val="ListParagraph"/>
              <w:numPr>
                <w:ilvl w:val="0"/>
                <w:numId w:val="20"/>
              </w:numPr>
              <w:ind w:left="540" w:hanging="360"/>
              <w:jc w:val="left"/>
              <w:rPr>
                <w:rFonts w:ascii="Arial Narrow" w:hAnsi="Arial Narrow"/>
                <w:sz w:val="20"/>
              </w:rPr>
            </w:pPr>
            <w:r w:rsidRPr="00600064">
              <w:rPr>
                <w:rFonts w:ascii="Arial Narrow" w:hAnsi="Arial Narrow"/>
                <w:sz w:val="20"/>
              </w:rPr>
              <w:t>U</w:t>
            </w:r>
            <w:r w:rsidR="00CA17E5" w:rsidRPr="00600064">
              <w:rPr>
                <w:rFonts w:ascii="Arial Narrow" w:hAnsi="Arial Narrow"/>
                <w:sz w:val="20"/>
              </w:rPr>
              <w:t>se of the RECIST-</w:t>
            </w:r>
            <w:r w:rsidR="00030BF9" w:rsidRPr="00600064">
              <w:rPr>
                <w:rFonts w:ascii="Arial Narrow" w:hAnsi="Arial Narrow"/>
                <w:sz w:val="20"/>
              </w:rPr>
              <w:t xml:space="preserve">defined </w:t>
            </w:r>
            <w:r w:rsidR="00CA17E5" w:rsidRPr="00600064">
              <w:rPr>
                <w:rFonts w:ascii="Arial Narrow" w:hAnsi="Arial Narrow"/>
                <w:sz w:val="20"/>
              </w:rPr>
              <w:t xml:space="preserve">PFS criteria, rather than the “clinical PFS” criteria reflecting time to progression in the key trial and costed according to the per cycle </w:t>
            </w:r>
            <w:r w:rsidR="00CA17E5" w:rsidRPr="00600064">
              <w:rPr>
                <w:rFonts w:ascii="Arial Narrow" w:hAnsi="Arial Narrow"/>
                <w:sz w:val="20"/>
              </w:rPr>
              <w:lastRenderedPageBreak/>
              <w:t>approach in the model in generating the number of infusions of nivolumab (with any further modification to reduce the effective price of nivolumab)</w:t>
            </w:r>
            <w:r w:rsidRPr="00600064">
              <w:rPr>
                <w:rFonts w:ascii="Arial Narrow" w:hAnsi="Arial Narrow"/>
                <w:sz w:val="20"/>
              </w:rPr>
              <w:t>.</w:t>
            </w:r>
          </w:p>
          <w:p w:rsidR="00F15E43" w:rsidRPr="00600064" w:rsidRDefault="00CF44DD" w:rsidP="00F15E43">
            <w:pPr>
              <w:pStyle w:val="ListParagraph"/>
              <w:numPr>
                <w:ilvl w:val="0"/>
                <w:numId w:val="20"/>
              </w:numPr>
              <w:ind w:left="540" w:hanging="360"/>
              <w:jc w:val="left"/>
              <w:rPr>
                <w:rFonts w:ascii="Arial Narrow" w:hAnsi="Arial Narrow"/>
                <w:sz w:val="20"/>
              </w:rPr>
            </w:pPr>
            <w:r w:rsidRPr="00600064">
              <w:rPr>
                <w:rFonts w:ascii="Arial Narrow" w:hAnsi="Arial Narrow"/>
                <w:sz w:val="20"/>
              </w:rPr>
              <w:t xml:space="preserve">Use </w:t>
            </w:r>
            <w:r w:rsidR="00CA17E5" w:rsidRPr="00600064">
              <w:rPr>
                <w:rFonts w:ascii="Arial Narrow" w:hAnsi="Arial Narrow"/>
                <w:sz w:val="20"/>
              </w:rPr>
              <w:t>of the RECIST-</w:t>
            </w:r>
            <w:r w:rsidR="00030BF9" w:rsidRPr="00600064">
              <w:rPr>
                <w:rFonts w:ascii="Arial Narrow" w:hAnsi="Arial Narrow"/>
                <w:sz w:val="20"/>
              </w:rPr>
              <w:t xml:space="preserve">defined </w:t>
            </w:r>
            <w:r w:rsidR="00CA17E5" w:rsidRPr="00600064">
              <w:rPr>
                <w:rFonts w:ascii="Arial Narrow" w:hAnsi="Arial Narrow"/>
                <w:sz w:val="20"/>
              </w:rPr>
              <w:t xml:space="preserve">PFS criteria, rather than the “clinical PFS” criteria reflecting time to progression in the key trial and costed according to the per cycle approach in the model generating the mean duration of use of </w:t>
            </w:r>
            <w:proofErr w:type="spellStart"/>
            <w:r w:rsidR="00CA17E5" w:rsidRPr="00600064">
              <w:rPr>
                <w:rFonts w:ascii="Arial Narrow" w:hAnsi="Arial Narrow"/>
                <w:sz w:val="20"/>
              </w:rPr>
              <w:t>everolimus</w:t>
            </w:r>
            <w:proofErr w:type="spellEnd"/>
            <w:r w:rsidR="00CA17E5" w:rsidRPr="00600064">
              <w:rPr>
                <w:rFonts w:ascii="Arial Narrow" w:hAnsi="Arial Narrow"/>
                <w:sz w:val="20"/>
              </w:rPr>
              <w:t xml:space="preserve"> and subsequent TKIs (to reflect the same basis as the estimate of infusions of nivolumab)</w:t>
            </w:r>
            <w:r w:rsidRPr="00600064">
              <w:rPr>
                <w:rFonts w:ascii="Arial Narrow" w:hAnsi="Arial Narrow"/>
                <w:sz w:val="20"/>
              </w:rPr>
              <w:t>.</w:t>
            </w:r>
          </w:p>
          <w:p w:rsidR="00CA17E5" w:rsidRPr="00600064" w:rsidRDefault="00A24AE1" w:rsidP="00996D4B">
            <w:pPr>
              <w:pStyle w:val="ListParagraph"/>
              <w:numPr>
                <w:ilvl w:val="0"/>
                <w:numId w:val="20"/>
              </w:numPr>
              <w:ind w:left="540" w:hanging="360"/>
              <w:jc w:val="left"/>
              <w:rPr>
                <w:rFonts w:ascii="Arial Narrow" w:hAnsi="Arial Narrow"/>
                <w:sz w:val="20"/>
              </w:rPr>
            </w:pPr>
            <w:r w:rsidRPr="00600064">
              <w:rPr>
                <w:rFonts w:ascii="Arial Narrow" w:hAnsi="Arial Narrow"/>
                <w:sz w:val="20"/>
              </w:rPr>
              <w:t>Use of e</w:t>
            </w:r>
            <w:r w:rsidR="00CA17E5" w:rsidRPr="00600064">
              <w:rPr>
                <w:rFonts w:ascii="Arial Narrow" w:hAnsi="Arial Narrow"/>
                <w:sz w:val="20"/>
              </w:rPr>
              <w:t xml:space="preserve">ffective prices of </w:t>
            </w:r>
            <w:proofErr w:type="spellStart"/>
            <w:r w:rsidR="00CA17E5" w:rsidRPr="00600064">
              <w:rPr>
                <w:rFonts w:ascii="Arial Narrow" w:hAnsi="Arial Narrow"/>
                <w:sz w:val="20"/>
              </w:rPr>
              <w:t>everolimus</w:t>
            </w:r>
            <w:proofErr w:type="spellEnd"/>
            <w:r w:rsidR="00CA17E5" w:rsidRPr="00600064">
              <w:rPr>
                <w:rFonts w:ascii="Arial Narrow" w:hAnsi="Arial Narrow"/>
                <w:sz w:val="20"/>
              </w:rPr>
              <w:t xml:space="preserve">, </w:t>
            </w:r>
            <w:proofErr w:type="spellStart"/>
            <w:r w:rsidR="00CA17E5" w:rsidRPr="00600064">
              <w:rPr>
                <w:rFonts w:ascii="Arial Narrow" w:hAnsi="Arial Narrow"/>
                <w:sz w:val="20"/>
              </w:rPr>
              <w:t>axitinib</w:t>
            </w:r>
            <w:proofErr w:type="spellEnd"/>
            <w:r w:rsidR="00CA17E5" w:rsidRPr="00600064">
              <w:rPr>
                <w:rFonts w:ascii="Arial Narrow" w:hAnsi="Arial Narrow"/>
                <w:sz w:val="20"/>
              </w:rPr>
              <w:t xml:space="preserve"> and </w:t>
            </w:r>
            <w:proofErr w:type="spellStart"/>
            <w:r w:rsidR="00CA17E5" w:rsidRPr="00600064">
              <w:rPr>
                <w:rFonts w:ascii="Arial Narrow" w:hAnsi="Arial Narrow"/>
                <w:sz w:val="20"/>
              </w:rPr>
              <w:t>sorafenib</w:t>
            </w:r>
            <w:proofErr w:type="spellEnd"/>
            <w:r w:rsidRPr="00600064">
              <w:rPr>
                <w:rFonts w:ascii="Arial Narrow" w:hAnsi="Arial Narrow"/>
                <w:sz w:val="20"/>
              </w:rPr>
              <w:t>.</w:t>
            </w:r>
          </w:p>
          <w:p w:rsidR="00F15E43" w:rsidRPr="00600064" w:rsidRDefault="00F15E43" w:rsidP="00996D4B">
            <w:pPr>
              <w:jc w:val="left"/>
              <w:rPr>
                <w:rFonts w:ascii="Arial Narrow" w:hAnsi="Arial Narrow"/>
                <w:sz w:val="20"/>
              </w:rPr>
            </w:pPr>
          </w:p>
          <w:p w:rsidR="00CA17E5" w:rsidRPr="00600064" w:rsidRDefault="00CF44DD" w:rsidP="00996D4B">
            <w:pPr>
              <w:pStyle w:val="ListParagraph"/>
              <w:numPr>
                <w:ilvl w:val="0"/>
                <w:numId w:val="20"/>
              </w:numPr>
              <w:ind w:left="540" w:hanging="360"/>
              <w:jc w:val="left"/>
              <w:rPr>
                <w:rFonts w:ascii="Arial Narrow" w:hAnsi="Arial Narrow"/>
                <w:sz w:val="20"/>
              </w:rPr>
            </w:pPr>
            <w:r w:rsidRPr="00600064">
              <w:rPr>
                <w:rFonts w:ascii="Arial Narrow" w:hAnsi="Arial Narrow"/>
                <w:sz w:val="20"/>
              </w:rPr>
              <w:t>B</w:t>
            </w:r>
            <w:r w:rsidR="00CA17E5" w:rsidRPr="00600064">
              <w:rPr>
                <w:rFonts w:ascii="Arial Narrow" w:hAnsi="Arial Narrow"/>
                <w:sz w:val="20"/>
              </w:rPr>
              <w:t xml:space="preserve">ack-calculated effective price of nivolumab to give the submission’s base case ICER/QALY of no greater than </w:t>
            </w:r>
            <w:r w:rsidR="00B818A5">
              <w:rPr>
                <w:rFonts w:ascii="Arial Narrow" w:hAnsi="Arial Narrow"/>
                <w:sz w:val="20"/>
              </w:rPr>
              <w:t>$45,000/QALY - $75,000/QALY</w:t>
            </w:r>
            <w:r w:rsidR="00CA17E5" w:rsidRPr="00600064">
              <w:rPr>
                <w:rFonts w:ascii="Arial Narrow" w:hAnsi="Arial Narrow"/>
                <w:sz w:val="20"/>
              </w:rPr>
              <w:t>.</w:t>
            </w:r>
          </w:p>
          <w:p w:rsidR="005B3341" w:rsidRPr="00600064" w:rsidRDefault="005B3341" w:rsidP="00996D4B">
            <w:pPr>
              <w:jc w:val="left"/>
              <w:rPr>
                <w:rFonts w:ascii="Arial Narrow" w:hAnsi="Arial Narrow"/>
                <w:sz w:val="20"/>
              </w:rPr>
            </w:pPr>
          </w:p>
          <w:p w:rsidR="00CA17E5" w:rsidRPr="00600064" w:rsidRDefault="005B3341" w:rsidP="005B3341">
            <w:pPr>
              <w:jc w:val="left"/>
              <w:rPr>
                <w:rFonts w:ascii="Arial Narrow" w:hAnsi="Arial Narrow"/>
                <w:b/>
                <w:sz w:val="20"/>
              </w:rPr>
            </w:pPr>
            <w:r w:rsidRPr="00600064">
              <w:rPr>
                <w:rFonts w:ascii="Arial Narrow" w:hAnsi="Arial Narrow"/>
                <w:sz w:val="20"/>
              </w:rPr>
              <w:t>[</w:t>
            </w:r>
            <w:r w:rsidR="00CA17E5" w:rsidRPr="00600064">
              <w:rPr>
                <w:rFonts w:ascii="Arial Narrow" w:hAnsi="Arial Narrow"/>
                <w:b/>
                <w:sz w:val="20"/>
              </w:rPr>
              <w:t>7.9</w:t>
            </w:r>
            <w:r w:rsidRPr="00600064">
              <w:rPr>
                <w:rFonts w:ascii="Arial Narrow" w:hAnsi="Arial Narrow"/>
                <w:b/>
                <w:sz w:val="20"/>
              </w:rPr>
              <w:t>,</w:t>
            </w:r>
            <w:r w:rsidR="00CA17E5" w:rsidRPr="00600064">
              <w:rPr>
                <w:rFonts w:ascii="Arial Narrow" w:hAnsi="Arial Narrow"/>
                <w:b/>
                <w:sz w:val="20"/>
              </w:rPr>
              <w:t xml:space="preserve"> November 2016 </w:t>
            </w:r>
            <w:r w:rsidRPr="00600064">
              <w:rPr>
                <w:rFonts w:ascii="Arial Narrow" w:hAnsi="Arial Narrow"/>
                <w:b/>
                <w:sz w:val="20"/>
              </w:rPr>
              <w:t>ratified minutes]</w:t>
            </w:r>
          </w:p>
        </w:tc>
        <w:tc>
          <w:tcPr>
            <w:tcW w:w="2499" w:type="pct"/>
            <w:shd w:val="clear" w:color="auto" w:fill="auto"/>
          </w:tcPr>
          <w:p w:rsidR="00F15E43" w:rsidRPr="00600064" w:rsidRDefault="00CA17E5" w:rsidP="00996D4B">
            <w:pPr>
              <w:jc w:val="left"/>
              <w:rPr>
                <w:rFonts w:ascii="Arial Narrow" w:hAnsi="Arial Narrow"/>
                <w:sz w:val="20"/>
              </w:rPr>
            </w:pPr>
            <w:r w:rsidRPr="00600064">
              <w:rPr>
                <w:rFonts w:ascii="Arial Narrow" w:hAnsi="Arial Narrow"/>
                <w:sz w:val="20"/>
              </w:rPr>
              <w:lastRenderedPageBreak/>
              <w:t xml:space="preserve">In </w:t>
            </w:r>
            <w:r w:rsidR="00996D4B" w:rsidRPr="00600064">
              <w:rPr>
                <w:rFonts w:ascii="Arial Narrow" w:hAnsi="Arial Narrow"/>
                <w:sz w:val="20"/>
              </w:rPr>
              <w:t>the resubmission-</w:t>
            </w:r>
            <w:r w:rsidRPr="00600064">
              <w:rPr>
                <w:rFonts w:ascii="Arial Narrow" w:hAnsi="Arial Narrow"/>
                <w:sz w:val="20"/>
              </w:rPr>
              <w:t>addendum</w:t>
            </w:r>
            <w:r w:rsidR="00996D4B" w:rsidRPr="00600064">
              <w:rPr>
                <w:rFonts w:ascii="Arial Narrow" w:hAnsi="Arial Narrow"/>
                <w:sz w:val="20"/>
              </w:rPr>
              <w:t xml:space="preserve"> </w:t>
            </w:r>
            <w:r w:rsidRPr="00600064">
              <w:rPr>
                <w:rFonts w:ascii="Arial Narrow" w:hAnsi="Arial Narrow"/>
                <w:sz w:val="20"/>
              </w:rPr>
              <w:t>the sponsor has further respecified the model as follows:</w:t>
            </w:r>
          </w:p>
          <w:p w:rsidR="00F15E43"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 xml:space="preserve">Two scenarios are presented for consideration by the PBAC. These include an </w:t>
            </w:r>
            <w:r w:rsidR="00996D4B" w:rsidRPr="00600064">
              <w:rPr>
                <w:rFonts w:ascii="Arial Narrow" w:hAnsi="Arial Narrow"/>
                <w:sz w:val="20"/>
              </w:rPr>
              <w:t>8-</w:t>
            </w:r>
            <w:r w:rsidRPr="00600064">
              <w:rPr>
                <w:rFonts w:ascii="Arial Narrow" w:hAnsi="Arial Narrow"/>
                <w:sz w:val="20"/>
              </w:rPr>
              <w:t xml:space="preserve">year time horizon (sponsor preferred) and a </w:t>
            </w:r>
            <w:r w:rsidR="00996D4B" w:rsidRPr="00600064">
              <w:rPr>
                <w:rFonts w:ascii="Arial Narrow" w:hAnsi="Arial Narrow"/>
                <w:sz w:val="20"/>
              </w:rPr>
              <w:t>5-</w:t>
            </w:r>
            <w:r w:rsidRPr="00600064">
              <w:rPr>
                <w:rFonts w:ascii="Arial Narrow" w:hAnsi="Arial Narrow"/>
                <w:sz w:val="20"/>
              </w:rPr>
              <w:t xml:space="preserve">year time horizon (PBAC preferred). Two different </w:t>
            </w:r>
            <w:r w:rsidR="00996D4B" w:rsidRPr="00600064">
              <w:rPr>
                <w:rFonts w:ascii="Arial Narrow" w:hAnsi="Arial Narrow"/>
                <w:sz w:val="20"/>
              </w:rPr>
              <w:t xml:space="preserve">(higher) </w:t>
            </w:r>
            <w:r w:rsidRPr="00600064">
              <w:rPr>
                <w:rFonts w:ascii="Arial Narrow" w:hAnsi="Arial Narrow"/>
                <w:sz w:val="20"/>
              </w:rPr>
              <w:t>prices were submitted for consideration.</w:t>
            </w:r>
          </w:p>
          <w:p w:rsidR="00CA17E5"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RECIST-</w:t>
            </w:r>
            <w:r w:rsidR="00030BF9" w:rsidRPr="00600064">
              <w:rPr>
                <w:rFonts w:ascii="Arial Narrow" w:hAnsi="Arial Narrow"/>
                <w:sz w:val="20"/>
              </w:rPr>
              <w:t xml:space="preserve">defined </w:t>
            </w:r>
            <w:r w:rsidRPr="00600064">
              <w:rPr>
                <w:rFonts w:ascii="Arial Narrow" w:hAnsi="Arial Narrow"/>
                <w:sz w:val="20"/>
              </w:rPr>
              <w:t>PFS criteria were used for all treatment arms in defining progression.</w:t>
            </w:r>
          </w:p>
          <w:p w:rsidR="00CA17E5" w:rsidRPr="00600064" w:rsidRDefault="00CA17E5" w:rsidP="00996D4B">
            <w:pPr>
              <w:jc w:val="left"/>
              <w:rPr>
                <w:rFonts w:ascii="Arial Narrow" w:hAnsi="Arial Narrow"/>
                <w:sz w:val="20"/>
              </w:rPr>
            </w:pPr>
          </w:p>
          <w:p w:rsidR="00F15E43" w:rsidRPr="00600064" w:rsidRDefault="00F15E43" w:rsidP="00F15E43">
            <w:pPr>
              <w:pStyle w:val="ListParagraph"/>
              <w:ind w:left="540"/>
              <w:jc w:val="left"/>
              <w:rPr>
                <w:rFonts w:ascii="Arial Narrow" w:hAnsi="Arial Narrow"/>
                <w:sz w:val="20"/>
              </w:rPr>
            </w:pPr>
          </w:p>
          <w:p w:rsidR="00CA17E5" w:rsidRPr="00E25D57" w:rsidRDefault="00CA17E5" w:rsidP="00996D4B">
            <w:pPr>
              <w:pStyle w:val="ListParagraph"/>
              <w:numPr>
                <w:ilvl w:val="0"/>
                <w:numId w:val="20"/>
              </w:numPr>
              <w:ind w:left="540" w:hanging="360"/>
              <w:jc w:val="left"/>
              <w:rPr>
                <w:rFonts w:ascii="Arial Narrow" w:hAnsi="Arial Narrow"/>
                <w:sz w:val="20"/>
              </w:rPr>
            </w:pPr>
            <w:r w:rsidRPr="00E25D57">
              <w:rPr>
                <w:rFonts w:ascii="Arial Narrow" w:hAnsi="Arial Narrow"/>
                <w:sz w:val="20"/>
              </w:rPr>
              <w:t>Number of infusions of nivolumab costed as per RECIST-</w:t>
            </w:r>
            <w:r w:rsidR="00030BF9" w:rsidRPr="00E25D57">
              <w:rPr>
                <w:rFonts w:ascii="Arial Narrow" w:hAnsi="Arial Narrow"/>
                <w:sz w:val="20"/>
              </w:rPr>
              <w:t xml:space="preserve">defined </w:t>
            </w:r>
            <w:r w:rsidRPr="00E25D57">
              <w:rPr>
                <w:rFonts w:ascii="Arial Narrow" w:hAnsi="Arial Narrow"/>
                <w:sz w:val="20"/>
              </w:rPr>
              <w:t>PFS time to progression and adopting the per-cycle approach.</w:t>
            </w:r>
          </w:p>
          <w:p w:rsidR="00CA17E5" w:rsidRPr="00600064" w:rsidRDefault="00CA17E5" w:rsidP="00996D4B">
            <w:pPr>
              <w:jc w:val="left"/>
              <w:rPr>
                <w:rFonts w:ascii="Arial Narrow" w:hAnsi="Arial Narrow"/>
                <w:sz w:val="20"/>
              </w:rPr>
            </w:pPr>
          </w:p>
          <w:p w:rsidR="00F15E43" w:rsidRPr="00600064" w:rsidRDefault="00F15E43" w:rsidP="00CF44DD">
            <w:pPr>
              <w:jc w:val="left"/>
              <w:rPr>
                <w:rFonts w:ascii="Arial Narrow" w:hAnsi="Arial Narrow"/>
                <w:sz w:val="20"/>
              </w:rPr>
            </w:pPr>
          </w:p>
          <w:p w:rsidR="00CA17E5" w:rsidRPr="00E25D57" w:rsidRDefault="00CA17E5" w:rsidP="00996D4B">
            <w:pPr>
              <w:pStyle w:val="ListParagraph"/>
              <w:numPr>
                <w:ilvl w:val="0"/>
                <w:numId w:val="20"/>
              </w:numPr>
              <w:ind w:left="540" w:hanging="360"/>
              <w:jc w:val="left"/>
              <w:rPr>
                <w:rFonts w:ascii="Arial Narrow" w:hAnsi="Arial Narrow"/>
                <w:sz w:val="20"/>
              </w:rPr>
            </w:pPr>
            <w:r w:rsidRPr="00E25D57">
              <w:rPr>
                <w:rFonts w:ascii="Arial Narrow" w:hAnsi="Arial Narrow"/>
                <w:sz w:val="20"/>
              </w:rPr>
              <w:t xml:space="preserve">Mean duration of </w:t>
            </w:r>
            <w:proofErr w:type="spellStart"/>
            <w:r w:rsidRPr="00E25D57">
              <w:rPr>
                <w:rFonts w:ascii="Arial Narrow" w:hAnsi="Arial Narrow"/>
                <w:sz w:val="20"/>
              </w:rPr>
              <w:t>everolimus</w:t>
            </w:r>
            <w:proofErr w:type="spellEnd"/>
            <w:r w:rsidRPr="00E25D57">
              <w:rPr>
                <w:rFonts w:ascii="Arial Narrow" w:hAnsi="Arial Narrow"/>
                <w:sz w:val="20"/>
              </w:rPr>
              <w:t xml:space="preserve"> use was calculated based on RECIST</w:t>
            </w:r>
            <w:r w:rsidR="00030BF9" w:rsidRPr="00E25D57">
              <w:rPr>
                <w:rFonts w:ascii="Arial Narrow" w:hAnsi="Arial Narrow"/>
                <w:sz w:val="20"/>
              </w:rPr>
              <w:t>-defined</w:t>
            </w:r>
            <w:r w:rsidRPr="00E25D57">
              <w:rPr>
                <w:rFonts w:ascii="Arial Narrow" w:hAnsi="Arial Narrow"/>
                <w:sz w:val="20"/>
              </w:rPr>
              <w:t xml:space="preserve"> PFS, and was costed according to the per cycle approach. Costs of subsequent TKIs front loaded.</w:t>
            </w:r>
            <w:bookmarkStart w:id="4" w:name="_GoBack"/>
            <w:bookmarkEnd w:id="4"/>
          </w:p>
          <w:p w:rsidR="00CA17E5" w:rsidRPr="00600064" w:rsidRDefault="00CA17E5" w:rsidP="00996D4B">
            <w:pPr>
              <w:jc w:val="left"/>
              <w:rPr>
                <w:rFonts w:ascii="Arial Narrow" w:hAnsi="Arial Narrow"/>
                <w:sz w:val="20"/>
              </w:rPr>
            </w:pPr>
          </w:p>
          <w:p w:rsidR="00F15E43" w:rsidRPr="00600064" w:rsidRDefault="00F15E43" w:rsidP="00996D4B">
            <w:pPr>
              <w:jc w:val="left"/>
              <w:rPr>
                <w:rFonts w:ascii="Arial Narrow" w:hAnsi="Arial Narrow"/>
                <w:sz w:val="20"/>
              </w:rPr>
            </w:pPr>
          </w:p>
          <w:p w:rsidR="00F15E43" w:rsidRPr="00600064" w:rsidRDefault="00CA17E5" w:rsidP="00CF44DD">
            <w:pPr>
              <w:pStyle w:val="ListParagraph"/>
              <w:numPr>
                <w:ilvl w:val="0"/>
                <w:numId w:val="20"/>
              </w:numPr>
              <w:ind w:left="540" w:hanging="360"/>
              <w:jc w:val="left"/>
              <w:rPr>
                <w:rFonts w:ascii="Arial Narrow" w:hAnsi="Arial Narrow"/>
                <w:sz w:val="20"/>
              </w:rPr>
            </w:pPr>
            <w:r w:rsidRPr="00600064">
              <w:rPr>
                <w:rFonts w:ascii="Arial Narrow" w:hAnsi="Arial Narrow"/>
                <w:sz w:val="20"/>
              </w:rPr>
              <w:t xml:space="preserve">As </w:t>
            </w:r>
            <w:r w:rsidR="00996D4B" w:rsidRPr="00600064">
              <w:rPr>
                <w:rFonts w:ascii="Arial Narrow" w:hAnsi="Arial Narrow"/>
                <w:sz w:val="20"/>
              </w:rPr>
              <w:t xml:space="preserve">effective prices of other drugs </w:t>
            </w:r>
            <w:r w:rsidRPr="00600064">
              <w:rPr>
                <w:rFonts w:ascii="Arial Narrow" w:hAnsi="Arial Narrow"/>
                <w:sz w:val="20"/>
              </w:rPr>
              <w:t>are not known to the sponsor, they are not included in the resubmission</w:t>
            </w:r>
            <w:r w:rsidR="00996D4B" w:rsidRPr="00600064">
              <w:rPr>
                <w:rFonts w:ascii="Arial Narrow" w:hAnsi="Arial Narrow"/>
                <w:sz w:val="20"/>
              </w:rPr>
              <w:t>-addendum</w:t>
            </w:r>
            <w:r w:rsidRPr="00600064">
              <w:rPr>
                <w:rFonts w:ascii="Arial Narrow" w:hAnsi="Arial Narrow"/>
                <w:sz w:val="20"/>
              </w:rPr>
              <w:t>.</w:t>
            </w:r>
          </w:p>
          <w:p w:rsidR="00CA17E5" w:rsidRPr="00600064" w:rsidRDefault="00CA17E5" w:rsidP="008B798A">
            <w:pPr>
              <w:pStyle w:val="ListParagraph"/>
              <w:numPr>
                <w:ilvl w:val="0"/>
                <w:numId w:val="20"/>
              </w:numPr>
              <w:ind w:left="540" w:hanging="360"/>
              <w:jc w:val="left"/>
              <w:rPr>
                <w:rFonts w:ascii="Arial Narrow" w:hAnsi="Arial Narrow"/>
                <w:sz w:val="20"/>
              </w:rPr>
            </w:pPr>
            <w:r w:rsidRPr="00600064">
              <w:rPr>
                <w:rFonts w:ascii="Arial Narrow" w:hAnsi="Arial Narrow"/>
                <w:sz w:val="20"/>
              </w:rPr>
              <w:t>At a cost of $</w:t>
            </w:r>
            <w:r w:rsidR="003A224F">
              <w:rPr>
                <w:rFonts w:ascii="Arial Narrow" w:hAnsi="Arial Narrow"/>
                <w:noProof/>
                <w:color w:val="000000"/>
                <w:sz w:val="20"/>
                <w:highlight w:val="black"/>
              </w:rPr>
              <w:t>''''''''''''''''''</w:t>
            </w:r>
            <w:r w:rsidRPr="00600064">
              <w:rPr>
                <w:rFonts w:ascii="Arial Narrow" w:hAnsi="Arial Narrow"/>
                <w:sz w:val="20"/>
              </w:rPr>
              <w:t xml:space="preserve"> per 100</w:t>
            </w:r>
            <w:r w:rsidR="008B798A" w:rsidRPr="00600064">
              <w:rPr>
                <w:rFonts w:ascii="Arial Narrow" w:hAnsi="Arial Narrow"/>
                <w:sz w:val="20"/>
              </w:rPr>
              <w:t> </w:t>
            </w:r>
            <w:r w:rsidRPr="00600064">
              <w:rPr>
                <w:rFonts w:ascii="Arial Narrow" w:hAnsi="Arial Narrow"/>
                <w:sz w:val="20"/>
              </w:rPr>
              <w:t xml:space="preserve">mg vial over an </w:t>
            </w:r>
            <w:r w:rsidR="00996D4B" w:rsidRPr="00600064">
              <w:rPr>
                <w:rFonts w:ascii="Arial Narrow" w:hAnsi="Arial Narrow"/>
                <w:sz w:val="20"/>
              </w:rPr>
              <w:t>8-</w:t>
            </w:r>
            <w:r w:rsidRPr="00600064">
              <w:rPr>
                <w:rFonts w:ascii="Arial Narrow" w:hAnsi="Arial Narrow"/>
                <w:sz w:val="20"/>
              </w:rPr>
              <w:t>year time horizon or $</w:t>
            </w:r>
            <w:r w:rsidR="003A224F">
              <w:rPr>
                <w:rFonts w:ascii="Arial Narrow" w:hAnsi="Arial Narrow"/>
                <w:noProof/>
                <w:color w:val="000000"/>
                <w:sz w:val="20"/>
                <w:highlight w:val="black"/>
              </w:rPr>
              <w:t>'''''''''''''''''''''</w:t>
            </w:r>
            <w:r w:rsidRPr="00600064">
              <w:rPr>
                <w:rFonts w:ascii="Arial Narrow" w:hAnsi="Arial Narrow"/>
                <w:sz w:val="20"/>
              </w:rPr>
              <w:t xml:space="preserve"> per 100</w:t>
            </w:r>
            <w:r w:rsidR="008B798A" w:rsidRPr="00600064">
              <w:rPr>
                <w:rFonts w:ascii="Arial Narrow" w:hAnsi="Arial Narrow"/>
                <w:sz w:val="20"/>
              </w:rPr>
              <w:t> </w:t>
            </w:r>
            <w:r w:rsidRPr="00600064">
              <w:rPr>
                <w:rFonts w:ascii="Arial Narrow" w:hAnsi="Arial Narrow"/>
                <w:sz w:val="20"/>
              </w:rPr>
              <w:t xml:space="preserve">mg vial over a </w:t>
            </w:r>
            <w:r w:rsidR="00996D4B" w:rsidRPr="00600064">
              <w:rPr>
                <w:rFonts w:ascii="Arial Narrow" w:hAnsi="Arial Narrow"/>
                <w:sz w:val="20"/>
              </w:rPr>
              <w:t xml:space="preserve">5- </w:t>
            </w:r>
            <w:r w:rsidRPr="00600064">
              <w:rPr>
                <w:rFonts w:ascii="Arial Narrow" w:hAnsi="Arial Narrow"/>
                <w:sz w:val="20"/>
              </w:rPr>
              <w:t>year horizon (without a maximum duration) an ICER/QALY of $</w:t>
            </w:r>
            <w:r w:rsidR="00B818A5">
              <w:rPr>
                <w:rFonts w:ascii="Arial Narrow" w:hAnsi="Arial Narrow"/>
                <w:sz w:val="20"/>
              </w:rPr>
              <w:t>$45,000/QALY - $75,000/QALY</w:t>
            </w:r>
            <w:r w:rsidR="00B818A5" w:rsidRPr="00600064" w:rsidDel="00B818A5">
              <w:rPr>
                <w:rFonts w:ascii="Arial Narrow" w:hAnsi="Arial Narrow"/>
                <w:sz w:val="20"/>
              </w:rPr>
              <w:t xml:space="preserve"> </w:t>
            </w:r>
            <w:r w:rsidRPr="00600064">
              <w:rPr>
                <w:rFonts w:ascii="Arial Narrow" w:hAnsi="Arial Narrow"/>
                <w:sz w:val="20"/>
              </w:rPr>
              <w:t>was maintained.</w:t>
            </w:r>
          </w:p>
        </w:tc>
      </w:tr>
      <w:tr w:rsidR="00CA17E5" w:rsidRPr="00600064" w:rsidTr="005B3341">
        <w:trPr>
          <w:trHeight w:val="246"/>
        </w:trPr>
        <w:tc>
          <w:tcPr>
            <w:tcW w:w="5000" w:type="pct"/>
            <w:gridSpan w:val="2"/>
            <w:shd w:val="clear" w:color="auto" w:fill="auto"/>
          </w:tcPr>
          <w:p w:rsidR="00CA17E5" w:rsidRPr="00600064" w:rsidRDefault="00CA17E5" w:rsidP="00EC418B">
            <w:pPr>
              <w:rPr>
                <w:rFonts w:ascii="Arial Narrow" w:hAnsi="Arial Narrow"/>
                <w:sz w:val="20"/>
              </w:rPr>
            </w:pPr>
            <w:r w:rsidRPr="00600064">
              <w:rPr>
                <w:rFonts w:ascii="Arial Narrow" w:hAnsi="Arial Narrow"/>
                <w:sz w:val="20"/>
              </w:rPr>
              <w:lastRenderedPageBreak/>
              <w:t>Financial estimates</w:t>
            </w:r>
          </w:p>
        </w:tc>
      </w:tr>
      <w:tr w:rsidR="00CA17E5" w:rsidRPr="00600064" w:rsidTr="00EC418B">
        <w:trPr>
          <w:trHeight w:val="930"/>
        </w:trPr>
        <w:tc>
          <w:tcPr>
            <w:tcW w:w="2501" w:type="pct"/>
            <w:shd w:val="clear" w:color="auto" w:fill="auto"/>
          </w:tcPr>
          <w:p w:rsidR="005B3341" w:rsidRPr="00600064" w:rsidRDefault="00CA17E5" w:rsidP="00996D4B">
            <w:pPr>
              <w:jc w:val="left"/>
              <w:rPr>
                <w:rFonts w:ascii="Arial Narrow" w:hAnsi="Arial Narrow"/>
                <w:sz w:val="20"/>
              </w:rPr>
            </w:pPr>
            <w:r w:rsidRPr="00600064">
              <w:rPr>
                <w:rFonts w:ascii="Arial Narrow" w:hAnsi="Arial Narrow"/>
                <w:sz w:val="20"/>
              </w:rPr>
              <w:t xml:space="preserve">The PBAC considered the submission’s assumed uptakes of 80% for current second-line therapy and 90% for nivolumab (once listed) to be substantial overestimates given that current PBS data indicated an uptake rate of 16 to 25% for any second line treatment following a TKI. Accordingly, the PBAC recommended that a reduced uptake rate </w:t>
            </w:r>
            <w:r w:rsidR="00996D4B" w:rsidRPr="00600064">
              <w:rPr>
                <w:rFonts w:ascii="Arial Narrow" w:hAnsi="Arial Narrow"/>
                <w:sz w:val="20"/>
              </w:rPr>
              <w:t xml:space="preserve">for </w:t>
            </w:r>
            <w:r w:rsidRPr="00600064">
              <w:rPr>
                <w:rFonts w:ascii="Arial Narrow" w:hAnsi="Arial Narrow"/>
                <w:sz w:val="20"/>
              </w:rPr>
              <w:t xml:space="preserve">nivolumab should be identified (and justified) in order to support a </w:t>
            </w:r>
            <w:r w:rsidR="00A97101" w:rsidRPr="00600064">
              <w:rPr>
                <w:rFonts w:ascii="Arial Narrow" w:hAnsi="Arial Narrow"/>
                <w:sz w:val="20"/>
              </w:rPr>
              <w:t>r</w:t>
            </w:r>
            <w:r w:rsidRPr="00600064">
              <w:rPr>
                <w:rFonts w:ascii="Arial Narrow" w:hAnsi="Arial Narrow"/>
                <w:sz w:val="20"/>
              </w:rPr>
              <w:t xml:space="preserve">isk </w:t>
            </w:r>
            <w:r w:rsidR="00A97101" w:rsidRPr="00600064">
              <w:rPr>
                <w:rFonts w:ascii="Arial Narrow" w:hAnsi="Arial Narrow"/>
                <w:sz w:val="20"/>
              </w:rPr>
              <w:t>s</w:t>
            </w:r>
            <w:r w:rsidRPr="00600064">
              <w:rPr>
                <w:rFonts w:ascii="Arial Narrow" w:hAnsi="Arial Narrow"/>
                <w:sz w:val="20"/>
              </w:rPr>
              <w:t>har</w:t>
            </w:r>
            <w:r w:rsidR="00A97101" w:rsidRPr="00600064">
              <w:rPr>
                <w:rFonts w:ascii="Arial Narrow" w:hAnsi="Arial Narrow"/>
                <w:sz w:val="20"/>
              </w:rPr>
              <w:t>ing</w:t>
            </w:r>
            <w:r w:rsidRPr="00600064">
              <w:rPr>
                <w:rFonts w:ascii="Arial Narrow" w:hAnsi="Arial Narrow"/>
                <w:sz w:val="20"/>
              </w:rPr>
              <w:t xml:space="preserve"> </w:t>
            </w:r>
            <w:r w:rsidR="00A97101" w:rsidRPr="00600064">
              <w:rPr>
                <w:rFonts w:ascii="Arial Narrow" w:hAnsi="Arial Narrow"/>
                <w:sz w:val="20"/>
              </w:rPr>
              <w:t>a</w:t>
            </w:r>
            <w:r w:rsidRPr="00600064">
              <w:rPr>
                <w:rFonts w:ascii="Arial Narrow" w:hAnsi="Arial Narrow"/>
                <w:sz w:val="20"/>
              </w:rPr>
              <w:t>rrangement.</w:t>
            </w:r>
          </w:p>
          <w:p w:rsidR="00CA17E5" w:rsidRPr="00600064" w:rsidRDefault="005B3341" w:rsidP="005B3341">
            <w:pPr>
              <w:jc w:val="left"/>
              <w:rPr>
                <w:rFonts w:ascii="Arial Narrow" w:hAnsi="Arial Narrow"/>
                <w:sz w:val="20"/>
              </w:rPr>
            </w:pPr>
            <w:r w:rsidRPr="00600064">
              <w:rPr>
                <w:rFonts w:ascii="Arial Narrow" w:hAnsi="Arial Narrow"/>
                <w:b/>
                <w:sz w:val="20"/>
              </w:rPr>
              <w:t>[</w:t>
            </w:r>
            <w:r w:rsidR="00CA17E5" w:rsidRPr="00600064">
              <w:rPr>
                <w:rFonts w:ascii="Arial Narrow" w:hAnsi="Arial Narrow"/>
                <w:b/>
                <w:sz w:val="20"/>
              </w:rPr>
              <w:t>7.11 and 7.12</w:t>
            </w:r>
            <w:r w:rsidRPr="00600064">
              <w:rPr>
                <w:rFonts w:ascii="Arial Narrow" w:hAnsi="Arial Narrow"/>
                <w:b/>
                <w:sz w:val="20"/>
              </w:rPr>
              <w:t>,</w:t>
            </w:r>
            <w:r w:rsidR="00CA17E5" w:rsidRPr="00600064">
              <w:rPr>
                <w:rFonts w:ascii="Arial Narrow" w:hAnsi="Arial Narrow"/>
                <w:b/>
                <w:sz w:val="20"/>
              </w:rPr>
              <w:t xml:space="preserve"> July 2016 </w:t>
            </w:r>
            <w:r w:rsidRPr="00600064">
              <w:rPr>
                <w:rFonts w:ascii="Arial Narrow" w:hAnsi="Arial Narrow"/>
                <w:b/>
                <w:sz w:val="20"/>
              </w:rPr>
              <w:t>ratified minutes]</w:t>
            </w:r>
          </w:p>
        </w:tc>
        <w:tc>
          <w:tcPr>
            <w:tcW w:w="2499" w:type="pct"/>
            <w:shd w:val="clear" w:color="auto" w:fill="auto"/>
          </w:tcPr>
          <w:p w:rsidR="00CA17E5" w:rsidRPr="00600064" w:rsidRDefault="00CA17E5" w:rsidP="00996D4B">
            <w:pPr>
              <w:jc w:val="left"/>
              <w:rPr>
                <w:rFonts w:ascii="Arial Narrow" w:hAnsi="Arial Narrow"/>
                <w:sz w:val="20"/>
              </w:rPr>
            </w:pPr>
            <w:r w:rsidRPr="00600064">
              <w:rPr>
                <w:rFonts w:ascii="Arial Narrow" w:hAnsi="Arial Narrow"/>
                <w:sz w:val="20"/>
              </w:rPr>
              <w:t xml:space="preserve">The resubmission </w:t>
            </w:r>
            <w:r w:rsidR="00A70525" w:rsidRPr="00600064">
              <w:rPr>
                <w:rFonts w:ascii="Arial Narrow" w:hAnsi="Arial Narrow"/>
                <w:sz w:val="20"/>
              </w:rPr>
              <w:t xml:space="preserve">and financial addendum </w:t>
            </w:r>
            <w:r w:rsidRPr="00600064">
              <w:rPr>
                <w:rFonts w:ascii="Arial Narrow" w:hAnsi="Arial Narrow"/>
                <w:sz w:val="20"/>
              </w:rPr>
              <w:t>reduced the estimated uptake rates of second line treatments following a TKI as follows:</w:t>
            </w:r>
          </w:p>
          <w:p w:rsidR="00CA17E5" w:rsidRPr="00600064" w:rsidRDefault="00CA17E5" w:rsidP="00CA17E5">
            <w:pPr>
              <w:pStyle w:val="ListParagraph"/>
              <w:numPr>
                <w:ilvl w:val="0"/>
                <w:numId w:val="26"/>
              </w:numPr>
              <w:rPr>
                <w:rFonts w:ascii="Arial Narrow" w:hAnsi="Arial Narrow"/>
                <w:sz w:val="20"/>
              </w:rPr>
            </w:pPr>
            <w:r w:rsidRPr="00600064">
              <w:rPr>
                <w:rFonts w:ascii="Arial Narrow" w:hAnsi="Arial Narrow"/>
                <w:sz w:val="20"/>
              </w:rPr>
              <w:t>70% (where nivolumab is not PBS listed)</w:t>
            </w:r>
          </w:p>
          <w:p w:rsidR="00A70525" w:rsidRPr="00600064" w:rsidRDefault="00CA17E5" w:rsidP="003607A0">
            <w:pPr>
              <w:pStyle w:val="ListParagraph"/>
              <w:numPr>
                <w:ilvl w:val="0"/>
                <w:numId w:val="26"/>
              </w:numPr>
              <w:rPr>
                <w:rFonts w:ascii="Arial Narrow" w:hAnsi="Arial Narrow"/>
                <w:sz w:val="20"/>
              </w:rPr>
            </w:pPr>
            <w:r w:rsidRPr="00600064">
              <w:rPr>
                <w:rFonts w:ascii="Arial Narrow" w:hAnsi="Arial Narrow"/>
                <w:sz w:val="20"/>
              </w:rPr>
              <w:t>85% (where nivolumab is listed, and with a market share of 95% for nivolumab).</w:t>
            </w:r>
          </w:p>
        </w:tc>
      </w:tr>
    </w:tbl>
    <w:p w:rsidR="00CA17E5" w:rsidRPr="00600064" w:rsidRDefault="00CA17E5" w:rsidP="00CA17E5">
      <w:pPr>
        <w:pStyle w:val="TableFooter"/>
      </w:pPr>
      <w:r w:rsidRPr="00600064">
        <w:t>Source: Compiled during the evaluation</w:t>
      </w:r>
    </w:p>
    <w:p w:rsidR="00CA17E5" w:rsidRPr="00600064" w:rsidRDefault="00CA17E5" w:rsidP="00CA17E5">
      <w:pPr>
        <w:pStyle w:val="TableFooter"/>
      </w:pPr>
      <w:r w:rsidRPr="00600064">
        <w:t>Abbreviations: PBS, Pharmaceutical Benefits Scheme;  RCC, Renal Cell Carcinoma;  WHO, World Health Organisation; PFS, Progression</w:t>
      </w:r>
      <w:r w:rsidR="00A35918" w:rsidRPr="00600064">
        <w:t>-</w:t>
      </w:r>
      <w:r w:rsidRPr="00600064">
        <w:t>Free Su</w:t>
      </w:r>
      <w:r w:rsidR="005B3341" w:rsidRPr="00600064">
        <w:t xml:space="preserve">rvival;  OS, Overall Survival;  </w:t>
      </w:r>
      <w:r w:rsidRPr="00600064">
        <w:t>AE, Adverse Event; TKI, Tyrosine Kinas</w:t>
      </w:r>
      <w:r w:rsidR="005B3341" w:rsidRPr="00600064">
        <w:t>e</w:t>
      </w:r>
      <w:r w:rsidRPr="00600064">
        <w:t xml:space="preserve"> Inhibitor; QALY, Quality Adjusted Life Year;  ICER, Incremental Cost Effectiveness Ratio.</w:t>
      </w:r>
    </w:p>
    <w:p w:rsidR="00CA17E5" w:rsidRPr="00600064" w:rsidRDefault="00CA17E5" w:rsidP="00A65838"/>
    <w:p w:rsidR="00454C7A" w:rsidRPr="00600064" w:rsidRDefault="00454C7A" w:rsidP="00454C7A">
      <w:pPr>
        <w:ind w:firstLine="720"/>
        <w:rPr>
          <w:bCs/>
          <w:szCs w:val="22"/>
        </w:rPr>
      </w:pPr>
      <w:r w:rsidRPr="00600064">
        <w:rPr>
          <w:bCs/>
          <w:i/>
          <w:szCs w:val="22"/>
        </w:rPr>
        <w:t>For more detail on PBAC’s view, see section 7 “PBAC outcome”</w:t>
      </w:r>
      <w:r w:rsidR="003607A0" w:rsidRPr="00600064">
        <w:rPr>
          <w:bCs/>
          <w:i/>
          <w:szCs w:val="22"/>
        </w:rPr>
        <w:t>.</w:t>
      </w:r>
    </w:p>
    <w:p w:rsidR="004B1BB9" w:rsidRPr="00600064" w:rsidRDefault="004B1BB9" w:rsidP="00A65838"/>
    <w:p w:rsidR="00454C7A" w:rsidRPr="00600064" w:rsidRDefault="00454C7A" w:rsidP="00A65838"/>
    <w:p w:rsidR="00A65838" w:rsidRPr="00600064" w:rsidRDefault="00A65838" w:rsidP="00A65838">
      <w:pPr>
        <w:pStyle w:val="PBACheading1"/>
        <w:rPr>
          <w:b/>
        </w:rPr>
      </w:pPr>
      <w:bookmarkStart w:id="5" w:name="_Toc472509751"/>
      <w:r w:rsidRPr="00600064">
        <w:rPr>
          <w:b/>
        </w:rPr>
        <w:t>Clinical place for the proposed therapy</w:t>
      </w:r>
      <w:bookmarkEnd w:id="5"/>
    </w:p>
    <w:p w:rsidR="00EA0B8C" w:rsidRPr="00600064" w:rsidRDefault="00EA0B8C" w:rsidP="00323460"/>
    <w:p w:rsidR="00A65838" w:rsidRPr="00600064" w:rsidRDefault="00A65838" w:rsidP="00B556B7">
      <w:pPr>
        <w:pStyle w:val="ListParagraph"/>
        <w:numPr>
          <w:ilvl w:val="1"/>
          <w:numId w:val="4"/>
        </w:numPr>
      </w:pPr>
      <w:r w:rsidRPr="00600064">
        <w:t>R</w:t>
      </w:r>
      <w:r w:rsidR="004B1BB9" w:rsidRPr="00600064">
        <w:t>enal cell carcinoma (RCC)</w:t>
      </w:r>
      <w:r w:rsidRPr="00600064">
        <w:t xml:space="preserve"> is a type of kidney cancer that arises from the lining of renal tubules. Its incidence has been increasing and despite the improved management of the disease most patients are diagnosed with advanced RCC, which is often resistant to systemic therapy and difficult to treat. The resubmission requested </w:t>
      </w:r>
      <w:r w:rsidR="00FB729D" w:rsidRPr="00600064">
        <w:t xml:space="preserve">that </w:t>
      </w:r>
      <w:r w:rsidRPr="00600064">
        <w:t xml:space="preserve">nivolumab be used as second-line treatment </w:t>
      </w:r>
      <w:r w:rsidR="00FB729D" w:rsidRPr="00600064">
        <w:t xml:space="preserve">for </w:t>
      </w:r>
      <w:r w:rsidRPr="00600064">
        <w:t xml:space="preserve">advanced or metastatic clear cell variant RCC following first line treatment with a tyrosine kinase inhibitor (TKI). Nivolumab would be an alternative to </w:t>
      </w:r>
      <w:proofErr w:type="spellStart"/>
      <w:r w:rsidRPr="00600064">
        <w:t>everolimus</w:t>
      </w:r>
      <w:proofErr w:type="spellEnd"/>
      <w:r w:rsidRPr="00600064">
        <w:t xml:space="preserve">, </w:t>
      </w:r>
      <w:proofErr w:type="spellStart"/>
      <w:r w:rsidRPr="00600064">
        <w:t>axitinib</w:t>
      </w:r>
      <w:proofErr w:type="spellEnd"/>
      <w:r w:rsidRPr="00600064">
        <w:t xml:space="preserve"> and </w:t>
      </w:r>
      <w:proofErr w:type="spellStart"/>
      <w:r w:rsidRPr="00600064">
        <w:t>sorafenib</w:t>
      </w:r>
      <w:proofErr w:type="spellEnd"/>
      <w:r w:rsidRPr="00600064">
        <w:t xml:space="preserve">. </w:t>
      </w:r>
      <w:r w:rsidR="005441B6" w:rsidRPr="00600064">
        <w:t xml:space="preserve">The </w:t>
      </w:r>
      <w:r w:rsidRPr="00600064">
        <w:t xml:space="preserve">proposed place in therapy is unchanged from the </w:t>
      </w:r>
      <w:r w:rsidR="00173FE5" w:rsidRPr="00600064">
        <w:t xml:space="preserve">July </w:t>
      </w:r>
      <w:r w:rsidRPr="00600064">
        <w:t xml:space="preserve">2016 submission. The ratified minutes of the July 2016 PBAC meeting record that the </w:t>
      </w:r>
      <w:r w:rsidR="00F40ED3" w:rsidRPr="00600064">
        <w:t xml:space="preserve">Committee </w:t>
      </w:r>
      <w:r w:rsidRPr="00600064">
        <w:t>“recognised the clinical need for nivolumab in patients with clear cell renal carcinoma who had failed first-line treatments”.</w:t>
      </w:r>
      <w:r w:rsidR="00B556B7" w:rsidRPr="00600064">
        <w:t xml:space="preserve"> The PBAC reiterated that there remained a clinical need for treatments in patients with clear cell renal carcinoma who had failed first-line treatments.</w:t>
      </w:r>
    </w:p>
    <w:p w:rsidR="00454C7A" w:rsidRPr="00600064" w:rsidRDefault="00454C7A" w:rsidP="00A65838">
      <w:pPr>
        <w:pStyle w:val="ListParagraph"/>
        <w:ind w:left="0"/>
        <w:rPr>
          <w:szCs w:val="22"/>
        </w:rPr>
      </w:pPr>
    </w:p>
    <w:p w:rsidR="004B1BB9" w:rsidRPr="00600064" w:rsidRDefault="004B1BB9" w:rsidP="00A65838">
      <w:pPr>
        <w:pStyle w:val="ListParagraph"/>
        <w:ind w:left="0"/>
        <w:rPr>
          <w:szCs w:val="22"/>
        </w:rPr>
      </w:pPr>
    </w:p>
    <w:p w:rsidR="00A65838" w:rsidRPr="00600064" w:rsidRDefault="00A65838" w:rsidP="00E25D57">
      <w:pPr>
        <w:pStyle w:val="PBACheading1"/>
        <w:keepNext/>
        <w:rPr>
          <w:b/>
        </w:rPr>
      </w:pPr>
      <w:bookmarkStart w:id="6" w:name="_Toc472509752"/>
      <w:r w:rsidRPr="00600064">
        <w:rPr>
          <w:b/>
        </w:rPr>
        <w:lastRenderedPageBreak/>
        <w:t>Comparator</w:t>
      </w:r>
      <w:bookmarkEnd w:id="6"/>
    </w:p>
    <w:p w:rsidR="00EA0B8C" w:rsidRPr="00600064" w:rsidRDefault="00EA0B8C" w:rsidP="00323460"/>
    <w:p w:rsidR="00A65838" w:rsidRPr="00600064" w:rsidRDefault="00A65838" w:rsidP="00A65838">
      <w:pPr>
        <w:pStyle w:val="ListParagraph"/>
        <w:widowControl/>
        <w:numPr>
          <w:ilvl w:val="1"/>
          <w:numId w:val="4"/>
        </w:numPr>
      </w:pPr>
      <w:r w:rsidRPr="00600064">
        <w:t xml:space="preserve">As with the </w:t>
      </w:r>
      <w:r w:rsidR="00173FE5" w:rsidRPr="00600064">
        <w:t xml:space="preserve">July </w:t>
      </w:r>
      <w:r w:rsidRPr="00600064">
        <w:t xml:space="preserve">2016 submission, the resubmission nominated </w:t>
      </w:r>
      <w:proofErr w:type="spellStart"/>
      <w:r w:rsidRPr="00600064">
        <w:t>everolimus</w:t>
      </w:r>
      <w:proofErr w:type="spellEnd"/>
      <w:r w:rsidRPr="00600064">
        <w:t xml:space="preserve"> as the main comparator. This </w:t>
      </w:r>
      <w:r w:rsidR="004B1BB9" w:rsidRPr="00600064">
        <w:t>wa</w:t>
      </w:r>
      <w:r w:rsidRPr="00600064">
        <w:t>s appropriate.</w:t>
      </w:r>
    </w:p>
    <w:p w:rsidR="00A65838" w:rsidRPr="00600064" w:rsidRDefault="00A65838" w:rsidP="00A65838">
      <w:pPr>
        <w:widowControl/>
      </w:pPr>
    </w:p>
    <w:p w:rsidR="00A65838" w:rsidRPr="00701BE6" w:rsidRDefault="00A65838" w:rsidP="00A65838">
      <w:pPr>
        <w:pStyle w:val="ListParagraph"/>
        <w:widowControl/>
        <w:numPr>
          <w:ilvl w:val="1"/>
          <w:numId w:val="4"/>
        </w:numPr>
        <w:rPr>
          <w:szCs w:val="22"/>
        </w:rPr>
      </w:pPr>
      <w:r w:rsidRPr="00600064">
        <w:t xml:space="preserve">In the </w:t>
      </w:r>
      <w:r w:rsidR="00173FE5" w:rsidRPr="00600064">
        <w:t xml:space="preserve">July </w:t>
      </w:r>
      <w:r w:rsidRPr="00600064">
        <w:t xml:space="preserve">2016 submission, </w:t>
      </w:r>
      <w:proofErr w:type="spellStart"/>
      <w:r w:rsidRPr="00600064">
        <w:t>axitinib</w:t>
      </w:r>
      <w:proofErr w:type="spellEnd"/>
      <w:r w:rsidRPr="00600064">
        <w:t xml:space="preserve"> and </w:t>
      </w:r>
      <w:proofErr w:type="spellStart"/>
      <w:r w:rsidRPr="00600064">
        <w:t>sorafenib</w:t>
      </w:r>
      <w:proofErr w:type="spellEnd"/>
      <w:r w:rsidRPr="00600064">
        <w:t xml:space="preserve"> had been nominated as secondary comparators, and indirect comparisons had been presented as secondary evidence. Given that the primary purpose of the </w:t>
      </w:r>
      <w:r w:rsidR="00173FE5" w:rsidRPr="00600064">
        <w:t xml:space="preserve">March </w:t>
      </w:r>
      <w:r w:rsidR="00F40ED3" w:rsidRPr="00600064">
        <w:t>201</w:t>
      </w:r>
      <w:r w:rsidR="00173FE5" w:rsidRPr="00600064">
        <w:t>7</w:t>
      </w:r>
      <w:r w:rsidRPr="00600064">
        <w:t xml:space="preserve"> resubmission </w:t>
      </w:r>
      <w:r w:rsidR="004B1BB9" w:rsidRPr="00600064">
        <w:t>wa</w:t>
      </w:r>
      <w:r w:rsidRPr="00600064">
        <w:t xml:space="preserve">s to update the clinical evidence and respecify the economic and financial estimates, no restatements of these indirect comparisons were provided in the resubmission. This </w:t>
      </w:r>
      <w:r w:rsidR="004B1BB9" w:rsidRPr="00600064">
        <w:t>wa</w:t>
      </w:r>
      <w:r w:rsidRPr="00600064">
        <w:t>s appropriate.</w:t>
      </w:r>
    </w:p>
    <w:p w:rsidR="00701BE6" w:rsidRPr="00701BE6" w:rsidRDefault="00701BE6" w:rsidP="00701BE6">
      <w:pPr>
        <w:pStyle w:val="ListParagraph"/>
        <w:rPr>
          <w:szCs w:val="22"/>
        </w:rPr>
      </w:pPr>
    </w:p>
    <w:p w:rsidR="00701BE6" w:rsidRPr="00600064" w:rsidRDefault="00701BE6" w:rsidP="00701BE6"/>
    <w:p w:rsidR="00A65838" w:rsidRPr="00600064" w:rsidRDefault="00A65838" w:rsidP="00A65838">
      <w:pPr>
        <w:pStyle w:val="PBACheading1"/>
        <w:rPr>
          <w:b/>
        </w:rPr>
      </w:pPr>
      <w:bookmarkStart w:id="7" w:name="_Toc472509753"/>
      <w:r w:rsidRPr="00600064">
        <w:rPr>
          <w:b/>
        </w:rPr>
        <w:t>Consideration of the evidence</w:t>
      </w:r>
      <w:bookmarkEnd w:id="7"/>
    </w:p>
    <w:p w:rsidR="00B674B6" w:rsidRPr="00600064" w:rsidRDefault="00B674B6" w:rsidP="00B674B6"/>
    <w:p w:rsidR="00454C7A" w:rsidRPr="00600064" w:rsidRDefault="00454C7A" w:rsidP="00454C7A">
      <w:pPr>
        <w:rPr>
          <w:b/>
          <w:bCs/>
          <w:i/>
          <w:szCs w:val="22"/>
        </w:rPr>
      </w:pPr>
      <w:r w:rsidRPr="00600064">
        <w:rPr>
          <w:b/>
          <w:bCs/>
          <w:i/>
          <w:szCs w:val="22"/>
        </w:rPr>
        <w:t>Sponsor hearing</w:t>
      </w:r>
    </w:p>
    <w:p w:rsidR="00454C7A" w:rsidRPr="00600064" w:rsidRDefault="00454C7A" w:rsidP="00454C7A">
      <w:pPr>
        <w:rPr>
          <w:b/>
          <w:bCs/>
          <w:szCs w:val="22"/>
          <w:highlight w:val="yellow"/>
        </w:rPr>
      </w:pPr>
    </w:p>
    <w:p w:rsidR="00454C7A" w:rsidRPr="00600064" w:rsidRDefault="00454C7A" w:rsidP="00454C7A">
      <w:pPr>
        <w:widowControl/>
        <w:numPr>
          <w:ilvl w:val="1"/>
          <w:numId w:val="4"/>
        </w:numPr>
        <w:jc w:val="left"/>
        <w:rPr>
          <w:bCs/>
          <w:szCs w:val="22"/>
        </w:rPr>
      </w:pPr>
      <w:r w:rsidRPr="00600064">
        <w:rPr>
          <w:bCs/>
          <w:szCs w:val="22"/>
        </w:rPr>
        <w:t>The</w:t>
      </w:r>
      <w:r w:rsidR="006D6EEE" w:rsidRPr="00600064">
        <w:rPr>
          <w:bCs/>
          <w:szCs w:val="22"/>
        </w:rPr>
        <w:t>re was no hearing for this item</w:t>
      </w:r>
      <w:r w:rsidRPr="00600064">
        <w:rPr>
          <w:bCs/>
          <w:szCs w:val="22"/>
        </w:rPr>
        <w:t>.</w:t>
      </w:r>
    </w:p>
    <w:p w:rsidR="00454C7A" w:rsidRPr="00600064" w:rsidRDefault="00454C7A" w:rsidP="00454C7A">
      <w:pPr>
        <w:rPr>
          <w:bCs/>
          <w:szCs w:val="22"/>
          <w:highlight w:val="yellow"/>
        </w:rPr>
      </w:pPr>
    </w:p>
    <w:p w:rsidR="00454C7A" w:rsidRPr="00600064" w:rsidRDefault="00454C7A" w:rsidP="00454C7A">
      <w:pPr>
        <w:rPr>
          <w:b/>
          <w:bCs/>
          <w:i/>
          <w:szCs w:val="22"/>
        </w:rPr>
      </w:pPr>
      <w:r w:rsidRPr="00600064">
        <w:rPr>
          <w:b/>
          <w:bCs/>
          <w:i/>
          <w:szCs w:val="22"/>
        </w:rPr>
        <w:t>Consumer comments</w:t>
      </w:r>
    </w:p>
    <w:p w:rsidR="00454C7A" w:rsidRPr="00600064" w:rsidRDefault="00454C7A" w:rsidP="00454C7A">
      <w:pPr>
        <w:rPr>
          <w:b/>
          <w:bCs/>
          <w:szCs w:val="22"/>
        </w:rPr>
      </w:pPr>
    </w:p>
    <w:p w:rsidR="00454C7A" w:rsidRPr="00600064" w:rsidRDefault="00454C7A" w:rsidP="00342491">
      <w:pPr>
        <w:widowControl/>
        <w:numPr>
          <w:ilvl w:val="1"/>
          <w:numId w:val="4"/>
        </w:numPr>
        <w:rPr>
          <w:bCs/>
          <w:szCs w:val="22"/>
        </w:rPr>
      </w:pPr>
      <w:r w:rsidRPr="00600064">
        <w:rPr>
          <w:bCs/>
          <w:szCs w:val="22"/>
        </w:rPr>
        <w:t>The PBAC noted and welcomed the input from individuals (4), health care professionals (</w:t>
      </w:r>
      <w:r w:rsidR="00B556B7" w:rsidRPr="00600064">
        <w:rPr>
          <w:bCs/>
          <w:szCs w:val="22"/>
        </w:rPr>
        <w:t>4</w:t>
      </w:r>
      <w:r w:rsidRPr="00600064">
        <w:rPr>
          <w:bCs/>
          <w:szCs w:val="22"/>
        </w:rPr>
        <w:t>) and organisations (</w:t>
      </w:r>
      <w:r w:rsidR="00B556B7" w:rsidRPr="00600064">
        <w:rPr>
          <w:bCs/>
          <w:szCs w:val="22"/>
        </w:rPr>
        <w:t>2</w:t>
      </w:r>
      <w:r w:rsidRPr="00600064">
        <w:rPr>
          <w:bCs/>
          <w:szCs w:val="22"/>
        </w:rPr>
        <w:t xml:space="preserve">) via the Consumer Comments facility on the PBS website. The comments described a range of benefits of treatment with </w:t>
      </w:r>
      <w:r w:rsidR="00B556B7" w:rsidRPr="00600064">
        <w:rPr>
          <w:bCs/>
          <w:szCs w:val="22"/>
        </w:rPr>
        <w:t>nivolumab</w:t>
      </w:r>
      <w:r w:rsidRPr="00600064">
        <w:rPr>
          <w:bCs/>
          <w:szCs w:val="22"/>
        </w:rPr>
        <w:t xml:space="preserve"> including </w:t>
      </w:r>
      <w:r w:rsidR="00B556B7" w:rsidRPr="00600064">
        <w:rPr>
          <w:bCs/>
          <w:szCs w:val="22"/>
        </w:rPr>
        <w:t>an</w:t>
      </w:r>
      <w:r w:rsidR="00B556B7" w:rsidRPr="00600064">
        <w:t xml:space="preserve"> improvement in disease state</w:t>
      </w:r>
      <w:r w:rsidR="00A37934" w:rsidRPr="00600064">
        <w:t>, a reduction in tumour bulk</w:t>
      </w:r>
      <w:r w:rsidR="00B556B7" w:rsidRPr="00600064">
        <w:t xml:space="preserve"> and </w:t>
      </w:r>
      <w:r w:rsidR="003607A0" w:rsidRPr="00600064">
        <w:t xml:space="preserve">an improvement in </w:t>
      </w:r>
      <w:r w:rsidR="00B556B7" w:rsidRPr="00600064">
        <w:t>quality of life</w:t>
      </w:r>
      <w:r w:rsidR="003607A0" w:rsidRPr="00600064">
        <w:t>,</w:t>
      </w:r>
      <w:r w:rsidR="00A37934" w:rsidRPr="00600064">
        <w:t xml:space="preserve"> and supported the inclusion of nivolumab on the PBS as an alternative to other second</w:t>
      </w:r>
      <w:r w:rsidR="003607A0" w:rsidRPr="00600064">
        <w:t>-</w:t>
      </w:r>
      <w:r w:rsidR="00A37934" w:rsidRPr="00600064">
        <w:t xml:space="preserve">line therapies due to </w:t>
      </w:r>
      <w:r w:rsidR="00C10983" w:rsidRPr="00600064">
        <w:t xml:space="preserve">perceived </w:t>
      </w:r>
      <w:r w:rsidR="00A37934" w:rsidRPr="00600064">
        <w:t>increased efficacy and lower toxicity.</w:t>
      </w:r>
    </w:p>
    <w:p w:rsidR="006D6EEE" w:rsidRPr="00600064" w:rsidRDefault="006D6EEE" w:rsidP="003607A0">
      <w:pPr>
        <w:widowControl/>
        <w:rPr>
          <w:bCs/>
          <w:szCs w:val="22"/>
        </w:rPr>
      </w:pPr>
    </w:p>
    <w:p w:rsidR="002E26F1" w:rsidRPr="00600064" w:rsidRDefault="00E41CB3" w:rsidP="00E41CB3">
      <w:pPr>
        <w:pStyle w:val="ListParagraph"/>
        <w:widowControl/>
        <w:numPr>
          <w:ilvl w:val="1"/>
          <w:numId w:val="4"/>
        </w:numPr>
        <w:snapToGrid w:val="0"/>
        <w:rPr>
          <w:bCs/>
          <w:szCs w:val="22"/>
        </w:rPr>
      </w:pPr>
      <w:r w:rsidRPr="00600064">
        <w:t xml:space="preserve">The Medical Oncology Group of Australia (MOGA) also expressed its support for the nivolumab submission, on the basis of </w:t>
      </w:r>
      <w:r w:rsidR="002E26F1" w:rsidRPr="00600064">
        <w:t>increased survival benefit and decreased toxicity</w:t>
      </w:r>
      <w:r w:rsidRPr="00600064">
        <w:t xml:space="preserve">. The PBAC noted that the MOGA presented the European Society for Medical Oncology Magnitude of Clinical Benefit Scale (ESMO-MCBS) </w:t>
      </w:r>
      <w:r w:rsidR="003607A0" w:rsidRPr="00600064">
        <w:t xml:space="preserve">in this context as being </w:t>
      </w:r>
      <w:r w:rsidRPr="00600064">
        <w:t>5 (out of a maximum of 5, where 5 and 4 represent the grades with substantial improvement)</w:t>
      </w:r>
      <w:r w:rsidRPr="00600064">
        <w:rPr>
          <w:rStyle w:val="FootnoteReference"/>
        </w:rPr>
        <w:footnoteReference w:id="2"/>
      </w:r>
      <w:r w:rsidRPr="00600064">
        <w:t xml:space="preserve">, based on a comparison </w:t>
      </w:r>
      <w:r w:rsidR="003607A0" w:rsidRPr="00600064">
        <w:t xml:space="preserve">of nivolumab </w:t>
      </w:r>
      <w:r w:rsidRPr="00600064">
        <w:t xml:space="preserve">with </w:t>
      </w:r>
      <w:proofErr w:type="spellStart"/>
      <w:r w:rsidRPr="00600064">
        <w:t>everolimus</w:t>
      </w:r>
      <w:proofErr w:type="spellEnd"/>
      <w:r w:rsidRPr="00600064">
        <w:t>.</w:t>
      </w:r>
    </w:p>
    <w:p w:rsidR="00454C7A" w:rsidRPr="00600064" w:rsidRDefault="00454C7A" w:rsidP="00454C7A">
      <w:pPr>
        <w:rPr>
          <w:bCs/>
          <w:szCs w:val="22"/>
          <w:highlight w:val="yellow"/>
        </w:rPr>
      </w:pPr>
    </w:p>
    <w:p w:rsidR="00A65838" w:rsidRPr="00600064" w:rsidRDefault="00A65838" w:rsidP="00A65838">
      <w:pPr>
        <w:pStyle w:val="Heading2"/>
        <w:rPr>
          <w:i/>
        </w:rPr>
      </w:pPr>
      <w:bookmarkStart w:id="8" w:name="_Toc472509754"/>
      <w:r w:rsidRPr="00600064">
        <w:rPr>
          <w:i/>
        </w:rPr>
        <w:t>Clinical trials</w:t>
      </w:r>
      <w:bookmarkEnd w:id="8"/>
    </w:p>
    <w:p w:rsidR="004B1BB9" w:rsidRPr="00600064" w:rsidRDefault="004B1BB9" w:rsidP="004B1BB9"/>
    <w:p w:rsidR="00A65838" w:rsidRPr="00600064" w:rsidRDefault="00A65838" w:rsidP="00A65838">
      <w:pPr>
        <w:pStyle w:val="ListParagraph"/>
        <w:widowControl/>
        <w:numPr>
          <w:ilvl w:val="1"/>
          <w:numId w:val="4"/>
        </w:numPr>
        <w:rPr>
          <w:szCs w:val="22"/>
        </w:rPr>
      </w:pPr>
      <w:r w:rsidRPr="00600064">
        <w:t xml:space="preserve">The resubmission </w:t>
      </w:r>
      <w:r w:rsidR="004B1BB9" w:rsidRPr="00600064">
        <w:t>wa</w:t>
      </w:r>
      <w:r w:rsidRPr="00600064">
        <w:t xml:space="preserve">s based on one head-to-head trial comparing nivolumab to </w:t>
      </w:r>
      <w:proofErr w:type="spellStart"/>
      <w:r w:rsidRPr="00600064">
        <w:t>everolimus</w:t>
      </w:r>
      <w:proofErr w:type="spellEnd"/>
      <w:r w:rsidRPr="00600064">
        <w:t xml:space="preserve"> (n=821). This is the same trial that was presented in the </w:t>
      </w:r>
      <w:r w:rsidR="00173FE5" w:rsidRPr="00600064">
        <w:t xml:space="preserve">July </w:t>
      </w:r>
      <w:r w:rsidR="00F40ED3" w:rsidRPr="00600064">
        <w:t xml:space="preserve">2016 </w:t>
      </w:r>
      <w:r w:rsidRPr="00600064">
        <w:t xml:space="preserve">submission, but the evidence presented </w:t>
      </w:r>
      <w:r w:rsidR="004B1BB9" w:rsidRPr="00600064">
        <w:t>wa</w:t>
      </w:r>
      <w:r w:rsidRPr="00600064">
        <w:t>s updated based on the second database lock (11</w:t>
      </w:r>
      <w:r w:rsidR="00F40ED3" w:rsidRPr="00600064">
        <w:t xml:space="preserve"> </w:t>
      </w:r>
      <w:r w:rsidRPr="00600064">
        <w:t>May 2016)</w:t>
      </w:r>
      <w:r w:rsidR="004B1BB9" w:rsidRPr="00600064">
        <w:t>,</w:t>
      </w:r>
      <w:r w:rsidRPr="00600064">
        <w:t xml:space="preserve"> </w:t>
      </w:r>
      <w:r w:rsidR="0050250E" w:rsidRPr="00600064">
        <w:t xml:space="preserve">for </w:t>
      </w:r>
      <w:r w:rsidR="00F40ED3" w:rsidRPr="00600064">
        <w:t xml:space="preserve">which </w:t>
      </w:r>
      <w:r w:rsidRPr="00600064">
        <w:t>there is a minimum follow up of 26.1 months (range 26.1 to 42.6).</w:t>
      </w:r>
    </w:p>
    <w:p w:rsidR="00A65838" w:rsidRPr="00600064" w:rsidRDefault="00A65838" w:rsidP="00A65838">
      <w:pPr>
        <w:widowControl/>
        <w:rPr>
          <w:szCs w:val="22"/>
        </w:rPr>
      </w:pPr>
    </w:p>
    <w:p w:rsidR="00AB156B" w:rsidRPr="00E25D57" w:rsidRDefault="00A65838" w:rsidP="00E25D57">
      <w:pPr>
        <w:pStyle w:val="ListParagraph"/>
        <w:widowControl/>
        <w:numPr>
          <w:ilvl w:val="1"/>
          <w:numId w:val="4"/>
        </w:numPr>
        <w:rPr>
          <w:rStyle w:val="CommentReference"/>
          <w:rFonts w:ascii="Arial" w:hAnsi="Arial"/>
          <w:b w:val="0"/>
          <w:sz w:val="22"/>
          <w:szCs w:val="22"/>
        </w:rPr>
      </w:pPr>
      <w:r w:rsidRPr="00600064">
        <w:rPr>
          <w:szCs w:val="22"/>
        </w:rPr>
        <w:t xml:space="preserve">Details of the trials presented in the re-submission are provided in </w:t>
      </w:r>
      <w:r w:rsidR="00F40ED3" w:rsidRPr="00600064">
        <w:rPr>
          <w:szCs w:val="22"/>
        </w:rPr>
        <w:t xml:space="preserve">Table </w:t>
      </w:r>
      <w:r w:rsidR="00946AAD" w:rsidRPr="00600064">
        <w:rPr>
          <w:szCs w:val="22"/>
        </w:rPr>
        <w:t>3</w:t>
      </w:r>
      <w:r w:rsidR="004B1BB9" w:rsidRPr="00600064">
        <w:rPr>
          <w:szCs w:val="22"/>
        </w:rPr>
        <w:t xml:space="preserve"> below.</w:t>
      </w:r>
      <w:r w:rsidR="00AB156B">
        <w:rPr>
          <w:rStyle w:val="CommentReference"/>
        </w:rPr>
        <w:br w:type="page"/>
      </w:r>
    </w:p>
    <w:p w:rsidR="00A65838" w:rsidRPr="00600064" w:rsidRDefault="00A65838" w:rsidP="008B798A">
      <w:pPr>
        <w:rPr>
          <w:szCs w:val="22"/>
        </w:rPr>
      </w:pPr>
      <w:r w:rsidRPr="00600064">
        <w:rPr>
          <w:rStyle w:val="CommentReference"/>
        </w:rPr>
        <w:lastRenderedPageBreak/>
        <w:t xml:space="preserve">Table </w:t>
      </w:r>
      <w:r w:rsidR="00946AAD" w:rsidRPr="00600064">
        <w:rPr>
          <w:rStyle w:val="CommentReference"/>
        </w:rPr>
        <w:t>3</w:t>
      </w:r>
      <w:r w:rsidRPr="00600064">
        <w:rPr>
          <w:rStyle w:val="CommentReference"/>
        </w:rPr>
        <w:t>: Details of trial publications presented in the resubmission</w:t>
      </w:r>
    </w:p>
    <w:tbl>
      <w:tblPr>
        <w:tblW w:w="4986"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4"/>
        <w:gridCol w:w="5386"/>
        <w:gridCol w:w="2667"/>
        <w:gridCol w:w="11"/>
      </w:tblGrid>
      <w:tr w:rsidR="00A65838" w:rsidRPr="00600064" w:rsidTr="008B798A">
        <w:trPr>
          <w:gridAfter w:val="1"/>
          <w:wAfter w:w="7" w:type="pct"/>
          <w:tblHeader/>
        </w:trPr>
        <w:tc>
          <w:tcPr>
            <w:tcW w:w="549" w:type="pct"/>
            <w:tcBorders>
              <w:top w:val="single" w:sz="4" w:space="0" w:color="auto"/>
              <w:left w:val="single" w:sz="4" w:space="0" w:color="auto"/>
              <w:bottom w:val="single" w:sz="4" w:space="0" w:color="auto"/>
              <w:right w:val="single" w:sz="4" w:space="0" w:color="auto"/>
            </w:tcBorders>
          </w:tcPr>
          <w:p w:rsidR="00A65838" w:rsidRPr="00600064" w:rsidRDefault="00A65838" w:rsidP="00A65838">
            <w:pPr>
              <w:jc w:val="left"/>
              <w:rPr>
                <w:rFonts w:ascii="Arial Narrow" w:hAnsi="Arial Narrow"/>
                <w:b/>
                <w:sz w:val="20"/>
              </w:rPr>
            </w:pPr>
          </w:p>
        </w:tc>
        <w:tc>
          <w:tcPr>
            <w:tcW w:w="2973" w:type="pct"/>
            <w:tcBorders>
              <w:top w:val="single" w:sz="4" w:space="0" w:color="auto"/>
              <w:left w:val="single" w:sz="4" w:space="0" w:color="auto"/>
              <w:bottom w:val="single" w:sz="4" w:space="0" w:color="auto"/>
              <w:right w:val="single" w:sz="4" w:space="0" w:color="auto"/>
            </w:tcBorders>
          </w:tcPr>
          <w:p w:rsidR="00A65838" w:rsidRPr="00600064" w:rsidRDefault="00A65838" w:rsidP="00A65838">
            <w:pPr>
              <w:jc w:val="center"/>
              <w:rPr>
                <w:rFonts w:ascii="Arial Narrow" w:hAnsi="Arial Narrow"/>
                <w:b/>
                <w:sz w:val="20"/>
              </w:rPr>
            </w:pPr>
            <w:r w:rsidRPr="00600064">
              <w:rPr>
                <w:rFonts w:ascii="Arial Narrow" w:hAnsi="Arial Narrow"/>
                <w:b/>
                <w:sz w:val="20"/>
              </w:rPr>
              <w:t>Protocol title/ Publication title</w:t>
            </w:r>
          </w:p>
        </w:tc>
        <w:tc>
          <w:tcPr>
            <w:tcW w:w="1472" w:type="pct"/>
            <w:tcBorders>
              <w:top w:val="single" w:sz="4" w:space="0" w:color="auto"/>
              <w:left w:val="single" w:sz="4" w:space="0" w:color="auto"/>
              <w:bottom w:val="single" w:sz="4" w:space="0" w:color="auto"/>
              <w:right w:val="single" w:sz="4" w:space="0" w:color="auto"/>
            </w:tcBorders>
          </w:tcPr>
          <w:p w:rsidR="00A65838" w:rsidRPr="00600064" w:rsidRDefault="00A65838" w:rsidP="00A65838">
            <w:pPr>
              <w:jc w:val="center"/>
              <w:rPr>
                <w:rFonts w:ascii="Arial Narrow" w:hAnsi="Arial Narrow"/>
                <w:b/>
                <w:sz w:val="20"/>
              </w:rPr>
            </w:pPr>
            <w:r w:rsidRPr="00600064">
              <w:rPr>
                <w:rFonts w:ascii="Arial Narrow" w:hAnsi="Arial Narrow"/>
                <w:b/>
                <w:sz w:val="20"/>
              </w:rPr>
              <w:t>Publication citation</w:t>
            </w:r>
          </w:p>
        </w:tc>
      </w:tr>
      <w:tr w:rsidR="00A65838" w:rsidRPr="00600064" w:rsidTr="008B798A">
        <w:tc>
          <w:tcPr>
            <w:tcW w:w="5000" w:type="pct"/>
            <w:gridSpan w:val="4"/>
          </w:tcPr>
          <w:p w:rsidR="00A65838" w:rsidRPr="00600064" w:rsidRDefault="00A65838" w:rsidP="00A65838">
            <w:pPr>
              <w:jc w:val="left"/>
              <w:rPr>
                <w:rFonts w:ascii="Arial Narrow" w:hAnsi="Arial Narrow"/>
                <w:b/>
                <w:sz w:val="20"/>
                <w:highlight w:val="yellow"/>
              </w:rPr>
            </w:pPr>
            <w:r w:rsidRPr="00600064">
              <w:rPr>
                <w:rFonts w:ascii="Arial Narrow" w:hAnsi="Arial Narrow"/>
                <w:b/>
                <w:sz w:val="20"/>
              </w:rPr>
              <w:t>CA209025</w:t>
            </w:r>
          </w:p>
        </w:tc>
      </w:tr>
      <w:tr w:rsidR="00A65838" w:rsidRPr="00600064" w:rsidTr="008B798A">
        <w:tc>
          <w:tcPr>
            <w:tcW w:w="549" w:type="pct"/>
          </w:tcPr>
          <w:p w:rsidR="00A65838" w:rsidRPr="00600064" w:rsidRDefault="00A65838" w:rsidP="00A65838">
            <w:pPr>
              <w:jc w:val="left"/>
              <w:rPr>
                <w:rFonts w:ascii="Arial Narrow" w:hAnsi="Arial Narrow"/>
                <w:sz w:val="20"/>
              </w:rPr>
            </w:pPr>
            <w:r w:rsidRPr="00600064">
              <w:rPr>
                <w:rFonts w:ascii="Arial Narrow" w:hAnsi="Arial Narrow"/>
                <w:sz w:val="20"/>
              </w:rPr>
              <w:t>Clinical Study Report</w:t>
            </w:r>
          </w:p>
        </w:tc>
        <w:tc>
          <w:tcPr>
            <w:tcW w:w="2973" w:type="pct"/>
          </w:tcPr>
          <w:p w:rsidR="00A65838" w:rsidRPr="00600064" w:rsidRDefault="00A65838" w:rsidP="00A65838">
            <w:pPr>
              <w:jc w:val="left"/>
              <w:rPr>
                <w:rFonts w:ascii="Arial Narrow" w:hAnsi="Arial Narrow"/>
                <w:sz w:val="20"/>
              </w:rPr>
            </w:pPr>
            <w:r w:rsidRPr="00600064">
              <w:rPr>
                <w:rFonts w:ascii="Arial Narrow" w:hAnsi="Arial Narrow"/>
                <w:sz w:val="20"/>
              </w:rPr>
              <w:t xml:space="preserve">A Randomized, Open-Label, Phase 3 Study of Nivolumab (BMS-936558) versus </w:t>
            </w:r>
            <w:proofErr w:type="spellStart"/>
            <w:r w:rsidRPr="00600064">
              <w:rPr>
                <w:rFonts w:ascii="Arial Narrow" w:hAnsi="Arial Narrow"/>
                <w:sz w:val="20"/>
              </w:rPr>
              <w:t>Everolimus</w:t>
            </w:r>
            <w:proofErr w:type="spellEnd"/>
            <w:r w:rsidRPr="00600064">
              <w:rPr>
                <w:rFonts w:ascii="Arial Narrow" w:hAnsi="Arial Narrow"/>
                <w:sz w:val="20"/>
              </w:rPr>
              <w:t xml:space="preserve"> in Subjects with Advanced or Metastatic Clear-Cell Renal Cell Carcinoma Who Have Received Prior Anti-</w:t>
            </w:r>
            <w:proofErr w:type="spellStart"/>
            <w:r w:rsidRPr="00600064">
              <w:rPr>
                <w:rFonts w:ascii="Arial Narrow" w:hAnsi="Arial Narrow"/>
                <w:sz w:val="20"/>
              </w:rPr>
              <w:t>Angiogenic</w:t>
            </w:r>
            <w:proofErr w:type="spellEnd"/>
            <w:r w:rsidRPr="00600064">
              <w:rPr>
                <w:rFonts w:ascii="Arial Narrow" w:hAnsi="Arial Narrow"/>
                <w:sz w:val="20"/>
              </w:rPr>
              <w:t xml:space="preserve"> Therapy (</w:t>
            </w:r>
            <w:proofErr w:type="spellStart"/>
            <w:r w:rsidRPr="00600064">
              <w:rPr>
                <w:rFonts w:ascii="Arial Narrow" w:hAnsi="Arial Narrow"/>
                <w:sz w:val="20"/>
              </w:rPr>
              <w:t>CheckMate</w:t>
            </w:r>
            <w:proofErr w:type="spellEnd"/>
            <w:r w:rsidRPr="00600064">
              <w:rPr>
                <w:rFonts w:ascii="Arial Narrow" w:hAnsi="Arial Narrow"/>
                <w:sz w:val="20"/>
              </w:rPr>
              <w:t xml:space="preserve"> 025, </w:t>
            </w:r>
            <w:proofErr w:type="spellStart"/>
            <w:r w:rsidRPr="00600064">
              <w:rPr>
                <w:rFonts w:ascii="Arial Narrow" w:hAnsi="Arial Narrow"/>
                <w:sz w:val="20"/>
              </w:rPr>
              <w:t>CHECKpoint</w:t>
            </w:r>
            <w:proofErr w:type="spellEnd"/>
            <w:r w:rsidRPr="00600064">
              <w:rPr>
                <w:rFonts w:ascii="Arial Narrow" w:hAnsi="Arial Narrow"/>
                <w:sz w:val="20"/>
              </w:rPr>
              <w:t xml:space="preserve"> pathway and </w:t>
            </w:r>
            <w:proofErr w:type="spellStart"/>
            <w:r w:rsidRPr="00600064">
              <w:rPr>
                <w:rFonts w:ascii="Arial Narrow" w:hAnsi="Arial Narrow"/>
                <w:sz w:val="20"/>
              </w:rPr>
              <w:t>nivoluMAb</w:t>
            </w:r>
            <w:proofErr w:type="spellEnd"/>
            <w:r w:rsidRPr="00600064">
              <w:rPr>
                <w:rFonts w:ascii="Arial Narrow" w:hAnsi="Arial Narrow"/>
                <w:sz w:val="20"/>
              </w:rPr>
              <w:t xml:space="preserve"> clinical Trial </w:t>
            </w:r>
            <w:r w:rsidR="008B798A" w:rsidRPr="00600064">
              <w:rPr>
                <w:rFonts w:ascii="Arial Narrow" w:hAnsi="Arial Narrow"/>
                <w:sz w:val="20"/>
              </w:rPr>
              <w:t>Evaluation). CSR 21 August 2015</w:t>
            </w:r>
          </w:p>
        </w:tc>
        <w:tc>
          <w:tcPr>
            <w:tcW w:w="1479" w:type="pct"/>
            <w:gridSpan w:val="2"/>
          </w:tcPr>
          <w:p w:rsidR="00A65838" w:rsidRPr="00600064" w:rsidRDefault="00F40ED3" w:rsidP="00A65838">
            <w:pPr>
              <w:jc w:val="left"/>
              <w:rPr>
                <w:rFonts w:ascii="Arial Narrow" w:hAnsi="Arial Narrow"/>
                <w:sz w:val="20"/>
              </w:rPr>
            </w:pPr>
            <w:r w:rsidRPr="00600064">
              <w:rPr>
                <w:rFonts w:ascii="Arial Narrow" w:hAnsi="Arial Narrow"/>
                <w:sz w:val="20"/>
              </w:rPr>
              <w:t xml:space="preserve">The clinical study report (CSR) was not provided for the updated database cut-off.  A full CSR was provided with the </w:t>
            </w:r>
            <w:r w:rsidR="00D83FF2" w:rsidRPr="00600064">
              <w:rPr>
                <w:rFonts w:ascii="Arial Narrow" w:hAnsi="Arial Narrow"/>
                <w:sz w:val="20"/>
              </w:rPr>
              <w:t>July</w:t>
            </w:r>
            <w:r w:rsidRPr="00600064">
              <w:rPr>
                <w:rFonts w:ascii="Arial Narrow" w:hAnsi="Arial Narrow"/>
                <w:sz w:val="20"/>
              </w:rPr>
              <w:t xml:space="preserve"> 2016 submission.</w:t>
            </w:r>
          </w:p>
        </w:tc>
      </w:tr>
      <w:tr w:rsidR="00A65838" w:rsidRPr="00600064" w:rsidTr="008B798A">
        <w:tc>
          <w:tcPr>
            <w:tcW w:w="549" w:type="pct"/>
          </w:tcPr>
          <w:p w:rsidR="00A65838" w:rsidRPr="00600064" w:rsidRDefault="00A65838" w:rsidP="00A65838">
            <w:pPr>
              <w:jc w:val="left"/>
              <w:rPr>
                <w:rFonts w:ascii="Arial Narrow" w:hAnsi="Arial Narrow"/>
                <w:sz w:val="20"/>
              </w:rPr>
            </w:pPr>
          </w:p>
        </w:tc>
        <w:tc>
          <w:tcPr>
            <w:tcW w:w="2973" w:type="pct"/>
          </w:tcPr>
          <w:p w:rsidR="00A65838" w:rsidRPr="00600064" w:rsidRDefault="00A65838" w:rsidP="00A65838">
            <w:pPr>
              <w:jc w:val="left"/>
              <w:rPr>
                <w:rFonts w:ascii="Arial Narrow" w:hAnsi="Arial Narrow"/>
                <w:sz w:val="20"/>
              </w:rPr>
            </w:pPr>
            <w:r w:rsidRPr="00600064">
              <w:rPr>
                <w:rFonts w:ascii="Arial Narrow" w:hAnsi="Arial Narrow"/>
                <w:sz w:val="20"/>
              </w:rPr>
              <w:t xml:space="preserve">Motzer R. et al. Nivolumab versus </w:t>
            </w:r>
            <w:proofErr w:type="spellStart"/>
            <w:r w:rsidRPr="00600064">
              <w:rPr>
                <w:rFonts w:ascii="Arial Narrow" w:hAnsi="Arial Narrow"/>
                <w:sz w:val="20"/>
              </w:rPr>
              <w:t>everolimus</w:t>
            </w:r>
            <w:proofErr w:type="spellEnd"/>
            <w:r w:rsidRPr="00600064">
              <w:rPr>
                <w:rFonts w:ascii="Arial Narrow" w:hAnsi="Arial Narrow"/>
                <w:sz w:val="20"/>
              </w:rPr>
              <w:t xml:space="preserve"> in advanced renal-cell carcinoma.</w:t>
            </w:r>
          </w:p>
        </w:tc>
        <w:tc>
          <w:tcPr>
            <w:tcW w:w="1479" w:type="pct"/>
            <w:gridSpan w:val="2"/>
          </w:tcPr>
          <w:p w:rsidR="00A65838" w:rsidRPr="00600064" w:rsidRDefault="00A65838" w:rsidP="00A65838">
            <w:pPr>
              <w:jc w:val="left"/>
              <w:rPr>
                <w:rFonts w:ascii="Arial Narrow" w:hAnsi="Arial Narrow"/>
                <w:sz w:val="20"/>
              </w:rPr>
            </w:pPr>
            <w:r w:rsidRPr="00600064">
              <w:rPr>
                <w:rFonts w:ascii="Arial Narrow" w:hAnsi="Arial Narrow"/>
                <w:sz w:val="20"/>
              </w:rPr>
              <w:t>New England Journal of Medicine. 2015; 373 (191): 1803-1813.</w:t>
            </w:r>
          </w:p>
        </w:tc>
      </w:tr>
      <w:tr w:rsidR="00946AAD" w:rsidRPr="00600064" w:rsidTr="008B798A">
        <w:tc>
          <w:tcPr>
            <w:tcW w:w="549" w:type="pct"/>
          </w:tcPr>
          <w:p w:rsidR="00946AAD" w:rsidRPr="00600064" w:rsidRDefault="00946AAD" w:rsidP="00A65838">
            <w:pPr>
              <w:jc w:val="left"/>
              <w:rPr>
                <w:rFonts w:ascii="Arial Narrow" w:hAnsi="Arial Narrow"/>
                <w:sz w:val="20"/>
              </w:rPr>
            </w:pPr>
          </w:p>
        </w:tc>
        <w:tc>
          <w:tcPr>
            <w:tcW w:w="2973" w:type="pct"/>
          </w:tcPr>
          <w:p w:rsidR="00946AAD" w:rsidRPr="00600064" w:rsidRDefault="00946AAD" w:rsidP="00A65838">
            <w:pPr>
              <w:jc w:val="left"/>
              <w:rPr>
                <w:rFonts w:ascii="Arial Narrow" w:hAnsi="Arial Narrow"/>
                <w:sz w:val="20"/>
              </w:rPr>
            </w:pPr>
            <w:proofErr w:type="spellStart"/>
            <w:r w:rsidRPr="00600064">
              <w:rPr>
                <w:rFonts w:ascii="Arial Narrow" w:hAnsi="Arial Narrow"/>
                <w:sz w:val="20"/>
              </w:rPr>
              <w:t>Cella</w:t>
            </w:r>
            <w:proofErr w:type="spellEnd"/>
            <w:r w:rsidRPr="00600064">
              <w:rPr>
                <w:rFonts w:ascii="Arial Narrow" w:hAnsi="Arial Narrow"/>
                <w:sz w:val="20"/>
              </w:rPr>
              <w:t xml:space="preserve">, D., et al. "Quality of life in patients with advanced renal cell carcinoma given nivolumab versus </w:t>
            </w:r>
            <w:proofErr w:type="spellStart"/>
            <w:r w:rsidRPr="00600064">
              <w:rPr>
                <w:rFonts w:ascii="Arial Narrow" w:hAnsi="Arial Narrow"/>
                <w:sz w:val="20"/>
              </w:rPr>
              <w:t>everolimus</w:t>
            </w:r>
            <w:proofErr w:type="spellEnd"/>
            <w:r w:rsidRPr="00600064">
              <w:rPr>
                <w:rFonts w:ascii="Arial Narrow" w:hAnsi="Arial Narrow"/>
                <w:sz w:val="20"/>
              </w:rPr>
              <w:t xml:space="preserve"> in </w:t>
            </w:r>
            <w:proofErr w:type="spellStart"/>
            <w:r w:rsidRPr="00600064">
              <w:rPr>
                <w:rFonts w:ascii="Arial Narrow" w:hAnsi="Arial Narrow"/>
                <w:sz w:val="20"/>
              </w:rPr>
              <w:t>CheckMate</w:t>
            </w:r>
            <w:proofErr w:type="spellEnd"/>
            <w:r w:rsidRPr="00600064">
              <w:rPr>
                <w:rFonts w:ascii="Arial Narrow" w:hAnsi="Arial Narrow"/>
                <w:sz w:val="20"/>
              </w:rPr>
              <w:t xml:space="preserve"> 025: A randomised, open-label, phase 3 trial." </w:t>
            </w:r>
          </w:p>
        </w:tc>
        <w:tc>
          <w:tcPr>
            <w:tcW w:w="1479" w:type="pct"/>
            <w:gridSpan w:val="2"/>
          </w:tcPr>
          <w:p w:rsidR="00946AAD" w:rsidRPr="00600064" w:rsidRDefault="00946AAD" w:rsidP="00A65838">
            <w:pPr>
              <w:jc w:val="left"/>
              <w:rPr>
                <w:rFonts w:ascii="Arial Narrow" w:hAnsi="Arial Narrow"/>
                <w:sz w:val="20"/>
              </w:rPr>
            </w:pPr>
            <w:r w:rsidRPr="00600064">
              <w:rPr>
                <w:rFonts w:ascii="Arial Narrow" w:hAnsi="Arial Narrow"/>
                <w:sz w:val="20"/>
              </w:rPr>
              <w:t>The Lancet Oncology.2016 (17): 994–1003</w:t>
            </w:r>
          </w:p>
        </w:tc>
      </w:tr>
      <w:tr w:rsidR="00946AAD" w:rsidRPr="00600064" w:rsidTr="008B798A">
        <w:tc>
          <w:tcPr>
            <w:tcW w:w="549" w:type="pct"/>
          </w:tcPr>
          <w:p w:rsidR="00946AAD" w:rsidRPr="00600064" w:rsidRDefault="00946AAD" w:rsidP="00A65838">
            <w:pPr>
              <w:jc w:val="left"/>
              <w:rPr>
                <w:rFonts w:ascii="Arial Narrow" w:hAnsi="Arial Narrow"/>
                <w:sz w:val="20"/>
              </w:rPr>
            </w:pPr>
          </w:p>
        </w:tc>
        <w:tc>
          <w:tcPr>
            <w:tcW w:w="2973" w:type="pct"/>
          </w:tcPr>
          <w:p w:rsidR="00946AAD" w:rsidRPr="00600064" w:rsidRDefault="00946AAD" w:rsidP="00A65838">
            <w:pPr>
              <w:jc w:val="left"/>
              <w:rPr>
                <w:rFonts w:ascii="Arial Narrow" w:hAnsi="Arial Narrow"/>
                <w:sz w:val="20"/>
              </w:rPr>
            </w:pPr>
            <w:proofErr w:type="spellStart"/>
            <w:r w:rsidRPr="00600064">
              <w:rPr>
                <w:rFonts w:ascii="Arial Narrow" w:hAnsi="Arial Narrow"/>
                <w:sz w:val="20"/>
              </w:rPr>
              <w:t>Escudier</w:t>
            </w:r>
            <w:proofErr w:type="spellEnd"/>
            <w:r w:rsidRPr="00600064">
              <w:rPr>
                <w:rFonts w:ascii="Arial Narrow" w:hAnsi="Arial Narrow"/>
                <w:sz w:val="20"/>
              </w:rPr>
              <w:t>, B. J., et al. "Treatment beyond progression with nivolumab (</w:t>
            </w:r>
            <w:proofErr w:type="spellStart"/>
            <w:r w:rsidRPr="00600064">
              <w:rPr>
                <w:rFonts w:ascii="Arial Narrow" w:hAnsi="Arial Narrow"/>
                <w:sz w:val="20"/>
              </w:rPr>
              <w:t>nivo</w:t>
            </w:r>
            <w:proofErr w:type="spellEnd"/>
            <w:r w:rsidRPr="00600064">
              <w:rPr>
                <w:rFonts w:ascii="Arial Narrow" w:hAnsi="Arial Narrow"/>
                <w:sz w:val="20"/>
              </w:rPr>
              <w:t>) in patients (</w:t>
            </w:r>
            <w:proofErr w:type="spellStart"/>
            <w:r w:rsidRPr="00600064">
              <w:rPr>
                <w:rFonts w:ascii="Arial Narrow" w:hAnsi="Arial Narrow"/>
                <w:sz w:val="20"/>
              </w:rPr>
              <w:t>pts</w:t>
            </w:r>
            <w:proofErr w:type="spellEnd"/>
            <w:r w:rsidRPr="00600064">
              <w:rPr>
                <w:rFonts w:ascii="Arial Narrow" w:hAnsi="Arial Narrow"/>
                <w:sz w:val="20"/>
              </w:rPr>
              <w:t>) with advanced renal cell carcinoma (</w:t>
            </w:r>
            <w:proofErr w:type="spellStart"/>
            <w:r w:rsidRPr="00600064">
              <w:rPr>
                <w:rFonts w:ascii="Arial Narrow" w:hAnsi="Arial Narrow"/>
                <w:sz w:val="20"/>
              </w:rPr>
              <w:t>aRCC</w:t>
            </w:r>
            <w:proofErr w:type="spellEnd"/>
            <w:r w:rsidRPr="00600064">
              <w:rPr>
                <w:rFonts w:ascii="Arial Narrow" w:hAnsi="Arial Narrow"/>
                <w:sz w:val="20"/>
              </w:rPr>
              <w:t xml:space="preserve">) in the phase III </w:t>
            </w:r>
            <w:proofErr w:type="spellStart"/>
            <w:r w:rsidRPr="00600064">
              <w:rPr>
                <w:rFonts w:ascii="Arial Narrow" w:hAnsi="Arial Narrow"/>
                <w:sz w:val="20"/>
              </w:rPr>
              <w:t>CheckMate</w:t>
            </w:r>
            <w:proofErr w:type="spellEnd"/>
            <w:r w:rsidRPr="00600064">
              <w:rPr>
                <w:rFonts w:ascii="Arial Narrow" w:hAnsi="Arial Narrow"/>
                <w:sz w:val="20"/>
              </w:rPr>
              <w:t xml:space="preserve"> 025 study."</w:t>
            </w:r>
          </w:p>
        </w:tc>
        <w:tc>
          <w:tcPr>
            <w:tcW w:w="1479" w:type="pct"/>
            <w:gridSpan w:val="2"/>
          </w:tcPr>
          <w:p w:rsidR="00946AAD" w:rsidRPr="00600064" w:rsidRDefault="00946AAD" w:rsidP="00A65838">
            <w:pPr>
              <w:jc w:val="left"/>
              <w:rPr>
                <w:rFonts w:ascii="Arial Narrow" w:hAnsi="Arial Narrow"/>
                <w:sz w:val="20"/>
              </w:rPr>
            </w:pPr>
            <w:r w:rsidRPr="00600064">
              <w:rPr>
                <w:rFonts w:ascii="Arial Narrow" w:hAnsi="Arial Narrow"/>
                <w:sz w:val="20"/>
              </w:rPr>
              <w:t>Journal of Clinical Oncology 34, 2016 (</w:t>
            </w:r>
            <w:proofErr w:type="spellStart"/>
            <w:r w:rsidRPr="00600064">
              <w:rPr>
                <w:rFonts w:ascii="Arial Narrow" w:hAnsi="Arial Narrow"/>
                <w:sz w:val="20"/>
              </w:rPr>
              <w:t>suppl</w:t>
            </w:r>
            <w:proofErr w:type="spellEnd"/>
            <w:r w:rsidRPr="00600064">
              <w:rPr>
                <w:rFonts w:ascii="Arial Narrow" w:hAnsi="Arial Narrow"/>
                <w:sz w:val="20"/>
              </w:rPr>
              <w:t xml:space="preserve">, </w:t>
            </w:r>
            <w:proofErr w:type="spellStart"/>
            <w:r w:rsidRPr="00600064">
              <w:rPr>
                <w:rFonts w:ascii="Arial Narrow" w:hAnsi="Arial Narrow"/>
                <w:sz w:val="20"/>
              </w:rPr>
              <w:t>abstr</w:t>
            </w:r>
            <w:proofErr w:type="spellEnd"/>
            <w:r w:rsidRPr="00600064">
              <w:rPr>
                <w:rFonts w:ascii="Arial Narrow" w:hAnsi="Arial Narrow"/>
                <w:sz w:val="20"/>
              </w:rPr>
              <w:t xml:space="preserve"> 4509) </w:t>
            </w:r>
          </w:p>
        </w:tc>
      </w:tr>
      <w:tr w:rsidR="00946AAD" w:rsidRPr="00600064" w:rsidTr="008B798A">
        <w:tc>
          <w:tcPr>
            <w:tcW w:w="549" w:type="pct"/>
          </w:tcPr>
          <w:p w:rsidR="00946AAD" w:rsidRPr="00600064" w:rsidRDefault="00946AAD" w:rsidP="00A65838">
            <w:pPr>
              <w:jc w:val="left"/>
              <w:rPr>
                <w:rFonts w:ascii="Arial Narrow" w:hAnsi="Arial Narrow"/>
                <w:sz w:val="20"/>
              </w:rPr>
            </w:pPr>
          </w:p>
        </w:tc>
        <w:tc>
          <w:tcPr>
            <w:tcW w:w="2973" w:type="pct"/>
          </w:tcPr>
          <w:p w:rsidR="00946AAD" w:rsidRPr="00600064" w:rsidRDefault="00946AAD" w:rsidP="00A65838">
            <w:pPr>
              <w:jc w:val="left"/>
              <w:rPr>
                <w:rFonts w:ascii="Arial Narrow" w:hAnsi="Arial Narrow"/>
                <w:sz w:val="20"/>
              </w:rPr>
            </w:pPr>
            <w:r w:rsidRPr="00600064">
              <w:rPr>
                <w:rFonts w:ascii="Arial Narrow" w:hAnsi="Arial Narrow"/>
                <w:sz w:val="20"/>
              </w:rPr>
              <w:t xml:space="preserve">Motzer, R. J., et al. "Correlation of response with overall survival (OS) for nivolumab </w:t>
            </w:r>
            <w:proofErr w:type="spellStart"/>
            <w:r w:rsidRPr="00600064">
              <w:rPr>
                <w:rFonts w:ascii="Arial Narrow" w:hAnsi="Arial Narrow"/>
                <w:sz w:val="20"/>
              </w:rPr>
              <w:t>vs</w:t>
            </w:r>
            <w:proofErr w:type="spellEnd"/>
            <w:r w:rsidRPr="00600064">
              <w:rPr>
                <w:rFonts w:ascii="Arial Narrow" w:hAnsi="Arial Narrow"/>
                <w:sz w:val="20"/>
              </w:rPr>
              <w:t xml:space="preserve"> </w:t>
            </w:r>
            <w:proofErr w:type="spellStart"/>
            <w:r w:rsidRPr="00600064">
              <w:rPr>
                <w:rFonts w:ascii="Arial Narrow" w:hAnsi="Arial Narrow"/>
                <w:sz w:val="20"/>
              </w:rPr>
              <w:t>everolimus</w:t>
            </w:r>
            <w:proofErr w:type="spellEnd"/>
            <w:r w:rsidRPr="00600064">
              <w:rPr>
                <w:rFonts w:ascii="Arial Narrow" w:hAnsi="Arial Narrow"/>
                <w:sz w:val="20"/>
              </w:rPr>
              <w:t xml:space="preserve"> in advanced renal cell carcinoma (</w:t>
            </w:r>
            <w:proofErr w:type="spellStart"/>
            <w:r w:rsidRPr="00600064">
              <w:rPr>
                <w:rFonts w:ascii="Arial Narrow" w:hAnsi="Arial Narrow"/>
                <w:sz w:val="20"/>
              </w:rPr>
              <w:t>aRCC</w:t>
            </w:r>
            <w:proofErr w:type="spellEnd"/>
            <w:r w:rsidRPr="00600064">
              <w:rPr>
                <w:rFonts w:ascii="Arial Narrow" w:hAnsi="Arial Narrow"/>
                <w:sz w:val="20"/>
              </w:rPr>
              <w:t xml:space="preserve">): Results from the phase III </w:t>
            </w:r>
            <w:proofErr w:type="spellStart"/>
            <w:r w:rsidRPr="00600064">
              <w:rPr>
                <w:rFonts w:ascii="Arial Narrow" w:hAnsi="Arial Narrow"/>
                <w:sz w:val="20"/>
              </w:rPr>
              <w:t>CheckMate</w:t>
            </w:r>
            <w:proofErr w:type="spellEnd"/>
            <w:r w:rsidRPr="00600064">
              <w:rPr>
                <w:rFonts w:ascii="Arial Narrow" w:hAnsi="Arial Narrow"/>
                <w:sz w:val="20"/>
              </w:rPr>
              <w:t xml:space="preserve"> 025 study."</w:t>
            </w:r>
          </w:p>
        </w:tc>
        <w:tc>
          <w:tcPr>
            <w:tcW w:w="1479" w:type="pct"/>
            <w:gridSpan w:val="2"/>
          </w:tcPr>
          <w:p w:rsidR="00946AAD" w:rsidRPr="00600064" w:rsidRDefault="00946AAD" w:rsidP="00A65838">
            <w:pPr>
              <w:jc w:val="left"/>
              <w:rPr>
                <w:rFonts w:ascii="Arial Narrow" w:hAnsi="Arial Narrow"/>
                <w:sz w:val="20"/>
              </w:rPr>
            </w:pPr>
            <w:r w:rsidRPr="00600064">
              <w:rPr>
                <w:rFonts w:ascii="Arial Narrow" w:hAnsi="Arial Narrow"/>
                <w:sz w:val="20"/>
              </w:rPr>
              <w:t>Journal of Clinical Oncology 34, 2016 (</w:t>
            </w:r>
            <w:proofErr w:type="spellStart"/>
            <w:r w:rsidRPr="00600064">
              <w:rPr>
                <w:rFonts w:ascii="Arial Narrow" w:hAnsi="Arial Narrow"/>
                <w:sz w:val="20"/>
              </w:rPr>
              <w:t>suppl</w:t>
            </w:r>
            <w:proofErr w:type="spellEnd"/>
            <w:r w:rsidRPr="00600064">
              <w:rPr>
                <w:rFonts w:ascii="Arial Narrow" w:hAnsi="Arial Narrow"/>
                <w:sz w:val="20"/>
              </w:rPr>
              <w:t xml:space="preserve">, </w:t>
            </w:r>
            <w:proofErr w:type="spellStart"/>
            <w:r w:rsidRPr="00600064">
              <w:rPr>
                <w:rFonts w:ascii="Arial Narrow" w:hAnsi="Arial Narrow"/>
                <w:sz w:val="20"/>
              </w:rPr>
              <w:t>abstr</w:t>
            </w:r>
            <w:proofErr w:type="spellEnd"/>
            <w:r w:rsidRPr="00600064">
              <w:rPr>
                <w:rFonts w:ascii="Arial Narrow" w:hAnsi="Arial Narrow"/>
                <w:sz w:val="20"/>
              </w:rPr>
              <w:t xml:space="preserve"> 4552)</w:t>
            </w:r>
          </w:p>
        </w:tc>
      </w:tr>
      <w:tr w:rsidR="00946AAD" w:rsidRPr="00600064" w:rsidTr="008B798A">
        <w:tc>
          <w:tcPr>
            <w:tcW w:w="549" w:type="pct"/>
          </w:tcPr>
          <w:p w:rsidR="00946AAD" w:rsidRPr="00600064" w:rsidRDefault="00946AAD" w:rsidP="00A65838">
            <w:pPr>
              <w:jc w:val="left"/>
              <w:rPr>
                <w:rFonts w:ascii="Arial Narrow" w:hAnsi="Arial Narrow"/>
                <w:sz w:val="20"/>
              </w:rPr>
            </w:pPr>
          </w:p>
        </w:tc>
        <w:tc>
          <w:tcPr>
            <w:tcW w:w="2973" w:type="pct"/>
          </w:tcPr>
          <w:p w:rsidR="00946AAD" w:rsidRPr="00600064" w:rsidRDefault="00946AAD" w:rsidP="00A65838">
            <w:pPr>
              <w:jc w:val="left"/>
              <w:rPr>
                <w:rFonts w:ascii="Arial Narrow" w:hAnsi="Arial Narrow"/>
                <w:sz w:val="20"/>
              </w:rPr>
            </w:pPr>
            <w:r w:rsidRPr="00600064">
              <w:rPr>
                <w:rFonts w:ascii="Arial Narrow" w:hAnsi="Arial Narrow"/>
                <w:sz w:val="20"/>
              </w:rPr>
              <w:t>Motzer, R. J., et al</w:t>
            </w:r>
            <w:r w:rsidR="00D664EF" w:rsidRPr="00600064">
              <w:rPr>
                <w:rFonts w:ascii="Arial Narrow" w:hAnsi="Arial Narrow"/>
                <w:sz w:val="20"/>
              </w:rPr>
              <w:t>.</w:t>
            </w:r>
            <w:r w:rsidRPr="00600064">
              <w:rPr>
                <w:rFonts w:ascii="Arial Narrow" w:hAnsi="Arial Narrow"/>
                <w:sz w:val="20"/>
              </w:rPr>
              <w:t xml:space="preserve"> "</w:t>
            </w:r>
            <w:proofErr w:type="spellStart"/>
            <w:r w:rsidRPr="00600064">
              <w:rPr>
                <w:rFonts w:ascii="Arial Narrow" w:hAnsi="Arial Narrow"/>
                <w:sz w:val="20"/>
              </w:rPr>
              <w:t>CheckMate</w:t>
            </w:r>
            <w:proofErr w:type="spellEnd"/>
            <w:r w:rsidRPr="00600064">
              <w:rPr>
                <w:rFonts w:ascii="Arial Narrow" w:hAnsi="Arial Narrow"/>
                <w:sz w:val="20"/>
              </w:rPr>
              <w:t xml:space="preserve"> 025 phase III trial: Outcomes by key baseline factors and prior therapy for nivolumab (NIVO) versus </w:t>
            </w:r>
            <w:proofErr w:type="spellStart"/>
            <w:r w:rsidRPr="00600064">
              <w:rPr>
                <w:rFonts w:ascii="Arial Narrow" w:hAnsi="Arial Narrow"/>
                <w:sz w:val="20"/>
              </w:rPr>
              <w:t>everolimus</w:t>
            </w:r>
            <w:proofErr w:type="spellEnd"/>
            <w:r w:rsidRPr="00600064">
              <w:rPr>
                <w:rFonts w:ascii="Arial Narrow" w:hAnsi="Arial Narrow"/>
                <w:sz w:val="20"/>
              </w:rPr>
              <w:t xml:space="preserve"> (EVE) in advanced renal cell carcinoma (RCC)."</w:t>
            </w:r>
          </w:p>
        </w:tc>
        <w:tc>
          <w:tcPr>
            <w:tcW w:w="1479" w:type="pct"/>
            <w:gridSpan w:val="2"/>
          </w:tcPr>
          <w:p w:rsidR="00946AAD" w:rsidRPr="00600064" w:rsidRDefault="00946AAD" w:rsidP="00A65838">
            <w:pPr>
              <w:jc w:val="left"/>
              <w:rPr>
                <w:rFonts w:ascii="Arial Narrow" w:hAnsi="Arial Narrow"/>
                <w:sz w:val="20"/>
              </w:rPr>
            </w:pPr>
            <w:r w:rsidRPr="00600064">
              <w:rPr>
                <w:rFonts w:ascii="Arial Narrow" w:hAnsi="Arial Narrow"/>
                <w:sz w:val="20"/>
              </w:rPr>
              <w:t>Journal of Clinical Oncology 34, 2016 (</w:t>
            </w:r>
            <w:proofErr w:type="spellStart"/>
            <w:r w:rsidRPr="00600064">
              <w:rPr>
                <w:rFonts w:ascii="Arial Narrow" w:hAnsi="Arial Narrow"/>
                <w:sz w:val="20"/>
              </w:rPr>
              <w:t>suppl</w:t>
            </w:r>
            <w:proofErr w:type="spellEnd"/>
            <w:r w:rsidRPr="00600064">
              <w:rPr>
                <w:rFonts w:ascii="Arial Narrow" w:hAnsi="Arial Narrow"/>
                <w:sz w:val="20"/>
              </w:rPr>
              <w:t xml:space="preserve">, </w:t>
            </w:r>
            <w:proofErr w:type="spellStart"/>
            <w:r w:rsidRPr="00600064">
              <w:rPr>
                <w:rFonts w:ascii="Arial Narrow" w:hAnsi="Arial Narrow"/>
                <w:sz w:val="20"/>
              </w:rPr>
              <w:t>abstr</w:t>
            </w:r>
            <w:proofErr w:type="spellEnd"/>
            <w:r w:rsidRPr="00600064">
              <w:rPr>
                <w:rFonts w:ascii="Arial Narrow" w:hAnsi="Arial Narrow"/>
                <w:sz w:val="20"/>
              </w:rPr>
              <w:t xml:space="preserve"> 498)</w:t>
            </w:r>
          </w:p>
        </w:tc>
      </w:tr>
    </w:tbl>
    <w:p w:rsidR="00A65838" w:rsidRPr="00600064" w:rsidRDefault="00A65838" w:rsidP="008B798A">
      <w:pPr>
        <w:pStyle w:val="TableFooter"/>
      </w:pPr>
      <w:r w:rsidRPr="00600064">
        <w:t xml:space="preserve">Source: Table </w:t>
      </w:r>
      <w:r w:rsidR="004B1BB9" w:rsidRPr="00600064">
        <w:t>6, page 24 of the resubmission.</w:t>
      </w:r>
    </w:p>
    <w:p w:rsidR="00A65838" w:rsidRPr="00600064" w:rsidRDefault="00A65838" w:rsidP="004B1BB9">
      <w:pPr>
        <w:pStyle w:val="TableFooter"/>
        <w:rPr>
          <w:rFonts w:ascii="Arial" w:hAnsi="Arial"/>
          <w:sz w:val="22"/>
          <w:szCs w:val="22"/>
        </w:rPr>
      </w:pPr>
    </w:p>
    <w:p w:rsidR="00A65838" w:rsidRPr="00600064" w:rsidRDefault="00A65838" w:rsidP="00A65838">
      <w:pPr>
        <w:pStyle w:val="ListParagraph"/>
        <w:widowControl/>
        <w:numPr>
          <w:ilvl w:val="1"/>
          <w:numId w:val="4"/>
        </w:numPr>
        <w:rPr>
          <w:szCs w:val="22"/>
        </w:rPr>
      </w:pPr>
      <w:r w:rsidRPr="00600064">
        <w:rPr>
          <w:szCs w:val="22"/>
        </w:rPr>
        <w:t xml:space="preserve">The key features of the trial used in the head-to-head comparison of nivolumab and </w:t>
      </w:r>
      <w:proofErr w:type="spellStart"/>
      <w:r w:rsidRPr="00600064">
        <w:rPr>
          <w:szCs w:val="22"/>
        </w:rPr>
        <w:t>everolimus</w:t>
      </w:r>
      <w:proofErr w:type="spellEnd"/>
      <w:r w:rsidRPr="00600064">
        <w:rPr>
          <w:szCs w:val="22"/>
        </w:rPr>
        <w:t xml:space="preserve"> are summarised in </w:t>
      </w:r>
      <w:r w:rsidR="00F40ED3" w:rsidRPr="00600064">
        <w:rPr>
          <w:szCs w:val="22"/>
        </w:rPr>
        <w:t xml:space="preserve">Table </w:t>
      </w:r>
      <w:r w:rsidR="00946AAD" w:rsidRPr="00600064">
        <w:rPr>
          <w:szCs w:val="22"/>
        </w:rPr>
        <w:t>4</w:t>
      </w:r>
      <w:r w:rsidR="004B1BB9" w:rsidRPr="00600064">
        <w:rPr>
          <w:szCs w:val="22"/>
        </w:rPr>
        <w:t xml:space="preserve"> below.</w:t>
      </w:r>
    </w:p>
    <w:p w:rsidR="00A65838" w:rsidRPr="00600064" w:rsidRDefault="00A65838" w:rsidP="004B1BB9">
      <w:pPr>
        <w:rPr>
          <w:rStyle w:val="CommentReference"/>
          <w:rFonts w:ascii="Arial" w:hAnsi="Arial"/>
          <w:b w:val="0"/>
          <w:sz w:val="22"/>
          <w:szCs w:val="22"/>
        </w:rPr>
      </w:pPr>
    </w:p>
    <w:p w:rsidR="00A65838" w:rsidRPr="00600064" w:rsidRDefault="00A65838" w:rsidP="008B798A">
      <w:pPr>
        <w:rPr>
          <w:rStyle w:val="CommentReference"/>
        </w:rPr>
      </w:pPr>
      <w:r w:rsidRPr="00600064">
        <w:rPr>
          <w:rStyle w:val="CommentReference"/>
        </w:rPr>
        <w:t xml:space="preserve">Table </w:t>
      </w:r>
      <w:r w:rsidR="00946AAD" w:rsidRPr="00600064">
        <w:rPr>
          <w:rStyle w:val="CommentReference"/>
        </w:rPr>
        <w:t>4</w:t>
      </w:r>
      <w:r w:rsidRPr="00600064">
        <w:rPr>
          <w:rStyle w:val="CommentReference"/>
        </w:rPr>
        <w:t>: Key features of the included evidence</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0"/>
        <w:gridCol w:w="427"/>
        <w:gridCol w:w="1418"/>
        <w:gridCol w:w="1700"/>
        <w:gridCol w:w="1277"/>
        <w:gridCol w:w="1277"/>
        <w:gridCol w:w="1965"/>
      </w:tblGrid>
      <w:tr w:rsidR="008B798A" w:rsidRPr="00600064" w:rsidTr="008B798A">
        <w:tc>
          <w:tcPr>
            <w:tcW w:w="547" w:type="pct"/>
            <w:shd w:val="clear" w:color="auto" w:fill="auto"/>
            <w:vAlign w:val="center"/>
          </w:tcPr>
          <w:p w:rsidR="00A65838" w:rsidRPr="00600064" w:rsidRDefault="00A65838" w:rsidP="00A65838">
            <w:pPr>
              <w:jc w:val="left"/>
              <w:rPr>
                <w:rFonts w:ascii="Arial Narrow" w:hAnsi="Arial Narrow"/>
                <w:b/>
                <w:sz w:val="20"/>
              </w:rPr>
            </w:pPr>
            <w:r w:rsidRPr="00600064">
              <w:rPr>
                <w:rFonts w:ascii="Arial Narrow" w:hAnsi="Arial Narrow"/>
                <w:b/>
                <w:sz w:val="20"/>
              </w:rPr>
              <w:t>Trial</w:t>
            </w:r>
          </w:p>
        </w:tc>
        <w:tc>
          <w:tcPr>
            <w:tcW w:w="236"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N</w:t>
            </w:r>
          </w:p>
        </w:tc>
        <w:tc>
          <w:tcPr>
            <w:tcW w:w="783"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Design</w:t>
            </w:r>
          </w:p>
        </w:tc>
        <w:tc>
          <w:tcPr>
            <w:tcW w:w="939"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Risk of bias</w:t>
            </w:r>
          </w:p>
        </w:tc>
        <w:tc>
          <w:tcPr>
            <w:tcW w:w="705"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Patient population</w:t>
            </w:r>
          </w:p>
        </w:tc>
        <w:tc>
          <w:tcPr>
            <w:tcW w:w="705"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Outcome(s)</w:t>
            </w:r>
          </w:p>
        </w:tc>
        <w:tc>
          <w:tcPr>
            <w:tcW w:w="1086" w:type="pct"/>
            <w:shd w:val="clear" w:color="auto" w:fill="auto"/>
            <w:vAlign w:val="center"/>
          </w:tcPr>
          <w:p w:rsidR="00A65838" w:rsidRPr="00600064" w:rsidRDefault="00A65838" w:rsidP="00A65838">
            <w:pPr>
              <w:jc w:val="center"/>
              <w:rPr>
                <w:rFonts w:ascii="Arial Narrow" w:hAnsi="Arial Narrow"/>
                <w:b/>
                <w:sz w:val="20"/>
              </w:rPr>
            </w:pPr>
            <w:r w:rsidRPr="00600064">
              <w:rPr>
                <w:rFonts w:ascii="Arial Narrow" w:hAnsi="Arial Narrow"/>
                <w:b/>
                <w:sz w:val="20"/>
              </w:rPr>
              <w:t>Use in modelled evaluation</w:t>
            </w:r>
          </w:p>
        </w:tc>
      </w:tr>
      <w:tr w:rsidR="00A65838" w:rsidRPr="00600064" w:rsidTr="008B798A">
        <w:tc>
          <w:tcPr>
            <w:tcW w:w="5000" w:type="pct"/>
            <w:gridSpan w:val="7"/>
            <w:shd w:val="clear" w:color="auto" w:fill="auto"/>
            <w:vAlign w:val="center"/>
          </w:tcPr>
          <w:p w:rsidR="00A65838" w:rsidRPr="00600064" w:rsidRDefault="00A65838" w:rsidP="00A65838">
            <w:pPr>
              <w:jc w:val="left"/>
              <w:rPr>
                <w:rFonts w:ascii="Arial Narrow" w:hAnsi="Arial Narrow"/>
                <w:b/>
                <w:sz w:val="20"/>
              </w:rPr>
            </w:pPr>
            <w:r w:rsidRPr="00600064">
              <w:rPr>
                <w:rFonts w:ascii="Arial Narrow" w:hAnsi="Arial Narrow"/>
                <w:b/>
                <w:sz w:val="20"/>
              </w:rPr>
              <w:t xml:space="preserve">Nivolumab versus </w:t>
            </w:r>
            <w:proofErr w:type="spellStart"/>
            <w:r w:rsidRPr="00600064">
              <w:rPr>
                <w:rFonts w:ascii="Arial Narrow" w:hAnsi="Arial Narrow"/>
                <w:b/>
                <w:sz w:val="20"/>
              </w:rPr>
              <w:t>everolimus</w:t>
            </w:r>
            <w:proofErr w:type="spellEnd"/>
          </w:p>
        </w:tc>
      </w:tr>
      <w:tr w:rsidR="008B798A" w:rsidRPr="00600064" w:rsidTr="008B798A">
        <w:tc>
          <w:tcPr>
            <w:tcW w:w="547" w:type="pct"/>
            <w:shd w:val="clear" w:color="auto" w:fill="auto"/>
            <w:vAlign w:val="center"/>
          </w:tcPr>
          <w:p w:rsidR="00A65838" w:rsidRPr="00600064" w:rsidRDefault="00A65838" w:rsidP="00A65838">
            <w:pPr>
              <w:jc w:val="left"/>
              <w:rPr>
                <w:rFonts w:ascii="Arial Narrow" w:hAnsi="Arial Narrow"/>
                <w:sz w:val="20"/>
              </w:rPr>
            </w:pPr>
            <w:r w:rsidRPr="00600064">
              <w:rPr>
                <w:rFonts w:ascii="Arial Narrow" w:hAnsi="Arial Narrow"/>
                <w:sz w:val="20"/>
              </w:rPr>
              <w:t>CA209025</w:t>
            </w:r>
          </w:p>
        </w:tc>
        <w:tc>
          <w:tcPr>
            <w:tcW w:w="236" w:type="pct"/>
            <w:shd w:val="clear" w:color="auto" w:fill="auto"/>
            <w:vAlign w:val="center"/>
          </w:tcPr>
          <w:p w:rsidR="00A65838" w:rsidRPr="00600064" w:rsidRDefault="00A65838" w:rsidP="00A65838">
            <w:pPr>
              <w:jc w:val="center"/>
              <w:rPr>
                <w:rFonts w:ascii="Arial Narrow" w:hAnsi="Arial Narrow"/>
                <w:sz w:val="20"/>
              </w:rPr>
            </w:pPr>
            <w:r w:rsidRPr="00600064">
              <w:rPr>
                <w:rFonts w:ascii="Arial Narrow" w:hAnsi="Arial Narrow"/>
                <w:sz w:val="20"/>
              </w:rPr>
              <w:t>821</w:t>
            </w:r>
          </w:p>
        </w:tc>
        <w:tc>
          <w:tcPr>
            <w:tcW w:w="783" w:type="pct"/>
            <w:shd w:val="clear" w:color="auto" w:fill="auto"/>
            <w:vAlign w:val="center"/>
          </w:tcPr>
          <w:p w:rsidR="00A65838" w:rsidRPr="00600064" w:rsidRDefault="00A65838" w:rsidP="00A65838">
            <w:pPr>
              <w:jc w:val="center"/>
              <w:rPr>
                <w:rFonts w:ascii="Arial Narrow" w:hAnsi="Arial Narrow"/>
                <w:sz w:val="20"/>
              </w:rPr>
            </w:pPr>
            <w:r w:rsidRPr="00600064">
              <w:rPr>
                <w:rFonts w:ascii="Arial Narrow" w:hAnsi="Arial Narrow"/>
                <w:sz w:val="20"/>
              </w:rPr>
              <w:t>Phase II, R, OL, MC</w:t>
            </w:r>
          </w:p>
          <w:p w:rsidR="00A65838" w:rsidRPr="00600064" w:rsidRDefault="00A65838" w:rsidP="00A65838">
            <w:pPr>
              <w:jc w:val="center"/>
              <w:rPr>
                <w:rFonts w:ascii="Arial Narrow" w:hAnsi="Arial Narrow"/>
                <w:sz w:val="20"/>
                <w:highlight w:val="yellow"/>
              </w:rPr>
            </w:pPr>
            <w:r w:rsidRPr="00600064">
              <w:rPr>
                <w:rFonts w:ascii="Arial Narrow" w:hAnsi="Arial Narrow"/>
                <w:sz w:val="20"/>
              </w:rPr>
              <w:t>Nivolumab 3</w:t>
            </w:r>
            <w:r w:rsidR="008B798A" w:rsidRPr="00600064">
              <w:rPr>
                <w:rFonts w:ascii="Arial Narrow" w:hAnsi="Arial Narrow"/>
                <w:sz w:val="20"/>
              </w:rPr>
              <w:t> </w:t>
            </w:r>
            <w:r w:rsidRPr="00600064">
              <w:rPr>
                <w:rFonts w:ascii="Arial Narrow" w:hAnsi="Arial Narrow"/>
                <w:sz w:val="20"/>
              </w:rPr>
              <w:t>mg/kg Q2W n=410</w:t>
            </w:r>
          </w:p>
          <w:p w:rsidR="00A65838" w:rsidRPr="00600064" w:rsidRDefault="00A65838" w:rsidP="00A65838">
            <w:pPr>
              <w:jc w:val="center"/>
              <w:rPr>
                <w:rFonts w:ascii="Arial Narrow" w:hAnsi="Arial Narrow"/>
                <w:sz w:val="20"/>
              </w:rPr>
            </w:pPr>
            <w:proofErr w:type="spellStart"/>
            <w:r w:rsidRPr="00600064">
              <w:rPr>
                <w:rFonts w:ascii="Arial Narrow" w:hAnsi="Arial Narrow"/>
                <w:sz w:val="20"/>
              </w:rPr>
              <w:t>Everolimus</w:t>
            </w:r>
            <w:proofErr w:type="spellEnd"/>
            <w:r w:rsidRPr="00600064">
              <w:rPr>
                <w:rFonts w:ascii="Arial Narrow" w:hAnsi="Arial Narrow"/>
                <w:sz w:val="20"/>
              </w:rPr>
              <w:t xml:space="preserve"> 10</w:t>
            </w:r>
            <w:r w:rsidR="008B798A" w:rsidRPr="00600064">
              <w:rPr>
                <w:rFonts w:ascii="Arial Narrow" w:hAnsi="Arial Narrow"/>
                <w:sz w:val="20"/>
              </w:rPr>
              <w:t> </w:t>
            </w:r>
            <w:r w:rsidRPr="00600064">
              <w:rPr>
                <w:rFonts w:ascii="Arial Narrow" w:hAnsi="Arial Narrow"/>
                <w:sz w:val="20"/>
              </w:rPr>
              <w:t xml:space="preserve">mg </w:t>
            </w:r>
            <w:proofErr w:type="spellStart"/>
            <w:r w:rsidRPr="00600064">
              <w:rPr>
                <w:rFonts w:ascii="Arial Narrow" w:hAnsi="Arial Narrow"/>
                <w:sz w:val="20"/>
              </w:rPr>
              <w:t>po</w:t>
            </w:r>
            <w:proofErr w:type="spellEnd"/>
            <w:r w:rsidRPr="00600064">
              <w:rPr>
                <w:rFonts w:ascii="Arial Narrow" w:hAnsi="Arial Narrow"/>
                <w:sz w:val="20"/>
              </w:rPr>
              <w:t xml:space="preserve"> n=411</w:t>
            </w:r>
          </w:p>
        </w:tc>
        <w:tc>
          <w:tcPr>
            <w:tcW w:w="939" w:type="pct"/>
            <w:shd w:val="clear" w:color="auto" w:fill="auto"/>
            <w:vAlign w:val="center"/>
          </w:tcPr>
          <w:p w:rsidR="00A65838" w:rsidRPr="00600064" w:rsidRDefault="0050250E" w:rsidP="00A65838">
            <w:pPr>
              <w:jc w:val="center"/>
              <w:rPr>
                <w:rFonts w:ascii="Arial Narrow" w:hAnsi="Arial Narrow"/>
                <w:sz w:val="20"/>
              </w:rPr>
            </w:pPr>
            <w:r w:rsidRPr="00600064">
              <w:rPr>
                <w:rFonts w:ascii="Arial Narrow" w:hAnsi="Arial Narrow"/>
                <w:sz w:val="20"/>
              </w:rPr>
              <w:t>Mod</w:t>
            </w:r>
            <w:r w:rsidR="00B674B6" w:rsidRPr="00600064">
              <w:rPr>
                <w:rFonts w:ascii="Arial Narrow" w:hAnsi="Arial Narrow"/>
                <w:sz w:val="20"/>
              </w:rPr>
              <w:t>erate</w:t>
            </w:r>
            <w:r w:rsidRPr="00600064">
              <w:rPr>
                <w:rFonts w:ascii="Arial Narrow" w:hAnsi="Arial Narrow"/>
                <w:sz w:val="20"/>
              </w:rPr>
              <w:t xml:space="preserve"> (due to open-label design, and potential for early termination</w:t>
            </w:r>
            <w:r w:rsidR="001C5476" w:rsidRPr="00600064">
              <w:rPr>
                <w:rFonts w:ascii="Arial Narrow" w:hAnsi="Arial Narrow"/>
                <w:sz w:val="20"/>
              </w:rPr>
              <w:t xml:space="preserve"> to influence magnitude of treatment effect).</w:t>
            </w:r>
          </w:p>
        </w:tc>
        <w:tc>
          <w:tcPr>
            <w:tcW w:w="705" w:type="pct"/>
            <w:shd w:val="clear" w:color="auto" w:fill="auto"/>
            <w:vAlign w:val="center"/>
          </w:tcPr>
          <w:p w:rsidR="00A65838" w:rsidRPr="00600064" w:rsidRDefault="00A65838" w:rsidP="00A65838">
            <w:pPr>
              <w:jc w:val="center"/>
              <w:rPr>
                <w:rFonts w:ascii="Arial Narrow" w:hAnsi="Arial Narrow"/>
                <w:sz w:val="20"/>
              </w:rPr>
            </w:pPr>
            <w:r w:rsidRPr="00600064">
              <w:rPr>
                <w:rFonts w:ascii="Arial Narrow" w:hAnsi="Arial Narrow"/>
                <w:sz w:val="20"/>
              </w:rPr>
              <w:t>RCC progressed following first line treatment.</w:t>
            </w:r>
          </w:p>
        </w:tc>
        <w:tc>
          <w:tcPr>
            <w:tcW w:w="705" w:type="pct"/>
            <w:shd w:val="clear" w:color="auto" w:fill="auto"/>
            <w:vAlign w:val="center"/>
          </w:tcPr>
          <w:p w:rsidR="00A65838" w:rsidRPr="00600064" w:rsidRDefault="00A65838" w:rsidP="00514F6C">
            <w:pPr>
              <w:jc w:val="center"/>
              <w:rPr>
                <w:rFonts w:ascii="Arial Narrow" w:hAnsi="Arial Narrow"/>
                <w:sz w:val="20"/>
              </w:rPr>
            </w:pPr>
            <w:r w:rsidRPr="00600064">
              <w:rPr>
                <w:rFonts w:ascii="Arial Narrow" w:hAnsi="Arial Narrow"/>
                <w:sz w:val="20"/>
              </w:rPr>
              <w:t>OS, PFS (RECIST</w:t>
            </w:r>
            <w:r w:rsidR="00514F6C" w:rsidRPr="00600064">
              <w:rPr>
                <w:rFonts w:ascii="Arial Narrow" w:hAnsi="Arial Narrow"/>
                <w:sz w:val="20"/>
              </w:rPr>
              <w:t>-</w:t>
            </w:r>
            <w:r w:rsidRPr="00600064">
              <w:rPr>
                <w:rFonts w:ascii="Arial Narrow" w:hAnsi="Arial Narrow"/>
                <w:sz w:val="20"/>
              </w:rPr>
              <w:t>defined), EQ-5D, Safety and tolerability</w:t>
            </w:r>
          </w:p>
        </w:tc>
        <w:tc>
          <w:tcPr>
            <w:tcW w:w="1086" w:type="pct"/>
            <w:shd w:val="clear" w:color="auto" w:fill="auto"/>
            <w:vAlign w:val="center"/>
          </w:tcPr>
          <w:p w:rsidR="00A65838" w:rsidRPr="00600064" w:rsidRDefault="00A65838" w:rsidP="00A65838">
            <w:pPr>
              <w:jc w:val="center"/>
              <w:rPr>
                <w:rFonts w:ascii="Arial Narrow" w:hAnsi="Arial Narrow"/>
                <w:sz w:val="20"/>
              </w:rPr>
            </w:pPr>
            <w:r w:rsidRPr="00600064">
              <w:rPr>
                <w:rFonts w:ascii="Arial Narrow" w:hAnsi="Arial Narrow"/>
                <w:sz w:val="20"/>
              </w:rPr>
              <w:t xml:space="preserve">Extrapolated </w:t>
            </w:r>
            <w:r w:rsidR="00F40ED3" w:rsidRPr="00600064">
              <w:rPr>
                <w:rFonts w:ascii="Arial Narrow" w:hAnsi="Arial Narrow"/>
                <w:sz w:val="20"/>
              </w:rPr>
              <w:t>OS</w:t>
            </w:r>
            <w:r w:rsidRPr="00600064">
              <w:rPr>
                <w:rFonts w:ascii="Arial Narrow" w:hAnsi="Arial Narrow"/>
                <w:sz w:val="20"/>
              </w:rPr>
              <w:t xml:space="preserve"> data.</w:t>
            </w:r>
          </w:p>
          <w:p w:rsidR="00A65838" w:rsidRPr="00600064" w:rsidRDefault="00A65838" w:rsidP="00A65838">
            <w:pPr>
              <w:jc w:val="center"/>
              <w:rPr>
                <w:rFonts w:ascii="Arial Narrow" w:hAnsi="Arial Narrow"/>
                <w:sz w:val="20"/>
              </w:rPr>
            </w:pPr>
            <w:r w:rsidRPr="00600064">
              <w:rPr>
                <w:rFonts w:ascii="Arial Narrow" w:hAnsi="Arial Narrow"/>
                <w:sz w:val="20"/>
              </w:rPr>
              <w:t>RECIST</w:t>
            </w:r>
            <w:r w:rsidR="008B798A" w:rsidRPr="00600064">
              <w:rPr>
                <w:rFonts w:ascii="Arial Narrow" w:hAnsi="Arial Narrow"/>
                <w:sz w:val="20"/>
              </w:rPr>
              <w:t>-</w:t>
            </w:r>
            <w:r w:rsidRPr="00600064">
              <w:rPr>
                <w:rFonts w:ascii="Arial Narrow" w:hAnsi="Arial Narrow"/>
                <w:sz w:val="20"/>
              </w:rPr>
              <w:t xml:space="preserve">defined PFS in the estimation of </w:t>
            </w:r>
            <w:proofErr w:type="spellStart"/>
            <w:r w:rsidRPr="00600064">
              <w:rPr>
                <w:rFonts w:ascii="Arial Narrow" w:hAnsi="Arial Narrow"/>
                <w:sz w:val="20"/>
              </w:rPr>
              <w:t>everolimus</w:t>
            </w:r>
            <w:proofErr w:type="spellEnd"/>
            <w:r w:rsidRPr="00600064">
              <w:rPr>
                <w:rFonts w:ascii="Arial Narrow" w:hAnsi="Arial Narrow"/>
                <w:sz w:val="20"/>
              </w:rPr>
              <w:t xml:space="preserve"> costs*.</w:t>
            </w:r>
          </w:p>
          <w:p w:rsidR="00A65838" w:rsidRPr="00600064" w:rsidRDefault="00A65838" w:rsidP="00A65838">
            <w:pPr>
              <w:jc w:val="center"/>
              <w:rPr>
                <w:rFonts w:ascii="Arial Narrow" w:hAnsi="Arial Narrow"/>
                <w:sz w:val="20"/>
              </w:rPr>
            </w:pPr>
            <w:r w:rsidRPr="00600064">
              <w:rPr>
                <w:rFonts w:ascii="Arial Narrow" w:hAnsi="Arial Narrow"/>
                <w:sz w:val="20"/>
              </w:rPr>
              <w:t>EQ-5D</w:t>
            </w:r>
            <w:r w:rsidR="00F40ED3" w:rsidRPr="00600064">
              <w:rPr>
                <w:rFonts w:ascii="Arial Narrow" w:hAnsi="Arial Narrow"/>
                <w:sz w:val="20"/>
              </w:rPr>
              <w:t xml:space="preserve"> to estimate utility values.</w:t>
            </w:r>
          </w:p>
          <w:p w:rsidR="00A65838" w:rsidRPr="00600064" w:rsidRDefault="00A65838" w:rsidP="00A65838">
            <w:pPr>
              <w:jc w:val="center"/>
              <w:rPr>
                <w:rFonts w:ascii="Arial Narrow" w:hAnsi="Arial Narrow"/>
                <w:sz w:val="20"/>
              </w:rPr>
            </w:pPr>
            <w:r w:rsidRPr="00600064">
              <w:rPr>
                <w:rFonts w:ascii="Arial Narrow" w:hAnsi="Arial Narrow"/>
                <w:sz w:val="20"/>
              </w:rPr>
              <w:t>Modelled adverse events.</w:t>
            </w:r>
          </w:p>
        </w:tc>
      </w:tr>
    </w:tbl>
    <w:p w:rsidR="00A65838" w:rsidRPr="00600064" w:rsidRDefault="00A65838" w:rsidP="008B798A">
      <w:pPr>
        <w:rPr>
          <w:rFonts w:ascii="Arial Narrow" w:hAnsi="Arial Narrow"/>
          <w:sz w:val="18"/>
          <w:szCs w:val="18"/>
        </w:rPr>
      </w:pPr>
      <w:r w:rsidRPr="00600064">
        <w:rPr>
          <w:rFonts w:ascii="Arial Narrow" w:hAnsi="Arial Narrow"/>
          <w:sz w:val="18"/>
          <w:szCs w:val="18"/>
        </w:rPr>
        <w:t>Source: Table 7, p27 of the submission.</w:t>
      </w:r>
    </w:p>
    <w:p w:rsidR="00A65838" w:rsidRPr="00600064" w:rsidRDefault="00A65838" w:rsidP="007B1005">
      <w:pPr>
        <w:rPr>
          <w:rFonts w:ascii="Arial Narrow" w:hAnsi="Arial Narrow"/>
          <w:sz w:val="18"/>
          <w:szCs w:val="18"/>
        </w:rPr>
      </w:pPr>
      <w:r w:rsidRPr="00600064">
        <w:rPr>
          <w:rFonts w:ascii="Arial Narrow" w:hAnsi="Arial Narrow"/>
          <w:sz w:val="18"/>
          <w:szCs w:val="18"/>
        </w:rPr>
        <w:t>* In the addendum to the resubmission, RECIST</w:t>
      </w:r>
      <w:r w:rsidR="00514F6C" w:rsidRPr="00600064">
        <w:rPr>
          <w:rFonts w:ascii="Arial Narrow" w:hAnsi="Arial Narrow"/>
          <w:sz w:val="18"/>
          <w:szCs w:val="18"/>
        </w:rPr>
        <w:t>-</w:t>
      </w:r>
      <w:r w:rsidRPr="00600064">
        <w:rPr>
          <w:rFonts w:ascii="Arial Narrow" w:hAnsi="Arial Narrow"/>
          <w:sz w:val="18"/>
          <w:szCs w:val="18"/>
        </w:rPr>
        <w:t>defined PFS was used to model costs and benefits of both treatment arms.</w:t>
      </w:r>
    </w:p>
    <w:p w:rsidR="00A65838" w:rsidRPr="00600064" w:rsidRDefault="00A65838" w:rsidP="007B1005">
      <w:pPr>
        <w:rPr>
          <w:rFonts w:ascii="Arial Narrow" w:hAnsi="Arial Narrow"/>
          <w:sz w:val="18"/>
          <w:szCs w:val="18"/>
        </w:rPr>
      </w:pPr>
      <w:r w:rsidRPr="00600064">
        <w:rPr>
          <w:rFonts w:ascii="Arial Narrow" w:hAnsi="Arial Narrow"/>
          <w:sz w:val="18"/>
          <w:szCs w:val="18"/>
        </w:rPr>
        <w:t>Abbreviations: MC</w:t>
      </w:r>
      <w:r w:rsidR="00946AAD" w:rsidRPr="00600064">
        <w:rPr>
          <w:rFonts w:ascii="Arial Narrow" w:hAnsi="Arial Narrow"/>
          <w:sz w:val="18"/>
          <w:szCs w:val="18"/>
        </w:rPr>
        <w:t xml:space="preserve">, </w:t>
      </w:r>
      <w:r w:rsidRPr="00600064">
        <w:rPr>
          <w:rFonts w:ascii="Arial Narrow" w:hAnsi="Arial Narrow"/>
          <w:sz w:val="18"/>
          <w:szCs w:val="18"/>
        </w:rPr>
        <w:t xml:space="preserve">multicentre; </w:t>
      </w:r>
      <w:proofErr w:type="spellStart"/>
      <w:r w:rsidRPr="00600064">
        <w:rPr>
          <w:rFonts w:ascii="Arial Narrow" w:hAnsi="Arial Narrow"/>
          <w:sz w:val="18"/>
          <w:szCs w:val="18"/>
        </w:rPr>
        <w:t>po</w:t>
      </w:r>
      <w:proofErr w:type="spellEnd"/>
      <w:r w:rsidR="00946AAD" w:rsidRPr="00600064">
        <w:rPr>
          <w:rFonts w:ascii="Arial Narrow" w:hAnsi="Arial Narrow"/>
          <w:sz w:val="18"/>
          <w:szCs w:val="18"/>
        </w:rPr>
        <w:t xml:space="preserve">, </w:t>
      </w:r>
      <w:r w:rsidRPr="00600064">
        <w:rPr>
          <w:rFonts w:ascii="Arial Narrow" w:hAnsi="Arial Narrow"/>
          <w:sz w:val="18"/>
          <w:szCs w:val="18"/>
        </w:rPr>
        <w:t>oral administration; OL</w:t>
      </w:r>
      <w:r w:rsidR="00946AAD" w:rsidRPr="00600064">
        <w:rPr>
          <w:rFonts w:ascii="Arial Narrow" w:hAnsi="Arial Narrow"/>
          <w:sz w:val="18"/>
          <w:szCs w:val="18"/>
        </w:rPr>
        <w:t xml:space="preserve">, </w:t>
      </w:r>
      <w:r w:rsidRPr="00600064">
        <w:rPr>
          <w:rFonts w:ascii="Arial Narrow" w:hAnsi="Arial Narrow"/>
          <w:sz w:val="18"/>
          <w:szCs w:val="18"/>
        </w:rPr>
        <w:t>open-label; Q2W</w:t>
      </w:r>
      <w:r w:rsidR="00946AAD" w:rsidRPr="00600064">
        <w:rPr>
          <w:rFonts w:ascii="Arial Narrow" w:hAnsi="Arial Narrow"/>
          <w:sz w:val="18"/>
          <w:szCs w:val="18"/>
        </w:rPr>
        <w:t xml:space="preserve">, </w:t>
      </w:r>
      <w:r w:rsidRPr="00600064">
        <w:rPr>
          <w:rFonts w:ascii="Arial Narrow" w:hAnsi="Arial Narrow"/>
          <w:sz w:val="18"/>
          <w:szCs w:val="18"/>
        </w:rPr>
        <w:t>every two weeks; R</w:t>
      </w:r>
      <w:r w:rsidR="00946AAD" w:rsidRPr="00600064">
        <w:rPr>
          <w:rFonts w:ascii="Arial Narrow" w:hAnsi="Arial Narrow"/>
          <w:sz w:val="18"/>
          <w:szCs w:val="18"/>
        </w:rPr>
        <w:t xml:space="preserve">, </w:t>
      </w:r>
      <w:r w:rsidR="004B1BB9" w:rsidRPr="00600064">
        <w:rPr>
          <w:rFonts w:ascii="Arial Narrow" w:hAnsi="Arial Narrow"/>
          <w:sz w:val="18"/>
          <w:szCs w:val="18"/>
        </w:rPr>
        <w:t>randomised.</w:t>
      </w:r>
    </w:p>
    <w:p w:rsidR="00A65838" w:rsidRPr="00600064" w:rsidRDefault="00A65838" w:rsidP="00A65838">
      <w:pPr>
        <w:widowControl/>
        <w:rPr>
          <w:szCs w:val="22"/>
        </w:rPr>
      </w:pPr>
    </w:p>
    <w:p w:rsidR="00A65838" w:rsidRPr="00600064" w:rsidRDefault="00A65838" w:rsidP="006C6CAF">
      <w:pPr>
        <w:pStyle w:val="ListParagraph"/>
        <w:widowControl/>
        <w:numPr>
          <w:ilvl w:val="1"/>
          <w:numId w:val="4"/>
        </w:numPr>
        <w:rPr>
          <w:szCs w:val="22"/>
        </w:rPr>
      </w:pPr>
      <w:r w:rsidRPr="00600064">
        <w:rPr>
          <w:szCs w:val="22"/>
        </w:rPr>
        <w:t>An outcome referred to as clinical PFS was de</w:t>
      </w:r>
      <w:r w:rsidR="00F40ED3" w:rsidRPr="00600064">
        <w:rPr>
          <w:szCs w:val="22"/>
        </w:rPr>
        <w:t xml:space="preserve">fined </w:t>
      </w:r>
      <w:r w:rsidRPr="00600064">
        <w:rPr>
          <w:szCs w:val="22"/>
        </w:rPr>
        <w:t xml:space="preserve">in the </w:t>
      </w:r>
      <w:r w:rsidR="00173FE5" w:rsidRPr="00600064">
        <w:rPr>
          <w:szCs w:val="22"/>
        </w:rPr>
        <w:t xml:space="preserve">July </w:t>
      </w:r>
      <w:r w:rsidR="00F40ED3" w:rsidRPr="00600064">
        <w:rPr>
          <w:szCs w:val="22"/>
        </w:rPr>
        <w:t>2016</w:t>
      </w:r>
      <w:r w:rsidRPr="00600064">
        <w:rPr>
          <w:szCs w:val="22"/>
        </w:rPr>
        <w:t xml:space="preserve"> submission</w:t>
      </w:r>
      <w:r w:rsidR="00F40ED3" w:rsidRPr="00600064">
        <w:rPr>
          <w:szCs w:val="22"/>
        </w:rPr>
        <w:t>,</w:t>
      </w:r>
      <w:r w:rsidRPr="00600064">
        <w:rPr>
          <w:szCs w:val="22"/>
        </w:rPr>
        <w:t xml:space="preserve"> developed post-hoc for the </w:t>
      </w:r>
      <w:r w:rsidR="00F40ED3" w:rsidRPr="00600064">
        <w:rPr>
          <w:szCs w:val="22"/>
        </w:rPr>
        <w:t xml:space="preserve">submission to the PBAC, and </w:t>
      </w:r>
      <w:r w:rsidRPr="00600064">
        <w:rPr>
          <w:szCs w:val="22"/>
        </w:rPr>
        <w:t xml:space="preserve">was included in the resubmission. </w:t>
      </w:r>
      <w:r w:rsidR="00F40ED3" w:rsidRPr="00600064">
        <w:rPr>
          <w:szCs w:val="22"/>
        </w:rPr>
        <w:t>In defining this outcome, t</w:t>
      </w:r>
      <w:r w:rsidRPr="00600064">
        <w:rPr>
          <w:szCs w:val="22"/>
        </w:rPr>
        <w:t xml:space="preserve">he </w:t>
      </w:r>
      <w:r w:rsidR="00F40ED3" w:rsidRPr="00600064">
        <w:rPr>
          <w:szCs w:val="22"/>
        </w:rPr>
        <w:t>(re)</w:t>
      </w:r>
      <w:r w:rsidRPr="00600064">
        <w:rPr>
          <w:szCs w:val="22"/>
        </w:rPr>
        <w:t xml:space="preserve">submissions had argued that it would not be unreasonable to assume that the treatment discontinuation time-point in the trial would be representative of when the investigators concluded no further clinical benefit could be derived from either treatment. Therefore, it would be more clinically representative if recorded </w:t>
      </w:r>
      <w:r w:rsidR="00F40ED3" w:rsidRPr="00600064">
        <w:rPr>
          <w:szCs w:val="22"/>
        </w:rPr>
        <w:t xml:space="preserve">progression </w:t>
      </w:r>
      <w:r w:rsidRPr="00600064">
        <w:rPr>
          <w:szCs w:val="22"/>
        </w:rPr>
        <w:t>events for these patients were informed by the time from randomisation to discontinuation of treatment</w:t>
      </w:r>
      <w:r w:rsidR="00F40ED3" w:rsidRPr="00600064">
        <w:rPr>
          <w:szCs w:val="22"/>
        </w:rPr>
        <w:t>, rather than RECIST</w:t>
      </w:r>
      <w:r w:rsidR="00514F6C" w:rsidRPr="00600064">
        <w:rPr>
          <w:szCs w:val="22"/>
        </w:rPr>
        <w:t>-defined</w:t>
      </w:r>
      <w:r w:rsidR="00F40ED3" w:rsidRPr="00600064">
        <w:rPr>
          <w:szCs w:val="22"/>
        </w:rPr>
        <w:t xml:space="preserve"> PFS</w:t>
      </w:r>
      <w:r w:rsidRPr="00600064">
        <w:rPr>
          <w:szCs w:val="22"/>
        </w:rPr>
        <w:t>. This post-hoc outcome was used in the economic model to define the health state of PFS.</w:t>
      </w:r>
      <w:r w:rsidR="006C6CAF" w:rsidRPr="00600064">
        <w:rPr>
          <w:szCs w:val="22"/>
        </w:rPr>
        <w:t xml:space="preserve"> The PBAC noted that the resubmission addendum used RECIST-defined PFS in the economic model</w:t>
      </w:r>
      <w:r w:rsidR="00B103B9" w:rsidRPr="00600064">
        <w:rPr>
          <w:szCs w:val="22"/>
        </w:rPr>
        <w:t xml:space="preserve"> and confirmed that it remained concerned that </w:t>
      </w:r>
      <w:r w:rsidR="00B103B9" w:rsidRPr="00600064">
        <w:rPr>
          <w:szCs w:val="22"/>
        </w:rPr>
        <w:lastRenderedPageBreak/>
        <w:t xml:space="preserve">clinical-PFS </w:t>
      </w:r>
      <w:r w:rsidR="003607A0" w:rsidRPr="00600064">
        <w:rPr>
          <w:szCs w:val="22"/>
        </w:rPr>
        <w:t xml:space="preserve">as defined for the purposes of the trial </w:t>
      </w:r>
      <w:r w:rsidR="00B103B9" w:rsidRPr="00600064">
        <w:rPr>
          <w:szCs w:val="22"/>
        </w:rPr>
        <w:t>was n</w:t>
      </w:r>
      <w:r w:rsidR="003607A0" w:rsidRPr="00600064">
        <w:rPr>
          <w:szCs w:val="22"/>
        </w:rPr>
        <w:t>either</w:t>
      </w:r>
      <w:r w:rsidR="00B103B9" w:rsidRPr="00600064">
        <w:rPr>
          <w:szCs w:val="22"/>
        </w:rPr>
        <w:t xml:space="preserve"> validated </w:t>
      </w:r>
      <w:r w:rsidR="003607A0" w:rsidRPr="00600064">
        <w:rPr>
          <w:szCs w:val="22"/>
        </w:rPr>
        <w:t>n</w:t>
      </w:r>
      <w:r w:rsidR="00B103B9" w:rsidRPr="00600064">
        <w:rPr>
          <w:szCs w:val="22"/>
        </w:rPr>
        <w:t>or necessarily reflective of Australian clinical practice</w:t>
      </w:r>
      <w:r w:rsidR="006C6CAF" w:rsidRPr="00600064">
        <w:rPr>
          <w:szCs w:val="22"/>
        </w:rPr>
        <w:t>.</w:t>
      </w:r>
    </w:p>
    <w:p w:rsidR="00A65838" w:rsidRPr="00600064" w:rsidRDefault="00A65838" w:rsidP="00A65838">
      <w:pPr>
        <w:widowControl/>
        <w:ind w:left="709" w:hanging="709"/>
        <w:rPr>
          <w:szCs w:val="22"/>
        </w:rPr>
      </w:pPr>
    </w:p>
    <w:p w:rsidR="00A65838" w:rsidRPr="00600064" w:rsidRDefault="00A65838" w:rsidP="00030BF9">
      <w:pPr>
        <w:pStyle w:val="ListParagraph"/>
        <w:widowControl/>
        <w:numPr>
          <w:ilvl w:val="1"/>
          <w:numId w:val="4"/>
        </w:numPr>
        <w:rPr>
          <w:szCs w:val="22"/>
        </w:rPr>
      </w:pPr>
      <w:r w:rsidRPr="00600064">
        <w:rPr>
          <w:szCs w:val="22"/>
        </w:rPr>
        <w:t>Section 7.5 of the ratified minutes of the July 2016 PBAC meeting record</w:t>
      </w:r>
      <w:r w:rsidR="00F40ED3" w:rsidRPr="00600064">
        <w:rPr>
          <w:szCs w:val="22"/>
        </w:rPr>
        <w:t>s</w:t>
      </w:r>
      <w:r w:rsidRPr="00600064">
        <w:rPr>
          <w:szCs w:val="22"/>
        </w:rPr>
        <w:t xml:space="preserve"> that the Committee indicated that the </w:t>
      </w:r>
      <w:r w:rsidR="00F40ED3" w:rsidRPr="00600064">
        <w:rPr>
          <w:szCs w:val="22"/>
        </w:rPr>
        <w:t>post-</w:t>
      </w:r>
      <w:r w:rsidRPr="00600064">
        <w:rPr>
          <w:szCs w:val="22"/>
        </w:rPr>
        <w:t xml:space="preserve">hoc use of clinical PFS for economic modelling was not validated, nor was its interpretation necessarily representative of use in Australian practice. The PBAC recommended that the more standard PFS (allowing the RECIST criteria to be modified to avoid stopping the medicine in the context of early pseudo-progression as determined for nivolumab in melanoma) be used in any future PBS restriction and in the economic modelling. This was reaffirmed in the November 2016 meeting minutes where the PBAC determined that the use of the </w:t>
      </w:r>
      <w:r w:rsidR="00030BF9" w:rsidRPr="00600064">
        <w:rPr>
          <w:szCs w:val="22"/>
        </w:rPr>
        <w:t>RECIST</w:t>
      </w:r>
      <w:r w:rsidR="00030BF9" w:rsidRPr="00600064">
        <w:t>-</w:t>
      </w:r>
      <w:r w:rsidR="00030BF9" w:rsidRPr="00600064">
        <w:rPr>
          <w:szCs w:val="22"/>
        </w:rPr>
        <w:t xml:space="preserve">defined </w:t>
      </w:r>
      <w:r w:rsidRPr="00600064">
        <w:rPr>
          <w:szCs w:val="22"/>
        </w:rPr>
        <w:t>PFS criteria, rather than the “clinical PFS” criteria, should be used for all treatment arms reflecting time to progression in the key trial in generating the QALY estimates</w:t>
      </w:r>
      <w:r w:rsidR="00F36102" w:rsidRPr="00600064">
        <w:rPr>
          <w:szCs w:val="22"/>
        </w:rPr>
        <w:t xml:space="preserve"> </w:t>
      </w:r>
      <w:r w:rsidRPr="00600064">
        <w:rPr>
          <w:szCs w:val="22"/>
        </w:rPr>
        <w:t xml:space="preserve">and in generating the costs of nivolumab and </w:t>
      </w:r>
      <w:proofErr w:type="spellStart"/>
      <w:r w:rsidRPr="00600064">
        <w:rPr>
          <w:szCs w:val="22"/>
        </w:rPr>
        <w:t>everolimus</w:t>
      </w:r>
      <w:proofErr w:type="spellEnd"/>
      <w:r w:rsidRPr="00600064">
        <w:rPr>
          <w:szCs w:val="22"/>
        </w:rPr>
        <w:t>.</w:t>
      </w:r>
      <w:r w:rsidR="00122AB7" w:rsidRPr="00600064">
        <w:rPr>
          <w:szCs w:val="22"/>
        </w:rPr>
        <w:t xml:space="preserve"> Within study CA209025</w:t>
      </w:r>
      <w:r w:rsidR="00FB41AA" w:rsidRPr="00600064">
        <w:rPr>
          <w:szCs w:val="22"/>
        </w:rPr>
        <w:t>, patients with RECIST-</w:t>
      </w:r>
      <w:r w:rsidR="00122AB7" w:rsidRPr="00600064">
        <w:rPr>
          <w:szCs w:val="22"/>
        </w:rPr>
        <w:t xml:space="preserve">defined progression </w:t>
      </w:r>
      <w:r w:rsidR="00FB41AA" w:rsidRPr="00600064">
        <w:rPr>
          <w:szCs w:val="22"/>
        </w:rPr>
        <w:t xml:space="preserve">events </w:t>
      </w:r>
      <w:r w:rsidR="00122AB7" w:rsidRPr="00600064">
        <w:rPr>
          <w:szCs w:val="22"/>
        </w:rPr>
        <w:t xml:space="preserve">were permitted to continue therapy with either nivolumab or </w:t>
      </w:r>
      <w:proofErr w:type="spellStart"/>
      <w:r w:rsidR="00122AB7" w:rsidRPr="00600064">
        <w:rPr>
          <w:szCs w:val="22"/>
        </w:rPr>
        <w:t>evero</w:t>
      </w:r>
      <w:r w:rsidR="00FB41AA" w:rsidRPr="00600064">
        <w:rPr>
          <w:szCs w:val="22"/>
        </w:rPr>
        <w:t>limus</w:t>
      </w:r>
      <w:proofErr w:type="spellEnd"/>
      <w:r w:rsidR="00FB41AA" w:rsidRPr="00600064">
        <w:rPr>
          <w:szCs w:val="22"/>
        </w:rPr>
        <w:t xml:space="preserve"> if there was investigator-</w:t>
      </w:r>
      <w:r w:rsidR="00122AB7" w:rsidRPr="00600064">
        <w:rPr>
          <w:szCs w:val="22"/>
        </w:rPr>
        <w:t xml:space="preserve">defined clinical benefit. This resulted in 46% of nivolumab patients and 48% of </w:t>
      </w:r>
      <w:proofErr w:type="spellStart"/>
      <w:r w:rsidR="00122AB7" w:rsidRPr="00600064">
        <w:rPr>
          <w:szCs w:val="22"/>
        </w:rPr>
        <w:t>everolimus</w:t>
      </w:r>
      <w:proofErr w:type="spellEnd"/>
      <w:r w:rsidR="00122AB7" w:rsidRPr="00600064">
        <w:rPr>
          <w:szCs w:val="22"/>
        </w:rPr>
        <w:t xml:space="preserve"> patients continuing therapy </w:t>
      </w:r>
      <w:r w:rsidR="00FB41AA" w:rsidRPr="00600064">
        <w:rPr>
          <w:szCs w:val="22"/>
        </w:rPr>
        <w:t xml:space="preserve">beyond </w:t>
      </w:r>
      <w:r w:rsidR="00122AB7" w:rsidRPr="00600064">
        <w:rPr>
          <w:szCs w:val="22"/>
        </w:rPr>
        <w:t xml:space="preserve">RECIST-defined progression. The mean number of nivolumab infusions received was </w:t>
      </w:r>
      <w:r w:rsidR="003A224F">
        <w:rPr>
          <w:noProof/>
          <w:color w:val="000000"/>
          <w:szCs w:val="22"/>
          <w:highlight w:val="black"/>
        </w:rPr>
        <w:t>''''''''''''''</w:t>
      </w:r>
      <w:r w:rsidR="00122AB7" w:rsidRPr="00600064">
        <w:rPr>
          <w:szCs w:val="22"/>
        </w:rPr>
        <w:t xml:space="preserve"> (a mean dose was not reported for </w:t>
      </w:r>
      <w:proofErr w:type="spellStart"/>
      <w:r w:rsidR="00122AB7" w:rsidRPr="00600064">
        <w:rPr>
          <w:szCs w:val="22"/>
        </w:rPr>
        <w:t>everolimus</w:t>
      </w:r>
      <w:proofErr w:type="spellEnd"/>
      <w:r w:rsidR="00122AB7" w:rsidRPr="00600064">
        <w:rPr>
          <w:szCs w:val="22"/>
        </w:rPr>
        <w:t>)</w:t>
      </w:r>
      <w:r w:rsidR="00FB41AA" w:rsidRPr="00600064">
        <w:rPr>
          <w:szCs w:val="22"/>
        </w:rPr>
        <w:t>. T</w:t>
      </w:r>
      <w:r w:rsidR="00122AB7" w:rsidRPr="00600064">
        <w:rPr>
          <w:szCs w:val="22"/>
        </w:rPr>
        <w:t xml:space="preserve">he mean duration of </w:t>
      </w:r>
      <w:proofErr w:type="spellStart"/>
      <w:r w:rsidR="00122AB7" w:rsidRPr="00600064">
        <w:rPr>
          <w:szCs w:val="22"/>
        </w:rPr>
        <w:t>everolimus</w:t>
      </w:r>
      <w:proofErr w:type="spellEnd"/>
      <w:r w:rsidR="00122AB7" w:rsidRPr="00600064">
        <w:rPr>
          <w:szCs w:val="22"/>
        </w:rPr>
        <w:t xml:space="preserve"> treatment was </w:t>
      </w:r>
      <w:r w:rsidR="003A224F">
        <w:rPr>
          <w:noProof/>
          <w:color w:val="000000"/>
          <w:szCs w:val="22"/>
          <w:highlight w:val="black"/>
        </w:rPr>
        <w:t>''''''''''</w:t>
      </w:r>
      <w:r w:rsidR="00122AB7" w:rsidRPr="00600064">
        <w:rPr>
          <w:szCs w:val="22"/>
        </w:rPr>
        <w:t xml:space="preserve"> months. </w:t>
      </w:r>
      <w:r w:rsidR="00FB41AA" w:rsidRPr="00600064">
        <w:rPr>
          <w:szCs w:val="22"/>
        </w:rPr>
        <w:t xml:space="preserve">The </w:t>
      </w:r>
      <w:r w:rsidR="00AE46A7" w:rsidRPr="00600064">
        <w:rPr>
          <w:szCs w:val="22"/>
        </w:rPr>
        <w:t xml:space="preserve">mean </w:t>
      </w:r>
      <w:r w:rsidR="00FB41AA" w:rsidRPr="00600064">
        <w:rPr>
          <w:szCs w:val="22"/>
        </w:rPr>
        <w:t xml:space="preserve">duration of nivolumab treatment </w:t>
      </w:r>
      <w:r w:rsidR="00AE46A7" w:rsidRPr="00600064">
        <w:rPr>
          <w:szCs w:val="22"/>
        </w:rPr>
        <w:t>was not reported (median 5.54 months; see the KM data for time on treatment in Figure 1).</w:t>
      </w:r>
    </w:p>
    <w:p w:rsidR="00AE46A7" w:rsidRPr="003A224F" w:rsidRDefault="00AE46A7" w:rsidP="00AE46A7">
      <w:pPr>
        <w:keepNext/>
        <w:rPr>
          <w:i/>
          <w:szCs w:val="22"/>
        </w:rPr>
      </w:pPr>
      <w:r w:rsidRPr="00600064">
        <w:rPr>
          <w:rFonts w:ascii="Arial Narrow" w:hAnsi="Arial Narrow"/>
          <w:b/>
          <w:bCs/>
          <w:sz w:val="20"/>
        </w:rPr>
        <w:lastRenderedPageBreak/>
        <w:t>Figure 1: K</w:t>
      </w:r>
      <w:r w:rsidR="00A35918" w:rsidRPr="00600064">
        <w:rPr>
          <w:rFonts w:ascii="Arial Narrow" w:hAnsi="Arial Narrow"/>
          <w:b/>
          <w:bCs/>
          <w:sz w:val="20"/>
        </w:rPr>
        <w:t>aplan-</w:t>
      </w:r>
      <w:r w:rsidRPr="00600064">
        <w:rPr>
          <w:rFonts w:ascii="Arial Narrow" w:hAnsi="Arial Narrow"/>
          <w:b/>
          <w:bCs/>
          <w:sz w:val="20"/>
        </w:rPr>
        <w:t>M</w:t>
      </w:r>
      <w:r w:rsidR="00A35918" w:rsidRPr="00600064">
        <w:rPr>
          <w:rFonts w:ascii="Arial Narrow" w:hAnsi="Arial Narrow"/>
          <w:b/>
          <w:bCs/>
          <w:sz w:val="20"/>
        </w:rPr>
        <w:t>eier plot of t</w:t>
      </w:r>
      <w:r w:rsidRPr="00600064">
        <w:rPr>
          <w:rFonts w:ascii="Arial Narrow" w:hAnsi="Arial Narrow"/>
          <w:b/>
          <w:bCs/>
          <w:sz w:val="20"/>
        </w:rPr>
        <w:t xml:space="preserve">ime </w:t>
      </w:r>
      <w:r w:rsidR="00A35918" w:rsidRPr="00600064">
        <w:rPr>
          <w:rFonts w:ascii="Arial Narrow" w:hAnsi="Arial Narrow"/>
          <w:b/>
          <w:bCs/>
          <w:sz w:val="20"/>
        </w:rPr>
        <w:t>to t</w:t>
      </w:r>
      <w:r w:rsidRPr="00600064">
        <w:rPr>
          <w:rFonts w:ascii="Arial Narrow" w:hAnsi="Arial Narrow"/>
          <w:b/>
          <w:bCs/>
          <w:sz w:val="20"/>
        </w:rPr>
        <w:t xml:space="preserve">reatment </w:t>
      </w:r>
      <w:r w:rsidR="00A35918" w:rsidRPr="00600064">
        <w:rPr>
          <w:rFonts w:ascii="Arial Narrow" w:hAnsi="Arial Narrow"/>
          <w:b/>
          <w:bCs/>
          <w:sz w:val="20"/>
        </w:rPr>
        <w:t xml:space="preserve">cessation </w:t>
      </w:r>
      <w:r w:rsidRPr="00600064">
        <w:rPr>
          <w:rFonts w:ascii="Arial Narrow" w:hAnsi="Arial Narrow"/>
          <w:b/>
          <w:bCs/>
          <w:sz w:val="20"/>
        </w:rPr>
        <w:t>(</w:t>
      </w:r>
      <w:r w:rsidR="00D969A9" w:rsidRPr="00D969A9">
        <w:rPr>
          <w:rFonts w:ascii="Arial Narrow" w:hAnsi="Arial Narrow"/>
          <w:b/>
          <w:bCs/>
          <w:sz w:val="20"/>
        </w:rPr>
        <w:t>18 June 2015</w:t>
      </w:r>
      <w:r w:rsidRPr="00600064">
        <w:rPr>
          <w:rFonts w:ascii="Arial Narrow" w:hAnsi="Arial Narrow"/>
          <w:b/>
          <w:bCs/>
          <w:sz w:val="20"/>
        </w:rPr>
        <w:t xml:space="preserve"> cut-off)</w:t>
      </w:r>
    </w:p>
    <w:p w:rsidR="00AE46A7" w:rsidRPr="003A224F" w:rsidRDefault="003A224F" w:rsidP="00A65838">
      <w:pPr>
        <w:rPr>
          <w:szCs w:val="22"/>
        </w:rPr>
      </w:pPr>
      <w:r>
        <w:rPr>
          <w:noProof/>
          <w:snapToGrid/>
          <w:szCs w:val="22"/>
          <w:lang w:eastAsia="en-AU"/>
        </w:rPr>
        <w:drawing>
          <wp:inline distT="0" distB="0" distL="0" distR="0">
            <wp:extent cx="5191760" cy="4702175"/>
            <wp:effectExtent l="0" t="0" r="8890" b="3175"/>
            <wp:docPr id="8" name="Picture 8" title="Figure 1: Kaplan-Meier plot of time to treatment cessation (18 June 2015 cut-of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91760" cy="4702175"/>
                    </a:xfrm>
                    <a:prstGeom prst="rect">
                      <a:avLst/>
                    </a:prstGeom>
                  </pic:spPr>
                </pic:pic>
              </a:graphicData>
            </a:graphic>
          </wp:inline>
        </w:drawing>
      </w:r>
    </w:p>
    <w:p w:rsidR="00AE46A7" w:rsidRPr="003A224F" w:rsidRDefault="003A224F" w:rsidP="00A65838">
      <w:pPr>
        <w:rPr>
          <w:rFonts w:ascii="Arial Narrow" w:hAnsi="Arial Narrow"/>
          <w:sz w:val="16"/>
          <w:szCs w:val="16"/>
          <w:highlight w:val="black"/>
        </w:rPr>
      </w:pPr>
      <w:r>
        <w:rPr>
          <w:rFonts w:ascii="Arial Narrow" w:hAnsi="Arial Narrow"/>
          <w:noProof/>
          <w:color w:val="000000"/>
          <w:sz w:val="16"/>
          <w:szCs w:val="16"/>
          <w:highlight w:val="black"/>
        </w:rPr>
        <w:t>''''''''''''''''''  ''''''''''''''' ''''''''''' '''''''''''' '''''''''''' ''''''''''''</w:t>
      </w:r>
    </w:p>
    <w:p w:rsidR="00AE46A7" w:rsidRPr="00600064" w:rsidRDefault="00AE46A7" w:rsidP="00A65838">
      <w:pPr>
        <w:rPr>
          <w:szCs w:val="22"/>
        </w:rPr>
      </w:pPr>
    </w:p>
    <w:p w:rsidR="00A65838" w:rsidRPr="00600064" w:rsidRDefault="00A65838" w:rsidP="00A65838">
      <w:pPr>
        <w:pStyle w:val="Heading2"/>
        <w:rPr>
          <w:i/>
        </w:rPr>
      </w:pPr>
      <w:bookmarkStart w:id="9" w:name="_Toc472509755"/>
      <w:r w:rsidRPr="00600064">
        <w:rPr>
          <w:i/>
        </w:rPr>
        <w:t>Comparative effectiveness</w:t>
      </w:r>
      <w:bookmarkEnd w:id="9"/>
    </w:p>
    <w:p w:rsidR="004B1BB9" w:rsidRPr="00600064" w:rsidRDefault="004B1BB9" w:rsidP="004B1BB9"/>
    <w:p w:rsidR="00A65838" w:rsidRPr="00600064" w:rsidRDefault="00A65838" w:rsidP="005F42CF">
      <w:pPr>
        <w:pStyle w:val="ListParagraph"/>
        <w:widowControl/>
        <w:numPr>
          <w:ilvl w:val="1"/>
          <w:numId w:val="4"/>
        </w:numPr>
        <w:rPr>
          <w:szCs w:val="22"/>
        </w:rPr>
      </w:pPr>
      <w:r w:rsidRPr="00600064">
        <w:rPr>
          <w:szCs w:val="22"/>
        </w:rPr>
        <w:t xml:space="preserve">The key results from the clinical trial are summarised in </w:t>
      </w:r>
      <w:r w:rsidR="004B1BB9" w:rsidRPr="00600064">
        <w:rPr>
          <w:szCs w:val="22"/>
        </w:rPr>
        <w:t>T</w:t>
      </w:r>
      <w:r w:rsidRPr="00600064">
        <w:rPr>
          <w:szCs w:val="22"/>
        </w:rPr>
        <w:t xml:space="preserve">ables </w:t>
      </w:r>
      <w:r w:rsidR="00946AAD" w:rsidRPr="00600064">
        <w:rPr>
          <w:szCs w:val="22"/>
        </w:rPr>
        <w:t>5</w:t>
      </w:r>
      <w:r w:rsidRPr="00600064">
        <w:rPr>
          <w:szCs w:val="22"/>
        </w:rPr>
        <w:t xml:space="preserve"> to </w:t>
      </w:r>
      <w:r w:rsidR="00946AAD" w:rsidRPr="00600064">
        <w:rPr>
          <w:szCs w:val="22"/>
        </w:rPr>
        <w:t>7</w:t>
      </w:r>
      <w:r w:rsidRPr="00600064">
        <w:rPr>
          <w:szCs w:val="22"/>
        </w:rPr>
        <w:t xml:space="preserve"> and in </w:t>
      </w:r>
      <w:r w:rsidR="004B1BB9" w:rsidRPr="00600064">
        <w:rPr>
          <w:szCs w:val="22"/>
        </w:rPr>
        <w:t>F</w:t>
      </w:r>
      <w:r w:rsidRPr="00600064">
        <w:rPr>
          <w:szCs w:val="22"/>
        </w:rPr>
        <w:t xml:space="preserve">igures </w:t>
      </w:r>
      <w:r w:rsidR="00AE46A7" w:rsidRPr="00600064">
        <w:rPr>
          <w:szCs w:val="22"/>
        </w:rPr>
        <w:t xml:space="preserve">2 </w:t>
      </w:r>
      <w:r w:rsidRPr="00600064">
        <w:rPr>
          <w:szCs w:val="22"/>
        </w:rPr>
        <w:t xml:space="preserve">to </w:t>
      </w:r>
      <w:r w:rsidR="00AE46A7" w:rsidRPr="00600064">
        <w:rPr>
          <w:szCs w:val="22"/>
        </w:rPr>
        <w:t xml:space="preserve">4 </w:t>
      </w:r>
      <w:r w:rsidRPr="00600064">
        <w:rPr>
          <w:szCs w:val="22"/>
        </w:rPr>
        <w:t>below</w:t>
      </w:r>
      <w:r w:rsidR="0050250E" w:rsidRPr="00600064">
        <w:rPr>
          <w:szCs w:val="22"/>
        </w:rPr>
        <w:t xml:space="preserve">; </w:t>
      </w:r>
      <w:r w:rsidRPr="00600064">
        <w:rPr>
          <w:szCs w:val="22"/>
        </w:rPr>
        <w:t xml:space="preserve">the results presented in the </w:t>
      </w:r>
      <w:r w:rsidR="00EA0B8C" w:rsidRPr="00600064">
        <w:rPr>
          <w:szCs w:val="22"/>
        </w:rPr>
        <w:t xml:space="preserve">July </w:t>
      </w:r>
      <w:r w:rsidRPr="00600064">
        <w:rPr>
          <w:szCs w:val="22"/>
        </w:rPr>
        <w:t>2016 submission for the original data</w:t>
      </w:r>
      <w:r w:rsidR="0035363C" w:rsidRPr="00600064">
        <w:rPr>
          <w:szCs w:val="22"/>
        </w:rPr>
        <w:t>base</w:t>
      </w:r>
      <w:r w:rsidRPr="00600064">
        <w:rPr>
          <w:szCs w:val="22"/>
        </w:rPr>
        <w:t xml:space="preserve"> cut-off of 18 June 2015 are compared alongside the updated analysis from the 11 May 2016 cut-off in each of the tables.</w:t>
      </w:r>
    </w:p>
    <w:p w:rsidR="00A65838" w:rsidRPr="00600064" w:rsidRDefault="00A65838" w:rsidP="004B1BB9">
      <w:pPr>
        <w:widowControl/>
        <w:rPr>
          <w:szCs w:val="22"/>
        </w:rPr>
      </w:pPr>
    </w:p>
    <w:p w:rsidR="00A65838" w:rsidRPr="00600064" w:rsidRDefault="00A65838" w:rsidP="004855BA">
      <w:pPr>
        <w:pStyle w:val="ListParagraph"/>
        <w:widowControl/>
        <w:numPr>
          <w:ilvl w:val="1"/>
          <w:numId w:val="4"/>
        </w:numPr>
        <w:rPr>
          <w:szCs w:val="22"/>
        </w:rPr>
      </w:pPr>
      <w:r w:rsidRPr="00600064">
        <w:rPr>
          <w:szCs w:val="22"/>
        </w:rPr>
        <w:t xml:space="preserve">A summary of OS is provided in Table </w:t>
      </w:r>
      <w:r w:rsidR="006236C7" w:rsidRPr="00600064">
        <w:rPr>
          <w:szCs w:val="22"/>
        </w:rPr>
        <w:t>5</w:t>
      </w:r>
      <w:r w:rsidRPr="00600064">
        <w:rPr>
          <w:szCs w:val="22"/>
        </w:rPr>
        <w:t xml:space="preserve">, and the KM plot for </w:t>
      </w:r>
      <w:r w:rsidR="0035363C" w:rsidRPr="00600064">
        <w:rPr>
          <w:szCs w:val="22"/>
        </w:rPr>
        <w:t>OS</w:t>
      </w:r>
      <w:r w:rsidRPr="00600064">
        <w:rPr>
          <w:szCs w:val="22"/>
        </w:rPr>
        <w:t xml:space="preserve"> based on the May 2016 cut-off is at Figure </w:t>
      </w:r>
      <w:r w:rsidR="00AE46A7" w:rsidRPr="00600064">
        <w:rPr>
          <w:szCs w:val="22"/>
        </w:rPr>
        <w:t>2</w:t>
      </w:r>
      <w:r w:rsidRPr="00600064">
        <w:rPr>
          <w:szCs w:val="22"/>
        </w:rPr>
        <w:t xml:space="preserve">. At 26.1 months follow-up (second database cut-off), treatment for OS </w:t>
      </w:r>
      <w:r w:rsidR="003A224F">
        <w:rPr>
          <w:noProof/>
          <w:color w:val="000000"/>
          <w:szCs w:val="22"/>
          <w:highlight w:val="black"/>
        </w:rPr>
        <w:t>''''''''''''''''''''''' ''''' ''''''''''''' '''' '''''''''''''''' ''''''' ''''''''''''''''''''''''' '''''''''' ''''''''''''''''''''''''''' ''''''''' '''''''''''''''''''' ''''''''' '''''''''' '''''''''''''' '''''''' ''''''''''''' ''''''''''''''' ''''''''''''''''''' '''' ''''''''''''''''</w:t>
      </w:r>
      <w:r w:rsidRPr="00600064">
        <w:rPr>
          <w:szCs w:val="22"/>
        </w:rPr>
        <w:t xml:space="preserve">. The degree of benefit for OS may be overstated relative to what might occur with treatment via the PBS given that a significant </w:t>
      </w:r>
      <w:r w:rsidR="005441B6" w:rsidRPr="00600064">
        <w:rPr>
          <w:szCs w:val="22"/>
        </w:rPr>
        <w:t xml:space="preserve">proportion </w:t>
      </w:r>
      <w:r w:rsidRPr="00600064">
        <w:rPr>
          <w:szCs w:val="22"/>
        </w:rPr>
        <w:t xml:space="preserve">of patients </w:t>
      </w:r>
      <w:r w:rsidR="0035363C" w:rsidRPr="00600064">
        <w:rPr>
          <w:szCs w:val="22"/>
        </w:rPr>
        <w:t xml:space="preserve">in both treatment groups </w:t>
      </w:r>
      <w:r w:rsidRPr="00600064">
        <w:rPr>
          <w:szCs w:val="22"/>
        </w:rPr>
        <w:t xml:space="preserve">continued treatment beyond progression. At the May 2016 cut-off, </w:t>
      </w:r>
      <w:r w:rsidR="003A224F">
        <w:rPr>
          <w:noProof/>
          <w:color w:val="000000"/>
          <w:szCs w:val="22"/>
          <w:highlight w:val="black"/>
        </w:rPr>
        <w:t>'''''</w:t>
      </w:r>
      <w:r w:rsidRPr="00600064">
        <w:rPr>
          <w:szCs w:val="22"/>
        </w:rPr>
        <w:t xml:space="preserve">% of patients in the nivolumab arm and </w:t>
      </w:r>
      <w:r w:rsidR="003A224F">
        <w:rPr>
          <w:noProof/>
          <w:color w:val="000000"/>
          <w:szCs w:val="22"/>
          <w:highlight w:val="black"/>
        </w:rPr>
        <w:t>'''''''''''</w:t>
      </w:r>
      <w:r w:rsidRPr="00600064">
        <w:rPr>
          <w:szCs w:val="22"/>
        </w:rPr>
        <w:t xml:space="preserve">% of patients in the </w:t>
      </w:r>
      <w:proofErr w:type="spellStart"/>
      <w:r w:rsidRPr="00600064">
        <w:rPr>
          <w:szCs w:val="22"/>
        </w:rPr>
        <w:t>everolimus</w:t>
      </w:r>
      <w:proofErr w:type="spellEnd"/>
      <w:r w:rsidRPr="00600064">
        <w:rPr>
          <w:szCs w:val="22"/>
        </w:rPr>
        <w:t xml:space="preserve"> arm continued to be treated beyond progression.</w:t>
      </w:r>
      <w:r w:rsidR="004855BA" w:rsidRPr="00600064">
        <w:rPr>
          <w:szCs w:val="22"/>
        </w:rPr>
        <w:t xml:space="preserve"> An estimate of OS benefit in this subgroup (n</w:t>
      </w:r>
      <w:r w:rsidR="00A35918" w:rsidRPr="00600064">
        <w:rPr>
          <w:szCs w:val="22"/>
        </w:rPr>
        <w:t xml:space="preserve"> </w:t>
      </w:r>
      <w:r w:rsidR="004855BA" w:rsidRPr="00600064">
        <w:rPr>
          <w:szCs w:val="22"/>
        </w:rPr>
        <w:t xml:space="preserve">= 459) was not presented in the resubmission or resubmission-addendum. In the July 2016 submission, an exploratory subgroup analyses for patients that had been treated beyond RECIST-defined progression was presented and demonstrated </w:t>
      </w:r>
      <w:r w:rsidR="003A224F">
        <w:rPr>
          <w:noProof/>
          <w:color w:val="000000"/>
          <w:szCs w:val="22"/>
          <w:highlight w:val="black"/>
        </w:rPr>
        <w:t xml:space="preserve">''' '''''''''''''''''''''''' </w:t>
      </w:r>
      <w:r w:rsidR="003A224F">
        <w:rPr>
          <w:noProof/>
          <w:color w:val="000000"/>
          <w:szCs w:val="22"/>
          <w:highlight w:val="black"/>
        </w:rPr>
        <w:lastRenderedPageBreak/>
        <w:t>'''''''''''''' '''''''''''''''''' '''''''''''''''' ''''' '''''''' ''''''''''''''''' '''''''''''''''''' '''''''''''''''''''''' '''''''''''''''''' '''''''' ''' ''''''''''' '''''''''''''''' '''''''''''' ''''''''''' '''''''''''''''' '''''''''''''''' '''''''' ''' '''''''''''' '''''''''''''''''' '''''''''''' '''''''''' '''' ''''''' ''''''''''''''' ''''''''''</w:t>
      </w:r>
      <w:r w:rsidR="004855BA" w:rsidRPr="00600064">
        <w:rPr>
          <w:szCs w:val="22"/>
        </w:rPr>
        <w:t>.</w:t>
      </w:r>
    </w:p>
    <w:p w:rsidR="00A65838" w:rsidRPr="00600064" w:rsidRDefault="00A65838" w:rsidP="004B1BB9">
      <w:pPr>
        <w:widowControl/>
        <w:rPr>
          <w:szCs w:val="22"/>
        </w:rPr>
      </w:pPr>
    </w:p>
    <w:p w:rsidR="00A65838" w:rsidRPr="00600064" w:rsidRDefault="00A65838" w:rsidP="008B798A">
      <w:pPr>
        <w:rPr>
          <w:rFonts w:ascii="Arial Narrow" w:hAnsi="Arial Narrow"/>
          <w:b/>
          <w:sz w:val="20"/>
        </w:rPr>
      </w:pPr>
      <w:r w:rsidRPr="00600064">
        <w:rPr>
          <w:rFonts w:ascii="Arial Narrow" w:hAnsi="Arial Narrow"/>
          <w:b/>
          <w:bCs/>
          <w:sz w:val="20"/>
        </w:rPr>
        <w:t xml:space="preserve">Table </w:t>
      </w:r>
      <w:r w:rsidR="00946AAD" w:rsidRPr="00600064">
        <w:rPr>
          <w:rFonts w:ascii="Arial Narrow" w:hAnsi="Arial Narrow"/>
          <w:b/>
          <w:bCs/>
          <w:sz w:val="20"/>
        </w:rPr>
        <w:t>5</w:t>
      </w:r>
      <w:r w:rsidRPr="00600064">
        <w:rPr>
          <w:rFonts w:ascii="Arial Narrow" w:hAnsi="Arial Narrow"/>
          <w:b/>
          <w:bCs/>
          <w:sz w:val="20"/>
        </w:rPr>
        <w:t xml:space="preserve">: </w:t>
      </w:r>
      <w:r w:rsidRPr="00600064">
        <w:rPr>
          <w:rFonts w:ascii="Arial Narrow" w:hAnsi="Arial Narrow"/>
          <w:b/>
          <w:sz w:val="20"/>
        </w:rPr>
        <w:t>Study CA209025 summary of results for</w:t>
      </w:r>
      <w:r w:rsidR="00A35918" w:rsidRPr="00600064">
        <w:rPr>
          <w:rFonts w:ascii="Arial Narrow" w:hAnsi="Arial Narrow"/>
          <w:b/>
          <w:sz w:val="20"/>
        </w:rPr>
        <w:t xml:space="preserve"> overall survival</w:t>
      </w:r>
    </w:p>
    <w:tbl>
      <w:tblPr>
        <w:tblStyle w:val="TableGrid"/>
        <w:tblW w:w="9072" w:type="dxa"/>
        <w:tblInd w:w="108" w:type="dxa"/>
        <w:tblLook w:val="04A0" w:firstRow="1" w:lastRow="0" w:firstColumn="1" w:lastColumn="0" w:noHBand="0" w:noVBand="1"/>
        <w:tblCaption w:val="Table 5: Study CA209025 summary of results for overall survival"/>
      </w:tblPr>
      <w:tblGrid>
        <w:gridCol w:w="1276"/>
        <w:gridCol w:w="992"/>
        <w:gridCol w:w="1560"/>
        <w:gridCol w:w="1701"/>
        <w:gridCol w:w="1761"/>
        <w:gridCol w:w="1782"/>
      </w:tblGrid>
      <w:tr w:rsidR="00A65838" w:rsidRPr="00600064" w:rsidTr="00E25D57">
        <w:trPr>
          <w:tblHeader/>
        </w:trPr>
        <w:tc>
          <w:tcPr>
            <w:tcW w:w="2268" w:type="dxa"/>
            <w:gridSpan w:val="2"/>
            <w:shd w:val="clear" w:color="auto" w:fill="auto"/>
          </w:tcPr>
          <w:p w:rsidR="00A65838" w:rsidRPr="00600064" w:rsidRDefault="00A65838" w:rsidP="00A65838">
            <w:pPr>
              <w:rPr>
                <w:rFonts w:ascii="Arial Narrow" w:hAnsi="Arial Narrow"/>
                <w:b/>
                <w:sz w:val="20"/>
              </w:rPr>
            </w:pPr>
          </w:p>
        </w:tc>
        <w:tc>
          <w:tcPr>
            <w:tcW w:w="3261" w:type="dxa"/>
            <w:gridSpan w:val="2"/>
            <w:shd w:val="clear" w:color="auto" w:fill="auto"/>
          </w:tcPr>
          <w:p w:rsidR="00A65838" w:rsidRPr="00600064" w:rsidRDefault="00A65838" w:rsidP="007B1005">
            <w:pPr>
              <w:jc w:val="center"/>
              <w:rPr>
                <w:rFonts w:ascii="Arial Narrow" w:hAnsi="Arial Narrow"/>
                <w:b/>
                <w:sz w:val="20"/>
              </w:rPr>
            </w:pPr>
            <w:r w:rsidRPr="00600064">
              <w:rPr>
                <w:rFonts w:ascii="Arial Narrow" w:hAnsi="Arial Narrow"/>
                <w:b/>
                <w:sz w:val="20"/>
              </w:rPr>
              <w:t>18 June 2015 cut-off</w:t>
            </w:r>
          </w:p>
        </w:tc>
        <w:tc>
          <w:tcPr>
            <w:tcW w:w="3543" w:type="dxa"/>
            <w:gridSpan w:val="2"/>
            <w:shd w:val="clear" w:color="auto" w:fill="auto"/>
          </w:tcPr>
          <w:p w:rsidR="00A65838" w:rsidRPr="00600064" w:rsidRDefault="00A65838" w:rsidP="007B1005">
            <w:pPr>
              <w:jc w:val="center"/>
              <w:rPr>
                <w:rFonts w:ascii="Arial Narrow" w:hAnsi="Arial Narrow"/>
                <w:b/>
                <w:sz w:val="20"/>
              </w:rPr>
            </w:pPr>
            <w:r w:rsidRPr="00600064">
              <w:rPr>
                <w:rFonts w:ascii="Arial Narrow" w:hAnsi="Arial Narrow"/>
                <w:b/>
                <w:sz w:val="20"/>
              </w:rPr>
              <w:t>11 May 2016 cut-off</w:t>
            </w:r>
          </w:p>
        </w:tc>
      </w:tr>
      <w:tr w:rsidR="00A65838" w:rsidRPr="00600064" w:rsidTr="007B1005">
        <w:tc>
          <w:tcPr>
            <w:tcW w:w="2268" w:type="dxa"/>
            <w:gridSpan w:val="2"/>
            <w:shd w:val="clear" w:color="auto" w:fill="auto"/>
          </w:tcPr>
          <w:p w:rsidR="00A65838" w:rsidRPr="00600064" w:rsidRDefault="00A65838" w:rsidP="00A65838">
            <w:pPr>
              <w:rPr>
                <w:rFonts w:ascii="Arial Narrow" w:hAnsi="Arial Narrow"/>
                <w:b/>
                <w:sz w:val="20"/>
              </w:rPr>
            </w:pPr>
          </w:p>
        </w:tc>
        <w:tc>
          <w:tcPr>
            <w:tcW w:w="1560" w:type="dxa"/>
            <w:shd w:val="clear" w:color="auto" w:fill="auto"/>
          </w:tcPr>
          <w:p w:rsidR="00A65838" w:rsidRPr="00600064" w:rsidRDefault="00A65838" w:rsidP="007B1005">
            <w:pPr>
              <w:jc w:val="center"/>
              <w:rPr>
                <w:rFonts w:ascii="Arial Narrow" w:hAnsi="Arial Narrow"/>
                <w:b/>
                <w:sz w:val="20"/>
              </w:rPr>
            </w:pPr>
            <w:r w:rsidRPr="00600064">
              <w:rPr>
                <w:rFonts w:ascii="Arial Narrow" w:hAnsi="Arial Narrow"/>
                <w:b/>
                <w:sz w:val="20"/>
              </w:rPr>
              <w:t>Nivolumab</w:t>
            </w:r>
          </w:p>
          <w:p w:rsidR="00A65838" w:rsidRPr="00600064" w:rsidRDefault="00A65838" w:rsidP="007B1005">
            <w:pPr>
              <w:jc w:val="center"/>
              <w:rPr>
                <w:rFonts w:ascii="Arial Narrow" w:hAnsi="Arial Narrow"/>
                <w:b/>
                <w:sz w:val="20"/>
              </w:rPr>
            </w:pPr>
            <w:r w:rsidRPr="00600064">
              <w:rPr>
                <w:rFonts w:ascii="Arial Narrow" w:hAnsi="Arial Narrow"/>
                <w:b/>
                <w:sz w:val="20"/>
              </w:rPr>
              <w:t>N=410</w:t>
            </w:r>
          </w:p>
        </w:tc>
        <w:tc>
          <w:tcPr>
            <w:tcW w:w="1701" w:type="dxa"/>
            <w:shd w:val="clear" w:color="auto" w:fill="auto"/>
          </w:tcPr>
          <w:p w:rsidR="00A65838" w:rsidRPr="00600064" w:rsidRDefault="00A65838" w:rsidP="007B1005">
            <w:pPr>
              <w:jc w:val="center"/>
              <w:rPr>
                <w:rFonts w:ascii="Arial Narrow" w:hAnsi="Arial Narrow"/>
                <w:b/>
                <w:sz w:val="20"/>
              </w:rPr>
            </w:pPr>
            <w:proofErr w:type="spellStart"/>
            <w:r w:rsidRPr="00600064">
              <w:rPr>
                <w:rFonts w:ascii="Arial Narrow" w:hAnsi="Arial Narrow"/>
                <w:b/>
                <w:sz w:val="20"/>
              </w:rPr>
              <w:t>Everolimus</w:t>
            </w:r>
            <w:proofErr w:type="spellEnd"/>
          </w:p>
          <w:p w:rsidR="00A65838" w:rsidRPr="00600064" w:rsidRDefault="00A65838" w:rsidP="007B1005">
            <w:pPr>
              <w:jc w:val="center"/>
              <w:rPr>
                <w:rFonts w:ascii="Arial Narrow" w:hAnsi="Arial Narrow"/>
                <w:b/>
                <w:sz w:val="20"/>
              </w:rPr>
            </w:pPr>
            <w:r w:rsidRPr="00600064">
              <w:rPr>
                <w:rFonts w:ascii="Arial Narrow" w:hAnsi="Arial Narrow"/>
                <w:b/>
                <w:sz w:val="20"/>
              </w:rPr>
              <w:t>N=411</w:t>
            </w:r>
          </w:p>
        </w:tc>
        <w:tc>
          <w:tcPr>
            <w:tcW w:w="1761" w:type="dxa"/>
            <w:shd w:val="clear" w:color="auto" w:fill="auto"/>
          </w:tcPr>
          <w:p w:rsidR="00A65838" w:rsidRPr="00600064" w:rsidRDefault="00A65838" w:rsidP="007B1005">
            <w:pPr>
              <w:jc w:val="center"/>
              <w:rPr>
                <w:rFonts w:ascii="Arial Narrow" w:hAnsi="Arial Narrow"/>
                <w:b/>
                <w:sz w:val="20"/>
              </w:rPr>
            </w:pPr>
            <w:r w:rsidRPr="00600064">
              <w:rPr>
                <w:rFonts w:ascii="Arial Narrow" w:hAnsi="Arial Narrow"/>
                <w:b/>
                <w:sz w:val="20"/>
              </w:rPr>
              <w:t>Nivolumab</w:t>
            </w:r>
          </w:p>
          <w:p w:rsidR="00A65838" w:rsidRPr="00600064" w:rsidRDefault="00A65838" w:rsidP="007B1005">
            <w:pPr>
              <w:jc w:val="center"/>
              <w:rPr>
                <w:rFonts w:ascii="Arial Narrow" w:hAnsi="Arial Narrow"/>
                <w:b/>
                <w:sz w:val="20"/>
              </w:rPr>
            </w:pPr>
            <w:r w:rsidRPr="00600064">
              <w:rPr>
                <w:rFonts w:ascii="Arial Narrow" w:hAnsi="Arial Narrow"/>
                <w:b/>
                <w:sz w:val="20"/>
              </w:rPr>
              <w:t>N=410</w:t>
            </w:r>
          </w:p>
        </w:tc>
        <w:tc>
          <w:tcPr>
            <w:tcW w:w="1782" w:type="dxa"/>
            <w:shd w:val="clear" w:color="auto" w:fill="auto"/>
          </w:tcPr>
          <w:p w:rsidR="00A65838" w:rsidRPr="00600064" w:rsidRDefault="00A65838" w:rsidP="007B1005">
            <w:pPr>
              <w:jc w:val="center"/>
              <w:rPr>
                <w:rFonts w:ascii="Arial Narrow" w:hAnsi="Arial Narrow"/>
                <w:b/>
                <w:sz w:val="20"/>
              </w:rPr>
            </w:pPr>
            <w:proofErr w:type="spellStart"/>
            <w:r w:rsidRPr="00600064">
              <w:rPr>
                <w:rFonts w:ascii="Arial Narrow" w:hAnsi="Arial Narrow"/>
                <w:b/>
                <w:sz w:val="20"/>
              </w:rPr>
              <w:t>Everolimus</w:t>
            </w:r>
            <w:proofErr w:type="spellEnd"/>
          </w:p>
          <w:p w:rsidR="00A65838" w:rsidRPr="00600064" w:rsidRDefault="00A65838" w:rsidP="007B1005">
            <w:pPr>
              <w:jc w:val="center"/>
              <w:rPr>
                <w:rFonts w:ascii="Arial Narrow" w:hAnsi="Arial Narrow"/>
                <w:b/>
                <w:sz w:val="20"/>
              </w:rPr>
            </w:pPr>
            <w:r w:rsidRPr="00600064">
              <w:rPr>
                <w:rFonts w:ascii="Arial Narrow" w:hAnsi="Arial Narrow"/>
                <w:b/>
                <w:sz w:val="20"/>
              </w:rPr>
              <w:t>N=411</w:t>
            </w:r>
          </w:p>
        </w:tc>
      </w:tr>
      <w:tr w:rsidR="00A65838" w:rsidRPr="00600064" w:rsidTr="007B1005">
        <w:tc>
          <w:tcPr>
            <w:tcW w:w="2268" w:type="dxa"/>
            <w:gridSpan w:val="2"/>
          </w:tcPr>
          <w:p w:rsidR="00A65838" w:rsidRPr="00600064" w:rsidRDefault="00A65838" w:rsidP="00A65838">
            <w:pPr>
              <w:rPr>
                <w:rFonts w:ascii="Arial Narrow" w:hAnsi="Arial Narrow"/>
                <w:sz w:val="20"/>
              </w:rPr>
            </w:pPr>
            <w:r w:rsidRPr="00600064">
              <w:rPr>
                <w:rFonts w:ascii="Arial Narrow" w:hAnsi="Arial Narrow"/>
                <w:sz w:val="20"/>
              </w:rPr>
              <w:t>Events (deaths), n (%)</w:t>
            </w:r>
          </w:p>
        </w:tc>
        <w:tc>
          <w:tcPr>
            <w:tcW w:w="1560" w:type="dxa"/>
          </w:tcPr>
          <w:p w:rsidR="00A65838" w:rsidRPr="00600064" w:rsidRDefault="00A65838" w:rsidP="00A65838">
            <w:pPr>
              <w:rPr>
                <w:rFonts w:ascii="Arial Narrow" w:hAnsi="Arial Narrow"/>
                <w:sz w:val="20"/>
              </w:rPr>
            </w:pPr>
            <w:r w:rsidRPr="00600064">
              <w:rPr>
                <w:rFonts w:ascii="Arial Narrow" w:hAnsi="Arial Narrow"/>
                <w:sz w:val="20"/>
              </w:rPr>
              <w:t>183 (44.6)</w:t>
            </w:r>
          </w:p>
        </w:tc>
        <w:tc>
          <w:tcPr>
            <w:tcW w:w="1701" w:type="dxa"/>
          </w:tcPr>
          <w:p w:rsidR="00A65838" w:rsidRPr="00600064" w:rsidRDefault="00A65838" w:rsidP="00A65838">
            <w:pPr>
              <w:rPr>
                <w:rFonts w:ascii="Arial Narrow" w:hAnsi="Arial Narrow"/>
                <w:sz w:val="20"/>
              </w:rPr>
            </w:pPr>
            <w:r w:rsidRPr="00600064">
              <w:rPr>
                <w:rFonts w:ascii="Arial Narrow" w:hAnsi="Arial Narrow"/>
                <w:sz w:val="20"/>
              </w:rPr>
              <w:t>215 (52.3)</w:t>
            </w:r>
          </w:p>
        </w:tc>
        <w:tc>
          <w:tcPr>
            <w:tcW w:w="1761"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w:t>
            </w:r>
          </w:p>
        </w:tc>
        <w:tc>
          <w:tcPr>
            <w:tcW w:w="1782"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w:t>
            </w:r>
          </w:p>
        </w:tc>
      </w:tr>
      <w:tr w:rsidR="00A65838" w:rsidRPr="00600064" w:rsidTr="007B1005">
        <w:tc>
          <w:tcPr>
            <w:tcW w:w="2268" w:type="dxa"/>
            <w:gridSpan w:val="2"/>
          </w:tcPr>
          <w:p w:rsidR="00A65838" w:rsidRPr="00600064" w:rsidRDefault="00A65838" w:rsidP="008B798A">
            <w:pPr>
              <w:rPr>
                <w:rFonts w:ascii="Arial Narrow" w:hAnsi="Arial Narrow"/>
                <w:sz w:val="20"/>
              </w:rPr>
            </w:pPr>
            <w:r w:rsidRPr="00600064">
              <w:rPr>
                <w:rFonts w:ascii="Arial Narrow" w:hAnsi="Arial Narrow"/>
                <w:sz w:val="20"/>
              </w:rPr>
              <w:t>Median months (95% CI)</w:t>
            </w:r>
          </w:p>
        </w:tc>
        <w:tc>
          <w:tcPr>
            <w:tcW w:w="1560" w:type="dxa"/>
          </w:tcPr>
          <w:p w:rsidR="00A65838" w:rsidRPr="00600064" w:rsidRDefault="00A65838" w:rsidP="008B798A">
            <w:pPr>
              <w:rPr>
                <w:rFonts w:ascii="Arial Narrow" w:hAnsi="Arial Narrow"/>
                <w:sz w:val="20"/>
              </w:rPr>
            </w:pPr>
            <w:r w:rsidRPr="00600064">
              <w:rPr>
                <w:rFonts w:ascii="Arial Narrow" w:hAnsi="Arial Narrow"/>
                <w:sz w:val="20"/>
              </w:rPr>
              <w:t>25.00 (21.75, NR)</w:t>
            </w:r>
          </w:p>
        </w:tc>
        <w:tc>
          <w:tcPr>
            <w:tcW w:w="1701" w:type="dxa"/>
          </w:tcPr>
          <w:p w:rsidR="00A65838" w:rsidRPr="00600064" w:rsidRDefault="00A65838" w:rsidP="008B798A">
            <w:pPr>
              <w:rPr>
                <w:rFonts w:ascii="Arial Narrow" w:hAnsi="Arial Narrow"/>
                <w:sz w:val="20"/>
              </w:rPr>
            </w:pPr>
            <w:r w:rsidRPr="00600064">
              <w:rPr>
                <w:rFonts w:ascii="Arial Narrow" w:hAnsi="Arial Narrow"/>
                <w:sz w:val="20"/>
              </w:rPr>
              <w:t>19.55 (17.64, 23.06)</w:t>
            </w:r>
          </w:p>
        </w:tc>
        <w:tc>
          <w:tcPr>
            <w:tcW w:w="1761" w:type="dxa"/>
          </w:tcPr>
          <w:p w:rsidR="00A65838" w:rsidRPr="003A224F" w:rsidRDefault="003A224F" w:rsidP="008B798A">
            <w:pPr>
              <w:rPr>
                <w:rFonts w:ascii="Arial Narrow" w:hAnsi="Arial Narrow"/>
                <w:sz w:val="20"/>
                <w:highlight w:val="black"/>
              </w:rPr>
            </w:pPr>
            <w:r>
              <w:rPr>
                <w:rFonts w:ascii="Arial Narrow" w:hAnsi="Arial Narrow"/>
                <w:noProof/>
                <w:color w:val="000000"/>
                <w:sz w:val="20"/>
                <w:highlight w:val="black"/>
              </w:rPr>
              <w:t>''''''''''''''' '''''''''''''''' ''''''''''''''''</w:t>
            </w:r>
          </w:p>
        </w:tc>
        <w:tc>
          <w:tcPr>
            <w:tcW w:w="1782" w:type="dxa"/>
          </w:tcPr>
          <w:p w:rsidR="00A65838" w:rsidRPr="003A224F" w:rsidRDefault="003A224F" w:rsidP="007B1005">
            <w:pP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B1005">
        <w:tc>
          <w:tcPr>
            <w:tcW w:w="1276" w:type="dxa"/>
            <w:vMerge w:val="restart"/>
          </w:tcPr>
          <w:p w:rsidR="00A65838" w:rsidRPr="00600064" w:rsidRDefault="00A65838" w:rsidP="00A65838">
            <w:pPr>
              <w:rPr>
                <w:rFonts w:ascii="Arial Narrow" w:hAnsi="Arial Narrow"/>
                <w:sz w:val="20"/>
              </w:rPr>
            </w:pPr>
            <w:r w:rsidRPr="00600064">
              <w:rPr>
                <w:rFonts w:ascii="Arial Narrow" w:hAnsi="Arial Narrow"/>
                <w:sz w:val="20"/>
              </w:rPr>
              <w:t>Survival rate, % (95% CI)</w:t>
            </w:r>
          </w:p>
        </w:tc>
        <w:tc>
          <w:tcPr>
            <w:tcW w:w="992" w:type="dxa"/>
          </w:tcPr>
          <w:p w:rsidR="00A65838" w:rsidRPr="00600064" w:rsidRDefault="00A65838" w:rsidP="00A65838">
            <w:pPr>
              <w:rPr>
                <w:rFonts w:ascii="Arial Narrow" w:hAnsi="Arial Narrow"/>
                <w:sz w:val="20"/>
              </w:rPr>
            </w:pPr>
            <w:r w:rsidRPr="00600064">
              <w:rPr>
                <w:rFonts w:ascii="Arial Narrow" w:hAnsi="Arial Narrow"/>
                <w:sz w:val="20"/>
              </w:rPr>
              <w:t>6 month</w:t>
            </w:r>
          </w:p>
        </w:tc>
        <w:tc>
          <w:tcPr>
            <w:tcW w:w="1560" w:type="dxa"/>
          </w:tcPr>
          <w:p w:rsidR="00A65838" w:rsidRPr="00600064" w:rsidRDefault="00A65838" w:rsidP="00A65838">
            <w:pPr>
              <w:rPr>
                <w:rFonts w:ascii="Arial Narrow" w:hAnsi="Arial Narrow"/>
                <w:sz w:val="20"/>
              </w:rPr>
            </w:pPr>
            <w:r w:rsidRPr="00600064">
              <w:rPr>
                <w:rFonts w:ascii="Arial Narrow" w:hAnsi="Arial Narrow"/>
                <w:sz w:val="20"/>
              </w:rPr>
              <w:t>89.2 (85.7, 91.8)</w:t>
            </w:r>
          </w:p>
        </w:tc>
        <w:tc>
          <w:tcPr>
            <w:tcW w:w="1701" w:type="dxa"/>
          </w:tcPr>
          <w:p w:rsidR="00A65838" w:rsidRPr="00600064" w:rsidRDefault="00A65838" w:rsidP="00A65838">
            <w:pPr>
              <w:rPr>
                <w:rFonts w:ascii="Arial Narrow" w:hAnsi="Arial Narrow"/>
                <w:sz w:val="20"/>
              </w:rPr>
            </w:pPr>
            <w:r w:rsidRPr="00600064">
              <w:rPr>
                <w:rFonts w:ascii="Arial Narrow" w:hAnsi="Arial Narrow"/>
                <w:sz w:val="20"/>
              </w:rPr>
              <w:t>81.2 (77.0, 84.7)</w:t>
            </w:r>
          </w:p>
        </w:tc>
        <w:tc>
          <w:tcPr>
            <w:tcW w:w="1761"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c>
          <w:tcPr>
            <w:tcW w:w="1782"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B1005">
        <w:tc>
          <w:tcPr>
            <w:tcW w:w="1276" w:type="dxa"/>
            <w:vMerge/>
          </w:tcPr>
          <w:p w:rsidR="00A65838" w:rsidRPr="00600064" w:rsidRDefault="00A65838" w:rsidP="00A65838">
            <w:pPr>
              <w:rPr>
                <w:rFonts w:ascii="Arial Narrow" w:hAnsi="Arial Narrow"/>
                <w:sz w:val="20"/>
              </w:rPr>
            </w:pPr>
          </w:p>
        </w:tc>
        <w:tc>
          <w:tcPr>
            <w:tcW w:w="992" w:type="dxa"/>
          </w:tcPr>
          <w:p w:rsidR="00A65838" w:rsidRPr="00600064" w:rsidRDefault="00A65838" w:rsidP="00A65838">
            <w:pPr>
              <w:rPr>
                <w:rFonts w:ascii="Arial Narrow" w:hAnsi="Arial Narrow"/>
                <w:sz w:val="20"/>
              </w:rPr>
            </w:pPr>
            <w:r w:rsidRPr="00600064">
              <w:rPr>
                <w:rFonts w:ascii="Arial Narrow" w:hAnsi="Arial Narrow"/>
                <w:sz w:val="20"/>
              </w:rPr>
              <w:t>12 month</w:t>
            </w:r>
          </w:p>
        </w:tc>
        <w:tc>
          <w:tcPr>
            <w:tcW w:w="1560" w:type="dxa"/>
          </w:tcPr>
          <w:p w:rsidR="00A65838" w:rsidRPr="00600064" w:rsidRDefault="00A65838" w:rsidP="00A65838">
            <w:pPr>
              <w:rPr>
                <w:rFonts w:ascii="Arial Narrow" w:hAnsi="Arial Narrow"/>
                <w:sz w:val="20"/>
              </w:rPr>
            </w:pPr>
            <w:r w:rsidRPr="00600064">
              <w:rPr>
                <w:rFonts w:ascii="Arial Narrow" w:hAnsi="Arial Narrow"/>
                <w:sz w:val="20"/>
              </w:rPr>
              <w:t>76.0 (71.5, 79.9)</w:t>
            </w:r>
          </w:p>
        </w:tc>
        <w:tc>
          <w:tcPr>
            <w:tcW w:w="1701" w:type="dxa"/>
          </w:tcPr>
          <w:p w:rsidR="00A65838" w:rsidRPr="00600064" w:rsidRDefault="00A65838" w:rsidP="00A65838">
            <w:pPr>
              <w:rPr>
                <w:rFonts w:ascii="Arial Narrow" w:hAnsi="Arial Narrow"/>
                <w:sz w:val="20"/>
              </w:rPr>
            </w:pPr>
            <w:r w:rsidRPr="00600064">
              <w:rPr>
                <w:rFonts w:ascii="Arial Narrow" w:hAnsi="Arial Narrow"/>
                <w:sz w:val="20"/>
              </w:rPr>
              <w:t>66.7 (61.8, 71.0)</w:t>
            </w:r>
          </w:p>
        </w:tc>
        <w:tc>
          <w:tcPr>
            <w:tcW w:w="1761"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c>
          <w:tcPr>
            <w:tcW w:w="1782"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B1005">
        <w:tc>
          <w:tcPr>
            <w:tcW w:w="1276" w:type="dxa"/>
            <w:vMerge/>
          </w:tcPr>
          <w:p w:rsidR="00A65838" w:rsidRPr="00600064" w:rsidRDefault="00A65838" w:rsidP="00A65838">
            <w:pPr>
              <w:rPr>
                <w:rFonts w:ascii="Arial Narrow" w:hAnsi="Arial Narrow"/>
                <w:sz w:val="20"/>
              </w:rPr>
            </w:pPr>
          </w:p>
        </w:tc>
        <w:tc>
          <w:tcPr>
            <w:tcW w:w="992" w:type="dxa"/>
          </w:tcPr>
          <w:p w:rsidR="00A65838" w:rsidRPr="00600064" w:rsidRDefault="00A65838" w:rsidP="00A65838">
            <w:pPr>
              <w:rPr>
                <w:rFonts w:ascii="Arial Narrow" w:hAnsi="Arial Narrow"/>
                <w:sz w:val="20"/>
              </w:rPr>
            </w:pPr>
            <w:r w:rsidRPr="00600064">
              <w:rPr>
                <w:rFonts w:ascii="Arial Narrow" w:hAnsi="Arial Narrow"/>
                <w:sz w:val="20"/>
              </w:rPr>
              <w:t>18 month</w:t>
            </w:r>
          </w:p>
        </w:tc>
        <w:tc>
          <w:tcPr>
            <w:tcW w:w="1560" w:type="dxa"/>
          </w:tcPr>
          <w:p w:rsidR="00A65838" w:rsidRPr="00600064" w:rsidRDefault="00A65838" w:rsidP="00A65838">
            <w:pPr>
              <w:rPr>
                <w:rFonts w:ascii="Arial Narrow" w:hAnsi="Arial Narrow"/>
                <w:sz w:val="20"/>
              </w:rPr>
            </w:pPr>
            <w:r w:rsidRPr="00600064">
              <w:rPr>
                <w:rFonts w:ascii="Arial Narrow" w:hAnsi="Arial Narrow"/>
                <w:sz w:val="20"/>
              </w:rPr>
              <w:t>NR</w:t>
            </w:r>
          </w:p>
        </w:tc>
        <w:tc>
          <w:tcPr>
            <w:tcW w:w="1701" w:type="dxa"/>
          </w:tcPr>
          <w:p w:rsidR="00A65838" w:rsidRPr="00600064" w:rsidRDefault="00A65838" w:rsidP="00A65838">
            <w:pPr>
              <w:rPr>
                <w:rFonts w:ascii="Arial Narrow" w:hAnsi="Arial Narrow"/>
                <w:sz w:val="20"/>
              </w:rPr>
            </w:pPr>
            <w:r w:rsidRPr="00600064">
              <w:rPr>
                <w:rFonts w:ascii="Arial Narrow" w:hAnsi="Arial Narrow"/>
                <w:sz w:val="20"/>
              </w:rPr>
              <w:t>NR</w:t>
            </w:r>
          </w:p>
        </w:tc>
        <w:tc>
          <w:tcPr>
            <w:tcW w:w="1761"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c>
          <w:tcPr>
            <w:tcW w:w="1782"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B1005">
        <w:tc>
          <w:tcPr>
            <w:tcW w:w="1276" w:type="dxa"/>
            <w:vMerge/>
          </w:tcPr>
          <w:p w:rsidR="00A65838" w:rsidRPr="00600064" w:rsidRDefault="00A65838" w:rsidP="00A65838">
            <w:pPr>
              <w:rPr>
                <w:rFonts w:ascii="Arial Narrow" w:hAnsi="Arial Narrow"/>
                <w:sz w:val="20"/>
              </w:rPr>
            </w:pPr>
          </w:p>
        </w:tc>
        <w:tc>
          <w:tcPr>
            <w:tcW w:w="992" w:type="dxa"/>
          </w:tcPr>
          <w:p w:rsidR="00A65838" w:rsidRPr="00600064" w:rsidRDefault="00A65838" w:rsidP="00A65838">
            <w:pPr>
              <w:rPr>
                <w:rFonts w:ascii="Arial Narrow" w:hAnsi="Arial Narrow"/>
                <w:sz w:val="20"/>
              </w:rPr>
            </w:pPr>
            <w:r w:rsidRPr="00600064">
              <w:rPr>
                <w:rFonts w:ascii="Arial Narrow" w:hAnsi="Arial Narrow"/>
                <w:sz w:val="20"/>
              </w:rPr>
              <w:t>24 month</w:t>
            </w:r>
          </w:p>
        </w:tc>
        <w:tc>
          <w:tcPr>
            <w:tcW w:w="1560" w:type="dxa"/>
          </w:tcPr>
          <w:p w:rsidR="00A65838" w:rsidRPr="00600064" w:rsidRDefault="00A65838" w:rsidP="00A65838">
            <w:pPr>
              <w:rPr>
                <w:rFonts w:ascii="Arial Narrow" w:hAnsi="Arial Narrow"/>
                <w:sz w:val="20"/>
              </w:rPr>
            </w:pPr>
            <w:r w:rsidRPr="00600064">
              <w:rPr>
                <w:rFonts w:ascii="Arial Narrow" w:hAnsi="Arial Narrow"/>
                <w:sz w:val="20"/>
              </w:rPr>
              <w:t>NR</w:t>
            </w:r>
          </w:p>
        </w:tc>
        <w:tc>
          <w:tcPr>
            <w:tcW w:w="1701" w:type="dxa"/>
          </w:tcPr>
          <w:p w:rsidR="00A65838" w:rsidRPr="00600064" w:rsidRDefault="00A65838" w:rsidP="00A65838">
            <w:pPr>
              <w:rPr>
                <w:rFonts w:ascii="Arial Narrow" w:hAnsi="Arial Narrow"/>
                <w:sz w:val="20"/>
              </w:rPr>
            </w:pPr>
            <w:r w:rsidRPr="00600064">
              <w:rPr>
                <w:rFonts w:ascii="Arial Narrow" w:hAnsi="Arial Narrow"/>
                <w:sz w:val="20"/>
              </w:rPr>
              <w:t>NR</w:t>
            </w:r>
          </w:p>
        </w:tc>
        <w:tc>
          <w:tcPr>
            <w:tcW w:w="1761"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c>
          <w:tcPr>
            <w:tcW w:w="1782" w:type="dxa"/>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B1005">
        <w:tc>
          <w:tcPr>
            <w:tcW w:w="2268" w:type="dxa"/>
            <w:gridSpan w:val="2"/>
          </w:tcPr>
          <w:p w:rsidR="00A65838" w:rsidRPr="00600064" w:rsidRDefault="00A65838" w:rsidP="00A65838">
            <w:pPr>
              <w:rPr>
                <w:rFonts w:ascii="Arial Narrow" w:hAnsi="Arial Narrow"/>
                <w:sz w:val="20"/>
              </w:rPr>
            </w:pPr>
            <w:r w:rsidRPr="00600064">
              <w:rPr>
                <w:rFonts w:ascii="Arial Narrow" w:hAnsi="Arial Narrow"/>
                <w:sz w:val="20"/>
              </w:rPr>
              <w:t>HR (^CI)</w:t>
            </w:r>
          </w:p>
        </w:tc>
        <w:tc>
          <w:tcPr>
            <w:tcW w:w="3261" w:type="dxa"/>
            <w:gridSpan w:val="2"/>
          </w:tcPr>
          <w:p w:rsidR="00A65838" w:rsidRPr="00600064" w:rsidRDefault="00A65838" w:rsidP="00A65838">
            <w:pPr>
              <w:rPr>
                <w:rFonts w:ascii="Arial Narrow" w:hAnsi="Arial Narrow"/>
                <w:sz w:val="20"/>
              </w:rPr>
            </w:pPr>
            <w:r w:rsidRPr="00600064">
              <w:rPr>
                <w:rFonts w:ascii="Arial Narrow" w:hAnsi="Arial Narrow"/>
                <w:sz w:val="20"/>
              </w:rPr>
              <w:t>0.73 (0.57, 0.93), p-value = 0.0018</w:t>
            </w:r>
          </w:p>
        </w:tc>
        <w:tc>
          <w:tcPr>
            <w:tcW w:w="3543" w:type="dxa"/>
            <w:gridSpan w:val="2"/>
          </w:tcPr>
          <w:p w:rsidR="00A65838" w:rsidRPr="003A224F" w:rsidRDefault="003A224F" w:rsidP="00A65838">
            <w:pPr>
              <w:rPr>
                <w:rFonts w:ascii="Arial Narrow" w:hAnsi="Arial Narrow"/>
                <w:sz w:val="20"/>
                <w:highlight w:val="black"/>
              </w:rPr>
            </w:pPr>
            <w:r>
              <w:rPr>
                <w:rFonts w:ascii="Arial Narrow" w:hAnsi="Arial Narrow"/>
                <w:noProof/>
                <w:color w:val="000000"/>
                <w:sz w:val="20"/>
                <w:highlight w:val="black"/>
              </w:rPr>
              <w:t>'''''''''''' ''''''''''''''' ''''''''''''''' ''''''''''''''''' '''' '''''''''''''''''</w:t>
            </w:r>
          </w:p>
        </w:tc>
      </w:tr>
    </w:tbl>
    <w:p w:rsidR="00A65838" w:rsidRPr="00600064" w:rsidRDefault="00A65838" w:rsidP="008B798A">
      <w:pPr>
        <w:rPr>
          <w:rFonts w:ascii="Arial Narrow" w:hAnsi="Arial Narrow"/>
          <w:sz w:val="16"/>
          <w:szCs w:val="16"/>
        </w:rPr>
      </w:pPr>
      <w:r w:rsidRPr="00600064">
        <w:rPr>
          <w:rFonts w:ascii="Arial Narrow" w:hAnsi="Arial Narrow"/>
          <w:sz w:val="16"/>
          <w:szCs w:val="16"/>
        </w:rPr>
        <w:t>Source: Table 9, p 34 of resubmission.</w:t>
      </w:r>
    </w:p>
    <w:p w:rsidR="00A65838" w:rsidRPr="00600064" w:rsidRDefault="00A65838" w:rsidP="008B798A">
      <w:pPr>
        <w:rPr>
          <w:rFonts w:ascii="Arial Narrow" w:hAnsi="Arial Narrow"/>
          <w:sz w:val="16"/>
          <w:szCs w:val="16"/>
        </w:rPr>
      </w:pPr>
      <w:r w:rsidRPr="00600064">
        <w:rPr>
          <w:rFonts w:ascii="Arial Narrow" w:hAnsi="Arial Narrow"/>
          <w:sz w:val="16"/>
          <w:szCs w:val="16"/>
        </w:rPr>
        <w:t xml:space="preserve">^HR calculated with 98.52% CI for 18 June 2015 cut-off and </w:t>
      </w:r>
      <w:r w:rsidR="003A224F">
        <w:rPr>
          <w:rFonts w:ascii="Arial Narrow" w:hAnsi="Arial Narrow"/>
          <w:noProof/>
          <w:color w:val="000000"/>
          <w:sz w:val="16"/>
          <w:szCs w:val="16"/>
          <w:highlight w:val="black"/>
        </w:rPr>
        <w:t>'''''''''''''</w:t>
      </w:r>
      <w:r w:rsidRPr="00600064">
        <w:rPr>
          <w:rFonts w:ascii="Arial Narrow" w:hAnsi="Arial Narrow"/>
          <w:sz w:val="16"/>
          <w:szCs w:val="16"/>
        </w:rPr>
        <w:t>% CI for 11 May 2016 cut-off.</w:t>
      </w:r>
    </w:p>
    <w:p w:rsidR="00A65838" w:rsidRPr="00600064" w:rsidRDefault="00A65838" w:rsidP="008B798A">
      <w:pPr>
        <w:rPr>
          <w:rFonts w:ascii="Arial Narrow" w:hAnsi="Arial Narrow"/>
          <w:sz w:val="16"/>
          <w:szCs w:val="16"/>
        </w:rPr>
      </w:pPr>
      <w:r w:rsidRPr="00600064">
        <w:rPr>
          <w:rFonts w:ascii="Arial Narrow" w:hAnsi="Arial Narrow"/>
          <w:sz w:val="16"/>
          <w:szCs w:val="16"/>
        </w:rPr>
        <w:t>Abbreviations: CI</w:t>
      </w:r>
      <w:proofErr w:type="gramStart"/>
      <w:r w:rsidR="00946AAD" w:rsidRPr="00600064">
        <w:rPr>
          <w:rFonts w:ascii="Arial Narrow" w:hAnsi="Arial Narrow"/>
          <w:sz w:val="16"/>
          <w:szCs w:val="16"/>
        </w:rPr>
        <w:t xml:space="preserve">, </w:t>
      </w:r>
      <w:r w:rsidRPr="00600064">
        <w:rPr>
          <w:rFonts w:ascii="Arial Narrow" w:hAnsi="Arial Narrow"/>
          <w:sz w:val="16"/>
          <w:szCs w:val="16"/>
        </w:rPr>
        <w:t xml:space="preserve"> Confidence</w:t>
      </w:r>
      <w:proofErr w:type="gramEnd"/>
      <w:r w:rsidRPr="00600064">
        <w:rPr>
          <w:rFonts w:ascii="Arial Narrow" w:hAnsi="Arial Narrow"/>
          <w:sz w:val="16"/>
          <w:szCs w:val="16"/>
        </w:rPr>
        <w:t xml:space="preserve"> Intervals; NR</w:t>
      </w:r>
      <w:r w:rsidR="00946AAD" w:rsidRPr="00600064">
        <w:rPr>
          <w:rFonts w:ascii="Arial Narrow" w:hAnsi="Arial Narrow"/>
          <w:sz w:val="16"/>
          <w:szCs w:val="16"/>
        </w:rPr>
        <w:t xml:space="preserve">, </w:t>
      </w:r>
      <w:r w:rsidRPr="00600064">
        <w:rPr>
          <w:rFonts w:ascii="Arial Narrow" w:hAnsi="Arial Narrow"/>
          <w:sz w:val="16"/>
          <w:szCs w:val="16"/>
        </w:rPr>
        <w:t>Not Reported; HR</w:t>
      </w:r>
      <w:r w:rsidR="00946AAD" w:rsidRPr="00600064">
        <w:rPr>
          <w:rFonts w:ascii="Arial Narrow" w:hAnsi="Arial Narrow"/>
          <w:sz w:val="16"/>
          <w:szCs w:val="16"/>
        </w:rPr>
        <w:t xml:space="preserve">, </w:t>
      </w:r>
      <w:r w:rsidRPr="00600064">
        <w:rPr>
          <w:rFonts w:ascii="Arial Narrow" w:hAnsi="Arial Narrow"/>
          <w:sz w:val="16"/>
          <w:szCs w:val="16"/>
        </w:rPr>
        <w:t>Hazard Ratio.</w:t>
      </w:r>
    </w:p>
    <w:p w:rsidR="00A65838" w:rsidRPr="00600064" w:rsidRDefault="00A65838" w:rsidP="00A65838"/>
    <w:p w:rsidR="00A65838" w:rsidRPr="003A224F" w:rsidRDefault="00A65838" w:rsidP="007B1005">
      <w:pPr>
        <w:keepNext/>
        <w:rPr>
          <w:i/>
          <w:szCs w:val="22"/>
        </w:rPr>
      </w:pPr>
      <w:r w:rsidRPr="00600064">
        <w:rPr>
          <w:rFonts w:ascii="Arial Narrow" w:hAnsi="Arial Narrow"/>
          <w:b/>
          <w:bCs/>
          <w:sz w:val="20"/>
        </w:rPr>
        <w:t xml:space="preserve">Figure </w:t>
      </w:r>
      <w:r w:rsidR="00AE46A7" w:rsidRPr="00600064">
        <w:rPr>
          <w:rFonts w:ascii="Arial Narrow" w:hAnsi="Arial Narrow"/>
          <w:b/>
          <w:bCs/>
          <w:sz w:val="20"/>
        </w:rPr>
        <w:t>2</w:t>
      </w:r>
      <w:r w:rsidR="0035363C" w:rsidRPr="00600064">
        <w:rPr>
          <w:rFonts w:ascii="Arial Narrow" w:hAnsi="Arial Narrow"/>
          <w:b/>
          <w:bCs/>
          <w:sz w:val="20"/>
        </w:rPr>
        <w:t>:</w:t>
      </w:r>
      <w:r w:rsidRPr="00600064">
        <w:rPr>
          <w:rFonts w:ascii="Arial Narrow" w:hAnsi="Arial Narrow"/>
          <w:b/>
          <w:bCs/>
          <w:sz w:val="20"/>
        </w:rPr>
        <w:t xml:space="preserve"> K</w:t>
      </w:r>
      <w:r w:rsidR="00A35918" w:rsidRPr="00600064">
        <w:rPr>
          <w:rFonts w:ascii="Arial Narrow" w:hAnsi="Arial Narrow"/>
          <w:b/>
          <w:bCs/>
          <w:sz w:val="20"/>
        </w:rPr>
        <w:t>aplan-</w:t>
      </w:r>
      <w:r w:rsidRPr="00600064">
        <w:rPr>
          <w:rFonts w:ascii="Arial Narrow" w:hAnsi="Arial Narrow"/>
          <w:b/>
          <w:bCs/>
          <w:sz w:val="20"/>
        </w:rPr>
        <w:t>M</w:t>
      </w:r>
      <w:r w:rsidR="00A35918" w:rsidRPr="00600064">
        <w:rPr>
          <w:rFonts w:ascii="Arial Narrow" w:hAnsi="Arial Narrow"/>
          <w:b/>
          <w:bCs/>
          <w:sz w:val="20"/>
        </w:rPr>
        <w:t>eier</w:t>
      </w:r>
      <w:r w:rsidRPr="00600064">
        <w:rPr>
          <w:rFonts w:ascii="Arial Narrow" w:hAnsi="Arial Narrow"/>
          <w:b/>
          <w:bCs/>
          <w:sz w:val="20"/>
        </w:rPr>
        <w:t xml:space="preserve"> </w:t>
      </w:r>
      <w:r w:rsidR="00A35918" w:rsidRPr="00600064">
        <w:rPr>
          <w:rFonts w:ascii="Arial Narrow" w:hAnsi="Arial Narrow"/>
          <w:b/>
          <w:bCs/>
          <w:sz w:val="20"/>
        </w:rPr>
        <w:t>plot of overall survival</w:t>
      </w:r>
      <w:r w:rsidRPr="00600064">
        <w:rPr>
          <w:rFonts w:ascii="Arial Narrow" w:hAnsi="Arial Narrow"/>
          <w:b/>
          <w:bCs/>
          <w:sz w:val="20"/>
        </w:rPr>
        <w:t xml:space="preserve"> (11 </w:t>
      </w:r>
      <w:r w:rsidR="008144C0" w:rsidRPr="00600064">
        <w:rPr>
          <w:rFonts w:ascii="Arial Narrow" w:hAnsi="Arial Narrow"/>
          <w:b/>
          <w:bCs/>
          <w:sz w:val="20"/>
        </w:rPr>
        <w:t xml:space="preserve">May </w:t>
      </w:r>
      <w:r w:rsidRPr="00600064">
        <w:rPr>
          <w:rFonts w:ascii="Arial Narrow" w:hAnsi="Arial Narrow"/>
          <w:b/>
          <w:bCs/>
          <w:sz w:val="20"/>
        </w:rPr>
        <w:t>2016 cut-off)</w:t>
      </w:r>
    </w:p>
    <w:p w:rsidR="00A65838" w:rsidRPr="003A224F" w:rsidRDefault="003A224F" w:rsidP="00A65838">
      <w:pPr>
        <w:ind w:left="720"/>
        <w:rPr>
          <w:i/>
          <w:szCs w:val="22"/>
        </w:rPr>
      </w:pPr>
      <w:r>
        <w:rPr>
          <w:i/>
          <w:noProof/>
          <w:snapToGrid/>
          <w:szCs w:val="22"/>
          <w:lang w:eastAsia="en-AU"/>
        </w:rPr>
        <w:drawing>
          <wp:inline distT="0" distB="0" distL="0" distR="0">
            <wp:extent cx="5228590" cy="2270760"/>
            <wp:effectExtent l="0" t="0" r="0" b="0"/>
            <wp:docPr id="7" name="Picture 7" title="Figure 2: Kaplan-Meier plot of overall survival (11 May 2016 cut-of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28590" cy="2270760"/>
                    </a:xfrm>
                    <a:prstGeom prst="rect">
                      <a:avLst/>
                    </a:prstGeom>
                  </pic:spPr>
                </pic:pic>
              </a:graphicData>
            </a:graphic>
          </wp:inline>
        </w:drawing>
      </w:r>
    </w:p>
    <w:p w:rsidR="00A65838" w:rsidRPr="003A224F" w:rsidRDefault="003A224F" w:rsidP="007B1005">
      <w:pPr>
        <w:rPr>
          <w:rFonts w:ascii="Arial Narrow" w:hAnsi="Arial Narrow"/>
          <w:sz w:val="16"/>
          <w:szCs w:val="16"/>
          <w:highlight w:val="black"/>
        </w:rPr>
      </w:pPr>
      <w:r>
        <w:rPr>
          <w:rFonts w:ascii="Arial Narrow" w:hAnsi="Arial Narrow"/>
          <w:noProof/>
          <w:color w:val="000000"/>
          <w:sz w:val="16"/>
          <w:szCs w:val="16"/>
          <w:highlight w:val="black"/>
        </w:rPr>
        <w:t>''''''''''''''''''' '''''''''''''''' ''''' '''''''''''' ''''''' ''''' '''''''''''''''''''''''''''''''''</w:t>
      </w:r>
    </w:p>
    <w:p w:rsidR="00A65838" w:rsidRPr="003A224F" w:rsidRDefault="003A224F" w:rsidP="007B1005">
      <w:pPr>
        <w:rPr>
          <w:rFonts w:ascii="Arial Narrow" w:hAnsi="Arial Narrow"/>
          <w:sz w:val="16"/>
          <w:szCs w:val="16"/>
          <w:highlight w:val="black"/>
        </w:rPr>
      </w:pPr>
      <w:r>
        <w:rPr>
          <w:rFonts w:ascii="Arial Narrow" w:hAnsi="Arial Narrow"/>
          <w:noProof/>
          <w:color w:val="000000"/>
          <w:sz w:val="16"/>
          <w:szCs w:val="16"/>
          <w:highlight w:val="black"/>
        </w:rPr>
        <w:t>'''''''''''''''''''''''''''''''''' ''''''' '''''''''''''''''''''''''' '''''''''''''''''</w:t>
      </w:r>
    </w:p>
    <w:p w:rsidR="00A65838" w:rsidRPr="00600064" w:rsidRDefault="00A65838" w:rsidP="007B1005">
      <w:pPr>
        <w:rPr>
          <w:szCs w:val="22"/>
        </w:rPr>
      </w:pPr>
    </w:p>
    <w:p w:rsidR="00A65838" w:rsidRPr="00600064" w:rsidRDefault="00A65838" w:rsidP="005F42CF">
      <w:pPr>
        <w:pStyle w:val="ListParagraph"/>
        <w:widowControl/>
        <w:numPr>
          <w:ilvl w:val="1"/>
          <w:numId w:val="4"/>
        </w:numPr>
      </w:pPr>
      <w:r w:rsidRPr="00600064">
        <w:t xml:space="preserve">A summary of </w:t>
      </w:r>
      <w:r w:rsidRPr="00600064">
        <w:rPr>
          <w:szCs w:val="22"/>
        </w:rPr>
        <w:t>results</w:t>
      </w:r>
      <w:r w:rsidRPr="00600064">
        <w:t xml:space="preserve"> for RECIST</w:t>
      </w:r>
      <w:r w:rsidR="008144C0" w:rsidRPr="00600064">
        <w:t>-</w:t>
      </w:r>
      <w:r w:rsidR="00030BF9" w:rsidRPr="00600064">
        <w:t xml:space="preserve">defined </w:t>
      </w:r>
      <w:r w:rsidRPr="00600064">
        <w:t xml:space="preserve">PFS in study CA09025 for both database locks is provided in Table </w:t>
      </w:r>
      <w:r w:rsidR="00946AAD" w:rsidRPr="00600064">
        <w:t>6</w:t>
      </w:r>
      <w:r w:rsidRPr="00600064">
        <w:t xml:space="preserve">. The plot of the KM estimate of PFS from the second database lock </w:t>
      </w:r>
      <w:r w:rsidR="0020758D" w:rsidRPr="00600064">
        <w:t>is</w:t>
      </w:r>
      <w:r w:rsidRPr="00600064">
        <w:t xml:space="preserve"> provided in Figure </w:t>
      </w:r>
      <w:r w:rsidR="000F556D" w:rsidRPr="00600064">
        <w:t>4</w:t>
      </w:r>
      <w:r w:rsidRPr="00600064">
        <w:t>.</w:t>
      </w:r>
    </w:p>
    <w:p w:rsidR="00A65838" w:rsidRPr="00600064" w:rsidRDefault="00A65838" w:rsidP="00A65838"/>
    <w:p w:rsidR="002B1846" w:rsidRPr="00600064" w:rsidRDefault="002B1846" w:rsidP="007B1005">
      <w:pPr>
        <w:keepNext/>
        <w:keepLines/>
        <w:widowControl/>
        <w:jc w:val="left"/>
        <w:rPr>
          <w:rFonts w:ascii="Arial Narrow" w:hAnsi="Arial Narrow" w:cs="Times New Roman"/>
          <w:b/>
          <w:bCs/>
          <w:snapToGrid/>
          <w:sz w:val="20"/>
        </w:rPr>
      </w:pPr>
      <w:r w:rsidRPr="00600064">
        <w:rPr>
          <w:rFonts w:ascii="Arial Narrow" w:hAnsi="Arial Narrow" w:cs="Times New Roman"/>
          <w:b/>
          <w:bCs/>
          <w:snapToGrid/>
          <w:sz w:val="20"/>
        </w:rPr>
        <w:t xml:space="preserve">Table </w:t>
      </w:r>
      <w:r w:rsidR="00946AAD" w:rsidRPr="00600064">
        <w:rPr>
          <w:rFonts w:ascii="Arial Narrow" w:hAnsi="Arial Narrow" w:cs="Times New Roman"/>
          <w:b/>
          <w:bCs/>
          <w:snapToGrid/>
          <w:sz w:val="20"/>
        </w:rPr>
        <w:t>6</w:t>
      </w:r>
      <w:r w:rsidRPr="00600064">
        <w:rPr>
          <w:rFonts w:ascii="Arial Narrow" w:hAnsi="Arial Narrow" w:cs="Times New Roman"/>
          <w:b/>
          <w:bCs/>
          <w:snapToGrid/>
          <w:sz w:val="20"/>
        </w:rPr>
        <w:t xml:space="preserve">: </w:t>
      </w:r>
      <w:r w:rsidRPr="00600064">
        <w:rPr>
          <w:rFonts w:ascii="Arial Narrow" w:hAnsi="Arial Narrow" w:cs="Times New Roman"/>
          <w:b/>
          <w:snapToGrid/>
          <w:sz w:val="20"/>
        </w:rPr>
        <w:t>Study CA209025 summary of results for RECIST</w:t>
      </w:r>
      <w:r w:rsidR="00A35918" w:rsidRPr="00600064">
        <w:rPr>
          <w:rFonts w:ascii="Arial Narrow" w:hAnsi="Arial Narrow" w:cs="Times New Roman"/>
          <w:b/>
          <w:snapToGrid/>
          <w:sz w:val="20"/>
        </w:rPr>
        <w:t>-</w:t>
      </w:r>
      <w:r w:rsidRPr="00600064">
        <w:rPr>
          <w:rFonts w:ascii="Arial Narrow" w:hAnsi="Arial Narrow" w:cs="Times New Roman"/>
          <w:b/>
          <w:snapToGrid/>
          <w:sz w:val="20"/>
        </w:rPr>
        <w:t xml:space="preserve">defined </w:t>
      </w:r>
      <w:r w:rsidR="00A35918" w:rsidRPr="00600064">
        <w:rPr>
          <w:rFonts w:ascii="Arial Narrow" w:hAnsi="Arial Narrow" w:cs="Times New Roman"/>
          <w:b/>
          <w:snapToGrid/>
          <w:sz w:val="20"/>
        </w:rPr>
        <w:t>progression-free survival</w:t>
      </w:r>
    </w:p>
    <w:tbl>
      <w:tblPr>
        <w:tblStyle w:val="TableGridbeth21"/>
        <w:tblW w:w="9000" w:type="dxa"/>
        <w:tblInd w:w="108" w:type="dxa"/>
        <w:tblLook w:val="04A0" w:firstRow="1" w:lastRow="0" w:firstColumn="1" w:lastColumn="0" w:noHBand="0" w:noVBand="1"/>
        <w:tblCaption w:val="Table 6: Study CA209025 summary of results for RECIST-defined progression-free survival"/>
      </w:tblPr>
      <w:tblGrid>
        <w:gridCol w:w="1134"/>
        <w:gridCol w:w="993"/>
        <w:gridCol w:w="1701"/>
        <w:gridCol w:w="1701"/>
        <w:gridCol w:w="1842"/>
        <w:gridCol w:w="1629"/>
      </w:tblGrid>
      <w:tr w:rsidR="002B1846" w:rsidRPr="00600064" w:rsidTr="00E25D57">
        <w:trPr>
          <w:tblHeader/>
        </w:trPr>
        <w:tc>
          <w:tcPr>
            <w:tcW w:w="2127" w:type="dxa"/>
            <w:gridSpan w:val="2"/>
            <w:shd w:val="clear" w:color="auto" w:fill="auto"/>
          </w:tcPr>
          <w:p w:rsidR="002B1846" w:rsidRPr="00600064" w:rsidRDefault="002B1846" w:rsidP="00642B81">
            <w:pPr>
              <w:widowControl/>
              <w:spacing w:line="240" w:lineRule="auto"/>
              <w:jc w:val="left"/>
              <w:rPr>
                <w:rFonts w:ascii="Arial Narrow" w:hAnsi="Arial Narrow" w:cs="Times New Roman"/>
                <w:b/>
                <w:color w:val="000000"/>
                <w:sz w:val="20"/>
              </w:rPr>
            </w:pPr>
          </w:p>
        </w:tc>
        <w:tc>
          <w:tcPr>
            <w:tcW w:w="3402" w:type="dxa"/>
            <w:gridSpan w:val="2"/>
            <w:shd w:val="clear" w:color="auto" w:fill="auto"/>
          </w:tcPr>
          <w:p w:rsidR="002B1846" w:rsidRPr="00600064" w:rsidRDefault="002B1846" w:rsidP="008D3472">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18 June 2015 cut-off</w:t>
            </w:r>
          </w:p>
        </w:tc>
        <w:tc>
          <w:tcPr>
            <w:tcW w:w="3471" w:type="dxa"/>
            <w:gridSpan w:val="2"/>
            <w:shd w:val="clear" w:color="auto" w:fill="auto"/>
          </w:tcPr>
          <w:p w:rsidR="002B1846" w:rsidRPr="00600064" w:rsidRDefault="002B1846" w:rsidP="008D3472">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11 May 2016 cut-off</w:t>
            </w:r>
          </w:p>
        </w:tc>
      </w:tr>
      <w:tr w:rsidR="002B1846" w:rsidRPr="00600064" w:rsidTr="007B1005">
        <w:tc>
          <w:tcPr>
            <w:tcW w:w="2127" w:type="dxa"/>
            <w:gridSpan w:val="2"/>
            <w:shd w:val="clear" w:color="auto" w:fill="auto"/>
          </w:tcPr>
          <w:p w:rsidR="002B1846" w:rsidRPr="00600064" w:rsidRDefault="002B1846" w:rsidP="00642B81">
            <w:pPr>
              <w:widowControl/>
              <w:spacing w:line="240" w:lineRule="auto"/>
              <w:jc w:val="left"/>
              <w:rPr>
                <w:rFonts w:ascii="Arial Narrow" w:hAnsi="Arial Narrow" w:cs="Times New Roman"/>
                <w:b/>
                <w:color w:val="000000"/>
                <w:sz w:val="20"/>
              </w:rPr>
            </w:pPr>
          </w:p>
        </w:tc>
        <w:tc>
          <w:tcPr>
            <w:tcW w:w="1701" w:type="dxa"/>
            <w:shd w:val="clear" w:color="auto" w:fill="auto"/>
          </w:tcPr>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Nivolumab</w:t>
            </w:r>
          </w:p>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N=410</w:t>
            </w:r>
          </w:p>
        </w:tc>
        <w:tc>
          <w:tcPr>
            <w:tcW w:w="1701" w:type="dxa"/>
            <w:shd w:val="clear" w:color="auto" w:fill="auto"/>
          </w:tcPr>
          <w:p w:rsidR="002B1846" w:rsidRPr="00600064" w:rsidRDefault="002B1846" w:rsidP="00642B81">
            <w:pPr>
              <w:widowControl/>
              <w:spacing w:line="240" w:lineRule="auto"/>
              <w:jc w:val="center"/>
              <w:rPr>
                <w:rFonts w:ascii="Arial Narrow" w:hAnsi="Arial Narrow" w:cs="Times New Roman"/>
                <w:b/>
                <w:color w:val="000000"/>
                <w:sz w:val="20"/>
              </w:rPr>
            </w:pPr>
            <w:proofErr w:type="spellStart"/>
            <w:r w:rsidRPr="00600064">
              <w:rPr>
                <w:rFonts w:ascii="Arial Narrow" w:hAnsi="Arial Narrow" w:cs="Times New Roman"/>
                <w:b/>
                <w:color w:val="000000"/>
                <w:sz w:val="20"/>
              </w:rPr>
              <w:t>Everolimus</w:t>
            </w:r>
            <w:proofErr w:type="spellEnd"/>
          </w:p>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N=411</w:t>
            </w:r>
          </w:p>
        </w:tc>
        <w:tc>
          <w:tcPr>
            <w:tcW w:w="1842" w:type="dxa"/>
            <w:shd w:val="clear" w:color="auto" w:fill="auto"/>
          </w:tcPr>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Nivolumab</w:t>
            </w:r>
          </w:p>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N=410</w:t>
            </w:r>
          </w:p>
        </w:tc>
        <w:tc>
          <w:tcPr>
            <w:tcW w:w="1629" w:type="dxa"/>
            <w:shd w:val="clear" w:color="auto" w:fill="auto"/>
          </w:tcPr>
          <w:p w:rsidR="002B1846" w:rsidRPr="00600064" w:rsidRDefault="002B1846" w:rsidP="00642B81">
            <w:pPr>
              <w:widowControl/>
              <w:spacing w:line="240" w:lineRule="auto"/>
              <w:jc w:val="center"/>
              <w:rPr>
                <w:rFonts w:ascii="Arial Narrow" w:hAnsi="Arial Narrow" w:cs="Times New Roman"/>
                <w:b/>
                <w:color w:val="000000"/>
                <w:sz w:val="20"/>
              </w:rPr>
            </w:pPr>
            <w:proofErr w:type="spellStart"/>
            <w:r w:rsidRPr="00600064">
              <w:rPr>
                <w:rFonts w:ascii="Arial Narrow" w:hAnsi="Arial Narrow" w:cs="Times New Roman"/>
                <w:b/>
                <w:color w:val="000000"/>
                <w:sz w:val="20"/>
              </w:rPr>
              <w:t>Everolimus</w:t>
            </w:r>
            <w:proofErr w:type="spellEnd"/>
          </w:p>
          <w:p w:rsidR="002B1846" w:rsidRPr="00600064" w:rsidRDefault="002B1846" w:rsidP="00642B81">
            <w:pPr>
              <w:widowControl/>
              <w:spacing w:line="240" w:lineRule="auto"/>
              <w:jc w:val="center"/>
              <w:rPr>
                <w:rFonts w:ascii="Arial Narrow" w:hAnsi="Arial Narrow" w:cs="Times New Roman"/>
                <w:b/>
                <w:color w:val="000000"/>
                <w:sz w:val="20"/>
              </w:rPr>
            </w:pPr>
            <w:r w:rsidRPr="00600064">
              <w:rPr>
                <w:rFonts w:ascii="Arial Narrow" w:hAnsi="Arial Narrow" w:cs="Times New Roman"/>
                <w:b/>
                <w:color w:val="000000"/>
                <w:sz w:val="20"/>
              </w:rPr>
              <w:t>N=411</w:t>
            </w:r>
          </w:p>
        </w:tc>
      </w:tr>
      <w:tr w:rsidR="002B1846" w:rsidRPr="00600064" w:rsidTr="007B1005">
        <w:tc>
          <w:tcPr>
            <w:tcW w:w="2127" w:type="dxa"/>
            <w:gridSpan w:val="2"/>
          </w:tcPr>
          <w:p w:rsidR="002B1846" w:rsidRPr="00600064" w:rsidRDefault="002B1846" w:rsidP="007B1005">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Median months (95% CI)</w:t>
            </w:r>
          </w:p>
        </w:tc>
        <w:tc>
          <w:tcPr>
            <w:tcW w:w="1701" w:type="dxa"/>
          </w:tcPr>
          <w:p w:rsidR="002B1846" w:rsidRPr="00600064" w:rsidRDefault="002B1846" w:rsidP="007B1005">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4.60</w:t>
            </w:r>
            <w:r w:rsidR="007B1005" w:rsidRPr="00600064">
              <w:rPr>
                <w:rFonts w:ascii="Arial Narrow" w:hAnsi="Arial Narrow" w:cs="Times New Roman"/>
                <w:color w:val="000000"/>
                <w:sz w:val="20"/>
              </w:rPr>
              <w:t xml:space="preserve"> </w:t>
            </w:r>
            <w:r w:rsidRPr="00600064">
              <w:rPr>
                <w:rFonts w:ascii="Arial Narrow" w:hAnsi="Arial Narrow" w:cs="Times New Roman"/>
                <w:color w:val="000000"/>
                <w:sz w:val="20"/>
              </w:rPr>
              <w:t>(3.71, 5.39)</w:t>
            </w:r>
          </w:p>
        </w:tc>
        <w:tc>
          <w:tcPr>
            <w:tcW w:w="1701" w:type="dxa"/>
          </w:tcPr>
          <w:p w:rsidR="002B1846" w:rsidRPr="00600064" w:rsidRDefault="002B1846" w:rsidP="007B1005">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4.44</w:t>
            </w:r>
            <w:r w:rsidR="007B1005" w:rsidRPr="00600064">
              <w:rPr>
                <w:rFonts w:ascii="Arial Narrow" w:hAnsi="Arial Narrow" w:cs="Times New Roman"/>
                <w:color w:val="000000"/>
                <w:sz w:val="20"/>
              </w:rPr>
              <w:t xml:space="preserve"> </w:t>
            </w:r>
            <w:r w:rsidRPr="00600064">
              <w:rPr>
                <w:rFonts w:ascii="Arial Narrow" w:hAnsi="Arial Narrow" w:cs="Times New Roman"/>
                <w:color w:val="000000"/>
                <w:sz w:val="20"/>
              </w:rPr>
              <w:t>(3.71, 5.52)</w:t>
            </w:r>
          </w:p>
        </w:tc>
        <w:tc>
          <w:tcPr>
            <w:tcW w:w="1842" w:type="dxa"/>
          </w:tcPr>
          <w:p w:rsidR="002B1846" w:rsidRPr="003A224F" w:rsidRDefault="003A224F" w:rsidP="007B1005">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c>
          <w:tcPr>
            <w:tcW w:w="1629" w:type="dxa"/>
          </w:tcPr>
          <w:p w:rsidR="002B1846" w:rsidRPr="003A224F" w:rsidRDefault="003A224F" w:rsidP="007B1005">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r>
      <w:tr w:rsidR="002B1846" w:rsidRPr="00600064" w:rsidTr="007B1005">
        <w:tc>
          <w:tcPr>
            <w:tcW w:w="1134" w:type="dxa"/>
            <w:vMerge w:val="restart"/>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PFS rate, % (95% CI)</w:t>
            </w:r>
          </w:p>
        </w:tc>
        <w:tc>
          <w:tcPr>
            <w:tcW w:w="993" w:type="dxa"/>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6 month*</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39 (35, 44)</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39 (33, 44)</w:t>
            </w:r>
          </w:p>
        </w:tc>
        <w:tc>
          <w:tcPr>
            <w:tcW w:w="1842"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c>
          <w:tcPr>
            <w:tcW w:w="1629"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r>
      <w:tr w:rsidR="002B1846" w:rsidRPr="00600064" w:rsidTr="007B1005">
        <w:tc>
          <w:tcPr>
            <w:tcW w:w="1134" w:type="dxa"/>
            <w:vMerge/>
          </w:tcPr>
          <w:p w:rsidR="002B1846" w:rsidRPr="00600064" w:rsidRDefault="002B1846" w:rsidP="00642B81">
            <w:pPr>
              <w:widowControl/>
              <w:spacing w:line="240" w:lineRule="auto"/>
              <w:jc w:val="left"/>
              <w:rPr>
                <w:rFonts w:ascii="Arial Narrow" w:hAnsi="Arial Narrow" w:cs="Times New Roman"/>
                <w:color w:val="000000"/>
                <w:sz w:val="20"/>
              </w:rPr>
            </w:pPr>
          </w:p>
        </w:tc>
        <w:tc>
          <w:tcPr>
            <w:tcW w:w="993" w:type="dxa"/>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12 month*</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23 (19, 0.27)</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19 (15, 23)</w:t>
            </w:r>
          </w:p>
        </w:tc>
        <w:tc>
          <w:tcPr>
            <w:tcW w:w="1842"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c>
          <w:tcPr>
            <w:tcW w:w="1629"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r>
      <w:tr w:rsidR="002B1846" w:rsidRPr="00600064" w:rsidTr="007B1005">
        <w:tc>
          <w:tcPr>
            <w:tcW w:w="1134" w:type="dxa"/>
            <w:vMerge/>
          </w:tcPr>
          <w:p w:rsidR="002B1846" w:rsidRPr="00600064" w:rsidRDefault="002B1846" w:rsidP="00642B81">
            <w:pPr>
              <w:widowControl/>
              <w:spacing w:line="240" w:lineRule="auto"/>
              <w:jc w:val="left"/>
              <w:rPr>
                <w:rFonts w:ascii="Arial Narrow" w:hAnsi="Arial Narrow" w:cs="Times New Roman"/>
                <w:color w:val="000000"/>
                <w:sz w:val="20"/>
              </w:rPr>
            </w:pPr>
          </w:p>
        </w:tc>
        <w:tc>
          <w:tcPr>
            <w:tcW w:w="993" w:type="dxa"/>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18 month</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NR</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NR</w:t>
            </w:r>
          </w:p>
        </w:tc>
        <w:tc>
          <w:tcPr>
            <w:tcW w:w="1842"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c>
          <w:tcPr>
            <w:tcW w:w="1629"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r>
      <w:tr w:rsidR="002B1846" w:rsidRPr="00600064" w:rsidTr="007B1005">
        <w:tc>
          <w:tcPr>
            <w:tcW w:w="1134" w:type="dxa"/>
            <w:vMerge/>
          </w:tcPr>
          <w:p w:rsidR="002B1846" w:rsidRPr="00600064" w:rsidRDefault="002B1846" w:rsidP="00642B81">
            <w:pPr>
              <w:widowControl/>
              <w:spacing w:line="240" w:lineRule="auto"/>
              <w:jc w:val="left"/>
              <w:rPr>
                <w:rFonts w:ascii="Arial Narrow" w:hAnsi="Arial Narrow" w:cs="Times New Roman"/>
                <w:color w:val="000000"/>
                <w:sz w:val="20"/>
              </w:rPr>
            </w:pPr>
          </w:p>
        </w:tc>
        <w:tc>
          <w:tcPr>
            <w:tcW w:w="993" w:type="dxa"/>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24 month</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NR</w:t>
            </w:r>
          </w:p>
        </w:tc>
        <w:tc>
          <w:tcPr>
            <w:tcW w:w="1701" w:type="dxa"/>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NR</w:t>
            </w:r>
          </w:p>
        </w:tc>
        <w:tc>
          <w:tcPr>
            <w:tcW w:w="1842"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c>
          <w:tcPr>
            <w:tcW w:w="1629" w:type="dxa"/>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w:t>
            </w:r>
          </w:p>
        </w:tc>
      </w:tr>
      <w:tr w:rsidR="002B1846" w:rsidRPr="00600064" w:rsidTr="007B1005">
        <w:tc>
          <w:tcPr>
            <w:tcW w:w="2127" w:type="dxa"/>
            <w:gridSpan w:val="2"/>
          </w:tcPr>
          <w:p w:rsidR="002B1846" w:rsidRPr="00600064" w:rsidRDefault="002B1846" w:rsidP="00642B81">
            <w:pPr>
              <w:widowControl/>
              <w:spacing w:line="240" w:lineRule="auto"/>
              <w:jc w:val="left"/>
              <w:rPr>
                <w:rFonts w:ascii="Arial Narrow" w:hAnsi="Arial Narrow" w:cs="Times New Roman"/>
                <w:color w:val="000000"/>
                <w:sz w:val="20"/>
              </w:rPr>
            </w:pPr>
            <w:r w:rsidRPr="00600064">
              <w:rPr>
                <w:rFonts w:ascii="Arial Narrow" w:hAnsi="Arial Narrow" w:cs="Times New Roman"/>
                <w:color w:val="000000"/>
                <w:sz w:val="20"/>
              </w:rPr>
              <w:t>HR (95% CI)</w:t>
            </w:r>
          </w:p>
        </w:tc>
        <w:tc>
          <w:tcPr>
            <w:tcW w:w="3402" w:type="dxa"/>
            <w:gridSpan w:val="2"/>
          </w:tcPr>
          <w:p w:rsidR="002B1846" w:rsidRPr="00600064" w:rsidRDefault="002B1846" w:rsidP="00642B81">
            <w:pPr>
              <w:widowControl/>
              <w:spacing w:line="240" w:lineRule="auto"/>
              <w:jc w:val="center"/>
              <w:rPr>
                <w:rFonts w:ascii="Arial Narrow" w:hAnsi="Arial Narrow" w:cs="Times New Roman"/>
                <w:color w:val="000000"/>
                <w:sz w:val="20"/>
              </w:rPr>
            </w:pPr>
            <w:r w:rsidRPr="00600064">
              <w:rPr>
                <w:rFonts w:ascii="Arial Narrow" w:hAnsi="Arial Narrow" w:cs="Times New Roman"/>
                <w:color w:val="000000"/>
                <w:sz w:val="20"/>
              </w:rPr>
              <w:t>0.88 (0.75, 1.03); p-value = 0.1135</w:t>
            </w:r>
          </w:p>
        </w:tc>
        <w:tc>
          <w:tcPr>
            <w:tcW w:w="3471" w:type="dxa"/>
            <w:gridSpan w:val="2"/>
          </w:tcPr>
          <w:p w:rsidR="002B1846" w:rsidRPr="003A224F" w:rsidRDefault="003A224F" w:rsidP="00642B81">
            <w:pPr>
              <w:widowControl/>
              <w:spacing w:line="240" w:lineRule="auto"/>
              <w:jc w:val="center"/>
              <w:rPr>
                <w:rFonts w:ascii="Arial Narrow" w:hAnsi="Arial Narrow" w:cs="Times New Roman"/>
                <w:color w:val="000000"/>
                <w:sz w:val="20"/>
                <w:highlight w:val="black"/>
              </w:rPr>
            </w:pPr>
            <w:r>
              <w:rPr>
                <w:rFonts w:ascii="Arial Narrow" w:hAnsi="Arial Narrow" w:cs="Times New Roman"/>
                <w:noProof/>
                <w:color w:val="000000"/>
                <w:sz w:val="20"/>
                <w:highlight w:val="black"/>
              </w:rPr>
              <w:t>'''''''''' ''''''''''''' ''''''''''''' '''''''''''''''''' '''' ''''''''''''''''</w:t>
            </w:r>
          </w:p>
        </w:tc>
      </w:tr>
    </w:tbl>
    <w:p w:rsidR="002B1846" w:rsidRPr="00600064" w:rsidRDefault="002B1846" w:rsidP="007B1005">
      <w:pPr>
        <w:keepLines/>
        <w:widowControl/>
        <w:contextualSpacing/>
        <w:jc w:val="left"/>
        <w:rPr>
          <w:rFonts w:ascii="Arial Narrow" w:hAnsi="Arial Narrow" w:cs="Times New Roman"/>
          <w:snapToGrid/>
          <w:sz w:val="16"/>
          <w:szCs w:val="16"/>
          <w:lang w:eastAsia="en-AU"/>
        </w:rPr>
      </w:pPr>
      <w:r w:rsidRPr="00600064">
        <w:rPr>
          <w:rFonts w:ascii="Arial Narrow" w:hAnsi="Arial Narrow" w:cs="Times New Roman"/>
          <w:snapToGrid/>
          <w:sz w:val="16"/>
          <w:szCs w:val="16"/>
          <w:lang w:eastAsia="en-AU"/>
        </w:rPr>
        <w:t>Source: Table 10, p 36 of resubmission.</w:t>
      </w:r>
    </w:p>
    <w:p w:rsidR="002B1846" w:rsidRPr="00600064" w:rsidRDefault="008D3472" w:rsidP="007B1005">
      <w:pPr>
        <w:keepLines/>
        <w:widowControl/>
        <w:jc w:val="left"/>
        <w:rPr>
          <w:rFonts w:ascii="Arial Narrow" w:hAnsi="Arial Narrow" w:cs="Times New Roman"/>
          <w:snapToGrid/>
          <w:sz w:val="16"/>
          <w:szCs w:val="16"/>
          <w:lang w:eastAsia="en-AU"/>
        </w:rPr>
      </w:pPr>
      <w:r w:rsidRPr="00600064">
        <w:rPr>
          <w:rFonts w:ascii="Arial Narrow" w:hAnsi="Arial Narrow" w:cs="Times New Roman"/>
          <w:snapToGrid/>
          <w:sz w:val="16"/>
          <w:szCs w:val="16"/>
          <w:lang w:eastAsia="en-AU"/>
        </w:rPr>
        <w:t xml:space="preserve">* </w:t>
      </w:r>
      <w:r w:rsidR="002B1846" w:rsidRPr="00600064">
        <w:rPr>
          <w:rFonts w:ascii="Arial Narrow" w:hAnsi="Arial Narrow" w:cs="Times New Roman"/>
          <w:snapToGrid/>
          <w:sz w:val="16"/>
          <w:szCs w:val="16"/>
          <w:lang w:eastAsia="en-AU"/>
        </w:rPr>
        <w:t>PFS rates at 6 and 12 months in the 18 June 2015 data have been converted in the commentary to percentage figures for comparability with the 11 May 2016 data. These rates are incorrectly referred to as “survival rates” in the resubmission.</w:t>
      </w:r>
    </w:p>
    <w:p w:rsidR="002B1846" w:rsidRPr="00600064" w:rsidRDefault="002B1846" w:rsidP="007B1005">
      <w:pPr>
        <w:keepLines/>
        <w:widowControl/>
        <w:contextualSpacing/>
        <w:jc w:val="left"/>
        <w:rPr>
          <w:rFonts w:ascii="Arial Narrow" w:hAnsi="Arial Narrow" w:cs="Times New Roman"/>
          <w:snapToGrid/>
          <w:sz w:val="16"/>
          <w:szCs w:val="16"/>
          <w:lang w:eastAsia="en-AU"/>
        </w:rPr>
      </w:pPr>
      <w:r w:rsidRPr="00600064">
        <w:rPr>
          <w:rFonts w:ascii="Arial Narrow" w:hAnsi="Arial Narrow" w:cs="Times New Roman"/>
          <w:snapToGrid/>
          <w:sz w:val="16"/>
          <w:szCs w:val="16"/>
          <w:lang w:eastAsia="en-AU"/>
        </w:rPr>
        <w:t>Abbreviations: CI, confidence interval. HR: Hazard ratio. NR, Not Reported.</w:t>
      </w:r>
    </w:p>
    <w:p w:rsidR="00A65838" w:rsidRPr="00600064" w:rsidRDefault="00A65838" w:rsidP="007B1005">
      <w:pPr>
        <w:widowControl/>
        <w:contextualSpacing/>
        <w:jc w:val="left"/>
        <w:rPr>
          <w:rFonts w:cs="Times New Roman"/>
          <w:snapToGrid/>
          <w:szCs w:val="22"/>
          <w:lang w:eastAsia="en-AU"/>
        </w:rPr>
      </w:pPr>
    </w:p>
    <w:p w:rsidR="00A65838" w:rsidRPr="003A224F" w:rsidRDefault="003A224F" w:rsidP="005F42CF">
      <w:pPr>
        <w:pStyle w:val="ListParagraph"/>
        <w:widowControl/>
        <w:numPr>
          <w:ilvl w:val="1"/>
          <w:numId w:val="4"/>
        </w:numPr>
      </w:pPr>
      <w:r>
        <w:rPr>
          <w:noProof/>
          <w:color w:val="000000"/>
          <w:highlight w:val="black"/>
        </w:rPr>
        <w:t>'''' ''''''''''''''''''''''''' '''' ''''''''''''''''''''''''''''''''''''''' '''''''''''' ''''''''''''''''''''' '''''''''''''''''''''''' ''''''''' ''''''''''''''''''' '''' ''''''' ''''''''''''''''''''''''''''' '''''''''''''''''''''' '''''''''''' ''''''' ''''''''''' ''''''''''''' '''''''''''''''''''''''' ''''''' '''''''' '''''''''' '''''''' ''''''''''''''''''''''''''' '''''''''''''''''''''''''</w:t>
      </w:r>
    </w:p>
    <w:p w:rsidR="00A65838" w:rsidRPr="00600064" w:rsidRDefault="00A65838" w:rsidP="007B1005">
      <w:pPr>
        <w:widowControl/>
        <w:jc w:val="left"/>
        <w:rPr>
          <w:rFonts w:cs="Times New Roman"/>
          <w:snapToGrid/>
          <w:szCs w:val="22"/>
        </w:rPr>
      </w:pPr>
    </w:p>
    <w:p w:rsidR="00A65838" w:rsidRPr="00600064" w:rsidRDefault="00A65838" w:rsidP="005F42CF">
      <w:pPr>
        <w:pStyle w:val="ListParagraph"/>
        <w:widowControl/>
        <w:numPr>
          <w:ilvl w:val="1"/>
          <w:numId w:val="4"/>
        </w:numPr>
      </w:pPr>
      <w:r w:rsidRPr="00600064">
        <w:t xml:space="preserve">A summary of </w:t>
      </w:r>
      <w:r w:rsidRPr="00600064">
        <w:rPr>
          <w:szCs w:val="22"/>
        </w:rPr>
        <w:t>results</w:t>
      </w:r>
      <w:r w:rsidRPr="00600064">
        <w:t xml:space="preserve"> for clinical PFS in study CA09025 for both database locks is provided in Table </w:t>
      </w:r>
      <w:r w:rsidR="00946AAD" w:rsidRPr="00600064">
        <w:t>7</w:t>
      </w:r>
      <w:r w:rsidRPr="00600064">
        <w:t xml:space="preserve">, with the plot of the KM estimates from the second database lock in Figure </w:t>
      </w:r>
      <w:r w:rsidR="000F556D" w:rsidRPr="00600064">
        <w:t>3</w:t>
      </w:r>
      <w:r w:rsidRPr="00600064">
        <w:t>.</w:t>
      </w:r>
    </w:p>
    <w:p w:rsidR="00A65838" w:rsidRPr="00600064" w:rsidRDefault="00A65838" w:rsidP="007B1005">
      <w:pPr>
        <w:rPr>
          <w:szCs w:val="22"/>
        </w:rPr>
      </w:pPr>
    </w:p>
    <w:p w:rsidR="00A65838" w:rsidRPr="00600064" w:rsidRDefault="00A65838" w:rsidP="007B1005">
      <w:pPr>
        <w:keepNext/>
        <w:keepLines/>
        <w:widowControl/>
        <w:jc w:val="left"/>
        <w:rPr>
          <w:rFonts w:ascii="Arial Narrow" w:hAnsi="Arial Narrow" w:cs="Times New Roman"/>
          <w:b/>
          <w:bCs/>
          <w:snapToGrid/>
          <w:sz w:val="20"/>
        </w:rPr>
      </w:pPr>
      <w:r w:rsidRPr="00600064">
        <w:rPr>
          <w:rFonts w:ascii="Arial Narrow" w:hAnsi="Arial Narrow" w:cs="Times New Roman"/>
          <w:b/>
          <w:bCs/>
          <w:snapToGrid/>
          <w:sz w:val="20"/>
        </w:rPr>
        <w:t xml:space="preserve">Table </w:t>
      </w:r>
      <w:r w:rsidR="00946AAD" w:rsidRPr="00600064">
        <w:rPr>
          <w:rFonts w:ascii="Arial Narrow" w:hAnsi="Arial Narrow" w:cs="Times New Roman"/>
          <w:b/>
          <w:bCs/>
          <w:snapToGrid/>
          <w:sz w:val="20"/>
        </w:rPr>
        <w:t>7</w:t>
      </w:r>
      <w:r w:rsidRPr="00600064">
        <w:rPr>
          <w:rFonts w:ascii="Arial Narrow" w:hAnsi="Arial Narrow" w:cs="Times New Roman"/>
          <w:b/>
          <w:bCs/>
          <w:snapToGrid/>
          <w:sz w:val="20"/>
        </w:rPr>
        <w:t xml:space="preserve">: </w:t>
      </w:r>
      <w:r w:rsidRPr="00600064">
        <w:rPr>
          <w:rFonts w:ascii="Arial Narrow" w:hAnsi="Arial Narrow" w:cs="Times New Roman"/>
          <w:b/>
          <w:snapToGrid/>
          <w:sz w:val="20"/>
        </w:rPr>
        <w:t>Study CA209025 summary of results for clinical PFS</w:t>
      </w:r>
    </w:p>
    <w:tbl>
      <w:tblPr>
        <w:tblStyle w:val="TableGridbeth31"/>
        <w:tblW w:w="9040" w:type="dxa"/>
        <w:tblInd w:w="108" w:type="dxa"/>
        <w:tblLook w:val="04A0" w:firstRow="1" w:lastRow="0" w:firstColumn="1" w:lastColumn="0" w:noHBand="0" w:noVBand="1"/>
        <w:tblCaption w:val="Table 7: Study CA209025 summary of results for clinical PFS"/>
      </w:tblPr>
      <w:tblGrid>
        <w:gridCol w:w="2268"/>
        <w:gridCol w:w="1701"/>
        <w:gridCol w:w="1684"/>
        <w:gridCol w:w="1693"/>
        <w:gridCol w:w="1694"/>
      </w:tblGrid>
      <w:tr w:rsidR="00A65838" w:rsidRPr="00600064" w:rsidTr="00E25D57">
        <w:trPr>
          <w:tblHeader/>
        </w:trPr>
        <w:tc>
          <w:tcPr>
            <w:tcW w:w="2268" w:type="dxa"/>
            <w:shd w:val="clear" w:color="auto" w:fill="auto"/>
          </w:tcPr>
          <w:p w:rsidR="00A65838" w:rsidRPr="00600064" w:rsidRDefault="00A65838" w:rsidP="00A65838">
            <w:pPr>
              <w:widowControl/>
              <w:spacing w:line="240" w:lineRule="auto"/>
              <w:jc w:val="left"/>
              <w:rPr>
                <w:rFonts w:ascii="Arial Narrow" w:hAnsi="Arial Narrow" w:cs="Times New Roman"/>
                <w:b/>
                <w:snapToGrid/>
                <w:color w:val="000000"/>
                <w:sz w:val="20"/>
                <w:lang w:eastAsia="en-AU"/>
              </w:rPr>
            </w:pPr>
          </w:p>
        </w:tc>
        <w:tc>
          <w:tcPr>
            <w:tcW w:w="3385" w:type="dxa"/>
            <w:gridSpan w:val="2"/>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18 June 2015 cut-off</w:t>
            </w:r>
          </w:p>
        </w:tc>
        <w:tc>
          <w:tcPr>
            <w:tcW w:w="3387" w:type="dxa"/>
            <w:gridSpan w:val="2"/>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11 May 2016 cut-off</w:t>
            </w:r>
          </w:p>
        </w:tc>
      </w:tr>
      <w:tr w:rsidR="00A65838" w:rsidRPr="00600064" w:rsidTr="007B1005">
        <w:tc>
          <w:tcPr>
            <w:tcW w:w="2268" w:type="dxa"/>
            <w:shd w:val="clear" w:color="auto" w:fill="auto"/>
          </w:tcPr>
          <w:p w:rsidR="00A65838" w:rsidRPr="00600064" w:rsidRDefault="00A65838" w:rsidP="00A65838">
            <w:pPr>
              <w:widowControl/>
              <w:spacing w:line="240" w:lineRule="auto"/>
              <w:jc w:val="left"/>
              <w:rPr>
                <w:rFonts w:ascii="Arial Narrow" w:hAnsi="Arial Narrow" w:cs="Times New Roman"/>
                <w:b/>
                <w:snapToGrid/>
                <w:color w:val="000000"/>
                <w:sz w:val="20"/>
                <w:lang w:eastAsia="en-AU"/>
              </w:rPr>
            </w:pPr>
          </w:p>
        </w:tc>
        <w:tc>
          <w:tcPr>
            <w:tcW w:w="1701" w:type="dxa"/>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Nivolumab</w:t>
            </w:r>
          </w:p>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N=410</w:t>
            </w:r>
          </w:p>
        </w:tc>
        <w:tc>
          <w:tcPr>
            <w:tcW w:w="1684" w:type="dxa"/>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proofErr w:type="spellStart"/>
            <w:r w:rsidRPr="00600064">
              <w:rPr>
                <w:rFonts w:ascii="Arial Narrow" w:hAnsi="Arial Narrow" w:cs="Times New Roman"/>
                <w:b/>
                <w:snapToGrid/>
                <w:color w:val="000000"/>
                <w:sz w:val="20"/>
                <w:lang w:eastAsia="en-AU"/>
              </w:rPr>
              <w:t>Everolimus</w:t>
            </w:r>
            <w:proofErr w:type="spellEnd"/>
          </w:p>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N=411</w:t>
            </w:r>
          </w:p>
        </w:tc>
        <w:tc>
          <w:tcPr>
            <w:tcW w:w="1693" w:type="dxa"/>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Nivolumab</w:t>
            </w:r>
          </w:p>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N=410</w:t>
            </w:r>
          </w:p>
        </w:tc>
        <w:tc>
          <w:tcPr>
            <w:tcW w:w="1694" w:type="dxa"/>
            <w:shd w:val="clear" w:color="auto" w:fill="auto"/>
          </w:tcPr>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proofErr w:type="spellStart"/>
            <w:r w:rsidRPr="00600064">
              <w:rPr>
                <w:rFonts w:ascii="Arial Narrow" w:hAnsi="Arial Narrow" w:cs="Times New Roman"/>
                <w:b/>
                <w:snapToGrid/>
                <w:color w:val="000000"/>
                <w:sz w:val="20"/>
                <w:lang w:eastAsia="en-AU"/>
              </w:rPr>
              <w:t>Everolimus</w:t>
            </w:r>
            <w:proofErr w:type="spellEnd"/>
          </w:p>
          <w:p w:rsidR="00A65838" w:rsidRPr="00600064" w:rsidRDefault="00A65838" w:rsidP="00A65838">
            <w:pPr>
              <w:widowControl/>
              <w:spacing w:line="240" w:lineRule="auto"/>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N=411</w:t>
            </w:r>
          </w:p>
        </w:tc>
      </w:tr>
      <w:tr w:rsidR="00A65838" w:rsidRPr="00600064" w:rsidTr="007B1005">
        <w:tc>
          <w:tcPr>
            <w:tcW w:w="2268" w:type="dxa"/>
          </w:tcPr>
          <w:p w:rsidR="00A65838" w:rsidRPr="00600064" w:rsidRDefault="00A65838" w:rsidP="007B1005">
            <w:pPr>
              <w:widowControl/>
              <w:spacing w:line="240" w:lineRule="auto"/>
              <w:jc w:val="left"/>
              <w:rPr>
                <w:rFonts w:ascii="Arial Narrow" w:hAnsi="Arial Narrow" w:cs="Times New Roman"/>
                <w:snapToGrid/>
                <w:color w:val="000000"/>
                <w:sz w:val="20"/>
                <w:lang w:eastAsia="en-AU"/>
              </w:rPr>
            </w:pPr>
            <w:r w:rsidRPr="00600064">
              <w:rPr>
                <w:rFonts w:ascii="Arial Narrow" w:hAnsi="Arial Narrow" w:cs="Times New Roman"/>
                <w:snapToGrid/>
                <w:color w:val="000000"/>
                <w:sz w:val="20"/>
                <w:lang w:eastAsia="en-AU"/>
              </w:rPr>
              <w:t>Median months (95% CI)</w:t>
            </w:r>
          </w:p>
        </w:tc>
        <w:tc>
          <w:tcPr>
            <w:tcW w:w="1701" w:type="dxa"/>
          </w:tcPr>
          <w:p w:rsidR="00A65838" w:rsidRPr="003A224F" w:rsidRDefault="003A224F" w:rsidP="007B1005">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c>
          <w:tcPr>
            <w:tcW w:w="1684" w:type="dxa"/>
          </w:tcPr>
          <w:p w:rsidR="00A65838" w:rsidRPr="003A224F" w:rsidRDefault="003A224F" w:rsidP="007B1005">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c>
          <w:tcPr>
            <w:tcW w:w="1693" w:type="dxa"/>
          </w:tcPr>
          <w:p w:rsidR="00A65838" w:rsidRPr="003A224F" w:rsidRDefault="003A224F" w:rsidP="007B1005">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c>
          <w:tcPr>
            <w:tcW w:w="1694" w:type="dxa"/>
          </w:tcPr>
          <w:p w:rsidR="00A65838" w:rsidRPr="003A224F" w:rsidRDefault="003A224F" w:rsidP="007B1005">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r>
      <w:tr w:rsidR="00A65838" w:rsidRPr="00600064" w:rsidTr="007B1005">
        <w:tc>
          <w:tcPr>
            <w:tcW w:w="2268" w:type="dxa"/>
          </w:tcPr>
          <w:p w:rsidR="00A65838" w:rsidRPr="00600064" w:rsidRDefault="00A65838" w:rsidP="00A65838">
            <w:pPr>
              <w:widowControl/>
              <w:spacing w:line="240" w:lineRule="auto"/>
              <w:jc w:val="left"/>
              <w:rPr>
                <w:rFonts w:ascii="Arial Narrow" w:hAnsi="Arial Narrow" w:cs="Times New Roman"/>
                <w:snapToGrid/>
                <w:color w:val="000000"/>
                <w:sz w:val="20"/>
                <w:lang w:eastAsia="en-AU"/>
              </w:rPr>
            </w:pPr>
            <w:r w:rsidRPr="00600064">
              <w:rPr>
                <w:rFonts w:ascii="Arial Narrow" w:hAnsi="Arial Narrow" w:cs="Times New Roman"/>
                <w:snapToGrid/>
                <w:color w:val="000000"/>
                <w:sz w:val="20"/>
                <w:lang w:eastAsia="en-AU"/>
              </w:rPr>
              <w:t>HR (95% CI)</w:t>
            </w:r>
          </w:p>
        </w:tc>
        <w:tc>
          <w:tcPr>
            <w:tcW w:w="3385" w:type="dxa"/>
            <w:gridSpan w:val="2"/>
          </w:tcPr>
          <w:p w:rsidR="00A65838" w:rsidRPr="003A224F" w:rsidRDefault="003A224F" w:rsidP="00A65838">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c>
          <w:tcPr>
            <w:tcW w:w="3387" w:type="dxa"/>
            <w:gridSpan w:val="2"/>
          </w:tcPr>
          <w:p w:rsidR="00A65838" w:rsidRPr="003A224F" w:rsidRDefault="003A224F" w:rsidP="00A65838">
            <w:pPr>
              <w:widowControl/>
              <w:spacing w:line="240" w:lineRule="auto"/>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 '''''''''''''' ''''''''''''</w:t>
            </w:r>
          </w:p>
        </w:tc>
      </w:tr>
    </w:tbl>
    <w:p w:rsidR="00A65838" w:rsidRPr="00600064" w:rsidRDefault="00A65838" w:rsidP="007B1005">
      <w:pPr>
        <w:keepLines/>
        <w:widowControl/>
        <w:spacing w:after="360"/>
        <w:contextualSpacing/>
        <w:jc w:val="left"/>
        <w:rPr>
          <w:rFonts w:ascii="Arial Narrow" w:hAnsi="Arial Narrow" w:cs="Times New Roman"/>
          <w:snapToGrid/>
          <w:sz w:val="16"/>
          <w:szCs w:val="16"/>
          <w:lang w:eastAsia="en-AU"/>
        </w:rPr>
      </w:pPr>
      <w:r w:rsidRPr="00600064">
        <w:rPr>
          <w:rFonts w:ascii="Arial Narrow" w:hAnsi="Arial Narrow" w:cs="Times New Roman"/>
          <w:snapToGrid/>
          <w:sz w:val="16"/>
          <w:szCs w:val="16"/>
          <w:lang w:eastAsia="en-AU"/>
        </w:rPr>
        <w:t>Source: Table 11, p 38 of resubmission.</w:t>
      </w:r>
    </w:p>
    <w:p w:rsidR="00A65838" w:rsidRPr="00600064" w:rsidRDefault="00A65838" w:rsidP="007B1005">
      <w:pPr>
        <w:keepNext/>
        <w:widowControl/>
        <w:spacing w:after="360"/>
        <w:contextualSpacing/>
        <w:jc w:val="left"/>
        <w:rPr>
          <w:rFonts w:ascii="Arial Narrow" w:hAnsi="Arial Narrow" w:cs="Times New Roman"/>
          <w:snapToGrid/>
          <w:sz w:val="16"/>
          <w:szCs w:val="16"/>
          <w:lang w:eastAsia="en-AU"/>
        </w:rPr>
      </w:pPr>
      <w:r w:rsidRPr="00600064">
        <w:rPr>
          <w:rFonts w:ascii="Arial Narrow" w:hAnsi="Arial Narrow" w:cs="Times New Roman"/>
          <w:snapToGrid/>
          <w:sz w:val="16"/>
          <w:szCs w:val="16"/>
          <w:lang w:eastAsia="en-AU"/>
        </w:rPr>
        <w:t>Abbreviations: CI, confidence interval. HR: Hazard ratio.</w:t>
      </w:r>
    </w:p>
    <w:p w:rsidR="00A65838" w:rsidRPr="00600064" w:rsidRDefault="00A65838" w:rsidP="007B1005">
      <w:pPr>
        <w:widowControl/>
        <w:contextualSpacing/>
        <w:jc w:val="left"/>
        <w:rPr>
          <w:rFonts w:cs="Times New Roman"/>
          <w:snapToGrid/>
          <w:szCs w:val="22"/>
          <w:lang w:eastAsia="en-AU"/>
        </w:rPr>
      </w:pPr>
    </w:p>
    <w:p w:rsidR="00A65838" w:rsidRDefault="00A65838" w:rsidP="005F42CF">
      <w:pPr>
        <w:pStyle w:val="ListParagraph"/>
        <w:widowControl/>
        <w:numPr>
          <w:ilvl w:val="1"/>
          <w:numId w:val="4"/>
        </w:numPr>
      </w:pPr>
      <w:r w:rsidRPr="00600064">
        <w:t xml:space="preserve">The post-hoc </w:t>
      </w:r>
      <w:r w:rsidRPr="00600064">
        <w:rPr>
          <w:szCs w:val="22"/>
        </w:rPr>
        <w:t>analysis</w:t>
      </w:r>
      <w:r w:rsidRPr="00600064">
        <w:t xml:space="preserve"> indicated </w:t>
      </w:r>
      <w:r w:rsidR="003A224F">
        <w:rPr>
          <w:noProof/>
          <w:color w:val="000000"/>
          <w:highlight w:val="black"/>
        </w:rPr>
        <w:t>''' '''''''''''''''''''''''''' ''''''''''''''''''''''''' '''''''''''''''''''''' '''' '''''''''''''''' ''''' '''''''''''''''''''''' ''''''''' ''' '''''''''''' '''''''''''''''''' ''''''''''' '''''''''''' ''''''''' ''' '''''''''''''''' '''''''''''''''' ''''' ''''''' '''''''''''''''''</w:t>
      </w:r>
      <w:r w:rsidR="007B1005" w:rsidRPr="00600064">
        <w:t>.</w:t>
      </w:r>
    </w:p>
    <w:p w:rsidR="00A65838" w:rsidRPr="003A224F" w:rsidRDefault="00A65838" w:rsidP="007B1005">
      <w:pPr>
        <w:keepNext/>
        <w:keepLines/>
        <w:widowControl/>
        <w:jc w:val="left"/>
        <w:rPr>
          <w:rFonts w:cs="Times New Roman"/>
          <w:b/>
          <w:bCs/>
          <w:snapToGrid/>
          <w:sz w:val="20"/>
        </w:rPr>
      </w:pPr>
      <w:r w:rsidRPr="00600064">
        <w:rPr>
          <w:rFonts w:ascii="Arial Narrow" w:hAnsi="Arial Narrow" w:cs="Times New Roman"/>
          <w:b/>
          <w:bCs/>
          <w:snapToGrid/>
          <w:sz w:val="20"/>
        </w:rPr>
        <w:t xml:space="preserve">Figure </w:t>
      </w:r>
      <w:r w:rsidR="000F556D" w:rsidRPr="00600064">
        <w:rPr>
          <w:rFonts w:ascii="Arial Narrow" w:hAnsi="Arial Narrow" w:cs="Times New Roman"/>
          <w:b/>
          <w:bCs/>
          <w:snapToGrid/>
          <w:sz w:val="20"/>
        </w:rPr>
        <w:t>3</w:t>
      </w:r>
      <w:r w:rsidRPr="00600064">
        <w:rPr>
          <w:rFonts w:ascii="Arial Narrow" w:hAnsi="Arial Narrow" w:cs="Times New Roman"/>
          <w:b/>
          <w:bCs/>
          <w:snapToGrid/>
          <w:sz w:val="20"/>
        </w:rPr>
        <w:t>: Kapl</w:t>
      </w:r>
      <w:r w:rsidR="008B798A" w:rsidRPr="00600064">
        <w:rPr>
          <w:rFonts w:ascii="Arial Narrow" w:hAnsi="Arial Narrow" w:cs="Times New Roman"/>
          <w:b/>
          <w:bCs/>
          <w:snapToGrid/>
          <w:sz w:val="20"/>
        </w:rPr>
        <w:t>an-Meier clinical PFS plot (11</w:t>
      </w:r>
      <w:r w:rsidRPr="00600064">
        <w:rPr>
          <w:rFonts w:ascii="Arial Narrow" w:hAnsi="Arial Narrow" w:cs="Times New Roman"/>
          <w:b/>
          <w:bCs/>
          <w:snapToGrid/>
          <w:sz w:val="20"/>
        </w:rPr>
        <w:t xml:space="preserve"> May 2016 cut-off)</w:t>
      </w:r>
    </w:p>
    <w:p w:rsidR="00A65838" w:rsidRPr="003A224F" w:rsidRDefault="003A224F" w:rsidP="00A65838">
      <w:pPr>
        <w:keepNext/>
        <w:keepLines/>
        <w:widowControl/>
        <w:ind w:left="1418" w:hanging="1418"/>
        <w:jc w:val="left"/>
        <w:rPr>
          <w:rFonts w:cs="Times New Roman"/>
          <w:b/>
          <w:bCs/>
          <w:snapToGrid/>
          <w:sz w:val="20"/>
        </w:rPr>
      </w:pPr>
      <w:r>
        <w:rPr>
          <w:rFonts w:cs="Times New Roman"/>
          <w:b/>
          <w:bCs/>
          <w:noProof/>
          <w:snapToGrid/>
          <w:sz w:val="20"/>
          <w:lang w:eastAsia="en-AU"/>
        </w:rPr>
        <w:drawing>
          <wp:inline distT="0" distB="0" distL="0" distR="0">
            <wp:extent cx="5273040" cy="2799080"/>
            <wp:effectExtent l="0" t="0" r="3810" b="1270"/>
            <wp:docPr id="6" name="Picture 6" title="Figure 3: Kaplan-Meier clinical PFS plot (11 May 2016 cut-of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3040" cy="2799080"/>
                    </a:xfrm>
                    <a:prstGeom prst="rect">
                      <a:avLst/>
                    </a:prstGeom>
                  </pic:spPr>
                </pic:pic>
              </a:graphicData>
            </a:graphic>
          </wp:inline>
        </w:drawing>
      </w:r>
    </w:p>
    <w:p w:rsidR="00A65838" w:rsidRPr="003A224F" w:rsidRDefault="003A224F" w:rsidP="007B1005">
      <w:pPr>
        <w:widowControl/>
        <w:jc w:val="left"/>
        <w:rPr>
          <w:rFonts w:cs="Times New Roman"/>
          <w:snapToGrid/>
          <w:sz w:val="16"/>
          <w:szCs w:val="16"/>
          <w:highlight w:val="black"/>
        </w:rPr>
      </w:pPr>
      <w:r>
        <w:rPr>
          <w:rFonts w:cs="Times New Roman"/>
          <w:noProof/>
          <w:snapToGrid/>
          <w:color w:val="000000"/>
          <w:sz w:val="16"/>
          <w:szCs w:val="16"/>
          <w:highlight w:val="black"/>
        </w:rPr>
        <w:t>'''''''''''''''''' '''''''''''''''' '''' '''''''''''' ''''''' '''' ''''''''''''''''''''''''''''''''</w:t>
      </w:r>
    </w:p>
    <w:p w:rsidR="001064B0" w:rsidRPr="00600064" w:rsidRDefault="001064B0" w:rsidP="00E33CE1"/>
    <w:p w:rsidR="00A65838" w:rsidRPr="00600064" w:rsidRDefault="00A65838" w:rsidP="00A65838">
      <w:pPr>
        <w:pStyle w:val="Heading2"/>
        <w:rPr>
          <w:i/>
        </w:rPr>
      </w:pPr>
      <w:bookmarkStart w:id="10" w:name="_Toc472509756"/>
      <w:r w:rsidRPr="00600064">
        <w:rPr>
          <w:i/>
        </w:rPr>
        <w:t>Comparative harms</w:t>
      </w:r>
      <w:bookmarkEnd w:id="10"/>
    </w:p>
    <w:p w:rsidR="007B1005" w:rsidRPr="00600064" w:rsidRDefault="007B1005" w:rsidP="007B1005">
      <w:pPr>
        <w:widowControl/>
        <w:rPr>
          <w:szCs w:val="22"/>
        </w:rPr>
      </w:pPr>
    </w:p>
    <w:p w:rsidR="00A65838" w:rsidRPr="00600064" w:rsidRDefault="00A65838" w:rsidP="005F42CF">
      <w:pPr>
        <w:pStyle w:val="ListParagraph"/>
        <w:widowControl/>
        <w:numPr>
          <w:ilvl w:val="1"/>
          <w:numId w:val="4"/>
        </w:numPr>
        <w:rPr>
          <w:szCs w:val="22"/>
        </w:rPr>
      </w:pPr>
      <w:r w:rsidRPr="00600064">
        <w:rPr>
          <w:szCs w:val="22"/>
        </w:rPr>
        <w:t xml:space="preserve">The resubmission </w:t>
      </w:r>
      <w:r w:rsidR="009F3A64" w:rsidRPr="00600064">
        <w:rPr>
          <w:szCs w:val="22"/>
        </w:rPr>
        <w:t>indicated</w:t>
      </w:r>
      <w:r w:rsidRPr="00600064">
        <w:rPr>
          <w:szCs w:val="22"/>
        </w:rPr>
        <w:t xml:space="preserve"> that the safety profile of nivolumab with longer follow-up remained consistent with the </w:t>
      </w:r>
      <w:r w:rsidR="001064B0" w:rsidRPr="00600064">
        <w:rPr>
          <w:szCs w:val="22"/>
        </w:rPr>
        <w:t>results from the initial analysis</w:t>
      </w:r>
      <w:r w:rsidRPr="00600064">
        <w:rPr>
          <w:szCs w:val="22"/>
        </w:rPr>
        <w:t>. A</w:t>
      </w:r>
      <w:r w:rsidR="001064B0" w:rsidRPr="00600064">
        <w:rPr>
          <w:szCs w:val="22"/>
        </w:rPr>
        <w:t xml:space="preserve"> summary of </w:t>
      </w:r>
      <w:r w:rsidRPr="00600064">
        <w:rPr>
          <w:szCs w:val="22"/>
        </w:rPr>
        <w:t xml:space="preserve">overall safety </w:t>
      </w:r>
      <w:r w:rsidR="001064B0" w:rsidRPr="00600064">
        <w:rPr>
          <w:szCs w:val="22"/>
        </w:rPr>
        <w:t>from</w:t>
      </w:r>
      <w:r w:rsidRPr="00600064">
        <w:rPr>
          <w:szCs w:val="22"/>
        </w:rPr>
        <w:t xml:space="preserve"> the 11 May 2016 cut-off is presented in Table </w:t>
      </w:r>
      <w:r w:rsidR="00946AAD" w:rsidRPr="00600064">
        <w:rPr>
          <w:szCs w:val="22"/>
        </w:rPr>
        <w:t>8</w:t>
      </w:r>
      <w:r w:rsidR="007B1005" w:rsidRPr="00600064">
        <w:rPr>
          <w:szCs w:val="22"/>
        </w:rPr>
        <w:t xml:space="preserve"> below.</w:t>
      </w:r>
    </w:p>
    <w:p w:rsidR="0036597A" w:rsidRPr="00600064" w:rsidRDefault="0036597A">
      <w:pPr>
        <w:widowControl/>
        <w:jc w:val="left"/>
        <w:rPr>
          <w:rFonts w:ascii="Arial Narrow" w:hAnsi="Arial Narrow" w:cs="Times New Roman"/>
          <w:b/>
          <w:bCs/>
          <w:snapToGrid/>
          <w:sz w:val="20"/>
        </w:rPr>
      </w:pPr>
    </w:p>
    <w:p w:rsidR="00A65838" w:rsidRPr="00600064" w:rsidRDefault="00A65838" w:rsidP="007B1005">
      <w:pPr>
        <w:keepNext/>
        <w:keepLines/>
        <w:widowControl/>
        <w:jc w:val="left"/>
        <w:rPr>
          <w:rFonts w:ascii="Arial Narrow" w:hAnsi="Arial Narrow" w:cs="Times New Roman"/>
          <w:b/>
          <w:bCs/>
          <w:snapToGrid/>
          <w:sz w:val="20"/>
        </w:rPr>
      </w:pPr>
      <w:r w:rsidRPr="00600064">
        <w:rPr>
          <w:rFonts w:ascii="Arial Narrow" w:hAnsi="Arial Narrow" w:cs="Times New Roman"/>
          <w:b/>
          <w:bCs/>
          <w:snapToGrid/>
          <w:sz w:val="20"/>
        </w:rPr>
        <w:t xml:space="preserve">Table </w:t>
      </w:r>
      <w:r w:rsidR="00946AAD" w:rsidRPr="00600064">
        <w:rPr>
          <w:rFonts w:ascii="Arial Narrow" w:hAnsi="Arial Narrow" w:cs="Times New Roman"/>
          <w:b/>
          <w:bCs/>
          <w:snapToGrid/>
          <w:sz w:val="20"/>
        </w:rPr>
        <w:t>8</w:t>
      </w:r>
      <w:r w:rsidRPr="00600064">
        <w:rPr>
          <w:rFonts w:ascii="Arial Narrow" w:hAnsi="Arial Narrow" w:cs="Times New Roman"/>
          <w:b/>
          <w:bCs/>
          <w:snapToGrid/>
          <w:sz w:val="20"/>
        </w:rPr>
        <w:t>: Summary of overall clinical safety (11 May 2016 cut-off)</w:t>
      </w:r>
    </w:p>
    <w:tbl>
      <w:tblPr>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7"/>
        <w:gridCol w:w="1132"/>
        <w:gridCol w:w="1130"/>
        <w:gridCol w:w="1136"/>
        <w:gridCol w:w="1415"/>
        <w:gridCol w:w="1702"/>
      </w:tblGrid>
      <w:tr w:rsidR="007F3DF9" w:rsidRPr="00600064" w:rsidTr="007F3DF9">
        <w:trPr>
          <w:cantSplit/>
          <w:trHeight w:val="70"/>
          <w:tblHeader/>
        </w:trPr>
        <w:tc>
          <w:tcPr>
            <w:tcW w:w="2033" w:type="pct"/>
            <w:gridSpan w:val="2"/>
            <w:tcBorders>
              <w:bottom w:val="single" w:sz="4" w:space="0" w:color="auto"/>
            </w:tcBorders>
            <w:shd w:val="clear" w:color="auto" w:fill="auto"/>
            <w:vAlign w:val="center"/>
          </w:tcPr>
          <w:p w:rsidR="00A65838" w:rsidRPr="00600064" w:rsidRDefault="00A65838" w:rsidP="00A65838">
            <w:pPr>
              <w:rPr>
                <w:rFonts w:ascii="Arial Narrow" w:hAnsi="Arial Narrow"/>
                <w:b/>
                <w:sz w:val="20"/>
              </w:rPr>
            </w:pPr>
            <w:proofErr w:type="gramStart"/>
            <w:r w:rsidRPr="00600064">
              <w:rPr>
                <w:rFonts w:ascii="Arial Narrow" w:hAnsi="Arial Narrow"/>
                <w:b/>
                <w:sz w:val="20"/>
              </w:rPr>
              <w:t>n</w:t>
            </w:r>
            <w:proofErr w:type="gramEnd"/>
            <w:r w:rsidRPr="00600064">
              <w:rPr>
                <w:rFonts w:ascii="Arial Narrow" w:hAnsi="Arial Narrow"/>
                <w:b/>
                <w:sz w:val="20"/>
              </w:rPr>
              <w:t xml:space="preserve"> (%)</w:t>
            </w:r>
          </w:p>
        </w:tc>
        <w:tc>
          <w:tcPr>
            <w:tcW w:w="623" w:type="pct"/>
            <w:tcBorders>
              <w:bottom w:val="single" w:sz="4" w:space="0" w:color="auto"/>
            </w:tcBorders>
            <w:shd w:val="clear" w:color="auto" w:fill="auto"/>
            <w:vAlign w:val="center"/>
          </w:tcPr>
          <w:p w:rsidR="00A65838" w:rsidRPr="00600064" w:rsidRDefault="001C5476" w:rsidP="00A65838">
            <w:pPr>
              <w:widowControl/>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Nivolumab</w:t>
            </w:r>
          </w:p>
          <w:p w:rsidR="00A65838" w:rsidRPr="00600064" w:rsidRDefault="00A65838" w:rsidP="00A65838">
            <w:pPr>
              <w:widowControl/>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(n=406)</w:t>
            </w:r>
          </w:p>
        </w:tc>
        <w:tc>
          <w:tcPr>
            <w:tcW w:w="626" w:type="pct"/>
            <w:tcBorders>
              <w:bottom w:val="single" w:sz="4" w:space="0" w:color="auto"/>
            </w:tcBorders>
            <w:shd w:val="clear" w:color="auto" w:fill="auto"/>
            <w:vAlign w:val="center"/>
          </w:tcPr>
          <w:p w:rsidR="00A65838" w:rsidRPr="00600064" w:rsidRDefault="001C5476" w:rsidP="00A65838">
            <w:pPr>
              <w:widowControl/>
              <w:jc w:val="center"/>
              <w:rPr>
                <w:rFonts w:ascii="Arial Narrow" w:hAnsi="Arial Narrow" w:cs="Times New Roman"/>
                <w:b/>
                <w:snapToGrid/>
                <w:color w:val="000000"/>
                <w:sz w:val="20"/>
                <w:lang w:eastAsia="en-AU"/>
              </w:rPr>
            </w:pPr>
            <w:proofErr w:type="spellStart"/>
            <w:r w:rsidRPr="00600064">
              <w:rPr>
                <w:rFonts w:ascii="Arial Narrow" w:hAnsi="Arial Narrow" w:cs="Times New Roman"/>
                <w:b/>
                <w:snapToGrid/>
                <w:color w:val="000000"/>
                <w:sz w:val="20"/>
                <w:lang w:eastAsia="en-AU"/>
              </w:rPr>
              <w:t>Everolimus</w:t>
            </w:r>
            <w:proofErr w:type="spellEnd"/>
          </w:p>
          <w:p w:rsidR="00A65838" w:rsidRPr="00600064" w:rsidRDefault="00A65838" w:rsidP="00A65838">
            <w:pPr>
              <w:widowControl/>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(n=397)</w:t>
            </w:r>
          </w:p>
        </w:tc>
        <w:tc>
          <w:tcPr>
            <w:tcW w:w="780" w:type="pct"/>
            <w:tcBorders>
              <w:bottom w:val="single" w:sz="4" w:space="0" w:color="auto"/>
            </w:tcBorders>
            <w:shd w:val="clear" w:color="auto" w:fill="auto"/>
            <w:vAlign w:val="center"/>
          </w:tcPr>
          <w:p w:rsidR="00A65838" w:rsidRPr="00600064" w:rsidRDefault="00A65838" w:rsidP="00A65838">
            <w:pPr>
              <w:widowControl/>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RR (95% CI)</w:t>
            </w:r>
          </w:p>
        </w:tc>
        <w:tc>
          <w:tcPr>
            <w:tcW w:w="938" w:type="pct"/>
            <w:tcBorders>
              <w:bottom w:val="single" w:sz="4" w:space="0" w:color="auto"/>
            </w:tcBorders>
            <w:shd w:val="clear" w:color="auto" w:fill="auto"/>
            <w:vAlign w:val="center"/>
          </w:tcPr>
          <w:p w:rsidR="00A65838" w:rsidRPr="00600064" w:rsidRDefault="00A65838" w:rsidP="00A65838">
            <w:pPr>
              <w:widowControl/>
              <w:jc w:val="center"/>
              <w:rPr>
                <w:rFonts w:ascii="Arial Narrow" w:hAnsi="Arial Narrow" w:cs="Times New Roman"/>
                <w:b/>
                <w:snapToGrid/>
                <w:color w:val="000000"/>
                <w:sz w:val="20"/>
                <w:lang w:eastAsia="en-AU"/>
              </w:rPr>
            </w:pPr>
            <w:r w:rsidRPr="00600064">
              <w:rPr>
                <w:rFonts w:ascii="Arial Narrow" w:hAnsi="Arial Narrow" w:cs="Times New Roman"/>
                <w:b/>
                <w:snapToGrid/>
                <w:color w:val="000000"/>
                <w:sz w:val="20"/>
                <w:lang w:eastAsia="en-AU"/>
              </w:rPr>
              <w:t>RD (95% CI)</w:t>
            </w:r>
          </w:p>
        </w:tc>
      </w:tr>
      <w:tr w:rsidR="007F3DF9" w:rsidRPr="00600064" w:rsidTr="007F3DF9">
        <w:trPr>
          <w:cantSplit/>
          <w:trHeight w:val="70"/>
          <w:tblHeader/>
        </w:trPr>
        <w:tc>
          <w:tcPr>
            <w:tcW w:w="1409" w:type="pct"/>
            <w:vMerge w:val="restar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All cause AEs</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vMerge w:val="restar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All cause SAEs</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vMerge w:val="restar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All cause AEs leading to DC</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blHeader/>
        </w:trPr>
        <w:tc>
          <w:tcPr>
            <w:tcW w:w="1409" w:type="pct"/>
            <w:shd w:val="clear" w:color="auto" w:fill="auto"/>
            <w:vAlign w:val="center"/>
          </w:tcPr>
          <w:p w:rsidR="00A65838" w:rsidRPr="00600064" w:rsidRDefault="00A65838" w:rsidP="007F3DF9">
            <w:pPr>
              <w:rPr>
                <w:rFonts w:ascii="Arial Narrow" w:hAnsi="Arial Narrow"/>
                <w:sz w:val="20"/>
              </w:rPr>
            </w:pPr>
            <w:r w:rsidRPr="00600064">
              <w:rPr>
                <w:rFonts w:ascii="Arial Narrow" w:hAnsi="Arial Narrow"/>
                <w:sz w:val="20"/>
              </w:rPr>
              <w:t xml:space="preserve">All cause </w:t>
            </w:r>
            <w:r w:rsidR="007F3DF9" w:rsidRPr="00600064">
              <w:rPr>
                <w:rFonts w:ascii="Arial Narrow" w:hAnsi="Arial Narrow"/>
                <w:sz w:val="20"/>
              </w:rPr>
              <w:t>d</w:t>
            </w:r>
            <w:r w:rsidRPr="00600064">
              <w:rPr>
                <w:rFonts w:ascii="Arial Narrow" w:hAnsi="Arial Narrow"/>
                <w:sz w:val="20"/>
              </w:rPr>
              <w:t>eath due to AE</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5</w:t>
            </w:r>
          </w:p>
        </w:tc>
        <w:tc>
          <w:tcPr>
            <w:tcW w:w="623"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bCs/>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bCs/>
                <w:noProof/>
                <w:color w:val="000000"/>
                <w:sz w:val="20"/>
                <w:highlight w:val="black"/>
              </w:rPr>
              <w:t>''''''''''' ''''''''''''''''''''''''''''''''</w:t>
            </w:r>
          </w:p>
        </w:tc>
      </w:tr>
      <w:tr w:rsidR="007F3DF9" w:rsidRPr="00600064" w:rsidTr="007F3DF9">
        <w:trPr>
          <w:cantSplit/>
        </w:trPr>
        <w:tc>
          <w:tcPr>
            <w:tcW w:w="1409" w:type="pct"/>
            <w:vMerge w:val="restar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Drug related AEs</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bCs/>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bCs/>
                <w:noProof/>
                <w:color w:val="000000"/>
                <w:sz w:val="20"/>
                <w:highlight w:val="black"/>
              </w:rPr>
              <w:t>'''''''''''' ''''''''''''''''''''''''''</w:t>
            </w:r>
          </w:p>
        </w:tc>
      </w:tr>
      <w:tr w:rsidR="007F3DF9" w:rsidRPr="00600064" w:rsidTr="007F3DF9">
        <w:trPr>
          <w:cantSplit/>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bCs/>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bCs/>
                <w:noProof/>
                <w:color w:val="000000"/>
                <w:sz w:val="20"/>
                <w:highlight w:val="black"/>
              </w:rPr>
              <w:t>'''''''''''''' '''''''''''''''''''''''''''''''</w:t>
            </w:r>
          </w:p>
        </w:tc>
      </w:tr>
      <w:tr w:rsidR="007F3DF9" w:rsidRPr="00600064" w:rsidTr="007F3DF9">
        <w:trPr>
          <w:cantSplit/>
        </w:trPr>
        <w:tc>
          <w:tcPr>
            <w:tcW w:w="1409" w:type="pct"/>
            <w:vMerge w:val="restar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Drug-related SAEs</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noProof/>
                <w:color w:val="000000"/>
                <w:sz w:val="20"/>
                <w:highlight w:val="black"/>
              </w:rPr>
              <w:t>'''''''''''' '''''''''''''''''''''''''''''</w:t>
            </w:r>
          </w:p>
        </w:tc>
      </w:tr>
      <w:tr w:rsidR="007F3DF9" w:rsidRPr="00600064" w:rsidTr="007F3DF9">
        <w:trPr>
          <w:cantSplit/>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bCs/>
                <w:sz w:val="20"/>
                <w:highlight w:val="black"/>
              </w:rPr>
            </w:pPr>
            <w:r>
              <w:rPr>
                <w:rFonts w:ascii="Arial Narrow" w:hAnsi="Arial Narrow"/>
                <w:noProof/>
                <w:color w:val="000000"/>
                <w:sz w:val="20"/>
                <w:highlight w:val="black"/>
              </w:rPr>
              <w:t>'''''''''''''' ''''''''''''''''''''''''''''</w:t>
            </w:r>
          </w:p>
        </w:tc>
      </w:tr>
      <w:tr w:rsidR="007F3DF9" w:rsidRPr="00600064" w:rsidTr="007F3DF9">
        <w:trPr>
          <w:cantSplit/>
          <w:trHeight w:val="70"/>
        </w:trPr>
        <w:tc>
          <w:tcPr>
            <w:tcW w:w="1409" w:type="pct"/>
            <w:vMerge w:val="restart"/>
            <w:shd w:val="clear" w:color="auto" w:fill="auto"/>
            <w:vAlign w:val="center"/>
          </w:tcPr>
          <w:p w:rsidR="00A65838" w:rsidRPr="00600064" w:rsidRDefault="00A65838" w:rsidP="007F3DF9">
            <w:pPr>
              <w:jc w:val="left"/>
              <w:rPr>
                <w:rFonts w:ascii="Arial Narrow" w:hAnsi="Arial Narrow"/>
                <w:sz w:val="20"/>
              </w:rPr>
            </w:pPr>
            <w:r w:rsidRPr="00600064">
              <w:rPr>
                <w:rFonts w:ascii="Arial Narrow" w:hAnsi="Arial Narrow"/>
                <w:sz w:val="20"/>
              </w:rPr>
              <w:t>Drug related AEs leading to discontinuation</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Any grade</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rPr>
        <w:tc>
          <w:tcPr>
            <w:tcW w:w="1409" w:type="pct"/>
            <w:vMerge/>
            <w:shd w:val="clear" w:color="auto" w:fill="auto"/>
            <w:vAlign w:val="center"/>
          </w:tcPr>
          <w:p w:rsidR="00A65838" w:rsidRPr="00600064" w:rsidRDefault="00A65838" w:rsidP="00A65838">
            <w:pPr>
              <w:rPr>
                <w:rFonts w:ascii="Arial Narrow" w:hAnsi="Arial Narrow"/>
                <w:sz w:val="20"/>
              </w:rPr>
            </w:pP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3-4</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r w:rsidR="007F3DF9" w:rsidRPr="00600064" w:rsidTr="007F3DF9">
        <w:trPr>
          <w:cantSplit/>
          <w:trHeight w:val="70"/>
        </w:trPr>
        <w:tc>
          <w:tcPr>
            <w:tcW w:w="1409" w:type="pct"/>
            <w:shd w:val="clear" w:color="auto" w:fill="auto"/>
            <w:vAlign w:val="center"/>
          </w:tcPr>
          <w:p w:rsidR="00A65838" w:rsidRPr="00600064" w:rsidRDefault="00A65838" w:rsidP="007F3DF9">
            <w:pPr>
              <w:rPr>
                <w:rFonts w:ascii="Arial Narrow" w:hAnsi="Arial Narrow"/>
                <w:sz w:val="20"/>
              </w:rPr>
            </w:pPr>
            <w:r w:rsidRPr="00600064">
              <w:rPr>
                <w:rFonts w:ascii="Arial Narrow" w:hAnsi="Arial Narrow"/>
                <w:sz w:val="20"/>
              </w:rPr>
              <w:t xml:space="preserve">Drug-related </w:t>
            </w:r>
            <w:r w:rsidR="007F3DF9" w:rsidRPr="00600064">
              <w:rPr>
                <w:rFonts w:ascii="Arial Narrow" w:hAnsi="Arial Narrow"/>
                <w:sz w:val="20"/>
              </w:rPr>
              <w:t>d</w:t>
            </w:r>
            <w:r w:rsidRPr="00600064">
              <w:rPr>
                <w:rFonts w:ascii="Arial Narrow" w:hAnsi="Arial Narrow"/>
                <w:sz w:val="20"/>
              </w:rPr>
              <w:t>eath due to AE</w:t>
            </w:r>
          </w:p>
        </w:tc>
        <w:tc>
          <w:tcPr>
            <w:tcW w:w="624" w:type="pct"/>
            <w:shd w:val="clear" w:color="auto" w:fill="auto"/>
            <w:vAlign w:val="center"/>
          </w:tcPr>
          <w:p w:rsidR="00A65838" w:rsidRPr="00600064" w:rsidRDefault="00A65838" w:rsidP="00A65838">
            <w:pPr>
              <w:rPr>
                <w:rFonts w:ascii="Arial Narrow" w:hAnsi="Arial Narrow"/>
                <w:sz w:val="20"/>
              </w:rPr>
            </w:pPr>
            <w:r w:rsidRPr="00600064">
              <w:rPr>
                <w:rFonts w:ascii="Arial Narrow" w:hAnsi="Arial Narrow"/>
                <w:sz w:val="20"/>
              </w:rPr>
              <w:t>Grade 5</w:t>
            </w:r>
          </w:p>
        </w:tc>
        <w:tc>
          <w:tcPr>
            <w:tcW w:w="623"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w:t>
            </w:r>
          </w:p>
        </w:tc>
        <w:tc>
          <w:tcPr>
            <w:tcW w:w="626" w:type="pct"/>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0"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w:t>
            </w:r>
          </w:p>
        </w:tc>
        <w:tc>
          <w:tcPr>
            <w:tcW w:w="938" w:type="pct"/>
            <w:tcBorders>
              <w:top w:val="nil"/>
              <w:left w:val="nil"/>
              <w:bottom w:val="single" w:sz="8" w:space="0" w:color="auto"/>
              <w:right w:val="single" w:sz="8" w:space="0" w:color="auto"/>
            </w:tcBorders>
            <w:shd w:val="clear" w:color="auto" w:fill="auto"/>
            <w:vAlign w:val="center"/>
          </w:tcPr>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r>
    </w:tbl>
    <w:p w:rsidR="00A65838" w:rsidRPr="00600064" w:rsidRDefault="00A65838" w:rsidP="007B1005">
      <w:pPr>
        <w:rPr>
          <w:rFonts w:ascii="Arial Narrow" w:hAnsi="Arial Narrow"/>
          <w:sz w:val="16"/>
          <w:szCs w:val="16"/>
        </w:rPr>
      </w:pPr>
      <w:r w:rsidRPr="00600064">
        <w:rPr>
          <w:rFonts w:ascii="Arial Narrow" w:hAnsi="Arial Narrow"/>
          <w:sz w:val="16"/>
          <w:szCs w:val="16"/>
        </w:rPr>
        <w:t>Source: Table 13, p 41 of resubmission.</w:t>
      </w:r>
    </w:p>
    <w:p w:rsidR="00A65838" w:rsidRPr="00600064" w:rsidRDefault="00A65838" w:rsidP="007B1005">
      <w:pPr>
        <w:rPr>
          <w:rFonts w:ascii="Arial Narrow" w:hAnsi="Arial Narrow"/>
          <w:sz w:val="16"/>
          <w:szCs w:val="16"/>
        </w:rPr>
      </w:pPr>
      <w:r w:rsidRPr="00600064">
        <w:rPr>
          <w:rFonts w:ascii="Arial Narrow" w:hAnsi="Arial Narrow"/>
          <w:sz w:val="16"/>
          <w:szCs w:val="16"/>
        </w:rPr>
        <w:t>Abbreviations: AE, adverse event; DC, discontinuation; RR, relative risk; RD, risk difference; SAE, serious adverse event.</w:t>
      </w:r>
    </w:p>
    <w:p w:rsidR="00A65838" w:rsidRPr="00600064" w:rsidRDefault="00A65838" w:rsidP="00A65838">
      <w:pPr>
        <w:tabs>
          <w:tab w:val="left" w:pos="6096"/>
        </w:tabs>
      </w:pPr>
    </w:p>
    <w:p w:rsidR="00A65838" w:rsidRPr="00600064" w:rsidRDefault="00A65838" w:rsidP="005F42CF">
      <w:pPr>
        <w:pStyle w:val="ListParagraph"/>
        <w:widowControl/>
        <w:numPr>
          <w:ilvl w:val="1"/>
          <w:numId w:val="4"/>
        </w:numPr>
        <w:rPr>
          <w:szCs w:val="22"/>
        </w:rPr>
      </w:pPr>
      <w:r w:rsidRPr="00600064">
        <w:rPr>
          <w:szCs w:val="22"/>
        </w:rPr>
        <w:t xml:space="preserve">These data indicated </w:t>
      </w:r>
      <w:r w:rsidR="003A224F">
        <w:rPr>
          <w:noProof/>
          <w:color w:val="000000"/>
          <w:szCs w:val="22"/>
          <w:highlight w:val="black"/>
        </w:rPr>
        <w:t>'''''' '''''''''''''''''''''''''' '''''''''''''''''''''''''''</w:t>
      </w:r>
      <w:r w:rsidRPr="00600064">
        <w:rPr>
          <w:szCs w:val="22"/>
        </w:rPr>
        <w:t xml:space="preserve"> between nivolumab and </w:t>
      </w:r>
      <w:proofErr w:type="spellStart"/>
      <w:r w:rsidRPr="00600064">
        <w:rPr>
          <w:szCs w:val="22"/>
        </w:rPr>
        <w:t>everolimus</w:t>
      </w:r>
      <w:proofErr w:type="spellEnd"/>
      <w:r w:rsidRPr="00600064">
        <w:rPr>
          <w:szCs w:val="22"/>
        </w:rPr>
        <w:t xml:space="preserve"> across all cause adverse events (AEs), all cause serious adverse events (SAEs) </w:t>
      </w:r>
      <w:r w:rsidR="001064B0" w:rsidRPr="00600064">
        <w:rPr>
          <w:szCs w:val="22"/>
        </w:rPr>
        <w:t xml:space="preserve">or </w:t>
      </w:r>
      <w:r w:rsidRPr="00600064">
        <w:rPr>
          <w:szCs w:val="22"/>
        </w:rPr>
        <w:t xml:space="preserve">all cause AEs leading to treatment discontinuation. Drug-related AEs were reported </w:t>
      </w:r>
      <w:r w:rsidR="003A224F">
        <w:rPr>
          <w:noProof/>
          <w:color w:val="000000"/>
          <w:szCs w:val="22"/>
          <w:highlight w:val="black"/>
        </w:rPr>
        <w:t>'''''''''' ''''''''''''''''''''''''</w:t>
      </w:r>
      <w:r w:rsidRPr="00600064">
        <w:rPr>
          <w:szCs w:val="22"/>
        </w:rPr>
        <w:t xml:space="preserve"> in the nivolumab group compared to the </w:t>
      </w:r>
      <w:proofErr w:type="spellStart"/>
      <w:r w:rsidRPr="00600064">
        <w:rPr>
          <w:szCs w:val="22"/>
        </w:rPr>
        <w:t>everolimus</w:t>
      </w:r>
      <w:proofErr w:type="spellEnd"/>
      <w:r w:rsidRPr="00600064">
        <w:rPr>
          <w:szCs w:val="22"/>
        </w:rPr>
        <w:t xml:space="preserve"> group, with a </w:t>
      </w:r>
      <w:r w:rsidR="003A224F">
        <w:rPr>
          <w:noProof/>
          <w:color w:val="000000"/>
          <w:szCs w:val="22"/>
          <w:highlight w:val="black"/>
        </w:rPr>
        <w:t>'''''''''''''''''''''''''' ''''''''''''''''''''''''' '''' '''''''''''''' '''''</w:t>
      </w:r>
      <w:r w:rsidRPr="00600064">
        <w:rPr>
          <w:szCs w:val="22"/>
        </w:rPr>
        <w:t xml:space="preserve"> nivolumab observed for any grade drug-related AEs </w:t>
      </w:r>
      <w:r w:rsidR="003A224F">
        <w:rPr>
          <w:noProof/>
          <w:color w:val="000000"/>
          <w:szCs w:val="22"/>
          <w:highlight w:val="black"/>
        </w:rPr>
        <w:t>''''''''' '''' ''''''''''''' ''''''''''' '''''' '''''''''''' '''''''''''</w:t>
      </w:r>
      <w:r w:rsidRPr="00600064">
        <w:rPr>
          <w:szCs w:val="22"/>
        </w:rPr>
        <w:t xml:space="preserve"> and Grade 3-4 drug-related AEs </w:t>
      </w:r>
      <w:r w:rsidR="003A224F">
        <w:rPr>
          <w:noProof/>
          <w:color w:val="000000"/>
          <w:szCs w:val="22"/>
          <w:highlight w:val="black"/>
        </w:rPr>
        <w:t>'''''''''' ''' '''''''''''' '''''''''''' '''''''' ''''''''''' ''''''''''''</w:t>
      </w:r>
      <w:r w:rsidR="007B1005" w:rsidRPr="00600064">
        <w:rPr>
          <w:szCs w:val="22"/>
        </w:rPr>
        <w:t>.</w:t>
      </w:r>
    </w:p>
    <w:p w:rsidR="00A65838" w:rsidRPr="00600064" w:rsidRDefault="00A65838" w:rsidP="00A65838">
      <w:pPr>
        <w:ind w:left="720" w:hanging="720"/>
        <w:rPr>
          <w:szCs w:val="22"/>
        </w:rPr>
      </w:pPr>
    </w:p>
    <w:p w:rsidR="00A65838" w:rsidRPr="00600064" w:rsidRDefault="003A224F" w:rsidP="005F42CF">
      <w:pPr>
        <w:pStyle w:val="ListParagraph"/>
        <w:widowControl/>
        <w:numPr>
          <w:ilvl w:val="1"/>
          <w:numId w:val="4"/>
        </w:numPr>
        <w:rPr>
          <w:szCs w:val="22"/>
        </w:rPr>
      </w:pPr>
      <w:r>
        <w:rPr>
          <w:noProof/>
          <w:color w:val="000000"/>
          <w:szCs w:val="22"/>
          <w:highlight w:val="black"/>
        </w:rPr>
        <w:t>''''''' '''''''''''''''' '''''''''''' '''''''''''''''''''''''' ''''' ''''''''''' '''''''''' '''''''''''''''' '''''''''' '''''''''''''''''''''''' ''''''''' ''' ''''''''''''''' ''''''''''''''''' '''' ''''''' '''''''''''''''''''''''' '''''''''''''' ''''''''''' ''''''''''''''''''''''' '''''' ''''''''' ''''' '''''''''''''' ''''''''''' '''''''''''''''''' ''''''''' '''''''''''''''' '''''''''' '''''''''' '''' ''''''''''''' ''''''''''''''' '''''''''' ''''''' ''''''''''' '''''''''' ''''' '''''''''''' ''''''''''''' ''''''''''''''''''''''</w:t>
      </w:r>
      <w:r w:rsidR="00A65838" w:rsidRPr="00600064">
        <w:rPr>
          <w:szCs w:val="22"/>
        </w:rPr>
        <w:t>.</w:t>
      </w:r>
    </w:p>
    <w:p w:rsidR="00A65838" w:rsidRPr="00600064" w:rsidRDefault="00A65838" w:rsidP="00A65838">
      <w:pPr>
        <w:ind w:left="720" w:hanging="720"/>
        <w:rPr>
          <w:szCs w:val="22"/>
        </w:rPr>
      </w:pPr>
    </w:p>
    <w:p w:rsidR="00A65838" w:rsidRPr="00600064" w:rsidRDefault="005441B6" w:rsidP="005F42CF">
      <w:pPr>
        <w:pStyle w:val="ListParagraph"/>
        <w:widowControl/>
        <w:numPr>
          <w:ilvl w:val="1"/>
          <w:numId w:val="4"/>
        </w:numPr>
        <w:rPr>
          <w:szCs w:val="22"/>
        </w:rPr>
      </w:pPr>
      <w:r w:rsidRPr="00600064">
        <w:rPr>
          <w:szCs w:val="22"/>
        </w:rPr>
        <w:t>Immune</w:t>
      </w:r>
      <w:r w:rsidR="00135416" w:rsidRPr="00600064">
        <w:rPr>
          <w:szCs w:val="22"/>
        </w:rPr>
        <w:t>-</w:t>
      </w:r>
      <w:r w:rsidRPr="00600064">
        <w:rPr>
          <w:szCs w:val="22"/>
        </w:rPr>
        <w:t xml:space="preserve">related adverse events (IMAE) Grade 3 or 4 occurred </w:t>
      </w:r>
      <w:r w:rsidR="003A224F">
        <w:rPr>
          <w:noProof/>
          <w:color w:val="000000"/>
          <w:szCs w:val="22"/>
          <w:highlight w:val="black"/>
        </w:rPr>
        <w:t>'''''''''''''' ''''''''''''''''''''''''' '''' ''''''' '''''''''''''''''''''' '''''''''''''''' '''''''''''''''''' ''''''''''''' ''''''' ''''''' '''''''''''''''''''' ''''' ''''''''''''' '''''''''''''''''' '''''''''''''''''''''''''''' ''''''''''' '''''''' ''''''''''''''''''''''' ''''''''''''''''''''''''''</w:t>
      </w:r>
      <w:r w:rsidRPr="00600064">
        <w:rPr>
          <w:szCs w:val="22"/>
        </w:rPr>
        <w:t>. Costs for the treatment of these events (colitis, hepatitis, pneumonitis and nephritis) were included in the economic model.</w:t>
      </w:r>
    </w:p>
    <w:p w:rsidR="00A65838" w:rsidRPr="00600064" w:rsidRDefault="00A65838" w:rsidP="00A65838">
      <w:pPr>
        <w:ind w:left="720" w:hanging="720"/>
      </w:pPr>
    </w:p>
    <w:p w:rsidR="00E25D57" w:rsidRDefault="00E25D57">
      <w:pPr>
        <w:widowControl/>
        <w:jc w:val="left"/>
        <w:rPr>
          <w:b/>
          <w:i/>
        </w:rPr>
      </w:pPr>
      <w:bookmarkStart w:id="11" w:name="_Toc472509757"/>
      <w:r>
        <w:rPr>
          <w:i/>
        </w:rPr>
        <w:br w:type="page"/>
      </w:r>
    </w:p>
    <w:p w:rsidR="0020758D" w:rsidRPr="00600064" w:rsidRDefault="00A65838" w:rsidP="0020758D">
      <w:pPr>
        <w:pStyle w:val="Heading2"/>
        <w:rPr>
          <w:i/>
        </w:rPr>
      </w:pPr>
      <w:r w:rsidRPr="00600064">
        <w:rPr>
          <w:i/>
        </w:rPr>
        <w:t>Benefits/harms</w:t>
      </w:r>
      <w:bookmarkEnd w:id="11"/>
    </w:p>
    <w:p w:rsidR="008D3472" w:rsidRPr="00600064" w:rsidRDefault="008D3472" w:rsidP="008D3472">
      <w:pPr>
        <w:widowControl/>
      </w:pPr>
    </w:p>
    <w:p w:rsidR="00A65838" w:rsidRPr="00600064" w:rsidRDefault="00A65838" w:rsidP="005F42CF">
      <w:pPr>
        <w:pStyle w:val="ListParagraph"/>
        <w:widowControl/>
        <w:numPr>
          <w:ilvl w:val="1"/>
          <w:numId w:val="4"/>
        </w:numPr>
      </w:pPr>
      <w:r w:rsidRPr="00600064">
        <w:t xml:space="preserve">A summary of the comparative benefits and harms for nivolumab versus </w:t>
      </w:r>
      <w:proofErr w:type="spellStart"/>
      <w:r w:rsidRPr="00600064">
        <w:t>everolimus</w:t>
      </w:r>
      <w:proofErr w:type="spellEnd"/>
      <w:r w:rsidRPr="00600064">
        <w:t xml:space="preserve"> is presented in Table </w:t>
      </w:r>
      <w:r w:rsidR="0026112F" w:rsidRPr="00600064">
        <w:t>9</w:t>
      </w:r>
      <w:r w:rsidRPr="00600064">
        <w:t xml:space="preserve"> below.</w:t>
      </w:r>
    </w:p>
    <w:p w:rsidR="0036597A" w:rsidRPr="00600064" w:rsidRDefault="0036597A">
      <w:pPr>
        <w:widowControl/>
        <w:jc w:val="left"/>
        <w:rPr>
          <w:rFonts w:ascii="Arial Narrow" w:hAnsi="Arial Narrow"/>
          <w:b/>
          <w:sz w:val="20"/>
          <w:szCs w:val="16"/>
        </w:rPr>
      </w:pPr>
    </w:p>
    <w:p w:rsidR="00A65838" w:rsidRPr="00600064" w:rsidRDefault="0026112F" w:rsidP="007F3DF9">
      <w:pPr>
        <w:rPr>
          <w:rFonts w:ascii="Arial Narrow" w:hAnsi="Arial Narrow"/>
          <w:b/>
          <w:sz w:val="20"/>
          <w:szCs w:val="16"/>
        </w:rPr>
      </w:pPr>
      <w:r w:rsidRPr="00600064">
        <w:rPr>
          <w:rFonts w:ascii="Arial Narrow" w:hAnsi="Arial Narrow"/>
          <w:b/>
          <w:sz w:val="20"/>
          <w:szCs w:val="16"/>
        </w:rPr>
        <w:t>Table 9</w:t>
      </w:r>
      <w:r w:rsidR="00A65838" w:rsidRPr="00600064">
        <w:rPr>
          <w:rFonts w:ascii="Arial Narrow" w:hAnsi="Arial Narrow"/>
          <w:b/>
          <w:sz w:val="20"/>
          <w:szCs w:val="16"/>
        </w:rPr>
        <w:t xml:space="preserve">: Summary of comparative benefits and harms for nivolumab and </w:t>
      </w:r>
      <w:proofErr w:type="spellStart"/>
      <w:r w:rsidR="00A65838" w:rsidRPr="00600064">
        <w:rPr>
          <w:rFonts w:ascii="Arial Narrow" w:hAnsi="Arial Narrow"/>
          <w:b/>
          <w:sz w:val="20"/>
          <w:szCs w:val="16"/>
        </w:rPr>
        <w:t>everolimus</w:t>
      </w:r>
      <w:proofErr w:type="spellEnd"/>
      <w:r w:rsidR="00A65838" w:rsidRPr="00600064">
        <w:rPr>
          <w:rFonts w:ascii="Arial Narrow" w:hAnsi="Arial Narrow"/>
          <w:b/>
          <w:sz w:val="20"/>
          <w:szCs w:val="16"/>
        </w:rPr>
        <w:t xml:space="preserve"> from CA209025</w:t>
      </w:r>
      <w:r w:rsidR="001064B0" w:rsidRPr="00600064">
        <w:rPr>
          <w:rFonts w:ascii="Arial Narrow" w:hAnsi="Arial Narrow"/>
          <w:b/>
          <w:sz w:val="20"/>
          <w:szCs w:val="16"/>
        </w:rPr>
        <w:t xml:space="preserve"> (data from the 11 May </w:t>
      </w:r>
      <w:r w:rsidR="008D3472" w:rsidRPr="00600064">
        <w:rPr>
          <w:rFonts w:ascii="Arial Narrow" w:hAnsi="Arial Narrow"/>
          <w:b/>
          <w:sz w:val="20"/>
          <w:szCs w:val="16"/>
        </w:rPr>
        <w:t xml:space="preserve">2016 </w:t>
      </w:r>
      <w:r w:rsidR="001064B0" w:rsidRPr="00600064">
        <w:rPr>
          <w:rFonts w:ascii="Arial Narrow" w:hAnsi="Arial Narrow"/>
          <w:b/>
          <w:sz w:val="20"/>
          <w:szCs w:val="16"/>
        </w:rPr>
        <w:t>database cut-off)</w:t>
      </w:r>
    </w:p>
    <w:tbl>
      <w:tblPr>
        <w:tblStyle w:val="TableGridbeth7"/>
        <w:tblW w:w="4994" w:type="pct"/>
        <w:tblInd w:w="28" w:type="dxa"/>
        <w:tblLayout w:type="fixed"/>
        <w:tblCellMar>
          <w:left w:w="28" w:type="dxa"/>
          <w:right w:w="28" w:type="dxa"/>
        </w:tblCellMar>
        <w:tblLook w:val="04A0" w:firstRow="1" w:lastRow="0" w:firstColumn="1" w:lastColumn="0" w:noHBand="0" w:noVBand="1"/>
        <w:tblCaption w:val="Table 9: Summary of comparative benefits and harms for nivolumab and everolimus from CA209025 (data from the 11 May 2016 database cut-off)"/>
      </w:tblPr>
      <w:tblGrid>
        <w:gridCol w:w="2693"/>
        <w:gridCol w:w="1415"/>
        <w:gridCol w:w="1419"/>
        <w:gridCol w:w="1002"/>
        <w:gridCol w:w="985"/>
        <w:gridCol w:w="16"/>
        <w:gridCol w:w="1542"/>
      </w:tblGrid>
      <w:tr w:rsidR="00A65838" w:rsidRPr="00600064" w:rsidTr="00E25D57">
        <w:trPr>
          <w:tblHeader/>
        </w:trPr>
        <w:tc>
          <w:tcPr>
            <w:tcW w:w="5000" w:type="pct"/>
            <w:gridSpan w:val="7"/>
            <w:shd w:val="clear" w:color="auto" w:fill="auto"/>
            <w:vAlign w:val="center"/>
          </w:tcPr>
          <w:p w:rsidR="00A65838" w:rsidRPr="00600064" w:rsidRDefault="00A65838" w:rsidP="00A65838">
            <w:pPr>
              <w:rPr>
                <w:rFonts w:ascii="Arial Narrow" w:hAnsi="Arial Narrow"/>
                <w:b/>
                <w:color w:val="000000"/>
                <w:sz w:val="20"/>
                <w:szCs w:val="18"/>
              </w:rPr>
            </w:pPr>
            <w:r w:rsidRPr="00600064">
              <w:rPr>
                <w:rFonts w:ascii="Arial Narrow" w:hAnsi="Arial Narrow"/>
                <w:b/>
                <w:color w:val="000000"/>
                <w:sz w:val="20"/>
                <w:szCs w:val="18"/>
              </w:rPr>
              <w:t>Benefits</w:t>
            </w:r>
          </w:p>
        </w:tc>
      </w:tr>
      <w:tr w:rsidR="007F3DF9" w:rsidRPr="00600064" w:rsidTr="007F3DF9">
        <w:tc>
          <w:tcPr>
            <w:tcW w:w="1484" w:type="pct"/>
            <w:shd w:val="clear" w:color="auto" w:fill="auto"/>
            <w:vAlign w:val="center"/>
          </w:tcPr>
          <w:p w:rsidR="00A65838" w:rsidRPr="00600064" w:rsidRDefault="00A65838" w:rsidP="00A65838">
            <w:pPr>
              <w:jc w:val="center"/>
              <w:rPr>
                <w:rFonts w:ascii="Arial Narrow" w:hAnsi="Arial Narrow"/>
                <w:color w:val="000000"/>
                <w:sz w:val="20"/>
                <w:szCs w:val="18"/>
              </w:rPr>
            </w:pPr>
          </w:p>
        </w:tc>
        <w:tc>
          <w:tcPr>
            <w:tcW w:w="780" w:type="pct"/>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sz w:val="20"/>
              </w:rPr>
              <w:t>Nivolumab</w:t>
            </w:r>
          </w:p>
        </w:tc>
        <w:tc>
          <w:tcPr>
            <w:tcW w:w="782" w:type="pct"/>
            <w:vAlign w:val="center"/>
          </w:tcPr>
          <w:p w:rsidR="00A65838" w:rsidRPr="00600064" w:rsidRDefault="00A65838" w:rsidP="00A65838">
            <w:pPr>
              <w:jc w:val="center"/>
              <w:rPr>
                <w:rFonts w:ascii="Arial Narrow" w:hAnsi="Arial Narrow"/>
                <w:b/>
                <w:color w:val="000000"/>
                <w:sz w:val="20"/>
                <w:szCs w:val="18"/>
              </w:rPr>
            </w:pPr>
            <w:proofErr w:type="spellStart"/>
            <w:r w:rsidRPr="00600064">
              <w:rPr>
                <w:rFonts w:ascii="Arial Narrow" w:hAnsi="Arial Narrow"/>
                <w:b/>
                <w:sz w:val="20"/>
              </w:rPr>
              <w:t>Everolimus</w:t>
            </w:r>
            <w:proofErr w:type="spellEnd"/>
          </w:p>
        </w:tc>
        <w:tc>
          <w:tcPr>
            <w:tcW w:w="1095" w:type="pct"/>
            <w:gridSpan w:val="2"/>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sz w:val="20"/>
              </w:rPr>
              <w:t>Absolute difference</w:t>
            </w:r>
          </w:p>
        </w:tc>
        <w:tc>
          <w:tcPr>
            <w:tcW w:w="859" w:type="pct"/>
            <w:gridSpan w:val="2"/>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sz w:val="20"/>
              </w:rPr>
              <w:t>HR (95% CI)</w:t>
            </w:r>
          </w:p>
        </w:tc>
      </w:tr>
      <w:tr w:rsidR="00A65838" w:rsidRPr="00600064" w:rsidTr="007F3DF9">
        <w:tc>
          <w:tcPr>
            <w:tcW w:w="5000" w:type="pct"/>
            <w:gridSpan w:val="7"/>
            <w:shd w:val="clear" w:color="auto" w:fill="auto"/>
          </w:tcPr>
          <w:p w:rsidR="00A65838" w:rsidRPr="00600064" w:rsidRDefault="00A65838" w:rsidP="00A65838">
            <w:pPr>
              <w:jc w:val="left"/>
              <w:rPr>
                <w:rFonts w:ascii="Arial Narrow" w:hAnsi="Arial Narrow"/>
                <w:b/>
                <w:sz w:val="20"/>
              </w:rPr>
            </w:pPr>
            <w:r w:rsidRPr="00600064">
              <w:rPr>
                <w:rFonts w:ascii="Arial Narrow" w:hAnsi="Arial Narrow"/>
                <w:b/>
                <w:sz w:val="20"/>
              </w:rPr>
              <w:t>Overall survival</w:t>
            </w:r>
          </w:p>
        </w:tc>
      </w:tr>
      <w:tr w:rsidR="007F3DF9" w:rsidRPr="00600064" w:rsidTr="007F3DF9">
        <w:tc>
          <w:tcPr>
            <w:tcW w:w="1484" w:type="pct"/>
            <w:shd w:val="clear" w:color="auto" w:fill="auto"/>
          </w:tcPr>
          <w:p w:rsidR="00A65838" w:rsidRPr="00600064" w:rsidRDefault="00A65838" w:rsidP="00A65838">
            <w:pPr>
              <w:rPr>
                <w:rFonts w:ascii="Arial Narrow" w:hAnsi="Arial Narrow"/>
                <w:color w:val="000000"/>
                <w:sz w:val="20"/>
                <w:szCs w:val="18"/>
              </w:rPr>
            </w:pPr>
            <w:r w:rsidRPr="00600064">
              <w:rPr>
                <w:rFonts w:ascii="Arial Narrow" w:hAnsi="Arial Narrow"/>
                <w:sz w:val="20"/>
              </w:rPr>
              <w:t>Death</w:t>
            </w:r>
            <w:r w:rsidR="001064B0" w:rsidRPr="00600064">
              <w:rPr>
                <w:rFonts w:ascii="Arial Narrow" w:hAnsi="Arial Narrow"/>
                <w:sz w:val="20"/>
              </w:rPr>
              <w:t>s</w:t>
            </w:r>
            <w:r w:rsidRPr="00600064">
              <w:rPr>
                <w:rFonts w:ascii="Arial Narrow" w:hAnsi="Arial Narrow"/>
                <w:sz w:val="20"/>
              </w:rPr>
              <w:t>, n (%)</w:t>
            </w:r>
          </w:p>
        </w:tc>
        <w:tc>
          <w:tcPr>
            <w:tcW w:w="780" w:type="pct"/>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782" w:type="pct"/>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1095" w:type="pct"/>
            <w:gridSpan w:val="2"/>
          </w:tcPr>
          <w:p w:rsidR="00A65838" w:rsidRPr="003A224F" w:rsidRDefault="00A65838" w:rsidP="00A65838">
            <w:pPr>
              <w:jc w:val="center"/>
              <w:rPr>
                <w:rFonts w:ascii="Arial Narrow" w:hAnsi="Arial Narrow"/>
                <w:color w:val="000000"/>
                <w:sz w:val="20"/>
                <w:szCs w:val="18"/>
              </w:rPr>
            </w:pPr>
          </w:p>
        </w:tc>
        <w:tc>
          <w:tcPr>
            <w:tcW w:w="859" w:type="pct"/>
            <w:gridSpan w:val="2"/>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w:t>
            </w:r>
          </w:p>
        </w:tc>
      </w:tr>
      <w:tr w:rsidR="007F3DF9" w:rsidRPr="00600064" w:rsidTr="007F3DF9">
        <w:tc>
          <w:tcPr>
            <w:tcW w:w="1484" w:type="pct"/>
            <w:shd w:val="clear" w:color="auto" w:fill="auto"/>
          </w:tcPr>
          <w:p w:rsidR="00A65838" w:rsidRPr="00600064" w:rsidRDefault="00A65838" w:rsidP="00A65838">
            <w:pPr>
              <w:rPr>
                <w:rFonts w:ascii="Arial Narrow" w:hAnsi="Arial Narrow"/>
                <w:color w:val="000000"/>
                <w:sz w:val="20"/>
                <w:szCs w:val="18"/>
              </w:rPr>
            </w:pPr>
            <w:r w:rsidRPr="00600064">
              <w:rPr>
                <w:rFonts w:ascii="Arial Narrow" w:hAnsi="Arial Narrow"/>
                <w:sz w:val="20"/>
              </w:rPr>
              <w:t>OS median months (95% CI)</w:t>
            </w:r>
          </w:p>
        </w:tc>
        <w:tc>
          <w:tcPr>
            <w:tcW w:w="780" w:type="pct"/>
            <w:vAlign w:val="center"/>
          </w:tcPr>
          <w:p w:rsidR="007F3DF9"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w:t>
            </w:r>
          </w:p>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782" w:type="pct"/>
            <w:vAlign w:val="center"/>
          </w:tcPr>
          <w:p w:rsidR="007F3DF9"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w:t>
            </w:r>
          </w:p>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1095" w:type="pct"/>
            <w:gridSpan w:val="2"/>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59" w:type="pct"/>
            <w:gridSpan w:val="2"/>
            <w:vAlign w:val="center"/>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 '''''''''''''</w:t>
            </w:r>
          </w:p>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xml:space="preserve">''''''''''''''''' '''' ''''''''''''''' </w:t>
            </w:r>
          </w:p>
        </w:tc>
      </w:tr>
      <w:tr w:rsidR="00A65838" w:rsidRPr="00600064" w:rsidTr="007F3DF9">
        <w:tc>
          <w:tcPr>
            <w:tcW w:w="5000" w:type="pct"/>
            <w:gridSpan w:val="7"/>
            <w:shd w:val="clear" w:color="auto" w:fill="auto"/>
            <w:vAlign w:val="center"/>
          </w:tcPr>
          <w:p w:rsidR="00A65838" w:rsidRPr="00600064" w:rsidRDefault="00A65838" w:rsidP="001064B0">
            <w:pPr>
              <w:jc w:val="left"/>
              <w:rPr>
                <w:rFonts w:ascii="Arial Narrow" w:hAnsi="Arial Narrow"/>
                <w:b/>
                <w:sz w:val="20"/>
              </w:rPr>
            </w:pPr>
            <w:r w:rsidRPr="00600064">
              <w:rPr>
                <w:rFonts w:ascii="Arial Narrow" w:hAnsi="Arial Narrow"/>
                <w:b/>
                <w:sz w:val="20"/>
              </w:rPr>
              <w:t>RECIST</w:t>
            </w:r>
            <w:r w:rsidR="001064B0" w:rsidRPr="00600064">
              <w:rPr>
                <w:rFonts w:ascii="Arial Narrow" w:hAnsi="Arial Narrow"/>
                <w:b/>
                <w:sz w:val="20"/>
              </w:rPr>
              <w:t>-</w:t>
            </w:r>
            <w:r w:rsidR="00030BF9" w:rsidRPr="00600064">
              <w:rPr>
                <w:rFonts w:ascii="Arial Narrow" w:hAnsi="Arial Narrow"/>
                <w:b/>
                <w:sz w:val="20"/>
              </w:rPr>
              <w:t xml:space="preserve">defined </w:t>
            </w:r>
            <w:r w:rsidR="001064B0" w:rsidRPr="00600064">
              <w:rPr>
                <w:rFonts w:ascii="Arial Narrow" w:hAnsi="Arial Narrow"/>
                <w:b/>
                <w:sz w:val="20"/>
              </w:rPr>
              <w:t>PFS</w:t>
            </w:r>
          </w:p>
        </w:tc>
      </w:tr>
      <w:tr w:rsidR="007F3DF9" w:rsidRPr="00600064" w:rsidTr="007F3DF9">
        <w:tc>
          <w:tcPr>
            <w:tcW w:w="1484" w:type="pct"/>
            <w:shd w:val="clear" w:color="auto" w:fill="auto"/>
          </w:tcPr>
          <w:p w:rsidR="00A65838" w:rsidRPr="00600064" w:rsidRDefault="00A65838" w:rsidP="00A65838">
            <w:pPr>
              <w:rPr>
                <w:rFonts w:ascii="Arial Narrow" w:hAnsi="Arial Narrow"/>
                <w:color w:val="000000"/>
                <w:sz w:val="20"/>
                <w:szCs w:val="18"/>
              </w:rPr>
            </w:pPr>
            <w:r w:rsidRPr="00600064">
              <w:rPr>
                <w:rFonts w:ascii="Arial Narrow" w:hAnsi="Arial Narrow"/>
                <w:sz w:val="20"/>
              </w:rPr>
              <w:t>Progressed, n (%)</w:t>
            </w:r>
          </w:p>
        </w:tc>
        <w:tc>
          <w:tcPr>
            <w:tcW w:w="780" w:type="pct"/>
            <w:vAlign w:val="center"/>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782" w:type="pct"/>
            <w:vAlign w:val="center"/>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1095" w:type="pct"/>
            <w:gridSpan w:val="2"/>
          </w:tcPr>
          <w:p w:rsidR="00A65838" w:rsidRPr="003A224F" w:rsidRDefault="00A65838" w:rsidP="00A65838">
            <w:pPr>
              <w:jc w:val="center"/>
              <w:rPr>
                <w:rFonts w:ascii="Arial Narrow" w:hAnsi="Arial Narrow"/>
                <w:color w:val="000000"/>
                <w:sz w:val="20"/>
                <w:szCs w:val="18"/>
              </w:rPr>
            </w:pPr>
          </w:p>
        </w:tc>
        <w:tc>
          <w:tcPr>
            <w:tcW w:w="859" w:type="pct"/>
            <w:gridSpan w:val="2"/>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w:t>
            </w:r>
          </w:p>
        </w:tc>
      </w:tr>
      <w:tr w:rsidR="007F3DF9" w:rsidRPr="00600064" w:rsidTr="007F3DF9">
        <w:tc>
          <w:tcPr>
            <w:tcW w:w="1484" w:type="pct"/>
            <w:shd w:val="clear" w:color="auto" w:fill="auto"/>
          </w:tcPr>
          <w:p w:rsidR="00A65838" w:rsidRPr="00600064" w:rsidRDefault="00A65838" w:rsidP="00A65838">
            <w:pPr>
              <w:jc w:val="left"/>
              <w:rPr>
                <w:rFonts w:ascii="Arial Narrow" w:hAnsi="Arial Narrow"/>
                <w:color w:val="000000"/>
                <w:sz w:val="20"/>
                <w:szCs w:val="18"/>
              </w:rPr>
            </w:pPr>
            <w:r w:rsidRPr="00600064">
              <w:rPr>
                <w:rFonts w:ascii="Arial Narrow" w:hAnsi="Arial Narrow"/>
                <w:sz w:val="20"/>
              </w:rPr>
              <w:t>PFS median months (95% CI)</w:t>
            </w:r>
          </w:p>
        </w:tc>
        <w:tc>
          <w:tcPr>
            <w:tcW w:w="780" w:type="pct"/>
            <w:vAlign w:val="center"/>
          </w:tcPr>
          <w:p w:rsidR="007F3DF9"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w:t>
            </w:r>
          </w:p>
          <w:p w:rsidR="00A65838" w:rsidRPr="003A224F" w:rsidRDefault="003A224F" w:rsidP="007F3DF9">
            <w:pPr>
              <w:jc w:val="center"/>
              <w:rPr>
                <w:rFonts w:ascii="Arial Narrow" w:hAnsi="Arial Narrow"/>
                <w:sz w:val="20"/>
                <w:highlight w:val="black"/>
              </w:rPr>
            </w:pPr>
            <w:r>
              <w:rPr>
                <w:rFonts w:ascii="Arial Narrow" w:hAnsi="Arial Narrow"/>
                <w:noProof/>
                <w:color w:val="000000"/>
                <w:sz w:val="20"/>
                <w:highlight w:val="black"/>
              </w:rPr>
              <w:t>''''''''''''''' ''''''''''''''</w:t>
            </w:r>
          </w:p>
        </w:tc>
        <w:tc>
          <w:tcPr>
            <w:tcW w:w="782" w:type="pct"/>
            <w:vAlign w:val="center"/>
          </w:tcPr>
          <w:p w:rsidR="007F3DF9"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w:t>
            </w:r>
          </w:p>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w:t>
            </w:r>
          </w:p>
        </w:tc>
        <w:tc>
          <w:tcPr>
            <w:tcW w:w="1095" w:type="pct"/>
            <w:gridSpan w:val="2"/>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859" w:type="pct"/>
            <w:gridSpan w:val="2"/>
            <w:vAlign w:val="center"/>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 ''''''''''''</w:t>
            </w:r>
          </w:p>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 ''''''''''''''''</w:t>
            </w:r>
          </w:p>
        </w:tc>
      </w:tr>
      <w:tr w:rsidR="00A65838" w:rsidRPr="00600064" w:rsidTr="007F3DF9">
        <w:tc>
          <w:tcPr>
            <w:tcW w:w="5000" w:type="pct"/>
            <w:gridSpan w:val="7"/>
            <w:tcBorders>
              <w:top w:val="double" w:sz="4" w:space="0" w:color="auto"/>
            </w:tcBorders>
            <w:shd w:val="clear" w:color="auto" w:fill="auto"/>
            <w:vAlign w:val="center"/>
          </w:tcPr>
          <w:p w:rsidR="00A65838" w:rsidRPr="00600064" w:rsidRDefault="00A65838" w:rsidP="00A65838">
            <w:pPr>
              <w:rPr>
                <w:rFonts w:ascii="Arial Narrow" w:hAnsi="Arial Narrow"/>
                <w:b/>
                <w:color w:val="000000"/>
                <w:sz w:val="20"/>
                <w:szCs w:val="18"/>
              </w:rPr>
            </w:pPr>
            <w:r w:rsidRPr="00600064">
              <w:rPr>
                <w:rFonts w:ascii="Arial Narrow" w:hAnsi="Arial Narrow"/>
                <w:b/>
                <w:color w:val="000000"/>
                <w:sz w:val="20"/>
                <w:szCs w:val="18"/>
              </w:rPr>
              <w:t>Harms</w:t>
            </w:r>
          </w:p>
        </w:tc>
      </w:tr>
      <w:tr w:rsidR="00A65838" w:rsidRPr="00600064" w:rsidTr="007F3DF9">
        <w:tc>
          <w:tcPr>
            <w:tcW w:w="1484" w:type="pct"/>
            <w:vMerge w:val="restart"/>
            <w:shd w:val="clear" w:color="auto" w:fill="auto"/>
            <w:vAlign w:val="center"/>
          </w:tcPr>
          <w:p w:rsidR="00A65838" w:rsidRPr="00600064" w:rsidRDefault="00A65838" w:rsidP="00A65838">
            <w:pPr>
              <w:rPr>
                <w:rFonts w:ascii="Arial Narrow" w:hAnsi="Arial Narrow"/>
                <w:b/>
                <w:color w:val="000000"/>
                <w:sz w:val="20"/>
                <w:szCs w:val="18"/>
              </w:rPr>
            </w:pPr>
          </w:p>
        </w:tc>
        <w:tc>
          <w:tcPr>
            <w:tcW w:w="780" w:type="pct"/>
            <w:vMerge w:val="restart"/>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sz w:val="20"/>
              </w:rPr>
              <w:t>Nivolumab</w:t>
            </w:r>
          </w:p>
        </w:tc>
        <w:tc>
          <w:tcPr>
            <w:tcW w:w="782" w:type="pct"/>
            <w:vMerge w:val="restart"/>
            <w:vAlign w:val="center"/>
          </w:tcPr>
          <w:p w:rsidR="00A65838" w:rsidRPr="00600064" w:rsidRDefault="00A65838" w:rsidP="00A65838">
            <w:pPr>
              <w:jc w:val="center"/>
              <w:rPr>
                <w:rFonts w:ascii="Arial Narrow" w:hAnsi="Arial Narrow"/>
                <w:b/>
                <w:color w:val="000000"/>
                <w:sz w:val="20"/>
                <w:szCs w:val="18"/>
              </w:rPr>
            </w:pPr>
            <w:proofErr w:type="spellStart"/>
            <w:r w:rsidRPr="00600064">
              <w:rPr>
                <w:rFonts w:ascii="Arial Narrow" w:hAnsi="Arial Narrow"/>
                <w:b/>
                <w:sz w:val="20"/>
              </w:rPr>
              <w:t>Everolimus</w:t>
            </w:r>
            <w:proofErr w:type="spellEnd"/>
          </w:p>
        </w:tc>
        <w:tc>
          <w:tcPr>
            <w:tcW w:w="1104" w:type="pct"/>
            <w:gridSpan w:val="3"/>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color w:val="000000"/>
                <w:sz w:val="20"/>
                <w:szCs w:val="18"/>
              </w:rPr>
              <w:t>Event rate/100 patients</w:t>
            </w:r>
          </w:p>
        </w:tc>
        <w:tc>
          <w:tcPr>
            <w:tcW w:w="850" w:type="pct"/>
            <w:vMerge w:val="restart"/>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color w:val="000000"/>
                <w:sz w:val="20"/>
                <w:szCs w:val="18"/>
              </w:rPr>
              <w:t>RD%</w:t>
            </w:r>
          </w:p>
          <w:p w:rsidR="00A65838" w:rsidRPr="00600064" w:rsidRDefault="00A65838" w:rsidP="00A65838">
            <w:pPr>
              <w:jc w:val="center"/>
              <w:rPr>
                <w:rFonts w:ascii="Arial Narrow" w:hAnsi="Arial Narrow"/>
                <w:b/>
                <w:color w:val="000000"/>
                <w:sz w:val="20"/>
                <w:szCs w:val="18"/>
              </w:rPr>
            </w:pPr>
            <w:r w:rsidRPr="00600064">
              <w:rPr>
                <w:rFonts w:ascii="Arial Narrow" w:hAnsi="Arial Narrow"/>
                <w:b/>
                <w:color w:val="000000"/>
                <w:sz w:val="20"/>
                <w:szCs w:val="18"/>
              </w:rPr>
              <w:t>(95% CI)</w:t>
            </w:r>
          </w:p>
        </w:tc>
      </w:tr>
      <w:tr w:rsidR="00A65838" w:rsidRPr="00600064" w:rsidTr="007F3DF9">
        <w:tc>
          <w:tcPr>
            <w:tcW w:w="1484" w:type="pct"/>
            <w:vMerge/>
            <w:shd w:val="clear" w:color="auto" w:fill="auto"/>
            <w:vAlign w:val="center"/>
          </w:tcPr>
          <w:p w:rsidR="00A65838" w:rsidRPr="00600064" w:rsidRDefault="00A65838" w:rsidP="00A65838">
            <w:pPr>
              <w:rPr>
                <w:rFonts w:ascii="Arial Narrow" w:hAnsi="Arial Narrow"/>
                <w:b/>
                <w:color w:val="000000"/>
                <w:sz w:val="20"/>
                <w:szCs w:val="18"/>
              </w:rPr>
            </w:pPr>
          </w:p>
        </w:tc>
        <w:tc>
          <w:tcPr>
            <w:tcW w:w="780" w:type="pct"/>
            <w:vMerge/>
            <w:vAlign w:val="center"/>
          </w:tcPr>
          <w:p w:rsidR="00A65838" w:rsidRPr="00600064" w:rsidRDefault="00A65838" w:rsidP="00A65838">
            <w:pPr>
              <w:jc w:val="center"/>
              <w:rPr>
                <w:rFonts w:ascii="Arial Narrow" w:hAnsi="Arial Narrow"/>
                <w:b/>
                <w:color w:val="000000"/>
                <w:sz w:val="20"/>
                <w:szCs w:val="18"/>
              </w:rPr>
            </w:pPr>
          </w:p>
        </w:tc>
        <w:tc>
          <w:tcPr>
            <w:tcW w:w="782" w:type="pct"/>
            <w:vMerge/>
            <w:vAlign w:val="center"/>
          </w:tcPr>
          <w:p w:rsidR="00A65838" w:rsidRPr="00600064" w:rsidRDefault="00A65838" w:rsidP="00A65838">
            <w:pPr>
              <w:jc w:val="center"/>
              <w:rPr>
                <w:rFonts w:ascii="Arial Narrow" w:hAnsi="Arial Narrow"/>
                <w:b/>
                <w:color w:val="000000"/>
                <w:sz w:val="20"/>
                <w:szCs w:val="18"/>
              </w:rPr>
            </w:pPr>
          </w:p>
        </w:tc>
        <w:tc>
          <w:tcPr>
            <w:tcW w:w="552" w:type="pct"/>
            <w:vAlign w:val="center"/>
          </w:tcPr>
          <w:p w:rsidR="00A65838" w:rsidRPr="00600064" w:rsidRDefault="00A65838" w:rsidP="00A65838">
            <w:pPr>
              <w:jc w:val="center"/>
              <w:rPr>
                <w:rFonts w:ascii="Arial Narrow" w:hAnsi="Arial Narrow"/>
                <w:b/>
                <w:color w:val="000000"/>
                <w:sz w:val="20"/>
                <w:szCs w:val="18"/>
              </w:rPr>
            </w:pPr>
            <w:r w:rsidRPr="00600064">
              <w:rPr>
                <w:rFonts w:ascii="Arial Narrow" w:hAnsi="Arial Narrow"/>
                <w:b/>
                <w:color w:val="000000"/>
                <w:sz w:val="20"/>
                <w:szCs w:val="18"/>
              </w:rPr>
              <w:t>Nivolumab</w:t>
            </w:r>
          </w:p>
        </w:tc>
        <w:tc>
          <w:tcPr>
            <w:tcW w:w="552" w:type="pct"/>
            <w:gridSpan w:val="2"/>
            <w:vAlign w:val="center"/>
          </w:tcPr>
          <w:p w:rsidR="00A65838" w:rsidRPr="00600064" w:rsidRDefault="00A65838" w:rsidP="00A65838">
            <w:pPr>
              <w:jc w:val="center"/>
              <w:rPr>
                <w:rFonts w:ascii="Arial Narrow" w:hAnsi="Arial Narrow"/>
                <w:b/>
                <w:color w:val="000000"/>
                <w:sz w:val="20"/>
                <w:szCs w:val="18"/>
              </w:rPr>
            </w:pPr>
            <w:proofErr w:type="spellStart"/>
            <w:r w:rsidRPr="00600064">
              <w:rPr>
                <w:rFonts w:ascii="Arial Narrow" w:hAnsi="Arial Narrow"/>
                <w:b/>
                <w:color w:val="000000"/>
                <w:sz w:val="20"/>
                <w:szCs w:val="18"/>
              </w:rPr>
              <w:t>Everolimus</w:t>
            </w:r>
            <w:proofErr w:type="spellEnd"/>
          </w:p>
        </w:tc>
        <w:tc>
          <w:tcPr>
            <w:tcW w:w="850" w:type="pct"/>
            <w:vMerge/>
            <w:vAlign w:val="center"/>
          </w:tcPr>
          <w:p w:rsidR="00A65838" w:rsidRPr="00600064" w:rsidRDefault="00A65838" w:rsidP="00A65838">
            <w:pPr>
              <w:jc w:val="center"/>
              <w:rPr>
                <w:rFonts w:ascii="Arial Narrow" w:hAnsi="Arial Narrow"/>
                <w:b/>
                <w:color w:val="000000"/>
                <w:sz w:val="20"/>
                <w:szCs w:val="18"/>
              </w:rPr>
            </w:pPr>
          </w:p>
        </w:tc>
      </w:tr>
      <w:tr w:rsidR="00A65838" w:rsidRPr="00600064" w:rsidTr="007F3DF9">
        <w:tc>
          <w:tcPr>
            <w:tcW w:w="1484" w:type="pct"/>
            <w:shd w:val="clear" w:color="auto" w:fill="auto"/>
          </w:tcPr>
          <w:p w:rsidR="00A65838" w:rsidRPr="00600064" w:rsidRDefault="00A65838" w:rsidP="00A65838">
            <w:pPr>
              <w:rPr>
                <w:rFonts w:ascii="Arial Narrow" w:hAnsi="Arial Narrow"/>
                <w:color w:val="000000"/>
                <w:sz w:val="20"/>
                <w:szCs w:val="18"/>
              </w:rPr>
            </w:pPr>
            <w:r w:rsidRPr="00600064">
              <w:rPr>
                <w:rFonts w:ascii="Arial Narrow" w:hAnsi="Arial Narrow"/>
                <w:color w:val="000000"/>
                <w:sz w:val="20"/>
                <w:szCs w:val="18"/>
              </w:rPr>
              <w:t>Any drug-related AE (graded ≥3)</w:t>
            </w:r>
          </w:p>
        </w:tc>
        <w:tc>
          <w:tcPr>
            <w:tcW w:w="780" w:type="pct"/>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cs="Times New Roman"/>
                <w:noProof/>
                <w:snapToGrid/>
                <w:color w:val="000000"/>
                <w:sz w:val="20"/>
                <w:highlight w:val="black"/>
                <w:lang w:eastAsia="en-AU"/>
              </w:rPr>
              <w:t>''''''''''''''''</w:t>
            </w:r>
          </w:p>
        </w:tc>
        <w:tc>
          <w:tcPr>
            <w:tcW w:w="782" w:type="pct"/>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cs="Times New Roman"/>
                <w:noProof/>
                <w:snapToGrid/>
                <w:color w:val="000000"/>
                <w:sz w:val="20"/>
                <w:highlight w:val="black"/>
                <w:lang w:eastAsia="en-AU"/>
              </w:rPr>
              <w:t>'''''''''''''''''''</w:t>
            </w:r>
          </w:p>
        </w:tc>
        <w:tc>
          <w:tcPr>
            <w:tcW w:w="552" w:type="pct"/>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2" w:type="pct"/>
            <w:gridSpan w:val="2"/>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0" w:type="pct"/>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highlight w:val="black"/>
              </w:rPr>
              <w:t>'''''''''''' '''''''''''''''' '''''''''''''</w:t>
            </w:r>
          </w:p>
        </w:tc>
      </w:tr>
      <w:tr w:rsidR="00A65838" w:rsidRPr="00600064" w:rsidTr="007F3DF9">
        <w:tc>
          <w:tcPr>
            <w:tcW w:w="1484" w:type="pct"/>
            <w:shd w:val="clear" w:color="auto" w:fill="auto"/>
          </w:tcPr>
          <w:p w:rsidR="00A65838" w:rsidRPr="00600064" w:rsidRDefault="00A65838" w:rsidP="00A65838">
            <w:pPr>
              <w:rPr>
                <w:rFonts w:ascii="Arial Narrow" w:hAnsi="Arial Narrow"/>
                <w:sz w:val="20"/>
              </w:rPr>
            </w:pPr>
            <w:r w:rsidRPr="00600064">
              <w:rPr>
                <w:rFonts w:ascii="Arial Narrow" w:hAnsi="Arial Narrow"/>
                <w:color w:val="000000"/>
                <w:sz w:val="20"/>
                <w:szCs w:val="18"/>
              </w:rPr>
              <w:t>Drug-related SAE (graded ≥3)</w:t>
            </w:r>
          </w:p>
        </w:tc>
        <w:tc>
          <w:tcPr>
            <w:tcW w:w="780" w:type="pct"/>
            <w:vAlign w:val="center"/>
          </w:tcPr>
          <w:p w:rsidR="00A65838" w:rsidRPr="003A224F" w:rsidRDefault="003A224F" w:rsidP="00A65838">
            <w:pPr>
              <w:jc w:val="center"/>
              <w:rPr>
                <w:rFonts w:ascii="Arial Narrow" w:hAnsi="Arial Narrow"/>
                <w:sz w:val="20"/>
                <w:highlight w:val="black"/>
              </w:rPr>
            </w:pPr>
            <w:r>
              <w:rPr>
                <w:rFonts w:ascii="Arial Narrow" w:hAnsi="Arial Narrow" w:cs="Times New Roman"/>
                <w:noProof/>
                <w:snapToGrid/>
                <w:color w:val="000000"/>
                <w:sz w:val="20"/>
                <w:highlight w:val="black"/>
                <w:lang w:eastAsia="en-AU"/>
              </w:rPr>
              <w:t>''''''''''''''''</w:t>
            </w:r>
          </w:p>
        </w:tc>
        <w:tc>
          <w:tcPr>
            <w:tcW w:w="782" w:type="pct"/>
            <w:vAlign w:val="center"/>
          </w:tcPr>
          <w:p w:rsidR="00A65838" w:rsidRPr="003A224F" w:rsidRDefault="003A224F" w:rsidP="00A65838">
            <w:pPr>
              <w:jc w:val="center"/>
              <w:rPr>
                <w:rFonts w:ascii="Arial Narrow" w:hAnsi="Arial Narrow"/>
                <w:sz w:val="20"/>
                <w:highlight w:val="black"/>
              </w:rPr>
            </w:pPr>
            <w:r>
              <w:rPr>
                <w:rFonts w:ascii="Arial Narrow" w:hAnsi="Arial Narrow" w:cs="Times New Roman"/>
                <w:noProof/>
                <w:snapToGrid/>
                <w:color w:val="000000"/>
                <w:sz w:val="20"/>
                <w:highlight w:val="black"/>
                <w:lang w:eastAsia="en-AU"/>
              </w:rPr>
              <w:t>'''''''''''''''</w:t>
            </w:r>
          </w:p>
        </w:tc>
        <w:tc>
          <w:tcPr>
            <w:tcW w:w="552" w:type="pct"/>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52" w:type="pct"/>
            <w:gridSpan w:val="2"/>
            <w:vAlign w:val="center"/>
          </w:tcPr>
          <w:p w:rsidR="00A65838" w:rsidRPr="003A224F" w:rsidRDefault="003A224F" w:rsidP="00A65838">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0" w:type="pct"/>
            <w:vAlign w:val="center"/>
          </w:tcPr>
          <w:p w:rsidR="00A65838" w:rsidRPr="003A224F" w:rsidRDefault="003A224F" w:rsidP="00A65838">
            <w:pPr>
              <w:jc w:val="center"/>
              <w:rPr>
                <w:rFonts w:ascii="Arial Narrow" w:hAnsi="Arial Narrow"/>
                <w:sz w:val="20"/>
                <w:highlight w:val="black"/>
              </w:rPr>
            </w:pPr>
            <w:r>
              <w:rPr>
                <w:rFonts w:ascii="Arial Narrow" w:hAnsi="Arial Narrow"/>
                <w:noProof/>
                <w:color w:val="000000"/>
                <w:sz w:val="20"/>
                <w:highlight w:val="black"/>
              </w:rPr>
              <w:t>'''''''''' ''''''''''''' ''''''''''</w:t>
            </w:r>
          </w:p>
        </w:tc>
      </w:tr>
    </w:tbl>
    <w:p w:rsidR="00A65838" w:rsidRPr="00600064" w:rsidRDefault="00A65838" w:rsidP="007F3DF9">
      <w:pPr>
        <w:rPr>
          <w:rFonts w:ascii="Arial Narrow" w:hAnsi="Arial Narrow"/>
          <w:sz w:val="16"/>
          <w:szCs w:val="16"/>
        </w:rPr>
      </w:pPr>
      <w:r w:rsidRPr="00600064">
        <w:rPr>
          <w:rFonts w:ascii="Arial Narrow" w:hAnsi="Arial Narrow"/>
          <w:sz w:val="16"/>
          <w:szCs w:val="16"/>
        </w:rPr>
        <w:t>Source: compiled during the evaluation.</w:t>
      </w:r>
    </w:p>
    <w:p w:rsidR="00A65838" w:rsidRPr="00600064" w:rsidRDefault="00A65838" w:rsidP="007F3DF9">
      <w:pPr>
        <w:rPr>
          <w:rFonts w:ascii="Arial Narrow" w:hAnsi="Arial Narrow"/>
          <w:sz w:val="16"/>
          <w:szCs w:val="16"/>
        </w:rPr>
      </w:pPr>
      <w:r w:rsidRPr="00600064">
        <w:rPr>
          <w:rFonts w:ascii="Arial Narrow" w:hAnsi="Arial Narrow"/>
          <w:sz w:val="16"/>
          <w:szCs w:val="16"/>
        </w:rPr>
        <w:t>Abbreviations: AE</w:t>
      </w:r>
      <w:r w:rsidR="00EC418B" w:rsidRPr="00600064">
        <w:rPr>
          <w:rFonts w:ascii="Arial Narrow" w:hAnsi="Arial Narrow"/>
          <w:sz w:val="16"/>
          <w:szCs w:val="16"/>
        </w:rPr>
        <w:t xml:space="preserve">, </w:t>
      </w:r>
      <w:r w:rsidRPr="00600064">
        <w:rPr>
          <w:rFonts w:ascii="Arial Narrow" w:hAnsi="Arial Narrow"/>
          <w:sz w:val="16"/>
          <w:szCs w:val="16"/>
        </w:rPr>
        <w:t>adverse event; SAE</w:t>
      </w:r>
      <w:r w:rsidR="00EC418B" w:rsidRPr="00600064">
        <w:rPr>
          <w:rFonts w:ascii="Arial Narrow" w:hAnsi="Arial Narrow"/>
          <w:sz w:val="16"/>
          <w:szCs w:val="16"/>
        </w:rPr>
        <w:t xml:space="preserve">, </w:t>
      </w:r>
      <w:r w:rsidRPr="00600064">
        <w:rPr>
          <w:rFonts w:ascii="Arial Narrow" w:hAnsi="Arial Narrow"/>
          <w:sz w:val="16"/>
          <w:szCs w:val="16"/>
        </w:rPr>
        <w:t>serious adverse event; HR</w:t>
      </w:r>
      <w:r w:rsidR="00EC418B" w:rsidRPr="00600064">
        <w:rPr>
          <w:rFonts w:ascii="Arial Narrow" w:hAnsi="Arial Narrow"/>
          <w:sz w:val="16"/>
          <w:szCs w:val="16"/>
        </w:rPr>
        <w:t xml:space="preserve">, </w:t>
      </w:r>
      <w:r w:rsidRPr="00600064">
        <w:rPr>
          <w:rFonts w:ascii="Arial Narrow" w:hAnsi="Arial Narrow"/>
          <w:sz w:val="16"/>
          <w:szCs w:val="16"/>
        </w:rPr>
        <w:t>hazard ratio; NR</w:t>
      </w:r>
      <w:r w:rsidR="00EC418B" w:rsidRPr="00600064">
        <w:rPr>
          <w:rFonts w:ascii="Arial Narrow" w:hAnsi="Arial Narrow"/>
          <w:sz w:val="16"/>
          <w:szCs w:val="16"/>
        </w:rPr>
        <w:t>, n</w:t>
      </w:r>
      <w:r w:rsidRPr="00600064">
        <w:rPr>
          <w:rFonts w:ascii="Arial Narrow" w:hAnsi="Arial Narrow"/>
          <w:sz w:val="16"/>
          <w:szCs w:val="16"/>
        </w:rPr>
        <w:t>ot reported; OS</w:t>
      </w:r>
      <w:r w:rsidR="00EC418B" w:rsidRPr="00600064">
        <w:rPr>
          <w:rFonts w:ascii="Arial Narrow" w:hAnsi="Arial Narrow"/>
          <w:sz w:val="16"/>
          <w:szCs w:val="16"/>
        </w:rPr>
        <w:t>, o</w:t>
      </w:r>
      <w:r w:rsidRPr="00600064">
        <w:rPr>
          <w:rFonts w:ascii="Arial Narrow" w:hAnsi="Arial Narrow"/>
          <w:sz w:val="16"/>
          <w:szCs w:val="16"/>
        </w:rPr>
        <w:t>verall survival; PFS</w:t>
      </w:r>
      <w:r w:rsidR="00EC418B" w:rsidRPr="00600064">
        <w:rPr>
          <w:rFonts w:ascii="Arial Narrow" w:hAnsi="Arial Narrow"/>
          <w:sz w:val="16"/>
          <w:szCs w:val="16"/>
        </w:rPr>
        <w:t xml:space="preserve">, </w:t>
      </w:r>
      <w:r w:rsidRPr="00600064">
        <w:rPr>
          <w:rFonts w:ascii="Arial Narrow" w:hAnsi="Arial Narrow"/>
          <w:sz w:val="16"/>
          <w:szCs w:val="16"/>
        </w:rPr>
        <w:t>progression-free survival; RD</w:t>
      </w:r>
      <w:r w:rsidR="00EC418B" w:rsidRPr="00600064">
        <w:rPr>
          <w:rFonts w:ascii="Arial Narrow" w:hAnsi="Arial Narrow"/>
          <w:sz w:val="16"/>
          <w:szCs w:val="16"/>
        </w:rPr>
        <w:t xml:space="preserve">, </w:t>
      </w:r>
      <w:r w:rsidRPr="00600064">
        <w:rPr>
          <w:rFonts w:ascii="Arial Narrow" w:hAnsi="Arial Narrow"/>
          <w:sz w:val="16"/>
          <w:szCs w:val="16"/>
        </w:rPr>
        <w:t>risk difference.</w:t>
      </w:r>
    </w:p>
    <w:p w:rsidR="00A65838" w:rsidRPr="00600064" w:rsidRDefault="00A65838" w:rsidP="00A65838">
      <w:pPr>
        <w:ind w:left="720" w:hanging="720"/>
        <w:rPr>
          <w:szCs w:val="22"/>
        </w:rPr>
      </w:pPr>
    </w:p>
    <w:p w:rsidR="00A65838" w:rsidRPr="00600064" w:rsidRDefault="00A65838" w:rsidP="005F42CF">
      <w:pPr>
        <w:pStyle w:val="ListParagraph"/>
        <w:widowControl/>
        <w:numPr>
          <w:ilvl w:val="1"/>
          <w:numId w:val="4"/>
        </w:numPr>
        <w:rPr>
          <w:szCs w:val="22"/>
        </w:rPr>
      </w:pPr>
      <w:r w:rsidRPr="00600064">
        <w:rPr>
          <w:szCs w:val="22"/>
        </w:rPr>
        <w:t xml:space="preserve">On the basis of the updated evidence presented in the resubmission, for every 100 patients treated with nivolumab in comparison to </w:t>
      </w:r>
      <w:proofErr w:type="spellStart"/>
      <w:r w:rsidRPr="00600064">
        <w:rPr>
          <w:szCs w:val="22"/>
        </w:rPr>
        <w:t>everolimus</w:t>
      </w:r>
      <w:proofErr w:type="spellEnd"/>
      <w:r w:rsidRPr="00600064">
        <w:rPr>
          <w:szCs w:val="22"/>
        </w:rPr>
        <w:t>:</w:t>
      </w:r>
    </w:p>
    <w:p w:rsidR="00A65838" w:rsidRPr="00600064" w:rsidRDefault="00A65838" w:rsidP="00A65838">
      <w:pPr>
        <w:ind w:left="1080" w:hanging="360"/>
        <w:rPr>
          <w:szCs w:val="22"/>
        </w:rPr>
      </w:pPr>
      <w:r w:rsidRPr="00600064">
        <w:rPr>
          <w:szCs w:val="22"/>
        </w:rPr>
        <w:t>•</w:t>
      </w:r>
      <w:r w:rsidRPr="00600064">
        <w:rPr>
          <w:szCs w:val="22"/>
        </w:rPr>
        <w:tab/>
        <w:t xml:space="preserve">Approximately </w:t>
      </w:r>
      <w:r w:rsidR="003A224F">
        <w:rPr>
          <w:noProof/>
          <w:color w:val="000000"/>
          <w:szCs w:val="22"/>
          <w:highlight w:val="black"/>
        </w:rPr>
        <w:t>'''''' '''''''''''''</w:t>
      </w:r>
      <w:r w:rsidRPr="00600064">
        <w:rPr>
          <w:szCs w:val="22"/>
        </w:rPr>
        <w:t xml:space="preserve"> patients would have Grade 3 or 4 drug-related AEs over a mean duration of follow-up of </w:t>
      </w:r>
      <w:r w:rsidR="003A224F">
        <w:rPr>
          <w:noProof/>
          <w:color w:val="000000"/>
          <w:szCs w:val="22"/>
          <w:highlight w:val="black"/>
        </w:rPr>
        <w:t>'''''''''''</w:t>
      </w:r>
      <w:r w:rsidR="001018BF" w:rsidRPr="00600064">
        <w:rPr>
          <w:szCs w:val="22"/>
        </w:rPr>
        <w:t xml:space="preserve"> months.</w:t>
      </w:r>
    </w:p>
    <w:p w:rsidR="00A65838" w:rsidRPr="00600064" w:rsidRDefault="00A65838" w:rsidP="00A65838">
      <w:pPr>
        <w:ind w:left="1080" w:hanging="360"/>
        <w:rPr>
          <w:szCs w:val="22"/>
        </w:rPr>
      </w:pPr>
      <w:proofErr w:type="gramStart"/>
      <w:r w:rsidRPr="00600064">
        <w:rPr>
          <w:szCs w:val="22"/>
        </w:rPr>
        <w:t>•</w:t>
      </w:r>
      <w:r w:rsidRPr="00600064">
        <w:rPr>
          <w:szCs w:val="22"/>
        </w:rPr>
        <w:tab/>
        <w:t xml:space="preserve">Approximately </w:t>
      </w:r>
      <w:r w:rsidR="003A224F">
        <w:rPr>
          <w:noProof/>
          <w:color w:val="000000"/>
          <w:szCs w:val="22"/>
          <w:highlight w:val="black"/>
        </w:rPr>
        <w:t>''' ''''''''''</w:t>
      </w:r>
      <w:r w:rsidRPr="00600064">
        <w:rPr>
          <w:szCs w:val="22"/>
        </w:rPr>
        <w:t xml:space="preserve"> patient would have Grade 3 or 4 drug-related </w:t>
      </w:r>
      <w:r w:rsidR="0026112F" w:rsidRPr="00600064">
        <w:rPr>
          <w:szCs w:val="22"/>
        </w:rPr>
        <w:t>serious adverse event</w:t>
      </w:r>
      <w:r w:rsidRPr="00600064">
        <w:rPr>
          <w:szCs w:val="22"/>
        </w:rPr>
        <w:t xml:space="preserve"> over a mean duration of follow-up of </w:t>
      </w:r>
      <w:r w:rsidR="003A224F">
        <w:rPr>
          <w:noProof/>
          <w:color w:val="000000"/>
          <w:szCs w:val="22"/>
          <w:highlight w:val="black"/>
        </w:rPr>
        <w:t>''''''''''</w:t>
      </w:r>
      <w:r w:rsidR="001064B0" w:rsidRPr="00600064">
        <w:rPr>
          <w:szCs w:val="22"/>
        </w:rPr>
        <w:t xml:space="preserve"> </w:t>
      </w:r>
      <w:r w:rsidRPr="00600064">
        <w:rPr>
          <w:szCs w:val="22"/>
        </w:rPr>
        <w:t>months.</w:t>
      </w:r>
      <w:proofErr w:type="gramEnd"/>
    </w:p>
    <w:p w:rsidR="00A65838" w:rsidRPr="00600064" w:rsidRDefault="00A65838" w:rsidP="00A65838">
      <w:pPr>
        <w:ind w:left="720"/>
        <w:rPr>
          <w:szCs w:val="22"/>
        </w:rPr>
      </w:pPr>
      <w:r w:rsidRPr="00600064">
        <w:rPr>
          <w:szCs w:val="22"/>
        </w:rPr>
        <w:t xml:space="preserve">From the evidence it was also estimated that there would be a difference in median OS of approximately </w:t>
      </w:r>
      <w:r w:rsidR="003A224F">
        <w:rPr>
          <w:noProof/>
          <w:color w:val="000000"/>
          <w:szCs w:val="22"/>
          <w:highlight w:val="black"/>
        </w:rPr>
        <w:t>''''''''</w:t>
      </w:r>
      <w:r w:rsidRPr="00600064">
        <w:rPr>
          <w:szCs w:val="22"/>
        </w:rPr>
        <w:t xml:space="preserve"> months in a group of patients treated with nivolumab compared to </w:t>
      </w:r>
      <w:proofErr w:type="spellStart"/>
      <w:r w:rsidRPr="00600064">
        <w:rPr>
          <w:szCs w:val="22"/>
        </w:rPr>
        <w:t>everolimus</w:t>
      </w:r>
      <w:proofErr w:type="spellEnd"/>
      <w:r w:rsidRPr="00600064">
        <w:rPr>
          <w:szCs w:val="22"/>
        </w:rPr>
        <w:t xml:space="preserve">. </w:t>
      </w:r>
      <w:proofErr w:type="gramStart"/>
      <w:r w:rsidR="003A224F">
        <w:rPr>
          <w:noProof/>
          <w:color w:val="000000"/>
          <w:szCs w:val="22"/>
          <w:highlight w:val="black"/>
        </w:rPr>
        <w:t>'''''''''''''''''''''''' ''''''''''''' ''''''''''''''' '''''' '''''' '''''''''''''''''''''''' '''''</w:t>
      </w:r>
      <w:r w:rsidRPr="00600064">
        <w:rPr>
          <w:szCs w:val="22"/>
        </w:rPr>
        <w:t xml:space="preserve"> median RECIST</w:t>
      </w:r>
      <w:r w:rsidR="00BB28DE" w:rsidRPr="00600064">
        <w:rPr>
          <w:szCs w:val="22"/>
        </w:rPr>
        <w:t>-</w:t>
      </w:r>
      <w:r w:rsidR="00030BF9" w:rsidRPr="00600064">
        <w:rPr>
          <w:szCs w:val="22"/>
        </w:rPr>
        <w:t xml:space="preserve">defined </w:t>
      </w:r>
      <w:r w:rsidRPr="00600064">
        <w:rPr>
          <w:szCs w:val="22"/>
        </w:rPr>
        <w:t xml:space="preserve">PFS </w:t>
      </w:r>
      <w:r w:rsidR="003A224F">
        <w:rPr>
          <w:noProof/>
          <w:color w:val="000000"/>
          <w:szCs w:val="22"/>
          <w:highlight w:val="black"/>
        </w:rPr>
        <w:t>'''''''''''''''''''' ''''''''''''' ''''''''' '''''''''''''''</w:t>
      </w:r>
      <w:r w:rsidRPr="00600064">
        <w:rPr>
          <w:szCs w:val="22"/>
        </w:rPr>
        <w:t>.</w:t>
      </w:r>
      <w:proofErr w:type="gramEnd"/>
    </w:p>
    <w:p w:rsidR="00A65838" w:rsidRPr="00600064" w:rsidRDefault="00A65838" w:rsidP="00A65838"/>
    <w:p w:rsidR="00A65838" w:rsidRPr="00600064" w:rsidRDefault="00A65838" w:rsidP="00A65838">
      <w:pPr>
        <w:pStyle w:val="Heading2"/>
        <w:rPr>
          <w:i/>
        </w:rPr>
      </w:pPr>
      <w:bookmarkStart w:id="12" w:name="_Toc472509758"/>
      <w:r w:rsidRPr="00600064">
        <w:rPr>
          <w:i/>
        </w:rPr>
        <w:t>Clinical claim</w:t>
      </w:r>
      <w:bookmarkEnd w:id="12"/>
    </w:p>
    <w:p w:rsidR="008D3472" w:rsidRPr="00600064" w:rsidRDefault="008D3472" w:rsidP="008D3472">
      <w:pPr>
        <w:widowControl/>
      </w:pPr>
    </w:p>
    <w:p w:rsidR="00A65838" w:rsidRPr="00600064" w:rsidRDefault="00A65838" w:rsidP="005F42CF">
      <w:pPr>
        <w:pStyle w:val="ListParagraph"/>
        <w:widowControl/>
        <w:numPr>
          <w:ilvl w:val="1"/>
          <w:numId w:val="4"/>
        </w:numPr>
      </w:pPr>
      <w:r w:rsidRPr="00600064">
        <w:t xml:space="preserve">The </w:t>
      </w:r>
      <w:r w:rsidRPr="00600064">
        <w:rPr>
          <w:szCs w:val="22"/>
        </w:rPr>
        <w:t>resubmission</w:t>
      </w:r>
      <w:r w:rsidRPr="00600064">
        <w:t xml:space="preserve"> made the claim that nivolumab demonstrated a clear OS benefit over </w:t>
      </w:r>
      <w:proofErr w:type="spellStart"/>
      <w:r w:rsidRPr="00600064">
        <w:t>everolimus</w:t>
      </w:r>
      <w:proofErr w:type="spellEnd"/>
      <w:r w:rsidRPr="00600064">
        <w:t>. Th</w:t>
      </w:r>
      <w:r w:rsidR="00753C47" w:rsidRPr="00600064">
        <w:t xml:space="preserve">e existence of a benefit </w:t>
      </w:r>
      <w:r w:rsidRPr="00600064">
        <w:t>is adequately supported by the evidence presented</w:t>
      </w:r>
      <w:r w:rsidR="00753C47" w:rsidRPr="00600064">
        <w:t xml:space="preserve">; the extent of that benefit is uncertain due to early termination of the </w:t>
      </w:r>
      <w:r w:rsidR="00AE46A7" w:rsidRPr="00600064">
        <w:t>randomised comparison with</w:t>
      </w:r>
      <w:r w:rsidR="00A35918" w:rsidRPr="00600064">
        <w:t>in</w:t>
      </w:r>
      <w:r w:rsidR="00AE46A7" w:rsidRPr="00600064">
        <w:t xml:space="preserve"> the </w:t>
      </w:r>
      <w:r w:rsidR="00753C47" w:rsidRPr="00600064">
        <w:t>trial and patients continuing treatment beyond progression</w:t>
      </w:r>
      <w:r w:rsidRPr="00600064">
        <w:t>.</w:t>
      </w:r>
    </w:p>
    <w:p w:rsidR="00A65838" w:rsidRPr="00600064" w:rsidRDefault="00A65838" w:rsidP="00A65838">
      <w:pPr>
        <w:widowControl/>
      </w:pPr>
    </w:p>
    <w:p w:rsidR="00A65838" w:rsidRPr="00600064" w:rsidRDefault="00A65838" w:rsidP="005F42CF">
      <w:pPr>
        <w:pStyle w:val="ListParagraph"/>
        <w:widowControl/>
        <w:numPr>
          <w:ilvl w:val="1"/>
          <w:numId w:val="4"/>
        </w:numPr>
      </w:pPr>
      <w:r w:rsidRPr="00600064">
        <w:t xml:space="preserve">The </w:t>
      </w:r>
      <w:r w:rsidRPr="00600064">
        <w:rPr>
          <w:szCs w:val="22"/>
        </w:rPr>
        <w:t>resubmission</w:t>
      </w:r>
      <w:r w:rsidRPr="00600064">
        <w:t xml:space="preserve"> claimed that RECIST</w:t>
      </w:r>
      <w:r w:rsidR="00BB28DE" w:rsidRPr="00600064">
        <w:t>-</w:t>
      </w:r>
      <w:r w:rsidR="00030BF9" w:rsidRPr="00600064">
        <w:t xml:space="preserve">defined </w:t>
      </w:r>
      <w:r w:rsidRPr="00600064">
        <w:t xml:space="preserve">PFS data suggest a benefit for nivolumab over </w:t>
      </w:r>
      <w:proofErr w:type="spellStart"/>
      <w:r w:rsidRPr="00600064">
        <w:t>everolimus</w:t>
      </w:r>
      <w:proofErr w:type="spellEnd"/>
      <w:r w:rsidRPr="00600064">
        <w:t>, although this was not statistically significant. The post-hoc analysis of clinical PFS indicate</w:t>
      </w:r>
      <w:r w:rsidR="00BB28DE" w:rsidRPr="00600064">
        <w:t>d</w:t>
      </w:r>
      <w:r w:rsidRPr="00600064">
        <w:t xml:space="preserve"> </w:t>
      </w:r>
      <w:r w:rsidR="003A224F">
        <w:rPr>
          <w:noProof/>
          <w:color w:val="000000"/>
          <w:highlight w:val="black"/>
        </w:rPr>
        <w:t>''' ''''''''''''''''''''''''''' '''''''''''''''''''''' ''''''''''''''''''''''' '''' '''''''''''''' '''' '''''''''''''''''''''''''</w:t>
      </w:r>
      <w:r w:rsidRPr="00600064">
        <w:t>.</w:t>
      </w:r>
      <w:r w:rsidR="00EA0B8C" w:rsidRPr="00600064">
        <w:t xml:space="preserve"> Previously the PBAC has considered that the RECIST</w:t>
      </w:r>
      <w:r w:rsidR="00A35918" w:rsidRPr="00600064">
        <w:t>-defined</w:t>
      </w:r>
      <w:r w:rsidR="00EA0B8C" w:rsidRPr="00600064">
        <w:t xml:space="preserve"> PFS was a more reliable indicator of the actual PFS for nivolumab.</w:t>
      </w:r>
    </w:p>
    <w:p w:rsidR="00A65838" w:rsidRPr="00600064" w:rsidRDefault="00A65838" w:rsidP="00A65838">
      <w:pPr>
        <w:widowControl/>
      </w:pPr>
    </w:p>
    <w:p w:rsidR="00A65838" w:rsidRPr="00600064" w:rsidRDefault="00A65838" w:rsidP="005F42CF">
      <w:pPr>
        <w:pStyle w:val="ListParagraph"/>
        <w:widowControl/>
        <w:numPr>
          <w:ilvl w:val="1"/>
          <w:numId w:val="4"/>
        </w:numPr>
      </w:pPr>
      <w:r w:rsidRPr="00600064">
        <w:t xml:space="preserve">The </w:t>
      </w:r>
      <w:r w:rsidRPr="00600064">
        <w:rPr>
          <w:szCs w:val="22"/>
        </w:rPr>
        <w:t>resubmission</w:t>
      </w:r>
      <w:r w:rsidRPr="00600064">
        <w:t xml:space="preserve"> maintained the view that the clinical trial data supported a claim of favourable safety for nivolumab over </w:t>
      </w:r>
      <w:proofErr w:type="spellStart"/>
      <w:r w:rsidRPr="00600064">
        <w:t>everolimus</w:t>
      </w:r>
      <w:proofErr w:type="spellEnd"/>
      <w:r w:rsidRPr="00600064">
        <w:t xml:space="preserve">, and recognised that the PBAC had not agreed with this claim at the July 2016 meeting based on the evidence presented. </w:t>
      </w:r>
      <w:r w:rsidR="00FB754A" w:rsidRPr="00600064">
        <w:rPr>
          <w:szCs w:val="22"/>
        </w:rPr>
        <w:t xml:space="preserve">The ratified minutes of the July 2016 PBAC meeting record that the Committee considered that the difficulty in determining causality of AEs in the nivolumab arm of the key trial did not support the claim of fewer drug-related AEs; the clinical claim of ‘favourable’ safety for nivolumab over </w:t>
      </w:r>
      <w:proofErr w:type="spellStart"/>
      <w:r w:rsidR="00FB754A" w:rsidRPr="00600064">
        <w:rPr>
          <w:szCs w:val="22"/>
        </w:rPr>
        <w:t>everolimus</w:t>
      </w:r>
      <w:proofErr w:type="spellEnd"/>
      <w:r w:rsidR="00FB754A" w:rsidRPr="00600064">
        <w:rPr>
          <w:szCs w:val="22"/>
        </w:rPr>
        <w:t xml:space="preserve"> was not adequately supported by the data supplied. The minutes of the November 2016 meeting record that the PBAC “was satisfied that nivolumab provides, for some patients no increase in toxicity”. In the resubmission, i</w:t>
      </w:r>
      <w:r w:rsidRPr="00600064">
        <w:t xml:space="preserve">t was stated that disagreement </w:t>
      </w:r>
      <w:r w:rsidR="00FB754A" w:rsidRPr="00600064">
        <w:t xml:space="preserve">over the safety claim </w:t>
      </w:r>
      <w:r w:rsidRPr="00600064">
        <w:t>was inconsequential as the economic model had not valued a safety advantage.</w:t>
      </w:r>
      <w:r w:rsidR="00BB28DE" w:rsidRPr="00600064">
        <w:t xml:space="preserve"> Given differences in </w:t>
      </w:r>
      <w:r w:rsidR="00753C47" w:rsidRPr="00600064">
        <w:t xml:space="preserve">the occurrence of </w:t>
      </w:r>
      <w:r w:rsidR="00BB28DE" w:rsidRPr="00600064">
        <w:t xml:space="preserve">immune related events and SAEs, </w:t>
      </w:r>
      <w:r w:rsidR="00753C47" w:rsidRPr="00600064">
        <w:t xml:space="preserve">on balance the evidence suggests that </w:t>
      </w:r>
      <w:r w:rsidR="00BB28DE" w:rsidRPr="00600064">
        <w:t xml:space="preserve">safety for nivolumab </w:t>
      </w:r>
      <w:r w:rsidR="00753C47" w:rsidRPr="00600064">
        <w:t>is no worse than that with</w:t>
      </w:r>
      <w:r w:rsidR="008D3472" w:rsidRPr="00600064">
        <w:t xml:space="preserve"> </w:t>
      </w:r>
      <w:proofErr w:type="spellStart"/>
      <w:r w:rsidR="008D3472" w:rsidRPr="00600064">
        <w:t>everolimus</w:t>
      </w:r>
      <w:proofErr w:type="spellEnd"/>
      <w:r w:rsidR="008D3472" w:rsidRPr="00600064">
        <w:t>.</w:t>
      </w:r>
    </w:p>
    <w:p w:rsidR="00B60939" w:rsidRPr="00600064" w:rsidRDefault="00B60939" w:rsidP="00887520">
      <w:pPr>
        <w:rPr>
          <w:szCs w:val="22"/>
        </w:rPr>
      </w:pPr>
    </w:p>
    <w:p w:rsidR="00E77501" w:rsidRPr="00600064" w:rsidRDefault="00E77501" w:rsidP="00E77501">
      <w:pPr>
        <w:pStyle w:val="ListParagraph"/>
        <w:widowControl/>
        <w:numPr>
          <w:ilvl w:val="1"/>
          <w:numId w:val="4"/>
        </w:numPr>
        <w:jc w:val="left"/>
        <w:rPr>
          <w:bCs/>
        </w:rPr>
      </w:pPr>
      <w:r w:rsidRPr="00600064">
        <w:rPr>
          <w:bCs/>
          <w:szCs w:val="22"/>
        </w:rPr>
        <w:t>The PBAC considered that the claim of superior comparative effectiveness was reasonable.</w:t>
      </w:r>
    </w:p>
    <w:p w:rsidR="00E77501" w:rsidRPr="00600064" w:rsidRDefault="00E77501" w:rsidP="00E77501">
      <w:pPr>
        <w:rPr>
          <w:bCs/>
          <w:szCs w:val="22"/>
        </w:rPr>
      </w:pPr>
    </w:p>
    <w:p w:rsidR="00E77501" w:rsidRPr="00600064" w:rsidRDefault="00E77501" w:rsidP="00E77501">
      <w:pPr>
        <w:pStyle w:val="ListParagraph"/>
        <w:widowControl/>
        <w:numPr>
          <w:ilvl w:val="1"/>
          <w:numId w:val="4"/>
        </w:numPr>
        <w:rPr>
          <w:szCs w:val="22"/>
        </w:rPr>
      </w:pPr>
      <w:r w:rsidRPr="00600064">
        <w:rPr>
          <w:szCs w:val="22"/>
        </w:rPr>
        <w:t xml:space="preserve">The PBAC restated that it </w:t>
      </w:r>
      <w:r w:rsidR="00CF67D4" w:rsidRPr="00600064">
        <w:rPr>
          <w:szCs w:val="22"/>
        </w:rPr>
        <w:t xml:space="preserve">was satisfied </w:t>
      </w:r>
      <w:r w:rsidRPr="00600064">
        <w:rPr>
          <w:szCs w:val="22"/>
        </w:rPr>
        <w:t>that nivolumab provides</w:t>
      </w:r>
      <w:r w:rsidR="00CF67D4" w:rsidRPr="00600064">
        <w:rPr>
          <w:szCs w:val="22"/>
        </w:rPr>
        <w:t>,</w:t>
      </w:r>
      <w:r w:rsidRPr="00600064">
        <w:rPr>
          <w:szCs w:val="22"/>
        </w:rPr>
        <w:t xml:space="preserve"> for some patients no increase in toxicity.</w:t>
      </w:r>
    </w:p>
    <w:p w:rsidR="00454C7A" w:rsidRPr="00600064" w:rsidRDefault="00454C7A" w:rsidP="00887520">
      <w:pPr>
        <w:rPr>
          <w:szCs w:val="22"/>
        </w:rPr>
      </w:pPr>
    </w:p>
    <w:p w:rsidR="00B60939" w:rsidRPr="00600064" w:rsidRDefault="00B60939" w:rsidP="00497F10">
      <w:pPr>
        <w:pStyle w:val="Heading2"/>
        <w:rPr>
          <w:i/>
        </w:rPr>
      </w:pPr>
      <w:bookmarkStart w:id="13" w:name="_Toc472509759"/>
      <w:r w:rsidRPr="00600064">
        <w:rPr>
          <w:i/>
        </w:rPr>
        <w:t>Economic analysis</w:t>
      </w:r>
      <w:bookmarkEnd w:id="13"/>
    </w:p>
    <w:p w:rsidR="008D3472" w:rsidRPr="00600064" w:rsidRDefault="008D3472" w:rsidP="008D3472">
      <w:pPr>
        <w:widowControl/>
        <w:rPr>
          <w:szCs w:val="22"/>
        </w:rPr>
      </w:pPr>
    </w:p>
    <w:p w:rsidR="00DE5949" w:rsidRPr="00600064" w:rsidRDefault="00DE5949" w:rsidP="005F42CF">
      <w:pPr>
        <w:pStyle w:val="ListParagraph"/>
        <w:widowControl/>
        <w:numPr>
          <w:ilvl w:val="1"/>
          <w:numId w:val="4"/>
        </w:numPr>
        <w:rPr>
          <w:szCs w:val="22"/>
        </w:rPr>
      </w:pPr>
      <w:r w:rsidRPr="00600064">
        <w:t xml:space="preserve">The resubmission </w:t>
      </w:r>
      <w:r w:rsidRPr="00600064">
        <w:rPr>
          <w:szCs w:val="22"/>
        </w:rPr>
        <w:t>presented</w:t>
      </w:r>
      <w:r w:rsidRPr="00600064">
        <w:t xml:space="preserve"> a modelled cost-utility analysis using direct evidence from </w:t>
      </w:r>
      <w:r w:rsidR="00753C47" w:rsidRPr="00600064">
        <w:t xml:space="preserve">study </w:t>
      </w:r>
      <w:r w:rsidRPr="00600064">
        <w:t>CA209025</w:t>
      </w:r>
      <w:r w:rsidR="000404A6" w:rsidRPr="00600064">
        <w:t xml:space="preserve">. The model structure and rationale are </w:t>
      </w:r>
      <w:r w:rsidR="00EC418B" w:rsidRPr="00600064">
        <w:t xml:space="preserve">summarised in </w:t>
      </w:r>
      <w:r w:rsidR="00FB754A" w:rsidRPr="00600064">
        <w:t xml:space="preserve">Table </w:t>
      </w:r>
      <w:r w:rsidR="00EC418B" w:rsidRPr="00600064">
        <w:t>10</w:t>
      </w:r>
      <w:r w:rsidR="00642B81" w:rsidRPr="00600064">
        <w:t xml:space="preserve"> below</w:t>
      </w:r>
      <w:r w:rsidRPr="00600064">
        <w:t xml:space="preserve">. </w:t>
      </w:r>
      <w:r w:rsidR="00124C67" w:rsidRPr="00600064">
        <w:t>T</w:t>
      </w:r>
      <w:r w:rsidRPr="00600064">
        <w:t xml:space="preserve">he </w:t>
      </w:r>
      <w:r w:rsidR="00867ACE" w:rsidRPr="00600064">
        <w:t xml:space="preserve">July </w:t>
      </w:r>
      <w:r w:rsidRPr="00600064">
        <w:t xml:space="preserve">2016 submission and the </w:t>
      </w:r>
      <w:r w:rsidR="00867ACE" w:rsidRPr="00600064">
        <w:t xml:space="preserve">November </w:t>
      </w:r>
      <w:r w:rsidRPr="00600064">
        <w:t>2016 minor resubmission</w:t>
      </w:r>
      <w:r w:rsidR="00124C67" w:rsidRPr="00600064">
        <w:t xml:space="preserve"> also performed a modelled cost-utility analysis.</w:t>
      </w:r>
    </w:p>
    <w:p w:rsidR="00275C5A" w:rsidRPr="00600064" w:rsidRDefault="00275C5A" w:rsidP="00275C5A">
      <w:pPr>
        <w:widowControl/>
        <w:rPr>
          <w:szCs w:val="22"/>
        </w:rPr>
      </w:pPr>
    </w:p>
    <w:p w:rsidR="00D06FD4" w:rsidRPr="00600064" w:rsidRDefault="00D06FD4" w:rsidP="008D3472">
      <w:pPr>
        <w:rPr>
          <w:rStyle w:val="CommentReference"/>
        </w:rPr>
      </w:pPr>
      <w:r w:rsidRPr="00600064">
        <w:rPr>
          <w:rStyle w:val="CommentReference"/>
        </w:rPr>
        <w:t xml:space="preserve">Table </w:t>
      </w:r>
      <w:r w:rsidR="00EC418B" w:rsidRPr="00600064">
        <w:rPr>
          <w:rStyle w:val="CommentReference"/>
        </w:rPr>
        <w:t>10</w:t>
      </w:r>
      <w:r w:rsidR="00642B81" w:rsidRPr="00600064">
        <w:rPr>
          <w:rStyle w:val="CommentReference"/>
        </w:rPr>
        <w:t xml:space="preserve">: </w:t>
      </w:r>
      <w:r w:rsidRPr="00600064">
        <w:rPr>
          <w:rStyle w:val="CommentReference"/>
        </w:rPr>
        <w:t>Summary of model structure and rationale</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7636"/>
      </w:tblGrid>
      <w:tr w:rsidR="00D06FD4" w:rsidRPr="00600064" w:rsidTr="008D3472">
        <w:trPr>
          <w:tblHeader/>
        </w:trPr>
        <w:tc>
          <w:tcPr>
            <w:tcW w:w="783" w:type="pct"/>
            <w:shd w:val="clear" w:color="auto" w:fill="auto"/>
            <w:vAlign w:val="center"/>
          </w:tcPr>
          <w:p w:rsidR="00D06FD4" w:rsidRPr="00600064" w:rsidRDefault="00D06FD4" w:rsidP="00D06FD4">
            <w:pPr>
              <w:jc w:val="left"/>
              <w:rPr>
                <w:rFonts w:ascii="Arial Narrow" w:hAnsi="Arial Narrow"/>
                <w:b/>
                <w:sz w:val="20"/>
              </w:rPr>
            </w:pPr>
            <w:r w:rsidRPr="00600064">
              <w:rPr>
                <w:rFonts w:ascii="Arial Narrow" w:hAnsi="Arial Narrow"/>
                <w:b/>
                <w:sz w:val="20"/>
              </w:rPr>
              <w:t>Component</w:t>
            </w:r>
          </w:p>
        </w:tc>
        <w:tc>
          <w:tcPr>
            <w:tcW w:w="4217" w:type="pct"/>
            <w:shd w:val="clear" w:color="auto" w:fill="auto"/>
            <w:vAlign w:val="center"/>
          </w:tcPr>
          <w:p w:rsidR="00D06FD4" w:rsidRPr="00600064" w:rsidRDefault="00D06FD4" w:rsidP="00D06FD4">
            <w:pPr>
              <w:jc w:val="center"/>
              <w:rPr>
                <w:rFonts w:ascii="Arial Narrow" w:hAnsi="Arial Narrow"/>
                <w:b/>
                <w:sz w:val="20"/>
              </w:rPr>
            </w:pPr>
            <w:r w:rsidRPr="00600064">
              <w:rPr>
                <w:rFonts w:ascii="Arial Narrow" w:hAnsi="Arial Narrow"/>
                <w:b/>
                <w:sz w:val="20"/>
              </w:rPr>
              <w:t>Summary</w:t>
            </w:r>
          </w:p>
        </w:tc>
      </w:tr>
      <w:tr w:rsidR="00D06FD4" w:rsidRPr="00600064" w:rsidTr="008D3472">
        <w:tc>
          <w:tcPr>
            <w:tcW w:w="783" w:type="pct"/>
            <w:shd w:val="clear" w:color="auto" w:fill="auto"/>
            <w:vAlign w:val="center"/>
          </w:tcPr>
          <w:p w:rsidR="00D06FD4" w:rsidRPr="00600064" w:rsidRDefault="00D06FD4" w:rsidP="00D06FD4">
            <w:pPr>
              <w:jc w:val="left"/>
              <w:rPr>
                <w:rFonts w:ascii="Arial Narrow" w:hAnsi="Arial Narrow"/>
                <w:sz w:val="20"/>
              </w:rPr>
            </w:pPr>
            <w:r w:rsidRPr="00600064">
              <w:rPr>
                <w:rFonts w:ascii="Arial Narrow" w:hAnsi="Arial Narrow"/>
                <w:sz w:val="20"/>
              </w:rPr>
              <w:t>Time horizon</w:t>
            </w:r>
          </w:p>
        </w:tc>
        <w:tc>
          <w:tcPr>
            <w:tcW w:w="4217" w:type="pct"/>
            <w:shd w:val="clear" w:color="auto" w:fill="auto"/>
            <w:vAlign w:val="center"/>
          </w:tcPr>
          <w:p w:rsidR="00D06FD4" w:rsidRPr="00600064" w:rsidRDefault="00DE5949" w:rsidP="008E6761">
            <w:pPr>
              <w:jc w:val="left"/>
              <w:rPr>
                <w:rFonts w:ascii="Arial Narrow" w:hAnsi="Arial Narrow"/>
                <w:sz w:val="20"/>
              </w:rPr>
            </w:pPr>
            <w:r w:rsidRPr="00600064">
              <w:rPr>
                <w:rFonts w:ascii="Arial Narrow" w:hAnsi="Arial Narrow"/>
                <w:sz w:val="20"/>
              </w:rPr>
              <w:t>8</w:t>
            </w:r>
            <w:r w:rsidR="00D06FD4" w:rsidRPr="00600064">
              <w:rPr>
                <w:rFonts w:ascii="Arial Narrow" w:hAnsi="Arial Narrow"/>
                <w:sz w:val="20"/>
              </w:rPr>
              <w:t xml:space="preserve"> years in the model base case </w:t>
            </w:r>
            <w:r w:rsidR="00BB28DE" w:rsidRPr="00600064">
              <w:rPr>
                <w:rFonts w:ascii="Arial Narrow" w:hAnsi="Arial Narrow"/>
                <w:sz w:val="20"/>
              </w:rPr>
              <w:t xml:space="preserve">(clinical data are available for a </w:t>
            </w:r>
            <w:r w:rsidR="008E6761" w:rsidRPr="00600064">
              <w:rPr>
                <w:rFonts w:ascii="Arial Narrow" w:hAnsi="Arial Narrow"/>
                <w:sz w:val="20"/>
              </w:rPr>
              <w:t xml:space="preserve">median follow-up of 2.8 years from </w:t>
            </w:r>
            <w:r w:rsidRPr="00600064">
              <w:rPr>
                <w:rFonts w:ascii="Arial Narrow" w:hAnsi="Arial Narrow"/>
                <w:sz w:val="20"/>
              </w:rPr>
              <w:t>the latest database cut-off</w:t>
            </w:r>
            <w:r w:rsidR="00BB28DE" w:rsidRPr="00600064">
              <w:rPr>
                <w:rFonts w:ascii="Arial Narrow" w:hAnsi="Arial Narrow"/>
                <w:sz w:val="20"/>
              </w:rPr>
              <w:t>).</w:t>
            </w:r>
          </w:p>
          <w:p w:rsidR="00363E61" w:rsidRPr="00600064" w:rsidRDefault="00363E61" w:rsidP="008E6761">
            <w:pPr>
              <w:jc w:val="left"/>
              <w:rPr>
                <w:rFonts w:ascii="Arial Narrow" w:hAnsi="Arial Narrow"/>
                <w:sz w:val="20"/>
              </w:rPr>
            </w:pPr>
            <w:r w:rsidRPr="00600064">
              <w:rPr>
                <w:rFonts w:ascii="Arial Narrow" w:hAnsi="Arial Narrow"/>
                <w:sz w:val="20"/>
              </w:rPr>
              <w:t xml:space="preserve">5 years in the </w:t>
            </w:r>
            <w:r w:rsidR="002004CB" w:rsidRPr="00600064">
              <w:rPr>
                <w:rFonts w:ascii="Arial Narrow" w:hAnsi="Arial Narrow"/>
                <w:sz w:val="20"/>
              </w:rPr>
              <w:t>“</w:t>
            </w:r>
            <w:r w:rsidRPr="00600064">
              <w:rPr>
                <w:rFonts w:ascii="Arial Narrow" w:hAnsi="Arial Narrow"/>
                <w:sz w:val="20"/>
              </w:rPr>
              <w:t>PBAC amended base case</w:t>
            </w:r>
            <w:r w:rsidR="002004CB" w:rsidRPr="00600064">
              <w:rPr>
                <w:rFonts w:ascii="Arial Narrow" w:hAnsi="Arial Narrow"/>
                <w:sz w:val="20"/>
              </w:rPr>
              <w:t>”</w:t>
            </w:r>
            <w:r w:rsidRPr="00600064">
              <w:rPr>
                <w:rFonts w:ascii="Arial Narrow" w:hAnsi="Arial Narrow"/>
                <w:sz w:val="20"/>
              </w:rPr>
              <w:t xml:space="preserve"> in the resubmission addendum.</w:t>
            </w:r>
          </w:p>
        </w:tc>
      </w:tr>
      <w:tr w:rsidR="00D06FD4" w:rsidRPr="00600064" w:rsidTr="008D3472">
        <w:tc>
          <w:tcPr>
            <w:tcW w:w="783" w:type="pct"/>
            <w:shd w:val="clear" w:color="auto" w:fill="auto"/>
            <w:vAlign w:val="center"/>
          </w:tcPr>
          <w:p w:rsidR="00D06FD4" w:rsidRPr="00600064" w:rsidRDefault="00D06FD4" w:rsidP="00D06FD4">
            <w:pPr>
              <w:jc w:val="left"/>
              <w:rPr>
                <w:rFonts w:ascii="Arial Narrow" w:hAnsi="Arial Narrow"/>
                <w:sz w:val="20"/>
              </w:rPr>
            </w:pPr>
            <w:r w:rsidRPr="00600064">
              <w:rPr>
                <w:rFonts w:ascii="Arial Narrow" w:hAnsi="Arial Narrow"/>
                <w:sz w:val="20"/>
              </w:rPr>
              <w:t>Outcomes</w:t>
            </w:r>
          </w:p>
        </w:tc>
        <w:tc>
          <w:tcPr>
            <w:tcW w:w="4217" w:type="pct"/>
            <w:shd w:val="clear" w:color="auto" w:fill="auto"/>
            <w:vAlign w:val="center"/>
          </w:tcPr>
          <w:p w:rsidR="00D06FD4" w:rsidRPr="00600064" w:rsidRDefault="00DE5949" w:rsidP="00D06FD4">
            <w:pPr>
              <w:jc w:val="left"/>
              <w:rPr>
                <w:rFonts w:ascii="Arial Narrow" w:hAnsi="Arial Narrow"/>
                <w:sz w:val="20"/>
              </w:rPr>
            </w:pPr>
            <w:r w:rsidRPr="00600064">
              <w:rPr>
                <w:rFonts w:ascii="Arial Narrow" w:hAnsi="Arial Narrow"/>
                <w:sz w:val="20"/>
              </w:rPr>
              <w:t>LYs and QALYs</w:t>
            </w:r>
          </w:p>
        </w:tc>
      </w:tr>
      <w:tr w:rsidR="00D06FD4" w:rsidRPr="00600064" w:rsidTr="008D3472">
        <w:tc>
          <w:tcPr>
            <w:tcW w:w="783" w:type="pct"/>
            <w:shd w:val="clear" w:color="auto" w:fill="auto"/>
            <w:vAlign w:val="center"/>
          </w:tcPr>
          <w:p w:rsidR="00D06FD4" w:rsidRPr="00600064" w:rsidRDefault="00D06FD4" w:rsidP="00D06FD4">
            <w:pPr>
              <w:jc w:val="left"/>
              <w:rPr>
                <w:rFonts w:ascii="Arial Narrow" w:hAnsi="Arial Narrow"/>
                <w:sz w:val="20"/>
              </w:rPr>
            </w:pPr>
            <w:r w:rsidRPr="00600064">
              <w:rPr>
                <w:rFonts w:ascii="Arial Narrow" w:hAnsi="Arial Narrow"/>
                <w:sz w:val="20"/>
              </w:rPr>
              <w:t>Methods used to generate results</w:t>
            </w:r>
          </w:p>
        </w:tc>
        <w:tc>
          <w:tcPr>
            <w:tcW w:w="4217" w:type="pct"/>
            <w:shd w:val="clear" w:color="auto" w:fill="auto"/>
            <w:vAlign w:val="center"/>
          </w:tcPr>
          <w:p w:rsidR="004012CA" w:rsidRPr="00600064" w:rsidRDefault="00DE5949" w:rsidP="00FD5715">
            <w:pPr>
              <w:jc w:val="left"/>
              <w:rPr>
                <w:rFonts w:ascii="Arial Narrow" w:hAnsi="Arial Narrow"/>
                <w:sz w:val="20"/>
              </w:rPr>
            </w:pPr>
            <w:r w:rsidRPr="00600064">
              <w:rPr>
                <w:rFonts w:ascii="Arial Narrow" w:hAnsi="Arial Narrow"/>
                <w:sz w:val="20"/>
              </w:rPr>
              <w:t>Markov model with three mutually exclusive health states of clinical progression</w:t>
            </w:r>
            <w:r w:rsidR="00FD5715" w:rsidRPr="00600064">
              <w:rPr>
                <w:rFonts w:ascii="Arial Narrow" w:hAnsi="Arial Narrow"/>
                <w:sz w:val="20"/>
              </w:rPr>
              <w:t>-</w:t>
            </w:r>
            <w:r w:rsidRPr="00600064">
              <w:rPr>
                <w:rFonts w:ascii="Arial Narrow" w:hAnsi="Arial Narrow"/>
                <w:sz w:val="20"/>
              </w:rPr>
              <w:t>free, clinical disease progression and death (absorbing) and one RECIST</w:t>
            </w:r>
            <w:r w:rsidR="00030BF9" w:rsidRPr="00600064">
              <w:rPr>
                <w:rFonts w:ascii="Arial Narrow" w:hAnsi="Arial Narrow"/>
                <w:sz w:val="20"/>
              </w:rPr>
              <w:t>-defined</w:t>
            </w:r>
            <w:r w:rsidRPr="00600064">
              <w:rPr>
                <w:rFonts w:ascii="Arial Narrow" w:hAnsi="Arial Narrow"/>
                <w:sz w:val="20"/>
              </w:rPr>
              <w:t xml:space="preserve"> progression</w:t>
            </w:r>
            <w:r w:rsidR="00A35918" w:rsidRPr="00600064">
              <w:rPr>
                <w:rFonts w:ascii="Arial Narrow" w:hAnsi="Arial Narrow"/>
                <w:sz w:val="20"/>
              </w:rPr>
              <w:t>-</w:t>
            </w:r>
            <w:r w:rsidRPr="00600064">
              <w:rPr>
                <w:rFonts w:ascii="Arial Narrow" w:hAnsi="Arial Narrow"/>
                <w:sz w:val="20"/>
              </w:rPr>
              <w:t>free tunnel state. Clinical PFS</w:t>
            </w:r>
            <w:r w:rsidR="004012CA" w:rsidRPr="00600064">
              <w:rPr>
                <w:rFonts w:ascii="Arial Narrow" w:hAnsi="Arial Narrow"/>
                <w:sz w:val="20"/>
              </w:rPr>
              <w:t xml:space="preserve">, </w:t>
            </w:r>
            <w:r w:rsidR="00BB28DE" w:rsidRPr="00600064">
              <w:rPr>
                <w:rFonts w:ascii="Arial Narrow" w:hAnsi="Arial Narrow"/>
                <w:sz w:val="20"/>
              </w:rPr>
              <w:t>RECIST</w:t>
            </w:r>
            <w:r w:rsidR="00030BF9" w:rsidRPr="00600064">
              <w:rPr>
                <w:rFonts w:ascii="Arial Narrow" w:hAnsi="Arial Narrow"/>
                <w:sz w:val="20"/>
              </w:rPr>
              <w:t>-defined</w:t>
            </w:r>
            <w:r w:rsidR="00BB28DE" w:rsidRPr="00600064">
              <w:rPr>
                <w:rFonts w:ascii="Arial Narrow" w:hAnsi="Arial Narrow"/>
                <w:sz w:val="20"/>
              </w:rPr>
              <w:t xml:space="preserve"> </w:t>
            </w:r>
            <w:r w:rsidR="004012CA" w:rsidRPr="00600064">
              <w:rPr>
                <w:rFonts w:ascii="Arial Narrow" w:hAnsi="Arial Narrow"/>
                <w:sz w:val="20"/>
              </w:rPr>
              <w:t>PFS and OS we</w:t>
            </w:r>
            <w:r w:rsidRPr="00600064">
              <w:rPr>
                <w:rFonts w:ascii="Arial Narrow" w:hAnsi="Arial Narrow"/>
                <w:sz w:val="20"/>
              </w:rPr>
              <w:t>re extrapolated using log-logistic functions.</w:t>
            </w:r>
          </w:p>
        </w:tc>
      </w:tr>
      <w:tr w:rsidR="00D06FD4" w:rsidRPr="00600064" w:rsidTr="008D3472">
        <w:tc>
          <w:tcPr>
            <w:tcW w:w="783" w:type="pct"/>
            <w:shd w:val="clear" w:color="auto" w:fill="auto"/>
            <w:vAlign w:val="center"/>
          </w:tcPr>
          <w:p w:rsidR="00D06FD4" w:rsidRPr="00600064" w:rsidRDefault="00D06FD4" w:rsidP="00D06FD4">
            <w:pPr>
              <w:jc w:val="left"/>
              <w:rPr>
                <w:rFonts w:ascii="Arial Narrow" w:hAnsi="Arial Narrow"/>
                <w:sz w:val="20"/>
              </w:rPr>
            </w:pPr>
            <w:r w:rsidRPr="00600064">
              <w:rPr>
                <w:rFonts w:ascii="Arial Narrow" w:hAnsi="Arial Narrow"/>
                <w:sz w:val="20"/>
              </w:rPr>
              <w:t>Cycle length</w:t>
            </w:r>
          </w:p>
        </w:tc>
        <w:tc>
          <w:tcPr>
            <w:tcW w:w="4217" w:type="pct"/>
            <w:shd w:val="clear" w:color="auto" w:fill="auto"/>
            <w:vAlign w:val="center"/>
          </w:tcPr>
          <w:p w:rsidR="00D06FD4" w:rsidRPr="00600064" w:rsidRDefault="00DE5949" w:rsidP="00D06FD4">
            <w:pPr>
              <w:jc w:val="left"/>
              <w:rPr>
                <w:rFonts w:ascii="Arial Narrow" w:hAnsi="Arial Narrow"/>
                <w:sz w:val="20"/>
              </w:rPr>
            </w:pPr>
            <w:r w:rsidRPr="00600064">
              <w:rPr>
                <w:rFonts w:ascii="Arial Narrow" w:hAnsi="Arial Narrow"/>
                <w:sz w:val="20"/>
              </w:rPr>
              <w:t>Two weeks. Half cycle correction applied.</w:t>
            </w:r>
          </w:p>
        </w:tc>
      </w:tr>
      <w:tr w:rsidR="00D06FD4" w:rsidRPr="00600064" w:rsidTr="008D3472">
        <w:tc>
          <w:tcPr>
            <w:tcW w:w="783" w:type="pct"/>
            <w:shd w:val="clear" w:color="auto" w:fill="auto"/>
            <w:vAlign w:val="center"/>
          </w:tcPr>
          <w:p w:rsidR="00D06FD4" w:rsidRPr="00600064" w:rsidRDefault="00D06FD4" w:rsidP="00D06FD4">
            <w:pPr>
              <w:jc w:val="left"/>
              <w:rPr>
                <w:rFonts w:ascii="Arial Narrow" w:hAnsi="Arial Narrow"/>
                <w:sz w:val="20"/>
              </w:rPr>
            </w:pPr>
            <w:r w:rsidRPr="00600064">
              <w:rPr>
                <w:rFonts w:ascii="Arial Narrow" w:hAnsi="Arial Narrow"/>
                <w:sz w:val="20"/>
              </w:rPr>
              <w:t>Transition probabilities</w:t>
            </w:r>
          </w:p>
        </w:tc>
        <w:tc>
          <w:tcPr>
            <w:tcW w:w="4217" w:type="pct"/>
            <w:shd w:val="clear" w:color="auto" w:fill="auto"/>
            <w:vAlign w:val="center"/>
          </w:tcPr>
          <w:p w:rsidR="00D06FD4" w:rsidRPr="00600064" w:rsidRDefault="00DE5949" w:rsidP="00BB28DE">
            <w:pPr>
              <w:jc w:val="left"/>
              <w:rPr>
                <w:rFonts w:ascii="Arial Narrow" w:hAnsi="Arial Narrow"/>
                <w:sz w:val="20"/>
              </w:rPr>
            </w:pPr>
            <w:r w:rsidRPr="00600064">
              <w:rPr>
                <w:rFonts w:ascii="Arial Narrow" w:hAnsi="Arial Narrow"/>
                <w:sz w:val="20"/>
              </w:rPr>
              <w:t>Transition probabilities for the first 14 (for clinical PFS and OS) and 26 (for RECIST</w:t>
            </w:r>
            <w:r w:rsidR="00030BF9" w:rsidRPr="00600064">
              <w:rPr>
                <w:rFonts w:ascii="Arial Narrow" w:hAnsi="Arial Narrow"/>
                <w:sz w:val="20"/>
              </w:rPr>
              <w:t>-defined</w:t>
            </w:r>
            <w:r w:rsidRPr="00600064">
              <w:rPr>
                <w:rFonts w:ascii="Arial Narrow" w:hAnsi="Arial Narrow"/>
                <w:sz w:val="20"/>
              </w:rPr>
              <w:t xml:space="preserve"> PFS) months were derived from the </w:t>
            </w:r>
            <w:r w:rsidR="00BB28DE" w:rsidRPr="00600064">
              <w:rPr>
                <w:rFonts w:ascii="Arial Narrow" w:hAnsi="Arial Narrow"/>
                <w:sz w:val="20"/>
              </w:rPr>
              <w:t>KM</w:t>
            </w:r>
            <w:r w:rsidRPr="00600064">
              <w:rPr>
                <w:rFonts w:ascii="Arial Narrow" w:hAnsi="Arial Narrow"/>
                <w:sz w:val="20"/>
              </w:rPr>
              <w:t xml:space="preserve"> curves from Study CA209025, using the first database cut-off for clinical PFS and OS and the second database cut-off for </w:t>
            </w:r>
            <w:r w:rsidR="00BB28DE" w:rsidRPr="00600064">
              <w:rPr>
                <w:rFonts w:ascii="Arial Narrow" w:hAnsi="Arial Narrow"/>
                <w:sz w:val="20"/>
              </w:rPr>
              <w:t>RECIST-</w:t>
            </w:r>
            <w:r w:rsidR="00030BF9" w:rsidRPr="00600064">
              <w:rPr>
                <w:rFonts w:ascii="Arial Narrow" w:hAnsi="Arial Narrow"/>
                <w:sz w:val="20"/>
              </w:rPr>
              <w:t xml:space="preserve">defined </w:t>
            </w:r>
            <w:r w:rsidRPr="00600064">
              <w:rPr>
                <w:rFonts w:ascii="Arial Narrow" w:hAnsi="Arial Narrow"/>
                <w:sz w:val="20"/>
              </w:rPr>
              <w:t>PFS. Transition probabilities beyond this period were obtained from log-logistic extrapolations.</w:t>
            </w:r>
          </w:p>
        </w:tc>
      </w:tr>
    </w:tbl>
    <w:p w:rsidR="00D06FD4" w:rsidRPr="00600064" w:rsidRDefault="00D06FD4" w:rsidP="008D3472">
      <w:pPr>
        <w:pStyle w:val="TableFooter"/>
      </w:pPr>
      <w:r w:rsidRPr="00600064">
        <w:t>Source: compiled during the evaluation</w:t>
      </w:r>
    </w:p>
    <w:p w:rsidR="00DE5949" w:rsidRPr="00600064" w:rsidRDefault="00DE5949" w:rsidP="008D3472">
      <w:pPr>
        <w:pStyle w:val="TableFooter"/>
      </w:pPr>
      <w:r w:rsidRPr="00600064">
        <w:t>Abbreviations: LYs, life years; OS, overall survival; PFS, progression-free survival; QALY</w:t>
      </w:r>
      <w:r w:rsidR="008D3472" w:rsidRPr="00600064">
        <w:t>s, quality-adjusted life years.</w:t>
      </w:r>
    </w:p>
    <w:p w:rsidR="00DE5949" w:rsidRPr="00600064" w:rsidRDefault="00DE5949" w:rsidP="00DE5949">
      <w:pPr>
        <w:rPr>
          <w:u w:val="single"/>
        </w:rPr>
      </w:pPr>
    </w:p>
    <w:p w:rsidR="00642B81" w:rsidRPr="00600064" w:rsidRDefault="00BB28DE" w:rsidP="005F42CF">
      <w:pPr>
        <w:pStyle w:val="ListParagraph"/>
        <w:widowControl/>
        <w:numPr>
          <w:ilvl w:val="1"/>
          <w:numId w:val="4"/>
        </w:numPr>
      </w:pPr>
      <w:r w:rsidRPr="00600064">
        <w:t xml:space="preserve">The </w:t>
      </w:r>
      <w:r w:rsidR="00753C47" w:rsidRPr="00600064">
        <w:t>resubmission-</w:t>
      </w:r>
      <w:r w:rsidR="00642B81" w:rsidRPr="00600064">
        <w:t xml:space="preserve">addendum </w:t>
      </w:r>
      <w:r w:rsidRPr="00600064">
        <w:t>provided</w:t>
      </w:r>
      <w:r w:rsidR="00642B81" w:rsidRPr="00600064">
        <w:t xml:space="preserve"> a re-specified base case economic model. This was following review of the minutes of the November 2016 PBAC meeting </w:t>
      </w:r>
      <w:r w:rsidR="00373C34" w:rsidRPr="00600064">
        <w:t xml:space="preserve">in which </w:t>
      </w:r>
      <w:r w:rsidR="00642B81" w:rsidRPr="00600064">
        <w:t xml:space="preserve">the Committee had explicitly </w:t>
      </w:r>
      <w:r w:rsidR="008C3B54" w:rsidRPr="00600064">
        <w:t>specified that RECIST-</w:t>
      </w:r>
      <w:r w:rsidR="00030BF9" w:rsidRPr="00600064">
        <w:t xml:space="preserve">defined </w:t>
      </w:r>
      <w:r w:rsidR="008C3B54" w:rsidRPr="00600064">
        <w:t>PFS rather than clinical PFS be used in all treatment arms to reflect the time to progression in generating QALY estimates, and that RECIST-</w:t>
      </w:r>
      <w:r w:rsidR="00030BF9" w:rsidRPr="00600064">
        <w:t xml:space="preserve">defined </w:t>
      </w:r>
      <w:r w:rsidR="008C3B54" w:rsidRPr="00600064">
        <w:t xml:space="preserve">PFS criteria rather than clinical PFS be used per cycle </w:t>
      </w:r>
      <w:r w:rsidR="00027921" w:rsidRPr="00600064">
        <w:t xml:space="preserve">in </w:t>
      </w:r>
      <w:r w:rsidR="008C3B54" w:rsidRPr="00600064">
        <w:t xml:space="preserve">generating the number of nivolumab infusions and their costs, </w:t>
      </w:r>
      <w:r w:rsidR="00027921" w:rsidRPr="00600064">
        <w:t xml:space="preserve">and </w:t>
      </w:r>
      <w:r w:rsidR="008C3B54" w:rsidRPr="00600064">
        <w:t xml:space="preserve">the mean duration of use of </w:t>
      </w:r>
      <w:proofErr w:type="spellStart"/>
      <w:r w:rsidR="008C3B54" w:rsidRPr="00600064">
        <w:t>everolimus</w:t>
      </w:r>
      <w:proofErr w:type="spellEnd"/>
      <w:r w:rsidR="008C3B54" w:rsidRPr="00600064">
        <w:t xml:space="preserve"> and subsequent TKIs. Although the overall economic model structure was not changed in the addendum, </w:t>
      </w:r>
      <w:r w:rsidR="00027921" w:rsidRPr="00600064">
        <w:t>it contain</w:t>
      </w:r>
      <w:r w:rsidR="003607A0" w:rsidRPr="00600064">
        <w:t>ed</w:t>
      </w:r>
      <w:r w:rsidR="00027921" w:rsidRPr="00600064">
        <w:t xml:space="preserve"> three </w:t>
      </w:r>
      <w:r w:rsidR="008C3B54" w:rsidRPr="00600064">
        <w:t xml:space="preserve">scenarios with </w:t>
      </w:r>
      <w:r w:rsidR="00027921" w:rsidRPr="00600064">
        <w:t>varying</w:t>
      </w:r>
      <w:r w:rsidR="008C3B54" w:rsidRPr="00600064">
        <w:t xml:space="preserve"> input parameters</w:t>
      </w:r>
      <w:r w:rsidR="00027921" w:rsidRPr="00600064">
        <w:t>:</w:t>
      </w:r>
    </w:p>
    <w:p w:rsidR="008C3B54" w:rsidRPr="00600064" w:rsidRDefault="00C66EFB" w:rsidP="002802BD">
      <w:pPr>
        <w:pStyle w:val="ListParagraph"/>
        <w:widowControl/>
        <w:numPr>
          <w:ilvl w:val="0"/>
          <w:numId w:val="23"/>
        </w:numPr>
        <w:ind w:left="1080" w:hanging="270"/>
      </w:pPr>
      <w:r w:rsidRPr="00600064">
        <w:t>March</w:t>
      </w:r>
      <w:r w:rsidR="00867ACE" w:rsidRPr="00600064">
        <w:t xml:space="preserve"> </w:t>
      </w:r>
      <w:r w:rsidR="008C3B54" w:rsidRPr="00600064">
        <w:t>201</w:t>
      </w:r>
      <w:r w:rsidR="00867ACE" w:rsidRPr="00600064">
        <w:t>7</w:t>
      </w:r>
      <w:r w:rsidR="008C3B54" w:rsidRPr="00600064">
        <w:t xml:space="preserve"> major </w:t>
      </w:r>
      <w:r w:rsidR="00027921" w:rsidRPr="00600064">
        <w:t>re</w:t>
      </w:r>
      <w:r w:rsidR="008C3B54" w:rsidRPr="00600064">
        <w:t xml:space="preserve">submission base case </w:t>
      </w:r>
      <w:r w:rsidR="00C018DD" w:rsidRPr="00600064">
        <w:t>–</w:t>
      </w:r>
      <w:r w:rsidR="008C3B54" w:rsidRPr="00600064">
        <w:t xml:space="preserve"> </w:t>
      </w:r>
      <w:r w:rsidR="00C018DD" w:rsidRPr="00600064">
        <w:t xml:space="preserve">parameters originally included in </w:t>
      </w:r>
      <w:r w:rsidR="00CF67D4" w:rsidRPr="00600064">
        <w:t xml:space="preserve">the </w:t>
      </w:r>
      <w:r w:rsidR="00C018DD" w:rsidRPr="00600064">
        <w:t>resubmission</w:t>
      </w:r>
      <w:r w:rsidR="00857E61" w:rsidRPr="00600064">
        <w:t>.</w:t>
      </w:r>
    </w:p>
    <w:p w:rsidR="00991B08" w:rsidRPr="00600064" w:rsidRDefault="00FB754A" w:rsidP="002802BD">
      <w:pPr>
        <w:pStyle w:val="ListParagraph"/>
        <w:widowControl/>
        <w:numPr>
          <w:ilvl w:val="0"/>
          <w:numId w:val="23"/>
        </w:numPr>
        <w:ind w:left="1080" w:hanging="270"/>
      </w:pPr>
      <w:r w:rsidRPr="00600064">
        <w:t>Resubmission-</w:t>
      </w:r>
      <w:r w:rsidR="00C018DD" w:rsidRPr="00600064">
        <w:t>addendum (</w:t>
      </w:r>
      <w:r w:rsidR="00CF67D4" w:rsidRPr="00600064">
        <w:t>“</w:t>
      </w:r>
      <w:r w:rsidR="00C018DD" w:rsidRPr="00600064">
        <w:t>sponsor amended base case</w:t>
      </w:r>
      <w:r w:rsidR="00CF67D4" w:rsidRPr="00600064">
        <w:t>”</w:t>
      </w:r>
      <w:r w:rsidR="00C018DD" w:rsidRPr="00600064">
        <w:t xml:space="preserve">) – </w:t>
      </w:r>
      <w:r w:rsidR="00027921" w:rsidRPr="00600064">
        <w:t>utilise</w:t>
      </w:r>
      <w:r w:rsidR="00CF67D4" w:rsidRPr="00600064">
        <w:t>d</w:t>
      </w:r>
      <w:r w:rsidR="00C018DD" w:rsidRPr="00600064">
        <w:t xml:space="preserve"> an </w:t>
      </w:r>
      <w:r w:rsidR="00753C47" w:rsidRPr="00600064">
        <w:t>8-</w:t>
      </w:r>
      <w:r w:rsidR="00C018DD" w:rsidRPr="00600064">
        <w:t>year time horizon for the economic model</w:t>
      </w:r>
      <w:r w:rsidR="00027921" w:rsidRPr="00600064">
        <w:t>,</w:t>
      </w:r>
      <w:r w:rsidR="00C018DD" w:rsidRPr="00600064">
        <w:t xml:space="preserve"> with </w:t>
      </w:r>
      <w:r w:rsidR="00027921" w:rsidRPr="00600064">
        <w:t xml:space="preserve">log-logistic </w:t>
      </w:r>
      <w:r w:rsidR="00C018DD" w:rsidRPr="00600064">
        <w:t xml:space="preserve">extrapolation of treatment effects from the trial to a </w:t>
      </w:r>
      <w:r w:rsidR="00753C47" w:rsidRPr="00600064">
        <w:t>5-</w:t>
      </w:r>
      <w:r w:rsidR="00C018DD" w:rsidRPr="00600064">
        <w:t xml:space="preserve">year time horizon and </w:t>
      </w:r>
      <w:r w:rsidR="00027921" w:rsidRPr="00600064">
        <w:t xml:space="preserve">subsequent </w:t>
      </w:r>
      <w:r w:rsidR="00C018DD" w:rsidRPr="00600064">
        <w:t xml:space="preserve">linear convergence </w:t>
      </w:r>
      <w:r w:rsidR="00991B08" w:rsidRPr="00600064">
        <w:t xml:space="preserve">to </w:t>
      </w:r>
      <w:r w:rsidR="00033CFF" w:rsidRPr="00600064">
        <w:t>8-</w:t>
      </w:r>
      <w:r w:rsidR="00991B08" w:rsidRPr="00600064">
        <w:t>years</w:t>
      </w:r>
      <w:r w:rsidR="00ED5482" w:rsidRPr="00600064">
        <w:t>.</w:t>
      </w:r>
      <w:r w:rsidR="00027921" w:rsidRPr="00600064">
        <w:t xml:space="preserve"> It remove</w:t>
      </w:r>
      <w:r w:rsidR="00CF67D4" w:rsidRPr="00600064">
        <w:t>d</w:t>
      </w:r>
      <w:r w:rsidR="00027921" w:rsidRPr="00600064">
        <w:t xml:space="preserve"> caps previously applied to the number of nivolumab treatments, assume</w:t>
      </w:r>
      <w:r w:rsidR="00CF67D4" w:rsidRPr="00600064">
        <w:t>d</w:t>
      </w:r>
      <w:r w:rsidR="00027921" w:rsidRPr="00600064">
        <w:t xml:space="preserve"> treatment duration for nivolumab and </w:t>
      </w:r>
      <w:proofErr w:type="spellStart"/>
      <w:r w:rsidR="00027921" w:rsidRPr="00600064">
        <w:t>everolimus</w:t>
      </w:r>
      <w:proofErr w:type="spellEnd"/>
      <w:r w:rsidR="00027921" w:rsidRPr="00600064">
        <w:t xml:space="preserve"> is based on RECIST-</w:t>
      </w:r>
      <w:r w:rsidR="00030BF9" w:rsidRPr="00600064">
        <w:t xml:space="preserve">defined </w:t>
      </w:r>
      <w:r w:rsidR="00027921" w:rsidRPr="00600064">
        <w:t>PFS, and prop</w:t>
      </w:r>
      <w:r w:rsidR="008B798A" w:rsidRPr="00600064">
        <w:t>ose</w:t>
      </w:r>
      <w:r w:rsidR="00CF67D4" w:rsidRPr="00600064">
        <w:t>d</w:t>
      </w:r>
      <w:r w:rsidR="008B798A" w:rsidRPr="00600064">
        <w:t xml:space="preserve"> a higher price for the 100 </w:t>
      </w:r>
      <w:r w:rsidR="00027921" w:rsidRPr="00600064">
        <w:t>mg vial.</w:t>
      </w:r>
    </w:p>
    <w:p w:rsidR="004A4DB5" w:rsidRPr="00600064" w:rsidRDefault="00FB754A" w:rsidP="004A4DB5">
      <w:pPr>
        <w:pStyle w:val="ListParagraph"/>
        <w:widowControl/>
        <w:numPr>
          <w:ilvl w:val="0"/>
          <w:numId w:val="23"/>
        </w:numPr>
        <w:ind w:left="1080" w:hanging="270"/>
        <w:rPr>
          <w:u w:val="single"/>
        </w:rPr>
      </w:pPr>
      <w:r w:rsidRPr="00600064">
        <w:t>Resubmission-</w:t>
      </w:r>
      <w:r w:rsidR="004A4DB5" w:rsidRPr="00600064">
        <w:t>addendum (</w:t>
      </w:r>
      <w:r w:rsidR="00CF67D4" w:rsidRPr="00600064">
        <w:t>“</w:t>
      </w:r>
      <w:r w:rsidR="004A4DB5" w:rsidRPr="00600064">
        <w:t>PBAC amended base case</w:t>
      </w:r>
      <w:r w:rsidR="00CF67D4" w:rsidRPr="00600064">
        <w:t>”</w:t>
      </w:r>
      <w:r w:rsidR="004A4DB5" w:rsidRPr="00600064">
        <w:t xml:space="preserve">) – </w:t>
      </w:r>
      <w:r w:rsidR="00027921" w:rsidRPr="00600064">
        <w:t>utilise</w:t>
      </w:r>
      <w:r w:rsidR="00CF67D4" w:rsidRPr="00600064">
        <w:t>d</w:t>
      </w:r>
      <w:r w:rsidR="00027921" w:rsidRPr="00600064">
        <w:t xml:space="preserve"> </w:t>
      </w:r>
      <w:r w:rsidR="004A4DB5" w:rsidRPr="00600064">
        <w:t xml:space="preserve">a </w:t>
      </w:r>
      <w:r w:rsidR="00033CFF" w:rsidRPr="00600064">
        <w:t>5-</w:t>
      </w:r>
      <w:r w:rsidR="004A4DB5" w:rsidRPr="00600064">
        <w:t xml:space="preserve">year time horizon. </w:t>
      </w:r>
      <w:r w:rsidR="00027921" w:rsidRPr="00600064">
        <w:t>It remove</w:t>
      </w:r>
      <w:r w:rsidR="00CF67D4" w:rsidRPr="00600064">
        <w:t>d</w:t>
      </w:r>
      <w:r w:rsidR="00027921" w:rsidRPr="00600064">
        <w:t xml:space="preserve"> caps previously applied to the number of nivolumab treatments, assume</w:t>
      </w:r>
      <w:r w:rsidR="00CF67D4" w:rsidRPr="00600064">
        <w:t>d</w:t>
      </w:r>
      <w:r w:rsidR="00027921" w:rsidRPr="00600064">
        <w:t xml:space="preserve"> treatment duration for nivolumab and </w:t>
      </w:r>
      <w:proofErr w:type="spellStart"/>
      <w:r w:rsidR="00027921" w:rsidRPr="00600064">
        <w:t>everolimus</w:t>
      </w:r>
      <w:proofErr w:type="spellEnd"/>
      <w:r w:rsidR="00027921" w:rsidRPr="00600064">
        <w:t xml:space="preserve"> is based on RECIST-</w:t>
      </w:r>
      <w:r w:rsidR="00030BF9" w:rsidRPr="00600064">
        <w:t xml:space="preserve">defined </w:t>
      </w:r>
      <w:r w:rsidR="00027921" w:rsidRPr="00600064">
        <w:t>PFS, and propose</w:t>
      </w:r>
      <w:r w:rsidR="00CF67D4" w:rsidRPr="00600064">
        <w:t>d</w:t>
      </w:r>
      <w:r w:rsidR="00027921" w:rsidRPr="00600064">
        <w:t xml:space="preserve"> a higher price (but lower than in the </w:t>
      </w:r>
      <w:r w:rsidR="002004CB" w:rsidRPr="00600064">
        <w:t>“</w:t>
      </w:r>
      <w:r w:rsidR="00027921" w:rsidRPr="00600064">
        <w:t>sponsor</w:t>
      </w:r>
      <w:r w:rsidR="008B798A" w:rsidRPr="00600064">
        <w:t xml:space="preserve"> amended base case</w:t>
      </w:r>
      <w:r w:rsidR="002004CB" w:rsidRPr="00600064">
        <w:t>”</w:t>
      </w:r>
      <w:r w:rsidR="008B798A" w:rsidRPr="00600064">
        <w:t>) for the 100 </w:t>
      </w:r>
      <w:r w:rsidR="00027921" w:rsidRPr="00600064">
        <w:t>mg vial.</w:t>
      </w:r>
    </w:p>
    <w:p w:rsidR="00991B08" w:rsidRPr="00600064" w:rsidRDefault="00991B08" w:rsidP="00991B08">
      <w:pPr>
        <w:widowControl/>
        <w:rPr>
          <w:u w:val="single"/>
        </w:rPr>
      </w:pPr>
    </w:p>
    <w:p w:rsidR="00991B08" w:rsidRPr="00600064" w:rsidRDefault="00991B08" w:rsidP="005F42CF">
      <w:pPr>
        <w:pStyle w:val="ListParagraph"/>
        <w:widowControl/>
        <w:numPr>
          <w:ilvl w:val="1"/>
          <w:numId w:val="4"/>
        </w:numPr>
      </w:pPr>
      <w:r w:rsidRPr="00600064">
        <w:t xml:space="preserve">The input parameters of each of the three scenarios are shown in </w:t>
      </w:r>
      <w:r w:rsidR="00027921" w:rsidRPr="00600064">
        <w:t xml:space="preserve">Table </w:t>
      </w:r>
      <w:r w:rsidR="00EC418B" w:rsidRPr="00600064">
        <w:t>11</w:t>
      </w:r>
      <w:r w:rsidRPr="00600064">
        <w:t xml:space="preserve"> below.</w:t>
      </w:r>
    </w:p>
    <w:p w:rsidR="00991B08" w:rsidRPr="00600064" w:rsidRDefault="00991B08" w:rsidP="00991B08">
      <w:pPr>
        <w:widowControl/>
        <w:rPr>
          <w:u w:val="single"/>
        </w:rPr>
      </w:pPr>
    </w:p>
    <w:p w:rsidR="00991B08" w:rsidRPr="00600064" w:rsidRDefault="00991B08" w:rsidP="008D3472">
      <w:pPr>
        <w:widowControl/>
        <w:tabs>
          <w:tab w:val="left" w:pos="8370"/>
        </w:tabs>
        <w:rPr>
          <w:rFonts w:ascii="Arial Narrow" w:eastAsiaTheme="minorHAnsi" w:hAnsi="Arial Narrow" w:cstheme="minorBidi"/>
          <w:b/>
          <w:iCs/>
          <w:snapToGrid/>
          <w:color w:val="000000" w:themeColor="text1"/>
          <w:sz w:val="20"/>
          <w:szCs w:val="18"/>
          <w:lang w:eastAsia="en-AU"/>
        </w:rPr>
      </w:pPr>
      <w:bookmarkStart w:id="14" w:name="_Ref469474226"/>
      <w:r w:rsidRPr="00600064">
        <w:rPr>
          <w:rFonts w:ascii="Arial Narrow" w:eastAsiaTheme="minorHAnsi" w:hAnsi="Arial Narrow" w:cstheme="minorBidi"/>
          <w:b/>
          <w:iCs/>
          <w:snapToGrid/>
          <w:color w:val="000000" w:themeColor="text1"/>
          <w:sz w:val="20"/>
          <w:szCs w:val="18"/>
        </w:rPr>
        <w:t xml:space="preserve">Table </w:t>
      </w:r>
      <w:bookmarkEnd w:id="14"/>
      <w:r w:rsidR="002802BD" w:rsidRPr="00600064">
        <w:rPr>
          <w:rFonts w:ascii="Arial Narrow" w:eastAsiaTheme="minorHAnsi" w:hAnsi="Arial Narrow" w:cstheme="minorBidi"/>
          <w:b/>
          <w:iCs/>
          <w:snapToGrid/>
          <w:color w:val="000000" w:themeColor="text1"/>
          <w:sz w:val="20"/>
          <w:szCs w:val="18"/>
        </w:rPr>
        <w:t>1</w:t>
      </w:r>
      <w:r w:rsidR="00EC418B" w:rsidRPr="00600064">
        <w:rPr>
          <w:rFonts w:ascii="Arial Narrow" w:eastAsiaTheme="minorHAnsi" w:hAnsi="Arial Narrow" w:cstheme="minorBidi"/>
          <w:b/>
          <w:iCs/>
          <w:snapToGrid/>
          <w:color w:val="000000" w:themeColor="text1"/>
          <w:sz w:val="20"/>
          <w:szCs w:val="18"/>
        </w:rPr>
        <w:t>1</w:t>
      </w:r>
      <w:r w:rsidR="002802BD" w:rsidRPr="00600064">
        <w:rPr>
          <w:rFonts w:ascii="Arial Narrow" w:eastAsiaTheme="minorHAnsi" w:hAnsi="Arial Narrow" w:cstheme="minorBidi"/>
          <w:b/>
          <w:iCs/>
          <w:snapToGrid/>
          <w:color w:val="000000" w:themeColor="text1"/>
          <w:sz w:val="20"/>
          <w:szCs w:val="18"/>
        </w:rPr>
        <w:t>: Key variables applied in economic model scenarios</w:t>
      </w:r>
    </w:p>
    <w:tbl>
      <w:tblPr>
        <w:tblStyle w:val="TableGridbeth53"/>
        <w:tblW w:w="5000" w:type="pct"/>
        <w:tblInd w:w="28" w:type="dxa"/>
        <w:tblCellMar>
          <w:left w:w="28" w:type="dxa"/>
          <w:right w:w="28" w:type="dxa"/>
        </w:tblCellMar>
        <w:tblLook w:val="04A0" w:firstRow="1" w:lastRow="0" w:firstColumn="1" w:lastColumn="0" w:noHBand="0" w:noVBand="1"/>
        <w:tblCaption w:val="Table 11: Key variables applied in economic model scenarios"/>
      </w:tblPr>
      <w:tblGrid>
        <w:gridCol w:w="1419"/>
        <w:gridCol w:w="850"/>
        <w:gridCol w:w="994"/>
        <w:gridCol w:w="990"/>
        <w:gridCol w:w="2552"/>
        <w:gridCol w:w="2278"/>
      </w:tblGrid>
      <w:tr w:rsidR="00991B08" w:rsidRPr="00600064" w:rsidTr="00E25D57">
        <w:trPr>
          <w:trHeight w:val="70"/>
          <w:tblHeader/>
        </w:trPr>
        <w:tc>
          <w:tcPr>
            <w:tcW w:w="781" w:type="pct"/>
            <w:vMerge w:val="restart"/>
            <w:shd w:val="clear" w:color="auto" w:fill="auto"/>
            <w:vAlign w:val="center"/>
          </w:tcPr>
          <w:p w:rsidR="00991B08" w:rsidRPr="00600064" w:rsidRDefault="00991B08" w:rsidP="00991B08">
            <w:pPr>
              <w:widowControl/>
              <w:spacing w:line="240" w:lineRule="auto"/>
              <w:ind w:firstLine="87"/>
              <w:jc w:val="left"/>
              <w:rPr>
                <w:rFonts w:ascii="Arial Narrow" w:hAnsi="Arial Narrow" w:cstheme="minorHAnsi"/>
                <w:b/>
                <w:bCs/>
                <w:snapToGrid/>
                <w:sz w:val="20"/>
                <w:lang w:eastAsia="en-AU"/>
              </w:rPr>
            </w:pPr>
          </w:p>
        </w:tc>
        <w:tc>
          <w:tcPr>
            <w:tcW w:w="4219" w:type="pct"/>
            <w:gridSpan w:val="5"/>
            <w:shd w:val="clear" w:color="auto" w:fill="auto"/>
            <w:vAlign w:val="center"/>
          </w:tcPr>
          <w:p w:rsidR="00991B08" w:rsidRPr="00600064" w:rsidRDefault="00991B08" w:rsidP="00991B08">
            <w:pPr>
              <w:widowControl/>
              <w:spacing w:line="240" w:lineRule="auto"/>
              <w:ind w:firstLine="297"/>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Key variables</w:t>
            </w:r>
          </w:p>
        </w:tc>
      </w:tr>
      <w:tr w:rsidR="008D3472" w:rsidRPr="00600064" w:rsidTr="00E25D57">
        <w:trPr>
          <w:trHeight w:val="70"/>
          <w:tblHeader/>
        </w:trPr>
        <w:tc>
          <w:tcPr>
            <w:tcW w:w="781" w:type="pct"/>
            <w:vMerge/>
            <w:shd w:val="clear" w:color="auto" w:fill="auto"/>
            <w:vAlign w:val="center"/>
          </w:tcPr>
          <w:p w:rsidR="00991B08" w:rsidRPr="00600064" w:rsidRDefault="00991B08" w:rsidP="00991B08">
            <w:pPr>
              <w:widowControl/>
              <w:spacing w:line="240" w:lineRule="auto"/>
              <w:jc w:val="left"/>
              <w:rPr>
                <w:rFonts w:ascii="Arial Narrow" w:hAnsi="Arial Narrow" w:cstheme="minorHAnsi"/>
                <w:b/>
                <w:bCs/>
                <w:snapToGrid/>
                <w:sz w:val="20"/>
                <w:lang w:eastAsia="en-AU"/>
              </w:rPr>
            </w:pPr>
          </w:p>
        </w:tc>
        <w:tc>
          <w:tcPr>
            <w:tcW w:w="468" w:type="pct"/>
            <w:vMerge w:val="restart"/>
            <w:shd w:val="clear" w:color="auto" w:fill="auto"/>
            <w:vAlign w:val="center"/>
          </w:tcPr>
          <w:p w:rsidR="00991B08" w:rsidRPr="00600064" w:rsidRDefault="00991B08"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Time horizon</w:t>
            </w:r>
          </w:p>
        </w:tc>
        <w:tc>
          <w:tcPr>
            <w:tcW w:w="2497" w:type="pct"/>
            <w:gridSpan w:val="3"/>
            <w:tcBorders>
              <w:bottom w:val="single" w:sz="4" w:space="0" w:color="auto"/>
            </w:tcBorders>
            <w:shd w:val="clear" w:color="auto" w:fill="auto"/>
            <w:vAlign w:val="center"/>
          </w:tcPr>
          <w:p w:rsidR="00991B08" w:rsidRPr="00600064" w:rsidRDefault="00991B08"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Duration of therapy</w:t>
            </w:r>
          </w:p>
        </w:tc>
        <w:tc>
          <w:tcPr>
            <w:tcW w:w="1255" w:type="pct"/>
            <w:vMerge w:val="restart"/>
            <w:shd w:val="clear" w:color="auto" w:fill="auto"/>
            <w:vAlign w:val="center"/>
          </w:tcPr>
          <w:p w:rsidR="00991B08" w:rsidRPr="00600064" w:rsidRDefault="00027921"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 xml:space="preserve">Nivolumab </w:t>
            </w:r>
            <w:r w:rsidR="00991B08" w:rsidRPr="00600064">
              <w:rPr>
                <w:rFonts w:ascii="Arial Narrow" w:hAnsi="Arial Narrow" w:cstheme="minorHAnsi"/>
                <w:b/>
                <w:bCs/>
                <w:snapToGrid/>
                <w:sz w:val="20"/>
                <w:lang w:eastAsia="en-AU"/>
              </w:rPr>
              <w:t>vial price</w:t>
            </w:r>
          </w:p>
          <w:p w:rsidR="00991B08" w:rsidRPr="00600064" w:rsidRDefault="00991B08"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(100</w:t>
            </w:r>
            <w:r w:rsidR="008D3472" w:rsidRPr="00600064">
              <w:rPr>
                <w:rFonts w:ascii="Arial Narrow" w:hAnsi="Arial Narrow" w:cstheme="minorHAnsi"/>
                <w:b/>
                <w:bCs/>
                <w:snapToGrid/>
                <w:sz w:val="20"/>
                <w:lang w:eastAsia="en-AU"/>
              </w:rPr>
              <w:t> </w:t>
            </w:r>
            <w:r w:rsidRPr="00600064">
              <w:rPr>
                <w:rFonts w:ascii="Arial Narrow" w:hAnsi="Arial Narrow" w:cstheme="minorHAnsi"/>
                <w:b/>
                <w:bCs/>
                <w:snapToGrid/>
                <w:sz w:val="20"/>
                <w:lang w:eastAsia="en-AU"/>
              </w:rPr>
              <w:t>mg)</w:t>
            </w:r>
          </w:p>
        </w:tc>
      </w:tr>
      <w:tr w:rsidR="008D3472" w:rsidRPr="00600064" w:rsidTr="00E25D57">
        <w:trPr>
          <w:trHeight w:val="530"/>
          <w:tblHeader/>
        </w:trPr>
        <w:tc>
          <w:tcPr>
            <w:tcW w:w="781" w:type="pct"/>
            <w:vMerge/>
            <w:shd w:val="clear" w:color="auto" w:fill="BFBFBF" w:themeFill="background1" w:themeFillShade="BF"/>
            <w:vAlign w:val="center"/>
          </w:tcPr>
          <w:p w:rsidR="00991B08" w:rsidRPr="00600064" w:rsidRDefault="00991B08" w:rsidP="00991B08">
            <w:pPr>
              <w:widowControl/>
              <w:spacing w:line="240" w:lineRule="auto"/>
              <w:jc w:val="left"/>
              <w:rPr>
                <w:rFonts w:ascii="Arial Narrow" w:hAnsi="Arial Narrow" w:cstheme="minorHAnsi"/>
                <w:b/>
                <w:bCs/>
                <w:snapToGrid/>
                <w:sz w:val="20"/>
                <w:lang w:eastAsia="en-AU"/>
              </w:rPr>
            </w:pPr>
          </w:p>
        </w:tc>
        <w:tc>
          <w:tcPr>
            <w:tcW w:w="468" w:type="pct"/>
            <w:vMerge/>
            <w:shd w:val="clear" w:color="auto" w:fill="BFBFBF" w:themeFill="background1" w:themeFillShade="BF"/>
            <w:vAlign w:val="center"/>
          </w:tcPr>
          <w:p w:rsidR="00991B08" w:rsidRPr="00600064" w:rsidRDefault="00991B08" w:rsidP="00991B08">
            <w:pPr>
              <w:widowControl/>
              <w:spacing w:line="240" w:lineRule="auto"/>
              <w:jc w:val="center"/>
              <w:rPr>
                <w:rFonts w:ascii="Arial Narrow" w:hAnsi="Arial Narrow" w:cstheme="minorHAnsi"/>
                <w:b/>
                <w:bCs/>
                <w:snapToGrid/>
                <w:sz w:val="20"/>
                <w:lang w:eastAsia="en-AU"/>
              </w:rPr>
            </w:pPr>
          </w:p>
        </w:tc>
        <w:tc>
          <w:tcPr>
            <w:tcW w:w="547" w:type="pct"/>
            <w:shd w:val="clear" w:color="auto" w:fill="auto"/>
            <w:vAlign w:val="center"/>
          </w:tcPr>
          <w:p w:rsidR="00991B08" w:rsidRPr="00600064" w:rsidRDefault="00027921"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 xml:space="preserve">Nivolumab </w:t>
            </w:r>
            <w:r w:rsidR="00991B08" w:rsidRPr="00600064">
              <w:rPr>
                <w:rFonts w:ascii="Arial Narrow" w:hAnsi="Arial Narrow" w:cstheme="minorHAnsi"/>
                <w:b/>
                <w:bCs/>
                <w:snapToGrid/>
                <w:sz w:val="20"/>
                <w:lang w:eastAsia="en-AU"/>
              </w:rPr>
              <w:t>(infusions)</w:t>
            </w:r>
          </w:p>
        </w:tc>
        <w:tc>
          <w:tcPr>
            <w:tcW w:w="545" w:type="pct"/>
            <w:shd w:val="clear" w:color="auto" w:fill="auto"/>
            <w:vAlign w:val="center"/>
          </w:tcPr>
          <w:p w:rsidR="00991B08" w:rsidRPr="00600064" w:rsidRDefault="00027921" w:rsidP="00991B08">
            <w:pPr>
              <w:widowControl/>
              <w:spacing w:line="240" w:lineRule="auto"/>
              <w:jc w:val="center"/>
              <w:rPr>
                <w:rFonts w:ascii="Arial Narrow" w:hAnsi="Arial Narrow" w:cstheme="minorHAnsi"/>
                <w:b/>
                <w:bCs/>
                <w:snapToGrid/>
                <w:sz w:val="20"/>
                <w:lang w:eastAsia="en-AU"/>
              </w:rPr>
            </w:pPr>
            <w:proofErr w:type="spellStart"/>
            <w:r w:rsidRPr="00600064">
              <w:rPr>
                <w:rFonts w:ascii="Arial Narrow" w:hAnsi="Arial Narrow" w:cstheme="minorHAnsi"/>
                <w:b/>
                <w:bCs/>
                <w:snapToGrid/>
                <w:sz w:val="20"/>
                <w:lang w:eastAsia="en-AU"/>
              </w:rPr>
              <w:t>Everolimus</w:t>
            </w:r>
            <w:proofErr w:type="spellEnd"/>
            <w:r w:rsidRPr="00600064">
              <w:rPr>
                <w:rFonts w:ascii="Arial Narrow" w:hAnsi="Arial Narrow" w:cstheme="minorHAnsi"/>
                <w:b/>
                <w:bCs/>
                <w:snapToGrid/>
                <w:sz w:val="20"/>
                <w:lang w:eastAsia="en-AU"/>
              </w:rPr>
              <w:t xml:space="preserve"> </w:t>
            </w:r>
            <w:r w:rsidR="00991B08" w:rsidRPr="00600064">
              <w:rPr>
                <w:rFonts w:ascii="Arial Narrow" w:hAnsi="Arial Narrow" w:cstheme="minorHAnsi"/>
                <w:b/>
                <w:bCs/>
                <w:snapToGrid/>
                <w:sz w:val="20"/>
                <w:lang w:eastAsia="en-AU"/>
              </w:rPr>
              <w:t>(months)</w:t>
            </w:r>
          </w:p>
        </w:tc>
        <w:tc>
          <w:tcPr>
            <w:tcW w:w="1405" w:type="pct"/>
            <w:shd w:val="clear" w:color="auto" w:fill="auto"/>
            <w:vAlign w:val="center"/>
          </w:tcPr>
          <w:p w:rsidR="00991B08" w:rsidRPr="00600064" w:rsidRDefault="00991B08" w:rsidP="00991B08">
            <w:pPr>
              <w:widowControl/>
              <w:spacing w:line="240" w:lineRule="auto"/>
              <w:jc w:val="center"/>
              <w:rPr>
                <w:rFonts w:ascii="Arial Narrow" w:hAnsi="Arial Narrow" w:cstheme="minorHAnsi"/>
                <w:b/>
                <w:bCs/>
                <w:snapToGrid/>
                <w:sz w:val="20"/>
                <w:lang w:eastAsia="en-AU"/>
              </w:rPr>
            </w:pPr>
            <w:r w:rsidRPr="00600064">
              <w:rPr>
                <w:rFonts w:ascii="Arial Narrow" w:hAnsi="Arial Narrow" w:cstheme="minorHAnsi"/>
                <w:b/>
                <w:bCs/>
                <w:snapToGrid/>
                <w:sz w:val="20"/>
                <w:lang w:eastAsia="en-AU"/>
              </w:rPr>
              <w:t>Subsequent therapies</w:t>
            </w:r>
          </w:p>
        </w:tc>
        <w:tc>
          <w:tcPr>
            <w:tcW w:w="1255" w:type="pct"/>
            <w:vMerge/>
            <w:shd w:val="clear" w:color="auto" w:fill="BFBFBF" w:themeFill="background1" w:themeFillShade="BF"/>
            <w:vAlign w:val="center"/>
          </w:tcPr>
          <w:p w:rsidR="00991B08" w:rsidRPr="00600064" w:rsidRDefault="00991B08" w:rsidP="00991B08">
            <w:pPr>
              <w:widowControl/>
              <w:spacing w:line="240" w:lineRule="auto"/>
              <w:jc w:val="center"/>
              <w:rPr>
                <w:rFonts w:ascii="Arial Narrow" w:hAnsi="Arial Narrow" w:cstheme="minorHAnsi"/>
                <w:b/>
                <w:bCs/>
                <w:snapToGrid/>
                <w:sz w:val="20"/>
                <w:lang w:eastAsia="en-AU"/>
              </w:rPr>
            </w:pPr>
          </w:p>
        </w:tc>
      </w:tr>
      <w:tr w:rsidR="008D3472" w:rsidRPr="00600064" w:rsidTr="008D3472">
        <w:trPr>
          <w:trHeight w:val="240"/>
        </w:trPr>
        <w:tc>
          <w:tcPr>
            <w:tcW w:w="781" w:type="pct"/>
            <w:tcBorders>
              <w:bottom w:val="double" w:sz="4" w:space="0" w:color="auto"/>
            </w:tcBorders>
            <w:shd w:val="clear" w:color="auto" w:fill="auto"/>
            <w:vAlign w:val="center"/>
          </w:tcPr>
          <w:p w:rsidR="00991B08" w:rsidRPr="00600064" w:rsidRDefault="00C66EFB" w:rsidP="00C66EFB">
            <w:pPr>
              <w:widowControl/>
              <w:spacing w:line="240" w:lineRule="auto"/>
              <w:jc w:val="left"/>
              <w:rPr>
                <w:rFonts w:ascii="Arial Narrow" w:hAnsi="Arial Narrow" w:cstheme="minorHAnsi"/>
                <w:bCs/>
                <w:snapToGrid/>
                <w:sz w:val="20"/>
                <w:lang w:eastAsia="en-AU"/>
              </w:rPr>
            </w:pPr>
            <w:r w:rsidRPr="00600064">
              <w:rPr>
                <w:rFonts w:ascii="Arial Narrow" w:hAnsi="Arial Narrow" w:cstheme="minorHAnsi"/>
                <w:bCs/>
                <w:snapToGrid/>
                <w:sz w:val="20"/>
                <w:lang w:eastAsia="en-AU"/>
              </w:rPr>
              <w:t>March</w:t>
            </w:r>
            <w:r w:rsidR="00867ACE" w:rsidRPr="00600064">
              <w:rPr>
                <w:rFonts w:ascii="Arial Narrow" w:hAnsi="Arial Narrow" w:cstheme="minorHAnsi"/>
                <w:bCs/>
                <w:snapToGrid/>
                <w:sz w:val="20"/>
                <w:lang w:eastAsia="en-AU"/>
              </w:rPr>
              <w:t xml:space="preserve"> </w:t>
            </w:r>
            <w:r w:rsidR="00027921" w:rsidRPr="00600064">
              <w:rPr>
                <w:rFonts w:ascii="Arial Narrow" w:hAnsi="Arial Narrow" w:cstheme="minorHAnsi"/>
                <w:bCs/>
                <w:snapToGrid/>
                <w:sz w:val="20"/>
                <w:lang w:eastAsia="en-AU"/>
              </w:rPr>
              <w:t>201</w:t>
            </w:r>
            <w:r w:rsidRPr="00600064">
              <w:rPr>
                <w:rFonts w:ascii="Arial Narrow" w:hAnsi="Arial Narrow" w:cstheme="minorHAnsi"/>
                <w:bCs/>
                <w:snapToGrid/>
                <w:sz w:val="20"/>
                <w:lang w:eastAsia="en-AU"/>
              </w:rPr>
              <w:t xml:space="preserve">7 </w:t>
            </w:r>
            <w:r w:rsidR="00991B08" w:rsidRPr="00600064">
              <w:rPr>
                <w:rFonts w:ascii="Arial Narrow" w:hAnsi="Arial Narrow" w:cstheme="minorHAnsi"/>
                <w:bCs/>
                <w:snapToGrid/>
                <w:sz w:val="20"/>
                <w:lang w:eastAsia="en-AU"/>
              </w:rPr>
              <w:t>resubmission</w:t>
            </w:r>
          </w:p>
        </w:tc>
        <w:tc>
          <w:tcPr>
            <w:tcW w:w="468" w:type="pct"/>
            <w:tcBorders>
              <w:bottom w:val="double" w:sz="4" w:space="0" w:color="auto"/>
            </w:tcBorders>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8 years</w:t>
            </w:r>
          </w:p>
        </w:tc>
        <w:tc>
          <w:tcPr>
            <w:tcW w:w="547" w:type="pct"/>
            <w:tcBorders>
              <w:bottom w:val="double" w:sz="4" w:space="0" w:color="auto"/>
            </w:tcBorders>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cPF</w:t>
            </w:r>
            <w:proofErr w:type="spellEnd"/>
            <w:r w:rsidRPr="00600064">
              <w:rPr>
                <w:rFonts w:ascii="Arial Narrow" w:hAnsi="Arial Narrow" w:cstheme="minorHAnsi"/>
                <w:bCs/>
                <w:snapToGrid/>
                <w:sz w:val="20"/>
                <w:lang w:eastAsia="en-AU"/>
              </w:rPr>
              <w:t>)</w:t>
            </w:r>
          </w:p>
        </w:tc>
        <w:tc>
          <w:tcPr>
            <w:tcW w:w="545" w:type="pct"/>
            <w:tcBorders>
              <w:bottom w:val="double" w:sz="4" w:space="0" w:color="auto"/>
            </w:tcBorders>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rPF</w:t>
            </w:r>
            <w:proofErr w:type="spellEnd"/>
            <w:r w:rsidRPr="00600064">
              <w:rPr>
                <w:rFonts w:ascii="Arial Narrow" w:hAnsi="Arial Narrow" w:cstheme="minorHAnsi"/>
                <w:bCs/>
                <w:snapToGrid/>
                <w:sz w:val="20"/>
                <w:lang w:eastAsia="en-AU"/>
              </w:rPr>
              <w:t>)</w:t>
            </w:r>
          </w:p>
        </w:tc>
        <w:tc>
          <w:tcPr>
            <w:tcW w:w="1405" w:type="pct"/>
            <w:tcBorders>
              <w:bottom w:val="double" w:sz="4" w:space="0" w:color="auto"/>
            </w:tcBorders>
            <w:shd w:val="clear" w:color="auto" w:fill="auto"/>
            <w:vAlign w:val="center"/>
          </w:tcPr>
          <w:p w:rsidR="00991B08" w:rsidRPr="00600064" w:rsidRDefault="00991B08" w:rsidP="00033CFF">
            <w:pPr>
              <w:widowControl/>
              <w:spacing w:line="240" w:lineRule="auto"/>
              <w:ind w:hanging="78"/>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Linked to </w:t>
            </w:r>
            <w:proofErr w:type="spellStart"/>
            <w:r w:rsidR="00033CFF" w:rsidRPr="00600064">
              <w:rPr>
                <w:rFonts w:ascii="Arial Narrow" w:hAnsi="Arial Narrow" w:cstheme="minorHAnsi"/>
                <w:bCs/>
                <w:snapToGrid/>
                <w:sz w:val="20"/>
                <w:lang w:eastAsia="en-AU"/>
              </w:rPr>
              <w:t>everolimus</w:t>
            </w:r>
            <w:proofErr w:type="spellEnd"/>
            <w:r w:rsidR="00033CFF" w:rsidRPr="00600064">
              <w:rPr>
                <w:rFonts w:ascii="Arial Narrow" w:hAnsi="Arial Narrow" w:cstheme="minorHAnsi"/>
                <w:bCs/>
                <w:snapToGrid/>
                <w:sz w:val="20"/>
                <w:lang w:eastAsia="en-AU"/>
              </w:rPr>
              <w:t xml:space="preserve"> </w:t>
            </w:r>
            <w:r w:rsidRPr="00600064">
              <w:rPr>
                <w:rFonts w:ascii="Arial Narrow" w:hAnsi="Arial Narrow" w:cstheme="minorHAnsi"/>
                <w:bCs/>
                <w:snapToGrid/>
                <w:sz w:val="20"/>
                <w:lang w:eastAsia="en-AU"/>
              </w:rPr>
              <w:t>mean DoT estimated from PC</w:t>
            </w:r>
          </w:p>
        </w:tc>
        <w:tc>
          <w:tcPr>
            <w:tcW w:w="1255" w:type="pct"/>
            <w:tcBorders>
              <w:bottom w:val="double" w:sz="4" w:space="0" w:color="auto"/>
            </w:tcBorders>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w:t>
            </w:r>
            <w:r w:rsidR="003A224F">
              <w:rPr>
                <w:rFonts w:ascii="Arial Narrow" w:hAnsi="Arial Narrow" w:cstheme="minorHAnsi"/>
                <w:bCs/>
                <w:noProof/>
                <w:snapToGrid/>
                <w:color w:val="000000"/>
                <w:sz w:val="20"/>
                <w:highlight w:val="black"/>
                <w:lang w:eastAsia="en-AU"/>
              </w:rPr>
              <w:t>'''''''''''''''''''</w:t>
            </w:r>
            <w:r w:rsidRPr="00600064">
              <w:rPr>
                <w:rFonts w:ascii="Arial Narrow" w:hAnsi="Arial Narrow" w:cstheme="minorHAnsi"/>
                <w:bCs/>
                <w:snapToGrid/>
                <w:sz w:val="20"/>
                <w:lang w:eastAsia="en-AU"/>
              </w:rPr>
              <w:t xml:space="preserve"> + Max duration of NIVO (</w:t>
            </w:r>
            <w:r w:rsidR="003A224F">
              <w:rPr>
                <w:rFonts w:ascii="Arial Narrow" w:hAnsi="Arial Narrow" w:cstheme="minorHAnsi"/>
                <w:bCs/>
                <w:noProof/>
                <w:snapToGrid/>
                <w:color w:val="000000"/>
                <w:sz w:val="20"/>
                <w:highlight w:val="black"/>
                <w:lang w:eastAsia="en-AU"/>
              </w:rPr>
              <w:t>'''''''''''''''</w:t>
            </w:r>
            <w:r w:rsidRPr="00600064">
              <w:rPr>
                <w:rFonts w:ascii="Arial Narrow" w:hAnsi="Arial Narrow" w:cstheme="minorHAnsi"/>
                <w:bCs/>
                <w:snapToGrid/>
                <w:sz w:val="20"/>
                <w:lang w:eastAsia="en-AU"/>
              </w:rPr>
              <w:t xml:space="preserve"> costed infusions)</w:t>
            </w:r>
          </w:p>
        </w:tc>
      </w:tr>
      <w:tr w:rsidR="008D3472" w:rsidRPr="00600064" w:rsidTr="008D3472">
        <w:trPr>
          <w:trHeight w:val="240"/>
        </w:trPr>
        <w:tc>
          <w:tcPr>
            <w:tcW w:w="781" w:type="pct"/>
            <w:tcBorders>
              <w:top w:val="double" w:sz="4" w:space="0" w:color="auto"/>
            </w:tcBorders>
            <w:shd w:val="clear" w:color="auto" w:fill="auto"/>
            <w:vAlign w:val="center"/>
          </w:tcPr>
          <w:p w:rsidR="00991B08" w:rsidRPr="00600064" w:rsidRDefault="002004CB" w:rsidP="00991B08">
            <w:pPr>
              <w:widowControl/>
              <w:spacing w:line="240" w:lineRule="auto"/>
              <w:jc w:val="left"/>
              <w:rPr>
                <w:rFonts w:ascii="Arial Narrow" w:hAnsi="Arial Narrow" w:cstheme="minorHAnsi"/>
                <w:bCs/>
                <w:snapToGrid/>
                <w:sz w:val="20"/>
                <w:lang w:eastAsia="en-AU"/>
              </w:rPr>
            </w:pPr>
            <w:r w:rsidRPr="00600064">
              <w:rPr>
                <w:rFonts w:ascii="Arial Narrow" w:hAnsi="Arial Narrow" w:cstheme="minorHAnsi"/>
                <w:bCs/>
                <w:snapToGrid/>
                <w:sz w:val="20"/>
                <w:lang w:eastAsia="en-AU"/>
              </w:rPr>
              <w:t>“</w:t>
            </w:r>
            <w:r w:rsidR="00991B08" w:rsidRPr="00600064">
              <w:rPr>
                <w:rFonts w:ascii="Arial Narrow" w:hAnsi="Arial Narrow" w:cstheme="minorHAnsi"/>
                <w:bCs/>
                <w:snapToGrid/>
                <w:sz w:val="20"/>
                <w:lang w:eastAsia="en-AU"/>
              </w:rPr>
              <w:t>Sponsor amended base case</w:t>
            </w:r>
            <w:r w:rsidRPr="00600064">
              <w:rPr>
                <w:rFonts w:ascii="Arial Narrow" w:hAnsi="Arial Narrow" w:cstheme="minorHAnsi"/>
                <w:bCs/>
                <w:snapToGrid/>
                <w:sz w:val="20"/>
                <w:lang w:eastAsia="en-AU"/>
              </w:rPr>
              <w:t>”</w:t>
            </w:r>
          </w:p>
        </w:tc>
        <w:tc>
          <w:tcPr>
            <w:tcW w:w="468" w:type="pct"/>
            <w:tcBorders>
              <w:top w:val="double" w:sz="4" w:space="0" w:color="auto"/>
            </w:tcBorders>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8 years</w:t>
            </w:r>
          </w:p>
        </w:tc>
        <w:tc>
          <w:tcPr>
            <w:tcW w:w="547" w:type="pct"/>
            <w:tcBorders>
              <w:top w:val="double" w:sz="4" w:space="0" w:color="auto"/>
            </w:tcBorders>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rPF</w:t>
            </w:r>
            <w:proofErr w:type="spellEnd"/>
            <w:r w:rsidRPr="00600064">
              <w:rPr>
                <w:rFonts w:ascii="Arial Narrow" w:hAnsi="Arial Narrow" w:cstheme="minorHAnsi"/>
                <w:bCs/>
                <w:snapToGrid/>
                <w:sz w:val="20"/>
                <w:lang w:eastAsia="en-AU"/>
              </w:rPr>
              <w:t>)</w:t>
            </w:r>
          </w:p>
        </w:tc>
        <w:tc>
          <w:tcPr>
            <w:tcW w:w="545" w:type="pct"/>
            <w:tcBorders>
              <w:top w:val="double" w:sz="4" w:space="0" w:color="auto"/>
            </w:tcBorders>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rPF</w:t>
            </w:r>
            <w:proofErr w:type="spellEnd"/>
            <w:r w:rsidRPr="00600064">
              <w:rPr>
                <w:rFonts w:ascii="Arial Narrow" w:hAnsi="Arial Narrow" w:cstheme="minorHAnsi"/>
                <w:bCs/>
                <w:snapToGrid/>
                <w:sz w:val="20"/>
                <w:lang w:eastAsia="en-AU"/>
              </w:rPr>
              <w:t>)</w:t>
            </w:r>
          </w:p>
        </w:tc>
        <w:tc>
          <w:tcPr>
            <w:tcW w:w="1405" w:type="pct"/>
            <w:tcBorders>
              <w:top w:val="double" w:sz="4" w:space="0" w:color="auto"/>
            </w:tcBorders>
            <w:shd w:val="clear" w:color="auto" w:fill="auto"/>
            <w:vAlign w:val="center"/>
          </w:tcPr>
          <w:p w:rsidR="00991B08" w:rsidRPr="00600064" w:rsidRDefault="00991B08" w:rsidP="00033CFF">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Linked to </w:t>
            </w:r>
            <w:proofErr w:type="spellStart"/>
            <w:r w:rsidR="00033CFF" w:rsidRPr="00600064">
              <w:rPr>
                <w:rFonts w:ascii="Arial Narrow" w:hAnsi="Arial Narrow" w:cstheme="minorHAnsi"/>
                <w:bCs/>
                <w:snapToGrid/>
                <w:sz w:val="20"/>
                <w:lang w:eastAsia="en-AU"/>
              </w:rPr>
              <w:t>everolimus</w:t>
            </w:r>
            <w:proofErr w:type="spellEnd"/>
            <w:r w:rsidR="00033CFF" w:rsidRPr="00600064">
              <w:rPr>
                <w:rFonts w:ascii="Arial Narrow" w:hAnsi="Arial Narrow" w:cstheme="minorHAnsi"/>
                <w:bCs/>
                <w:snapToGrid/>
                <w:sz w:val="20"/>
                <w:lang w:eastAsia="en-AU"/>
              </w:rPr>
              <w:t xml:space="preserve"> </w:t>
            </w:r>
            <w:r w:rsidRPr="00600064">
              <w:rPr>
                <w:rFonts w:ascii="Arial Narrow" w:hAnsi="Arial Narrow" w:cstheme="minorHAnsi"/>
                <w:bCs/>
                <w:snapToGrid/>
                <w:sz w:val="20"/>
                <w:lang w:eastAsia="en-AU"/>
              </w:rPr>
              <w:t>mean DoT estimated from PC</w:t>
            </w:r>
          </w:p>
        </w:tc>
        <w:tc>
          <w:tcPr>
            <w:tcW w:w="1255" w:type="pct"/>
            <w:tcBorders>
              <w:top w:val="double" w:sz="4" w:space="0" w:color="auto"/>
            </w:tcBorders>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w:t>
            </w:r>
            <w:r w:rsidR="003A224F">
              <w:rPr>
                <w:rFonts w:ascii="Arial Narrow" w:hAnsi="Arial Narrow" w:cstheme="minorHAnsi"/>
                <w:bCs/>
                <w:noProof/>
                <w:snapToGrid/>
                <w:color w:val="000000"/>
                <w:sz w:val="20"/>
                <w:highlight w:val="black"/>
                <w:lang w:eastAsia="en-AU"/>
              </w:rPr>
              <w:t>'''''''''''''''''''''</w:t>
            </w:r>
          </w:p>
        </w:tc>
      </w:tr>
      <w:tr w:rsidR="008D3472" w:rsidRPr="00600064" w:rsidTr="008D3472">
        <w:trPr>
          <w:trHeight w:val="240"/>
        </w:trPr>
        <w:tc>
          <w:tcPr>
            <w:tcW w:w="781" w:type="pct"/>
            <w:shd w:val="clear" w:color="auto" w:fill="auto"/>
            <w:vAlign w:val="center"/>
          </w:tcPr>
          <w:p w:rsidR="00991B08" w:rsidRPr="00600064" w:rsidRDefault="002004CB" w:rsidP="00991B08">
            <w:pPr>
              <w:widowControl/>
              <w:spacing w:line="240" w:lineRule="auto"/>
              <w:jc w:val="left"/>
              <w:rPr>
                <w:rFonts w:ascii="Arial Narrow" w:hAnsi="Arial Narrow" w:cstheme="minorHAnsi"/>
                <w:bCs/>
                <w:snapToGrid/>
                <w:sz w:val="20"/>
                <w:lang w:eastAsia="en-AU"/>
              </w:rPr>
            </w:pPr>
            <w:r w:rsidRPr="00600064">
              <w:rPr>
                <w:rFonts w:ascii="Arial Narrow" w:hAnsi="Arial Narrow" w:cstheme="minorHAnsi"/>
                <w:bCs/>
                <w:snapToGrid/>
                <w:sz w:val="20"/>
                <w:lang w:eastAsia="en-AU"/>
              </w:rPr>
              <w:t>“</w:t>
            </w:r>
            <w:r w:rsidR="00991B08" w:rsidRPr="00600064">
              <w:rPr>
                <w:rFonts w:ascii="Arial Narrow" w:hAnsi="Arial Narrow" w:cstheme="minorHAnsi"/>
                <w:bCs/>
                <w:snapToGrid/>
                <w:sz w:val="20"/>
                <w:lang w:eastAsia="en-AU"/>
              </w:rPr>
              <w:t>PBAC amended base case</w:t>
            </w:r>
            <w:r w:rsidRPr="00600064">
              <w:rPr>
                <w:rFonts w:ascii="Arial Narrow" w:hAnsi="Arial Narrow" w:cstheme="minorHAnsi"/>
                <w:bCs/>
                <w:snapToGrid/>
                <w:sz w:val="20"/>
                <w:lang w:eastAsia="en-AU"/>
              </w:rPr>
              <w:t>”</w:t>
            </w:r>
          </w:p>
        </w:tc>
        <w:tc>
          <w:tcPr>
            <w:tcW w:w="468" w:type="pct"/>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5 years</w:t>
            </w:r>
          </w:p>
        </w:tc>
        <w:tc>
          <w:tcPr>
            <w:tcW w:w="547" w:type="pct"/>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rPF</w:t>
            </w:r>
            <w:proofErr w:type="spellEnd"/>
            <w:r w:rsidRPr="00600064">
              <w:rPr>
                <w:rFonts w:ascii="Arial Narrow" w:hAnsi="Arial Narrow" w:cstheme="minorHAnsi"/>
                <w:bCs/>
                <w:snapToGrid/>
                <w:sz w:val="20"/>
                <w:lang w:eastAsia="en-AU"/>
              </w:rPr>
              <w:t>)</w:t>
            </w:r>
          </w:p>
        </w:tc>
        <w:tc>
          <w:tcPr>
            <w:tcW w:w="545" w:type="pct"/>
            <w:shd w:val="clear" w:color="auto" w:fill="auto"/>
            <w:vAlign w:val="center"/>
          </w:tcPr>
          <w:p w:rsidR="00991B08" w:rsidRPr="003A224F" w:rsidRDefault="003A224F" w:rsidP="00991B08">
            <w:pPr>
              <w:widowControl/>
              <w:spacing w:line="240" w:lineRule="auto"/>
              <w:jc w:val="center"/>
              <w:rPr>
                <w:rFonts w:ascii="Arial Narrow" w:hAnsi="Arial Narrow" w:cstheme="minorHAnsi"/>
                <w:bCs/>
                <w:snapToGrid/>
                <w:sz w:val="20"/>
                <w:highlight w:val="black"/>
                <w:lang w:eastAsia="en-AU"/>
              </w:rPr>
            </w:pPr>
            <w:r>
              <w:rPr>
                <w:rFonts w:ascii="Arial Narrow" w:hAnsi="Arial Narrow" w:cstheme="minorHAnsi"/>
                <w:bCs/>
                <w:noProof/>
                <w:snapToGrid/>
                <w:color w:val="000000"/>
                <w:sz w:val="20"/>
                <w:highlight w:val="black"/>
                <w:lang w:eastAsia="en-AU"/>
              </w:rPr>
              <w:t>'''''''''''</w:t>
            </w:r>
          </w:p>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(PC – </w:t>
            </w:r>
            <w:proofErr w:type="spellStart"/>
            <w:r w:rsidRPr="00600064">
              <w:rPr>
                <w:rFonts w:ascii="Arial Narrow" w:hAnsi="Arial Narrow" w:cstheme="minorHAnsi"/>
                <w:bCs/>
                <w:snapToGrid/>
                <w:sz w:val="20"/>
                <w:lang w:eastAsia="en-AU"/>
              </w:rPr>
              <w:t>rPF</w:t>
            </w:r>
            <w:proofErr w:type="spellEnd"/>
            <w:r w:rsidRPr="00600064">
              <w:rPr>
                <w:rFonts w:ascii="Arial Narrow" w:hAnsi="Arial Narrow" w:cstheme="minorHAnsi"/>
                <w:bCs/>
                <w:snapToGrid/>
                <w:sz w:val="20"/>
                <w:lang w:eastAsia="en-AU"/>
              </w:rPr>
              <w:t>)</w:t>
            </w:r>
          </w:p>
        </w:tc>
        <w:tc>
          <w:tcPr>
            <w:tcW w:w="1405" w:type="pct"/>
            <w:shd w:val="clear" w:color="auto" w:fill="auto"/>
            <w:vAlign w:val="center"/>
          </w:tcPr>
          <w:p w:rsidR="00991B08" w:rsidRPr="00600064" w:rsidRDefault="00991B08" w:rsidP="00033CFF">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 xml:space="preserve">Linked to </w:t>
            </w:r>
            <w:proofErr w:type="spellStart"/>
            <w:r w:rsidR="00033CFF" w:rsidRPr="00600064">
              <w:rPr>
                <w:rFonts w:ascii="Arial Narrow" w:hAnsi="Arial Narrow" w:cstheme="minorHAnsi"/>
                <w:bCs/>
                <w:snapToGrid/>
                <w:sz w:val="20"/>
                <w:lang w:eastAsia="en-AU"/>
              </w:rPr>
              <w:t>everolimus</w:t>
            </w:r>
            <w:proofErr w:type="spellEnd"/>
            <w:r w:rsidR="00033CFF" w:rsidRPr="00600064">
              <w:rPr>
                <w:rFonts w:ascii="Arial Narrow" w:hAnsi="Arial Narrow" w:cstheme="minorHAnsi"/>
                <w:bCs/>
                <w:snapToGrid/>
                <w:sz w:val="20"/>
                <w:lang w:eastAsia="en-AU"/>
              </w:rPr>
              <w:t xml:space="preserve"> </w:t>
            </w:r>
            <w:r w:rsidRPr="00600064">
              <w:rPr>
                <w:rFonts w:ascii="Arial Narrow" w:hAnsi="Arial Narrow" w:cstheme="minorHAnsi"/>
                <w:bCs/>
                <w:snapToGrid/>
                <w:sz w:val="20"/>
                <w:lang w:eastAsia="en-AU"/>
              </w:rPr>
              <w:t>mean DoT estimated from PC</w:t>
            </w:r>
          </w:p>
        </w:tc>
        <w:tc>
          <w:tcPr>
            <w:tcW w:w="1255" w:type="pct"/>
            <w:shd w:val="clear" w:color="auto" w:fill="auto"/>
            <w:vAlign w:val="center"/>
          </w:tcPr>
          <w:p w:rsidR="00991B08" w:rsidRPr="00600064" w:rsidRDefault="00991B08" w:rsidP="00991B08">
            <w:pPr>
              <w:widowControl/>
              <w:spacing w:line="240" w:lineRule="auto"/>
              <w:jc w:val="center"/>
              <w:rPr>
                <w:rFonts w:ascii="Arial Narrow" w:hAnsi="Arial Narrow" w:cstheme="minorHAnsi"/>
                <w:bCs/>
                <w:snapToGrid/>
                <w:sz w:val="20"/>
                <w:lang w:eastAsia="en-AU"/>
              </w:rPr>
            </w:pPr>
            <w:r w:rsidRPr="00600064">
              <w:rPr>
                <w:rFonts w:ascii="Arial Narrow" w:hAnsi="Arial Narrow" w:cstheme="minorHAnsi"/>
                <w:bCs/>
                <w:snapToGrid/>
                <w:sz w:val="20"/>
                <w:lang w:eastAsia="en-AU"/>
              </w:rPr>
              <w:t>$</w:t>
            </w:r>
            <w:r w:rsidR="003A224F">
              <w:rPr>
                <w:rFonts w:ascii="Arial Narrow" w:hAnsi="Arial Narrow" w:cstheme="minorHAnsi"/>
                <w:bCs/>
                <w:noProof/>
                <w:snapToGrid/>
                <w:color w:val="000000"/>
                <w:sz w:val="20"/>
                <w:highlight w:val="black"/>
                <w:lang w:eastAsia="en-AU"/>
              </w:rPr>
              <w:t>'''''''''''''''''''</w:t>
            </w:r>
          </w:p>
        </w:tc>
      </w:tr>
    </w:tbl>
    <w:p w:rsidR="002802BD" w:rsidRPr="00600064" w:rsidRDefault="002802BD" w:rsidP="008D3472">
      <w:pPr>
        <w:keepLines/>
        <w:widowControl/>
        <w:spacing w:before="120" w:after="360"/>
        <w:contextualSpacing/>
        <w:rPr>
          <w:rFonts w:ascii="Arial Narrow" w:eastAsiaTheme="minorHAnsi" w:hAnsi="Arial Narrow" w:cstheme="minorBidi"/>
          <w:snapToGrid/>
          <w:sz w:val="16"/>
          <w:szCs w:val="16"/>
        </w:rPr>
      </w:pPr>
      <w:r w:rsidRPr="00600064">
        <w:rPr>
          <w:rFonts w:ascii="Arial Narrow" w:eastAsiaTheme="minorHAnsi" w:hAnsi="Arial Narrow" w:cstheme="minorBidi"/>
          <w:snapToGrid/>
          <w:sz w:val="16"/>
          <w:szCs w:val="16"/>
        </w:rPr>
        <w:t>Source: Page 5 of resubmission addendum.</w:t>
      </w:r>
    </w:p>
    <w:p w:rsidR="00991B08" w:rsidRPr="00600064" w:rsidRDefault="00991B08" w:rsidP="008D3472">
      <w:pPr>
        <w:keepLines/>
        <w:widowControl/>
        <w:spacing w:before="120" w:after="360"/>
        <w:contextualSpacing/>
        <w:rPr>
          <w:rFonts w:ascii="Arial Narrow" w:eastAsiaTheme="minorHAnsi" w:hAnsi="Arial Narrow" w:cstheme="minorBidi"/>
          <w:snapToGrid/>
          <w:sz w:val="16"/>
          <w:szCs w:val="16"/>
        </w:rPr>
      </w:pPr>
      <w:r w:rsidRPr="00600064">
        <w:rPr>
          <w:rFonts w:ascii="Arial Narrow" w:eastAsiaTheme="minorHAnsi" w:hAnsi="Arial Narrow" w:cstheme="minorBidi"/>
          <w:snapToGrid/>
          <w:sz w:val="16"/>
          <w:szCs w:val="16"/>
        </w:rPr>
        <w:t xml:space="preserve">Abbreviations: </w:t>
      </w:r>
      <w:proofErr w:type="spellStart"/>
      <w:r w:rsidRPr="00600064">
        <w:rPr>
          <w:rFonts w:ascii="Arial Narrow" w:eastAsiaTheme="minorHAnsi" w:hAnsi="Arial Narrow" w:cstheme="minorBidi"/>
          <w:snapToGrid/>
          <w:sz w:val="16"/>
          <w:szCs w:val="16"/>
        </w:rPr>
        <w:t>cPF</w:t>
      </w:r>
      <w:proofErr w:type="spellEnd"/>
      <w:r w:rsidR="00EC418B" w:rsidRPr="00600064">
        <w:rPr>
          <w:rFonts w:ascii="Arial Narrow" w:eastAsiaTheme="minorHAnsi" w:hAnsi="Arial Narrow" w:cstheme="minorBidi"/>
          <w:snapToGrid/>
          <w:sz w:val="16"/>
          <w:szCs w:val="16"/>
        </w:rPr>
        <w:t xml:space="preserve">, </w:t>
      </w:r>
      <w:r w:rsidR="00FD5715" w:rsidRPr="00600064">
        <w:rPr>
          <w:rFonts w:ascii="Arial Narrow" w:eastAsiaTheme="minorHAnsi" w:hAnsi="Arial Narrow" w:cstheme="minorBidi"/>
          <w:snapToGrid/>
          <w:sz w:val="16"/>
          <w:szCs w:val="16"/>
        </w:rPr>
        <w:t>clinical progression-</w:t>
      </w:r>
      <w:r w:rsidRPr="00600064">
        <w:rPr>
          <w:rFonts w:ascii="Arial Narrow" w:eastAsiaTheme="minorHAnsi" w:hAnsi="Arial Narrow" w:cstheme="minorBidi"/>
          <w:snapToGrid/>
          <w:sz w:val="16"/>
          <w:szCs w:val="16"/>
        </w:rPr>
        <w:t>free; DoT</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duration of therapy; FL</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front loaded model; ICER</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incremental cost effectiveness ratio; LY</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 xml:space="preserve"> life year; PC</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per cycle model; QALY</w:t>
      </w:r>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 xml:space="preserve">quality adjusted life year; </w:t>
      </w:r>
      <w:r w:rsidR="00EC418B" w:rsidRPr="00600064">
        <w:rPr>
          <w:rFonts w:ascii="Arial Narrow" w:eastAsiaTheme="minorHAnsi" w:hAnsi="Arial Narrow" w:cstheme="minorBidi"/>
          <w:snapToGrid/>
          <w:sz w:val="16"/>
          <w:szCs w:val="16"/>
        </w:rPr>
        <w:t xml:space="preserve"> </w:t>
      </w:r>
      <w:proofErr w:type="spellStart"/>
      <w:r w:rsidRPr="00600064">
        <w:rPr>
          <w:rFonts w:ascii="Arial Narrow" w:eastAsiaTheme="minorHAnsi" w:hAnsi="Arial Narrow" w:cstheme="minorBidi"/>
          <w:snapToGrid/>
          <w:sz w:val="16"/>
          <w:szCs w:val="16"/>
        </w:rPr>
        <w:t>rPF</w:t>
      </w:r>
      <w:proofErr w:type="spellEnd"/>
      <w:r w:rsidR="00EC418B" w:rsidRPr="00600064">
        <w:rPr>
          <w:rFonts w:ascii="Arial Narrow" w:eastAsiaTheme="minorHAnsi" w:hAnsi="Arial Narrow" w:cstheme="minorBidi"/>
          <w:snapToGrid/>
          <w:sz w:val="16"/>
          <w:szCs w:val="16"/>
        </w:rPr>
        <w:t xml:space="preserve">, </w:t>
      </w:r>
      <w:r w:rsidRPr="00600064">
        <w:rPr>
          <w:rFonts w:ascii="Arial Narrow" w:eastAsiaTheme="minorHAnsi" w:hAnsi="Arial Narrow" w:cstheme="minorBidi"/>
          <w:snapToGrid/>
          <w:sz w:val="16"/>
          <w:szCs w:val="16"/>
        </w:rPr>
        <w:t>RECIST</w:t>
      </w:r>
      <w:r w:rsidR="00030BF9" w:rsidRPr="00600064">
        <w:rPr>
          <w:rFonts w:ascii="Arial Narrow" w:eastAsiaTheme="minorHAnsi" w:hAnsi="Arial Narrow" w:cstheme="minorBidi"/>
          <w:snapToGrid/>
          <w:sz w:val="16"/>
          <w:szCs w:val="16"/>
        </w:rPr>
        <w:t>-defined</w:t>
      </w:r>
      <w:r w:rsidR="00FD5715" w:rsidRPr="00600064">
        <w:rPr>
          <w:rFonts w:ascii="Arial Narrow" w:eastAsiaTheme="minorHAnsi" w:hAnsi="Arial Narrow" w:cstheme="minorBidi"/>
          <w:snapToGrid/>
          <w:sz w:val="16"/>
          <w:szCs w:val="16"/>
        </w:rPr>
        <w:t xml:space="preserve"> progression-</w:t>
      </w:r>
      <w:r w:rsidRPr="00600064">
        <w:rPr>
          <w:rFonts w:ascii="Arial Narrow" w:eastAsiaTheme="minorHAnsi" w:hAnsi="Arial Narrow" w:cstheme="minorBidi"/>
          <w:snapToGrid/>
          <w:sz w:val="16"/>
          <w:szCs w:val="16"/>
        </w:rPr>
        <w:t>free.</w:t>
      </w:r>
    </w:p>
    <w:p w:rsidR="00275C5A" w:rsidRPr="00600064" w:rsidRDefault="00275C5A" w:rsidP="00275C5A">
      <w:pPr>
        <w:widowControl/>
        <w:rPr>
          <w:szCs w:val="22"/>
        </w:rPr>
      </w:pPr>
    </w:p>
    <w:p w:rsidR="00AE46A7" w:rsidRPr="00600064" w:rsidRDefault="00AE46A7" w:rsidP="00AE46A7">
      <w:pPr>
        <w:pStyle w:val="ListParagraph"/>
        <w:widowControl/>
        <w:numPr>
          <w:ilvl w:val="1"/>
          <w:numId w:val="4"/>
        </w:numPr>
      </w:pPr>
      <w:r w:rsidRPr="00600064">
        <w:t>In extrapolating the observed KM data for PFS to estimate treatment duration, the model had appended the extrapolated log-logistic data from month 26 onwards directly onto the KM data at the end of month 25. This resulted in a sharp drop in the proportion of nivolumab pat</w:t>
      </w:r>
      <w:r w:rsidR="00FD5715" w:rsidRPr="00600064">
        <w:t>ients assumed to be progression-</w:t>
      </w:r>
      <w:r w:rsidRPr="00600064">
        <w:t xml:space="preserve">free, and thus who remained on nivolumab. This favoured nivolumab in the assessment of costs. </w:t>
      </w:r>
      <w:r w:rsidR="00D969A9">
        <w:t>An adjustment</w:t>
      </w:r>
      <w:r w:rsidRPr="00600064">
        <w:t xml:space="preserve"> was made that applied the extrapolated propor</w:t>
      </w:r>
      <w:r w:rsidR="00FD5715" w:rsidRPr="00600064">
        <w:t>tion</w:t>
      </w:r>
      <w:r w:rsidR="00352D87" w:rsidRPr="00600064">
        <w:t>s</w:t>
      </w:r>
      <w:r w:rsidR="00FD5715" w:rsidRPr="00600064">
        <w:t xml:space="preserve"> of individuals </w:t>
      </w:r>
      <w:r w:rsidR="00352D87" w:rsidRPr="00600064">
        <w:t xml:space="preserve">who were </w:t>
      </w:r>
      <w:r w:rsidR="00FD5715" w:rsidRPr="00600064">
        <w:t>progression-</w:t>
      </w:r>
      <w:r w:rsidRPr="00600064">
        <w:t>free at month 26 to the observed proportion</w:t>
      </w:r>
      <w:r w:rsidR="00352D87" w:rsidRPr="00600064">
        <w:t>s</w:t>
      </w:r>
      <w:r w:rsidRPr="00600064">
        <w:t xml:space="preserve"> progression</w:t>
      </w:r>
      <w:r w:rsidR="00FD5715" w:rsidRPr="00600064">
        <w:t>-</w:t>
      </w:r>
      <w:r w:rsidRPr="00600064">
        <w:t>free at month 25, and the extrapolated data thereafter. The impact on the resulting Markov traces is shown in Figure 5</w:t>
      </w:r>
      <w:r w:rsidR="000F556D" w:rsidRPr="00600064">
        <w:t xml:space="preserve"> compared with the observed KM at the late data cut </w:t>
      </w:r>
      <w:r w:rsidR="002E6590" w:rsidRPr="00600064">
        <w:t xml:space="preserve">from the clinical trial </w:t>
      </w:r>
      <w:r w:rsidR="000F556D" w:rsidRPr="00600064">
        <w:t>in Figure 4</w:t>
      </w:r>
      <w:r w:rsidRPr="00600064">
        <w:t>.</w:t>
      </w:r>
    </w:p>
    <w:p w:rsidR="00AE46A7" w:rsidRPr="00600064" w:rsidRDefault="00AE46A7" w:rsidP="00AE46A7"/>
    <w:p w:rsidR="000F556D" w:rsidRPr="003A224F" w:rsidRDefault="000F556D" w:rsidP="000F556D">
      <w:pPr>
        <w:keepNext/>
        <w:keepLines/>
        <w:widowControl/>
        <w:jc w:val="left"/>
        <w:rPr>
          <w:rFonts w:ascii="Arial Narrow" w:hAnsi="Arial Narrow" w:cs="Times New Roman"/>
          <w:b/>
          <w:bCs/>
          <w:snapToGrid/>
          <w:sz w:val="20"/>
        </w:rPr>
      </w:pPr>
      <w:r w:rsidRPr="00600064">
        <w:rPr>
          <w:rFonts w:ascii="Arial Narrow" w:hAnsi="Arial Narrow" w:cs="Times New Roman"/>
          <w:b/>
          <w:bCs/>
          <w:snapToGrid/>
          <w:sz w:val="20"/>
        </w:rPr>
        <w:t>Figure 4: Kaplan-Meier plot of RECIST-defined progression-free survival plot (11 May 2016 cut-off)</w:t>
      </w:r>
    </w:p>
    <w:p w:rsidR="000F556D" w:rsidRPr="003A224F" w:rsidRDefault="003A224F" w:rsidP="000F556D">
      <w:pPr>
        <w:widowControl/>
        <w:jc w:val="left"/>
        <w:rPr>
          <w:rFonts w:cs="Times New Roman"/>
          <w:snapToGrid/>
          <w:sz w:val="16"/>
          <w:szCs w:val="16"/>
        </w:rPr>
      </w:pPr>
      <w:r>
        <w:rPr>
          <w:rFonts w:cs="Times New Roman"/>
          <w:noProof/>
          <w:snapToGrid/>
          <w:sz w:val="16"/>
          <w:szCs w:val="16"/>
          <w:lang w:eastAsia="en-AU"/>
        </w:rPr>
        <w:drawing>
          <wp:inline distT="0" distB="0" distL="0" distR="0">
            <wp:extent cx="5706745" cy="2415540"/>
            <wp:effectExtent l="0" t="0" r="8255" b="3810"/>
            <wp:docPr id="5" name="Picture 5" title="Figure 4: Kaplan-Meier plot of RECIST-defined progression-free survival plot (11 May 2016 cut-of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06745" cy="2415540"/>
                    </a:xfrm>
                    <a:prstGeom prst="rect">
                      <a:avLst/>
                    </a:prstGeom>
                  </pic:spPr>
                </pic:pic>
              </a:graphicData>
            </a:graphic>
          </wp:inline>
        </w:drawing>
      </w:r>
    </w:p>
    <w:p w:rsidR="000F556D" w:rsidRPr="003A224F" w:rsidRDefault="003A224F" w:rsidP="000F556D">
      <w:pPr>
        <w:widowControl/>
        <w:jc w:val="left"/>
        <w:rPr>
          <w:rFonts w:cs="Times New Roman"/>
          <w:snapToGrid/>
          <w:sz w:val="16"/>
          <w:szCs w:val="16"/>
          <w:highlight w:val="black"/>
        </w:rPr>
      </w:pPr>
      <w:r>
        <w:rPr>
          <w:rFonts w:cs="Times New Roman"/>
          <w:noProof/>
          <w:snapToGrid/>
          <w:color w:val="000000"/>
          <w:sz w:val="16"/>
          <w:szCs w:val="16"/>
          <w:highlight w:val="black"/>
        </w:rPr>
        <w:t>''''''''''''''''' ''''''''''''''' ''''' ''' '''''' ''''' '''''''''''''''''''''''''''''''''''</w:t>
      </w:r>
    </w:p>
    <w:p w:rsidR="000F556D" w:rsidRPr="00600064" w:rsidRDefault="000F556D" w:rsidP="00AE46A7"/>
    <w:p w:rsidR="00AE46A7" w:rsidRPr="003A224F" w:rsidRDefault="00AE46A7" w:rsidP="00AE46A7">
      <w:pPr>
        <w:keepNext/>
        <w:rPr>
          <w:rFonts w:ascii="Arial Narrow" w:hAnsi="Arial Narrow"/>
          <w:b/>
          <w:sz w:val="20"/>
          <w:szCs w:val="16"/>
        </w:rPr>
      </w:pPr>
      <w:r w:rsidRPr="00600064">
        <w:rPr>
          <w:rFonts w:ascii="Arial Narrow" w:hAnsi="Arial Narrow"/>
          <w:b/>
          <w:sz w:val="20"/>
          <w:szCs w:val="16"/>
        </w:rPr>
        <w:lastRenderedPageBreak/>
        <w:t>Figure 5: Kaplan-Meier curves and Markov survival traces for overall survival and RECIST</w:t>
      </w:r>
      <w:r w:rsidR="00030BF9" w:rsidRPr="00600064">
        <w:rPr>
          <w:rFonts w:ascii="Arial Narrow" w:hAnsi="Arial Narrow"/>
          <w:b/>
          <w:sz w:val="20"/>
          <w:szCs w:val="16"/>
        </w:rPr>
        <w:t>-defined</w:t>
      </w:r>
      <w:r w:rsidRPr="00600064">
        <w:rPr>
          <w:rFonts w:ascii="Arial Narrow" w:hAnsi="Arial Narrow"/>
          <w:b/>
          <w:sz w:val="20"/>
          <w:szCs w:val="16"/>
        </w:rPr>
        <w:t xml:space="preserve"> progression</w:t>
      </w:r>
      <w:r w:rsidR="00A35918" w:rsidRPr="00600064">
        <w:rPr>
          <w:rFonts w:ascii="Arial Narrow" w:hAnsi="Arial Narrow"/>
          <w:b/>
          <w:sz w:val="20"/>
          <w:szCs w:val="16"/>
        </w:rPr>
        <w:t>-</w:t>
      </w:r>
      <w:r w:rsidRPr="00600064">
        <w:rPr>
          <w:rFonts w:ascii="Arial Narrow" w:hAnsi="Arial Narrow"/>
          <w:b/>
          <w:sz w:val="20"/>
          <w:szCs w:val="16"/>
        </w:rPr>
        <w:t xml:space="preserve">free survival – </w:t>
      </w:r>
      <w:r w:rsidR="00EB6CA7">
        <w:rPr>
          <w:rFonts w:ascii="Arial Narrow" w:hAnsi="Arial Narrow"/>
          <w:b/>
          <w:sz w:val="20"/>
          <w:szCs w:val="16"/>
        </w:rPr>
        <w:t>adjusted</w:t>
      </w:r>
      <w:r w:rsidR="00EB6CA7" w:rsidRPr="00600064">
        <w:rPr>
          <w:rFonts w:ascii="Arial Narrow" w:hAnsi="Arial Narrow"/>
          <w:b/>
          <w:sz w:val="20"/>
          <w:szCs w:val="16"/>
        </w:rPr>
        <w:t xml:space="preserve"> </w:t>
      </w:r>
      <w:r w:rsidRPr="00600064">
        <w:rPr>
          <w:rFonts w:ascii="Arial Narrow" w:hAnsi="Arial Narrow"/>
          <w:b/>
          <w:sz w:val="20"/>
          <w:szCs w:val="16"/>
        </w:rPr>
        <w:t>for extrapolation</w:t>
      </w:r>
    </w:p>
    <w:p w:rsidR="00AE46A7" w:rsidRPr="003A224F" w:rsidRDefault="003A224F" w:rsidP="00AE46A7">
      <w:pPr>
        <w:rPr>
          <w:rFonts w:ascii="Arial Narrow" w:hAnsi="Arial Narrow"/>
          <w:sz w:val="18"/>
          <w:highlight w:val="black"/>
        </w:rPr>
      </w:pPr>
      <w:r>
        <w:rPr>
          <w:rFonts w:ascii="Arial Narrow" w:hAnsi="Arial Narrow"/>
          <w:noProof/>
          <w:snapToGrid/>
          <w:color w:val="000000"/>
          <w:sz w:val="18"/>
          <w:lang w:eastAsia="en-AU"/>
        </w:rPr>
        <w:drawing>
          <wp:inline distT="0" distB="0" distL="0" distR="0">
            <wp:extent cx="5687060" cy="3714750"/>
            <wp:effectExtent l="0" t="0" r="8890" b="0"/>
            <wp:docPr id="4" name="Picture 4" title="Figure 5: Kaplan-Meier curves and Markov survival traces for overall survival and RECIST-defined progression-free survival – adjusted for extrapol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87060" cy="3714750"/>
                    </a:xfrm>
                    <a:prstGeom prst="rect">
                      <a:avLst/>
                    </a:prstGeom>
                  </pic:spPr>
                </pic:pic>
              </a:graphicData>
            </a:graphic>
          </wp:inline>
        </w:drawing>
      </w:r>
      <w:r>
        <w:rPr>
          <w:rFonts w:ascii="Arial Narrow" w:hAnsi="Arial Narrow"/>
          <w:noProof/>
          <w:color w:val="000000"/>
          <w:sz w:val="18"/>
          <w:highlight w:val="black"/>
        </w:rPr>
        <w:t>''''''''''''''''''''''''''''''''''''''''''''''''' ''''''''''''''' ''''''''' '''''''''''''''''''''''''''</w:t>
      </w:r>
    </w:p>
    <w:p w:rsidR="00C57904" w:rsidRPr="003A224F" w:rsidRDefault="003A224F" w:rsidP="00C57904">
      <w:pPr>
        <w:ind w:left="720" w:hanging="720"/>
        <w:rPr>
          <w:rFonts w:ascii="Arial Narrow" w:hAnsi="Arial Narrow"/>
          <w:sz w:val="18"/>
          <w:highlight w:val="black"/>
        </w:rPr>
      </w:pPr>
      <w:r>
        <w:rPr>
          <w:rFonts w:ascii="Arial Narrow" w:hAnsi="Arial Narrow"/>
          <w:noProof/>
          <w:color w:val="000000"/>
          <w:sz w:val="18"/>
          <w:highlight w:val="black"/>
        </w:rPr>
        <w:t>''''''''''''''''''' ''''''''''''''''''''' '''''''' ''''''''''''''''''''''''' ''''' ''''''''''''''''''''''' ''''''''''''''''''''''''''''''' '''''' ''''''''''''''''''''''''''''''''''''' ''''''''''''' ''''''''' ''''''''' ''''''' '''''''''''''' ''''''''''''' ''''''''' '''''''''''''''''''''' '''''''''''' ''''''''''''''''''''''''''''''''''''''''''''''' '''''''''' ''''''''''''''''''''''''''''''''''''''''''''''''''''''''''''''''''''''''''''''''''</w:t>
      </w:r>
    </w:p>
    <w:p w:rsidR="00AE46A7" w:rsidRPr="003A224F" w:rsidRDefault="003A224F" w:rsidP="00AE46A7">
      <w:pPr>
        <w:rPr>
          <w:rFonts w:ascii="Arial Narrow" w:hAnsi="Arial Narrow"/>
          <w:sz w:val="18"/>
          <w:highlight w:val="black"/>
        </w:rPr>
      </w:pPr>
      <w:r>
        <w:rPr>
          <w:rFonts w:ascii="Arial Narrow" w:hAnsi="Arial Narrow"/>
          <w:noProof/>
          <w:color w:val="000000"/>
          <w:sz w:val="18"/>
          <w:highlight w:val="black"/>
        </w:rPr>
        <w:t>'''''''''''''''''''''''''''''''''''' ''''''''''' '''''''''''''''''''''''''''''''''' ''''''''''''' '''''''''''''''' ''''''' ''''''''' ''''''''' ''''''''''' ''''''''''''''' ''''''''' ''''''''''''''''' '''''''''''''''''' ''''''''' '''' '''''''''''''''''''''''''''''''''''''' '''''''''''''''''''''''''''''''''''' '''''''''''''''''''''</w:t>
      </w:r>
    </w:p>
    <w:p w:rsidR="00AE46A7" w:rsidRPr="00600064" w:rsidRDefault="00AE46A7" w:rsidP="00275C5A">
      <w:pPr>
        <w:widowControl/>
        <w:rPr>
          <w:szCs w:val="22"/>
        </w:rPr>
      </w:pPr>
    </w:p>
    <w:p w:rsidR="00642D41" w:rsidRPr="00600064" w:rsidRDefault="00642D41" w:rsidP="00642D41">
      <w:pPr>
        <w:pStyle w:val="ListParagraph"/>
        <w:widowControl/>
        <w:numPr>
          <w:ilvl w:val="1"/>
          <w:numId w:val="4"/>
        </w:numPr>
        <w:rPr>
          <w:szCs w:val="22"/>
        </w:rPr>
      </w:pPr>
      <w:r w:rsidRPr="00600064">
        <w:rPr>
          <w:szCs w:val="22"/>
        </w:rPr>
        <w:t xml:space="preserve">The ESC considered that the extrapolation method used by the sponsor in applying the overall extrapolation PFS curve to the end of the observed Kaplan-Meier curve was problematic. This resulted in a sharp drop in the curve </w:t>
      </w:r>
      <w:r w:rsidR="00F00300" w:rsidRPr="00600064">
        <w:rPr>
          <w:szCs w:val="22"/>
        </w:rPr>
        <w:t>at the point where the two curves join which is not biologically plausible and had a major impact on the resultant modelled results</w:t>
      </w:r>
      <w:r w:rsidR="008869EE" w:rsidRPr="00600064">
        <w:rPr>
          <w:szCs w:val="22"/>
        </w:rPr>
        <w:t xml:space="preserve"> </w:t>
      </w:r>
      <w:r w:rsidR="002E6590" w:rsidRPr="00600064">
        <w:rPr>
          <w:szCs w:val="22"/>
        </w:rPr>
        <w:t xml:space="preserve">with the greatest effect being to </w:t>
      </w:r>
      <w:r w:rsidR="008869EE" w:rsidRPr="00600064">
        <w:rPr>
          <w:szCs w:val="22"/>
        </w:rPr>
        <w:t>reduc</w:t>
      </w:r>
      <w:r w:rsidR="002E6590" w:rsidRPr="00600064">
        <w:rPr>
          <w:szCs w:val="22"/>
        </w:rPr>
        <w:t>e</w:t>
      </w:r>
      <w:r w:rsidR="008869EE" w:rsidRPr="00600064">
        <w:rPr>
          <w:szCs w:val="22"/>
        </w:rPr>
        <w:t xml:space="preserve"> the </w:t>
      </w:r>
      <w:r w:rsidR="002E6590" w:rsidRPr="00600064">
        <w:rPr>
          <w:szCs w:val="22"/>
        </w:rPr>
        <w:t>estimated</w:t>
      </w:r>
      <w:r w:rsidR="008869EE" w:rsidRPr="00600064">
        <w:rPr>
          <w:szCs w:val="22"/>
        </w:rPr>
        <w:t xml:space="preserve"> nivolumab costs</w:t>
      </w:r>
      <w:r w:rsidR="00F00300" w:rsidRPr="00600064">
        <w:rPr>
          <w:szCs w:val="22"/>
        </w:rPr>
        <w:t>.</w:t>
      </w:r>
      <w:r w:rsidR="00B7321D" w:rsidRPr="00600064">
        <w:rPr>
          <w:szCs w:val="22"/>
        </w:rPr>
        <w:t xml:space="preserve"> The ESC noted that this sharp drop was apparent in both data cut-off curves.</w:t>
      </w:r>
      <w:r w:rsidR="00F00300" w:rsidRPr="00600064">
        <w:rPr>
          <w:szCs w:val="22"/>
        </w:rPr>
        <w:t xml:space="preserve"> The ESC noted that the </w:t>
      </w:r>
      <w:proofErr w:type="gramStart"/>
      <w:r w:rsidR="00F00300" w:rsidRPr="00600064">
        <w:t>PSCR  claimed</w:t>
      </w:r>
      <w:proofErr w:type="gramEnd"/>
      <w:r w:rsidR="00F00300" w:rsidRPr="00600064">
        <w:t xml:space="preserve"> that the extrapolation is a summary of the entire curve, and hence the drop is reasonable.</w:t>
      </w:r>
    </w:p>
    <w:p w:rsidR="00B7321D" w:rsidRPr="00600064" w:rsidRDefault="00B7321D" w:rsidP="00B7321D">
      <w:pPr>
        <w:widowControl/>
        <w:rPr>
          <w:szCs w:val="22"/>
        </w:rPr>
      </w:pPr>
    </w:p>
    <w:p w:rsidR="00F9074C" w:rsidRPr="00600064" w:rsidRDefault="00F9074C" w:rsidP="00642D41">
      <w:pPr>
        <w:pStyle w:val="ListParagraph"/>
        <w:widowControl/>
        <w:numPr>
          <w:ilvl w:val="1"/>
          <w:numId w:val="4"/>
        </w:numPr>
        <w:rPr>
          <w:szCs w:val="22"/>
        </w:rPr>
      </w:pPr>
      <w:r w:rsidRPr="00600064">
        <w:t xml:space="preserve">The ESC noted the </w:t>
      </w:r>
      <w:r w:rsidR="00B7321D" w:rsidRPr="00600064">
        <w:t>amended extrapolation comp</w:t>
      </w:r>
      <w:r w:rsidR="007C4FE7" w:rsidRPr="00600064">
        <w:t>i</w:t>
      </w:r>
      <w:r w:rsidR="00B7321D" w:rsidRPr="00600064">
        <w:t xml:space="preserve">led during </w:t>
      </w:r>
      <w:r w:rsidR="007C4FE7" w:rsidRPr="00600064">
        <w:t xml:space="preserve">the </w:t>
      </w:r>
      <w:r w:rsidR="00B7321D" w:rsidRPr="00600064">
        <w:t xml:space="preserve">evaluation of the </w:t>
      </w:r>
      <w:r w:rsidR="007C4FE7" w:rsidRPr="00600064">
        <w:t>re</w:t>
      </w:r>
      <w:r w:rsidR="00B7321D" w:rsidRPr="00600064">
        <w:t>submission</w:t>
      </w:r>
      <w:r w:rsidR="007C4FE7" w:rsidRPr="00600064">
        <w:t>-addendum</w:t>
      </w:r>
      <w:r w:rsidR="00B7321D" w:rsidRPr="00600064">
        <w:t xml:space="preserve"> where the observed </w:t>
      </w:r>
      <w:r w:rsidR="00B7321D" w:rsidRPr="00600064">
        <w:rPr>
          <w:szCs w:val="22"/>
        </w:rPr>
        <w:t>Kaplan-Meier curve</w:t>
      </w:r>
      <w:r w:rsidR="00B7321D" w:rsidRPr="00600064">
        <w:t xml:space="preserve"> was used up to the end of the observed data and the best fit extrapolation was used to continue the </w:t>
      </w:r>
      <w:r w:rsidR="00B7321D" w:rsidRPr="00600064">
        <w:rPr>
          <w:szCs w:val="22"/>
        </w:rPr>
        <w:t xml:space="preserve">Kaplan-Meier curve to inform the Markov model. The ICER was sensitive to this method of extrapolation as can be seen in </w:t>
      </w:r>
      <w:r w:rsidR="007C4FE7" w:rsidRPr="00600064">
        <w:rPr>
          <w:szCs w:val="22"/>
        </w:rPr>
        <w:t>T</w:t>
      </w:r>
      <w:r w:rsidR="00B7321D" w:rsidRPr="00600064">
        <w:rPr>
          <w:szCs w:val="22"/>
        </w:rPr>
        <w:t>able 13.</w:t>
      </w:r>
    </w:p>
    <w:p w:rsidR="00D33F76" w:rsidRPr="00600064" w:rsidRDefault="00D33F76" w:rsidP="00D33F76">
      <w:pPr>
        <w:widowControl/>
        <w:rPr>
          <w:szCs w:val="22"/>
        </w:rPr>
      </w:pPr>
    </w:p>
    <w:p w:rsidR="00A657DD" w:rsidRPr="00600064" w:rsidRDefault="00A657DD" w:rsidP="00642D41">
      <w:pPr>
        <w:pStyle w:val="ListParagraph"/>
        <w:widowControl/>
        <w:numPr>
          <w:ilvl w:val="1"/>
          <w:numId w:val="4"/>
        </w:numPr>
        <w:rPr>
          <w:szCs w:val="22"/>
        </w:rPr>
      </w:pPr>
      <w:r w:rsidRPr="00600064">
        <w:rPr>
          <w:szCs w:val="22"/>
        </w:rPr>
        <w:t xml:space="preserve">The PBAC </w:t>
      </w:r>
      <w:r w:rsidR="00CF67D4" w:rsidRPr="00600064">
        <w:rPr>
          <w:szCs w:val="22"/>
        </w:rPr>
        <w:t xml:space="preserve">accepted that the “PBAC amended base case” adopted its </w:t>
      </w:r>
      <w:proofErr w:type="spellStart"/>
      <w:r w:rsidR="00CF67D4" w:rsidRPr="00600064">
        <w:rPr>
          <w:szCs w:val="22"/>
        </w:rPr>
        <w:t>respecifications</w:t>
      </w:r>
      <w:proofErr w:type="spellEnd"/>
      <w:r w:rsidR="00CF67D4" w:rsidRPr="00600064">
        <w:rPr>
          <w:szCs w:val="22"/>
        </w:rPr>
        <w:t xml:space="preserve"> from its November 2016 meeting. The PBAC </w:t>
      </w:r>
      <w:r w:rsidRPr="00600064">
        <w:rPr>
          <w:szCs w:val="22"/>
        </w:rPr>
        <w:t xml:space="preserve">noted </w:t>
      </w:r>
      <w:r w:rsidR="00CF67D4" w:rsidRPr="00600064">
        <w:rPr>
          <w:szCs w:val="22"/>
        </w:rPr>
        <w:t xml:space="preserve">that </w:t>
      </w:r>
      <w:r w:rsidRPr="00600064">
        <w:rPr>
          <w:szCs w:val="22"/>
        </w:rPr>
        <w:t>the Pre-PBAC</w:t>
      </w:r>
      <w:r w:rsidR="00E24C2D" w:rsidRPr="00600064">
        <w:rPr>
          <w:szCs w:val="22"/>
        </w:rPr>
        <w:t xml:space="preserve"> </w:t>
      </w:r>
      <w:r w:rsidRPr="00600064">
        <w:rPr>
          <w:szCs w:val="22"/>
        </w:rPr>
        <w:t xml:space="preserve">response considered that </w:t>
      </w:r>
      <w:r w:rsidR="00D33F76" w:rsidRPr="00600064">
        <w:rPr>
          <w:szCs w:val="22"/>
        </w:rPr>
        <w:t xml:space="preserve">the adjusted extrapolation method considered by ESC was not appropriate and </w:t>
      </w:r>
      <w:r w:rsidR="00CF67D4" w:rsidRPr="00600064">
        <w:rPr>
          <w:szCs w:val="22"/>
        </w:rPr>
        <w:t xml:space="preserve">considered </w:t>
      </w:r>
      <w:r w:rsidR="00D33F76" w:rsidRPr="00600064">
        <w:rPr>
          <w:szCs w:val="22"/>
        </w:rPr>
        <w:t xml:space="preserve">that the method used to extrapolate costs and outcomes past the data cut-off in the resubmission addendum was the most appropriate. </w:t>
      </w:r>
      <w:r w:rsidR="00CF67D4" w:rsidRPr="00600064">
        <w:rPr>
          <w:szCs w:val="22"/>
        </w:rPr>
        <w:t>Overall, although t</w:t>
      </w:r>
      <w:r w:rsidR="00D33F76" w:rsidRPr="00600064">
        <w:rPr>
          <w:szCs w:val="22"/>
        </w:rPr>
        <w:t xml:space="preserve">he PBAC considered that the method of extrapolation </w:t>
      </w:r>
      <w:r w:rsidR="00D33F76" w:rsidRPr="00600064">
        <w:rPr>
          <w:szCs w:val="22"/>
        </w:rPr>
        <w:lastRenderedPageBreak/>
        <w:t xml:space="preserve">as used by the sponsor in the resubmission did introduce </w:t>
      </w:r>
      <w:r w:rsidR="00CF67D4" w:rsidRPr="00600064">
        <w:rPr>
          <w:szCs w:val="22"/>
        </w:rPr>
        <w:t xml:space="preserve">some </w:t>
      </w:r>
      <w:r w:rsidR="00D33F76" w:rsidRPr="00600064">
        <w:rPr>
          <w:szCs w:val="22"/>
        </w:rPr>
        <w:t>uncertainties</w:t>
      </w:r>
      <w:r w:rsidR="00CF67D4" w:rsidRPr="00600064">
        <w:rPr>
          <w:szCs w:val="22"/>
        </w:rPr>
        <w:t xml:space="preserve">, these </w:t>
      </w:r>
      <w:r w:rsidR="002004CB" w:rsidRPr="00600064">
        <w:rPr>
          <w:szCs w:val="22"/>
        </w:rPr>
        <w:t xml:space="preserve">were insufficient to require a further </w:t>
      </w:r>
      <w:proofErr w:type="spellStart"/>
      <w:r w:rsidR="002004CB" w:rsidRPr="00600064">
        <w:rPr>
          <w:szCs w:val="22"/>
        </w:rPr>
        <w:t>respecification</w:t>
      </w:r>
      <w:proofErr w:type="spellEnd"/>
      <w:r w:rsidR="00D33F76" w:rsidRPr="00600064">
        <w:rPr>
          <w:szCs w:val="22"/>
        </w:rPr>
        <w:t>.</w:t>
      </w:r>
    </w:p>
    <w:p w:rsidR="00642D41" w:rsidRPr="00600064" w:rsidRDefault="00642D41" w:rsidP="00642D41">
      <w:pPr>
        <w:widowControl/>
        <w:rPr>
          <w:szCs w:val="22"/>
        </w:rPr>
      </w:pPr>
    </w:p>
    <w:p w:rsidR="00275C5A" w:rsidRPr="00600064" w:rsidRDefault="004A4DB5" w:rsidP="005F42CF">
      <w:pPr>
        <w:pStyle w:val="ListParagraph"/>
        <w:widowControl/>
        <w:numPr>
          <w:ilvl w:val="1"/>
          <w:numId w:val="4"/>
        </w:numPr>
        <w:rPr>
          <w:szCs w:val="22"/>
        </w:rPr>
      </w:pPr>
      <w:r w:rsidRPr="00600064">
        <w:rPr>
          <w:szCs w:val="22"/>
        </w:rPr>
        <w:t xml:space="preserve">The </w:t>
      </w:r>
      <w:r w:rsidRPr="00600064">
        <w:t>k</w:t>
      </w:r>
      <w:r w:rsidR="00D110BD" w:rsidRPr="00600064">
        <w:t xml:space="preserve">ey drivers of the </w:t>
      </w:r>
      <w:r w:rsidRPr="00600064">
        <w:t xml:space="preserve">economic </w:t>
      </w:r>
      <w:r w:rsidR="00D110BD" w:rsidRPr="00600064">
        <w:t>model</w:t>
      </w:r>
      <w:r w:rsidRPr="00600064">
        <w:t xml:space="preserve"> </w:t>
      </w:r>
      <w:r w:rsidR="00C9750F" w:rsidRPr="00600064">
        <w:t xml:space="preserve">are provided in </w:t>
      </w:r>
      <w:r w:rsidR="00027921" w:rsidRPr="00600064">
        <w:t xml:space="preserve">Table </w:t>
      </w:r>
      <w:r w:rsidRPr="00600064">
        <w:t>1</w:t>
      </w:r>
      <w:r w:rsidR="00F56D9C" w:rsidRPr="00600064">
        <w:t>2</w:t>
      </w:r>
      <w:r w:rsidR="00D110BD" w:rsidRPr="00600064">
        <w:t xml:space="preserve"> below</w:t>
      </w:r>
      <w:r w:rsidR="00D110BD" w:rsidRPr="00600064">
        <w:rPr>
          <w:color w:val="3366FF"/>
        </w:rPr>
        <w:t>.</w:t>
      </w:r>
    </w:p>
    <w:p w:rsidR="00275C5A" w:rsidRPr="00600064" w:rsidRDefault="00275C5A" w:rsidP="00275C5A">
      <w:pPr>
        <w:widowControl/>
        <w:rPr>
          <w:szCs w:val="22"/>
        </w:rPr>
      </w:pPr>
    </w:p>
    <w:p w:rsidR="00D06FD4" w:rsidRPr="00600064" w:rsidRDefault="00D06FD4" w:rsidP="008D3472">
      <w:pPr>
        <w:rPr>
          <w:rStyle w:val="CommentReference"/>
        </w:rPr>
      </w:pPr>
      <w:r w:rsidRPr="00600064">
        <w:rPr>
          <w:rStyle w:val="CommentReference"/>
        </w:rPr>
        <w:t xml:space="preserve">Table </w:t>
      </w:r>
      <w:r w:rsidR="004A4DB5" w:rsidRPr="00600064">
        <w:rPr>
          <w:rStyle w:val="CommentReference"/>
        </w:rPr>
        <w:t>1</w:t>
      </w:r>
      <w:r w:rsidR="00F56D9C" w:rsidRPr="00600064">
        <w:rPr>
          <w:rStyle w:val="CommentReference"/>
        </w:rPr>
        <w:t>2</w:t>
      </w:r>
      <w:r w:rsidR="004A4DB5" w:rsidRPr="00600064">
        <w:rPr>
          <w:rStyle w:val="CommentReference"/>
        </w:rPr>
        <w:t xml:space="preserve">: </w:t>
      </w:r>
      <w:r w:rsidRPr="00600064">
        <w:rPr>
          <w:rStyle w:val="CommentReference"/>
        </w:rPr>
        <w:t>Key drivers of the model</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0"/>
        <w:gridCol w:w="2836"/>
        <w:gridCol w:w="2410"/>
        <w:gridCol w:w="2108"/>
      </w:tblGrid>
      <w:tr w:rsidR="00027921" w:rsidRPr="00600064" w:rsidTr="008D3472">
        <w:trPr>
          <w:tblHeader/>
        </w:trPr>
        <w:tc>
          <w:tcPr>
            <w:tcW w:w="939" w:type="pct"/>
            <w:shd w:val="clear" w:color="auto" w:fill="auto"/>
            <w:vAlign w:val="center"/>
          </w:tcPr>
          <w:p w:rsidR="00027921" w:rsidRPr="00600064" w:rsidRDefault="00027921" w:rsidP="00D06FD4">
            <w:pPr>
              <w:jc w:val="left"/>
              <w:rPr>
                <w:rFonts w:ascii="Arial Narrow" w:hAnsi="Arial Narrow"/>
                <w:b/>
                <w:sz w:val="20"/>
              </w:rPr>
            </w:pPr>
            <w:r w:rsidRPr="00600064">
              <w:rPr>
                <w:rFonts w:ascii="Arial Narrow" w:hAnsi="Arial Narrow"/>
                <w:b/>
                <w:sz w:val="20"/>
              </w:rPr>
              <w:t>Description</w:t>
            </w:r>
          </w:p>
        </w:tc>
        <w:tc>
          <w:tcPr>
            <w:tcW w:w="1566" w:type="pct"/>
            <w:shd w:val="clear" w:color="auto" w:fill="auto"/>
            <w:vAlign w:val="center"/>
          </w:tcPr>
          <w:p w:rsidR="00027921" w:rsidRPr="00600064" w:rsidRDefault="00027921" w:rsidP="00027921">
            <w:pPr>
              <w:jc w:val="left"/>
              <w:rPr>
                <w:rFonts w:ascii="Arial Narrow" w:hAnsi="Arial Narrow"/>
                <w:b/>
                <w:sz w:val="20"/>
              </w:rPr>
            </w:pPr>
            <w:r w:rsidRPr="00600064">
              <w:rPr>
                <w:rFonts w:ascii="Arial Narrow" w:hAnsi="Arial Narrow"/>
                <w:b/>
                <w:sz w:val="20"/>
              </w:rPr>
              <w:t>Method/Value</w:t>
            </w:r>
          </w:p>
        </w:tc>
        <w:tc>
          <w:tcPr>
            <w:tcW w:w="1331" w:type="pct"/>
          </w:tcPr>
          <w:p w:rsidR="00027921" w:rsidRPr="00600064" w:rsidRDefault="00027921" w:rsidP="00027921">
            <w:pPr>
              <w:jc w:val="left"/>
              <w:rPr>
                <w:rFonts w:ascii="Arial Narrow" w:hAnsi="Arial Narrow"/>
                <w:b/>
                <w:sz w:val="20"/>
              </w:rPr>
            </w:pPr>
            <w:r w:rsidRPr="00600064">
              <w:rPr>
                <w:rFonts w:ascii="Arial Narrow" w:hAnsi="Arial Narrow"/>
                <w:b/>
                <w:sz w:val="20"/>
              </w:rPr>
              <w:t>Use</w:t>
            </w:r>
          </w:p>
        </w:tc>
        <w:tc>
          <w:tcPr>
            <w:tcW w:w="1164" w:type="pct"/>
            <w:shd w:val="clear" w:color="auto" w:fill="auto"/>
            <w:vAlign w:val="center"/>
          </w:tcPr>
          <w:p w:rsidR="00027921" w:rsidRPr="00600064" w:rsidRDefault="00027921" w:rsidP="00027921">
            <w:pPr>
              <w:jc w:val="left"/>
              <w:rPr>
                <w:rFonts w:ascii="Arial Narrow" w:hAnsi="Arial Narrow"/>
                <w:b/>
                <w:sz w:val="20"/>
              </w:rPr>
            </w:pPr>
            <w:r w:rsidRPr="00600064">
              <w:rPr>
                <w:rFonts w:ascii="Arial Narrow" w:hAnsi="Arial Narrow"/>
                <w:b/>
                <w:sz w:val="20"/>
              </w:rPr>
              <w:t>Impact</w:t>
            </w:r>
            <w:r w:rsidR="004650EC" w:rsidRPr="00600064">
              <w:rPr>
                <w:rFonts w:ascii="Arial Narrow" w:hAnsi="Arial Narrow"/>
                <w:b/>
                <w:sz w:val="20"/>
              </w:rPr>
              <w:t xml:space="preserve"> on ICER</w:t>
            </w:r>
          </w:p>
        </w:tc>
      </w:tr>
      <w:tr w:rsidR="00C423A4" w:rsidRPr="00600064" w:rsidTr="008D3472">
        <w:tc>
          <w:tcPr>
            <w:tcW w:w="939" w:type="pct"/>
            <w:shd w:val="clear" w:color="auto" w:fill="auto"/>
            <w:vAlign w:val="center"/>
          </w:tcPr>
          <w:p w:rsidR="00C423A4" w:rsidRPr="00600064" w:rsidRDefault="00C423A4" w:rsidP="00D06FD4">
            <w:pPr>
              <w:jc w:val="left"/>
              <w:rPr>
                <w:rFonts w:ascii="Arial Narrow" w:hAnsi="Arial Narrow"/>
                <w:sz w:val="20"/>
              </w:rPr>
            </w:pPr>
            <w:r w:rsidRPr="00600064">
              <w:rPr>
                <w:rFonts w:ascii="Arial Narrow" w:hAnsi="Arial Narrow"/>
                <w:sz w:val="20"/>
              </w:rPr>
              <w:t>Hazard ratio for overall survival</w:t>
            </w:r>
          </w:p>
        </w:tc>
        <w:tc>
          <w:tcPr>
            <w:tcW w:w="1566" w:type="pct"/>
            <w:shd w:val="clear" w:color="auto" w:fill="auto"/>
            <w:vAlign w:val="center"/>
          </w:tcPr>
          <w:p w:rsidR="00C423A4" w:rsidRPr="00600064" w:rsidRDefault="00C423A4" w:rsidP="005027B2">
            <w:pPr>
              <w:jc w:val="left"/>
              <w:rPr>
                <w:rFonts w:ascii="Arial Narrow" w:hAnsi="Arial Narrow"/>
                <w:sz w:val="20"/>
              </w:rPr>
            </w:pPr>
            <w:r w:rsidRPr="00600064">
              <w:rPr>
                <w:rFonts w:ascii="Arial Narrow" w:hAnsi="Arial Narrow"/>
                <w:sz w:val="20"/>
              </w:rPr>
              <w:t xml:space="preserve">0.73 </w:t>
            </w:r>
            <w:proofErr w:type="gramStart"/>
            <w:r w:rsidRPr="00600064">
              <w:rPr>
                <w:rFonts w:ascii="Arial Narrow" w:hAnsi="Arial Narrow"/>
                <w:sz w:val="20"/>
              </w:rPr>
              <w:t>in</w:t>
            </w:r>
            <w:proofErr w:type="gramEnd"/>
            <w:r w:rsidRPr="00600064">
              <w:rPr>
                <w:rFonts w:ascii="Arial Narrow" w:hAnsi="Arial Narrow"/>
                <w:sz w:val="20"/>
              </w:rPr>
              <w:t xml:space="preserve"> </w:t>
            </w:r>
            <w:r w:rsidR="005027B2" w:rsidRPr="00600064">
              <w:rPr>
                <w:rFonts w:ascii="Arial Narrow" w:hAnsi="Arial Narrow"/>
                <w:sz w:val="20"/>
              </w:rPr>
              <w:t xml:space="preserve">all </w:t>
            </w:r>
            <w:r w:rsidRPr="00600064">
              <w:rPr>
                <w:rFonts w:ascii="Arial Narrow" w:hAnsi="Arial Narrow"/>
                <w:sz w:val="20"/>
              </w:rPr>
              <w:t>base case</w:t>
            </w:r>
            <w:r w:rsidR="005027B2" w:rsidRPr="00600064">
              <w:rPr>
                <w:rFonts w:ascii="Arial Narrow" w:hAnsi="Arial Narrow"/>
                <w:sz w:val="20"/>
              </w:rPr>
              <w:t>s</w:t>
            </w:r>
            <w:r w:rsidRPr="00600064">
              <w:rPr>
                <w:rFonts w:ascii="Arial Narrow" w:hAnsi="Arial Narrow"/>
                <w:sz w:val="20"/>
              </w:rPr>
              <w:t>, based on CA209025.</w:t>
            </w:r>
          </w:p>
        </w:tc>
        <w:tc>
          <w:tcPr>
            <w:tcW w:w="1331" w:type="pct"/>
          </w:tcPr>
          <w:p w:rsidR="00C423A4" w:rsidRPr="00600064" w:rsidRDefault="00867ACE" w:rsidP="00027921">
            <w:pPr>
              <w:jc w:val="left"/>
              <w:rPr>
                <w:rFonts w:ascii="Arial Narrow" w:hAnsi="Arial Narrow"/>
                <w:sz w:val="20"/>
              </w:rPr>
            </w:pPr>
            <w:r w:rsidRPr="00600064">
              <w:rPr>
                <w:rFonts w:ascii="Arial Narrow" w:hAnsi="Arial Narrow"/>
                <w:sz w:val="20"/>
              </w:rPr>
              <w:t xml:space="preserve">March </w:t>
            </w:r>
            <w:r w:rsidR="00C423A4" w:rsidRPr="00600064">
              <w:rPr>
                <w:rFonts w:ascii="Arial Narrow" w:hAnsi="Arial Narrow"/>
                <w:sz w:val="20"/>
              </w:rPr>
              <w:t>201</w:t>
            </w:r>
            <w:r w:rsidRPr="00600064">
              <w:rPr>
                <w:rFonts w:ascii="Arial Narrow" w:hAnsi="Arial Narrow"/>
                <w:sz w:val="20"/>
              </w:rPr>
              <w:t>7</w:t>
            </w:r>
            <w:r w:rsidR="00C423A4" w:rsidRPr="00600064">
              <w:rPr>
                <w:rFonts w:ascii="Arial Narrow" w:hAnsi="Arial Narrow"/>
                <w:sz w:val="20"/>
              </w:rPr>
              <w:t xml:space="preserve"> resubmission.</w:t>
            </w:r>
          </w:p>
          <w:p w:rsidR="00C423A4" w:rsidRPr="00600064" w:rsidRDefault="00C423A4" w:rsidP="00027921">
            <w:pPr>
              <w:jc w:val="left"/>
              <w:rPr>
                <w:rFonts w:ascii="Arial Narrow" w:hAnsi="Arial Narrow"/>
                <w:sz w:val="20"/>
              </w:rPr>
            </w:pPr>
            <w:r w:rsidRPr="00600064">
              <w:rPr>
                <w:rFonts w:ascii="Arial Narrow" w:hAnsi="Arial Narrow"/>
                <w:sz w:val="20"/>
              </w:rPr>
              <w:t>Resu</w:t>
            </w:r>
            <w:r w:rsidR="00135416" w:rsidRPr="00600064">
              <w:rPr>
                <w:rFonts w:ascii="Arial Narrow" w:hAnsi="Arial Narrow"/>
                <w:sz w:val="20"/>
              </w:rPr>
              <w:t>b</w:t>
            </w:r>
            <w:r w:rsidRPr="00600064">
              <w:rPr>
                <w:rFonts w:ascii="Arial Narrow" w:hAnsi="Arial Narrow"/>
                <w:sz w:val="20"/>
              </w:rPr>
              <w:t>mission-addendum.</w:t>
            </w:r>
          </w:p>
        </w:tc>
        <w:tc>
          <w:tcPr>
            <w:tcW w:w="1164" w:type="pct"/>
            <w:shd w:val="clear" w:color="auto" w:fill="auto"/>
            <w:vAlign w:val="center"/>
          </w:tcPr>
          <w:p w:rsidR="00C423A4" w:rsidRPr="00600064" w:rsidRDefault="00C423A4" w:rsidP="00027921">
            <w:pPr>
              <w:jc w:val="left"/>
              <w:rPr>
                <w:rFonts w:ascii="Arial Narrow" w:hAnsi="Arial Narrow"/>
                <w:sz w:val="20"/>
              </w:rPr>
            </w:pPr>
            <w:r w:rsidRPr="00600064">
              <w:rPr>
                <w:rFonts w:ascii="Arial Narrow" w:hAnsi="Arial Narrow"/>
                <w:sz w:val="20"/>
              </w:rPr>
              <w:t>High, lower hazard ratio favours nivolumab.</w:t>
            </w:r>
          </w:p>
        </w:tc>
      </w:tr>
      <w:tr w:rsidR="00027921" w:rsidRPr="00600064" w:rsidTr="008D3472">
        <w:tc>
          <w:tcPr>
            <w:tcW w:w="939" w:type="pct"/>
            <w:shd w:val="clear" w:color="auto" w:fill="auto"/>
            <w:vAlign w:val="center"/>
          </w:tcPr>
          <w:p w:rsidR="00027921" w:rsidRPr="00600064" w:rsidRDefault="00027921" w:rsidP="00D06FD4">
            <w:pPr>
              <w:jc w:val="left"/>
              <w:rPr>
                <w:rFonts w:ascii="Arial Narrow" w:hAnsi="Arial Narrow"/>
                <w:sz w:val="20"/>
              </w:rPr>
            </w:pPr>
            <w:r w:rsidRPr="00600064">
              <w:rPr>
                <w:rFonts w:ascii="Arial Narrow" w:hAnsi="Arial Narrow"/>
                <w:sz w:val="20"/>
              </w:rPr>
              <w:t>Time horizon</w:t>
            </w:r>
          </w:p>
        </w:tc>
        <w:tc>
          <w:tcPr>
            <w:tcW w:w="1566" w:type="pct"/>
            <w:shd w:val="clear" w:color="auto" w:fill="auto"/>
            <w:vAlign w:val="center"/>
          </w:tcPr>
          <w:p w:rsidR="00027921" w:rsidRPr="00600064" w:rsidRDefault="00027921" w:rsidP="003B6AE5">
            <w:pPr>
              <w:jc w:val="left"/>
              <w:rPr>
                <w:rFonts w:ascii="Arial Narrow" w:hAnsi="Arial Narrow"/>
                <w:sz w:val="20"/>
              </w:rPr>
            </w:pPr>
            <w:r w:rsidRPr="00600064">
              <w:rPr>
                <w:rFonts w:ascii="Arial Narrow" w:hAnsi="Arial Narrow"/>
                <w:sz w:val="20"/>
              </w:rPr>
              <w:t xml:space="preserve">8 years; </w:t>
            </w:r>
            <w:r w:rsidR="003B6AE5" w:rsidRPr="00600064">
              <w:rPr>
                <w:rFonts w:ascii="Arial Narrow" w:hAnsi="Arial Narrow"/>
                <w:sz w:val="20"/>
              </w:rPr>
              <w:t xml:space="preserve">trial follow-up was </w:t>
            </w:r>
            <w:r w:rsidR="00205E22" w:rsidRPr="00600064">
              <w:rPr>
                <w:rFonts w:ascii="Arial Narrow" w:hAnsi="Arial Narrow"/>
                <w:sz w:val="20"/>
              </w:rPr>
              <w:t>median 2.8 year</w:t>
            </w:r>
            <w:r w:rsidR="003B6AE5" w:rsidRPr="00600064">
              <w:rPr>
                <w:rFonts w:ascii="Arial Narrow" w:hAnsi="Arial Narrow"/>
                <w:sz w:val="20"/>
              </w:rPr>
              <w:t>s</w:t>
            </w:r>
            <w:r w:rsidR="00205E22" w:rsidRPr="00600064">
              <w:rPr>
                <w:rFonts w:ascii="Arial Narrow" w:hAnsi="Arial Narrow"/>
                <w:sz w:val="20"/>
              </w:rPr>
              <w:t>.</w:t>
            </w:r>
          </w:p>
        </w:tc>
        <w:tc>
          <w:tcPr>
            <w:tcW w:w="1331" w:type="pct"/>
          </w:tcPr>
          <w:p w:rsidR="00027921" w:rsidRPr="00600064" w:rsidRDefault="00867ACE" w:rsidP="00027921">
            <w:pPr>
              <w:jc w:val="left"/>
              <w:rPr>
                <w:rFonts w:ascii="Arial Narrow" w:hAnsi="Arial Narrow"/>
                <w:sz w:val="20"/>
              </w:rPr>
            </w:pPr>
            <w:r w:rsidRPr="00600064">
              <w:rPr>
                <w:rFonts w:ascii="Arial Narrow" w:hAnsi="Arial Narrow"/>
                <w:sz w:val="20"/>
              </w:rPr>
              <w:t xml:space="preserve">March </w:t>
            </w:r>
            <w:r w:rsidR="00027921" w:rsidRPr="00600064">
              <w:rPr>
                <w:rFonts w:ascii="Arial Narrow" w:hAnsi="Arial Narrow"/>
                <w:sz w:val="20"/>
              </w:rPr>
              <w:t>201</w:t>
            </w:r>
            <w:r w:rsidRPr="00600064">
              <w:rPr>
                <w:rFonts w:ascii="Arial Narrow" w:hAnsi="Arial Narrow"/>
                <w:sz w:val="20"/>
              </w:rPr>
              <w:t>7</w:t>
            </w:r>
            <w:r w:rsidR="00027921" w:rsidRPr="00600064">
              <w:rPr>
                <w:rFonts w:ascii="Arial Narrow" w:hAnsi="Arial Narrow"/>
                <w:sz w:val="20"/>
              </w:rPr>
              <w:t xml:space="preserve"> resubmission.</w:t>
            </w:r>
          </w:p>
          <w:p w:rsidR="00027921" w:rsidRPr="00600064" w:rsidRDefault="008E6761" w:rsidP="008E6761">
            <w:pPr>
              <w:jc w:val="left"/>
              <w:rPr>
                <w:rFonts w:ascii="Arial Narrow" w:hAnsi="Arial Narrow"/>
                <w:sz w:val="20"/>
              </w:rPr>
            </w:pPr>
            <w:r w:rsidRPr="00600064">
              <w:rPr>
                <w:rFonts w:ascii="Arial Narrow" w:hAnsi="Arial Narrow"/>
                <w:sz w:val="20"/>
              </w:rPr>
              <w:t>Resubmission-</w:t>
            </w:r>
            <w:r w:rsidR="00027921" w:rsidRPr="00600064">
              <w:rPr>
                <w:rFonts w:ascii="Arial Narrow" w:hAnsi="Arial Narrow"/>
                <w:sz w:val="20"/>
              </w:rPr>
              <w:t>addendum</w:t>
            </w:r>
            <w:r w:rsidRPr="00600064">
              <w:rPr>
                <w:rFonts w:ascii="Arial Narrow" w:hAnsi="Arial Narrow"/>
                <w:sz w:val="20"/>
              </w:rPr>
              <w:t>;</w:t>
            </w:r>
            <w:r w:rsidR="00027921" w:rsidRPr="00600064">
              <w:rPr>
                <w:rFonts w:ascii="Arial Narrow" w:hAnsi="Arial Narrow"/>
                <w:sz w:val="20"/>
              </w:rPr>
              <w:t xml:space="preserve"> </w:t>
            </w:r>
            <w:r w:rsidR="002004CB" w:rsidRPr="00600064">
              <w:rPr>
                <w:rFonts w:ascii="Arial Narrow" w:hAnsi="Arial Narrow"/>
                <w:sz w:val="20"/>
              </w:rPr>
              <w:t>“</w:t>
            </w:r>
            <w:r w:rsidR="00027921" w:rsidRPr="00600064">
              <w:rPr>
                <w:rFonts w:ascii="Arial Narrow" w:hAnsi="Arial Narrow"/>
                <w:sz w:val="20"/>
              </w:rPr>
              <w:t>sponsor amended base case</w:t>
            </w:r>
            <w:r w:rsidR="002004CB" w:rsidRPr="00600064">
              <w:rPr>
                <w:rFonts w:ascii="Arial Narrow" w:hAnsi="Arial Narrow"/>
                <w:sz w:val="20"/>
              </w:rPr>
              <w:t>”</w:t>
            </w:r>
            <w:r w:rsidR="00027921" w:rsidRPr="00600064">
              <w:rPr>
                <w:rFonts w:ascii="Arial Narrow" w:hAnsi="Arial Narrow"/>
                <w:sz w:val="20"/>
              </w:rPr>
              <w:t>.</w:t>
            </w:r>
          </w:p>
        </w:tc>
        <w:tc>
          <w:tcPr>
            <w:tcW w:w="1164"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High, longer time horizon favours nivolumab.</w:t>
            </w:r>
          </w:p>
        </w:tc>
      </w:tr>
      <w:tr w:rsidR="00027921" w:rsidRPr="00600064" w:rsidTr="008D3472">
        <w:tc>
          <w:tcPr>
            <w:tcW w:w="939" w:type="pct"/>
            <w:shd w:val="clear" w:color="auto" w:fill="auto"/>
            <w:vAlign w:val="center"/>
          </w:tcPr>
          <w:p w:rsidR="00027921" w:rsidRPr="00600064" w:rsidRDefault="00027921" w:rsidP="00D06FD4">
            <w:pPr>
              <w:jc w:val="left"/>
              <w:rPr>
                <w:rFonts w:ascii="Arial Narrow" w:hAnsi="Arial Narrow"/>
                <w:sz w:val="20"/>
              </w:rPr>
            </w:pPr>
            <w:r w:rsidRPr="00600064">
              <w:rPr>
                <w:rFonts w:ascii="Arial Narrow" w:hAnsi="Arial Narrow"/>
                <w:sz w:val="20"/>
              </w:rPr>
              <w:t>PFS assumptions</w:t>
            </w:r>
          </w:p>
        </w:tc>
        <w:tc>
          <w:tcPr>
            <w:tcW w:w="1566"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Clinical PFS instead of RECIST-</w:t>
            </w:r>
            <w:r w:rsidR="00030BF9" w:rsidRPr="00600064">
              <w:rPr>
                <w:rFonts w:ascii="Arial Narrow" w:hAnsi="Arial Narrow"/>
                <w:sz w:val="20"/>
              </w:rPr>
              <w:t xml:space="preserve">defined </w:t>
            </w:r>
            <w:r w:rsidRPr="00600064">
              <w:rPr>
                <w:rFonts w:ascii="Arial Narrow" w:hAnsi="Arial Narrow"/>
                <w:sz w:val="20"/>
              </w:rPr>
              <w:t xml:space="preserve">PFS for nivolumab treatment duration in the resubmission. </w:t>
            </w:r>
          </w:p>
        </w:tc>
        <w:tc>
          <w:tcPr>
            <w:tcW w:w="1331" w:type="pct"/>
          </w:tcPr>
          <w:p w:rsidR="00027921" w:rsidRPr="00600064" w:rsidRDefault="00867ACE" w:rsidP="00867ACE">
            <w:pPr>
              <w:jc w:val="left"/>
              <w:rPr>
                <w:rFonts w:ascii="Arial Narrow" w:hAnsi="Arial Narrow"/>
                <w:sz w:val="20"/>
              </w:rPr>
            </w:pPr>
            <w:r w:rsidRPr="00600064">
              <w:rPr>
                <w:rFonts w:ascii="Arial Narrow" w:hAnsi="Arial Narrow"/>
                <w:sz w:val="20"/>
              </w:rPr>
              <w:t xml:space="preserve">March </w:t>
            </w:r>
            <w:r w:rsidR="004650EC" w:rsidRPr="00600064">
              <w:rPr>
                <w:rFonts w:ascii="Arial Narrow" w:hAnsi="Arial Narrow"/>
                <w:sz w:val="20"/>
              </w:rPr>
              <w:t>201</w:t>
            </w:r>
            <w:r w:rsidRPr="00600064">
              <w:rPr>
                <w:rFonts w:ascii="Arial Narrow" w:hAnsi="Arial Narrow"/>
                <w:sz w:val="20"/>
              </w:rPr>
              <w:t>7</w:t>
            </w:r>
            <w:r w:rsidR="004650EC" w:rsidRPr="00600064">
              <w:rPr>
                <w:rFonts w:ascii="Arial Narrow" w:hAnsi="Arial Narrow"/>
                <w:sz w:val="20"/>
              </w:rPr>
              <w:t xml:space="preserve"> resubmission.</w:t>
            </w:r>
          </w:p>
        </w:tc>
        <w:tc>
          <w:tcPr>
            <w:tcW w:w="1164" w:type="pct"/>
            <w:shd w:val="clear" w:color="auto" w:fill="auto"/>
            <w:vAlign w:val="center"/>
          </w:tcPr>
          <w:p w:rsidR="00027921" w:rsidRPr="00600064" w:rsidRDefault="00027921" w:rsidP="00027921">
            <w:pPr>
              <w:jc w:val="left"/>
              <w:rPr>
                <w:rFonts w:ascii="Arial Narrow" w:hAnsi="Arial Narrow"/>
                <w:sz w:val="20"/>
              </w:rPr>
            </w:pPr>
            <w:proofErr w:type="gramStart"/>
            <w:r w:rsidRPr="00600064">
              <w:rPr>
                <w:rFonts w:ascii="Arial Narrow" w:hAnsi="Arial Narrow"/>
                <w:sz w:val="20"/>
              </w:rPr>
              <w:t>High, increased nivolumab costs favours</w:t>
            </w:r>
            <w:proofErr w:type="gramEnd"/>
            <w:r w:rsidRPr="00600064">
              <w:rPr>
                <w:rFonts w:ascii="Arial Narrow" w:hAnsi="Arial Narrow"/>
                <w:sz w:val="20"/>
              </w:rPr>
              <w:t xml:space="preserve"> </w:t>
            </w:r>
            <w:proofErr w:type="spellStart"/>
            <w:r w:rsidRPr="00600064">
              <w:rPr>
                <w:rFonts w:ascii="Arial Narrow" w:hAnsi="Arial Narrow"/>
                <w:sz w:val="20"/>
              </w:rPr>
              <w:t>everolimus</w:t>
            </w:r>
            <w:proofErr w:type="spellEnd"/>
            <w:r w:rsidRPr="00600064">
              <w:rPr>
                <w:rFonts w:ascii="Arial Narrow" w:hAnsi="Arial Narrow"/>
                <w:sz w:val="20"/>
              </w:rPr>
              <w:t>.</w:t>
            </w:r>
          </w:p>
        </w:tc>
      </w:tr>
      <w:tr w:rsidR="00027921" w:rsidRPr="00600064" w:rsidTr="008D3472">
        <w:tc>
          <w:tcPr>
            <w:tcW w:w="939" w:type="pct"/>
            <w:shd w:val="clear" w:color="auto" w:fill="auto"/>
            <w:vAlign w:val="center"/>
          </w:tcPr>
          <w:p w:rsidR="00027921" w:rsidRPr="00600064" w:rsidRDefault="00027921" w:rsidP="00D06FD4">
            <w:pPr>
              <w:jc w:val="left"/>
              <w:rPr>
                <w:rFonts w:ascii="Arial Narrow" w:hAnsi="Arial Narrow"/>
                <w:sz w:val="20"/>
              </w:rPr>
            </w:pPr>
            <w:r w:rsidRPr="00600064">
              <w:rPr>
                <w:rFonts w:ascii="Arial Narrow" w:hAnsi="Arial Narrow"/>
                <w:sz w:val="20"/>
              </w:rPr>
              <w:t>Patient weight</w:t>
            </w:r>
          </w:p>
        </w:tc>
        <w:tc>
          <w:tcPr>
            <w:tcW w:w="1566"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Based on named patient program instead of trial CA209025.</w:t>
            </w:r>
          </w:p>
        </w:tc>
        <w:tc>
          <w:tcPr>
            <w:tcW w:w="1331" w:type="pct"/>
          </w:tcPr>
          <w:p w:rsidR="004650EC" w:rsidRPr="00600064" w:rsidRDefault="00867ACE" w:rsidP="004650EC">
            <w:pPr>
              <w:jc w:val="left"/>
              <w:rPr>
                <w:rFonts w:ascii="Arial Narrow" w:hAnsi="Arial Narrow"/>
                <w:sz w:val="20"/>
              </w:rPr>
            </w:pPr>
            <w:r w:rsidRPr="00600064">
              <w:rPr>
                <w:rFonts w:ascii="Arial Narrow" w:hAnsi="Arial Narrow"/>
                <w:sz w:val="20"/>
              </w:rPr>
              <w:t xml:space="preserve">March </w:t>
            </w:r>
            <w:r w:rsidR="004650EC" w:rsidRPr="00600064">
              <w:rPr>
                <w:rFonts w:ascii="Arial Narrow" w:hAnsi="Arial Narrow"/>
                <w:sz w:val="20"/>
              </w:rPr>
              <w:t>201</w:t>
            </w:r>
            <w:r w:rsidRPr="00600064">
              <w:rPr>
                <w:rFonts w:ascii="Arial Narrow" w:hAnsi="Arial Narrow"/>
                <w:sz w:val="20"/>
              </w:rPr>
              <w:t>7</w:t>
            </w:r>
            <w:r w:rsidR="004650EC" w:rsidRPr="00600064">
              <w:rPr>
                <w:rFonts w:ascii="Arial Narrow" w:hAnsi="Arial Narrow"/>
                <w:sz w:val="20"/>
              </w:rPr>
              <w:t xml:space="preserve"> resubmission.</w:t>
            </w:r>
          </w:p>
          <w:p w:rsidR="00027921" w:rsidRPr="00600064" w:rsidRDefault="004650EC" w:rsidP="004650EC">
            <w:pPr>
              <w:jc w:val="left"/>
              <w:rPr>
                <w:rFonts w:ascii="Arial Narrow" w:hAnsi="Arial Narrow"/>
                <w:sz w:val="20"/>
              </w:rPr>
            </w:pPr>
            <w:r w:rsidRPr="00600064">
              <w:rPr>
                <w:rFonts w:ascii="Arial Narrow" w:hAnsi="Arial Narrow"/>
                <w:sz w:val="20"/>
              </w:rPr>
              <w:t>Resubmission</w:t>
            </w:r>
            <w:r w:rsidR="008E6761" w:rsidRPr="00600064">
              <w:rPr>
                <w:rFonts w:ascii="Arial Narrow" w:hAnsi="Arial Narrow"/>
                <w:sz w:val="20"/>
              </w:rPr>
              <w:t>-</w:t>
            </w:r>
            <w:r w:rsidRPr="00600064">
              <w:rPr>
                <w:rFonts w:ascii="Arial Narrow" w:hAnsi="Arial Narrow"/>
                <w:sz w:val="20"/>
              </w:rPr>
              <w:t>addendum</w:t>
            </w:r>
            <w:r w:rsidR="008E6761" w:rsidRPr="00600064">
              <w:rPr>
                <w:rFonts w:ascii="Arial Narrow" w:hAnsi="Arial Narrow"/>
                <w:sz w:val="20"/>
              </w:rPr>
              <w:t>;</w:t>
            </w:r>
            <w:r w:rsidRPr="00600064">
              <w:rPr>
                <w:rFonts w:ascii="Arial Narrow" w:hAnsi="Arial Narrow"/>
                <w:sz w:val="20"/>
              </w:rPr>
              <w:t xml:space="preserve"> </w:t>
            </w:r>
            <w:r w:rsidR="002004CB" w:rsidRPr="00600064">
              <w:rPr>
                <w:rFonts w:ascii="Arial Narrow" w:hAnsi="Arial Narrow"/>
                <w:sz w:val="20"/>
              </w:rPr>
              <w:t>“</w:t>
            </w:r>
            <w:r w:rsidRPr="00600064">
              <w:rPr>
                <w:rFonts w:ascii="Arial Narrow" w:hAnsi="Arial Narrow"/>
                <w:sz w:val="20"/>
              </w:rPr>
              <w:t>sponsor amended base case</w:t>
            </w:r>
            <w:r w:rsidR="002004CB" w:rsidRPr="00600064">
              <w:rPr>
                <w:rFonts w:ascii="Arial Narrow" w:hAnsi="Arial Narrow"/>
                <w:sz w:val="20"/>
              </w:rPr>
              <w:t>”</w:t>
            </w:r>
            <w:r w:rsidRPr="00600064">
              <w:rPr>
                <w:rFonts w:ascii="Arial Narrow" w:hAnsi="Arial Narrow"/>
                <w:sz w:val="20"/>
              </w:rPr>
              <w:t>.</w:t>
            </w:r>
          </w:p>
          <w:p w:rsidR="004650EC" w:rsidRPr="00600064" w:rsidRDefault="008E6761" w:rsidP="008E6761">
            <w:pPr>
              <w:jc w:val="left"/>
              <w:rPr>
                <w:rFonts w:ascii="Arial Narrow" w:hAnsi="Arial Narrow"/>
                <w:sz w:val="20"/>
              </w:rPr>
            </w:pPr>
            <w:r w:rsidRPr="00600064">
              <w:rPr>
                <w:rFonts w:ascii="Arial Narrow" w:hAnsi="Arial Narrow"/>
                <w:sz w:val="20"/>
              </w:rPr>
              <w:t>Resubmission-</w:t>
            </w:r>
            <w:r w:rsidR="004650EC" w:rsidRPr="00600064">
              <w:rPr>
                <w:rFonts w:ascii="Arial Narrow" w:hAnsi="Arial Narrow"/>
                <w:sz w:val="20"/>
              </w:rPr>
              <w:t>addendum</w:t>
            </w:r>
            <w:r w:rsidRPr="00600064">
              <w:rPr>
                <w:rFonts w:ascii="Arial Narrow" w:hAnsi="Arial Narrow"/>
                <w:sz w:val="20"/>
              </w:rPr>
              <w:t xml:space="preserve">; </w:t>
            </w:r>
            <w:r w:rsidR="002004CB" w:rsidRPr="00600064">
              <w:rPr>
                <w:rFonts w:ascii="Arial Narrow" w:hAnsi="Arial Narrow"/>
                <w:sz w:val="20"/>
              </w:rPr>
              <w:t>“</w:t>
            </w:r>
            <w:r w:rsidR="004650EC" w:rsidRPr="00600064">
              <w:rPr>
                <w:rFonts w:ascii="Arial Narrow" w:hAnsi="Arial Narrow"/>
                <w:sz w:val="20"/>
              </w:rPr>
              <w:t>PBAC amended base case</w:t>
            </w:r>
            <w:r w:rsidR="002004CB" w:rsidRPr="00600064">
              <w:rPr>
                <w:rFonts w:ascii="Arial Narrow" w:hAnsi="Arial Narrow"/>
                <w:sz w:val="20"/>
              </w:rPr>
              <w:t>”</w:t>
            </w:r>
            <w:r w:rsidR="004650EC" w:rsidRPr="00600064">
              <w:rPr>
                <w:rFonts w:ascii="Arial Narrow" w:hAnsi="Arial Narrow"/>
                <w:sz w:val="20"/>
              </w:rPr>
              <w:t>.</w:t>
            </w:r>
          </w:p>
        </w:tc>
        <w:tc>
          <w:tcPr>
            <w:tcW w:w="1164"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High, reduced patient weight favours nivolumab.</w:t>
            </w:r>
          </w:p>
        </w:tc>
      </w:tr>
      <w:tr w:rsidR="00027921" w:rsidRPr="00600064" w:rsidTr="008D3472">
        <w:tc>
          <w:tcPr>
            <w:tcW w:w="939" w:type="pct"/>
            <w:shd w:val="clear" w:color="auto" w:fill="auto"/>
            <w:vAlign w:val="center"/>
          </w:tcPr>
          <w:p w:rsidR="00027921" w:rsidRPr="00600064" w:rsidRDefault="00027921" w:rsidP="00A90A9D">
            <w:pPr>
              <w:jc w:val="left"/>
              <w:rPr>
                <w:rFonts w:ascii="Arial Narrow" w:hAnsi="Arial Narrow"/>
                <w:sz w:val="20"/>
              </w:rPr>
            </w:pPr>
            <w:r w:rsidRPr="00600064">
              <w:rPr>
                <w:rFonts w:ascii="Arial Narrow" w:hAnsi="Arial Narrow"/>
                <w:sz w:val="20"/>
              </w:rPr>
              <w:t>Prices for the comparator drug and third-line therapies</w:t>
            </w:r>
          </w:p>
        </w:tc>
        <w:tc>
          <w:tcPr>
            <w:tcW w:w="1566"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Published prices instead of effective prices.</w:t>
            </w:r>
          </w:p>
        </w:tc>
        <w:tc>
          <w:tcPr>
            <w:tcW w:w="1331" w:type="pct"/>
          </w:tcPr>
          <w:p w:rsidR="004650EC" w:rsidRPr="00600064" w:rsidRDefault="00867ACE" w:rsidP="004650EC">
            <w:pPr>
              <w:jc w:val="left"/>
              <w:rPr>
                <w:rFonts w:ascii="Arial Narrow" w:hAnsi="Arial Narrow"/>
                <w:sz w:val="20"/>
              </w:rPr>
            </w:pPr>
            <w:r w:rsidRPr="00600064">
              <w:rPr>
                <w:rFonts w:ascii="Arial Narrow" w:hAnsi="Arial Narrow"/>
                <w:sz w:val="20"/>
              </w:rPr>
              <w:t xml:space="preserve">March </w:t>
            </w:r>
            <w:r w:rsidR="004650EC" w:rsidRPr="00600064">
              <w:rPr>
                <w:rFonts w:ascii="Arial Narrow" w:hAnsi="Arial Narrow"/>
                <w:sz w:val="20"/>
              </w:rPr>
              <w:t>201</w:t>
            </w:r>
            <w:r w:rsidRPr="00600064">
              <w:rPr>
                <w:rFonts w:ascii="Arial Narrow" w:hAnsi="Arial Narrow"/>
                <w:sz w:val="20"/>
              </w:rPr>
              <w:t>7</w:t>
            </w:r>
            <w:r w:rsidR="004650EC" w:rsidRPr="00600064">
              <w:rPr>
                <w:rFonts w:ascii="Arial Narrow" w:hAnsi="Arial Narrow"/>
                <w:sz w:val="20"/>
              </w:rPr>
              <w:t xml:space="preserve"> resubmission.</w:t>
            </w:r>
          </w:p>
          <w:p w:rsidR="004650EC" w:rsidRPr="00600064" w:rsidRDefault="004650EC" w:rsidP="004650EC">
            <w:pPr>
              <w:jc w:val="left"/>
              <w:rPr>
                <w:rFonts w:ascii="Arial Narrow" w:hAnsi="Arial Narrow"/>
                <w:sz w:val="20"/>
              </w:rPr>
            </w:pPr>
            <w:r w:rsidRPr="00600064">
              <w:rPr>
                <w:rFonts w:ascii="Arial Narrow" w:hAnsi="Arial Narrow"/>
                <w:sz w:val="20"/>
              </w:rPr>
              <w:t>Resubmission</w:t>
            </w:r>
            <w:r w:rsidR="008E6761" w:rsidRPr="00600064">
              <w:rPr>
                <w:rFonts w:ascii="Arial Narrow" w:hAnsi="Arial Narrow"/>
                <w:sz w:val="20"/>
              </w:rPr>
              <w:t>-</w:t>
            </w:r>
            <w:r w:rsidRPr="00600064">
              <w:rPr>
                <w:rFonts w:ascii="Arial Narrow" w:hAnsi="Arial Narrow"/>
                <w:sz w:val="20"/>
              </w:rPr>
              <w:t>addendum</w:t>
            </w:r>
            <w:r w:rsidR="008E6761" w:rsidRPr="00600064">
              <w:rPr>
                <w:rFonts w:ascii="Arial Narrow" w:hAnsi="Arial Narrow"/>
                <w:sz w:val="20"/>
              </w:rPr>
              <w:t>;</w:t>
            </w:r>
            <w:r w:rsidRPr="00600064">
              <w:rPr>
                <w:rFonts w:ascii="Arial Narrow" w:hAnsi="Arial Narrow"/>
                <w:sz w:val="20"/>
              </w:rPr>
              <w:t xml:space="preserve"> </w:t>
            </w:r>
            <w:r w:rsidR="002004CB" w:rsidRPr="00600064">
              <w:rPr>
                <w:rFonts w:ascii="Arial Narrow" w:hAnsi="Arial Narrow"/>
                <w:sz w:val="20"/>
              </w:rPr>
              <w:t>“</w:t>
            </w:r>
            <w:r w:rsidRPr="00600064">
              <w:rPr>
                <w:rFonts w:ascii="Arial Narrow" w:hAnsi="Arial Narrow"/>
                <w:sz w:val="20"/>
              </w:rPr>
              <w:t>sponsor amended base case</w:t>
            </w:r>
            <w:r w:rsidR="002004CB" w:rsidRPr="00600064">
              <w:rPr>
                <w:rFonts w:ascii="Arial Narrow" w:hAnsi="Arial Narrow"/>
                <w:sz w:val="20"/>
              </w:rPr>
              <w:t>”</w:t>
            </w:r>
            <w:r w:rsidRPr="00600064">
              <w:rPr>
                <w:rFonts w:ascii="Arial Narrow" w:hAnsi="Arial Narrow"/>
                <w:sz w:val="20"/>
              </w:rPr>
              <w:t>.</w:t>
            </w:r>
          </w:p>
          <w:p w:rsidR="00027921" w:rsidRPr="00600064" w:rsidRDefault="004650EC" w:rsidP="008E6761">
            <w:pPr>
              <w:jc w:val="left"/>
              <w:rPr>
                <w:rFonts w:ascii="Arial Narrow" w:hAnsi="Arial Narrow"/>
                <w:sz w:val="20"/>
              </w:rPr>
            </w:pPr>
            <w:r w:rsidRPr="00600064">
              <w:rPr>
                <w:rFonts w:ascii="Arial Narrow" w:hAnsi="Arial Narrow"/>
                <w:sz w:val="20"/>
              </w:rPr>
              <w:t>Resubmission</w:t>
            </w:r>
            <w:r w:rsidR="008E6761" w:rsidRPr="00600064">
              <w:rPr>
                <w:rFonts w:ascii="Arial Narrow" w:hAnsi="Arial Narrow"/>
                <w:sz w:val="20"/>
              </w:rPr>
              <w:t>-</w:t>
            </w:r>
            <w:r w:rsidRPr="00600064">
              <w:rPr>
                <w:rFonts w:ascii="Arial Narrow" w:hAnsi="Arial Narrow"/>
                <w:sz w:val="20"/>
              </w:rPr>
              <w:t>addendum</w:t>
            </w:r>
            <w:r w:rsidR="008E6761" w:rsidRPr="00600064">
              <w:rPr>
                <w:rFonts w:ascii="Arial Narrow" w:hAnsi="Arial Narrow"/>
                <w:sz w:val="20"/>
              </w:rPr>
              <w:t>;</w:t>
            </w:r>
            <w:r w:rsidRPr="00600064">
              <w:rPr>
                <w:rFonts w:ascii="Arial Narrow" w:hAnsi="Arial Narrow"/>
                <w:sz w:val="20"/>
              </w:rPr>
              <w:t xml:space="preserve"> </w:t>
            </w:r>
            <w:r w:rsidR="002004CB" w:rsidRPr="00600064">
              <w:rPr>
                <w:rFonts w:ascii="Arial Narrow" w:hAnsi="Arial Narrow"/>
                <w:sz w:val="20"/>
              </w:rPr>
              <w:t>“</w:t>
            </w:r>
            <w:r w:rsidRPr="00600064">
              <w:rPr>
                <w:rFonts w:ascii="Arial Narrow" w:hAnsi="Arial Narrow"/>
                <w:sz w:val="20"/>
              </w:rPr>
              <w:t>PBAC amended base case</w:t>
            </w:r>
            <w:r w:rsidR="002004CB" w:rsidRPr="00600064">
              <w:rPr>
                <w:rFonts w:ascii="Arial Narrow" w:hAnsi="Arial Narrow"/>
                <w:sz w:val="20"/>
              </w:rPr>
              <w:t>”</w:t>
            </w:r>
            <w:r w:rsidRPr="00600064">
              <w:rPr>
                <w:rFonts w:ascii="Arial Narrow" w:hAnsi="Arial Narrow"/>
                <w:sz w:val="20"/>
              </w:rPr>
              <w:t>.</w:t>
            </w:r>
          </w:p>
        </w:tc>
        <w:tc>
          <w:tcPr>
            <w:tcW w:w="1164"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High, favours nivolumab.</w:t>
            </w:r>
          </w:p>
        </w:tc>
      </w:tr>
      <w:tr w:rsidR="00027921" w:rsidRPr="00600064" w:rsidTr="008D3472">
        <w:tc>
          <w:tcPr>
            <w:tcW w:w="939" w:type="pct"/>
            <w:shd w:val="clear" w:color="auto" w:fill="auto"/>
            <w:vAlign w:val="center"/>
          </w:tcPr>
          <w:p w:rsidR="00027921" w:rsidRPr="00600064" w:rsidRDefault="00027921" w:rsidP="00A90A9D">
            <w:pPr>
              <w:jc w:val="left"/>
              <w:rPr>
                <w:rFonts w:ascii="Arial Narrow" w:hAnsi="Arial Narrow"/>
                <w:sz w:val="20"/>
              </w:rPr>
            </w:pPr>
            <w:r w:rsidRPr="00600064">
              <w:rPr>
                <w:rFonts w:ascii="Arial Narrow" w:hAnsi="Arial Narrow"/>
                <w:sz w:val="20"/>
              </w:rPr>
              <w:t>Nivolumab price</w:t>
            </w:r>
          </w:p>
        </w:tc>
        <w:tc>
          <w:tcPr>
            <w:tcW w:w="1566" w:type="pct"/>
            <w:shd w:val="clear" w:color="auto" w:fill="auto"/>
            <w:vAlign w:val="center"/>
          </w:tcPr>
          <w:p w:rsidR="00027921" w:rsidRPr="00600064" w:rsidRDefault="00027921" w:rsidP="00740208">
            <w:pPr>
              <w:jc w:val="left"/>
              <w:rPr>
                <w:rFonts w:ascii="Arial Narrow" w:hAnsi="Arial Narrow"/>
                <w:sz w:val="20"/>
              </w:rPr>
            </w:pPr>
            <w:r w:rsidRPr="00600064">
              <w:rPr>
                <w:rFonts w:ascii="Arial Narrow" w:hAnsi="Arial Narrow"/>
                <w:sz w:val="20"/>
              </w:rPr>
              <w:t>Increased from $</w:t>
            </w:r>
            <w:r w:rsidR="003A224F">
              <w:rPr>
                <w:rFonts w:ascii="Arial Narrow" w:hAnsi="Arial Narrow"/>
                <w:noProof/>
                <w:color w:val="000000"/>
                <w:sz w:val="20"/>
                <w:highlight w:val="black"/>
              </w:rPr>
              <w:t>''''''''''''''''''''</w:t>
            </w:r>
            <w:r w:rsidRPr="00600064">
              <w:rPr>
                <w:rFonts w:ascii="Arial Narrow" w:hAnsi="Arial Narrow"/>
                <w:sz w:val="20"/>
              </w:rPr>
              <w:t xml:space="preserve"> in the resubmission to $</w:t>
            </w:r>
            <w:r w:rsidR="003A224F">
              <w:rPr>
                <w:rFonts w:ascii="Arial Narrow" w:hAnsi="Arial Narrow"/>
                <w:noProof/>
                <w:color w:val="000000"/>
                <w:sz w:val="20"/>
                <w:highlight w:val="black"/>
              </w:rPr>
              <w:t>'''''''''''''''''''</w:t>
            </w:r>
            <w:r w:rsidRPr="00600064">
              <w:rPr>
                <w:rFonts w:ascii="Arial Narrow" w:hAnsi="Arial Narrow"/>
                <w:sz w:val="20"/>
              </w:rPr>
              <w:t xml:space="preserve"> (</w:t>
            </w:r>
            <w:r w:rsidR="002004CB" w:rsidRPr="00600064">
              <w:rPr>
                <w:rFonts w:ascii="Arial Narrow" w:hAnsi="Arial Narrow"/>
                <w:sz w:val="20"/>
              </w:rPr>
              <w:t>“</w:t>
            </w:r>
            <w:r w:rsidRPr="00600064">
              <w:rPr>
                <w:rFonts w:ascii="Arial Narrow" w:hAnsi="Arial Narrow"/>
                <w:sz w:val="20"/>
              </w:rPr>
              <w:t>sponsor</w:t>
            </w:r>
            <w:r w:rsidR="00740208" w:rsidRPr="00600064">
              <w:rPr>
                <w:rFonts w:ascii="Arial Narrow" w:hAnsi="Arial Narrow"/>
                <w:sz w:val="20"/>
              </w:rPr>
              <w:t xml:space="preserve"> </w:t>
            </w:r>
            <w:r w:rsidRPr="00600064">
              <w:rPr>
                <w:rFonts w:ascii="Arial Narrow" w:hAnsi="Arial Narrow"/>
                <w:sz w:val="20"/>
              </w:rPr>
              <w:t>amended base case</w:t>
            </w:r>
            <w:r w:rsidR="002004CB" w:rsidRPr="00600064">
              <w:rPr>
                <w:rFonts w:ascii="Arial Narrow" w:hAnsi="Arial Narrow"/>
                <w:sz w:val="20"/>
              </w:rPr>
              <w:t>”</w:t>
            </w:r>
            <w:r w:rsidRPr="00600064">
              <w:rPr>
                <w:rFonts w:ascii="Arial Narrow" w:hAnsi="Arial Narrow"/>
                <w:sz w:val="20"/>
              </w:rPr>
              <w:t>) and $</w:t>
            </w:r>
            <w:r w:rsidR="003A224F">
              <w:rPr>
                <w:rFonts w:ascii="Arial Narrow" w:hAnsi="Arial Narrow"/>
                <w:noProof/>
                <w:color w:val="000000"/>
                <w:sz w:val="20"/>
                <w:highlight w:val="black"/>
              </w:rPr>
              <w:t>'''''''''''''''''''''</w:t>
            </w:r>
            <w:r w:rsidRPr="00600064">
              <w:rPr>
                <w:rFonts w:ascii="Arial Narrow" w:hAnsi="Arial Narrow"/>
                <w:sz w:val="20"/>
              </w:rPr>
              <w:t xml:space="preserve"> </w:t>
            </w:r>
            <w:r w:rsidR="002004CB" w:rsidRPr="00600064">
              <w:rPr>
                <w:rFonts w:ascii="Arial Narrow" w:hAnsi="Arial Narrow"/>
                <w:sz w:val="20"/>
              </w:rPr>
              <w:t>“</w:t>
            </w:r>
            <w:r w:rsidRPr="00600064">
              <w:rPr>
                <w:rFonts w:ascii="Arial Narrow" w:hAnsi="Arial Narrow"/>
                <w:sz w:val="20"/>
              </w:rPr>
              <w:t>(PBAC</w:t>
            </w:r>
            <w:r w:rsidR="00740208" w:rsidRPr="00600064">
              <w:rPr>
                <w:rFonts w:ascii="Arial Narrow" w:hAnsi="Arial Narrow"/>
                <w:sz w:val="20"/>
              </w:rPr>
              <w:t xml:space="preserve"> </w:t>
            </w:r>
            <w:r w:rsidRPr="00600064">
              <w:rPr>
                <w:rFonts w:ascii="Arial Narrow" w:hAnsi="Arial Narrow"/>
                <w:sz w:val="20"/>
              </w:rPr>
              <w:t>amended base case</w:t>
            </w:r>
            <w:r w:rsidR="002004CB" w:rsidRPr="00600064">
              <w:rPr>
                <w:rFonts w:ascii="Arial Narrow" w:hAnsi="Arial Narrow"/>
                <w:sz w:val="20"/>
              </w:rPr>
              <w:t>”</w:t>
            </w:r>
            <w:r w:rsidRPr="00600064">
              <w:rPr>
                <w:rFonts w:ascii="Arial Narrow" w:hAnsi="Arial Narrow"/>
                <w:sz w:val="20"/>
              </w:rPr>
              <w:t>) in the resubmission-addendum.</w:t>
            </w:r>
          </w:p>
        </w:tc>
        <w:tc>
          <w:tcPr>
            <w:tcW w:w="1331" w:type="pct"/>
          </w:tcPr>
          <w:p w:rsidR="004650EC" w:rsidRPr="00600064" w:rsidRDefault="00867ACE" w:rsidP="004650EC">
            <w:pPr>
              <w:jc w:val="left"/>
              <w:rPr>
                <w:rFonts w:ascii="Arial Narrow" w:hAnsi="Arial Narrow"/>
                <w:sz w:val="20"/>
              </w:rPr>
            </w:pPr>
            <w:r w:rsidRPr="00600064">
              <w:rPr>
                <w:rFonts w:ascii="Arial Narrow" w:hAnsi="Arial Narrow"/>
                <w:sz w:val="20"/>
              </w:rPr>
              <w:t>March 2017 r</w:t>
            </w:r>
            <w:r w:rsidR="008E6761" w:rsidRPr="00600064">
              <w:rPr>
                <w:rFonts w:ascii="Arial Narrow" w:hAnsi="Arial Narrow"/>
                <w:sz w:val="20"/>
              </w:rPr>
              <w:t>esubmission-</w:t>
            </w:r>
            <w:r w:rsidR="004650EC" w:rsidRPr="00600064">
              <w:rPr>
                <w:rFonts w:ascii="Arial Narrow" w:hAnsi="Arial Narrow"/>
                <w:sz w:val="20"/>
              </w:rPr>
              <w:t>addendum</w:t>
            </w:r>
            <w:r w:rsidR="008E6761" w:rsidRPr="00600064">
              <w:rPr>
                <w:rFonts w:ascii="Arial Narrow" w:hAnsi="Arial Narrow"/>
                <w:sz w:val="20"/>
              </w:rPr>
              <w:t>;</w:t>
            </w:r>
            <w:r w:rsidR="002004CB" w:rsidRPr="00600064">
              <w:rPr>
                <w:rFonts w:ascii="Arial Narrow" w:hAnsi="Arial Narrow"/>
                <w:sz w:val="20"/>
              </w:rPr>
              <w:t>”</w:t>
            </w:r>
            <w:r w:rsidR="004650EC" w:rsidRPr="00600064">
              <w:rPr>
                <w:rFonts w:ascii="Arial Narrow" w:hAnsi="Arial Narrow"/>
                <w:sz w:val="20"/>
              </w:rPr>
              <w:t xml:space="preserve"> sponsor amended base case</w:t>
            </w:r>
            <w:r w:rsidR="002004CB" w:rsidRPr="00600064">
              <w:rPr>
                <w:rFonts w:ascii="Arial Narrow" w:hAnsi="Arial Narrow"/>
                <w:sz w:val="20"/>
              </w:rPr>
              <w:t>”</w:t>
            </w:r>
            <w:r w:rsidR="004650EC" w:rsidRPr="00600064">
              <w:rPr>
                <w:rFonts w:ascii="Arial Narrow" w:hAnsi="Arial Narrow"/>
                <w:sz w:val="20"/>
              </w:rPr>
              <w:t>.</w:t>
            </w:r>
          </w:p>
          <w:p w:rsidR="00027921" w:rsidRPr="00600064" w:rsidRDefault="008E6761" w:rsidP="008E6761">
            <w:pPr>
              <w:jc w:val="left"/>
              <w:rPr>
                <w:rFonts w:ascii="Arial Narrow" w:hAnsi="Arial Narrow"/>
                <w:sz w:val="20"/>
              </w:rPr>
            </w:pPr>
            <w:r w:rsidRPr="00600064">
              <w:rPr>
                <w:rFonts w:ascii="Arial Narrow" w:hAnsi="Arial Narrow"/>
                <w:sz w:val="20"/>
              </w:rPr>
              <w:t>Resubmission-</w:t>
            </w:r>
            <w:r w:rsidR="004650EC" w:rsidRPr="00600064">
              <w:rPr>
                <w:rFonts w:ascii="Arial Narrow" w:hAnsi="Arial Narrow"/>
                <w:sz w:val="20"/>
              </w:rPr>
              <w:t>addendum</w:t>
            </w:r>
            <w:r w:rsidRPr="00600064">
              <w:rPr>
                <w:rFonts w:ascii="Arial Narrow" w:hAnsi="Arial Narrow"/>
                <w:sz w:val="20"/>
              </w:rPr>
              <w:t xml:space="preserve">; </w:t>
            </w:r>
            <w:r w:rsidR="002004CB" w:rsidRPr="00600064">
              <w:rPr>
                <w:rFonts w:ascii="Arial Narrow" w:hAnsi="Arial Narrow"/>
                <w:sz w:val="20"/>
              </w:rPr>
              <w:t>“</w:t>
            </w:r>
            <w:r w:rsidR="004650EC" w:rsidRPr="00600064">
              <w:rPr>
                <w:rFonts w:ascii="Arial Narrow" w:hAnsi="Arial Narrow"/>
                <w:sz w:val="20"/>
              </w:rPr>
              <w:t>PBAC amended base case</w:t>
            </w:r>
            <w:r w:rsidR="002004CB" w:rsidRPr="00600064">
              <w:rPr>
                <w:rFonts w:ascii="Arial Narrow" w:hAnsi="Arial Narrow"/>
                <w:sz w:val="20"/>
              </w:rPr>
              <w:t>”</w:t>
            </w:r>
            <w:r w:rsidR="004650EC" w:rsidRPr="00600064">
              <w:rPr>
                <w:rFonts w:ascii="Arial Narrow" w:hAnsi="Arial Narrow"/>
                <w:sz w:val="20"/>
              </w:rPr>
              <w:t>.</w:t>
            </w:r>
          </w:p>
        </w:tc>
        <w:tc>
          <w:tcPr>
            <w:tcW w:w="1164" w:type="pct"/>
            <w:shd w:val="clear" w:color="auto" w:fill="auto"/>
            <w:vAlign w:val="center"/>
          </w:tcPr>
          <w:p w:rsidR="00027921" w:rsidRPr="00600064" w:rsidRDefault="00027921" w:rsidP="00027921">
            <w:pPr>
              <w:jc w:val="left"/>
              <w:rPr>
                <w:rFonts w:ascii="Arial Narrow" w:hAnsi="Arial Narrow"/>
                <w:sz w:val="20"/>
              </w:rPr>
            </w:pPr>
            <w:r w:rsidRPr="00600064">
              <w:rPr>
                <w:rFonts w:ascii="Arial Narrow" w:hAnsi="Arial Narrow"/>
                <w:sz w:val="20"/>
              </w:rPr>
              <w:t xml:space="preserve">High, favours </w:t>
            </w:r>
            <w:proofErr w:type="spellStart"/>
            <w:r w:rsidRPr="00600064">
              <w:rPr>
                <w:rFonts w:ascii="Arial Narrow" w:hAnsi="Arial Narrow"/>
                <w:sz w:val="20"/>
              </w:rPr>
              <w:t>everolimus</w:t>
            </w:r>
            <w:proofErr w:type="spellEnd"/>
            <w:r w:rsidRPr="00600064">
              <w:rPr>
                <w:rFonts w:ascii="Arial Narrow" w:hAnsi="Arial Narrow"/>
                <w:sz w:val="20"/>
              </w:rPr>
              <w:t>.</w:t>
            </w:r>
          </w:p>
        </w:tc>
      </w:tr>
    </w:tbl>
    <w:p w:rsidR="00D06FD4" w:rsidRPr="00600064" w:rsidRDefault="00D06FD4" w:rsidP="008D3472">
      <w:pPr>
        <w:pStyle w:val="TableFooter"/>
      </w:pPr>
      <w:r w:rsidRPr="00600064">
        <w:t>Source: compiled during the evaluation</w:t>
      </w:r>
    </w:p>
    <w:p w:rsidR="00AE46A7" w:rsidRPr="00600064" w:rsidRDefault="00A90A9D" w:rsidP="00C57904">
      <w:pPr>
        <w:pStyle w:val="TableFooter"/>
      </w:pPr>
      <w:r w:rsidRPr="00600064">
        <w:t>Abbreviations: PFS, progression-free survival; RECIST, Response Evaluation Criteria in Solid Tumours.</w:t>
      </w:r>
    </w:p>
    <w:p w:rsidR="00AE46A7" w:rsidRPr="00600064" w:rsidRDefault="00AE46A7" w:rsidP="008D3472">
      <w:pPr>
        <w:widowControl/>
        <w:rPr>
          <w:szCs w:val="22"/>
        </w:rPr>
      </w:pPr>
    </w:p>
    <w:p w:rsidR="00275C5A" w:rsidRPr="00600064" w:rsidRDefault="004650EC" w:rsidP="005F42CF">
      <w:pPr>
        <w:pStyle w:val="ListParagraph"/>
        <w:widowControl/>
        <w:numPr>
          <w:ilvl w:val="1"/>
          <w:numId w:val="4"/>
        </w:numPr>
        <w:rPr>
          <w:szCs w:val="22"/>
        </w:rPr>
      </w:pPr>
      <w:r w:rsidRPr="00600064">
        <w:t xml:space="preserve">The </w:t>
      </w:r>
      <w:r w:rsidR="00C74BDD" w:rsidRPr="00600064">
        <w:t>results of the economic evaluations in the resubmission and resubmission-addendum</w:t>
      </w:r>
      <w:r w:rsidRPr="00600064">
        <w:t xml:space="preserve"> are provided in Table 1</w:t>
      </w:r>
      <w:r w:rsidR="00F56D9C" w:rsidRPr="00600064">
        <w:t>3</w:t>
      </w:r>
      <w:r w:rsidR="00C74BDD" w:rsidRPr="00600064">
        <w:t>.</w:t>
      </w:r>
    </w:p>
    <w:p w:rsidR="00D110BD" w:rsidRPr="00600064" w:rsidRDefault="00D110BD" w:rsidP="00D110BD">
      <w:pPr>
        <w:widowControl/>
        <w:rPr>
          <w:szCs w:val="22"/>
        </w:rPr>
      </w:pPr>
    </w:p>
    <w:p w:rsidR="002570C5" w:rsidRPr="00600064" w:rsidRDefault="00ED5482" w:rsidP="008D3472">
      <w:pPr>
        <w:rPr>
          <w:rStyle w:val="CommentReference"/>
        </w:rPr>
      </w:pPr>
      <w:r w:rsidRPr="00600064">
        <w:rPr>
          <w:rStyle w:val="CommentReference"/>
        </w:rPr>
        <w:t>Table 1</w:t>
      </w:r>
      <w:r w:rsidR="00F56D9C" w:rsidRPr="00600064">
        <w:rPr>
          <w:rStyle w:val="CommentReference"/>
        </w:rPr>
        <w:t>3</w:t>
      </w:r>
      <w:r w:rsidR="002570C5" w:rsidRPr="00600064">
        <w:rPr>
          <w:rStyle w:val="CommentReference"/>
        </w:rPr>
        <w:t>: Results of the economic evaluation</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7"/>
        <w:gridCol w:w="1700"/>
        <w:gridCol w:w="1612"/>
        <w:gridCol w:w="14"/>
        <w:gridCol w:w="2041"/>
      </w:tblGrid>
      <w:tr w:rsidR="000C2FFB" w:rsidRPr="00600064" w:rsidTr="00D605BA">
        <w:tc>
          <w:tcPr>
            <w:tcW w:w="5000" w:type="pct"/>
            <w:gridSpan w:val="5"/>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July 2016 submission</w:t>
            </w:r>
          </w:p>
        </w:tc>
      </w:tr>
      <w:tr w:rsidR="000C2FFB" w:rsidRPr="00600064" w:rsidTr="0031098E">
        <w:tc>
          <w:tcPr>
            <w:tcW w:w="3865" w:type="pct"/>
            <w:gridSpan w:val="3"/>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Incremental cost/extra QALY gained</w:t>
            </w:r>
          </w:p>
        </w:tc>
        <w:tc>
          <w:tcPr>
            <w:tcW w:w="1135" w:type="pct"/>
            <w:gridSpan w:val="2"/>
            <w:shd w:val="clear" w:color="auto" w:fill="auto"/>
          </w:tcPr>
          <w:p w:rsidR="000C2FFB" w:rsidRPr="00600064" w:rsidRDefault="000C2FFB" w:rsidP="0031098E">
            <w:pPr>
              <w:jc w:val="center"/>
              <w:rPr>
                <w:rFonts w:ascii="Arial Narrow" w:hAnsi="Arial Narrow"/>
                <w:b/>
                <w:sz w:val="20"/>
              </w:rPr>
            </w:pPr>
            <w:r w:rsidRPr="00600064">
              <w:rPr>
                <w:rFonts w:ascii="Arial Narrow" w:hAnsi="Arial Narrow"/>
                <w:b/>
                <w:sz w:val="20"/>
              </w:rPr>
              <w:t>$</w:t>
            </w:r>
            <w:r w:rsidR="003A224F">
              <w:rPr>
                <w:rFonts w:ascii="Arial Narrow" w:hAnsi="Arial Narrow"/>
                <w:b/>
                <w:noProof/>
                <w:color w:val="000000"/>
                <w:sz w:val="20"/>
                <w:highlight w:val="black"/>
              </w:rPr>
              <w:t>''''''''''''</w:t>
            </w:r>
          </w:p>
        </w:tc>
      </w:tr>
      <w:tr w:rsidR="000C2FFB" w:rsidRPr="00600064" w:rsidTr="00D605BA">
        <w:tc>
          <w:tcPr>
            <w:tcW w:w="5000" w:type="pct"/>
            <w:gridSpan w:val="5"/>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November 2016 minor resubmission</w:t>
            </w:r>
          </w:p>
        </w:tc>
      </w:tr>
      <w:tr w:rsidR="000C2FFB" w:rsidRPr="00600064" w:rsidTr="0031098E">
        <w:tc>
          <w:tcPr>
            <w:tcW w:w="3865" w:type="pct"/>
            <w:gridSpan w:val="3"/>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Incremental cost/extra QALY gained</w:t>
            </w:r>
          </w:p>
        </w:tc>
        <w:tc>
          <w:tcPr>
            <w:tcW w:w="1135" w:type="pct"/>
            <w:gridSpan w:val="2"/>
            <w:shd w:val="clear" w:color="auto" w:fill="auto"/>
          </w:tcPr>
          <w:p w:rsidR="000C2FFB" w:rsidRPr="00600064" w:rsidRDefault="000C2FFB" w:rsidP="0031098E">
            <w:pPr>
              <w:jc w:val="center"/>
              <w:rPr>
                <w:rFonts w:ascii="Arial Narrow" w:hAnsi="Arial Narrow"/>
                <w:sz w:val="20"/>
              </w:rPr>
            </w:pPr>
            <w:r w:rsidRPr="00600064">
              <w:rPr>
                <w:rFonts w:ascii="Arial Narrow" w:hAnsi="Arial Narrow"/>
                <w:b/>
                <w:sz w:val="20"/>
              </w:rPr>
              <w:t>$</w:t>
            </w:r>
            <w:r w:rsidR="003A224F">
              <w:rPr>
                <w:rFonts w:ascii="Arial Narrow" w:hAnsi="Arial Narrow"/>
                <w:b/>
                <w:noProof/>
                <w:color w:val="000000"/>
                <w:sz w:val="20"/>
                <w:highlight w:val="black"/>
              </w:rPr>
              <w:t>'''''''''''''</w:t>
            </w:r>
          </w:p>
        </w:tc>
      </w:tr>
      <w:tr w:rsidR="000C2FFB" w:rsidRPr="00600064" w:rsidTr="00D605BA">
        <w:tc>
          <w:tcPr>
            <w:tcW w:w="5000" w:type="pct"/>
            <w:gridSpan w:val="5"/>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March 2017 major resubmission (cost per 100mg vial = $</w:t>
            </w:r>
            <w:r w:rsidR="003A224F">
              <w:rPr>
                <w:rFonts w:ascii="Arial Narrow" w:hAnsi="Arial Narrow"/>
                <w:b/>
                <w:noProof/>
                <w:color w:val="000000"/>
                <w:sz w:val="20"/>
                <w:highlight w:val="black"/>
              </w:rPr>
              <w:t>'''''''''''''''</w:t>
            </w:r>
            <w:r w:rsidRPr="00600064">
              <w:rPr>
                <w:rFonts w:ascii="Arial Narrow" w:hAnsi="Arial Narrow"/>
                <w:b/>
                <w:sz w:val="20"/>
              </w:rPr>
              <w:t>)</w:t>
            </w:r>
          </w:p>
        </w:tc>
      </w:tr>
      <w:tr w:rsidR="000C2FFB" w:rsidRPr="00600064" w:rsidTr="00D605BA">
        <w:tc>
          <w:tcPr>
            <w:tcW w:w="2036" w:type="pct"/>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Component</w:t>
            </w:r>
          </w:p>
        </w:tc>
        <w:tc>
          <w:tcPr>
            <w:tcW w:w="939"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Nivolumab</w:t>
            </w:r>
          </w:p>
        </w:tc>
        <w:tc>
          <w:tcPr>
            <w:tcW w:w="898" w:type="pct"/>
            <w:gridSpan w:val="2"/>
            <w:shd w:val="clear" w:color="auto" w:fill="auto"/>
            <w:vAlign w:val="center"/>
          </w:tcPr>
          <w:p w:rsidR="000C2FFB" w:rsidRPr="00600064" w:rsidRDefault="000C2FFB" w:rsidP="0031098E">
            <w:pPr>
              <w:jc w:val="center"/>
              <w:rPr>
                <w:rFonts w:ascii="Arial Narrow" w:hAnsi="Arial Narrow"/>
                <w:b/>
                <w:sz w:val="20"/>
              </w:rPr>
            </w:pPr>
            <w:proofErr w:type="spellStart"/>
            <w:r w:rsidRPr="00600064">
              <w:rPr>
                <w:rFonts w:ascii="Arial Narrow" w:hAnsi="Arial Narrow"/>
                <w:b/>
                <w:sz w:val="20"/>
              </w:rPr>
              <w:t>Everolimus</w:t>
            </w:r>
            <w:proofErr w:type="spellEnd"/>
          </w:p>
        </w:tc>
        <w:tc>
          <w:tcPr>
            <w:tcW w:w="1127"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Increment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Costs</w:t>
            </w:r>
          </w:p>
        </w:tc>
        <w:tc>
          <w:tcPr>
            <w:tcW w:w="939"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898" w:type="pct"/>
            <w:gridSpan w:val="2"/>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127"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QALYs</w:t>
            </w:r>
          </w:p>
        </w:tc>
        <w:tc>
          <w:tcPr>
            <w:tcW w:w="939" w:type="pct"/>
            <w:shd w:val="clear" w:color="auto" w:fill="auto"/>
          </w:tcPr>
          <w:p w:rsidR="000C2FFB" w:rsidRPr="00600064" w:rsidRDefault="000C2FFB" w:rsidP="0031098E">
            <w:pPr>
              <w:jc w:val="center"/>
              <w:rPr>
                <w:rFonts w:ascii="Arial Narrow" w:hAnsi="Arial Narrow"/>
                <w:sz w:val="20"/>
              </w:rPr>
            </w:pPr>
            <w:r w:rsidRPr="002278D0">
              <w:rPr>
                <w:rFonts w:ascii="Arial Narrow" w:hAnsi="Arial Narrow"/>
                <w:sz w:val="20"/>
              </w:rPr>
              <w:t>2.12</w:t>
            </w:r>
          </w:p>
        </w:tc>
        <w:tc>
          <w:tcPr>
            <w:tcW w:w="898" w:type="pct"/>
            <w:gridSpan w:val="2"/>
            <w:shd w:val="clear" w:color="auto" w:fill="auto"/>
          </w:tcPr>
          <w:p w:rsidR="000C2FFB" w:rsidRPr="00600064" w:rsidRDefault="000C2FFB" w:rsidP="0031098E">
            <w:pPr>
              <w:jc w:val="center"/>
              <w:rPr>
                <w:rFonts w:ascii="Arial Narrow" w:hAnsi="Arial Narrow"/>
                <w:sz w:val="20"/>
              </w:rPr>
            </w:pPr>
            <w:r w:rsidRPr="002278D0">
              <w:rPr>
                <w:rFonts w:ascii="Arial Narrow" w:hAnsi="Arial Narrow"/>
                <w:sz w:val="20"/>
              </w:rPr>
              <w:t>1.72</w:t>
            </w:r>
          </w:p>
        </w:tc>
        <w:tc>
          <w:tcPr>
            <w:tcW w:w="1127" w:type="pct"/>
            <w:shd w:val="clear" w:color="auto" w:fill="auto"/>
          </w:tcPr>
          <w:p w:rsidR="000C2FFB" w:rsidRPr="00600064" w:rsidRDefault="000C2FFB" w:rsidP="0031098E">
            <w:pPr>
              <w:jc w:val="center"/>
              <w:rPr>
                <w:rFonts w:ascii="Arial Narrow" w:hAnsi="Arial Narrow"/>
                <w:sz w:val="20"/>
              </w:rPr>
            </w:pPr>
            <w:r w:rsidRPr="002278D0">
              <w:rPr>
                <w:rFonts w:ascii="Arial Narrow" w:hAnsi="Arial Narrow"/>
                <w:sz w:val="20"/>
              </w:rPr>
              <w:t>0.41</w:t>
            </w:r>
          </w:p>
        </w:tc>
      </w:tr>
      <w:tr w:rsidR="000C2FFB" w:rsidRPr="00600064" w:rsidTr="00D605BA">
        <w:tc>
          <w:tcPr>
            <w:tcW w:w="3873" w:type="pct"/>
            <w:gridSpan w:val="4"/>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Incremental cost/extra QALY gained</w:t>
            </w:r>
          </w:p>
        </w:tc>
        <w:tc>
          <w:tcPr>
            <w:tcW w:w="1127" w:type="pct"/>
            <w:shd w:val="clear" w:color="auto" w:fill="auto"/>
          </w:tcPr>
          <w:p w:rsidR="000C2FFB" w:rsidRPr="00600064" w:rsidRDefault="000C2FFB" w:rsidP="0031098E">
            <w:pPr>
              <w:jc w:val="center"/>
              <w:rPr>
                <w:rFonts w:ascii="Arial Narrow" w:hAnsi="Arial Narrow"/>
                <w:b/>
                <w:sz w:val="20"/>
              </w:rPr>
            </w:pPr>
            <w:r w:rsidRPr="00600064">
              <w:rPr>
                <w:rFonts w:ascii="Arial Narrow" w:hAnsi="Arial Narrow"/>
                <w:b/>
                <w:sz w:val="20"/>
              </w:rPr>
              <w:t>$</w:t>
            </w:r>
            <w:r w:rsidR="003A224F">
              <w:rPr>
                <w:rFonts w:ascii="Arial Narrow" w:hAnsi="Arial Narrow"/>
                <w:b/>
                <w:noProof/>
                <w:color w:val="000000"/>
                <w:sz w:val="20"/>
                <w:highlight w:val="black"/>
              </w:rPr>
              <w:t>'''''''''''''</w:t>
            </w:r>
          </w:p>
        </w:tc>
      </w:tr>
      <w:tr w:rsidR="000C2FFB" w:rsidRPr="00600064" w:rsidTr="00D605BA">
        <w:tc>
          <w:tcPr>
            <w:tcW w:w="5000" w:type="pct"/>
            <w:gridSpan w:val="5"/>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March 2017 resubmission-addendum (</w:t>
            </w:r>
            <w:r w:rsidR="002004CB" w:rsidRPr="00600064">
              <w:rPr>
                <w:rFonts w:ascii="Arial Narrow" w:hAnsi="Arial Narrow"/>
                <w:b/>
                <w:sz w:val="20"/>
              </w:rPr>
              <w:t>“</w:t>
            </w:r>
            <w:r w:rsidRPr="00600064">
              <w:rPr>
                <w:rFonts w:ascii="Arial Narrow" w:hAnsi="Arial Narrow"/>
                <w:b/>
                <w:sz w:val="20"/>
              </w:rPr>
              <w:t>sponsor amended base case</w:t>
            </w:r>
            <w:r w:rsidR="002004CB" w:rsidRPr="00600064">
              <w:rPr>
                <w:rFonts w:ascii="Arial Narrow" w:hAnsi="Arial Narrow"/>
                <w:b/>
                <w:sz w:val="20"/>
              </w:rPr>
              <w:t>”</w:t>
            </w:r>
            <w:r w:rsidRPr="00600064">
              <w:rPr>
                <w:rFonts w:ascii="Arial Narrow" w:hAnsi="Arial Narrow"/>
                <w:b/>
                <w:sz w:val="20"/>
              </w:rPr>
              <w:t>) (cost per 100mg vial = $</w:t>
            </w:r>
            <w:r w:rsidR="003A224F">
              <w:rPr>
                <w:rFonts w:ascii="Arial Narrow" w:hAnsi="Arial Narrow"/>
                <w:b/>
                <w:noProof/>
                <w:color w:val="000000"/>
                <w:sz w:val="20"/>
                <w:highlight w:val="black"/>
              </w:rPr>
              <w:t>''''''''''''''''''</w:t>
            </w:r>
            <w:r w:rsidRPr="00600064">
              <w:rPr>
                <w:rFonts w:ascii="Arial Narrow" w:hAnsi="Arial Narrow"/>
                <w:b/>
                <w:sz w:val="20"/>
              </w:rPr>
              <w:t>)</w:t>
            </w:r>
          </w:p>
        </w:tc>
      </w:tr>
      <w:tr w:rsidR="000C2FFB" w:rsidRPr="00600064" w:rsidTr="00D605BA">
        <w:tc>
          <w:tcPr>
            <w:tcW w:w="2036" w:type="pct"/>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Component</w:t>
            </w:r>
          </w:p>
        </w:tc>
        <w:tc>
          <w:tcPr>
            <w:tcW w:w="939"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Nivolumab</w:t>
            </w:r>
          </w:p>
        </w:tc>
        <w:tc>
          <w:tcPr>
            <w:tcW w:w="898" w:type="pct"/>
            <w:gridSpan w:val="2"/>
            <w:shd w:val="clear" w:color="auto" w:fill="auto"/>
            <w:vAlign w:val="center"/>
          </w:tcPr>
          <w:p w:rsidR="000C2FFB" w:rsidRPr="00600064" w:rsidRDefault="000C2FFB" w:rsidP="0031098E">
            <w:pPr>
              <w:jc w:val="center"/>
              <w:rPr>
                <w:rFonts w:ascii="Arial Narrow" w:hAnsi="Arial Narrow"/>
                <w:b/>
                <w:sz w:val="20"/>
              </w:rPr>
            </w:pPr>
            <w:proofErr w:type="spellStart"/>
            <w:r w:rsidRPr="00600064">
              <w:rPr>
                <w:rFonts w:ascii="Arial Narrow" w:hAnsi="Arial Narrow"/>
                <w:b/>
                <w:sz w:val="20"/>
              </w:rPr>
              <w:t>Everolimus</w:t>
            </w:r>
            <w:proofErr w:type="spellEnd"/>
          </w:p>
        </w:tc>
        <w:tc>
          <w:tcPr>
            <w:tcW w:w="1127"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Increment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Costs</w:t>
            </w:r>
          </w:p>
        </w:tc>
        <w:tc>
          <w:tcPr>
            <w:tcW w:w="939"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898" w:type="pct"/>
            <w:gridSpan w:val="2"/>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127"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QALYs</w:t>
            </w:r>
          </w:p>
        </w:tc>
        <w:tc>
          <w:tcPr>
            <w:tcW w:w="939" w:type="pct"/>
            <w:shd w:val="clear" w:color="auto" w:fill="auto"/>
            <w:vAlign w:val="center"/>
          </w:tcPr>
          <w:p w:rsidR="000C2FFB" w:rsidRPr="00600064" w:rsidRDefault="000C2FFB" w:rsidP="0031098E">
            <w:pPr>
              <w:jc w:val="center"/>
              <w:rPr>
                <w:rFonts w:ascii="Arial Narrow" w:hAnsi="Arial Narrow"/>
                <w:sz w:val="20"/>
              </w:rPr>
            </w:pPr>
            <w:r w:rsidRPr="002278D0">
              <w:rPr>
                <w:rFonts w:ascii="Arial Narrow" w:hAnsi="Arial Narrow"/>
                <w:sz w:val="20"/>
              </w:rPr>
              <w:t>2.10</w:t>
            </w:r>
          </w:p>
        </w:tc>
        <w:tc>
          <w:tcPr>
            <w:tcW w:w="898" w:type="pct"/>
            <w:gridSpan w:val="2"/>
            <w:shd w:val="clear" w:color="auto" w:fill="auto"/>
            <w:vAlign w:val="center"/>
          </w:tcPr>
          <w:p w:rsidR="000C2FFB" w:rsidRPr="00C22DF3" w:rsidRDefault="000C2FFB" w:rsidP="0031098E">
            <w:pPr>
              <w:jc w:val="center"/>
              <w:rPr>
                <w:rFonts w:ascii="Arial Narrow" w:hAnsi="Arial Narrow"/>
                <w:sz w:val="20"/>
              </w:rPr>
            </w:pPr>
            <w:r w:rsidRPr="00C22DF3">
              <w:rPr>
                <w:rFonts w:ascii="Arial Narrow" w:hAnsi="Arial Narrow"/>
                <w:sz w:val="20"/>
              </w:rPr>
              <w:t>1.71</w:t>
            </w:r>
          </w:p>
        </w:tc>
        <w:tc>
          <w:tcPr>
            <w:tcW w:w="1127" w:type="pct"/>
            <w:shd w:val="clear" w:color="auto" w:fill="auto"/>
            <w:vAlign w:val="center"/>
          </w:tcPr>
          <w:p w:rsidR="000C2FFB" w:rsidRPr="00C22DF3" w:rsidRDefault="000C2FFB" w:rsidP="0031098E">
            <w:pPr>
              <w:jc w:val="center"/>
              <w:rPr>
                <w:rFonts w:ascii="Arial Narrow" w:hAnsi="Arial Narrow"/>
                <w:sz w:val="20"/>
              </w:rPr>
            </w:pPr>
            <w:r w:rsidRPr="00C22DF3">
              <w:rPr>
                <w:rFonts w:ascii="Arial Narrow" w:hAnsi="Arial Narrow"/>
                <w:sz w:val="20"/>
              </w:rPr>
              <w:t>0.39</w:t>
            </w:r>
          </w:p>
        </w:tc>
      </w:tr>
      <w:tr w:rsidR="000C2FFB" w:rsidRPr="00600064" w:rsidTr="00D605BA">
        <w:tc>
          <w:tcPr>
            <w:tcW w:w="3873" w:type="pct"/>
            <w:gridSpan w:val="4"/>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Incremental cost/extra QALY gained</w:t>
            </w:r>
          </w:p>
        </w:tc>
        <w:tc>
          <w:tcPr>
            <w:tcW w:w="1127" w:type="pct"/>
            <w:shd w:val="clear" w:color="auto" w:fill="auto"/>
          </w:tcPr>
          <w:p w:rsidR="000C2FFB" w:rsidRPr="00600064" w:rsidRDefault="000C2FFB" w:rsidP="0031098E">
            <w:pPr>
              <w:jc w:val="center"/>
              <w:rPr>
                <w:rFonts w:ascii="Arial Narrow" w:hAnsi="Arial Narrow"/>
                <w:b/>
                <w:sz w:val="20"/>
                <w:vertAlign w:val="superscript"/>
              </w:rPr>
            </w:pPr>
            <w:r w:rsidRPr="00600064">
              <w:rPr>
                <w:rFonts w:ascii="Arial Narrow" w:hAnsi="Arial Narrow"/>
                <w:b/>
                <w:sz w:val="20"/>
              </w:rPr>
              <w:t>$</w:t>
            </w:r>
            <w:r w:rsidR="003A224F">
              <w:rPr>
                <w:rFonts w:ascii="Arial Narrow" w:hAnsi="Arial Narrow"/>
                <w:b/>
                <w:noProof/>
                <w:color w:val="000000"/>
                <w:sz w:val="20"/>
                <w:highlight w:val="black"/>
              </w:rPr>
              <w:t>'''''''''''''</w:t>
            </w:r>
          </w:p>
        </w:tc>
      </w:tr>
      <w:tr w:rsidR="000C2FFB" w:rsidRPr="00600064" w:rsidTr="00D605BA">
        <w:tc>
          <w:tcPr>
            <w:tcW w:w="3873" w:type="pct"/>
            <w:gridSpan w:val="4"/>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Adjusted for extrapolation</w:t>
            </w:r>
          </w:p>
        </w:tc>
        <w:tc>
          <w:tcPr>
            <w:tcW w:w="1127" w:type="pct"/>
            <w:shd w:val="clear" w:color="auto" w:fill="auto"/>
          </w:tcPr>
          <w:p w:rsidR="000C2FFB" w:rsidRPr="00600064" w:rsidRDefault="000C2FFB" w:rsidP="0031098E">
            <w:pPr>
              <w:jc w:val="center"/>
              <w:rPr>
                <w:rFonts w:ascii="Arial Narrow" w:hAnsi="Arial Narrow"/>
                <w:b/>
                <w:sz w:val="20"/>
              </w:rPr>
            </w:pPr>
            <w:r w:rsidRPr="00600064">
              <w:rPr>
                <w:rFonts w:ascii="Arial Narrow" w:hAnsi="Arial Narrow"/>
                <w:b/>
                <w:sz w:val="20"/>
              </w:rPr>
              <w:t>$</w:t>
            </w:r>
            <w:r w:rsidR="003A224F">
              <w:rPr>
                <w:rFonts w:ascii="Arial Narrow" w:hAnsi="Arial Narrow"/>
                <w:b/>
                <w:noProof/>
                <w:color w:val="000000"/>
                <w:sz w:val="20"/>
                <w:highlight w:val="black"/>
              </w:rPr>
              <w:t>''''''''''''</w:t>
            </w:r>
          </w:p>
        </w:tc>
      </w:tr>
      <w:tr w:rsidR="000C2FFB" w:rsidRPr="00600064" w:rsidTr="00D605BA">
        <w:tc>
          <w:tcPr>
            <w:tcW w:w="5000" w:type="pct"/>
            <w:gridSpan w:val="5"/>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March 2017 resubmission-addendum (</w:t>
            </w:r>
            <w:r w:rsidR="002004CB" w:rsidRPr="00600064">
              <w:rPr>
                <w:rFonts w:ascii="Arial Narrow" w:hAnsi="Arial Narrow"/>
                <w:b/>
                <w:sz w:val="20"/>
              </w:rPr>
              <w:t>“</w:t>
            </w:r>
            <w:r w:rsidRPr="00600064">
              <w:rPr>
                <w:rFonts w:ascii="Arial Narrow" w:hAnsi="Arial Narrow"/>
                <w:b/>
                <w:sz w:val="20"/>
              </w:rPr>
              <w:t>PBAC amended base case</w:t>
            </w:r>
            <w:r w:rsidR="002004CB" w:rsidRPr="00600064">
              <w:rPr>
                <w:rFonts w:ascii="Arial Narrow" w:hAnsi="Arial Narrow"/>
                <w:b/>
                <w:sz w:val="20"/>
              </w:rPr>
              <w:t>”</w:t>
            </w:r>
            <w:r w:rsidRPr="00600064">
              <w:rPr>
                <w:rFonts w:ascii="Arial Narrow" w:hAnsi="Arial Narrow"/>
                <w:b/>
                <w:sz w:val="20"/>
              </w:rPr>
              <w:t>) (cost per 100mg vial = $</w:t>
            </w:r>
            <w:r w:rsidR="003A224F">
              <w:rPr>
                <w:rFonts w:ascii="Arial Narrow" w:hAnsi="Arial Narrow"/>
                <w:b/>
                <w:noProof/>
                <w:color w:val="000000"/>
                <w:sz w:val="20"/>
                <w:highlight w:val="black"/>
              </w:rPr>
              <w:t>'''''''''''''''''</w:t>
            </w:r>
            <w:r w:rsidRPr="00600064">
              <w:rPr>
                <w:rFonts w:ascii="Arial Narrow" w:hAnsi="Arial Narrow"/>
                <w:b/>
                <w:sz w:val="20"/>
              </w:rPr>
              <w:t>)</w:t>
            </w:r>
          </w:p>
        </w:tc>
      </w:tr>
      <w:tr w:rsidR="000C2FFB" w:rsidRPr="00600064" w:rsidTr="00D605BA">
        <w:tc>
          <w:tcPr>
            <w:tcW w:w="2036" w:type="pct"/>
            <w:shd w:val="clear" w:color="auto" w:fill="auto"/>
          </w:tcPr>
          <w:p w:rsidR="000C2FFB" w:rsidRPr="00600064" w:rsidRDefault="000C2FFB" w:rsidP="0031098E">
            <w:pPr>
              <w:rPr>
                <w:rFonts w:ascii="Arial Narrow" w:hAnsi="Arial Narrow"/>
                <w:b/>
                <w:sz w:val="20"/>
              </w:rPr>
            </w:pPr>
            <w:r w:rsidRPr="00600064">
              <w:rPr>
                <w:rFonts w:ascii="Arial Narrow" w:hAnsi="Arial Narrow"/>
                <w:b/>
                <w:sz w:val="20"/>
              </w:rPr>
              <w:t>Component</w:t>
            </w:r>
          </w:p>
        </w:tc>
        <w:tc>
          <w:tcPr>
            <w:tcW w:w="939"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Nivolumab</w:t>
            </w:r>
          </w:p>
        </w:tc>
        <w:tc>
          <w:tcPr>
            <w:tcW w:w="898" w:type="pct"/>
            <w:gridSpan w:val="2"/>
            <w:shd w:val="clear" w:color="auto" w:fill="auto"/>
            <w:vAlign w:val="center"/>
          </w:tcPr>
          <w:p w:rsidR="000C2FFB" w:rsidRPr="00600064" w:rsidRDefault="000C2FFB" w:rsidP="0031098E">
            <w:pPr>
              <w:jc w:val="center"/>
              <w:rPr>
                <w:rFonts w:ascii="Arial Narrow" w:hAnsi="Arial Narrow"/>
                <w:b/>
                <w:sz w:val="20"/>
              </w:rPr>
            </w:pPr>
            <w:proofErr w:type="spellStart"/>
            <w:r w:rsidRPr="00600064">
              <w:rPr>
                <w:rFonts w:ascii="Arial Narrow" w:hAnsi="Arial Narrow"/>
                <w:b/>
                <w:sz w:val="20"/>
              </w:rPr>
              <w:t>Everolimus</w:t>
            </w:r>
            <w:proofErr w:type="spellEnd"/>
          </w:p>
        </w:tc>
        <w:tc>
          <w:tcPr>
            <w:tcW w:w="1127" w:type="pct"/>
            <w:shd w:val="clear" w:color="auto" w:fill="auto"/>
            <w:vAlign w:val="center"/>
          </w:tcPr>
          <w:p w:rsidR="000C2FFB" w:rsidRPr="00600064" w:rsidRDefault="000C2FFB" w:rsidP="0031098E">
            <w:pPr>
              <w:jc w:val="center"/>
              <w:rPr>
                <w:rFonts w:ascii="Arial Narrow" w:hAnsi="Arial Narrow"/>
                <w:b/>
                <w:sz w:val="20"/>
              </w:rPr>
            </w:pPr>
            <w:r w:rsidRPr="00600064">
              <w:rPr>
                <w:rFonts w:ascii="Arial Narrow" w:hAnsi="Arial Narrow"/>
                <w:b/>
                <w:sz w:val="20"/>
              </w:rPr>
              <w:t>Increment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Costs</w:t>
            </w:r>
          </w:p>
        </w:tc>
        <w:tc>
          <w:tcPr>
            <w:tcW w:w="939"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898" w:type="pct"/>
            <w:gridSpan w:val="2"/>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127" w:type="pct"/>
            <w:shd w:val="clear" w:color="auto" w:fill="auto"/>
          </w:tcPr>
          <w:p w:rsidR="000C2FFB" w:rsidRPr="00600064" w:rsidRDefault="000C2FFB" w:rsidP="0031098E">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0C2FFB" w:rsidRPr="00600064" w:rsidTr="00D605BA">
        <w:tc>
          <w:tcPr>
            <w:tcW w:w="2036" w:type="pct"/>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QALYs</w:t>
            </w:r>
          </w:p>
        </w:tc>
        <w:tc>
          <w:tcPr>
            <w:tcW w:w="939" w:type="pct"/>
            <w:shd w:val="clear" w:color="auto" w:fill="auto"/>
            <w:vAlign w:val="center"/>
          </w:tcPr>
          <w:p w:rsidR="000C2FFB" w:rsidRPr="00600064" w:rsidRDefault="000C2FFB" w:rsidP="0031098E">
            <w:pPr>
              <w:jc w:val="center"/>
              <w:rPr>
                <w:rFonts w:ascii="Arial Narrow" w:hAnsi="Arial Narrow"/>
                <w:sz w:val="20"/>
              </w:rPr>
            </w:pPr>
            <w:r w:rsidRPr="00C22DF3">
              <w:rPr>
                <w:rFonts w:ascii="Arial Narrow" w:hAnsi="Arial Narrow"/>
                <w:sz w:val="20"/>
              </w:rPr>
              <w:t>1.84</w:t>
            </w:r>
          </w:p>
        </w:tc>
        <w:tc>
          <w:tcPr>
            <w:tcW w:w="898" w:type="pct"/>
            <w:gridSpan w:val="2"/>
            <w:shd w:val="clear" w:color="auto" w:fill="auto"/>
            <w:vAlign w:val="center"/>
          </w:tcPr>
          <w:p w:rsidR="000C2FFB" w:rsidRPr="00600064" w:rsidRDefault="000C2FFB" w:rsidP="0031098E">
            <w:pPr>
              <w:jc w:val="center"/>
              <w:rPr>
                <w:rFonts w:ascii="Arial Narrow" w:hAnsi="Arial Narrow"/>
                <w:sz w:val="20"/>
              </w:rPr>
            </w:pPr>
            <w:r w:rsidRPr="00C22DF3">
              <w:rPr>
                <w:rFonts w:ascii="Arial Narrow" w:hAnsi="Arial Narrow"/>
                <w:sz w:val="20"/>
              </w:rPr>
              <w:t>1.50</w:t>
            </w:r>
          </w:p>
        </w:tc>
        <w:tc>
          <w:tcPr>
            <w:tcW w:w="1127" w:type="pct"/>
            <w:shd w:val="clear" w:color="auto" w:fill="auto"/>
            <w:vAlign w:val="center"/>
          </w:tcPr>
          <w:p w:rsidR="000C2FFB" w:rsidRPr="00600064" w:rsidRDefault="000C2FFB" w:rsidP="0031098E">
            <w:pPr>
              <w:jc w:val="center"/>
              <w:rPr>
                <w:rFonts w:ascii="Arial Narrow" w:hAnsi="Arial Narrow"/>
                <w:sz w:val="20"/>
              </w:rPr>
            </w:pPr>
            <w:r w:rsidRPr="00C22DF3">
              <w:rPr>
                <w:rFonts w:ascii="Arial Narrow" w:hAnsi="Arial Narrow"/>
                <w:sz w:val="20"/>
              </w:rPr>
              <w:t>0.33</w:t>
            </w:r>
          </w:p>
        </w:tc>
      </w:tr>
      <w:tr w:rsidR="000C2FFB" w:rsidRPr="00600064" w:rsidTr="00D605BA">
        <w:tc>
          <w:tcPr>
            <w:tcW w:w="3873" w:type="pct"/>
            <w:gridSpan w:val="4"/>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Incremental cost/extra QALY gained</w:t>
            </w:r>
          </w:p>
        </w:tc>
        <w:tc>
          <w:tcPr>
            <w:tcW w:w="1127" w:type="pct"/>
            <w:shd w:val="clear" w:color="auto" w:fill="auto"/>
          </w:tcPr>
          <w:p w:rsidR="000C2FFB" w:rsidRPr="00600064" w:rsidRDefault="000C2FFB" w:rsidP="0031098E">
            <w:pPr>
              <w:jc w:val="center"/>
              <w:rPr>
                <w:rFonts w:ascii="Arial Narrow" w:hAnsi="Arial Narrow"/>
                <w:b/>
                <w:sz w:val="20"/>
                <w:vertAlign w:val="superscript"/>
              </w:rPr>
            </w:pPr>
            <w:r w:rsidRPr="00600064">
              <w:rPr>
                <w:rFonts w:ascii="Arial Narrow" w:hAnsi="Arial Narrow"/>
                <w:b/>
                <w:sz w:val="20"/>
              </w:rPr>
              <w:t>$</w:t>
            </w:r>
            <w:r w:rsidR="003A224F">
              <w:rPr>
                <w:rFonts w:ascii="Arial Narrow" w:hAnsi="Arial Narrow"/>
                <w:b/>
                <w:noProof/>
                <w:color w:val="000000"/>
                <w:sz w:val="20"/>
                <w:highlight w:val="black"/>
              </w:rPr>
              <w:t>''''''''''''</w:t>
            </w:r>
            <w:r w:rsidRPr="00600064">
              <w:rPr>
                <w:rFonts w:ascii="Arial Narrow" w:hAnsi="Arial Narrow"/>
                <w:b/>
                <w:sz w:val="20"/>
                <w:vertAlign w:val="superscript"/>
              </w:rPr>
              <w:t>2</w:t>
            </w:r>
          </w:p>
        </w:tc>
      </w:tr>
      <w:tr w:rsidR="000C2FFB" w:rsidRPr="00600064" w:rsidTr="00C95E9F">
        <w:trPr>
          <w:trHeight w:val="77"/>
        </w:trPr>
        <w:tc>
          <w:tcPr>
            <w:tcW w:w="3873" w:type="pct"/>
            <w:gridSpan w:val="4"/>
            <w:shd w:val="clear" w:color="auto" w:fill="auto"/>
          </w:tcPr>
          <w:p w:rsidR="000C2FFB" w:rsidRPr="00600064" w:rsidRDefault="000C2FFB" w:rsidP="0031098E">
            <w:pPr>
              <w:rPr>
                <w:rFonts w:ascii="Arial Narrow" w:hAnsi="Arial Narrow"/>
                <w:sz w:val="20"/>
              </w:rPr>
            </w:pPr>
            <w:r w:rsidRPr="00600064">
              <w:rPr>
                <w:rFonts w:ascii="Arial Narrow" w:hAnsi="Arial Narrow"/>
                <w:sz w:val="20"/>
              </w:rPr>
              <w:t>Adjusted for extrapolation</w:t>
            </w:r>
          </w:p>
        </w:tc>
        <w:tc>
          <w:tcPr>
            <w:tcW w:w="1127" w:type="pct"/>
            <w:shd w:val="clear" w:color="auto" w:fill="auto"/>
          </w:tcPr>
          <w:p w:rsidR="000C2FFB" w:rsidRPr="00600064" w:rsidRDefault="000C2FFB" w:rsidP="0031098E">
            <w:pPr>
              <w:jc w:val="center"/>
              <w:rPr>
                <w:rFonts w:ascii="Arial Narrow" w:hAnsi="Arial Narrow"/>
                <w:b/>
                <w:sz w:val="20"/>
              </w:rPr>
            </w:pPr>
            <w:r w:rsidRPr="00600064">
              <w:rPr>
                <w:rFonts w:ascii="Arial Narrow" w:hAnsi="Arial Narrow"/>
                <w:b/>
                <w:sz w:val="20"/>
              </w:rPr>
              <w:t>$</w:t>
            </w:r>
            <w:r w:rsidR="003A224F">
              <w:rPr>
                <w:rFonts w:ascii="Arial Narrow" w:hAnsi="Arial Narrow"/>
                <w:b/>
                <w:noProof/>
                <w:color w:val="000000"/>
                <w:sz w:val="20"/>
                <w:highlight w:val="black"/>
              </w:rPr>
              <w:t>''''''''''''</w:t>
            </w:r>
          </w:p>
        </w:tc>
      </w:tr>
    </w:tbl>
    <w:p w:rsidR="00C74BDD" w:rsidRPr="00600064" w:rsidRDefault="00C74BDD" w:rsidP="008D3472">
      <w:pPr>
        <w:rPr>
          <w:rFonts w:ascii="Arial Narrow" w:hAnsi="Arial Narrow"/>
          <w:sz w:val="18"/>
        </w:rPr>
      </w:pPr>
      <w:r w:rsidRPr="00600064">
        <w:rPr>
          <w:rFonts w:ascii="Arial Narrow" w:hAnsi="Arial Narrow"/>
          <w:sz w:val="18"/>
        </w:rPr>
        <w:t xml:space="preserve">Source: Table 39, p 93 of the </w:t>
      </w:r>
      <w:r w:rsidR="00740B09" w:rsidRPr="00600064">
        <w:rPr>
          <w:rFonts w:ascii="Arial Narrow" w:hAnsi="Arial Narrow"/>
          <w:sz w:val="18"/>
        </w:rPr>
        <w:t xml:space="preserve">March </w:t>
      </w:r>
      <w:r w:rsidRPr="00600064">
        <w:rPr>
          <w:rFonts w:ascii="Arial Narrow" w:hAnsi="Arial Narrow"/>
          <w:sz w:val="18"/>
        </w:rPr>
        <w:t>201</w:t>
      </w:r>
      <w:r w:rsidR="00740B09" w:rsidRPr="00600064">
        <w:rPr>
          <w:rFonts w:ascii="Arial Narrow" w:hAnsi="Arial Narrow"/>
          <w:sz w:val="18"/>
        </w:rPr>
        <w:t>7</w:t>
      </w:r>
      <w:r w:rsidRPr="00600064">
        <w:rPr>
          <w:rFonts w:ascii="Arial Narrow" w:hAnsi="Arial Narrow"/>
          <w:sz w:val="18"/>
        </w:rPr>
        <w:t xml:space="preserve"> resubmission.</w:t>
      </w:r>
    </w:p>
    <w:p w:rsidR="00C74BDD" w:rsidRPr="00600064" w:rsidRDefault="00C74BDD" w:rsidP="008D3472">
      <w:pPr>
        <w:rPr>
          <w:rFonts w:ascii="Arial Narrow" w:hAnsi="Arial Narrow"/>
          <w:sz w:val="18"/>
        </w:rPr>
      </w:pPr>
      <w:r w:rsidRPr="00600064">
        <w:rPr>
          <w:rFonts w:ascii="Arial Narrow" w:hAnsi="Arial Narrow"/>
          <w:sz w:val="18"/>
        </w:rPr>
        <w:t>Abbreviations: QALYs, quality-adjusted life years.</w:t>
      </w:r>
    </w:p>
    <w:p w:rsidR="00C74BDD" w:rsidRDefault="00C74BDD" w:rsidP="00D110BD">
      <w:pPr>
        <w:widowControl/>
        <w:rPr>
          <w:szCs w:val="22"/>
        </w:rPr>
      </w:pPr>
    </w:p>
    <w:p w:rsidR="00F70A0F" w:rsidRDefault="00F70A0F" w:rsidP="00D110BD">
      <w:pPr>
        <w:widowControl/>
        <w:rPr>
          <w:szCs w:val="22"/>
        </w:rPr>
      </w:pPr>
      <w:r>
        <w:rPr>
          <w:szCs w:val="22"/>
        </w:rPr>
        <w:t xml:space="preserve">The redacted table shows ICERs in the range of </w:t>
      </w:r>
      <w:r w:rsidR="008B3B10">
        <w:rPr>
          <w:szCs w:val="22"/>
        </w:rPr>
        <w:t xml:space="preserve">$45,000/QALY - </w:t>
      </w:r>
      <w:r w:rsidR="002278D0">
        <w:rPr>
          <w:szCs w:val="22"/>
        </w:rPr>
        <w:t>$105,000</w:t>
      </w:r>
      <w:r w:rsidR="008B3B10">
        <w:rPr>
          <w:szCs w:val="22"/>
        </w:rPr>
        <w:t xml:space="preserve">/QALY. </w:t>
      </w:r>
    </w:p>
    <w:p w:rsidR="008B3B10" w:rsidRPr="00600064" w:rsidRDefault="008B3B10" w:rsidP="00D110BD">
      <w:pPr>
        <w:widowControl/>
        <w:rPr>
          <w:szCs w:val="22"/>
        </w:rPr>
      </w:pPr>
    </w:p>
    <w:p w:rsidR="00C74BDD" w:rsidRPr="00600064" w:rsidRDefault="004650EC" w:rsidP="00216BA7">
      <w:pPr>
        <w:pStyle w:val="ListParagraph"/>
        <w:widowControl/>
        <w:numPr>
          <w:ilvl w:val="1"/>
          <w:numId w:val="4"/>
        </w:numPr>
      </w:pPr>
      <w:r w:rsidRPr="00600064">
        <w:t>S</w:t>
      </w:r>
      <w:r w:rsidR="00126731" w:rsidRPr="00600064">
        <w:t xml:space="preserve">ensitivity </w:t>
      </w:r>
      <w:r w:rsidR="00126731" w:rsidRPr="00600064">
        <w:rPr>
          <w:szCs w:val="22"/>
        </w:rPr>
        <w:t>analyses</w:t>
      </w:r>
      <w:r w:rsidR="00126731" w:rsidRPr="00600064">
        <w:t xml:space="preserve"> in the resubmission</w:t>
      </w:r>
      <w:r w:rsidRPr="00600064">
        <w:t xml:space="preserve"> showed that the ICER was </w:t>
      </w:r>
      <w:r w:rsidR="006639D7" w:rsidRPr="00600064">
        <w:t>most</w:t>
      </w:r>
      <w:r w:rsidRPr="00600064">
        <w:t xml:space="preserve"> sensitive to </w:t>
      </w:r>
      <w:r w:rsidR="00126731" w:rsidRPr="00600064">
        <w:t>reducing the time horizon from 8 to 6 years</w:t>
      </w:r>
      <w:r w:rsidRPr="00600064">
        <w:t>, i</w:t>
      </w:r>
      <w:r w:rsidR="00126731" w:rsidRPr="00600064">
        <w:t>ncreas</w:t>
      </w:r>
      <w:r w:rsidRPr="00600064">
        <w:t>ing</w:t>
      </w:r>
      <w:r w:rsidR="00126731" w:rsidRPr="00600064">
        <w:t xml:space="preserve"> the ICER from </w:t>
      </w:r>
      <w:r w:rsidR="00675CF5" w:rsidRPr="00600064">
        <w:t xml:space="preserve">the resubmission’s base case of </w:t>
      </w:r>
      <w:r w:rsidR="00C42AE7">
        <w:t>$45,000/QALY gained - $75,000/QALY gained</w:t>
      </w:r>
      <w:r w:rsidR="00126731" w:rsidRPr="00600064">
        <w:t xml:space="preserve"> to </w:t>
      </w:r>
      <w:r w:rsidR="00C42AE7">
        <w:t>$45,000/QALY gained - $75,000/QALY gained</w:t>
      </w:r>
      <w:r w:rsidR="00126731" w:rsidRPr="00600064">
        <w:t xml:space="preserve">. Further reducing the time horizon to 5 years, consistent with the PBAC request, further increased the ICER to </w:t>
      </w:r>
      <w:r w:rsidR="00816BB2">
        <w:t>$75,000/QALY - $105,000/QALY</w:t>
      </w:r>
      <w:r w:rsidR="00126731" w:rsidRPr="00600064">
        <w:t>.</w:t>
      </w:r>
      <w:r w:rsidR="00AC11AE" w:rsidRPr="00600064">
        <w:t xml:space="preserve"> In the resubmission-addendum, </w:t>
      </w:r>
      <w:r w:rsidR="00FB754A" w:rsidRPr="00600064">
        <w:t xml:space="preserve">a </w:t>
      </w:r>
      <w:r w:rsidR="00AC11AE" w:rsidRPr="00600064">
        <w:t xml:space="preserve">reduced time horizon </w:t>
      </w:r>
      <w:r w:rsidR="00991520" w:rsidRPr="00600064">
        <w:t>(</w:t>
      </w:r>
      <w:r w:rsidR="00020B2D" w:rsidRPr="00600064">
        <w:t>“</w:t>
      </w:r>
      <w:r w:rsidR="00991520" w:rsidRPr="00600064">
        <w:t>PBAC</w:t>
      </w:r>
      <w:r w:rsidR="00740208" w:rsidRPr="00600064">
        <w:t xml:space="preserve"> </w:t>
      </w:r>
      <w:r w:rsidR="00991520" w:rsidRPr="00600064">
        <w:t>amended base case</w:t>
      </w:r>
      <w:r w:rsidR="00020B2D" w:rsidRPr="00600064">
        <w:t>”</w:t>
      </w:r>
      <w:r w:rsidR="00991520" w:rsidRPr="00600064">
        <w:t xml:space="preserve">) </w:t>
      </w:r>
      <w:r w:rsidR="00AC11AE" w:rsidRPr="00600064">
        <w:t xml:space="preserve">was combined with </w:t>
      </w:r>
      <w:r w:rsidR="00FB754A" w:rsidRPr="00600064">
        <w:t xml:space="preserve">a </w:t>
      </w:r>
      <w:r w:rsidR="00AC11AE" w:rsidRPr="00600064">
        <w:t>reduced nivolumab price</w:t>
      </w:r>
      <w:r w:rsidR="00991520" w:rsidRPr="00600064">
        <w:t xml:space="preserve"> </w:t>
      </w:r>
      <w:r w:rsidR="00FB754A" w:rsidRPr="00600064">
        <w:t xml:space="preserve">(relative to the </w:t>
      </w:r>
      <w:r w:rsidR="00020B2D" w:rsidRPr="00600064">
        <w:t>“</w:t>
      </w:r>
      <w:r w:rsidR="00FB754A" w:rsidRPr="00600064">
        <w:t>sponsor</w:t>
      </w:r>
      <w:r w:rsidR="00740208" w:rsidRPr="00600064">
        <w:t xml:space="preserve"> </w:t>
      </w:r>
      <w:r w:rsidR="00FB754A" w:rsidRPr="00600064">
        <w:t>amended base case</w:t>
      </w:r>
      <w:r w:rsidR="00020B2D" w:rsidRPr="00600064">
        <w:t>”</w:t>
      </w:r>
      <w:r w:rsidR="00FB754A" w:rsidRPr="00600064">
        <w:t xml:space="preserve">, but higher than that in the resubmission) </w:t>
      </w:r>
      <w:r w:rsidR="00991520" w:rsidRPr="00600064">
        <w:t>to</w:t>
      </w:r>
      <w:r w:rsidR="00AC11AE" w:rsidRPr="00600064">
        <w:t xml:space="preserve"> maintain </w:t>
      </w:r>
      <w:r w:rsidR="008D3472" w:rsidRPr="00600064">
        <w:t>the ICER.</w:t>
      </w:r>
      <w:r w:rsidR="00191EA2" w:rsidRPr="00600064">
        <w:t xml:space="preserve"> The ESC noted that the issue of selection of</w:t>
      </w:r>
      <w:r w:rsidR="00216BA7" w:rsidRPr="00600064">
        <w:t xml:space="preserve"> an appropriate</w:t>
      </w:r>
      <w:r w:rsidR="00191EA2" w:rsidRPr="00600064">
        <w:t xml:space="preserve"> time horizon was addressed in the </w:t>
      </w:r>
      <w:r w:rsidR="00216BA7" w:rsidRPr="00600064">
        <w:t>resubmission-addendum by supplying economic analyses using both an 8 year (</w:t>
      </w:r>
      <w:r w:rsidR="00020B2D" w:rsidRPr="00600064">
        <w:t>“s</w:t>
      </w:r>
      <w:r w:rsidR="00216BA7" w:rsidRPr="00600064">
        <w:t>ponsor amended base case</w:t>
      </w:r>
      <w:r w:rsidR="00020B2D" w:rsidRPr="00600064">
        <w:t>”</w:t>
      </w:r>
      <w:r w:rsidR="00216BA7" w:rsidRPr="00600064">
        <w:t>) and 5 year (</w:t>
      </w:r>
      <w:r w:rsidR="00020B2D" w:rsidRPr="00600064">
        <w:t>“</w:t>
      </w:r>
      <w:r w:rsidR="00216BA7" w:rsidRPr="00600064">
        <w:t>PBAC amended base case</w:t>
      </w:r>
      <w:r w:rsidR="00020B2D" w:rsidRPr="00600064">
        <w:t>”</w:t>
      </w:r>
      <w:r w:rsidR="00216BA7" w:rsidRPr="00600064">
        <w:t>) time horizon and considered that the 5 year time horizon as specified previously by the PBAC was the most appropriate for consideration.</w:t>
      </w:r>
      <w:r w:rsidR="00D33F76" w:rsidRPr="00600064">
        <w:t xml:space="preserve"> The PBAC </w:t>
      </w:r>
      <w:r w:rsidR="00020B2D" w:rsidRPr="00600064">
        <w:t xml:space="preserve">reaffirmed </w:t>
      </w:r>
      <w:r w:rsidR="00D33F76" w:rsidRPr="00600064">
        <w:t xml:space="preserve">that the 5 year time horizon in the </w:t>
      </w:r>
      <w:r w:rsidR="00020B2D" w:rsidRPr="00600064">
        <w:t>“</w:t>
      </w:r>
      <w:r w:rsidR="00363E61" w:rsidRPr="00600064">
        <w:t>PBAC amended base case</w:t>
      </w:r>
      <w:r w:rsidR="00020B2D" w:rsidRPr="00600064">
        <w:t>”</w:t>
      </w:r>
      <w:r w:rsidR="00363E61" w:rsidRPr="00600064">
        <w:t xml:space="preserve"> in the </w:t>
      </w:r>
      <w:r w:rsidR="00D33F76" w:rsidRPr="00600064">
        <w:t>resubmission addendum was appropriate.</w:t>
      </w:r>
    </w:p>
    <w:p w:rsidR="00FB754A" w:rsidRPr="00600064" w:rsidRDefault="00FB754A" w:rsidP="00F56D9C">
      <w:pPr>
        <w:widowControl/>
        <w:ind w:left="720" w:hanging="720"/>
      </w:pPr>
    </w:p>
    <w:p w:rsidR="00FB754A" w:rsidRPr="00600064" w:rsidRDefault="00FB754A" w:rsidP="00A86E8B">
      <w:pPr>
        <w:pStyle w:val="ListParagraph"/>
        <w:widowControl/>
        <w:numPr>
          <w:ilvl w:val="1"/>
          <w:numId w:val="4"/>
        </w:numPr>
        <w:rPr>
          <w:szCs w:val="22"/>
        </w:rPr>
      </w:pPr>
      <w:r w:rsidRPr="00600064">
        <w:t xml:space="preserve">Sensitivity analyses conducted during the evaluation show that the model results </w:t>
      </w:r>
      <w:r w:rsidR="0095313C" w:rsidRPr="00600064">
        <w:t>are highly</w:t>
      </w:r>
      <w:r w:rsidRPr="00600064">
        <w:t xml:space="preserve"> sensitiv</w:t>
      </w:r>
      <w:r w:rsidR="0095313C" w:rsidRPr="00600064">
        <w:t>e</w:t>
      </w:r>
      <w:r w:rsidRPr="00600064">
        <w:t xml:space="preserve"> to variations in the extent of clinical benefit as captured by the </w:t>
      </w:r>
      <w:r w:rsidR="003F7705" w:rsidRPr="00600064">
        <w:t xml:space="preserve">HR. </w:t>
      </w:r>
      <w:r w:rsidRPr="00600064">
        <w:t>Use of the upper and lower bounds of the 95% CI resulted in ICERs for the resubmission</w:t>
      </w:r>
      <w:r w:rsidR="00675CF5" w:rsidRPr="00600064">
        <w:t>’s base case</w:t>
      </w:r>
      <w:r w:rsidRPr="00600064">
        <w:t xml:space="preserve"> of </w:t>
      </w:r>
      <w:r w:rsidR="004813F9">
        <w:t>$45,000/QALY - $75,000/</w:t>
      </w:r>
      <w:proofErr w:type="gramStart"/>
      <w:r w:rsidR="004813F9">
        <w:t xml:space="preserve">QALY </w:t>
      </w:r>
      <w:r w:rsidR="00675CF5" w:rsidRPr="00600064">
        <w:t xml:space="preserve"> varying</w:t>
      </w:r>
      <w:proofErr w:type="gramEnd"/>
      <w:r w:rsidR="00675CF5" w:rsidRPr="00600064">
        <w:t xml:space="preserve"> to </w:t>
      </w:r>
      <w:r w:rsidR="004813F9">
        <w:t>$100,000/QALY - $200,000/QALY</w:t>
      </w:r>
      <w:r w:rsidR="00E55EAB" w:rsidRPr="00600064">
        <w:t xml:space="preserve"> </w:t>
      </w:r>
      <w:r w:rsidRPr="00600064">
        <w:t xml:space="preserve">and </w:t>
      </w:r>
      <w:r w:rsidR="004813F9">
        <w:t>$45,000/QALY - $75,000/QALY</w:t>
      </w:r>
      <w:r w:rsidR="00675CF5" w:rsidRPr="00600064">
        <w:t>,</w:t>
      </w:r>
      <w:r w:rsidR="00A24AE1" w:rsidRPr="00600064">
        <w:t xml:space="preserve"> respectively</w:t>
      </w:r>
      <w:r w:rsidR="003F7705" w:rsidRPr="00600064">
        <w:t xml:space="preserve">. </w:t>
      </w:r>
      <w:r w:rsidRPr="00600064">
        <w:t xml:space="preserve">The same sensitivity analyses in the resubmission-addendum resulted in </w:t>
      </w:r>
      <w:r w:rsidR="00796B77" w:rsidRPr="00600064">
        <w:t xml:space="preserve">increased </w:t>
      </w:r>
      <w:r w:rsidRPr="00600064">
        <w:t>ICERs</w:t>
      </w:r>
      <w:r w:rsidR="00796B77" w:rsidRPr="00600064">
        <w:t xml:space="preserve"> at both the upper and lower bounds</w:t>
      </w:r>
      <w:r w:rsidR="001F5374" w:rsidRPr="00600064">
        <w:t>,</w:t>
      </w:r>
      <w:r w:rsidR="00796B77" w:rsidRPr="00600064">
        <w:t xml:space="preserve"> over the resubmission base case in </w:t>
      </w:r>
      <w:r w:rsidR="00020B2D" w:rsidRPr="00600064">
        <w:t xml:space="preserve">both </w:t>
      </w:r>
      <w:r w:rsidR="00796B77" w:rsidRPr="00600064">
        <w:t xml:space="preserve">the </w:t>
      </w:r>
      <w:r w:rsidR="00020B2D" w:rsidRPr="00600064">
        <w:t>“</w:t>
      </w:r>
      <w:r w:rsidR="00796B77" w:rsidRPr="00600064">
        <w:t xml:space="preserve">PBAC </w:t>
      </w:r>
      <w:r w:rsidR="00020B2D" w:rsidRPr="00600064">
        <w:t xml:space="preserve">amended base case” </w:t>
      </w:r>
      <w:r w:rsidR="00796B77" w:rsidRPr="00600064">
        <w:t xml:space="preserve">and </w:t>
      </w:r>
      <w:r w:rsidR="00020B2D" w:rsidRPr="00600064">
        <w:t>the “</w:t>
      </w:r>
      <w:r w:rsidR="00796B77" w:rsidRPr="00600064">
        <w:t>sponsor amended base case</w:t>
      </w:r>
      <w:r w:rsidR="00020B2D" w:rsidRPr="00600064">
        <w:t>”</w:t>
      </w:r>
      <w:r w:rsidR="00796B77" w:rsidRPr="00600064">
        <w:t xml:space="preserve">. </w:t>
      </w:r>
    </w:p>
    <w:p w:rsidR="00C74BDD" w:rsidRPr="00600064" w:rsidRDefault="00C74BDD" w:rsidP="00A86E8B">
      <w:pPr>
        <w:widowControl/>
        <w:rPr>
          <w:szCs w:val="22"/>
        </w:rPr>
      </w:pPr>
    </w:p>
    <w:p w:rsidR="004012CA" w:rsidRPr="00600064" w:rsidRDefault="004012CA" w:rsidP="00796B77">
      <w:pPr>
        <w:pStyle w:val="ListParagraph"/>
        <w:widowControl/>
        <w:numPr>
          <w:ilvl w:val="1"/>
          <w:numId w:val="4"/>
        </w:numPr>
      </w:pPr>
      <w:r w:rsidRPr="00600064">
        <w:lastRenderedPageBreak/>
        <w:t xml:space="preserve">Nivolumab </w:t>
      </w:r>
      <w:r w:rsidRPr="00600064">
        <w:rPr>
          <w:szCs w:val="22"/>
        </w:rPr>
        <w:t>treatment</w:t>
      </w:r>
      <w:r w:rsidRPr="00600064">
        <w:t xml:space="preserve"> costs were </w:t>
      </w:r>
      <w:r w:rsidR="004650EC" w:rsidRPr="00600064">
        <w:t xml:space="preserve">estimated using </w:t>
      </w:r>
      <w:r w:rsidRPr="00600064">
        <w:t>patient weight, which was based on mean patient weight in the named patient program</w:t>
      </w:r>
      <w:r w:rsidR="0095313C" w:rsidRPr="00600064">
        <w:t xml:space="preserve"> (NPP)</w:t>
      </w:r>
      <w:r w:rsidRPr="00600064">
        <w:t xml:space="preserve">. </w:t>
      </w:r>
      <w:r w:rsidR="00117449" w:rsidRPr="00600064">
        <w:t>If the higher mean weight observed i</w:t>
      </w:r>
      <w:r w:rsidRPr="00600064">
        <w:t xml:space="preserve">n the clinical study </w:t>
      </w:r>
      <w:r w:rsidR="00117449" w:rsidRPr="00600064">
        <w:t>was adopted in the</w:t>
      </w:r>
      <w:r w:rsidR="00675CF5" w:rsidRPr="00600064">
        <w:t xml:space="preserve"> </w:t>
      </w:r>
      <w:r w:rsidR="00796B77" w:rsidRPr="00600064">
        <w:t xml:space="preserve">adjusted </w:t>
      </w:r>
      <w:r w:rsidR="00675CF5" w:rsidRPr="00600064">
        <w:t>resubmission</w:t>
      </w:r>
      <w:r w:rsidR="00796B77" w:rsidRPr="00600064">
        <w:t>-addendum’s</w:t>
      </w:r>
      <w:r w:rsidR="00117449" w:rsidRPr="00600064">
        <w:t xml:space="preserve"> base case</w:t>
      </w:r>
      <w:r w:rsidR="00020B2D" w:rsidRPr="00600064">
        <w:t>s</w:t>
      </w:r>
      <w:r w:rsidR="00117449" w:rsidRPr="00600064">
        <w:t xml:space="preserve">, the ICER </w:t>
      </w:r>
      <w:r w:rsidRPr="00600064">
        <w:t xml:space="preserve">would increase </w:t>
      </w:r>
      <w:r w:rsidR="00117449" w:rsidRPr="00600064">
        <w:t>fr</w:t>
      </w:r>
      <w:r w:rsidRPr="00600064">
        <w:t xml:space="preserve">om </w:t>
      </w:r>
      <w:r w:rsidR="0027243C">
        <w:t>$45,000/QALY - $75,000/QALY</w:t>
      </w:r>
      <w:r w:rsidR="0027243C" w:rsidRPr="00600064" w:rsidDel="0027243C">
        <w:t xml:space="preserve"> </w:t>
      </w:r>
      <w:r w:rsidRPr="00600064">
        <w:t xml:space="preserve"> to </w:t>
      </w:r>
      <w:r w:rsidR="00965ED2" w:rsidRPr="00600064">
        <w:t xml:space="preserve">approximately </w:t>
      </w:r>
      <w:r w:rsidR="0027243C">
        <w:t>$75,000/QALY - $105,000/QALY</w:t>
      </w:r>
      <w:r w:rsidR="00796B77" w:rsidRPr="00600064">
        <w:t xml:space="preserve"> in the </w:t>
      </w:r>
      <w:r w:rsidR="00020B2D" w:rsidRPr="00600064">
        <w:t>“</w:t>
      </w:r>
      <w:r w:rsidR="00796B77" w:rsidRPr="00600064">
        <w:t xml:space="preserve">PBAC </w:t>
      </w:r>
      <w:r w:rsidR="00E24E41" w:rsidRPr="00600064">
        <w:t>amended base case</w:t>
      </w:r>
      <w:r w:rsidR="00020B2D" w:rsidRPr="00600064">
        <w:t>”</w:t>
      </w:r>
      <w:r w:rsidR="00E24E41" w:rsidRPr="00600064">
        <w:t xml:space="preserve"> and</w:t>
      </w:r>
      <w:r w:rsidR="00796B77" w:rsidRPr="00600064">
        <w:t xml:space="preserve"> </w:t>
      </w:r>
      <w:r w:rsidR="00965ED2" w:rsidRPr="00600064">
        <w:t>higher</w:t>
      </w:r>
      <w:r w:rsidR="00E24E41" w:rsidRPr="00600064">
        <w:t xml:space="preserve"> in the </w:t>
      </w:r>
      <w:r w:rsidR="00020B2D" w:rsidRPr="00600064">
        <w:t>“</w:t>
      </w:r>
      <w:r w:rsidR="00E24E41" w:rsidRPr="00600064">
        <w:t>sponsor amended base case</w:t>
      </w:r>
      <w:r w:rsidR="00020B2D" w:rsidRPr="00600064">
        <w:t>”</w:t>
      </w:r>
      <w:r w:rsidRPr="00600064">
        <w:t>.</w:t>
      </w:r>
    </w:p>
    <w:p w:rsidR="004012CA" w:rsidRPr="00600064" w:rsidRDefault="004012CA" w:rsidP="00C74BDD">
      <w:pPr>
        <w:widowControl/>
      </w:pPr>
    </w:p>
    <w:p w:rsidR="00C9750F" w:rsidRPr="00600064" w:rsidRDefault="004012CA" w:rsidP="005F42CF">
      <w:pPr>
        <w:pStyle w:val="ListParagraph"/>
        <w:widowControl/>
        <w:numPr>
          <w:ilvl w:val="1"/>
          <w:numId w:val="4"/>
        </w:numPr>
      </w:pPr>
      <w:r w:rsidRPr="00600064">
        <w:t xml:space="preserve">Prices for the </w:t>
      </w:r>
      <w:r w:rsidRPr="00600064">
        <w:rPr>
          <w:szCs w:val="22"/>
        </w:rPr>
        <w:t>comparator</w:t>
      </w:r>
      <w:r w:rsidRPr="00600064">
        <w:t xml:space="preserve"> drug and third line treatments (</w:t>
      </w:r>
      <w:proofErr w:type="spellStart"/>
      <w:r w:rsidRPr="00600064">
        <w:t>everolimus</w:t>
      </w:r>
      <w:proofErr w:type="spellEnd"/>
      <w:r w:rsidRPr="00600064">
        <w:t xml:space="preserve">, </w:t>
      </w:r>
      <w:proofErr w:type="spellStart"/>
      <w:r w:rsidRPr="00600064">
        <w:t>axitinib</w:t>
      </w:r>
      <w:proofErr w:type="spellEnd"/>
      <w:r w:rsidRPr="00600064">
        <w:t xml:space="preserve"> and </w:t>
      </w:r>
      <w:proofErr w:type="spellStart"/>
      <w:r w:rsidRPr="00600064">
        <w:t>sorafenib</w:t>
      </w:r>
      <w:proofErr w:type="spellEnd"/>
      <w:r w:rsidRPr="00600064">
        <w:t xml:space="preserve">) were based on </w:t>
      </w:r>
      <w:r w:rsidR="004650EC" w:rsidRPr="00600064">
        <w:t xml:space="preserve">published </w:t>
      </w:r>
      <w:r w:rsidRPr="00600064">
        <w:t xml:space="preserve">PBS list prices. Due to special pricing arrangements, the effective prices for these drugs are substantially lower. The impact of using the effective prices instead of the PBS list prices </w:t>
      </w:r>
      <w:r w:rsidR="00342491" w:rsidRPr="00600064">
        <w:t>wa</w:t>
      </w:r>
      <w:r w:rsidRPr="00600064">
        <w:t>s presented as Committee-in-Confidence.</w:t>
      </w:r>
      <w:r w:rsidR="00C9750F" w:rsidRPr="00600064">
        <w:t xml:space="preserve"> The sponsor noted that ultimately the nivolumab price “will need to be adjusted post PBAC approval taking into account the effective prices of </w:t>
      </w:r>
      <w:proofErr w:type="spellStart"/>
      <w:r w:rsidR="00C9750F" w:rsidRPr="00600064">
        <w:t>everolimus</w:t>
      </w:r>
      <w:proofErr w:type="spellEnd"/>
      <w:r w:rsidR="00C9750F" w:rsidRPr="00600064">
        <w:t xml:space="preserve">, </w:t>
      </w:r>
      <w:proofErr w:type="spellStart"/>
      <w:r w:rsidR="00C9750F" w:rsidRPr="00600064">
        <w:t>axitinib</w:t>
      </w:r>
      <w:proofErr w:type="spellEnd"/>
      <w:r w:rsidR="00C9750F" w:rsidRPr="00600064">
        <w:t xml:space="preserve"> and </w:t>
      </w:r>
      <w:proofErr w:type="spellStart"/>
      <w:r w:rsidR="00C9750F" w:rsidRPr="00600064">
        <w:t>sorafenib</w:t>
      </w:r>
      <w:proofErr w:type="spellEnd"/>
      <w:r w:rsidR="00C9750F" w:rsidRPr="00600064">
        <w:t>”.</w:t>
      </w:r>
      <w:r w:rsidR="00CF6B7B" w:rsidRPr="00600064">
        <w:t xml:space="preserve"> The ESC noted </w:t>
      </w:r>
      <w:r w:rsidR="0032399C" w:rsidRPr="00600064">
        <w:t xml:space="preserve">that </w:t>
      </w:r>
      <w:r w:rsidR="00CF6B7B" w:rsidRPr="00600064">
        <w:t xml:space="preserve">the </w:t>
      </w:r>
      <w:proofErr w:type="gramStart"/>
      <w:r w:rsidR="00CF6B7B" w:rsidRPr="00600064">
        <w:t xml:space="preserve">PSCR </w:t>
      </w:r>
      <w:r w:rsidR="0032399C" w:rsidRPr="00600064">
        <w:t xml:space="preserve"> </w:t>
      </w:r>
      <w:r w:rsidR="00CF6B7B" w:rsidRPr="00600064">
        <w:t>stated</w:t>
      </w:r>
      <w:proofErr w:type="gramEnd"/>
      <w:r w:rsidR="00CF6B7B" w:rsidRPr="00600064">
        <w:t xml:space="preserve"> that pri</w:t>
      </w:r>
      <w:r w:rsidR="00502040" w:rsidRPr="00600064">
        <w:t xml:space="preserve">ce negotiation would occur after a </w:t>
      </w:r>
      <w:r w:rsidR="00CF6B7B" w:rsidRPr="00600064">
        <w:t>positive PBAC recommendation.</w:t>
      </w:r>
      <w:r w:rsidR="00D33F76" w:rsidRPr="00600064">
        <w:t xml:space="preserve"> The PBAC </w:t>
      </w:r>
      <w:r w:rsidR="00B103B9" w:rsidRPr="00600064">
        <w:t xml:space="preserve">noted the </w:t>
      </w:r>
      <w:r w:rsidR="00CB6DCB" w:rsidRPr="00600064">
        <w:t>sponsors’</w:t>
      </w:r>
      <w:r w:rsidR="00B103B9" w:rsidRPr="00600064">
        <w:t xml:space="preserve"> </w:t>
      </w:r>
      <w:r w:rsidR="00922601" w:rsidRPr="00600064">
        <w:t xml:space="preserve">preparedness </w:t>
      </w:r>
      <w:r w:rsidR="00B103B9" w:rsidRPr="00600064">
        <w:t xml:space="preserve">to adjust </w:t>
      </w:r>
      <w:r w:rsidR="00922601" w:rsidRPr="00600064">
        <w:t xml:space="preserve">the nivolumab </w:t>
      </w:r>
      <w:r w:rsidR="00B103B9" w:rsidRPr="00600064">
        <w:t xml:space="preserve">prices </w:t>
      </w:r>
      <w:r w:rsidR="00922601" w:rsidRPr="00600064">
        <w:t xml:space="preserve">following a </w:t>
      </w:r>
      <w:r w:rsidR="00B103B9" w:rsidRPr="00600064">
        <w:t xml:space="preserve">PBAC </w:t>
      </w:r>
      <w:r w:rsidR="00922601" w:rsidRPr="00600064">
        <w:t>recommendation</w:t>
      </w:r>
      <w:r w:rsidR="00B103B9" w:rsidRPr="00600064">
        <w:t xml:space="preserve"> to take into account the effective prices of </w:t>
      </w:r>
      <w:proofErr w:type="spellStart"/>
      <w:r w:rsidR="00B103B9" w:rsidRPr="00600064">
        <w:t>everolimus</w:t>
      </w:r>
      <w:proofErr w:type="spellEnd"/>
      <w:r w:rsidR="00B103B9" w:rsidRPr="00600064">
        <w:t xml:space="preserve">, </w:t>
      </w:r>
      <w:proofErr w:type="spellStart"/>
      <w:r w:rsidR="00B103B9" w:rsidRPr="00600064">
        <w:t>axitinib</w:t>
      </w:r>
      <w:proofErr w:type="spellEnd"/>
      <w:r w:rsidR="00B103B9" w:rsidRPr="00600064">
        <w:t xml:space="preserve"> and </w:t>
      </w:r>
      <w:proofErr w:type="spellStart"/>
      <w:r w:rsidR="00B103B9" w:rsidRPr="00600064">
        <w:t>sorafenib</w:t>
      </w:r>
      <w:proofErr w:type="spellEnd"/>
      <w:r w:rsidR="00B103B9" w:rsidRPr="00600064">
        <w:t xml:space="preserve"> and agreed that this </w:t>
      </w:r>
      <w:r w:rsidR="00922601" w:rsidRPr="00600064">
        <w:t xml:space="preserve">reduction </w:t>
      </w:r>
      <w:r w:rsidR="00B103B9" w:rsidRPr="00600064">
        <w:t>would need to be reflected in the final pricing agreement between the Department and the sponsor.</w:t>
      </w:r>
    </w:p>
    <w:p w:rsidR="004012CA" w:rsidRPr="00600064" w:rsidRDefault="004012CA" w:rsidP="00C74BDD">
      <w:pPr>
        <w:widowControl/>
      </w:pPr>
    </w:p>
    <w:p w:rsidR="0034570E" w:rsidRPr="00600064" w:rsidRDefault="00126731" w:rsidP="0034570E">
      <w:pPr>
        <w:pStyle w:val="ListParagraph"/>
        <w:widowControl/>
        <w:numPr>
          <w:ilvl w:val="1"/>
          <w:numId w:val="4"/>
        </w:numPr>
      </w:pPr>
      <w:r w:rsidRPr="00600064">
        <w:t xml:space="preserve">Using </w:t>
      </w:r>
      <w:r w:rsidR="004650EC" w:rsidRPr="00600064">
        <w:t>RECIST-</w:t>
      </w:r>
      <w:r w:rsidR="00030BF9" w:rsidRPr="00600064">
        <w:t xml:space="preserve">defined </w:t>
      </w:r>
      <w:r w:rsidRPr="00600064">
        <w:t xml:space="preserve">PFS instead of clinical PFS to determine the outcomes and costs in both arms substantially reduced the ICER </w:t>
      </w:r>
      <w:r w:rsidR="0095313C" w:rsidRPr="00600064">
        <w:t xml:space="preserve">in the resubmission </w:t>
      </w:r>
      <w:r w:rsidRPr="00600064">
        <w:t xml:space="preserve">from </w:t>
      </w:r>
      <w:r w:rsidR="007A23D6">
        <w:t>$45,000/QALY - $75,000/</w:t>
      </w:r>
      <w:proofErr w:type="gramStart"/>
      <w:r w:rsidR="007A23D6">
        <w:t xml:space="preserve">QALY </w:t>
      </w:r>
      <w:r w:rsidR="00740B09" w:rsidRPr="00600064">
        <w:t xml:space="preserve"> (</w:t>
      </w:r>
      <w:proofErr w:type="gramEnd"/>
      <w:r w:rsidR="00740B09" w:rsidRPr="00600064">
        <w:t xml:space="preserve">base case from the </w:t>
      </w:r>
      <w:r w:rsidR="005430F6" w:rsidRPr="00600064">
        <w:t>March 2017</w:t>
      </w:r>
      <w:r w:rsidR="00740B09" w:rsidRPr="00600064">
        <w:t xml:space="preserve"> </w:t>
      </w:r>
      <w:r w:rsidR="005430F6" w:rsidRPr="00600064">
        <w:t>re</w:t>
      </w:r>
      <w:r w:rsidR="00740B09" w:rsidRPr="00600064">
        <w:t>submission)</w:t>
      </w:r>
      <w:r w:rsidRPr="00600064">
        <w:t xml:space="preserve"> to </w:t>
      </w:r>
      <w:r w:rsidR="007A23D6">
        <w:t>$45,000/QALY - $75,000/QALY</w:t>
      </w:r>
      <w:r w:rsidRPr="00600064">
        <w:t xml:space="preserve">. </w:t>
      </w:r>
      <w:r w:rsidR="00342491" w:rsidRPr="00600064">
        <w:t>T</w:t>
      </w:r>
      <w:r w:rsidRPr="00600064">
        <w:t>his decrease in the ICER reflect</w:t>
      </w:r>
      <w:r w:rsidR="00342491" w:rsidRPr="00600064">
        <w:t>ed</w:t>
      </w:r>
      <w:r w:rsidRPr="00600064">
        <w:t xml:space="preserve"> a decrease in costs and an earlier progression to the DP health state, reducing the modelled QALY gains. </w:t>
      </w:r>
      <w:r w:rsidR="00117449" w:rsidRPr="00600064">
        <w:t>The corresponding reduction in nivolumab drug costs was proportionally greater</w:t>
      </w:r>
      <w:r w:rsidR="00C90261" w:rsidRPr="00600064">
        <w:t xml:space="preserve"> than the reduction in QALYs gained. </w:t>
      </w:r>
      <w:r w:rsidRPr="00600064">
        <w:t>OS was not adjusted</w:t>
      </w:r>
      <w:r w:rsidR="00C90261" w:rsidRPr="00600064">
        <w:t xml:space="preserve"> even though a large number of patients in both arms continued with treatment beyond </w:t>
      </w:r>
      <w:r w:rsidR="00675CF5" w:rsidRPr="00600064">
        <w:t>REC</w:t>
      </w:r>
      <w:r w:rsidR="005F706D" w:rsidRPr="00600064">
        <w:t>I</w:t>
      </w:r>
      <w:r w:rsidR="00675CF5" w:rsidRPr="00600064">
        <w:t xml:space="preserve">ST-defined </w:t>
      </w:r>
      <w:r w:rsidR="00C90261" w:rsidRPr="00600064">
        <w:t xml:space="preserve">progression. The </w:t>
      </w:r>
      <w:r w:rsidRPr="00600064">
        <w:t xml:space="preserve">effect of </w:t>
      </w:r>
      <w:r w:rsidR="005F706D" w:rsidRPr="00600064">
        <w:t xml:space="preserve">assuming </w:t>
      </w:r>
      <w:r w:rsidRPr="00600064">
        <w:t xml:space="preserve">shorter treatment duration on OS </w:t>
      </w:r>
      <w:r w:rsidR="00342491" w:rsidRPr="00600064">
        <w:t>wa</w:t>
      </w:r>
      <w:r w:rsidR="00C90261" w:rsidRPr="00600064">
        <w:t>s</w:t>
      </w:r>
      <w:r w:rsidRPr="00600064">
        <w:t xml:space="preserve"> unknown.</w:t>
      </w:r>
      <w:r w:rsidR="00516872" w:rsidRPr="00600064">
        <w:t xml:space="preserve"> </w:t>
      </w:r>
      <w:r w:rsidR="00724643" w:rsidRPr="00600064">
        <w:t>If the nivolumab price from the resubmission w</w:t>
      </w:r>
      <w:r w:rsidR="00342491" w:rsidRPr="00600064">
        <w:t>as</w:t>
      </w:r>
      <w:r w:rsidR="00724643" w:rsidRPr="00600064">
        <w:t xml:space="preserve"> maintained in the resubmission-addendum</w:t>
      </w:r>
      <w:r w:rsidR="00CF6B7B" w:rsidRPr="00600064">
        <w:t xml:space="preserve"> (not adjusted for extrapolation issues)</w:t>
      </w:r>
      <w:r w:rsidR="00724643" w:rsidRPr="00600064">
        <w:t xml:space="preserve">, the resulting ICER would have been </w:t>
      </w:r>
      <w:r w:rsidR="007A23D6">
        <w:t>$45,000/QALY gained - $75,000/QALY gained</w:t>
      </w:r>
      <w:r w:rsidR="007A23D6" w:rsidRPr="00600064" w:rsidDel="007A23D6">
        <w:t xml:space="preserve"> </w:t>
      </w:r>
      <w:r w:rsidR="00724643" w:rsidRPr="00600064">
        <w:t xml:space="preserve">in the </w:t>
      </w:r>
      <w:r w:rsidR="00020B2D" w:rsidRPr="00600064">
        <w:t>“</w:t>
      </w:r>
      <w:r w:rsidR="00724643" w:rsidRPr="00600064">
        <w:t>sponsor amended base case</w:t>
      </w:r>
      <w:r w:rsidR="00020B2D" w:rsidRPr="00600064">
        <w:t>”</w:t>
      </w:r>
      <w:r w:rsidR="00724643" w:rsidRPr="00600064">
        <w:t>.</w:t>
      </w:r>
      <w:r w:rsidR="00583274" w:rsidRPr="00600064">
        <w:t xml:space="preserve"> This </w:t>
      </w:r>
      <w:r w:rsidR="00342491" w:rsidRPr="00600064">
        <w:t>wa</w:t>
      </w:r>
      <w:r w:rsidR="00583274" w:rsidRPr="00600064">
        <w:t xml:space="preserve">s more than the </w:t>
      </w:r>
      <w:r w:rsidR="001E61AE">
        <w:t xml:space="preserve">$15,000/QALY gained - $45,000/QALY </w:t>
      </w:r>
      <w:r w:rsidR="00D23E20" w:rsidRPr="00600064">
        <w:t xml:space="preserve">gained </w:t>
      </w:r>
      <w:r w:rsidR="00583274" w:rsidRPr="00600064">
        <w:t>in the RECIST-</w:t>
      </w:r>
      <w:r w:rsidR="00030BF9" w:rsidRPr="00600064">
        <w:t xml:space="preserve">defined </w:t>
      </w:r>
      <w:r w:rsidR="00583274" w:rsidRPr="00600064">
        <w:t>PFS sensitivity analysis in the resubmission</w:t>
      </w:r>
      <w:r w:rsidR="00D23E20" w:rsidRPr="00600064">
        <w:t xml:space="preserve">. The difference </w:t>
      </w:r>
      <w:r w:rsidR="00342491" w:rsidRPr="00600064">
        <w:t>wa</w:t>
      </w:r>
      <w:r w:rsidR="00D23E20" w:rsidRPr="00600064">
        <w:t>s due to removing the treatment cap in the resubmission-addendum.</w:t>
      </w:r>
      <w:r w:rsidR="00F9074C" w:rsidRPr="00600064">
        <w:t xml:space="preserve"> The ESC </w:t>
      </w:r>
      <w:r w:rsidR="0032399C" w:rsidRPr="00600064">
        <w:t>observed</w:t>
      </w:r>
      <w:r w:rsidR="00F9074C" w:rsidRPr="00600064">
        <w:t xml:space="preserve"> that modelling using RECIST</w:t>
      </w:r>
      <w:r w:rsidR="00514F6C" w:rsidRPr="00600064">
        <w:t>-defined</w:t>
      </w:r>
      <w:r w:rsidR="00F9074C" w:rsidRPr="00600064">
        <w:t xml:space="preserve"> PFS reduced the ICER in part due to the assumption that the </w:t>
      </w:r>
      <w:r w:rsidR="0032399C" w:rsidRPr="00600064">
        <w:t xml:space="preserve">incremental </w:t>
      </w:r>
      <w:r w:rsidR="00F9074C" w:rsidRPr="00600064">
        <w:t xml:space="preserve">benefits </w:t>
      </w:r>
      <w:r w:rsidR="0032399C" w:rsidRPr="00600064">
        <w:t>can be based on what was observed in the clinical trial whilst reducing the incremental costs by reducing the duration of treatment from what was observed in the clinical trial</w:t>
      </w:r>
      <w:r w:rsidR="00F9074C" w:rsidRPr="00600064">
        <w:t xml:space="preserve">. </w:t>
      </w:r>
      <w:r w:rsidR="00CB6DCB" w:rsidRPr="00600064">
        <w:t xml:space="preserve"> The PBAC acknowledged that using RECIST-defined PFS to limit costs without adjusting the survival outcome introduced </w:t>
      </w:r>
      <w:r w:rsidR="00342491" w:rsidRPr="00600064">
        <w:t>some</w:t>
      </w:r>
      <w:r w:rsidR="00CB6DCB" w:rsidRPr="00600064">
        <w:t xml:space="preserve"> uncertainty into the validity of the ICER however, </w:t>
      </w:r>
      <w:r w:rsidR="00342491" w:rsidRPr="00600064">
        <w:t>the committee</w:t>
      </w:r>
      <w:r w:rsidR="00CB6DCB" w:rsidRPr="00600064">
        <w:t xml:space="preserve"> reiterated that the use of RECIST-defined PFS be used to inform the costs of the model was appropriate.</w:t>
      </w:r>
    </w:p>
    <w:p w:rsidR="0034570E" w:rsidRPr="00600064" w:rsidRDefault="0034570E" w:rsidP="0034570E">
      <w:pPr>
        <w:rPr>
          <w:iCs/>
        </w:rPr>
      </w:pPr>
    </w:p>
    <w:p w:rsidR="00D94D72" w:rsidRPr="00600064" w:rsidRDefault="00D94D72" w:rsidP="008A0998">
      <w:pPr>
        <w:pStyle w:val="ListParagraph"/>
        <w:widowControl/>
        <w:numPr>
          <w:ilvl w:val="1"/>
          <w:numId w:val="4"/>
        </w:numPr>
      </w:pPr>
      <w:r w:rsidRPr="00600064">
        <w:rPr>
          <w:iCs/>
        </w:rPr>
        <w:t xml:space="preserve">In the </w:t>
      </w:r>
      <w:r w:rsidR="00CB6DCB" w:rsidRPr="00600064">
        <w:rPr>
          <w:iCs/>
        </w:rPr>
        <w:t xml:space="preserve">resubmission </w:t>
      </w:r>
      <w:r w:rsidRPr="00600064">
        <w:rPr>
          <w:iCs/>
        </w:rPr>
        <w:t xml:space="preserve">economic model, </w:t>
      </w:r>
      <w:r w:rsidR="0034570E" w:rsidRPr="00600064">
        <w:rPr>
          <w:iCs/>
        </w:rPr>
        <w:t xml:space="preserve">the average number of nivolumab infusions per patient </w:t>
      </w:r>
      <w:r w:rsidR="006208E8" w:rsidRPr="00600064">
        <w:rPr>
          <w:iCs/>
        </w:rPr>
        <w:t>was modelled at</w:t>
      </w:r>
      <w:r w:rsidR="0034570E" w:rsidRPr="00600064">
        <w:rPr>
          <w:iCs/>
        </w:rPr>
        <w:t xml:space="preserve"> </w:t>
      </w:r>
      <w:r w:rsidR="003A224F">
        <w:rPr>
          <w:iCs/>
          <w:noProof/>
          <w:color w:val="000000"/>
          <w:highlight w:val="black"/>
        </w:rPr>
        <w:t>''''''''''''''</w:t>
      </w:r>
      <w:r w:rsidR="008A0998" w:rsidRPr="00600064">
        <w:rPr>
          <w:iCs/>
        </w:rPr>
        <w:t xml:space="preserve"> (capped at </w:t>
      </w:r>
      <w:r w:rsidR="003A224F">
        <w:rPr>
          <w:iCs/>
          <w:noProof/>
          <w:color w:val="000000"/>
          <w:highlight w:val="black"/>
        </w:rPr>
        <w:t>''''''''''''</w:t>
      </w:r>
      <w:r w:rsidR="008A0998" w:rsidRPr="00600064">
        <w:rPr>
          <w:iCs/>
        </w:rPr>
        <w:t xml:space="preserve"> in the </w:t>
      </w:r>
      <w:r w:rsidR="00CB6DCB" w:rsidRPr="00600064">
        <w:rPr>
          <w:iCs/>
        </w:rPr>
        <w:t>resubmission</w:t>
      </w:r>
      <w:r w:rsidR="00740208" w:rsidRPr="00600064">
        <w:rPr>
          <w:iCs/>
        </w:rPr>
        <w:t>’s</w:t>
      </w:r>
      <w:r w:rsidR="00CB6DCB" w:rsidRPr="00600064">
        <w:rPr>
          <w:iCs/>
        </w:rPr>
        <w:t xml:space="preserve"> </w:t>
      </w:r>
      <w:r w:rsidR="008A0998" w:rsidRPr="00600064">
        <w:rPr>
          <w:iCs/>
        </w:rPr>
        <w:t xml:space="preserve">proposed risk </w:t>
      </w:r>
      <w:r w:rsidR="00A97101" w:rsidRPr="00600064">
        <w:rPr>
          <w:iCs/>
        </w:rPr>
        <w:t>sharing arrangement</w:t>
      </w:r>
      <w:r w:rsidR="008A0998" w:rsidRPr="00600064">
        <w:rPr>
          <w:iCs/>
        </w:rPr>
        <w:t>)</w:t>
      </w:r>
      <w:r w:rsidR="0034570E" w:rsidRPr="00600064">
        <w:rPr>
          <w:iCs/>
        </w:rPr>
        <w:t xml:space="preserve"> when using an 8-year time horizon</w:t>
      </w:r>
      <w:r w:rsidRPr="00600064">
        <w:rPr>
          <w:iCs/>
        </w:rPr>
        <w:t xml:space="preserve"> and patients being treated until clinical PFS. </w:t>
      </w:r>
      <w:r w:rsidR="00C57904" w:rsidRPr="00600064">
        <w:rPr>
          <w:iCs/>
        </w:rPr>
        <w:t>Based on the use of RECIST-</w:t>
      </w:r>
      <w:r w:rsidR="00030BF9" w:rsidRPr="00600064">
        <w:rPr>
          <w:iCs/>
        </w:rPr>
        <w:t xml:space="preserve">defined </w:t>
      </w:r>
      <w:r w:rsidR="00C57904" w:rsidRPr="00600064">
        <w:rPr>
          <w:iCs/>
        </w:rPr>
        <w:t>PFS as the basis for treatment duration, t</w:t>
      </w:r>
      <w:r w:rsidRPr="00600064">
        <w:rPr>
          <w:iCs/>
        </w:rPr>
        <w:t>he</w:t>
      </w:r>
      <w:r w:rsidR="0034570E" w:rsidRPr="00600064">
        <w:rPr>
          <w:iCs/>
        </w:rPr>
        <w:t xml:space="preserve"> average number of nivolumab infusions per patient was </w:t>
      </w:r>
      <w:r w:rsidR="006208E8" w:rsidRPr="00600064">
        <w:rPr>
          <w:iCs/>
        </w:rPr>
        <w:t xml:space="preserve">modelled at </w:t>
      </w:r>
      <w:r w:rsidR="003A224F">
        <w:rPr>
          <w:iCs/>
          <w:noProof/>
          <w:color w:val="000000"/>
          <w:highlight w:val="black"/>
        </w:rPr>
        <w:t>'''''''''''''''</w:t>
      </w:r>
      <w:r w:rsidR="0034570E" w:rsidRPr="00600064">
        <w:rPr>
          <w:iCs/>
        </w:rPr>
        <w:t xml:space="preserve"> when using an 8-year time horizon (</w:t>
      </w:r>
      <w:r w:rsidR="00020B2D" w:rsidRPr="00600064">
        <w:rPr>
          <w:iCs/>
        </w:rPr>
        <w:t>“</w:t>
      </w:r>
      <w:r w:rsidR="00715705" w:rsidRPr="00600064">
        <w:rPr>
          <w:iCs/>
        </w:rPr>
        <w:t>s</w:t>
      </w:r>
      <w:r w:rsidR="0034570E" w:rsidRPr="00600064">
        <w:rPr>
          <w:iCs/>
        </w:rPr>
        <w:t>ponsor amended base case</w:t>
      </w:r>
      <w:r w:rsidR="00020B2D" w:rsidRPr="00600064">
        <w:rPr>
          <w:iCs/>
        </w:rPr>
        <w:t>”</w:t>
      </w:r>
      <w:r w:rsidR="0034570E" w:rsidRPr="00600064">
        <w:rPr>
          <w:iCs/>
        </w:rPr>
        <w:t xml:space="preserve">) and </w:t>
      </w:r>
      <w:r w:rsidR="003A224F">
        <w:rPr>
          <w:iCs/>
          <w:noProof/>
          <w:color w:val="000000"/>
          <w:highlight w:val="black"/>
        </w:rPr>
        <w:t>'''''''''''''</w:t>
      </w:r>
      <w:r w:rsidR="0034570E" w:rsidRPr="00600064">
        <w:rPr>
          <w:iCs/>
        </w:rPr>
        <w:t xml:space="preserve"> when using a 5-year time horizon (</w:t>
      </w:r>
      <w:r w:rsidR="00020B2D" w:rsidRPr="00600064">
        <w:rPr>
          <w:iCs/>
        </w:rPr>
        <w:t>“</w:t>
      </w:r>
      <w:r w:rsidR="0034570E" w:rsidRPr="00600064">
        <w:rPr>
          <w:iCs/>
        </w:rPr>
        <w:t>PBAC amended base case</w:t>
      </w:r>
      <w:r w:rsidR="00020B2D" w:rsidRPr="00600064">
        <w:rPr>
          <w:iCs/>
        </w:rPr>
        <w:t>”</w:t>
      </w:r>
      <w:r w:rsidR="0034570E" w:rsidRPr="00600064">
        <w:rPr>
          <w:iCs/>
        </w:rPr>
        <w:t xml:space="preserve">). </w:t>
      </w:r>
      <w:r w:rsidR="006208E8" w:rsidRPr="00600064">
        <w:rPr>
          <w:iCs/>
        </w:rPr>
        <w:t xml:space="preserve">At </w:t>
      </w:r>
      <w:r w:rsidR="006208E8" w:rsidRPr="00600064">
        <w:rPr>
          <w:iCs/>
        </w:rPr>
        <w:lastRenderedPageBreak/>
        <w:t xml:space="preserve">the time of database lock on 11 May 2016, </w:t>
      </w:r>
      <w:r w:rsidR="003A224F">
        <w:rPr>
          <w:iCs/>
          <w:noProof/>
          <w:color w:val="000000"/>
          <w:highlight w:val="black"/>
        </w:rPr>
        <w:t>'''''''''''</w:t>
      </w:r>
      <w:r w:rsidR="006208E8" w:rsidRPr="00600064">
        <w:rPr>
          <w:iCs/>
        </w:rPr>
        <w:t xml:space="preserve">% of patients in the nivolumab treatment arm had discontinued therapy in the treatment period, and the mean number of nivolumab doses received was </w:t>
      </w:r>
      <w:r w:rsidR="003A224F">
        <w:rPr>
          <w:iCs/>
          <w:noProof/>
          <w:color w:val="000000"/>
          <w:highlight w:val="black"/>
        </w:rPr>
        <w:t>''''''''''''</w:t>
      </w:r>
      <w:r w:rsidR="00C57904" w:rsidRPr="00600064">
        <w:rPr>
          <w:iCs/>
        </w:rPr>
        <w:t xml:space="preserve"> (lower than the average number of infusions assumed in the economic analysis)</w:t>
      </w:r>
      <w:r w:rsidR="006208E8" w:rsidRPr="00600064">
        <w:rPr>
          <w:iCs/>
        </w:rPr>
        <w:t xml:space="preserve">. </w:t>
      </w:r>
      <w:r w:rsidR="00C57904" w:rsidRPr="00600064">
        <w:rPr>
          <w:iCs/>
        </w:rPr>
        <w:t xml:space="preserve">Based on the </w:t>
      </w:r>
      <w:r w:rsidR="00CF6B7B" w:rsidRPr="00600064">
        <w:rPr>
          <w:iCs/>
        </w:rPr>
        <w:t xml:space="preserve">adjusted </w:t>
      </w:r>
      <w:r w:rsidR="00C57904" w:rsidRPr="00600064">
        <w:rPr>
          <w:iCs/>
        </w:rPr>
        <w:t xml:space="preserve">PFS curve, </w:t>
      </w:r>
      <w:r w:rsidR="003A224F">
        <w:rPr>
          <w:iCs/>
          <w:noProof/>
          <w:color w:val="000000"/>
          <w:highlight w:val="black"/>
        </w:rPr>
        <w:t>''''''</w:t>
      </w:r>
      <w:r w:rsidR="00C57904" w:rsidRPr="00600064">
        <w:rPr>
          <w:iCs/>
        </w:rPr>
        <w:t>% of patients were progression</w:t>
      </w:r>
      <w:r w:rsidR="00FD5715" w:rsidRPr="00600064">
        <w:rPr>
          <w:iCs/>
        </w:rPr>
        <w:t>-</w:t>
      </w:r>
      <w:r w:rsidR="00C57904" w:rsidRPr="00600064">
        <w:rPr>
          <w:iCs/>
        </w:rPr>
        <w:t xml:space="preserve">free - and thus remained on treatment with nivolumab – in the model at 30 months. This </w:t>
      </w:r>
      <w:r w:rsidR="00342491" w:rsidRPr="00600064">
        <w:rPr>
          <w:iCs/>
        </w:rPr>
        <w:t>wa</w:t>
      </w:r>
      <w:r w:rsidR="00C57904" w:rsidRPr="00600064">
        <w:rPr>
          <w:iCs/>
        </w:rPr>
        <w:t xml:space="preserve">s consistent with the data on </w:t>
      </w:r>
      <w:r w:rsidR="00E47B5E" w:rsidRPr="00600064">
        <w:rPr>
          <w:iCs/>
        </w:rPr>
        <w:t>treatment duration presented in Figure 1.</w:t>
      </w:r>
    </w:p>
    <w:p w:rsidR="00BD39F1" w:rsidRPr="00600064" w:rsidRDefault="00BD39F1" w:rsidP="00BD39F1">
      <w:pPr>
        <w:widowControl/>
      </w:pPr>
    </w:p>
    <w:p w:rsidR="0034570E" w:rsidRPr="00600064" w:rsidRDefault="0034570E" w:rsidP="00AF49BA">
      <w:pPr>
        <w:pStyle w:val="ListParagraph"/>
        <w:widowControl/>
        <w:numPr>
          <w:ilvl w:val="1"/>
          <w:numId w:val="4"/>
        </w:numPr>
      </w:pPr>
      <w:r w:rsidRPr="00600064">
        <w:rPr>
          <w:iCs/>
        </w:rPr>
        <w:t>A sensitivity analysis was performed using the resubmission-addendum model to determine what the ICER would be in case patients were treated up to clinical PFS</w:t>
      </w:r>
      <w:r w:rsidR="00E26AF1" w:rsidRPr="00600064">
        <w:rPr>
          <w:iCs/>
        </w:rPr>
        <w:t xml:space="preserve"> consistent with </w:t>
      </w:r>
      <w:r w:rsidR="00E47B5E" w:rsidRPr="00600064">
        <w:rPr>
          <w:iCs/>
        </w:rPr>
        <w:t xml:space="preserve">study </w:t>
      </w:r>
      <w:r w:rsidR="00E26AF1" w:rsidRPr="00600064">
        <w:rPr>
          <w:iCs/>
        </w:rPr>
        <w:t>CA209025</w:t>
      </w:r>
      <w:r w:rsidRPr="00600064">
        <w:rPr>
          <w:iCs/>
        </w:rPr>
        <w:t xml:space="preserve"> (instead of RECIST</w:t>
      </w:r>
      <w:r w:rsidR="00E47B5E" w:rsidRPr="00600064">
        <w:rPr>
          <w:iCs/>
        </w:rPr>
        <w:t>-</w:t>
      </w:r>
      <w:r w:rsidR="00030BF9" w:rsidRPr="00600064">
        <w:rPr>
          <w:iCs/>
        </w:rPr>
        <w:t xml:space="preserve">defined </w:t>
      </w:r>
      <w:r w:rsidRPr="00600064">
        <w:rPr>
          <w:iCs/>
        </w:rPr>
        <w:t>PFS</w:t>
      </w:r>
      <w:r w:rsidR="00E26AF1" w:rsidRPr="00600064">
        <w:rPr>
          <w:iCs/>
        </w:rPr>
        <w:t xml:space="preserve"> consistent with the PBAC </w:t>
      </w:r>
      <w:proofErr w:type="spellStart"/>
      <w:r w:rsidR="00E26AF1" w:rsidRPr="00600064">
        <w:rPr>
          <w:iCs/>
        </w:rPr>
        <w:t>respecifications</w:t>
      </w:r>
      <w:proofErr w:type="spellEnd"/>
      <w:r w:rsidRPr="00600064">
        <w:rPr>
          <w:iCs/>
        </w:rPr>
        <w:t xml:space="preserve">) while maintaining the resubmission-addendum drug prices. This increased the ICER from </w:t>
      </w:r>
      <w:r w:rsidR="00027F44">
        <w:rPr>
          <w:iCs/>
        </w:rPr>
        <w:t>$75,000/QALY - $105,000/QALY</w:t>
      </w:r>
      <w:r w:rsidRPr="00600064">
        <w:rPr>
          <w:iCs/>
        </w:rPr>
        <w:t xml:space="preserve"> to </w:t>
      </w:r>
      <w:r w:rsidR="00027F44">
        <w:rPr>
          <w:iCs/>
        </w:rPr>
        <w:t>$</w:t>
      </w:r>
      <w:r w:rsidR="00A806D6">
        <w:rPr>
          <w:iCs/>
        </w:rPr>
        <w:t>10</w:t>
      </w:r>
      <w:r w:rsidR="00027F44">
        <w:rPr>
          <w:iCs/>
        </w:rPr>
        <w:t>5,000/QALY - $</w:t>
      </w:r>
      <w:r w:rsidR="00A806D6">
        <w:rPr>
          <w:iCs/>
        </w:rPr>
        <w:t>200</w:t>
      </w:r>
      <w:r w:rsidR="00027F44">
        <w:rPr>
          <w:iCs/>
        </w:rPr>
        <w:t>,000/QALY</w:t>
      </w:r>
      <w:r w:rsidR="00AF49BA" w:rsidRPr="00600064">
        <w:rPr>
          <w:iCs/>
        </w:rPr>
        <w:t xml:space="preserve"> </w:t>
      </w:r>
      <w:r w:rsidRPr="00600064">
        <w:rPr>
          <w:iCs/>
        </w:rPr>
        <w:t xml:space="preserve">in the </w:t>
      </w:r>
      <w:r w:rsidR="00020B2D" w:rsidRPr="00600064">
        <w:rPr>
          <w:iCs/>
        </w:rPr>
        <w:t>“</w:t>
      </w:r>
      <w:r w:rsidRPr="00600064">
        <w:rPr>
          <w:iCs/>
        </w:rPr>
        <w:t>PBAC amended base case</w:t>
      </w:r>
      <w:r w:rsidR="00020B2D" w:rsidRPr="00600064">
        <w:rPr>
          <w:iCs/>
        </w:rPr>
        <w:t>”</w:t>
      </w:r>
      <w:r w:rsidRPr="00600064">
        <w:rPr>
          <w:iCs/>
        </w:rPr>
        <w:t xml:space="preserve"> and </w:t>
      </w:r>
      <w:r w:rsidR="00AB204D" w:rsidRPr="00600064">
        <w:rPr>
          <w:iCs/>
        </w:rPr>
        <w:t xml:space="preserve">from </w:t>
      </w:r>
      <w:r w:rsidR="00A806D6">
        <w:rPr>
          <w:iCs/>
        </w:rPr>
        <w:t>$75,000/QALY - $105,000/QALY</w:t>
      </w:r>
      <w:r w:rsidR="00AF49BA" w:rsidRPr="00600064">
        <w:rPr>
          <w:iCs/>
        </w:rPr>
        <w:t xml:space="preserve"> </w:t>
      </w:r>
      <w:r w:rsidR="00AB204D" w:rsidRPr="00600064">
        <w:rPr>
          <w:iCs/>
        </w:rPr>
        <w:t xml:space="preserve">to </w:t>
      </w:r>
      <w:r w:rsidR="00A806D6">
        <w:rPr>
          <w:iCs/>
        </w:rPr>
        <w:t>$105,000/QALY - $200,000/QALY</w:t>
      </w:r>
      <w:r w:rsidR="00AF49BA" w:rsidRPr="00600064">
        <w:rPr>
          <w:iCs/>
        </w:rPr>
        <w:t xml:space="preserve"> </w:t>
      </w:r>
      <w:r w:rsidRPr="00600064">
        <w:rPr>
          <w:iCs/>
        </w:rPr>
        <w:t xml:space="preserve">in the </w:t>
      </w:r>
      <w:r w:rsidR="00020B2D" w:rsidRPr="00600064">
        <w:rPr>
          <w:iCs/>
        </w:rPr>
        <w:t>“</w:t>
      </w:r>
      <w:r w:rsidRPr="00600064">
        <w:rPr>
          <w:iCs/>
        </w:rPr>
        <w:t>sponsor amended base case</w:t>
      </w:r>
      <w:r w:rsidR="00020B2D" w:rsidRPr="00600064">
        <w:rPr>
          <w:iCs/>
        </w:rPr>
        <w:t>”</w:t>
      </w:r>
      <w:r w:rsidRPr="00600064">
        <w:rPr>
          <w:iCs/>
        </w:rPr>
        <w:t>.</w:t>
      </w:r>
      <w:r w:rsidR="00AF49BA" w:rsidRPr="00600064">
        <w:t xml:space="preserve"> </w:t>
      </w:r>
      <w:r w:rsidR="00AF49BA" w:rsidRPr="00600064">
        <w:rPr>
          <w:iCs/>
        </w:rPr>
        <w:t>Using treatment cessation (from digitised CSR data) duration instead of RECIST-</w:t>
      </w:r>
      <w:r w:rsidR="00514F6C" w:rsidRPr="00600064">
        <w:rPr>
          <w:iCs/>
        </w:rPr>
        <w:t xml:space="preserve">defined </w:t>
      </w:r>
      <w:r w:rsidR="00AF49BA" w:rsidRPr="00600064">
        <w:rPr>
          <w:iCs/>
        </w:rPr>
        <w:t xml:space="preserve">PFS to determine drug use increased the ICER (using the adjusted extrapolations) from </w:t>
      </w:r>
      <w:r w:rsidR="00A806D6">
        <w:rPr>
          <w:iCs/>
        </w:rPr>
        <w:t>$75,000/QALY - $105,000/QALY</w:t>
      </w:r>
      <w:r w:rsidR="00AF49BA" w:rsidRPr="00600064">
        <w:rPr>
          <w:iCs/>
        </w:rPr>
        <w:t xml:space="preserve"> to </w:t>
      </w:r>
      <w:r w:rsidR="000C675A">
        <w:rPr>
          <w:iCs/>
        </w:rPr>
        <w:t>$105,000/QALY to $200,000/QALY</w:t>
      </w:r>
      <w:r w:rsidR="00AF49BA" w:rsidRPr="00600064">
        <w:rPr>
          <w:iCs/>
        </w:rPr>
        <w:t xml:space="preserve"> for the </w:t>
      </w:r>
      <w:r w:rsidR="00020B2D" w:rsidRPr="00600064">
        <w:rPr>
          <w:iCs/>
        </w:rPr>
        <w:t>“</w:t>
      </w:r>
      <w:r w:rsidR="00AF49BA" w:rsidRPr="00600064">
        <w:rPr>
          <w:iCs/>
        </w:rPr>
        <w:t>PBAC amended base case</w:t>
      </w:r>
      <w:r w:rsidR="00020B2D" w:rsidRPr="00600064">
        <w:rPr>
          <w:iCs/>
        </w:rPr>
        <w:t>”</w:t>
      </w:r>
      <w:r w:rsidR="00AF49BA" w:rsidRPr="00600064">
        <w:rPr>
          <w:iCs/>
        </w:rPr>
        <w:t xml:space="preserve"> and from </w:t>
      </w:r>
      <w:r w:rsidR="00463330">
        <w:rPr>
          <w:iCs/>
        </w:rPr>
        <w:t>$75,000/QALY - $105,000/QALY</w:t>
      </w:r>
      <w:r w:rsidR="00AF49BA" w:rsidRPr="00600064">
        <w:rPr>
          <w:iCs/>
        </w:rPr>
        <w:t xml:space="preserve"> to </w:t>
      </w:r>
      <w:r w:rsidR="00463330">
        <w:rPr>
          <w:iCs/>
        </w:rPr>
        <w:t>$105,000/QALY - $200,000/QALY</w:t>
      </w:r>
      <w:r w:rsidR="00AF49BA" w:rsidRPr="00600064">
        <w:rPr>
          <w:iCs/>
        </w:rPr>
        <w:t xml:space="preserve"> for the </w:t>
      </w:r>
      <w:r w:rsidR="00020B2D" w:rsidRPr="00600064">
        <w:rPr>
          <w:iCs/>
        </w:rPr>
        <w:t>“s</w:t>
      </w:r>
      <w:r w:rsidR="00AF49BA" w:rsidRPr="00600064">
        <w:rPr>
          <w:iCs/>
        </w:rPr>
        <w:t>ponsor amended base case</w:t>
      </w:r>
      <w:r w:rsidR="00020B2D" w:rsidRPr="00600064">
        <w:rPr>
          <w:iCs/>
        </w:rPr>
        <w:t>”</w:t>
      </w:r>
      <w:r w:rsidR="00AF49BA" w:rsidRPr="00600064">
        <w:rPr>
          <w:iCs/>
        </w:rPr>
        <w:t>.</w:t>
      </w:r>
      <w:r w:rsidRPr="00600064">
        <w:rPr>
          <w:iCs/>
        </w:rPr>
        <w:t xml:space="preserve"> </w:t>
      </w:r>
      <w:r w:rsidR="008A0998" w:rsidRPr="00600064">
        <w:t xml:space="preserve">The PBAC </w:t>
      </w:r>
      <w:r w:rsidR="00342491" w:rsidRPr="00600064">
        <w:t>considered</w:t>
      </w:r>
      <w:r w:rsidR="008A0998" w:rsidRPr="00600064">
        <w:t xml:space="preserve"> that patients should not be treated beyond progression except in cases where pseudo-progression was suspected and </w:t>
      </w:r>
      <w:r w:rsidR="00342491" w:rsidRPr="00600064">
        <w:t>reco</w:t>
      </w:r>
      <w:r w:rsidR="00CC4B03" w:rsidRPr="00600064">
        <w:t>m</w:t>
      </w:r>
      <w:r w:rsidR="00342491" w:rsidRPr="00600064">
        <w:t>mended</w:t>
      </w:r>
      <w:r w:rsidR="007118CD" w:rsidRPr="00600064">
        <w:t xml:space="preserve"> </w:t>
      </w:r>
      <w:r w:rsidR="008A0998" w:rsidRPr="00600064">
        <w:t xml:space="preserve">that </w:t>
      </w:r>
      <w:r w:rsidR="00740208" w:rsidRPr="00600064">
        <w:t xml:space="preserve">the calculation </w:t>
      </w:r>
      <w:r w:rsidR="007118CD" w:rsidRPr="00600064">
        <w:t xml:space="preserve">of </w:t>
      </w:r>
      <w:r w:rsidR="003D6AD7" w:rsidRPr="00600064">
        <w:t>the proposed</w:t>
      </w:r>
      <w:r w:rsidR="008A0998" w:rsidRPr="00600064">
        <w:t xml:space="preserve"> risk shar</w:t>
      </w:r>
      <w:r w:rsidR="00A97101" w:rsidRPr="00600064">
        <w:t>ing arrangement caps reflect</w:t>
      </w:r>
      <w:r w:rsidR="008A0998" w:rsidRPr="00600064">
        <w:t xml:space="preserve"> the </w:t>
      </w:r>
      <w:r w:rsidR="003A224F">
        <w:rPr>
          <w:noProof/>
          <w:color w:val="000000"/>
          <w:highlight w:val="black"/>
        </w:rPr>
        <w:t>'''''''''''''''</w:t>
      </w:r>
      <w:r w:rsidR="00CC4B03" w:rsidRPr="00600064">
        <w:t xml:space="preserve"> nivolumab infusions </w:t>
      </w:r>
      <w:r w:rsidR="008A0998" w:rsidRPr="00600064">
        <w:t>per patient as</w:t>
      </w:r>
      <w:r w:rsidR="00A6263E" w:rsidRPr="00600064">
        <w:t xml:space="preserve"> per the </w:t>
      </w:r>
      <w:r w:rsidR="00020B2D" w:rsidRPr="00600064">
        <w:t>“</w:t>
      </w:r>
      <w:r w:rsidR="00A6263E" w:rsidRPr="00600064">
        <w:t>PBAC amended base case</w:t>
      </w:r>
      <w:r w:rsidR="00020B2D" w:rsidRPr="00600064">
        <w:t>”</w:t>
      </w:r>
      <w:r w:rsidR="00A6263E" w:rsidRPr="00600064">
        <w:t>.</w:t>
      </w:r>
    </w:p>
    <w:p w:rsidR="00126731" w:rsidRPr="00600064" w:rsidRDefault="00126731" w:rsidP="00126731">
      <w:pPr>
        <w:widowControl/>
      </w:pPr>
    </w:p>
    <w:p w:rsidR="004012CA" w:rsidRPr="00600064" w:rsidRDefault="006276C3" w:rsidP="00A6263E">
      <w:pPr>
        <w:pStyle w:val="ListParagraph"/>
        <w:widowControl/>
        <w:numPr>
          <w:ilvl w:val="1"/>
          <w:numId w:val="4"/>
        </w:numPr>
      </w:pPr>
      <w:r w:rsidRPr="00600064">
        <w:t>T</w:t>
      </w:r>
      <w:r w:rsidR="004012CA" w:rsidRPr="00600064">
        <w:t xml:space="preserve">he </w:t>
      </w:r>
      <w:r w:rsidRPr="00600064">
        <w:t xml:space="preserve">nivolumab 100 mg vial price in the </w:t>
      </w:r>
      <w:r w:rsidR="004012CA" w:rsidRPr="00600064">
        <w:rPr>
          <w:szCs w:val="22"/>
        </w:rPr>
        <w:t>resubmission</w:t>
      </w:r>
      <w:r w:rsidR="004012CA" w:rsidRPr="00600064">
        <w:t xml:space="preserve"> </w:t>
      </w:r>
      <w:r w:rsidRPr="00600064">
        <w:t xml:space="preserve">was </w:t>
      </w:r>
      <w:r w:rsidR="008B798A" w:rsidRPr="00600064">
        <w:t>a minimum of $</w:t>
      </w:r>
      <w:r w:rsidR="003A224F">
        <w:rPr>
          <w:noProof/>
          <w:color w:val="000000"/>
          <w:highlight w:val="black"/>
        </w:rPr>
        <w:t>''''''''''''''''''''</w:t>
      </w:r>
      <w:r w:rsidR="004012CA" w:rsidRPr="00600064">
        <w:t xml:space="preserve">. </w:t>
      </w:r>
      <w:r w:rsidRPr="00600064">
        <w:t>The nivolumab 100 mg vial price i</w:t>
      </w:r>
      <w:r w:rsidR="004012CA" w:rsidRPr="00600064">
        <w:t xml:space="preserve">n the resubmission-addendum </w:t>
      </w:r>
      <w:r w:rsidRPr="00600064">
        <w:t xml:space="preserve">was </w:t>
      </w:r>
      <w:r w:rsidR="004012CA" w:rsidRPr="00600064">
        <w:t>$</w:t>
      </w:r>
      <w:r w:rsidR="003A224F">
        <w:rPr>
          <w:noProof/>
          <w:color w:val="000000"/>
          <w:highlight w:val="black"/>
        </w:rPr>
        <w:t>''''''''''''''''''''''</w:t>
      </w:r>
      <w:r w:rsidR="004012CA" w:rsidRPr="00600064">
        <w:t xml:space="preserve"> in the </w:t>
      </w:r>
      <w:r w:rsidR="00020B2D" w:rsidRPr="00600064">
        <w:t>“</w:t>
      </w:r>
      <w:r w:rsidR="004012CA" w:rsidRPr="00600064">
        <w:t>sponsor amended base case</w:t>
      </w:r>
      <w:r w:rsidR="00020B2D" w:rsidRPr="00600064">
        <w:t>”</w:t>
      </w:r>
      <w:r w:rsidR="004012CA" w:rsidRPr="00600064">
        <w:t xml:space="preserve"> and $</w:t>
      </w:r>
      <w:r w:rsidR="003A224F">
        <w:rPr>
          <w:noProof/>
          <w:color w:val="000000"/>
          <w:highlight w:val="black"/>
        </w:rPr>
        <w:t>''''''''''''''''''''</w:t>
      </w:r>
      <w:r w:rsidR="004012CA" w:rsidRPr="00600064">
        <w:t xml:space="preserve"> in the </w:t>
      </w:r>
      <w:r w:rsidR="00020B2D" w:rsidRPr="00600064">
        <w:t>“</w:t>
      </w:r>
      <w:r w:rsidR="004012CA" w:rsidRPr="00600064">
        <w:t>PBAC amended base case</w:t>
      </w:r>
      <w:r w:rsidR="00020B2D" w:rsidRPr="00600064">
        <w:t>”</w:t>
      </w:r>
      <w:r w:rsidR="004012CA" w:rsidRPr="00600064">
        <w:t xml:space="preserve">, “to achieve the target ICER” of </w:t>
      </w:r>
      <w:r w:rsidR="003E07B9">
        <w:t>$45,000/QALY gained - $75,000/QALY gained</w:t>
      </w:r>
      <w:r w:rsidR="004012CA" w:rsidRPr="00600064">
        <w:t>. This assume</w:t>
      </w:r>
      <w:r w:rsidRPr="00600064">
        <w:t>d</w:t>
      </w:r>
      <w:r w:rsidR="004012CA" w:rsidRPr="00600064">
        <w:t xml:space="preserve"> that the PBAC had intended that ICER as a target rather than as a maximum, while the July 2016 PBAC meeting minutes specify the use of a “back-calculated effective price of nivolumab to give the submission’s base case ICER/QALY of no greater than </w:t>
      </w:r>
      <w:r w:rsidR="000E69C3">
        <w:t>$45,000/QALY - $75,000/QALY</w:t>
      </w:r>
      <w:r w:rsidR="004012CA" w:rsidRPr="00600064">
        <w:t xml:space="preserve">”. If the nivolumab price from the resubmission </w:t>
      </w:r>
      <w:r w:rsidR="00CF559E" w:rsidRPr="00600064">
        <w:t>were</w:t>
      </w:r>
      <w:r w:rsidR="004012CA" w:rsidRPr="00600064">
        <w:t xml:space="preserve"> maintained in the resubmission-addendum, the resulting ICER would have been</w:t>
      </w:r>
      <w:r w:rsidR="00E24E41" w:rsidRPr="00600064">
        <w:t xml:space="preserve"> lower than </w:t>
      </w:r>
      <w:r w:rsidR="00F26CE8">
        <w:t>$45,000/QALY - $75,000/QALY</w:t>
      </w:r>
      <w:r w:rsidR="00E24E41" w:rsidRPr="00600064">
        <w:t xml:space="preserve"> in both the </w:t>
      </w:r>
      <w:r w:rsidR="00020B2D" w:rsidRPr="00600064">
        <w:t>“</w:t>
      </w:r>
      <w:r w:rsidR="00E24E41" w:rsidRPr="00600064">
        <w:t xml:space="preserve">PBAC amended </w:t>
      </w:r>
      <w:r w:rsidR="00020B2D" w:rsidRPr="00600064">
        <w:t xml:space="preserve">base case” </w:t>
      </w:r>
      <w:r w:rsidR="00E24E41" w:rsidRPr="00600064">
        <w:t xml:space="preserve">and </w:t>
      </w:r>
      <w:r w:rsidR="00020B2D" w:rsidRPr="00600064">
        <w:t>the “</w:t>
      </w:r>
      <w:r w:rsidR="00E24E41" w:rsidRPr="00600064">
        <w:t>sponsor amended base case</w:t>
      </w:r>
      <w:r w:rsidR="00020B2D" w:rsidRPr="00600064">
        <w:t>”</w:t>
      </w:r>
      <w:r w:rsidR="00E24E41" w:rsidRPr="00600064">
        <w:t>.</w:t>
      </w:r>
      <w:r w:rsidR="00A6263E" w:rsidRPr="00600064">
        <w:t xml:space="preserve"> The PBAC </w:t>
      </w:r>
      <w:r w:rsidR="002C1218" w:rsidRPr="00600064">
        <w:t xml:space="preserve">advised </w:t>
      </w:r>
      <w:r w:rsidR="00A6263E" w:rsidRPr="00600064">
        <w:t xml:space="preserve">that the price per vial of nivolumab would </w:t>
      </w:r>
      <w:r w:rsidR="002C1218" w:rsidRPr="00600064">
        <w:t xml:space="preserve">need </w:t>
      </w:r>
      <w:r w:rsidR="00A6263E" w:rsidRPr="00600064">
        <w:t>to be back calculated to achieve an ICER of ≤</w:t>
      </w:r>
      <w:r w:rsidR="002C1218" w:rsidRPr="00600064">
        <w:t> </w:t>
      </w:r>
      <w:r w:rsidR="00081B8F">
        <w:t>$45,000/QALY - $75,000/QALY</w:t>
      </w:r>
      <w:r w:rsidR="00A6263E" w:rsidRPr="00600064">
        <w:t xml:space="preserve">, using the effective prices of </w:t>
      </w:r>
      <w:proofErr w:type="spellStart"/>
      <w:r w:rsidR="00A6263E" w:rsidRPr="00600064">
        <w:t>everolimus</w:t>
      </w:r>
      <w:proofErr w:type="spellEnd"/>
      <w:r w:rsidR="00A6263E" w:rsidRPr="00600064">
        <w:t xml:space="preserve">, </w:t>
      </w:r>
      <w:proofErr w:type="spellStart"/>
      <w:r w:rsidR="00A6263E" w:rsidRPr="00600064">
        <w:t>axitinib</w:t>
      </w:r>
      <w:proofErr w:type="spellEnd"/>
      <w:r w:rsidR="00A6263E" w:rsidRPr="00600064">
        <w:t xml:space="preserve"> and </w:t>
      </w:r>
      <w:proofErr w:type="spellStart"/>
      <w:r w:rsidR="00A6263E" w:rsidRPr="00600064">
        <w:t>sorafenib</w:t>
      </w:r>
      <w:proofErr w:type="spellEnd"/>
      <w:r w:rsidR="00A6263E" w:rsidRPr="00600064">
        <w:t>.</w:t>
      </w:r>
    </w:p>
    <w:p w:rsidR="004012CA" w:rsidRPr="00600064" w:rsidRDefault="004012CA" w:rsidP="004012CA"/>
    <w:p w:rsidR="006D578F" w:rsidRPr="00600064" w:rsidRDefault="00B472B0" w:rsidP="00CF559E">
      <w:pPr>
        <w:pStyle w:val="Heading2"/>
      </w:pPr>
      <w:bookmarkStart w:id="15" w:name="_Toc472509760"/>
      <w:r w:rsidRPr="00600064">
        <w:rPr>
          <w:i/>
        </w:rPr>
        <w:t>Drug cost/patient/</w:t>
      </w:r>
      <w:r w:rsidR="00C25D9C" w:rsidRPr="00600064">
        <w:rPr>
          <w:i/>
        </w:rPr>
        <w:t>course: $</w:t>
      </w:r>
      <w:r w:rsidR="003A224F">
        <w:rPr>
          <w:i/>
          <w:noProof/>
          <w:color w:val="000000"/>
          <w:highlight w:val="black"/>
        </w:rPr>
        <w:t>''''''''''''''''''''</w:t>
      </w:r>
      <w:r w:rsidR="00C25D9C" w:rsidRPr="00600064">
        <w:rPr>
          <w:i/>
        </w:rPr>
        <w:t>.</w:t>
      </w:r>
      <w:bookmarkEnd w:id="15"/>
    </w:p>
    <w:p w:rsidR="00B53553" w:rsidRPr="00600064" w:rsidRDefault="00B53553" w:rsidP="00B53553">
      <w:pPr>
        <w:widowControl/>
        <w:rPr>
          <w:szCs w:val="22"/>
        </w:rPr>
      </w:pPr>
    </w:p>
    <w:p w:rsidR="00C90261" w:rsidRPr="00600064" w:rsidRDefault="00C90261" w:rsidP="00A6263E">
      <w:pPr>
        <w:pStyle w:val="ListParagraph"/>
        <w:widowControl/>
        <w:numPr>
          <w:ilvl w:val="1"/>
          <w:numId w:val="4"/>
        </w:numPr>
        <w:rPr>
          <w:szCs w:val="22"/>
        </w:rPr>
      </w:pPr>
      <w:r w:rsidRPr="00600064">
        <w:rPr>
          <w:szCs w:val="22"/>
        </w:rPr>
        <w:t xml:space="preserve">Table 14 below provides a summary of </w:t>
      </w:r>
      <w:r w:rsidR="0095313C" w:rsidRPr="00600064">
        <w:rPr>
          <w:szCs w:val="22"/>
        </w:rPr>
        <w:t xml:space="preserve">the </w:t>
      </w:r>
      <w:r w:rsidRPr="00600064">
        <w:rPr>
          <w:szCs w:val="22"/>
        </w:rPr>
        <w:t xml:space="preserve">estimated drug cost per patient per course based on the </w:t>
      </w:r>
      <w:r w:rsidR="00B06AE6" w:rsidRPr="00600064">
        <w:rPr>
          <w:szCs w:val="22"/>
        </w:rPr>
        <w:t xml:space="preserve">March </w:t>
      </w:r>
      <w:r w:rsidR="0095313C" w:rsidRPr="00600064">
        <w:rPr>
          <w:szCs w:val="22"/>
        </w:rPr>
        <w:t>201</w:t>
      </w:r>
      <w:r w:rsidR="00B06AE6" w:rsidRPr="00600064">
        <w:rPr>
          <w:szCs w:val="22"/>
        </w:rPr>
        <w:t>7</w:t>
      </w:r>
      <w:r w:rsidR="0095313C" w:rsidRPr="00600064">
        <w:rPr>
          <w:szCs w:val="22"/>
        </w:rPr>
        <w:t xml:space="preserve"> </w:t>
      </w:r>
      <w:r w:rsidRPr="00600064">
        <w:rPr>
          <w:szCs w:val="22"/>
        </w:rPr>
        <w:t>resubmission and resubmission</w:t>
      </w:r>
      <w:r w:rsidR="008E6761" w:rsidRPr="00600064">
        <w:rPr>
          <w:szCs w:val="22"/>
        </w:rPr>
        <w:t>-addendum</w:t>
      </w:r>
      <w:r w:rsidRPr="00600064">
        <w:rPr>
          <w:szCs w:val="22"/>
        </w:rPr>
        <w:t xml:space="preserve">. The cost per course of treatment in the resubmission increased from that in the </w:t>
      </w:r>
      <w:r w:rsidR="00740B09" w:rsidRPr="00600064">
        <w:rPr>
          <w:szCs w:val="22"/>
        </w:rPr>
        <w:t xml:space="preserve">July </w:t>
      </w:r>
      <w:r w:rsidRPr="00600064">
        <w:rPr>
          <w:szCs w:val="22"/>
        </w:rPr>
        <w:t xml:space="preserve">2016 submission </w:t>
      </w:r>
      <w:r w:rsidR="008E6761" w:rsidRPr="00600064">
        <w:rPr>
          <w:szCs w:val="22"/>
        </w:rPr>
        <w:t>($</w:t>
      </w:r>
      <w:r w:rsidR="003A224F">
        <w:rPr>
          <w:noProof/>
          <w:color w:val="000000"/>
          <w:szCs w:val="22"/>
          <w:highlight w:val="black"/>
        </w:rPr>
        <w:t>'''''''''''''''''''''''''</w:t>
      </w:r>
      <w:r w:rsidR="008E6761" w:rsidRPr="00600064">
        <w:rPr>
          <w:szCs w:val="22"/>
        </w:rPr>
        <w:t>)</w:t>
      </w:r>
      <w:r w:rsidR="008E6761" w:rsidRPr="00600064">
        <w:rPr>
          <w:rFonts w:ascii="Arial Narrow" w:hAnsi="Arial Narrow"/>
          <w:sz w:val="20"/>
        </w:rPr>
        <w:t xml:space="preserve"> </w:t>
      </w:r>
      <w:r w:rsidRPr="00600064">
        <w:rPr>
          <w:szCs w:val="22"/>
        </w:rPr>
        <w:t xml:space="preserve">due to the increase in </w:t>
      </w:r>
      <w:r w:rsidR="008E6761" w:rsidRPr="00600064">
        <w:rPr>
          <w:szCs w:val="22"/>
        </w:rPr>
        <w:t>the number of infusions patients were assumed to receive</w:t>
      </w:r>
      <w:r w:rsidRPr="00600064">
        <w:rPr>
          <w:szCs w:val="22"/>
        </w:rPr>
        <w:t xml:space="preserve">. In </w:t>
      </w:r>
      <w:r w:rsidR="0069655D" w:rsidRPr="00600064">
        <w:rPr>
          <w:szCs w:val="22"/>
        </w:rPr>
        <w:t>the</w:t>
      </w:r>
      <w:r w:rsidRPr="00600064">
        <w:rPr>
          <w:szCs w:val="22"/>
        </w:rPr>
        <w:t xml:space="preserve"> proposed risk shar</w:t>
      </w:r>
      <w:r w:rsidR="00A97101" w:rsidRPr="00600064">
        <w:rPr>
          <w:szCs w:val="22"/>
        </w:rPr>
        <w:t>ing</w:t>
      </w:r>
      <w:r w:rsidRPr="00600064">
        <w:rPr>
          <w:szCs w:val="22"/>
        </w:rPr>
        <w:t xml:space="preserve"> arrangement</w:t>
      </w:r>
      <w:r w:rsidR="0095313C" w:rsidRPr="00600064">
        <w:rPr>
          <w:szCs w:val="22"/>
        </w:rPr>
        <w:t xml:space="preserve"> </w:t>
      </w:r>
      <w:r w:rsidR="0069655D" w:rsidRPr="00600064">
        <w:rPr>
          <w:szCs w:val="22"/>
        </w:rPr>
        <w:t xml:space="preserve">detailed </w:t>
      </w:r>
      <w:r w:rsidR="0095313C" w:rsidRPr="00600064">
        <w:rPr>
          <w:szCs w:val="22"/>
        </w:rPr>
        <w:t>in the resubmission</w:t>
      </w:r>
      <w:r w:rsidRPr="00600064">
        <w:rPr>
          <w:szCs w:val="22"/>
        </w:rPr>
        <w:t xml:space="preserve">, the sponsor had proposed to cap the costs of the number of nivolumab infusions at </w:t>
      </w:r>
      <w:r w:rsidR="003A224F">
        <w:rPr>
          <w:noProof/>
          <w:color w:val="000000"/>
          <w:szCs w:val="22"/>
          <w:highlight w:val="black"/>
        </w:rPr>
        <w:t>''''''''''''''</w:t>
      </w:r>
      <w:r w:rsidRPr="00600064">
        <w:rPr>
          <w:szCs w:val="22"/>
        </w:rPr>
        <w:t xml:space="preserve"> in order to meet the required ICER target. </w:t>
      </w:r>
      <w:r w:rsidR="00F9453B" w:rsidRPr="00600064">
        <w:rPr>
          <w:szCs w:val="22"/>
        </w:rPr>
        <w:t>Within the</w:t>
      </w:r>
      <w:r w:rsidRPr="00600064">
        <w:rPr>
          <w:szCs w:val="22"/>
        </w:rPr>
        <w:t xml:space="preserve"> </w:t>
      </w:r>
      <w:r w:rsidR="008E6761" w:rsidRPr="00600064">
        <w:rPr>
          <w:szCs w:val="22"/>
        </w:rPr>
        <w:t>resubmission-</w:t>
      </w:r>
      <w:r w:rsidRPr="00600064">
        <w:rPr>
          <w:szCs w:val="22"/>
        </w:rPr>
        <w:t xml:space="preserve">addendum </w:t>
      </w:r>
      <w:r w:rsidR="00F9453B" w:rsidRPr="00600064">
        <w:rPr>
          <w:szCs w:val="22"/>
        </w:rPr>
        <w:t xml:space="preserve">this cap was removed, and </w:t>
      </w:r>
      <w:r w:rsidRPr="00600064">
        <w:rPr>
          <w:szCs w:val="22"/>
        </w:rPr>
        <w:t>RECIST-</w:t>
      </w:r>
      <w:r w:rsidR="00030BF9" w:rsidRPr="00600064">
        <w:rPr>
          <w:szCs w:val="22"/>
        </w:rPr>
        <w:t xml:space="preserve">defined </w:t>
      </w:r>
      <w:r w:rsidRPr="00600064">
        <w:rPr>
          <w:szCs w:val="22"/>
        </w:rPr>
        <w:t>PFS</w:t>
      </w:r>
      <w:r w:rsidR="00F9453B" w:rsidRPr="00600064">
        <w:rPr>
          <w:szCs w:val="22"/>
        </w:rPr>
        <w:t xml:space="preserve"> used as </w:t>
      </w:r>
      <w:r w:rsidR="00F9453B" w:rsidRPr="00600064">
        <w:rPr>
          <w:szCs w:val="22"/>
        </w:rPr>
        <w:lastRenderedPageBreak/>
        <w:t xml:space="preserve">the basis to determine treatment duration. While this resulted in fewer infusions per patient, the resulting cost per course remained higher than in the </w:t>
      </w:r>
      <w:r w:rsidR="00B06AE6" w:rsidRPr="00600064">
        <w:rPr>
          <w:szCs w:val="22"/>
        </w:rPr>
        <w:t xml:space="preserve">July </w:t>
      </w:r>
      <w:r w:rsidR="00F9453B" w:rsidRPr="00600064">
        <w:rPr>
          <w:szCs w:val="22"/>
        </w:rPr>
        <w:t>2016 submission due to the higher prices proposed in the resubmission-addendum.</w:t>
      </w:r>
      <w:r w:rsidR="00A6263E" w:rsidRPr="00600064">
        <w:rPr>
          <w:szCs w:val="22"/>
        </w:rPr>
        <w:t xml:space="preserve"> The PBAC noted that the cost per patient would reduce upon back calculation of the vial price of nivolumab using the effective prices of </w:t>
      </w:r>
      <w:proofErr w:type="spellStart"/>
      <w:r w:rsidR="00A6263E" w:rsidRPr="00600064">
        <w:rPr>
          <w:szCs w:val="22"/>
        </w:rPr>
        <w:t>everolimus</w:t>
      </w:r>
      <w:proofErr w:type="spellEnd"/>
      <w:r w:rsidR="00A6263E" w:rsidRPr="00600064">
        <w:rPr>
          <w:szCs w:val="22"/>
        </w:rPr>
        <w:t xml:space="preserve">, </w:t>
      </w:r>
      <w:proofErr w:type="spellStart"/>
      <w:r w:rsidR="00A6263E" w:rsidRPr="00600064">
        <w:rPr>
          <w:szCs w:val="22"/>
        </w:rPr>
        <w:t>axitinib</w:t>
      </w:r>
      <w:proofErr w:type="spellEnd"/>
      <w:r w:rsidR="00A6263E" w:rsidRPr="00600064">
        <w:rPr>
          <w:szCs w:val="22"/>
        </w:rPr>
        <w:t xml:space="preserve"> and </w:t>
      </w:r>
      <w:proofErr w:type="spellStart"/>
      <w:r w:rsidR="00A6263E" w:rsidRPr="00600064">
        <w:rPr>
          <w:szCs w:val="22"/>
        </w:rPr>
        <w:t>sorafenib</w:t>
      </w:r>
      <w:proofErr w:type="spellEnd"/>
      <w:r w:rsidR="00A6263E" w:rsidRPr="00600064">
        <w:rPr>
          <w:szCs w:val="22"/>
        </w:rPr>
        <w:t>.</w:t>
      </w:r>
    </w:p>
    <w:p w:rsidR="00C90261" w:rsidRPr="00600064" w:rsidRDefault="00C90261" w:rsidP="00C90261">
      <w:pPr>
        <w:rPr>
          <w:szCs w:val="22"/>
        </w:rPr>
      </w:pPr>
    </w:p>
    <w:p w:rsidR="00C90261" w:rsidRPr="00600064" w:rsidRDefault="00C90261" w:rsidP="00B53553">
      <w:pPr>
        <w:rPr>
          <w:rFonts w:ascii="Arial Narrow" w:hAnsi="Arial Narrow"/>
          <w:b/>
          <w:sz w:val="20"/>
          <w:szCs w:val="22"/>
        </w:rPr>
      </w:pPr>
      <w:r w:rsidRPr="00600064">
        <w:rPr>
          <w:rFonts w:ascii="Arial Narrow" w:hAnsi="Arial Narrow"/>
          <w:b/>
          <w:sz w:val="20"/>
          <w:szCs w:val="22"/>
        </w:rPr>
        <w:t>Table 14: Summary of drug cost/patient/course for nivolumab in the resubmission and in the alternative scenarios proposed in the addendum</w:t>
      </w:r>
    </w:p>
    <w:tbl>
      <w:tblPr>
        <w:tblStyle w:val="TableGrid"/>
        <w:tblW w:w="5000" w:type="pct"/>
        <w:tblInd w:w="28" w:type="dxa"/>
        <w:tblCellMar>
          <w:left w:w="28" w:type="dxa"/>
          <w:right w:w="28" w:type="dxa"/>
        </w:tblCellMar>
        <w:tblLook w:val="04A0" w:firstRow="1" w:lastRow="0" w:firstColumn="1" w:lastColumn="0" w:noHBand="0" w:noVBand="1"/>
        <w:tblCaption w:val="Table 14: Summary of drug cost/patient/course for nivolumab in the resubmission and in the alternative scenarios proposed in the addendum"/>
      </w:tblPr>
      <w:tblGrid>
        <w:gridCol w:w="2268"/>
        <w:gridCol w:w="1561"/>
        <w:gridCol w:w="2693"/>
        <w:gridCol w:w="2561"/>
      </w:tblGrid>
      <w:tr w:rsidR="00B53553" w:rsidRPr="00600064" w:rsidTr="00B53553">
        <w:trPr>
          <w:tblHeader/>
        </w:trPr>
        <w:tc>
          <w:tcPr>
            <w:tcW w:w="1248" w:type="pct"/>
            <w:vAlign w:val="center"/>
          </w:tcPr>
          <w:p w:rsidR="00C90261" w:rsidRPr="00600064" w:rsidRDefault="00C90261" w:rsidP="00C90261">
            <w:pPr>
              <w:ind w:firstLine="242"/>
              <w:jc w:val="left"/>
              <w:rPr>
                <w:rFonts w:ascii="Arial Narrow" w:hAnsi="Arial Narrow"/>
                <w:b/>
                <w:sz w:val="20"/>
              </w:rPr>
            </w:pPr>
            <w:r w:rsidRPr="00600064">
              <w:rPr>
                <w:rFonts w:ascii="Arial Narrow" w:hAnsi="Arial Narrow"/>
                <w:b/>
                <w:sz w:val="20"/>
              </w:rPr>
              <w:t>Parameter</w:t>
            </w:r>
          </w:p>
        </w:tc>
        <w:tc>
          <w:tcPr>
            <w:tcW w:w="859" w:type="pct"/>
            <w:vAlign w:val="center"/>
          </w:tcPr>
          <w:p w:rsidR="00C90261" w:rsidRPr="00600064" w:rsidRDefault="00B06AE6" w:rsidP="00B06AE6">
            <w:pPr>
              <w:jc w:val="center"/>
              <w:rPr>
                <w:rFonts w:ascii="Arial Narrow" w:hAnsi="Arial Narrow"/>
                <w:b/>
                <w:sz w:val="20"/>
              </w:rPr>
            </w:pPr>
            <w:r w:rsidRPr="00600064">
              <w:rPr>
                <w:rFonts w:ascii="Arial Narrow" w:hAnsi="Arial Narrow"/>
                <w:b/>
                <w:sz w:val="20"/>
              </w:rPr>
              <w:t xml:space="preserve">March </w:t>
            </w:r>
            <w:r w:rsidR="00C90261" w:rsidRPr="00600064">
              <w:rPr>
                <w:rFonts w:ascii="Arial Narrow" w:hAnsi="Arial Narrow"/>
                <w:b/>
                <w:sz w:val="20"/>
              </w:rPr>
              <w:t>201</w:t>
            </w:r>
            <w:r w:rsidRPr="00600064">
              <w:rPr>
                <w:rFonts w:ascii="Arial Narrow" w:hAnsi="Arial Narrow"/>
                <w:b/>
                <w:sz w:val="20"/>
              </w:rPr>
              <w:t>7</w:t>
            </w:r>
            <w:r w:rsidR="00B53553" w:rsidRPr="00600064">
              <w:rPr>
                <w:rFonts w:ascii="Arial Narrow" w:hAnsi="Arial Narrow"/>
                <w:b/>
                <w:sz w:val="20"/>
              </w:rPr>
              <w:t xml:space="preserve"> </w:t>
            </w:r>
            <w:r w:rsidR="00C90261" w:rsidRPr="00600064">
              <w:rPr>
                <w:rFonts w:ascii="Arial Narrow" w:hAnsi="Arial Narrow"/>
                <w:b/>
                <w:sz w:val="20"/>
              </w:rPr>
              <w:t>resubmission</w:t>
            </w:r>
          </w:p>
        </w:tc>
        <w:tc>
          <w:tcPr>
            <w:tcW w:w="1482" w:type="pct"/>
            <w:vAlign w:val="center"/>
          </w:tcPr>
          <w:p w:rsidR="00B53553" w:rsidRPr="00600064" w:rsidRDefault="00B06AE6" w:rsidP="00B06AE6">
            <w:pPr>
              <w:jc w:val="center"/>
              <w:rPr>
                <w:rFonts w:ascii="Arial Narrow" w:hAnsi="Arial Narrow"/>
                <w:b/>
                <w:sz w:val="20"/>
              </w:rPr>
            </w:pPr>
            <w:r w:rsidRPr="00600064">
              <w:rPr>
                <w:rFonts w:ascii="Arial Narrow" w:hAnsi="Arial Narrow"/>
                <w:b/>
                <w:sz w:val="20"/>
              </w:rPr>
              <w:t>March</w:t>
            </w:r>
            <w:r w:rsidR="00C90261" w:rsidRPr="00600064">
              <w:rPr>
                <w:rFonts w:ascii="Arial Narrow" w:hAnsi="Arial Narrow"/>
                <w:b/>
                <w:sz w:val="20"/>
              </w:rPr>
              <w:t xml:space="preserve"> 201</w:t>
            </w:r>
            <w:r w:rsidRPr="00600064">
              <w:rPr>
                <w:rFonts w:ascii="Arial Narrow" w:hAnsi="Arial Narrow"/>
                <w:b/>
                <w:sz w:val="20"/>
              </w:rPr>
              <w:t>7</w:t>
            </w:r>
            <w:r w:rsidR="00B53553" w:rsidRPr="00600064">
              <w:rPr>
                <w:rFonts w:ascii="Arial Narrow" w:hAnsi="Arial Narrow"/>
                <w:b/>
                <w:sz w:val="20"/>
              </w:rPr>
              <w:t xml:space="preserve"> resubmission addendum</w:t>
            </w:r>
          </w:p>
          <w:p w:rsidR="00C90261" w:rsidRPr="00600064" w:rsidRDefault="00C90261" w:rsidP="00B06AE6">
            <w:pPr>
              <w:jc w:val="center"/>
              <w:rPr>
                <w:rFonts w:ascii="Arial Narrow" w:hAnsi="Arial Narrow"/>
                <w:b/>
                <w:sz w:val="20"/>
              </w:rPr>
            </w:pPr>
            <w:r w:rsidRPr="00600064">
              <w:rPr>
                <w:rFonts w:ascii="Arial Narrow" w:hAnsi="Arial Narrow"/>
                <w:b/>
                <w:sz w:val="20"/>
              </w:rPr>
              <w:t>(sponsor preferred scenario)</w:t>
            </w:r>
          </w:p>
        </w:tc>
        <w:tc>
          <w:tcPr>
            <w:tcW w:w="1410" w:type="pct"/>
          </w:tcPr>
          <w:p w:rsidR="00B53553" w:rsidRPr="00600064" w:rsidRDefault="00B06AE6" w:rsidP="00B53553">
            <w:pPr>
              <w:jc w:val="center"/>
              <w:rPr>
                <w:rFonts w:ascii="Arial Narrow" w:hAnsi="Arial Narrow"/>
                <w:b/>
                <w:sz w:val="20"/>
              </w:rPr>
            </w:pPr>
            <w:r w:rsidRPr="00600064">
              <w:rPr>
                <w:rFonts w:ascii="Arial Narrow" w:hAnsi="Arial Narrow"/>
                <w:b/>
                <w:sz w:val="20"/>
              </w:rPr>
              <w:t xml:space="preserve">March </w:t>
            </w:r>
            <w:r w:rsidR="00C90261" w:rsidRPr="00600064">
              <w:rPr>
                <w:rFonts w:ascii="Arial Narrow" w:hAnsi="Arial Narrow"/>
                <w:b/>
                <w:sz w:val="20"/>
              </w:rPr>
              <w:t>201</w:t>
            </w:r>
            <w:r w:rsidRPr="00600064">
              <w:rPr>
                <w:rFonts w:ascii="Arial Narrow" w:hAnsi="Arial Narrow"/>
                <w:b/>
                <w:sz w:val="20"/>
              </w:rPr>
              <w:t>7</w:t>
            </w:r>
            <w:r w:rsidR="00C90261" w:rsidRPr="00600064">
              <w:rPr>
                <w:rFonts w:ascii="Arial Narrow" w:hAnsi="Arial Narrow"/>
                <w:b/>
                <w:sz w:val="20"/>
              </w:rPr>
              <w:t xml:space="preserve"> resubmission addendum</w:t>
            </w:r>
          </w:p>
          <w:p w:rsidR="00C90261" w:rsidRPr="00600064" w:rsidRDefault="00C90261" w:rsidP="00B53553">
            <w:pPr>
              <w:jc w:val="center"/>
              <w:rPr>
                <w:rFonts w:ascii="Arial Narrow" w:hAnsi="Arial Narrow"/>
                <w:b/>
                <w:sz w:val="20"/>
              </w:rPr>
            </w:pPr>
            <w:r w:rsidRPr="00600064">
              <w:rPr>
                <w:rFonts w:ascii="Arial Narrow" w:hAnsi="Arial Narrow"/>
                <w:b/>
                <w:sz w:val="20"/>
              </w:rPr>
              <w:t>(PBAC preferred scenario)</w:t>
            </w:r>
          </w:p>
        </w:tc>
      </w:tr>
      <w:tr w:rsidR="00B53553" w:rsidRPr="00600064" w:rsidTr="00B53553">
        <w:tc>
          <w:tcPr>
            <w:tcW w:w="1248" w:type="pct"/>
            <w:vAlign w:val="center"/>
          </w:tcPr>
          <w:p w:rsidR="00C90261" w:rsidRPr="00600064" w:rsidRDefault="00C90261" w:rsidP="00060127">
            <w:pPr>
              <w:jc w:val="left"/>
              <w:rPr>
                <w:rFonts w:ascii="Arial Narrow" w:hAnsi="Arial Narrow"/>
                <w:sz w:val="20"/>
              </w:rPr>
            </w:pPr>
            <w:r w:rsidRPr="00600064">
              <w:rPr>
                <w:rFonts w:ascii="Arial Narrow" w:hAnsi="Arial Narrow"/>
                <w:sz w:val="20"/>
              </w:rPr>
              <w:t>Nivolumab infusions</w:t>
            </w:r>
          </w:p>
        </w:tc>
        <w:tc>
          <w:tcPr>
            <w:tcW w:w="859" w:type="pct"/>
          </w:tcPr>
          <w:p w:rsidR="00C90261" w:rsidRPr="003A224F" w:rsidRDefault="003A224F" w:rsidP="00EC2BED">
            <w:pPr>
              <w:jc w:val="center"/>
              <w:rPr>
                <w:rFonts w:ascii="Arial Narrow" w:hAnsi="Arial Narrow"/>
                <w:sz w:val="20"/>
                <w:highlight w:val="black"/>
              </w:rPr>
            </w:pPr>
            <w:r>
              <w:rPr>
                <w:rFonts w:ascii="Arial Narrow" w:hAnsi="Arial Narrow"/>
                <w:noProof/>
                <w:color w:val="000000"/>
                <w:sz w:val="20"/>
                <w:highlight w:val="black"/>
              </w:rPr>
              <w:t>''''''''''''''' '''''''''''''''''''''</w:t>
            </w:r>
          </w:p>
        </w:tc>
        <w:tc>
          <w:tcPr>
            <w:tcW w:w="1482" w:type="pct"/>
          </w:tcPr>
          <w:p w:rsidR="00C90261" w:rsidRPr="003A224F" w:rsidRDefault="003A224F" w:rsidP="00EC2BED">
            <w:pPr>
              <w:jc w:val="center"/>
              <w:rPr>
                <w:rFonts w:ascii="Arial Narrow" w:hAnsi="Arial Narrow"/>
                <w:sz w:val="20"/>
                <w:highlight w:val="black"/>
                <w:vertAlign w:val="superscript"/>
              </w:rPr>
            </w:pPr>
            <w:r>
              <w:rPr>
                <w:rFonts w:ascii="Arial Narrow" w:hAnsi="Arial Narrow"/>
                <w:noProof/>
                <w:color w:val="000000"/>
                <w:sz w:val="20"/>
                <w:highlight w:val="black"/>
              </w:rPr>
              <w:t>''''''''''''''''</w:t>
            </w:r>
          </w:p>
        </w:tc>
        <w:tc>
          <w:tcPr>
            <w:tcW w:w="1410" w:type="pct"/>
          </w:tcPr>
          <w:p w:rsidR="00C90261" w:rsidRPr="003A224F" w:rsidRDefault="003A224F" w:rsidP="00EC2BED">
            <w:pPr>
              <w:jc w:val="center"/>
              <w:rPr>
                <w:rFonts w:ascii="Arial Narrow" w:hAnsi="Arial Narrow"/>
                <w:sz w:val="20"/>
                <w:highlight w:val="black"/>
                <w:vertAlign w:val="superscript"/>
              </w:rPr>
            </w:pPr>
            <w:r>
              <w:rPr>
                <w:rFonts w:ascii="Arial Narrow" w:hAnsi="Arial Narrow"/>
                <w:noProof/>
                <w:color w:val="000000"/>
                <w:sz w:val="20"/>
                <w:highlight w:val="black"/>
              </w:rPr>
              <w:t>'''''''''''''''''</w:t>
            </w:r>
          </w:p>
        </w:tc>
      </w:tr>
      <w:tr w:rsidR="00B53553" w:rsidRPr="00600064" w:rsidTr="00B53553">
        <w:tc>
          <w:tcPr>
            <w:tcW w:w="1248" w:type="pct"/>
            <w:vAlign w:val="center"/>
          </w:tcPr>
          <w:p w:rsidR="00C90261" w:rsidRPr="00600064" w:rsidRDefault="00C90261" w:rsidP="00060127">
            <w:pPr>
              <w:jc w:val="left"/>
              <w:rPr>
                <w:rFonts w:ascii="Arial Narrow" w:hAnsi="Arial Narrow"/>
                <w:sz w:val="20"/>
              </w:rPr>
            </w:pPr>
            <w:r w:rsidRPr="00600064">
              <w:rPr>
                <w:rFonts w:ascii="Arial Narrow" w:hAnsi="Arial Narrow"/>
                <w:sz w:val="20"/>
              </w:rPr>
              <w:t>100 mg vial requested price</w:t>
            </w:r>
          </w:p>
        </w:tc>
        <w:tc>
          <w:tcPr>
            <w:tcW w:w="859"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82"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10"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B53553" w:rsidRPr="00600064" w:rsidTr="00B53553">
        <w:tc>
          <w:tcPr>
            <w:tcW w:w="1248" w:type="pct"/>
            <w:vAlign w:val="center"/>
          </w:tcPr>
          <w:p w:rsidR="00C90261" w:rsidRPr="00600064" w:rsidRDefault="00C90261" w:rsidP="00060127">
            <w:pPr>
              <w:jc w:val="left"/>
              <w:rPr>
                <w:rFonts w:ascii="Arial Narrow" w:hAnsi="Arial Narrow"/>
                <w:sz w:val="20"/>
              </w:rPr>
            </w:pPr>
            <w:r w:rsidRPr="00600064">
              <w:rPr>
                <w:rFonts w:ascii="Arial Narrow" w:hAnsi="Arial Narrow"/>
                <w:sz w:val="20"/>
              </w:rPr>
              <w:t>Drug cost/infusion</w:t>
            </w:r>
            <w:r w:rsidR="00163F9F" w:rsidRPr="00600064">
              <w:rPr>
                <w:rFonts w:ascii="Arial Narrow" w:hAnsi="Arial Narrow"/>
                <w:sz w:val="20"/>
                <w:vertAlign w:val="superscript"/>
              </w:rPr>
              <w:t>1</w:t>
            </w:r>
          </w:p>
        </w:tc>
        <w:tc>
          <w:tcPr>
            <w:tcW w:w="859"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82"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10"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B53553" w:rsidRPr="00600064" w:rsidTr="00B53553">
        <w:tc>
          <w:tcPr>
            <w:tcW w:w="1248" w:type="pct"/>
            <w:vAlign w:val="center"/>
          </w:tcPr>
          <w:p w:rsidR="00C90261" w:rsidRPr="00600064" w:rsidRDefault="00C90261" w:rsidP="00060127">
            <w:pPr>
              <w:jc w:val="left"/>
              <w:rPr>
                <w:rFonts w:ascii="Arial Narrow" w:hAnsi="Arial Narrow"/>
                <w:sz w:val="20"/>
              </w:rPr>
            </w:pPr>
            <w:r w:rsidRPr="00600064">
              <w:rPr>
                <w:rFonts w:ascii="Arial Narrow" w:hAnsi="Arial Narrow"/>
                <w:sz w:val="20"/>
              </w:rPr>
              <w:t>Drug cost/patient/course</w:t>
            </w:r>
          </w:p>
        </w:tc>
        <w:tc>
          <w:tcPr>
            <w:tcW w:w="859"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82"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10"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r w:rsidR="00B53553" w:rsidRPr="00600064" w:rsidTr="00B53553">
        <w:trPr>
          <w:trHeight w:val="70"/>
        </w:trPr>
        <w:tc>
          <w:tcPr>
            <w:tcW w:w="1248" w:type="pct"/>
            <w:vAlign w:val="center"/>
          </w:tcPr>
          <w:p w:rsidR="00C90261" w:rsidRPr="00600064" w:rsidRDefault="00C90261" w:rsidP="00060127">
            <w:pPr>
              <w:jc w:val="left"/>
              <w:rPr>
                <w:rFonts w:ascii="Arial Narrow" w:hAnsi="Arial Narrow"/>
                <w:sz w:val="20"/>
              </w:rPr>
            </w:pPr>
            <w:r w:rsidRPr="00600064">
              <w:rPr>
                <w:rFonts w:ascii="Arial Narrow" w:hAnsi="Arial Narrow"/>
                <w:sz w:val="20"/>
              </w:rPr>
              <w:t>Drug cost/patient/course plus administration cost</w:t>
            </w:r>
            <w:r w:rsidR="00163F9F" w:rsidRPr="00600064">
              <w:rPr>
                <w:rFonts w:ascii="Arial Narrow" w:hAnsi="Arial Narrow"/>
                <w:sz w:val="20"/>
                <w:vertAlign w:val="superscript"/>
              </w:rPr>
              <w:t>2</w:t>
            </w:r>
          </w:p>
        </w:tc>
        <w:tc>
          <w:tcPr>
            <w:tcW w:w="859"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82"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c>
          <w:tcPr>
            <w:tcW w:w="1410" w:type="pct"/>
          </w:tcPr>
          <w:p w:rsidR="00C90261" w:rsidRPr="00600064" w:rsidRDefault="00C90261" w:rsidP="00EC2BED">
            <w:pPr>
              <w:jc w:val="center"/>
              <w:rPr>
                <w:rFonts w:ascii="Arial Narrow" w:hAnsi="Arial Narrow"/>
                <w:sz w:val="20"/>
              </w:rPr>
            </w:pPr>
            <w:r w:rsidRPr="00600064">
              <w:rPr>
                <w:rFonts w:ascii="Arial Narrow" w:hAnsi="Arial Narrow"/>
                <w:sz w:val="20"/>
              </w:rPr>
              <w:t>$</w:t>
            </w:r>
            <w:r w:rsidR="003A224F">
              <w:rPr>
                <w:rFonts w:ascii="Arial Narrow" w:hAnsi="Arial Narrow"/>
                <w:noProof/>
                <w:color w:val="000000"/>
                <w:sz w:val="20"/>
                <w:highlight w:val="black"/>
              </w:rPr>
              <w:t>''''''''''''''''''''''''''</w:t>
            </w:r>
          </w:p>
        </w:tc>
      </w:tr>
    </w:tbl>
    <w:p w:rsidR="00C90261" w:rsidRPr="00600064" w:rsidRDefault="00C90261" w:rsidP="00B53553">
      <w:pPr>
        <w:tabs>
          <w:tab w:val="left" w:pos="851"/>
        </w:tabs>
        <w:rPr>
          <w:rFonts w:ascii="Arial Narrow" w:hAnsi="Arial Narrow"/>
          <w:sz w:val="18"/>
          <w:szCs w:val="18"/>
        </w:rPr>
      </w:pPr>
      <w:r w:rsidRPr="00600064">
        <w:rPr>
          <w:rFonts w:ascii="Arial Narrow" w:hAnsi="Arial Narrow"/>
          <w:sz w:val="18"/>
          <w:szCs w:val="18"/>
        </w:rPr>
        <w:t xml:space="preserve">Source: </w:t>
      </w:r>
      <w:r w:rsidR="00B53553" w:rsidRPr="00600064">
        <w:rPr>
          <w:rFonts w:ascii="Arial Narrow" w:hAnsi="Arial Narrow"/>
          <w:sz w:val="18"/>
          <w:szCs w:val="18"/>
        </w:rPr>
        <w:t>c</w:t>
      </w:r>
      <w:r w:rsidRPr="00600064">
        <w:rPr>
          <w:rFonts w:ascii="Arial Narrow" w:hAnsi="Arial Narrow"/>
          <w:sz w:val="18"/>
          <w:szCs w:val="18"/>
        </w:rPr>
        <w:t>ompiled during the evaluation.</w:t>
      </w:r>
    </w:p>
    <w:p w:rsidR="00C90261" w:rsidRPr="00600064" w:rsidRDefault="00163F9F" w:rsidP="00B53553">
      <w:pPr>
        <w:tabs>
          <w:tab w:val="left" w:pos="142"/>
        </w:tabs>
        <w:ind w:left="142" w:hanging="142"/>
        <w:rPr>
          <w:rFonts w:ascii="Arial Narrow" w:hAnsi="Arial Narrow"/>
          <w:sz w:val="18"/>
          <w:szCs w:val="18"/>
        </w:rPr>
      </w:pPr>
      <w:r w:rsidRPr="00600064">
        <w:rPr>
          <w:rFonts w:ascii="Arial Narrow" w:hAnsi="Arial Narrow"/>
          <w:sz w:val="18"/>
          <w:szCs w:val="18"/>
          <w:vertAlign w:val="superscript"/>
        </w:rPr>
        <w:t>1</w:t>
      </w:r>
      <w:r w:rsidR="00C90261" w:rsidRPr="00600064">
        <w:rPr>
          <w:rFonts w:ascii="Arial Narrow" w:hAnsi="Arial Narrow"/>
          <w:sz w:val="18"/>
          <w:szCs w:val="18"/>
        </w:rPr>
        <w:tab/>
        <w:t>The cost included ex-manufacturer price for the required vials (one 40 mg; two 100 mg) and applicable fees. The total drug cost per infusion was calculated based on an assumption that the public vs. private weighting would be 70% vs. 30%. The preparation fee was $103.22.</w:t>
      </w:r>
    </w:p>
    <w:p w:rsidR="00C90261" w:rsidRPr="00600064" w:rsidRDefault="00163F9F" w:rsidP="00B53553">
      <w:pPr>
        <w:tabs>
          <w:tab w:val="left" w:pos="142"/>
        </w:tabs>
        <w:rPr>
          <w:rFonts w:ascii="Arial Narrow" w:hAnsi="Arial Narrow"/>
          <w:sz w:val="18"/>
          <w:szCs w:val="18"/>
        </w:rPr>
      </w:pPr>
      <w:r w:rsidRPr="00600064">
        <w:rPr>
          <w:rFonts w:ascii="Arial Narrow" w:hAnsi="Arial Narrow"/>
          <w:sz w:val="18"/>
          <w:szCs w:val="18"/>
          <w:vertAlign w:val="superscript"/>
        </w:rPr>
        <w:t>2</w:t>
      </w:r>
      <w:r w:rsidR="00C90261" w:rsidRPr="00600064">
        <w:rPr>
          <w:rFonts w:ascii="Arial Narrow" w:hAnsi="Arial Narrow"/>
          <w:sz w:val="18"/>
          <w:szCs w:val="18"/>
          <w:vertAlign w:val="superscript"/>
        </w:rPr>
        <w:tab/>
      </w:r>
      <w:r w:rsidR="00C90261" w:rsidRPr="00600064">
        <w:rPr>
          <w:rFonts w:ascii="Arial Narrow" w:hAnsi="Arial Narrow"/>
          <w:sz w:val="18"/>
          <w:szCs w:val="18"/>
        </w:rPr>
        <w:t>Administration cost was based on MBS item 13915: $55.30 per infusion (85% MBS benefit).</w:t>
      </w:r>
    </w:p>
    <w:p w:rsidR="00163F9F" w:rsidRPr="00600064" w:rsidRDefault="00163F9F" w:rsidP="00B53553">
      <w:pPr>
        <w:tabs>
          <w:tab w:val="left" w:pos="142"/>
        </w:tabs>
        <w:rPr>
          <w:sz w:val="18"/>
          <w:szCs w:val="18"/>
        </w:rPr>
      </w:pPr>
      <w:r w:rsidRPr="00D969A9">
        <w:rPr>
          <w:rFonts w:ascii="Arial Narrow" w:hAnsi="Arial Narrow"/>
          <w:sz w:val="18"/>
          <w:szCs w:val="18"/>
          <w:vertAlign w:val="superscript"/>
        </w:rPr>
        <w:t>3</w:t>
      </w:r>
      <w:r w:rsidR="006276C3" w:rsidRPr="00D969A9">
        <w:rPr>
          <w:rFonts w:ascii="Arial Narrow" w:hAnsi="Arial Narrow"/>
          <w:sz w:val="18"/>
          <w:szCs w:val="18"/>
          <w:vertAlign w:val="superscript"/>
        </w:rPr>
        <w:tab/>
      </w:r>
      <w:r w:rsidRPr="00D969A9">
        <w:rPr>
          <w:rFonts w:ascii="Arial Narrow" w:hAnsi="Arial Narrow"/>
          <w:sz w:val="18"/>
          <w:szCs w:val="18"/>
        </w:rPr>
        <w:t>These numbers were higher (</w:t>
      </w:r>
      <w:r w:rsidR="003A224F">
        <w:rPr>
          <w:rFonts w:ascii="Arial Narrow" w:hAnsi="Arial Narrow"/>
          <w:noProof/>
          <w:color w:val="000000"/>
          <w:sz w:val="18"/>
          <w:szCs w:val="18"/>
          <w:highlight w:val="black"/>
        </w:rPr>
        <w:t>'''''''''''''</w:t>
      </w:r>
      <w:r w:rsidRPr="00D969A9">
        <w:rPr>
          <w:rFonts w:ascii="Arial Narrow" w:hAnsi="Arial Narrow"/>
          <w:sz w:val="18"/>
          <w:szCs w:val="18"/>
        </w:rPr>
        <w:t xml:space="preserve"> in the </w:t>
      </w:r>
      <w:r w:rsidR="00020B2D" w:rsidRPr="00D969A9">
        <w:rPr>
          <w:rFonts w:ascii="Arial Narrow" w:hAnsi="Arial Narrow"/>
          <w:sz w:val="18"/>
          <w:szCs w:val="18"/>
        </w:rPr>
        <w:t>“</w:t>
      </w:r>
      <w:r w:rsidRPr="00D969A9">
        <w:rPr>
          <w:rFonts w:ascii="Arial Narrow" w:hAnsi="Arial Narrow"/>
          <w:sz w:val="18"/>
          <w:szCs w:val="18"/>
        </w:rPr>
        <w:t>sponsor amended base case</w:t>
      </w:r>
      <w:r w:rsidR="00020B2D" w:rsidRPr="00D969A9">
        <w:rPr>
          <w:rFonts w:ascii="Arial Narrow" w:hAnsi="Arial Narrow"/>
          <w:sz w:val="18"/>
          <w:szCs w:val="18"/>
        </w:rPr>
        <w:t>”</w:t>
      </w:r>
      <w:r w:rsidRPr="00D969A9">
        <w:rPr>
          <w:rFonts w:ascii="Arial Narrow" w:hAnsi="Arial Narrow"/>
          <w:sz w:val="18"/>
          <w:szCs w:val="18"/>
        </w:rPr>
        <w:t xml:space="preserve"> and </w:t>
      </w:r>
      <w:r w:rsidR="003A224F">
        <w:rPr>
          <w:rFonts w:ascii="Arial Narrow" w:hAnsi="Arial Narrow"/>
          <w:noProof/>
          <w:color w:val="000000"/>
          <w:sz w:val="18"/>
          <w:szCs w:val="18"/>
          <w:highlight w:val="black"/>
        </w:rPr>
        <w:t>''''''''''''''</w:t>
      </w:r>
      <w:r w:rsidRPr="00D969A9">
        <w:rPr>
          <w:rFonts w:ascii="Arial Narrow" w:hAnsi="Arial Narrow"/>
          <w:sz w:val="18"/>
          <w:szCs w:val="18"/>
        </w:rPr>
        <w:t xml:space="preserve"> in the </w:t>
      </w:r>
      <w:r w:rsidR="00020B2D" w:rsidRPr="00D969A9">
        <w:rPr>
          <w:rFonts w:ascii="Arial Narrow" w:hAnsi="Arial Narrow"/>
          <w:sz w:val="18"/>
          <w:szCs w:val="18"/>
        </w:rPr>
        <w:t>“</w:t>
      </w:r>
      <w:r w:rsidRPr="00D969A9">
        <w:rPr>
          <w:rFonts w:ascii="Arial Narrow" w:hAnsi="Arial Narrow"/>
          <w:sz w:val="18"/>
          <w:szCs w:val="18"/>
        </w:rPr>
        <w:t>PBAC amended base case</w:t>
      </w:r>
      <w:r w:rsidR="00020B2D" w:rsidRPr="00D969A9">
        <w:rPr>
          <w:rFonts w:ascii="Arial Narrow" w:hAnsi="Arial Narrow"/>
          <w:sz w:val="18"/>
          <w:szCs w:val="18"/>
        </w:rPr>
        <w:t>”</w:t>
      </w:r>
      <w:r w:rsidRPr="00D969A9">
        <w:rPr>
          <w:rFonts w:ascii="Arial Narrow" w:hAnsi="Arial Narrow"/>
          <w:sz w:val="18"/>
          <w:szCs w:val="18"/>
        </w:rPr>
        <w:t xml:space="preserve">) after </w:t>
      </w:r>
      <w:r w:rsidR="00EB6CA7" w:rsidRPr="00D969A9">
        <w:rPr>
          <w:rFonts w:ascii="Arial Narrow" w:hAnsi="Arial Narrow"/>
          <w:sz w:val="18"/>
          <w:szCs w:val="18"/>
        </w:rPr>
        <w:t>an adjustment</w:t>
      </w:r>
      <w:r w:rsidRPr="00D969A9">
        <w:rPr>
          <w:rFonts w:ascii="Arial Narrow" w:hAnsi="Arial Narrow"/>
          <w:sz w:val="18"/>
          <w:szCs w:val="18"/>
        </w:rPr>
        <w:t xml:space="preserve"> in the application of transition probabilities for RECIST-</w:t>
      </w:r>
      <w:r w:rsidR="00030BF9" w:rsidRPr="00D969A9">
        <w:rPr>
          <w:rFonts w:ascii="Arial Narrow" w:hAnsi="Arial Narrow"/>
          <w:sz w:val="18"/>
          <w:szCs w:val="18"/>
        </w:rPr>
        <w:t xml:space="preserve">defined </w:t>
      </w:r>
      <w:r w:rsidRPr="00D969A9">
        <w:rPr>
          <w:rFonts w:ascii="Arial Narrow" w:hAnsi="Arial Narrow"/>
          <w:sz w:val="18"/>
          <w:szCs w:val="18"/>
        </w:rPr>
        <w:t>PFS</w:t>
      </w:r>
      <w:r w:rsidRPr="00600064">
        <w:rPr>
          <w:rFonts w:ascii="Arial Narrow" w:hAnsi="Arial Narrow"/>
          <w:sz w:val="18"/>
          <w:szCs w:val="18"/>
        </w:rPr>
        <w:t>.</w:t>
      </w:r>
    </w:p>
    <w:p w:rsidR="00B60939" w:rsidRPr="00600064" w:rsidRDefault="00B60939" w:rsidP="001456B0">
      <w:pPr>
        <w:rPr>
          <w:szCs w:val="22"/>
        </w:rPr>
      </w:pPr>
    </w:p>
    <w:p w:rsidR="00B60939" w:rsidRPr="00600064" w:rsidRDefault="00B60939" w:rsidP="00CF559E">
      <w:pPr>
        <w:pStyle w:val="Heading2"/>
        <w:rPr>
          <w:i/>
        </w:rPr>
      </w:pPr>
      <w:bookmarkStart w:id="16" w:name="_Toc472509761"/>
      <w:r w:rsidRPr="00600064">
        <w:rPr>
          <w:i/>
        </w:rPr>
        <w:t>Estimated PBS usage &amp; financial implications</w:t>
      </w:r>
      <w:bookmarkEnd w:id="16"/>
    </w:p>
    <w:p w:rsidR="00AF49BA" w:rsidRPr="00600064" w:rsidRDefault="00AF49BA" w:rsidP="00AF49BA">
      <w:pPr>
        <w:rPr>
          <w:b/>
        </w:rPr>
      </w:pPr>
    </w:p>
    <w:p w:rsidR="00CA6014" w:rsidRPr="00600064" w:rsidRDefault="00AF49BA" w:rsidP="005F42CF">
      <w:pPr>
        <w:pStyle w:val="ListParagraph"/>
        <w:widowControl/>
        <w:numPr>
          <w:ilvl w:val="1"/>
          <w:numId w:val="4"/>
        </w:numPr>
        <w:rPr>
          <w:szCs w:val="22"/>
        </w:rPr>
      </w:pPr>
      <w:r w:rsidRPr="00600064">
        <w:t xml:space="preserve">The </w:t>
      </w:r>
      <w:r w:rsidR="0004231D" w:rsidRPr="00600064">
        <w:t>re-</w:t>
      </w:r>
      <w:r w:rsidR="00C25D9C" w:rsidRPr="00600064">
        <w:rPr>
          <w:szCs w:val="22"/>
        </w:rPr>
        <w:t>submission</w:t>
      </w:r>
      <w:r w:rsidR="00C25D9C" w:rsidRPr="00600064">
        <w:t xml:space="preserve"> </w:t>
      </w:r>
      <w:r w:rsidR="00323460" w:rsidRPr="00600064">
        <w:t>was not</w:t>
      </w:r>
      <w:r w:rsidR="00C25D9C" w:rsidRPr="00600064">
        <w:t xml:space="preserve"> considered by DUSC</w:t>
      </w:r>
      <w:r w:rsidR="00CA6014" w:rsidRPr="00600064">
        <w:t>.</w:t>
      </w:r>
      <w:r w:rsidR="00CF559E" w:rsidRPr="00600064">
        <w:t xml:space="preserve"> The financial estimates arising from the resubmission-addendum were </w:t>
      </w:r>
      <w:r w:rsidR="002758E9" w:rsidRPr="00600064">
        <w:t xml:space="preserve">provided </w:t>
      </w:r>
      <w:r w:rsidRPr="00600064">
        <w:t>shortly before consideration by the ESC</w:t>
      </w:r>
      <w:r w:rsidR="00CF559E" w:rsidRPr="00600064">
        <w:t>.</w:t>
      </w:r>
    </w:p>
    <w:p w:rsidR="00CA6014" w:rsidRPr="00600064" w:rsidRDefault="00CA6014" w:rsidP="00CA6014">
      <w:pPr>
        <w:widowControl/>
        <w:rPr>
          <w:szCs w:val="22"/>
        </w:rPr>
      </w:pPr>
    </w:p>
    <w:p w:rsidR="00C25D9C" w:rsidRPr="00600064" w:rsidRDefault="0031443B" w:rsidP="005F42CF">
      <w:pPr>
        <w:pStyle w:val="ListParagraph"/>
        <w:widowControl/>
        <w:numPr>
          <w:ilvl w:val="1"/>
          <w:numId w:val="4"/>
        </w:numPr>
        <w:rPr>
          <w:szCs w:val="22"/>
        </w:rPr>
      </w:pPr>
      <w:r w:rsidRPr="00600064">
        <w:rPr>
          <w:lang w:eastAsia="en-AU"/>
        </w:rPr>
        <w:t xml:space="preserve">The total </w:t>
      </w:r>
      <w:r w:rsidRPr="00600064">
        <w:rPr>
          <w:szCs w:val="22"/>
        </w:rPr>
        <w:t>number</w:t>
      </w:r>
      <w:r w:rsidRPr="00600064">
        <w:rPr>
          <w:lang w:eastAsia="en-AU"/>
        </w:rPr>
        <w:t xml:space="preserve"> of patients likely to be treated with nivolumab over the 5-year forecast period was derived by applying second-line treatment rates to the forecast for the number of patients initiated on TKI therapy each year and factoring in the estimated market share of nivolumab and additional patients to be treated with a first-line TKI in order to be eligible to receive nivolumab in the second-line setting.</w:t>
      </w:r>
      <w:r w:rsidR="00CF559E" w:rsidRPr="00600064">
        <w:rPr>
          <w:lang w:eastAsia="en-AU"/>
        </w:rPr>
        <w:t xml:space="preserve"> Estimated utilisation and subsequent costs to the PBS</w:t>
      </w:r>
      <w:r w:rsidR="00845081" w:rsidRPr="00600064">
        <w:rPr>
          <w:lang w:eastAsia="en-AU"/>
        </w:rPr>
        <w:t xml:space="preserve">, </w:t>
      </w:r>
      <w:r w:rsidR="002758E9" w:rsidRPr="00600064">
        <w:rPr>
          <w:lang w:eastAsia="en-AU"/>
        </w:rPr>
        <w:t xml:space="preserve">including </w:t>
      </w:r>
      <w:r w:rsidR="00845081" w:rsidRPr="00600064">
        <w:rPr>
          <w:lang w:eastAsia="en-AU"/>
        </w:rPr>
        <w:t>from the financial-addendum</w:t>
      </w:r>
      <w:r w:rsidR="002758E9" w:rsidRPr="00600064">
        <w:rPr>
          <w:lang w:eastAsia="en-AU"/>
        </w:rPr>
        <w:t>,</w:t>
      </w:r>
      <w:r w:rsidR="00CF559E" w:rsidRPr="00600064">
        <w:rPr>
          <w:lang w:eastAsia="en-AU"/>
        </w:rPr>
        <w:t xml:space="preserve"> are presented in Table 1</w:t>
      </w:r>
      <w:r w:rsidR="003F7705" w:rsidRPr="00600064">
        <w:rPr>
          <w:lang w:eastAsia="en-AU"/>
        </w:rPr>
        <w:t>5</w:t>
      </w:r>
      <w:r w:rsidR="00CF559E" w:rsidRPr="00600064">
        <w:rPr>
          <w:lang w:eastAsia="en-AU"/>
        </w:rPr>
        <w:t xml:space="preserve">, including a comparison with the estimates presented in the </w:t>
      </w:r>
      <w:r w:rsidR="00B06AE6" w:rsidRPr="00600064">
        <w:rPr>
          <w:lang w:eastAsia="en-AU"/>
        </w:rPr>
        <w:t xml:space="preserve">July </w:t>
      </w:r>
      <w:r w:rsidR="00CF559E" w:rsidRPr="00600064">
        <w:rPr>
          <w:lang w:eastAsia="en-AU"/>
        </w:rPr>
        <w:t>2016 submission.</w:t>
      </w:r>
    </w:p>
    <w:p w:rsidR="005E554C" w:rsidRPr="00600064" w:rsidRDefault="005E554C" w:rsidP="005E554C">
      <w:pPr>
        <w:widowControl/>
        <w:rPr>
          <w:szCs w:val="22"/>
        </w:rPr>
      </w:pPr>
    </w:p>
    <w:p w:rsidR="00AB156B" w:rsidRDefault="00AB156B">
      <w:pPr>
        <w:widowControl/>
        <w:jc w:val="left"/>
        <w:rPr>
          <w:rStyle w:val="CommentReference"/>
        </w:rPr>
      </w:pPr>
      <w:r>
        <w:rPr>
          <w:rStyle w:val="CommentReference"/>
        </w:rPr>
        <w:br w:type="page"/>
      </w:r>
    </w:p>
    <w:p w:rsidR="0004231D" w:rsidRPr="00600064" w:rsidRDefault="0004231D" w:rsidP="007F3DF9">
      <w:pPr>
        <w:rPr>
          <w:rStyle w:val="CommentReference"/>
        </w:rPr>
      </w:pPr>
      <w:r w:rsidRPr="00600064">
        <w:rPr>
          <w:rStyle w:val="CommentReference"/>
        </w:rPr>
        <w:lastRenderedPageBreak/>
        <w:t xml:space="preserve">Table </w:t>
      </w:r>
      <w:r w:rsidR="00ED7673" w:rsidRPr="00600064">
        <w:rPr>
          <w:rStyle w:val="CommentReference"/>
        </w:rPr>
        <w:t>1</w:t>
      </w:r>
      <w:r w:rsidR="003F7705" w:rsidRPr="00600064">
        <w:rPr>
          <w:rStyle w:val="CommentReference"/>
        </w:rPr>
        <w:t>5</w:t>
      </w:r>
      <w:r w:rsidRPr="00600064">
        <w:rPr>
          <w:rStyle w:val="CommentReference"/>
        </w:rPr>
        <w:t>: Estimated use and financial implications</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1060"/>
        <w:gridCol w:w="1060"/>
        <w:gridCol w:w="1060"/>
        <w:gridCol w:w="1060"/>
        <w:gridCol w:w="1060"/>
        <w:gridCol w:w="1078"/>
      </w:tblGrid>
      <w:tr w:rsidR="00A9736F" w:rsidRPr="00600064" w:rsidTr="00B53553">
        <w:trPr>
          <w:tblHeader/>
        </w:trPr>
        <w:tc>
          <w:tcPr>
            <w:tcW w:w="2694" w:type="dxa"/>
            <w:shd w:val="clear" w:color="auto" w:fill="auto"/>
            <w:vAlign w:val="center"/>
          </w:tcPr>
          <w:p w:rsidR="00205E22" w:rsidRPr="00600064" w:rsidRDefault="00205E22" w:rsidP="00577717">
            <w:pPr>
              <w:tabs>
                <w:tab w:val="left" w:pos="142"/>
              </w:tabs>
              <w:ind w:right="93"/>
              <w:jc w:val="left"/>
              <w:rPr>
                <w:rFonts w:ascii="Arial Narrow" w:hAnsi="Arial Narrow"/>
                <w:b/>
                <w:sz w:val="20"/>
              </w:rPr>
            </w:pPr>
          </w:p>
        </w:tc>
        <w:tc>
          <w:tcPr>
            <w:tcW w:w="1060" w:type="dxa"/>
            <w:shd w:val="clear" w:color="auto" w:fill="auto"/>
            <w:vAlign w:val="center"/>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 1</w:t>
            </w:r>
          </w:p>
        </w:tc>
        <w:tc>
          <w:tcPr>
            <w:tcW w:w="1060" w:type="dxa"/>
            <w:shd w:val="clear" w:color="auto" w:fill="auto"/>
            <w:vAlign w:val="center"/>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 2</w:t>
            </w:r>
          </w:p>
        </w:tc>
        <w:tc>
          <w:tcPr>
            <w:tcW w:w="1060" w:type="dxa"/>
            <w:shd w:val="clear" w:color="auto" w:fill="auto"/>
            <w:vAlign w:val="center"/>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 3</w:t>
            </w:r>
          </w:p>
        </w:tc>
        <w:tc>
          <w:tcPr>
            <w:tcW w:w="1060" w:type="dxa"/>
            <w:shd w:val="clear" w:color="auto" w:fill="auto"/>
            <w:vAlign w:val="center"/>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 4</w:t>
            </w:r>
          </w:p>
        </w:tc>
        <w:tc>
          <w:tcPr>
            <w:tcW w:w="1060" w:type="dxa"/>
            <w:shd w:val="clear" w:color="auto" w:fill="auto"/>
            <w:vAlign w:val="center"/>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 5</w:t>
            </w:r>
          </w:p>
        </w:tc>
        <w:tc>
          <w:tcPr>
            <w:tcW w:w="1078" w:type="dxa"/>
          </w:tcPr>
          <w:p w:rsidR="00205E22" w:rsidRPr="00600064" w:rsidRDefault="00205E22" w:rsidP="00577717">
            <w:pPr>
              <w:ind w:right="93"/>
              <w:jc w:val="center"/>
              <w:rPr>
                <w:rFonts w:ascii="Arial Narrow" w:hAnsi="Arial Narrow"/>
                <w:b/>
                <w:sz w:val="20"/>
              </w:rPr>
            </w:pPr>
            <w:r w:rsidRPr="00600064">
              <w:rPr>
                <w:rFonts w:ascii="Arial Narrow" w:hAnsi="Arial Narrow"/>
                <w:b/>
                <w:sz w:val="20"/>
              </w:rPr>
              <w:t>Years 1-5</w:t>
            </w:r>
          </w:p>
        </w:tc>
      </w:tr>
      <w:tr w:rsidR="00205E22" w:rsidRPr="00600064" w:rsidTr="00B53553">
        <w:tc>
          <w:tcPr>
            <w:tcW w:w="9072" w:type="dxa"/>
            <w:gridSpan w:val="7"/>
            <w:shd w:val="clear" w:color="auto" w:fill="auto"/>
            <w:vAlign w:val="center"/>
          </w:tcPr>
          <w:p w:rsidR="00205E22" w:rsidRPr="00600064" w:rsidRDefault="00205E22" w:rsidP="00577717">
            <w:pPr>
              <w:ind w:right="93"/>
              <w:jc w:val="left"/>
              <w:rPr>
                <w:rFonts w:ascii="Arial Narrow" w:hAnsi="Arial Narrow"/>
                <w:b/>
                <w:bCs/>
                <w:color w:val="000000"/>
                <w:sz w:val="20"/>
              </w:rPr>
            </w:pPr>
            <w:r w:rsidRPr="00600064">
              <w:rPr>
                <w:rFonts w:ascii="Arial Narrow" w:hAnsi="Arial Narrow"/>
                <w:b/>
                <w:bCs/>
                <w:color w:val="000000"/>
                <w:sz w:val="20"/>
              </w:rPr>
              <w:t>Estimated extent of use</w:t>
            </w:r>
          </w:p>
        </w:tc>
      </w:tr>
      <w:tr w:rsidR="00A9736F" w:rsidRPr="00600064" w:rsidTr="00D2363A">
        <w:tc>
          <w:tcPr>
            <w:tcW w:w="2694" w:type="dxa"/>
            <w:shd w:val="clear" w:color="auto" w:fill="auto"/>
            <w:vAlign w:val="center"/>
          </w:tcPr>
          <w:p w:rsidR="00A6263E" w:rsidRPr="00600064" w:rsidRDefault="00205E22" w:rsidP="000929F8">
            <w:pPr>
              <w:tabs>
                <w:tab w:val="left" w:pos="142"/>
              </w:tabs>
              <w:ind w:right="93"/>
              <w:jc w:val="left"/>
              <w:rPr>
                <w:rFonts w:ascii="Arial Narrow" w:hAnsi="Arial Narrow"/>
                <w:sz w:val="20"/>
              </w:rPr>
            </w:pPr>
            <w:r w:rsidRPr="00600064">
              <w:rPr>
                <w:rFonts w:ascii="Arial Narrow" w:hAnsi="Arial Narrow"/>
                <w:sz w:val="20"/>
              </w:rPr>
              <w:t xml:space="preserve">Nivolumab </w:t>
            </w:r>
            <w:r w:rsidR="000929F8" w:rsidRPr="00600064">
              <w:rPr>
                <w:rFonts w:ascii="Arial Narrow" w:hAnsi="Arial Narrow"/>
                <w:sz w:val="20"/>
              </w:rPr>
              <w:t xml:space="preserve">treated </w:t>
            </w:r>
            <w:r w:rsidRPr="00600064">
              <w:rPr>
                <w:rFonts w:ascii="Arial Narrow" w:hAnsi="Arial Narrow"/>
                <w:sz w:val="20"/>
              </w:rPr>
              <w:t>patients</w:t>
            </w:r>
          </w:p>
          <w:p w:rsidR="00205E22" w:rsidRPr="00600064" w:rsidRDefault="00A6263E" w:rsidP="000929F8">
            <w:pPr>
              <w:tabs>
                <w:tab w:val="left" w:pos="142"/>
              </w:tabs>
              <w:ind w:right="93"/>
              <w:jc w:val="left"/>
              <w:rPr>
                <w:rFonts w:ascii="Arial Narrow" w:hAnsi="Arial Narrow"/>
                <w:sz w:val="20"/>
              </w:rPr>
            </w:pPr>
            <w:r w:rsidRPr="00600064">
              <w:rPr>
                <w:rFonts w:ascii="Arial Narrow" w:hAnsi="Arial Narrow"/>
                <w:sz w:val="20"/>
              </w:rPr>
              <w:t>March 2017</w:t>
            </w:r>
            <w:r w:rsidR="00715CAC" w:rsidRPr="00600064">
              <w:rPr>
                <w:rFonts w:ascii="Arial Narrow" w:hAnsi="Arial Narrow"/>
                <w:sz w:val="20"/>
              </w:rPr>
              <w:t xml:space="preserve"> resubmission and addendums</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B53553" w:rsidRPr="00600064" w:rsidRDefault="00205E22" w:rsidP="00B06AE6">
            <w:pPr>
              <w:tabs>
                <w:tab w:val="left" w:pos="142"/>
              </w:tabs>
              <w:ind w:right="93"/>
              <w:jc w:val="left"/>
              <w:rPr>
                <w:rFonts w:ascii="Arial Narrow" w:hAnsi="Arial Narrow"/>
                <w:sz w:val="20"/>
              </w:rPr>
            </w:pPr>
            <w:r w:rsidRPr="00600064">
              <w:rPr>
                <w:rFonts w:ascii="Arial Narrow" w:hAnsi="Arial Narrow"/>
                <w:sz w:val="20"/>
              </w:rPr>
              <w:t>Nivolumab treated patients</w:t>
            </w:r>
          </w:p>
          <w:p w:rsidR="00205E22" w:rsidRPr="00600064" w:rsidRDefault="00B06AE6" w:rsidP="00B53553">
            <w:pPr>
              <w:tabs>
                <w:tab w:val="left" w:pos="142"/>
              </w:tabs>
              <w:ind w:right="93"/>
              <w:jc w:val="left"/>
              <w:rPr>
                <w:rFonts w:ascii="Arial Narrow" w:hAnsi="Arial Narrow"/>
                <w:sz w:val="20"/>
              </w:rPr>
            </w:pPr>
            <w:r w:rsidRPr="00600064">
              <w:rPr>
                <w:rFonts w:ascii="Arial Narrow" w:hAnsi="Arial Narrow"/>
                <w:sz w:val="20"/>
              </w:rPr>
              <w:t xml:space="preserve">July </w:t>
            </w:r>
            <w:r w:rsidR="00205E22" w:rsidRPr="00600064">
              <w:rPr>
                <w:rFonts w:ascii="Arial Narrow" w:hAnsi="Arial Narrow"/>
                <w:sz w:val="20"/>
              </w:rPr>
              <w:t xml:space="preserve">2016 </w:t>
            </w:r>
            <w:r w:rsidR="00B53553" w:rsidRPr="00600064">
              <w:rPr>
                <w:rFonts w:ascii="Arial Narrow" w:hAnsi="Arial Narrow"/>
                <w:sz w:val="20"/>
              </w:rPr>
              <w:t>s</w:t>
            </w:r>
            <w:r w:rsidR="00205E22" w:rsidRPr="00600064">
              <w:rPr>
                <w:rFonts w:ascii="Arial Narrow" w:hAnsi="Arial Narrow"/>
                <w:sz w:val="20"/>
              </w:rPr>
              <w:t>ubmission</w:t>
            </w:r>
          </w:p>
        </w:tc>
        <w:tc>
          <w:tcPr>
            <w:tcW w:w="1060" w:type="dxa"/>
            <w:shd w:val="clear" w:color="auto" w:fill="auto"/>
            <w:vAlign w:val="center"/>
          </w:tcPr>
          <w:p w:rsidR="00205E22" w:rsidRPr="003A224F" w:rsidRDefault="003A224F" w:rsidP="0066585A">
            <w:pPr>
              <w:ind w:right="93"/>
              <w:jc w:val="center"/>
              <w:rPr>
                <w:rFonts w:ascii="Arial Narrow" w:hAnsi="Arial Narrow"/>
                <w:bCs/>
                <w:sz w:val="20"/>
                <w:highlight w:val="black"/>
              </w:rPr>
            </w:pPr>
            <w:r>
              <w:rPr>
                <w:rFonts w:ascii="Arial Narrow" w:hAnsi="Arial Narrow" w:cs="Times New Roman"/>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sz w:val="20"/>
                <w:highlight w:val="black"/>
              </w:rPr>
            </w:pPr>
            <w:r>
              <w:rPr>
                <w:rFonts w:ascii="Arial Narrow" w:hAnsi="Arial Narrow" w:cs="Times New Roman"/>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sz w:val="20"/>
                <w:highlight w:val="black"/>
              </w:rPr>
            </w:pPr>
            <w:r>
              <w:rPr>
                <w:rFonts w:ascii="Arial Narrow" w:hAnsi="Arial Narrow" w:cs="Times New Roman"/>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sz w:val="20"/>
                <w:highlight w:val="black"/>
              </w:rPr>
            </w:pPr>
            <w:r>
              <w:rPr>
                <w:rFonts w:ascii="Arial Narrow" w:hAnsi="Arial Narrow" w:cs="Times New Roman"/>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sz w:val="20"/>
                <w:highlight w:val="black"/>
              </w:rPr>
            </w:pPr>
            <w:r>
              <w:rPr>
                <w:rFonts w:ascii="Arial Narrow" w:hAnsi="Arial Narrow" w:cs="Times New Roman"/>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cs="Times New Roman"/>
                <w:sz w:val="20"/>
                <w:highlight w:val="black"/>
                <w:lang w:eastAsia="en-AU"/>
              </w:rPr>
            </w:pPr>
            <w:r>
              <w:rPr>
                <w:rFonts w:ascii="Arial Narrow" w:hAnsi="Arial Narrow" w:cs="Times New Roman"/>
                <w:noProof/>
                <w:color w:val="000000"/>
                <w:sz w:val="20"/>
                <w:highlight w:val="black"/>
                <w:lang w:eastAsia="en-AU"/>
              </w:rPr>
              <w:t>'''''''''''''</w:t>
            </w:r>
          </w:p>
        </w:tc>
      </w:tr>
      <w:tr w:rsidR="00A9736F" w:rsidRPr="00600064" w:rsidTr="00D2363A">
        <w:tc>
          <w:tcPr>
            <w:tcW w:w="2694" w:type="dxa"/>
            <w:shd w:val="clear" w:color="auto" w:fill="auto"/>
            <w:vAlign w:val="center"/>
          </w:tcPr>
          <w:p w:rsidR="00205E22" w:rsidRPr="00600064" w:rsidRDefault="00205E22" w:rsidP="0022555D">
            <w:pPr>
              <w:tabs>
                <w:tab w:val="left" w:pos="142"/>
              </w:tabs>
              <w:ind w:right="93"/>
              <w:jc w:val="left"/>
              <w:rPr>
                <w:rFonts w:ascii="Arial Narrow" w:hAnsi="Arial Narrow"/>
                <w:sz w:val="20"/>
              </w:rPr>
            </w:pPr>
            <w:r w:rsidRPr="00600064">
              <w:rPr>
                <w:rFonts w:ascii="Arial Narrow" w:hAnsi="Arial Narrow"/>
                <w:sz w:val="20"/>
              </w:rPr>
              <w:t>Nivolumab infusions</w:t>
            </w:r>
            <w:r w:rsidRPr="00600064">
              <w:rPr>
                <w:rFonts w:ascii="Arial Narrow" w:hAnsi="Arial Narrow"/>
                <w:sz w:val="20"/>
                <w:vertAlign w:val="superscript"/>
              </w:rPr>
              <w:t>1</w:t>
            </w:r>
          </w:p>
        </w:tc>
        <w:tc>
          <w:tcPr>
            <w:tcW w:w="1060" w:type="dxa"/>
            <w:shd w:val="clear" w:color="auto" w:fill="auto"/>
            <w:vAlign w:val="center"/>
          </w:tcPr>
          <w:p w:rsidR="00205E22" w:rsidRPr="003A224F" w:rsidRDefault="003A224F" w:rsidP="0066585A">
            <w:pPr>
              <w:ind w:right="93"/>
              <w:jc w:val="center"/>
              <w:rPr>
                <w:rFonts w:ascii="Arial Narrow" w:hAnsi="Arial Narrow"/>
                <w:bCs/>
                <w:color w:val="000000"/>
                <w:sz w:val="20"/>
                <w:highlight w:val="black"/>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color w:val="000000"/>
                <w:sz w:val="20"/>
                <w:highlight w:val="black"/>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color w:val="000000"/>
                <w:sz w:val="20"/>
                <w:highlight w:val="black"/>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color w:val="000000"/>
                <w:sz w:val="20"/>
                <w:highlight w:val="black"/>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bCs/>
                <w:color w:val="000000"/>
                <w:sz w:val="20"/>
                <w:highlight w:val="black"/>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895565" w:rsidRPr="00600064" w:rsidRDefault="00895565" w:rsidP="00577717">
            <w:pPr>
              <w:tabs>
                <w:tab w:val="left" w:pos="142"/>
              </w:tabs>
              <w:ind w:right="93"/>
              <w:jc w:val="left"/>
              <w:rPr>
                <w:rFonts w:ascii="Arial Narrow" w:hAnsi="Arial Narrow"/>
                <w:sz w:val="20"/>
              </w:rPr>
            </w:pPr>
            <w:r w:rsidRPr="00600064">
              <w:rPr>
                <w:rFonts w:ascii="Arial Narrow" w:hAnsi="Arial Narrow"/>
                <w:sz w:val="20"/>
              </w:rPr>
              <w:t>Nivolumab infusions</w:t>
            </w:r>
            <w:r w:rsidRPr="00600064">
              <w:rPr>
                <w:rFonts w:ascii="Arial Narrow" w:hAnsi="Arial Narrow"/>
                <w:sz w:val="20"/>
                <w:vertAlign w:val="superscript"/>
              </w:rPr>
              <w:t>2</w:t>
            </w:r>
          </w:p>
          <w:p w:rsidR="00895565" w:rsidRPr="00600064" w:rsidRDefault="00B06AE6" w:rsidP="00B53553">
            <w:pPr>
              <w:tabs>
                <w:tab w:val="left" w:pos="142"/>
              </w:tabs>
              <w:ind w:right="93"/>
              <w:jc w:val="left"/>
              <w:rPr>
                <w:rFonts w:ascii="Arial Narrow" w:hAnsi="Arial Narrow"/>
                <w:sz w:val="20"/>
              </w:rPr>
            </w:pPr>
            <w:r w:rsidRPr="00600064">
              <w:rPr>
                <w:rFonts w:ascii="Arial Narrow" w:hAnsi="Arial Narrow"/>
                <w:sz w:val="20"/>
              </w:rPr>
              <w:t xml:space="preserve">July </w:t>
            </w:r>
            <w:r w:rsidR="00895565" w:rsidRPr="00600064">
              <w:rPr>
                <w:rFonts w:ascii="Arial Narrow" w:hAnsi="Arial Narrow"/>
                <w:sz w:val="20"/>
              </w:rPr>
              <w:t xml:space="preserve">2016 </w:t>
            </w:r>
            <w:r w:rsidR="00B53553" w:rsidRPr="00600064">
              <w:rPr>
                <w:rFonts w:ascii="Arial Narrow" w:hAnsi="Arial Narrow"/>
                <w:sz w:val="20"/>
              </w:rPr>
              <w:t>s</w:t>
            </w:r>
            <w:r w:rsidR="00895565" w:rsidRPr="00600064">
              <w:rPr>
                <w:rFonts w:ascii="Arial Narrow" w:hAnsi="Arial Narrow"/>
                <w:sz w:val="20"/>
              </w:rPr>
              <w:t>ubmission</w:t>
            </w:r>
          </w:p>
        </w:tc>
        <w:tc>
          <w:tcPr>
            <w:tcW w:w="1060" w:type="dxa"/>
            <w:shd w:val="clear" w:color="auto" w:fill="auto"/>
            <w:vAlign w:val="center"/>
          </w:tcPr>
          <w:p w:rsidR="00895565"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895565"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895565"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895565"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895565"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895565"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C35883" w:rsidRPr="00600064" w:rsidTr="00D2363A">
        <w:tc>
          <w:tcPr>
            <w:tcW w:w="2694" w:type="dxa"/>
            <w:shd w:val="clear" w:color="auto" w:fill="auto"/>
            <w:vAlign w:val="center"/>
          </w:tcPr>
          <w:p w:rsidR="00C35883" w:rsidRPr="00600064" w:rsidRDefault="00C35883" w:rsidP="00474A74">
            <w:pPr>
              <w:tabs>
                <w:tab w:val="left" w:pos="142"/>
              </w:tabs>
              <w:ind w:right="93"/>
              <w:rPr>
                <w:rFonts w:ascii="Arial Narrow" w:hAnsi="Arial Narrow"/>
                <w:sz w:val="20"/>
              </w:rPr>
            </w:pPr>
            <w:r w:rsidRPr="00600064">
              <w:rPr>
                <w:rFonts w:ascii="Arial Narrow" w:hAnsi="Arial Narrow"/>
                <w:sz w:val="20"/>
              </w:rPr>
              <w:t>Nivolumab infusions</w:t>
            </w:r>
          </w:p>
          <w:p w:rsidR="00C35883" w:rsidRPr="00600064" w:rsidRDefault="00C35883" w:rsidP="00474A74">
            <w:pPr>
              <w:tabs>
                <w:tab w:val="left" w:pos="142"/>
              </w:tabs>
              <w:ind w:right="93"/>
              <w:rPr>
                <w:rFonts w:ascii="Arial Narrow" w:hAnsi="Arial Narrow"/>
                <w:sz w:val="20"/>
                <w:vertAlign w:val="superscript"/>
              </w:rPr>
            </w:pPr>
            <w:r w:rsidRPr="00600064">
              <w:rPr>
                <w:rFonts w:ascii="Arial Narrow" w:hAnsi="Arial Narrow"/>
                <w:sz w:val="20"/>
              </w:rPr>
              <w:t xml:space="preserve">March 2017 financial-addendum </w:t>
            </w:r>
            <w:r w:rsidR="00020B2D" w:rsidRPr="00600064">
              <w:rPr>
                <w:rFonts w:ascii="Arial Narrow" w:hAnsi="Arial Narrow"/>
                <w:sz w:val="20"/>
              </w:rPr>
              <w:t>“</w:t>
            </w:r>
            <w:r w:rsidRPr="00600064">
              <w:rPr>
                <w:rFonts w:ascii="Arial Narrow" w:hAnsi="Arial Narrow"/>
                <w:sz w:val="20"/>
              </w:rPr>
              <w:t xml:space="preserve">PBAC </w:t>
            </w:r>
            <w:r w:rsidR="00020B2D" w:rsidRPr="00600064">
              <w:rPr>
                <w:rFonts w:ascii="Arial Narrow" w:hAnsi="Arial Narrow"/>
                <w:sz w:val="20"/>
              </w:rPr>
              <w:t xml:space="preserve">amended </w:t>
            </w:r>
            <w:r w:rsidRPr="00600064">
              <w:rPr>
                <w:rFonts w:ascii="Arial Narrow" w:hAnsi="Arial Narrow"/>
                <w:sz w:val="20"/>
              </w:rPr>
              <w:t>base case</w:t>
            </w:r>
            <w:r w:rsidR="00020B2D" w:rsidRPr="00600064">
              <w:rPr>
                <w:rFonts w:ascii="Arial Narrow" w:hAnsi="Arial Narrow"/>
                <w:sz w:val="20"/>
              </w:rPr>
              <w:t>”</w:t>
            </w:r>
            <w:r w:rsidRPr="00600064">
              <w:rPr>
                <w:rFonts w:ascii="Arial Narrow" w:hAnsi="Arial Narrow"/>
                <w:sz w:val="20"/>
                <w:vertAlign w:val="superscript"/>
              </w:rPr>
              <w:t>3</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78" w:type="dxa"/>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r>
      <w:tr w:rsidR="00C35883" w:rsidRPr="00600064" w:rsidTr="00D2363A">
        <w:tc>
          <w:tcPr>
            <w:tcW w:w="2694" w:type="dxa"/>
            <w:shd w:val="clear" w:color="auto" w:fill="auto"/>
            <w:vAlign w:val="center"/>
          </w:tcPr>
          <w:p w:rsidR="00C35883" w:rsidRPr="00600064" w:rsidRDefault="00C35883" w:rsidP="00474A74">
            <w:pPr>
              <w:tabs>
                <w:tab w:val="left" w:pos="142"/>
              </w:tabs>
              <w:ind w:right="93"/>
              <w:rPr>
                <w:rFonts w:ascii="Arial Narrow" w:hAnsi="Arial Narrow"/>
                <w:sz w:val="20"/>
              </w:rPr>
            </w:pPr>
            <w:r w:rsidRPr="00600064">
              <w:rPr>
                <w:rFonts w:ascii="Arial Narrow" w:hAnsi="Arial Narrow"/>
                <w:sz w:val="20"/>
              </w:rPr>
              <w:t>Nivolumab infusions</w:t>
            </w:r>
          </w:p>
          <w:p w:rsidR="00C35883" w:rsidRPr="00600064" w:rsidRDefault="00C35883" w:rsidP="00474A74">
            <w:pPr>
              <w:tabs>
                <w:tab w:val="left" w:pos="142"/>
              </w:tabs>
              <w:ind w:right="93"/>
              <w:rPr>
                <w:rFonts w:ascii="Arial Narrow" w:hAnsi="Arial Narrow"/>
                <w:sz w:val="20"/>
                <w:vertAlign w:val="superscript"/>
              </w:rPr>
            </w:pPr>
            <w:r w:rsidRPr="00600064">
              <w:rPr>
                <w:rFonts w:ascii="Arial Narrow" w:hAnsi="Arial Narrow"/>
                <w:sz w:val="20"/>
              </w:rPr>
              <w:t xml:space="preserve">March 2017 financial-addendum </w:t>
            </w:r>
            <w:r w:rsidR="00020B2D" w:rsidRPr="00600064">
              <w:rPr>
                <w:rFonts w:ascii="Arial Narrow" w:hAnsi="Arial Narrow"/>
                <w:sz w:val="20"/>
              </w:rPr>
              <w:t>“</w:t>
            </w:r>
            <w:r w:rsidRPr="00600064">
              <w:rPr>
                <w:rFonts w:ascii="Arial Narrow" w:hAnsi="Arial Narrow"/>
                <w:sz w:val="20"/>
              </w:rPr>
              <w:t xml:space="preserve">sponsor </w:t>
            </w:r>
            <w:r w:rsidR="00020B2D" w:rsidRPr="00600064">
              <w:rPr>
                <w:rFonts w:ascii="Arial Narrow" w:hAnsi="Arial Narrow"/>
                <w:sz w:val="20"/>
              </w:rPr>
              <w:t xml:space="preserve">amended </w:t>
            </w:r>
            <w:r w:rsidRPr="00600064">
              <w:rPr>
                <w:rFonts w:ascii="Arial Narrow" w:hAnsi="Arial Narrow"/>
                <w:sz w:val="20"/>
              </w:rPr>
              <w:t>base case</w:t>
            </w:r>
            <w:r w:rsidR="00020B2D" w:rsidRPr="00600064">
              <w:rPr>
                <w:rFonts w:ascii="Arial Narrow" w:hAnsi="Arial Narrow"/>
                <w:sz w:val="20"/>
              </w:rPr>
              <w:t>”</w:t>
            </w:r>
            <w:r w:rsidRPr="00600064">
              <w:rPr>
                <w:rFonts w:ascii="Arial Narrow" w:hAnsi="Arial Narrow"/>
                <w:sz w:val="20"/>
                <w:vertAlign w:val="superscript"/>
              </w:rPr>
              <w:t>4</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60" w:type="dxa"/>
            <w:shd w:val="clear" w:color="auto" w:fill="auto"/>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c>
          <w:tcPr>
            <w:tcW w:w="1078" w:type="dxa"/>
            <w:vAlign w:val="center"/>
          </w:tcPr>
          <w:p w:rsidR="00C35883" w:rsidRPr="003A224F" w:rsidRDefault="003A224F" w:rsidP="00D2363A">
            <w:pPr>
              <w:ind w:right="93"/>
              <w:jc w:val="center"/>
              <w:rPr>
                <w:rFonts w:ascii="Arial Narrow" w:hAnsi="Arial Narrow"/>
                <w:highlight w:val="black"/>
              </w:rPr>
            </w:pPr>
            <w:r>
              <w:rPr>
                <w:rFonts w:ascii="Arial Narrow" w:hAnsi="Arial Narrow"/>
                <w:noProof/>
                <w:color w:val="000000"/>
                <w:sz w:val="20"/>
                <w:highlight w:val="black"/>
              </w:rPr>
              <w:t>''''''''''''''''</w:t>
            </w:r>
          </w:p>
        </w:tc>
      </w:tr>
      <w:tr w:rsidR="00205E22" w:rsidRPr="00600064" w:rsidTr="00B53553">
        <w:tc>
          <w:tcPr>
            <w:tcW w:w="9072" w:type="dxa"/>
            <w:gridSpan w:val="7"/>
            <w:shd w:val="clear" w:color="auto" w:fill="auto"/>
            <w:vAlign w:val="center"/>
          </w:tcPr>
          <w:p w:rsidR="00205E22" w:rsidRPr="00600064" w:rsidRDefault="00205E22" w:rsidP="00577717">
            <w:pPr>
              <w:ind w:right="93"/>
              <w:jc w:val="left"/>
              <w:rPr>
                <w:rFonts w:ascii="Arial Narrow" w:hAnsi="Arial Narrow"/>
                <w:b/>
                <w:bCs/>
                <w:color w:val="000000"/>
                <w:sz w:val="20"/>
              </w:rPr>
            </w:pPr>
            <w:r w:rsidRPr="00600064">
              <w:rPr>
                <w:rFonts w:ascii="Arial Narrow" w:hAnsi="Arial Narrow"/>
                <w:b/>
                <w:bCs/>
                <w:color w:val="000000"/>
                <w:sz w:val="20"/>
              </w:rPr>
              <w:t>Estimated net cost to government</w:t>
            </w:r>
            <w:r w:rsidR="000929F8" w:rsidRPr="00600064">
              <w:rPr>
                <w:rFonts w:ascii="Arial Narrow" w:hAnsi="Arial Narrow"/>
                <w:b/>
                <w:bCs/>
                <w:color w:val="000000"/>
                <w:sz w:val="20"/>
              </w:rPr>
              <w:t>, $</w:t>
            </w:r>
          </w:p>
        </w:tc>
      </w:tr>
      <w:tr w:rsidR="00A9736F" w:rsidRPr="00600064" w:rsidTr="00D2363A">
        <w:tc>
          <w:tcPr>
            <w:tcW w:w="2694" w:type="dxa"/>
            <w:shd w:val="clear" w:color="auto" w:fill="auto"/>
            <w:vAlign w:val="center"/>
          </w:tcPr>
          <w:p w:rsidR="00205E22" w:rsidRPr="00600064" w:rsidRDefault="00205E22" w:rsidP="00577717">
            <w:pPr>
              <w:tabs>
                <w:tab w:val="left" w:pos="142"/>
              </w:tabs>
              <w:ind w:right="93"/>
              <w:jc w:val="left"/>
              <w:rPr>
                <w:rFonts w:ascii="Arial Narrow" w:hAnsi="Arial Narrow"/>
                <w:sz w:val="20"/>
              </w:rPr>
            </w:pPr>
            <w:r w:rsidRPr="00600064">
              <w:rPr>
                <w:rFonts w:ascii="Arial Narrow" w:hAnsi="Arial Narrow"/>
                <w:sz w:val="20"/>
              </w:rPr>
              <w:t>Net cost to PBS/RPBS</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64536F" w:rsidRPr="00600064" w:rsidRDefault="0064536F" w:rsidP="00577717">
            <w:pPr>
              <w:tabs>
                <w:tab w:val="left" w:pos="142"/>
              </w:tabs>
              <w:ind w:right="93"/>
              <w:jc w:val="left"/>
              <w:rPr>
                <w:rFonts w:ascii="Arial Narrow" w:hAnsi="Arial Narrow"/>
                <w:sz w:val="20"/>
              </w:rPr>
            </w:pPr>
            <w:r w:rsidRPr="00600064">
              <w:rPr>
                <w:rFonts w:ascii="Arial Narrow" w:hAnsi="Arial Narrow"/>
                <w:sz w:val="20"/>
              </w:rPr>
              <w:t>Net cost to PBS/RPBS</w:t>
            </w:r>
          </w:p>
          <w:p w:rsidR="0064536F" w:rsidRPr="00600064" w:rsidRDefault="00B06AE6" w:rsidP="00B53553">
            <w:pPr>
              <w:tabs>
                <w:tab w:val="left" w:pos="142"/>
              </w:tabs>
              <w:ind w:right="93"/>
              <w:jc w:val="left"/>
              <w:rPr>
                <w:rFonts w:ascii="Arial Narrow" w:hAnsi="Arial Narrow"/>
                <w:sz w:val="20"/>
              </w:rPr>
            </w:pPr>
            <w:r w:rsidRPr="00600064">
              <w:rPr>
                <w:rFonts w:ascii="Arial Narrow" w:hAnsi="Arial Narrow"/>
                <w:sz w:val="20"/>
              </w:rPr>
              <w:t xml:space="preserve">July </w:t>
            </w:r>
            <w:r w:rsidR="0064536F" w:rsidRPr="00600064">
              <w:rPr>
                <w:rFonts w:ascii="Arial Narrow" w:hAnsi="Arial Narrow"/>
                <w:sz w:val="20"/>
              </w:rPr>
              <w:t xml:space="preserve">2016 </w:t>
            </w:r>
            <w:r w:rsidR="00B53553" w:rsidRPr="00600064">
              <w:rPr>
                <w:rFonts w:ascii="Arial Narrow" w:hAnsi="Arial Narrow"/>
                <w:sz w:val="20"/>
              </w:rPr>
              <w:t>s</w:t>
            </w:r>
            <w:r w:rsidR="0064536F" w:rsidRPr="00600064">
              <w:rPr>
                <w:rFonts w:ascii="Arial Narrow" w:hAnsi="Arial Narrow"/>
                <w:sz w:val="20"/>
              </w:rPr>
              <w:t>ubmission</w:t>
            </w:r>
          </w:p>
        </w:tc>
        <w:tc>
          <w:tcPr>
            <w:tcW w:w="1060" w:type="dxa"/>
            <w:shd w:val="clear" w:color="auto" w:fill="auto"/>
            <w:vAlign w:val="center"/>
          </w:tcPr>
          <w:p w:rsidR="00645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645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645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645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645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64536F"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205E22" w:rsidRPr="00600064" w:rsidRDefault="00205E22" w:rsidP="00577717">
            <w:pPr>
              <w:tabs>
                <w:tab w:val="left" w:pos="142"/>
              </w:tabs>
              <w:ind w:right="93"/>
              <w:jc w:val="left"/>
              <w:rPr>
                <w:rFonts w:ascii="Arial Narrow" w:hAnsi="Arial Narrow"/>
                <w:sz w:val="20"/>
                <w:vertAlign w:val="superscript"/>
              </w:rPr>
            </w:pPr>
            <w:r w:rsidRPr="00600064">
              <w:rPr>
                <w:rFonts w:ascii="Arial Narrow" w:hAnsi="Arial Narrow"/>
                <w:sz w:val="20"/>
              </w:rPr>
              <w:t>Net cost to MBS</w:t>
            </w:r>
            <w:r w:rsidR="00715CAC" w:rsidRPr="00600064">
              <w:rPr>
                <w:rFonts w:ascii="Arial Narrow" w:hAnsi="Arial Narrow"/>
                <w:sz w:val="20"/>
                <w:vertAlign w:val="superscript"/>
              </w:rPr>
              <w:t>5</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A9736F" w:rsidRPr="00600064" w:rsidRDefault="00A9736F" w:rsidP="00577717">
            <w:pPr>
              <w:tabs>
                <w:tab w:val="left" w:pos="142"/>
              </w:tabs>
              <w:ind w:right="93"/>
              <w:jc w:val="left"/>
              <w:rPr>
                <w:rFonts w:ascii="Arial Narrow" w:hAnsi="Arial Narrow"/>
                <w:sz w:val="20"/>
              </w:rPr>
            </w:pPr>
            <w:r w:rsidRPr="00600064">
              <w:rPr>
                <w:rFonts w:ascii="Arial Narrow" w:hAnsi="Arial Narrow"/>
                <w:sz w:val="20"/>
              </w:rPr>
              <w:t xml:space="preserve">Net cost to MBS </w:t>
            </w:r>
          </w:p>
          <w:p w:rsidR="00A9736F" w:rsidRPr="00600064" w:rsidRDefault="00B06AE6" w:rsidP="00B53553">
            <w:pPr>
              <w:tabs>
                <w:tab w:val="left" w:pos="142"/>
              </w:tabs>
              <w:ind w:right="93"/>
              <w:jc w:val="left"/>
              <w:rPr>
                <w:rFonts w:ascii="Arial Narrow" w:hAnsi="Arial Narrow"/>
                <w:sz w:val="20"/>
              </w:rPr>
            </w:pPr>
            <w:r w:rsidRPr="00600064">
              <w:rPr>
                <w:rFonts w:ascii="Arial Narrow" w:hAnsi="Arial Narrow"/>
                <w:sz w:val="20"/>
              </w:rPr>
              <w:t xml:space="preserve">July </w:t>
            </w:r>
            <w:r w:rsidR="00A9736F" w:rsidRPr="00600064">
              <w:rPr>
                <w:rFonts w:ascii="Arial Narrow" w:hAnsi="Arial Narrow"/>
                <w:sz w:val="20"/>
              </w:rPr>
              <w:t xml:space="preserve">2016 </w:t>
            </w:r>
            <w:r w:rsidR="00B53553" w:rsidRPr="00600064">
              <w:rPr>
                <w:rFonts w:ascii="Arial Narrow" w:hAnsi="Arial Narrow"/>
                <w:sz w:val="20"/>
              </w:rPr>
              <w:t>s</w:t>
            </w:r>
            <w:r w:rsidR="00A9736F" w:rsidRPr="00600064">
              <w:rPr>
                <w:rFonts w:ascii="Arial Narrow" w:hAnsi="Arial Narrow"/>
                <w:sz w:val="20"/>
              </w:rPr>
              <w:t>ubmission</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A9736F"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A9736F" w:rsidRPr="00600064" w:rsidTr="00D2363A">
        <w:tc>
          <w:tcPr>
            <w:tcW w:w="2694" w:type="dxa"/>
            <w:shd w:val="clear" w:color="auto" w:fill="auto"/>
            <w:vAlign w:val="center"/>
          </w:tcPr>
          <w:p w:rsidR="00205E22" w:rsidRPr="00600064" w:rsidRDefault="00205E22" w:rsidP="00577717">
            <w:pPr>
              <w:tabs>
                <w:tab w:val="left" w:pos="142"/>
              </w:tabs>
              <w:ind w:right="93"/>
              <w:jc w:val="left"/>
              <w:rPr>
                <w:rFonts w:ascii="Arial Narrow" w:hAnsi="Arial Narrow"/>
                <w:sz w:val="20"/>
              </w:rPr>
            </w:pPr>
            <w:r w:rsidRPr="00600064">
              <w:rPr>
                <w:rFonts w:ascii="Arial Narrow" w:hAnsi="Arial Narrow"/>
                <w:sz w:val="20"/>
              </w:rPr>
              <w:t>Net cost to State and Territory governments</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r>
      <w:tr w:rsidR="00A9736F" w:rsidRPr="00600064" w:rsidTr="00D2363A">
        <w:tc>
          <w:tcPr>
            <w:tcW w:w="2694" w:type="dxa"/>
            <w:shd w:val="clear" w:color="auto" w:fill="auto"/>
            <w:vAlign w:val="center"/>
          </w:tcPr>
          <w:p w:rsidR="00205E22" w:rsidRPr="00600064" w:rsidRDefault="00205E22" w:rsidP="00577717">
            <w:pPr>
              <w:tabs>
                <w:tab w:val="left" w:pos="142"/>
              </w:tabs>
              <w:ind w:right="93"/>
              <w:jc w:val="left"/>
              <w:rPr>
                <w:rFonts w:ascii="Arial Narrow" w:hAnsi="Arial Narrow"/>
                <w:sz w:val="20"/>
              </w:rPr>
            </w:pPr>
            <w:r w:rsidRPr="00600064">
              <w:rPr>
                <w:rFonts w:ascii="Arial Narrow" w:hAnsi="Arial Narrow"/>
                <w:sz w:val="20"/>
              </w:rPr>
              <w:t>Net cost to State and Territory governments</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c>
          <w:tcPr>
            <w:tcW w:w="1078" w:type="dxa"/>
            <w:vAlign w:val="center"/>
          </w:tcPr>
          <w:p w:rsidR="00205E22" w:rsidRPr="003A224F" w:rsidRDefault="003A224F" w:rsidP="0066585A">
            <w:pPr>
              <w:ind w:right="93"/>
              <w:jc w:val="center"/>
              <w:rPr>
                <w:rFonts w:ascii="Arial Narrow" w:hAnsi="Arial Narrow"/>
                <w:sz w:val="20"/>
                <w:highlight w:val="black"/>
              </w:rPr>
            </w:pPr>
            <w:r>
              <w:rPr>
                <w:rFonts w:ascii="Arial Narrow" w:hAnsi="Arial Narrow"/>
                <w:noProof/>
                <w:color w:val="000000"/>
                <w:sz w:val="20"/>
                <w:highlight w:val="black"/>
              </w:rPr>
              <w:t>'''''''''''''''''''''</w:t>
            </w:r>
          </w:p>
        </w:tc>
      </w:tr>
      <w:tr w:rsidR="00205E22" w:rsidRPr="00600064" w:rsidTr="00B53553">
        <w:tc>
          <w:tcPr>
            <w:tcW w:w="9072" w:type="dxa"/>
            <w:gridSpan w:val="7"/>
            <w:shd w:val="clear" w:color="auto" w:fill="auto"/>
            <w:vAlign w:val="center"/>
          </w:tcPr>
          <w:p w:rsidR="00205E22" w:rsidRPr="00600064" w:rsidRDefault="00205E22" w:rsidP="00577717">
            <w:pPr>
              <w:ind w:right="93"/>
              <w:jc w:val="left"/>
              <w:rPr>
                <w:rFonts w:ascii="Arial Narrow" w:hAnsi="Arial Narrow"/>
                <w:b/>
                <w:color w:val="000000"/>
                <w:sz w:val="20"/>
              </w:rPr>
            </w:pPr>
            <w:r w:rsidRPr="00600064">
              <w:rPr>
                <w:rFonts w:ascii="Arial Narrow" w:hAnsi="Arial Narrow"/>
                <w:b/>
                <w:color w:val="000000"/>
                <w:sz w:val="20"/>
              </w:rPr>
              <w:t>Estimated total net cost</w:t>
            </w:r>
          </w:p>
        </w:tc>
      </w:tr>
      <w:tr w:rsidR="00A9736F" w:rsidRPr="00600064" w:rsidTr="00D2363A">
        <w:tc>
          <w:tcPr>
            <w:tcW w:w="2694" w:type="dxa"/>
            <w:shd w:val="clear" w:color="auto" w:fill="auto"/>
            <w:vAlign w:val="center"/>
          </w:tcPr>
          <w:p w:rsidR="00205E22" w:rsidRPr="00600064" w:rsidRDefault="00205E22" w:rsidP="00A70E90">
            <w:pPr>
              <w:tabs>
                <w:tab w:val="left" w:pos="142"/>
              </w:tabs>
              <w:ind w:right="93"/>
              <w:jc w:val="left"/>
              <w:rPr>
                <w:rFonts w:ascii="Arial Narrow" w:hAnsi="Arial Narrow"/>
                <w:b/>
                <w:bCs/>
                <w:color w:val="000000"/>
                <w:sz w:val="20"/>
                <w:vertAlign w:val="superscript"/>
              </w:rPr>
            </w:pPr>
            <w:r w:rsidRPr="00600064">
              <w:rPr>
                <w:rFonts w:ascii="Arial Narrow" w:hAnsi="Arial Narrow"/>
                <w:b/>
                <w:bCs/>
                <w:color w:val="000000"/>
                <w:sz w:val="20"/>
              </w:rPr>
              <w:t>Net cost government</w:t>
            </w:r>
            <w:r w:rsidR="00715CAC" w:rsidRPr="00600064">
              <w:rPr>
                <w:rFonts w:ascii="Arial Narrow" w:hAnsi="Arial Narrow"/>
                <w:b/>
                <w:bCs/>
                <w:color w:val="000000"/>
                <w:sz w:val="20"/>
                <w:vertAlign w:val="superscript"/>
              </w:rPr>
              <w:t>5</w:t>
            </w:r>
          </w:p>
          <w:p w:rsidR="00C35883" w:rsidRPr="00600064" w:rsidRDefault="00C35883" w:rsidP="00A70E90">
            <w:pPr>
              <w:tabs>
                <w:tab w:val="left" w:pos="142"/>
              </w:tabs>
              <w:ind w:right="93"/>
              <w:jc w:val="left"/>
              <w:rPr>
                <w:rFonts w:ascii="Arial Narrow" w:hAnsi="Arial Narrow"/>
                <w:b/>
                <w:sz w:val="20"/>
              </w:rPr>
            </w:pPr>
            <w:r w:rsidRPr="00600064">
              <w:rPr>
                <w:rFonts w:ascii="Arial Narrow" w:hAnsi="Arial Narrow"/>
                <w:b/>
                <w:bCs/>
                <w:color w:val="000000"/>
                <w:sz w:val="20"/>
              </w:rPr>
              <w:t>March 2017 resubmission</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205E22"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r>
      <w:tr w:rsidR="00A9736F" w:rsidRPr="00600064" w:rsidTr="00D2363A">
        <w:tc>
          <w:tcPr>
            <w:tcW w:w="2694" w:type="dxa"/>
            <w:shd w:val="clear" w:color="auto" w:fill="auto"/>
            <w:vAlign w:val="center"/>
          </w:tcPr>
          <w:p w:rsidR="00A9736F" w:rsidRPr="00600064" w:rsidRDefault="00A9736F" w:rsidP="00577717">
            <w:pPr>
              <w:tabs>
                <w:tab w:val="left" w:pos="142"/>
              </w:tabs>
              <w:ind w:right="93"/>
              <w:jc w:val="left"/>
              <w:rPr>
                <w:rFonts w:ascii="Arial Narrow" w:hAnsi="Arial Narrow"/>
                <w:bCs/>
                <w:sz w:val="20"/>
              </w:rPr>
            </w:pPr>
            <w:r w:rsidRPr="00600064">
              <w:rPr>
                <w:rFonts w:ascii="Arial Narrow" w:hAnsi="Arial Narrow"/>
                <w:bCs/>
                <w:sz w:val="20"/>
              </w:rPr>
              <w:t xml:space="preserve">Net cost government </w:t>
            </w:r>
          </w:p>
          <w:p w:rsidR="00A9736F" w:rsidRPr="00600064" w:rsidRDefault="00B06AE6" w:rsidP="00B53553">
            <w:pPr>
              <w:tabs>
                <w:tab w:val="left" w:pos="142"/>
              </w:tabs>
              <w:ind w:right="93"/>
              <w:jc w:val="left"/>
              <w:rPr>
                <w:rFonts w:ascii="Arial Narrow" w:hAnsi="Arial Narrow"/>
                <w:sz w:val="20"/>
              </w:rPr>
            </w:pPr>
            <w:r w:rsidRPr="00600064">
              <w:rPr>
                <w:rFonts w:ascii="Arial Narrow" w:hAnsi="Arial Narrow"/>
                <w:sz w:val="20"/>
              </w:rPr>
              <w:t xml:space="preserve">July </w:t>
            </w:r>
            <w:r w:rsidR="00A9736F" w:rsidRPr="00600064">
              <w:rPr>
                <w:rFonts w:ascii="Arial Narrow" w:hAnsi="Arial Narrow"/>
                <w:sz w:val="20"/>
              </w:rPr>
              <w:t xml:space="preserve">2016 </w:t>
            </w:r>
            <w:r w:rsidR="00B53553" w:rsidRPr="00600064">
              <w:rPr>
                <w:rFonts w:ascii="Arial Narrow" w:hAnsi="Arial Narrow"/>
                <w:sz w:val="20"/>
              </w:rPr>
              <w:t>s</w:t>
            </w:r>
            <w:r w:rsidR="00A9736F" w:rsidRPr="00600064">
              <w:rPr>
                <w:rFonts w:ascii="Arial Narrow" w:hAnsi="Arial Narrow"/>
                <w:sz w:val="20"/>
              </w:rPr>
              <w:t>ubmission</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60" w:type="dxa"/>
            <w:shd w:val="clear" w:color="auto" w:fill="auto"/>
            <w:vAlign w:val="center"/>
          </w:tcPr>
          <w:p w:rsidR="00A9736F"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078" w:type="dxa"/>
            <w:vAlign w:val="center"/>
          </w:tcPr>
          <w:p w:rsidR="00A9736F"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2B1F2D" w:rsidRPr="00600064" w:rsidTr="000F556D">
        <w:tc>
          <w:tcPr>
            <w:tcW w:w="9072" w:type="dxa"/>
            <w:gridSpan w:val="7"/>
            <w:shd w:val="clear" w:color="auto" w:fill="auto"/>
            <w:vAlign w:val="center"/>
          </w:tcPr>
          <w:p w:rsidR="002B1F2D" w:rsidRPr="00600064" w:rsidRDefault="002B1F2D" w:rsidP="002B1F2D">
            <w:pPr>
              <w:jc w:val="left"/>
              <w:rPr>
                <w:rFonts w:ascii="Arial Narrow" w:hAnsi="Arial Narrow"/>
                <w:b/>
                <w:sz w:val="20"/>
                <w:vertAlign w:val="superscript"/>
                <w:lang w:eastAsia="en-AU"/>
              </w:rPr>
            </w:pPr>
            <w:r w:rsidRPr="00600064">
              <w:rPr>
                <w:rFonts w:ascii="Arial Narrow" w:hAnsi="Arial Narrow"/>
                <w:b/>
                <w:bCs/>
                <w:sz w:val="20"/>
              </w:rPr>
              <w:t>Financial-addendum estimated costs.</w:t>
            </w:r>
            <w:r w:rsidR="00715CAC" w:rsidRPr="00600064">
              <w:rPr>
                <w:rFonts w:ascii="Arial Narrow" w:hAnsi="Arial Narrow"/>
                <w:b/>
                <w:bCs/>
                <w:sz w:val="20"/>
                <w:vertAlign w:val="superscript"/>
              </w:rPr>
              <w:t>6</w:t>
            </w:r>
          </w:p>
        </w:tc>
      </w:tr>
      <w:tr w:rsidR="00A65156" w:rsidRPr="00600064" w:rsidTr="00D2363A">
        <w:tc>
          <w:tcPr>
            <w:tcW w:w="2694" w:type="dxa"/>
            <w:shd w:val="clear" w:color="auto" w:fill="auto"/>
            <w:vAlign w:val="center"/>
          </w:tcPr>
          <w:p w:rsidR="00A65156" w:rsidRPr="00600064" w:rsidRDefault="00A65156" w:rsidP="00474A74">
            <w:pPr>
              <w:tabs>
                <w:tab w:val="left" w:pos="142"/>
              </w:tabs>
              <w:ind w:right="93"/>
              <w:jc w:val="left"/>
              <w:rPr>
                <w:rFonts w:ascii="Arial Narrow" w:hAnsi="Arial Narrow"/>
                <w:bCs/>
                <w:sz w:val="20"/>
              </w:rPr>
            </w:pPr>
            <w:r w:rsidRPr="00600064">
              <w:rPr>
                <w:rFonts w:ascii="Arial Narrow" w:hAnsi="Arial Narrow"/>
                <w:bCs/>
                <w:sz w:val="20"/>
              </w:rPr>
              <w:t xml:space="preserve">Net cost to the PBS/RPBS </w:t>
            </w:r>
          </w:p>
          <w:p w:rsidR="00A65156" w:rsidRPr="00600064" w:rsidRDefault="00020B2D" w:rsidP="00474A74">
            <w:pPr>
              <w:tabs>
                <w:tab w:val="left" w:pos="142"/>
              </w:tabs>
              <w:ind w:right="93"/>
              <w:jc w:val="left"/>
              <w:rPr>
                <w:rFonts w:ascii="Arial Narrow" w:hAnsi="Arial Narrow"/>
                <w:bCs/>
                <w:sz w:val="20"/>
              </w:rPr>
            </w:pPr>
            <w:r w:rsidRPr="00600064">
              <w:rPr>
                <w:rFonts w:ascii="Arial Narrow" w:hAnsi="Arial Narrow"/>
                <w:bCs/>
                <w:sz w:val="20"/>
              </w:rPr>
              <w:t>“</w:t>
            </w:r>
            <w:r w:rsidR="00A65156" w:rsidRPr="00600064">
              <w:rPr>
                <w:rFonts w:ascii="Arial Narrow" w:hAnsi="Arial Narrow"/>
                <w:bCs/>
                <w:sz w:val="20"/>
              </w:rPr>
              <w:t>PBAC amended base case</w:t>
            </w:r>
            <w:r w:rsidRPr="00600064">
              <w:rPr>
                <w:rFonts w:ascii="Arial Narrow" w:hAnsi="Arial Narrow"/>
                <w:bCs/>
                <w:sz w:val="20"/>
              </w:rPr>
              <w:t>”</w:t>
            </w:r>
            <w:r w:rsidR="00A65156" w:rsidRPr="00600064">
              <w:rPr>
                <w:rFonts w:ascii="Arial Narrow" w:hAnsi="Arial Narrow"/>
                <w:bCs/>
                <w:sz w:val="20"/>
              </w:rPr>
              <w:t>.</w:t>
            </w:r>
          </w:p>
        </w:tc>
        <w:tc>
          <w:tcPr>
            <w:tcW w:w="1060" w:type="dxa"/>
            <w:shd w:val="clear" w:color="auto" w:fill="auto"/>
            <w:vAlign w:val="center"/>
          </w:tcPr>
          <w:p w:rsidR="00A65156"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A65156"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A65156"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A65156"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A65156"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78" w:type="dxa"/>
            <w:vAlign w:val="center"/>
          </w:tcPr>
          <w:p w:rsidR="00A65156"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rPr>
              <w:t>''''''''''''''''''''''''''''''''</w:t>
            </w:r>
          </w:p>
        </w:tc>
      </w:tr>
      <w:tr w:rsidR="002B1F2D" w:rsidRPr="00600064" w:rsidTr="00D2363A">
        <w:tc>
          <w:tcPr>
            <w:tcW w:w="2694" w:type="dxa"/>
            <w:shd w:val="clear" w:color="auto" w:fill="auto"/>
            <w:vAlign w:val="center"/>
          </w:tcPr>
          <w:p w:rsidR="002B1F2D" w:rsidRPr="00600064" w:rsidRDefault="002B1F2D" w:rsidP="00577717">
            <w:pPr>
              <w:tabs>
                <w:tab w:val="left" w:pos="142"/>
              </w:tabs>
              <w:ind w:right="93"/>
              <w:jc w:val="left"/>
              <w:rPr>
                <w:rFonts w:ascii="Arial Narrow" w:hAnsi="Arial Narrow"/>
                <w:bCs/>
                <w:sz w:val="20"/>
              </w:rPr>
            </w:pPr>
            <w:r w:rsidRPr="00600064">
              <w:rPr>
                <w:rFonts w:ascii="Arial Narrow" w:hAnsi="Arial Narrow"/>
                <w:bCs/>
                <w:sz w:val="20"/>
              </w:rPr>
              <w:t xml:space="preserve">Net cost to the PBS/RPBS </w:t>
            </w:r>
            <w:r w:rsidR="00020B2D" w:rsidRPr="00600064">
              <w:rPr>
                <w:rFonts w:ascii="Arial Narrow" w:hAnsi="Arial Narrow"/>
                <w:bCs/>
                <w:sz w:val="20"/>
              </w:rPr>
              <w:t>“</w:t>
            </w:r>
            <w:r w:rsidRPr="00600064">
              <w:rPr>
                <w:rFonts w:ascii="Arial Narrow" w:hAnsi="Arial Narrow"/>
                <w:bCs/>
                <w:sz w:val="20"/>
              </w:rPr>
              <w:t>sponsor amended base case</w:t>
            </w:r>
            <w:r w:rsidR="00020B2D" w:rsidRPr="00600064">
              <w:rPr>
                <w:rFonts w:ascii="Arial Narrow" w:hAnsi="Arial Narrow"/>
                <w:bCs/>
                <w:sz w:val="20"/>
              </w:rPr>
              <w:t>”</w:t>
            </w:r>
            <w:r w:rsidRPr="00600064">
              <w:rPr>
                <w:rFonts w:ascii="Arial Narrow" w:hAnsi="Arial Narrow"/>
                <w:bCs/>
                <w:sz w:val="20"/>
              </w:rPr>
              <w:t>.</w:t>
            </w:r>
          </w:p>
        </w:tc>
        <w:tc>
          <w:tcPr>
            <w:tcW w:w="1060" w:type="dxa"/>
            <w:shd w:val="clear" w:color="auto" w:fill="auto"/>
            <w:vAlign w:val="center"/>
          </w:tcPr>
          <w:p w:rsidR="002B1F2D"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2B1F2D"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2B1F2D"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2B1F2D"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60" w:type="dxa"/>
            <w:shd w:val="clear" w:color="auto" w:fill="auto"/>
            <w:vAlign w:val="center"/>
          </w:tcPr>
          <w:p w:rsidR="002B1F2D" w:rsidRPr="003A224F" w:rsidRDefault="003A224F" w:rsidP="0066585A">
            <w:pPr>
              <w:ind w:right="93"/>
              <w:jc w:val="center"/>
              <w:rPr>
                <w:rFonts w:ascii="Arial Narrow" w:hAnsi="Arial Narrow"/>
                <w:sz w:val="20"/>
                <w:highlight w:val="black"/>
                <w:lang w:eastAsia="en-AU"/>
              </w:rPr>
            </w:pPr>
            <w:r>
              <w:rPr>
                <w:rFonts w:ascii="Arial Narrow" w:hAnsi="Arial Narrow"/>
                <w:noProof/>
                <w:color w:val="000000"/>
                <w:sz w:val="20"/>
                <w:highlight w:val="black"/>
              </w:rPr>
              <w:t>'''''''''''''''''''''''''</w:t>
            </w:r>
          </w:p>
        </w:tc>
        <w:tc>
          <w:tcPr>
            <w:tcW w:w="1078" w:type="dxa"/>
            <w:vAlign w:val="center"/>
          </w:tcPr>
          <w:p w:rsidR="002B1F2D" w:rsidRPr="003A224F" w:rsidRDefault="003A224F" w:rsidP="0066585A">
            <w:pPr>
              <w:jc w:val="center"/>
              <w:rPr>
                <w:rFonts w:ascii="Arial Narrow" w:hAnsi="Arial Narrow"/>
                <w:sz w:val="20"/>
                <w:highlight w:val="black"/>
                <w:lang w:eastAsia="en-AU"/>
              </w:rPr>
            </w:pPr>
            <w:r>
              <w:rPr>
                <w:rFonts w:ascii="Arial Narrow" w:hAnsi="Arial Narrow"/>
                <w:noProof/>
                <w:color w:val="000000"/>
                <w:sz w:val="20"/>
                <w:highlight w:val="black"/>
              </w:rPr>
              <w:t>'''''''''''''''''''''''''''</w:t>
            </w:r>
          </w:p>
        </w:tc>
      </w:tr>
    </w:tbl>
    <w:p w:rsidR="00A70E90" w:rsidRPr="00600064" w:rsidRDefault="0004231D" w:rsidP="00B53553">
      <w:pPr>
        <w:rPr>
          <w:rFonts w:ascii="Arial Narrow" w:hAnsi="Arial Narrow"/>
          <w:sz w:val="16"/>
          <w:szCs w:val="16"/>
          <w:lang w:eastAsia="en-AU"/>
        </w:rPr>
      </w:pPr>
      <w:r w:rsidRPr="00600064">
        <w:rPr>
          <w:rFonts w:ascii="Arial Narrow" w:hAnsi="Arial Narrow"/>
          <w:sz w:val="16"/>
          <w:szCs w:val="16"/>
          <w:lang w:eastAsia="en-AU"/>
        </w:rPr>
        <w:t>Source: Compiled during the evaluation</w:t>
      </w:r>
      <w:r w:rsidR="00A70E90" w:rsidRPr="00600064">
        <w:rPr>
          <w:rFonts w:ascii="Arial Narrow" w:hAnsi="Arial Narrow"/>
          <w:sz w:val="16"/>
          <w:szCs w:val="16"/>
          <w:lang w:eastAsia="en-AU"/>
        </w:rPr>
        <w:t xml:space="preserve"> </w:t>
      </w:r>
    </w:p>
    <w:p w:rsidR="00A70E90" w:rsidRPr="00600064" w:rsidRDefault="00A70E90" w:rsidP="00B53553">
      <w:pPr>
        <w:rPr>
          <w:rFonts w:ascii="Arial Narrow" w:hAnsi="Arial Narrow"/>
          <w:sz w:val="16"/>
          <w:szCs w:val="16"/>
          <w:lang w:eastAsia="en-AU"/>
        </w:rPr>
      </w:pPr>
      <w:r w:rsidRPr="00600064">
        <w:rPr>
          <w:rFonts w:ascii="Arial Narrow" w:hAnsi="Arial Narrow"/>
          <w:sz w:val="16"/>
          <w:szCs w:val="16"/>
          <w:lang w:eastAsia="en-AU"/>
        </w:rPr>
        <w:t xml:space="preserve">Abbreviations: MBS, Medicare Benefit Schedule; PBS, Pharmaceutical Benefits Scheme; RPBS, </w:t>
      </w:r>
      <w:r w:rsidR="00B53553" w:rsidRPr="00600064">
        <w:rPr>
          <w:rFonts w:ascii="Arial Narrow" w:hAnsi="Arial Narrow"/>
          <w:sz w:val="16"/>
          <w:szCs w:val="16"/>
          <w:lang w:eastAsia="en-AU"/>
        </w:rPr>
        <w:t>R</w:t>
      </w:r>
      <w:r w:rsidRPr="00600064">
        <w:rPr>
          <w:rFonts w:ascii="Arial Narrow" w:hAnsi="Arial Narrow"/>
          <w:sz w:val="16"/>
          <w:szCs w:val="16"/>
          <w:lang w:eastAsia="en-AU"/>
        </w:rPr>
        <w:t xml:space="preserve">epatriation </w:t>
      </w:r>
      <w:r w:rsidR="00B53553" w:rsidRPr="00600064">
        <w:rPr>
          <w:rFonts w:ascii="Arial Narrow" w:hAnsi="Arial Narrow"/>
          <w:sz w:val="16"/>
          <w:szCs w:val="16"/>
          <w:lang w:eastAsia="en-AU"/>
        </w:rPr>
        <w:t>P</w:t>
      </w:r>
      <w:r w:rsidRPr="00600064">
        <w:rPr>
          <w:rFonts w:ascii="Arial Narrow" w:hAnsi="Arial Narrow"/>
          <w:sz w:val="16"/>
          <w:szCs w:val="16"/>
          <w:lang w:eastAsia="en-AU"/>
        </w:rPr>
        <w:t xml:space="preserve">harmaceutical </w:t>
      </w:r>
      <w:r w:rsidR="00B53553" w:rsidRPr="00600064">
        <w:rPr>
          <w:rFonts w:ascii="Arial Narrow" w:hAnsi="Arial Narrow"/>
          <w:sz w:val="16"/>
          <w:szCs w:val="16"/>
          <w:lang w:eastAsia="en-AU"/>
        </w:rPr>
        <w:t>B</w:t>
      </w:r>
      <w:r w:rsidRPr="00600064">
        <w:rPr>
          <w:rFonts w:ascii="Arial Narrow" w:hAnsi="Arial Narrow"/>
          <w:sz w:val="16"/>
          <w:szCs w:val="16"/>
          <w:lang w:eastAsia="en-AU"/>
        </w:rPr>
        <w:t xml:space="preserve">enefits </w:t>
      </w:r>
      <w:r w:rsidR="00B53553" w:rsidRPr="00600064">
        <w:rPr>
          <w:rFonts w:ascii="Arial Narrow" w:hAnsi="Arial Narrow"/>
          <w:sz w:val="16"/>
          <w:szCs w:val="16"/>
          <w:lang w:eastAsia="en-AU"/>
        </w:rPr>
        <w:t>S</w:t>
      </w:r>
      <w:r w:rsidRPr="00600064">
        <w:rPr>
          <w:rFonts w:ascii="Arial Narrow" w:hAnsi="Arial Narrow"/>
          <w:sz w:val="16"/>
          <w:szCs w:val="16"/>
          <w:lang w:eastAsia="en-AU"/>
        </w:rPr>
        <w:t>cheme.</w:t>
      </w:r>
    </w:p>
    <w:p w:rsidR="0031443B" w:rsidRPr="00600064" w:rsidRDefault="0031443B" w:rsidP="00B53553">
      <w:pPr>
        <w:pStyle w:val="TableFooter"/>
        <w:rPr>
          <w:sz w:val="16"/>
          <w:szCs w:val="16"/>
        </w:rPr>
      </w:pPr>
      <w:proofErr w:type="gramStart"/>
      <w:r w:rsidRPr="00600064">
        <w:rPr>
          <w:sz w:val="16"/>
          <w:szCs w:val="16"/>
          <w:vertAlign w:val="superscript"/>
        </w:rPr>
        <w:t>1</w:t>
      </w:r>
      <w:r w:rsidRPr="00600064">
        <w:rPr>
          <w:sz w:val="16"/>
          <w:szCs w:val="16"/>
        </w:rPr>
        <w:t xml:space="preserve"> Mean </w:t>
      </w:r>
      <w:r w:rsidR="003A224F">
        <w:rPr>
          <w:noProof/>
          <w:color w:val="000000"/>
          <w:sz w:val="16"/>
          <w:szCs w:val="16"/>
          <w:highlight w:val="black"/>
        </w:rPr>
        <w:t>''''''''''</w:t>
      </w:r>
      <w:r w:rsidRPr="00600064">
        <w:rPr>
          <w:sz w:val="16"/>
          <w:szCs w:val="16"/>
        </w:rPr>
        <w:t xml:space="preserve"> infusions per treatment course.</w:t>
      </w:r>
      <w:proofErr w:type="gramEnd"/>
    </w:p>
    <w:p w:rsidR="0031443B" w:rsidRPr="00600064" w:rsidRDefault="0031443B" w:rsidP="00B53553">
      <w:pPr>
        <w:pStyle w:val="TableFooter"/>
        <w:rPr>
          <w:sz w:val="16"/>
          <w:szCs w:val="16"/>
        </w:rPr>
      </w:pPr>
      <w:r w:rsidRPr="00600064">
        <w:rPr>
          <w:sz w:val="16"/>
          <w:szCs w:val="16"/>
          <w:vertAlign w:val="superscript"/>
        </w:rPr>
        <w:t>2</w:t>
      </w:r>
      <w:r w:rsidRPr="00600064">
        <w:rPr>
          <w:sz w:val="16"/>
          <w:szCs w:val="16"/>
        </w:rPr>
        <w:t xml:space="preserve"> Mean </w:t>
      </w:r>
      <w:r w:rsidRPr="00EB2FFB">
        <w:rPr>
          <w:sz w:val="16"/>
          <w:szCs w:val="16"/>
        </w:rPr>
        <w:t>19.2</w:t>
      </w:r>
      <w:r w:rsidRPr="00600064">
        <w:rPr>
          <w:sz w:val="16"/>
          <w:szCs w:val="16"/>
        </w:rPr>
        <w:t xml:space="preserve"> infusions per treatment course.</w:t>
      </w:r>
    </w:p>
    <w:p w:rsidR="00715CAC" w:rsidRPr="00600064" w:rsidRDefault="00715CAC" w:rsidP="00715CAC">
      <w:pPr>
        <w:pStyle w:val="TableFooter"/>
        <w:rPr>
          <w:sz w:val="16"/>
          <w:szCs w:val="16"/>
        </w:rPr>
      </w:pPr>
      <w:r w:rsidRPr="00600064">
        <w:rPr>
          <w:sz w:val="16"/>
          <w:szCs w:val="16"/>
          <w:vertAlign w:val="superscript"/>
        </w:rPr>
        <w:t>3</w:t>
      </w:r>
      <w:r w:rsidRPr="00600064">
        <w:rPr>
          <w:sz w:val="16"/>
          <w:szCs w:val="16"/>
        </w:rPr>
        <w:t xml:space="preserve"> Mean </w:t>
      </w:r>
      <w:r w:rsidR="003A224F">
        <w:rPr>
          <w:noProof/>
          <w:color w:val="000000"/>
          <w:sz w:val="16"/>
          <w:szCs w:val="16"/>
          <w:highlight w:val="black"/>
        </w:rPr>
        <w:t>''''''''''''</w:t>
      </w:r>
      <w:r w:rsidRPr="00600064">
        <w:rPr>
          <w:sz w:val="16"/>
          <w:szCs w:val="16"/>
        </w:rPr>
        <w:t xml:space="preserve"> infusions per treatment course.</w:t>
      </w:r>
    </w:p>
    <w:p w:rsidR="00715CAC" w:rsidRPr="00600064" w:rsidRDefault="00715CAC" w:rsidP="00B53553">
      <w:pPr>
        <w:pStyle w:val="TableFooter"/>
        <w:rPr>
          <w:sz w:val="16"/>
          <w:szCs w:val="16"/>
        </w:rPr>
      </w:pPr>
      <w:r w:rsidRPr="00600064">
        <w:rPr>
          <w:sz w:val="16"/>
          <w:szCs w:val="16"/>
          <w:vertAlign w:val="superscript"/>
        </w:rPr>
        <w:t>4</w:t>
      </w:r>
      <w:r w:rsidRPr="00600064">
        <w:rPr>
          <w:sz w:val="16"/>
          <w:szCs w:val="16"/>
        </w:rPr>
        <w:t xml:space="preserve"> Mean </w:t>
      </w:r>
      <w:r w:rsidR="003A224F">
        <w:rPr>
          <w:noProof/>
          <w:color w:val="000000"/>
          <w:sz w:val="16"/>
          <w:szCs w:val="16"/>
          <w:highlight w:val="black"/>
        </w:rPr>
        <w:t>''''''''''</w:t>
      </w:r>
      <w:r w:rsidRPr="00600064">
        <w:rPr>
          <w:sz w:val="16"/>
          <w:szCs w:val="16"/>
        </w:rPr>
        <w:t xml:space="preserve"> infusions per treatment course.</w:t>
      </w:r>
    </w:p>
    <w:p w:rsidR="00C25D9C" w:rsidRPr="00600064" w:rsidRDefault="00715CAC" w:rsidP="00B53553">
      <w:pPr>
        <w:pStyle w:val="TableFooter"/>
        <w:rPr>
          <w:sz w:val="16"/>
          <w:szCs w:val="16"/>
        </w:rPr>
      </w:pPr>
      <w:r w:rsidRPr="00600064">
        <w:rPr>
          <w:sz w:val="16"/>
          <w:szCs w:val="16"/>
          <w:vertAlign w:val="superscript"/>
        </w:rPr>
        <w:t>5</w:t>
      </w:r>
      <w:r w:rsidR="00A70E90" w:rsidRPr="00600064">
        <w:rPr>
          <w:sz w:val="16"/>
          <w:szCs w:val="16"/>
          <w:vertAlign w:val="superscript"/>
        </w:rPr>
        <w:t xml:space="preserve"> </w:t>
      </w:r>
      <w:r w:rsidR="00A70E90" w:rsidRPr="00600064">
        <w:rPr>
          <w:sz w:val="16"/>
          <w:szCs w:val="16"/>
        </w:rPr>
        <w:t>These numbers</w:t>
      </w:r>
      <w:r w:rsidR="00845081" w:rsidRPr="00600064">
        <w:rPr>
          <w:sz w:val="16"/>
          <w:szCs w:val="16"/>
        </w:rPr>
        <w:t xml:space="preserve"> from the resubmission</w:t>
      </w:r>
      <w:r w:rsidR="00A70E90" w:rsidRPr="00600064">
        <w:rPr>
          <w:sz w:val="16"/>
          <w:szCs w:val="16"/>
        </w:rPr>
        <w:t xml:space="preserve"> were corrected during the evaluation.</w:t>
      </w:r>
    </w:p>
    <w:p w:rsidR="002B1F2D" w:rsidRPr="00600064" w:rsidRDefault="00715CAC" w:rsidP="00B53553">
      <w:pPr>
        <w:pStyle w:val="TableFooter"/>
        <w:rPr>
          <w:sz w:val="16"/>
          <w:szCs w:val="16"/>
        </w:rPr>
      </w:pPr>
      <w:r w:rsidRPr="00600064">
        <w:rPr>
          <w:sz w:val="16"/>
          <w:szCs w:val="16"/>
          <w:vertAlign w:val="superscript"/>
        </w:rPr>
        <w:t>6</w:t>
      </w:r>
      <w:r w:rsidR="002B1F2D" w:rsidRPr="00600064">
        <w:rPr>
          <w:sz w:val="16"/>
          <w:szCs w:val="16"/>
        </w:rPr>
        <w:t xml:space="preserve"> As provided in the financial-addendum.</w:t>
      </w:r>
    </w:p>
    <w:p w:rsidR="00724A39" w:rsidRDefault="00724A39" w:rsidP="00724A39"/>
    <w:p w:rsidR="00562372" w:rsidRDefault="00562372" w:rsidP="00724A39">
      <w:r>
        <w:t xml:space="preserve">The redacted table shows that at year 5, </w:t>
      </w:r>
      <w:r w:rsidR="003158E0">
        <w:t xml:space="preserve">the estimated number of patients was less than 10,000 and </w:t>
      </w:r>
      <w:r>
        <w:t>the estimated net cost to the PBS is more than $100 million (“PBAC amended base case”) and more than $100 million (“sponsor amended base case”).</w:t>
      </w:r>
    </w:p>
    <w:p w:rsidR="00562372" w:rsidRPr="00600064" w:rsidRDefault="00562372" w:rsidP="00724A39"/>
    <w:p w:rsidR="00825EC3" w:rsidRPr="00600064" w:rsidRDefault="00825EC3" w:rsidP="005F42CF">
      <w:pPr>
        <w:pStyle w:val="ListParagraph"/>
        <w:widowControl/>
        <w:numPr>
          <w:ilvl w:val="1"/>
          <w:numId w:val="4"/>
        </w:numPr>
        <w:rPr>
          <w:szCs w:val="22"/>
        </w:rPr>
      </w:pPr>
      <w:r w:rsidRPr="00600064">
        <w:rPr>
          <w:szCs w:val="22"/>
        </w:rPr>
        <w:t xml:space="preserve">The number of nivolumab treated patients </w:t>
      </w:r>
      <w:r w:rsidR="0095313C" w:rsidRPr="00600064">
        <w:rPr>
          <w:szCs w:val="22"/>
        </w:rPr>
        <w:t xml:space="preserve">assumed </w:t>
      </w:r>
      <w:r w:rsidRPr="00600064">
        <w:rPr>
          <w:szCs w:val="22"/>
        </w:rPr>
        <w:t xml:space="preserve">in the resubmission was lower than in the </w:t>
      </w:r>
      <w:r w:rsidR="009F6675" w:rsidRPr="00600064">
        <w:rPr>
          <w:szCs w:val="22"/>
        </w:rPr>
        <w:t xml:space="preserve">July </w:t>
      </w:r>
      <w:r w:rsidRPr="00600064">
        <w:rPr>
          <w:szCs w:val="22"/>
        </w:rPr>
        <w:t xml:space="preserve">2016 submission. This is due to the assumed lower number of first-line TKI users </w:t>
      </w:r>
      <w:r w:rsidR="000C503E" w:rsidRPr="00600064">
        <w:rPr>
          <w:szCs w:val="22"/>
        </w:rPr>
        <w:t xml:space="preserve">(based on a forecasted trend using 100% PBS data 2014-2016 instead of the previously used 10% PBS sample 2009-2015) </w:t>
      </w:r>
      <w:r w:rsidRPr="00600064">
        <w:rPr>
          <w:szCs w:val="22"/>
        </w:rPr>
        <w:t xml:space="preserve">and lower uptake of second-line </w:t>
      </w:r>
      <w:r w:rsidRPr="00600064">
        <w:rPr>
          <w:szCs w:val="22"/>
        </w:rPr>
        <w:lastRenderedPageBreak/>
        <w:t>treatments</w:t>
      </w:r>
      <w:r w:rsidR="000C503E" w:rsidRPr="00600064">
        <w:rPr>
          <w:szCs w:val="22"/>
        </w:rPr>
        <w:t xml:space="preserve">, both of which are highly uncertain. </w:t>
      </w:r>
      <w:r w:rsidR="000929F8" w:rsidRPr="00600064">
        <w:rPr>
          <w:szCs w:val="22"/>
        </w:rPr>
        <w:t xml:space="preserve">Use of the revised </w:t>
      </w:r>
      <w:r w:rsidR="000C503E" w:rsidRPr="00600064">
        <w:rPr>
          <w:szCs w:val="22"/>
        </w:rPr>
        <w:t>forecast</w:t>
      </w:r>
      <w:r w:rsidR="000929F8" w:rsidRPr="00600064">
        <w:rPr>
          <w:szCs w:val="22"/>
        </w:rPr>
        <w:t xml:space="preserve"> </w:t>
      </w:r>
      <w:r w:rsidR="000C503E" w:rsidRPr="00600064">
        <w:rPr>
          <w:szCs w:val="22"/>
        </w:rPr>
        <w:t xml:space="preserve">trend </w:t>
      </w:r>
      <w:r w:rsidR="000929F8" w:rsidRPr="00600064">
        <w:rPr>
          <w:szCs w:val="22"/>
        </w:rPr>
        <w:t xml:space="preserve">growth </w:t>
      </w:r>
      <w:r w:rsidR="000C503E" w:rsidRPr="00600064">
        <w:rPr>
          <w:szCs w:val="22"/>
        </w:rPr>
        <w:t>of first-line TKI users</w:t>
      </w:r>
      <w:r w:rsidR="000929F8" w:rsidRPr="00600064">
        <w:rPr>
          <w:szCs w:val="22"/>
        </w:rPr>
        <w:t xml:space="preserve"> in the resubmission</w:t>
      </w:r>
      <w:r w:rsidR="000C503E" w:rsidRPr="00600064">
        <w:rPr>
          <w:szCs w:val="22"/>
        </w:rPr>
        <w:t xml:space="preserve"> resulted in</w:t>
      </w:r>
      <w:r w:rsidR="000929F8" w:rsidRPr="00600064">
        <w:rPr>
          <w:szCs w:val="22"/>
        </w:rPr>
        <w:t xml:space="preserve"> a</w:t>
      </w:r>
      <w:r w:rsidR="000C503E" w:rsidRPr="00600064">
        <w:rPr>
          <w:szCs w:val="22"/>
        </w:rPr>
        <w:t xml:space="preserve"> lower estimate</w:t>
      </w:r>
      <w:r w:rsidR="000929F8" w:rsidRPr="00600064">
        <w:rPr>
          <w:szCs w:val="22"/>
        </w:rPr>
        <w:t xml:space="preserve"> for the number of eligible patients </w:t>
      </w:r>
      <w:r w:rsidR="000C503E" w:rsidRPr="00600064">
        <w:rPr>
          <w:szCs w:val="22"/>
        </w:rPr>
        <w:t xml:space="preserve">than in the </w:t>
      </w:r>
      <w:r w:rsidR="009F6675" w:rsidRPr="00600064">
        <w:rPr>
          <w:szCs w:val="22"/>
        </w:rPr>
        <w:t xml:space="preserve">July </w:t>
      </w:r>
      <w:r w:rsidR="000C503E" w:rsidRPr="00600064">
        <w:rPr>
          <w:szCs w:val="22"/>
        </w:rPr>
        <w:t>2016 submission</w:t>
      </w:r>
      <w:r w:rsidR="000929F8" w:rsidRPr="00600064">
        <w:rPr>
          <w:szCs w:val="22"/>
        </w:rPr>
        <w:t>,</w:t>
      </w:r>
      <w:r w:rsidR="000C503E" w:rsidRPr="00600064">
        <w:rPr>
          <w:szCs w:val="22"/>
        </w:rPr>
        <w:t xml:space="preserve"> despite an assumed increase in the number of </w:t>
      </w:r>
      <w:r w:rsidR="000929F8" w:rsidRPr="00600064">
        <w:rPr>
          <w:szCs w:val="22"/>
        </w:rPr>
        <w:t xml:space="preserve">patients treated </w:t>
      </w:r>
      <w:r w:rsidR="000C503E" w:rsidRPr="00600064">
        <w:rPr>
          <w:szCs w:val="22"/>
        </w:rPr>
        <w:t xml:space="preserve">first-line </w:t>
      </w:r>
      <w:r w:rsidR="000929F8" w:rsidRPr="00600064">
        <w:rPr>
          <w:szCs w:val="22"/>
        </w:rPr>
        <w:t xml:space="preserve">with </w:t>
      </w:r>
      <w:r w:rsidR="000C503E" w:rsidRPr="00600064">
        <w:rPr>
          <w:szCs w:val="22"/>
        </w:rPr>
        <w:t>TKIs when nivolumab is listed.</w:t>
      </w:r>
      <w:r w:rsidR="001D5411" w:rsidRPr="00600064">
        <w:rPr>
          <w:szCs w:val="22"/>
        </w:rPr>
        <w:t xml:space="preserve"> The PBAC</w:t>
      </w:r>
      <w:r w:rsidR="003E6807" w:rsidRPr="00600064">
        <w:rPr>
          <w:szCs w:val="22"/>
        </w:rPr>
        <w:t xml:space="preserve"> noted the Pre-</w:t>
      </w:r>
      <w:proofErr w:type="gramStart"/>
      <w:r w:rsidR="003E6807" w:rsidRPr="00600064">
        <w:rPr>
          <w:szCs w:val="22"/>
        </w:rPr>
        <w:t>PBAC</w:t>
      </w:r>
      <w:r w:rsidR="00E24C2D" w:rsidRPr="00600064">
        <w:rPr>
          <w:szCs w:val="22"/>
        </w:rPr>
        <w:t xml:space="preserve"> </w:t>
      </w:r>
      <w:r w:rsidR="003E6807" w:rsidRPr="00600064">
        <w:rPr>
          <w:szCs w:val="22"/>
        </w:rPr>
        <w:t xml:space="preserve"> response</w:t>
      </w:r>
      <w:proofErr w:type="gramEnd"/>
      <w:r w:rsidR="003E6807" w:rsidRPr="00600064">
        <w:rPr>
          <w:szCs w:val="22"/>
        </w:rPr>
        <w:t xml:space="preserve"> which defended the patient number </w:t>
      </w:r>
      <w:r w:rsidR="006F6FD4" w:rsidRPr="00600064">
        <w:rPr>
          <w:szCs w:val="22"/>
        </w:rPr>
        <w:t>estimates however,</w:t>
      </w:r>
      <w:r w:rsidR="003E6807" w:rsidRPr="00600064">
        <w:rPr>
          <w:szCs w:val="22"/>
        </w:rPr>
        <w:t xml:space="preserve"> it</w:t>
      </w:r>
      <w:r w:rsidR="001D5411" w:rsidRPr="00600064">
        <w:rPr>
          <w:szCs w:val="22"/>
        </w:rPr>
        <w:t xml:space="preserve"> considered that there remained uncertainty over the number of patients </w:t>
      </w:r>
      <w:r w:rsidR="002C1218" w:rsidRPr="00600064">
        <w:rPr>
          <w:szCs w:val="22"/>
        </w:rPr>
        <w:t xml:space="preserve">because </w:t>
      </w:r>
      <w:r w:rsidR="003E6807" w:rsidRPr="00600064">
        <w:rPr>
          <w:szCs w:val="22"/>
        </w:rPr>
        <w:t>the assumption of a</w:t>
      </w:r>
      <w:r w:rsidR="002C1218" w:rsidRPr="00600064">
        <w:rPr>
          <w:szCs w:val="22"/>
        </w:rPr>
        <w:t>n increased</w:t>
      </w:r>
      <w:r w:rsidR="003E6807" w:rsidRPr="00600064">
        <w:rPr>
          <w:szCs w:val="22"/>
        </w:rPr>
        <w:t xml:space="preserve"> 85% initiation of second line therapy upon a successful PBS listing of nivolumab was considered </w:t>
      </w:r>
      <w:r w:rsidR="006F6FD4" w:rsidRPr="00600064">
        <w:rPr>
          <w:szCs w:val="22"/>
        </w:rPr>
        <w:t>to</w:t>
      </w:r>
      <w:r w:rsidR="003E6807" w:rsidRPr="00600064">
        <w:rPr>
          <w:szCs w:val="22"/>
        </w:rPr>
        <w:t xml:space="preserve"> be a</w:t>
      </w:r>
      <w:r w:rsidR="002C1218" w:rsidRPr="00600064">
        <w:rPr>
          <w:szCs w:val="22"/>
        </w:rPr>
        <w:t xml:space="preserve"> likely</w:t>
      </w:r>
      <w:r w:rsidR="003E6807" w:rsidRPr="00600064">
        <w:rPr>
          <w:szCs w:val="22"/>
        </w:rPr>
        <w:t xml:space="preserve"> overestimation. However, </w:t>
      </w:r>
      <w:r w:rsidR="002C1218" w:rsidRPr="00600064">
        <w:rPr>
          <w:szCs w:val="22"/>
        </w:rPr>
        <w:t>the PBAC</w:t>
      </w:r>
      <w:r w:rsidR="003E6807" w:rsidRPr="00600064">
        <w:rPr>
          <w:szCs w:val="22"/>
        </w:rPr>
        <w:t xml:space="preserve"> confirmed </w:t>
      </w:r>
      <w:r w:rsidR="002F2065" w:rsidRPr="00600064">
        <w:rPr>
          <w:bCs/>
        </w:rPr>
        <w:t xml:space="preserve">that the patient numbers as provided in the resubmission </w:t>
      </w:r>
      <w:r w:rsidR="002C1218" w:rsidRPr="00600064">
        <w:rPr>
          <w:bCs/>
        </w:rPr>
        <w:t xml:space="preserve">represented </w:t>
      </w:r>
      <w:r w:rsidR="002F2065" w:rsidRPr="00600064">
        <w:rPr>
          <w:bCs/>
        </w:rPr>
        <w:t>reasonable upper limit</w:t>
      </w:r>
      <w:r w:rsidR="002C1218" w:rsidRPr="00600064">
        <w:rPr>
          <w:bCs/>
        </w:rPr>
        <w:t>s</w:t>
      </w:r>
      <w:r w:rsidR="002F2065" w:rsidRPr="00600064">
        <w:rPr>
          <w:bCs/>
        </w:rPr>
        <w:t xml:space="preserve"> for the purposes of </w:t>
      </w:r>
      <w:r w:rsidR="002C1218" w:rsidRPr="00600064">
        <w:rPr>
          <w:bCs/>
        </w:rPr>
        <w:t xml:space="preserve">calculating </w:t>
      </w:r>
      <w:r w:rsidR="002F2065" w:rsidRPr="00600064">
        <w:rPr>
          <w:bCs/>
        </w:rPr>
        <w:t>risk shar</w:t>
      </w:r>
      <w:r w:rsidR="00A97101" w:rsidRPr="00600064">
        <w:rPr>
          <w:bCs/>
        </w:rPr>
        <w:t>ing arrangement caps</w:t>
      </w:r>
      <w:r w:rsidR="002F2065" w:rsidRPr="00600064">
        <w:rPr>
          <w:bCs/>
        </w:rPr>
        <w:t>.</w:t>
      </w:r>
    </w:p>
    <w:p w:rsidR="00825EC3" w:rsidRPr="00600064" w:rsidRDefault="00825EC3" w:rsidP="00825EC3">
      <w:pPr>
        <w:widowControl/>
        <w:rPr>
          <w:szCs w:val="22"/>
        </w:rPr>
      </w:pPr>
    </w:p>
    <w:p w:rsidR="0022555D" w:rsidRPr="00600064" w:rsidRDefault="00CF559E" w:rsidP="005F42CF">
      <w:pPr>
        <w:pStyle w:val="ListParagraph"/>
        <w:widowControl/>
        <w:numPr>
          <w:ilvl w:val="1"/>
          <w:numId w:val="4"/>
        </w:numPr>
        <w:rPr>
          <w:szCs w:val="22"/>
        </w:rPr>
      </w:pPr>
      <w:r w:rsidRPr="00600064">
        <w:rPr>
          <w:szCs w:val="22"/>
        </w:rPr>
        <w:t>T</w:t>
      </w:r>
      <w:r w:rsidR="0022555D" w:rsidRPr="00600064">
        <w:rPr>
          <w:szCs w:val="22"/>
        </w:rPr>
        <w:t>he</w:t>
      </w:r>
      <w:r w:rsidR="0022555D" w:rsidRPr="00600064">
        <w:t xml:space="preserve"> net cost/year for the PBS </w:t>
      </w:r>
      <w:r w:rsidRPr="00600064">
        <w:t>may</w:t>
      </w:r>
      <w:r w:rsidR="0022555D" w:rsidRPr="00600064">
        <w:t xml:space="preserve"> be </w:t>
      </w:r>
      <w:r w:rsidR="003F7705" w:rsidRPr="00600064">
        <w:t>higher or lower</w:t>
      </w:r>
      <w:r w:rsidR="0022555D" w:rsidRPr="00600064">
        <w:t xml:space="preserve"> than estimate</w:t>
      </w:r>
      <w:r w:rsidRPr="00600064">
        <w:t>d</w:t>
      </w:r>
      <w:r w:rsidR="0022555D" w:rsidRPr="00600064">
        <w:t xml:space="preserve"> in the </w:t>
      </w:r>
      <w:r w:rsidRPr="00600064">
        <w:t>re</w:t>
      </w:r>
      <w:r w:rsidR="0022555D" w:rsidRPr="00600064">
        <w:t>submission</w:t>
      </w:r>
      <w:r w:rsidR="00EB4220" w:rsidRPr="00600064">
        <w:t xml:space="preserve"> due to potential variations in both the estimated number of patients and the extent of use of nivolumab and its substituted therapies</w:t>
      </w:r>
      <w:r w:rsidR="00F749AB" w:rsidRPr="00600064">
        <w:t>.</w:t>
      </w:r>
      <w:r w:rsidR="009F6675" w:rsidRPr="00600064">
        <w:t xml:space="preserve"> </w:t>
      </w:r>
      <w:r w:rsidR="00F749AB" w:rsidRPr="00600064">
        <w:t xml:space="preserve">The following sensitivity analyses were prepared in the evaluation of the financial-addendum and are summarised in </w:t>
      </w:r>
      <w:r w:rsidR="002758E9" w:rsidRPr="00600064">
        <w:t>T</w:t>
      </w:r>
      <w:r w:rsidR="00F749AB" w:rsidRPr="00600064">
        <w:t>able 16</w:t>
      </w:r>
      <w:r w:rsidR="0022555D" w:rsidRPr="00600064">
        <w:t>:</w:t>
      </w:r>
    </w:p>
    <w:p w:rsidR="0022555D" w:rsidRPr="00600064" w:rsidRDefault="0022555D" w:rsidP="00CF559E">
      <w:pPr>
        <w:numPr>
          <w:ilvl w:val="0"/>
          <w:numId w:val="16"/>
        </w:numPr>
        <w:ind w:left="1134"/>
        <w:contextualSpacing/>
      </w:pPr>
      <w:r w:rsidRPr="00600064">
        <w:t>The forecasted trend of first-line TKI users is uncertain. The impact on the resulting financial estimates is uncertain.</w:t>
      </w:r>
      <w:r w:rsidR="00B52270" w:rsidRPr="00600064">
        <w:t xml:space="preserve"> The number of first-line TKI users is an important driver of the financial forecasts.</w:t>
      </w:r>
    </w:p>
    <w:p w:rsidR="000616E3" w:rsidRPr="00600064" w:rsidRDefault="0022555D" w:rsidP="00CF559E">
      <w:pPr>
        <w:numPr>
          <w:ilvl w:val="0"/>
          <w:numId w:val="16"/>
        </w:numPr>
        <w:ind w:left="1134"/>
        <w:contextualSpacing/>
      </w:pPr>
      <w:r w:rsidRPr="00600064">
        <w:t>The potential increase in the number of first-line TKI</w:t>
      </w:r>
      <w:r w:rsidR="00DE3A60" w:rsidRPr="00600064">
        <w:t>-users</w:t>
      </w:r>
      <w:r w:rsidRPr="00600064">
        <w:t xml:space="preserve"> when nivolumab is listed is uncertain. Higher first-line TKI use would result in higher costs to the PBS.</w:t>
      </w:r>
    </w:p>
    <w:p w:rsidR="0022555D" w:rsidRPr="00600064" w:rsidRDefault="0022555D" w:rsidP="00CF559E">
      <w:pPr>
        <w:numPr>
          <w:ilvl w:val="0"/>
          <w:numId w:val="16"/>
        </w:numPr>
        <w:ind w:left="1134"/>
        <w:contextualSpacing/>
      </w:pPr>
      <w:r w:rsidRPr="00600064">
        <w:t xml:space="preserve">The uptake rate of patients initiating second-line treatment (with or without nivolumab) following progression with a TKI may have been overestimated. </w:t>
      </w:r>
      <w:r w:rsidR="000616E3" w:rsidRPr="00600064">
        <w:t xml:space="preserve">During the evaluation, uptake rates of second line treatment were reduced from 70% (without nivolumab) and 85% (with nivolumab) in the base case to 51% (without nivolumab) and 67% (with nivolumab) in a sensitivity analysis. This decreased the overall net cost from </w:t>
      </w:r>
      <w:r w:rsidR="001C728A">
        <w:t>more than $100 million</w:t>
      </w:r>
      <w:r w:rsidR="008869EE" w:rsidRPr="00600064">
        <w:t xml:space="preserve"> to </w:t>
      </w:r>
      <w:r w:rsidR="001C728A">
        <w:t>more than $100 million</w:t>
      </w:r>
      <w:r w:rsidR="008869EE" w:rsidRPr="00600064">
        <w:t xml:space="preserve"> (</w:t>
      </w:r>
      <w:r w:rsidR="00020B2D" w:rsidRPr="00600064">
        <w:t>“</w:t>
      </w:r>
      <w:r w:rsidR="008869EE" w:rsidRPr="00600064">
        <w:t>PBAC amended base case</w:t>
      </w:r>
      <w:r w:rsidR="00020B2D" w:rsidRPr="00600064">
        <w:t>”</w:t>
      </w:r>
      <w:r w:rsidR="008869EE" w:rsidRPr="00600064">
        <w:t xml:space="preserve">) and from </w:t>
      </w:r>
      <w:r w:rsidR="001C728A">
        <w:t>more than $100 million</w:t>
      </w:r>
      <w:r w:rsidR="001C728A" w:rsidRPr="00600064" w:rsidDel="001C728A">
        <w:t xml:space="preserve"> </w:t>
      </w:r>
      <w:r w:rsidR="008869EE" w:rsidRPr="00600064">
        <w:t xml:space="preserve">to </w:t>
      </w:r>
      <w:r w:rsidR="001C728A">
        <w:t>more than $100 million</w:t>
      </w:r>
      <w:r w:rsidR="008869EE" w:rsidRPr="00600064">
        <w:t xml:space="preserve"> (</w:t>
      </w:r>
      <w:r w:rsidR="00020B2D" w:rsidRPr="00600064">
        <w:t>“s</w:t>
      </w:r>
      <w:r w:rsidR="008869EE" w:rsidRPr="00600064">
        <w:t>ponsor amended base case</w:t>
      </w:r>
      <w:r w:rsidR="00020B2D" w:rsidRPr="00600064">
        <w:t>”</w:t>
      </w:r>
      <w:r w:rsidR="008869EE" w:rsidRPr="00600064">
        <w:t>)</w:t>
      </w:r>
      <w:r w:rsidR="000616E3" w:rsidRPr="00600064">
        <w:t>.</w:t>
      </w:r>
    </w:p>
    <w:p w:rsidR="0022555D" w:rsidRPr="00600064" w:rsidRDefault="0022555D" w:rsidP="00FE5A92">
      <w:pPr>
        <w:numPr>
          <w:ilvl w:val="0"/>
          <w:numId w:val="16"/>
        </w:numPr>
        <w:ind w:left="1134"/>
        <w:contextualSpacing/>
      </w:pPr>
      <w:r w:rsidRPr="00600064">
        <w:t>The duration of therapy for treatments acting as cost-offsets may have been overestimated. Shorter duration of treatment for subst</w:t>
      </w:r>
      <w:r w:rsidR="00B52270" w:rsidRPr="00600064">
        <w:t xml:space="preserve">ituted therapies </w:t>
      </w:r>
      <w:r w:rsidR="00DC4D63" w:rsidRPr="00600064">
        <w:t xml:space="preserve">(e.g. </w:t>
      </w:r>
      <w:r w:rsidR="00DC4D63" w:rsidRPr="007E0F9B">
        <w:t>4.1</w:t>
      </w:r>
      <w:r w:rsidR="00952245" w:rsidRPr="00600064">
        <w:t xml:space="preserve"> </w:t>
      </w:r>
      <w:r w:rsidR="00E171BE" w:rsidRPr="00600064">
        <w:t xml:space="preserve">[mean duration of PBS therapy with </w:t>
      </w:r>
      <w:proofErr w:type="spellStart"/>
      <w:r w:rsidR="00E171BE" w:rsidRPr="00600064">
        <w:t>everolimus</w:t>
      </w:r>
      <w:proofErr w:type="spellEnd"/>
      <w:r w:rsidR="00E171BE" w:rsidRPr="00600064">
        <w:t xml:space="preserve"> is </w:t>
      </w:r>
      <w:r w:rsidR="00E171BE" w:rsidRPr="007E0F9B">
        <w:t>4.1</w:t>
      </w:r>
      <w:r w:rsidR="00E171BE" w:rsidRPr="00600064">
        <w:t xml:space="preserve"> scripts] </w:t>
      </w:r>
      <w:r w:rsidR="00DC4D63" w:rsidRPr="00600064">
        <w:t xml:space="preserve">instead of </w:t>
      </w:r>
      <w:r w:rsidR="003A224F">
        <w:rPr>
          <w:noProof/>
          <w:color w:val="000000"/>
          <w:highlight w:val="black"/>
        </w:rPr>
        <w:t>''''''''''''</w:t>
      </w:r>
      <w:r w:rsidR="0024019E" w:rsidRPr="00600064">
        <w:t xml:space="preserve"> (</w:t>
      </w:r>
      <w:r w:rsidR="00020B2D" w:rsidRPr="00600064">
        <w:t>“</w:t>
      </w:r>
      <w:r w:rsidR="0024019E" w:rsidRPr="00600064">
        <w:t>PBAC amended base case</w:t>
      </w:r>
      <w:r w:rsidR="00020B2D" w:rsidRPr="00600064">
        <w:t>”</w:t>
      </w:r>
      <w:r w:rsidR="0024019E" w:rsidRPr="00600064">
        <w:t xml:space="preserve">, adjusted) and </w:t>
      </w:r>
      <w:r w:rsidR="003A224F">
        <w:rPr>
          <w:noProof/>
          <w:color w:val="000000"/>
          <w:highlight w:val="black"/>
        </w:rPr>
        <w:t>''''''''''</w:t>
      </w:r>
      <w:r w:rsidR="0024019E" w:rsidRPr="007E0F9B">
        <w:t xml:space="preserve"> </w:t>
      </w:r>
      <w:r w:rsidR="0024019E" w:rsidRPr="00600064">
        <w:t>(</w:t>
      </w:r>
      <w:r w:rsidR="00020B2D" w:rsidRPr="00600064">
        <w:t>“s</w:t>
      </w:r>
      <w:r w:rsidR="0024019E" w:rsidRPr="00600064">
        <w:t>ponsor amended base case</w:t>
      </w:r>
      <w:r w:rsidR="00020B2D" w:rsidRPr="00600064">
        <w:t>”</w:t>
      </w:r>
      <w:r w:rsidR="0024019E" w:rsidRPr="00600064">
        <w:t>, adjusted)</w:t>
      </w:r>
      <w:r w:rsidR="00DC4D63" w:rsidRPr="00600064">
        <w:t xml:space="preserve">) </w:t>
      </w:r>
      <w:r w:rsidR="00B52270" w:rsidRPr="00600064">
        <w:t>would increase</w:t>
      </w:r>
      <w:r w:rsidRPr="00600064">
        <w:t xml:space="preserve"> the estimated net costs to the PBS</w:t>
      </w:r>
      <w:r w:rsidR="00DC4D63" w:rsidRPr="00600064">
        <w:t xml:space="preserve"> </w:t>
      </w:r>
      <w:r w:rsidR="0024019E" w:rsidRPr="00600064">
        <w:t xml:space="preserve">from </w:t>
      </w:r>
      <w:r w:rsidR="00FD0090">
        <w:t>more than $100 million</w:t>
      </w:r>
      <w:r w:rsidR="0024019E" w:rsidRPr="00600064">
        <w:t xml:space="preserve"> to </w:t>
      </w:r>
      <w:r w:rsidR="00FD0090">
        <w:t>more than $100 million</w:t>
      </w:r>
      <w:r w:rsidR="0024019E" w:rsidRPr="00600064">
        <w:t xml:space="preserve"> (</w:t>
      </w:r>
      <w:r w:rsidR="00020B2D" w:rsidRPr="00600064">
        <w:t>“</w:t>
      </w:r>
      <w:r w:rsidR="0024019E" w:rsidRPr="00600064">
        <w:t>PBAC amended base case</w:t>
      </w:r>
      <w:r w:rsidR="00020B2D" w:rsidRPr="00600064">
        <w:t>”</w:t>
      </w:r>
      <w:r w:rsidR="0024019E" w:rsidRPr="00600064">
        <w:t xml:space="preserve">) and from </w:t>
      </w:r>
      <w:r w:rsidR="00FD0090">
        <w:t>more than $100 million</w:t>
      </w:r>
      <w:r w:rsidR="0024019E" w:rsidRPr="00600064">
        <w:t xml:space="preserve"> to </w:t>
      </w:r>
      <w:r w:rsidR="00FD0090">
        <w:t>more than $100 million</w:t>
      </w:r>
      <w:r w:rsidR="0024019E" w:rsidRPr="00600064">
        <w:t xml:space="preserve"> (</w:t>
      </w:r>
      <w:r w:rsidR="00020B2D" w:rsidRPr="00600064">
        <w:t>“s</w:t>
      </w:r>
      <w:r w:rsidR="0024019E" w:rsidRPr="00600064">
        <w:t>ponsor amended base case</w:t>
      </w:r>
      <w:r w:rsidR="00020B2D" w:rsidRPr="00600064">
        <w:t>”</w:t>
      </w:r>
      <w:r w:rsidR="0024019E" w:rsidRPr="00600064">
        <w:t>)</w:t>
      </w:r>
      <w:r w:rsidRPr="00600064">
        <w:t>.</w:t>
      </w:r>
    </w:p>
    <w:p w:rsidR="0022555D" w:rsidRPr="00600064" w:rsidRDefault="0022555D" w:rsidP="00CF559E">
      <w:pPr>
        <w:numPr>
          <w:ilvl w:val="0"/>
          <w:numId w:val="16"/>
        </w:numPr>
        <w:ind w:left="1134"/>
        <w:contextualSpacing/>
      </w:pPr>
      <w:r w:rsidRPr="00600064">
        <w:t xml:space="preserve">Published rather than effective prices were used for </w:t>
      </w:r>
      <w:proofErr w:type="spellStart"/>
      <w:r w:rsidRPr="00600064">
        <w:t>everolimus</w:t>
      </w:r>
      <w:proofErr w:type="spellEnd"/>
      <w:r w:rsidRPr="00600064">
        <w:t xml:space="preserve">, </w:t>
      </w:r>
      <w:proofErr w:type="spellStart"/>
      <w:r w:rsidRPr="00600064">
        <w:t>axitinib</w:t>
      </w:r>
      <w:proofErr w:type="spellEnd"/>
      <w:r w:rsidRPr="00600064">
        <w:t xml:space="preserve"> and </w:t>
      </w:r>
      <w:proofErr w:type="spellStart"/>
      <w:r w:rsidRPr="00600064">
        <w:t>sorafenib</w:t>
      </w:r>
      <w:proofErr w:type="spellEnd"/>
      <w:r w:rsidRPr="00600064">
        <w:t>. Use of effective prices would increase the estimate</w:t>
      </w:r>
      <w:r w:rsidR="00CF559E" w:rsidRPr="00600064">
        <w:t>d</w:t>
      </w:r>
      <w:r w:rsidRPr="00600064">
        <w:t xml:space="preserve"> </w:t>
      </w:r>
      <w:r w:rsidR="00CF559E" w:rsidRPr="00600064">
        <w:t>net-</w:t>
      </w:r>
      <w:r w:rsidRPr="00600064">
        <w:t>PBS costs.</w:t>
      </w:r>
    </w:p>
    <w:p w:rsidR="0022555D" w:rsidRPr="00600064" w:rsidRDefault="0022555D" w:rsidP="00CF559E">
      <w:pPr>
        <w:numPr>
          <w:ilvl w:val="0"/>
          <w:numId w:val="16"/>
        </w:numPr>
        <w:ind w:left="1134"/>
        <w:contextualSpacing/>
      </w:pPr>
      <w:r w:rsidRPr="00600064">
        <w:t>Grandfathering has not been taken into account. This would be anticipated to increase the cost to the PBS</w:t>
      </w:r>
      <w:r w:rsidR="0024019E" w:rsidRPr="00600064">
        <w:t xml:space="preserve"> from </w:t>
      </w:r>
      <w:r w:rsidR="00FD0090">
        <w:t>more than $100 million</w:t>
      </w:r>
      <w:r w:rsidR="0024019E" w:rsidRPr="00600064">
        <w:t xml:space="preserve"> to </w:t>
      </w:r>
      <w:r w:rsidR="00FD0090">
        <w:t>more than $100 million</w:t>
      </w:r>
      <w:r w:rsidR="0024019E" w:rsidRPr="00600064">
        <w:t xml:space="preserve"> (</w:t>
      </w:r>
      <w:r w:rsidR="00020B2D" w:rsidRPr="00600064">
        <w:t>“</w:t>
      </w:r>
      <w:r w:rsidR="0024019E" w:rsidRPr="00600064">
        <w:t>PBAC amended base case</w:t>
      </w:r>
      <w:r w:rsidR="00020B2D" w:rsidRPr="00600064">
        <w:t>”</w:t>
      </w:r>
      <w:r w:rsidR="0024019E" w:rsidRPr="00600064">
        <w:t xml:space="preserve">) and from </w:t>
      </w:r>
      <w:r w:rsidR="00FD0090">
        <w:t>more than $100 million</w:t>
      </w:r>
      <w:r w:rsidR="0024019E" w:rsidRPr="00600064">
        <w:t xml:space="preserve"> to </w:t>
      </w:r>
      <w:r w:rsidR="00FD0090">
        <w:t>more than $100 million</w:t>
      </w:r>
      <w:r w:rsidR="0024019E" w:rsidRPr="00600064">
        <w:t xml:space="preserve"> (</w:t>
      </w:r>
      <w:r w:rsidR="00020B2D" w:rsidRPr="00600064">
        <w:t>“s</w:t>
      </w:r>
      <w:r w:rsidR="0024019E" w:rsidRPr="00600064">
        <w:t>ponsor amended base case</w:t>
      </w:r>
      <w:r w:rsidR="00020B2D" w:rsidRPr="00600064">
        <w:t>”</w:t>
      </w:r>
      <w:r w:rsidR="0024019E" w:rsidRPr="00600064">
        <w:t>)</w:t>
      </w:r>
      <w:r w:rsidRPr="00600064">
        <w:t>.</w:t>
      </w:r>
    </w:p>
    <w:p w:rsidR="003D1BEB" w:rsidRPr="00600064" w:rsidRDefault="0022555D" w:rsidP="00CF559E">
      <w:pPr>
        <w:numPr>
          <w:ilvl w:val="0"/>
          <w:numId w:val="16"/>
        </w:numPr>
        <w:ind w:left="1134"/>
        <w:contextualSpacing/>
      </w:pPr>
      <w:r w:rsidRPr="00600064">
        <w:t xml:space="preserve">The assumed market share of </w:t>
      </w:r>
      <w:r w:rsidRPr="00C93804">
        <w:t>90</w:t>
      </w:r>
      <w:r w:rsidRPr="00600064">
        <w:t xml:space="preserve">% (year 1) and 95% (later years) for nivolumab may be too high. </w:t>
      </w:r>
      <w:r w:rsidR="00CF559E" w:rsidRPr="00600064">
        <w:t>A l</w:t>
      </w:r>
      <w:r w:rsidRPr="00600064">
        <w:t>ower market share would reduce the estimated cost to the PBS.</w:t>
      </w:r>
    </w:p>
    <w:p w:rsidR="000616E3" w:rsidRPr="00600064" w:rsidRDefault="003D1BEB" w:rsidP="00CF559E">
      <w:pPr>
        <w:numPr>
          <w:ilvl w:val="0"/>
          <w:numId w:val="16"/>
        </w:numPr>
        <w:ind w:left="1134"/>
        <w:contextualSpacing/>
      </w:pPr>
      <w:r w:rsidRPr="00600064">
        <w:t>In the resubmission, t</w:t>
      </w:r>
      <w:r w:rsidR="0022555D" w:rsidRPr="00600064">
        <w:t>he number of nivolumab infusions per year was based on treatment up to clinical progression instead of RECIST</w:t>
      </w:r>
      <w:r w:rsidR="00514F6C" w:rsidRPr="00600064">
        <w:t>-</w:t>
      </w:r>
      <w:r w:rsidR="0022555D" w:rsidRPr="00600064">
        <w:t>defined progression</w:t>
      </w:r>
      <w:r w:rsidR="00514F6C" w:rsidRPr="00600064">
        <w:t xml:space="preserve">. </w:t>
      </w:r>
      <w:r w:rsidR="000616E3" w:rsidRPr="00600064">
        <w:t xml:space="preserve">As specified in the Ratified Minutes from the November 2016 PBAC meeting (not </w:t>
      </w:r>
      <w:r w:rsidR="000616E3" w:rsidRPr="00600064">
        <w:lastRenderedPageBreak/>
        <w:t xml:space="preserve">available when the resubmission was drafted), </w:t>
      </w:r>
      <w:r w:rsidR="00CF559E" w:rsidRPr="00600064">
        <w:t>RECIST-</w:t>
      </w:r>
      <w:r w:rsidR="00030BF9" w:rsidRPr="00600064">
        <w:t xml:space="preserve">defined </w:t>
      </w:r>
      <w:r w:rsidR="000616E3" w:rsidRPr="00600064">
        <w:t xml:space="preserve">PFS was to be used to determine treatment duration and costs for nivolumab as well as </w:t>
      </w:r>
      <w:proofErr w:type="spellStart"/>
      <w:r w:rsidR="000616E3" w:rsidRPr="00600064">
        <w:t>everolimus</w:t>
      </w:r>
      <w:proofErr w:type="spellEnd"/>
      <w:r w:rsidR="000616E3" w:rsidRPr="00600064">
        <w:t>. Doing this without making any other adjustments (</w:t>
      </w:r>
      <w:r w:rsidR="0069655D" w:rsidRPr="00600064">
        <w:t>such as</w:t>
      </w:r>
      <w:r w:rsidR="000616E3" w:rsidRPr="00600064">
        <w:t xml:space="preserve"> an increase in nivolumab price) </w:t>
      </w:r>
      <w:r w:rsidR="005A4E3C" w:rsidRPr="00600064">
        <w:t xml:space="preserve">would </w:t>
      </w:r>
      <w:r w:rsidR="000616E3" w:rsidRPr="00600064">
        <w:t>decrease the overall net cost</w:t>
      </w:r>
      <w:r w:rsidR="005A4E3C" w:rsidRPr="00600064">
        <w:t xml:space="preserve"> to the PBS</w:t>
      </w:r>
      <w:r w:rsidR="000616E3" w:rsidRPr="00600064">
        <w:t>.</w:t>
      </w:r>
    </w:p>
    <w:p w:rsidR="00EB137A" w:rsidRPr="00600064" w:rsidRDefault="005F0F2A" w:rsidP="00020B2D">
      <w:pPr>
        <w:pStyle w:val="ListParagraph"/>
        <w:numPr>
          <w:ilvl w:val="0"/>
          <w:numId w:val="16"/>
        </w:numPr>
        <w:ind w:left="1134"/>
      </w:pPr>
      <w:r w:rsidRPr="00600064">
        <w:t>The resubmission-addendum assumed that patients are not treated beyond RECIST</w:t>
      </w:r>
      <w:r w:rsidR="00CF559E" w:rsidRPr="00600064">
        <w:t>-</w:t>
      </w:r>
      <w:r w:rsidR="00030BF9" w:rsidRPr="00600064">
        <w:t xml:space="preserve">defined </w:t>
      </w:r>
      <w:r w:rsidR="00CF559E" w:rsidRPr="00600064">
        <w:t xml:space="preserve">PFS </w:t>
      </w:r>
      <w:r w:rsidRPr="00600064">
        <w:t xml:space="preserve">and the price of nivolumab was increased compared to the price proposed in the </w:t>
      </w:r>
      <w:r w:rsidR="007E3DE6" w:rsidRPr="00600064">
        <w:t>March 2017</w:t>
      </w:r>
      <w:r w:rsidRPr="00600064">
        <w:t xml:space="preserve"> resubmission. The treatment cap was removed, but the number of nivolumab infusions was based on the economic model using an 8-year (for the </w:t>
      </w:r>
      <w:r w:rsidR="00020B2D" w:rsidRPr="00600064">
        <w:t>“</w:t>
      </w:r>
      <w:r w:rsidRPr="00600064">
        <w:t>sponsor</w:t>
      </w:r>
      <w:r w:rsidR="00740208" w:rsidRPr="00600064">
        <w:t xml:space="preserve"> </w:t>
      </w:r>
      <w:r w:rsidRPr="00600064">
        <w:t>amended base case</w:t>
      </w:r>
      <w:r w:rsidR="00020B2D" w:rsidRPr="00600064">
        <w:t>”</w:t>
      </w:r>
      <w:r w:rsidRPr="00600064">
        <w:t xml:space="preserve">) and a 5-year (for the </w:t>
      </w:r>
      <w:r w:rsidR="00020B2D" w:rsidRPr="00600064">
        <w:t>“</w:t>
      </w:r>
      <w:r w:rsidRPr="00600064">
        <w:t>PBAC</w:t>
      </w:r>
      <w:r w:rsidR="00740208" w:rsidRPr="00600064">
        <w:t xml:space="preserve"> </w:t>
      </w:r>
      <w:r w:rsidRPr="00600064">
        <w:t>amended base case</w:t>
      </w:r>
      <w:r w:rsidR="00020B2D" w:rsidRPr="00600064">
        <w:t>”</w:t>
      </w:r>
      <w:r w:rsidRPr="00600064">
        <w:t xml:space="preserve">) time horizon. </w:t>
      </w:r>
      <w:r w:rsidR="005A4E3C" w:rsidRPr="00600064">
        <w:t>T</w:t>
      </w:r>
      <w:r w:rsidR="00EB4220" w:rsidRPr="00600064">
        <w:t xml:space="preserve">hese parameters </w:t>
      </w:r>
      <w:r w:rsidR="005A4E3C" w:rsidRPr="00600064">
        <w:t>in the financial-addendum</w:t>
      </w:r>
      <w:r w:rsidR="00EB4220" w:rsidRPr="00600064">
        <w:t xml:space="preserve"> </w:t>
      </w:r>
      <w:r w:rsidRPr="00600064">
        <w:t xml:space="preserve">resulted in total 5-year costs of </w:t>
      </w:r>
      <w:r w:rsidR="00C93804">
        <w:t>more than $100 million</w:t>
      </w:r>
      <w:r w:rsidRPr="00600064">
        <w:t xml:space="preserve"> </w:t>
      </w:r>
      <w:r w:rsidR="00CF559E" w:rsidRPr="00600064">
        <w:t xml:space="preserve">and </w:t>
      </w:r>
      <w:r w:rsidR="00C93804">
        <w:t>more than $100 million</w:t>
      </w:r>
      <w:r w:rsidRPr="00600064">
        <w:t xml:space="preserve"> </w:t>
      </w:r>
      <w:r w:rsidR="00CF559E" w:rsidRPr="00600064">
        <w:t xml:space="preserve">using the </w:t>
      </w:r>
      <w:r w:rsidR="00740208" w:rsidRPr="00600064">
        <w:t>“</w:t>
      </w:r>
      <w:r w:rsidR="00CF559E" w:rsidRPr="00600064">
        <w:t>sponsor</w:t>
      </w:r>
      <w:r w:rsidR="00740208" w:rsidRPr="00600064">
        <w:t xml:space="preserve"> </w:t>
      </w:r>
      <w:r w:rsidR="00CF559E" w:rsidRPr="00600064">
        <w:t xml:space="preserve">amended </w:t>
      </w:r>
      <w:r w:rsidR="00740208" w:rsidRPr="00600064">
        <w:t xml:space="preserve">base case” </w:t>
      </w:r>
      <w:r w:rsidR="00CF559E" w:rsidRPr="00600064">
        <w:t xml:space="preserve">and </w:t>
      </w:r>
      <w:r w:rsidR="00740208" w:rsidRPr="00600064">
        <w:t>“</w:t>
      </w:r>
      <w:r w:rsidR="00CF559E" w:rsidRPr="00600064">
        <w:t>PBAC</w:t>
      </w:r>
      <w:r w:rsidR="00740208" w:rsidRPr="00600064">
        <w:t xml:space="preserve"> </w:t>
      </w:r>
      <w:r w:rsidR="00CF559E" w:rsidRPr="00600064">
        <w:t>amended base case</w:t>
      </w:r>
      <w:r w:rsidR="00740208" w:rsidRPr="00600064">
        <w:t>”</w:t>
      </w:r>
      <w:r w:rsidR="00CF559E" w:rsidRPr="00600064">
        <w:t xml:space="preserve"> prices respectively, </w:t>
      </w:r>
      <w:r w:rsidRPr="00600064">
        <w:t xml:space="preserve">instead of </w:t>
      </w:r>
      <w:r w:rsidR="00C93804">
        <w:t>more than $100 million</w:t>
      </w:r>
      <w:r w:rsidRPr="00600064">
        <w:t xml:space="preserve"> in the resubmission base case.</w:t>
      </w:r>
    </w:p>
    <w:p w:rsidR="0022555D" w:rsidRPr="00600064" w:rsidRDefault="0022555D" w:rsidP="00B55873">
      <w:pPr>
        <w:numPr>
          <w:ilvl w:val="0"/>
          <w:numId w:val="16"/>
        </w:numPr>
        <w:ind w:left="1134"/>
        <w:contextualSpacing/>
      </w:pPr>
      <w:r w:rsidRPr="00600064">
        <w:t xml:space="preserve">Adverse event-related PBS costs associated with the use of nivolumab, </w:t>
      </w:r>
      <w:proofErr w:type="spellStart"/>
      <w:r w:rsidRPr="00600064">
        <w:t>everolimus</w:t>
      </w:r>
      <w:proofErr w:type="spellEnd"/>
      <w:r w:rsidRPr="00600064">
        <w:t xml:space="preserve"> or third-line systemic treatments were not taken into account. The impact of AE treatments on the PBS is uncertain as it is likely to affect nivolumab and its substituted therapies.</w:t>
      </w:r>
    </w:p>
    <w:p w:rsidR="00F749AB" w:rsidRPr="00600064" w:rsidRDefault="00B52270" w:rsidP="00B55873">
      <w:pPr>
        <w:numPr>
          <w:ilvl w:val="0"/>
          <w:numId w:val="16"/>
        </w:numPr>
        <w:ind w:left="1134"/>
        <w:contextualSpacing/>
      </w:pPr>
      <w:r w:rsidRPr="00600064">
        <w:t xml:space="preserve">Body weight was based on the Australian </w:t>
      </w:r>
      <w:r w:rsidR="0095313C" w:rsidRPr="00600064">
        <w:t>NPP</w:t>
      </w:r>
      <w:r w:rsidRPr="00600064">
        <w:t xml:space="preserve"> (</w:t>
      </w:r>
      <w:r w:rsidR="003A224F">
        <w:rPr>
          <w:noProof/>
          <w:color w:val="000000"/>
          <w:highlight w:val="black"/>
        </w:rPr>
        <w:t>''''''''''</w:t>
      </w:r>
      <w:r w:rsidRPr="00600064">
        <w:t xml:space="preserve"> kg) instead of the pivotal trial (82.4 kg) and has </w:t>
      </w:r>
      <w:r w:rsidR="0069655D" w:rsidRPr="00600064">
        <w:t xml:space="preserve">a </w:t>
      </w:r>
      <w:r w:rsidRPr="00600064">
        <w:t>substantial impact on the financial forecasts (</w:t>
      </w:r>
      <w:r w:rsidR="0095313C" w:rsidRPr="00600064">
        <w:t xml:space="preserve">increasing </w:t>
      </w:r>
      <w:r w:rsidRPr="00600064">
        <w:t>from</w:t>
      </w:r>
      <w:r w:rsidR="005A4E3C" w:rsidRPr="00600064">
        <w:t xml:space="preserve"> </w:t>
      </w:r>
      <w:r w:rsidR="00C93804">
        <w:t>more than $100 million</w:t>
      </w:r>
      <w:r w:rsidR="005A4E3C" w:rsidRPr="00600064">
        <w:t xml:space="preserve"> to </w:t>
      </w:r>
      <w:r w:rsidR="00C93804">
        <w:t>more than $100 million</w:t>
      </w:r>
      <w:r w:rsidR="005A4E3C" w:rsidRPr="00600064">
        <w:t xml:space="preserve"> (</w:t>
      </w:r>
      <w:r w:rsidR="00740208" w:rsidRPr="00600064">
        <w:t>“</w:t>
      </w:r>
      <w:r w:rsidR="005A4E3C" w:rsidRPr="00600064">
        <w:t>PBAC amended base case</w:t>
      </w:r>
      <w:r w:rsidR="00740208" w:rsidRPr="00600064">
        <w:t>”</w:t>
      </w:r>
      <w:r w:rsidR="005A4E3C" w:rsidRPr="00600064">
        <w:t xml:space="preserve">) and from </w:t>
      </w:r>
      <w:r w:rsidR="00C93804">
        <w:t>more than $100 million</w:t>
      </w:r>
      <w:r w:rsidR="005A4E3C" w:rsidRPr="00600064">
        <w:t xml:space="preserve"> to </w:t>
      </w:r>
      <w:r w:rsidR="00C93804">
        <w:t>more than $100 million</w:t>
      </w:r>
      <w:r w:rsidR="005A4E3C" w:rsidRPr="00600064">
        <w:t xml:space="preserve"> (</w:t>
      </w:r>
      <w:r w:rsidR="00740208" w:rsidRPr="00600064">
        <w:t>“s</w:t>
      </w:r>
      <w:r w:rsidR="005A4E3C" w:rsidRPr="00600064">
        <w:t>ponsor amended base case</w:t>
      </w:r>
      <w:r w:rsidR="00740208" w:rsidRPr="00600064">
        <w:t>”</w:t>
      </w:r>
      <w:r w:rsidR="005A4E3C" w:rsidRPr="00600064">
        <w:t>)</w:t>
      </w:r>
      <w:r w:rsidRPr="00600064">
        <w:t>).</w:t>
      </w:r>
    </w:p>
    <w:p w:rsidR="006F6FD4" w:rsidRPr="00600064" w:rsidRDefault="006F6FD4" w:rsidP="006F6FD4">
      <w:pPr>
        <w:numPr>
          <w:ilvl w:val="0"/>
          <w:numId w:val="16"/>
        </w:numPr>
        <w:contextualSpacing/>
      </w:pPr>
      <w:r w:rsidRPr="00600064">
        <w:t>The PBAC considered that</w:t>
      </w:r>
      <w:r w:rsidR="002C1218" w:rsidRPr="00600064">
        <w:t xml:space="preserve">, given these </w:t>
      </w:r>
      <w:r w:rsidRPr="00600064">
        <w:t>uncertaint</w:t>
      </w:r>
      <w:r w:rsidR="002C1218" w:rsidRPr="00600064">
        <w:t>ies</w:t>
      </w:r>
      <w:r w:rsidRPr="00600064">
        <w:t xml:space="preserve"> in the financial estimates</w:t>
      </w:r>
      <w:r w:rsidR="002C1218" w:rsidRPr="00600064">
        <w:t xml:space="preserve">, a </w:t>
      </w:r>
      <w:r w:rsidR="00CC4B03" w:rsidRPr="00600064">
        <w:t xml:space="preserve">rebate of </w:t>
      </w:r>
      <w:r w:rsidR="00CC4B03" w:rsidRPr="008115D8">
        <w:t>100</w:t>
      </w:r>
      <w:r w:rsidR="00CC4B03" w:rsidRPr="00600064">
        <w:t xml:space="preserve">% should apply for any expenditure over </w:t>
      </w:r>
      <w:r w:rsidR="00A97101" w:rsidRPr="00600064">
        <w:t xml:space="preserve">its recommended basis for calculating </w:t>
      </w:r>
      <w:r w:rsidR="002C1218" w:rsidRPr="00600064">
        <w:t>risk shar</w:t>
      </w:r>
      <w:r w:rsidR="00A97101" w:rsidRPr="00600064">
        <w:t>ing</w:t>
      </w:r>
      <w:r w:rsidR="002C1218" w:rsidRPr="00600064">
        <w:t xml:space="preserve"> arrangement </w:t>
      </w:r>
      <w:r w:rsidR="00A97101" w:rsidRPr="00600064">
        <w:t xml:space="preserve">expenditure </w:t>
      </w:r>
      <w:r w:rsidR="00CC4B03" w:rsidRPr="00600064">
        <w:t>caps</w:t>
      </w:r>
      <w:r w:rsidRPr="00600064">
        <w:t>.</w:t>
      </w:r>
    </w:p>
    <w:p w:rsidR="00DC4D63" w:rsidRPr="00600064" w:rsidRDefault="00DC4D63" w:rsidP="00B55873"/>
    <w:p w:rsidR="00AB156B" w:rsidRDefault="00AB156B">
      <w:pPr>
        <w:widowControl/>
        <w:jc w:val="left"/>
        <w:rPr>
          <w:rStyle w:val="CommentReference"/>
        </w:rPr>
      </w:pPr>
      <w:r>
        <w:rPr>
          <w:rStyle w:val="CommentReference"/>
        </w:rPr>
        <w:br w:type="page"/>
      </w:r>
    </w:p>
    <w:p w:rsidR="00F749AB" w:rsidRPr="00600064" w:rsidRDefault="00F749AB" w:rsidP="00D664EF">
      <w:pPr>
        <w:keepNext/>
        <w:ind w:hanging="142"/>
        <w:jc w:val="left"/>
        <w:rPr>
          <w:rStyle w:val="CommentReference"/>
        </w:rPr>
      </w:pPr>
      <w:r w:rsidRPr="00600064">
        <w:rPr>
          <w:rStyle w:val="CommentReference"/>
        </w:rPr>
        <w:lastRenderedPageBreak/>
        <w:t>Table</w:t>
      </w:r>
      <w:r w:rsidR="0031098E" w:rsidRPr="00600064">
        <w:rPr>
          <w:rStyle w:val="CommentReference"/>
        </w:rPr>
        <w:t xml:space="preserve"> </w:t>
      </w:r>
      <w:r w:rsidRPr="00600064">
        <w:rPr>
          <w:rStyle w:val="CommentReference"/>
        </w:rPr>
        <w:t>16: Sensitivity analyses from the financial-</w:t>
      </w:r>
      <w:r w:rsidR="0031098E" w:rsidRPr="00600064">
        <w:rPr>
          <w:rStyle w:val="CommentReference"/>
        </w:rPr>
        <w:t>addendum</w:t>
      </w:r>
      <w:r w:rsidRPr="00600064">
        <w:rPr>
          <w:rStyle w:val="CommentReference"/>
        </w:rPr>
        <w:t xml:space="preserve"> results</w:t>
      </w:r>
    </w:p>
    <w:tbl>
      <w:tblPr>
        <w:tblStyle w:val="TableGridbeth51"/>
        <w:tblW w:w="0" w:type="auto"/>
        <w:tblLook w:val="04A0" w:firstRow="1" w:lastRow="0" w:firstColumn="1" w:lastColumn="0" w:noHBand="0" w:noVBand="1"/>
        <w:tblCaption w:val="Table 16: Sensitivity analyses from the financial-addendum results"/>
      </w:tblPr>
      <w:tblGrid>
        <w:gridCol w:w="909"/>
        <w:gridCol w:w="5390"/>
        <w:gridCol w:w="1430"/>
        <w:gridCol w:w="1514"/>
      </w:tblGrid>
      <w:tr w:rsidR="0024019E" w:rsidRPr="00600064" w:rsidTr="000F556D">
        <w:trPr>
          <w:trHeight w:val="459"/>
          <w:tblHeader/>
        </w:trPr>
        <w:tc>
          <w:tcPr>
            <w:tcW w:w="0" w:type="auto"/>
            <w:vMerge w:val="restart"/>
          </w:tcPr>
          <w:p w:rsidR="00F749AB" w:rsidRPr="00600064" w:rsidRDefault="00E25D57" w:rsidP="00E25D57">
            <w:pPr>
              <w:tabs>
                <w:tab w:val="left" w:pos="693"/>
              </w:tabs>
              <w:spacing w:line="240" w:lineRule="auto"/>
              <w:jc w:val="left"/>
              <w:rPr>
                <w:rFonts w:ascii="Arial Narrow" w:hAnsi="Arial Narrow"/>
                <w:b/>
                <w:sz w:val="20"/>
                <w:lang w:eastAsia="en-AU"/>
              </w:rPr>
            </w:pPr>
            <w:r>
              <w:rPr>
                <w:rFonts w:ascii="Arial Narrow" w:hAnsi="Arial Narrow"/>
                <w:b/>
                <w:sz w:val="20"/>
                <w:lang w:eastAsia="en-AU"/>
              </w:rPr>
              <w:tab/>
            </w:r>
          </w:p>
        </w:tc>
        <w:tc>
          <w:tcPr>
            <w:tcW w:w="0" w:type="auto"/>
            <w:vMerge w:val="restart"/>
          </w:tcPr>
          <w:p w:rsidR="00F749AB" w:rsidRPr="00600064" w:rsidRDefault="00F749AB" w:rsidP="000F556D">
            <w:pPr>
              <w:spacing w:line="240" w:lineRule="auto"/>
              <w:jc w:val="left"/>
              <w:rPr>
                <w:rFonts w:ascii="Arial Narrow" w:hAnsi="Arial Narrow"/>
                <w:b/>
                <w:sz w:val="20"/>
                <w:lang w:eastAsia="en-AU"/>
              </w:rPr>
            </w:pPr>
            <w:r w:rsidRPr="00600064">
              <w:rPr>
                <w:rFonts w:ascii="Arial Narrow" w:hAnsi="Arial Narrow"/>
                <w:b/>
                <w:sz w:val="20"/>
                <w:lang w:eastAsia="en-AU"/>
              </w:rPr>
              <w:t>Assumption</w:t>
            </w:r>
          </w:p>
        </w:tc>
        <w:tc>
          <w:tcPr>
            <w:tcW w:w="0" w:type="auto"/>
            <w:gridSpan w:val="2"/>
          </w:tcPr>
          <w:p w:rsidR="00F749AB" w:rsidRPr="00600064" w:rsidRDefault="00F749AB" w:rsidP="00F749AB">
            <w:pPr>
              <w:spacing w:line="240" w:lineRule="auto"/>
              <w:jc w:val="left"/>
              <w:rPr>
                <w:rFonts w:ascii="Arial Narrow" w:hAnsi="Arial Narrow"/>
                <w:b/>
                <w:sz w:val="20"/>
                <w:lang w:eastAsia="en-AU"/>
              </w:rPr>
            </w:pPr>
            <w:r w:rsidRPr="00600064">
              <w:rPr>
                <w:rFonts w:ascii="Arial Narrow" w:hAnsi="Arial Narrow"/>
                <w:b/>
                <w:sz w:val="20"/>
                <w:lang w:eastAsia="en-AU"/>
              </w:rPr>
              <w:t>Overall net cost to PBS/RPBS over the first 5 years</w:t>
            </w:r>
          </w:p>
        </w:tc>
      </w:tr>
      <w:tr w:rsidR="00F749AB" w:rsidRPr="00600064" w:rsidTr="000F556D">
        <w:trPr>
          <w:trHeight w:val="225"/>
          <w:tblHeader/>
        </w:trPr>
        <w:tc>
          <w:tcPr>
            <w:tcW w:w="0" w:type="auto"/>
            <w:vMerge/>
          </w:tcPr>
          <w:p w:rsidR="00F749AB" w:rsidRPr="00600064" w:rsidRDefault="00F749AB" w:rsidP="000F556D">
            <w:pPr>
              <w:jc w:val="left"/>
              <w:rPr>
                <w:rFonts w:ascii="Arial Narrow" w:hAnsi="Arial Narrow"/>
                <w:b/>
                <w:sz w:val="20"/>
                <w:lang w:eastAsia="en-AU"/>
              </w:rPr>
            </w:pPr>
          </w:p>
        </w:tc>
        <w:tc>
          <w:tcPr>
            <w:tcW w:w="0" w:type="auto"/>
            <w:vMerge/>
          </w:tcPr>
          <w:p w:rsidR="00F749AB" w:rsidRPr="00600064" w:rsidRDefault="00F749AB" w:rsidP="000F556D">
            <w:pPr>
              <w:jc w:val="left"/>
              <w:rPr>
                <w:rFonts w:ascii="Arial Narrow" w:hAnsi="Arial Narrow"/>
                <w:b/>
                <w:sz w:val="20"/>
                <w:lang w:eastAsia="en-AU"/>
              </w:rPr>
            </w:pPr>
          </w:p>
        </w:tc>
        <w:tc>
          <w:tcPr>
            <w:tcW w:w="0" w:type="auto"/>
          </w:tcPr>
          <w:p w:rsidR="00F749AB" w:rsidRPr="00600064" w:rsidRDefault="00740208" w:rsidP="000F556D">
            <w:pPr>
              <w:spacing w:line="240" w:lineRule="auto"/>
              <w:jc w:val="left"/>
              <w:rPr>
                <w:rFonts w:ascii="Arial Narrow" w:hAnsi="Arial Narrow"/>
                <w:b/>
                <w:sz w:val="20"/>
                <w:lang w:eastAsia="en-AU"/>
              </w:rPr>
            </w:pPr>
            <w:r w:rsidRPr="00600064">
              <w:rPr>
                <w:rFonts w:ascii="Arial Narrow" w:hAnsi="Arial Narrow"/>
                <w:b/>
                <w:sz w:val="20"/>
                <w:lang w:eastAsia="en-AU"/>
              </w:rPr>
              <w:t>“</w:t>
            </w:r>
            <w:r w:rsidR="00F749AB" w:rsidRPr="00600064">
              <w:rPr>
                <w:rFonts w:ascii="Arial Narrow" w:hAnsi="Arial Narrow"/>
                <w:b/>
                <w:sz w:val="20"/>
                <w:lang w:eastAsia="en-AU"/>
              </w:rPr>
              <w:t>PBAC amended base case</w:t>
            </w:r>
            <w:r w:rsidRPr="00600064">
              <w:rPr>
                <w:rFonts w:ascii="Arial Narrow" w:hAnsi="Arial Narrow"/>
                <w:b/>
                <w:sz w:val="20"/>
                <w:lang w:eastAsia="en-AU"/>
              </w:rPr>
              <w:t>”</w:t>
            </w:r>
          </w:p>
        </w:tc>
        <w:tc>
          <w:tcPr>
            <w:tcW w:w="0" w:type="auto"/>
          </w:tcPr>
          <w:p w:rsidR="00F749AB" w:rsidRPr="00600064" w:rsidRDefault="00740208" w:rsidP="000F556D">
            <w:pPr>
              <w:spacing w:line="240" w:lineRule="auto"/>
              <w:jc w:val="left"/>
              <w:rPr>
                <w:rFonts w:ascii="Arial Narrow" w:hAnsi="Arial Narrow"/>
                <w:b/>
                <w:sz w:val="20"/>
                <w:lang w:eastAsia="en-AU"/>
              </w:rPr>
            </w:pPr>
            <w:r w:rsidRPr="00600064">
              <w:rPr>
                <w:rFonts w:ascii="Arial Narrow" w:hAnsi="Arial Narrow"/>
                <w:b/>
                <w:sz w:val="20"/>
                <w:lang w:eastAsia="en-AU"/>
              </w:rPr>
              <w:t>“</w:t>
            </w:r>
            <w:r w:rsidR="00F749AB" w:rsidRPr="00600064">
              <w:rPr>
                <w:rFonts w:ascii="Arial Narrow" w:hAnsi="Arial Narrow"/>
                <w:b/>
                <w:sz w:val="20"/>
                <w:lang w:eastAsia="en-AU"/>
              </w:rPr>
              <w:t>Sponsor amended base case</w:t>
            </w:r>
            <w:r w:rsidRPr="00600064">
              <w:rPr>
                <w:rFonts w:ascii="Arial Narrow" w:hAnsi="Arial Narrow"/>
                <w:b/>
                <w:sz w:val="20"/>
                <w:lang w:eastAsia="en-AU"/>
              </w:rPr>
              <w:t>”</w:t>
            </w:r>
          </w:p>
        </w:tc>
      </w:tr>
      <w:tr w:rsidR="00F749AB" w:rsidRPr="00600064" w:rsidTr="000F556D">
        <w:trPr>
          <w:trHeight w:val="149"/>
        </w:trPr>
        <w:tc>
          <w:tcPr>
            <w:tcW w:w="0" w:type="auto"/>
          </w:tcPr>
          <w:p w:rsidR="00F749AB" w:rsidRPr="00600064" w:rsidRDefault="00F749AB" w:rsidP="000F556D">
            <w:pPr>
              <w:spacing w:line="240" w:lineRule="auto"/>
              <w:jc w:val="left"/>
              <w:rPr>
                <w:rFonts w:ascii="Arial Narrow" w:hAnsi="Arial Narrow"/>
                <w:sz w:val="20"/>
                <w:lang w:eastAsia="en-AU"/>
              </w:rPr>
            </w:pP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Base case</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jc w:val="left"/>
              <w:rPr>
                <w:rFonts w:ascii="Arial Narrow" w:hAnsi="Arial Narrow"/>
                <w:sz w:val="20"/>
                <w:lang w:eastAsia="en-AU"/>
              </w:rPr>
            </w:pP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Base case adjusted for change in  application of transition probabilities</w:t>
            </w:r>
          </w:p>
          <w:p w:rsidR="00F749AB" w:rsidRPr="00600064" w:rsidRDefault="00740208" w:rsidP="000F556D">
            <w:pPr>
              <w:spacing w:line="240" w:lineRule="auto"/>
              <w:jc w:val="left"/>
              <w:rPr>
                <w:rFonts w:ascii="Arial Narrow" w:hAnsi="Arial Narrow"/>
                <w:sz w:val="20"/>
                <w:lang w:eastAsia="en-AU"/>
              </w:rPr>
            </w:pPr>
            <w:r w:rsidRPr="00600064">
              <w:rPr>
                <w:rFonts w:ascii="Arial Narrow" w:hAnsi="Arial Narrow"/>
                <w:sz w:val="20"/>
                <w:lang w:eastAsia="en-AU"/>
              </w:rPr>
              <w:t>“</w:t>
            </w:r>
            <w:r w:rsidR="00F749AB" w:rsidRPr="00600064">
              <w:rPr>
                <w:rFonts w:ascii="Arial Narrow" w:hAnsi="Arial Narrow"/>
                <w:sz w:val="20"/>
                <w:lang w:eastAsia="en-AU"/>
              </w:rPr>
              <w:t>PBAC amended base case</w:t>
            </w:r>
            <w:r w:rsidRPr="00600064">
              <w:rPr>
                <w:rFonts w:ascii="Arial Narrow" w:hAnsi="Arial Narrow"/>
                <w:sz w:val="20"/>
                <w:lang w:eastAsia="en-AU"/>
              </w:rPr>
              <w:t>”</w:t>
            </w:r>
            <w:r w:rsidR="00F749AB" w:rsidRPr="00600064">
              <w:rPr>
                <w:rFonts w:ascii="Arial Narrow" w:hAnsi="Arial Narrow"/>
                <w:sz w:val="20"/>
                <w:lang w:eastAsia="en-AU"/>
              </w:rPr>
              <w:t xml:space="preserve">: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nivolumab infusions per treatment course,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w:t>
            </w:r>
            <w:proofErr w:type="gramStart"/>
            <w:r w:rsidR="00F749AB" w:rsidRPr="00600064">
              <w:rPr>
                <w:rFonts w:ascii="Arial Narrow" w:hAnsi="Arial Narrow"/>
                <w:sz w:val="20"/>
                <w:lang w:eastAsia="en-AU"/>
              </w:rPr>
              <w:t>months</w:t>
            </w:r>
            <w:proofErr w:type="gramEnd"/>
            <w:r w:rsidR="00F749AB" w:rsidRPr="00600064">
              <w:rPr>
                <w:rFonts w:ascii="Arial Narrow" w:hAnsi="Arial Narrow"/>
                <w:sz w:val="20"/>
                <w:lang w:eastAsia="en-AU"/>
              </w:rPr>
              <w:t xml:space="preserve"> </w:t>
            </w:r>
            <w:proofErr w:type="spellStart"/>
            <w:r w:rsidR="00F749AB" w:rsidRPr="00600064">
              <w:rPr>
                <w:rFonts w:ascii="Arial Narrow" w:hAnsi="Arial Narrow"/>
                <w:sz w:val="20"/>
                <w:lang w:eastAsia="en-AU"/>
              </w:rPr>
              <w:t>everolimus</w:t>
            </w:r>
            <w:proofErr w:type="spellEnd"/>
            <w:r w:rsidR="00F749AB" w:rsidRPr="00600064">
              <w:rPr>
                <w:rFonts w:ascii="Arial Narrow" w:hAnsi="Arial Narrow"/>
                <w:sz w:val="20"/>
                <w:lang w:eastAsia="en-AU"/>
              </w:rPr>
              <w:t>.</w:t>
            </w:r>
          </w:p>
          <w:p w:rsidR="00F749AB" w:rsidRPr="00600064" w:rsidRDefault="00740208" w:rsidP="000F556D">
            <w:pPr>
              <w:spacing w:line="240" w:lineRule="auto"/>
              <w:jc w:val="left"/>
              <w:rPr>
                <w:rFonts w:ascii="Arial Narrow" w:hAnsi="Arial Narrow"/>
                <w:sz w:val="20"/>
                <w:lang w:eastAsia="en-AU"/>
              </w:rPr>
            </w:pPr>
            <w:r w:rsidRPr="00600064">
              <w:rPr>
                <w:rFonts w:ascii="Arial Narrow" w:hAnsi="Arial Narrow"/>
                <w:sz w:val="20"/>
                <w:lang w:eastAsia="en-AU"/>
              </w:rPr>
              <w:t>“</w:t>
            </w:r>
            <w:r w:rsidR="00F749AB" w:rsidRPr="00600064">
              <w:rPr>
                <w:rFonts w:ascii="Arial Narrow" w:hAnsi="Arial Narrow"/>
                <w:sz w:val="20"/>
                <w:lang w:eastAsia="en-AU"/>
              </w:rPr>
              <w:t>Sponsor amended base case</w:t>
            </w:r>
            <w:r w:rsidRPr="00600064">
              <w:rPr>
                <w:rFonts w:ascii="Arial Narrow" w:hAnsi="Arial Narrow"/>
                <w:sz w:val="20"/>
                <w:lang w:eastAsia="en-AU"/>
              </w:rPr>
              <w:t>”</w:t>
            </w:r>
            <w:r w:rsidR="00F749AB" w:rsidRPr="00600064">
              <w:rPr>
                <w:rFonts w:ascii="Arial Narrow" w:hAnsi="Arial Narrow"/>
                <w:sz w:val="20"/>
                <w:lang w:eastAsia="en-AU"/>
              </w:rPr>
              <w:t xml:space="preserv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nivolumab infusions per treatment course,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months </w:t>
            </w:r>
            <w:proofErr w:type="spellStart"/>
            <w:r w:rsidR="00F749AB" w:rsidRPr="00600064">
              <w:rPr>
                <w:rFonts w:ascii="Arial Narrow" w:hAnsi="Arial Narrow"/>
                <w:sz w:val="20"/>
                <w:lang w:eastAsia="en-AU"/>
              </w:rPr>
              <w:t>everolimus</w:t>
            </w:r>
            <w:proofErr w:type="spellEnd"/>
            <w:r w:rsidR="00F749AB" w:rsidRPr="00600064">
              <w:rPr>
                <w:rFonts w:ascii="Arial Narrow" w:hAnsi="Arial Narrow"/>
                <w:sz w:val="20"/>
                <w:lang w:eastAsia="en-AU"/>
              </w:rPr>
              <w:t>.</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AddSA1</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 xml:space="preserve">Increase in number of new patients initiated on TKI from </w:t>
            </w:r>
            <w:r w:rsidR="003A224F">
              <w:rPr>
                <w:rFonts w:ascii="Arial Narrow" w:hAnsi="Arial Narrow"/>
                <w:noProof/>
                <w:color w:val="000000"/>
                <w:sz w:val="20"/>
                <w:highlight w:val="black"/>
                <w:lang w:eastAsia="en-AU"/>
              </w:rPr>
              <w:t>''''''''''</w:t>
            </w:r>
            <w:r w:rsidRPr="00600064">
              <w:rPr>
                <w:rFonts w:ascii="Arial Narrow" w:hAnsi="Arial Narrow"/>
                <w:sz w:val="20"/>
                <w:lang w:eastAsia="en-AU"/>
              </w:rPr>
              <w:t>-</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per year to </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per year</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AddSA2</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No increase (instead of 10% increase) in patients receiving a 1L TKI to become eligible for nivolumab</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AddSA3</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Increase in mean number of 1L TKI scripts per additional patient treated with 1L TKI, from 3 to 6</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AddSA4</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 xml:space="preserve">Increase in mean body weight (kg) for nivolumab patients from </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to 82.4 kg</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AddSA5</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 xml:space="preserve">Decrease in mean body weight (kg) for nivolumab patients from </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to 74.6 kg</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AddSA6</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Decrease in % of patients initiated on 2L therapy from 70% to 60% - world without nivolumab</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AddSA7</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Increase in % of patients initiated on 2L therapy from 85% to 90% - world with nivolumab</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AddSA8</w:t>
            </w:r>
          </w:p>
        </w:tc>
        <w:tc>
          <w:tcPr>
            <w:tcW w:w="0" w:type="auto"/>
          </w:tcPr>
          <w:p w:rsidR="00F749AB" w:rsidRPr="00600064" w:rsidRDefault="00F749AB" w:rsidP="0024019E">
            <w:pPr>
              <w:spacing w:line="240" w:lineRule="auto"/>
              <w:jc w:val="left"/>
              <w:rPr>
                <w:rFonts w:ascii="Arial Narrow" w:hAnsi="Arial Narrow"/>
                <w:b/>
                <w:sz w:val="20"/>
                <w:lang w:eastAsia="en-AU"/>
              </w:rPr>
            </w:pPr>
            <w:r w:rsidRPr="00600064">
              <w:rPr>
                <w:rFonts w:ascii="Arial Narrow" w:hAnsi="Arial Narrow"/>
                <w:sz w:val="20"/>
                <w:lang w:eastAsia="en-AU"/>
              </w:rPr>
              <w:t xml:space="preserve">Decrease in mean duration of 2L treatment with substituted therapies from </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w:t>
            </w:r>
            <w:r w:rsidR="00740208" w:rsidRPr="00600064">
              <w:rPr>
                <w:rFonts w:ascii="Arial Narrow" w:hAnsi="Arial Narrow"/>
                <w:sz w:val="20"/>
                <w:lang w:eastAsia="en-AU"/>
              </w:rPr>
              <w:t>“</w:t>
            </w:r>
            <w:r w:rsidRPr="00600064">
              <w:rPr>
                <w:rFonts w:ascii="Arial Narrow" w:hAnsi="Arial Narrow"/>
                <w:sz w:val="20"/>
                <w:lang w:eastAsia="en-AU"/>
              </w:rPr>
              <w:t>PBAC amended base case</w:t>
            </w:r>
            <w:r w:rsidR="00740208" w:rsidRPr="00600064">
              <w:rPr>
                <w:rFonts w:ascii="Arial Narrow" w:hAnsi="Arial Narrow"/>
                <w:sz w:val="20"/>
                <w:lang w:eastAsia="en-AU"/>
              </w:rPr>
              <w:t>”</w:t>
            </w:r>
            <w:r w:rsidR="0024019E" w:rsidRPr="00600064">
              <w:rPr>
                <w:rFonts w:ascii="Arial Narrow" w:hAnsi="Arial Narrow"/>
                <w:sz w:val="20"/>
                <w:lang w:eastAsia="en-AU"/>
              </w:rPr>
              <w:t>, adjus</w:t>
            </w:r>
            <w:r w:rsidRPr="00600064">
              <w:rPr>
                <w:rFonts w:ascii="Arial Narrow" w:hAnsi="Arial Narrow"/>
                <w:sz w:val="20"/>
                <w:lang w:eastAsia="en-AU"/>
              </w:rPr>
              <w:t xml:space="preserve">ted) and </w:t>
            </w:r>
            <w:r w:rsidR="003A224F">
              <w:rPr>
                <w:rFonts w:ascii="Arial Narrow" w:hAnsi="Arial Narrow"/>
                <w:noProof/>
                <w:color w:val="000000"/>
                <w:sz w:val="20"/>
                <w:highlight w:val="black"/>
                <w:lang w:eastAsia="en-AU"/>
              </w:rPr>
              <w:t>'''''''''''</w:t>
            </w:r>
            <w:r w:rsidRPr="00600064">
              <w:rPr>
                <w:rFonts w:ascii="Arial Narrow" w:hAnsi="Arial Narrow"/>
                <w:sz w:val="20"/>
                <w:lang w:eastAsia="en-AU"/>
              </w:rPr>
              <w:t xml:space="preserve"> (</w:t>
            </w:r>
            <w:r w:rsidR="00740208" w:rsidRPr="00600064">
              <w:rPr>
                <w:rFonts w:ascii="Arial Narrow" w:hAnsi="Arial Narrow"/>
                <w:sz w:val="20"/>
                <w:lang w:eastAsia="en-AU"/>
              </w:rPr>
              <w:t>“s</w:t>
            </w:r>
            <w:r w:rsidRPr="00600064">
              <w:rPr>
                <w:rFonts w:ascii="Arial Narrow" w:hAnsi="Arial Narrow"/>
                <w:sz w:val="20"/>
                <w:lang w:eastAsia="en-AU"/>
              </w:rPr>
              <w:t>ponsor amended base case</w:t>
            </w:r>
            <w:r w:rsidR="00740208" w:rsidRPr="00600064">
              <w:rPr>
                <w:rFonts w:ascii="Arial Narrow" w:hAnsi="Arial Narrow"/>
                <w:sz w:val="20"/>
                <w:lang w:eastAsia="en-AU"/>
              </w:rPr>
              <w:t>”</w:t>
            </w:r>
            <w:r w:rsidRPr="00600064">
              <w:rPr>
                <w:rFonts w:ascii="Arial Narrow" w:hAnsi="Arial Narrow"/>
                <w:sz w:val="20"/>
                <w:lang w:eastAsia="en-AU"/>
              </w:rPr>
              <w:t xml:space="preserve">, </w:t>
            </w:r>
            <w:r w:rsidR="0024019E" w:rsidRPr="00600064">
              <w:rPr>
                <w:rFonts w:ascii="Arial Narrow" w:hAnsi="Arial Narrow"/>
                <w:sz w:val="20"/>
                <w:lang w:eastAsia="en-AU"/>
              </w:rPr>
              <w:t>adjus</w:t>
            </w:r>
            <w:r w:rsidRPr="00600064">
              <w:rPr>
                <w:rFonts w:ascii="Arial Narrow" w:hAnsi="Arial Narrow"/>
                <w:sz w:val="20"/>
                <w:lang w:eastAsia="en-AU"/>
              </w:rPr>
              <w:t xml:space="preserve">ted) to </w:t>
            </w:r>
            <w:r w:rsidRPr="00A817A0">
              <w:rPr>
                <w:rFonts w:ascii="Arial Narrow" w:hAnsi="Arial Narrow"/>
                <w:sz w:val="20"/>
                <w:lang w:eastAsia="en-AU"/>
              </w:rPr>
              <w:t>4.1</w:t>
            </w:r>
            <w:r w:rsidRPr="00600064">
              <w:rPr>
                <w:rFonts w:ascii="Arial Narrow" w:hAnsi="Arial Narrow"/>
                <w:sz w:val="20"/>
                <w:lang w:eastAsia="en-AU"/>
              </w:rPr>
              <w:t xml:space="preserve"> months</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AddSA10</w:t>
            </w:r>
          </w:p>
        </w:tc>
        <w:tc>
          <w:tcPr>
            <w:tcW w:w="0" w:type="auto"/>
          </w:tcPr>
          <w:p w:rsidR="00F749AB" w:rsidRPr="00600064" w:rsidRDefault="00F749AB" w:rsidP="007C5C59">
            <w:pPr>
              <w:spacing w:line="240" w:lineRule="auto"/>
              <w:jc w:val="left"/>
              <w:rPr>
                <w:rFonts w:ascii="Arial Narrow" w:hAnsi="Arial Narrow"/>
                <w:sz w:val="20"/>
                <w:highlight w:val="yellow"/>
                <w:lang w:eastAsia="en-AU"/>
              </w:rPr>
            </w:pPr>
            <w:r w:rsidRPr="00600064">
              <w:rPr>
                <w:rFonts w:ascii="Arial Narrow" w:hAnsi="Arial Narrow"/>
                <w:sz w:val="20"/>
                <w:lang w:eastAsia="en-AU"/>
              </w:rPr>
              <w:t xml:space="preserve">Increase in the number of nivolumab patients by </w:t>
            </w:r>
            <w:r w:rsidR="007C5C59">
              <w:rPr>
                <w:rFonts w:ascii="Arial Narrow" w:hAnsi="Arial Narrow"/>
                <w:sz w:val="20"/>
                <w:lang w:eastAsia="en-AU"/>
              </w:rPr>
              <w:t>less than 10,000</w:t>
            </w:r>
            <w:r w:rsidR="007C5C59" w:rsidRPr="00600064">
              <w:rPr>
                <w:rFonts w:ascii="Arial Narrow" w:hAnsi="Arial Narrow"/>
                <w:sz w:val="20"/>
                <w:lang w:eastAsia="en-AU"/>
              </w:rPr>
              <w:t xml:space="preserve"> </w:t>
            </w:r>
            <w:r w:rsidRPr="00600064">
              <w:rPr>
                <w:rFonts w:ascii="Arial Narrow" w:hAnsi="Arial Narrow"/>
                <w:sz w:val="20"/>
                <w:lang w:eastAsia="en-AU"/>
              </w:rPr>
              <w:t>in year 1, to account for grandfathering.</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AddSA11</w:t>
            </w:r>
          </w:p>
        </w:tc>
        <w:tc>
          <w:tcPr>
            <w:tcW w:w="0" w:type="auto"/>
          </w:tcPr>
          <w:p w:rsidR="00F749AB" w:rsidRPr="00600064" w:rsidRDefault="00F749AB" w:rsidP="000F556D">
            <w:pPr>
              <w:spacing w:line="240" w:lineRule="auto"/>
              <w:jc w:val="left"/>
              <w:rPr>
                <w:rFonts w:ascii="Arial Narrow" w:hAnsi="Arial Narrow"/>
                <w:sz w:val="20"/>
                <w:highlight w:val="yellow"/>
                <w:lang w:eastAsia="en-AU"/>
              </w:rPr>
            </w:pPr>
            <w:r w:rsidRPr="00600064">
              <w:rPr>
                <w:rFonts w:ascii="Arial Narrow" w:hAnsi="Arial Narrow"/>
                <w:sz w:val="20"/>
                <w:lang w:eastAsia="en-AU"/>
              </w:rPr>
              <w:t>Uptake rates of 2L treatment decreased from 70% (without nivolumab) and 85% (with nivolumab) to 51% (without nivolumab) and 67% (with nivolumab), based on the clinician survey.</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r w:rsidR="00F749AB" w:rsidRPr="00600064" w:rsidTr="000F556D">
        <w:tc>
          <w:tcPr>
            <w:tcW w:w="0" w:type="auto"/>
          </w:tcPr>
          <w:p w:rsidR="00F749AB" w:rsidRPr="00600064" w:rsidRDefault="00F749AB" w:rsidP="000F556D">
            <w:pPr>
              <w:jc w:val="left"/>
              <w:rPr>
                <w:rFonts w:ascii="Arial Narrow" w:hAnsi="Arial Narrow"/>
                <w:sz w:val="20"/>
                <w:lang w:eastAsia="en-AU"/>
              </w:rPr>
            </w:pPr>
            <w:r w:rsidRPr="00600064">
              <w:rPr>
                <w:rFonts w:ascii="Arial Narrow" w:hAnsi="Arial Narrow"/>
                <w:sz w:val="20"/>
                <w:lang w:eastAsia="en-AU"/>
              </w:rPr>
              <w:t>AddSA12</w:t>
            </w:r>
          </w:p>
        </w:tc>
        <w:tc>
          <w:tcPr>
            <w:tcW w:w="0" w:type="auto"/>
          </w:tcPr>
          <w:p w:rsidR="00F749AB" w:rsidRPr="00600064" w:rsidRDefault="00F749AB" w:rsidP="000F556D">
            <w:pPr>
              <w:spacing w:line="240" w:lineRule="auto"/>
              <w:jc w:val="left"/>
              <w:rPr>
                <w:rFonts w:ascii="Arial Narrow" w:hAnsi="Arial Narrow"/>
                <w:sz w:val="20"/>
                <w:lang w:eastAsia="en-AU"/>
              </w:rPr>
            </w:pPr>
            <w:r w:rsidRPr="00600064">
              <w:rPr>
                <w:rFonts w:ascii="Arial Narrow" w:hAnsi="Arial Narrow"/>
                <w:sz w:val="20"/>
                <w:lang w:eastAsia="en-AU"/>
              </w:rPr>
              <w:t>Drug use based on treatment cessation curve, clinical benefit based on RECIST-</w:t>
            </w:r>
            <w:r w:rsidR="00514F6C" w:rsidRPr="00600064">
              <w:rPr>
                <w:rFonts w:ascii="Arial Narrow" w:hAnsi="Arial Narrow"/>
                <w:sz w:val="20"/>
                <w:lang w:eastAsia="en-AU"/>
              </w:rPr>
              <w:t xml:space="preserve">defined </w:t>
            </w:r>
            <w:r w:rsidRPr="00600064">
              <w:rPr>
                <w:rFonts w:ascii="Arial Narrow" w:hAnsi="Arial Narrow"/>
                <w:sz w:val="20"/>
                <w:lang w:eastAsia="en-AU"/>
              </w:rPr>
              <w:t>PFS.</w:t>
            </w:r>
          </w:p>
          <w:p w:rsidR="00F749AB" w:rsidRPr="00600064" w:rsidRDefault="00740208" w:rsidP="000F556D">
            <w:pPr>
              <w:spacing w:line="240" w:lineRule="auto"/>
              <w:jc w:val="left"/>
              <w:rPr>
                <w:rFonts w:ascii="Arial Narrow" w:hAnsi="Arial Narrow"/>
                <w:sz w:val="20"/>
                <w:lang w:eastAsia="en-AU"/>
              </w:rPr>
            </w:pPr>
            <w:r w:rsidRPr="00600064">
              <w:rPr>
                <w:rFonts w:ascii="Arial Narrow" w:hAnsi="Arial Narrow"/>
                <w:sz w:val="20"/>
                <w:lang w:eastAsia="en-AU"/>
              </w:rPr>
              <w:t>“</w:t>
            </w:r>
            <w:r w:rsidR="00F749AB" w:rsidRPr="00600064">
              <w:rPr>
                <w:rFonts w:ascii="Arial Narrow" w:hAnsi="Arial Narrow"/>
                <w:sz w:val="20"/>
                <w:lang w:eastAsia="en-AU"/>
              </w:rPr>
              <w:t>PBAC amended base case</w:t>
            </w:r>
            <w:r w:rsidRPr="00600064">
              <w:rPr>
                <w:rFonts w:ascii="Arial Narrow" w:hAnsi="Arial Narrow"/>
                <w:sz w:val="20"/>
                <w:lang w:eastAsia="en-AU"/>
              </w:rPr>
              <w:t>”</w:t>
            </w:r>
            <w:r w:rsidR="00F749AB" w:rsidRPr="00600064">
              <w:rPr>
                <w:rFonts w:ascii="Arial Narrow" w:hAnsi="Arial Narrow"/>
                <w:sz w:val="20"/>
                <w:lang w:eastAsia="en-AU"/>
              </w:rPr>
              <w:t xml:space="preserve">: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nivolumab infusions per treatment course,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w:t>
            </w:r>
            <w:proofErr w:type="gramStart"/>
            <w:r w:rsidR="00F749AB" w:rsidRPr="00600064">
              <w:rPr>
                <w:rFonts w:ascii="Arial Narrow" w:hAnsi="Arial Narrow"/>
                <w:sz w:val="20"/>
                <w:lang w:eastAsia="en-AU"/>
              </w:rPr>
              <w:t>months</w:t>
            </w:r>
            <w:proofErr w:type="gramEnd"/>
            <w:r w:rsidR="00F749AB" w:rsidRPr="00600064">
              <w:rPr>
                <w:rFonts w:ascii="Arial Narrow" w:hAnsi="Arial Narrow"/>
                <w:sz w:val="20"/>
                <w:lang w:eastAsia="en-AU"/>
              </w:rPr>
              <w:t xml:space="preserve"> </w:t>
            </w:r>
            <w:proofErr w:type="spellStart"/>
            <w:r w:rsidR="00F749AB" w:rsidRPr="00600064">
              <w:rPr>
                <w:rFonts w:ascii="Arial Narrow" w:hAnsi="Arial Narrow"/>
                <w:sz w:val="20"/>
                <w:lang w:eastAsia="en-AU"/>
              </w:rPr>
              <w:t>everolimus</w:t>
            </w:r>
            <w:proofErr w:type="spellEnd"/>
            <w:r w:rsidR="00F749AB" w:rsidRPr="00600064">
              <w:rPr>
                <w:rFonts w:ascii="Arial Narrow" w:hAnsi="Arial Narrow"/>
                <w:sz w:val="20"/>
                <w:lang w:eastAsia="en-AU"/>
              </w:rPr>
              <w:t>.</w:t>
            </w:r>
          </w:p>
          <w:p w:rsidR="00F749AB" w:rsidRPr="00600064" w:rsidRDefault="00740208" w:rsidP="000F556D">
            <w:pPr>
              <w:spacing w:line="240" w:lineRule="auto"/>
              <w:jc w:val="left"/>
              <w:rPr>
                <w:rFonts w:ascii="Arial Narrow" w:hAnsi="Arial Narrow"/>
                <w:sz w:val="20"/>
                <w:highlight w:val="yellow"/>
                <w:lang w:eastAsia="en-AU"/>
              </w:rPr>
            </w:pPr>
            <w:r w:rsidRPr="00600064">
              <w:rPr>
                <w:rFonts w:ascii="Arial Narrow" w:hAnsi="Arial Narrow"/>
                <w:sz w:val="20"/>
                <w:lang w:eastAsia="en-AU"/>
              </w:rPr>
              <w:t>“</w:t>
            </w:r>
            <w:r w:rsidR="00F749AB" w:rsidRPr="00600064">
              <w:rPr>
                <w:rFonts w:ascii="Arial Narrow" w:hAnsi="Arial Narrow"/>
                <w:sz w:val="20"/>
                <w:lang w:eastAsia="en-AU"/>
              </w:rPr>
              <w:t>Sponsor amended base case</w:t>
            </w:r>
            <w:r w:rsidRPr="00600064">
              <w:rPr>
                <w:rFonts w:ascii="Arial Narrow" w:hAnsi="Arial Narrow"/>
                <w:sz w:val="20"/>
                <w:lang w:eastAsia="en-AU"/>
              </w:rPr>
              <w:t>”</w:t>
            </w:r>
            <w:r w:rsidR="00F749AB" w:rsidRPr="00600064">
              <w:rPr>
                <w:rFonts w:ascii="Arial Narrow" w:hAnsi="Arial Narrow"/>
                <w:sz w:val="20"/>
                <w:lang w:eastAsia="en-AU"/>
              </w:rPr>
              <w:t xml:space="preserv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nivolumab infusions per treatment course, mean </w:t>
            </w:r>
            <w:r w:rsidR="003A224F">
              <w:rPr>
                <w:rFonts w:ascii="Arial Narrow" w:hAnsi="Arial Narrow"/>
                <w:noProof/>
                <w:color w:val="000000"/>
                <w:sz w:val="20"/>
                <w:highlight w:val="black"/>
                <w:lang w:eastAsia="en-AU"/>
              </w:rPr>
              <w:t>''''''''''</w:t>
            </w:r>
            <w:r w:rsidR="00F749AB" w:rsidRPr="00600064">
              <w:rPr>
                <w:rFonts w:ascii="Arial Narrow" w:hAnsi="Arial Narrow"/>
                <w:sz w:val="20"/>
                <w:lang w:eastAsia="en-AU"/>
              </w:rPr>
              <w:t xml:space="preserve"> months </w:t>
            </w:r>
            <w:proofErr w:type="spellStart"/>
            <w:r w:rsidR="00F749AB" w:rsidRPr="00600064">
              <w:rPr>
                <w:rFonts w:ascii="Arial Narrow" w:hAnsi="Arial Narrow"/>
                <w:sz w:val="20"/>
                <w:lang w:eastAsia="en-AU"/>
              </w:rPr>
              <w:t>everolimus</w:t>
            </w:r>
            <w:proofErr w:type="spellEnd"/>
            <w:r w:rsidR="00F749AB" w:rsidRPr="00600064">
              <w:rPr>
                <w:rFonts w:ascii="Arial Narrow" w:hAnsi="Arial Narrow"/>
                <w:sz w:val="20"/>
                <w:lang w:eastAsia="en-AU"/>
              </w:rPr>
              <w:t>.</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c>
          <w:tcPr>
            <w:tcW w:w="0" w:type="auto"/>
            <w:vAlign w:val="center"/>
          </w:tcPr>
          <w:p w:rsidR="00F749AB" w:rsidRPr="00600064" w:rsidRDefault="007C5C59" w:rsidP="000F556D">
            <w:pPr>
              <w:spacing w:line="240" w:lineRule="auto"/>
              <w:jc w:val="center"/>
              <w:rPr>
                <w:rFonts w:ascii="Arial Narrow" w:hAnsi="Arial Narrow"/>
                <w:sz w:val="20"/>
                <w:lang w:eastAsia="en-AU"/>
              </w:rPr>
            </w:pPr>
            <w:r>
              <w:rPr>
                <w:rFonts w:ascii="Arial Narrow" w:hAnsi="Arial Narrow"/>
                <w:sz w:val="20"/>
                <w:lang w:eastAsia="en-AU"/>
              </w:rPr>
              <w:t>M</w:t>
            </w:r>
            <w:r w:rsidRPr="007C5C59">
              <w:rPr>
                <w:rFonts w:ascii="Arial Narrow" w:hAnsi="Arial Narrow"/>
                <w:sz w:val="20"/>
                <w:lang w:eastAsia="en-AU"/>
              </w:rPr>
              <w:t>ore than $100 million</w:t>
            </w:r>
          </w:p>
        </w:tc>
      </w:tr>
    </w:tbl>
    <w:p w:rsidR="00F749AB" w:rsidRPr="00600064" w:rsidRDefault="00F749AB" w:rsidP="00F749AB">
      <w:pPr>
        <w:rPr>
          <w:rFonts w:ascii="Arial Narrow" w:hAnsi="Arial Narrow"/>
          <w:sz w:val="18"/>
          <w:szCs w:val="18"/>
          <w:lang w:eastAsia="en-AU"/>
        </w:rPr>
      </w:pPr>
      <w:r w:rsidRPr="00600064">
        <w:rPr>
          <w:rFonts w:ascii="Arial Narrow" w:hAnsi="Arial Narrow"/>
          <w:sz w:val="18"/>
          <w:szCs w:val="18"/>
          <w:lang w:eastAsia="en-AU"/>
        </w:rPr>
        <w:t xml:space="preserve">Source: </w:t>
      </w:r>
      <w:r w:rsidR="0024019E" w:rsidRPr="00600064">
        <w:rPr>
          <w:rFonts w:ascii="Arial Narrow" w:hAnsi="Arial Narrow"/>
          <w:sz w:val="18"/>
          <w:szCs w:val="18"/>
          <w:lang w:eastAsia="en-AU"/>
        </w:rPr>
        <w:t>complied during evaluation</w:t>
      </w:r>
      <w:r w:rsidRPr="00600064">
        <w:rPr>
          <w:rFonts w:ascii="Arial Narrow" w:hAnsi="Arial Narrow"/>
          <w:sz w:val="18"/>
          <w:szCs w:val="18"/>
          <w:lang w:eastAsia="en-AU"/>
        </w:rPr>
        <w:t>.</w:t>
      </w:r>
    </w:p>
    <w:p w:rsidR="00F749AB" w:rsidRPr="00600064" w:rsidRDefault="00F749AB" w:rsidP="00F749AB">
      <w:pPr>
        <w:rPr>
          <w:rFonts w:ascii="Arial Narrow" w:hAnsi="Arial Narrow"/>
          <w:sz w:val="18"/>
          <w:szCs w:val="18"/>
          <w:lang w:eastAsia="en-AU"/>
        </w:rPr>
      </w:pPr>
      <w:r w:rsidRPr="00600064">
        <w:rPr>
          <w:rFonts w:ascii="Arial Narrow" w:hAnsi="Arial Narrow"/>
          <w:sz w:val="18"/>
          <w:szCs w:val="18"/>
          <w:lang w:eastAsia="en-AU"/>
        </w:rPr>
        <w:t xml:space="preserve">Abbreviations: 1L, first line; 2L, second line; </w:t>
      </w:r>
      <w:proofErr w:type="spellStart"/>
      <w:r w:rsidRPr="00600064">
        <w:rPr>
          <w:rFonts w:ascii="Arial Narrow" w:hAnsi="Arial Narrow"/>
          <w:sz w:val="18"/>
          <w:szCs w:val="18"/>
          <w:lang w:eastAsia="en-AU"/>
        </w:rPr>
        <w:t>AddSA</w:t>
      </w:r>
      <w:proofErr w:type="spellEnd"/>
      <w:r w:rsidRPr="00600064">
        <w:rPr>
          <w:rFonts w:ascii="Arial Narrow" w:hAnsi="Arial Narrow"/>
          <w:sz w:val="18"/>
          <w:szCs w:val="18"/>
          <w:lang w:eastAsia="en-AU"/>
        </w:rPr>
        <w:t>, additional sensitivity analysis; PBS, Pharmaceutical Benefits Scheme; RPBS, repatriation pharmaceutical benefits scheme; SA, sensitivity analysis.</w:t>
      </w:r>
    </w:p>
    <w:p w:rsidR="00F749AB" w:rsidRPr="00600064" w:rsidRDefault="00F749AB" w:rsidP="00E33CE1"/>
    <w:p w:rsidR="0011092C" w:rsidRDefault="0011092C" w:rsidP="00FD7DFE">
      <w:bookmarkStart w:id="17" w:name="_Toc472509762"/>
    </w:p>
    <w:p w:rsidR="00576972" w:rsidRPr="00600064" w:rsidRDefault="00576972" w:rsidP="00497F10">
      <w:pPr>
        <w:pStyle w:val="Heading2"/>
        <w:rPr>
          <w:i/>
        </w:rPr>
      </w:pPr>
      <w:r w:rsidRPr="00600064">
        <w:rPr>
          <w:i/>
        </w:rPr>
        <w:t>Quality Use of Medicines</w:t>
      </w:r>
      <w:bookmarkEnd w:id="17"/>
    </w:p>
    <w:p w:rsidR="00B53553" w:rsidRPr="00600064" w:rsidRDefault="00B53553" w:rsidP="00B53553">
      <w:pPr>
        <w:widowControl/>
        <w:rPr>
          <w:szCs w:val="22"/>
        </w:rPr>
      </w:pPr>
    </w:p>
    <w:p w:rsidR="007C1B17" w:rsidRPr="00600064" w:rsidRDefault="007C1B17" w:rsidP="005F42CF">
      <w:pPr>
        <w:pStyle w:val="ListParagraph"/>
        <w:widowControl/>
        <w:numPr>
          <w:ilvl w:val="1"/>
          <w:numId w:val="4"/>
        </w:numPr>
        <w:rPr>
          <w:szCs w:val="22"/>
        </w:rPr>
      </w:pPr>
      <w:r w:rsidRPr="00600064">
        <w:rPr>
          <w:szCs w:val="22"/>
        </w:rPr>
        <w:t xml:space="preserve">The resubmission did not report any change from the </w:t>
      </w:r>
      <w:r w:rsidR="006771D1" w:rsidRPr="00600064">
        <w:rPr>
          <w:szCs w:val="22"/>
        </w:rPr>
        <w:t xml:space="preserve">July </w:t>
      </w:r>
      <w:r w:rsidRPr="00600064">
        <w:rPr>
          <w:szCs w:val="22"/>
        </w:rPr>
        <w:t xml:space="preserve">2016 submission with respect to </w:t>
      </w:r>
      <w:r w:rsidR="00EB4220" w:rsidRPr="00600064">
        <w:rPr>
          <w:szCs w:val="22"/>
        </w:rPr>
        <w:t xml:space="preserve">the </w:t>
      </w:r>
      <w:r w:rsidRPr="00600064">
        <w:rPr>
          <w:szCs w:val="22"/>
        </w:rPr>
        <w:t xml:space="preserve">quality use of medicines. The </w:t>
      </w:r>
      <w:r w:rsidR="006771D1" w:rsidRPr="00600064">
        <w:rPr>
          <w:szCs w:val="22"/>
        </w:rPr>
        <w:t xml:space="preserve">July </w:t>
      </w:r>
      <w:r w:rsidRPr="00600064">
        <w:rPr>
          <w:szCs w:val="22"/>
        </w:rPr>
        <w:t>2016 submission provided a summary of the sponsor’s current practice and plans regarding the quality use of medicines, including (1) education initiatives supporting nivolumab use and (2) guidance on monitoring and treating immune-related adverse reactions.</w:t>
      </w:r>
    </w:p>
    <w:p w:rsidR="00576972" w:rsidRPr="00600064" w:rsidRDefault="00576972" w:rsidP="00576972">
      <w:pPr>
        <w:widowControl/>
        <w:rPr>
          <w:szCs w:val="22"/>
        </w:rPr>
      </w:pPr>
    </w:p>
    <w:p w:rsidR="00C25D9C" w:rsidRPr="00600064" w:rsidRDefault="00576972" w:rsidP="00E25D57">
      <w:pPr>
        <w:pStyle w:val="Heading2"/>
        <w:keepNext/>
      </w:pPr>
      <w:bookmarkStart w:id="18" w:name="_Toc472509763"/>
      <w:r w:rsidRPr="00600064">
        <w:rPr>
          <w:i/>
        </w:rPr>
        <w:t>Financial Management – Risk Sharing Arrangements</w:t>
      </w:r>
      <w:bookmarkEnd w:id="18"/>
    </w:p>
    <w:p w:rsidR="00B53553" w:rsidRPr="00600064" w:rsidRDefault="00B53553" w:rsidP="00B53553">
      <w:pPr>
        <w:widowControl/>
      </w:pPr>
    </w:p>
    <w:p w:rsidR="007C1B17" w:rsidRPr="00600064" w:rsidRDefault="00135416" w:rsidP="005F42CF">
      <w:pPr>
        <w:pStyle w:val="ListParagraph"/>
        <w:widowControl/>
        <w:numPr>
          <w:ilvl w:val="1"/>
          <w:numId w:val="4"/>
        </w:numPr>
      </w:pPr>
      <w:r w:rsidRPr="00600064">
        <w:t>T</w:t>
      </w:r>
      <w:r w:rsidR="007C1B17" w:rsidRPr="00600064">
        <w:rPr>
          <w:szCs w:val="22"/>
        </w:rPr>
        <w:t>he</w:t>
      </w:r>
      <w:r w:rsidR="007C1B17" w:rsidRPr="00600064">
        <w:t xml:space="preserve"> resubmission emphasised that any potential </w:t>
      </w:r>
      <w:r w:rsidR="00600064" w:rsidRPr="00600064">
        <w:t>Risk S</w:t>
      </w:r>
      <w:r w:rsidR="007C1B17" w:rsidRPr="00600064">
        <w:t xml:space="preserve">haring </w:t>
      </w:r>
      <w:r w:rsidR="00600064" w:rsidRPr="00600064">
        <w:t xml:space="preserve">Arrangement </w:t>
      </w:r>
      <w:r w:rsidR="007C1B17" w:rsidRPr="00600064">
        <w:t>would need to reflect the “PBAC’s pre-specified level of cost-effectiveness” (ICER</w:t>
      </w:r>
      <w:r w:rsidR="00CC4B03" w:rsidRPr="00600064">
        <w:t>/QALY</w:t>
      </w:r>
      <w:r w:rsidR="007C1B17" w:rsidRPr="00600064">
        <w:t xml:space="preserve"> </w:t>
      </w:r>
      <w:r w:rsidR="00D95EAF">
        <w:t>$45,000 - $75,000</w:t>
      </w:r>
      <w:r w:rsidR="007C1B17" w:rsidRPr="00600064">
        <w:t>). The sponsor proposed alternative effective prices, conditional on previously proposed expenditure caps: $</w:t>
      </w:r>
      <w:r w:rsidR="003A224F">
        <w:rPr>
          <w:noProof/>
          <w:color w:val="000000"/>
          <w:highlight w:val="black"/>
        </w:rPr>
        <w:t>''''''''''''''''''''</w:t>
      </w:r>
      <w:r w:rsidR="007C1B17" w:rsidRPr="00600064">
        <w:t xml:space="preserve"> with a cap </w:t>
      </w:r>
      <w:r w:rsidR="007C1B17" w:rsidRPr="00AF3404">
        <w:t xml:space="preserve">of </w:t>
      </w:r>
      <w:r w:rsidR="003A224F">
        <w:rPr>
          <w:noProof/>
          <w:color w:val="000000"/>
          <w:highlight w:val="black"/>
        </w:rPr>
        <w:t>''''''''''''''</w:t>
      </w:r>
      <w:r w:rsidR="007C1B17" w:rsidRPr="00600064">
        <w:t xml:space="preserve"> costed infusions (=</w:t>
      </w:r>
      <w:r w:rsidR="003A224F">
        <w:rPr>
          <w:noProof/>
          <w:color w:val="000000"/>
          <w:highlight w:val="black"/>
        </w:rPr>
        <w:t>'''''''</w:t>
      </w:r>
      <w:r w:rsidR="007C1B17" w:rsidRPr="00600064">
        <w:t xml:space="preserve"> months), $</w:t>
      </w:r>
      <w:r w:rsidR="003A224F">
        <w:rPr>
          <w:noProof/>
          <w:color w:val="000000"/>
          <w:highlight w:val="black"/>
        </w:rPr>
        <w:t>'''''''''''''''''''''''</w:t>
      </w:r>
      <w:r w:rsidR="007C1B17" w:rsidRPr="00600064">
        <w:t xml:space="preserve"> with a cap of </w:t>
      </w:r>
      <w:r w:rsidR="003A224F">
        <w:rPr>
          <w:noProof/>
          <w:color w:val="000000"/>
          <w:highlight w:val="black"/>
        </w:rPr>
        <w:t>'''''''''''</w:t>
      </w:r>
      <w:r w:rsidR="007C1B17" w:rsidRPr="00600064">
        <w:t xml:space="preserve"> costed infusions (=</w:t>
      </w:r>
      <w:r w:rsidR="003A224F">
        <w:rPr>
          <w:noProof/>
          <w:color w:val="000000"/>
          <w:highlight w:val="black"/>
        </w:rPr>
        <w:t>''''''</w:t>
      </w:r>
      <w:r w:rsidR="007C1B17" w:rsidRPr="00600064">
        <w:t xml:space="preserve"> months) and $</w:t>
      </w:r>
      <w:r w:rsidR="003A224F">
        <w:rPr>
          <w:noProof/>
          <w:color w:val="000000"/>
          <w:highlight w:val="black"/>
        </w:rPr>
        <w:t>''''''''''''''''''''</w:t>
      </w:r>
      <w:r w:rsidR="007C1B17" w:rsidRPr="00600064">
        <w:t xml:space="preserve"> with a cap of </w:t>
      </w:r>
      <w:r w:rsidR="003A224F">
        <w:rPr>
          <w:noProof/>
          <w:color w:val="000000"/>
          <w:highlight w:val="black"/>
        </w:rPr>
        <w:t>'''''''''''</w:t>
      </w:r>
      <w:r w:rsidR="007C1B17" w:rsidRPr="00600064">
        <w:t xml:space="preserve"> costed infusions (=</w:t>
      </w:r>
      <w:r w:rsidR="003A224F">
        <w:rPr>
          <w:noProof/>
          <w:color w:val="000000"/>
          <w:highlight w:val="black"/>
        </w:rPr>
        <w:t>''''''</w:t>
      </w:r>
      <w:r w:rsidR="007C1B17" w:rsidRPr="00600064">
        <w:t xml:space="preserve"> months).</w:t>
      </w:r>
      <w:r w:rsidR="00944EB3" w:rsidRPr="00600064">
        <w:t xml:space="preserve"> </w:t>
      </w:r>
      <w:r w:rsidR="00C57F87" w:rsidRPr="00600064">
        <w:t xml:space="preserve">The </w:t>
      </w:r>
      <w:r w:rsidR="00944EB3" w:rsidRPr="00600064">
        <w:t xml:space="preserve">PBAC </w:t>
      </w:r>
      <w:r w:rsidR="00CB2809" w:rsidRPr="00600064">
        <w:t xml:space="preserve">confirmed that it </w:t>
      </w:r>
      <w:r w:rsidR="00CC4B03" w:rsidRPr="00600064">
        <w:t xml:space="preserve">had </w:t>
      </w:r>
      <w:r w:rsidR="00944EB3" w:rsidRPr="00600064">
        <w:t>not pre-specif</w:t>
      </w:r>
      <w:r w:rsidR="00CC4B03" w:rsidRPr="00600064">
        <w:t>ied</w:t>
      </w:r>
      <w:r w:rsidR="00944EB3" w:rsidRPr="00600064">
        <w:t xml:space="preserve"> a target ICER</w:t>
      </w:r>
      <w:r w:rsidR="00CC4B03" w:rsidRPr="00600064">
        <w:t>/QALY</w:t>
      </w:r>
      <w:r w:rsidR="00944EB3" w:rsidRPr="00600064">
        <w:t xml:space="preserve"> </w:t>
      </w:r>
      <w:r w:rsidR="00C57F87" w:rsidRPr="00600064">
        <w:t xml:space="preserve">of </w:t>
      </w:r>
      <w:r w:rsidR="00D2517E">
        <w:t>$45,000 - $75,000</w:t>
      </w:r>
      <w:r w:rsidR="00CC4B03" w:rsidRPr="00600064">
        <w:t>,</w:t>
      </w:r>
      <w:r w:rsidR="00C57F87" w:rsidRPr="00600064">
        <w:t xml:space="preserve"> </w:t>
      </w:r>
      <w:r w:rsidR="00944EB3" w:rsidRPr="00600064">
        <w:t xml:space="preserve">but </w:t>
      </w:r>
      <w:r w:rsidR="00C63897" w:rsidRPr="00600064">
        <w:t xml:space="preserve">rather </w:t>
      </w:r>
      <w:r w:rsidR="00CC4B03" w:rsidRPr="00600064">
        <w:t>considered this to represent</w:t>
      </w:r>
      <w:r w:rsidR="00C57F87" w:rsidRPr="00600064">
        <w:t xml:space="preserve"> </w:t>
      </w:r>
      <w:r w:rsidR="00C63897" w:rsidRPr="00600064">
        <w:t xml:space="preserve">an </w:t>
      </w:r>
      <w:r w:rsidR="00944EB3" w:rsidRPr="00600064">
        <w:t>upper limit</w:t>
      </w:r>
      <w:r w:rsidR="00EB4220" w:rsidRPr="00600064">
        <w:t xml:space="preserve"> to the cost-effectiveness of nivolumab</w:t>
      </w:r>
      <w:r w:rsidR="00CC4B03" w:rsidRPr="00600064">
        <w:t xml:space="preserve"> in RCC</w:t>
      </w:r>
      <w:r w:rsidR="00944EB3" w:rsidRPr="00600064">
        <w:t>.</w:t>
      </w:r>
    </w:p>
    <w:p w:rsidR="00C63897" w:rsidRPr="00600064" w:rsidRDefault="00C63897" w:rsidP="00C63897">
      <w:pPr>
        <w:widowControl/>
      </w:pPr>
    </w:p>
    <w:p w:rsidR="007C1B17" w:rsidRPr="00600064" w:rsidRDefault="007C1B17" w:rsidP="005F42CF">
      <w:pPr>
        <w:pStyle w:val="ListParagraph"/>
        <w:widowControl/>
        <w:numPr>
          <w:ilvl w:val="1"/>
          <w:numId w:val="4"/>
        </w:numPr>
      </w:pPr>
      <w:r w:rsidRPr="00600064">
        <w:t xml:space="preserve">The </w:t>
      </w:r>
      <w:r w:rsidRPr="00600064">
        <w:rPr>
          <w:szCs w:val="22"/>
        </w:rPr>
        <w:t>resubmission</w:t>
      </w:r>
      <w:r w:rsidRPr="00600064">
        <w:t>-addendum proposed increased nivolumab 100</w:t>
      </w:r>
      <w:r w:rsidR="008B798A" w:rsidRPr="00600064">
        <w:t> </w:t>
      </w:r>
      <w:r w:rsidRPr="00600064">
        <w:t>mg vial prices of $</w:t>
      </w:r>
      <w:r w:rsidR="003A224F">
        <w:rPr>
          <w:noProof/>
          <w:color w:val="000000"/>
          <w:highlight w:val="black"/>
        </w:rPr>
        <w:t>''''''''''''''''''''</w:t>
      </w:r>
      <w:r w:rsidRPr="00600064">
        <w:t xml:space="preserve"> (</w:t>
      </w:r>
      <w:r w:rsidR="00740208" w:rsidRPr="00600064">
        <w:t>“</w:t>
      </w:r>
      <w:r w:rsidRPr="00600064">
        <w:t xml:space="preserve">sponsor </w:t>
      </w:r>
      <w:r w:rsidR="00740208" w:rsidRPr="00600064">
        <w:t xml:space="preserve">amended </w:t>
      </w:r>
      <w:r w:rsidRPr="00600064">
        <w:t>base case</w:t>
      </w:r>
      <w:r w:rsidR="00740208" w:rsidRPr="00600064">
        <w:t>”</w:t>
      </w:r>
      <w:r w:rsidRPr="00600064">
        <w:t>) and $</w:t>
      </w:r>
      <w:r w:rsidR="003A224F">
        <w:rPr>
          <w:noProof/>
          <w:color w:val="000000"/>
          <w:highlight w:val="black"/>
        </w:rPr>
        <w:t>''''''''''''''''''''</w:t>
      </w:r>
      <w:r w:rsidRPr="00600064">
        <w:t xml:space="preserve"> (</w:t>
      </w:r>
      <w:r w:rsidR="00740208" w:rsidRPr="00600064">
        <w:t>“</w:t>
      </w:r>
      <w:r w:rsidRPr="00600064">
        <w:t xml:space="preserve">PBAC </w:t>
      </w:r>
      <w:r w:rsidR="00740208" w:rsidRPr="00600064">
        <w:t xml:space="preserve">amended </w:t>
      </w:r>
      <w:r w:rsidRPr="00600064">
        <w:t>base case</w:t>
      </w:r>
      <w:r w:rsidR="00740208" w:rsidRPr="00600064">
        <w:t>”</w:t>
      </w:r>
      <w:r w:rsidRPr="00600064">
        <w:t xml:space="preserve">) and removed the offer of an expenditure cap, assuming </w:t>
      </w:r>
      <w:r w:rsidR="00600064" w:rsidRPr="00600064">
        <w:t xml:space="preserve">patients </w:t>
      </w:r>
      <w:r w:rsidRPr="00600064">
        <w:t>cease treatment at RECIST</w:t>
      </w:r>
      <w:r w:rsidR="00030BF9" w:rsidRPr="00600064">
        <w:t>-defined</w:t>
      </w:r>
      <w:r w:rsidRPr="00600064">
        <w:t xml:space="preserve"> progression. </w:t>
      </w:r>
      <w:r w:rsidR="00EB4220" w:rsidRPr="00600064">
        <w:t>The s</w:t>
      </w:r>
      <w:r w:rsidR="00C57F87" w:rsidRPr="00600064">
        <w:t xml:space="preserve">uggested price increases were not supported by improved data regarding the incremental effectiveness of nivolumab. </w:t>
      </w:r>
      <w:r w:rsidR="001F184A" w:rsidRPr="00600064">
        <w:t xml:space="preserve">Since the proposed restriction did not have a RECIST-based stopping rule and no expenditure cap was offered, </w:t>
      </w:r>
      <w:r w:rsidR="00F24F55" w:rsidRPr="00600064">
        <w:t xml:space="preserve">it is unlikely that </w:t>
      </w:r>
      <w:r w:rsidR="00EB4220" w:rsidRPr="00600064">
        <w:t>the t</w:t>
      </w:r>
      <w:r w:rsidR="00F24F55" w:rsidRPr="00600064">
        <w:t>reatment duration</w:t>
      </w:r>
      <w:r w:rsidR="00944EB3" w:rsidRPr="00600064">
        <w:t xml:space="preserve"> </w:t>
      </w:r>
      <w:r w:rsidR="00EB4220" w:rsidRPr="00600064">
        <w:t xml:space="preserve">costed </w:t>
      </w:r>
      <w:r w:rsidR="00944EB3" w:rsidRPr="00600064">
        <w:t>on the PBS</w:t>
      </w:r>
      <w:r w:rsidR="00F24F55" w:rsidRPr="00600064">
        <w:t xml:space="preserve"> </w:t>
      </w:r>
      <w:r w:rsidR="00944EB3" w:rsidRPr="00600064">
        <w:t>would match t</w:t>
      </w:r>
      <w:r w:rsidR="001F184A" w:rsidRPr="00600064">
        <w:t xml:space="preserve">he </w:t>
      </w:r>
      <w:r w:rsidR="00F24F55" w:rsidRPr="00600064">
        <w:t xml:space="preserve">scenario in the </w:t>
      </w:r>
      <w:r w:rsidR="001F184A" w:rsidRPr="00600064">
        <w:t>resubmission-addendum</w:t>
      </w:r>
      <w:r w:rsidR="00F24F55" w:rsidRPr="00600064">
        <w:t xml:space="preserve"> </w:t>
      </w:r>
      <w:r w:rsidR="00EB4220" w:rsidRPr="00600064">
        <w:t xml:space="preserve">(i.e. </w:t>
      </w:r>
      <w:r w:rsidR="00F24F55" w:rsidRPr="00600064">
        <w:t xml:space="preserve">treatment </w:t>
      </w:r>
      <w:r w:rsidR="00C57F87" w:rsidRPr="00600064">
        <w:t xml:space="preserve">costed </w:t>
      </w:r>
      <w:r w:rsidR="00F24F55" w:rsidRPr="00600064">
        <w:t>up to RECIST</w:t>
      </w:r>
      <w:r w:rsidR="00030BF9" w:rsidRPr="00600064">
        <w:t>-defined</w:t>
      </w:r>
      <w:r w:rsidR="00F24F55" w:rsidRPr="00600064">
        <w:t xml:space="preserve"> progression).</w:t>
      </w:r>
      <w:r w:rsidR="00B71E96" w:rsidRPr="00600064">
        <w:t xml:space="preserve"> The PBAC </w:t>
      </w:r>
      <w:r w:rsidR="00CC4B03" w:rsidRPr="00600064">
        <w:t>recommended</w:t>
      </w:r>
      <w:r w:rsidR="00B71E96" w:rsidRPr="00600064">
        <w:t xml:space="preserve"> that </w:t>
      </w:r>
      <w:r w:rsidR="007118CD" w:rsidRPr="00600064">
        <w:t xml:space="preserve">the calculation of </w:t>
      </w:r>
      <w:r w:rsidR="00A97101" w:rsidRPr="00600064">
        <w:t xml:space="preserve">the proposed </w:t>
      </w:r>
      <w:r w:rsidR="00600064" w:rsidRPr="00600064">
        <w:t xml:space="preserve">Risk Sharing Arrangement </w:t>
      </w:r>
      <w:r w:rsidR="006F6FD4" w:rsidRPr="00600064">
        <w:t>cap</w:t>
      </w:r>
      <w:r w:rsidR="007118CD" w:rsidRPr="00600064">
        <w:t>s reflect</w:t>
      </w:r>
      <w:r w:rsidR="00B71E96" w:rsidRPr="00600064">
        <w:t xml:space="preserve"> the RECIST-defined PFS duration of treatment</w:t>
      </w:r>
      <w:r w:rsidR="006F6FD4" w:rsidRPr="00600064">
        <w:t>,</w:t>
      </w:r>
      <w:r w:rsidR="00B71E96" w:rsidRPr="00600064">
        <w:t xml:space="preserve"> of </w:t>
      </w:r>
      <w:r w:rsidR="003A224F">
        <w:rPr>
          <w:noProof/>
          <w:color w:val="000000"/>
          <w:highlight w:val="black"/>
        </w:rPr>
        <w:t>'''''''''''''''</w:t>
      </w:r>
      <w:r w:rsidR="00B71E96" w:rsidRPr="00600064">
        <w:t xml:space="preserve"> </w:t>
      </w:r>
      <w:r w:rsidR="00CC4B03" w:rsidRPr="00600064">
        <w:t xml:space="preserve">nivolumab </w:t>
      </w:r>
      <w:r w:rsidR="00B71E96" w:rsidRPr="00600064">
        <w:t>infusions</w:t>
      </w:r>
      <w:r w:rsidR="006F6FD4" w:rsidRPr="00600064">
        <w:t>,</w:t>
      </w:r>
      <w:r w:rsidR="00B71E96" w:rsidRPr="00600064">
        <w:t xml:space="preserve"> to mitigate the risk of treatment beyond progression.</w:t>
      </w:r>
    </w:p>
    <w:p w:rsidR="007C1B17" w:rsidRPr="00600064" w:rsidRDefault="007C1B17" w:rsidP="007C1B17"/>
    <w:p w:rsidR="00C57F87" w:rsidRDefault="007C1B17" w:rsidP="00B47AA6">
      <w:pPr>
        <w:pStyle w:val="ListParagraph"/>
        <w:widowControl/>
        <w:numPr>
          <w:ilvl w:val="1"/>
          <w:numId w:val="4"/>
        </w:numPr>
      </w:pPr>
      <w:r w:rsidRPr="00600064">
        <w:t xml:space="preserve">The </w:t>
      </w:r>
      <w:r w:rsidRPr="00B47AA6">
        <w:t>sponsor</w:t>
      </w:r>
      <w:r w:rsidRPr="00600064">
        <w:t xml:space="preserve"> recognised that prices w</w:t>
      </w:r>
      <w:r w:rsidR="00CC4B03" w:rsidRPr="00600064">
        <w:t>ould</w:t>
      </w:r>
      <w:r w:rsidRPr="00600064">
        <w:t xml:space="preserve"> need to be adjusted </w:t>
      </w:r>
      <w:r w:rsidR="00CC4B03" w:rsidRPr="00600064">
        <w:t xml:space="preserve">following a </w:t>
      </w:r>
      <w:r w:rsidRPr="00600064">
        <w:t xml:space="preserve">PBAC </w:t>
      </w:r>
      <w:r w:rsidR="00CC4B03" w:rsidRPr="00600064">
        <w:t>recommendation,</w:t>
      </w:r>
      <w:r w:rsidRPr="00600064">
        <w:t xml:space="preserve"> taking into account the effective prices of </w:t>
      </w:r>
      <w:proofErr w:type="spellStart"/>
      <w:r w:rsidRPr="00600064">
        <w:t>everolimus</w:t>
      </w:r>
      <w:proofErr w:type="spellEnd"/>
      <w:r w:rsidRPr="00600064">
        <w:t xml:space="preserve">, </w:t>
      </w:r>
      <w:proofErr w:type="spellStart"/>
      <w:r w:rsidRPr="00600064">
        <w:t>axitinib</w:t>
      </w:r>
      <w:proofErr w:type="spellEnd"/>
      <w:r w:rsidRPr="00600064">
        <w:t xml:space="preserve"> and </w:t>
      </w:r>
      <w:proofErr w:type="spellStart"/>
      <w:r w:rsidRPr="00600064">
        <w:t>sorafenib</w:t>
      </w:r>
      <w:proofErr w:type="spellEnd"/>
      <w:r w:rsidRPr="00600064">
        <w:t>.</w:t>
      </w:r>
      <w:r w:rsidR="00FE5A92" w:rsidRPr="00600064">
        <w:t xml:space="preserve"> The PBAC noted th</w:t>
      </w:r>
      <w:r w:rsidR="00CC4B03" w:rsidRPr="00600064">
        <w:t>is</w:t>
      </w:r>
      <w:r w:rsidR="00FE5A92" w:rsidRPr="00600064">
        <w:t xml:space="preserve"> and agreed that this </w:t>
      </w:r>
      <w:r w:rsidR="00CC4B03" w:rsidRPr="00600064">
        <w:t xml:space="preserve">adjustment, using the “PBAC amended base case” economic evaluation for all other inputs to the calculations, </w:t>
      </w:r>
      <w:r w:rsidR="00FE5A92" w:rsidRPr="00600064">
        <w:t xml:space="preserve">would be required </w:t>
      </w:r>
      <w:r w:rsidR="006F6FD4" w:rsidRPr="00600064">
        <w:t>prior to any listing.</w:t>
      </w:r>
    </w:p>
    <w:p w:rsidR="00B47AA6" w:rsidRPr="00600064" w:rsidRDefault="00B47AA6" w:rsidP="00B47AA6">
      <w:pPr>
        <w:pStyle w:val="ListParagraph"/>
        <w:widowControl/>
      </w:pPr>
    </w:p>
    <w:p w:rsidR="007C1B17" w:rsidRPr="00600064" w:rsidRDefault="007C1B17" w:rsidP="005F42CF">
      <w:pPr>
        <w:pStyle w:val="ListParagraph"/>
        <w:widowControl/>
        <w:numPr>
          <w:ilvl w:val="1"/>
          <w:numId w:val="4"/>
        </w:numPr>
      </w:pPr>
      <w:r w:rsidRPr="00600064">
        <w:t xml:space="preserve">The </w:t>
      </w:r>
      <w:r w:rsidRPr="00600064">
        <w:rPr>
          <w:szCs w:val="22"/>
        </w:rPr>
        <w:t>sponsor</w:t>
      </w:r>
      <w:r w:rsidRPr="00600064">
        <w:t xml:space="preserve"> </w:t>
      </w:r>
      <w:r w:rsidR="00CC4B03" w:rsidRPr="00600064">
        <w:t xml:space="preserve">indicated that it </w:t>
      </w:r>
      <w:r w:rsidRPr="00600064">
        <w:t>remain</w:t>
      </w:r>
      <w:r w:rsidR="00CC4B03" w:rsidRPr="00600064">
        <w:t>ed</w:t>
      </w:r>
      <w:r w:rsidRPr="00600064">
        <w:t xml:space="preserve"> committed to working with the PBAC to address any residual financial uncertainties.</w:t>
      </w:r>
    </w:p>
    <w:p w:rsidR="00204650" w:rsidRPr="00600064" w:rsidRDefault="00204650" w:rsidP="00204650">
      <w:pPr>
        <w:widowControl/>
      </w:pPr>
    </w:p>
    <w:p w:rsidR="00204650" w:rsidRPr="00600064" w:rsidRDefault="00204650" w:rsidP="00204650">
      <w:pPr>
        <w:pStyle w:val="ListParagraph"/>
        <w:widowControl/>
        <w:numPr>
          <w:ilvl w:val="1"/>
          <w:numId w:val="4"/>
        </w:numPr>
      </w:pPr>
      <w:r w:rsidRPr="00600064">
        <w:t xml:space="preserve">The PBAC </w:t>
      </w:r>
      <w:r w:rsidR="00CC4B03" w:rsidRPr="00600064">
        <w:t>recommended</w:t>
      </w:r>
      <w:r w:rsidR="00740208" w:rsidRPr="00600064">
        <w:t xml:space="preserve"> that </w:t>
      </w:r>
      <w:r w:rsidRPr="00600064">
        <w:t xml:space="preserve">a </w:t>
      </w:r>
      <w:r w:rsidR="00600064" w:rsidRPr="00600064">
        <w:t xml:space="preserve">Risk Sharing Arrangement </w:t>
      </w:r>
      <w:r w:rsidRPr="00600064">
        <w:t>be finalised with the sponsor to reduce the level of uncertainly in the overall cost to the Commonwealth due to unresolved issues with the modelling, uncertain patient numbers</w:t>
      </w:r>
      <w:r w:rsidR="00CC4B03" w:rsidRPr="00600064">
        <w:t>,</w:t>
      </w:r>
      <w:r w:rsidRPr="00600064">
        <w:t xml:space="preserve"> and the possibility of treatment beyond progression.</w:t>
      </w:r>
    </w:p>
    <w:p w:rsidR="00204650" w:rsidRPr="00600064" w:rsidRDefault="00204650" w:rsidP="00204650">
      <w:pPr>
        <w:widowControl/>
      </w:pPr>
    </w:p>
    <w:p w:rsidR="00204650" w:rsidRPr="00600064" w:rsidRDefault="00204650" w:rsidP="00CB2809">
      <w:pPr>
        <w:pStyle w:val="ListParagraph"/>
        <w:widowControl/>
        <w:numPr>
          <w:ilvl w:val="1"/>
          <w:numId w:val="4"/>
        </w:numPr>
      </w:pPr>
      <w:r w:rsidRPr="00600064">
        <w:t xml:space="preserve">The PBAC </w:t>
      </w:r>
      <w:r w:rsidR="00CC4B03" w:rsidRPr="00600064">
        <w:t>recommended</w:t>
      </w:r>
      <w:r w:rsidR="00740208" w:rsidRPr="00600064">
        <w:t xml:space="preserve"> </w:t>
      </w:r>
      <w:r w:rsidRPr="00600064">
        <w:t xml:space="preserve">that the </w:t>
      </w:r>
      <w:r w:rsidR="00600064" w:rsidRPr="00600064">
        <w:t xml:space="preserve">Risk Sharing Arrangement </w:t>
      </w:r>
      <w:r w:rsidR="00A97101" w:rsidRPr="00600064">
        <w:t>caps reflect</w:t>
      </w:r>
      <w:r w:rsidRPr="00600064">
        <w:t xml:space="preserve"> the back</w:t>
      </w:r>
      <w:r w:rsidR="00A97101" w:rsidRPr="00600064">
        <w:t>-</w:t>
      </w:r>
      <w:r w:rsidRPr="00600064">
        <w:t>calculated vial price</w:t>
      </w:r>
      <w:r w:rsidR="00A97101" w:rsidRPr="00600064">
        <w:t>s</w:t>
      </w:r>
      <w:r w:rsidRPr="00600064">
        <w:t xml:space="preserve"> of nivolumab</w:t>
      </w:r>
      <w:r w:rsidR="00CB2809" w:rsidRPr="00600064">
        <w:t>, to achieve an ICER</w:t>
      </w:r>
      <w:r w:rsidR="00A97101" w:rsidRPr="00600064">
        <w:t>/QALY</w:t>
      </w:r>
      <w:r w:rsidR="00CB2809" w:rsidRPr="00600064">
        <w:t xml:space="preserve"> of ≤</w:t>
      </w:r>
      <w:r w:rsidR="00A97101" w:rsidRPr="00600064">
        <w:t> </w:t>
      </w:r>
      <w:r w:rsidR="00266CA8">
        <w:t>$45,000 - $75,000</w:t>
      </w:r>
      <w:r w:rsidR="00CB2809" w:rsidRPr="00600064">
        <w:t>,</w:t>
      </w:r>
      <w:r w:rsidRPr="00600064">
        <w:t xml:space="preserve"> using the effective prices of </w:t>
      </w:r>
      <w:proofErr w:type="spellStart"/>
      <w:r w:rsidRPr="00600064">
        <w:t>everolimus</w:t>
      </w:r>
      <w:proofErr w:type="spellEnd"/>
      <w:r w:rsidRPr="00600064">
        <w:t xml:space="preserve">, </w:t>
      </w:r>
      <w:proofErr w:type="spellStart"/>
      <w:r w:rsidRPr="00600064">
        <w:t>axitinib</w:t>
      </w:r>
      <w:proofErr w:type="spellEnd"/>
      <w:r w:rsidRPr="00600064">
        <w:t xml:space="preserve"> and </w:t>
      </w:r>
      <w:proofErr w:type="spellStart"/>
      <w:r w:rsidRPr="00600064">
        <w:t>sorafenib</w:t>
      </w:r>
      <w:proofErr w:type="spellEnd"/>
      <w:r w:rsidRPr="00600064">
        <w:t>, with the number of patients</w:t>
      </w:r>
      <w:r w:rsidR="006F6FD4" w:rsidRPr="00600064">
        <w:t xml:space="preserve"> per year</w:t>
      </w:r>
      <w:r w:rsidRPr="00600064">
        <w:t xml:space="preserve"> included as per the resubmission</w:t>
      </w:r>
      <w:r w:rsidR="00A97101" w:rsidRPr="00600064">
        <w:t>,</w:t>
      </w:r>
      <w:r w:rsidRPr="00600064">
        <w:t xml:space="preserve"> and </w:t>
      </w:r>
      <w:r w:rsidR="00A97101" w:rsidRPr="00600064">
        <w:t xml:space="preserve">the </w:t>
      </w:r>
      <w:r w:rsidRPr="00600064">
        <w:t xml:space="preserve">duration of treatment capped </w:t>
      </w:r>
      <w:r w:rsidR="00A97101" w:rsidRPr="00600064">
        <w:t xml:space="preserve">with reference to </w:t>
      </w:r>
      <w:r w:rsidRPr="00600064">
        <w:t xml:space="preserve">RECIST-defined PFS </w:t>
      </w:r>
      <w:r w:rsidR="00A97101" w:rsidRPr="00600064">
        <w:t>basis</w:t>
      </w:r>
      <w:r w:rsidR="00E67873" w:rsidRPr="00600064">
        <w:t xml:space="preserve"> </w:t>
      </w:r>
      <w:r w:rsidRPr="00600064">
        <w:t xml:space="preserve">of </w:t>
      </w:r>
      <w:r w:rsidR="003A224F">
        <w:rPr>
          <w:noProof/>
          <w:color w:val="000000"/>
          <w:highlight w:val="black"/>
        </w:rPr>
        <w:t>''''''''''''''</w:t>
      </w:r>
      <w:r w:rsidRPr="00600064">
        <w:t xml:space="preserve"> </w:t>
      </w:r>
      <w:r w:rsidR="00A97101" w:rsidRPr="00600064">
        <w:t xml:space="preserve">nivolumab </w:t>
      </w:r>
      <w:r w:rsidRPr="00600064">
        <w:t xml:space="preserve">infusions. </w:t>
      </w:r>
      <w:r w:rsidR="007118CD" w:rsidRPr="00600064">
        <w:t xml:space="preserve">The PBAC further </w:t>
      </w:r>
      <w:r w:rsidR="00A97101" w:rsidRPr="00600064">
        <w:t>recommended</w:t>
      </w:r>
      <w:r w:rsidR="007118CD" w:rsidRPr="00600064">
        <w:t xml:space="preserve"> that a</w:t>
      </w:r>
      <w:r w:rsidRPr="00600064">
        <w:t xml:space="preserve">ny expenditure over the </w:t>
      </w:r>
      <w:r w:rsidR="00600064" w:rsidRPr="00600064">
        <w:t xml:space="preserve">Risk Sharing Arrangement </w:t>
      </w:r>
      <w:r w:rsidRPr="00600064">
        <w:t>cap</w:t>
      </w:r>
      <w:r w:rsidR="007118CD" w:rsidRPr="00600064">
        <w:t>s should</w:t>
      </w:r>
      <w:r w:rsidRPr="00600064">
        <w:t xml:space="preserve"> be </w:t>
      </w:r>
      <w:r w:rsidR="00CB2809" w:rsidRPr="00600064">
        <w:t xml:space="preserve">100% </w:t>
      </w:r>
      <w:r w:rsidRPr="00600064">
        <w:t xml:space="preserve">rebated to the </w:t>
      </w:r>
      <w:r w:rsidR="00CB2809" w:rsidRPr="00600064">
        <w:t>Government</w:t>
      </w:r>
      <w:r w:rsidRPr="00600064">
        <w:t>.</w:t>
      </w:r>
    </w:p>
    <w:p w:rsidR="00576972" w:rsidRPr="00600064" w:rsidRDefault="00576972" w:rsidP="00576972">
      <w:pPr>
        <w:widowControl/>
        <w:rPr>
          <w:szCs w:val="22"/>
        </w:rPr>
      </w:pPr>
    </w:p>
    <w:p w:rsidR="00454C7A" w:rsidRPr="00600064" w:rsidRDefault="00454C7A" w:rsidP="00454C7A">
      <w:pPr>
        <w:ind w:firstLine="720"/>
        <w:rPr>
          <w:bCs/>
          <w:szCs w:val="22"/>
        </w:rPr>
      </w:pPr>
      <w:r w:rsidRPr="00600064">
        <w:rPr>
          <w:bCs/>
          <w:i/>
          <w:szCs w:val="22"/>
        </w:rPr>
        <w:t>For more detail on PBAC’s view, see section 7 “PBAC outcome”</w:t>
      </w:r>
      <w:r w:rsidR="00A97101" w:rsidRPr="00600064">
        <w:rPr>
          <w:bCs/>
          <w:i/>
          <w:szCs w:val="22"/>
        </w:rPr>
        <w:t>.</w:t>
      </w:r>
    </w:p>
    <w:p w:rsidR="00454C7A" w:rsidRPr="00600064" w:rsidRDefault="00454C7A" w:rsidP="00576972">
      <w:pPr>
        <w:widowControl/>
        <w:rPr>
          <w:szCs w:val="22"/>
        </w:rPr>
      </w:pPr>
    </w:p>
    <w:p w:rsidR="00A363FB" w:rsidRPr="00600064" w:rsidRDefault="00A363FB" w:rsidP="00A363FB">
      <w:pPr>
        <w:rPr>
          <w:rStyle w:val="IntenseReference"/>
          <w:b w:val="0"/>
          <w:bCs w:val="0"/>
          <w:i/>
          <w:smallCaps w:val="0"/>
          <w:color w:val="auto"/>
        </w:rPr>
      </w:pPr>
    </w:p>
    <w:p w:rsidR="00A363FB" w:rsidRPr="00701BE6" w:rsidRDefault="00A363FB" w:rsidP="00E25D57">
      <w:pPr>
        <w:pStyle w:val="PBACheading1"/>
        <w:keepNext/>
        <w:rPr>
          <w:b/>
        </w:rPr>
      </w:pPr>
      <w:r w:rsidRPr="00701BE6">
        <w:rPr>
          <w:b/>
        </w:rPr>
        <w:t>PBAC Outcome</w:t>
      </w:r>
    </w:p>
    <w:p w:rsidR="00A363FB" w:rsidRPr="00600064" w:rsidRDefault="00A363FB" w:rsidP="00A363FB">
      <w:pPr>
        <w:rPr>
          <w:b/>
          <w:bCs/>
        </w:rPr>
      </w:pPr>
    </w:p>
    <w:p w:rsidR="00957C41" w:rsidRPr="00600064" w:rsidRDefault="00957C41" w:rsidP="002F2065">
      <w:pPr>
        <w:numPr>
          <w:ilvl w:val="1"/>
          <w:numId w:val="4"/>
        </w:numPr>
        <w:rPr>
          <w:bCs/>
        </w:rPr>
      </w:pPr>
      <w:r w:rsidRPr="00600064">
        <w:rPr>
          <w:bCs/>
        </w:rPr>
        <w:lastRenderedPageBreak/>
        <w:t>The PBAC recommended the listing of nivolumab, on the basis that it be available</w:t>
      </w:r>
      <w:r w:rsidR="002F2065" w:rsidRPr="00600064">
        <w:t xml:space="preserve"> </w:t>
      </w:r>
      <w:r w:rsidR="002F2065" w:rsidRPr="00600064">
        <w:rPr>
          <w:bCs/>
        </w:rPr>
        <w:t xml:space="preserve">only under special arrangements under </w:t>
      </w:r>
      <w:r w:rsidR="00E27A31" w:rsidRPr="00600064">
        <w:rPr>
          <w:bCs/>
        </w:rPr>
        <w:t xml:space="preserve">Section </w:t>
      </w:r>
      <w:r w:rsidR="002F2065" w:rsidRPr="00600064">
        <w:rPr>
          <w:bCs/>
        </w:rPr>
        <w:t>100</w:t>
      </w:r>
      <w:r w:rsidR="00E27A31" w:rsidRPr="00600064">
        <w:rPr>
          <w:bCs/>
        </w:rPr>
        <w:t xml:space="preserve"> </w:t>
      </w:r>
      <w:r w:rsidR="00E27A31" w:rsidRPr="00600064">
        <w:rPr>
          <w:szCs w:val="24"/>
        </w:rPr>
        <w:t>(Efficient Funding of Chemotherapy – Public and Private Hospital) for the treatment of Stage IV clear cell variant renal cell carcinoma (RCC) in patients who have progressed according to Response Evaluation Criteria in Solid Tumours (RECIST) following first line treatment with a tyrosine-kinase inhibitor (TKI)</w:t>
      </w:r>
      <w:r w:rsidR="002F2065" w:rsidRPr="00600064">
        <w:rPr>
          <w:bCs/>
        </w:rPr>
        <w:t>.</w:t>
      </w:r>
      <w:r w:rsidRPr="00600064">
        <w:rPr>
          <w:bCs/>
        </w:rPr>
        <w:t xml:space="preserve"> The PBAC </w:t>
      </w:r>
      <w:r w:rsidR="00E27A31" w:rsidRPr="00600064">
        <w:rPr>
          <w:bCs/>
        </w:rPr>
        <w:t>wa</w:t>
      </w:r>
      <w:r w:rsidRPr="00600064">
        <w:rPr>
          <w:bCs/>
        </w:rPr>
        <w:t xml:space="preserve">s satisfied that </w:t>
      </w:r>
      <w:r w:rsidR="006775EB" w:rsidRPr="00600064">
        <w:rPr>
          <w:bCs/>
        </w:rPr>
        <w:t>nivolumab</w:t>
      </w:r>
      <w:r w:rsidRPr="00600064">
        <w:rPr>
          <w:bCs/>
        </w:rPr>
        <w:t xml:space="preserve"> provides, for some patients, a significant improvement in efficacy</w:t>
      </w:r>
      <w:r w:rsidR="006775EB" w:rsidRPr="00600064">
        <w:rPr>
          <w:bCs/>
        </w:rPr>
        <w:t xml:space="preserve"> and </w:t>
      </w:r>
      <w:r w:rsidRPr="00600064">
        <w:rPr>
          <w:bCs/>
        </w:rPr>
        <w:t xml:space="preserve">reduction in toxicity over </w:t>
      </w:r>
      <w:proofErr w:type="spellStart"/>
      <w:r w:rsidR="006775EB" w:rsidRPr="00600064">
        <w:rPr>
          <w:bCs/>
        </w:rPr>
        <w:t>everolimus</w:t>
      </w:r>
      <w:proofErr w:type="spellEnd"/>
      <w:r w:rsidR="00A97101" w:rsidRPr="00600064">
        <w:rPr>
          <w:bCs/>
        </w:rPr>
        <w:t>.</w:t>
      </w:r>
    </w:p>
    <w:p w:rsidR="00957C41" w:rsidRPr="00600064" w:rsidRDefault="00957C41" w:rsidP="00A97101">
      <w:pPr>
        <w:rPr>
          <w:bCs/>
        </w:rPr>
      </w:pPr>
    </w:p>
    <w:p w:rsidR="00DD2428" w:rsidRPr="00600064" w:rsidRDefault="00957C41" w:rsidP="00DD2428">
      <w:pPr>
        <w:numPr>
          <w:ilvl w:val="1"/>
          <w:numId w:val="4"/>
        </w:numPr>
        <w:rPr>
          <w:bCs/>
        </w:rPr>
      </w:pPr>
      <w:r w:rsidRPr="00600064">
        <w:rPr>
          <w:bCs/>
        </w:rPr>
        <w:t xml:space="preserve">The PBAC’s recommendation for listing was based on, among other matters, its assessment, as described above, that the cost-effectiveness of </w:t>
      </w:r>
      <w:r w:rsidR="006775EB" w:rsidRPr="00600064">
        <w:rPr>
          <w:bCs/>
        </w:rPr>
        <w:t>nivolumab</w:t>
      </w:r>
      <w:r w:rsidRPr="00600064">
        <w:rPr>
          <w:bCs/>
        </w:rPr>
        <w:t xml:space="preserve"> would be acceptable at the price </w:t>
      </w:r>
      <w:r w:rsidR="006775EB" w:rsidRPr="00600064">
        <w:rPr>
          <w:bCs/>
        </w:rPr>
        <w:t>calculated using the effective prices of</w:t>
      </w:r>
      <w:r w:rsidR="006775EB" w:rsidRPr="00600064">
        <w:t xml:space="preserve"> </w:t>
      </w:r>
      <w:proofErr w:type="spellStart"/>
      <w:r w:rsidR="006775EB" w:rsidRPr="00600064">
        <w:rPr>
          <w:bCs/>
        </w:rPr>
        <w:t>everolimus</w:t>
      </w:r>
      <w:proofErr w:type="spellEnd"/>
      <w:r w:rsidR="006775EB" w:rsidRPr="00600064">
        <w:rPr>
          <w:bCs/>
        </w:rPr>
        <w:t xml:space="preserve">, </w:t>
      </w:r>
      <w:proofErr w:type="spellStart"/>
      <w:r w:rsidR="006775EB" w:rsidRPr="00600064">
        <w:rPr>
          <w:bCs/>
        </w:rPr>
        <w:t>axitinib</w:t>
      </w:r>
      <w:proofErr w:type="spellEnd"/>
      <w:r w:rsidR="006775EB" w:rsidRPr="00600064">
        <w:rPr>
          <w:bCs/>
        </w:rPr>
        <w:t xml:space="preserve"> and </w:t>
      </w:r>
      <w:proofErr w:type="spellStart"/>
      <w:r w:rsidR="006775EB" w:rsidRPr="00600064">
        <w:rPr>
          <w:bCs/>
        </w:rPr>
        <w:t>sorafenib</w:t>
      </w:r>
      <w:proofErr w:type="spellEnd"/>
      <w:r w:rsidR="006775EB" w:rsidRPr="00600064">
        <w:rPr>
          <w:bCs/>
        </w:rPr>
        <w:t xml:space="preserve"> </w:t>
      </w:r>
      <w:r w:rsidR="003D6AD7" w:rsidRPr="00600064">
        <w:rPr>
          <w:bCs/>
        </w:rPr>
        <w:t xml:space="preserve">in the “PBAC amended base case” evaluation, and a </w:t>
      </w:r>
      <w:r w:rsidR="00600064" w:rsidRPr="00600064">
        <w:rPr>
          <w:bCs/>
        </w:rPr>
        <w:t xml:space="preserve">Risk Sharing Arrangement </w:t>
      </w:r>
      <w:r w:rsidR="003D6AD7" w:rsidRPr="00600064">
        <w:rPr>
          <w:bCs/>
        </w:rPr>
        <w:t>with expenditure caps calculated reflecting</w:t>
      </w:r>
      <w:r w:rsidR="006775EB" w:rsidRPr="00600064">
        <w:rPr>
          <w:bCs/>
        </w:rPr>
        <w:t xml:space="preserve"> the number of patients </w:t>
      </w:r>
      <w:r w:rsidR="003D6AD7" w:rsidRPr="00600064">
        <w:rPr>
          <w:bCs/>
        </w:rPr>
        <w:t xml:space="preserve">receiving nivolumab </w:t>
      </w:r>
      <w:r w:rsidR="006775EB" w:rsidRPr="00600064">
        <w:rPr>
          <w:bCs/>
        </w:rPr>
        <w:t xml:space="preserve">and </w:t>
      </w:r>
      <w:r w:rsidR="003D6AD7" w:rsidRPr="00600064">
        <w:rPr>
          <w:bCs/>
        </w:rPr>
        <w:t>the number of nivolumab infusions per patient</w:t>
      </w:r>
      <w:r w:rsidR="006775EB" w:rsidRPr="00600064">
        <w:rPr>
          <w:bCs/>
        </w:rPr>
        <w:t xml:space="preserve"> capped as specified above.</w:t>
      </w:r>
    </w:p>
    <w:p w:rsidR="00C71BF7" w:rsidRPr="00600064" w:rsidRDefault="00C71BF7" w:rsidP="00A97101">
      <w:pPr>
        <w:rPr>
          <w:bCs/>
        </w:rPr>
      </w:pPr>
    </w:p>
    <w:p w:rsidR="00DD2428" w:rsidRPr="00600064" w:rsidRDefault="00DD2428" w:rsidP="00DD2428">
      <w:pPr>
        <w:numPr>
          <w:ilvl w:val="1"/>
          <w:numId w:val="4"/>
        </w:numPr>
        <w:rPr>
          <w:bCs/>
        </w:rPr>
      </w:pPr>
      <w:r w:rsidRPr="00600064">
        <w:rPr>
          <w:bCs/>
        </w:rPr>
        <w:t xml:space="preserve">The PBAC </w:t>
      </w:r>
      <w:r w:rsidR="00807697" w:rsidRPr="00600064">
        <w:rPr>
          <w:bCs/>
        </w:rPr>
        <w:t xml:space="preserve">confirmed </w:t>
      </w:r>
      <w:r w:rsidRPr="00600064">
        <w:rPr>
          <w:bCs/>
        </w:rPr>
        <w:t>that</w:t>
      </w:r>
      <w:r w:rsidR="00807697" w:rsidRPr="00600064">
        <w:rPr>
          <w:bCs/>
        </w:rPr>
        <w:t xml:space="preserve"> there was a </w:t>
      </w:r>
      <w:r w:rsidR="007901D5" w:rsidRPr="00600064">
        <w:rPr>
          <w:bCs/>
        </w:rPr>
        <w:t xml:space="preserve">continued </w:t>
      </w:r>
      <w:r w:rsidR="00807697" w:rsidRPr="00600064">
        <w:rPr>
          <w:bCs/>
        </w:rPr>
        <w:t>clinical need for further treatment options in metastatic renal cell carcinoma after progression on a TKI and that</w:t>
      </w:r>
      <w:r w:rsidRPr="00600064">
        <w:rPr>
          <w:bCs/>
        </w:rPr>
        <w:t xml:space="preserve"> </w:t>
      </w:r>
      <w:r w:rsidR="00807697" w:rsidRPr="00600064">
        <w:rPr>
          <w:bCs/>
        </w:rPr>
        <w:t xml:space="preserve">nivolumab </w:t>
      </w:r>
      <w:r w:rsidR="007901D5" w:rsidRPr="00600064">
        <w:rPr>
          <w:bCs/>
        </w:rPr>
        <w:t xml:space="preserve">provided an improvement in overall survival with no increase in </w:t>
      </w:r>
      <w:r w:rsidR="003D6AD7" w:rsidRPr="00600064">
        <w:rPr>
          <w:bCs/>
        </w:rPr>
        <w:t xml:space="preserve">overall </w:t>
      </w:r>
      <w:r w:rsidR="007901D5" w:rsidRPr="00600064">
        <w:rPr>
          <w:bCs/>
        </w:rPr>
        <w:t xml:space="preserve">toxicity over </w:t>
      </w:r>
      <w:r w:rsidR="006D6EEE" w:rsidRPr="00600064">
        <w:rPr>
          <w:bCs/>
        </w:rPr>
        <w:t xml:space="preserve">the comparator, </w:t>
      </w:r>
      <w:proofErr w:type="spellStart"/>
      <w:r w:rsidR="007901D5" w:rsidRPr="00600064">
        <w:rPr>
          <w:bCs/>
        </w:rPr>
        <w:t>everolimus</w:t>
      </w:r>
      <w:proofErr w:type="spellEnd"/>
      <w:r w:rsidR="007901D5" w:rsidRPr="00600064">
        <w:rPr>
          <w:bCs/>
        </w:rPr>
        <w:t>.</w:t>
      </w:r>
    </w:p>
    <w:p w:rsidR="007901D5" w:rsidRPr="00600064" w:rsidRDefault="007901D5" w:rsidP="00A97101">
      <w:pPr>
        <w:rPr>
          <w:bCs/>
        </w:rPr>
      </w:pPr>
    </w:p>
    <w:p w:rsidR="00227CB5" w:rsidRPr="00600064" w:rsidRDefault="007901D5" w:rsidP="00227CB5">
      <w:pPr>
        <w:numPr>
          <w:ilvl w:val="1"/>
          <w:numId w:val="4"/>
        </w:numPr>
        <w:rPr>
          <w:bCs/>
        </w:rPr>
      </w:pPr>
      <w:r w:rsidRPr="00600064">
        <w:rPr>
          <w:bCs/>
        </w:rPr>
        <w:t xml:space="preserve">The PBAC considered that there continued to be uncertainty in the </w:t>
      </w:r>
      <w:r w:rsidR="003D6AD7" w:rsidRPr="00600064">
        <w:rPr>
          <w:bCs/>
        </w:rPr>
        <w:t>extent</w:t>
      </w:r>
      <w:r w:rsidRPr="00600064">
        <w:rPr>
          <w:bCs/>
        </w:rPr>
        <w:t xml:space="preserve"> of benefit in overall survival in relation to the PBS population due to 46% of nivolumab patient</w:t>
      </w:r>
      <w:r w:rsidR="002F2065" w:rsidRPr="00600064">
        <w:rPr>
          <w:bCs/>
        </w:rPr>
        <w:t>s</w:t>
      </w:r>
      <w:r w:rsidRPr="00600064">
        <w:rPr>
          <w:bCs/>
        </w:rPr>
        <w:t xml:space="preserve"> in the clinical trial continuing</w:t>
      </w:r>
      <w:r w:rsidR="00227CB5" w:rsidRPr="00600064">
        <w:rPr>
          <w:bCs/>
        </w:rPr>
        <w:t xml:space="preserve"> treatment beyond progression.</w:t>
      </w:r>
    </w:p>
    <w:p w:rsidR="00227CB5" w:rsidRPr="00600064" w:rsidRDefault="00227CB5" w:rsidP="00A97101">
      <w:pPr>
        <w:rPr>
          <w:bCs/>
        </w:rPr>
      </w:pPr>
    </w:p>
    <w:p w:rsidR="00227CB5" w:rsidRPr="00600064" w:rsidRDefault="007901D5" w:rsidP="00227CB5">
      <w:pPr>
        <w:numPr>
          <w:ilvl w:val="1"/>
          <w:numId w:val="4"/>
        </w:numPr>
        <w:rPr>
          <w:bCs/>
        </w:rPr>
      </w:pPr>
      <w:r w:rsidRPr="00600064">
        <w:rPr>
          <w:bCs/>
        </w:rPr>
        <w:t>The PBAC re</w:t>
      </w:r>
      <w:r w:rsidR="00EF747B" w:rsidRPr="00600064">
        <w:rPr>
          <w:bCs/>
        </w:rPr>
        <w:t>-</w:t>
      </w:r>
      <w:r w:rsidRPr="00600064">
        <w:rPr>
          <w:bCs/>
        </w:rPr>
        <w:t>stipulated that the use of RECIST</w:t>
      </w:r>
      <w:r w:rsidR="002F2065" w:rsidRPr="00600064">
        <w:rPr>
          <w:bCs/>
        </w:rPr>
        <w:t>-</w:t>
      </w:r>
      <w:r w:rsidRPr="00600064">
        <w:rPr>
          <w:bCs/>
        </w:rPr>
        <w:t>defined progression free survival</w:t>
      </w:r>
      <w:r w:rsidR="003D6AD7" w:rsidRPr="00600064">
        <w:rPr>
          <w:bCs/>
        </w:rPr>
        <w:t xml:space="preserve"> extrapolated</w:t>
      </w:r>
      <w:r w:rsidRPr="00600064">
        <w:rPr>
          <w:bCs/>
        </w:rPr>
        <w:t xml:space="preserve"> from the clinical trial, </w:t>
      </w:r>
      <w:r w:rsidR="002F2065" w:rsidRPr="00600064">
        <w:rPr>
          <w:bCs/>
        </w:rPr>
        <w:t xml:space="preserve">along </w:t>
      </w:r>
      <w:r w:rsidR="00227CB5" w:rsidRPr="00600064">
        <w:rPr>
          <w:bCs/>
        </w:rPr>
        <w:t xml:space="preserve">with a </w:t>
      </w:r>
      <w:r w:rsidR="00600064" w:rsidRPr="00600064">
        <w:rPr>
          <w:bCs/>
        </w:rPr>
        <w:t>5-year</w:t>
      </w:r>
      <w:r w:rsidR="00227CB5" w:rsidRPr="00600064">
        <w:rPr>
          <w:bCs/>
        </w:rPr>
        <w:t xml:space="preserve"> time horizon</w:t>
      </w:r>
      <w:r w:rsidR="003D6AD7" w:rsidRPr="00600064">
        <w:rPr>
          <w:bCs/>
        </w:rPr>
        <w:t>, were appropriate for use in the economic evaluation and financial estimates</w:t>
      </w:r>
      <w:r w:rsidR="00227CB5" w:rsidRPr="00600064">
        <w:rPr>
          <w:bCs/>
        </w:rPr>
        <w:t xml:space="preserve">. The PBAC considered that the risk of treatment beyond progression needed to be addressed in the </w:t>
      </w:r>
      <w:r w:rsidR="00740208" w:rsidRPr="00600064">
        <w:rPr>
          <w:bCs/>
        </w:rPr>
        <w:t xml:space="preserve">calculation of the </w:t>
      </w:r>
      <w:r w:rsidR="003D6AD7" w:rsidRPr="00600064">
        <w:rPr>
          <w:bCs/>
        </w:rPr>
        <w:t xml:space="preserve">proposed </w:t>
      </w:r>
      <w:r w:rsidR="00600064">
        <w:rPr>
          <w:bCs/>
        </w:rPr>
        <w:t>R</w:t>
      </w:r>
      <w:r w:rsidR="00600064" w:rsidRPr="00600064">
        <w:rPr>
          <w:bCs/>
        </w:rPr>
        <w:t xml:space="preserve">isk </w:t>
      </w:r>
      <w:r w:rsidR="00600064">
        <w:rPr>
          <w:bCs/>
        </w:rPr>
        <w:t>S</w:t>
      </w:r>
      <w:r w:rsidR="00600064" w:rsidRPr="00600064">
        <w:rPr>
          <w:bCs/>
        </w:rPr>
        <w:t xml:space="preserve">haring </w:t>
      </w:r>
      <w:r w:rsidR="00600064">
        <w:t>A</w:t>
      </w:r>
      <w:r w:rsidR="00600064" w:rsidRPr="00600064">
        <w:t xml:space="preserve">rrangement </w:t>
      </w:r>
      <w:r w:rsidR="00227CB5" w:rsidRPr="00600064">
        <w:rPr>
          <w:bCs/>
        </w:rPr>
        <w:t>by limiting treatment duration to the RECIST-</w:t>
      </w:r>
      <w:r w:rsidR="00C71BF7" w:rsidRPr="00600064">
        <w:rPr>
          <w:bCs/>
        </w:rPr>
        <w:t xml:space="preserve">defined </w:t>
      </w:r>
      <w:r w:rsidR="00227CB5" w:rsidRPr="00600064">
        <w:rPr>
          <w:bCs/>
        </w:rPr>
        <w:t xml:space="preserve">PFS duration of </w:t>
      </w:r>
      <w:r w:rsidR="003A224F">
        <w:rPr>
          <w:bCs/>
          <w:noProof/>
          <w:color w:val="000000"/>
          <w:highlight w:val="black"/>
        </w:rPr>
        <w:t>''''''''''''''</w:t>
      </w:r>
      <w:r w:rsidR="00C71BF7" w:rsidRPr="00600064">
        <w:rPr>
          <w:bCs/>
        </w:rPr>
        <w:t xml:space="preserve"> </w:t>
      </w:r>
      <w:r w:rsidR="003D6AD7" w:rsidRPr="00600064">
        <w:rPr>
          <w:bCs/>
        </w:rPr>
        <w:t xml:space="preserve">nivolumab </w:t>
      </w:r>
      <w:r w:rsidR="00C71BF7" w:rsidRPr="00600064">
        <w:rPr>
          <w:bCs/>
        </w:rPr>
        <w:t>infusions.</w:t>
      </w:r>
    </w:p>
    <w:p w:rsidR="00C71BF7" w:rsidRPr="00600064" w:rsidRDefault="00C71BF7" w:rsidP="00A97101">
      <w:pPr>
        <w:rPr>
          <w:bCs/>
        </w:rPr>
      </w:pPr>
    </w:p>
    <w:p w:rsidR="00C71BF7" w:rsidRPr="00600064" w:rsidRDefault="00C71BF7" w:rsidP="00227CB5">
      <w:pPr>
        <w:numPr>
          <w:ilvl w:val="1"/>
          <w:numId w:val="4"/>
        </w:numPr>
        <w:rPr>
          <w:bCs/>
        </w:rPr>
      </w:pPr>
      <w:r w:rsidRPr="00600064">
        <w:rPr>
          <w:bCs/>
        </w:rPr>
        <w:t xml:space="preserve">The PBAC considered that there remained some uncertainty with regards to patient numbers as these were highly dependent on the uptake of </w:t>
      </w:r>
      <w:r w:rsidR="00880F0B" w:rsidRPr="00600064">
        <w:rPr>
          <w:bCs/>
        </w:rPr>
        <w:t xml:space="preserve">second-line treatment following progression on a </w:t>
      </w:r>
      <w:proofErr w:type="gramStart"/>
      <w:r w:rsidR="00880F0B" w:rsidRPr="00600064">
        <w:rPr>
          <w:bCs/>
        </w:rPr>
        <w:t>TKI,</w:t>
      </w:r>
      <w:proofErr w:type="gramEnd"/>
      <w:r w:rsidR="00880F0B" w:rsidRPr="00600064">
        <w:rPr>
          <w:bCs/>
        </w:rPr>
        <w:t xml:space="preserve"> however the PBAC considered that patient numbers as provided in the resubmission were a reasonable upper limit for the purposes of </w:t>
      </w:r>
      <w:r w:rsidR="007118CD" w:rsidRPr="00600064">
        <w:rPr>
          <w:bCs/>
        </w:rPr>
        <w:t>finalising</w:t>
      </w:r>
      <w:r w:rsidR="00880F0B" w:rsidRPr="00600064">
        <w:rPr>
          <w:bCs/>
        </w:rPr>
        <w:t xml:space="preserve"> a </w:t>
      </w:r>
      <w:r w:rsidR="00600064" w:rsidRPr="00600064">
        <w:rPr>
          <w:bCs/>
        </w:rPr>
        <w:t xml:space="preserve">Risk Sharing </w:t>
      </w:r>
      <w:r w:rsidR="00600064" w:rsidRPr="00600064">
        <w:t>Arrangement</w:t>
      </w:r>
      <w:r w:rsidR="00880F0B" w:rsidRPr="00600064">
        <w:rPr>
          <w:bCs/>
        </w:rPr>
        <w:t xml:space="preserve">. The PBAC further </w:t>
      </w:r>
      <w:r w:rsidR="007118CD" w:rsidRPr="00600064">
        <w:rPr>
          <w:bCs/>
        </w:rPr>
        <w:t xml:space="preserve">advised </w:t>
      </w:r>
      <w:r w:rsidR="00880F0B" w:rsidRPr="00600064">
        <w:rPr>
          <w:bCs/>
        </w:rPr>
        <w:t xml:space="preserve">that any </w:t>
      </w:r>
      <w:r w:rsidR="006D6EEE" w:rsidRPr="00600064">
        <w:rPr>
          <w:bCs/>
        </w:rPr>
        <w:t xml:space="preserve">expenditure over the </w:t>
      </w:r>
      <w:r w:rsidR="003D6AD7" w:rsidRPr="00600064">
        <w:rPr>
          <w:bCs/>
        </w:rPr>
        <w:t xml:space="preserve">proposed </w:t>
      </w:r>
      <w:r w:rsidR="00600064" w:rsidRPr="00600064">
        <w:rPr>
          <w:bCs/>
        </w:rPr>
        <w:t xml:space="preserve">Risk Sharing </w:t>
      </w:r>
      <w:r w:rsidR="00600064" w:rsidRPr="00600064">
        <w:t>Arrangement</w:t>
      </w:r>
      <w:r w:rsidR="00600064" w:rsidRPr="00600064">
        <w:rPr>
          <w:bCs/>
        </w:rPr>
        <w:t xml:space="preserve"> </w:t>
      </w:r>
      <w:r w:rsidR="006D6EEE" w:rsidRPr="00600064">
        <w:rPr>
          <w:bCs/>
        </w:rPr>
        <w:t>cap</w:t>
      </w:r>
      <w:r w:rsidR="007118CD" w:rsidRPr="00600064">
        <w:rPr>
          <w:bCs/>
        </w:rPr>
        <w:t>s</w:t>
      </w:r>
      <w:r w:rsidR="006D6EEE" w:rsidRPr="00600064">
        <w:rPr>
          <w:bCs/>
        </w:rPr>
        <w:t xml:space="preserve"> </w:t>
      </w:r>
      <w:r w:rsidR="007118CD" w:rsidRPr="00600064">
        <w:rPr>
          <w:bCs/>
        </w:rPr>
        <w:t>sh</w:t>
      </w:r>
      <w:r w:rsidR="00CB2809" w:rsidRPr="00600064">
        <w:rPr>
          <w:bCs/>
        </w:rPr>
        <w:t xml:space="preserve">ould </w:t>
      </w:r>
      <w:r w:rsidR="006D6EEE" w:rsidRPr="00600064">
        <w:rPr>
          <w:bCs/>
        </w:rPr>
        <w:t xml:space="preserve">be </w:t>
      </w:r>
      <w:r w:rsidR="00CB2809" w:rsidRPr="00AF3404">
        <w:rPr>
          <w:bCs/>
        </w:rPr>
        <w:t>100</w:t>
      </w:r>
      <w:r w:rsidR="00CB2809" w:rsidRPr="00600064">
        <w:rPr>
          <w:bCs/>
        </w:rPr>
        <w:t xml:space="preserve">% </w:t>
      </w:r>
      <w:r w:rsidR="006D6EEE" w:rsidRPr="00600064">
        <w:rPr>
          <w:bCs/>
        </w:rPr>
        <w:t xml:space="preserve">rebated to the </w:t>
      </w:r>
      <w:r w:rsidR="00CB2809" w:rsidRPr="00600064">
        <w:rPr>
          <w:bCs/>
        </w:rPr>
        <w:t>Government</w:t>
      </w:r>
      <w:r w:rsidR="006D6EEE" w:rsidRPr="00600064">
        <w:rPr>
          <w:bCs/>
        </w:rPr>
        <w:t>.</w:t>
      </w:r>
    </w:p>
    <w:p w:rsidR="007901D5" w:rsidRPr="00600064" w:rsidRDefault="007901D5" w:rsidP="00A97101">
      <w:pPr>
        <w:rPr>
          <w:bCs/>
        </w:rPr>
      </w:pPr>
    </w:p>
    <w:p w:rsidR="00DD2428" w:rsidRPr="00600064" w:rsidRDefault="00510A6C" w:rsidP="00510A6C">
      <w:pPr>
        <w:numPr>
          <w:ilvl w:val="1"/>
          <w:numId w:val="4"/>
        </w:numPr>
        <w:rPr>
          <w:bCs/>
        </w:rPr>
      </w:pPr>
      <w:r w:rsidRPr="00510A6C">
        <w:rPr>
          <w:bCs/>
        </w:rPr>
        <w:t>The PBAC recommended that the Administrative Advice in the initial treatment restriction should be based on that for nivolumab in melanoma to recommend a repeat scan at least 4 weeks after suspected pseudo-progression. The PBAC recommended that patients should only continue on PBS subsidised treatment if they have stable or responding disease.</w:t>
      </w:r>
    </w:p>
    <w:p w:rsidR="00A363FB" w:rsidRPr="00600064" w:rsidRDefault="00A363FB" w:rsidP="00A363FB">
      <w:pPr>
        <w:rPr>
          <w:bCs/>
          <w:highlight w:val="yellow"/>
        </w:rPr>
      </w:pPr>
    </w:p>
    <w:p w:rsidR="000A50A2" w:rsidRPr="00600064" w:rsidRDefault="00A363FB" w:rsidP="000A50A2">
      <w:pPr>
        <w:numPr>
          <w:ilvl w:val="1"/>
          <w:numId w:val="4"/>
        </w:numPr>
      </w:pPr>
      <w:r w:rsidRPr="00600064">
        <w:rPr>
          <w:bCs/>
        </w:rPr>
        <w:t xml:space="preserve">The PBAC advised that </w:t>
      </w:r>
      <w:r w:rsidR="00EE7C96" w:rsidRPr="00600064">
        <w:rPr>
          <w:bCs/>
        </w:rPr>
        <w:t>nivolumab</w:t>
      </w:r>
      <w:r w:rsidRPr="00600064">
        <w:rPr>
          <w:bCs/>
        </w:rPr>
        <w:t xml:space="preserve"> is</w:t>
      </w:r>
      <w:r w:rsidR="00EE7C96" w:rsidRPr="00600064">
        <w:rPr>
          <w:bCs/>
        </w:rPr>
        <w:t xml:space="preserve"> not</w:t>
      </w:r>
      <w:r w:rsidRPr="00600064">
        <w:rPr>
          <w:bCs/>
        </w:rPr>
        <w:t xml:space="preserve"> suitable for presc</w:t>
      </w:r>
      <w:r w:rsidR="00FF287E" w:rsidRPr="00600064">
        <w:rPr>
          <w:bCs/>
        </w:rPr>
        <w:t>ribing by nurse practitioners.</w:t>
      </w:r>
    </w:p>
    <w:p w:rsidR="000A50A2" w:rsidRPr="00600064" w:rsidRDefault="000A50A2" w:rsidP="00A97101"/>
    <w:p w:rsidR="000A50A2" w:rsidRPr="00600064" w:rsidRDefault="000A50A2" w:rsidP="000A50A2">
      <w:pPr>
        <w:numPr>
          <w:ilvl w:val="1"/>
          <w:numId w:val="4"/>
        </w:numPr>
      </w:pPr>
      <w:r w:rsidRPr="00600064">
        <w:t xml:space="preserve">The PBAC recommended that nivolumab should not be treated as interchangeable </w:t>
      </w:r>
      <w:r w:rsidRPr="00600064">
        <w:lastRenderedPageBreak/>
        <w:t>on an individual pati</w:t>
      </w:r>
      <w:r w:rsidR="00A97101" w:rsidRPr="00600064">
        <w:t>ent basis with any other drugs.</w:t>
      </w:r>
    </w:p>
    <w:p w:rsidR="00A363FB" w:rsidRPr="00600064" w:rsidRDefault="00A363FB" w:rsidP="00A363FB">
      <w:pPr>
        <w:rPr>
          <w:bCs/>
          <w:highlight w:val="yellow"/>
        </w:rPr>
      </w:pPr>
    </w:p>
    <w:p w:rsidR="00A363FB" w:rsidRPr="00600064" w:rsidRDefault="00A363FB" w:rsidP="00EB0FC1">
      <w:pPr>
        <w:numPr>
          <w:ilvl w:val="1"/>
          <w:numId w:val="4"/>
        </w:numPr>
        <w:rPr>
          <w:bCs/>
        </w:rPr>
      </w:pPr>
      <w:r w:rsidRPr="00600064">
        <w:rPr>
          <w:bCs/>
        </w:rPr>
        <w:t xml:space="preserve">The PBAC recommended that the </w:t>
      </w:r>
      <w:r w:rsidR="00A97101" w:rsidRPr="00600064">
        <w:rPr>
          <w:bCs/>
        </w:rPr>
        <w:t>Early Supply Rule should apply.</w:t>
      </w:r>
    </w:p>
    <w:p w:rsidR="00A363FB" w:rsidRPr="00600064" w:rsidRDefault="00A363FB" w:rsidP="00A363FB">
      <w:pPr>
        <w:rPr>
          <w:bCs/>
        </w:rPr>
      </w:pPr>
    </w:p>
    <w:p w:rsidR="00A363FB" w:rsidRPr="00600064" w:rsidRDefault="00A363FB" w:rsidP="00A363FB">
      <w:pPr>
        <w:numPr>
          <w:ilvl w:val="1"/>
          <w:numId w:val="4"/>
        </w:numPr>
        <w:rPr>
          <w:bCs/>
        </w:rPr>
      </w:pPr>
      <w:r w:rsidRPr="00600064">
        <w:rPr>
          <w:bCs/>
        </w:rPr>
        <w:t xml:space="preserve">The </w:t>
      </w:r>
      <w:r w:rsidR="00E06235" w:rsidRPr="00600064">
        <w:rPr>
          <w:bCs/>
        </w:rPr>
        <w:t>PBAC noted that this submission wa</w:t>
      </w:r>
      <w:r w:rsidRPr="00600064">
        <w:rPr>
          <w:bCs/>
        </w:rPr>
        <w:t>s not eligible for an Independent Review</w:t>
      </w:r>
      <w:r w:rsidR="00FF287E" w:rsidRPr="00600064">
        <w:rPr>
          <w:bCs/>
        </w:rPr>
        <w:t xml:space="preserve"> as it </w:t>
      </w:r>
      <w:r w:rsidR="00E06235" w:rsidRPr="00600064">
        <w:rPr>
          <w:bCs/>
        </w:rPr>
        <w:t>wa</w:t>
      </w:r>
      <w:r w:rsidR="00FF287E" w:rsidRPr="00600064">
        <w:rPr>
          <w:bCs/>
        </w:rPr>
        <w:t>s a positive recommendation</w:t>
      </w:r>
      <w:r w:rsidR="00A97101" w:rsidRPr="00600064">
        <w:rPr>
          <w:bCs/>
        </w:rPr>
        <w:t>.</w:t>
      </w:r>
    </w:p>
    <w:p w:rsidR="00A363FB" w:rsidRPr="00600064" w:rsidRDefault="00A363FB" w:rsidP="00A363FB">
      <w:pPr>
        <w:rPr>
          <w:b/>
          <w:bCs/>
          <w:highlight w:val="yellow"/>
        </w:rPr>
      </w:pPr>
    </w:p>
    <w:p w:rsidR="00A363FB" w:rsidRPr="00600064" w:rsidRDefault="00A363FB" w:rsidP="00A363FB">
      <w:pPr>
        <w:rPr>
          <w:b/>
          <w:bCs/>
          <w:highlight w:val="yellow"/>
        </w:rPr>
      </w:pPr>
    </w:p>
    <w:p w:rsidR="00A363FB" w:rsidRPr="00600064" w:rsidRDefault="00A363FB" w:rsidP="00A363FB">
      <w:pPr>
        <w:rPr>
          <w:b/>
          <w:bCs/>
        </w:rPr>
      </w:pPr>
      <w:r w:rsidRPr="00600064">
        <w:rPr>
          <w:b/>
          <w:bCs/>
        </w:rPr>
        <w:t>Outcome:</w:t>
      </w:r>
    </w:p>
    <w:p w:rsidR="00A363FB" w:rsidRPr="00600064" w:rsidRDefault="00204650" w:rsidP="00A363FB">
      <w:pPr>
        <w:rPr>
          <w:bCs/>
        </w:rPr>
      </w:pPr>
      <w:r w:rsidRPr="00600064">
        <w:rPr>
          <w:bCs/>
        </w:rPr>
        <w:t>Recommended</w:t>
      </w:r>
    </w:p>
    <w:p w:rsidR="00A363FB" w:rsidRPr="00600064" w:rsidRDefault="00A363FB" w:rsidP="00A363FB">
      <w:pPr>
        <w:rPr>
          <w:bCs/>
          <w:highlight w:val="yellow"/>
        </w:rPr>
      </w:pPr>
    </w:p>
    <w:p w:rsidR="005F0C88" w:rsidRDefault="005F0C88">
      <w:pPr>
        <w:widowControl/>
        <w:jc w:val="left"/>
        <w:rPr>
          <w:bCs/>
        </w:rPr>
      </w:pPr>
    </w:p>
    <w:p w:rsidR="00A363FB" w:rsidRPr="00701BE6" w:rsidRDefault="00A363FB" w:rsidP="00701BE6">
      <w:pPr>
        <w:pStyle w:val="PBACheading1"/>
        <w:rPr>
          <w:b/>
        </w:rPr>
      </w:pPr>
      <w:r w:rsidRPr="00701BE6">
        <w:rPr>
          <w:b/>
        </w:rPr>
        <w:t>Recommended listing</w:t>
      </w:r>
    </w:p>
    <w:p w:rsidR="00A363FB" w:rsidRPr="00600064" w:rsidRDefault="00A363FB" w:rsidP="00A363FB">
      <w:pPr>
        <w:rPr>
          <w:b/>
          <w:bCs/>
          <w:i/>
        </w:rPr>
      </w:pPr>
    </w:p>
    <w:p w:rsidR="00A363FB" w:rsidRPr="00600064" w:rsidRDefault="00A363FB" w:rsidP="00F22EC6">
      <w:pPr>
        <w:numPr>
          <w:ilvl w:val="1"/>
          <w:numId w:val="4"/>
        </w:numPr>
        <w:ind w:left="0" w:firstLine="0"/>
        <w:rPr>
          <w:bCs/>
        </w:rPr>
      </w:pPr>
      <w:r w:rsidRPr="00600064">
        <w:rPr>
          <w:bCs/>
        </w:rPr>
        <w:t>Add new item:</w:t>
      </w:r>
    </w:p>
    <w:p w:rsidR="00A363FB" w:rsidRPr="00600064" w:rsidRDefault="00A363FB" w:rsidP="00A363FB">
      <w:pPr>
        <w:rPr>
          <w:b/>
          <w:bCs/>
          <w:highlight w:val="yellow"/>
        </w:rPr>
      </w:pPr>
    </w:p>
    <w:tbl>
      <w:tblPr>
        <w:tblW w:w="9073" w:type="dxa"/>
        <w:tblInd w:w="108" w:type="dxa"/>
        <w:tblLook w:val="0000" w:firstRow="0" w:lastRow="0" w:firstColumn="0" w:lastColumn="0" w:noHBand="0" w:noVBand="0"/>
      </w:tblPr>
      <w:tblGrid>
        <w:gridCol w:w="1843"/>
        <w:gridCol w:w="7230"/>
      </w:tblGrid>
      <w:tr w:rsidR="009C435F" w:rsidRPr="00600064" w:rsidTr="00474A74">
        <w:trPr>
          <w:cantSplit/>
          <w:trHeight w:val="267"/>
        </w:trPr>
        <w:tc>
          <w:tcPr>
            <w:tcW w:w="9073" w:type="dxa"/>
            <w:gridSpan w:val="2"/>
            <w:tcBorders>
              <w:bottom w:val="single" w:sz="4" w:space="0" w:color="auto"/>
            </w:tcBorders>
          </w:tcPr>
          <w:tbl>
            <w:tblPr>
              <w:tblW w:w="5000" w:type="pct"/>
              <w:tblLook w:val="0000" w:firstRow="0" w:lastRow="0" w:firstColumn="0" w:lastColumn="0" w:noHBand="0" w:noVBand="0"/>
            </w:tblPr>
            <w:tblGrid>
              <w:gridCol w:w="4428"/>
              <w:gridCol w:w="1222"/>
              <w:gridCol w:w="918"/>
              <w:gridCol w:w="2289"/>
            </w:tblGrid>
            <w:tr w:rsidR="009C435F" w:rsidRPr="00600064" w:rsidTr="00474A74">
              <w:trPr>
                <w:cantSplit/>
                <w:trHeight w:val="567"/>
              </w:trPr>
              <w:tc>
                <w:tcPr>
                  <w:tcW w:w="2500" w:type="pct"/>
                  <w:tcBorders>
                    <w:bottom w:val="single" w:sz="4" w:space="0" w:color="auto"/>
                  </w:tcBorders>
                </w:tcPr>
                <w:p w:rsidR="009C435F" w:rsidRPr="00600064" w:rsidRDefault="009C435F" w:rsidP="00474A74">
                  <w:pPr>
                    <w:jc w:val="left"/>
                    <w:rPr>
                      <w:rFonts w:ascii="Arial Narrow" w:hAnsi="Arial Narrow"/>
                      <w:b/>
                      <w:sz w:val="20"/>
                    </w:rPr>
                  </w:pPr>
                  <w:r w:rsidRPr="00600064">
                    <w:rPr>
                      <w:rFonts w:ascii="Arial Narrow" w:hAnsi="Arial Narrow"/>
                      <w:b/>
                      <w:sz w:val="20"/>
                    </w:rPr>
                    <w:t>Name, Restriction,</w:t>
                  </w:r>
                </w:p>
                <w:p w:rsidR="009C435F" w:rsidRPr="00600064" w:rsidRDefault="009C435F" w:rsidP="00474A74">
                  <w:pPr>
                    <w:jc w:val="left"/>
                    <w:rPr>
                      <w:rFonts w:ascii="Arial Narrow" w:hAnsi="Arial Narrow"/>
                      <w:b/>
                      <w:sz w:val="20"/>
                    </w:rPr>
                  </w:pPr>
                  <w:r w:rsidRPr="00600064">
                    <w:rPr>
                      <w:rFonts w:ascii="Arial Narrow" w:hAnsi="Arial Narrow"/>
                      <w:b/>
                      <w:sz w:val="20"/>
                    </w:rPr>
                    <w:t>Manner of administration and form</w:t>
                  </w:r>
                </w:p>
              </w:tc>
              <w:tc>
                <w:tcPr>
                  <w:tcW w:w="690" w:type="pct"/>
                  <w:tcBorders>
                    <w:left w:val="nil"/>
                    <w:bottom w:val="single" w:sz="4" w:space="0" w:color="auto"/>
                  </w:tcBorders>
                </w:tcPr>
                <w:p w:rsidR="009C435F" w:rsidRPr="00600064" w:rsidRDefault="009C435F" w:rsidP="00474A74">
                  <w:pPr>
                    <w:jc w:val="left"/>
                    <w:rPr>
                      <w:rFonts w:ascii="Arial Narrow" w:hAnsi="Arial Narrow"/>
                      <w:b/>
                      <w:sz w:val="20"/>
                    </w:rPr>
                  </w:pPr>
                  <w:r w:rsidRPr="00600064">
                    <w:rPr>
                      <w:rFonts w:ascii="Arial Narrow" w:hAnsi="Arial Narrow"/>
                      <w:b/>
                      <w:sz w:val="20"/>
                    </w:rPr>
                    <w:t>Max.</w:t>
                  </w:r>
                </w:p>
                <w:p w:rsidR="009C435F" w:rsidRPr="00600064" w:rsidRDefault="009C435F" w:rsidP="00474A74">
                  <w:pPr>
                    <w:jc w:val="left"/>
                    <w:rPr>
                      <w:rFonts w:ascii="Arial Narrow" w:hAnsi="Arial Narrow"/>
                      <w:b/>
                      <w:sz w:val="20"/>
                    </w:rPr>
                  </w:pPr>
                  <w:proofErr w:type="spellStart"/>
                  <w:r w:rsidRPr="00600064">
                    <w:rPr>
                      <w:rFonts w:ascii="Arial Narrow" w:hAnsi="Arial Narrow"/>
                      <w:b/>
                      <w:sz w:val="20"/>
                    </w:rPr>
                    <w:t>Qty</w:t>
                  </w:r>
                  <w:proofErr w:type="spellEnd"/>
                </w:p>
              </w:tc>
              <w:tc>
                <w:tcPr>
                  <w:tcW w:w="518" w:type="pct"/>
                  <w:tcBorders>
                    <w:left w:val="nil"/>
                    <w:bottom w:val="single" w:sz="4" w:space="0" w:color="auto"/>
                  </w:tcBorders>
                </w:tcPr>
                <w:p w:rsidR="009C435F" w:rsidRPr="00600064" w:rsidRDefault="009C435F" w:rsidP="00474A74">
                  <w:pPr>
                    <w:jc w:val="left"/>
                    <w:rPr>
                      <w:rFonts w:ascii="Arial Narrow" w:hAnsi="Arial Narrow"/>
                      <w:b/>
                      <w:sz w:val="20"/>
                    </w:rPr>
                  </w:pPr>
                  <w:r w:rsidRPr="00600064">
                    <w:rPr>
                      <w:rFonts w:ascii="Arial Narrow" w:hAnsi="Arial Narrow"/>
                      <w:b/>
                      <w:sz w:val="20"/>
                    </w:rPr>
                    <w:t>№.of</w:t>
                  </w:r>
                </w:p>
                <w:p w:rsidR="009C435F" w:rsidRPr="00600064" w:rsidRDefault="009C435F" w:rsidP="00474A74">
                  <w:pPr>
                    <w:jc w:val="left"/>
                    <w:rPr>
                      <w:rFonts w:ascii="Arial Narrow" w:hAnsi="Arial Narrow"/>
                      <w:b/>
                      <w:sz w:val="20"/>
                    </w:rPr>
                  </w:pPr>
                  <w:proofErr w:type="spellStart"/>
                  <w:r w:rsidRPr="00600064">
                    <w:rPr>
                      <w:rFonts w:ascii="Arial Narrow" w:hAnsi="Arial Narrow"/>
                      <w:b/>
                      <w:sz w:val="20"/>
                    </w:rPr>
                    <w:t>Rpts</w:t>
                  </w:r>
                  <w:proofErr w:type="spellEnd"/>
                </w:p>
              </w:tc>
              <w:tc>
                <w:tcPr>
                  <w:tcW w:w="1292" w:type="pct"/>
                  <w:tcBorders>
                    <w:left w:val="nil"/>
                    <w:bottom w:val="single" w:sz="4" w:space="0" w:color="auto"/>
                  </w:tcBorders>
                </w:tcPr>
                <w:p w:rsidR="009C435F" w:rsidRPr="00600064" w:rsidRDefault="009C435F" w:rsidP="00474A74">
                  <w:pPr>
                    <w:jc w:val="left"/>
                    <w:rPr>
                      <w:rFonts w:ascii="Arial Narrow" w:hAnsi="Arial Narrow"/>
                      <w:b/>
                      <w:sz w:val="20"/>
                    </w:rPr>
                  </w:pPr>
                  <w:r w:rsidRPr="00600064">
                    <w:rPr>
                      <w:rFonts w:ascii="Arial Narrow" w:hAnsi="Arial Narrow"/>
                      <w:b/>
                      <w:sz w:val="20"/>
                    </w:rPr>
                    <w:t>Proprietary Name and Manufacturer</w:t>
                  </w:r>
                </w:p>
              </w:tc>
            </w:tr>
            <w:tr w:rsidR="009C435F" w:rsidRPr="00600064" w:rsidTr="00474A74">
              <w:trPr>
                <w:cantSplit/>
                <w:trHeight w:val="577"/>
              </w:trPr>
              <w:tc>
                <w:tcPr>
                  <w:tcW w:w="2500" w:type="pct"/>
                  <w:tcBorders>
                    <w:top w:val="single" w:sz="4" w:space="0" w:color="auto"/>
                  </w:tcBorders>
                </w:tcPr>
                <w:p w:rsidR="009C435F" w:rsidRPr="00600064" w:rsidRDefault="009C435F" w:rsidP="00474A74">
                  <w:pPr>
                    <w:rPr>
                      <w:rFonts w:ascii="Arial Narrow" w:hAnsi="Arial Narrow"/>
                      <w:sz w:val="20"/>
                    </w:rPr>
                  </w:pPr>
                  <w:r w:rsidRPr="00600064">
                    <w:rPr>
                      <w:rFonts w:ascii="Arial Narrow" w:hAnsi="Arial Narrow"/>
                      <w:sz w:val="20"/>
                    </w:rPr>
                    <w:t>Nivolumab</w:t>
                  </w:r>
                </w:p>
                <w:p w:rsidR="009C435F" w:rsidRPr="00600064" w:rsidRDefault="009C435F" w:rsidP="00474A74">
                  <w:pPr>
                    <w:rPr>
                      <w:rFonts w:ascii="Arial Narrow" w:hAnsi="Arial Narrow"/>
                      <w:sz w:val="20"/>
                    </w:rPr>
                  </w:pPr>
                  <w:r w:rsidRPr="00600064">
                    <w:rPr>
                      <w:rFonts w:ascii="Arial Narrow" w:hAnsi="Arial Narrow"/>
                      <w:sz w:val="20"/>
                    </w:rPr>
                    <w:t>40 mg/4 mL injection 1 x 4 mL vial</w:t>
                  </w:r>
                </w:p>
                <w:p w:rsidR="009C435F" w:rsidRPr="00600064" w:rsidRDefault="009C435F" w:rsidP="00474A74">
                  <w:pPr>
                    <w:rPr>
                      <w:rFonts w:ascii="Arial Narrow" w:hAnsi="Arial Narrow"/>
                      <w:sz w:val="20"/>
                    </w:rPr>
                  </w:pPr>
                </w:p>
                <w:p w:rsidR="009C435F" w:rsidRPr="00600064" w:rsidRDefault="009C435F" w:rsidP="00474A74">
                  <w:pPr>
                    <w:rPr>
                      <w:rFonts w:ascii="Arial Narrow" w:hAnsi="Arial Narrow"/>
                      <w:sz w:val="20"/>
                    </w:rPr>
                  </w:pPr>
                  <w:r w:rsidRPr="00600064">
                    <w:rPr>
                      <w:rFonts w:ascii="Arial Narrow" w:hAnsi="Arial Narrow"/>
                      <w:sz w:val="20"/>
                    </w:rPr>
                    <w:t>100 mg/10 mL injection 1 x 10 mL vial</w:t>
                  </w:r>
                </w:p>
              </w:tc>
              <w:tc>
                <w:tcPr>
                  <w:tcW w:w="690" w:type="pct"/>
                  <w:tcBorders>
                    <w:top w:val="single" w:sz="4" w:space="0" w:color="auto"/>
                    <w:left w:val="nil"/>
                  </w:tcBorders>
                </w:tcPr>
                <w:p w:rsidR="009C435F" w:rsidRPr="00600064" w:rsidRDefault="009C435F" w:rsidP="00474A74">
                  <w:pPr>
                    <w:rPr>
                      <w:rFonts w:ascii="Arial Narrow" w:hAnsi="Arial Narrow"/>
                      <w:sz w:val="20"/>
                    </w:rPr>
                  </w:pPr>
                  <w:r w:rsidRPr="00600064">
                    <w:rPr>
                      <w:rFonts w:ascii="Arial Narrow" w:hAnsi="Arial Narrow"/>
                      <w:sz w:val="20"/>
                    </w:rPr>
                    <w:t>360 mg</w:t>
                  </w:r>
                </w:p>
              </w:tc>
              <w:tc>
                <w:tcPr>
                  <w:tcW w:w="518" w:type="pct"/>
                  <w:tcBorders>
                    <w:top w:val="single" w:sz="4" w:space="0" w:color="auto"/>
                  </w:tcBorders>
                </w:tcPr>
                <w:p w:rsidR="009C435F" w:rsidRPr="00600064" w:rsidRDefault="009C435F" w:rsidP="00474A74">
                  <w:pPr>
                    <w:rPr>
                      <w:rFonts w:ascii="Arial Narrow" w:hAnsi="Arial Narrow"/>
                      <w:sz w:val="20"/>
                    </w:rPr>
                  </w:pPr>
                  <w:r w:rsidRPr="00600064">
                    <w:rPr>
                      <w:rFonts w:ascii="Arial Narrow" w:hAnsi="Arial Narrow"/>
                      <w:sz w:val="20"/>
                    </w:rPr>
                    <w:t>8</w:t>
                  </w:r>
                </w:p>
              </w:tc>
              <w:tc>
                <w:tcPr>
                  <w:tcW w:w="1292" w:type="pct"/>
                  <w:tcBorders>
                    <w:top w:val="single" w:sz="4" w:space="0" w:color="auto"/>
                  </w:tcBorders>
                </w:tcPr>
                <w:p w:rsidR="009C435F" w:rsidRPr="00600064" w:rsidRDefault="009C435F" w:rsidP="00474A74">
                  <w:pPr>
                    <w:rPr>
                      <w:rFonts w:ascii="Arial Narrow" w:hAnsi="Arial Narrow"/>
                      <w:sz w:val="20"/>
                    </w:rPr>
                  </w:pPr>
                  <w:r w:rsidRPr="00600064">
                    <w:rPr>
                      <w:rFonts w:ascii="Arial Narrow" w:hAnsi="Arial Narrow"/>
                      <w:sz w:val="20"/>
                    </w:rPr>
                    <w:t>OPDIVO®</w:t>
                  </w:r>
                </w:p>
                <w:p w:rsidR="009C435F" w:rsidRPr="00600064" w:rsidRDefault="009C435F" w:rsidP="00474A74">
                  <w:pPr>
                    <w:rPr>
                      <w:rFonts w:ascii="Arial Narrow" w:hAnsi="Arial Narrow"/>
                      <w:sz w:val="20"/>
                    </w:rPr>
                  </w:pPr>
                </w:p>
                <w:p w:rsidR="009C435F" w:rsidRPr="00600064" w:rsidRDefault="009C435F" w:rsidP="00474A74">
                  <w:pPr>
                    <w:rPr>
                      <w:rFonts w:ascii="Arial Narrow" w:hAnsi="Arial Narrow"/>
                      <w:sz w:val="20"/>
                    </w:rPr>
                  </w:pPr>
                  <w:r w:rsidRPr="00600064">
                    <w:rPr>
                      <w:rFonts w:ascii="Arial Narrow" w:hAnsi="Arial Narrow"/>
                      <w:sz w:val="20"/>
                    </w:rPr>
                    <w:t>Bristol-Myers Squibb Australia Pty Ltd</w:t>
                  </w:r>
                </w:p>
              </w:tc>
            </w:tr>
          </w:tbl>
          <w:p w:rsidR="009C435F" w:rsidRPr="00600064" w:rsidRDefault="009C435F" w:rsidP="00474A74">
            <w:pPr>
              <w:widowControl/>
              <w:rPr>
                <w:rFonts w:cs="Times New Roman"/>
                <w:snapToGrid/>
                <w:sz w:val="20"/>
                <w:lang w:eastAsia="en-AU"/>
              </w:rPr>
            </w:pPr>
          </w:p>
        </w:tc>
      </w:tr>
      <w:tr w:rsidR="009C435F" w:rsidRPr="00600064" w:rsidTr="00474A74">
        <w:trPr>
          <w:trHeight w:val="36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 xml:space="preserve">Category / Program </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Section 100 - Efficient funding of Chemotherapy</w:t>
            </w:r>
          </w:p>
        </w:tc>
      </w:tr>
      <w:tr w:rsidR="009C435F" w:rsidRPr="00600064" w:rsidTr="0047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snapToGrid w:val="0"/>
              <w:rPr>
                <w:rFonts w:ascii="Arial Narrow" w:hAnsi="Arial Narrow"/>
                <w:b/>
                <w:sz w:val="20"/>
              </w:rPr>
            </w:pPr>
            <w:r w:rsidRPr="00600064">
              <w:rPr>
                <w:rFonts w:ascii="Arial Narrow" w:hAnsi="Arial Narrow"/>
                <w:b/>
                <w:sz w:val="20"/>
              </w:rPr>
              <w:t>Prescriber type:</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rPr>
                <w:rFonts w:ascii="Arial Narrow" w:hAnsi="Arial Narrow"/>
                <w:sz w:val="20"/>
              </w:rPr>
            </w:pPr>
            <w:r w:rsidRPr="00600064">
              <w:rPr>
                <w:rFonts w:ascii="Arial Narrow" w:hAnsi="Arial Narrow"/>
                <w:sz w:val="20"/>
              </w:rPr>
              <w:fldChar w:fldCharType="begin">
                <w:ffData>
                  <w:name w:val="Check1"/>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Dental  </w:t>
            </w:r>
            <w:r w:rsidRPr="00600064">
              <w:rPr>
                <w:rFonts w:ascii="Arial Narrow" w:hAnsi="Arial Narrow"/>
                <w:sz w:val="20"/>
              </w:rPr>
              <w:fldChar w:fldCharType="begin">
                <w:ffData>
                  <w:name w:val="Check5"/>
                  <w:enabled/>
                  <w:calcOnExit w:val="0"/>
                  <w:checkBox>
                    <w:sizeAuto/>
                    <w:default w:val="1"/>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Medical Practitioners  </w:t>
            </w:r>
            <w:r w:rsidRPr="00600064">
              <w:rPr>
                <w:rFonts w:ascii="Arial Narrow" w:hAnsi="Arial Narrow"/>
                <w:sz w:val="20"/>
              </w:rPr>
              <w:fldChar w:fldCharType="begin">
                <w:ffData>
                  <w:name w:val="Check3"/>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Nurse practitioners  </w:t>
            </w:r>
            <w:r w:rsidRPr="00600064">
              <w:rPr>
                <w:rFonts w:ascii="Arial Narrow" w:hAnsi="Arial Narrow"/>
                <w:sz w:val="20"/>
              </w:rPr>
              <w:fldChar w:fldCharType="begin">
                <w:ffData>
                  <w:name w:val=""/>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Optometrists</w:t>
            </w:r>
          </w:p>
          <w:p w:rsidR="009C435F" w:rsidRPr="00600064" w:rsidRDefault="009C435F" w:rsidP="00474A74">
            <w:pPr>
              <w:snapToGrid w:val="0"/>
              <w:ind w:right="17"/>
              <w:rPr>
                <w:rFonts w:ascii="Arial Narrow" w:hAnsi="Arial Narrow"/>
                <w:sz w:val="20"/>
              </w:rPr>
            </w:pPr>
            <w:r w:rsidRPr="00600064">
              <w:rPr>
                <w:rFonts w:ascii="Arial Narrow" w:hAnsi="Arial Narrow"/>
                <w:sz w:val="20"/>
              </w:rPr>
              <w:fldChar w:fldCharType="begin">
                <w:ffData>
                  <w:name w:val="Check5"/>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Midwives</w:t>
            </w:r>
          </w:p>
        </w:tc>
      </w:tr>
      <w:tr w:rsidR="009C435F" w:rsidRPr="00600064" w:rsidTr="00474A74">
        <w:trPr>
          <w:trHeight w:val="36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Prescriber type</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Medical Practitioners</w:t>
            </w:r>
          </w:p>
        </w:tc>
      </w:tr>
      <w:tr w:rsidR="009C435F" w:rsidRPr="00600064" w:rsidTr="00637DAC">
        <w:trPr>
          <w:trHeight w:val="291"/>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Severity:</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t>Stage IV</w:t>
            </w:r>
          </w:p>
        </w:tc>
      </w:tr>
      <w:tr w:rsidR="009C435F" w:rsidRPr="00600064" w:rsidTr="00637DAC">
        <w:trPr>
          <w:trHeight w:val="409"/>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Condition:</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Clear cell variant renal cell carcinoma (RCC)</w:t>
            </w:r>
          </w:p>
        </w:tc>
      </w:tr>
      <w:tr w:rsidR="009C435F" w:rsidRPr="00600064" w:rsidTr="00637DAC">
        <w:trPr>
          <w:trHeight w:val="373"/>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PBS Indication:</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Stage IV clear cell variant renal cell carcinoma (RCC)</w:t>
            </w:r>
          </w:p>
        </w:tc>
      </w:tr>
      <w:tr w:rsidR="009C435F" w:rsidRPr="00600064" w:rsidTr="00474A74">
        <w:trPr>
          <w:trHeight w:val="36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Treatment phase:</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Initial treatment</w:t>
            </w:r>
          </w:p>
        </w:tc>
      </w:tr>
      <w:tr w:rsidR="009C435F" w:rsidRPr="00600064" w:rsidTr="00474A74">
        <w:trPr>
          <w:trHeight w:val="36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Restriction Level / Method:</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1"/>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Restricted benefit</w:t>
            </w: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In Writing</w:t>
            </w: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3"/>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Telephone</w:t>
            </w: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Emergency</w:t>
            </w: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5"/>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Electronic</w:t>
            </w:r>
          </w:p>
          <w:p w:rsidR="009C435F" w:rsidRPr="00600064" w:rsidRDefault="009C435F" w:rsidP="00474A74">
            <w:pPr>
              <w:widowControl/>
              <w:jc w:val="left"/>
              <w:rPr>
                <w:rFonts w:ascii="Arial Narrow" w:hAnsi="Arial Narrow" w:cs="Times New Roman"/>
                <w:snapToGrid/>
                <w:sz w:val="20"/>
                <w:lang w:eastAsia="en-AU"/>
              </w:rPr>
            </w:pPr>
            <w:r w:rsidRPr="00600064">
              <w:rPr>
                <w:rFonts w:ascii="Arial Narrow" w:hAnsi="Arial Narrow" w:cs="Times New Roman"/>
                <w:snapToGrid/>
                <w:sz w:val="20"/>
                <w:lang w:eastAsia="en-AU"/>
              </w:rPr>
              <w:fldChar w:fldCharType="begin">
                <w:ffData>
                  <w:name w:val="Check5"/>
                  <w:enabled/>
                  <w:calcOnExit w:val="0"/>
                  <w:checkBox>
                    <w:sizeAuto/>
                    <w:default w:val="1"/>
                  </w:checkBox>
                </w:ffData>
              </w:fldChar>
            </w:r>
            <w:r w:rsidRPr="00600064">
              <w:rPr>
                <w:rFonts w:ascii="Arial Narrow" w:hAnsi="Arial Narrow" w:cs="Times New Roman"/>
                <w:snapToGrid/>
                <w:sz w:val="20"/>
                <w:lang w:eastAsia="en-AU"/>
              </w:rPr>
              <w:instrText xml:space="preserve"> FORMCHECKBOX </w:instrText>
            </w:r>
            <w:r w:rsidR="00E25D57">
              <w:rPr>
                <w:rFonts w:ascii="Arial Narrow" w:hAnsi="Arial Narrow" w:cs="Times New Roman"/>
                <w:snapToGrid/>
                <w:sz w:val="20"/>
                <w:lang w:eastAsia="en-AU"/>
              </w:rPr>
            </w:r>
            <w:r w:rsidR="00E25D57">
              <w:rPr>
                <w:rFonts w:ascii="Arial Narrow" w:hAnsi="Arial Narrow" w:cs="Times New Roman"/>
                <w:snapToGrid/>
                <w:sz w:val="20"/>
                <w:lang w:eastAsia="en-AU"/>
              </w:rPr>
              <w:fldChar w:fldCharType="separate"/>
            </w:r>
            <w:r w:rsidRPr="00600064">
              <w:rPr>
                <w:rFonts w:ascii="Arial Narrow" w:hAnsi="Arial Narrow" w:cs="Times New Roman"/>
                <w:snapToGrid/>
                <w:sz w:val="20"/>
                <w:lang w:eastAsia="en-AU"/>
              </w:rPr>
              <w:fldChar w:fldCharType="end"/>
            </w:r>
            <w:r w:rsidRPr="00600064">
              <w:rPr>
                <w:rFonts w:ascii="Arial Narrow" w:hAnsi="Arial Narrow" w:cs="Times New Roman"/>
                <w:snapToGrid/>
                <w:sz w:val="20"/>
                <w:lang w:eastAsia="en-AU"/>
              </w:rPr>
              <w:t>S</w:t>
            </w:r>
            <w:r w:rsidRPr="00600064">
              <w:rPr>
                <w:rFonts w:ascii="Arial Narrow" w:hAnsi="Arial Narrow"/>
                <w:snapToGrid/>
                <w:sz w:val="20"/>
                <w:lang w:eastAsia="en-AU"/>
              </w:rPr>
              <w:t>treamlined</w:t>
            </w:r>
          </w:p>
        </w:tc>
      </w:tr>
      <w:tr w:rsidR="009C435F" w:rsidRPr="00600064" w:rsidTr="00637DAC">
        <w:trPr>
          <w:trHeight w:val="370"/>
        </w:trPr>
        <w:tc>
          <w:tcPr>
            <w:tcW w:w="1843"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rPr>
                <w:rFonts w:ascii="Arial Narrow" w:hAnsi="Arial Narrow"/>
                <w:b/>
                <w:snapToGrid/>
                <w:sz w:val="20"/>
                <w:lang w:eastAsia="en-AU"/>
              </w:rPr>
            </w:pPr>
            <w:r w:rsidRPr="00600064">
              <w:rPr>
                <w:rFonts w:ascii="Arial Narrow" w:hAnsi="Arial Narrow"/>
                <w:b/>
                <w:snapToGrid/>
                <w:sz w:val="20"/>
                <w:lang w:eastAsia="en-AU"/>
              </w:rPr>
              <w:t>Clinical criteria:</w:t>
            </w:r>
          </w:p>
        </w:tc>
        <w:tc>
          <w:tcPr>
            <w:tcW w:w="7230" w:type="dxa"/>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The treatment must be the sole PBS-subsidised</w:t>
            </w:r>
            <w:r w:rsidR="00473549">
              <w:rPr>
                <w:rFonts w:ascii="Arial Narrow" w:hAnsi="Arial Narrow"/>
                <w:snapToGrid/>
                <w:sz w:val="20"/>
                <w:lang w:eastAsia="en-AU"/>
              </w:rPr>
              <w:t xml:space="preserve"> treatment</w:t>
            </w:r>
            <w:r w:rsidRPr="00600064">
              <w:rPr>
                <w:rFonts w:ascii="Arial Narrow" w:hAnsi="Arial Narrow"/>
                <w:snapToGrid/>
                <w:sz w:val="20"/>
                <w:lang w:eastAsia="en-AU"/>
              </w:rPr>
              <w:t xml:space="preserve"> for this condition</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Patient must have a WHO performance status of 2 or less</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AND</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Patient must have progressive disease according to the Response Evaluation Criteria in Solid Tumours (RECIST) following first-line treatment with a tyrosine kinase inhibitor</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OR</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Patient must have developed intolerance to a tyrosine kinase inhibitor of a severity necessitating permanent treatment withdrawal</w:t>
            </w:r>
          </w:p>
        </w:tc>
      </w:tr>
      <w:tr w:rsidR="009C435F" w:rsidRPr="00600064" w:rsidTr="00474A74">
        <w:trPr>
          <w:trHeight w:val="670"/>
        </w:trPr>
        <w:tc>
          <w:tcPr>
            <w:tcW w:w="1843" w:type="dxa"/>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b/>
                <w:snapToGrid/>
                <w:sz w:val="20"/>
                <w:lang w:eastAsia="en-AU"/>
              </w:rPr>
              <w:t>Prescriber Instructions</w:t>
            </w:r>
          </w:p>
        </w:tc>
        <w:tc>
          <w:tcPr>
            <w:tcW w:w="7230" w:type="dxa"/>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The patient’s body weight must be documented in the patient’s medical records at the time treatment is initiated.</w:t>
            </w:r>
          </w:p>
        </w:tc>
      </w:tr>
      <w:tr w:rsidR="009C435F" w:rsidRPr="00600064" w:rsidTr="00474A74">
        <w:trPr>
          <w:trHeight w:val="670"/>
        </w:trPr>
        <w:tc>
          <w:tcPr>
            <w:tcW w:w="1843" w:type="dxa"/>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jc w:val="left"/>
              <w:rPr>
                <w:rFonts w:ascii="Arial Narrow" w:hAnsi="Arial Narrow"/>
                <w:b/>
                <w:snapToGrid/>
                <w:sz w:val="20"/>
                <w:lang w:eastAsia="en-AU"/>
              </w:rPr>
            </w:pPr>
            <w:r w:rsidRPr="00600064">
              <w:rPr>
                <w:rFonts w:ascii="Arial Narrow" w:hAnsi="Arial Narrow"/>
                <w:b/>
                <w:snapToGrid/>
                <w:sz w:val="20"/>
                <w:lang w:eastAsia="en-AU"/>
              </w:rPr>
              <w:t>Administrative Advice</w:t>
            </w:r>
          </w:p>
        </w:tc>
        <w:tc>
          <w:tcPr>
            <w:tcW w:w="7230" w:type="dxa"/>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Response Evaluation Criteria In Solid Tumours (RECIST) is defined as follows:</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Complete response (CR) is disappearance of all target lesions.</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Partial response (PR) is a 30% decrease in the sum of the longest diameter of target lesions.</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Progressive disease (PD) is a 20% increase in the sum of the longest diameter of target lesions.</w:t>
            </w:r>
          </w:p>
          <w:p w:rsidR="009C435F" w:rsidRPr="00600064" w:rsidRDefault="009C435F" w:rsidP="00474A74">
            <w:pPr>
              <w:widowControl/>
              <w:jc w:val="left"/>
              <w:rPr>
                <w:rFonts w:ascii="Arial Narrow" w:hAnsi="Arial Narrow"/>
                <w:snapToGrid/>
                <w:sz w:val="20"/>
                <w:lang w:eastAsia="en-AU"/>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lang w:eastAsia="en-AU"/>
              </w:rPr>
              <w:t>Stable disease (SD) is small changes that do not meet above criteria.</w:t>
            </w:r>
          </w:p>
          <w:p w:rsidR="009C435F" w:rsidRPr="00600064" w:rsidRDefault="009C435F" w:rsidP="00474A74">
            <w:pPr>
              <w:widowControl/>
              <w:jc w:val="left"/>
              <w:rPr>
                <w:rFonts w:ascii="Arial Narrow" w:hAnsi="Arial Narrow"/>
                <w:snapToGrid/>
                <w:sz w:val="20"/>
              </w:rPr>
            </w:pPr>
          </w:p>
          <w:p w:rsidR="00510A6C" w:rsidRDefault="00510A6C" w:rsidP="00474A74">
            <w:pPr>
              <w:widowControl/>
              <w:jc w:val="left"/>
              <w:rPr>
                <w:rFonts w:ascii="Arial Narrow" w:hAnsi="Arial Narrow"/>
                <w:snapToGrid/>
                <w:sz w:val="20"/>
              </w:rPr>
            </w:pPr>
            <w:r w:rsidRPr="00600064">
              <w:rPr>
                <w:rFonts w:ascii="Arial Narrow" w:hAnsi="Arial Narrow"/>
                <w:snapToGrid/>
                <w:sz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510A6C" w:rsidRDefault="00510A6C" w:rsidP="00474A74">
            <w:pPr>
              <w:widowControl/>
              <w:jc w:val="left"/>
              <w:rPr>
                <w:rFonts w:ascii="Arial Narrow" w:hAnsi="Arial Narrow"/>
                <w:snapToGrid/>
                <w:sz w:val="20"/>
              </w:rPr>
            </w:pPr>
          </w:p>
          <w:p w:rsidR="009C435F" w:rsidRPr="00600064" w:rsidRDefault="009C435F" w:rsidP="00474A74">
            <w:pPr>
              <w:widowControl/>
              <w:jc w:val="left"/>
              <w:rPr>
                <w:rFonts w:ascii="Arial Narrow" w:hAnsi="Arial Narrow"/>
                <w:snapToGrid/>
                <w:sz w:val="20"/>
              </w:rPr>
            </w:pPr>
            <w:r w:rsidRPr="00600064">
              <w:rPr>
                <w:rFonts w:ascii="Arial Narrow" w:hAnsi="Arial Narrow"/>
                <w:snapToGrid/>
                <w:sz w:val="20"/>
              </w:rPr>
              <w:t>No increase in the maximum number of repeats may be authorised.</w:t>
            </w:r>
          </w:p>
          <w:p w:rsidR="009C435F" w:rsidRPr="00600064" w:rsidRDefault="009C435F" w:rsidP="00474A74">
            <w:pPr>
              <w:widowControl/>
              <w:jc w:val="left"/>
              <w:rPr>
                <w:rFonts w:ascii="Arial Narrow" w:hAnsi="Arial Narrow"/>
                <w:snapToGrid/>
                <w:sz w:val="20"/>
              </w:rPr>
            </w:pPr>
          </w:p>
          <w:p w:rsidR="009C435F" w:rsidRPr="00600064" w:rsidRDefault="009C435F" w:rsidP="00474A74">
            <w:pPr>
              <w:widowControl/>
              <w:jc w:val="left"/>
              <w:rPr>
                <w:rFonts w:ascii="Arial Narrow" w:hAnsi="Arial Narrow"/>
                <w:snapToGrid/>
                <w:sz w:val="20"/>
                <w:lang w:eastAsia="en-AU"/>
              </w:rPr>
            </w:pPr>
            <w:r w:rsidRPr="00600064">
              <w:rPr>
                <w:rFonts w:ascii="Arial Narrow" w:hAnsi="Arial Narrow"/>
                <w:snapToGrid/>
                <w:sz w:val="20"/>
              </w:rPr>
              <w:t>Special Pricing Arrangements apply.</w:t>
            </w:r>
          </w:p>
        </w:tc>
      </w:tr>
    </w:tbl>
    <w:p w:rsidR="00454BFE" w:rsidRDefault="00454BFE" w:rsidP="009C435F">
      <w:pPr>
        <w:keepNext/>
        <w:keepLines/>
        <w:rPr>
          <w:rFonts w:ascii="Arial Narrow" w:hAnsi="Arial Narrow"/>
          <w:b/>
          <w:sz w:val="20"/>
        </w:rPr>
      </w:pPr>
    </w:p>
    <w:p w:rsidR="00E25D57" w:rsidRDefault="00E25D57">
      <w:pPr>
        <w:widowControl/>
        <w:jc w:val="left"/>
        <w:rPr>
          <w:rFonts w:ascii="Arial Narrow" w:hAnsi="Arial Narrow"/>
          <w:b/>
          <w:sz w:val="20"/>
        </w:rPr>
      </w:pPr>
      <w:r>
        <w:rPr>
          <w:rFonts w:ascii="Arial Narrow" w:hAnsi="Arial Narrow"/>
          <w:b/>
          <w:sz w:val="20"/>
        </w:rPr>
        <w:br w:type="page"/>
      </w:r>
    </w:p>
    <w:p w:rsidR="009C435F" w:rsidRPr="00600064" w:rsidRDefault="009C435F" w:rsidP="009C435F">
      <w:pPr>
        <w:keepNext/>
        <w:keepLines/>
        <w:rPr>
          <w:rFonts w:ascii="Arial Narrow" w:hAnsi="Arial Narrow"/>
          <w:b/>
          <w:sz w:val="20"/>
        </w:rPr>
      </w:pPr>
      <w:r w:rsidRPr="00600064">
        <w:rPr>
          <w:rFonts w:ascii="Arial Narrow" w:hAnsi="Arial Narrow"/>
          <w:b/>
          <w:sz w:val="20"/>
        </w:rPr>
        <w:t>PBS listing for continuing treatment</w:t>
      </w:r>
    </w:p>
    <w:tbl>
      <w:tblPr>
        <w:tblW w:w="5000" w:type="pct"/>
        <w:tblLook w:val="0000" w:firstRow="0" w:lastRow="0" w:firstColumn="0" w:lastColumn="0" w:noHBand="0" w:noVBand="0"/>
      </w:tblPr>
      <w:tblGrid>
        <w:gridCol w:w="1950"/>
        <w:gridCol w:w="7293"/>
      </w:tblGrid>
      <w:tr w:rsidR="009C435F" w:rsidRPr="00600064" w:rsidTr="00474A74">
        <w:trPr>
          <w:cantSplit/>
          <w:trHeight w:val="267"/>
        </w:trPr>
        <w:tc>
          <w:tcPr>
            <w:tcW w:w="5000" w:type="pct"/>
            <w:gridSpan w:val="2"/>
            <w:tcBorders>
              <w:bottom w:val="single" w:sz="4" w:space="0" w:color="auto"/>
            </w:tcBorders>
          </w:tcPr>
          <w:p w:rsidR="009C435F" w:rsidRPr="00600064" w:rsidRDefault="009C435F" w:rsidP="00474A74">
            <w:pPr>
              <w:widowControl/>
              <w:contextualSpacing/>
              <w:rPr>
                <w:rFonts w:cs="Times New Roman"/>
                <w:snapToGrid/>
                <w:sz w:val="20"/>
                <w:lang w:eastAsia="en-AU"/>
              </w:rPr>
            </w:pPr>
          </w:p>
          <w:tbl>
            <w:tblPr>
              <w:tblW w:w="5000" w:type="pct"/>
              <w:tblLook w:val="0000" w:firstRow="0" w:lastRow="0" w:firstColumn="0" w:lastColumn="0" w:noHBand="0" w:noVBand="0"/>
            </w:tblPr>
            <w:tblGrid>
              <w:gridCol w:w="4513"/>
              <w:gridCol w:w="1246"/>
              <w:gridCol w:w="935"/>
              <w:gridCol w:w="2333"/>
            </w:tblGrid>
            <w:tr w:rsidR="009C435F" w:rsidRPr="00600064" w:rsidTr="00474A74">
              <w:trPr>
                <w:cantSplit/>
                <w:trHeight w:val="567"/>
              </w:trPr>
              <w:tc>
                <w:tcPr>
                  <w:tcW w:w="2500" w:type="pct"/>
                  <w:tcBorders>
                    <w:bottom w:val="single" w:sz="4" w:space="0" w:color="auto"/>
                  </w:tcBorders>
                </w:tcPr>
                <w:p w:rsidR="009C435F" w:rsidRPr="00600064" w:rsidRDefault="009C435F" w:rsidP="00474A74">
                  <w:pPr>
                    <w:contextualSpacing/>
                    <w:jc w:val="left"/>
                    <w:rPr>
                      <w:rFonts w:ascii="Arial Narrow" w:hAnsi="Arial Narrow"/>
                      <w:b/>
                      <w:sz w:val="20"/>
                    </w:rPr>
                  </w:pPr>
                  <w:r w:rsidRPr="00600064">
                    <w:rPr>
                      <w:rFonts w:ascii="Arial Narrow" w:hAnsi="Arial Narrow"/>
                      <w:b/>
                      <w:sz w:val="20"/>
                    </w:rPr>
                    <w:t>Name, Restriction,</w:t>
                  </w:r>
                </w:p>
                <w:p w:rsidR="009C435F" w:rsidRPr="00600064" w:rsidRDefault="009C435F" w:rsidP="00474A74">
                  <w:pPr>
                    <w:contextualSpacing/>
                    <w:jc w:val="left"/>
                    <w:rPr>
                      <w:rFonts w:ascii="Arial Narrow" w:hAnsi="Arial Narrow"/>
                      <w:b/>
                      <w:sz w:val="20"/>
                    </w:rPr>
                  </w:pPr>
                  <w:r w:rsidRPr="00600064">
                    <w:rPr>
                      <w:rFonts w:ascii="Arial Narrow" w:hAnsi="Arial Narrow"/>
                      <w:b/>
                      <w:sz w:val="20"/>
                    </w:rPr>
                    <w:t>Manner of administration and form</w:t>
                  </w:r>
                </w:p>
              </w:tc>
              <w:tc>
                <w:tcPr>
                  <w:tcW w:w="690" w:type="pct"/>
                  <w:tcBorders>
                    <w:left w:val="nil"/>
                    <w:bottom w:val="single" w:sz="4" w:space="0" w:color="auto"/>
                  </w:tcBorders>
                </w:tcPr>
                <w:p w:rsidR="009C435F" w:rsidRPr="00600064" w:rsidRDefault="009C435F" w:rsidP="00474A74">
                  <w:pPr>
                    <w:contextualSpacing/>
                    <w:jc w:val="left"/>
                    <w:rPr>
                      <w:rFonts w:ascii="Arial Narrow" w:hAnsi="Arial Narrow"/>
                      <w:b/>
                      <w:sz w:val="20"/>
                    </w:rPr>
                  </w:pPr>
                  <w:r w:rsidRPr="00600064">
                    <w:rPr>
                      <w:rFonts w:ascii="Arial Narrow" w:hAnsi="Arial Narrow"/>
                      <w:b/>
                      <w:sz w:val="20"/>
                    </w:rPr>
                    <w:t>Max.</w:t>
                  </w:r>
                </w:p>
                <w:p w:rsidR="009C435F" w:rsidRPr="00600064" w:rsidRDefault="009C435F" w:rsidP="00474A74">
                  <w:pPr>
                    <w:contextualSpacing/>
                    <w:jc w:val="left"/>
                    <w:rPr>
                      <w:rFonts w:ascii="Arial Narrow" w:hAnsi="Arial Narrow"/>
                      <w:b/>
                      <w:sz w:val="20"/>
                    </w:rPr>
                  </w:pPr>
                  <w:proofErr w:type="spellStart"/>
                  <w:r w:rsidRPr="00600064">
                    <w:rPr>
                      <w:rFonts w:ascii="Arial Narrow" w:hAnsi="Arial Narrow"/>
                      <w:b/>
                      <w:sz w:val="20"/>
                    </w:rPr>
                    <w:t>Qty</w:t>
                  </w:r>
                  <w:proofErr w:type="spellEnd"/>
                </w:p>
              </w:tc>
              <w:tc>
                <w:tcPr>
                  <w:tcW w:w="518" w:type="pct"/>
                  <w:tcBorders>
                    <w:left w:val="nil"/>
                    <w:bottom w:val="single" w:sz="4" w:space="0" w:color="auto"/>
                  </w:tcBorders>
                </w:tcPr>
                <w:p w:rsidR="009C435F" w:rsidRPr="00600064" w:rsidRDefault="009C435F" w:rsidP="00474A74">
                  <w:pPr>
                    <w:contextualSpacing/>
                    <w:jc w:val="left"/>
                    <w:rPr>
                      <w:rFonts w:ascii="Arial Narrow" w:hAnsi="Arial Narrow"/>
                      <w:b/>
                      <w:sz w:val="20"/>
                    </w:rPr>
                  </w:pPr>
                  <w:r w:rsidRPr="00600064">
                    <w:rPr>
                      <w:rFonts w:ascii="Arial Narrow" w:hAnsi="Arial Narrow"/>
                      <w:b/>
                      <w:sz w:val="20"/>
                    </w:rPr>
                    <w:t>№.of</w:t>
                  </w:r>
                </w:p>
                <w:p w:rsidR="009C435F" w:rsidRPr="00600064" w:rsidRDefault="009C435F" w:rsidP="00474A74">
                  <w:pPr>
                    <w:contextualSpacing/>
                    <w:jc w:val="left"/>
                    <w:rPr>
                      <w:rFonts w:ascii="Arial Narrow" w:hAnsi="Arial Narrow"/>
                      <w:b/>
                      <w:sz w:val="20"/>
                    </w:rPr>
                  </w:pPr>
                  <w:proofErr w:type="spellStart"/>
                  <w:r w:rsidRPr="00600064">
                    <w:rPr>
                      <w:rFonts w:ascii="Arial Narrow" w:hAnsi="Arial Narrow"/>
                      <w:b/>
                      <w:sz w:val="20"/>
                    </w:rPr>
                    <w:t>Rpts</w:t>
                  </w:r>
                  <w:proofErr w:type="spellEnd"/>
                </w:p>
              </w:tc>
              <w:tc>
                <w:tcPr>
                  <w:tcW w:w="1292" w:type="pct"/>
                  <w:tcBorders>
                    <w:left w:val="nil"/>
                    <w:bottom w:val="single" w:sz="4" w:space="0" w:color="auto"/>
                  </w:tcBorders>
                </w:tcPr>
                <w:p w:rsidR="009C435F" w:rsidRPr="00600064" w:rsidRDefault="009C435F" w:rsidP="00474A74">
                  <w:pPr>
                    <w:contextualSpacing/>
                    <w:jc w:val="left"/>
                    <w:rPr>
                      <w:rFonts w:ascii="Arial Narrow" w:hAnsi="Arial Narrow"/>
                      <w:b/>
                      <w:sz w:val="20"/>
                    </w:rPr>
                  </w:pPr>
                  <w:r w:rsidRPr="00600064">
                    <w:rPr>
                      <w:rFonts w:ascii="Arial Narrow" w:hAnsi="Arial Narrow"/>
                      <w:b/>
                      <w:sz w:val="20"/>
                    </w:rPr>
                    <w:t>Proprietary Name and Manufacturer</w:t>
                  </w:r>
                </w:p>
              </w:tc>
            </w:tr>
            <w:tr w:rsidR="009C435F" w:rsidRPr="00600064" w:rsidTr="00474A74">
              <w:trPr>
                <w:cantSplit/>
                <w:trHeight w:val="577"/>
              </w:trPr>
              <w:tc>
                <w:tcPr>
                  <w:tcW w:w="2500" w:type="pct"/>
                  <w:tcBorders>
                    <w:top w:val="single" w:sz="4" w:space="0" w:color="auto"/>
                  </w:tcBorders>
                </w:tcPr>
                <w:p w:rsidR="009C435F" w:rsidRPr="00600064" w:rsidRDefault="009C435F" w:rsidP="00474A74">
                  <w:pPr>
                    <w:contextualSpacing/>
                    <w:rPr>
                      <w:rFonts w:ascii="Arial Narrow" w:hAnsi="Arial Narrow"/>
                      <w:sz w:val="20"/>
                    </w:rPr>
                  </w:pPr>
                  <w:r w:rsidRPr="00600064">
                    <w:rPr>
                      <w:rFonts w:ascii="Arial Narrow" w:hAnsi="Arial Narrow"/>
                      <w:sz w:val="20"/>
                    </w:rPr>
                    <w:t>Nivolumab</w:t>
                  </w:r>
                </w:p>
                <w:p w:rsidR="009C435F" w:rsidRPr="00600064" w:rsidRDefault="009C435F" w:rsidP="00474A74">
                  <w:pPr>
                    <w:contextualSpacing/>
                    <w:rPr>
                      <w:rFonts w:ascii="Arial Narrow" w:hAnsi="Arial Narrow"/>
                      <w:sz w:val="20"/>
                    </w:rPr>
                  </w:pPr>
                  <w:r w:rsidRPr="00600064">
                    <w:rPr>
                      <w:rFonts w:ascii="Arial Narrow" w:hAnsi="Arial Narrow"/>
                      <w:sz w:val="20"/>
                    </w:rPr>
                    <w:t>40 mg/4 mL injection 1 x 4 mL vial</w:t>
                  </w:r>
                </w:p>
                <w:p w:rsidR="009C435F" w:rsidRPr="00600064" w:rsidRDefault="009C435F" w:rsidP="00474A74">
                  <w:pPr>
                    <w:contextualSpacing/>
                    <w:rPr>
                      <w:rFonts w:ascii="Arial Narrow" w:hAnsi="Arial Narrow"/>
                      <w:sz w:val="20"/>
                    </w:rPr>
                  </w:pPr>
                </w:p>
                <w:p w:rsidR="009C435F" w:rsidRPr="00600064" w:rsidRDefault="009C435F" w:rsidP="00474A74">
                  <w:pPr>
                    <w:contextualSpacing/>
                    <w:rPr>
                      <w:rFonts w:ascii="Arial Narrow" w:hAnsi="Arial Narrow"/>
                      <w:sz w:val="20"/>
                    </w:rPr>
                  </w:pPr>
                  <w:r w:rsidRPr="00600064">
                    <w:rPr>
                      <w:rFonts w:ascii="Arial Narrow" w:hAnsi="Arial Narrow"/>
                      <w:sz w:val="20"/>
                    </w:rPr>
                    <w:t>100 mg/10 mL injection 1 x 10 mL vial</w:t>
                  </w:r>
                </w:p>
              </w:tc>
              <w:tc>
                <w:tcPr>
                  <w:tcW w:w="690" w:type="pct"/>
                  <w:tcBorders>
                    <w:top w:val="single" w:sz="4" w:space="0" w:color="auto"/>
                    <w:left w:val="nil"/>
                  </w:tcBorders>
                </w:tcPr>
                <w:p w:rsidR="009C435F" w:rsidRPr="00600064" w:rsidRDefault="009C435F" w:rsidP="00474A74">
                  <w:pPr>
                    <w:contextualSpacing/>
                    <w:rPr>
                      <w:rFonts w:ascii="Arial Narrow" w:hAnsi="Arial Narrow"/>
                      <w:sz w:val="20"/>
                    </w:rPr>
                  </w:pPr>
                  <w:r w:rsidRPr="00600064">
                    <w:rPr>
                      <w:rFonts w:ascii="Arial Narrow" w:hAnsi="Arial Narrow"/>
                      <w:sz w:val="20"/>
                    </w:rPr>
                    <w:t>360 mg</w:t>
                  </w:r>
                </w:p>
              </w:tc>
              <w:tc>
                <w:tcPr>
                  <w:tcW w:w="518" w:type="pct"/>
                  <w:tcBorders>
                    <w:top w:val="single" w:sz="4" w:space="0" w:color="auto"/>
                  </w:tcBorders>
                </w:tcPr>
                <w:p w:rsidR="009C435F" w:rsidRPr="00600064" w:rsidRDefault="009C435F" w:rsidP="00474A74">
                  <w:pPr>
                    <w:contextualSpacing/>
                    <w:rPr>
                      <w:rFonts w:ascii="Arial Narrow" w:hAnsi="Arial Narrow"/>
                      <w:sz w:val="20"/>
                    </w:rPr>
                  </w:pPr>
                  <w:r w:rsidRPr="00600064">
                    <w:rPr>
                      <w:rFonts w:ascii="Arial Narrow" w:hAnsi="Arial Narrow"/>
                      <w:sz w:val="20"/>
                    </w:rPr>
                    <w:t>11</w:t>
                  </w:r>
                </w:p>
              </w:tc>
              <w:tc>
                <w:tcPr>
                  <w:tcW w:w="1292" w:type="pct"/>
                  <w:tcBorders>
                    <w:top w:val="single" w:sz="4" w:space="0" w:color="auto"/>
                  </w:tcBorders>
                </w:tcPr>
                <w:p w:rsidR="009C435F" w:rsidRPr="00600064" w:rsidRDefault="009C435F" w:rsidP="00474A74">
                  <w:pPr>
                    <w:contextualSpacing/>
                    <w:rPr>
                      <w:rFonts w:ascii="Arial Narrow" w:hAnsi="Arial Narrow"/>
                      <w:sz w:val="20"/>
                    </w:rPr>
                  </w:pPr>
                  <w:r w:rsidRPr="00600064">
                    <w:rPr>
                      <w:rFonts w:ascii="Arial Narrow" w:hAnsi="Arial Narrow"/>
                      <w:sz w:val="20"/>
                    </w:rPr>
                    <w:t>OPDIVO®</w:t>
                  </w:r>
                </w:p>
                <w:p w:rsidR="009C435F" w:rsidRPr="00600064" w:rsidRDefault="009C435F" w:rsidP="00474A74">
                  <w:pPr>
                    <w:contextualSpacing/>
                    <w:rPr>
                      <w:rFonts w:ascii="Arial Narrow" w:hAnsi="Arial Narrow"/>
                      <w:sz w:val="20"/>
                    </w:rPr>
                  </w:pPr>
                </w:p>
                <w:p w:rsidR="009C435F" w:rsidRPr="00600064" w:rsidRDefault="009C435F" w:rsidP="00474A74">
                  <w:pPr>
                    <w:contextualSpacing/>
                    <w:rPr>
                      <w:rFonts w:ascii="Arial Narrow" w:hAnsi="Arial Narrow"/>
                      <w:sz w:val="20"/>
                    </w:rPr>
                  </w:pPr>
                  <w:r w:rsidRPr="00600064">
                    <w:rPr>
                      <w:rFonts w:ascii="Arial Narrow" w:hAnsi="Arial Narrow"/>
                      <w:sz w:val="20"/>
                    </w:rPr>
                    <w:t>Bristol-Myers Squibb Australia Pty Ltd</w:t>
                  </w:r>
                </w:p>
              </w:tc>
            </w:tr>
          </w:tbl>
          <w:p w:rsidR="009C435F" w:rsidRPr="00600064" w:rsidRDefault="009C435F" w:rsidP="00474A74">
            <w:pPr>
              <w:widowControl/>
              <w:contextualSpacing/>
              <w:rPr>
                <w:rFonts w:cs="Times New Roman"/>
                <w:snapToGrid/>
                <w:sz w:val="20"/>
                <w:lang w:eastAsia="en-AU"/>
              </w:rPr>
            </w:pPr>
          </w:p>
        </w:tc>
      </w:tr>
      <w:tr w:rsidR="009C435F" w:rsidRPr="00600064" w:rsidTr="00474A74">
        <w:trPr>
          <w:cantSplit/>
          <w:trHeight w:val="360"/>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 xml:space="preserve">Category / Program </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Section 100 - Efficient funding of Chemotherapy</w:t>
            </w:r>
          </w:p>
        </w:tc>
      </w:tr>
      <w:tr w:rsidR="009C435F" w:rsidRPr="00600064" w:rsidTr="0047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Ex>
        <w:trPr>
          <w:trHeight w:val="20"/>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snapToGrid w:val="0"/>
              <w:contextualSpacing/>
              <w:rPr>
                <w:rFonts w:ascii="Arial Narrow" w:hAnsi="Arial Narrow"/>
                <w:b/>
                <w:sz w:val="20"/>
              </w:rPr>
            </w:pPr>
            <w:r w:rsidRPr="00600064">
              <w:rPr>
                <w:rFonts w:ascii="Arial Narrow" w:hAnsi="Arial Narrow"/>
                <w:b/>
                <w:sz w:val="20"/>
              </w:rPr>
              <w:t>Prescriber type:</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contextualSpacing/>
              <w:rPr>
                <w:rFonts w:ascii="Arial Narrow" w:hAnsi="Arial Narrow"/>
                <w:sz w:val="20"/>
              </w:rPr>
            </w:pPr>
            <w:r w:rsidRPr="00600064">
              <w:rPr>
                <w:rFonts w:ascii="Arial Narrow" w:hAnsi="Arial Narrow"/>
                <w:sz w:val="20"/>
              </w:rPr>
              <w:fldChar w:fldCharType="begin">
                <w:ffData>
                  <w:name w:val="Check1"/>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Dental  </w:t>
            </w:r>
            <w:r w:rsidRPr="00600064">
              <w:rPr>
                <w:rFonts w:ascii="Arial Narrow" w:hAnsi="Arial Narrow"/>
                <w:sz w:val="20"/>
              </w:rPr>
              <w:fldChar w:fldCharType="begin">
                <w:ffData>
                  <w:name w:val="Check5"/>
                  <w:enabled/>
                  <w:calcOnExit w:val="0"/>
                  <w:checkBox>
                    <w:sizeAuto/>
                    <w:default w:val="1"/>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Medical Practitioners  </w:t>
            </w:r>
            <w:r w:rsidRPr="00600064">
              <w:rPr>
                <w:rFonts w:ascii="Arial Narrow" w:hAnsi="Arial Narrow"/>
                <w:sz w:val="20"/>
              </w:rPr>
              <w:fldChar w:fldCharType="begin">
                <w:ffData>
                  <w:name w:val="Check3"/>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 xml:space="preserve">Nurse practitioners  </w:t>
            </w:r>
            <w:r w:rsidRPr="00600064">
              <w:rPr>
                <w:rFonts w:ascii="Arial Narrow" w:hAnsi="Arial Narrow"/>
                <w:sz w:val="20"/>
              </w:rPr>
              <w:fldChar w:fldCharType="begin">
                <w:ffData>
                  <w:name w:val=""/>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Optometrists</w:t>
            </w:r>
          </w:p>
          <w:p w:rsidR="009C435F" w:rsidRPr="00600064" w:rsidRDefault="009C435F" w:rsidP="00474A74">
            <w:pPr>
              <w:snapToGrid w:val="0"/>
              <w:ind w:right="17"/>
              <w:contextualSpacing/>
              <w:rPr>
                <w:rFonts w:ascii="Arial Narrow" w:hAnsi="Arial Narrow"/>
                <w:sz w:val="20"/>
              </w:rPr>
            </w:pPr>
            <w:r w:rsidRPr="00600064">
              <w:rPr>
                <w:rFonts w:ascii="Arial Narrow" w:hAnsi="Arial Narrow"/>
                <w:sz w:val="20"/>
              </w:rPr>
              <w:fldChar w:fldCharType="begin">
                <w:ffData>
                  <w:name w:val="Check5"/>
                  <w:enabled/>
                  <w:calcOnExit w:val="0"/>
                  <w:checkBox>
                    <w:sizeAuto/>
                    <w:default w:val="0"/>
                  </w:checkBox>
                </w:ffData>
              </w:fldChar>
            </w:r>
            <w:r w:rsidRPr="00600064">
              <w:rPr>
                <w:rFonts w:ascii="Arial Narrow" w:hAnsi="Arial Narrow"/>
                <w:sz w:val="20"/>
              </w:rPr>
              <w:instrText xml:space="preserve"> FORMCHECKBOX </w:instrText>
            </w:r>
            <w:r w:rsidR="00E25D57">
              <w:rPr>
                <w:rFonts w:ascii="Arial Narrow" w:hAnsi="Arial Narrow"/>
                <w:sz w:val="20"/>
              </w:rPr>
            </w:r>
            <w:r w:rsidR="00E25D57">
              <w:rPr>
                <w:rFonts w:ascii="Arial Narrow" w:hAnsi="Arial Narrow"/>
                <w:sz w:val="20"/>
              </w:rPr>
              <w:fldChar w:fldCharType="separate"/>
            </w:r>
            <w:r w:rsidRPr="00600064">
              <w:rPr>
                <w:rFonts w:ascii="Arial Narrow" w:hAnsi="Arial Narrow"/>
                <w:sz w:val="20"/>
              </w:rPr>
              <w:fldChar w:fldCharType="end"/>
            </w:r>
            <w:r w:rsidRPr="00600064">
              <w:rPr>
                <w:rFonts w:ascii="Arial Narrow" w:hAnsi="Arial Narrow"/>
                <w:sz w:val="20"/>
              </w:rPr>
              <w:t>Midwives</w:t>
            </w:r>
          </w:p>
        </w:tc>
      </w:tr>
      <w:tr w:rsidR="009C435F" w:rsidRPr="00600064" w:rsidTr="00474A74">
        <w:trPr>
          <w:cantSplit/>
          <w:trHeight w:val="360"/>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Prescriber type</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Medical Practitioners</w:t>
            </w:r>
          </w:p>
        </w:tc>
      </w:tr>
      <w:tr w:rsidR="009C435F" w:rsidRPr="00600064" w:rsidTr="00637DAC">
        <w:trPr>
          <w:cantSplit/>
          <w:trHeight w:val="333"/>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Severity:</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t>Stage IV</w:t>
            </w:r>
          </w:p>
        </w:tc>
      </w:tr>
      <w:tr w:rsidR="009C435F" w:rsidRPr="00600064" w:rsidTr="00637DAC">
        <w:trPr>
          <w:cantSplit/>
          <w:trHeight w:val="423"/>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Condition:</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Clear cell variant renal cell carcinoma (RCC)</w:t>
            </w:r>
          </w:p>
        </w:tc>
      </w:tr>
      <w:tr w:rsidR="009C435F" w:rsidRPr="00600064" w:rsidTr="00637DAC">
        <w:trPr>
          <w:cantSplit/>
          <w:trHeight w:val="414"/>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PBS Indication:</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Stage IV clear cell variant renal cell carcinoma (RCC)</w:t>
            </w:r>
          </w:p>
        </w:tc>
      </w:tr>
      <w:tr w:rsidR="009C435F" w:rsidRPr="00600064" w:rsidTr="00474A74">
        <w:trPr>
          <w:cantSplit/>
          <w:trHeight w:val="360"/>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Treatment phase:</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Continuing treatment</w:t>
            </w:r>
          </w:p>
        </w:tc>
      </w:tr>
      <w:tr w:rsidR="009C435F" w:rsidRPr="00600064" w:rsidTr="00474A74">
        <w:trPr>
          <w:cantSplit/>
          <w:trHeight w:val="360"/>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Restriction Level / Method:</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1"/>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Restricted benefit</w:t>
            </w: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In Writing</w:t>
            </w: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3"/>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Telephone</w:t>
            </w: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Emergency</w:t>
            </w: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fldChar w:fldCharType="begin">
                <w:ffData>
                  <w:name w:val="Check5"/>
                  <w:enabled/>
                  <w:calcOnExit w:val="0"/>
                  <w:checkBox>
                    <w:sizeAuto/>
                    <w:default w:val="0"/>
                  </w:checkBox>
                </w:ffData>
              </w:fldChar>
            </w:r>
            <w:r w:rsidRPr="00600064">
              <w:rPr>
                <w:rFonts w:ascii="Arial Narrow" w:hAnsi="Arial Narrow"/>
                <w:snapToGrid/>
                <w:sz w:val="20"/>
                <w:lang w:eastAsia="en-AU"/>
              </w:rPr>
              <w:instrText xml:space="preserve"> FORMCHECKBOX </w:instrText>
            </w:r>
            <w:r w:rsidR="00E25D57">
              <w:rPr>
                <w:rFonts w:ascii="Arial Narrow" w:hAnsi="Arial Narrow"/>
                <w:snapToGrid/>
                <w:sz w:val="20"/>
                <w:lang w:eastAsia="en-AU"/>
              </w:rPr>
            </w:r>
            <w:r w:rsidR="00E25D57">
              <w:rPr>
                <w:rFonts w:ascii="Arial Narrow" w:hAnsi="Arial Narrow"/>
                <w:snapToGrid/>
                <w:sz w:val="20"/>
                <w:lang w:eastAsia="en-AU"/>
              </w:rPr>
              <w:fldChar w:fldCharType="separate"/>
            </w:r>
            <w:r w:rsidRPr="00600064">
              <w:rPr>
                <w:rFonts w:ascii="Arial Narrow" w:hAnsi="Arial Narrow"/>
                <w:snapToGrid/>
                <w:sz w:val="20"/>
                <w:lang w:eastAsia="en-AU"/>
              </w:rPr>
              <w:fldChar w:fldCharType="end"/>
            </w:r>
            <w:r w:rsidRPr="00600064">
              <w:rPr>
                <w:rFonts w:ascii="Arial Narrow" w:hAnsi="Arial Narrow"/>
                <w:snapToGrid/>
                <w:sz w:val="20"/>
                <w:lang w:eastAsia="en-AU"/>
              </w:rPr>
              <w:t>Authority Required - Electronic</w:t>
            </w:r>
          </w:p>
          <w:p w:rsidR="009C435F" w:rsidRPr="00600064" w:rsidRDefault="009C435F" w:rsidP="00474A74">
            <w:pPr>
              <w:widowControl/>
              <w:contextualSpacing/>
              <w:jc w:val="left"/>
              <w:rPr>
                <w:rFonts w:ascii="Arial Narrow" w:hAnsi="Arial Narrow" w:cs="Times New Roman"/>
                <w:snapToGrid/>
                <w:sz w:val="20"/>
                <w:szCs w:val="24"/>
                <w:lang w:eastAsia="en-AU"/>
              </w:rPr>
            </w:pPr>
            <w:r w:rsidRPr="00600064">
              <w:rPr>
                <w:rFonts w:ascii="Arial Narrow" w:hAnsi="Arial Narrow" w:cs="Times New Roman"/>
                <w:snapToGrid/>
                <w:sz w:val="20"/>
                <w:szCs w:val="24"/>
                <w:lang w:eastAsia="en-AU"/>
              </w:rPr>
              <w:fldChar w:fldCharType="begin">
                <w:ffData>
                  <w:name w:val="Check5"/>
                  <w:enabled/>
                  <w:calcOnExit w:val="0"/>
                  <w:checkBox>
                    <w:sizeAuto/>
                    <w:default w:val="1"/>
                  </w:checkBox>
                </w:ffData>
              </w:fldChar>
            </w:r>
            <w:r w:rsidRPr="00600064">
              <w:rPr>
                <w:rFonts w:ascii="Arial Narrow" w:hAnsi="Arial Narrow" w:cs="Times New Roman"/>
                <w:snapToGrid/>
                <w:sz w:val="20"/>
                <w:szCs w:val="24"/>
                <w:lang w:eastAsia="en-AU"/>
              </w:rPr>
              <w:instrText xml:space="preserve"> FORMCHECKBOX </w:instrText>
            </w:r>
            <w:r w:rsidR="00E25D57">
              <w:rPr>
                <w:rFonts w:ascii="Arial Narrow" w:hAnsi="Arial Narrow" w:cs="Times New Roman"/>
                <w:snapToGrid/>
                <w:sz w:val="20"/>
                <w:szCs w:val="24"/>
                <w:lang w:eastAsia="en-AU"/>
              </w:rPr>
            </w:r>
            <w:r w:rsidR="00E25D57">
              <w:rPr>
                <w:rFonts w:ascii="Arial Narrow" w:hAnsi="Arial Narrow" w:cs="Times New Roman"/>
                <w:snapToGrid/>
                <w:sz w:val="20"/>
                <w:szCs w:val="24"/>
                <w:lang w:eastAsia="en-AU"/>
              </w:rPr>
              <w:fldChar w:fldCharType="separate"/>
            </w:r>
            <w:r w:rsidRPr="00600064">
              <w:rPr>
                <w:rFonts w:ascii="Arial Narrow" w:hAnsi="Arial Narrow" w:cs="Times New Roman"/>
                <w:snapToGrid/>
                <w:sz w:val="20"/>
                <w:szCs w:val="24"/>
                <w:lang w:eastAsia="en-AU"/>
              </w:rPr>
              <w:fldChar w:fldCharType="end"/>
            </w:r>
            <w:r w:rsidRPr="00600064">
              <w:rPr>
                <w:rFonts w:ascii="Arial Narrow" w:hAnsi="Arial Narrow" w:cs="Times New Roman"/>
                <w:snapToGrid/>
                <w:sz w:val="20"/>
                <w:szCs w:val="24"/>
                <w:lang w:eastAsia="en-AU"/>
              </w:rPr>
              <w:t>S</w:t>
            </w:r>
            <w:r w:rsidRPr="00600064">
              <w:rPr>
                <w:rFonts w:ascii="Arial Narrow" w:hAnsi="Arial Narrow"/>
                <w:snapToGrid/>
                <w:sz w:val="20"/>
                <w:lang w:eastAsia="en-AU"/>
              </w:rPr>
              <w:t>treamlined</w:t>
            </w:r>
          </w:p>
        </w:tc>
      </w:tr>
      <w:tr w:rsidR="009C435F" w:rsidRPr="00600064" w:rsidTr="00637DAC">
        <w:trPr>
          <w:cantSplit/>
          <w:trHeight w:val="2354"/>
        </w:trPr>
        <w:tc>
          <w:tcPr>
            <w:tcW w:w="105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rPr>
                <w:rFonts w:ascii="Arial Narrow" w:hAnsi="Arial Narrow"/>
                <w:b/>
                <w:snapToGrid/>
                <w:sz w:val="20"/>
                <w:lang w:eastAsia="en-AU"/>
              </w:rPr>
            </w:pPr>
            <w:r w:rsidRPr="00600064">
              <w:rPr>
                <w:rFonts w:ascii="Arial Narrow" w:hAnsi="Arial Narrow"/>
                <w:b/>
                <w:snapToGrid/>
                <w:sz w:val="20"/>
                <w:lang w:eastAsia="en-AU"/>
              </w:rPr>
              <w:t>Clinical criteria:</w:t>
            </w:r>
          </w:p>
        </w:tc>
        <w:tc>
          <w:tcPr>
            <w:tcW w:w="3945" w:type="pct"/>
            <w:tcBorders>
              <w:top w:val="single" w:sz="4" w:space="0" w:color="auto"/>
              <w:left w:val="single" w:sz="4" w:space="0" w:color="auto"/>
              <w:bottom w:val="single" w:sz="4" w:space="0" w:color="auto"/>
              <w:right w:val="single" w:sz="4" w:space="0" w:color="auto"/>
            </w:tcBorders>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Patient must have previously</w:t>
            </w:r>
            <w:r w:rsidR="00343703">
              <w:rPr>
                <w:rFonts w:ascii="Arial Narrow" w:hAnsi="Arial Narrow"/>
                <w:snapToGrid/>
                <w:sz w:val="20"/>
                <w:lang w:eastAsia="en-AU"/>
              </w:rPr>
              <w:t xml:space="preserve"> received PBS-subsidised </w:t>
            </w:r>
            <w:r w:rsidR="00DB4821">
              <w:rPr>
                <w:rFonts w:ascii="Arial Narrow" w:hAnsi="Arial Narrow"/>
                <w:snapToGrid/>
                <w:sz w:val="20"/>
                <w:lang w:eastAsia="en-AU"/>
              </w:rPr>
              <w:t>treatment with</w:t>
            </w:r>
            <w:r w:rsidRPr="00600064">
              <w:rPr>
                <w:rFonts w:ascii="Arial Narrow" w:hAnsi="Arial Narrow"/>
                <w:snapToGrid/>
                <w:sz w:val="20"/>
                <w:lang w:eastAsia="en-AU"/>
              </w:rPr>
              <w:t xml:space="preserve"> this drug for this condition</w:t>
            </w:r>
          </w:p>
          <w:p w:rsidR="009C435F" w:rsidRPr="00600064" w:rsidRDefault="009C435F" w:rsidP="00474A74">
            <w:pPr>
              <w:widowControl/>
              <w:contextualSpacing/>
              <w:jc w:val="left"/>
              <w:rPr>
                <w:rFonts w:ascii="Arial Narrow" w:hAnsi="Arial Narrow"/>
                <w:snapToGrid/>
                <w:sz w:val="20"/>
                <w:lang w:eastAsia="en-AU"/>
              </w:rPr>
            </w:pP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AND</w:t>
            </w:r>
          </w:p>
          <w:p w:rsidR="009C435F" w:rsidRPr="00600064" w:rsidRDefault="009C435F" w:rsidP="00474A74">
            <w:pPr>
              <w:widowControl/>
              <w:contextualSpacing/>
              <w:jc w:val="left"/>
              <w:rPr>
                <w:rFonts w:ascii="Arial Narrow" w:hAnsi="Arial Narrow"/>
                <w:snapToGrid/>
                <w:sz w:val="20"/>
                <w:lang w:eastAsia="en-AU"/>
              </w:rPr>
            </w:pP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Patient must have stable or responding disease,</w:t>
            </w:r>
          </w:p>
          <w:p w:rsidR="009C435F" w:rsidRPr="00600064" w:rsidRDefault="009C435F" w:rsidP="00474A74">
            <w:pPr>
              <w:widowControl/>
              <w:contextualSpacing/>
              <w:jc w:val="left"/>
              <w:rPr>
                <w:rFonts w:ascii="Arial Narrow" w:hAnsi="Arial Narrow"/>
                <w:snapToGrid/>
                <w:sz w:val="20"/>
                <w:lang w:eastAsia="en-AU"/>
              </w:rPr>
            </w:pP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AND</w:t>
            </w:r>
          </w:p>
          <w:p w:rsidR="009C435F" w:rsidRPr="00600064" w:rsidRDefault="009C435F" w:rsidP="00474A74">
            <w:pPr>
              <w:widowControl/>
              <w:contextualSpacing/>
              <w:jc w:val="left"/>
              <w:rPr>
                <w:rFonts w:ascii="Arial Narrow" w:hAnsi="Arial Narrow"/>
                <w:snapToGrid/>
                <w:sz w:val="20"/>
                <w:lang w:eastAsia="en-AU"/>
              </w:rPr>
            </w:pP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The treatment must be the sole PBS-subsidised therapy for this condition.</w:t>
            </w:r>
          </w:p>
        </w:tc>
      </w:tr>
      <w:tr w:rsidR="009C435F" w:rsidRPr="00600064" w:rsidTr="00474A74">
        <w:trPr>
          <w:cantSplit/>
          <w:trHeight w:val="670"/>
        </w:trPr>
        <w:tc>
          <w:tcPr>
            <w:tcW w:w="1055" w:type="pct"/>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b/>
                <w:snapToGrid/>
                <w:sz w:val="20"/>
                <w:lang w:eastAsia="en-AU"/>
              </w:rPr>
              <w:t>Prescriber Instructions</w:t>
            </w:r>
          </w:p>
        </w:tc>
        <w:tc>
          <w:tcPr>
            <w:tcW w:w="3945" w:type="pct"/>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The patient’s body weight must be documented in the patient’s medical records at the time treatment is initiated.</w:t>
            </w:r>
          </w:p>
        </w:tc>
      </w:tr>
      <w:tr w:rsidR="009C435F" w:rsidRPr="00600064" w:rsidTr="00474A74">
        <w:trPr>
          <w:cantSplit/>
          <w:trHeight w:val="670"/>
        </w:trPr>
        <w:tc>
          <w:tcPr>
            <w:tcW w:w="1055" w:type="pct"/>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contextualSpacing/>
              <w:jc w:val="left"/>
              <w:rPr>
                <w:rFonts w:ascii="Arial Narrow" w:hAnsi="Arial Narrow"/>
                <w:b/>
                <w:snapToGrid/>
                <w:sz w:val="20"/>
                <w:lang w:eastAsia="en-AU"/>
              </w:rPr>
            </w:pPr>
            <w:r w:rsidRPr="00600064">
              <w:rPr>
                <w:rFonts w:ascii="Arial Narrow" w:hAnsi="Arial Narrow"/>
                <w:b/>
                <w:snapToGrid/>
                <w:sz w:val="20"/>
                <w:lang w:eastAsia="en-AU"/>
              </w:rPr>
              <w:t>Administration Advice</w:t>
            </w:r>
          </w:p>
        </w:tc>
        <w:tc>
          <w:tcPr>
            <w:tcW w:w="3945" w:type="pct"/>
            <w:tcBorders>
              <w:top w:val="single" w:sz="4" w:space="0" w:color="auto"/>
              <w:left w:val="single" w:sz="4" w:space="0" w:color="auto"/>
              <w:bottom w:val="single" w:sz="4" w:space="0" w:color="auto"/>
              <w:right w:val="single" w:sz="4" w:space="0" w:color="auto"/>
            </w:tcBorders>
            <w:vAlign w:val="center"/>
          </w:tcPr>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No increase in the maximum number of repeats may be authorised.</w:t>
            </w:r>
          </w:p>
          <w:p w:rsidR="009C435F" w:rsidRPr="00600064" w:rsidRDefault="009C435F" w:rsidP="00474A74">
            <w:pPr>
              <w:widowControl/>
              <w:contextualSpacing/>
              <w:jc w:val="left"/>
              <w:rPr>
                <w:rFonts w:ascii="Arial Narrow" w:hAnsi="Arial Narrow"/>
                <w:snapToGrid/>
                <w:sz w:val="20"/>
                <w:lang w:eastAsia="en-AU"/>
              </w:rPr>
            </w:pPr>
          </w:p>
          <w:p w:rsidR="009C435F" w:rsidRPr="00600064" w:rsidRDefault="009C435F" w:rsidP="00474A74">
            <w:pPr>
              <w:widowControl/>
              <w:contextualSpacing/>
              <w:jc w:val="left"/>
              <w:rPr>
                <w:rFonts w:ascii="Arial Narrow" w:hAnsi="Arial Narrow"/>
                <w:snapToGrid/>
                <w:sz w:val="20"/>
                <w:lang w:eastAsia="en-AU"/>
              </w:rPr>
            </w:pPr>
            <w:r w:rsidRPr="00600064">
              <w:rPr>
                <w:rFonts w:ascii="Arial Narrow" w:hAnsi="Arial Narrow"/>
                <w:snapToGrid/>
                <w:sz w:val="20"/>
                <w:lang w:eastAsia="en-AU"/>
              </w:rPr>
              <w:t>Special Pricing Arrangements apply.</w:t>
            </w:r>
          </w:p>
        </w:tc>
      </w:tr>
    </w:tbl>
    <w:p w:rsidR="005F0C88" w:rsidRDefault="005F0C88" w:rsidP="005F0C88"/>
    <w:p w:rsidR="00114BAD" w:rsidRPr="00701BE6" w:rsidRDefault="00114BAD" w:rsidP="00701BE6">
      <w:pPr>
        <w:pStyle w:val="PBACheading1"/>
        <w:rPr>
          <w:b/>
        </w:rPr>
      </w:pPr>
      <w:r w:rsidRPr="00701BE6">
        <w:rPr>
          <w:b/>
        </w:rPr>
        <w:t>Context for Decision</w:t>
      </w:r>
    </w:p>
    <w:p w:rsidR="00114BAD" w:rsidRDefault="00114BAD" w:rsidP="00114BAD">
      <w:pPr>
        <w:ind w:left="709"/>
      </w:pPr>
    </w:p>
    <w:p w:rsidR="00114BAD" w:rsidRDefault="00114BAD" w:rsidP="00114BAD">
      <w:pPr>
        <w:ind w:left="709"/>
      </w:pPr>
      <w:r w:rsidRPr="004304F6">
        <w:t xml:space="preserve">The PBAC helps decide whether and, if so, how medicines should be subsidised in </w:t>
      </w:r>
      <w:r w:rsidRPr="004304F6">
        <w:lastRenderedPageBreak/>
        <w:t>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14BAD" w:rsidRDefault="00114BAD" w:rsidP="00114BAD">
      <w:pPr>
        <w:ind w:left="709"/>
      </w:pPr>
    </w:p>
    <w:p w:rsidR="00114BAD" w:rsidRDefault="00114BAD" w:rsidP="00114BAD">
      <w:pPr>
        <w:ind w:left="709"/>
      </w:pPr>
    </w:p>
    <w:p w:rsidR="00114BAD" w:rsidRPr="00B0280B" w:rsidRDefault="00114BAD" w:rsidP="00E25D57">
      <w:pPr>
        <w:pStyle w:val="PBACHeading10"/>
        <w:keepNext/>
        <w:numPr>
          <w:ilvl w:val="0"/>
          <w:numId w:val="4"/>
        </w:numPr>
        <w:ind w:left="709" w:hanging="709"/>
        <w:outlineLvl w:val="0"/>
      </w:pPr>
      <w:r w:rsidRPr="00485DD3">
        <w:t>Sponsor’s Comment</w:t>
      </w:r>
    </w:p>
    <w:p w:rsidR="00114BAD" w:rsidRDefault="00114BAD" w:rsidP="00E25D57">
      <w:pPr>
        <w:keepNext/>
        <w:ind w:left="709"/>
        <w:rPr>
          <w:bCs/>
          <w:highlight w:val="yellow"/>
          <w:lang w:val="en-GB"/>
        </w:rPr>
      </w:pPr>
    </w:p>
    <w:p w:rsidR="00627262" w:rsidRPr="00600064" w:rsidRDefault="00627262" w:rsidP="00627262">
      <w:pPr>
        <w:ind w:left="709" w:firstLine="11"/>
      </w:pPr>
      <w:r w:rsidRPr="00F54AD4">
        <w:t xml:space="preserve">The sponsor acknowledges the collaborative work of all </w:t>
      </w:r>
      <w:proofErr w:type="gramStart"/>
      <w:r w:rsidRPr="00F54AD4">
        <w:t>stakeholders</w:t>
      </w:r>
      <w:proofErr w:type="gramEnd"/>
      <w:r w:rsidRPr="00F54AD4">
        <w:t xml:space="preserve"> pre and post the positive PBAC recommendation and looks forward to eligible Australian patients being able to access nivolumab via the PBS in the near future</w:t>
      </w:r>
    </w:p>
    <w:p w:rsidR="00114BAD" w:rsidRPr="00600064" w:rsidRDefault="00114BAD" w:rsidP="005F0C88"/>
    <w:sectPr w:rsidR="00114BAD" w:rsidRPr="00600064" w:rsidSect="003C583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6EB229" w15:done="0"/>
  <w15:commentEx w15:paraId="7E17F111" w15:paraIdParent="2D6EB229" w15:done="0"/>
  <w15:commentEx w15:paraId="103563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4F" w:rsidRDefault="003A224F" w:rsidP="00124A51">
      <w:r>
        <w:separator/>
      </w:r>
    </w:p>
  </w:endnote>
  <w:endnote w:type="continuationSeparator" w:id="0">
    <w:p w:rsidR="003A224F" w:rsidRDefault="003A224F" w:rsidP="00124A51">
      <w:r>
        <w:continuationSeparator/>
      </w:r>
    </w:p>
  </w:endnote>
  <w:endnote w:type="continuationNotice" w:id="1">
    <w:p w:rsidR="003A224F" w:rsidRDefault="003A2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4F" w:rsidRDefault="003A2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90" w:rsidRPr="00D13A3E" w:rsidRDefault="00807F90" w:rsidP="00015886">
    <w:pPr>
      <w:ind w:right="360"/>
      <w:jc w:val="center"/>
      <w:rPr>
        <w:b/>
        <w:sz w:val="20"/>
      </w:rPr>
    </w:pPr>
  </w:p>
  <w:p w:rsidR="00807F90" w:rsidRPr="00015886" w:rsidRDefault="00807F90" w:rsidP="003E4DE2">
    <w:pPr>
      <w:ind w:right="360"/>
      <w:jc w:val="center"/>
      <w:rPr>
        <w:b/>
        <w:sz w:val="20"/>
      </w:rPr>
    </w:pPr>
    <w:r>
      <w:rPr>
        <w:sz w:val="20"/>
      </w:rPr>
      <w:tab/>
    </w:r>
    <w:r w:rsidRPr="00651169">
      <w:rPr>
        <w:sz w:val="20"/>
      </w:rPr>
      <w:fldChar w:fldCharType="begin"/>
    </w:r>
    <w:r w:rsidRPr="00651169">
      <w:rPr>
        <w:sz w:val="20"/>
      </w:rPr>
      <w:instrText xml:space="preserve"> PAGE   \* MERGEFORMAT </w:instrText>
    </w:r>
    <w:r w:rsidRPr="00651169">
      <w:rPr>
        <w:sz w:val="20"/>
      </w:rPr>
      <w:fldChar w:fldCharType="separate"/>
    </w:r>
    <w:r w:rsidR="00E25D57">
      <w:rPr>
        <w:noProof/>
        <w:sz w:val="20"/>
      </w:rPr>
      <w:t>11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4F" w:rsidRDefault="003A2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4F" w:rsidRDefault="003A224F" w:rsidP="00124A51">
      <w:r>
        <w:separator/>
      </w:r>
    </w:p>
  </w:footnote>
  <w:footnote w:type="continuationSeparator" w:id="0">
    <w:p w:rsidR="003A224F" w:rsidRDefault="003A224F" w:rsidP="00124A51">
      <w:r>
        <w:continuationSeparator/>
      </w:r>
    </w:p>
  </w:footnote>
  <w:footnote w:type="continuationNotice" w:id="1">
    <w:p w:rsidR="003A224F" w:rsidRDefault="003A224F"/>
  </w:footnote>
  <w:footnote w:id="2">
    <w:p w:rsidR="00807F90" w:rsidRPr="00AB156B" w:rsidRDefault="00807F90" w:rsidP="00E41CB3">
      <w:pPr>
        <w:pStyle w:val="ListParagraph"/>
        <w:rPr>
          <w:rFonts w:ascii="Arial Narrow" w:hAnsi="Arial Narrow"/>
          <w:sz w:val="20"/>
        </w:rPr>
      </w:pPr>
      <w:r w:rsidRPr="00AB156B">
        <w:rPr>
          <w:rStyle w:val="FootnoteReference"/>
          <w:rFonts w:ascii="Arial Narrow" w:hAnsi="Arial Narrow"/>
          <w:sz w:val="20"/>
        </w:rPr>
        <w:footnoteRef/>
      </w:r>
      <w:r w:rsidRPr="00AB156B">
        <w:rPr>
          <w:rFonts w:ascii="Arial Narrow" w:hAnsi="Arial Narrow"/>
          <w:sz w:val="20"/>
        </w:rPr>
        <w:t xml:space="preserve"> </w:t>
      </w:r>
      <w:proofErr w:type="spellStart"/>
      <w:r w:rsidRPr="00AB156B">
        <w:rPr>
          <w:rFonts w:ascii="Arial Narrow" w:hAnsi="Arial Narrow"/>
          <w:sz w:val="20"/>
        </w:rPr>
        <w:t>Cherny</w:t>
      </w:r>
      <w:proofErr w:type="spellEnd"/>
      <w:r w:rsidRPr="00AB156B">
        <w:rPr>
          <w:rFonts w:ascii="Arial Narrow" w:hAnsi="Arial Narrow"/>
          <w:sz w:val="20"/>
        </w:rPr>
        <w:t xml:space="preserve"> NI, Sullivan R, </w:t>
      </w:r>
      <w:proofErr w:type="spellStart"/>
      <w:r w:rsidRPr="00AB156B">
        <w:rPr>
          <w:rFonts w:ascii="Arial Narrow" w:hAnsi="Arial Narrow"/>
          <w:sz w:val="20"/>
        </w:rPr>
        <w:t>Dafni</w:t>
      </w:r>
      <w:proofErr w:type="spellEnd"/>
      <w:r w:rsidRPr="00AB156B">
        <w:rPr>
          <w:rFonts w:ascii="Arial Narrow" w:hAnsi="Arial Narrow"/>
          <w:sz w:val="20"/>
        </w:rPr>
        <w:t xml:space="preserve">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AB156B">
        <w:rPr>
          <w:rFonts w:ascii="Arial Narrow" w:hAnsi="Arial Narrow"/>
          <w:sz w:val="20"/>
        </w:rPr>
        <w:t>Oncol</w:t>
      </w:r>
      <w:proofErr w:type="spellEnd"/>
      <w:r w:rsidRPr="00AB156B">
        <w:rPr>
          <w:rFonts w:ascii="Arial Narrow" w:hAnsi="Arial Narrow"/>
          <w:sz w:val="20"/>
        </w:rPr>
        <w:t xml:space="preserve"> 26:1547-73, 2015</w:t>
      </w:r>
    </w:p>
    <w:p w:rsidR="00807F90" w:rsidRDefault="00807F9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4F" w:rsidRDefault="003A2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90" w:rsidRPr="00DF217D" w:rsidRDefault="00807F90" w:rsidP="00FD7DFE">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807F90" w:rsidRPr="008C7ECB" w:rsidRDefault="00807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4F" w:rsidRDefault="003A2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30964C20"/>
    <w:lvl w:ilvl="0" w:tplc="0C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A66178"/>
    <w:multiLevelType w:val="hybridMultilevel"/>
    <w:tmpl w:val="298AD7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917619"/>
    <w:multiLevelType w:val="hybridMultilevel"/>
    <w:tmpl w:val="DB60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610B0"/>
    <w:multiLevelType w:val="hybridMultilevel"/>
    <w:tmpl w:val="4B8E1574"/>
    <w:lvl w:ilvl="0" w:tplc="3F6A3A3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9564C4"/>
    <w:multiLevelType w:val="multilevel"/>
    <w:tmpl w:val="9EBAD25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093DDF"/>
    <w:multiLevelType w:val="hybridMultilevel"/>
    <w:tmpl w:val="6D28F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AC5B38"/>
    <w:multiLevelType w:val="hybridMultilevel"/>
    <w:tmpl w:val="9CE2F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D1690C"/>
    <w:multiLevelType w:val="hybridMultilevel"/>
    <w:tmpl w:val="8464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2530EA"/>
    <w:multiLevelType w:val="multilevel"/>
    <w:tmpl w:val="7FE6133C"/>
    <w:lvl w:ilvl="0">
      <w:start w:val="5"/>
      <w:numFmt w:val="decimal"/>
      <w:lvlText w:val="%1"/>
      <w:lvlJc w:val="left"/>
      <w:pPr>
        <w:ind w:left="360" w:hanging="360"/>
      </w:pPr>
      <w:rPr>
        <w:rFonts w:cs="Times New Roman" w:hint="default"/>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2">
    <w:nsid w:val="25364E36"/>
    <w:multiLevelType w:val="hybridMultilevel"/>
    <w:tmpl w:val="748CB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F70362"/>
    <w:multiLevelType w:val="hybridMultilevel"/>
    <w:tmpl w:val="32929C68"/>
    <w:lvl w:ilvl="0" w:tplc="B12A179A">
      <w:numFmt w:val="bullet"/>
      <w:lvlText w:val="•"/>
      <w:lvlJc w:val="left"/>
      <w:pPr>
        <w:ind w:left="720" w:hanging="540"/>
      </w:pPr>
      <w:rPr>
        <w:rFonts w:ascii="Arial Narrow" w:eastAsia="Times New Roman" w:hAnsi="Arial Narrow"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34E7309B"/>
    <w:multiLevelType w:val="hybridMultilevel"/>
    <w:tmpl w:val="AB4E4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3F7647B8"/>
    <w:multiLevelType w:val="multilevel"/>
    <w:tmpl w:val="1D8023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2162C5"/>
    <w:multiLevelType w:val="hybridMultilevel"/>
    <w:tmpl w:val="DF94B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F5F30"/>
    <w:multiLevelType w:val="hybridMultilevel"/>
    <w:tmpl w:val="BE2EA4E2"/>
    <w:lvl w:ilvl="0" w:tplc="F0C4412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6128A5"/>
    <w:multiLevelType w:val="hybridMultilevel"/>
    <w:tmpl w:val="11BEE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51BB2E74"/>
    <w:multiLevelType w:val="hybridMultilevel"/>
    <w:tmpl w:val="A76C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FB203D"/>
    <w:multiLevelType w:val="hybridMultilevel"/>
    <w:tmpl w:val="E2D21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2605AB"/>
    <w:multiLevelType w:val="hybridMultilevel"/>
    <w:tmpl w:val="506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372976"/>
    <w:multiLevelType w:val="hybridMultilevel"/>
    <w:tmpl w:val="BF4A0984"/>
    <w:lvl w:ilvl="0" w:tplc="04090001">
      <w:start w:val="1"/>
      <w:numFmt w:val="bullet"/>
      <w:lvlText w:val=""/>
      <w:lvlJc w:val="left"/>
      <w:pPr>
        <w:ind w:left="784" w:hanging="360"/>
      </w:pPr>
      <w:rPr>
        <w:rFonts w:ascii="Symbol" w:hAnsi="Symbol"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FA465B"/>
    <w:multiLevelType w:val="hybridMultilevel"/>
    <w:tmpl w:val="71648EA8"/>
    <w:lvl w:ilvl="0" w:tplc="B55C0FFA">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061E5E"/>
    <w:multiLevelType w:val="hybridMultilevel"/>
    <w:tmpl w:val="82F8E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5C5042"/>
    <w:multiLevelType w:val="hybridMultilevel"/>
    <w:tmpl w:val="623AB0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6C1B11BB"/>
    <w:multiLevelType w:val="hybridMultilevel"/>
    <w:tmpl w:val="2646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B15EB"/>
    <w:multiLevelType w:val="hybridMultilevel"/>
    <w:tmpl w:val="A4EC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F21CCB"/>
    <w:multiLevelType w:val="hybridMultilevel"/>
    <w:tmpl w:val="94EE0CA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4">
    <w:nsid w:val="7432055C"/>
    <w:multiLevelType w:val="hybridMultilevel"/>
    <w:tmpl w:val="997213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784D033C"/>
    <w:multiLevelType w:val="multilevel"/>
    <w:tmpl w:val="FC0607C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C0E06DC"/>
    <w:multiLevelType w:val="hybridMultilevel"/>
    <w:tmpl w:val="9496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1"/>
  </w:num>
  <w:num w:numId="4">
    <w:abstractNumId w:val="35"/>
  </w:num>
  <w:num w:numId="5">
    <w:abstractNumId w:val="1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4"/>
  </w:num>
  <w:num w:numId="9">
    <w:abstractNumId w:val="31"/>
  </w:num>
  <w:num w:numId="10">
    <w:abstractNumId w:val="7"/>
  </w:num>
  <w:num w:numId="11">
    <w:abstractNumId w:val="17"/>
  </w:num>
  <w:num w:numId="12">
    <w:abstractNumId w:val="18"/>
  </w:num>
  <w:num w:numId="13">
    <w:abstractNumId w:val="33"/>
  </w:num>
  <w:num w:numId="14">
    <w:abstractNumId w:val="9"/>
  </w:num>
  <w:num w:numId="15">
    <w:abstractNumId w:val="20"/>
  </w:num>
  <w:num w:numId="16">
    <w:abstractNumId w:val="28"/>
  </w:num>
  <w:num w:numId="17">
    <w:abstractNumId w:val="5"/>
  </w:num>
  <w:num w:numId="18">
    <w:abstractNumId w:val="2"/>
  </w:num>
  <w:num w:numId="19">
    <w:abstractNumId w:val="34"/>
  </w:num>
  <w:num w:numId="20">
    <w:abstractNumId w:val="13"/>
  </w:num>
  <w:num w:numId="21">
    <w:abstractNumId w:val="32"/>
  </w:num>
  <w:num w:numId="22">
    <w:abstractNumId w:val="26"/>
  </w:num>
  <w:num w:numId="23">
    <w:abstractNumId w:val="23"/>
  </w:num>
  <w:num w:numId="24">
    <w:abstractNumId w:val="29"/>
  </w:num>
  <w:num w:numId="25">
    <w:abstractNumId w:val="6"/>
  </w:num>
  <w:num w:numId="26">
    <w:abstractNumId w:val="22"/>
  </w:num>
  <w:num w:numId="27">
    <w:abstractNumId w:val="11"/>
  </w:num>
  <w:num w:numId="28">
    <w:abstractNumId w:val="19"/>
  </w:num>
  <w:num w:numId="29">
    <w:abstractNumId w:val="36"/>
  </w:num>
  <w:num w:numId="30">
    <w:abstractNumId w:val="4"/>
  </w:num>
  <w:num w:numId="31">
    <w:abstractNumId w:val="12"/>
  </w:num>
  <w:num w:numId="32">
    <w:abstractNumId w:val="8"/>
  </w:num>
  <w:num w:numId="33">
    <w:abstractNumId w:val="1"/>
  </w:num>
  <w:num w:numId="34">
    <w:abstractNumId w:val="35"/>
  </w:num>
  <w:num w:numId="35">
    <w:abstractNumId w:val="25"/>
  </w:num>
  <w:num w:numId="36">
    <w:abstractNumId w:val="3"/>
  </w:num>
  <w:num w:numId="37">
    <w:abstractNumId w:val="0"/>
  </w:num>
  <w:num w:numId="38">
    <w:abstractNumId w:val="10"/>
  </w:num>
  <w:num w:numId="39">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num>
  <w:num w:numId="42">
    <w:abstractNumId w:val="35"/>
  </w:num>
  <w:num w:numId="43">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6854"/>
    <w:rsid w:val="00010BB1"/>
    <w:rsid w:val="00011CCA"/>
    <w:rsid w:val="000121FB"/>
    <w:rsid w:val="000127FA"/>
    <w:rsid w:val="00013247"/>
    <w:rsid w:val="00015886"/>
    <w:rsid w:val="000162EF"/>
    <w:rsid w:val="00017535"/>
    <w:rsid w:val="00020B2D"/>
    <w:rsid w:val="0002225F"/>
    <w:rsid w:val="00022E02"/>
    <w:rsid w:val="00023763"/>
    <w:rsid w:val="00024C8F"/>
    <w:rsid w:val="000259A0"/>
    <w:rsid w:val="00026E88"/>
    <w:rsid w:val="00027921"/>
    <w:rsid w:val="00027F44"/>
    <w:rsid w:val="00030BF9"/>
    <w:rsid w:val="00033CFF"/>
    <w:rsid w:val="000352E6"/>
    <w:rsid w:val="000404A6"/>
    <w:rsid w:val="00040895"/>
    <w:rsid w:val="00041204"/>
    <w:rsid w:val="0004231D"/>
    <w:rsid w:val="000425C7"/>
    <w:rsid w:val="00043C37"/>
    <w:rsid w:val="000449A9"/>
    <w:rsid w:val="00047871"/>
    <w:rsid w:val="00052BC2"/>
    <w:rsid w:val="00054525"/>
    <w:rsid w:val="000546D7"/>
    <w:rsid w:val="000575D7"/>
    <w:rsid w:val="00060127"/>
    <w:rsid w:val="000616E3"/>
    <w:rsid w:val="00063D39"/>
    <w:rsid w:val="00066B5E"/>
    <w:rsid w:val="00070B7E"/>
    <w:rsid w:val="00071248"/>
    <w:rsid w:val="000720B9"/>
    <w:rsid w:val="00075A91"/>
    <w:rsid w:val="000802E0"/>
    <w:rsid w:val="000812CA"/>
    <w:rsid w:val="00081B8F"/>
    <w:rsid w:val="00082606"/>
    <w:rsid w:val="00082E8A"/>
    <w:rsid w:val="0008390F"/>
    <w:rsid w:val="00085469"/>
    <w:rsid w:val="00090A89"/>
    <w:rsid w:val="00090C7E"/>
    <w:rsid w:val="00090DD6"/>
    <w:rsid w:val="000911B2"/>
    <w:rsid w:val="000929F8"/>
    <w:rsid w:val="00096AC7"/>
    <w:rsid w:val="000A0855"/>
    <w:rsid w:val="000A14CD"/>
    <w:rsid w:val="000A1C98"/>
    <w:rsid w:val="000A3FB5"/>
    <w:rsid w:val="000A50A2"/>
    <w:rsid w:val="000A54AD"/>
    <w:rsid w:val="000A55EC"/>
    <w:rsid w:val="000A5A73"/>
    <w:rsid w:val="000A6CB2"/>
    <w:rsid w:val="000A7468"/>
    <w:rsid w:val="000B0968"/>
    <w:rsid w:val="000B3B6E"/>
    <w:rsid w:val="000B53C5"/>
    <w:rsid w:val="000C0C7D"/>
    <w:rsid w:val="000C2FFB"/>
    <w:rsid w:val="000C351F"/>
    <w:rsid w:val="000C503E"/>
    <w:rsid w:val="000C675A"/>
    <w:rsid w:val="000C7D7A"/>
    <w:rsid w:val="000D1BFC"/>
    <w:rsid w:val="000D28DF"/>
    <w:rsid w:val="000D39EC"/>
    <w:rsid w:val="000E0EA1"/>
    <w:rsid w:val="000E15BF"/>
    <w:rsid w:val="000E3BF8"/>
    <w:rsid w:val="000E69C3"/>
    <w:rsid w:val="000F0321"/>
    <w:rsid w:val="000F15B4"/>
    <w:rsid w:val="000F29A2"/>
    <w:rsid w:val="000F556D"/>
    <w:rsid w:val="00100F8A"/>
    <w:rsid w:val="001018BF"/>
    <w:rsid w:val="001046BF"/>
    <w:rsid w:val="00104C45"/>
    <w:rsid w:val="001064B0"/>
    <w:rsid w:val="0011032E"/>
    <w:rsid w:val="0011092C"/>
    <w:rsid w:val="00112898"/>
    <w:rsid w:val="00113D8D"/>
    <w:rsid w:val="00114BAD"/>
    <w:rsid w:val="00115508"/>
    <w:rsid w:val="00116A86"/>
    <w:rsid w:val="00117449"/>
    <w:rsid w:val="00121799"/>
    <w:rsid w:val="001222FC"/>
    <w:rsid w:val="00122AB7"/>
    <w:rsid w:val="0012499C"/>
    <w:rsid w:val="00124A51"/>
    <w:rsid w:val="00124C67"/>
    <w:rsid w:val="00125E3E"/>
    <w:rsid w:val="00126621"/>
    <w:rsid w:val="00126731"/>
    <w:rsid w:val="001271FE"/>
    <w:rsid w:val="00127CA4"/>
    <w:rsid w:val="001301E9"/>
    <w:rsid w:val="00132EFE"/>
    <w:rsid w:val="00134117"/>
    <w:rsid w:val="00135416"/>
    <w:rsid w:val="00136D02"/>
    <w:rsid w:val="00137645"/>
    <w:rsid w:val="00137B96"/>
    <w:rsid w:val="0014015A"/>
    <w:rsid w:val="00140E99"/>
    <w:rsid w:val="00141CB5"/>
    <w:rsid w:val="001456B0"/>
    <w:rsid w:val="001458D7"/>
    <w:rsid w:val="00145973"/>
    <w:rsid w:val="001474EF"/>
    <w:rsid w:val="0014783C"/>
    <w:rsid w:val="001513FB"/>
    <w:rsid w:val="00151E1F"/>
    <w:rsid w:val="00152F61"/>
    <w:rsid w:val="001530C0"/>
    <w:rsid w:val="001537BF"/>
    <w:rsid w:val="00157130"/>
    <w:rsid w:val="001609B4"/>
    <w:rsid w:val="00161D73"/>
    <w:rsid w:val="00162913"/>
    <w:rsid w:val="00163EFF"/>
    <w:rsid w:val="00163F9F"/>
    <w:rsid w:val="001660AF"/>
    <w:rsid w:val="001661FB"/>
    <w:rsid w:val="0016628C"/>
    <w:rsid w:val="00166CB7"/>
    <w:rsid w:val="001671A3"/>
    <w:rsid w:val="00167CF9"/>
    <w:rsid w:val="00172D8B"/>
    <w:rsid w:val="00173FE5"/>
    <w:rsid w:val="00174BE4"/>
    <w:rsid w:val="00180CE9"/>
    <w:rsid w:val="00181399"/>
    <w:rsid w:val="00186865"/>
    <w:rsid w:val="00186D77"/>
    <w:rsid w:val="00187209"/>
    <w:rsid w:val="00191694"/>
    <w:rsid w:val="00191EA2"/>
    <w:rsid w:val="00192D46"/>
    <w:rsid w:val="00193672"/>
    <w:rsid w:val="00195222"/>
    <w:rsid w:val="001971A6"/>
    <w:rsid w:val="0019743E"/>
    <w:rsid w:val="001975D8"/>
    <w:rsid w:val="001B0F32"/>
    <w:rsid w:val="001B1A89"/>
    <w:rsid w:val="001B2D68"/>
    <w:rsid w:val="001B3443"/>
    <w:rsid w:val="001B3D67"/>
    <w:rsid w:val="001B42AC"/>
    <w:rsid w:val="001B6188"/>
    <w:rsid w:val="001B6300"/>
    <w:rsid w:val="001C04C5"/>
    <w:rsid w:val="001C1030"/>
    <w:rsid w:val="001C1B7B"/>
    <w:rsid w:val="001C4DE6"/>
    <w:rsid w:val="001C5476"/>
    <w:rsid w:val="001C6E2D"/>
    <w:rsid w:val="001C6E66"/>
    <w:rsid w:val="001C728A"/>
    <w:rsid w:val="001D112E"/>
    <w:rsid w:val="001D3F97"/>
    <w:rsid w:val="001D5248"/>
    <w:rsid w:val="001D5411"/>
    <w:rsid w:val="001D75B4"/>
    <w:rsid w:val="001E238E"/>
    <w:rsid w:val="001E2546"/>
    <w:rsid w:val="001E35A7"/>
    <w:rsid w:val="001E447A"/>
    <w:rsid w:val="001E52EB"/>
    <w:rsid w:val="001E61AE"/>
    <w:rsid w:val="001E740C"/>
    <w:rsid w:val="001E7C57"/>
    <w:rsid w:val="001F0BEF"/>
    <w:rsid w:val="001F1235"/>
    <w:rsid w:val="001F184A"/>
    <w:rsid w:val="001F1CB3"/>
    <w:rsid w:val="001F1FCB"/>
    <w:rsid w:val="001F219C"/>
    <w:rsid w:val="001F5374"/>
    <w:rsid w:val="001F55FD"/>
    <w:rsid w:val="001F6472"/>
    <w:rsid w:val="001F720D"/>
    <w:rsid w:val="001F7361"/>
    <w:rsid w:val="002004CB"/>
    <w:rsid w:val="002023D5"/>
    <w:rsid w:val="002025FE"/>
    <w:rsid w:val="00204650"/>
    <w:rsid w:val="002054C8"/>
    <w:rsid w:val="00205E22"/>
    <w:rsid w:val="0020758D"/>
    <w:rsid w:val="002105C1"/>
    <w:rsid w:val="00213140"/>
    <w:rsid w:val="00214B10"/>
    <w:rsid w:val="00216BA7"/>
    <w:rsid w:val="00216EF7"/>
    <w:rsid w:val="00220BE1"/>
    <w:rsid w:val="00223B49"/>
    <w:rsid w:val="00224DD4"/>
    <w:rsid w:val="0022555D"/>
    <w:rsid w:val="00226A29"/>
    <w:rsid w:val="002278D0"/>
    <w:rsid w:val="00227CB5"/>
    <w:rsid w:val="002309CC"/>
    <w:rsid w:val="002327CD"/>
    <w:rsid w:val="00234010"/>
    <w:rsid w:val="002346BE"/>
    <w:rsid w:val="00234BFE"/>
    <w:rsid w:val="00236B79"/>
    <w:rsid w:val="0024019E"/>
    <w:rsid w:val="0024039C"/>
    <w:rsid w:val="00240E29"/>
    <w:rsid w:val="0024326A"/>
    <w:rsid w:val="002447D7"/>
    <w:rsid w:val="00244930"/>
    <w:rsid w:val="00247727"/>
    <w:rsid w:val="002534AE"/>
    <w:rsid w:val="002537AE"/>
    <w:rsid w:val="0025526B"/>
    <w:rsid w:val="0025534B"/>
    <w:rsid w:val="00255BB7"/>
    <w:rsid w:val="002570C5"/>
    <w:rsid w:val="0026112F"/>
    <w:rsid w:val="00261D40"/>
    <w:rsid w:val="00262A87"/>
    <w:rsid w:val="00263C09"/>
    <w:rsid w:val="002646B3"/>
    <w:rsid w:val="00266CA8"/>
    <w:rsid w:val="00271E7E"/>
    <w:rsid w:val="0027243C"/>
    <w:rsid w:val="0027472B"/>
    <w:rsid w:val="002758E9"/>
    <w:rsid w:val="00275C5A"/>
    <w:rsid w:val="002802BD"/>
    <w:rsid w:val="00280980"/>
    <w:rsid w:val="00290A27"/>
    <w:rsid w:val="002910F1"/>
    <w:rsid w:val="00294403"/>
    <w:rsid w:val="00295A43"/>
    <w:rsid w:val="00297BD3"/>
    <w:rsid w:val="002A14AB"/>
    <w:rsid w:val="002A3F95"/>
    <w:rsid w:val="002A4200"/>
    <w:rsid w:val="002A4877"/>
    <w:rsid w:val="002A4AD0"/>
    <w:rsid w:val="002A61BF"/>
    <w:rsid w:val="002A78CE"/>
    <w:rsid w:val="002B1846"/>
    <w:rsid w:val="002B1C1F"/>
    <w:rsid w:val="002B1F2D"/>
    <w:rsid w:val="002B2653"/>
    <w:rsid w:val="002B2A44"/>
    <w:rsid w:val="002B432F"/>
    <w:rsid w:val="002B6CCE"/>
    <w:rsid w:val="002B7761"/>
    <w:rsid w:val="002C1218"/>
    <w:rsid w:val="002C1B69"/>
    <w:rsid w:val="002C23E6"/>
    <w:rsid w:val="002C27C1"/>
    <w:rsid w:val="002D04B7"/>
    <w:rsid w:val="002D3AF3"/>
    <w:rsid w:val="002D413F"/>
    <w:rsid w:val="002D45BB"/>
    <w:rsid w:val="002E18C6"/>
    <w:rsid w:val="002E26F1"/>
    <w:rsid w:val="002E2AD0"/>
    <w:rsid w:val="002E2F5F"/>
    <w:rsid w:val="002E6590"/>
    <w:rsid w:val="002E69AE"/>
    <w:rsid w:val="002E79B9"/>
    <w:rsid w:val="002E7ED4"/>
    <w:rsid w:val="002F00C7"/>
    <w:rsid w:val="002F2065"/>
    <w:rsid w:val="002F30B0"/>
    <w:rsid w:val="002F5006"/>
    <w:rsid w:val="002F6BC4"/>
    <w:rsid w:val="002F7CC0"/>
    <w:rsid w:val="0030049B"/>
    <w:rsid w:val="00301017"/>
    <w:rsid w:val="00301454"/>
    <w:rsid w:val="00304C47"/>
    <w:rsid w:val="00305892"/>
    <w:rsid w:val="0030786C"/>
    <w:rsid w:val="0031031A"/>
    <w:rsid w:val="0031098E"/>
    <w:rsid w:val="0031165D"/>
    <w:rsid w:val="00311DCA"/>
    <w:rsid w:val="0031443B"/>
    <w:rsid w:val="00314DB7"/>
    <w:rsid w:val="00315498"/>
    <w:rsid w:val="00315607"/>
    <w:rsid w:val="003158E0"/>
    <w:rsid w:val="00316745"/>
    <w:rsid w:val="00317F72"/>
    <w:rsid w:val="003200B5"/>
    <w:rsid w:val="003232DC"/>
    <w:rsid w:val="00323460"/>
    <w:rsid w:val="0032399C"/>
    <w:rsid w:val="003247A8"/>
    <w:rsid w:val="003277D9"/>
    <w:rsid w:val="0033127D"/>
    <w:rsid w:val="003319FA"/>
    <w:rsid w:val="00332709"/>
    <w:rsid w:val="00336419"/>
    <w:rsid w:val="003366C9"/>
    <w:rsid w:val="00340F89"/>
    <w:rsid w:val="0034152D"/>
    <w:rsid w:val="003418EB"/>
    <w:rsid w:val="00342491"/>
    <w:rsid w:val="00343703"/>
    <w:rsid w:val="0034570E"/>
    <w:rsid w:val="00350433"/>
    <w:rsid w:val="00352D87"/>
    <w:rsid w:val="00352DE1"/>
    <w:rsid w:val="0035363C"/>
    <w:rsid w:val="0035620E"/>
    <w:rsid w:val="003607A0"/>
    <w:rsid w:val="00363E61"/>
    <w:rsid w:val="003649D9"/>
    <w:rsid w:val="003653D2"/>
    <w:rsid w:val="0036597A"/>
    <w:rsid w:val="00366264"/>
    <w:rsid w:val="00367565"/>
    <w:rsid w:val="00370723"/>
    <w:rsid w:val="003736FC"/>
    <w:rsid w:val="00373C34"/>
    <w:rsid w:val="00374AD7"/>
    <w:rsid w:val="00375938"/>
    <w:rsid w:val="00376FFB"/>
    <w:rsid w:val="003772AE"/>
    <w:rsid w:val="00381D6C"/>
    <w:rsid w:val="003827DE"/>
    <w:rsid w:val="00383636"/>
    <w:rsid w:val="0038365C"/>
    <w:rsid w:val="00385DBD"/>
    <w:rsid w:val="003860BE"/>
    <w:rsid w:val="0039257A"/>
    <w:rsid w:val="003929AA"/>
    <w:rsid w:val="00393D5D"/>
    <w:rsid w:val="00393F75"/>
    <w:rsid w:val="0039493C"/>
    <w:rsid w:val="00396FD0"/>
    <w:rsid w:val="003A1A7A"/>
    <w:rsid w:val="003A224F"/>
    <w:rsid w:val="003A2C74"/>
    <w:rsid w:val="003A50FA"/>
    <w:rsid w:val="003B33D9"/>
    <w:rsid w:val="003B489D"/>
    <w:rsid w:val="003B5701"/>
    <w:rsid w:val="003B5995"/>
    <w:rsid w:val="003B5AF7"/>
    <w:rsid w:val="003B6AE5"/>
    <w:rsid w:val="003C4AD3"/>
    <w:rsid w:val="003C583E"/>
    <w:rsid w:val="003C6E84"/>
    <w:rsid w:val="003D1828"/>
    <w:rsid w:val="003D1BEB"/>
    <w:rsid w:val="003D2422"/>
    <w:rsid w:val="003D345D"/>
    <w:rsid w:val="003D34D8"/>
    <w:rsid w:val="003D6AD7"/>
    <w:rsid w:val="003D7559"/>
    <w:rsid w:val="003E07B9"/>
    <w:rsid w:val="003E13B9"/>
    <w:rsid w:val="003E2CE2"/>
    <w:rsid w:val="003E47D6"/>
    <w:rsid w:val="003E4BFE"/>
    <w:rsid w:val="003E4DE2"/>
    <w:rsid w:val="003E512C"/>
    <w:rsid w:val="003E5FD5"/>
    <w:rsid w:val="003E6807"/>
    <w:rsid w:val="003F4156"/>
    <w:rsid w:val="003F5770"/>
    <w:rsid w:val="003F5B39"/>
    <w:rsid w:val="003F605A"/>
    <w:rsid w:val="003F6965"/>
    <w:rsid w:val="003F7705"/>
    <w:rsid w:val="004007C4"/>
    <w:rsid w:val="004012CA"/>
    <w:rsid w:val="00402358"/>
    <w:rsid w:val="00402839"/>
    <w:rsid w:val="0041020D"/>
    <w:rsid w:val="004102AF"/>
    <w:rsid w:val="00410EC7"/>
    <w:rsid w:val="00412F56"/>
    <w:rsid w:val="00414069"/>
    <w:rsid w:val="00414098"/>
    <w:rsid w:val="00414476"/>
    <w:rsid w:val="004155A4"/>
    <w:rsid w:val="00416068"/>
    <w:rsid w:val="00420B9F"/>
    <w:rsid w:val="004217E3"/>
    <w:rsid w:val="00421D7A"/>
    <w:rsid w:val="00424103"/>
    <w:rsid w:val="00424E59"/>
    <w:rsid w:val="00425CB2"/>
    <w:rsid w:val="004319F8"/>
    <w:rsid w:val="00432AAF"/>
    <w:rsid w:val="0043584D"/>
    <w:rsid w:val="00435A09"/>
    <w:rsid w:val="004443A7"/>
    <w:rsid w:val="004464EB"/>
    <w:rsid w:val="00446779"/>
    <w:rsid w:val="004507B4"/>
    <w:rsid w:val="00454BFE"/>
    <w:rsid w:val="00454C7A"/>
    <w:rsid w:val="00455D45"/>
    <w:rsid w:val="00457EFE"/>
    <w:rsid w:val="00457FD0"/>
    <w:rsid w:val="00463330"/>
    <w:rsid w:val="0046340F"/>
    <w:rsid w:val="00464595"/>
    <w:rsid w:val="0046475E"/>
    <w:rsid w:val="004650EC"/>
    <w:rsid w:val="00470486"/>
    <w:rsid w:val="0047220F"/>
    <w:rsid w:val="00472359"/>
    <w:rsid w:val="00473549"/>
    <w:rsid w:val="00473729"/>
    <w:rsid w:val="004744AF"/>
    <w:rsid w:val="0047456A"/>
    <w:rsid w:val="00474A74"/>
    <w:rsid w:val="004773F8"/>
    <w:rsid w:val="00477EA3"/>
    <w:rsid w:val="004813F9"/>
    <w:rsid w:val="00485186"/>
    <w:rsid w:val="004855BA"/>
    <w:rsid w:val="004867E2"/>
    <w:rsid w:val="00491932"/>
    <w:rsid w:val="00491B3A"/>
    <w:rsid w:val="00493F45"/>
    <w:rsid w:val="00497F10"/>
    <w:rsid w:val="004A0DA1"/>
    <w:rsid w:val="004A2CC1"/>
    <w:rsid w:val="004A474B"/>
    <w:rsid w:val="004A4DB5"/>
    <w:rsid w:val="004A6597"/>
    <w:rsid w:val="004A7338"/>
    <w:rsid w:val="004B0547"/>
    <w:rsid w:val="004B1BB9"/>
    <w:rsid w:val="004B2F18"/>
    <w:rsid w:val="004B3547"/>
    <w:rsid w:val="004B3DDB"/>
    <w:rsid w:val="004B44FD"/>
    <w:rsid w:val="004B4863"/>
    <w:rsid w:val="004B48CA"/>
    <w:rsid w:val="004B5CFC"/>
    <w:rsid w:val="004C4AED"/>
    <w:rsid w:val="004C51A7"/>
    <w:rsid w:val="004D0DF8"/>
    <w:rsid w:val="004D1505"/>
    <w:rsid w:val="004D2F87"/>
    <w:rsid w:val="004D586D"/>
    <w:rsid w:val="004D7EDF"/>
    <w:rsid w:val="004E0572"/>
    <w:rsid w:val="004E0EB8"/>
    <w:rsid w:val="004E1311"/>
    <w:rsid w:val="004E1B37"/>
    <w:rsid w:val="004E2ADC"/>
    <w:rsid w:val="004E3EA8"/>
    <w:rsid w:val="004E78AF"/>
    <w:rsid w:val="004F1D02"/>
    <w:rsid w:val="004F223D"/>
    <w:rsid w:val="004F2679"/>
    <w:rsid w:val="004F33CB"/>
    <w:rsid w:val="004F5A04"/>
    <w:rsid w:val="004F6E49"/>
    <w:rsid w:val="004F733C"/>
    <w:rsid w:val="0050169C"/>
    <w:rsid w:val="00502040"/>
    <w:rsid w:val="005022A0"/>
    <w:rsid w:val="0050250E"/>
    <w:rsid w:val="005027B2"/>
    <w:rsid w:val="00502C44"/>
    <w:rsid w:val="00505D4E"/>
    <w:rsid w:val="00506E16"/>
    <w:rsid w:val="0050714D"/>
    <w:rsid w:val="00510A6C"/>
    <w:rsid w:val="00512946"/>
    <w:rsid w:val="00513D5F"/>
    <w:rsid w:val="00514452"/>
    <w:rsid w:val="00514F6C"/>
    <w:rsid w:val="005152B5"/>
    <w:rsid w:val="00516872"/>
    <w:rsid w:val="00516DE1"/>
    <w:rsid w:val="0052036F"/>
    <w:rsid w:val="00521319"/>
    <w:rsid w:val="00523802"/>
    <w:rsid w:val="00523C28"/>
    <w:rsid w:val="005247AD"/>
    <w:rsid w:val="00525100"/>
    <w:rsid w:val="00526C44"/>
    <w:rsid w:val="00532A92"/>
    <w:rsid w:val="005353C4"/>
    <w:rsid w:val="0053614D"/>
    <w:rsid w:val="005367F8"/>
    <w:rsid w:val="00540E85"/>
    <w:rsid w:val="005430F6"/>
    <w:rsid w:val="005441B6"/>
    <w:rsid w:val="0054560C"/>
    <w:rsid w:val="005461BB"/>
    <w:rsid w:val="00551B6F"/>
    <w:rsid w:val="00551BAA"/>
    <w:rsid w:val="00555106"/>
    <w:rsid w:val="00555109"/>
    <w:rsid w:val="00556C5E"/>
    <w:rsid w:val="00560B41"/>
    <w:rsid w:val="00562372"/>
    <w:rsid w:val="0056276A"/>
    <w:rsid w:val="00564AAF"/>
    <w:rsid w:val="00564ACB"/>
    <w:rsid w:val="00564D23"/>
    <w:rsid w:val="0056696F"/>
    <w:rsid w:val="00570AE1"/>
    <w:rsid w:val="00575F38"/>
    <w:rsid w:val="00576972"/>
    <w:rsid w:val="00577717"/>
    <w:rsid w:val="005801E9"/>
    <w:rsid w:val="00583274"/>
    <w:rsid w:val="00583699"/>
    <w:rsid w:val="00586857"/>
    <w:rsid w:val="00586B5A"/>
    <w:rsid w:val="00586D5A"/>
    <w:rsid w:val="005879F1"/>
    <w:rsid w:val="00590F00"/>
    <w:rsid w:val="00591CCD"/>
    <w:rsid w:val="005A46C2"/>
    <w:rsid w:val="005A4E3C"/>
    <w:rsid w:val="005A6016"/>
    <w:rsid w:val="005B246E"/>
    <w:rsid w:val="005B3341"/>
    <w:rsid w:val="005B5857"/>
    <w:rsid w:val="005C0080"/>
    <w:rsid w:val="005C0C60"/>
    <w:rsid w:val="005C1139"/>
    <w:rsid w:val="005C1526"/>
    <w:rsid w:val="005C1B83"/>
    <w:rsid w:val="005C1EA5"/>
    <w:rsid w:val="005C346B"/>
    <w:rsid w:val="005C3D08"/>
    <w:rsid w:val="005D18AD"/>
    <w:rsid w:val="005D7E3E"/>
    <w:rsid w:val="005E0A41"/>
    <w:rsid w:val="005E0BD3"/>
    <w:rsid w:val="005E1E33"/>
    <w:rsid w:val="005E2344"/>
    <w:rsid w:val="005E26F0"/>
    <w:rsid w:val="005E3578"/>
    <w:rsid w:val="005E3A5B"/>
    <w:rsid w:val="005E53FB"/>
    <w:rsid w:val="005E554C"/>
    <w:rsid w:val="005E5C47"/>
    <w:rsid w:val="005E6003"/>
    <w:rsid w:val="005E7CA9"/>
    <w:rsid w:val="005F0C88"/>
    <w:rsid w:val="005F0F2A"/>
    <w:rsid w:val="005F1684"/>
    <w:rsid w:val="005F2706"/>
    <w:rsid w:val="005F42CF"/>
    <w:rsid w:val="005F4B54"/>
    <w:rsid w:val="005F6145"/>
    <w:rsid w:val="005F68B5"/>
    <w:rsid w:val="005F6A8F"/>
    <w:rsid w:val="005F706D"/>
    <w:rsid w:val="005F734C"/>
    <w:rsid w:val="00600064"/>
    <w:rsid w:val="006056B5"/>
    <w:rsid w:val="00607669"/>
    <w:rsid w:val="00610C99"/>
    <w:rsid w:val="0061296B"/>
    <w:rsid w:val="00612ABE"/>
    <w:rsid w:val="00612F97"/>
    <w:rsid w:val="00616802"/>
    <w:rsid w:val="00617E12"/>
    <w:rsid w:val="006208E8"/>
    <w:rsid w:val="00621477"/>
    <w:rsid w:val="006214D6"/>
    <w:rsid w:val="006236C7"/>
    <w:rsid w:val="006266CA"/>
    <w:rsid w:val="00627262"/>
    <w:rsid w:val="006276C3"/>
    <w:rsid w:val="00631D6B"/>
    <w:rsid w:val="00631E5C"/>
    <w:rsid w:val="0063332E"/>
    <w:rsid w:val="0063479F"/>
    <w:rsid w:val="00634930"/>
    <w:rsid w:val="006364A1"/>
    <w:rsid w:val="00637BFD"/>
    <w:rsid w:val="00637DAC"/>
    <w:rsid w:val="00640CBC"/>
    <w:rsid w:val="0064146D"/>
    <w:rsid w:val="006419C1"/>
    <w:rsid w:val="00642B81"/>
    <w:rsid w:val="00642D41"/>
    <w:rsid w:val="00644891"/>
    <w:rsid w:val="006451BE"/>
    <w:rsid w:val="0064536F"/>
    <w:rsid w:val="006471CC"/>
    <w:rsid w:val="00647D20"/>
    <w:rsid w:val="0065079F"/>
    <w:rsid w:val="00652C9D"/>
    <w:rsid w:val="00653BDD"/>
    <w:rsid w:val="00653D18"/>
    <w:rsid w:val="00654392"/>
    <w:rsid w:val="0065756F"/>
    <w:rsid w:val="00660511"/>
    <w:rsid w:val="00661445"/>
    <w:rsid w:val="006639D7"/>
    <w:rsid w:val="00664985"/>
    <w:rsid w:val="00665758"/>
    <w:rsid w:val="0066585A"/>
    <w:rsid w:val="00666E03"/>
    <w:rsid w:val="006673AD"/>
    <w:rsid w:val="006719D8"/>
    <w:rsid w:val="006723EA"/>
    <w:rsid w:val="00674E42"/>
    <w:rsid w:val="00674EF3"/>
    <w:rsid w:val="00675CF5"/>
    <w:rsid w:val="00676386"/>
    <w:rsid w:val="006771D1"/>
    <w:rsid w:val="006775EB"/>
    <w:rsid w:val="00682112"/>
    <w:rsid w:val="00683B2C"/>
    <w:rsid w:val="0069345D"/>
    <w:rsid w:val="00694AB5"/>
    <w:rsid w:val="00694F44"/>
    <w:rsid w:val="0069655D"/>
    <w:rsid w:val="00697D7D"/>
    <w:rsid w:val="006A149C"/>
    <w:rsid w:val="006A1E14"/>
    <w:rsid w:val="006A3DE1"/>
    <w:rsid w:val="006A7B06"/>
    <w:rsid w:val="006B2CC8"/>
    <w:rsid w:val="006B4935"/>
    <w:rsid w:val="006B7C7B"/>
    <w:rsid w:val="006C0C72"/>
    <w:rsid w:val="006C2A8E"/>
    <w:rsid w:val="006C516C"/>
    <w:rsid w:val="006C5A97"/>
    <w:rsid w:val="006C6CAF"/>
    <w:rsid w:val="006C7E30"/>
    <w:rsid w:val="006D39C9"/>
    <w:rsid w:val="006D3C7D"/>
    <w:rsid w:val="006D51B5"/>
    <w:rsid w:val="006D578F"/>
    <w:rsid w:val="006D67AD"/>
    <w:rsid w:val="006D6EEE"/>
    <w:rsid w:val="006D71F7"/>
    <w:rsid w:val="006D7B08"/>
    <w:rsid w:val="006E121D"/>
    <w:rsid w:val="006E15A5"/>
    <w:rsid w:val="006E4736"/>
    <w:rsid w:val="006E6C78"/>
    <w:rsid w:val="006F0A38"/>
    <w:rsid w:val="006F122B"/>
    <w:rsid w:val="006F2017"/>
    <w:rsid w:val="006F44FB"/>
    <w:rsid w:val="006F63A5"/>
    <w:rsid w:val="006F6FD4"/>
    <w:rsid w:val="00701BE6"/>
    <w:rsid w:val="00701F2D"/>
    <w:rsid w:val="0070276E"/>
    <w:rsid w:val="00702C08"/>
    <w:rsid w:val="00704088"/>
    <w:rsid w:val="007041E1"/>
    <w:rsid w:val="00711703"/>
    <w:rsid w:val="007118CD"/>
    <w:rsid w:val="00711A36"/>
    <w:rsid w:val="00714770"/>
    <w:rsid w:val="00715114"/>
    <w:rsid w:val="007151B7"/>
    <w:rsid w:val="00715705"/>
    <w:rsid w:val="00715CAC"/>
    <w:rsid w:val="007163CF"/>
    <w:rsid w:val="00716C84"/>
    <w:rsid w:val="007172AD"/>
    <w:rsid w:val="00721CAA"/>
    <w:rsid w:val="007234CB"/>
    <w:rsid w:val="00724643"/>
    <w:rsid w:val="00724A39"/>
    <w:rsid w:val="007265FB"/>
    <w:rsid w:val="00730CB8"/>
    <w:rsid w:val="00734782"/>
    <w:rsid w:val="00735328"/>
    <w:rsid w:val="00735DA4"/>
    <w:rsid w:val="00735F84"/>
    <w:rsid w:val="0073685B"/>
    <w:rsid w:val="00736ED6"/>
    <w:rsid w:val="00740208"/>
    <w:rsid w:val="00740B09"/>
    <w:rsid w:val="00742237"/>
    <w:rsid w:val="00742D3E"/>
    <w:rsid w:val="00742DF0"/>
    <w:rsid w:val="00744DC2"/>
    <w:rsid w:val="007474AD"/>
    <w:rsid w:val="0075167F"/>
    <w:rsid w:val="0075394A"/>
    <w:rsid w:val="00753C47"/>
    <w:rsid w:val="007559A3"/>
    <w:rsid w:val="00755F1E"/>
    <w:rsid w:val="007566CB"/>
    <w:rsid w:val="00760DF7"/>
    <w:rsid w:val="00761F64"/>
    <w:rsid w:val="00764ACD"/>
    <w:rsid w:val="00765297"/>
    <w:rsid w:val="0076655D"/>
    <w:rsid w:val="00771880"/>
    <w:rsid w:val="00772476"/>
    <w:rsid w:val="00780443"/>
    <w:rsid w:val="00780546"/>
    <w:rsid w:val="0078517F"/>
    <w:rsid w:val="007856C4"/>
    <w:rsid w:val="007859D4"/>
    <w:rsid w:val="007875BD"/>
    <w:rsid w:val="007901D5"/>
    <w:rsid w:val="00790D04"/>
    <w:rsid w:val="0079247D"/>
    <w:rsid w:val="007944AC"/>
    <w:rsid w:val="00796B77"/>
    <w:rsid w:val="007A04D3"/>
    <w:rsid w:val="007A23D6"/>
    <w:rsid w:val="007A2C7C"/>
    <w:rsid w:val="007A2DAA"/>
    <w:rsid w:val="007A30D5"/>
    <w:rsid w:val="007A3241"/>
    <w:rsid w:val="007B1005"/>
    <w:rsid w:val="007B19BE"/>
    <w:rsid w:val="007B251D"/>
    <w:rsid w:val="007B2FD4"/>
    <w:rsid w:val="007B3475"/>
    <w:rsid w:val="007B3511"/>
    <w:rsid w:val="007B4917"/>
    <w:rsid w:val="007B5F22"/>
    <w:rsid w:val="007B77D1"/>
    <w:rsid w:val="007C0FB6"/>
    <w:rsid w:val="007C10AC"/>
    <w:rsid w:val="007C188B"/>
    <w:rsid w:val="007C1B17"/>
    <w:rsid w:val="007C4FE7"/>
    <w:rsid w:val="007C5C59"/>
    <w:rsid w:val="007C644B"/>
    <w:rsid w:val="007C6B62"/>
    <w:rsid w:val="007C782B"/>
    <w:rsid w:val="007C7EE8"/>
    <w:rsid w:val="007D052E"/>
    <w:rsid w:val="007D0B38"/>
    <w:rsid w:val="007D1692"/>
    <w:rsid w:val="007D17ED"/>
    <w:rsid w:val="007D1C35"/>
    <w:rsid w:val="007D35B0"/>
    <w:rsid w:val="007D7B00"/>
    <w:rsid w:val="007E005E"/>
    <w:rsid w:val="007E0DA5"/>
    <w:rsid w:val="007E0F9B"/>
    <w:rsid w:val="007E1F62"/>
    <w:rsid w:val="007E3DE6"/>
    <w:rsid w:val="007E578B"/>
    <w:rsid w:val="007E650D"/>
    <w:rsid w:val="007E6574"/>
    <w:rsid w:val="007F1001"/>
    <w:rsid w:val="007F1017"/>
    <w:rsid w:val="007F3438"/>
    <w:rsid w:val="007F3DF9"/>
    <w:rsid w:val="007F4A3F"/>
    <w:rsid w:val="007F5A00"/>
    <w:rsid w:val="007F7C71"/>
    <w:rsid w:val="00800E38"/>
    <w:rsid w:val="00801D7A"/>
    <w:rsid w:val="00802C97"/>
    <w:rsid w:val="00805142"/>
    <w:rsid w:val="00805DA6"/>
    <w:rsid w:val="0080662E"/>
    <w:rsid w:val="00807697"/>
    <w:rsid w:val="00807A8B"/>
    <w:rsid w:val="00807F90"/>
    <w:rsid w:val="00811559"/>
    <w:rsid w:val="008115D8"/>
    <w:rsid w:val="008117BB"/>
    <w:rsid w:val="00812149"/>
    <w:rsid w:val="00812C29"/>
    <w:rsid w:val="00812CB8"/>
    <w:rsid w:val="008144C0"/>
    <w:rsid w:val="00814FB0"/>
    <w:rsid w:val="008166EF"/>
    <w:rsid w:val="00816BB2"/>
    <w:rsid w:val="0082436E"/>
    <w:rsid w:val="00825090"/>
    <w:rsid w:val="008252A9"/>
    <w:rsid w:val="00825EC3"/>
    <w:rsid w:val="00826083"/>
    <w:rsid w:val="008264EB"/>
    <w:rsid w:val="008303FC"/>
    <w:rsid w:val="008308ED"/>
    <w:rsid w:val="0083300E"/>
    <w:rsid w:val="00835E6B"/>
    <w:rsid w:val="00837254"/>
    <w:rsid w:val="00840CA2"/>
    <w:rsid w:val="0084156E"/>
    <w:rsid w:val="00842F49"/>
    <w:rsid w:val="00845081"/>
    <w:rsid w:val="008475E4"/>
    <w:rsid w:val="00854128"/>
    <w:rsid w:val="008560BD"/>
    <w:rsid w:val="00856E9A"/>
    <w:rsid w:val="00857E61"/>
    <w:rsid w:val="008601AB"/>
    <w:rsid w:val="00861B6D"/>
    <w:rsid w:val="008645C4"/>
    <w:rsid w:val="00866421"/>
    <w:rsid w:val="00867ACE"/>
    <w:rsid w:val="008755A5"/>
    <w:rsid w:val="00875CBB"/>
    <w:rsid w:val="008803A3"/>
    <w:rsid w:val="00880F0B"/>
    <w:rsid w:val="0088270E"/>
    <w:rsid w:val="00882874"/>
    <w:rsid w:val="0088309A"/>
    <w:rsid w:val="00883126"/>
    <w:rsid w:val="00883787"/>
    <w:rsid w:val="008845B3"/>
    <w:rsid w:val="00884ED9"/>
    <w:rsid w:val="008869EE"/>
    <w:rsid w:val="00887520"/>
    <w:rsid w:val="008936BA"/>
    <w:rsid w:val="0089374A"/>
    <w:rsid w:val="008941CD"/>
    <w:rsid w:val="00895565"/>
    <w:rsid w:val="00895955"/>
    <w:rsid w:val="008963A5"/>
    <w:rsid w:val="008A023A"/>
    <w:rsid w:val="008A0998"/>
    <w:rsid w:val="008A3564"/>
    <w:rsid w:val="008A3C3E"/>
    <w:rsid w:val="008A6981"/>
    <w:rsid w:val="008A79DE"/>
    <w:rsid w:val="008B3B10"/>
    <w:rsid w:val="008B798A"/>
    <w:rsid w:val="008B7D7E"/>
    <w:rsid w:val="008C2A91"/>
    <w:rsid w:val="008C3B54"/>
    <w:rsid w:val="008C6B70"/>
    <w:rsid w:val="008C7ECB"/>
    <w:rsid w:val="008D0FD2"/>
    <w:rsid w:val="008D18F7"/>
    <w:rsid w:val="008D3472"/>
    <w:rsid w:val="008D5CF0"/>
    <w:rsid w:val="008D5FBE"/>
    <w:rsid w:val="008E0279"/>
    <w:rsid w:val="008E1B9E"/>
    <w:rsid w:val="008E3766"/>
    <w:rsid w:val="008E4007"/>
    <w:rsid w:val="008E6761"/>
    <w:rsid w:val="008F2CBF"/>
    <w:rsid w:val="008F48EB"/>
    <w:rsid w:val="008F4F0B"/>
    <w:rsid w:val="008F6644"/>
    <w:rsid w:val="008F7ACA"/>
    <w:rsid w:val="009062A5"/>
    <w:rsid w:val="00911272"/>
    <w:rsid w:val="0091160A"/>
    <w:rsid w:val="0092184F"/>
    <w:rsid w:val="009218DF"/>
    <w:rsid w:val="00922601"/>
    <w:rsid w:val="0092406B"/>
    <w:rsid w:val="00930382"/>
    <w:rsid w:val="00932CB4"/>
    <w:rsid w:val="009339C0"/>
    <w:rsid w:val="009341C3"/>
    <w:rsid w:val="00934722"/>
    <w:rsid w:val="00936155"/>
    <w:rsid w:val="00937C81"/>
    <w:rsid w:val="00940A13"/>
    <w:rsid w:val="00943B66"/>
    <w:rsid w:val="00943E1C"/>
    <w:rsid w:val="0094463F"/>
    <w:rsid w:val="00944926"/>
    <w:rsid w:val="00944EB3"/>
    <w:rsid w:val="00946A92"/>
    <w:rsid w:val="00946AAD"/>
    <w:rsid w:val="0095026D"/>
    <w:rsid w:val="00952245"/>
    <w:rsid w:val="00952FD1"/>
    <w:rsid w:val="0095313C"/>
    <w:rsid w:val="00953689"/>
    <w:rsid w:val="009539D2"/>
    <w:rsid w:val="00955B5D"/>
    <w:rsid w:val="00957539"/>
    <w:rsid w:val="00957C41"/>
    <w:rsid w:val="00960770"/>
    <w:rsid w:val="009607B0"/>
    <w:rsid w:val="00961AF9"/>
    <w:rsid w:val="00962CB9"/>
    <w:rsid w:val="00962F3B"/>
    <w:rsid w:val="00964312"/>
    <w:rsid w:val="00965ED2"/>
    <w:rsid w:val="0096747B"/>
    <w:rsid w:val="009745EF"/>
    <w:rsid w:val="00975D60"/>
    <w:rsid w:val="009763F7"/>
    <w:rsid w:val="0098002F"/>
    <w:rsid w:val="00980B13"/>
    <w:rsid w:val="00983E57"/>
    <w:rsid w:val="00984796"/>
    <w:rsid w:val="009853A0"/>
    <w:rsid w:val="00985849"/>
    <w:rsid w:val="0098647D"/>
    <w:rsid w:val="00986799"/>
    <w:rsid w:val="00991520"/>
    <w:rsid w:val="00991B08"/>
    <w:rsid w:val="00995BE3"/>
    <w:rsid w:val="00996273"/>
    <w:rsid w:val="00996B1A"/>
    <w:rsid w:val="00996D4B"/>
    <w:rsid w:val="00997BF6"/>
    <w:rsid w:val="009A3391"/>
    <w:rsid w:val="009A5712"/>
    <w:rsid w:val="009A5A5F"/>
    <w:rsid w:val="009A66ED"/>
    <w:rsid w:val="009A7189"/>
    <w:rsid w:val="009B1A8E"/>
    <w:rsid w:val="009B3884"/>
    <w:rsid w:val="009B3E26"/>
    <w:rsid w:val="009C0C21"/>
    <w:rsid w:val="009C356C"/>
    <w:rsid w:val="009C435F"/>
    <w:rsid w:val="009C4AF3"/>
    <w:rsid w:val="009C5B43"/>
    <w:rsid w:val="009D0856"/>
    <w:rsid w:val="009D2F50"/>
    <w:rsid w:val="009D5B91"/>
    <w:rsid w:val="009D6D32"/>
    <w:rsid w:val="009D6E04"/>
    <w:rsid w:val="009E01C8"/>
    <w:rsid w:val="009E1050"/>
    <w:rsid w:val="009E20DD"/>
    <w:rsid w:val="009E4C07"/>
    <w:rsid w:val="009F3A64"/>
    <w:rsid w:val="009F3F12"/>
    <w:rsid w:val="009F6675"/>
    <w:rsid w:val="009F771F"/>
    <w:rsid w:val="009F7720"/>
    <w:rsid w:val="00A00F99"/>
    <w:rsid w:val="00A01262"/>
    <w:rsid w:val="00A01AF9"/>
    <w:rsid w:val="00A03324"/>
    <w:rsid w:val="00A03D43"/>
    <w:rsid w:val="00A04380"/>
    <w:rsid w:val="00A11420"/>
    <w:rsid w:val="00A13948"/>
    <w:rsid w:val="00A140C0"/>
    <w:rsid w:val="00A140E8"/>
    <w:rsid w:val="00A163CA"/>
    <w:rsid w:val="00A210BC"/>
    <w:rsid w:val="00A211CF"/>
    <w:rsid w:val="00A2224D"/>
    <w:rsid w:val="00A24AE1"/>
    <w:rsid w:val="00A25159"/>
    <w:rsid w:val="00A26858"/>
    <w:rsid w:val="00A26B35"/>
    <w:rsid w:val="00A26EE8"/>
    <w:rsid w:val="00A271DA"/>
    <w:rsid w:val="00A27AEC"/>
    <w:rsid w:val="00A3481E"/>
    <w:rsid w:val="00A35918"/>
    <w:rsid w:val="00A35D16"/>
    <w:rsid w:val="00A363FB"/>
    <w:rsid w:val="00A37934"/>
    <w:rsid w:val="00A42677"/>
    <w:rsid w:val="00A43C59"/>
    <w:rsid w:val="00A440A6"/>
    <w:rsid w:val="00A44F89"/>
    <w:rsid w:val="00A47CFD"/>
    <w:rsid w:val="00A47FD3"/>
    <w:rsid w:val="00A50ECD"/>
    <w:rsid w:val="00A525A4"/>
    <w:rsid w:val="00A52729"/>
    <w:rsid w:val="00A52FFA"/>
    <w:rsid w:val="00A53675"/>
    <w:rsid w:val="00A554EB"/>
    <w:rsid w:val="00A56B6A"/>
    <w:rsid w:val="00A578DC"/>
    <w:rsid w:val="00A602DD"/>
    <w:rsid w:val="00A60A3F"/>
    <w:rsid w:val="00A62174"/>
    <w:rsid w:val="00A6263E"/>
    <w:rsid w:val="00A65156"/>
    <w:rsid w:val="00A657DD"/>
    <w:rsid w:val="00A65838"/>
    <w:rsid w:val="00A65934"/>
    <w:rsid w:val="00A6725B"/>
    <w:rsid w:val="00A67688"/>
    <w:rsid w:val="00A70525"/>
    <w:rsid w:val="00A70E90"/>
    <w:rsid w:val="00A71558"/>
    <w:rsid w:val="00A72E69"/>
    <w:rsid w:val="00A730B9"/>
    <w:rsid w:val="00A744CA"/>
    <w:rsid w:val="00A757F6"/>
    <w:rsid w:val="00A77471"/>
    <w:rsid w:val="00A806D6"/>
    <w:rsid w:val="00A817A0"/>
    <w:rsid w:val="00A83D01"/>
    <w:rsid w:val="00A86E8B"/>
    <w:rsid w:val="00A90A9D"/>
    <w:rsid w:val="00A93072"/>
    <w:rsid w:val="00A93715"/>
    <w:rsid w:val="00A938EF"/>
    <w:rsid w:val="00A941AD"/>
    <w:rsid w:val="00A960FA"/>
    <w:rsid w:val="00A96730"/>
    <w:rsid w:val="00A97101"/>
    <w:rsid w:val="00A9736F"/>
    <w:rsid w:val="00AA0A07"/>
    <w:rsid w:val="00AA0DD1"/>
    <w:rsid w:val="00AA3207"/>
    <w:rsid w:val="00AA6308"/>
    <w:rsid w:val="00AB042A"/>
    <w:rsid w:val="00AB156B"/>
    <w:rsid w:val="00AB204D"/>
    <w:rsid w:val="00AB3430"/>
    <w:rsid w:val="00AB4E92"/>
    <w:rsid w:val="00AB63FA"/>
    <w:rsid w:val="00AB6E70"/>
    <w:rsid w:val="00AB7CFA"/>
    <w:rsid w:val="00AC11AE"/>
    <w:rsid w:val="00AC7567"/>
    <w:rsid w:val="00AC7A29"/>
    <w:rsid w:val="00AD0EE1"/>
    <w:rsid w:val="00AD2F7D"/>
    <w:rsid w:val="00AD5D2E"/>
    <w:rsid w:val="00AE0822"/>
    <w:rsid w:val="00AE349F"/>
    <w:rsid w:val="00AE46A7"/>
    <w:rsid w:val="00AE634F"/>
    <w:rsid w:val="00AF0A9A"/>
    <w:rsid w:val="00AF2AFB"/>
    <w:rsid w:val="00AF330F"/>
    <w:rsid w:val="00AF3404"/>
    <w:rsid w:val="00AF49BA"/>
    <w:rsid w:val="00AF4A2F"/>
    <w:rsid w:val="00AF5623"/>
    <w:rsid w:val="00AF7677"/>
    <w:rsid w:val="00AF7DD1"/>
    <w:rsid w:val="00B02E1C"/>
    <w:rsid w:val="00B04C0B"/>
    <w:rsid w:val="00B04E67"/>
    <w:rsid w:val="00B062D2"/>
    <w:rsid w:val="00B06AE6"/>
    <w:rsid w:val="00B06E0B"/>
    <w:rsid w:val="00B103B9"/>
    <w:rsid w:val="00B177CE"/>
    <w:rsid w:val="00B237B8"/>
    <w:rsid w:val="00B263C3"/>
    <w:rsid w:val="00B27D97"/>
    <w:rsid w:val="00B3015A"/>
    <w:rsid w:val="00B3033B"/>
    <w:rsid w:val="00B33398"/>
    <w:rsid w:val="00B33518"/>
    <w:rsid w:val="00B36A57"/>
    <w:rsid w:val="00B37009"/>
    <w:rsid w:val="00B37A6B"/>
    <w:rsid w:val="00B4016D"/>
    <w:rsid w:val="00B40D20"/>
    <w:rsid w:val="00B417B6"/>
    <w:rsid w:val="00B41A96"/>
    <w:rsid w:val="00B41D63"/>
    <w:rsid w:val="00B42851"/>
    <w:rsid w:val="00B441FF"/>
    <w:rsid w:val="00B472B0"/>
    <w:rsid w:val="00B4737C"/>
    <w:rsid w:val="00B47AA6"/>
    <w:rsid w:val="00B52270"/>
    <w:rsid w:val="00B52C1A"/>
    <w:rsid w:val="00B53553"/>
    <w:rsid w:val="00B54B5B"/>
    <w:rsid w:val="00B555A9"/>
    <w:rsid w:val="00B5562E"/>
    <w:rsid w:val="00B556B7"/>
    <w:rsid w:val="00B55873"/>
    <w:rsid w:val="00B56836"/>
    <w:rsid w:val="00B57000"/>
    <w:rsid w:val="00B607FF"/>
    <w:rsid w:val="00B608CF"/>
    <w:rsid w:val="00B60939"/>
    <w:rsid w:val="00B60AFD"/>
    <w:rsid w:val="00B616A7"/>
    <w:rsid w:val="00B6211E"/>
    <w:rsid w:val="00B62715"/>
    <w:rsid w:val="00B62E49"/>
    <w:rsid w:val="00B630EB"/>
    <w:rsid w:val="00B640BB"/>
    <w:rsid w:val="00B66331"/>
    <w:rsid w:val="00B674B6"/>
    <w:rsid w:val="00B67BEC"/>
    <w:rsid w:val="00B71E96"/>
    <w:rsid w:val="00B720FD"/>
    <w:rsid w:val="00B7321D"/>
    <w:rsid w:val="00B74053"/>
    <w:rsid w:val="00B740D2"/>
    <w:rsid w:val="00B76628"/>
    <w:rsid w:val="00B77A3A"/>
    <w:rsid w:val="00B805E6"/>
    <w:rsid w:val="00B818A4"/>
    <w:rsid w:val="00B818A5"/>
    <w:rsid w:val="00B83E3F"/>
    <w:rsid w:val="00B85B0E"/>
    <w:rsid w:val="00B85E68"/>
    <w:rsid w:val="00B85FA8"/>
    <w:rsid w:val="00B8649C"/>
    <w:rsid w:val="00B92D0B"/>
    <w:rsid w:val="00B92F57"/>
    <w:rsid w:val="00B938C8"/>
    <w:rsid w:val="00B94945"/>
    <w:rsid w:val="00B9623D"/>
    <w:rsid w:val="00B96295"/>
    <w:rsid w:val="00BA03F7"/>
    <w:rsid w:val="00BA1DAF"/>
    <w:rsid w:val="00BA48AD"/>
    <w:rsid w:val="00BA5826"/>
    <w:rsid w:val="00BA682D"/>
    <w:rsid w:val="00BB13E8"/>
    <w:rsid w:val="00BB28DE"/>
    <w:rsid w:val="00BB3F8F"/>
    <w:rsid w:val="00BB7645"/>
    <w:rsid w:val="00BC155A"/>
    <w:rsid w:val="00BC21B9"/>
    <w:rsid w:val="00BC5BFC"/>
    <w:rsid w:val="00BC61FF"/>
    <w:rsid w:val="00BD0DAA"/>
    <w:rsid w:val="00BD2B70"/>
    <w:rsid w:val="00BD32D6"/>
    <w:rsid w:val="00BD39F1"/>
    <w:rsid w:val="00BD3E2F"/>
    <w:rsid w:val="00BE2180"/>
    <w:rsid w:val="00BE4275"/>
    <w:rsid w:val="00BE44EC"/>
    <w:rsid w:val="00BE6F20"/>
    <w:rsid w:val="00BE7268"/>
    <w:rsid w:val="00BE771D"/>
    <w:rsid w:val="00BF23ED"/>
    <w:rsid w:val="00BF2433"/>
    <w:rsid w:val="00BF38DD"/>
    <w:rsid w:val="00BF50E4"/>
    <w:rsid w:val="00BF5706"/>
    <w:rsid w:val="00BF6055"/>
    <w:rsid w:val="00BF609C"/>
    <w:rsid w:val="00BF61C9"/>
    <w:rsid w:val="00BF7473"/>
    <w:rsid w:val="00C018DD"/>
    <w:rsid w:val="00C10983"/>
    <w:rsid w:val="00C13EF8"/>
    <w:rsid w:val="00C14039"/>
    <w:rsid w:val="00C14099"/>
    <w:rsid w:val="00C15A8F"/>
    <w:rsid w:val="00C203C2"/>
    <w:rsid w:val="00C2097C"/>
    <w:rsid w:val="00C22DF3"/>
    <w:rsid w:val="00C25418"/>
    <w:rsid w:val="00C2588D"/>
    <w:rsid w:val="00C25D9C"/>
    <w:rsid w:val="00C31649"/>
    <w:rsid w:val="00C31E96"/>
    <w:rsid w:val="00C3274A"/>
    <w:rsid w:val="00C331F6"/>
    <w:rsid w:val="00C3391C"/>
    <w:rsid w:val="00C34718"/>
    <w:rsid w:val="00C35883"/>
    <w:rsid w:val="00C35D4F"/>
    <w:rsid w:val="00C35E69"/>
    <w:rsid w:val="00C36AFC"/>
    <w:rsid w:val="00C40385"/>
    <w:rsid w:val="00C4217A"/>
    <w:rsid w:val="00C423A4"/>
    <w:rsid w:val="00C4272E"/>
    <w:rsid w:val="00C42AE7"/>
    <w:rsid w:val="00C46CF5"/>
    <w:rsid w:val="00C46EEB"/>
    <w:rsid w:val="00C47800"/>
    <w:rsid w:val="00C47AF4"/>
    <w:rsid w:val="00C56EFD"/>
    <w:rsid w:val="00C57789"/>
    <w:rsid w:val="00C57904"/>
    <w:rsid w:val="00C57F87"/>
    <w:rsid w:val="00C61F75"/>
    <w:rsid w:val="00C63897"/>
    <w:rsid w:val="00C63EA4"/>
    <w:rsid w:val="00C64993"/>
    <w:rsid w:val="00C65576"/>
    <w:rsid w:val="00C66165"/>
    <w:rsid w:val="00C66745"/>
    <w:rsid w:val="00C66EFB"/>
    <w:rsid w:val="00C67519"/>
    <w:rsid w:val="00C70765"/>
    <w:rsid w:val="00C71BF7"/>
    <w:rsid w:val="00C74BDD"/>
    <w:rsid w:val="00C74EB5"/>
    <w:rsid w:val="00C76930"/>
    <w:rsid w:val="00C77B13"/>
    <w:rsid w:val="00C8056D"/>
    <w:rsid w:val="00C80BF1"/>
    <w:rsid w:val="00C81D31"/>
    <w:rsid w:val="00C8213F"/>
    <w:rsid w:val="00C8339E"/>
    <w:rsid w:val="00C843FB"/>
    <w:rsid w:val="00C869A0"/>
    <w:rsid w:val="00C8797A"/>
    <w:rsid w:val="00C90261"/>
    <w:rsid w:val="00C91D08"/>
    <w:rsid w:val="00C93804"/>
    <w:rsid w:val="00C938CF"/>
    <w:rsid w:val="00C95E9F"/>
    <w:rsid w:val="00C96D91"/>
    <w:rsid w:val="00C9750F"/>
    <w:rsid w:val="00CA17E5"/>
    <w:rsid w:val="00CA2963"/>
    <w:rsid w:val="00CA5245"/>
    <w:rsid w:val="00CA6014"/>
    <w:rsid w:val="00CA6865"/>
    <w:rsid w:val="00CA7B09"/>
    <w:rsid w:val="00CB19DE"/>
    <w:rsid w:val="00CB2809"/>
    <w:rsid w:val="00CB45DA"/>
    <w:rsid w:val="00CB496A"/>
    <w:rsid w:val="00CB5B1A"/>
    <w:rsid w:val="00CB6DCB"/>
    <w:rsid w:val="00CC0400"/>
    <w:rsid w:val="00CC09AD"/>
    <w:rsid w:val="00CC0D8D"/>
    <w:rsid w:val="00CC1E3A"/>
    <w:rsid w:val="00CC226E"/>
    <w:rsid w:val="00CC238E"/>
    <w:rsid w:val="00CC4B03"/>
    <w:rsid w:val="00CC4BB5"/>
    <w:rsid w:val="00CC5A77"/>
    <w:rsid w:val="00CC68CD"/>
    <w:rsid w:val="00CC7835"/>
    <w:rsid w:val="00CC7F2A"/>
    <w:rsid w:val="00CD0F81"/>
    <w:rsid w:val="00CD259B"/>
    <w:rsid w:val="00CD51E2"/>
    <w:rsid w:val="00CD55A8"/>
    <w:rsid w:val="00CD6ADC"/>
    <w:rsid w:val="00CE6274"/>
    <w:rsid w:val="00CF1070"/>
    <w:rsid w:val="00CF1277"/>
    <w:rsid w:val="00CF44DD"/>
    <w:rsid w:val="00CF456B"/>
    <w:rsid w:val="00CF559E"/>
    <w:rsid w:val="00CF5A22"/>
    <w:rsid w:val="00CF67D4"/>
    <w:rsid w:val="00CF6B7B"/>
    <w:rsid w:val="00CF7EF6"/>
    <w:rsid w:val="00D00751"/>
    <w:rsid w:val="00D0262E"/>
    <w:rsid w:val="00D04C42"/>
    <w:rsid w:val="00D06FD4"/>
    <w:rsid w:val="00D110BD"/>
    <w:rsid w:val="00D12AF5"/>
    <w:rsid w:val="00D12B80"/>
    <w:rsid w:val="00D15D5B"/>
    <w:rsid w:val="00D17D6C"/>
    <w:rsid w:val="00D201E5"/>
    <w:rsid w:val="00D22769"/>
    <w:rsid w:val="00D232DF"/>
    <w:rsid w:val="00D2363A"/>
    <w:rsid w:val="00D23E20"/>
    <w:rsid w:val="00D2517E"/>
    <w:rsid w:val="00D303FF"/>
    <w:rsid w:val="00D33F76"/>
    <w:rsid w:val="00D34238"/>
    <w:rsid w:val="00D35184"/>
    <w:rsid w:val="00D36C05"/>
    <w:rsid w:val="00D44281"/>
    <w:rsid w:val="00D50BD0"/>
    <w:rsid w:val="00D56C62"/>
    <w:rsid w:val="00D605BA"/>
    <w:rsid w:val="00D612EF"/>
    <w:rsid w:val="00D620D4"/>
    <w:rsid w:val="00D63239"/>
    <w:rsid w:val="00D65A47"/>
    <w:rsid w:val="00D664EF"/>
    <w:rsid w:val="00D673DC"/>
    <w:rsid w:val="00D70B97"/>
    <w:rsid w:val="00D762BB"/>
    <w:rsid w:val="00D76A44"/>
    <w:rsid w:val="00D77613"/>
    <w:rsid w:val="00D81560"/>
    <w:rsid w:val="00D83AAA"/>
    <w:rsid w:val="00D83BEF"/>
    <w:rsid w:val="00D83FF2"/>
    <w:rsid w:val="00D86CCD"/>
    <w:rsid w:val="00D87AA4"/>
    <w:rsid w:val="00D93753"/>
    <w:rsid w:val="00D94D72"/>
    <w:rsid w:val="00D95EAF"/>
    <w:rsid w:val="00D969A9"/>
    <w:rsid w:val="00D96AA7"/>
    <w:rsid w:val="00DA4A93"/>
    <w:rsid w:val="00DA77A5"/>
    <w:rsid w:val="00DA7EBB"/>
    <w:rsid w:val="00DB1EB5"/>
    <w:rsid w:val="00DB30C7"/>
    <w:rsid w:val="00DB4821"/>
    <w:rsid w:val="00DB6795"/>
    <w:rsid w:val="00DC4D63"/>
    <w:rsid w:val="00DC5501"/>
    <w:rsid w:val="00DD0EB9"/>
    <w:rsid w:val="00DD0EBE"/>
    <w:rsid w:val="00DD1403"/>
    <w:rsid w:val="00DD16DB"/>
    <w:rsid w:val="00DD2072"/>
    <w:rsid w:val="00DD2428"/>
    <w:rsid w:val="00DD37E1"/>
    <w:rsid w:val="00DD3F28"/>
    <w:rsid w:val="00DD4537"/>
    <w:rsid w:val="00DD4E15"/>
    <w:rsid w:val="00DD727E"/>
    <w:rsid w:val="00DD78A1"/>
    <w:rsid w:val="00DE3A60"/>
    <w:rsid w:val="00DE4FCB"/>
    <w:rsid w:val="00DE5115"/>
    <w:rsid w:val="00DE5949"/>
    <w:rsid w:val="00DE7B37"/>
    <w:rsid w:val="00DE7C17"/>
    <w:rsid w:val="00DF35A7"/>
    <w:rsid w:val="00DF451A"/>
    <w:rsid w:val="00DF4DE7"/>
    <w:rsid w:val="00DF75E8"/>
    <w:rsid w:val="00E05368"/>
    <w:rsid w:val="00E06235"/>
    <w:rsid w:val="00E10149"/>
    <w:rsid w:val="00E15A1A"/>
    <w:rsid w:val="00E16372"/>
    <w:rsid w:val="00E171BE"/>
    <w:rsid w:val="00E172B0"/>
    <w:rsid w:val="00E17872"/>
    <w:rsid w:val="00E17A77"/>
    <w:rsid w:val="00E20ED6"/>
    <w:rsid w:val="00E21358"/>
    <w:rsid w:val="00E21D2B"/>
    <w:rsid w:val="00E2249B"/>
    <w:rsid w:val="00E24C2D"/>
    <w:rsid w:val="00E24E41"/>
    <w:rsid w:val="00E25D57"/>
    <w:rsid w:val="00E26AF1"/>
    <w:rsid w:val="00E2771E"/>
    <w:rsid w:val="00E27A31"/>
    <w:rsid w:val="00E30B70"/>
    <w:rsid w:val="00E33CE1"/>
    <w:rsid w:val="00E35984"/>
    <w:rsid w:val="00E35AD6"/>
    <w:rsid w:val="00E362A4"/>
    <w:rsid w:val="00E37569"/>
    <w:rsid w:val="00E41CB3"/>
    <w:rsid w:val="00E41D4A"/>
    <w:rsid w:val="00E41E30"/>
    <w:rsid w:val="00E469F4"/>
    <w:rsid w:val="00E47B2C"/>
    <w:rsid w:val="00E47B5E"/>
    <w:rsid w:val="00E5067A"/>
    <w:rsid w:val="00E53219"/>
    <w:rsid w:val="00E55424"/>
    <w:rsid w:val="00E55EA9"/>
    <w:rsid w:val="00E55EAB"/>
    <w:rsid w:val="00E577E9"/>
    <w:rsid w:val="00E61670"/>
    <w:rsid w:val="00E65657"/>
    <w:rsid w:val="00E65E79"/>
    <w:rsid w:val="00E67416"/>
    <w:rsid w:val="00E67873"/>
    <w:rsid w:val="00E718B6"/>
    <w:rsid w:val="00E72BB8"/>
    <w:rsid w:val="00E72C74"/>
    <w:rsid w:val="00E73581"/>
    <w:rsid w:val="00E77033"/>
    <w:rsid w:val="00E77501"/>
    <w:rsid w:val="00E81DFA"/>
    <w:rsid w:val="00E821A9"/>
    <w:rsid w:val="00E83BDF"/>
    <w:rsid w:val="00E85E5A"/>
    <w:rsid w:val="00E91EE0"/>
    <w:rsid w:val="00E920B9"/>
    <w:rsid w:val="00E9349C"/>
    <w:rsid w:val="00E93A60"/>
    <w:rsid w:val="00E945CC"/>
    <w:rsid w:val="00E956C2"/>
    <w:rsid w:val="00E96365"/>
    <w:rsid w:val="00E97748"/>
    <w:rsid w:val="00EA0463"/>
    <w:rsid w:val="00EA0B8C"/>
    <w:rsid w:val="00EA199A"/>
    <w:rsid w:val="00EA227A"/>
    <w:rsid w:val="00EA3234"/>
    <w:rsid w:val="00EA3864"/>
    <w:rsid w:val="00EA640B"/>
    <w:rsid w:val="00EB0FC1"/>
    <w:rsid w:val="00EB137A"/>
    <w:rsid w:val="00EB1D1A"/>
    <w:rsid w:val="00EB2B0C"/>
    <w:rsid w:val="00EB2FFB"/>
    <w:rsid w:val="00EB4220"/>
    <w:rsid w:val="00EB4BA9"/>
    <w:rsid w:val="00EB6CA7"/>
    <w:rsid w:val="00EB7B73"/>
    <w:rsid w:val="00EC00C9"/>
    <w:rsid w:val="00EC2BED"/>
    <w:rsid w:val="00EC418B"/>
    <w:rsid w:val="00EC43C8"/>
    <w:rsid w:val="00EC458A"/>
    <w:rsid w:val="00EC4EB3"/>
    <w:rsid w:val="00ED1948"/>
    <w:rsid w:val="00ED5482"/>
    <w:rsid w:val="00ED59C7"/>
    <w:rsid w:val="00ED707E"/>
    <w:rsid w:val="00ED7673"/>
    <w:rsid w:val="00EE07D3"/>
    <w:rsid w:val="00EE137F"/>
    <w:rsid w:val="00EE738C"/>
    <w:rsid w:val="00EE7C96"/>
    <w:rsid w:val="00EF1690"/>
    <w:rsid w:val="00EF1F66"/>
    <w:rsid w:val="00EF2B02"/>
    <w:rsid w:val="00EF6D01"/>
    <w:rsid w:val="00EF739F"/>
    <w:rsid w:val="00EF747B"/>
    <w:rsid w:val="00F00300"/>
    <w:rsid w:val="00F03350"/>
    <w:rsid w:val="00F03806"/>
    <w:rsid w:val="00F058C9"/>
    <w:rsid w:val="00F067A2"/>
    <w:rsid w:val="00F06E7A"/>
    <w:rsid w:val="00F07EA8"/>
    <w:rsid w:val="00F11BC8"/>
    <w:rsid w:val="00F11DA5"/>
    <w:rsid w:val="00F11DCC"/>
    <w:rsid w:val="00F1249B"/>
    <w:rsid w:val="00F12B62"/>
    <w:rsid w:val="00F15E43"/>
    <w:rsid w:val="00F16575"/>
    <w:rsid w:val="00F21BBB"/>
    <w:rsid w:val="00F22EC6"/>
    <w:rsid w:val="00F2385D"/>
    <w:rsid w:val="00F24837"/>
    <w:rsid w:val="00F24F55"/>
    <w:rsid w:val="00F2575F"/>
    <w:rsid w:val="00F2588D"/>
    <w:rsid w:val="00F26CE8"/>
    <w:rsid w:val="00F27D4E"/>
    <w:rsid w:val="00F314C6"/>
    <w:rsid w:val="00F338FF"/>
    <w:rsid w:val="00F33DE9"/>
    <w:rsid w:val="00F35FE7"/>
    <w:rsid w:val="00F36102"/>
    <w:rsid w:val="00F3619A"/>
    <w:rsid w:val="00F3623E"/>
    <w:rsid w:val="00F40140"/>
    <w:rsid w:val="00F40ED3"/>
    <w:rsid w:val="00F42B10"/>
    <w:rsid w:val="00F42C00"/>
    <w:rsid w:val="00F4502D"/>
    <w:rsid w:val="00F46CB6"/>
    <w:rsid w:val="00F47835"/>
    <w:rsid w:val="00F52E6C"/>
    <w:rsid w:val="00F532D1"/>
    <w:rsid w:val="00F5375E"/>
    <w:rsid w:val="00F55E73"/>
    <w:rsid w:val="00F56D9C"/>
    <w:rsid w:val="00F57342"/>
    <w:rsid w:val="00F60A4E"/>
    <w:rsid w:val="00F61D9A"/>
    <w:rsid w:val="00F62189"/>
    <w:rsid w:val="00F62A6E"/>
    <w:rsid w:val="00F65FA9"/>
    <w:rsid w:val="00F67090"/>
    <w:rsid w:val="00F70A0F"/>
    <w:rsid w:val="00F749AB"/>
    <w:rsid w:val="00F74C2D"/>
    <w:rsid w:val="00F751E0"/>
    <w:rsid w:val="00F75585"/>
    <w:rsid w:val="00F75D8E"/>
    <w:rsid w:val="00F76D07"/>
    <w:rsid w:val="00F80B0A"/>
    <w:rsid w:val="00F80E5D"/>
    <w:rsid w:val="00F81F0E"/>
    <w:rsid w:val="00F8275C"/>
    <w:rsid w:val="00F828AE"/>
    <w:rsid w:val="00F851CE"/>
    <w:rsid w:val="00F868E7"/>
    <w:rsid w:val="00F86BAA"/>
    <w:rsid w:val="00F9074C"/>
    <w:rsid w:val="00F91962"/>
    <w:rsid w:val="00F9453B"/>
    <w:rsid w:val="00F96B39"/>
    <w:rsid w:val="00F97A78"/>
    <w:rsid w:val="00FA3B49"/>
    <w:rsid w:val="00FA6FE8"/>
    <w:rsid w:val="00FB2FCB"/>
    <w:rsid w:val="00FB41AA"/>
    <w:rsid w:val="00FB4EF1"/>
    <w:rsid w:val="00FB729D"/>
    <w:rsid w:val="00FB754A"/>
    <w:rsid w:val="00FB7BCA"/>
    <w:rsid w:val="00FB7C2D"/>
    <w:rsid w:val="00FC07D0"/>
    <w:rsid w:val="00FC1074"/>
    <w:rsid w:val="00FC1884"/>
    <w:rsid w:val="00FC1DC3"/>
    <w:rsid w:val="00FC2B5B"/>
    <w:rsid w:val="00FC3DE5"/>
    <w:rsid w:val="00FC6BDB"/>
    <w:rsid w:val="00FC6CEB"/>
    <w:rsid w:val="00FC7AEB"/>
    <w:rsid w:val="00FD0090"/>
    <w:rsid w:val="00FD0BB4"/>
    <w:rsid w:val="00FD0EC6"/>
    <w:rsid w:val="00FD0F71"/>
    <w:rsid w:val="00FD2100"/>
    <w:rsid w:val="00FD446D"/>
    <w:rsid w:val="00FD5715"/>
    <w:rsid w:val="00FD5ADC"/>
    <w:rsid w:val="00FD7DFE"/>
    <w:rsid w:val="00FE2334"/>
    <w:rsid w:val="00FE5A92"/>
    <w:rsid w:val="00FE70B2"/>
    <w:rsid w:val="00FF0E29"/>
    <w:rsid w:val="00FF0E93"/>
    <w:rsid w:val="00FF1B95"/>
    <w:rsid w:val="00FF25DE"/>
    <w:rsid w:val="00FF287E"/>
    <w:rsid w:val="00FF2D64"/>
    <w:rsid w:val="00FF3DCF"/>
    <w:rsid w:val="00FF45CC"/>
    <w:rsid w:val="00FF5817"/>
    <w:rsid w:val="00FF5AA3"/>
    <w:rsid w:val="00FF7A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2B8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323460"/>
    <w:pPr>
      <w:numPr>
        <w:numId w:val="4"/>
      </w:numPr>
      <w:outlineLvl w:val="0"/>
    </w:pPr>
    <w:rPr>
      <w:rFonts w:ascii="Arial" w:hAnsi="Arial" w:cs="Arial"/>
      <w:snapToGrid w:val="0"/>
      <w:sz w:val="22"/>
      <w:szCs w:val="22"/>
      <w:lang w:eastAsia="en-US"/>
    </w:rPr>
  </w:style>
  <w:style w:type="table" w:customStyle="1" w:styleId="TableGridbeth4">
    <w:name w:val="Table Gridbeth4"/>
    <w:basedOn w:val="TableNormal"/>
    <w:next w:val="TableGrid"/>
    <w:uiPriority w:val="59"/>
    <w:rsid w:val="004B354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Normal"/>
    <w:link w:val="TableNotesChar"/>
    <w:qFormat/>
    <w:rsid w:val="00A77471"/>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rsid w:val="00A77471"/>
    <w:rPr>
      <w:rFonts w:ascii="Arial" w:hAnsi="Arial"/>
      <w:sz w:val="16"/>
      <w:szCs w:val="16"/>
    </w:rPr>
  </w:style>
  <w:style w:type="table" w:customStyle="1" w:styleId="TableGridbeth1">
    <w:name w:val="Table Gridbeth1"/>
    <w:basedOn w:val="TableNormal"/>
    <w:next w:val="TableGrid"/>
    <w:uiPriority w:val="59"/>
    <w:rsid w:val="00D612E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rsid w:val="0083300E"/>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rsid w:val="003200B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rsid w:val="008C6B7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F1657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
    <w:name w:val="Table Style"/>
    <w:basedOn w:val="TableNormal"/>
    <w:rsid w:val="008A6981"/>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table" w:customStyle="1" w:styleId="TableGridbeth41">
    <w:name w:val="Table Gridbeth41"/>
    <w:basedOn w:val="TableNormal"/>
    <w:next w:val="TableGrid"/>
    <w:uiPriority w:val="59"/>
    <w:rsid w:val="00F827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FC6BDB"/>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FC6BDB"/>
    <w:rPr>
      <w:rFonts w:ascii="Arial" w:hAnsi="Arial" w:cs="Arial"/>
      <w:snapToGrid w:val="0"/>
      <w:sz w:val="22"/>
      <w:lang w:eastAsia="en-US"/>
    </w:rPr>
  </w:style>
  <w:style w:type="table" w:customStyle="1" w:styleId="TableGridbeth21">
    <w:name w:val="Table Gridbeth21"/>
    <w:basedOn w:val="TableNormal"/>
    <w:next w:val="TableGrid"/>
    <w:rsid w:val="00AC75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1">
    <w:name w:val="Table Gridbeth31"/>
    <w:basedOn w:val="TableNormal"/>
    <w:next w:val="TableGrid"/>
    <w:rsid w:val="00AC75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AC756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61D73"/>
  </w:style>
  <w:style w:type="character" w:customStyle="1" w:styleId="Heading1Char">
    <w:name w:val="Heading 1 Char"/>
    <w:basedOn w:val="DefaultParagraphFont"/>
    <w:link w:val="Heading1"/>
    <w:rsid w:val="00161D73"/>
    <w:rPr>
      <w:rFonts w:ascii="Arial Bold" w:hAnsi="Arial Bold" w:cs="Arial"/>
      <w:b/>
      <w:caps/>
      <w:snapToGrid w:val="0"/>
      <w:sz w:val="22"/>
      <w:lang w:eastAsia="en-US"/>
    </w:rPr>
  </w:style>
  <w:style w:type="character" w:customStyle="1" w:styleId="Heading3Char">
    <w:name w:val="Heading 3 Char"/>
    <w:basedOn w:val="DefaultParagraphFont"/>
    <w:link w:val="Heading3"/>
    <w:rsid w:val="00161D73"/>
    <w:rPr>
      <w:rFonts w:ascii="Arial" w:hAnsi="Arial" w:cs="Arial"/>
      <w:snapToGrid w:val="0"/>
      <w:sz w:val="22"/>
      <w:u w:val="single"/>
      <w:lang w:eastAsia="en-US"/>
    </w:rPr>
  </w:style>
  <w:style w:type="character" w:customStyle="1" w:styleId="Heading4Char">
    <w:name w:val="Heading 4 Char"/>
    <w:basedOn w:val="DefaultParagraphFont"/>
    <w:link w:val="Heading4"/>
    <w:rsid w:val="00161D7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61D7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61D73"/>
    <w:rPr>
      <w:rFonts w:ascii="Arial" w:hAnsi="Arial" w:cs="Arial"/>
      <w:b/>
      <w:bCs/>
      <w:i/>
      <w:snapToGrid w:val="0"/>
      <w:sz w:val="22"/>
      <w:szCs w:val="22"/>
      <w:lang w:eastAsia="en-US"/>
    </w:rPr>
  </w:style>
  <w:style w:type="table" w:customStyle="1" w:styleId="TableGridbeth8">
    <w:name w:val="Table Gridbeth8"/>
    <w:basedOn w:val="TableNormal"/>
    <w:next w:val="TableGrid"/>
    <w:rsid w:val="0016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2">
    <w:name w:val="Table Gridbeth42"/>
    <w:basedOn w:val="TableNormal"/>
    <w:next w:val="TableGrid"/>
    <w:uiPriority w:val="59"/>
    <w:rsid w:val="00161D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1D73"/>
    <w:rPr>
      <w:i/>
      <w:iCs/>
    </w:rPr>
  </w:style>
  <w:style w:type="character" w:customStyle="1" w:styleId="apple-converted-space">
    <w:name w:val="apple-converted-space"/>
    <w:basedOn w:val="DefaultParagraphFont"/>
    <w:rsid w:val="00161D73"/>
  </w:style>
  <w:style w:type="paragraph" w:customStyle="1" w:styleId="Default">
    <w:name w:val="Default"/>
    <w:rsid w:val="00161D73"/>
    <w:pPr>
      <w:autoSpaceDE w:val="0"/>
      <w:autoSpaceDN w:val="0"/>
      <w:adjustRightInd w:val="0"/>
    </w:pPr>
    <w:rPr>
      <w:color w:val="000000"/>
      <w:sz w:val="24"/>
      <w:szCs w:val="24"/>
      <w:lang w:val="en-US" w:eastAsia="en-US"/>
    </w:rPr>
  </w:style>
  <w:style w:type="paragraph" w:customStyle="1" w:styleId="TableText1">
    <w:name w:val="Table Text"/>
    <w:basedOn w:val="Normal"/>
    <w:link w:val="TableTextChar0"/>
    <w:qFormat/>
    <w:rsid w:val="00161D73"/>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61D73"/>
    <w:rPr>
      <w:rFonts w:ascii="Arial" w:hAnsi="Arial"/>
      <w:color w:val="000000"/>
      <w:szCs w:val="18"/>
      <w:lang w:eastAsia="en-US"/>
    </w:rPr>
  </w:style>
  <w:style w:type="paragraph" w:customStyle="1" w:styleId="Tableheading0">
    <w:name w:val="Table heading"/>
    <w:basedOn w:val="Normal"/>
    <w:link w:val="TableheadingChar"/>
    <w:rsid w:val="00161D73"/>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161D73"/>
    <w:rPr>
      <w:rFonts w:ascii="Arial" w:hAnsi="Arial"/>
      <w:b/>
      <w:bCs/>
      <w:lang w:eastAsia="en-US"/>
    </w:rPr>
  </w:style>
  <w:style w:type="table" w:customStyle="1" w:styleId="TableGridbeth51">
    <w:name w:val="Table Gridbeth51"/>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wcp_Footnote,Footnote_Bas Page,Footnote Text Char Char,Footnote Text Char2,Footnote Text Char Char1"/>
    <w:basedOn w:val="Normal"/>
    <w:link w:val="FootnoteTextChar"/>
    <w:unhideWhenUsed/>
    <w:rsid w:val="00161D73"/>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161D73"/>
    <w:rPr>
      <w:rFonts w:ascii="Arial" w:hAnsi="Arial" w:cs="Arial"/>
      <w:snapToGrid w:val="0"/>
      <w:lang w:eastAsia="en-US"/>
    </w:rPr>
  </w:style>
  <w:style w:type="character" w:styleId="FootnoteReference">
    <w:name w:val="footnote reference"/>
    <w:basedOn w:val="DefaultParagraphFont"/>
    <w:uiPriority w:val="99"/>
    <w:semiHidden/>
    <w:unhideWhenUsed/>
    <w:rsid w:val="00161D73"/>
    <w:rPr>
      <w:vertAlign w:val="superscript"/>
    </w:rPr>
  </w:style>
  <w:style w:type="table" w:customStyle="1" w:styleId="TableGridbeth61">
    <w:name w:val="Table Gridbeth61"/>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9">
    <w:name w:val="Table Gridbeth9"/>
    <w:basedOn w:val="TableNormal"/>
    <w:next w:val="TableGrid"/>
    <w:rsid w:val="0016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2">
    <w:name w:val="Table Gridbeth52"/>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5C0C60"/>
    <w:rPr>
      <w:rFonts w:ascii="Lucida Grande" w:hAnsi="Lucida Grande" w:cs="Lucida Grande"/>
      <w:sz w:val="24"/>
      <w:szCs w:val="24"/>
    </w:rPr>
  </w:style>
  <w:style w:type="character" w:customStyle="1" w:styleId="DocumentMapChar">
    <w:name w:val="Document Map Char"/>
    <w:basedOn w:val="DefaultParagraphFont"/>
    <w:link w:val="DocumentMap"/>
    <w:semiHidden/>
    <w:rsid w:val="005C0C60"/>
    <w:rPr>
      <w:rFonts w:ascii="Lucida Grande" w:hAnsi="Lucida Grande" w:cs="Lucida Grande"/>
      <w:snapToGrid w:val="0"/>
      <w:sz w:val="24"/>
      <w:szCs w:val="24"/>
      <w:lang w:eastAsia="en-US"/>
    </w:rPr>
  </w:style>
  <w:style w:type="table" w:customStyle="1" w:styleId="TableGridbeth10">
    <w:name w:val="Table Gridbeth10"/>
    <w:basedOn w:val="TableNormal"/>
    <w:next w:val="TableGrid"/>
    <w:uiPriority w:val="59"/>
    <w:rsid w:val="00CF127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3">
    <w:name w:val="Table Gridbeth53"/>
    <w:basedOn w:val="TableNormal"/>
    <w:next w:val="TableGrid"/>
    <w:uiPriority w:val="39"/>
    <w:rsid w:val="00991B0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5394A"/>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ListParagraph"/>
    <w:next w:val="Normal"/>
    <w:link w:val="SubtitleChar"/>
    <w:uiPriority w:val="11"/>
    <w:qFormat/>
    <w:rsid w:val="00454C7A"/>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454C7A"/>
    <w:rPr>
      <w:rFonts w:eastAsiaTheme="majorEastAsia" w:cs="Arial"/>
      <w:snapToGrid w:val="0"/>
      <w:sz w:val="24"/>
      <w:szCs w:val="24"/>
      <w:lang w:eastAsia="en-US"/>
    </w:rPr>
  </w:style>
  <w:style w:type="character" w:styleId="IntenseReference">
    <w:name w:val="Intense Reference"/>
    <w:basedOn w:val="DefaultParagraphFont"/>
    <w:uiPriority w:val="32"/>
    <w:rsid w:val="00454C7A"/>
    <w:rPr>
      <w:b/>
      <w:bCs/>
      <w:smallCaps/>
      <w:color w:val="C0504D" w:themeColor="accent2"/>
      <w:spacing w:val="5"/>
      <w:u w:val="single"/>
    </w:rPr>
  </w:style>
  <w:style w:type="character" w:styleId="FollowedHyperlink">
    <w:name w:val="FollowedHyperlink"/>
    <w:basedOn w:val="DefaultParagraphFont"/>
    <w:semiHidden/>
    <w:unhideWhenUsed/>
    <w:rsid w:val="00807F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2B8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323460"/>
    <w:pPr>
      <w:numPr>
        <w:numId w:val="4"/>
      </w:numPr>
      <w:outlineLvl w:val="0"/>
    </w:pPr>
    <w:rPr>
      <w:rFonts w:ascii="Arial" w:hAnsi="Arial" w:cs="Arial"/>
      <w:snapToGrid w:val="0"/>
      <w:sz w:val="22"/>
      <w:szCs w:val="22"/>
      <w:lang w:eastAsia="en-US"/>
    </w:rPr>
  </w:style>
  <w:style w:type="table" w:customStyle="1" w:styleId="TableGridbeth4">
    <w:name w:val="Table Gridbeth4"/>
    <w:basedOn w:val="TableNormal"/>
    <w:next w:val="TableGrid"/>
    <w:uiPriority w:val="59"/>
    <w:rsid w:val="004B354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Normal"/>
    <w:link w:val="TableNotesChar"/>
    <w:qFormat/>
    <w:rsid w:val="00A77471"/>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rsid w:val="00A77471"/>
    <w:rPr>
      <w:rFonts w:ascii="Arial" w:hAnsi="Arial"/>
      <w:sz w:val="16"/>
      <w:szCs w:val="16"/>
    </w:rPr>
  </w:style>
  <w:style w:type="table" w:customStyle="1" w:styleId="TableGridbeth1">
    <w:name w:val="Table Gridbeth1"/>
    <w:basedOn w:val="TableNormal"/>
    <w:next w:val="TableGrid"/>
    <w:uiPriority w:val="59"/>
    <w:rsid w:val="00D612EF"/>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rsid w:val="0083300E"/>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rsid w:val="003200B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rsid w:val="008C6B7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F1657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
    <w:name w:val="Table Style"/>
    <w:basedOn w:val="TableNormal"/>
    <w:rsid w:val="008A6981"/>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table" w:customStyle="1" w:styleId="TableGridbeth41">
    <w:name w:val="Table Gridbeth41"/>
    <w:basedOn w:val="TableNormal"/>
    <w:next w:val="TableGrid"/>
    <w:uiPriority w:val="59"/>
    <w:rsid w:val="00F827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FC6BDB"/>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34"/>
    <w:rsid w:val="00FC6BDB"/>
    <w:rPr>
      <w:rFonts w:ascii="Arial" w:hAnsi="Arial" w:cs="Arial"/>
      <w:snapToGrid w:val="0"/>
      <w:sz w:val="22"/>
      <w:lang w:eastAsia="en-US"/>
    </w:rPr>
  </w:style>
  <w:style w:type="table" w:customStyle="1" w:styleId="TableGridbeth21">
    <w:name w:val="Table Gridbeth21"/>
    <w:basedOn w:val="TableNormal"/>
    <w:next w:val="TableGrid"/>
    <w:rsid w:val="00AC75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1">
    <w:name w:val="Table Gridbeth31"/>
    <w:basedOn w:val="TableNormal"/>
    <w:next w:val="TableGrid"/>
    <w:rsid w:val="00AC756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7">
    <w:name w:val="Table Gridbeth7"/>
    <w:basedOn w:val="TableNormal"/>
    <w:next w:val="TableGrid"/>
    <w:uiPriority w:val="59"/>
    <w:rsid w:val="00AC756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61D73"/>
  </w:style>
  <w:style w:type="character" w:customStyle="1" w:styleId="Heading1Char">
    <w:name w:val="Heading 1 Char"/>
    <w:basedOn w:val="DefaultParagraphFont"/>
    <w:link w:val="Heading1"/>
    <w:rsid w:val="00161D73"/>
    <w:rPr>
      <w:rFonts w:ascii="Arial Bold" w:hAnsi="Arial Bold" w:cs="Arial"/>
      <w:b/>
      <w:caps/>
      <w:snapToGrid w:val="0"/>
      <w:sz w:val="22"/>
      <w:lang w:eastAsia="en-US"/>
    </w:rPr>
  </w:style>
  <w:style w:type="character" w:customStyle="1" w:styleId="Heading3Char">
    <w:name w:val="Heading 3 Char"/>
    <w:basedOn w:val="DefaultParagraphFont"/>
    <w:link w:val="Heading3"/>
    <w:rsid w:val="00161D73"/>
    <w:rPr>
      <w:rFonts w:ascii="Arial" w:hAnsi="Arial" w:cs="Arial"/>
      <w:snapToGrid w:val="0"/>
      <w:sz w:val="22"/>
      <w:u w:val="single"/>
      <w:lang w:eastAsia="en-US"/>
    </w:rPr>
  </w:style>
  <w:style w:type="character" w:customStyle="1" w:styleId="Heading4Char">
    <w:name w:val="Heading 4 Char"/>
    <w:basedOn w:val="DefaultParagraphFont"/>
    <w:link w:val="Heading4"/>
    <w:rsid w:val="00161D73"/>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61D73"/>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61D73"/>
    <w:rPr>
      <w:rFonts w:ascii="Arial" w:hAnsi="Arial" w:cs="Arial"/>
      <w:b/>
      <w:bCs/>
      <w:i/>
      <w:snapToGrid w:val="0"/>
      <w:sz w:val="22"/>
      <w:szCs w:val="22"/>
      <w:lang w:eastAsia="en-US"/>
    </w:rPr>
  </w:style>
  <w:style w:type="table" w:customStyle="1" w:styleId="TableGridbeth8">
    <w:name w:val="Table Gridbeth8"/>
    <w:basedOn w:val="TableNormal"/>
    <w:next w:val="TableGrid"/>
    <w:rsid w:val="0016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2">
    <w:name w:val="Table Gridbeth42"/>
    <w:basedOn w:val="TableNormal"/>
    <w:next w:val="TableGrid"/>
    <w:uiPriority w:val="59"/>
    <w:rsid w:val="00161D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61D73"/>
    <w:rPr>
      <w:i/>
      <w:iCs/>
    </w:rPr>
  </w:style>
  <w:style w:type="character" w:customStyle="1" w:styleId="apple-converted-space">
    <w:name w:val="apple-converted-space"/>
    <w:basedOn w:val="DefaultParagraphFont"/>
    <w:rsid w:val="00161D73"/>
  </w:style>
  <w:style w:type="paragraph" w:customStyle="1" w:styleId="Default">
    <w:name w:val="Default"/>
    <w:rsid w:val="00161D73"/>
    <w:pPr>
      <w:autoSpaceDE w:val="0"/>
      <w:autoSpaceDN w:val="0"/>
      <w:adjustRightInd w:val="0"/>
    </w:pPr>
    <w:rPr>
      <w:color w:val="000000"/>
      <w:sz w:val="24"/>
      <w:szCs w:val="24"/>
      <w:lang w:val="en-US" w:eastAsia="en-US"/>
    </w:rPr>
  </w:style>
  <w:style w:type="paragraph" w:customStyle="1" w:styleId="TableText1">
    <w:name w:val="Table Text"/>
    <w:basedOn w:val="Normal"/>
    <w:link w:val="TableTextChar0"/>
    <w:qFormat/>
    <w:rsid w:val="00161D73"/>
    <w:pPr>
      <w:widowControl/>
      <w:spacing w:before="40" w:after="60"/>
      <w:jc w:val="left"/>
    </w:pPr>
    <w:rPr>
      <w:rFonts w:cs="Times New Roman"/>
      <w:snapToGrid/>
      <w:color w:val="000000"/>
      <w:sz w:val="20"/>
      <w:szCs w:val="18"/>
    </w:rPr>
  </w:style>
  <w:style w:type="character" w:customStyle="1" w:styleId="TableTextChar0">
    <w:name w:val="Table Text Char"/>
    <w:link w:val="TableText1"/>
    <w:rsid w:val="00161D73"/>
    <w:rPr>
      <w:rFonts w:ascii="Arial" w:hAnsi="Arial"/>
      <w:color w:val="000000"/>
      <w:szCs w:val="18"/>
      <w:lang w:eastAsia="en-US"/>
    </w:rPr>
  </w:style>
  <w:style w:type="paragraph" w:customStyle="1" w:styleId="Tableheading0">
    <w:name w:val="Table heading"/>
    <w:basedOn w:val="Normal"/>
    <w:link w:val="TableheadingChar"/>
    <w:rsid w:val="00161D73"/>
    <w:pPr>
      <w:keepNext/>
      <w:keepLines/>
      <w:widowControl/>
      <w:spacing w:before="60" w:after="60"/>
      <w:jc w:val="left"/>
    </w:pPr>
    <w:rPr>
      <w:rFonts w:cs="Times New Roman"/>
      <w:b/>
      <w:bCs/>
      <w:snapToGrid/>
      <w:sz w:val="20"/>
    </w:rPr>
  </w:style>
  <w:style w:type="character" w:customStyle="1" w:styleId="TableheadingChar">
    <w:name w:val="Table heading Char"/>
    <w:link w:val="Tableheading0"/>
    <w:rsid w:val="00161D73"/>
    <w:rPr>
      <w:rFonts w:ascii="Arial" w:hAnsi="Arial"/>
      <w:b/>
      <w:bCs/>
      <w:lang w:eastAsia="en-US"/>
    </w:rPr>
  </w:style>
  <w:style w:type="table" w:customStyle="1" w:styleId="TableGridbeth51">
    <w:name w:val="Table Gridbeth51"/>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wcp_Footnote,Footnote_Bas Page,Footnote Text Char Char,Footnote Text Char2,Footnote Text Char Char1"/>
    <w:basedOn w:val="Normal"/>
    <w:link w:val="FootnoteTextChar"/>
    <w:unhideWhenUsed/>
    <w:rsid w:val="00161D73"/>
    <w:rPr>
      <w:sz w:val="20"/>
    </w:rPr>
  </w:style>
  <w:style w:type="character" w:customStyle="1" w:styleId="FootnoteTextChar">
    <w:name w:val="Footnote Text Char"/>
    <w:aliases w:val="Char Char,wcp_Footnote Char,Footnote_Bas Page Char,Footnote Text Char Char Char,Footnote Text Char2 Char,Footnote Text Char Char1 Char"/>
    <w:basedOn w:val="DefaultParagraphFont"/>
    <w:link w:val="FootnoteText"/>
    <w:rsid w:val="00161D73"/>
    <w:rPr>
      <w:rFonts w:ascii="Arial" w:hAnsi="Arial" w:cs="Arial"/>
      <w:snapToGrid w:val="0"/>
      <w:lang w:eastAsia="en-US"/>
    </w:rPr>
  </w:style>
  <w:style w:type="character" w:styleId="FootnoteReference">
    <w:name w:val="footnote reference"/>
    <w:basedOn w:val="DefaultParagraphFont"/>
    <w:uiPriority w:val="99"/>
    <w:semiHidden/>
    <w:unhideWhenUsed/>
    <w:rsid w:val="00161D73"/>
    <w:rPr>
      <w:vertAlign w:val="superscript"/>
    </w:rPr>
  </w:style>
  <w:style w:type="table" w:customStyle="1" w:styleId="TableGridbeth61">
    <w:name w:val="Table Gridbeth61"/>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9">
    <w:name w:val="Table Gridbeth9"/>
    <w:basedOn w:val="TableNormal"/>
    <w:next w:val="TableGrid"/>
    <w:rsid w:val="0016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2">
    <w:name w:val="Table Gridbeth52"/>
    <w:basedOn w:val="TableNormal"/>
    <w:next w:val="TableGrid"/>
    <w:uiPriority w:val="39"/>
    <w:rsid w:val="00161D7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5C0C60"/>
    <w:rPr>
      <w:rFonts w:ascii="Lucida Grande" w:hAnsi="Lucida Grande" w:cs="Lucida Grande"/>
      <w:sz w:val="24"/>
      <w:szCs w:val="24"/>
    </w:rPr>
  </w:style>
  <w:style w:type="character" w:customStyle="1" w:styleId="DocumentMapChar">
    <w:name w:val="Document Map Char"/>
    <w:basedOn w:val="DefaultParagraphFont"/>
    <w:link w:val="DocumentMap"/>
    <w:semiHidden/>
    <w:rsid w:val="005C0C60"/>
    <w:rPr>
      <w:rFonts w:ascii="Lucida Grande" w:hAnsi="Lucida Grande" w:cs="Lucida Grande"/>
      <w:snapToGrid w:val="0"/>
      <w:sz w:val="24"/>
      <w:szCs w:val="24"/>
      <w:lang w:eastAsia="en-US"/>
    </w:rPr>
  </w:style>
  <w:style w:type="table" w:customStyle="1" w:styleId="TableGridbeth10">
    <w:name w:val="Table Gridbeth10"/>
    <w:basedOn w:val="TableNormal"/>
    <w:next w:val="TableGrid"/>
    <w:uiPriority w:val="59"/>
    <w:rsid w:val="00CF127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3">
    <w:name w:val="Table Gridbeth53"/>
    <w:basedOn w:val="TableNormal"/>
    <w:next w:val="TableGrid"/>
    <w:uiPriority w:val="39"/>
    <w:rsid w:val="00991B0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5394A"/>
    <w:pPr>
      <w:widowControl/>
      <w:spacing w:after="160" w:line="240" w:lineRule="exact"/>
      <w:jc w:val="left"/>
    </w:pPr>
    <w:rPr>
      <w:rFonts w:ascii="Verdana" w:eastAsia="MS Mincho" w:hAnsi="Verdana" w:cs="Verdana"/>
      <w:snapToGrid/>
      <w:sz w:val="20"/>
      <w:lang w:val="en-US"/>
    </w:rPr>
  </w:style>
  <w:style w:type="paragraph" w:styleId="Subtitle">
    <w:name w:val="Subtitle"/>
    <w:aliases w:val="PBAC Paragraph"/>
    <w:basedOn w:val="ListParagraph"/>
    <w:next w:val="Normal"/>
    <w:link w:val="SubtitleChar"/>
    <w:uiPriority w:val="11"/>
    <w:qFormat/>
    <w:rsid w:val="00454C7A"/>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454C7A"/>
    <w:rPr>
      <w:rFonts w:eastAsiaTheme="majorEastAsia" w:cs="Arial"/>
      <w:snapToGrid w:val="0"/>
      <w:sz w:val="24"/>
      <w:szCs w:val="24"/>
      <w:lang w:eastAsia="en-US"/>
    </w:rPr>
  </w:style>
  <w:style w:type="character" w:styleId="IntenseReference">
    <w:name w:val="Intense Reference"/>
    <w:basedOn w:val="DefaultParagraphFont"/>
    <w:uiPriority w:val="32"/>
    <w:rsid w:val="00454C7A"/>
    <w:rPr>
      <w:b/>
      <w:bCs/>
      <w:smallCaps/>
      <w:color w:val="C0504D" w:themeColor="accent2"/>
      <w:spacing w:val="5"/>
      <w:u w:val="single"/>
    </w:rPr>
  </w:style>
  <w:style w:type="character" w:styleId="FollowedHyperlink">
    <w:name w:val="FollowedHyperlink"/>
    <w:basedOn w:val="DefaultParagraphFont"/>
    <w:semiHidden/>
    <w:unhideWhenUsed/>
    <w:rsid w:val="00807F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013">
      <w:bodyDiv w:val="1"/>
      <w:marLeft w:val="0"/>
      <w:marRight w:val="0"/>
      <w:marTop w:val="0"/>
      <w:marBottom w:val="0"/>
      <w:divBdr>
        <w:top w:val="none" w:sz="0" w:space="0" w:color="auto"/>
        <w:left w:val="none" w:sz="0" w:space="0" w:color="auto"/>
        <w:bottom w:val="none" w:sz="0" w:space="0" w:color="auto"/>
        <w:right w:val="none" w:sz="0" w:space="0" w:color="auto"/>
      </w:divBdr>
    </w:div>
    <w:div w:id="47455753">
      <w:bodyDiv w:val="1"/>
      <w:marLeft w:val="0"/>
      <w:marRight w:val="0"/>
      <w:marTop w:val="0"/>
      <w:marBottom w:val="0"/>
      <w:divBdr>
        <w:top w:val="none" w:sz="0" w:space="0" w:color="auto"/>
        <w:left w:val="none" w:sz="0" w:space="0" w:color="auto"/>
        <w:bottom w:val="none" w:sz="0" w:space="0" w:color="auto"/>
        <w:right w:val="none" w:sz="0" w:space="0" w:color="auto"/>
      </w:divBdr>
    </w:div>
    <w:div w:id="132645622">
      <w:bodyDiv w:val="1"/>
      <w:marLeft w:val="0"/>
      <w:marRight w:val="0"/>
      <w:marTop w:val="0"/>
      <w:marBottom w:val="0"/>
      <w:divBdr>
        <w:top w:val="none" w:sz="0" w:space="0" w:color="auto"/>
        <w:left w:val="none" w:sz="0" w:space="0" w:color="auto"/>
        <w:bottom w:val="none" w:sz="0" w:space="0" w:color="auto"/>
        <w:right w:val="none" w:sz="0" w:space="0" w:color="auto"/>
      </w:divBdr>
    </w:div>
    <w:div w:id="220138095">
      <w:bodyDiv w:val="1"/>
      <w:marLeft w:val="0"/>
      <w:marRight w:val="0"/>
      <w:marTop w:val="0"/>
      <w:marBottom w:val="0"/>
      <w:divBdr>
        <w:top w:val="none" w:sz="0" w:space="0" w:color="auto"/>
        <w:left w:val="none" w:sz="0" w:space="0" w:color="auto"/>
        <w:bottom w:val="none" w:sz="0" w:space="0" w:color="auto"/>
        <w:right w:val="none" w:sz="0" w:space="0" w:color="auto"/>
      </w:divBdr>
    </w:div>
    <w:div w:id="297611515">
      <w:bodyDiv w:val="1"/>
      <w:marLeft w:val="0"/>
      <w:marRight w:val="0"/>
      <w:marTop w:val="0"/>
      <w:marBottom w:val="0"/>
      <w:divBdr>
        <w:top w:val="none" w:sz="0" w:space="0" w:color="auto"/>
        <w:left w:val="none" w:sz="0" w:space="0" w:color="auto"/>
        <w:bottom w:val="none" w:sz="0" w:space="0" w:color="auto"/>
        <w:right w:val="none" w:sz="0" w:space="0" w:color="auto"/>
      </w:divBdr>
    </w:div>
    <w:div w:id="306013238">
      <w:bodyDiv w:val="1"/>
      <w:marLeft w:val="0"/>
      <w:marRight w:val="0"/>
      <w:marTop w:val="0"/>
      <w:marBottom w:val="0"/>
      <w:divBdr>
        <w:top w:val="none" w:sz="0" w:space="0" w:color="auto"/>
        <w:left w:val="none" w:sz="0" w:space="0" w:color="auto"/>
        <w:bottom w:val="none" w:sz="0" w:space="0" w:color="auto"/>
        <w:right w:val="none" w:sz="0" w:space="0" w:color="auto"/>
      </w:divBdr>
    </w:div>
    <w:div w:id="378356654">
      <w:bodyDiv w:val="1"/>
      <w:marLeft w:val="0"/>
      <w:marRight w:val="0"/>
      <w:marTop w:val="0"/>
      <w:marBottom w:val="0"/>
      <w:divBdr>
        <w:top w:val="none" w:sz="0" w:space="0" w:color="auto"/>
        <w:left w:val="none" w:sz="0" w:space="0" w:color="auto"/>
        <w:bottom w:val="none" w:sz="0" w:space="0" w:color="auto"/>
        <w:right w:val="none" w:sz="0" w:space="0" w:color="auto"/>
      </w:divBdr>
    </w:div>
    <w:div w:id="424694703">
      <w:bodyDiv w:val="1"/>
      <w:marLeft w:val="0"/>
      <w:marRight w:val="0"/>
      <w:marTop w:val="0"/>
      <w:marBottom w:val="0"/>
      <w:divBdr>
        <w:top w:val="none" w:sz="0" w:space="0" w:color="auto"/>
        <w:left w:val="none" w:sz="0" w:space="0" w:color="auto"/>
        <w:bottom w:val="none" w:sz="0" w:space="0" w:color="auto"/>
        <w:right w:val="none" w:sz="0" w:space="0" w:color="auto"/>
      </w:divBdr>
    </w:div>
    <w:div w:id="596639826">
      <w:bodyDiv w:val="1"/>
      <w:marLeft w:val="0"/>
      <w:marRight w:val="0"/>
      <w:marTop w:val="0"/>
      <w:marBottom w:val="0"/>
      <w:divBdr>
        <w:top w:val="none" w:sz="0" w:space="0" w:color="auto"/>
        <w:left w:val="none" w:sz="0" w:space="0" w:color="auto"/>
        <w:bottom w:val="none" w:sz="0" w:space="0" w:color="auto"/>
        <w:right w:val="none" w:sz="0" w:space="0" w:color="auto"/>
      </w:divBdr>
    </w:div>
    <w:div w:id="797183628">
      <w:bodyDiv w:val="1"/>
      <w:marLeft w:val="0"/>
      <w:marRight w:val="0"/>
      <w:marTop w:val="0"/>
      <w:marBottom w:val="0"/>
      <w:divBdr>
        <w:top w:val="none" w:sz="0" w:space="0" w:color="auto"/>
        <w:left w:val="none" w:sz="0" w:space="0" w:color="auto"/>
        <w:bottom w:val="none" w:sz="0" w:space="0" w:color="auto"/>
        <w:right w:val="none" w:sz="0" w:space="0" w:color="auto"/>
      </w:divBdr>
    </w:div>
    <w:div w:id="860824298">
      <w:bodyDiv w:val="1"/>
      <w:marLeft w:val="0"/>
      <w:marRight w:val="0"/>
      <w:marTop w:val="0"/>
      <w:marBottom w:val="0"/>
      <w:divBdr>
        <w:top w:val="none" w:sz="0" w:space="0" w:color="auto"/>
        <w:left w:val="none" w:sz="0" w:space="0" w:color="auto"/>
        <w:bottom w:val="none" w:sz="0" w:space="0" w:color="auto"/>
        <w:right w:val="none" w:sz="0" w:space="0" w:color="auto"/>
      </w:divBdr>
    </w:div>
    <w:div w:id="864443328">
      <w:bodyDiv w:val="1"/>
      <w:marLeft w:val="0"/>
      <w:marRight w:val="0"/>
      <w:marTop w:val="0"/>
      <w:marBottom w:val="0"/>
      <w:divBdr>
        <w:top w:val="none" w:sz="0" w:space="0" w:color="auto"/>
        <w:left w:val="none" w:sz="0" w:space="0" w:color="auto"/>
        <w:bottom w:val="none" w:sz="0" w:space="0" w:color="auto"/>
        <w:right w:val="none" w:sz="0" w:space="0" w:color="auto"/>
      </w:divBdr>
    </w:div>
    <w:div w:id="981690336">
      <w:bodyDiv w:val="1"/>
      <w:marLeft w:val="0"/>
      <w:marRight w:val="0"/>
      <w:marTop w:val="0"/>
      <w:marBottom w:val="0"/>
      <w:divBdr>
        <w:top w:val="none" w:sz="0" w:space="0" w:color="auto"/>
        <w:left w:val="none" w:sz="0" w:space="0" w:color="auto"/>
        <w:bottom w:val="none" w:sz="0" w:space="0" w:color="auto"/>
        <w:right w:val="none" w:sz="0" w:space="0" w:color="auto"/>
      </w:divBdr>
    </w:div>
    <w:div w:id="989987108">
      <w:bodyDiv w:val="1"/>
      <w:marLeft w:val="0"/>
      <w:marRight w:val="0"/>
      <w:marTop w:val="0"/>
      <w:marBottom w:val="0"/>
      <w:divBdr>
        <w:top w:val="none" w:sz="0" w:space="0" w:color="auto"/>
        <w:left w:val="none" w:sz="0" w:space="0" w:color="auto"/>
        <w:bottom w:val="none" w:sz="0" w:space="0" w:color="auto"/>
        <w:right w:val="none" w:sz="0" w:space="0" w:color="auto"/>
      </w:divBdr>
    </w:div>
    <w:div w:id="1017003848">
      <w:bodyDiv w:val="1"/>
      <w:marLeft w:val="0"/>
      <w:marRight w:val="0"/>
      <w:marTop w:val="0"/>
      <w:marBottom w:val="0"/>
      <w:divBdr>
        <w:top w:val="none" w:sz="0" w:space="0" w:color="auto"/>
        <w:left w:val="none" w:sz="0" w:space="0" w:color="auto"/>
        <w:bottom w:val="none" w:sz="0" w:space="0" w:color="auto"/>
        <w:right w:val="none" w:sz="0" w:space="0" w:color="auto"/>
      </w:divBdr>
    </w:div>
    <w:div w:id="1025715367">
      <w:bodyDiv w:val="1"/>
      <w:marLeft w:val="0"/>
      <w:marRight w:val="0"/>
      <w:marTop w:val="0"/>
      <w:marBottom w:val="0"/>
      <w:divBdr>
        <w:top w:val="none" w:sz="0" w:space="0" w:color="auto"/>
        <w:left w:val="none" w:sz="0" w:space="0" w:color="auto"/>
        <w:bottom w:val="none" w:sz="0" w:space="0" w:color="auto"/>
        <w:right w:val="none" w:sz="0" w:space="0" w:color="auto"/>
      </w:divBdr>
    </w:div>
    <w:div w:id="1041902350">
      <w:bodyDiv w:val="1"/>
      <w:marLeft w:val="0"/>
      <w:marRight w:val="0"/>
      <w:marTop w:val="0"/>
      <w:marBottom w:val="0"/>
      <w:divBdr>
        <w:top w:val="none" w:sz="0" w:space="0" w:color="auto"/>
        <w:left w:val="none" w:sz="0" w:space="0" w:color="auto"/>
        <w:bottom w:val="none" w:sz="0" w:space="0" w:color="auto"/>
        <w:right w:val="none" w:sz="0" w:space="0" w:color="auto"/>
      </w:divBdr>
    </w:div>
    <w:div w:id="1090002561">
      <w:bodyDiv w:val="1"/>
      <w:marLeft w:val="0"/>
      <w:marRight w:val="0"/>
      <w:marTop w:val="0"/>
      <w:marBottom w:val="0"/>
      <w:divBdr>
        <w:top w:val="none" w:sz="0" w:space="0" w:color="auto"/>
        <w:left w:val="none" w:sz="0" w:space="0" w:color="auto"/>
        <w:bottom w:val="none" w:sz="0" w:space="0" w:color="auto"/>
        <w:right w:val="none" w:sz="0" w:space="0" w:color="auto"/>
      </w:divBdr>
    </w:div>
    <w:div w:id="1311062283">
      <w:bodyDiv w:val="1"/>
      <w:marLeft w:val="0"/>
      <w:marRight w:val="0"/>
      <w:marTop w:val="0"/>
      <w:marBottom w:val="0"/>
      <w:divBdr>
        <w:top w:val="none" w:sz="0" w:space="0" w:color="auto"/>
        <w:left w:val="none" w:sz="0" w:space="0" w:color="auto"/>
        <w:bottom w:val="none" w:sz="0" w:space="0" w:color="auto"/>
        <w:right w:val="none" w:sz="0" w:space="0" w:color="auto"/>
      </w:divBdr>
    </w:div>
    <w:div w:id="1367216506">
      <w:bodyDiv w:val="1"/>
      <w:marLeft w:val="0"/>
      <w:marRight w:val="0"/>
      <w:marTop w:val="0"/>
      <w:marBottom w:val="0"/>
      <w:divBdr>
        <w:top w:val="none" w:sz="0" w:space="0" w:color="auto"/>
        <w:left w:val="none" w:sz="0" w:space="0" w:color="auto"/>
        <w:bottom w:val="none" w:sz="0" w:space="0" w:color="auto"/>
        <w:right w:val="none" w:sz="0" w:space="0" w:color="auto"/>
      </w:divBdr>
    </w:div>
    <w:div w:id="1406877604">
      <w:bodyDiv w:val="1"/>
      <w:marLeft w:val="0"/>
      <w:marRight w:val="0"/>
      <w:marTop w:val="0"/>
      <w:marBottom w:val="0"/>
      <w:divBdr>
        <w:top w:val="none" w:sz="0" w:space="0" w:color="auto"/>
        <w:left w:val="none" w:sz="0" w:space="0" w:color="auto"/>
        <w:bottom w:val="none" w:sz="0" w:space="0" w:color="auto"/>
        <w:right w:val="none" w:sz="0" w:space="0" w:color="auto"/>
      </w:divBdr>
    </w:div>
    <w:div w:id="1546526111">
      <w:bodyDiv w:val="1"/>
      <w:marLeft w:val="0"/>
      <w:marRight w:val="0"/>
      <w:marTop w:val="0"/>
      <w:marBottom w:val="0"/>
      <w:divBdr>
        <w:top w:val="none" w:sz="0" w:space="0" w:color="auto"/>
        <w:left w:val="none" w:sz="0" w:space="0" w:color="auto"/>
        <w:bottom w:val="none" w:sz="0" w:space="0" w:color="auto"/>
        <w:right w:val="none" w:sz="0" w:space="0" w:color="auto"/>
      </w:divBdr>
    </w:div>
    <w:div w:id="1608003064">
      <w:bodyDiv w:val="1"/>
      <w:marLeft w:val="0"/>
      <w:marRight w:val="0"/>
      <w:marTop w:val="0"/>
      <w:marBottom w:val="0"/>
      <w:divBdr>
        <w:top w:val="none" w:sz="0" w:space="0" w:color="auto"/>
        <w:left w:val="none" w:sz="0" w:space="0" w:color="auto"/>
        <w:bottom w:val="none" w:sz="0" w:space="0" w:color="auto"/>
        <w:right w:val="none" w:sz="0" w:space="0" w:color="auto"/>
      </w:divBdr>
    </w:div>
    <w:div w:id="1611666404">
      <w:bodyDiv w:val="1"/>
      <w:marLeft w:val="0"/>
      <w:marRight w:val="0"/>
      <w:marTop w:val="0"/>
      <w:marBottom w:val="0"/>
      <w:divBdr>
        <w:top w:val="none" w:sz="0" w:space="0" w:color="auto"/>
        <w:left w:val="none" w:sz="0" w:space="0" w:color="auto"/>
        <w:bottom w:val="none" w:sz="0" w:space="0" w:color="auto"/>
        <w:right w:val="none" w:sz="0" w:space="0" w:color="auto"/>
      </w:divBdr>
    </w:div>
    <w:div w:id="1692757683">
      <w:bodyDiv w:val="1"/>
      <w:marLeft w:val="0"/>
      <w:marRight w:val="0"/>
      <w:marTop w:val="0"/>
      <w:marBottom w:val="0"/>
      <w:divBdr>
        <w:top w:val="none" w:sz="0" w:space="0" w:color="auto"/>
        <w:left w:val="none" w:sz="0" w:space="0" w:color="auto"/>
        <w:bottom w:val="none" w:sz="0" w:space="0" w:color="auto"/>
        <w:right w:val="none" w:sz="0" w:space="0" w:color="auto"/>
      </w:divBdr>
    </w:div>
    <w:div w:id="1739397634">
      <w:bodyDiv w:val="1"/>
      <w:marLeft w:val="0"/>
      <w:marRight w:val="0"/>
      <w:marTop w:val="0"/>
      <w:marBottom w:val="0"/>
      <w:divBdr>
        <w:top w:val="none" w:sz="0" w:space="0" w:color="auto"/>
        <w:left w:val="none" w:sz="0" w:space="0" w:color="auto"/>
        <w:bottom w:val="none" w:sz="0" w:space="0" w:color="auto"/>
        <w:right w:val="none" w:sz="0" w:space="0" w:color="auto"/>
      </w:divBdr>
    </w:div>
    <w:div w:id="1780225165">
      <w:bodyDiv w:val="1"/>
      <w:marLeft w:val="0"/>
      <w:marRight w:val="0"/>
      <w:marTop w:val="0"/>
      <w:marBottom w:val="0"/>
      <w:divBdr>
        <w:top w:val="none" w:sz="0" w:space="0" w:color="auto"/>
        <w:left w:val="none" w:sz="0" w:space="0" w:color="auto"/>
        <w:bottom w:val="none" w:sz="0" w:space="0" w:color="auto"/>
        <w:right w:val="none" w:sz="0" w:space="0" w:color="auto"/>
      </w:divBdr>
    </w:div>
    <w:div w:id="1784301837">
      <w:bodyDiv w:val="1"/>
      <w:marLeft w:val="0"/>
      <w:marRight w:val="0"/>
      <w:marTop w:val="0"/>
      <w:marBottom w:val="0"/>
      <w:divBdr>
        <w:top w:val="none" w:sz="0" w:space="0" w:color="auto"/>
        <w:left w:val="none" w:sz="0" w:space="0" w:color="auto"/>
        <w:bottom w:val="none" w:sz="0" w:space="0" w:color="auto"/>
        <w:right w:val="none" w:sz="0" w:space="0" w:color="auto"/>
      </w:divBdr>
    </w:div>
    <w:div w:id="1814715765">
      <w:bodyDiv w:val="1"/>
      <w:marLeft w:val="0"/>
      <w:marRight w:val="0"/>
      <w:marTop w:val="0"/>
      <w:marBottom w:val="0"/>
      <w:divBdr>
        <w:top w:val="none" w:sz="0" w:space="0" w:color="auto"/>
        <w:left w:val="none" w:sz="0" w:space="0" w:color="auto"/>
        <w:bottom w:val="none" w:sz="0" w:space="0" w:color="auto"/>
        <w:right w:val="none" w:sz="0" w:space="0" w:color="auto"/>
      </w:divBdr>
    </w:div>
    <w:div w:id="1861046591">
      <w:bodyDiv w:val="1"/>
      <w:marLeft w:val="0"/>
      <w:marRight w:val="0"/>
      <w:marTop w:val="0"/>
      <w:marBottom w:val="0"/>
      <w:divBdr>
        <w:top w:val="none" w:sz="0" w:space="0" w:color="auto"/>
        <w:left w:val="none" w:sz="0" w:space="0" w:color="auto"/>
        <w:bottom w:val="none" w:sz="0" w:space="0" w:color="auto"/>
        <w:right w:val="none" w:sz="0" w:space="0" w:color="auto"/>
      </w:divBdr>
    </w:div>
    <w:div w:id="1900705068">
      <w:bodyDiv w:val="1"/>
      <w:marLeft w:val="0"/>
      <w:marRight w:val="0"/>
      <w:marTop w:val="0"/>
      <w:marBottom w:val="0"/>
      <w:divBdr>
        <w:top w:val="none" w:sz="0" w:space="0" w:color="auto"/>
        <w:left w:val="none" w:sz="0" w:space="0" w:color="auto"/>
        <w:bottom w:val="none" w:sz="0" w:space="0" w:color="auto"/>
        <w:right w:val="none" w:sz="0" w:space="0" w:color="auto"/>
      </w:divBdr>
    </w:div>
    <w:div w:id="1919443751">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0008779">
      <w:bodyDiv w:val="1"/>
      <w:marLeft w:val="0"/>
      <w:marRight w:val="0"/>
      <w:marTop w:val="0"/>
      <w:marBottom w:val="0"/>
      <w:divBdr>
        <w:top w:val="none" w:sz="0" w:space="0" w:color="auto"/>
        <w:left w:val="none" w:sz="0" w:space="0" w:color="auto"/>
        <w:bottom w:val="none" w:sz="0" w:space="0" w:color="auto"/>
        <w:right w:val="none" w:sz="0" w:space="0" w:color="auto"/>
      </w:divBdr>
    </w:div>
    <w:div w:id="2105372628">
      <w:bodyDiv w:val="1"/>
      <w:marLeft w:val="0"/>
      <w:marRight w:val="0"/>
      <w:marTop w:val="0"/>
      <w:marBottom w:val="0"/>
      <w:divBdr>
        <w:top w:val="none" w:sz="0" w:space="0" w:color="auto"/>
        <w:left w:val="none" w:sz="0" w:space="0" w:color="auto"/>
        <w:bottom w:val="none" w:sz="0" w:space="0" w:color="auto"/>
        <w:right w:val="none" w:sz="0" w:space="0" w:color="auto"/>
      </w:divBdr>
    </w:div>
    <w:div w:id="21144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831C-3F59-4B36-99B1-FE02D50A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886CE833.dotm</Template>
  <TotalTime>0</TotalTime>
  <Pages>37</Pages>
  <Words>14527</Words>
  <Characters>90074</Characters>
  <Application>Microsoft Office Word</Application>
  <DocSecurity>0</DocSecurity>
  <Lines>750</Lines>
  <Paragraphs>208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2017-05-24T07:21:00Z</dcterms:created>
  <dcterms:modified xsi:type="dcterms:W3CDTF">2017-06-08T06:47:00Z</dcterms:modified>
</cp:coreProperties>
</file>