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EBC" w:rsidRPr="002B0480" w:rsidRDefault="009B1EBC" w:rsidP="002B0480">
      <w:pPr>
        <w:rPr>
          <w:rFonts w:ascii="Arial" w:hAnsi="Arial" w:cs="Arial"/>
          <w:sz w:val="22"/>
          <w:szCs w:val="22"/>
        </w:rPr>
      </w:pPr>
      <w:bookmarkStart w:id="0" w:name="_Toc451749498"/>
      <w:bookmarkStart w:id="1" w:name="_Ref169423921"/>
      <w:bookmarkStart w:id="2" w:name="_Ref169423925"/>
      <w:bookmarkStart w:id="3" w:name="_Toc236559502"/>
      <w:bookmarkStart w:id="4" w:name="_GoBack"/>
      <w:bookmarkEnd w:id="4"/>
    </w:p>
    <w:p w:rsidR="002F36E6" w:rsidRDefault="00EE7756" w:rsidP="0085347B">
      <w:pPr>
        <w:pStyle w:val="Heading1"/>
        <w:spacing w:before="0" w:after="0"/>
        <w:ind w:left="709" w:hanging="709"/>
        <w:jc w:val="left"/>
        <w:rPr>
          <w:rFonts w:ascii="Arial" w:hAnsi="Arial" w:cs="Arial"/>
          <w:i w:val="0"/>
          <w:caps w:val="0"/>
          <w:sz w:val="28"/>
        </w:rPr>
      </w:pPr>
      <w:r>
        <w:rPr>
          <w:rFonts w:ascii="Arial" w:hAnsi="Arial" w:cs="Arial"/>
          <w:i w:val="0"/>
          <w:sz w:val="28"/>
        </w:rPr>
        <w:t>6.04</w:t>
      </w:r>
      <w:r>
        <w:rPr>
          <w:rFonts w:ascii="Arial" w:hAnsi="Arial" w:cs="Arial"/>
          <w:i w:val="0"/>
          <w:sz w:val="28"/>
        </w:rPr>
        <w:tab/>
        <w:t>PEMBROLIZUMAB</w:t>
      </w:r>
      <w:proofErr w:type="gramStart"/>
      <w:r w:rsidRPr="0042747D">
        <w:rPr>
          <w:rFonts w:ascii="Arial" w:hAnsi="Arial" w:cs="Arial"/>
          <w:i w:val="0"/>
          <w:sz w:val="28"/>
        </w:rPr>
        <w:t>,</w:t>
      </w:r>
      <w:proofErr w:type="gramEnd"/>
      <w:r>
        <w:rPr>
          <w:rFonts w:ascii="Arial" w:hAnsi="Arial" w:cs="Arial"/>
          <w:i w:val="0"/>
          <w:caps w:val="0"/>
          <w:sz w:val="28"/>
        </w:rPr>
        <w:br/>
      </w:r>
      <w:r w:rsidR="002F36E6" w:rsidRPr="002F36E6">
        <w:rPr>
          <w:rFonts w:ascii="Arial" w:hAnsi="Arial" w:cs="Arial"/>
          <w:i w:val="0"/>
          <w:caps w:val="0"/>
          <w:sz w:val="28"/>
        </w:rPr>
        <w:t>Injection concentrate for I.V. infusion 100 mg in 4 mL</w:t>
      </w:r>
    </w:p>
    <w:p w:rsidR="00830E40" w:rsidRDefault="00EE7756" w:rsidP="002F36E6">
      <w:pPr>
        <w:pStyle w:val="Heading1"/>
        <w:spacing w:before="0" w:after="0"/>
        <w:ind w:left="709"/>
        <w:jc w:val="left"/>
        <w:rPr>
          <w:rFonts w:ascii="Arial" w:hAnsi="Arial" w:cs="Arial"/>
          <w:i w:val="0"/>
          <w:sz w:val="24"/>
          <w:szCs w:val="24"/>
        </w:rPr>
      </w:pPr>
      <w:r>
        <w:rPr>
          <w:rFonts w:ascii="Arial" w:hAnsi="Arial" w:cs="Arial"/>
          <w:i w:val="0"/>
          <w:caps w:val="0"/>
          <w:sz w:val="28"/>
        </w:rPr>
        <w:t>Powder for injection 50 mg, 1 vial</w:t>
      </w:r>
      <w:r w:rsidRPr="0042747D">
        <w:rPr>
          <w:rFonts w:ascii="Arial" w:hAnsi="Arial" w:cs="Arial"/>
          <w:i w:val="0"/>
          <w:caps w:val="0"/>
          <w:sz w:val="28"/>
        </w:rPr>
        <w:br/>
      </w:r>
      <w:r>
        <w:rPr>
          <w:rFonts w:ascii="Arial" w:hAnsi="Arial" w:cs="Arial"/>
          <w:i w:val="0"/>
          <w:sz w:val="28"/>
        </w:rPr>
        <w:t>KEYTRUDA</w:t>
      </w:r>
      <w:r w:rsidRPr="0042747D">
        <w:rPr>
          <w:rFonts w:ascii="Arial" w:hAnsi="Arial" w:cs="Arial"/>
          <w:i w:val="0"/>
          <w:caps w:val="0"/>
          <w:sz w:val="28"/>
          <w:vertAlign w:val="superscript"/>
        </w:rPr>
        <w:t>®</w:t>
      </w:r>
      <w:r w:rsidRPr="0042747D">
        <w:rPr>
          <w:rFonts w:ascii="Arial" w:hAnsi="Arial" w:cs="Arial"/>
          <w:i w:val="0"/>
          <w:sz w:val="28"/>
        </w:rPr>
        <w:t xml:space="preserve">, </w:t>
      </w:r>
      <w:r w:rsidRPr="0042747D">
        <w:rPr>
          <w:rFonts w:ascii="Arial" w:hAnsi="Arial" w:cs="Arial"/>
          <w:i w:val="0"/>
          <w:sz w:val="28"/>
        </w:rPr>
        <w:br/>
      </w:r>
      <w:r w:rsidRPr="00613273">
        <w:rPr>
          <w:rFonts w:ascii="Arial" w:hAnsi="Arial" w:cs="Arial"/>
          <w:i w:val="0"/>
          <w:caps w:val="0"/>
          <w:sz w:val="28"/>
        </w:rPr>
        <w:t xml:space="preserve">Merck Sharp &amp; Dohme (AU) </w:t>
      </w:r>
      <w:r w:rsidRPr="0042747D">
        <w:rPr>
          <w:rFonts w:ascii="Arial" w:hAnsi="Arial" w:cs="Arial"/>
          <w:i w:val="0"/>
          <w:caps w:val="0"/>
          <w:sz w:val="28"/>
        </w:rPr>
        <w:t>Pty Ltd</w:t>
      </w:r>
    </w:p>
    <w:p w:rsidR="0085347B" w:rsidRDefault="0085347B" w:rsidP="007A265A">
      <w:pPr>
        <w:rPr>
          <w:rFonts w:ascii="Arial" w:hAnsi="Arial" w:cs="Arial"/>
          <w:sz w:val="22"/>
          <w:szCs w:val="22"/>
        </w:rPr>
      </w:pPr>
      <w:bookmarkStart w:id="5" w:name="_Toc236559503"/>
      <w:bookmarkStart w:id="6" w:name="_Toc276476854"/>
      <w:bookmarkStart w:id="7" w:name="_Toc276479890"/>
      <w:bookmarkStart w:id="8" w:name="_Toc276741787"/>
      <w:bookmarkStart w:id="9" w:name="_Toc277608304"/>
      <w:bookmarkStart w:id="10" w:name="_Toc277611869"/>
      <w:bookmarkEnd w:id="0"/>
      <w:bookmarkEnd w:id="1"/>
      <w:bookmarkEnd w:id="2"/>
      <w:bookmarkEnd w:id="3"/>
    </w:p>
    <w:p w:rsidR="00CC54C2" w:rsidRPr="00B43E70" w:rsidRDefault="00CC54C2" w:rsidP="007A265A">
      <w:pPr>
        <w:rPr>
          <w:rFonts w:ascii="Arial" w:hAnsi="Arial" w:cs="Arial"/>
          <w:sz w:val="22"/>
          <w:szCs w:val="22"/>
        </w:rPr>
      </w:pPr>
    </w:p>
    <w:p w:rsidR="007A265A" w:rsidRPr="00B43E70" w:rsidRDefault="007A265A" w:rsidP="007A265A">
      <w:pPr>
        <w:pStyle w:val="PBACHeading10"/>
        <w:numPr>
          <w:ilvl w:val="0"/>
          <w:numId w:val="5"/>
        </w:numPr>
        <w:outlineLvl w:val="0"/>
      </w:pPr>
      <w:r w:rsidRPr="00B43E70">
        <w:t>Purpose of submission</w:t>
      </w:r>
    </w:p>
    <w:p w:rsidR="007A265A" w:rsidRPr="00B43E70" w:rsidRDefault="007A265A" w:rsidP="007A265A">
      <w:pPr>
        <w:rPr>
          <w:rFonts w:ascii="Arial" w:hAnsi="Arial" w:cs="Arial"/>
          <w:sz w:val="22"/>
          <w:szCs w:val="22"/>
        </w:rPr>
      </w:pPr>
    </w:p>
    <w:p w:rsidR="007A265A" w:rsidRPr="007B14F5" w:rsidRDefault="007A265A" w:rsidP="007A265A">
      <w:pPr>
        <w:pStyle w:val="ListParagraph"/>
        <w:numPr>
          <w:ilvl w:val="1"/>
          <w:numId w:val="4"/>
        </w:numPr>
        <w:ind w:left="709"/>
        <w:rPr>
          <w:rFonts w:ascii="Arial" w:hAnsi="Arial" w:cs="Arial"/>
          <w:sz w:val="22"/>
          <w:szCs w:val="22"/>
        </w:rPr>
      </w:pPr>
      <w:r w:rsidRPr="007B14F5">
        <w:rPr>
          <w:rFonts w:ascii="Arial" w:hAnsi="Arial" w:cs="Arial"/>
          <w:sz w:val="22"/>
          <w:szCs w:val="22"/>
        </w:rPr>
        <w:t>The submission requested a Section 100 (Efficient Funding of Chemotherapy)</w:t>
      </w:r>
      <w:r w:rsidR="00C46957">
        <w:rPr>
          <w:rFonts w:ascii="Arial" w:hAnsi="Arial" w:cs="Arial"/>
          <w:sz w:val="22"/>
          <w:szCs w:val="22"/>
        </w:rPr>
        <w:t xml:space="preserve"> (S100 EFC)</w:t>
      </w:r>
      <w:r w:rsidRPr="007B14F5">
        <w:rPr>
          <w:rFonts w:ascii="Arial" w:hAnsi="Arial" w:cs="Arial"/>
          <w:sz w:val="22"/>
          <w:szCs w:val="22"/>
        </w:rPr>
        <w:t xml:space="preserve"> Authority Required listing for the first-line treatment of locally advanced or metastatic non-small cell lung cancer (NSCLC) in patients who do not have an activating epidermal growth factor receptor (</w:t>
      </w:r>
      <w:r w:rsidRPr="00063A99">
        <w:rPr>
          <w:rFonts w:ascii="Arial" w:hAnsi="Arial" w:cs="Arial"/>
          <w:i/>
          <w:sz w:val="22"/>
          <w:szCs w:val="22"/>
        </w:rPr>
        <w:t>EGFR</w:t>
      </w:r>
      <w:r w:rsidRPr="007B14F5">
        <w:rPr>
          <w:rFonts w:ascii="Arial" w:hAnsi="Arial" w:cs="Arial"/>
          <w:sz w:val="22"/>
          <w:szCs w:val="22"/>
        </w:rPr>
        <w:t>) gene mutation or an anaplastic lymphoma kinase (</w:t>
      </w:r>
      <w:r w:rsidRPr="00063A99">
        <w:rPr>
          <w:rFonts w:ascii="Arial" w:hAnsi="Arial" w:cs="Arial"/>
          <w:i/>
          <w:sz w:val="22"/>
          <w:szCs w:val="22"/>
        </w:rPr>
        <w:t>ALK</w:t>
      </w:r>
      <w:r w:rsidRPr="007B14F5">
        <w:rPr>
          <w:rFonts w:ascii="Arial" w:hAnsi="Arial" w:cs="Arial"/>
          <w:sz w:val="22"/>
          <w:szCs w:val="22"/>
        </w:rPr>
        <w:t>) gene rearrangement in tumour material and with evidence of high levels of expression of programmed death ligand 1 (PD-L1), defined as a tumour proportion score (TPS) of ≥50%.</w:t>
      </w:r>
    </w:p>
    <w:p w:rsidR="007A265A" w:rsidRPr="004817C8" w:rsidRDefault="007A265A" w:rsidP="007B14F5">
      <w:pPr>
        <w:pStyle w:val="Paragraphheading1"/>
        <w:outlineLvl w:val="9"/>
        <w:rPr>
          <w:rFonts w:ascii="Arial" w:hAnsi="Arial"/>
          <w:i w:val="0"/>
          <w:sz w:val="22"/>
          <w:szCs w:val="22"/>
        </w:rPr>
      </w:pPr>
    </w:p>
    <w:p w:rsidR="004817C8" w:rsidRPr="004817C8" w:rsidRDefault="004817C8" w:rsidP="007B14F5">
      <w:pPr>
        <w:pStyle w:val="Paragraphheading1"/>
        <w:outlineLvl w:val="9"/>
        <w:rPr>
          <w:rFonts w:ascii="Arial" w:hAnsi="Arial"/>
          <w:i w:val="0"/>
          <w:sz w:val="22"/>
          <w:szCs w:val="22"/>
        </w:rPr>
      </w:pPr>
    </w:p>
    <w:p w:rsidR="008850D7" w:rsidRPr="007B14F5" w:rsidRDefault="008850D7" w:rsidP="007B14F5">
      <w:pPr>
        <w:pStyle w:val="PBACHeading10"/>
        <w:numPr>
          <w:ilvl w:val="0"/>
          <w:numId w:val="4"/>
        </w:numPr>
        <w:outlineLvl w:val="0"/>
      </w:pPr>
      <w:r w:rsidRPr="00B57580">
        <w:t>Requested listing</w:t>
      </w:r>
    </w:p>
    <w:p w:rsidR="007A265A" w:rsidRPr="004817C8" w:rsidRDefault="007A265A" w:rsidP="007B14F5">
      <w:pPr>
        <w:pStyle w:val="PBACHeading10"/>
        <w:ind w:left="0" w:firstLine="0"/>
        <w:rPr>
          <w:b w:val="0"/>
        </w:rPr>
      </w:pPr>
    </w:p>
    <w:p w:rsidR="00EF4B93" w:rsidRPr="007B14F5" w:rsidRDefault="000F4679" w:rsidP="00234274">
      <w:pPr>
        <w:pStyle w:val="ListParagraph"/>
        <w:numPr>
          <w:ilvl w:val="1"/>
          <w:numId w:val="4"/>
        </w:numPr>
        <w:ind w:left="709"/>
        <w:rPr>
          <w:rFonts w:ascii="Arial" w:hAnsi="Arial" w:cs="Arial"/>
          <w:sz w:val="22"/>
          <w:szCs w:val="22"/>
        </w:rPr>
      </w:pPr>
      <w:bookmarkStart w:id="11" w:name="_Toc431891721"/>
      <w:bookmarkStart w:id="12" w:name="_Toc431891723"/>
      <w:r w:rsidRPr="007B14F5">
        <w:rPr>
          <w:rFonts w:ascii="Arial" w:hAnsi="Arial" w:cs="Arial"/>
          <w:sz w:val="22"/>
          <w:szCs w:val="22"/>
        </w:rPr>
        <w:t xml:space="preserve">The requested PBS listing is shown below. </w:t>
      </w:r>
      <w:r w:rsidR="00B27F20" w:rsidRPr="007B14F5">
        <w:rPr>
          <w:rFonts w:ascii="Arial" w:hAnsi="Arial" w:cs="Arial"/>
          <w:sz w:val="22"/>
          <w:szCs w:val="22"/>
        </w:rPr>
        <w:t xml:space="preserve">The submission </w:t>
      </w:r>
      <w:r w:rsidR="00A66FD1">
        <w:rPr>
          <w:rFonts w:ascii="Arial" w:hAnsi="Arial" w:cs="Arial"/>
          <w:sz w:val="22"/>
          <w:szCs w:val="22"/>
        </w:rPr>
        <w:t>requested</w:t>
      </w:r>
      <w:r w:rsidR="00B27F20" w:rsidRPr="007B14F5">
        <w:rPr>
          <w:rFonts w:ascii="Arial" w:hAnsi="Arial" w:cs="Arial"/>
          <w:sz w:val="22"/>
          <w:szCs w:val="22"/>
        </w:rPr>
        <w:t xml:space="preserve"> a special pricing arrangement.</w:t>
      </w:r>
    </w:p>
    <w:p w:rsidR="00682D70" w:rsidRDefault="00682D70">
      <w:pPr>
        <w:jc w:val="left"/>
        <w:rPr>
          <w:rFonts w:ascii="Arial" w:hAnsi="Arial" w:cs="Arial"/>
          <w:sz w:val="22"/>
          <w:szCs w:val="22"/>
        </w:rPr>
      </w:pPr>
    </w:p>
    <w:tbl>
      <w:tblPr>
        <w:tblW w:w="5000" w:type="pct"/>
        <w:tblLook w:val="0000" w:firstRow="0" w:lastRow="0" w:firstColumn="0" w:lastColumn="0" w:noHBand="0" w:noVBand="0"/>
      </w:tblPr>
      <w:tblGrid>
        <w:gridCol w:w="2569"/>
        <w:gridCol w:w="296"/>
        <w:gridCol w:w="850"/>
        <w:gridCol w:w="1337"/>
        <w:gridCol w:w="1871"/>
        <w:gridCol w:w="1065"/>
        <w:gridCol w:w="1255"/>
      </w:tblGrid>
      <w:tr w:rsidR="00EF4B93" w:rsidRPr="00BE5660" w:rsidTr="00C46957">
        <w:trPr>
          <w:cantSplit/>
          <w:trHeight w:val="471"/>
        </w:trPr>
        <w:tc>
          <w:tcPr>
            <w:tcW w:w="1550" w:type="pct"/>
            <w:gridSpan w:val="2"/>
            <w:tcBorders>
              <w:bottom w:val="single" w:sz="4" w:space="0" w:color="auto"/>
            </w:tcBorders>
          </w:tcPr>
          <w:p w:rsidR="00EF4B93" w:rsidRPr="00BE5660" w:rsidRDefault="00EF4B93" w:rsidP="00236513">
            <w:pPr>
              <w:pStyle w:val="TableText0"/>
              <w:spacing w:before="40" w:after="40"/>
            </w:pPr>
            <w:r w:rsidRPr="00BE5660">
              <w:t>Name, Restriction,</w:t>
            </w:r>
          </w:p>
          <w:p w:rsidR="00EF4B93" w:rsidRPr="00BE5660" w:rsidRDefault="00EF4B93" w:rsidP="00236513">
            <w:pPr>
              <w:pStyle w:val="TableText0"/>
              <w:spacing w:before="40" w:after="40"/>
            </w:pPr>
            <w:r w:rsidRPr="00BE5660">
              <w:t>Manner of administration and form</w:t>
            </w:r>
          </w:p>
        </w:tc>
        <w:tc>
          <w:tcPr>
            <w:tcW w:w="460" w:type="pct"/>
            <w:tcBorders>
              <w:bottom w:val="single" w:sz="4" w:space="0" w:color="auto"/>
            </w:tcBorders>
          </w:tcPr>
          <w:p w:rsidR="00EF4B93" w:rsidRPr="00BE5660" w:rsidRDefault="00EF4B93" w:rsidP="00236513">
            <w:pPr>
              <w:pStyle w:val="TableText0"/>
              <w:spacing w:before="40" w:after="40"/>
              <w:jc w:val="center"/>
            </w:pPr>
            <w:r w:rsidRPr="00BE5660">
              <w:t>Max.</w:t>
            </w:r>
          </w:p>
          <w:p w:rsidR="00EF4B93" w:rsidRPr="00BE5660" w:rsidRDefault="00EF4B93" w:rsidP="00236513">
            <w:pPr>
              <w:pStyle w:val="TableText0"/>
              <w:spacing w:before="40" w:after="40"/>
              <w:jc w:val="center"/>
            </w:pPr>
            <w:r w:rsidRPr="00BE5660">
              <w:t>Qty</w:t>
            </w:r>
          </w:p>
        </w:tc>
        <w:tc>
          <w:tcPr>
            <w:tcW w:w="723" w:type="pct"/>
            <w:tcBorders>
              <w:bottom w:val="single" w:sz="4" w:space="0" w:color="auto"/>
            </w:tcBorders>
          </w:tcPr>
          <w:p w:rsidR="00EF4B93" w:rsidRPr="00BE5660" w:rsidRDefault="00EF4B93" w:rsidP="00236513">
            <w:pPr>
              <w:pStyle w:val="TableText0"/>
              <w:spacing w:before="40" w:after="40"/>
              <w:jc w:val="center"/>
            </w:pPr>
            <w:r w:rsidRPr="00BE5660">
              <w:t>№.of</w:t>
            </w:r>
          </w:p>
          <w:p w:rsidR="00EF4B93" w:rsidRPr="00BE5660" w:rsidRDefault="00EF4B93" w:rsidP="00236513">
            <w:pPr>
              <w:pStyle w:val="TableText0"/>
              <w:spacing w:before="40" w:after="40"/>
              <w:jc w:val="center"/>
            </w:pPr>
            <w:r w:rsidRPr="00BE5660">
              <w:t>Rpts</w:t>
            </w:r>
          </w:p>
        </w:tc>
        <w:tc>
          <w:tcPr>
            <w:tcW w:w="1012" w:type="pct"/>
            <w:tcBorders>
              <w:bottom w:val="single" w:sz="4" w:space="0" w:color="auto"/>
            </w:tcBorders>
          </w:tcPr>
          <w:p w:rsidR="00EF4B93" w:rsidRPr="00A95039" w:rsidRDefault="00EF4B93" w:rsidP="00236513">
            <w:pPr>
              <w:pStyle w:val="TableText0"/>
              <w:spacing w:before="40" w:after="40"/>
              <w:jc w:val="center"/>
              <w:rPr>
                <w:vertAlign w:val="superscript"/>
              </w:rPr>
            </w:pPr>
            <w:r w:rsidRPr="00BE5660">
              <w:t xml:space="preserve">Dispensed Price for Max. </w:t>
            </w:r>
            <w:r>
              <w:t>Amount</w:t>
            </w:r>
          </w:p>
        </w:tc>
        <w:tc>
          <w:tcPr>
            <w:tcW w:w="1255" w:type="pct"/>
            <w:gridSpan w:val="2"/>
            <w:tcBorders>
              <w:bottom w:val="single" w:sz="4" w:space="0" w:color="auto"/>
            </w:tcBorders>
          </w:tcPr>
          <w:p w:rsidR="00EF4B93" w:rsidRPr="00BE5660" w:rsidRDefault="00EF4B93" w:rsidP="00236513">
            <w:pPr>
              <w:pStyle w:val="TableText0"/>
              <w:spacing w:before="40" w:after="40"/>
              <w:jc w:val="center"/>
              <w:rPr>
                <w:lang w:val="fr-FR"/>
              </w:rPr>
            </w:pPr>
            <w:r w:rsidRPr="00BE5660">
              <w:t>Proprietary Name and Manufacturer</w:t>
            </w:r>
          </w:p>
        </w:tc>
      </w:tr>
      <w:tr w:rsidR="00EF4B93" w:rsidRPr="00BE5660" w:rsidTr="00C46957">
        <w:trPr>
          <w:cantSplit/>
          <w:trHeight w:val="389"/>
        </w:trPr>
        <w:tc>
          <w:tcPr>
            <w:tcW w:w="1550" w:type="pct"/>
            <w:gridSpan w:val="2"/>
          </w:tcPr>
          <w:p w:rsidR="00EF4B93" w:rsidRPr="00BE5660" w:rsidRDefault="00EF4B93" w:rsidP="00236513">
            <w:pPr>
              <w:pStyle w:val="TableText0"/>
              <w:spacing w:before="40" w:after="40"/>
              <w:ind w:right="-57"/>
            </w:pPr>
            <w:r w:rsidRPr="00BE5660">
              <w:t>PEMBROLIZUMAB</w:t>
            </w:r>
          </w:p>
          <w:p w:rsidR="00EF4B93" w:rsidRDefault="00EF4B93" w:rsidP="00236513">
            <w:pPr>
              <w:pStyle w:val="TableText0"/>
              <w:spacing w:before="40" w:after="40"/>
              <w:ind w:right="-57"/>
            </w:pPr>
            <w:r w:rsidRPr="00BE5660">
              <w:t>50</w:t>
            </w:r>
            <w:r>
              <w:t> </w:t>
            </w:r>
            <w:r w:rsidRPr="00BE5660">
              <w:t>mg injection: powder for, 1 vial</w:t>
            </w:r>
          </w:p>
          <w:p w:rsidR="00EF4B93" w:rsidRPr="00BE5660" w:rsidRDefault="00EF4B93" w:rsidP="006F047B">
            <w:pPr>
              <w:pStyle w:val="TableText0"/>
              <w:spacing w:before="40" w:after="40"/>
              <w:ind w:right="-57"/>
            </w:pPr>
            <w:r w:rsidRPr="00E84F3A">
              <w:t>100 mg/4 mL injection</w:t>
            </w:r>
            <w:r>
              <w:t>, 1 vial</w:t>
            </w:r>
          </w:p>
        </w:tc>
        <w:tc>
          <w:tcPr>
            <w:tcW w:w="460" w:type="pct"/>
          </w:tcPr>
          <w:p w:rsidR="00EF4B93" w:rsidRDefault="00EF4B93" w:rsidP="00236513">
            <w:pPr>
              <w:pStyle w:val="TableText0"/>
              <w:spacing w:before="40" w:after="40"/>
              <w:ind w:right="-57"/>
              <w:jc w:val="center"/>
            </w:pPr>
          </w:p>
          <w:p w:rsidR="00EF4B93" w:rsidRPr="00BE5660" w:rsidRDefault="00770884" w:rsidP="00236513">
            <w:pPr>
              <w:pStyle w:val="TableText0"/>
              <w:spacing w:before="40" w:after="40"/>
              <w:ind w:right="-57"/>
              <w:jc w:val="center"/>
            </w:pPr>
            <w:r>
              <w:t>200 mg</w:t>
            </w:r>
          </w:p>
        </w:tc>
        <w:tc>
          <w:tcPr>
            <w:tcW w:w="723" w:type="pct"/>
          </w:tcPr>
          <w:p w:rsidR="00EF4B93" w:rsidRDefault="00EF4B93" w:rsidP="00236513">
            <w:pPr>
              <w:pStyle w:val="TableText0"/>
              <w:spacing w:before="40" w:after="40"/>
              <w:ind w:right="-57"/>
              <w:jc w:val="center"/>
            </w:pPr>
          </w:p>
          <w:p w:rsidR="00EF4B93" w:rsidRPr="00552B8D" w:rsidRDefault="00EF4B93" w:rsidP="00236513">
            <w:pPr>
              <w:pStyle w:val="TableText0"/>
              <w:spacing w:before="40" w:after="40"/>
              <w:ind w:right="-57"/>
              <w:jc w:val="center"/>
              <w:rPr>
                <w:vertAlign w:val="superscript"/>
              </w:rPr>
            </w:pPr>
            <w:r w:rsidRPr="00BE5660">
              <w:t>5 (initial)</w:t>
            </w:r>
            <w:r w:rsidR="00B27F20">
              <w:rPr>
                <w:vertAlign w:val="superscript"/>
              </w:rPr>
              <w:t>a</w:t>
            </w:r>
          </w:p>
          <w:p w:rsidR="00EF4B93" w:rsidRPr="00BE5660" w:rsidRDefault="00EF4B93" w:rsidP="00236513">
            <w:pPr>
              <w:pStyle w:val="TableText0"/>
              <w:spacing w:before="40" w:after="40"/>
              <w:ind w:right="-57"/>
              <w:jc w:val="center"/>
            </w:pPr>
            <w:r w:rsidRPr="00BE5660">
              <w:t>7 (continuing)</w:t>
            </w:r>
          </w:p>
        </w:tc>
        <w:tc>
          <w:tcPr>
            <w:tcW w:w="1012" w:type="pct"/>
          </w:tcPr>
          <w:p w:rsidR="00EF4B93" w:rsidRDefault="00EF4B93" w:rsidP="00236513">
            <w:pPr>
              <w:pStyle w:val="TableText0"/>
              <w:spacing w:before="40" w:after="40"/>
              <w:ind w:right="-57"/>
              <w:jc w:val="center"/>
            </w:pPr>
          </w:p>
          <w:p w:rsidR="00EF4B93" w:rsidRPr="00AF4B6C" w:rsidRDefault="00EF4B93" w:rsidP="00236513">
            <w:pPr>
              <w:pStyle w:val="TableText0"/>
              <w:spacing w:before="40" w:after="40"/>
              <w:ind w:right="-57"/>
              <w:jc w:val="center"/>
              <w:rPr>
                <w:i/>
                <w:vertAlign w:val="superscript"/>
              </w:rPr>
            </w:pPr>
            <w:r w:rsidRPr="00BE5660">
              <w:t>$</w:t>
            </w:r>
            <w:r w:rsidR="00DF3DBC">
              <w:rPr>
                <w:noProof/>
                <w:color w:val="000000"/>
                <w:highlight w:val="black"/>
              </w:rPr>
              <w:t>'''''''''''''''''''</w:t>
            </w:r>
            <w:r w:rsidRPr="00BE5660">
              <w:t xml:space="preserve"> (private)</w:t>
            </w:r>
          </w:p>
          <w:p w:rsidR="00EF4B93" w:rsidRPr="00AF4B6C" w:rsidRDefault="00EF4B93" w:rsidP="00B27F20">
            <w:pPr>
              <w:pStyle w:val="TableText0"/>
              <w:spacing w:before="40" w:after="40"/>
              <w:ind w:right="-57"/>
              <w:jc w:val="center"/>
              <w:rPr>
                <w:i/>
                <w:vertAlign w:val="superscript"/>
              </w:rPr>
            </w:pPr>
            <w:r>
              <w:t>$</w:t>
            </w:r>
            <w:r w:rsidR="00DF3DBC">
              <w:rPr>
                <w:noProof/>
                <w:color w:val="000000"/>
                <w:highlight w:val="black"/>
              </w:rPr>
              <w:t>'''''''''''''''''''''''</w:t>
            </w:r>
            <w:r w:rsidRPr="00BE5660">
              <w:t xml:space="preserve"> (public)</w:t>
            </w:r>
          </w:p>
        </w:tc>
        <w:tc>
          <w:tcPr>
            <w:tcW w:w="576" w:type="pct"/>
          </w:tcPr>
          <w:p w:rsidR="00EF4B93" w:rsidRDefault="00EF4B93" w:rsidP="00236513">
            <w:pPr>
              <w:pStyle w:val="TableText0"/>
              <w:spacing w:before="40" w:after="40"/>
              <w:ind w:right="-57"/>
              <w:jc w:val="center"/>
            </w:pPr>
          </w:p>
          <w:p w:rsidR="00EF4B93" w:rsidRPr="00BE5660" w:rsidRDefault="00EF4B93" w:rsidP="00236513">
            <w:pPr>
              <w:pStyle w:val="TableText0"/>
              <w:spacing w:before="40" w:after="40"/>
              <w:ind w:right="-57"/>
              <w:jc w:val="center"/>
            </w:pPr>
            <w:r w:rsidRPr="00BE5660">
              <w:t>Keytruda</w:t>
            </w:r>
            <w:r w:rsidRPr="00BE5660">
              <w:rPr>
                <w:vertAlign w:val="superscript"/>
              </w:rPr>
              <w:t>®</w:t>
            </w:r>
          </w:p>
        </w:tc>
        <w:tc>
          <w:tcPr>
            <w:tcW w:w="679" w:type="pct"/>
          </w:tcPr>
          <w:p w:rsidR="00EF4B93" w:rsidRPr="00BE5660" w:rsidRDefault="00EF4B93" w:rsidP="00236513">
            <w:pPr>
              <w:pStyle w:val="TableText0"/>
              <w:spacing w:before="40" w:after="40"/>
              <w:ind w:right="-57"/>
              <w:jc w:val="center"/>
            </w:pPr>
            <w:r w:rsidRPr="00BE5660">
              <w:t>Merck Sharp &amp; Dohme (AU) Pty Ltd</w:t>
            </w:r>
          </w:p>
        </w:tc>
      </w:tr>
      <w:tr w:rsidR="00EF4B93" w:rsidRPr="00BE5660" w:rsidTr="00236513">
        <w:trPr>
          <w:cantSplit/>
        </w:trPr>
        <w:tc>
          <w:tcPr>
            <w:tcW w:w="5000" w:type="pct"/>
            <w:gridSpan w:val="7"/>
          </w:tcPr>
          <w:p w:rsidR="00EF4B93" w:rsidRPr="00AF4B6C" w:rsidRDefault="00EF4B93" w:rsidP="00C46957">
            <w:pPr>
              <w:pStyle w:val="TableText0"/>
              <w:rPr>
                <w:i/>
                <w:sz w:val="18"/>
                <w:szCs w:val="18"/>
              </w:rPr>
            </w:pPr>
          </w:p>
        </w:tc>
      </w:tr>
      <w:tr w:rsidR="00EF4B93" w:rsidRPr="00BE5660" w:rsidTr="00236513">
        <w:trPr>
          <w:cantSplit/>
        </w:trPr>
        <w:tc>
          <w:tcPr>
            <w:tcW w:w="5000" w:type="pct"/>
            <w:gridSpan w:val="7"/>
          </w:tcPr>
          <w:p w:rsidR="00EF4B93" w:rsidRPr="00BE5660" w:rsidRDefault="00581DED" w:rsidP="009A46EA">
            <w:pPr>
              <w:pStyle w:val="TableText0"/>
              <w:spacing w:before="120" w:after="40"/>
              <w:rPr>
                <w:b/>
                <w:u w:val="single"/>
              </w:rPr>
            </w:pPr>
            <w:r>
              <w:br w:type="page"/>
            </w:r>
            <w:r w:rsidR="00EF4B93">
              <w:rPr>
                <w:b/>
                <w:u w:val="single"/>
              </w:rPr>
              <w:t>Treatment phase: I</w:t>
            </w:r>
            <w:r w:rsidR="00EF4B93" w:rsidRPr="00BE5660">
              <w:rPr>
                <w:b/>
                <w:u w:val="single"/>
              </w:rPr>
              <w:t>nitial treatment</w:t>
            </w:r>
          </w:p>
        </w:tc>
      </w:tr>
      <w:tr w:rsidR="00EF4B93" w:rsidRPr="00BE5660" w:rsidTr="00BC45D1">
        <w:trPr>
          <w:cantSplit/>
          <w:trHeight w:val="275"/>
        </w:trPr>
        <w:tc>
          <w:tcPr>
            <w:tcW w:w="1390"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t>Category / Program</w:t>
            </w:r>
          </w:p>
        </w:tc>
        <w:tc>
          <w:tcPr>
            <w:tcW w:w="3610" w:type="pct"/>
            <w:gridSpan w:val="6"/>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sz w:val="20"/>
              </w:rPr>
            </w:pPr>
            <w:r w:rsidRPr="00BE5660">
              <w:rPr>
                <w:rFonts w:ascii="Arial Narrow" w:hAnsi="Arial Narrow"/>
                <w:sz w:val="20"/>
              </w:rPr>
              <w:t>Section 100 – Efficient funding of chemotherapy</w:t>
            </w:r>
          </w:p>
        </w:tc>
      </w:tr>
      <w:tr w:rsidR="00EF4B93" w:rsidRPr="00BE5660" w:rsidTr="00BC45D1">
        <w:trPr>
          <w:cantSplit/>
          <w:trHeight w:val="360"/>
        </w:trPr>
        <w:tc>
          <w:tcPr>
            <w:tcW w:w="1390" w:type="pct"/>
            <w:tcBorders>
              <w:top w:val="single" w:sz="4" w:space="0" w:color="auto"/>
              <w:left w:val="single" w:sz="4" w:space="0" w:color="auto"/>
              <w:bottom w:val="single" w:sz="4" w:space="0" w:color="auto"/>
              <w:right w:val="single" w:sz="4" w:space="0" w:color="auto"/>
            </w:tcBorders>
          </w:tcPr>
          <w:p w:rsidR="00EF4B93" w:rsidRPr="00BE5660" w:rsidRDefault="00EF4B93" w:rsidP="004817C8">
            <w:pPr>
              <w:spacing w:before="40" w:after="40"/>
              <w:rPr>
                <w:rFonts w:ascii="Arial Narrow" w:hAnsi="Arial Narrow"/>
                <w:b/>
                <w:sz w:val="20"/>
              </w:rPr>
            </w:pPr>
            <w:r w:rsidRPr="00BE5660">
              <w:rPr>
                <w:rFonts w:ascii="Arial Narrow" w:hAnsi="Arial Narrow"/>
                <w:b/>
                <w:sz w:val="20"/>
              </w:rPr>
              <w:t>Prescriber type:</w:t>
            </w:r>
          </w:p>
        </w:tc>
        <w:tc>
          <w:tcPr>
            <w:tcW w:w="3610" w:type="pct"/>
            <w:gridSpan w:val="6"/>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Check1"/>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 xml:space="preserve">Dental  </w:t>
            </w:r>
            <w:r w:rsidRPr="00BE5660">
              <w:rPr>
                <w:rFonts w:ascii="Arial Narrow" w:hAnsi="Arial Narrow"/>
                <w:sz w:val="20"/>
              </w:rPr>
              <w:fldChar w:fldCharType="begin">
                <w:ffData>
                  <w:name w:val=""/>
                  <w:enabled/>
                  <w:calcOnExit w:val="0"/>
                  <w:checkBox>
                    <w:sizeAuto/>
                    <w:default w:val="1"/>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 xml:space="preserve">Medical Practitioners  </w:t>
            </w:r>
            <w:r w:rsidRPr="00BE5660">
              <w:rPr>
                <w:rFonts w:ascii="Arial Narrow" w:hAnsi="Arial Narrow"/>
                <w:sz w:val="20"/>
              </w:rPr>
              <w:fldChar w:fldCharType="begin">
                <w:ffData>
                  <w:name w:val="Check3"/>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 xml:space="preserve">Nurse practitioners  </w:t>
            </w:r>
            <w:r w:rsidRPr="00BE5660">
              <w:rPr>
                <w:rFonts w:ascii="Arial Narrow" w:hAnsi="Arial Narrow"/>
                <w:sz w:val="20"/>
              </w:rPr>
              <w:fldChar w:fldCharType="begin">
                <w:ffData>
                  <w:name w:val=""/>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Optometrists</w:t>
            </w:r>
          </w:p>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Check5"/>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Midwives</w:t>
            </w:r>
          </w:p>
        </w:tc>
      </w:tr>
      <w:tr w:rsidR="00EF4B93" w:rsidRPr="00BE5660" w:rsidTr="00BC45D1">
        <w:trPr>
          <w:cantSplit/>
          <w:trHeight w:val="223"/>
        </w:trPr>
        <w:tc>
          <w:tcPr>
            <w:tcW w:w="1390"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t>Severity:</w:t>
            </w:r>
          </w:p>
        </w:tc>
        <w:tc>
          <w:tcPr>
            <w:tcW w:w="3610" w:type="pct"/>
            <w:gridSpan w:val="6"/>
            <w:tcBorders>
              <w:top w:val="single" w:sz="4" w:space="0" w:color="auto"/>
              <w:left w:val="single" w:sz="4" w:space="0" w:color="auto"/>
              <w:bottom w:val="single" w:sz="4" w:space="0" w:color="auto"/>
              <w:right w:val="single" w:sz="4" w:space="0" w:color="auto"/>
            </w:tcBorders>
          </w:tcPr>
          <w:p w:rsidR="00EF4B93" w:rsidRPr="00BE5660" w:rsidRDefault="00F030BD" w:rsidP="004817C8">
            <w:pPr>
              <w:spacing w:before="40" w:after="40"/>
              <w:rPr>
                <w:rFonts w:ascii="Arial Narrow" w:hAnsi="Arial Narrow"/>
                <w:sz w:val="20"/>
              </w:rPr>
            </w:pPr>
            <w:r w:rsidRPr="008E0652">
              <w:rPr>
                <w:rFonts w:ascii="Arial Narrow" w:hAnsi="Arial Narrow"/>
                <w:strike/>
                <w:sz w:val="20"/>
              </w:rPr>
              <w:t>Stage IIIB (locally advanced) or</w:t>
            </w:r>
            <w:r w:rsidR="000B7548">
              <w:rPr>
                <w:rFonts w:ascii="Arial Narrow" w:hAnsi="Arial Narrow"/>
                <w:strike/>
                <w:sz w:val="20"/>
              </w:rPr>
              <w:t xml:space="preserve"> </w:t>
            </w:r>
            <w:r w:rsidRPr="00BE5660">
              <w:rPr>
                <w:rFonts w:ascii="Arial Narrow" w:hAnsi="Arial Narrow"/>
                <w:sz w:val="20"/>
              </w:rPr>
              <w:t>Stage IV (metastatic) NSCLC</w:t>
            </w:r>
            <w:r>
              <w:rPr>
                <w:rFonts w:ascii="Arial Narrow" w:hAnsi="Arial Narrow"/>
                <w:sz w:val="20"/>
                <w:vertAlign w:val="superscript"/>
              </w:rPr>
              <w:t>b</w:t>
            </w:r>
          </w:p>
        </w:tc>
      </w:tr>
      <w:tr w:rsidR="00EF4B93" w:rsidRPr="00BE5660" w:rsidTr="00BC45D1">
        <w:trPr>
          <w:cantSplit/>
          <w:trHeight w:val="285"/>
        </w:trPr>
        <w:tc>
          <w:tcPr>
            <w:tcW w:w="1390"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t>Condition:</w:t>
            </w:r>
          </w:p>
        </w:tc>
        <w:tc>
          <w:tcPr>
            <w:tcW w:w="3610" w:type="pct"/>
            <w:gridSpan w:val="6"/>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sz w:val="20"/>
              </w:rPr>
            </w:pPr>
            <w:r w:rsidRPr="00BE5660">
              <w:rPr>
                <w:rFonts w:ascii="Arial Narrow" w:hAnsi="Arial Narrow"/>
                <w:sz w:val="20"/>
              </w:rPr>
              <w:t>Non-small cell lung cancer (NSCLC)</w:t>
            </w:r>
          </w:p>
        </w:tc>
      </w:tr>
      <w:tr w:rsidR="00EF4B93" w:rsidRPr="00BE5660" w:rsidTr="00BC45D1">
        <w:trPr>
          <w:cantSplit/>
          <w:trHeight w:val="191"/>
        </w:trPr>
        <w:tc>
          <w:tcPr>
            <w:tcW w:w="1390"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t>PBS Indication:</w:t>
            </w:r>
          </w:p>
        </w:tc>
        <w:tc>
          <w:tcPr>
            <w:tcW w:w="3610" w:type="pct"/>
            <w:gridSpan w:val="6"/>
            <w:tcBorders>
              <w:top w:val="single" w:sz="4" w:space="0" w:color="auto"/>
              <w:left w:val="single" w:sz="4" w:space="0" w:color="auto"/>
              <w:bottom w:val="single" w:sz="4" w:space="0" w:color="auto"/>
              <w:right w:val="single" w:sz="4" w:space="0" w:color="auto"/>
            </w:tcBorders>
          </w:tcPr>
          <w:p w:rsidR="00EF4B93" w:rsidRPr="00832F58" w:rsidRDefault="00EF4B93" w:rsidP="000B7548">
            <w:pPr>
              <w:spacing w:before="40" w:after="40" w:line="276" w:lineRule="auto"/>
              <w:rPr>
                <w:rFonts w:ascii="Arial Narrow" w:hAnsi="Arial Narrow"/>
                <w:sz w:val="20"/>
                <w:vertAlign w:val="superscript"/>
              </w:rPr>
            </w:pPr>
            <w:r w:rsidRPr="00832F58">
              <w:rPr>
                <w:rFonts w:ascii="Arial Narrow" w:hAnsi="Arial Narrow"/>
                <w:strike/>
                <w:sz w:val="20"/>
              </w:rPr>
              <w:t>Stage IIIB (locally advanced) or</w:t>
            </w:r>
            <w:r w:rsidR="000B7548">
              <w:rPr>
                <w:rFonts w:ascii="Arial Narrow" w:hAnsi="Arial Narrow"/>
                <w:strike/>
                <w:sz w:val="20"/>
              </w:rPr>
              <w:t xml:space="preserve"> </w:t>
            </w:r>
            <w:r w:rsidRPr="00BE5660">
              <w:rPr>
                <w:rFonts w:ascii="Arial Narrow" w:hAnsi="Arial Narrow"/>
                <w:sz w:val="20"/>
              </w:rPr>
              <w:t>Stage IV (metastatic) NSCLC</w:t>
            </w:r>
            <w:r w:rsidR="00F030BD">
              <w:rPr>
                <w:rFonts w:ascii="Arial Narrow" w:hAnsi="Arial Narrow"/>
                <w:sz w:val="20"/>
                <w:vertAlign w:val="superscript"/>
              </w:rPr>
              <w:t>b</w:t>
            </w:r>
          </w:p>
        </w:tc>
      </w:tr>
      <w:tr w:rsidR="00EF4B93" w:rsidRPr="00BE5660" w:rsidTr="00BC45D1">
        <w:trPr>
          <w:cantSplit/>
          <w:trHeight w:val="239"/>
        </w:trPr>
        <w:tc>
          <w:tcPr>
            <w:tcW w:w="1390"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i/>
                <w:sz w:val="20"/>
              </w:rPr>
            </w:pPr>
            <w:r w:rsidRPr="00BE5660">
              <w:rPr>
                <w:rFonts w:ascii="Arial Narrow" w:hAnsi="Arial Narrow"/>
                <w:b/>
                <w:sz w:val="20"/>
              </w:rPr>
              <w:t>Treatment phase:</w:t>
            </w:r>
          </w:p>
        </w:tc>
        <w:tc>
          <w:tcPr>
            <w:tcW w:w="3610" w:type="pct"/>
            <w:gridSpan w:val="6"/>
            <w:tcBorders>
              <w:top w:val="single" w:sz="4" w:space="0" w:color="auto"/>
              <w:left w:val="single" w:sz="4" w:space="0" w:color="auto"/>
              <w:bottom w:val="single" w:sz="4" w:space="0" w:color="auto"/>
              <w:right w:val="single" w:sz="4" w:space="0" w:color="auto"/>
            </w:tcBorders>
          </w:tcPr>
          <w:p w:rsidR="00EF4B93" w:rsidRPr="0089765C" w:rsidRDefault="00EF4B93" w:rsidP="009A46EA">
            <w:pPr>
              <w:spacing w:before="40" w:after="40"/>
              <w:rPr>
                <w:rFonts w:ascii="Arial Narrow" w:hAnsi="Arial Narrow"/>
                <w:sz w:val="20"/>
              </w:rPr>
            </w:pPr>
            <w:r w:rsidRPr="0089765C">
              <w:rPr>
                <w:rFonts w:ascii="Arial Narrow" w:hAnsi="Arial Narrow"/>
                <w:sz w:val="20"/>
              </w:rPr>
              <w:t>Initial treatment</w:t>
            </w:r>
          </w:p>
        </w:tc>
      </w:tr>
      <w:tr w:rsidR="00EF4B93" w:rsidRPr="00BE5660" w:rsidTr="00BC45D1">
        <w:trPr>
          <w:cantSplit/>
          <w:trHeight w:val="360"/>
        </w:trPr>
        <w:tc>
          <w:tcPr>
            <w:tcW w:w="1390"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t>Restriction Level / Method:</w:t>
            </w:r>
          </w:p>
        </w:tc>
        <w:tc>
          <w:tcPr>
            <w:tcW w:w="3610" w:type="pct"/>
            <w:gridSpan w:val="6"/>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Check1"/>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Restricted benefit</w:t>
            </w:r>
          </w:p>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Authority Required - In Writing</w:t>
            </w:r>
          </w:p>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Check3"/>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Authority Required - Telephone</w:t>
            </w:r>
          </w:p>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Authority Required – Emergency</w:t>
            </w:r>
          </w:p>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Check5"/>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Authority Required - Electronic</w:t>
            </w:r>
          </w:p>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
                  <w:enabled/>
                  <w:calcOnExit w:val="0"/>
                  <w:checkBox>
                    <w:sizeAuto/>
                    <w:default w:val="1"/>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Streamlined</w:t>
            </w:r>
          </w:p>
        </w:tc>
      </w:tr>
      <w:tr w:rsidR="00EF4B93" w:rsidRPr="00BE5660" w:rsidTr="00BC45D1">
        <w:trPr>
          <w:cantSplit/>
          <w:trHeight w:val="360"/>
        </w:trPr>
        <w:tc>
          <w:tcPr>
            <w:tcW w:w="1390"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lastRenderedPageBreak/>
              <w:t>Clinical criteria:</w:t>
            </w:r>
          </w:p>
        </w:tc>
        <w:tc>
          <w:tcPr>
            <w:tcW w:w="3610" w:type="pct"/>
            <w:gridSpan w:val="6"/>
            <w:tcBorders>
              <w:top w:val="single" w:sz="4" w:space="0" w:color="auto"/>
              <w:left w:val="single" w:sz="4" w:space="0" w:color="auto"/>
              <w:bottom w:val="single" w:sz="4" w:space="0" w:color="auto"/>
              <w:right w:val="single" w:sz="4" w:space="0" w:color="auto"/>
            </w:tcBorders>
          </w:tcPr>
          <w:p w:rsidR="00654CC9" w:rsidRDefault="00654CC9" w:rsidP="00654CC9">
            <w:pPr>
              <w:spacing w:before="40" w:after="40"/>
              <w:rPr>
                <w:rFonts w:ascii="Arial Narrow" w:hAnsi="Arial Narrow"/>
                <w:i/>
                <w:sz w:val="20"/>
              </w:rPr>
            </w:pPr>
            <w:r>
              <w:rPr>
                <w:rFonts w:ascii="Arial Narrow" w:hAnsi="Arial Narrow"/>
                <w:i/>
                <w:sz w:val="20"/>
              </w:rPr>
              <w:t>Patient must have a performance status of 1 or less</w:t>
            </w:r>
            <w:r>
              <w:rPr>
                <w:rFonts w:ascii="Arial Narrow" w:hAnsi="Arial Narrow"/>
                <w:i/>
                <w:sz w:val="20"/>
                <w:vertAlign w:val="superscript"/>
              </w:rPr>
              <w:t>c</w:t>
            </w:r>
            <w:r>
              <w:rPr>
                <w:rFonts w:ascii="Arial Narrow" w:hAnsi="Arial Narrow"/>
                <w:i/>
                <w:sz w:val="20"/>
              </w:rPr>
              <w:t>,</w:t>
            </w:r>
          </w:p>
          <w:p w:rsidR="00654CC9" w:rsidRDefault="00654CC9" w:rsidP="00654CC9">
            <w:pPr>
              <w:spacing w:before="40" w:after="40"/>
              <w:rPr>
                <w:rFonts w:ascii="Arial Narrow" w:hAnsi="Arial Narrow"/>
                <w:i/>
                <w:sz w:val="20"/>
              </w:rPr>
            </w:pPr>
          </w:p>
          <w:p w:rsidR="00654CC9" w:rsidRPr="004817C8" w:rsidRDefault="00654CC9" w:rsidP="00236513">
            <w:pPr>
              <w:spacing w:before="40" w:after="40"/>
              <w:rPr>
                <w:rFonts w:ascii="Arial Narrow" w:hAnsi="Arial Narrow"/>
                <w:b/>
                <w:sz w:val="20"/>
              </w:rPr>
            </w:pPr>
            <w:r w:rsidRPr="004817C8">
              <w:rPr>
                <w:rFonts w:ascii="Arial Narrow" w:hAnsi="Arial Narrow"/>
                <w:b/>
                <w:i/>
                <w:sz w:val="20"/>
              </w:rPr>
              <w:t>AND</w:t>
            </w:r>
          </w:p>
          <w:p w:rsidR="00654CC9" w:rsidRDefault="00654CC9" w:rsidP="00236513">
            <w:pPr>
              <w:spacing w:before="40" w:after="40"/>
              <w:rPr>
                <w:rFonts w:ascii="Arial Narrow" w:hAnsi="Arial Narrow"/>
                <w:sz w:val="20"/>
              </w:rPr>
            </w:pPr>
          </w:p>
          <w:p w:rsidR="00EF4B93" w:rsidRDefault="00EF4B93" w:rsidP="00236513">
            <w:pPr>
              <w:spacing w:before="40" w:after="40"/>
              <w:rPr>
                <w:rFonts w:ascii="Arial Narrow" w:hAnsi="Arial Narrow"/>
                <w:sz w:val="20"/>
              </w:rPr>
            </w:pPr>
            <w:r>
              <w:rPr>
                <w:rFonts w:ascii="Arial Narrow" w:hAnsi="Arial Narrow"/>
                <w:sz w:val="20"/>
              </w:rPr>
              <w:t>The condition must be previously untreated,</w:t>
            </w:r>
          </w:p>
          <w:p w:rsidR="005D2891" w:rsidRDefault="005D2891" w:rsidP="00236513">
            <w:pPr>
              <w:spacing w:before="40" w:after="40"/>
              <w:rPr>
                <w:rFonts w:ascii="Arial Narrow" w:hAnsi="Arial Narrow"/>
                <w:sz w:val="20"/>
              </w:rPr>
            </w:pPr>
          </w:p>
          <w:p w:rsidR="00EF4B93" w:rsidRDefault="00EF4B93" w:rsidP="00236513">
            <w:pPr>
              <w:spacing w:before="40" w:after="40"/>
              <w:rPr>
                <w:rFonts w:ascii="Arial Narrow" w:hAnsi="Arial Narrow"/>
                <w:b/>
                <w:sz w:val="20"/>
              </w:rPr>
            </w:pPr>
            <w:r w:rsidRPr="00C22494">
              <w:rPr>
                <w:rFonts w:ascii="Arial Narrow" w:hAnsi="Arial Narrow"/>
                <w:b/>
                <w:sz w:val="20"/>
              </w:rPr>
              <w:t>AND</w:t>
            </w:r>
          </w:p>
          <w:p w:rsidR="005D2891" w:rsidRPr="004817C8" w:rsidRDefault="005D2891" w:rsidP="00236513">
            <w:pPr>
              <w:spacing w:before="40" w:after="40"/>
              <w:rPr>
                <w:rFonts w:ascii="Arial Narrow" w:hAnsi="Arial Narrow"/>
                <w:sz w:val="20"/>
              </w:rPr>
            </w:pPr>
          </w:p>
          <w:p w:rsidR="00EF4B93" w:rsidRDefault="00EF4B93" w:rsidP="00236513">
            <w:pPr>
              <w:spacing w:before="40" w:after="40"/>
              <w:rPr>
                <w:rFonts w:ascii="Arial Narrow" w:hAnsi="Arial Narrow"/>
                <w:sz w:val="20"/>
              </w:rPr>
            </w:pPr>
            <w:r w:rsidRPr="00BE5660">
              <w:rPr>
                <w:rFonts w:ascii="Arial Narrow" w:hAnsi="Arial Narrow"/>
                <w:sz w:val="20"/>
              </w:rPr>
              <w:t>Treatment must be the sole PBS-subsidised therapy for this condition,</w:t>
            </w:r>
          </w:p>
          <w:p w:rsidR="005D2891" w:rsidRPr="00BE5660" w:rsidRDefault="005D2891" w:rsidP="00236513">
            <w:pPr>
              <w:spacing w:before="40" w:after="40"/>
              <w:rPr>
                <w:rFonts w:ascii="Arial Narrow" w:hAnsi="Arial Narrow"/>
                <w:sz w:val="20"/>
              </w:rPr>
            </w:pPr>
          </w:p>
          <w:p w:rsidR="00EF4B93" w:rsidRDefault="00EF4B93" w:rsidP="00236513">
            <w:pPr>
              <w:spacing w:before="40" w:after="40"/>
              <w:rPr>
                <w:rFonts w:ascii="Arial Narrow" w:hAnsi="Arial Narrow"/>
                <w:sz w:val="20"/>
              </w:rPr>
            </w:pPr>
            <w:r w:rsidRPr="00BE5660">
              <w:rPr>
                <w:rFonts w:ascii="Arial Narrow" w:hAnsi="Arial Narrow"/>
                <w:b/>
                <w:sz w:val="20"/>
              </w:rPr>
              <w:t>AND</w:t>
            </w:r>
            <w:r w:rsidRPr="00BE5660">
              <w:rPr>
                <w:rFonts w:ascii="Arial Narrow" w:hAnsi="Arial Narrow"/>
                <w:sz w:val="20"/>
              </w:rPr>
              <w:t xml:space="preserve"> </w:t>
            </w:r>
          </w:p>
          <w:p w:rsidR="005D2891" w:rsidRPr="00BE5660" w:rsidRDefault="005D2891" w:rsidP="00236513">
            <w:pPr>
              <w:spacing w:before="40" w:after="40"/>
              <w:rPr>
                <w:rFonts w:ascii="Arial Narrow" w:hAnsi="Arial Narrow"/>
                <w:sz w:val="20"/>
              </w:rPr>
            </w:pPr>
          </w:p>
          <w:p w:rsidR="00EF4B93" w:rsidRPr="00BE5660" w:rsidRDefault="00EF4B93" w:rsidP="005D0BCF">
            <w:pPr>
              <w:spacing w:before="40" w:after="40"/>
              <w:rPr>
                <w:rFonts w:ascii="Arial Narrow" w:hAnsi="Arial Narrow"/>
                <w:sz w:val="20"/>
              </w:rPr>
            </w:pPr>
            <w:r w:rsidRPr="00BE5660">
              <w:rPr>
                <w:rFonts w:ascii="Arial Narrow" w:hAnsi="Arial Narrow"/>
                <w:sz w:val="20"/>
              </w:rPr>
              <w:t>The</w:t>
            </w:r>
            <w:r>
              <w:rPr>
                <w:rFonts w:ascii="Arial Narrow" w:hAnsi="Arial Narrow"/>
                <w:sz w:val="20"/>
              </w:rPr>
              <w:t xml:space="preserve"> initial treatment must not exceed a total of 6 doses at a maximum dose of 200</w:t>
            </w:r>
            <w:r w:rsidR="005D0BCF">
              <w:rPr>
                <w:rFonts w:ascii="Arial Narrow" w:hAnsi="Arial Narrow"/>
                <w:sz w:val="20"/>
              </w:rPr>
              <w:t> </w:t>
            </w:r>
            <w:r>
              <w:rPr>
                <w:rFonts w:ascii="Arial Narrow" w:hAnsi="Arial Narrow"/>
                <w:sz w:val="20"/>
              </w:rPr>
              <w:t>mg every 3 weeks.</w:t>
            </w:r>
          </w:p>
        </w:tc>
      </w:tr>
      <w:tr w:rsidR="00EF4B93" w:rsidRPr="00BE5660" w:rsidTr="00BC45D1">
        <w:trPr>
          <w:cantSplit/>
          <w:trHeight w:val="360"/>
        </w:trPr>
        <w:tc>
          <w:tcPr>
            <w:tcW w:w="1390"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t>Population criteria:</w:t>
            </w:r>
          </w:p>
        </w:tc>
        <w:tc>
          <w:tcPr>
            <w:tcW w:w="3610" w:type="pct"/>
            <w:gridSpan w:val="6"/>
            <w:tcBorders>
              <w:top w:val="single" w:sz="4" w:space="0" w:color="auto"/>
              <w:left w:val="single" w:sz="4" w:space="0" w:color="auto"/>
              <w:bottom w:val="single" w:sz="4" w:space="0" w:color="auto"/>
              <w:right w:val="single" w:sz="4" w:space="0" w:color="auto"/>
            </w:tcBorders>
          </w:tcPr>
          <w:p w:rsidR="00EF4B93" w:rsidRDefault="00EF4B93" w:rsidP="00236513">
            <w:pPr>
              <w:spacing w:before="40" w:after="40"/>
              <w:rPr>
                <w:rFonts w:ascii="Arial Narrow" w:hAnsi="Arial Narrow"/>
                <w:sz w:val="20"/>
              </w:rPr>
            </w:pPr>
            <w:r>
              <w:rPr>
                <w:rFonts w:ascii="Arial Narrow" w:hAnsi="Arial Narrow"/>
                <w:sz w:val="20"/>
              </w:rPr>
              <w:t>P</w:t>
            </w:r>
            <w:r w:rsidRPr="00BE5660">
              <w:rPr>
                <w:rFonts w:ascii="Arial Narrow" w:hAnsi="Arial Narrow"/>
                <w:sz w:val="20"/>
              </w:rPr>
              <w:t xml:space="preserve">atient must have evidence of </w:t>
            </w:r>
            <w:r>
              <w:rPr>
                <w:rFonts w:ascii="Arial Narrow" w:hAnsi="Arial Narrow"/>
                <w:sz w:val="20"/>
              </w:rPr>
              <w:t>at least 50% programmed death ligand 1 (PD-L1) in tumour material,</w:t>
            </w:r>
          </w:p>
          <w:p w:rsidR="005D2891" w:rsidRDefault="005D2891" w:rsidP="00236513">
            <w:pPr>
              <w:spacing w:before="40" w:after="40"/>
              <w:rPr>
                <w:rFonts w:ascii="Arial Narrow" w:hAnsi="Arial Narrow"/>
                <w:sz w:val="20"/>
              </w:rPr>
            </w:pPr>
          </w:p>
          <w:p w:rsidR="00EF4B93" w:rsidRDefault="00EF4B93" w:rsidP="00236513">
            <w:pPr>
              <w:spacing w:before="40" w:after="40"/>
              <w:rPr>
                <w:rFonts w:ascii="Arial Narrow" w:hAnsi="Arial Narrow"/>
                <w:b/>
                <w:sz w:val="20"/>
              </w:rPr>
            </w:pPr>
            <w:r>
              <w:rPr>
                <w:rFonts w:ascii="Arial Narrow" w:hAnsi="Arial Narrow"/>
                <w:b/>
                <w:sz w:val="20"/>
              </w:rPr>
              <w:t>AND</w:t>
            </w:r>
          </w:p>
          <w:p w:rsidR="005D2891" w:rsidRPr="004817C8" w:rsidRDefault="005D2891" w:rsidP="00236513">
            <w:pPr>
              <w:spacing w:before="40" w:after="40"/>
              <w:rPr>
                <w:rFonts w:ascii="Arial Narrow" w:hAnsi="Arial Narrow"/>
                <w:sz w:val="20"/>
              </w:rPr>
            </w:pPr>
          </w:p>
          <w:p w:rsidR="00EF4B93" w:rsidRPr="00C22494" w:rsidRDefault="00EF4B93" w:rsidP="00236513">
            <w:pPr>
              <w:spacing w:before="40" w:after="40"/>
              <w:rPr>
                <w:rFonts w:ascii="Arial Narrow" w:hAnsi="Arial Narrow"/>
                <w:sz w:val="20"/>
              </w:rPr>
            </w:pPr>
            <w:r>
              <w:rPr>
                <w:rFonts w:ascii="Arial Narrow" w:hAnsi="Arial Narrow"/>
                <w:sz w:val="20"/>
              </w:rPr>
              <w:t>Patient must have no evidence of an activating epidermal growth factor</w:t>
            </w:r>
            <w:r w:rsidR="004817C8">
              <w:rPr>
                <w:rFonts w:ascii="Arial Narrow" w:hAnsi="Arial Narrow"/>
                <w:sz w:val="20"/>
              </w:rPr>
              <w:t xml:space="preserve"> receptor</w:t>
            </w:r>
            <w:r>
              <w:rPr>
                <w:rFonts w:ascii="Arial Narrow" w:hAnsi="Arial Narrow"/>
                <w:sz w:val="20"/>
              </w:rPr>
              <w:t xml:space="preserve"> </w:t>
            </w:r>
            <w:r w:rsidR="00C1022E">
              <w:rPr>
                <w:rFonts w:ascii="Arial Narrow" w:hAnsi="Arial Narrow"/>
                <w:sz w:val="20"/>
              </w:rPr>
              <w:t xml:space="preserve">(EGFR) </w:t>
            </w:r>
            <w:r>
              <w:rPr>
                <w:rFonts w:ascii="Arial Narrow" w:hAnsi="Arial Narrow"/>
                <w:sz w:val="20"/>
              </w:rPr>
              <w:t>gene or of an anaplastic lymphoma kinase (ALK) gene rearrangement in tumour material.</w:t>
            </w:r>
          </w:p>
        </w:tc>
      </w:tr>
      <w:tr w:rsidR="00EF4B93" w:rsidRPr="00BE5660" w:rsidTr="00BC45D1">
        <w:trPr>
          <w:cantSplit/>
          <w:trHeight w:val="360"/>
        </w:trPr>
        <w:tc>
          <w:tcPr>
            <w:tcW w:w="1390"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t>Administrative Advice</w:t>
            </w:r>
          </w:p>
        </w:tc>
        <w:tc>
          <w:tcPr>
            <w:tcW w:w="3610" w:type="pct"/>
            <w:gridSpan w:val="6"/>
            <w:tcBorders>
              <w:top w:val="single" w:sz="4" w:space="0" w:color="auto"/>
              <w:left w:val="single" w:sz="4" w:space="0" w:color="auto"/>
              <w:bottom w:val="single" w:sz="4" w:space="0" w:color="auto"/>
              <w:right w:val="single" w:sz="4" w:space="0" w:color="auto"/>
            </w:tcBorders>
          </w:tcPr>
          <w:p w:rsidR="00EF4B93" w:rsidRPr="009A46EA" w:rsidRDefault="00EF4B93" w:rsidP="00236513">
            <w:pPr>
              <w:spacing w:before="40" w:after="40"/>
              <w:rPr>
                <w:rFonts w:ascii="Arial Narrow" w:hAnsi="Arial Narrow"/>
                <w:sz w:val="20"/>
              </w:rPr>
            </w:pPr>
            <w:r w:rsidRPr="009A46EA">
              <w:rPr>
                <w:rFonts w:ascii="Arial Narrow" w:hAnsi="Arial Narrow"/>
                <w:strike/>
                <w:sz w:val="20"/>
              </w:rPr>
              <w:t>In the first few months after start of immunotherapy, some patients can have a transient tumour flare with subsequent disease response. When progression is suspected, this should be confirmed through a confirmatory scan, taken at least 4 weeks later.</w:t>
            </w:r>
            <w:r w:rsidR="005D57F4" w:rsidRPr="009A46EA">
              <w:rPr>
                <w:rFonts w:ascii="Arial Narrow" w:hAnsi="Arial Narrow"/>
                <w:sz w:val="20"/>
                <w:vertAlign w:val="superscript"/>
              </w:rPr>
              <w:t xml:space="preserve"> d</w:t>
            </w:r>
          </w:p>
          <w:p w:rsidR="004E3D11" w:rsidRDefault="004E3D11" w:rsidP="00236513">
            <w:pPr>
              <w:spacing w:before="40" w:after="40"/>
              <w:rPr>
                <w:rFonts w:ascii="Arial Narrow" w:hAnsi="Arial Narrow"/>
                <w:sz w:val="20"/>
              </w:rPr>
            </w:pPr>
          </w:p>
          <w:p w:rsidR="004E3D11" w:rsidRPr="00832F58" w:rsidRDefault="004E3D11" w:rsidP="00236513">
            <w:pPr>
              <w:spacing w:before="40" w:after="40"/>
              <w:rPr>
                <w:rFonts w:ascii="Arial Narrow" w:hAnsi="Arial Narrow"/>
                <w:i/>
                <w:sz w:val="20"/>
              </w:rPr>
            </w:pPr>
            <w:r w:rsidRPr="00832F58">
              <w:rPr>
                <w:rFonts w:ascii="Arial Narrow" w:hAnsi="Arial Narrow"/>
                <w:i/>
                <w:sz w:val="20"/>
              </w:rPr>
              <w:t>Special Pricing Arrangements apply.</w:t>
            </w:r>
          </w:p>
        </w:tc>
      </w:tr>
    </w:tbl>
    <w:p w:rsidR="00C46957" w:rsidRPr="00C46957" w:rsidRDefault="00C46957" w:rsidP="00EF4B93">
      <w:pPr>
        <w:pStyle w:val="Header"/>
        <w:rPr>
          <w:rFonts w:ascii="Arial Narrow" w:hAnsi="Arial Narrow"/>
          <w:i/>
          <w:sz w:val="20"/>
          <w:szCs w:val="20"/>
          <w:vertAlign w:val="superscript"/>
        </w:rPr>
      </w:pPr>
      <w:proofErr w:type="gramStart"/>
      <w:r w:rsidRPr="00C46957">
        <w:rPr>
          <w:rFonts w:ascii="Arial Narrow" w:hAnsi="Arial Narrow"/>
          <w:sz w:val="20"/>
          <w:szCs w:val="20"/>
          <w:vertAlign w:val="superscript"/>
        </w:rPr>
        <w:t>a</w:t>
      </w:r>
      <w:proofErr w:type="gramEnd"/>
      <w:r w:rsidRPr="00C46957">
        <w:rPr>
          <w:rFonts w:ascii="Arial Narrow" w:hAnsi="Arial Narrow"/>
          <w:sz w:val="20"/>
          <w:szCs w:val="20"/>
        </w:rPr>
        <w:t xml:space="preserve"> Including Initial treatment and Grandfathering treatment phases</w:t>
      </w:r>
    </w:p>
    <w:p w:rsidR="00EF4B93" w:rsidRPr="003E5BE0" w:rsidRDefault="00F030BD" w:rsidP="00EF4B93">
      <w:pPr>
        <w:pStyle w:val="Header"/>
        <w:rPr>
          <w:rFonts w:ascii="Arial Narrow" w:hAnsi="Arial Narrow"/>
          <w:sz w:val="20"/>
          <w:szCs w:val="20"/>
        </w:rPr>
      </w:pPr>
      <w:proofErr w:type="gramStart"/>
      <w:r w:rsidRPr="003E5BE0">
        <w:rPr>
          <w:rFonts w:ascii="Arial Narrow" w:hAnsi="Arial Narrow"/>
          <w:sz w:val="20"/>
          <w:szCs w:val="20"/>
          <w:vertAlign w:val="superscript"/>
        </w:rPr>
        <w:t>b</w:t>
      </w:r>
      <w:proofErr w:type="gramEnd"/>
      <w:r w:rsidR="00C678CD">
        <w:rPr>
          <w:rFonts w:ascii="Arial Narrow" w:hAnsi="Arial Narrow"/>
          <w:sz w:val="20"/>
          <w:szCs w:val="20"/>
          <w:vertAlign w:val="superscript"/>
        </w:rPr>
        <w:t xml:space="preserve"> </w:t>
      </w:r>
      <w:r w:rsidRPr="003E5BE0">
        <w:rPr>
          <w:rFonts w:ascii="Arial Narrow" w:hAnsi="Arial Narrow"/>
          <w:sz w:val="20"/>
          <w:szCs w:val="20"/>
        </w:rPr>
        <w:t xml:space="preserve">The requested listing was changed </w:t>
      </w:r>
      <w:r w:rsidR="004817C8" w:rsidRPr="003E5BE0">
        <w:rPr>
          <w:rFonts w:ascii="Arial Narrow" w:hAnsi="Arial Narrow"/>
          <w:sz w:val="20"/>
          <w:szCs w:val="20"/>
        </w:rPr>
        <w:t xml:space="preserve">in the Pre-Subcommittee response (PSCR) </w:t>
      </w:r>
      <w:r w:rsidRPr="003E5BE0">
        <w:rPr>
          <w:rFonts w:ascii="Arial Narrow" w:hAnsi="Arial Narrow"/>
          <w:sz w:val="20"/>
          <w:szCs w:val="20"/>
        </w:rPr>
        <w:t xml:space="preserve">to </w:t>
      </w:r>
      <w:r w:rsidR="004817C8" w:rsidRPr="003E5BE0">
        <w:rPr>
          <w:rFonts w:ascii="Arial Narrow" w:hAnsi="Arial Narrow"/>
          <w:sz w:val="20"/>
          <w:szCs w:val="20"/>
        </w:rPr>
        <w:t xml:space="preserve">only </w:t>
      </w:r>
      <w:r w:rsidRPr="003E5BE0">
        <w:rPr>
          <w:rFonts w:ascii="Arial Narrow" w:hAnsi="Arial Narrow"/>
          <w:sz w:val="20"/>
          <w:szCs w:val="20"/>
        </w:rPr>
        <w:t>include patients with Stage IV (metastatic) NSCLC.</w:t>
      </w:r>
    </w:p>
    <w:p w:rsidR="00654CC9" w:rsidRPr="003E5BE0" w:rsidRDefault="00654CC9" w:rsidP="00EF4B93">
      <w:pPr>
        <w:pStyle w:val="Header"/>
        <w:rPr>
          <w:rFonts w:ascii="Arial Narrow" w:hAnsi="Arial Narrow"/>
          <w:sz w:val="20"/>
          <w:szCs w:val="20"/>
        </w:rPr>
      </w:pPr>
      <w:proofErr w:type="gramStart"/>
      <w:r w:rsidRPr="003E5BE0">
        <w:rPr>
          <w:rFonts w:ascii="Arial Narrow" w:hAnsi="Arial Narrow"/>
          <w:sz w:val="20"/>
          <w:szCs w:val="20"/>
          <w:vertAlign w:val="superscript"/>
        </w:rPr>
        <w:t>c</w:t>
      </w:r>
      <w:proofErr w:type="gramEnd"/>
      <w:r w:rsidRPr="003E5BE0">
        <w:rPr>
          <w:rFonts w:ascii="Arial Narrow" w:hAnsi="Arial Narrow"/>
          <w:sz w:val="20"/>
          <w:szCs w:val="20"/>
        </w:rPr>
        <w:t xml:space="preserve"> The clinical criteria w</w:t>
      </w:r>
      <w:r w:rsidR="004817C8" w:rsidRPr="003E5BE0">
        <w:rPr>
          <w:rFonts w:ascii="Arial Narrow" w:hAnsi="Arial Narrow"/>
          <w:sz w:val="20"/>
          <w:szCs w:val="20"/>
        </w:rPr>
        <w:t>ere</w:t>
      </w:r>
      <w:r w:rsidRPr="003E5BE0">
        <w:rPr>
          <w:rFonts w:ascii="Arial Narrow" w:hAnsi="Arial Narrow"/>
          <w:sz w:val="20"/>
          <w:szCs w:val="20"/>
        </w:rPr>
        <w:t xml:space="preserve"> changed </w:t>
      </w:r>
      <w:r w:rsidR="004817C8" w:rsidRPr="003E5BE0">
        <w:rPr>
          <w:rFonts w:ascii="Arial Narrow" w:hAnsi="Arial Narrow"/>
          <w:sz w:val="20"/>
          <w:szCs w:val="20"/>
        </w:rPr>
        <w:t xml:space="preserve">in the PSCR </w:t>
      </w:r>
      <w:r w:rsidRPr="003E5BE0">
        <w:rPr>
          <w:rFonts w:ascii="Arial Narrow" w:hAnsi="Arial Narrow"/>
          <w:sz w:val="20"/>
          <w:szCs w:val="20"/>
        </w:rPr>
        <w:t>to specify that patients must have a performance status of 1 or less.</w:t>
      </w:r>
    </w:p>
    <w:p w:rsidR="00654CC9" w:rsidRDefault="005D57F4" w:rsidP="00EF4B93">
      <w:pPr>
        <w:pStyle w:val="Header"/>
        <w:rPr>
          <w:rFonts w:ascii="Arial Narrow" w:hAnsi="Arial Narrow"/>
          <w:sz w:val="20"/>
          <w:szCs w:val="20"/>
        </w:rPr>
      </w:pPr>
      <w:proofErr w:type="gramStart"/>
      <w:r w:rsidRPr="005D57F4">
        <w:rPr>
          <w:rFonts w:ascii="Arial Narrow" w:hAnsi="Arial Narrow"/>
          <w:sz w:val="20"/>
          <w:szCs w:val="20"/>
          <w:vertAlign w:val="superscript"/>
        </w:rPr>
        <w:t>d</w:t>
      </w:r>
      <w:proofErr w:type="gramEnd"/>
      <w:r>
        <w:rPr>
          <w:rFonts w:ascii="Arial Narrow" w:hAnsi="Arial Narrow"/>
          <w:sz w:val="20"/>
          <w:szCs w:val="20"/>
        </w:rPr>
        <w:t xml:space="preserve"> The pre-PBAC response requested removal of the administrative advice in relation to pseudo progression.</w:t>
      </w:r>
    </w:p>
    <w:p w:rsidR="00AA2FD0" w:rsidRDefault="00AA2FD0">
      <w:pPr>
        <w:jc w:val="left"/>
        <w:rPr>
          <w:rFonts w:ascii="Arial Narrow" w:hAnsi="Arial Narrow"/>
          <w:sz w:val="20"/>
          <w:szCs w:val="20"/>
        </w:rPr>
      </w:pPr>
      <w:r>
        <w:rPr>
          <w:rFonts w:ascii="Arial Narrow" w:hAnsi="Arial Narrow"/>
          <w:sz w:val="20"/>
          <w:szCs w:val="20"/>
        </w:rPr>
        <w:br w:type="page"/>
      </w:r>
    </w:p>
    <w:p w:rsidR="007C0B76" w:rsidRPr="00832F58" w:rsidRDefault="007C0B76" w:rsidP="00EF4B93">
      <w:pPr>
        <w:pStyle w:val="Header"/>
        <w:rPr>
          <w:rFonts w:ascii="Arial Narrow" w:hAnsi="Arial Narrow"/>
          <w:sz w:val="20"/>
          <w:szCs w:val="20"/>
        </w:rPr>
      </w:pPr>
    </w:p>
    <w:tbl>
      <w:tblPr>
        <w:tblW w:w="5000" w:type="pct"/>
        <w:tblLook w:val="0000" w:firstRow="0" w:lastRow="0" w:firstColumn="0" w:lastColumn="0" w:noHBand="0" w:noVBand="0"/>
      </w:tblPr>
      <w:tblGrid>
        <w:gridCol w:w="2629"/>
        <w:gridCol w:w="6614"/>
      </w:tblGrid>
      <w:tr w:rsidR="00EF4B93" w:rsidRPr="00BE5660" w:rsidTr="00236513">
        <w:trPr>
          <w:cantSplit/>
        </w:trPr>
        <w:tc>
          <w:tcPr>
            <w:tcW w:w="5000" w:type="pct"/>
            <w:gridSpan w:val="2"/>
          </w:tcPr>
          <w:p w:rsidR="00EF4B93" w:rsidRPr="00BE5660" w:rsidRDefault="00EF4B93" w:rsidP="00236513">
            <w:pPr>
              <w:pStyle w:val="TableText0"/>
              <w:spacing w:before="40" w:after="40"/>
              <w:rPr>
                <w:b/>
                <w:u w:val="single"/>
              </w:rPr>
            </w:pPr>
            <w:r>
              <w:rPr>
                <w:b/>
                <w:u w:val="single"/>
              </w:rPr>
              <w:t>Treatment phase: C</w:t>
            </w:r>
            <w:r w:rsidRPr="00BE5660">
              <w:rPr>
                <w:b/>
                <w:u w:val="single"/>
              </w:rPr>
              <w:t>ontinuing treatment</w:t>
            </w:r>
            <w:r>
              <w:rPr>
                <w:b/>
                <w:u w:val="single"/>
              </w:rPr>
              <w:t xml:space="preserve"> 1</w:t>
            </w:r>
          </w:p>
        </w:tc>
      </w:tr>
      <w:tr w:rsidR="00EF4B93" w:rsidRPr="00BE5660" w:rsidTr="00236513">
        <w:trPr>
          <w:cantSplit/>
          <w:trHeight w:val="201"/>
        </w:trPr>
        <w:tc>
          <w:tcPr>
            <w:tcW w:w="1422"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t>Category / Program</w:t>
            </w:r>
          </w:p>
        </w:tc>
        <w:tc>
          <w:tcPr>
            <w:tcW w:w="3578"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sz w:val="20"/>
              </w:rPr>
            </w:pPr>
            <w:r w:rsidRPr="00BE5660">
              <w:rPr>
                <w:rFonts w:ascii="Arial Narrow" w:hAnsi="Arial Narrow"/>
                <w:sz w:val="20"/>
              </w:rPr>
              <w:t>Section 100 – Efficient funding of chemotherapy</w:t>
            </w:r>
          </w:p>
        </w:tc>
      </w:tr>
      <w:tr w:rsidR="00EF4B93" w:rsidRPr="00BE5660" w:rsidTr="00236513">
        <w:trPr>
          <w:cantSplit/>
          <w:trHeight w:val="360"/>
        </w:trPr>
        <w:tc>
          <w:tcPr>
            <w:tcW w:w="1422" w:type="pct"/>
            <w:tcBorders>
              <w:top w:val="single" w:sz="4" w:space="0" w:color="auto"/>
              <w:left w:val="single" w:sz="4" w:space="0" w:color="auto"/>
              <w:bottom w:val="single" w:sz="4" w:space="0" w:color="auto"/>
              <w:right w:val="single" w:sz="4" w:space="0" w:color="auto"/>
            </w:tcBorders>
          </w:tcPr>
          <w:p w:rsidR="00EF4B93" w:rsidRPr="00BE5660" w:rsidRDefault="00EF4B93" w:rsidP="004817C8">
            <w:pPr>
              <w:spacing w:before="40" w:after="40"/>
              <w:rPr>
                <w:rFonts w:ascii="Arial Narrow" w:hAnsi="Arial Narrow"/>
                <w:b/>
                <w:sz w:val="20"/>
              </w:rPr>
            </w:pPr>
            <w:r w:rsidRPr="00BE5660">
              <w:rPr>
                <w:rFonts w:ascii="Arial Narrow" w:hAnsi="Arial Narrow"/>
                <w:b/>
                <w:sz w:val="20"/>
              </w:rPr>
              <w:t>Prescriber type:</w:t>
            </w:r>
          </w:p>
        </w:tc>
        <w:tc>
          <w:tcPr>
            <w:tcW w:w="3578"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Check1"/>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 xml:space="preserve">Dental  </w:t>
            </w:r>
            <w:r w:rsidRPr="00BE5660">
              <w:rPr>
                <w:rFonts w:ascii="Arial Narrow" w:hAnsi="Arial Narrow"/>
                <w:sz w:val="20"/>
              </w:rPr>
              <w:fldChar w:fldCharType="begin">
                <w:ffData>
                  <w:name w:val=""/>
                  <w:enabled/>
                  <w:calcOnExit w:val="0"/>
                  <w:checkBox>
                    <w:sizeAuto/>
                    <w:default w:val="1"/>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 xml:space="preserve">Medical Practitioners  </w:t>
            </w:r>
            <w:r w:rsidRPr="00BE5660">
              <w:rPr>
                <w:rFonts w:ascii="Arial Narrow" w:hAnsi="Arial Narrow"/>
                <w:sz w:val="20"/>
              </w:rPr>
              <w:fldChar w:fldCharType="begin">
                <w:ffData>
                  <w:name w:val="Check3"/>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 xml:space="preserve">Nurse practitioners  </w:t>
            </w:r>
            <w:r w:rsidRPr="00BE5660">
              <w:rPr>
                <w:rFonts w:ascii="Arial Narrow" w:hAnsi="Arial Narrow"/>
                <w:sz w:val="20"/>
              </w:rPr>
              <w:fldChar w:fldCharType="begin">
                <w:ffData>
                  <w:name w:val=""/>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Optometrists</w:t>
            </w:r>
          </w:p>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Check5"/>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Midwives</w:t>
            </w:r>
          </w:p>
        </w:tc>
      </w:tr>
      <w:tr w:rsidR="00EF4B93" w:rsidRPr="00BE5660" w:rsidTr="00236513">
        <w:trPr>
          <w:cantSplit/>
          <w:trHeight w:val="106"/>
        </w:trPr>
        <w:tc>
          <w:tcPr>
            <w:tcW w:w="1422"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t>Severity:</w:t>
            </w:r>
          </w:p>
        </w:tc>
        <w:tc>
          <w:tcPr>
            <w:tcW w:w="3578" w:type="pct"/>
            <w:tcBorders>
              <w:top w:val="single" w:sz="4" w:space="0" w:color="auto"/>
              <w:left w:val="single" w:sz="4" w:space="0" w:color="auto"/>
              <w:bottom w:val="single" w:sz="4" w:space="0" w:color="auto"/>
              <w:right w:val="single" w:sz="4" w:space="0" w:color="auto"/>
            </w:tcBorders>
          </w:tcPr>
          <w:p w:rsidR="00EF4B93" w:rsidRPr="00BE5660" w:rsidRDefault="00F030BD" w:rsidP="004817C8">
            <w:pPr>
              <w:spacing w:before="40" w:after="40"/>
              <w:rPr>
                <w:rFonts w:ascii="Arial Narrow" w:hAnsi="Arial Narrow"/>
                <w:sz w:val="20"/>
              </w:rPr>
            </w:pPr>
            <w:r w:rsidRPr="008E0652">
              <w:rPr>
                <w:rFonts w:ascii="Arial Narrow" w:hAnsi="Arial Narrow"/>
                <w:strike/>
                <w:sz w:val="20"/>
              </w:rPr>
              <w:t>Stage IIIB (locally advanced) or</w:t>
            </w:r>
            <w:r w:rsidR="000B7548">
              <w:rPr>
                <w:rFonts w:ascii="Arial Narrow" w:hAnsi="Arial Narrow"/>
                <w:strike/>
                <w:sz w:val="20"/>
              </w:rPr>
              <w:t xml:space="preserve"> </w:t>
            </w:r>
            <w:r w:rsidRPr="00BE5660">
              <w:rPr>
                <w:rFonts w:ascii="Arial Narrow" w:hAnsi="Arial Narrow"/>
                <w:sz w:val="20"/>
              </w:rPr>
              <w:t>Stage IV (metastatic) NSCLC</w:t>
            </w:r>
            <w:r>
              <w:rPr>
                <w:rFonts w:ascii="Arial Narrow" w:hAnsi="Arial Narrow"/>
                <w:sz w:val="20"/>
                <w:vertAlign w:val="superscript"/>
              </w:rPr>
              <w:t>b</w:t>
            </w:r>
          </w:p>
        </w:tc>
      </w:tr>
      <w:tr w:rsidR="00EF4B93" w:rsidRPr="00BE5660" w:rsidTr="00236513">
        <w:trPr>
          <w:cantSplit/>
          <w:trHeight w:val="67"/>
        </w:trPr>
        <w:tc>
          <w:tcPr>
            <w:tcW w:w="1422"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t>Condition:</w:t>
            </w:r>
          </w:p>
        </w:tc>
        <w:tc>
          <w:tcPr>
            <w:tcW w:w="3578"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sz w:val="20"/>
              </w:rPr>
            </w:pPr>
            <w:r w:rsidRPr="00BE5660">
              <w:rPr>
                <w:rFonts w:ascii="Arial Narrow" w:hAnsi="Arial Narrow"/>
                <w:sz w:val="20"/>
              </w:rPr>
              <w:t>Non-small cell lung cancer (NSCLC)</w:t>
            </w:r>
          </w:p>
        </w:tc>
      </w:tr>
      <w:tr w:rsidR="00EF4B93" w:rsidRPr="00BE5660" w:rsidTr="00236513">
        <w:trPr>
          <w:cantSplit/>
          <w:trHeight w:val="171"/>
        </w:trPr>
        <w:tc>
          <w:tcPr>
            <w:tcW w:w="1422"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t>PBS Indication:</w:t>
            </w:r>
          </w:p>
        </w:tc>
        <w:tc>
          <w:tcPr>
            <w:tcW w:w="3578" w:type="pct"/>
            <w:tcBorders>
              <w:top w:val="single" w:sz="4" w:space="0" w:color="auto"/>
              <w:left w:val="single" w:sz="4" w:space="0" w:color="auto"/>
              <w:bottom w:val="single" w:sz="4" w:space="0" w:color="auto"/>
              <w:right w:val="single" w:sz="4" w:space="0" w:color="auto"/>
            </w:tcBorders>
          </w:tcPr>
          <w:p w:rsidR="00EF4B93" w:rsidRPr="00BE5660" w:rsidRDefault="00F030BD" w:rsidP="004817C8">
            <w:pPr>
              <w:spacing w:before="40" w:after="40"/>
              <w:rPr>
                <w:rFonts w:ascii="Arial Narrow" w:hAnsi="Arial Narrow"/>
                <w:sz w:val="20"/>
              </w:rPr>
            </w:pPr>
            <w:r w:rsidRPr="008E0652">
              <w:rPr>
                <w:rFonts w:ascii="Arial Narrow" w:hAnsi="Arial Narrow"/>
                <w:strike/>
                <w:sz w:val="20"/>
              </w:rPr>
              <w:t>Stage IIIB (locally advanced) or</w:t>
            </w:r>
            <w:r w:rsidR="000B7548">
              <w:rPr>
                <w:rFonts w:ascii="Arial Narrow" w:hAnsi="Arial Narrow"/>
                <w:strike/>
                <w:sz w:val="20"/>
              </w:rPr>
              <w:t xml:space="preserve"> </w:t>
            </w:r>
            <w:r w:rsidRPr="00BE5660">
              <w:rPr>
                <w:rFonts w:ascii="Arial Narrow" w:hAnsi="Arial Narrow"/>
                <w:sz w:val="20"/>
              </w:rPr>
              <w:t>Stage IV (metastatic) NSCLC</w:t>
            </w:r>
            <w:r>
              <w:rPr>
                <w:rFonts w:ascii="Arial Narrow" w:hAnsi="Arial Narrow"/>
                <w:sz w:val="20"/>
                <w:vertAlign w:val="superscript"/>
              </w:rPr>
              <w:t>b</w:t>
            </w:r>
          </w:p>
        </w:tc>
      </w:tr>
      <w:tr w:rsidR="00EF4B93" w:rsidRPr="00BE5660" w:rsidTr="00236513">
        <w:trPr>
          <w:cantSplit/>
          <w:trHeight w:val="275"/>
        </w:trPr>
        <w:tc>
          <w:tcPr>
            <w:tcW w:w="1422"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i/>
                <w:sz w:val="20"/>
              </w:rPr>
            </w:pPr>
            <w:r w:rsidRPr="00BE5660">
              <w:rPr>
                <w:rFonts w:ascii="Arial Narrow" w:hAnsi="Arial Narrow"/>
                <w:b/>
                <w:sz w:val="20"/>
              </w:rPr>
              <w:t>Treatment phase:</w:t>
            </w:r>
          </w:p>
        </w:tc>
        <w:tc>
          <w:tcPr>
            <w:tcW w:w="3578"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sz w:val="20"/>
              </w:rPr>
            </w:pPr>
            <w:r w:rsidRPr="00BE5660">
              <w:rPr>
                <w:rFonts w:ascii="Arial Narrow" w:hAnsi="Arial Narrow"/>
                <w:sz w:val="20"/>
              </w:rPr>
              <w:t>Continuing treatment</w:t>
            </w:r>
            <w:r>
              <w:rPr>
                <w:rFonts w:ascii="Arial Narrow" w:hAnsi="Arial Narrow"/>
                <w:sz w:val="20"/>
              </w:rPr>
              <w:t xml:space="preserve"> 1 – from initial treatment </w:t>
            </w:r>
          </w:p>
        </w:tc>
      </w:tr>
      <w:tr w:rsidR="00EF4B93" w:rsidRPr="00BE5660" w:rsidTr="00236513">
        <w:trPr>
          <w:cantSplit/>
          <w:trHeight w:val="360"/>
        </w:trPr>
        <w:tc>
          <w:tcPr>
            <w:tcW w:w="1422"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t>Restriction Level / Method:</w:t>
            </w:r>
          </w:p>
        </w:tc>
        <w:tc>
          <w:tcPr>
            <w:tcW w:w="3578"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Check1"/>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Restricted benefit</w:t>
            </w:r>
          </w:p>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Authority Required - In Writing</w:t>
            </w:r>
          </w:p>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Check3"/>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Authority Required - Telephone</w:t>
            </w:r>
          </w:p>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Authority Required – Emergency</w:t>
            </w:r>
          </w:p>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Check5"/>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Authority Required - Electronic</w:t>
            </w:r>
          </w:p>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
                  <w:enabled/>
                  <w:calcOnExit w:val="0"/>
                  <w:checkBox>
                    <w:sizeAuto/>
                    <w:default w:val="1"/>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Streamlined</w:t>
            </w:r>
          </w:p>
        </w:tc>
      </w:tr>
      <w:tr w:rsidR="00EF4B93" w:rsidRPr="00BE5660" w:rsidTr="00236513">
        <w:trPr>
          <w:cantSplit/>
          <w:trHeight w:val="360"/>
        </w:trPr>
        <w:tc>
          <w:tcPr>
            <w:tcW w:w="1422"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t>Clinical criteria:</w:t>
            </w:r>
          </w:p>
        </w:tc>
        <w:tc>
          <w:tcPr>
            <w:tcW w:w="3578" w:type="pct"/>
            <w:tcBorders>
              <w:top w:val="single" w:sz="4" w:space="0" w:color="auto"/>
              <w:left w:val="single" w:sz="4" w:space="0" w:color="auto"/>
              <w:bottom w:val="single" w:sz="4" w:space="0" w:color="auto"/>
              <w:right w:val="single" w:sz="4" w:space="0" w:color="auto"/>
            </w:tcBorders>
          </w:tcPr>
          <w:p w:rsidR="00654CC9" w:rsidRDefault="00654CC9" w:rsidP="00654CC9">
            <w:pPr>
              <w:spacing w:before="40" w:after="40"/>
              <w:rPr>
                <w:rFonts w:ascii="Arial Narrow" w:hAnsi="Arial Narrow"/>
                <w:i/>
                <w:sz w:val="20"/>
              </w:rPr>
            </w:pPr>
            <w:r>
              <w:rPr>
                <w:rFonts w:ascii="Arial Narrow" w:hAnsi="Arial Narrow"/>
                <w:i/>
                <w:sz w:val="20"/>
              </w:rPr>
              <w:t>Patient must have a performance status of 1 or less</w:t>
            </w:r>
            <w:r>
              <w:rPr>
                <w:rFonts w:ascii="Arial Narrow" w:hAnsi="Arial Narrow"/>
                <w:i/>
                <w:sz w:val="20"/>
                <w:vertAlign w:val="superscript"/>
              </w:rPr>
              <w:t>c</w:t>
            </w:r>
            <w:r>
              <w:rPr>
                <w:rFonts w:ascii="Arial Narrow" w:hAnsi="Arial Narrow"/>
                <w:i/>
                <w:sz w:val="20"/>
              </w:rPr>
              <w:t>,</w:t>
            </w:r>
          </w:p>
          <w:p w:rsidR="00654CC9" w:rsidRDefault="00654CC9" w:rsidP="00654CC9">
            <w:pPr>
              <w:spacing w:before="40" w:after="40"/>
              <w:rPr>
                <w:rFonts w:ascii="Arial Narrow" w:hAnsi="Arial Narrow"/>
                <w:i/>
                <w:sz w:val="20"/>
              </w:rPr>
            </w:pPr>
          </w:p>
          <w:p w:rsidR="00654CC9" w:rsidRPr="004817C8" w:rsidRDefault="00654CC9" w:rsidP="00654CC9">
            <w:pPr>
              <w:spacing w:before="40" w:after="40"/>
              <w:rPr>
                <w:rFonts w:ascii="Arial Narrow" w:hAnsi="Arial Narrow"/>
                <w:b/>
                <w:sz w:val="20"/>
              </w:rPr>
            </w:pPr>
            <w:r w:rsidRPr="004817C8">
              <w:rPr>
                <w:rFonts w:ascii="Arial Narrow" w:hAnsi="Arial Narrow"/>
                <w:b/>
                <w:i/>
                <w:sz w:val="20"/>
              </w:rPr>
              <w:t>AND</w:t>
            </w:r>
          </w:p>
          <w:p w:rsidR="00654CC9" w:rsidRDefault="00654CC9" w:rsidP="00236513">
            <w:pPr>
              <w:spacing w:before="40" w:after="40"/>
              <w:rPr>
                <w:rFonts w:ascii="Arial Narrow" w:hAnsi="Arial Narrow"/>
                <w:sz w:val="20"/>
              </w:rPr>
            </w:pPr>
          </w:p>
          <w:p w:rsidR="00EF4B93" w:rsidRDefault="00EF4B93" w:rsidP="00236513">
            <w:pPr>
              <w:spacing w:before="40" w:after="40"/>
              <w:rPr>
                <w:rFonts w:ascii="Arial Narrow" w:hAnsi="Arial Narrow"/>
                <w:sz w:val="20"/>
              </w:rPr>
            </w:pPr>
            <w:r w:rsidRPr="00BE5660">
              <w:rPr>
                <w:rFonts w:ascii="Arial Narrow" w:hAnsi="Arial Narrow"/>
                <w:sz w:val="20"/>
              </w:rPr>
              <w:t>Treatment must be the sole PBS-subsidised therapy for this condition</w:t>
            </w:r>
            <w:r w:rsidR="005D2891">
              <w:rPr>
                <w:rFonts w:ascii="Arial Narrow" w:hAnsi="Arial Narrow"/>
                <w:sz w:val="20"/>
              </w:rPr>
              <w:t>,</w:t>
            </w:r>
          </w:p>
          <w:p w:rsidR="005D2891" w:rsidRPr="00BE5660" w:rsidRDefault="005D2891" w:rsidP="00236513">
            <w:pPr>
              <w:spacing w:before="40" w:after="40"/>
              <w:rPr>
                <w:rFonts w:ascii="Arial Narrow" w:hAnsi="Arial Narrow"/>
                <w:sz w:val="20"/>
              </w:rPr>
            </w:pPr>
          </w:p>
          <w:p w:rsidR="00EF4B93" w:rsidRDefault="004817C8" w:rsidP="00236513">
            <w:pPr>
              <w:spacing w:before="40" w:after="40"/>
              <w:rPr>
                <w:rFonts w:ascii="Arial Narrow" w:hAnsi="Arial Narrow"/>
                <w:b/>
                <w:sz w:val="20"/>
              </w:rPr>
            </w:pPr>
            <w:r>
              <w:rPr>
                <w:rFonts w:ascii="Arial Narrow" w:hAnsi="Arial Narrow"/>
                <w:b/>
                <w:sz w:val="20"/>
              </w:rPr>
              <w:t>AND</w:t>
            </w:r>
          </w:p>
          <w:p w:rsidR="005D2891" w:rsidRPr="004817C8" w:rsidRDefault="005D2891" w:rsidP="00236513">
            <w:pPr>
              <w:spacing w:before="40" w:after="40"/>
              <w:rPr>
                <w:rFonts w:ascii="Arial Narrow" w:hAnsi="Arial Narrow"/>
                <w:sz w:val="20"/>
              </w:rPr>
            </w:pPr>
          </w:p>
          <w:p w:rsidR="00EF4B93" w:rsidRDefault="00EF4B93" w:rsidP="00236513">
            <w:pPr>
              <w:spacing w:before="40" w:after="40"/>
              <w:rPr>
                <w:rFonts w:ascii="Arial Narrow" w:hAnsi="Arial Narrow"/>
                <w:sz w:val="20"/>
              </w:rPr>
            </w:pPr>
            <w:r w:rsidRPr="00BE5660">
              <w:rPr>
                <w:rFonts w:ascii="Arial Narrow" w:hAnsi="Arial Narrow"/>
                <w:sz w:val="20"/>
              </w:rPr>
              <w:t>Patient must have previously been issued with an authority prescription for this drug for this condition,</w:t>
            </w:r>
          </w:p>
          <w:p w:rsidR="005D2891" w:rsidRPr="00BE5660" w:rsidRDefault="005D2891" w:rsidP="00236513">
            <w:pPr>
              <w:spacing w:before="40" w:after="40"/>
              <w:rPr>
                <w:rFonts w:ascii="Arial Narrow" w:hAnsi="Arial Narrow"/>
                <w:sz w:val="20"/>
              </w:rPr>
            </w:pPr>
          </w:p>
          <w:p w:rsidR="00EF4B93" w:rsidRDefault="004817C8" w:rsidP="00236513">
            <w:pPr>
              <w:spacing w:before="40" w:after="40"/>
              <w:rPr>
                <w:rFonts w:ascii="Arial Narrow" w:hAnsi="Arial Narrow"/>
                <w:b/>
                <w:sz w:val="20"/>
              </w:rPr>
            </w:pPr>
            <w:r>
              <w:rPr>
                <w:rFonts w:ascii="Arial Narrow" w:hAnsi="Arial Narrow"/>
                <w:b/>
                <w:sz w:val="20"/>
              </w:rPr>
              <w:t>AND</w:t>
            </w:r>
          </w:p>
          <w:p w:rsidR="005D2891" w:rsidRPr="004817C8" w:rsidRDefault="005D2891" w:rsidP="00236513">
            <w:pPr>
              <w:spacing w:before="40" w:after="40"/>
              <w:rPr>
                <w:rFonts w:ascii="Arial Narrow" w:hAnsi="Arial Narrow"/>
                <w:sz w:val="20"/>
              </w:rPr>
            </w:pPr>
          </w:p>
          <w:p w:rsidR="00EF4B93" w:rsidRDefault="00EF4B93" w:rsidP="00236513">
            <w:pPr>
              <w:spacing w:before="40" w:after="40"/>
              <w:rPr>
                <w:rFonts w:ascii="Arial Narrow" w:hAnsi="Arial Narrow"/>
                <w:sz w:val="20"/>
              </w:rPr>
            </w:pPr>
            <w:r w:rsidRPr="00BE5660">
              <w:rPr>
                <w:rFonts w:ascii="Arial Narrow" w:hAnsi="Arial Narrow"/>
                <w:sz w:val="20"/>
              </w:rPr>
              <w:t xml:space="preserve">Patient must </w:t>
            </w:r>
            <w:r>
              <w:rPr>
                <w:rFonts w:ascii="Arial Narrow" w:hAnsi="Arial Narrow"/>
                <w:sz w:val="20"/>
              </w:rPr>
              <w:t>not have progressive disease,</w:t>
            </w:r>
          </w:p>
          <w:p w:rsidR="005D2891" w:rsidRPr="00BE5660" w:rsidRDefault="005D2891" w:rsidP="00236513">
            <w:pPr>
              <w:spacing w:before="40" w:after="40"/>
              <w:rPr>
                <w:rFonts w:ascii="Arial Narrow" w:hAnsi="Arial Narrow"/>
                <w:sz w:val="20"/>
              </w:rPr>
            </w:pPr>
          </w:p>
          <w:p w:rsidR="00EF4B93" w:rsidRDefault="004817C8" w:rsidP="00236513">
            <w:pPr>
              <w:spacing w:before="40" w:after="40"/>
              <w:rPr>
                <w:rFonts w:ascii="Arial Narrow" w:hAnsi="Arial Narrow"/>
                <w:b/>
                <w:sz w:val="20"/>
              </w:rPr>
            </w:pPr>
            <w:r>
              <w:rPr>
                <w:rFonts w:ascii="Arial Narrow" w:hAnsi="Arial Narrow"/>
                <w:b/>
                <w:sz w:val="20"/>
              </w:rPr>
              <w:t>AND</w:t>
            </w:r>
          </w:p>
          <w:p w:rsidR="00970B1B" w:rsidRDefault="00970B1B" w:rsidP="00236513">
            <w:pPr>
              <w:spacing w:before="40" w:after="40"/>
              <w:rPr>
                <w:rFonts w:ascii="Arial Narrow" w:hAnsi="Arial Narrow"/>
                <w:sz w:val="20"/>
              </w:rPr>
            </w:pPr>
          </w:p>
          <w:p w:rsidR="00EF4B93" w:rsidRDefault="00EF4B93" w:rsidP="00236513">
            <w:pPr>
              <w:spacing w:before="40" w:after="40"/>
              <w:rPr>
                <w:rFonts w:ascii="Arial Narrow" w:hAnsi="Arial Narrow"/>
                <w:sz w:val="20"/>
              </w:rPr>
            </w:pPr>
            <w:r>
              <w:rPr>
                <w:rFonts w:ascii="Arial Narrow" w:hAnsi="Arial Narrow"/>
                <w:sz w:val="20"/>
              </w:rPr>
              <w:t xml:space="preserve">The treatment must not exceed a dose of </w:t>
            </w:r>
            <w:r w:rsidR="00770884">
              <w:rPr>
                <w:rFonts w:ascii="Arial Narrow" w:hAnsi="Arial Narrow"/>
                <w:sz w:val="20"/>
              </w:rPr>
              <w:t>200 mg</w:t>
            </w:r>
            <w:r>
              <w:rPr>
                <w:rFonts w:ascii="Arial Narrow" w:hAnsi="Arial Narrow"/>
                <w:sz w:val="20"/>
              </w:rPr>
              <w:t xml:space="preserve"> every 3 weeks,</w:t>
            </w:r>
          </w:p>
          <w:p w:rsidR="005D2891" w:rsidRDefault="005D2891" w:rsidP="00236513">
            <w:pPr>
              <w:spacing w:before="40" w:after="40"/>
              <w:rPr>
                <w:rFonts w:ascii="Arial Narrow" w:hAnsi="Arial Narrow"/>
                <w:sz w:val="20"/>
              </w:rPr>
            </w:pPr>
          </w:p>
          <w:p w:rsidR="00EF4B93" w:rsidRDefault="00EF4B93" w:rsidP="00236513">
            <w:pPr>
              <w:spacing w:before="40" w:after="40"/>
              <w:rPr>
                <w:rFonts w:ascii="Arial Narrow" w:hAnsi="Arial Narrow"/>
                <w:b/>
                <w:sz w:val="20"/>
              </w:rPr>
            </w:pPr>
            <w:r>
              <w:rPr>
                <w:rFonts w:ascii="Arial Narrow" w:hAnsi="Arial Narrow"/>
                <w:b/>
                <w:sz w:val="20"/>
              </w:rPr>
              <w:t>AND</w:t>
            </w:r>
          </w:p>
          <w:p w:rsidR="005D2891" w:rsidRDefault="005D2891" w:rsidP="00236513">
            <w:pPr>
              <w:spacing w:before="40" w:after="40"/>
              <w:rPr>
                <w:rFonts w:ascii="Arial Narrow" w:hAnsi="Arial Narrow"/>
                <w:sz w:val="20"/>
              </w:rPr>
            </w:pPr>
          </w:p>
          <w:p w:rsidR="00EF4B93" w:rsidRPr="000F7431" w:rsidRDefault="00EF4B93" w:rsidP="00236513">
            <w:pPr>
              <w:spacing w:before="40" w:after="40"/>
              <w:rPr>
                <w:rFonts w:ascii="Arial Narrow" w:hAnsi="Arial Narrow"/>
                <w:sz w:val="20"/>
              </w:rPr>
            </w:pPr>
            <w:r>
              <w:rPr>
                <w:rFonts w:ascii="Arial Narrow" w:hAnsi="Arial Narrow"/>
                <w:sz w:val="20"/>
              </w:rPr>
              <w:t>Treatment must not exceed 24 months.</w:t>
            </w:r>
          </w:p>
        </w:tc>
      </w:tr>
    </w:tbl>
    <w:p w:rsidR="00EF4B93" w:rsidRPr="004817C8" w:rsidRDefault="00EF4B93" w:rsidP="00EF4B93">
      <w:pPr>
        <w:pStyle w:val="Header"/>
        <w:rPr>
          <w:rFonts w:ascii="Arial" w:hAnsi="Arial" w:cs="Arial"/>
          <w:sz w:val="22"/>
          <w:szCs w:val="22"/>
        </w:rPr>
      </w:pPr>
    </w:p>
    <w:p w:rsidR="00AA2FD0" w:rsidRDefault="00AA2FD0">
      <w:r>
        <w:br w:type="page"/>
      </w:r>
    </w:p>
    <w:tbl>
      <w:tblPr>
        <w:tblW w:w="5000" w:type="pct"/>
        <w:tblLook w:val="0000" w:firstRow="0" w:lastRow="0" w:firstColumn="0" w:lastColumn="0" w:noHBand="0" w:noVBand="0"/>
      </w:tblPr>
      <w:tblGrid>
        <w:gridCol w:w="2592"/>
        <w:gridCol w:w="6651"/>
      </w:tblGrid>
      <w:tr w:rsidR="00EF4B93" w:rsidRPr="00BE5660" w:rsidTr="00236513">
        <w:trPr>
          <w:cantSplit/>
        </w:trPr>
        <w:tc>
          <w:tcPr>
            <w:tcW w:w="5000" w:type="pct"/>
            <w:gridSpan w:val="2"/>
          </w:tcPr>
          <w:p w:rsidR="00EF4B93" w:rsidRPr="00BE5660" w:rsidRDefault="00EF4B93" w:rsidP="005002A8">
            <w:pPr>
              <w:pStyle w:val="TableText0"/>
              <w:spacing w:before="40" w:after="40"/>
              <w:rPr>
                <w:b/>
                <w:u w:val="single"/>
              </w:rPr>
            </w:pPr>
            <w:r>
              <w:rPr>
                <w:b/>
                <w:u w:val="single"/>
              </w:rPr>
              <w:lastRenderedPageBreak/>
              <w:t>Treatment phase: Grandfathering</w:t>
            </w:r>
          </w:p>
        </w:tc>
      </w:tr>
      <w:tr w:rsidR="00EF4B93" w:rsidRPr="00BE5660" w:rsidTr="00236513">
        <w:trPr>
          <w:cantSplit/>
          <w:trHeight w:val="275"/>
        </w:trPr>
        <w:tc>
          <w:tcPr>
            <w:tcW w:w="1402"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t>Category / Program</w:t>
            </w:r>
          </w:p>
        </w:tc>
        <w:tc>
          <w:tcPr>
            <w:tcW w:w="3598"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sz w:val="20"/>
              </w:rPr>
            </w:pPr>
            <w:r w:rsidRPr="00BE5660">
              <w:rPr>
                <w:rFonts w:ascii="Arial Narrow" w:hAnsi="Arial Narrow"/>
                <w:sz w:val="20"/>
              </w:rPr>
              <w:t>Section 100 – Efficient funding of chemotherapy</w:t>
            </w:r>
          </w:p>
        </w:tc>
      </w:tr>
      <w:tr w:rsidR="00EF4B93" w:rsidRPr="00BE5660" w:rsidTr="00236513">
        <w:trPr>
          <w:cantSplit/>
          <w:trHeight w:val="360"/>
        </w:trPr>
        <w:tc>
          <w:tcPr>
            <w:tcW w:w="1402"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t>Prescriber type:</w:t>
            </w:r>
          </w:p>
          <w:p w:rsidR="00EF4B93" w:rsidRPr="00BE5660" w:rsidRDefault="00EF4B93" w:rsidP="00236513">
            <w:pPr>
              <w:spacing w:before="40" w:after="40"/>
              <w:rPr>
                <w:rFonts w:ascii="Arial Narrow" w:hAnsi="Arial Narrow"/>
                <w:b/>
                <w:sz w:val="20"/>
              </w:rPr>
            </w:pPr>
          </w:p>
        </w:tc>
        <w:tc>
          <w:tcPr>
            <w:tcW w:w="3598"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Check1"/>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 xml:space="preserve">Dental  </w:t>
            </w:r>
            <w:r w:rsidRPr="00BE5660">
              <w:rPr>
                <w:rFonts w:ascii="Arial Narrow" w:hAnsi="Arial Narrow"/>
                <w:sz w:val="20"/>
              </w:rPr>
              <w:fldChar w:fldCharType="begin">
                <w:ffData>
                  <w:name w:val=""/>
                  <w:enabled/>
                  <w:calcOnExit w:val="0"/>
                  <w:checkBox>
                    <w:sizeAuto/>
                    <w:default w:val="1"/>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 xml:space="preserve">Medical Practitioners  </w:t>
            </w:r>
            <w:r w:rsidRPr="00BE5660">
              <w:rPr>
                <w:rFonts w:ascii="Arial Narrow" w:hAnsi="Arial Narrow"/>
                <w:sz w:val="20"/>
              </w:rPr>
              <w:fldChar w:fldCharType="begin">
                <w:ffData>
                  <w:name w:val="Check3"/>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 xml:space="preserve">Nurse practitioners  </w:t>
            </w:r>
            <w:r w:rsidRPr="00BE5660">
              <w:rPr>
                <w:rFonts w:ascii="Arial Narrow" w:hAnsi="Arial Narrow"/>
                <w:sz w:val="20"/>
              </w:rPr>
              <w:fldChar w:fldCharType="begin">
                <w:ffData>
                  <w:name w:val=""/>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Optometrists</w:t>
            </w:r>
          </w:p>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Check5"/>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Midwives</w:t>
            </w:r>
          </w:p>
        </w:tc>
      </w:tr>
      <w:tr w:rsidR="00EF4B93" w:rsidRPr="00BE5660" w:rsidTr="00236513">
        <w:trPr>
          <w:cantSplit/>
          <w:trHeight w:val="223"/>
        </w:trPr>
        <w:tc>
          <w:tcPr>
            <w:tcW w:w="1402"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t>Severity:</w:t>
            </w:r>
          </w:p>
        </w:tc>
        <w:tc>
          <w:tcPr>
            <w:tcW w:w="3598" w:type="pct"/>
            <w:tcBorders>
              <w:top w:val="single" w:sz="4" w:space="0" w:color="auto"/>
              <w:left w:val="single" w:sz="4" w:space="0" w:color="auto"/>
              <w:bottom w:val="single" w:sz="4" w:space="0" w:color="auto"/>
              <w:right w:val="single" w:sz="4" w:space="0" w:color="auto"/>
            </w:tcBorders>
          </w:tcPr>
          <w:p w:rsidR="00EF4B93" w:rsidRPr="00BE5660" w:rsidRDefault="00F030BD" w:rsidP="000B7548">
            <w:pPr>
              <w:spacing w:before="40" w:after="40"/>
              <w:rPr>
                <w:rFonts w:ascii="Arial Narrow" w:hAnsi="Arial Narrow"/>
                <w:sz w:val="20"/>
              </w:rPr>
            </w:pPr>
            <w:r w:rsidRPr="008E0652">
              <w:rPr>
                <w:rFonts w:ascii="Arial Narrow" w:hAnsi="Arial Narrow"/>
                <w:strike/>
                <w:sz w:val="20"/>
              </w:rPr>
              <w:t>Stage IIIB (locally advanced) or</w:t>
            </w:r>
            <w:r w:rsidR="000B7548">
              <w:rPr>
                <w:rFonts w:ascii="Arial Narrow" w:hAnsi="Arial Narrow"/>
                <w:strike/>
                <w:sz w:val="20"/>
              </w:rPr>
              <w:t xml:space="preserve"> </w:t>
            </w:r>
            <w:r w:rsidRPr="00BE5660">
              <w:rPr>
                <w:rFonts w:ascii="Arial Narrow" w:hAnsi="Arial Narrow"/>
                <w:sz w:val="20"/>
              </w:rPr>
              <w:t>Stage IV (metastatic) NSCLC</w:t>
            </w:r>
            <w:r>
              <w:rPr>
                <w:rFonts w:ascii="Arial Narrow" w:hAnsi="Arial Narrow"/>
                <w:sz w:val="20"/>
                <w:vertAlign w:val="superscript"/>
              </w:rPr>
              <w:t>b</w:t>
            </w:r>
          </w:p>
        </w:tc>
      </w:tr>
      <w:tr w:rsidR="00EF4B93" w:rsidRPr="00BE5660" w:rsidTr="00236513">
        <w:trPr>
          <w:cantSplit/>
          <w:trHeight w:val="285"/>
        </w:trPr>
        <w:tc>
          <w:tcPr>
            <w:tcW w:w="1402"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t>Condition:</w:t>
            </w:r>
          </w:p>
        </w:tc>
        <w:tc>
          <w:tcPr>
            <w:tcW w:w="3598"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sz w:val="20"/>
              </w:rPr>
            </w:pPr>
            <w:r w:rsidRPr="00BE5660">
              <w:rPr>
                <w:rFonts w:ascii="Arial Narrow" w:hAnsi="Arial Narrow"/>
                <w:sz w:val="20"/>
              </w:rPr>
              <w:t>Non-small cell lung cancer (NSCLC)</w:t>
            </w:r>
          </w:p>
        </w:tc>
      </w:tr>
      <w:tr w:rsidR="00EF4B93" w:rsidRPr="00BE5660" w:rsidTr="00236513">
        <w:trPr>
          <w:cantSplit/>
          <w:trHeight w:val="191"/>
        </w:trPr>
        <w:tc>
          <w:tcPr>
            <w:tcW w:w="1402"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t>PBS Indication:</w:t>
            </w:r>
          </w:p>
        </w:tc>
        <w:tc>
          <w:tcPr>
            <w:tcW w:w="3598" w:type="pct"/>
            <w:tcBorders>
              <w:top w:val="single" w:sz="4" w:space="0" w:color="auto"/>
              <w:left w:val="single" w:sz="4" w:space="0" w:color="auto"/>
              <w:bottom w:val="single" w:sz="4" w:space="0" w:color="auto"/>
              <w:right w:val="single" w:sz="4" w:space="0" w:color="auto"/>
            </w:tcBorders>
          </w:tcPr>
          <w:p w:rsidR="00EF4B93" w:rsidRPr="00BE5660" w:rsidRDefault="00F030BD" w:rsidP="000B7548">
            <w:pPr>
              <w:spacing w:before="40" w:after="40"/>
              <w:rPr>
                <w:rFonts w:ascii="Arial Narrow" w:hAnsi="Arial Narrow"/>
                <w:sz w:val="20"/>
              </w:rPr>
            </w:pPr>
            <w:r w:rsidRPr="008E0652">
              <w:rPr>
                <w:rFonts w:ascii="Arial Narrow" w:hAnsi="Arial Narrow"/>
                <w:strike/>
                <w:sz w:val="20"/>
              </w:rPr>
              <w:t>Stage IIIB (locally advanced) or</w:t>
            </w:r>
            <w:r w:rsidR="000B7548">
              <w:rPr>
                <w:rFonts w:ascii="Arial Narrow" w:hAnsi="Arial Narrow"/>
                <w:strike/>
                <w:sz w:val="20"/>
              </w:rPr>
              <w:t xml:space="preserve"> </w:t>
            </w:r>
            <w:r w:rsidRPr="00BE5660">
              <w:rPr>
                <w:rFonts w:ascii="Arial Narrow" w:hAnsi="Arial Narrow"/>
                <w:sz w:val="20"/>
              </w:rPr>
              <w:t>Stage IV (metastatic) NSCLC</w:t>
            </w:r>
            <w:r>
              <w:rPr>
                <w:rFonts w:ascii="Arial Narrow" w:hAnsi="Arial Narrow"/>
                <w:sz w:val="20"/>
                <w:vertAlign w:val="superscript"/>
              </w:rPr>
              <w:t>b</w:t>
            </w:r>
          </w:p>
        </w:tc>
      </w:tr>
      <w:tr w:rsidR="00EF4B93" w:rsidRPr="0089765C" w:rsidTr="00236513">
        <w:trPr>
          <w:cantSplit/>
          <w:trHeight w:val="239"/>
        </w:trPr>
        <w:tc>
          <w:tcPr>
            <w:tcW w:w="1402"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i/>
                <w:sz w:val="20"/>
              </w:rPr>
            </w:pPr>
            <w:r w:rsidRPr="00BE5660">
              <w:rPr>
                <w:rFonts w:ascii="Arial Narrow" w:hAnsi="Arial Narrow"/>
                <w:b/>
                <w:sz w:val="20"/>
              </w:rPr>
              <w:t>Treatment phase:</w:t>
            </w:r>
          </w:p>
        </w:tc>
        <w:tc>
          <w:tcPr>
            <w:tcW w:w="3598" w:type="pct"/>
            <w:tcBorders>
              <w:top w:val="single" w:sz="4" w:space="0" w:color="auto"/>
              <w:left w:val="single" w:sz="4" w:space="0" w:color="auto"/>
              <w:bottom w:val="single" w:sz="4" w:space="0" w:color="auto"/>
              <w:right w:val="single" w:sz="4" w:space="0" w:color="auto"/>
            </w:tcBorders>
          </w:tcPr>
          <w:p w:rsidR="00EF4B93" w:rsidRPr="0089765C" w:rsidRDefault="00EF4B93" w:rsidP="00236513">
            <w:pPr>
              <w:spacing w:before="40" w:after="40"/>
              <w:rPr>
                <w:rFonts w:ascii="Arial Narrow" w:hAnsi="Arial Narrow"/>
                <w:sz w:val="20"/>
              </w:rPr>
            </w:pPr>
            <w:r w:rsidRPr="0089765C">
              <w:rPr>
                <w:rFonts w:ascii="Arial Narrow" w:hAnsi="Arial Narrow"/>
                <w:sz w:val="20"/>
              </w:rPr>
              <w:t>Initial treatment 1</w:t>
            </w:r>
          </w:p>
        </w:tc>
      </w:tr>
      <w:tr w:rsidR="00EF4B93" w:rsidRPr="00BE5660" w:rsidTr="00236513">
        <w:trPr>
          <w:cantSplit/>
          <w:trHeight w:val="360"/>
        </w:trPr>
        <w:tc>
          <w:tcPr>
            <w:tcW w:w="1402"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t>Restriction Level / Method:</w:t>
            </w:r>
          </w:p>
        </w:tc>
        <w:tc>
          <w:tcPr>
            <w:tcW w:w="3598"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Check1"/>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Restricted benefit</w:t>
            </w:r>
          </w:p>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Authority Required - In Writing</w:t>
            </w:r>
          </w:p>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Check3"/>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Authority Required - Telephone</w:t>
            </w:r>
          </w:p>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Authority Required – Emergency</w:t>
            </w:r>
          </w:p>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Check5"/>
                  <w:enabled/>
                  <w:calcOnExit w:val="0"/>
                  <w:checkBox>
                    <w:sizeAuto/>
                    <w:default w:val="0"/>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Authority Required - Electronic</w:t>
            </w:r>
          </w:p>
          <w:p w:rsidR="00EF4B93" w:rsidRPr="00BE5660" w:rsidRDefault="00EF4B93" w:rsidP="00236513">
            <w:pPr>
              <w:spacing w:before="40" w:after="40"/>
              <w:rPr>
                <w:rFonts w:ascii="Arial Narrow" w:hAnsi="Arial Narrow"/>
                <w:sz w:val="20"/>
              </w:rPr>
            </w:pPr>
            <w:r w:rsidRPr="00BE5660">
              <w:rPr>
                <w:rFonts w:ascii="Arial Narrow" w:hAnsi="Arial Narrow"/>
                <w:sz w:val="20"/>
              </w:rPr>
              <w:fldChar w:fldCharType="begin">
                <w:ffData>
                  <w:name w:val=""/>
                  <w:enabled/>
                  <w:calcOnExit w:val="0"/>
                  <w:checkBox>
                    <w:sizeAuto/>
                    <w:default w:val="1"/>
                  </w:checkBox>
                </w:ffData>
              </w:fldChar>
            </w:r>
            <w:r w:rsidRPr="00BE5660">
              <w:rPr>
                <w:rFonts w:ascii="Arial Narrow" w:hAnsi="Arial Narrow"/>
                <w:sz w:val="20"/>
              </w:rPr>
              <w:instrText xml:space="preserve"> FORMCHECKBOX </w:instrText>
            </w:r>
            <w:r w:rsidR="00DF3DBC">
              <w:rPr>
                <w:rFonts w:ascii="Arial Narrow" w:hAnsi="Arial Narrow"/>
                <w:sz w:val="20"/>
              </w:rPr>
            </w:r>
            <w:r w:rsidR="00DF3DBC">
              <w:rPr>
                <w:rFonts w:ascii="Arial Narrow" w:hAnsi="Arial Narrow"/>
                <w:sz w:val="20"/>
              </w:rPr>
              <w:fldChar w:fldCharType="separate"/>
            </w:r>
            <w:r w:rsidRPr="00BE5660">
              <w:rPr>
                <w:rFonts w:ascii="Arial Narrow" w:hAnsi="Arial Narrow"/>
                <w:sz w:val="20"/>
              </w:rPr>
              <w:fldChar w:fldCharType="end"/>
            </w:r>
            <w:r w:rsidRPr="00BE5660">
              <w:rPr>
                <w:rFonts w:ascii="Arial Narrow" w:hAnsi="Arial Narrow"/>
                <w:sz w:val="20"/>
              </w:rPr>
              <w:t>Streamlined</w:t>
            </w:r>
          </w:p>
        </w:tc>
      </w:tr>
      <w:tr w:rsidR="00EF4B93" w:rsidRPr="00BE5660" w:rsidTr="00236513">
        <w:trPr>
          <w:cantSplit/>
          <w:trHeight w:val="360"/>
        </w:trPr>
        <w:tc>
          <w:tcPr>
            <w:tcW w:w="1402"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t>Clinical criteria:</w:t>
            </w:r>
          </w:p>
        </w:tc>
        <w:tc>
          <w:tcPr>
            <w:tcW w:w="3598" w:type="pct"/>
            <w:tcBorders>
              <w:top w:val="single" w:sz="4" w:space="0" w:color="auto"/>
              <w:left w:val="single" w:sz="4" w:space="0" w:color="auto"/>
              <w:bottom w:val="single" w:sz="4" w:space="0" w:color="auto"/>
              <w:right w:val="single" w:sz="4" w:space="0" w:color="auto"/>
            </w:tcBorders>
          </w:tcPr>
          <w:p w:rsidR="00E62469" w:rsidRDefault="00E62469" w:rsidP="00E62469">
            <w:pPr>
              <w:spacing w:before="40" w:after="40"/>
              <w:rPr>
                <w:rFonts w:ascii="Arial Narrow" w:hAnsi="Arial Narrow"/>
                <w:i/>
                <w:sz w:val="20"/>
              </w:rPr>
            </w:pPr>
            <w:r>
              <w:rPr>
                <w:rFonts w:ascii="Arial Narrow" w:hAnsi="Arial Narrow"/>
                <w:i/>
                <w:sz w:val="20"/>
              </w:rPr>
              <w:t>Patient must have a performance status of 1 or less</w:t>
            </w:r>
            <w:r>
              <w:rPr>
                <w:rFonts w:ascii="Arial Narrow" w:hAnsi="Arial Narrow"/>
                <w:i/>
                <w:sz w:val="20"/>
                <w:vertAlign w:val="superscript"/>
              </w:rPr>
              <w:t>c</w:t>
            </w:r>
            <w:r>
              <w:rPr>
                <w:rFonts w:ascii="Arial Narrow" w:hAnsi="Arial Narrow"/>
                <w:i/>
                <w:sz w:val="20"/>
              </w:rPr>
              <w:t>,</w:t>
            </w:r>
          </w:p>
          <w:p w:rsidR="00E62469" w:rsidRDefault="00E62469" w:rsidP="00E62469">
            <w:pPr>
              <w:spacing w:before="40" w:after="40"/>
              <w:rPr>
                <w:rFonts w:ascii="Arial Narrow" w:hAnsi="Arial Narrow"/>
                <w:i/>
                <w:sz w:val="20"/>
              </w:rPr>
            </w:pPr>
          </w:p>
          <w:p w:rsidR="00E62469" w:rsidRPr="000B7548" w:rsidRDefault="00E62469" w:rsidP="00E62469">
            <w:pPr>
              <w:spacing w:before="40" w:after="40"/>
              <w:rPr>
                <w:rFonts w:ascii="Arial Narrow" w:hAnsi="Arial Narrow"/>
                <w:b/>
                <w:sz w:val="20"/>
              </w:rPr>
            </w:pPr>
            <w:r w:rsidRPr="000B7548">
              <w:rPr>
                <w:rFonts w:ascii="Arial Narrow" w:hAnsi="Arial Narrow"/>
                <w:b/>
                <w:i/>
                <w:sz w:val="20"/>
              </w:rPr>
              <w:t>AND</w:t>
            </w:r>
          </w:p>
          <w:p w:rsidR="00E62469" w:rsidRDefault="00E62469" w:rsidP="00236513">
            <w:pPr>
              <w:spacing w:before="40" w:after="40"/>
              <w:rPr>
                <w:rFonts w:ascii="Arial Narrow" w:hAnsi="Arial Narrow"/>
                <w:sz w:val="20"/>
              </w:rPr>
            </w:pPr>
          </w:p>
          <w:p w:rsidR="00EF4B93" w:rsidRDefault="00EF4B93" w:rsidP="00236513">
            <w:pPr>
              <w:spacing w:before="40" w:after="40"/>
              <w:rPr>
                <w:rFonts w:ascii="Arial Narrow" w:hAnsi="Arial Narrow"/>
                <w:sz w:val="20"/>
              </w:rPr>
            </w:pPr>
            <w:r w:rsidRPr="00BE5660">
              <w:rPr>
                <w:rFonts w:ascii="Arial Narrow" w:hAnsi="Arial Narrow"/>
                <w:sz w:val="20"/>
              </w:rPr>
              <w:t>Treatment must be the sole PBS-subsidised therapy for this condition,</w:t>
            </w:r>
          </w:p>
          <w:p w:rsidR="005D2891" w:rsidRPr="00BE5660" w:rsidRDefault="005D2891" w:rsidP="00236513">
            <w:pPr>
              <w:spacing w:before="40" w:after="40"/>
              <w:rPr>
                <w:rFonts w:ascii="Arial Narrow" w:hAnsi="Arial Narrow"/>
                <w:sz w:val="20"/>
              </w:rPr>
            </w:pPr>
          </w:p>
          <w:p w:rsidR="00EF4B93" w:rsidRDefault="00EF4B93" w:rsidP="00236513">
            <w:pPr>
              <w:spacing w:before="40" w:after="40"/>
              <w:rPr>
                <w:rFonts w:ascii="Arial Narrow" w:hAnsi="Arial Narrow"/>
                <w:sz w:val="20"/>
              </w:rPr>
            </w:pPr>
            <w:r w:rsidRPr="00BE5660">
              <w:rPr>
                <w:rFonts w:ascii="Arial Narrow" w:hAnsi="Arial Narrow"/>
                <w:b/>
                <w:sz w:val="20"/>
              </w:rPr>
              <w:t>AND</w:t>
            </w:r>
          </w:p>
          <w:p w:rsidR="005D2891" w:rsidRDefault="005D2891" w:rsidP="00236513">
            <w:pPr>
              <w:spacing w:before="40" w:after="40"/>
              <w:rPr>
                <w:rFonts w:ascii="Arial Narrow" w:hAnsi="Arial Narrow"/>
                <w:sz w:val="20"/>
              </w:rPr>
            </w:pPr>
          </w:p>
          <w:p w:rsidR="00EF4B93" w:rsidRDefault="00EF4B93" w:rsidP="00236513">
            <w:pPr>
              <w:spacing w:before="40" w:after="40"/>
              <w:rPr>
                <w:rFonts w:ascii="Arial Narrow" w:hAnsi="Arial Narrow"/>
                <w:sz w:val="20"/>
              </w:rPr>
            </w:pPr>
            <w:r>
              <w:rPr>
                <w:rFonts w:ascii="Arial Narrow" w:hAnsi="Arial Narrow"/>
                <w:sz w:val="20"/>
              </w:rPr>
              <w:t xml:space="preserve">Patient must have previously received non-PBS subsidised treatment with this drug for this condition prior to </w:t>
            </w:r>
            <w:r w:rsidR="008D1699">
              <w:rPr>
                <w:rFonts w:ascii="Arial Narrow" w:hAnsi="Arial Narrow"/>
                <w:sz w:val="20"/>
              </w:rPr>
              <w:t>(date of listing)</w:t>
            </w:r>
            <w:r>
              <w:rPr>
                <w:rFonts w:ascii="Arial Narrow" w:hAnsi="Arial Narrow"/>
                <w:sz w:val="20"/>
              </w:rPr>
              <w:t>,</w:t>
            </w:r>
          </w:p>
          <w:p w:rsidR="005D2891" w:rsidRDefault="005D2891" w:rsidP="00236513">
            <w:pPr>
              <w:spacing w:before="40" w:after="40"/>
              <w:rPr>
                <w:rFonts w:ascii="Arial Narrow" w:hAnsi="Arial Narrow"/>
                <w:sz w:val="20"/>
              </w:rPr>
            </w:pPr>
          </w:p>
          <w:p w:rsidR="00EF4B93" w:rsidRDefault="00EF4B93" w:rsidP="00236513">
            <w:pPr>
              <w:spacing w:before="40" w:after="40"/>
              <w:rPr>
                <w:rFonts w:ascii="Arial Narrow" w:hAnsi="Arial Narrow"/>
                <w:b/>
                <w:sz w:val="20"/>
              </w:rPr>
            </w:pPr>
            <w:r>
              <w:rPr>
                <w:rFonts w:ascii="Arial Narrow" w:hAnsi="Arial Narrow"/>
                <w:b/>
                <w:sz w:val="20"/>
              </w:rPr>
              <w:t>AND</w:t>
            </w:r>
          </w:p>
          <w:p w:rsidR="005D2891" w:rsidRPr="000B7548" w:rsidRDefault="005D2891" w:rsidP="00236513">
            <w:pPr>
              <w:spacing w:before="40" w:after="40"/>
              <w:rPr>
                <w:rFonts w:ascii="Arial Narrow" w:hAnsi="Arial Narrow"/>
                <w:sz w:val="20"/>
              </w:rPr>
            </w:pPr>
          </w:p>
          <w:p w:rsidR="00EF4B93" w:rsidRDefault="00EF4B93" w:rsidP="00236513">
            <w:pPr>
              <w:spacing w:before="40" w:after="40"/>
              <w:rPr>
                <w:rFonts w:ascii="Arial Narrow" w:hAnsi="Arial Narrow"/>
                <w:sz w:val="20"/>
              </w:rPr>
            </w:pPr>
            <w:r>
              <w:rPr>
                <w:rFonts w:ascii="Arial Narrow" w:hAnsi="Arial Narrow"/>
                <w:sz w:val="20"/>
              </w:rPr>
              <w:t>Patient must have stable or responding disease,</w:t>
            </w:r>
          </w:p>
          <w:p w:rsidR="005D2891" w:rsidRDefault="005D2891" w:rsidP="00236513">
            <w:pPr>
              <w:spacing w:before="40" w:after="40"/>
              <w:rPr>
                <w:rFonts w:ascii="Arial Narrow" w:hAnsi="Arial Narrow"/>
                <w:sz w:val="20"/>
              </w:rPr>
            </w:pPr>
          </w:p>
          <w:p w:rsidR="00EF4B93" w:rsidRDefault="00EF4B93" w:rsidP="00236513">
            <w:pPr>
              <w:spacing w:before="40" w:after="40"/>
              <w:rPr>
                <w:rFonts w:ascii="Arial Narrow" w:hAnsi="Arial Narrow"/>
                <w:b/>
                <w:sz w:val="20"/>
              </w:rPr>
            </w:pPr>
            <w:r>
              <w:rPr>
                <w:rFonts w:ascii="Arial Narrow" w:hAnsi="Arial Narrow"/>
                <w:b/>
                <w:sz w:val="20"/>
              </w:rPr>
              <w:t>AND</w:t>
            </w:r>
          </w:p>
          <w:p w:rsidR="005D2891" w:rsidRDefault="005D2891" w:rsidP="00236513">
            <w:pPr>
              <w:spacing w:before="40" w:after="40"/>
              <w:rPr>
                <w:rFonts w:ascii="Arial Narrow" w:hAnsi="Arial Narrow"/>
                <w:sz w:val="20"/>
              </w:rPr>
            </w:pPr>
          </w:p>
          <w:p w:rsidR="00EF4B93" w:rsidRPr="00BE5660" w:rsidRDefault="00EF4B93" w:rsidP="00236513">
            <w:pPr>
              <w:spacing w:before="40" w:after="40"/>
              <w:rPr>
                <w:rFonts w:ascii="Arial Narrow" w:hAnsi="Arial Narrow"/>
                <w:sz w:val="20"/>
              </w:rPr>
            </w:pPr>
            <w:r w:rsidRPr="00BE5660">
              <w:rPr>
                <w:rFonts w:ascii="Arial Narrow" w:hAnsi="Arial Narrow"/>
                <w:sz w:val="20"/>
              </w:rPr>
              <w:t>The</w:t>
            </w:r>
            <w:r>
              <w:rPr>
                <w:rFonts w:ascii="Arial Narrow" w:hAnsi="Arial Narrow"/>
                <w:sz w:val="20"/>
              </w:rPr>
              <w:t xml:space="preserve"> initial treatment must not exceed a total of 6 doses at a maximum dose of </w:t>
            </w:r>
            <w:r w:rsidR="00770884">
              <w:rPr>
                <w:rFonts w:ascii="Arial Narrow" w:hAnsi="Arial Narrow"/>
                <w:sz w:val="20"/>
              </w:rPr>
              <w:t>200 mg</w:t>
            </w:r>
            <w:r>
              <w:rPr>
                <w:rFonts w:ascii="Arial Narrow" w:hAnsi="Arial Narrow"/>
                <w:sz w:val="20"/>
              </w:rPr>
              <w:t xml:space="preserve"> every 3 weeks.</w:t>
            </w:r>
          </w:p>
        </w:tc>
      </w:tr>
      <w:tr w:rsidR="00EF4B93" w:rsidRPr="00C22494" w:rsidTr="00236513">
        <w:trPr>
          <w:cantSplit/>
          <w:trHeight w:val="360"/>
        </w:trPr>
        <w:tc>
          <w:tcPr>
            <w:tcW w:w="1402"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t>Population criteria:</w:t>
            </w:r>
          </w:p>
        </w:tc>
        <w:tc>
          <w:tcPr>
            <w:tcW w:w="3598" w:type="pct"/>
            <w:tcBorders>
              <w:top w:val="single" w:sz="4" w:space="0" w:color="auto"/>
              <w:left w:val="single" w:sz="4" w:space="0" w:color="auto"/>
              <w:bottom w:val="single" w:sz="4" w:space="0" w:color="auto"/>
              <w:right w:val="single" w:sz="4" w:space="0" w:color="auto"/>
            </w:tcBorders>
          </w:tcPr>
          <w:p w:rsidR="00EF4B93" w:rsidRDefault="00EF4B93" w:rsidP="00236513">
            <w:pPr>
              <w:spacing w:before="40" w:after="40"/>
              <w:rPr>
                <w:rFonts w:ascii="Arial Narrow" w:hAnsi="Arial Narrow"/>
                <w:sz w:val="20"/>
              </w:rPr>
            </w:pPr>
            <w:r>
              <w:rPr>
                <w:rFonts w:ascii="Arial Narrow" w:hAnsi="Arial Narrow"/>
                <w:sz w:val="20"/>
              </w:rPr>
              <w:t>P</w:t>
            </w:r>
            <w:r w:rsidRPr="00BE5660">
              <w:rPr>
                <w:rFonts w:ascii="Arial Narrow" w:hAnsi="Arial Narrow"/>
                <w:sz w:val="20"/>
              </w:rPr>
              <w:t xml:space="preserve">atient must have evidence of </w:t>
            </w:r>
            <w:r>
              <w:rPr>
                <w:rFonts w:ascii="Arial Narrow" w:hAnsi="Arial Narrow"/>
                <w:sz w:val="20"/>
              </w:rPr>
              <w:t>at least 50% programmed death ligand 1 (PD-L1) in tumour material,</w:t>
            </w:r>
          </w:p>
          <w:p w:rsidR="005D2891" w:rsidRDefault="005D2891" w:rsidP="00236513">
            <w:pPr>
              <w:spacing w:before="40" w:after="40"/>
              <w:rPr>
                <w:rFonts w:ascii="Arial Narrow" w:hAnsi="Arial Narrow"/>
                <w:sz w:val="20"/>
              </w:rPr>
            </w:pPr>
          </w:p>
          <w:p w:rsidR="00EF4B93" w:rsidRDefault="00EF4B93" w:rsidP="00236513">
            <w:pPr>
              <w:spacing w:before="40" w:after="40"/>
              <w:rPr>
                <w:rFonts w:ascii="Arial Narrow" w:hAnsi="Arial Narrow"/>
                <w:b/>
                <w:sz w:val="20"/>
              </w:rPr>
            </w:pPr>
            <w:r>
              <w:rPr>
                <w:rFonts w:ascii="Arial Narrow" w:hAnsi="Arial Narrow"/>
                <w:b/>
                <w:sz w:val="20"/>
              </w:rPr>
              <w:t>AND</w:t>
            </w:r>
          </w:p>
          <w:p w:rsidR="005D2891" w:rsidRDefault="005D2891" w:rsidP="00236513">
            <w:pPr>
              <w:spacing w:before="40" w:after="40"/>
              <w:rPr>
                <w:rFonts w:ascii="Arial Narrow" w:hAnsi="Arial Narrow"/>
                <w:b/>
                <w:sz w:val="20"/>
              </w:rPr>
            </w:pPr>
          </w:p>
          <w:p w:rsidR="00EF4B93" w:rsidRPr="00C22494" w:rsidRDefault="00EF4B93" w:rsidP="00236513">
            <w:pPr>
              <w:spacing w:before="40" w:after="40"/>
              <w:rPr>
                <w:rFonts w:ascii="Arial Narrow" w:hAnsi="Arial Narrow"/>
                <w:sz w:val="20"/>
              </w:rPr>
            </w:pPr>
            <w:r>
              <w:rPr>
                <w:rFonts w:ascii="Arial Narrow" w:hAnsi="Arial Narrow"/>
                <w:sz w:val="20"/>
              </w:rPr>
              <w:t>Patient must have no evidence of an activating epidermal growth factor gene or of an anaplastic lymphoma kinase (ALK) gene rearrangement in tumour material.</w:t>
            </w:r>
          </w:p>
        </w:tc>
      </w:tr>
      <w:tr w:rsidR="00EF4B93" w:rsidRPr="00BE5660" w:rsidTr="00236513">
        <w:trPr>
          <w:cantSplit/>
          <w:trHeight w:val="360"/>
        </w:trPr>
        <w:tc>
          <w:tcPr>
            <w:tcW w:w="1402" w:type="pct"/>
            <w:tcBorders>
              <w:top w:val="single" w:sz="4" w:space="0" w:color="auto"/>
              <w:left w:val="single" w:sz="4" w:space="0" w:color="auto"/>
              <w:bottom w:val="single" w:sz="4" w:space="0" w:color="auto"/>
              <w:right w:val="single" w:sz="4" w:space="0" w:color="auto"/>
            </w:tcBorders>
          </w:tcPr>
          <w:p w:rsidR="00EF4B93" w:rsidRPr="00BE5660" w:rsidRDefault="00EF4B93" w:rsidP="00236513">
            <w:pPr>
              <w:spacing w:before="40" w:after="40"/>
              <w:rPr>
                <w:rFonts w:ascii="Arial Narrow" w:hAnsi="Arial Narrow"/>
                <w:b/>
                <w:sz w:val="20"/>
              </w:rPr>
            </w:pPr>
            <w:r w:rsidRPr="00BE5660">
              <w:rPr>
                <w:rFonts w:ascii="Arial Narrow" w:hAnsi="Arial Narrow"/>
                <w:b/>
                <w:sz w:val="20"/>
              </w:rPr>
              <w:t>Administrative Advice</w:t>
            </w:r>
          </w:p>
        </w:tc>
        <w:tc>
          <w:tcPr>
            <w:tcW w:w="3598" w:type="pct"/>
            <w:tcBorders>
              <w:top w:val="single" w:sz="4" w:space="0" w:color="auto"/>
              <w:left w:val="single" w:sz="4" w:space="0" w:color="auto"/>
              <w:bottom w:val="single" w:sz="4" w:space="0" w:color="auto"/>
              <w:right w:val="single" w:sz="4" w:space="0" w:color="auto"/>
            </w:tcBorders>
          </w:tcPr>
          <w:p w:rsidR="00EF4B93" w:rsidRDefault="00EF4B93" w:rsidP="00236513">
            <w:pPr>
              <w:spacing w:before="40" w:after="40"/>
              <w:rPr>
                <w:rFonts w:ascii="Arial Narrow" w:hAnsi="Arial Narrow"/>
                <w:sz w:val="20"/>
              </w:rPr>
            </w:pPr>
            <w:r w:rsidRPr="005D57F4">
              <w:rPr>
                <w:rFonts w:ascii="Arial Narrow" w:hAnsi="Arial Narrow"/>
                <w:strike/>
                <w:sz w:val="20"/>
              </w:rPr>
              <w:t>In the first few months after start of immunotherapy, some patients can have a transient tumour flare with subsequent disease response. When progression is suspected, this should be confirmed through a confirmatory scan, taken at least 4 weeks later.</w:t>
            </w:r>
            <w:r w:rsidR="005D57F4" w:rsidRPr="009A46EA">
              <w:rPr>
                <w:rFonts w:ascii="Arial Narrow" w:hAnsi="Arial Narrow"/>
                <w:sz w:val="20"/>
                <w:vertAlign w:val="superscript"/>
              </w:rPr>
              <w:t xml:space="preserve"> d</w:t>
            </w:r>
          </w:p>
          <w:p w:rsidR="004E3D11" w:rsidRDefault="004E3D11" w:rsidP="00236513">
            <w:pPr>
              <w:spacing w:before="40" w:after="40"/>
              <w:rPr>
                <w:rFonts w:ascii="Arial Narrow" w:hAnsi="Arial Narrow"/>
                <w:sz w:val="20"/>
              </w:rPr>
            </w:pPr>
          </w:p>
          <w:p w:rsidR="004E3D11" w:rsidRPr="00832F58" w:rsidRDefault="004E3D11" w:rsidP="00236513">
            <w:pPr>
              <w:spacing w:before="40" w:after="40"/>
              <w:rPr>
                <w:rFonts w:ascii="Arial Narrow" w:hAnsi="Arial Narrow"/>
                <w:i/>
                <w:sz w:val="20"/>
              </w:rPr>
            </w:pPr>
            <w:r w:rsidRPr="00832F58">
              <w:rPr>
                <w:rFonts w:ascii="Arial Narrow" w:hAnsi="Arial Narrow"/>
                <w:i/>
                <w:sz w:val="20"/>
              </w:rPr>
              <w:t>Special Pricing Arrangements apply.</w:t>
            </w:r>
          </w:p>
        </w:tc>
      </w:tr>
    </w:tbl>
    <w:p w:rsidR="00EF4B93" w:rsidRPr="007B14F5" w:rsidRDefault="00EF4B93" w:rsidP="00EF4B93">
      <w:pPr>
        <w:rPr>
          <w:rFonts w:ascii="Arial" w:hAnsi="Arial" w:cs="Arial"/>
          <w:sz w:val="22"/>
          <w:szCs w:val="22"/>
        </w:rPr>
      </w:pPr>
    </w:p>
    <w:p w:rsidR="00E62469" w:rsidRPr="003E5BE0" w:rsidRDefault="00E95CF9" w:rsidP="00832F58">
      <w:pPr>
        <w:pStyle w:val="ListParagraph"/>
        <w:numPr>
          <w:ilvl w:val="1"/>
          <w:numId w:val="4"/>
        </w:numPr>
        <w:ind w:left="709"/>
        <w:rPr>
          <w:rFonts w:ascii="Arial" w:hAnsi="Arial" w:cs="Arial"/>
          <w:sz w:val="22"/>
          <w:szCs w:val="22"/>
        </w:rPr>
      </w:pPr>
      <w:r w:rsidRPr="003E5BE0">
        <w:rPr>
          <w:rFonts w:ascii="Arial" w:hAnsi="Arial" w:cs="Arial"/>
          <w:sz w:val="22"/>
          <w:szCs w:val="22"/>
        </w:rPr>
        <w:lastRenderedPageBreak/>
        <w:t>Th</w:t>
      </w:r>
      <w:r w:rsidR="00E62469" w:rsidRPr="003E5BE0">
        <w:rPr>
          <w:rFonts w:ascii="Arial" w:hAnsi="Arial" w:cs="Arial"/>
          <w:sz w:val="22"/>
          <w:szCs w:val="22"/>
        </w:rPr>
        <w:t>e PSCR amended the requested listing to include patients with a performance status (PS) of 0 or 1, and Stage IV disease only (the submission</w:t>
      </w:r>
      <w:r w:rsidR="00B53FA4" w:rsidRPr="003E5BE0">
        <w:rPr>
          <w:rFonts w:ascii="Arial" w:hAnsi="Arial" w:cs="Arial"/>
          <w:sz w:val="22"/>
          <w:szCs w:val="22"/>
        </w:rPr>
        <w:t xml:space="preserve">’s </w:t>
      </w:r>
      <w:r w:rsidR="00A66FD1" w:rsidRPr="003E5BE0">
        <w:rPr>
          <w:rFonts w:ascii="Arial" w:hAnsi="Arial" w:cs="Arial"/>
          <w:sz w:val="22"/>
          <w:szCs w:val="22"/>
        </w:rPr>
        <w:t>requested</w:t>
      </w:r>
      <w:r w:rsidR="00B53FA4" w:rsidRPr="003E5BE0">
        <w:rPr>
          <w:rFonts w:ascii="Arial" w:hAnsi="Arial" w:cs="Arial"/>
          <w:sz w:val="22"/>
          <w:szCs w:val="22"/>
        </w:rPr>
        <w:t xml:space="preserve"> listing</w:t>
      </w:r>
      <w:r w:rsidR="00E62469" w:rsidRPr="003E5BE0">
        <w:rPr>
          <w:rFonts w:ascii="Arial" w:hAnsi="Arial" w:cs="Arial"/>
          <w:sz w:val="22"/>
          <w:szCs w:val="22"/>
        </w:rPr>
        <w:t xml:space="preserve"> had been silent on PS</w:t>
      </w:r>
      <w:r w:rsidR="00B53FA4" w:rsidRPr="003E5BE0">
        <w:rPr>
          <w:rFonts w:ascii="Arial" w:hAnsi="Arial" w:cs="Arial"/>
          <w:sz w:val="22"/>
          <w:szCs w:val="22"/>
        </w:rPr>
        <w:t xml:space="preserve"> criteria</w:t>
      </w:r>
      <w:r w:rsidR="00E62469" w:rsidRPr="003E5BE0">
        <w:rPr>
          <w:rFonts w:ascii="Arial" w:hAnsi="Arial" w:cs="Arial"/>
          <w:sz w:val="22"/>
          <w:szCs w:val="22"/>
        </w:rPr>
        <w:t xml:space="preserve"> and had requested</w:t>
      </w:r>
      <w:r w:rsidR="00B53FA4" w:rsidRPr="003E5BE0">
        <w:rPr>
          <w:rFonts w:ascii="Arial" w:hAnsi="Arial" w:cs="Arial"/>
          <w:sz w:val="22"/>
          <w:szCs w:val="22"/>
        </w:rPr>
        <w:t xml:space="preserve"> patients with</w:t>
      </w:r>
      <w:r w:rsidR="00E62469" w:rsidRPr="003E5BE0">
        <w:rPr>
          <w:rFonts w:ascii="Arial" w:hAnsi="Arial" w:cs="Arial"/>
          <w:sz w:val="22"/>
          <w:szCs w:val="22"/>
        </w:rPr>
        <w:t xml:space="preserve"> Stage IIIB </w:t>
      </w:r>
      <w:r w:rsidR="00AE65E8">
        <w:rPr>
          <w:rFonts w:ascii="Arial" w:hAnsi="Arial" w:cs="Arial"/>
          <w:sz w:val="22"/>
          <w:szCs w:val="22"/>
        </w:rPr>
        <w:t>[</w:t>
      </w:r>
      <w:r w:rsidR="00E62469" w:rsidRPr="003E5BE0">
        <w:rPr>
          <w:rFonts w:ascii="Arial" w:hAnsi="Arial" w:cs="Arial"/>
          <w:sz w:val="22"/>
          <w:szCs w:val="22"/>
        </w:rPr>
        <w:t>locally advanced</w:t>
      </w:r>
      <w:r w:rsidR="00AE65E8">
        <w:rPr>
          <w:rFonts w:ascii="Arial" w:hAnsi="Arial" w:cs="Arial"/>
          <w:sz w:val="22"/>
          <w:szCs w:val="22"/>
        </w:rPr>
        <w:t>]</w:t>
      </w:r>
      <w:r w:rsidR="00AE65E8" w:rsidRPr="003E5BE0">
        <w:rPr>
          <w:rFonts w:ascii="Arial" w:hAnsi="Arial" w:cs="Arial"/>
          <w:sz w:val="22"/>
          <w:szCs w:val="22"/>
        </w:rPr>
        <w:t xml:space="preserve"> </w:t>
      </w:r>
      <w:r w:rsidR="00E62469" w:rsidRPr="003E5BE0">
        <w:rPr>
          <w:rFonts w:ascii="Arial" w:hAnsi="Arial" w:cs="Arial"/>
          <w:sz w:val="22"/>
          <w:szCs w:val="22"/>
        </w:rPr>
        <w:t xml:space="preserve">or Stage IV </w:t>
      </w:r>
      <w:r w:rsidR="00AE65E8">
        <w:rPr>
          <w:rFonts w:ascii="Arial" w:hAnsi="Arial" w:cs="Arial"/>
          <w:sz w:val="22"/>
          <w:szCs w:val="22"/>
        </w:rPr>
        <w:t>[</w:t>
      </w:r>
      <w:r w:rsidR="00E62469" w:rsidRPr="003E5BE0">
        <w:rPr>
          <w:rFonts w:ascii="Arial" w:hAnsi="Arial" w:cs="Arial"/>
          <w:sz w:val="22"/>
          <w:szCs w:val="22"/>
        </w:rPr>
        <w:t>metastatic</w:t>
      </w:r>
      <w:r w:rsidR="00AE65E8">
        <w:rPr>
          <w:rFonts w:ascii="Arial" w:hAnsi="Arial" w:cs="Arial"/>
          <w:sz w:val="22"/>
          <w:szCs w:val="22"/>
        </w:rPr>
        <w:t>]</w:t>
      </w:r>
      <w:r w:rsidR="00AE65E8" w:rsidRPr="003E5BE0">
        <w:rPr>
          <w:rFonts w:ascii="Arial" w:hAnsi="Arial" w:cs="Arial"/>
          <w:sz w:val="22"/>
          <w:szCs w:val="22"/>
        </w:rPr>
        <w:t xml:space="preserve"> </w:t>
      </w:r>
      <w:r w:rsidR="00E62469" w:rsidRPr="003E5BE0">
        <w:rPr>
          <w:rFonts w:ascii="Arial" w:hAnsi="Arial" w:cs="Arial"/>
          <w:sz w:val="22"/>
          <w:szCs w:val="22"/>
        </w:rPr>
        <w:t xml:space="preserve">NSCLC </w:t>
      </w:r>
      <w:r w:rsidR="00B53FA4" w:rsidRPr="003E5BE0">
        <w:rPr>
          <w:rFonts w:ascii="Arial" w:hAnsi="Arial" w:cs="Arial"/>
          <w:sz w:val="22"/>
          <w:szCs w:val="22"/>
        </w:rPr>
        <w:t>to be</w:t>
      </w:r>
      <w:r w:rsidR="00E62469" w:rsidRPr="003E5BE0">
        <w:rPr>
          <w:rFonts w:ascii="Arial" w:hAnsi="Arial" w:cs="Arial"/>
          <w:sz w:val="22"/>
          <w:szCs w:val="22"/>
        </w:rPr>
        <w:t xml:space="preserve"> eligible</w:t>
      </w:r>
      <w:r w:rsidR="00B53FA4" w:rsidRPr="003E5BE0">
        <w:rPr>
          <w:rFonts w:ascii="Arial" w:hAnsi="Arial" w:cs="Arial"/>
          <w:sz w:val="22"/>
          <w:szCs w:val="22"/>
        </w:rPr>
        <w:t xml:space="preserve"> for treatment</w:t>
      </w:r>
      <w:r w:rsidR="00E62469" w:rsidRPr="003E5BE0">
        <w:rPr>
          <w:rFonts w:ascii="Arial" w:hAnsi="Arial" w:cs="Arial"/>
          <w:sz w:val="22"/>
          <w:szCs w:val="22"/>
        </w:rPr>
        <w:t xml:space="preserve">). The ESC noted that the criteria </w:t>
      </w:r>
      <w:r w:rsidR="00A66FD1" w:rsidRPr="003E5BE0">
        <w:rPr>
          <w:rFonts w:ascii="Arial" w:hAnsi="Arial" w:cs="Arial"/>
          <w:sz w:val="22"/>
          <w:szCs w:val="22"/>
        </w:rPr>
        <w:t>requested</w:t>
      </w:r>
      <w:r w:rsidR="00E62469" w:rsidRPr="003E5BE0">
        <w:rPr>
          <w:rFonts w:ascii="Arial" w:hAnsi="Arial" w:cs="Arial"/>
          <w:sz w:val="22"/>
          <w:szCs w:val="22"/>
        </w:rPr>
        <w:t xml:space="preserve"> by the PSCR were consistent with the eligibility c</w:t>
      </w:r>
      <w:r w:rsidR="007D5385" w:rsidRPr="003E5BE0">
        <w:rPr>
          <w:rFonts w:ascii="Arial" w:hAnsi="Arial" w:cs="Arial"/>
          <w:sz w:val="22"/>
          <w:szCs w:val="22"/>
        </w:rPr>
        <w:t>riteria for trial KN-024 and</w:t>
      </w:r>
      <w:r w:rsidR="00E62469" w:rsidRPr="003E5BE0">
        <w:rPr>
          <w:rFonts w:ascii="Arial" w:hAnsi="Arial" w:cs="Arial"/>
          <w:sz w:val="22"/>
          <w:szCs w:val="22"/>
        </w:rPr>
        <w:t xml:space="preserve"> </w:t>
      </w:r>
      <w:r w:rsidR="000B7548" w:rsidRPr="003E5BE0">
        <w:rPr>
          <w:rFonts w:ascii="Arial" w:hAnsi="Arial" w:cs="Arial"/>
          <w:sz w:val="22"/>
          <w:szCs w:val="22"/>
        </w:rPr>
        <w:t xml:space="preserve">were </w:t>
      </w:r>
      <w:r w:rsidR="00E62469" w:rsidRPr="003E5BE0">
        <w:rPr>
          <w:rFonts w:ascii="Arial" w:hAnsi="Arial" w:cs="Arial"/>
          <w:sz w:val="22"/>
          <w:szCs w:val="22"/>
        </w:rPr>
        <w:t>therefore appropriate.</w:t>
      </w:r>
    </w:p>
    <w:p w:rsidR="00E95CF9" w:rsidRPr="00F754F9" w:rsidRDefault="00E95CF9" w:rsidP="000B7548">
      <w:pPr>
        <w:rPr>
          <w:rFonts w:ascii="Arial" w:hAnsi="Arial" w:cs="Arial"/>
          <w:sz w:val="22"/>
          <w:szCs w:val="22"/>
        </w:rPr>
      </w:pPr>
    </w:p>
    <w:p w:rsidR="00B31A35" w:rsidRPr="00F754F9" w:rsidRDefault="00B31A35" w:rsidP="00217726">
      <w:pPr>
        <w:pStyle w:val="ListParagraph"/>
        <w:numPr>
          <w:ilvl w:val="1"/>
          <w:numId w:val="4"/>
        </w:numPr>
        <w:ind w:left="709"/>
        <w:rPr>
          <w:rFonts w:ascii="Arial" w:hAnsi="Arial" w:cs="Arial"/>
          <w:sz w:val="22"/>
          <w:szCs w:val="22"/>
        </w:rPr>
      </w:pPr>
      <w:r w:rsidRPr="00F754F9">
        <w:rPr>
          <w:rFonts w:ascii="Arial" w:hAnsi="Arial" w:cs="Arial"/>
          <w:sz w:val="22"/>
          <w:szCs w:val="22"/>
        </w:rPr>
        <w:t xml:space="preserve">The submission proposed </w:t>
      </w:r>
      <w:proofErr w:type="gramStart"/>
      <w:r w:rsidRPr="00F754F9">
        <w:rPr>
          <w:rFonts w:ascii="Arial" w:hAnsi="Arial" w:cs="Arial"/>
          <w:sz w:val="22"/>
          <w:szCs w:val="22"/>
        </w:rPr>
        <w:t>a pembrolizumab</w:t>
      </w:r>
      <w:proofErr w:type="gramEnd"/>
      <w:r w:rsidRPr="00F754F9">
        <w:rPr>
          <w:rFonts w:ascii="Arial" w:hAnsi="Arial" w:cs="Arial"/>
          <w:sz w:val="22"/>
          <w:szCs w:val="22"/>
        </w:rPr>
        <w:t xml:space="preserve"> treatment duration of 24 months. </w:t>
      </w:r>
      <w:r w:rsidR="003E5BE0">
        <w:rPr>
          <w:rFonts w:ascii="Arial" w:hAnsi="Arial" w:cs="Arial"/>
          <w:sz w:val="22"/>
          <w:szCs w:val="22"/>
        </w:rPr>
        <w:t>However, n</w:t>
      </w:r>
      <w:r w:rsidRPr="00F754F9">
        <w:rPr>
          <w:rFonts w:ascii="Arial" w:hAnsi="Arial" w:cs="Arial"/>
          <w:sz w:val="22"/>
          <w:szCs w:val="22"/>
        </w:rPr>
        <w:t xml:space="preserve">o subjects in KN-024 </w:t>
      </w:r>
      <w:r w:rsidR="00257C1E" w:rsidRPr="00F754F9">
        <w:rPr>
          <w:rFonts w:ascii="Arial" w:hAnsi="Arial" w:cs="Arial"/>
          <w:sz w:val="22"/>
          <w:szCs w:val="22"/>
        </w:rPr>
        <w:t xml:space="preserve">had yet </w:t>
      </w:r>
      <w:r w:rsidRPr="00F754F9">
        <w:rPr>
          <w:rFonts w:ascii="Arial" w:hAnsi="Arial" w:cs="Arial"/>
          <w:sz w:val="22"/>
          <w:szCs w:val="22"/>
        </w:rPr>
        <w:t>reached 24 months in the analysis provided. There</w:t>
      </w:r>
      <w:r w:rsidR="00257C1E" w:rsidRPr="00F754F9">
        <w:rPr>
          <w:rFonts w:ascii="Arial" w:hAnsi="Arial" w:cs="Arial"/>
          <w:sz w:val="22"/>
          <w:szCs w:val="22"/>
        </w:rPr>
        <w:t xml:space="preserve">fore </w:t>
      </w:r>
      <w:r w:rsidRPr="00F754F9">
        <w:rPr>
          <w:rFonts w:ascii="Arial" w:hAnsi="Arial" w:cs="Arial"/>
          <w:sz w:val="22"/>
          <w:szCs w:val="22"/>
        </w:rPr>
        <w:t>data to inform the decision to stop at 24 months</w:t>
      </w:r>
      <w:r w:rsidR="00473AE7">
        <w:rPr>
          <w:rFonts w:ascii="Arial" w:hAnsi="Arial" w:cs="Arial"/>
          <w:sz w:val="22"/>
          <w:szCs w:val="22"/>
        </w:rPr>
        <w:t xml:space="preserve"> was not available</w:t>
      </w:r>
      <w:r w:rsidRPr="00F754F9">
        <w:rPr>
          <w:rFonts w:ascii="Arial" w:hAnsi="Arial" w:cs="Arial"/>
          <w:sz w:val="22"/>
          <w:szCs w:val="22"/>
        </w:rPr>
        <w:t xml:space="preserve">. The draft </w:t>
      </w:r>
      <w:r w:rsidR="003A0E3C" w:rsidRPr="00F754F9">
        <w:rPr>
          <w:rFonts w:ascii="Arial" w:hAnsi="Arial" w:cs="Arial"/>
          <w:sz w:val="22"/>
          <w:szCs w:val="22"/>
        </w:rPr>
        <w:t xml:space="preserve">Therapeutic Goods Administration (TGA) </w:t>
      </w:r>
      <w:r w:rsidRPr="00F754F9">
        <w:rPr>
          <w:rFonts w:ascii="Arial" w:hAnsi="Arial" w:cs="Arial"/>
          <w:sz w:val="22"/>
          <w:szCs w:val="22"/>
        </w:rPr>
        <w:t>Product Information (PI) recommends treatment until disease progression</w:t>
      </w:r>
      <w:r w:rsidR="002F2AA5" w:rsidRPr="00F754F9">
        <w:rPr>
          <w:rFonts w:ascii="Arial" w:hAnsi="Arial" w:cs="Arial"/>
          <w:sz w:val="22"/>
          <w:szCs w:val="22"/>
        </w:rPr>
        <w:t xml:space="preserve">. </w:t>
      </w:r>
      <w:r w:rsidR="000019F2" w:rsidRPr="00F754F9">
        <w:rPr>
          <w:rFonts w:ascii="Arial" w:hAnsi="Arial" w:cs="Arial"/>
          <w:sz w:val="22"/>
          <w:szCs w:val="22"/>
        </w:rPr>
        <w:t xml:space="preserve">Advice from </w:t>
      </w:r>
      <w:r w:rsidR="003A0E3C" w:rsidRPr="00F754F9">
        <w:rPr>
          <w:rFonts w:ascii="Arial" w:hAnsi="Arial" w:cs="Arial"/>
          <w:sz w:val="22"/>
          <w:szCs w:val="22"/>
        </w:rPr>
        <w:t>the Advisory Committee on Medicines (</w:t>
      </w:r>
      <w:r w:rsidR="000019F2" w:rsidRPr="00F754F9">
        <w:rPr>
          <w:rFonts w:ascii="Arial" w:hAnsi="Arial" w:cs="Arial"/>
          <w:sz w:val="22"/>
          <w:szCs w:val="22"/>
        </w:rPr>
        <w:t>ACM</w:t>
      </w:r>
      <w:r w:rsidR="003A0E3C" w:rsidRPr="00F754F9">
        <w:rPr>
          <w:rFonts w:ascii="Arial" w:hAnsi="Arial" w:cs="Arial"/>
          <w:sz w:val="22"/>
          <w:szCs w:val="22"/>
        </w:rPr>
        <w:t>)</w:t>
      </w:r>
      <w:r w:rsidR="000019F2" w:rsidRPr="00F754F9">
        <w:rPr>
          <w:rFonts w:ascii="Arial" w:hAnsi="Arial" w:cs="Arial"/>
          <w:sz w:val="22"/>
          <w:szCs w:val="22"/>
        </w:rPr>
        <w:t xml:space="preserve"> </w:t>
      </w:r>
      <w:r w:rsidR="002A5AFB" w:rsidRPr="00F754F9">
        <w:rPr>
          <w:rFonts w:ascii="Arial" w:hAnsi="Arial" w:cs="Arial"/>
          <w:sz w:val="22"/>
          <w:szCs w:val="22"/>
        </w:rPr>
        <w:t xml:space="preserve">concerning maximum duration of therapy </w:t>
      </w:r>
      <w:r w:rsidR="00063A99">
        <w:rPr>
          <w:rFonts w:ascii="Arial" w:hAnsi="Arial" w:cs="Arial"/>
          <w:sz w:val="22"/>
          <w:szCs w:val="22"/>
        </w:rPr>
        <w:t>wa</w:t>
      </w:r>
      <w:r w:rsidR="002A5AFB" w:rsidRPr="00F754F9">
        <w:rPr>
          <w:rFonts w:ascii="Arial" w:hAnsi="Arial" w:cs="Arial"/>
          <w:sz w:val="22"/>
          <w:szCs w:val="22"/>
        </w:rPr>
        <w:t xml:space="preserve">s </w:t>
      </w:r>
      <w:r w:rsidR="000019F2" w:rsidRPr="00F754F9">
        <w:rPr>
          <w:rFonts w:ascii="Arial" w:hAnsi="Arial" w:cs="Arial"/>
          <w:sz w:val="22"/>
          <w:szCs w:val="22"/>
        </w:rPr>
        <w:t>pending</w:t>
      </w:r>
      <w:r w:rsidR="00063A99">
        <w:rPr>
          <w:rFonts w:ascii="Arial" w:hAnsi="Arial" w:cs="Arial"/>
          <w:sz w:val="22"/>
          <w:szCs w:val="22"/>
        </w:rPr>
        <w:t xml:space="preserve"> at the time of the PBAC meeting</w:t>
      </w:r>
      <w:r w:rsidR="008978D1" w:rsidRPr="00F754F9">
        <w:rPr>
          <w:rFonts w:ascii="Arial" w:hAnsi="Arial" w:cs="Arial"/>
          <w:sz w:val="22"/>
          <w:szCs w:val="22"/>
        </w:rPr>
        <w:t>.</w:t>
      </w:r>
      <w:r w:rsidR="005D57F4">
        <w:rPr>
          <w:rFonts w:ascii="Arial" w:hAnsi="Arial" w:cs="Arial"/>
          <w:sz w:val="22"/>
          <w:szCs w:val="22"/>
        </w:rPr>
        <w:t xml:space="preserve"> The pre-PBAC response provided an updated version of the PI from the TGA, which stated that “[p]</w:t>
      </w:r>
      <w:r w:rsidR="005D57F4" w:rsidRPr="005D57F4">
        <w:rPr>
          <w:rFonts w:ascii="Arial" w:hAnsi="Arial" w:cs="Arial"/>
          <w:sz w:val="22"/>
          <w:szCs w:val="22"/>
        </w:rPr>
        <w:t>atients with NSCLC without disease progression can be treated for up to 24 months</w:t>
      </w:r>
      <w:r w:rsidR="005D57F4">
        <w:rPr>
          <w:rFonts w:ascii="Arial" w:hAnsi="Arial" w:cs="Arial"/>
          <w:sz w:val="22"/>
          <w:szCs w:val="22"/>
        </w:rPr>
        <w:t>”.</w:t>
      </w:r>
    </w:p>
    <w:p w:rsidR="00B31A35" w:rsidRPr="00F754F9" w:rsidRDefault="00B31A35" w:rsidP="00D47D44">
      <w:pPr>
        <w:rPr>
          <w:rFonts w:ascii="Arial" w:hAnsi="Arial" w:cs="Arial"/>
          <w:sz w:val="22"/>
          <w:szCs w:val="22"/>
        </w:rPr>
      </w:pPr>
    </w:p>
    <w:p w:rsidR="00E95CF9" w:rsidRPr="00F754F9" w:rsidRDefault="00E95CF9" w:rsidP="00217726">
      <w:pPr>
        <w:pStyle w:val="ListParagraph"/>
        <w:numPr>
          <w:ilvl w:val="1"/>
          <w:numId w:val="4"/>
        </w:numPr>
        <w:ind w:left="709"/>
        <w:rPr>
          <w:rFonts w:ascii="Arial" w:hAnsi="Arial" w:cs="Arial"/>
          <w:sz w:val="22"/>
          <w:szCs w:val="22"/>
        </w:rPr>
      </w:pPr>
      <w:r w:rsidRPr="00F754F9">
        <w:rPr>
          <w:rFonts w:ascii="Arial" w:hAnsi="Arial" w:cs="Arial"/>
          <w:sz w:val="22"/>
          <w:szCs w:val="22"/>
        </w:rPr>
        <w:t xml:space="preserve">The </w:t>
      </w:r>
      <w:r w:rsidR="00A66FD1" w:rsidRPr="00F754F9">
        <w:rPr>
          <w:rFonts w:ascii="Arial" w:hAnsi="Arial" w:cs="Arial"/>
          <w:sz w:val="22"/>
          <w:szCs w:val="22"/>
        </w:rPr>
        <w:t>requested</w:t>
      </w:r>
      <w:r w:rsidRPr="00F754F9">
        <w:rPr>
          <w:rFonts w:ascii="Arial" w:hAnsi="Arial" w:cs="Arial"/>
          <w:sz w:val="22"/>
          <w:szCs w:val="22"/>
        </w:rPr>
        <w:t xml:space="preserve"> listing </w:t>
      </w:r>
      <w:r w:rsidR="00A66FD1" w:rsidRPr="00F754F9">
        <w:rPr>
          <w:rFonts w:ascii="Arial" w:hAnsi="Arial" w:cs="Arial"/>
          <w:sz w:val="22"/>
          <w:szCs w:val="22"/>
        </w:rPr>
        <w:t>would allow</w:t>
      </w:r>
      <w:r w:rsidRPr="00F754F9">
        <w:rPr>
          <w:rFonts w:ascii="Arial" w:hAnsi="Arial" w:cs="Arial"/>
          <w:sz w:val="22"/>
          <w:szCs w:val="22"/>
        </w:rPr>
        <w:t xml:space="preserve"> patients who have stopped pembrolizumab due to complete response, and who subsequently progress, to be retreated. </w:t>
      </w:r>
      <w:r w:rsidR="00A66FD1" w:rsidRPr="00F754F9">
        <w:rPr>
          <w:rFonts w:ascii="Arial" w:hAnsi="Arial" w:cs="Arial"/>
          <w:sz w:val="22"/>
          <w:szCs w:val="22"/>
        </w:rPr>
        <w:t>It would also allow</w:t>
      </w:r>
      <w:r w:rsidRPr="00F754F9">
        <w:rPr>
          <w:rFonts w:ascii="Arial" w:hAnsi="Arial" w:cs="Arial"/>
          <w:sz w:val="22"/>
          <w:szCs w:val="22"/>
        </w:rPr>
        <w:t xml:space="preserve"> patients </w:t>
      </w:r>
      <w:r w:rsidR="00335FBC">
        <w:rPr>
          <w:rFonts w:ascii="Arial" w:hAnsi="Arial" w:cs="Arial"/>
          <w:sz w:val="22"/>
          <w:szCs w:val="22"/>
        </w:rPr>
        <w:t xml:space="preserve">without disease progression to stop </w:t>
      </w:r>
      <w:r w:rsidR="00473AE7">
        <w:rPr>
          <w:rFonts w:ascii="Arial" w:hAnsi="Arial" w:cs="Arial"/>
          <w:sz w:val="22"/>
          <w:szCs w:val="22"/>
        </w:rPr>
        <w:t xml:space="preserve">pembrolizumab after </w:t>
      </w:r>
      <w:r w:rsidRPr="00F754F9">
        <w:rPr>
          <w:rFonts w:ascii="Arial" w:hAnsi="Arial" w:cs="Arial"/>
          <w:sz w:val="22"/>
          <w:szCs w:val="22"/>
        </w:rPr>
        <w:t xml:space="preserve">the proposed </w:t>
      </w:r>
      <w:r w:rsidR="000019F2" w:rsidRPr="00F754F9">
        <w:rPr>
          <w:rFonts w:ascii="Arial" w:hAnsi="Arial" w:cs="Arial"/>
          <w:sz w:val="22"/>
          <w:szCs w:val="22"/>
        </w:rPr>
        <w:t>maximum</w:t>
      </w:r>
      <w:r w:rsidRPr="00F754F9">
        <w:rPr>
          <w:rFonts w:ascii="Arial" w:hAnsi="Arial" w:cs="Arial"/>
          <w:sz w:val="22"/>
          <w:szCs w:val="22"/>
        </w:rPr>
        <w:t xml:space="preserve"> duration of </w:t>
      </w:r>
      <w:r w:rsidR="00B31A35" w:rsidRPr="00F754F9">
        <w:rPr>
          <w:rFonts w:ascii="Arial" w:hAnsi="Arial" w:cs="Arial"/>
          <w:sz w:val="22"/>
          <w:szCs w:val="22"/>
        </w:rPr>
        <w:t>24 months</w:t>
      </w:r>
      <w:r w:rsidRPr="00F754F9">
        <w:rPr>
          <w:rFonts w:ascii="Arial" w:hAnsi="Arial" w:cs="Arial"/>
          <w:sz w:val="22"/>
          <w:szCs w:val="22"/>
        </w:rPr>
        <w:t xml:space="preserve"> </w:t>
      </w:r>
      <w:r w:rsidR="00335FBC">
        <w:rPr>
          <w:rFonts w:ascii="Arial" w:hAnsi="Arial" w:cs="Arial"/>
          <w:sz w:val="22"/>
          <w:szCs w:val="22"/>
        </w:rPr>
        <w:t xml:space="preserve">and then recommence treatment </w:t>
      </w:r>
      <w:r w:rsidRPr="00F754F9">
        <w:rPr>
          <w:rFonts w:ascii="Arial" w:hAnsi="Arial" w:cs="Arial"/>
          <w:sz w:val="22"/>
          <w:szCs w:val="22"/>
        </w:rPr>
        <w:t xml:space="preserve">upon subsequent progression. There </w:t>
      </w:r>
      <w:r w:rsidR="005550C4">
        <w:rPr>
          <w:rFonts w:ascii="Arial" w:hAnsi="Arial" w:cs="Arial"/>
          <w:sz w:val="22"/>
          <w:szCs w:val="22"/>
        </w:rPr>
        <w:t>were</w:t>
      </w:r>
      <w:r w:rsidRPr="00F754F9">
        <w:rPr>
          <w:rFonts w:ascii="Arial" w:hAnsi="Arial" w:cs="Arial"/>
          <w:sz w:val="22"/>
          <w:szCs w:val="22"/>
        </w:rPr>
        <w:t xml:space="preserve"> no </w:t>
      </w:r>
      <w:r w:rsidR="005550C4">
        <w:rPr>
          <w:rFonts w:ascii="Arial" w:hAnsi="Arial" w:cs="Arial"/>
          <w:sz w:val="22"/>
          <w:szCs w:val="22"/>
        </w:rPr>
        <w:t>direct data</w:t>
      </w:r>
      <w:r w:rsidRPr="00F754F9">
        <w:rPr>
          <w:rFonts w:ascii="Arial" w:hAnsi="Arial" w:cs="Arial"/>
          <w:sz w:val="22"/>
          <w:szCs w:val="22"/>
        </w:rPr>
        <w:t xml:space="preserve"> in KN-024 to </w:t>
      </w:r>
      <w:r w:rsidR="005550C4">
        <w:rPr>
          <w:rFonts w:ascii="Arial" w:hAnsi="Arial" w:cs="Arial"/>
          <w:sz w:val="22"/>
          <w:szCs w:val="22"/>
        </w:rPr>
        <w:t xml:space="preserve">inform the effectiveness and safety of different retreatment regimens because </w:t>
      </w:r>
      <w:r w:rsidRPr="00F754F9">
        <w:rPr>
          <w:rFonts w:ascii="Arial" w:hAnsi="Arial" w:cs="Arial"/>
          <w:sz w:val="22"/>
          <w:szCs w:val="22"/>
        </w:rPr>
        <w:t xml:space="preserve">the </w:t>
      </w:r>
      <w:r w:rsidR="005550C4">
        <w:rPr>
          <w:rFonts w:ascii="Arial" w:hAnsi="Arial" w:cs="Arial"/>
          <w:sz w:val="22"/>
          <w:szCs w:val="22"/>
        </w:rPr>
        <w:t xml:space="preserve">trial </w:t>
      </w:r>
      <w:r w:rsidRPr="00F754F9">
        <w:rPr>
          <w:rFonts w:ascii="Arial" w:hAnsi="Arial" w:cs="Arial"/>
          <w:sz w:val="22"/>
          <w:szCs w:val="22"/>
        </w:rPr>
        <w:t>data are immature (median follow-up approximately 11 months). In addition, the comparative benefit associated with the use of pembrolizumab after progression, relative to starting platinum-based chemotherapy, is lacking.</w:t>
      </w:r>
      <w:r w:rsidR="000019F2" w:rsidRPr="00F754F9">
        <w:rPr>
          <w:rFonts w:ascii="Arial" w:hAnsi="Arial" w:cs="Arial"/>
          <w:sz w:val="22"/>
          <w:szCs w:val="22"/>
        </w:rPr>
        <w:t xml:space="preserve"> The retreatment criterion would not only allow a patient to receive pembrolizumab as both first- and second-line treatment, but would also allow initiation of retreatment after prior retreatment courses (i.e. third-line, etc.). </w:t>
      </w:r>
      <w:r w:rsidR="00335FBC">
        <w:rPr>
          <w:rFonts w:ascii="Arial" w:hAnsi="Arial" w:cs="Arial"/>
          <w:sz w:val="22"/>
          <w:szCs w:val="22"/>
        </w:rPr>
        <w:t>Furthermore</w:t>
      </w:r>
      <w:r w:rsidR="001E7FD6">
        <w:rPr>
          <w:rFonts w:ascii="Arial" w:hAnsi="Arial" w:cs="Arial"/>
          <w:sz w:val="22"/>
          <w:szCs w:val="22"/>
        </w:rPr>
        <w:t>,</w:t>
      </w:r>
      <w:r w:rsidR="00335FBC">
        <w:rPr>
          <w:rFonts w:ascii="Arial" w:hAnsi="Arial" w:cs="Arial"/>
          <w:sz w:val="22"/>
          <w:szCs w:val="22"/>
        </w:rPr>
        <w:t xml:space="preserve"> the proposed </w:t>
      </w:r>
      <w:r w:rsidR="000019F2" w:rsidRPr="00F754F9">
        <w:rPr>
          <w:rFonts w:ascii="Arial" w:hAnsi="Arial" w:cs="Arial"/>
          <w:sz w:val="22"/>
          <w:szCs w:val="22"/>
        </w:rPr>
        <w:t>pembrolizumab restrictions</w:t>
      </w:r>
      <w:r w:rsidR="00335FBC">
        <w:rPr>
          <w:rFonts w:ascii="Arial" w:hAnsi="Arial" w:cs="Arial"/>
          <w:sz w:val="22"/>
          <w:szCs w:val="22"/>
        </w:rPr>
        <w:t xml:space="preserve"> would allow patients to be </w:t>
      </w:r>
      <w:r w:rsidR="000019F2" w:rsidRPr="00F754F9">
        <w:rPr>
          <w:rFonts w:ascii="Arial" w:hAnsi="Arial" w:cs="Arial"/>
          <w:sz w:val="22"/>
          <w:szCs w:val="22"/>
        </w:rPr>
        <w:t>retreat</w:t>
      </w:r>
      <w:r w:rsidR="00335FBC">
        <w:rPr>
          <w:rFonts w:ascii="Arial" w:hAnsi="Arial" w:cs="Arial"/>
          <w:sz w:val="22"/>
          <w:szCs w:val="22"/>
        </w:rPr>
        <w:t>ed with pembrolizumab</w:t>
      </w:r>
      <w:r w:rsidR="000019F2" w:rsidRPr="00F754F9">
        <w:rPr>
          <w:rFonts w:ascii="Arial" w:hAnsi="Arial" w:cs="Arial"/>
          <w:sz w:val="22"/>
          <w:szCs w:val="22"/>
        </w:rPr>
        <w:t xml:space="preserve"> </w:t>
      </w:r>
      <w:r w:rsidR="00335FBC">
        <w:rPr>
          <w:rFonts w:ascii="Arial" w:hAnsi="Arial" w:cs="Arial"/>
          <w:sz w:val="22"/>
          <w:szCs w:val="22"/>
        </w:rPr>
        <w:t xml:space="preserve">even </w:t>
      </w:r>
      <w:r w:rsidR="000019F2" w:rsidRPr="00F754F9">
        <w:rPr>
          <w:rFonts w:ascii="Arial" w:hAnsi="Arial" w:cs="Arial"/>
          <w:sz w:val="22"/>
          <w:szCs w:val="22"/>
        </w:rPr>
        <w:t xml:space="preserve">if they had received chemotherapy or alternative PD-1 inhibitors since their </w:t>
      </w:r>
      <w:r w:rsidR="00335FBC">
        <w:rPr>
          <w:rFonts w:ascii="Arial" w:hAnsi="Arial" w:cs="Arial"/>
          <w:sz w:val="22"/>
          <w:szCs w:val="22"/>
        </w:rPr>
        <w:t xml:space="preserve">last </w:t>
      </w:r>
      <w:r w:rsidR="000019F2" w:rsidRPr="00F754F9">
        <w:rPr>
          <w:rFonts w:ascii="Arial" w:hAnsi="Arial" w:cs="Arial"/>
          <w:sz w:val="22"/>
          <w:szCs w:val="22"/>
        </w:rPr>
        <w:t>course of pembrolizumab.</w:t>
      </w:r>
      <w:r w:rsidR="005550C4" w:rsidRPr="005550C4">
        <w:rPr>
          <w:rFonts w:ascii="Arial" w:hAnsi="Arial" w:cs="Arial"/>
          <w:sz w:val="22"/>
          <w:szCs w:val="22"/>
        </w:rPr>
        <w:t xml:space="preserve"> The ESC considered that, although the nominated comparator of platinum based chemotherapy was appropriate for initial treatment, the comparator for retreatment should be docetaxel or pemetrexed in addition to platinum based chemotherapy.</w:t>
      </w:r>
    </w:p>
    <w:p w:rsidR="008978D1" w:rsidRPr="00F754F9" w:rsidRDefault="008978D1" w:rsidP="00257C1E">
      <w:pPr>
        <w:ind w:left="-11"/>
        <w:rPr>
          <w:rFonts w:ascii="Arial" w:hAnsi="Arial" w:cs="Arial"/>
          <w:sz w:val="22"/>
          <w:szCs w:val="22"/>
        </w:rPr>
      </w:pPr>
    </w:p>
    <w:p w:rsidR="00CE478E" w:rsidRPr="00F754F9" w:rsidRDefault="008978D1" w:rsidP="00217726">
      <w:pPr>
        <w:pStyle w:val="ListParagraph"/>
        <w:numPr>
          <w:ilvl w:val="1"/>
          <w:numId w:val="4"/>
        </w:numPr>
        <w:ind w:left="709"/>
        <w:rPr>
          <w:rFonts w:ascii="Arial" w:hAnsi="Arial" w:cs="Arial"/>
          <w:sz w:val="22"/>
          <w:szCs w:val="22"/>
        </w:rPr>
      </w:pPr>
      <w:r w:rsidRPr="003E5BE0">
        <w:rPr>
          <w:rFonts w:ascii="Arial" w:hAnsi="Arial" w:cs="Arial"/>
          <w:sz w:val="22"/>
          <w:szCs w:val="22"/>
        </w:rPr>
        <w:t xml:space="preserve">The PSCR </w:t>
      </w:r>
      <w:r w:rsidR="00CE478E" w:rsidRPr="003E5BE0">
        <w:rPr>
          <w:rFonts w:ascii="Arial" w:hAnsi="Arial" w:cs="Arial"/>
          <w:sz w:val="22"/>
          <w:szCs w:val="22"/>
        </w:rPr>
        <w:t xml:space="preserve">referred to Section “C.3.4” of the submission </w:t>
      </w:r>
      <w:r w:rsidR="00335FBC">
        <w:rPr>
          <w:rFonts w:ascii="Arial" w:hAnsi="Arial" w:cs="Arial"/>
          <w:sz w:val="22"/>
          <w:szCs w:val="22"/>
        </w:rPr>
        <w:t xml:space="preserve">citing studies </w:t>
      </w:r>
      <w:r w:rsidR="00CE478E" w:rsidRPr="003E5BE0">
        <w:rPr>
          <w:rFonts w:ascii="Arial" w:hAnsi="Arial" w:cs="Arial"/>
          <w:sz w:val="22"/>
          <w:szCs w:val="22"/>
        </w:rPr>
        <w:t xml:space="preserve">that demonstrate the durable effect of PD-1 inhibition </w:t>
      </w:r>
      <w:r w:rsidR="00335FBC">
        <w:rPr>
          <w:rFonts w:ascii="Arial" w:hAnsi="Arial" w:cs="Arial"/>
          <w:sz w:val="22"/>
          <w:szCs w:val="22"/>
        </w:rPr>
        <w:t xml:space="preserve">irrespective of </w:t>
      </w:r>
      <w:r w:rsidR="00CE478E" w:rsidRPr="003E5BE0">
        <w:rPr>
          <w:rFonts w:ascii="Arial" w:hAnsi="Arial" w:cs="Arial"/>
          <w:sz w:val="22"/>
          <w:szCs w:val="22"/>
        </w:rPr>
        <w:t xml:space="preserve">tumour type. </w:t>
      </w:r>
      <w:r w:rsidR="00335FBC">
        <w:rPr>
          <w:rFonts w:ascii="Arial" w:hAnsi="Arial" w:cs="Arial"/>
          <w:sz w:val="22"/>
          <w:szCs w:val="22"/>
        </w:rPr>
        <w:t xml:space="preserve">The submission noted that </w:t>
      </w:r>
      <w:r w:rsidR="00335FBC" w:rsidRPr="003E5BE0">
        <w:rPr>
          <w:rFonts w:ascii="Arial" w:hAnsi="Arial" w:cs="Arial"/>
          <w:bCs/>
          <w:iCs/>
          <w:sz w:val="22"/>
          <w:szCs w:val="22"/>
        </w:rPr>
        <w:t>all pembrolizumab clinical trials from KN-006 onwards</w:t>
      </w:r>
      <w:r w:rsidR="00335FBC" w:rsidRPr="003E5BE0">
        <w:rPr>
          <w:rFonts w:ascii="Arial" w:hAnsi="Arial" w:cs="Arial"/>
          <w:sz w:val="22"/>
          <w:szCs w:val="22"/>
        </w:rPr>
        <w:t xml:space="preserve"> </w:t>
      </w:r>
      <w:r w:rsidR="00335FBC">
        <w:rPr>
          <w:rFonts w:ascii="Arial" w:hAnsi="Arial" w:cs="Arial"/>
          <w:sz w:val="22"/>
          <w:szCs w:val="22"/>
        </w:rPr>
        <w:t>incorporated a</w:t>
      </w:r>
      <w:r w:rsidR="00CE478E" w:rsidRPr="003E5BE0">
        <w:rPr>
          <w:rFonts w:ascii="Arial" w:hAnsi="Arial" w:cs="Arial"/>
          <w:sz w:val="22"/>
          <w:szCs w:val="22"/>
        </w:rPr>
        <w:t xml:space="preserve"> </w:t>
      </w:r>
      <w:r w:rsidR="00CE478E" w:rsidRPr="003E5BE0">
        <w:rPr>
          <w:rFonts w:ascii="Arial" w:hAnsi="Arial" w:cs="Arial"/>
          <w:bCs/>
          <w:iCs/>
          <w:sz w:val="22"/>
          <w:szCs w:val="22"/>
        </w:rPr>
        <w:t>two</w:t>
      </w:r>
      <w:r w:rsidR="001E7FD6">
        <w:rPr>
          <w:rFonts w:ascii="Arial" w:hAnsi="Arial" w:cs="Arial"/>
          <w:bCs/>
          <w:iCs/>
          <w:sz w:val="22"/>
          <w:szCs w:val="22"/>
        </w:rPr>
        <w:t>-</w:t>
      </w:r>
      <w:r w:rsidR="00CE478E" w:rsidRPr="003E5BE0">
        <w:rPr>
          <w:rFonts w:ascii="Arial" w:hAnsi="Arial" w:cs="Arial"/>
          <w:bCs/>
          <w:iCs/>
          <w:sz w:val="22"/>
          <w:szCs w:val="22"/>
        </w:rPr>
        <w:t xml:space="preserve">year maximum treatment duration and re-treatment </w:t>
      </w:r>
      <w:r w:rsidR="001E7FD6">
        <w:rPr>
          <w:rFonts w:ascii="Arial" w:hAnsi="Arial" w:cs="Arial"/>
          <w:bCs/>
          <w:iCs/>
          <w:sz w:val="22"/>
          <w:szCs w:val="22"/>
        </w:rPr>
        <w:t>option.</w:t>
      </w:r>
    </w:p>
    <w:p w:rsidR="00CE478E" w:rsidRPr="00F754F9" w:rsidRDefault="00CE478E" w:rsidP="00257C1E">
      <w:pPr>
        <w:rPr>
          <w:rFonts w:ascii="Arial" w:hAnsi="Arial" w:cs="Arial"/>
          <w:sz w:val="22"/>
          <w:szCs w:val="22"/>
        </w:rPr>
      </w:pPr>
    </w:p>
    <w:p w:rsidR="008978D1" w:rsidRPr="00F754F9" w:rsidRDefault="00635354" w:rsidP="001E7FD6">
      <w:pPr>
        <w:pStyle w:val="ListParagraph"/>
        <w:numPr>
          <w:ilvl w:val="1"/>
          <w:numId w:val="4"/>
        </w:numPr>
        <w:ind w:left="709"/>
        <w:rPr>
          <w:rFonts w:ascii="Arial" w:hAnsi="Arial" w:cs="Arial"/>
          <w:sz w:val="22"/>
          <w:szCs w:val="22"/>
        </w:rPr>
      </w:pPr>
      <w:r w:rsidRPr="003E5BE0">
        <w:rPr>
          <w:rFonts w:ascii="Arial" w:hAnsi="Arial" w:cs="Arial"/>
          <w:sz w:val="22"/>
          <w:szCs w:val="22"/>
        </w:rPr>
        <w:t>The PSCR stated</w:t>
      </w:r>
      <w:r w:rsidR="008978D1" w:rsidRPr="003E5BE0">
        <w:rPr>
          <w:rFonts w:ascii="Arial" w:hAnsi="Arial" w:cs="Arial"/>
          <w:sz w:val="22"/>
          <w:szCs w:val="22"/>
        </w:rPr>
        <w:t xml:space="preserve"> </w:t>
      </w:r>
      <w:r w:rsidR="003E5BE0">
        <w:rPr>
          <w:rFonts w:ascii="Arial" w:hAnsi="Arial" w:cs="Arial"/>
          <w:sz w:val="22"/>
          <w:szCs w:val="22"/>
        </w:rPr>
        <w:t xml:space="preserve">that </w:t>
      </w:r>
      <w:r w:rsidR="008978D1" w:rsidRPr="003E5BE0">
        <w:rPr>
          <w:rFonts w:ascii="Arial" w:hAnsi="Arial" w:cs="Arial"/>
          <w:bCs/>
          <w:iCs/>
          <w:sz w:val="22"/>
          <w:szCs w:val="22"/>
        </w:rPr>
        <w:t>Herbst et al (2016)</w:t>
      </w:r>
      <w:r w:rsidRPr="003E5BE0">
        <w:rPr>
          <w:rStyle w:val="FootnoteReference"/>
          <w:rFonts w:ascii="Arial" w:hAnsi="Arial" w:cs="Arial"/>
          <w:bCs/>
          <w:iCs/>
          <w:sz w:val="22"/>
          <w:szCs w:val="22"/>
        </w:rPr>
        <w:footnoteReference w:id="1"/>
      </w:r>
      <w:r w:rsidR="008978D1" w:rsidRPr="003E5BE0">
        <w:rPr>
          <w:rFonts w:ascii="Arial" w:hAnsi="Arial" w:cs="Arial"/>
          <w:bCs/>
          <w:iCs/>
          <w:sz w:val="22"/>
          <w:szCs w:val="22"/>
        </w:rPr>
        <w:t xml:space="preserve"> showed that most patients who </w:t>
      </w:r>
      <w:r w:rsidR="00335FBC">
        <w:rPr>
          <w:rFonts w:ascii="Arial" w:hAnsi="Arial" w:cs="Arial"/>
          <w:bCs/>
          <w:iCs/>
          <w:sz w:val="22"/>
          <w:szCs w:val="22"/>
        </w:rPr>
        <w:t xml:space="preserve">cease treatment after </w:t>
      </w:r>
      <w:r w:rsidR="008978D1" w:rsidRPr="003E5BE0">
        <w:rPr>
          <w:rFonts w:ascii="Arial" w:hAnsi="Arial" w:cs="Arial"/>
          <w:bCs/>
          <w:iCs/>
          <w:sz w:val="22"/>
          <w:szCs w:val="22"/>
        </w:rPr>
        <w:t xml:space="preserve">two years of pembrolizumab </w:t>
      </w:r>
      <w:r w:rsidR="00335FBC">
        <w:rPr>
          <w:rFonts w:ascii="Arial" w:hAnsi="Arial" w:cs="Arial"/>
          <w:bCs/>
          <w:iCs/>
          <w:sz w:val="22"/>
          <w:szCs w:val="22"/>
        </w:rPr>
        <w:t xml:space="preserve">maintain their tumour </w:t>
      </w:r>
      <w:r w:rsidR="008978D1" w:rsidRPr="003E5BE0">
        <w:rPr>
          <w:rFonts w:ascii="Arial" w:hAnsi="Arial" w:cs="Arial"/>
          <w:bCs/>
          <w:iCs/>
          <w:sz w:val="22"/>
          <w:szCs w:val="22"/>
        </w:rPr>
        <w:t xml:space="preserve">response, including patients with stable disease. The PSCR also stated that the emerging data in lung </w:t>
      </w:r>
      <w:r w:rsidR="00335FBC">
        <w:rPr>
          <w:rFonts w:ascii="Arial" w:hAnsi="Arial" w:cs="Arial"/>
          <w:bCs/>
          <w:iCs/>
          <w:sz w:val="22"/>
          <w:szCs w:val="22"/>
        </w:rPr>
        <w:t xml:space="preserve">cancer </w:t>
      </w:r>
      <w:r w:rsidR="008978D1" w:rsidRPr="003E5BE0">
        <w:rPr>
          <w:rFonts w:ascii="Arial" w:hAnsi="Arial" w:cs="Arial"/>
          <w:bCs/>
          <w:iCs/>
          <w:sz w:val="22"/>
          <w:szCs w:val="22"/>
        </w:rPr>
        <w:t xml:space="preserve">supports several studies in melanoma which </w:t>
      </w:r>
      <w:r w:rsidR="00335FBC">
        <w:rPr>
          <w:rFonts w:ascii="Arial" w:hAnsi="Arial" w:cs="Arial"/>
          <w:bCs/>
          <w:iCs/>
          <w:sz w:val="22"/>
          <w:szCs w:val="22"/>
        </w:rPr>
        <w:t xml:space="preserve">demonstrate </w:t>
      </w:r>
      <w:r w:rsidR="001E7FD6">
        <w:rPr>
          <w:rFonts w:ascii="Arial" w:hAnsi="Arial" w:cs="Arial"/>
          <w:bCs/>
          <w:iCs/>
          <w:sz w:val="22"/>
          <w:szCs w:val="22"/>
        </w:rPr>
        <w:t xml:space="preserve">that a </w:t>
      </w:r>
      <w:r w:rsidR="008978D1" w:rsidRPr="003E5BE0">
        <w:rPr>
          <w:rFonts w:ascii="Arial" w:hAnsi="Arial" w:cs="Arial"/>
          <w:bCs/>
          <w:iCs/>
          <w:sz w:val="22"/>
          <w:szCs w:val="22"/>
        </w:rPr>
        <w:t xml:space="preserve">treatment effect </w:t>
      </w:r>
      <w:r w:rsidR="00335FBC">
        <w:rPr>
          <w:rFonts w:ascii="Arial" w:hAnsi="Arial" w:cs="Arial"/>
          <w:bCs/>
          <w:iCs/>
          <w:sz w:val="22"/>
          <w:szCs w:val="22"/>
        </w:rPr>
        <w:t xml:space="preserve">is maintained </w:t>
      </w:r>
      <w:r w:rsidR="001E7FD6">
        <w:rPr>
          <w:rFonts w:ascii="Arial" w:hAnsi="Arial" w:cs="Arial"/>
          <w:bCs/>
          <w:iCs/>
          <w:sz w:val="22"/>
          <w:szCs w:val="22"/>
        </w:rPr>
        <w:t>if</w:t>
      </w:r>
      <w:r w:rsidR="008978D1" w:rsidRPr="003E5BE0">
        <w:rPr>
          <w:rFonts w:ascii="Arial" w:hAnsi="Arial" w:cs="Arial"/>
          <w:bCs/>
          <w:iCs/>
          <w:sz w:val="22"/>
          <w:szCs w:val="22"/>
        </w:rPr>
        <w:t xml:space="preserve"> pembrolizumab is stopped at two years</w:t>
      </w:r>
      <w:r w:rsidRPr="003E5BE0">
        <w:rPr>
          <w:rStyle w:val="FootnoteReference"/>
          <w:rFonts w:ascii="Arial" w:hAnsi="Arial" w:cs="Arial"/>
          <w:bCs/>
          <w:iCs/>
          <w:sz w:val="22"/>
          <w:szCs w:val="22"/>
        </w:rPr>
        <w:footnoteReference w:id="2"/>
      </w:r>
      <w:r w:rsidRPr="003E5BE0">
        <w:rPr>
          <w:rStyle w:val="FootnoteReference"/>
          <w:rFonts w:ascii="Arial" w:hAnsi="Arial" w:cs="Arial"/>
          <w:bCs/>
          <w:iCs/>
          <w:sz w:val="22"/>
          <w:szCs w:val="22"/>
        </w:rPr>
        <w:footnoteReference w:id="3"/>
      </w:r>
      <w:r w:rsidR="008978D1" w:rsidRPr="003E5BE0">
        <w:rPr>
          <w:rFonts w:ascii="Arial" w:hAnsi="Arial" w:cs="Arial"/>
          <w:bCs/>
          <w:iCs/>
          <w:sz w:val="22"/>
          <w:szCs w:val="22"/>
        </w:rPr>
        <w:t xml:space="preserve">. The ESC </w:t>
      </w:r>
      <w:r w:rsidR="008978D1" w:rsidRPr="003E5BE0">
        <w:rPr>
          <w:rFonts w:ascii="Arial" w:hAnsi="Arial" w:cs="Arial"/>
          <w:bCs/>
          <w:iCs/>
          <w:sz w:val="22"/>
          <w:szCs w:val="22"/>
        </w:rPr>
        <w:lastRenderedPageBreak/>
        <w:t>noted that data from Herbst et al (2016) were sourced from the pembrolizumab KN-010 trial in later-line NSCLC patients who had failed prior platinum based chemotherapy. The applicability of these data</w:t>
      </w:r>
      <w:r w:rsidR="0027247F" w:rsidRPr="003E5BE0">
        <w:rPr>
          <w:rFonts w:ascii="Arial" w:hAnsi="Arial" w:cs="Arial"/>
          <w:bCs/>
          <w:iCs/>
          <w:sz w:val="22"/>
          <w:szCs w:val="22"/>
        </w:rPr>
        <w:t>,</w:t>
      </w:r>
      <w:r w:rsidR="008978D1" w:rsidRPr="003E5BE0">
        <w:rPr>
          <w:rFonts w:ascii="Arial" w:hAnsi="Arial" w:cs="Arial"/>
          <w:bCs/>
          <w:iCs/>
          <w:sz w:val="22"/>
          <w:szCs w:val="22"/>
        </w:rPr>
        <w:t xml:space="preserve"> and the melanoma data, to the requested first</w:t>
      </w:r>
      <w:r w:rsidR="0027247F" w:rsidRPr="003E5BE0">
        <w:rPr>
          <w:rFonts w:ascii="Arial" w:hAnsi="Arial" w:cs="Arial"/>
          <w:bCs/>
          <w:iCs/>
          <w:sz w:val="22"/>
          <w:szCs w:val="22"/>
        </w:rPr>
        <w:t>-</w:t>
      </w:r>
      <w:r w:rsidR="008978D1" w:rsidRPr="003E5BE0">
        <w:rPr>
          <w:rFonts w:ascii="Arial" w:hAnsi="Arial" w:cs="Arial"/>
          <w:bCs/>
          <w:iCs/>
          <w:sz w:val="22"/>
          <w:szCs w:val="22"/>
        </w:rPr>
        <w:t xml:space="preserve">line NSCLC setting is </w:t>
      </w:r>
      <w:r w:rsidR="0027247F" w:rsidRPr="003E5BE0">
        <w:rPr>
          <w:rFonts w:ascii="Arial" w:hAnsi="Arial" w:cs="Arial"/>
          <w:bCs/>
          <w:iCs/>
          <w:sz w:val="22"/>
          <w:szCs w:val="22"/>
        </w:rPr>
        <w:t>not clear</w:t>
      </w:r>
      <w:r w:rsidR="008978D1" w:rsidRPr="003E5BE0">
        <w:rPr>
          <w:rFonts w:ascii="Arial" w:hAnsi="Arial" w:cs="Arial"/>
          <w:bCs/>
          <w:iCs/>
          <w:sz w:val="22"/>
          <w:szCs w:val="22"/>
        </w:rPr>
        <w:t xml:space="preserve">. </w:t>
      </w:r>
      <w:r w:rsidR="008978D1" w:rsidRPr="003E5BE0">
        <w:rPr>
          <w:rFonts w:ascii="Arial" w:hAnsi="Arial" w:cs="Arial"/>
          <w:sz w:val="22"/>
          <w:szCs w:val="22"/>
        </w:rPr>
        <w:t xml:space="preserve">The ESC </w:t>
      </w:r>
      <w:r w:rsidR="00AD4011">
        <w:rPr>
          <w:rFonts w:ascii="Arial" w:hAnsi="Arial" w:cs="Arial"/>
          <w:sz w:val="22"/>
          <w:szCs w:val="22"/>
        </w:rPr>
        <w:t xml:space="preserve">commented that </w:t>
      </w:r>
      <w:r w:rsidR="008978D1" w:rsidRPr="003E5BE0">
        <w:rPr>
          <w:rFonts w:ascii="Arial" w:hAnsi="Arial" w:cs="Arial"/>
          <w:sz w:val="22"/>
          <w:szCs w:val="22"/>
        </w:rPr>
        <w:t xml:space="preserve">there were insufficient data from KN-024 to </w:t>
      </w:r>
      <w:r w:rsidR="00AD4011">
        <w:rPr>
          <w:rFonts w:ascii="Arial" w:hAnsi="Arial" w:cs="Arial"/>
          <w:sz w:val="22"/>
          <w:szCs w:val="22"/>
        </w:rPr>
        <w:t xml:space="preserve">draw conclusions </w:t>
      </w:r>
      <w:r w:rsidR="003D6EF8">
        <w:rPr>
          <w:rFonts w:ascii="Arial" w:hAnsi="Arial" w:cs="Arial"/>
          <w:sz w:val="22"/>
          <w:szCs w:val="22"/>
        </w:rPr>
        <w:t>about</w:t>
      </w:r>
      <w:r w:rsidR="00AD4011">
        <w:rPr>
          <w:rFonts w:ascii="Arial" w:hAnsi="Arial" w:cs="Arial"/>
          <w:sz w:val="22"/>
          <w:szCs w:val="22"/>
        </w:rPr>
        <w:t xml:space="preserve"> anticipated</w:t>
      </w:r>
      <w:r w:rsidR="003D6EF8">
        <w:rPr>
          <w:rFonts w:ascii="Arial" w:hAnsi="Arial" w:cs="Arial"/>
          <w:sz w:val="22"/>
          <w:szCs w:val="22"/>
        </w:rPr>
        <w:t xml:space="preserve"> </w:t>
      </w:r>
      <w:r w:rsidR="008978D1" w:rsidRPr="003E5BE0">
        <w:rPr>
          <w:rFonts w:ascii="Arial" w:hAnsi="Arial" w:cs="Arial"/>
          <w:sz w:val="22"/>
          <w:szCs w:val="22"/>
        </w:rPr>
        <w:t xml:space="preserve">outcomes </w:t>
      </w:r>
      <w:r w:rsidR="00AD4011">
        <w:rPr>
          <w:rFonts w:ascii="Arial" w:hAnsi="Arial" w:cs="Arial"/>
          <w:sz w:val="22"/>
          <w:szCs w:val="22"/>
        </w:rPr>
        <w:t>of the</w:t>
      </w:r>
      <w:r w:rsidR="008978D1" w:rsidRPr="003E5BE0">
        <w:rPr>
          <w:rFonts w:ascii="Arial" w:hAnsi="Arial" w:cs="Arial"/>
          <w:sz w:val="22"/>
          <w:szCs w:val="22"/>
        </w:rPr>
        <w:t xml:space="preserve"> conditional stopping and restarting criteria</w:t>
      </w:r>
      <w:r w:rsidR="00AD4011">
        <w:rPr>
          <w:rFonts w:ascii="Arial" w:hAnsi="Arial" w:cs="Arial"/>
          <w:sz w:val="22"/>
          <w:szCs w:val="22"/>
        </w:rPr>
        <w:t xml:space="preserve"> as described in the </w:t>
      </w:r>
      <w:r w:rsidR="001E7FD6">
        <w:rPr>
          <w:rFonts w:ascii="Arial" w:hAnsi="Arial" w:cs="Arial"/>
          <w:sz w:val="22"/>
          <w:szCs w:val="22"/>
        </w:rPr>
        <w:t xml:space="preserve">requested </w:t>
      </w:r>
      <w:r w:rsidR="00AD4011">
        <w:rPr>
          <w:rFonts w:ascii="Arial" w:hAnsi="Arial" w:cs="Arial"/>
          <w:sz w:val="22"/>
          <w:szCs w:val="22"/>
        </w:rPr>
        <w:t>restriction</w:t>
      </w:r>
      <w:r w:rsidR="008978D1" w:rsidRPr="003E5BE0">
        <w:rPr>
          <w:rFonts w:ascii="Arial" w:hAnsi="Arial" w:cs="Arial"/>
          <w:sz w:val="22"/>
          <w:szCs w:val="22"/>
        </w:rPr>
        <w:t>.</w:t>
      </w:r>
      <w:r w:rsidR="00E30B67" w:rsidRPr="00E30B67">
        <w:rPr>
          <w:rFonts w:ascii="Arial" w:hAnsi="Arial" w:cs="Arial"/>
          <w:sz w:val="22"/>
          <w:szCs w:val="22"/>
        </w:rPr>
        <w:t xml:space="preserve"> </w:t>
      </w:r>
      <w:r w:rsidR="00E30B67">
        <w:rPr>
          <w:rFonts w:ascii="Arial" w:hAnsi="Arial" w:cs="Arial"/>
          <w:sz w:val="22"/>
          <w:szCs w:val="22"/>
        </w:rPr>
        <w:t>The updated version of the PI from the TGA provided with the pre-PBAC response made no mention of retreatment</w:t>
      </w:r>
      <w:r w:rsidR="003D6EF8">
        <w:rPr>
          <w:rFonts w:ascii="Arial" w:hAnsi="Arial" w:cs="Arial"/>
          <w:sz w:val="22"/>
          <w:szCs w:val="22"/>
        </w:rPr>
        <w:t xml:space="preserve">. </w:t>
      </w:r>
      <w:r w:rsidR="001E7FD6">
        <w:rPr>
          <w:rFonts w:ascii="Arial" w:hAnsi="Arial" w:cs="Arial"/>
          <w:sz w:val="22"/>
          <w:szCs w:val="22"/>
        </w:rPr>
        <w:t>T</w:t>
      </w:r>
      <w:r w:rsidR="003D6EF8">
        <w:rPr>
          <w:rFonts w:ascii="Arial" w:hAnsi="Arial" w:cs="Arial"/>
          <w:sz w:val="22"/>
          <w:szCs w:val="22"/>
        </w:rPr>
        <w:t xml:space="preserve">he </w:t>
      </w:r>
      <w:r w:rsidR="00E30B67">
        <w:rPr>
          <w:rFonts w:ascii="Arial" w:hAnsi="Arial" w:cs="Arial"/>
          <w:sz w:val="22"/>
          <w:szCs w:val="22"/>
        </w:rPr>
        <w:t>pre-PBAC response withdrew the two aspects of the requested PBS restriction pertaining to retreatment.</w:t>
      </w:r>
    </w:p>
    <w:p w:rsidR="00E95CF9" w:rsidRPr="00F754F9" w:rsidRDefault="00E95CF9" w:rsidP="00E95CF9">
      <w:pPr>
        <w:rPr>
          <w:rFonts w:ascii="Arial" w:hAnsi="Arial" w:cs="Arial"/>
          <w:sz w:val="22"/>
          <w:szCs w:val="22"/>
        </w:rPr>
      </w:pPr>
    </w:p>
    <w:p w:rsidR="00264452" w:rsidRPr="00F754F9" w:rsidRDefault="00F00838" w:rsidP="00264452">
      <w:pPr>
        <w:pStyle w:val="ListParagraph"/>
        <w:numPr>
          <w:ilvl w:val="1"/>
          <w:numId w:val="4"/>
        </w:numPr>
        <w:ind w:left="709"/>
        <w:rPr>
          <w:rFonts w:ascii="Arial" w:hAnsi="Arial" w:cs="Arial"/>
          <w:sz w:val="22"/>
          <w:szCs w:val="22"/>
        </w:rPr>
      </w:pPr>
      <w:r w:rsidRPr="003E5BE0">
        <w:rPr>
          <w:rFonts w:ascii="Arial" w:hAnsi="Arial" w:cs="Arial"/>
          <w:sz w:val="22"/>
          <w:szCs w:val="22"/>
        </w:rPr>
        <w:t xml:space="preserve">The </w:t>
      </w:r>
      <w:r w:rsidR="00DC54A3">
        <w:rPr>
          <w:rFonts w:ascii="Arial" w:hAnsi="Arial" w:cs="Arial"/>
          <w:sz w:val="22"/>
          <w:szCs w:val="22"/>
        </w:rPr>
        <w:t>ESC</w:t>
      </w:r>
      <w:r w:rsidR="00635354" w:rsidRPr="003E5BE0">
        <w:rPr>
          <w:rFonts w:ascii="Arial" w:hAnsi="Arial" w:cs="Arial"/>
          <w:sz w:val="22"/>
          <w:szCs w:val="22"/>
        </w:rPr>
        <w:t xml:space="preserve"> considered that</w:t>
      </w:r>
      <w:r w:rsidR="0027247F" w:rsidRPr="003E5BE0">
        <w:rPr>
          <w:rFonts w:ascii="Arial" w:hAnsi="Arial" w:cs="Arial"/>
          <w:sz w:val="22"/>
          <w:szCs w:val="22"/>
        </w:rPr>
        <w:t xml:space="preserve"> replacing</w:t>
      </w:r>
      <w:r w:rsidRPr="003E5BE0">
        <w:rPr>
          <w:rFonts w:ascii="Arial" w:hAnsi="Arial" w:cs="Arial"/>
          <w:sz w:val="22"/>
          <w:szCs w:val="22"/>
        </w:rPr>
        <w:t xml:space="preserve"> the </w:t>
      </w:r>
      <w:r w:rsidR="0027247F" w:rsidRPr="003E5BE0">
        <w:rPr>
          <w:rFonts w:ascii="Arial" w:hAnsi="Arial" w:cs="Arial"/>
          <w:sz w:val="22"/>
          <w:szCs w:val="22"/>
        </w:rPr>
        <w:t xml:space="preserve">requested </w:t>
      </w:r>
      <w:r w:rsidRPr="003E5BE0">
        <w:rPr>
          <w:rFonts w:ascii="Arial" w:hAnsi="Arial" w:cs="Arial"/>
          <w:sz w:val="22"/>
          <w:szCs w:val="22"/>
        </w:rPr>
        <w:t>continuation criterion ‘the patient mu</w:t>
      </w:r>
      <w:r w:rsidR="009573FA" w:rsidRPr="003E5BE0">
        <w:rPr>
          <w:rFonts w:ascii="Arial" w:hAnsi="Arial" w:cs="Arial"/>
          <w:sz w:val="22"/>
          <w:szCs w:val="22"/>
        </w:rPr>
        <w:t>st not have progressive disease”</w:t>
      </w:r>
      <w:r w:rsidRPr="003E5BE0">
        <w:rPr>
          <w:rFonts w:ascii="Arial" w:hAnsi="Arial" w:cs="Arial"/>
          <w:sz w:val="22"/>
          <w:szCs w:val="22"/>
        </w:rPr>
        <w:t xml:space="preserve"> with the criterion that ‘the patient must ha</w:t>
      </w:r>
      <w:r w:rsidR="009573FA" w:rsidRPr="003E5BE0">
        <w:rPr>
          <w:rFonts w:ascii="Arial" w:hAnsi="Arial" w:cs="Arial"/>
          <w:sz w:val="22"/>
          <w:szCs w:val="22"/>
        </w:rPr>
        <w:t>ve stable or responding disease”</w:t>
      </w:r>
      <w:r w:rsidRPr="003E5BE0">
        <w:rPr>
          <w:rFonts w:ascii="Arial" w:hAnsi="Arial" w:cs="Arial"/>
          <w:sz w:val="22"/>
          <w:szCs w:val="22"/>
        </w:rPr>
        <w:t xml:space="preserve">, </w:t>
      </w:r>
      <w:r w:rsidR="0027247F" w:rsidRPr="003E5BE0">
        <w:rPr>
          <w:rFonts w:ascii="Arial" w:hAnsi="Arial" w:cs="Arial"/>
          <w:sz w:val="22"/>
          <w:szCs w:val="22"/>
        </w:rPr>
        <w:t xml:space="preserve">would be </w:t>
      </w:r>
      <w:r w:rsidRPr="003E5BE0">
        <w:rPr>
          <w:rFonts w:ascii="Arial" w:hAnsi="Arial" w:cs="Arial"/>
          <w:sz w:val="22"/>
          <w:szCs w:val="22"/>
        </w:rPr>
        <w:t>consistent with the current listings for PD-1 inhibitors</w:t>
      </w:r>
      <w:r w:rsidRPr="00F754F9">
        <w:rPr>
          <w:rFonts w:ascii="Arial" w:hAnsi="Arial" w:cs="Arial"/>
          <w:sz w:val="22"/>
          <w:szCs w:val="22"/>
        </w:rPr>
        <w:t>.</w:t>
      </w:r>
    </w:p>
    <w:p w:rsidR="00264452" w:rsidRPr="00F754F9" w:rsidRDefault="00264452" w:rsidP="000B7548">
      <w:pPr>
        <w:ind w:left="-11"/>
        <w:rPr>
          <w:rFonts w:ascii="Arial" w:hAnsi="Arial" w:cs="Arial"/>
          <w:sz w:val="22"/>
          <w:szCs w:val="22"/>
        </w:rPr>
      </w:pPr>
    </w:p>
    <w:p w:rsidR="00E95CF9" w:rsidRPr="00F754F9" w:rsidRDefault="00E95CF9" w:rsidP="00264452">
      <w:pPr>
        <w:pStyle w:val="ListParagraph"/>
        <w:numPr>
          <w:ilvl w:val="1"/>
          <w:numId w:val="4"/>
        </w:numPr>
        <w:ind w:left="709"/>
        <w:rPr>
          <w:rFonts w:ascii="Arial" w:hAnsi="Arial" w:cs="Arial"/>
          <w:sz w:val="22"/>
          <w:szCs w:val="22"/>
        </w:rPr>
      </w:pPr>
      <w:r w:rsidRPr="00F754F9">
        <w:rPr>
          <w:rFonts w:ascii="Arial" w:hAnsi="Arial" w:cs="Arial"/>
          <w:sz w:val="22"/>
          <w:szCs w:val="22"/>
        </w:rPr>
        <w:t xml:space="preserve">The administrative advice in the </w:t>
      </w:r>
      <w:r w:rsidR="00063A99">
        <w:rPr>
          <w:rFonts w:ascii="Arial" w:hAnsi="Arial" w:cs="Arial"/>
          <w:sz w:val="22"/>
          <w:szCs w:val="22"/>
        </w:rPr>
        <w:t xml:space="preserve">current </w:t>
      </w:r>
      <w:r w:rsidRPr="00F754F9">
        <w:rPr>
          <w:rFonts w:ascii="Arial" w:hAnsi="Arial" w:cs="Arial"/>
          <w:sz w:val="22"/>
          <w:szCs w:val="22"/>
        </w:rPr>
        <w:t>PBS restriction proposes a confirmatory scan after suspected progression, to avoid ceasing treatment on pseudo-progression. The evidence in the literature suggests that the rate of pseudo-progression is uncommon in NSCLC and that most radiographic progression with immune checkpoint inhibitors in NSCLC is likely to represent true progression</w:t>
      </w:r>
      <w:r w:rsidRPr="00F754F9">
        <w:rPr>
          <w:rStyle w:val="FootnoteReference"/>
          <w:rFonts w:ascii="Arial" w:hAnsi="Arial" w:cs="Arial"/>
          <w:sz w:val="22"/>
          <w:szCs w:val="22"/>
        </w:rPr>
        <w:footnoteReference w:id="4"/>
      </w:r>
      <w:r w:rsidRPr="00F754F9">
        <w:rPr>
          <w:rFonts w:ascii="Arial" w:hAnsi="Arial" w:cs="Arial"/>
          <w:sz w:val="22"/>
          <w:szCs w:val="22"/>
        </w:rPr>
        <w:t>. Such an administrative advice would allow patients to stay on an ineffective therapy</w:t>
      </w:r>
      <w:r w:rsidR="0021505B" w:rsidRPr="00F754F9">
        <w:rPr>
          <w:rFonts w:ascii="Arial" w:hAnsi="Arial" w:cs="Arial"/>
          <w:sz w:val="22"/>
          <w:szCs w:val="22"/>
        </w:rPr>
        <w:t>.</w:t>
      </w:r>
      <w:r w:rsidRPr="00F754F9">
        <w:rPr>
          <w:rFonts w:ascii="Arial" w:hAnsi="Arial" w:cs="Arial"/>
          <w:sz w:val="22"/>
          <w:szCs w:val="22"/>
        </w:rPr>
        <w:t xml:space="preserve"> </w:t>
      </w:r>
      <w:r w:rsidR="0021505B" w:rsidRPr="00F754F9">
        <w:rPr>
          <w:rFonts w:ascii="Arial" w:hAnsi="Arial" w:cs="Arial"/>
          <w:sz w:val="22"/>
          <w:szCs w:val="22"/>
        </w:rPr>
        <w:t>W</w:t>
      </w:r>
      <w:r w:rsidRPr="00F754F9">
        <w:rPr>
          <w:rFonts w:ascii="Arial" w:hAnsi="Arial" w:cs="Arial"/>
          <w:sz w:val="22"/>
          <w:szCs w:val="22"/>
        </w:rPr>
        <w:t xml:space="preserve">ith worsening PS, </w:t>
      </w:r>
      <w:r w:rsidR="0021505B" w:rsidRPr="00F754F9">
        <w:rPr>
          <w:rFonts w:ascii="Arial" w:hAnsi="Arial" w:cs="Arial"/>
          <w:sz w:val="22"/>
          <w:szCs w:val="22"/>
        </w:rPr>
        <w:t xml:space="preserve">these patients </w:t>
      </w:r>
      <w:r w:rsidRPr="00F754F9">
        <w:rPr>
          <w:rFonts w:ascii="Arial" w:hAnsi="Arial" w:cs="Arial"/>
          <w:sz w:val="22"/>
          <w:szCs w:val="22"/>
        </w:rPr>
        <w:t xml:space="preserve">may not be eligible </w:t>
      </w:r>
      <w:r w:rsidR="0021505B" w:rsidRPr="00F754F9">
        <w:rPr>
          <w:rFonts w:ascii="Arial" w:hAnsi="Arial" w:cs="Arial"/>
          <w:sz w:val="22"/>
          <w:szCs w:val="22"/>
        </w:rPr>
        <w:t xml:space="preserve">subsequently for </w:t>
      </w:r>
      <w:r w:rsidRPr="00F754F9">
        <w:rPr>
          <w:rFonts w:ascii="Arial" w:hAnsi="Arial" w:cs="Arial"/>
          <w:sz w:val="22"/>
          <w:szCs w:val="22"/>
        </w:rPr>
        <w:t>platinum-based chemotherapy.</w:t>
      </w:r>
      <w:r w:rsidR="00A831CE" w:rsidRPr="00F754F9">
        <w:rPr>
          <w:rFonts w:ascii="Arial" w:hAnsi="Arial" w:cs="Arial"/>
          <w:sz w:val="22"/>
          <w:szCs w:val="22"/>
        </w:rPr>
        <w:t xml:space="preserve"> </w:t>
      </w:r>
      <w:r w:rsidR="00DC54A3">
        <w:rPr>
          <w:rFonts w:ascii="Arial" w:hAnsi="Arial" w:cs="Arial"/>
          <w:sz w:val="22"/>
          <w:szCs w:val="22"/>
        </w:rPr>
        <w:t>The ESC</w:t>
      </w:r>
      <w:r w:rsidR="005F35EF" w:rsidRPr="003E5BE0">
        <w:rPr>
          <w:rFonts w:ascii="Arial" w:hAnsi="Arial" w:cs="Arial"/>
          <w:sz w:val="22"/>
          <w:szCs w:val="22"/>
        </w:rPr>
        <w:t xml:space="preserve"> advised that the requirement for a confirmatory scan </w:t>
      </w:r>
      <w:r w:rsidR="00C46957" w:rsidRPr="003E5BE0">
        <w:rPr>
          <w:rFonts w:ascii="Arial" w:hAnsi="Arial" w:cs="Arial"/>
          <w:sz w:val="22"/>
          <w:szCs w:val="22"/>
        </w:rPr>
        <w:t xml:space="preserve">could </w:t>
      </w:r>
      <w:r w:rsidR="005F35EF" w:rsidRPr="003E5BE0">
        <w:rPr>
          <w:rFonts w:ascii="Arial" w:hAnsi="Arial" w:cs="Arial"/>
          <w:sz w:val="22"/>
          <w:szCs w:val="22"/>
        </w:rPr>
        <w:t>be removed fro</w:t>
      </w:r>
      <w:r w:rsidR="0027247F" w:rsidRPr="003E5BE0">
        <w:rPr>
          <w:rFonts w:ascii="Arial" w:hAnsi="Arial" w:cs="Arial"/>
          <w:sz w:val="22"/>
          <w:szCs w:val="22"/>
        </w:rPr>
        <w:t xml:space="preserve">m the </w:t>
      </w:r>
      <w:r w:rsidR="00A66FD1" w:rsidRPr="003E5BE0">
        <w:rPr>
          <w:rFonts w:ascii="Arial" w:hAnsi="Arial" w:cs="Arial"/>
          <w:sz w:val="22"/>
          <w:szCs w:val="22"/>
        </w:rPr>
        <w:t xml:space="preserve">requested </w:t>
      </w:r>
      <w:r w:rsidR="0027247F" w:rsidRPr="003E5BE0">
        <w:rPr>
          <w:rFonts w:ascii="Arial" w:hAnsi="Arial" w:cs="Arial"/>
          <w:sz w:val="22"/>
          <w:szCs w:val="22"/>
        </w:rPr>
        <w:t>PBS restriction.</w:t>
      </w:r>
      <w:r w:rsidR="00E30B67">
        <w:rPr>
          <w:rFonts w:ascii="Arial" w:hAnsi="Arial" w:cs="Arial"/>
          <w:sz w:val="22"/>
          <w:szCs w:val="22"/>
        </w:rPr>
        <w:t xml:space="preserve"> The pre-PBAC response </w:t>
      </w:r>
      <w:r w:rsidR="003D6EF8">
        <w:rPr>
          <w:rFonts w:ascii="Arial" w:hAnsi="Arial" w:cs="Arial"/>
          <w:sz w:val="22"/>
          <w:szCs w:val="22"/>
        </w:rPr>
        <w:t xml:space="preserve">agreed with ESC and </w:t>
      </w:r>
      <w:r w:rsidR="00E30B67">
        <w:rPr>
          <w:rFonts w:ascii="Arial" w:hAnsi="Arial" w:cs="Arial"/>
          <w:sz w:val="22"/>
          <w:szCs w:val="22"/>
        </w:rPr>
        <w:t xml:space="preserve">withdrew the </w:t>
      </w:r>
      <w:r w:rsidR="003D6EF8">
        <w:rPr>
          <w:rFonts w:ascii="Arial" w:hAnsi="Arial" w:cs="Arial"/>
          <w:sz w:val="22"/>
          <w:szCs w:val="22"/>
        </w:rPr>
        <w:t xml:space="preserve">request for confirmatory scanning to be in included in the </w:t>
      </w:r>
      <w:r w:rsidR="001E7FD6">
        <w:rPr>
          <w:rFonts w:ascii="Arial" w:hAnsi="Arial" w:cs="Arial"/>
          <w:sz w:val="22"/>
          <w:szCs w:val="22"/>
        </w:rPr>
        <w:t>administrative advice.</w:t>
      </w:r>
    </w:p>
    <w:p w:rsidR="003C3474" w:rsidRPr="00F754F9" w:rsidRDefault="003C3474" w:rsidP="0027247F">
      <w:pPr>
        <w:ind w:left="-11"/>
        <w:rPr>
          <w:rFonts w:ascii="Arial" w:hAnsi="Arial" w:cs="Arial"/>
          <w:sz w:val="22"/>
          <w:szCs w:val="22"/>
        </w:rPr>
      </w:pPr>
    </w:p>
    <w:p w:rsidR="003C3474" w:rsidRPr="00F754F9" w:rsidRDefault="003C3474" w:rsidP="00264452">
      <w:pPr>
        <w:pStyle w:val="ListParagraph"/>
        <w:numPr>
          <w:ilvl w:val="1"/>
          <w:numId w:val="4"/>
        </w:numPr>
        <w:ind w:left="709"/>
        <w:rPr>
          <w:rFonts w:ascii="Arial" w:hAnsi="Arial" w:cs="Arial"/>
          <w:sz w:val="22"/>
          <w:szCs w:val="22"/>
        </w:rPr>
      </w:pPr>
      <w:r w:rsidRPr="003E5BE0">
        <w:rPr>
          <w:rFonts w:ascii="Arial" w:hAnsi="Arial" w:cs="Arial"/>
          <w:sz w:val="22"/>
          <w:szCs w:val="22"/>
        </w:rPr>
        <w:t xml:space="preserve">Although pembrolizumab </w:t>
      </w:r>
      <w:r w:rsidR="00063A99">
        <w:rPr>
          <w:rFonts w:ascii="Arial" w:hAnsi="Arial" w:cs="Arial"/>
          <w:sz w:val="22"/>
          <w:szCs w:val="22"/>
        </w:rPr>
        <w:t>wa</w:t>
      </w:r>
      <w:r w:rsidRPr="003E5BE0">
        <w:rPr>
          <w:rFonts w:ascii="Arial" w:hAnsi="Arial" w:cs="Arial"/>
          <w:sz w:val="22"/>
          <w:szCs w:val="22"/>
        </w:rPr>
        <w:t xml:space="preserve">s currently listed in the PBS as part of the S100 (EFC) program for </w:t>
      </w:r>
      <w:r w:rsidR="00C12871">
        <w:rPr>
          <w:rFonts w:ascii="Arial" w:hAnsi="Arial" w:cs="Arial"/>
          <w:sz w:val="22"/>
          <w:szCs w:val="22"/>
        </w:rPr>
        <w:t>certain patients with</w:t>
      </w:r>
      <w:r w:rsidRPr="003E5BE0">
        <w:rPr>
          <w:rFonts w:ascii="Arial" w:hAnsi="Arial" w:cs="Arial"/>
          <w:sz w:val="22"/>
          <w:szCs w:val="22"/>
        </w:rPr>
        <w:t xml:space="preserve"> melanoma, it is uncertain whether this would remain appropriate for </w:t>
      </w:r>
      <w:r w:rsidR="00C12871">
        <w:rPr>
          <w:rFonts w:ascii="Arial" w:hAnsi="Arial" w:cs="Arial"/>
          <w:sz w:val="22"/>
          <w:szCs w:val="22"/>
        </w:rPr>
        <w:t xml:space="preserve">patients with </w:t>
      </w:r>
      <w:r w:rsidRPr="003E5BE0">
        <w:rPr>
          <w:rFonts w:ascii="Arial" w:hAnsi="Arial" w:cs="Arial"/>
          <w:sz w:val="22"/>
          <w:szCs w:val="22"/>
        </w:rPr>
        <w:t xml:space="preserve">NSCLC, where patients are </w:t>
      </w:r>
      <w:r w:rsidR="00C12871">
        <w:rPr>
          <w:rFonts w:ascii="Arial" w:hAnsi="Arial" w:cs="Arial"/>
          <w:sz w:val="22"/>
          <w:szCs w:val="22"/>
        </w:rPr>
        <w:t xml:space="preserve">recommended </w:t>
      </w:r>
      <w:r w:rsidRPr="003E5BE0">
        <w:rPr>
          <w:rFonts w:ascii="Arial" w:hAnsi="Arial" w:cs="Arial"/>
          <w:sz w:val="22"/>
          <w:szCs w:val="22"/>
        </w:rPr>
        <w:t>to receive a flat dose of 200</w:t>
      </w:r>
      <w:r w:rsidR="000C325C" w:rsidRPr="003E5BE0">
        <w:rPr>
          <w:rFonts w:ascii="Arial" w:hAnsi="Arial" w:cs="Arial"/>
          <w:sz w:val="22"/>
          <w:szCs w:val="22"/>
        </w:rPr>
        <w:t> </w:t>
      </w:r>
      <w:r w:rsidRPr="003E5BE0">
        <w:rPr>
          <w:rFonts w:ascii="Arial" w:hAnsi="Arial" w:cs="Arial"/>
          <w:sz w:val="22"/>
          <w:szCs w:val="22"/>
        </w:rPr>
        <w:t>mg. An “efficient combination” of vials would not apply for the NSCLC indication, given that patients will receive either four of the 50</w:t>
      </w:r>
      <w:r w:rsidR="000C325C" w:rsidRPr="003E5BE0">
        <w:rPr>
          <w:rFonts w:ascii="Arial" w:hAnsi="Arial" w:cs="Arial"/>
          <w:sz w:val="22"/>
          <w:szCs w:val="22"/>
        </w:rPr>
        <w:t> </w:t>
      </w:r>
      <w:r w:rsidRPr="003E5BE0">
        <w:rPr>
          <w:rFonts w:ascii="Arial" w:hAnsi="Arial" w:cs="Arial"/>
          <w:sz w:val="22"/>
          <w:szCs w:val="22"/>
        </w:rPr>
        <w:t xml:space="preserve">mg vials or two of </w:t>
      </w:r>
      <w:r w:rsidR="000C325C" w:rsidRPr="003E5BE0">
        <w:rPr>
          <w:rFonts w:ascii="Arial" w:hAnsi="Arial" w:cs="Arial"/>
          <w:sz w:val="22"/>
          <w:szCs w:val="22"/>
        </w:rPr>
        <w:t xml:space="preserve">the </w:t>
      </w:r>
      <w:r w:rsidRPr="003E5BE0">
        <w:rPr>
          <w:rFonts w:ascii="Arial" w:hAnsi="Arial" w:cs="Arial"/>
          <w:sz w:val="22"/>
          <w:szCs w:val="22"/>
        </w:rPr>
        <w:t>100</w:t>
      </w:r>
      <w:r w:rsidR="000C325C" w:rsidRPr="003E5BE0">
        <w:rPr>
          <w:rFonts w:ascii="Arial" w:hAnsi="Arial" w:cs="Arial"/>
          <w:sz w:val="22"/>
          <w:szCs w:val="22"/>
        </w:rPr>
        <w:t> </w:t>
      </w:r>
      <w:r w:rsidRPr="003E5BE0">
        <w:rPr>
          <w:rFonts w:ascii="Arial" w:hAnsi="Arial" w:cs="Arial"/>
          <w:sz w:val="22"/>
          <w:szCs w:val="22"/>
        </w:rPr>
        <w:t>mg vials. As such, it may be more appropriate that pembrolizumab for NSCLC, where the dosage regimen is fixed, be place in the S100 Highly Specialised Drugs (HSD) prog</w:t>
      </w:r>
      <w:r w:rsidR="000C325C" w:rsidRPr="003E5BE0">
        <w:rPr>
          <w:rFonts w:ascii="Arial" w:hAnsi="Arial" w:cs="Arial"/>
          <w:sz w:val="22"/>
          <w:szCs w:val="22"/>
        </w:rPr>
        <w:t>ram if recommended by the PBAC.</w:t>
      </w:r>
    </w:p>
    <w:p w:rsidR="00EF4B93" w:rsidRPr="00F6757B" w:rsidRDefault="00EF4B93" w:rsidP="00F6757B">
      <w:pPr>
        <w:pStyle w:val="Heading2"/>
      </w:pPr>
      <w:bookmarkStart w:id="13" w:name="_Toc471744452"/>
      <w:r w:rsidRPr="00F6757B">
        <w:t>Clinical context</w:t>
      </w:r>
      <w:bookmarkEnd w:id="11"/>
      <w:bookmarkEnd w:id="13"/>
    </w:p>
    <w:p w:rsidR="00EF4B93" w:rsidRPr="00F754F9" w:rsidRDefault="001A49C1" w:rsidP="00217726">
      <w:pPr>
        <w:pStyle w:val="ListParagraph"/>
        <w:numPr>
          <w:ilvl w:val="1"/>
          <w:numId w:val="4"/>
        </w:numPr>
        <w:ind w:left="709"/>
        <w:rPr>
          <w:rFonts w:ascii="Arial" w:hAnsi="Arial" w:cs="Arial"/>
          <w:sz w:val="22"/>
          <w:szCs w:val="22"/>
        </w:rPr>
      </w:pPr>
      <w:r w:rsidRPr="00F754F9">
        <w:rPr>
          <w:rFonts w:ascii="Arial" w:hAnsi="Arial" w:cs="Arial"/>
          <w:sz w:val="22"/>
          <w:szCs w:val="22"/>
        </w:rPr>
        <w:t xml:space="preserve">Approximately </w:t>
      </w:r>
      <w:r w:rsidR="00EF4B93" w:rsidRPr="00F754F9">
        <w:rPr>
          <w:rFonts w:ascii="Arial" w:hAnsi="Arial" w:cs="Arial"/>
          <w:sz w:val="22"/>
          <w:szCs w:val="22"/>
        </w:rPr>
        <w:t>15-20%</w:t>
      </w:r>
      <w:r w:rsidR="00391515" w:rsidRPr="00F754F9">
        <w:rPr>
          <w:rFonts w:ascii="Arial" w:hAnsi="Arial" w:cs="Arial"/>
          <w:sz w:val="22"/>
          <w:szCs w:val="22"/>
        </w:rPr>
        <w:t xml:space="preserve"> of</w:t>
      </w:r>
      <w:r w:rsidR="00EF4B93" w:rsidRPr="00F754F9">
        <w:rPr>
          <w:rFonts w:ascii="Arial" w:hAnsi="Arial" w:cs="Arial"/>
          <w:sz w:val="22"/>
          <w:szCs w:val="22"/>
        </w:rPr>
        <w:t xml:space="preserve"> </w:t>
      </w:r>
      <w:r w:rsidR="0051107C" w:rsidRPr="00F754F9">
        <w:rPr>
          <w:rFonts w:ascii="Arial" w:hAnsi="Arial" w:cs="Arial"/>
          <w:sz w:val="22"/>
          <w:szCs w:val="22"/>
        </w:rPr>
        <w:t xml:space="preserve">advanced NSCLC </w:t>
      </w:r>
      <w:r w:rsidR="00EF4B93" w:rsidRPr="00F754F9">
        <w:rPr>
          <w:rFonts w:ascii="Arial" w:hAnsi="Arial" w:cs="Arial"/>
          <w:sz w:val="22"/>
          <w:szCs w:val="22"/>
        </w:rPr>
        <w:t xml:space="preserve">patients with </w:t>
      </w:r>
      <w:r w:rsidR="00EF4B93" w:rsidRPr="00063A99">
        <w:rPr>
          <w:rFonts w:ascii="Arial" w:hAnsi="Arial" w:cs="Arial"/>
          <w:i/>
          <w:sz w:val="22"/>
          <w:szCs w:val="22"/>
        </w:rPr>
        <w:t>EGFR</w:t>
      </w:r>
      <w:r w:rsidR="00EF4B93" w:rsidRPr="00F754F9">
        <w:rPr>
          <w:rFonts w:ascii="Arial" w:hAnsi="Arial" w:cs="Arial"/>
          <w:sz w:val="22"/>
          <w:szCs w:val="22"/>
        </w:rPr>
        <w:t xml:space="preserve"> </w:t>
      </w:r>
      <w:r w:rsidR="00EF5B41">
        <w:rPr>
          <w:rFonts w:ascii="Arial" w:hAnsi="Arial" w:cs="Arial"/>
          <w:sz w:val="22"/>
          <w:szCs w:val="22"/>
        </w:rPr>
        <w:t xml:space="preserve">gene </w:t>
      </w:r>
      <w:r w:rsidR="00EF4B93" w:rsidRPr="00F754F9">
        <w:rPr>
          <w:rFonts w:ascii="Arial" w:hAnsi="Arial" w:cs="Arial"/>
          <w:sz w:val="22"/>
          <w:szCs w:val="22"/>
        </w:rPr>
        <w:t xml:space="preserve">mutations (10-15%) and </w:t>
      </w:r>
      <w:r w:rsidR="00EF4B93" w:rsidRPr="00063A99">
        <w:rPr>
          <w:rFonts w:ascii="Arial" w:hAnsi="Arial" w:cs="Arial"/>
          <w:i/>
          <w:sz w:val="22"/>
          <w:szCs w:val="22"/>
        </w:rPr>
        <w:t>ALK</w:t>
      </w:r>
      <w:r w:rsidR="00EF4B93" w:rsidRPr="00F754F9">
        <w:rPr>
          <w:rFonts w:ascii="Arial" w:hAnsi="Arial" w:cs="Arial"/>
          <w:sz w:val="22"/>
          <w:szCs w:val="22"/>
        </w:rPr>
        <w:t xml:space="preserve"> </w:t>
      </w:r>
      <w:r w:rsidRPr="00F754F9">
        <w:rPr>
          <w:rFonts w:ascii="Arial" w:hAnsi="Arial" w:cs="Arial"/>
          <w:sz w:val="22"/>
          <w:szCs w:val="22"/>
        </w:rPr>
        <w:t xml:space="preserve">gene rearrangements </w:t>
      </w:r>
      <w:r w:rsidR="00EF4B93" w:rsidRPr="00F754F9">
        <w:rPr>
          <w:rFonts w:ascii="Arial" w:hAnsi="Arial" w:cs="Arial"/>
          <w:sz w:val="22"/>
          <w:szCs w:val="22"/>
        </w:rPr>
        <w:t xml:space="preserve">(3-5% of patients) are </w:t>
      </w:r>
      <w:r w:rsidR="003D6EF8">
        <w:rPr>
          <w:rFonts w:ascii="Arial" w:hAnsi="Arial" w:cs="Arial"/>
          <w:sz w:val="22"/>
          <w:szCs w:val="22"/>
        </w:rPr>
        <w:t>treated</w:t>
      </w:r>
      <w:r w:rsidR="003D6EF8" w:rsidRPr="00F754F9">
        <w:rPr>
          <w:rFonts w:ascii="Arial" w:hAnsi="Arial" w:cs="Arial"/>
          <w:sz w:val="22"/>
          <w:szCs w:val="22"/>
        </w:rPr>
        <w:t xml:space="preserve"> </w:t>
      </w:r>
      <w:r w:rsidR="003D6EF8">
        <w:rPr>
          <w:rFonts w:ascii="Arial" w:hAnsi="Arial" w:cs="Arial"/>
          <w:sz w:val="22"/>
          <w:szCs w:val="22"/>
        </w:rPr>
        <w:t xml:space="preserve">with </w:t>
      </w:r>
      <w:r w:rsidR="00EF4B93" w:rsidRPr="00F754F9">
        <w:rPr>
          <w:rFonts w:ascii="Arial" w:hAnsi="Arial" w:cs="Arial"/>
          <w:sz w:val="22"/>
          <w:szCs w:val="22"/>
        </w:rPr>
        <w:t xml:space="preserve">targeted </w:t>
      </w:r>
      <w:r w:rsidR="003D6EF8">
        <w:rPr>
          <w:rFonts w:ascii="Arial" w:hAnsi="Arial" w:cs="Arial"/>
          <w:sz w:val="22"/>
          <w:szCs w:val="22"/>
        </w:rPr>
        <w:t>agents</w:t>
      </w:r>
      <w:r w:rsidR="003D6EF8" w:rsidRPr="00F754F9">
        <w:rPr>
          <w:rFonts w:ascii="Arial" w:hAnsi="Arial" w:cs="Arial"/>
          <w:sz w:val="22"/>
          <w:szCs w:val="22"/>
        </w:rPr>
        <w:t xml:space="preserve"> </w:t>
      </w:r>
      <w:r w:rsidR="00EF4B93" w:rsidRPr="00F754F9">
        <w:rPr>
          <w:rFonts w:ascii="Arial" w:hAnsi="Arial" w:cs="Arial"/>
          <w:sz w:val="22"/>
          <w:szCs w:val="22"/>
        </w:rPr>
        <w:t>(erlotinib, gefitinib</w:t>
      </w:r>
      <w:r w:rsidR="003D6EF8">
        <w:rPr>
          <w:rFonts w:ascii="Arial" w:hAnsi="Arial" w:cs="Arial"/>
          <w:sz w:val="22"/>
          <w:szCs w:val="22"/>
        </w:rPr>
        <w:t>, afatinib</w:t>
      </w:r>
      <w:r w:rsidR="00EF4B93" w:rsidRPr="00F754F9">
        <w:rPr>
          <w:rFonts w:ascii="Arial" w:hAnsi="Arial" w:cs="Arial"/>
          <w:sz w:val="22"/>
          <w:szCs w:val="22"/>
        </w:rPr>
        <w:t xml:space="preserve"> and crizotinib)</w:t>
      </w:r>
      <w:r w:rsidR="0051107C" w:rsidRPr="00F754F9">
        <w:rPr>
          <w:rFonts w:ascii="Arial" w:hAnsi="Arial" w:cs="Arial"/>
          <w:sz w:val="22"/>
          <w:szCs w:val="22"/>
        </w:rPr>
        <w:t>.</w:t>
      </w:r>
      <w:r w:rsidR="00EF4B93" w:rsidRPr="00F754F9">
        <w:rPr>
          <w:rFonts w:ascii="Arial" w:hAnsi="Arial" w:cs="Arial"/>
          <w:sz w:val="22"/>
          <w:szCs w:val="22"/>
        </w:rPr>
        <w:t xml:space="preserve"> </w:t>
      </w:r>
      <w:r w:rsidR="003D6EF8">
        <w:rPr>
          <w:rFonts w:ascii="Arial" w:hAnsi="Arial" w:cs="Arial"/>
          <w:sz w:val="22"/>
          <w:szCs w:val="22"/>
        </w:rPr>
        <w:t xml:space="preserve">The remaining </w:t>
      </w:r>
      <w:r w:rsidR="00EF4B93" w:rsidRPr="00F754F9">
        <w:rPr>
          <w:rFonts w:ascii="Arial" w:hAnsi="Arial" w:cs="Arial"/>
          <w:sz w:val="22"/>
          <w:szCs w:val="22"/>
        </w:rPr>
        <w:t xml:space="preserve">80% of NSCLC patients </w:t>
      </w:r>
      <w:r w:rsidRPr="00F754F9">
        <w:rPr>
          <w:rFonts w:ascii="Arial" w:hAnsi="Arial" w:cs="Arial"/>
          <w:sz w:val="22"/>
          <w:szCs w:val="22"/>
        </w:rPr>
        <w:t>receive</w:t>
      </w:r>
      <w:r w:rsidR="00EF4B93" w:rsidRPr="00F754F9">
        <w:rPr>
          <w:rFonts w:ascii="Arial" w:hAnsi="Arial" w:cs="Arial"/>
          <w:sz w:val="22"/>
          <w:szCs w:val="22"/>
        </w:rPr>
        <w:t xml:space="preserve"> platinum-based chemotherapy. </w:t>
      </w:r>
      <w:r w:rsidR="00391515" w:rsidRPr="00F754F9">
        <w:rPr>
          <w:rFonts w:ascii="Arial" w:hAnsi="Arial" w:cs="Arial"/>
          <w:sz w:val="22"/>
          <w:szCs w:val="22"/>
        </w:rPr>
        <w:t>P</w:t>
      </w:r>
      <w:r w:rsidR="00EF4B93" w:rsidRPr="00F754F9">
        <w:rPr>
          <w:rFonts w:ascii="Arial" w:hAnsi="Arial" w:cs="Arial"/>
          <w:sz w:val="22"/>
          <w:szCs w:val="22"/>
        </w:rPr>
        <w:t xml:space="preserve">embrolizumab </w:t>
      </w:r>
      <w:r w:rsidR="00391515" w:rsidRPr="00F754F9">
        <w:rPr>
          <w:rFonts w:ascii="Arial" w:hAnsi="Arial" w:cs="Arial"/>
          <w:sz w:val="22"/>
          <w:szCs w:val="22"/>
        </w:rPr>
        <w:t>is proposed f</w:t>
      </w:r>
      <w:r w:rsidR="00EF4B93" w:rsidRPr="00F754F9">
        <w:rPr>
          <w:rFonts w:ascii="Arial" w:hAnsi="Arial" w:cs="Arial"/>
          <w:sz w:val="22"/>
          <w:szCs w:val="22"/>
        </w:rPr>
        <w:t xml:space="preserve">or the first-line treatment of advanced NSCLC </w:t>
      </w:r>
      <w:r w:rsidR="003D6EF8">
        <w:rPr>
          <w:rFonts w:ascii="Arial" w:hAnsi="Arial" w:cs="Arial"/>
          <w:sz w:val="22"/>
          <w:szCs w:val="22"/>
        </w:rPr>
        <w:t>where the tumour does not harbour an</w:t>
      </w:r>
      <w:r w:rsidR="003D6EF8" w:rsidRPr="00F754F9">
        <w:rPr>
          <w:rFonts w:ascii="Arial" w:hAnsi="Arial" w:cs="Arial"/>
          <w:sz w:val="22"/>
          <w:szCs w:val="22"/>
        </w:rPr>
        <w:t xml:space="preserve"> </w:t>
      </w:r>
      <w:r w:rsidR="00EF4B93" w:rsidRPr="00063A99">
        <w:rPr>
          <w:rFonts w:ascii="Arial" w:hAnsi="Arial" w:cs="Arial"/>
          <w:i/>
          <w:sz w:val="22"/>
          <w:szCs w:val="22"/>
        </w:rPr>
        <w:t>EGFR</w:t>
      </w:r>
      <w:r w:rsidR="00EF4B93" w:rsidRPr="00F754F9">
        <w:rPr>
          <w:rFonts w:ascii="Arial" w:hAnsi="Arial" w:cs="Arial"/>
          <w:sz w:val="22"/>
          <w:szCs w:val="22"/>
        </w:rPr>
        <w:t xml:space="preserve"> </w:t>
      </w:r>
      <w:r w:rsidR="00EF5B41">
        <w:rPr>
          <w:rFonts w:ascii="Arial" w:hAnsi="Arial" w:cs="Arial"/>
          <w:sz w:val="22"/>
          <w:szCs w:val="22"/>
        </w:rPr>
        <w:t xml:space="preserve">gene </w:t>
      </w:r>
      <w:r w:rsidR="00EF4B93" w:rsidRPr="00F754F9">
        <w:rPr>
          <w:rFonts w:ascii="Arial" w:hAnsi="Arial" w:cs="Arial"/>
          <w:sz w:val="22"/>
          <w:szCs w:val="22"/>
        </w:rPr>
        <w:t xml:space="preserve">mutation or </w:t>
      </w:r>
      <w:r w:rsidR="00EF4B93" w:rsidRPr="00063A99">
        <w:rPr>
          <w:rFonts w:ascii="Arial" w:hAnsi="Arial" w:cs="Arial"/>
          <w:i/>
          <w:sz w:val="22"/>
          <w:szCs w:val="22"/>
        </w:rPr>
        <w:t>ALK</w:t>
      </w:r>
      <w:r w:rsidR="00EF4B93" w:rsidRPr="00F754F9">
        <w:rPr>
          <w:rFonts w:ascii="Arial" w:hAnsi="Arial" w:cs="Arial"/>
          <w:sz w:val="22"/>
          <w:szCs w:val="22"/>
        </w:rPr>
        <w:t xml:space="preserve"> </w:t>
      </w:r>
      <w:r w:rsidR="00EF5B41">
        <w:rPr>
          <w:rFonts w:ascii="Arial" w:hAnsi="Arial" w:cs="Arial"/>
          <w:sz w:val="22"/>
          <w:szCs w:val="22"/>
        </w:rPr>
        <w:t xml:space="preserve">gene rearrangement </w:t>
      </w:r>
      <w:r w:rsidR="003D6EF8">
        <w:rPr>
          <w:rFonts w:ascii="Arial" w:hAnsi="Arial" w:cs="Arial"/>
          <w:sz w:val="22"/>
          <w:szCs w:val="22"/>
        </w:rPr>
        <w:t xml:space="preserve">but where expression of </w:t>
      </w:r>
      <w:r w:rsidR="00EF4B93" w:rsidRPr="00F754F9">
        <w:rPr>
          <w:rFonts w:ascii="Arial" w:hAnsi="Arial" w:cs="Arial"/>
          <w:sz w:val="22"/>
          <w:szCs w:val="22"/>
        </w:rPr>
        <w:t>PD-L1</w:t>
      </w:r>
      <w:r w:rsidR="003D6EF8">
        <w:rPr>
          <w:rFonts w:ascii="Arial" w:hAnsi="Arial" w:cs="Arial"/>
          <w:sz w:val="22"/>
          <w:szCs w:val="22"/>
        </w:rPr>
        <w:t xml:space="preserve"> is high</w:t>
      </w:r>
      <w:r w:rsidR="00EF4B93" w:rsidRPr="00F754F9">
        <w:rPr>
          <w:rFonts w:ascii="Arial" w:hAnsi="Arial" w:cs="Arial"/>
          <w:sz w:val="22"/>
          <w:szCs w:val="22"/>
        </w:rPr>
        <w:t xml:space="preserve"> (</w:t>
      </w:r>
      <w:r w:rsidR="00180C5A" w:rsidRPr="00F754F9">
        <w:rPr>
          <w:rFonts w:ascii="Arial" w:hAnsi="Arial" w:cs="Arial"/>
          <w:sz w:val="22"/>
          <w:szCs w:val="22"/>
        </w:rPr>
        <w:t xml:space="preserve">TPS </w:t>
      </w:r>
      <w:r w:rsidR="00EF4B93" w:rsidRPr="00F754F9">
        <w:rPr>
          <w:rFonts w:ascii="Arial" w:hAnsi="Arial" w:cs="Arial"/>
          <w:sz w:val="22"/>
          <w:szCs w:val="22"/>
        </w:rPr>
        <w:t>≥50%).</w:t>
      </w:r>
    </w:p>
    <w:p w:rsidR="00EF4B93" w:rsidRPr="00F6757B" w:rsidRDefault="00EF4B93" w:rsidP="00F6757B">
      <w:pPr>
        <w:pStyle w:val="Heading2"/>
      </w:pPr>
      <w:bookmarkStart w:id="14" w:name="_Toc431891722"/>
      <w:bookmarkStart w:id="15" w:name="_Toc471744453"/>
      <w:r w:rsidRPr="00F6757B">
        <w:lastRenderedPageBreak/>
        <w:t>Summary of alternative listing options</w:t>
      </w:r>
      <w:bookmarkEnd w:id="14"/>
      <w:bookmarkEnd w:id="15"/>
    </w:p>
    <w:p w:rsidR="00EF4B93" w:rsidRPr="00F754F9" w:rsidRDefault="001A49C1" w:rsidP="00217726">
      <w:pPr>
        <w:pStyle w:val="ListParagraph"/>
        <w:numPr>
          <w:ilvl w:val="1"/>
          <w:numId w:val="4"/>
        </w:numPr>
        <w:ind w:left="709"/>
        <w:rPr>
          <w:rFonts w:ascii="Arial" w:hAnsi="Arial" w:cs="Arial"/>
          <w:sz w:val="22"/>
          <w:szCs w:val="22"/>
        </w:rPr>
      </w:pPr>
      <w:r w:rsidRPr="00F754F9">
        <w:rPr>
          <w:rFonts w:ascii="Arial" w:hAnsi="Arial" w:cs="Arial"/>
          <w:sz w:val="22"/>
          <w:szCs w:val="22"/>
        </w:rPr>
        <w:t>Eligibility for PBS-subsidised pembrolizumab was proposed to be dependent on high PD-L1 expression in tumour samples (TPS ≥50%). Patients with no evidence of PD-L1 expression (TPS &lt;1%) or low PD-L1 expression (TPS 1‒49%) were proposed to be ineligible. The sponsor expressed preparedness to consider a population whose tumours express TPS ≥1% PD-L1 (that is, regardless of the level of PD-L1 expression), if it was deemed to be more appropriate for PBS listing.</w:t>
      </w:r>
      <w:r w:rsidR="00EF4B93" w:rsidRPr="00F754F9">
        <w:rPr>
          <w:rFonts w:ascii="Arial" w:hAnsi="Arial" w:cs="Arial"/>
          <w:sz w:val="22"/>
          <w:szCs w:val="22"/>
        </w:rPr>
        <w:t xml:space="preserve"> The key trial </w:t>
      </w:r>
      <w:r w:rsidR="00416666">
        <w:rPr>
          <w:rFonts w:ascii="Arial" w:hAnsi="Arial" w:cs="Arial"/>
          <w:sz w:val="22"/>
          <w:szCs w:val="22"/>
        </w:rPr>
        <w:t xml:space="preserve">in </w:t>
      </w:r>
      <w:r w:rsidR="00EF4B93" w:rsidRPr="00F754F9">
        <w:rPr>
          <w:rFonts w:ascii="Arial" w:hAnsi="Arial" w:cs="Arial"/>
          <w:sz w:val="22"/>
          <w:szCs w:val="22"/>
        </w:rPr>
        <w:t xml:space="preserve">the current submission (KN-024) only enrolled patients whose tumours expressed ≥50% PD-L1 positive cells. </w:t>
      </w:r>
      <w:r w:rsidR="00416666">
        <w:rPr>
          <w:rFonts w:ascii="Arial" w:hAnsi="Arial" w:cs="Arial"/>
          <w:sz w:val="22"/>
          <w:szCs w:val="22"/>
        </w:rPr>
        <w:t xml:space="preserve">In contrast, an </w:t>
      </w:r>
      <w:r w:rsidR="0001376B" w:rsidRPr="00F754F9">
        <w:rPr>
          <w:rFonts w:ascii="Arial" w:hAnsi="Arial" w:cs="Arial"/>
          <w:sz w:val="22"/>
          <w:szCs w:val="22"/>
        </w:rPr>
        <w:t xml:space="preserve">ongoing trial (KN-042) of pembrolizumab as first-line treatment for NSCLC </w:t>
      </w:r>
      <w:r w:rsidR="00416666">
        <w:rPr>
          <w:rFonts w:ascii="Arial" w:hAnsi="Arial" w:cs="Arial"/>
          <w:sz w:val="22"/>
          <w:szCs w:val="22"/>
        </w:rPr>
        <w:t xml:space="preserve">enrolled </w:t>
      </w:r>
      <w:r w:rsidR="0001376B" w:rsidRPr="00F754F9">
        <w:rPr>
          <w:rFonts w:ascii="Arial" w:hAnsi="Arial" w:cs="Arial"/>
          <w:sz w:val="22"/>
          <w:szCs w:val="22"/>
        </w:rPr>
        <w:t>patients with a TPS ≥1%</w:t>
      </w:r>
      <w:r w:rsidR="00416666">
        <w:rPr>
          <w:rFonts w:ascii="Arial" w:hAnsi="Arial" w:cs="Arial"/>
          <w:sz w:val="22"/>
          <w:szCs w:val="22"/>
        </w:rPr>
        <w:t xml:space="preserve">. </w:t>
      </w:r>
      <w:r w:rsidR="00DF3DBC">
        <w:rPr>
          <w:rFonts w:ascii="Arial" w:hAnsi="Arial" w:cs="Arial"/>
          <w:noProof/>
          <w:color w:val="000000"/>
          <w:sz w:val="22"/>
          <w:szCs w:val="22"/>
          <w:highlight w:val="black"/>
        </w:rPr>
        <w:t>'''''''''''''''''' '''' ''''''''' '''' '''''''''''''''''''''' '''' ''''''''''''''''''''''' '''''''''''' ''''''''' '''''' ''''''''''''''' '''''''''''''''''' '''' ''''''''' '''' '''''''''''</w:t>
      </w:r>
      <w:r w:rsidR="00416666">
        <w:rPr>
          <w:rFonts w:ascii="Arial" w:hAnsi="Arial" w:cs="Arial"/>
          <w:sz w:val="22"/>
          <w:szCs w:val="22"/>
        </w:rPr>
        <w:t xml:space="preserve">. </w:t>
      </w:r>
      <w:r w:rsidR="0019226B" w:rsidRPr="00F754F9">
        <w:rPr>
          <w:rFonts w:ascii="Arial" w:hAnsi="Arial" w:cs="Arial"/>
          <w:sz w:val="22"/>
          <w:szCs w:val="22"/>
        </w:rPr>
        <w:t xml:space="preserve">In </w:t>
      </w:r>
      <w:r w:rsidR="00FC0F53" w:rsidRPr="00F754F9">
        <w:rPr>
          <w:rFonts w:ascii="Arial" w:hAnsi="Arial" w:cs="Arial"/>
          <w:sz w:val="22"/>
          <w:szCs w:val="22"/>
        </w:rPr>
        <w:t xml:space="preserve">the </w:t>
      </w:r>
      <w:r w:rsidR="0019226B" w:rsidRPr="00F754F9">
        <w:rPr>
          <w:rFonts w:ascii="Arial" w:hAnsi="Arial" w:cs="Arial"/>
          <w:sz w:val="22"/>
          <w:szCs w:val="22"/>
        </w:rPr>
        <w:t>November 2016 consideration of pembrolizumab for later-line NSCLC, the PBAC noted that the issue of the optimum threshold for PD-L1 positivity remained unresolved (Paragraph 7.4, Item 6.05 November 2016 PBAC Meeting).</w:t>
      </w:r>
    </w:p>
    <w:p w:rsidR="007660F7" w:rsidRDefault="007660F7" w:rsidP="007660F7">
      <w:pPr>
        <w:ind w:left="-11"/>
        <w:rPr>
          <w:rFonts w:ascii="Arial" w:hAnsi="Arial" w:cs="Arial"/>
          <w:sz w:val="22"/>
          <w:szCs w:val="22"/>
        </w:rPr>
      </w:pPr>
    </w:p>
    <w:p w:rsidR="002D778B" w:rsidRPr="0005234D" w:rsidRDefault="002D778B" w:rsidP="002D778B">
      <w:pPr>
        <w:ind w:firstLine="720"/>
        <w:rPr>
          <w:rFonts w:ascii="Arial" w:hAnsi="Arial" w:cs="Arial"/>
          <w:bCs/>
          <w:snapToGrid w:val="0"/>
          <w:sz w:val="22"/>
          <w:szCs w:val="22"/>
        </w:rPr>
      </w:pPr>
      <w:r w:rsidRPr="005550C4">
        <w:rPr>
          <w:rFonts w:ascii="Arial" w:hAnsi="Arial" w:cs="Arial"/>
          <w:bCs/>
          <w:i/>
          <w:snapToGrid w:val="0"/>
          <w:sz w:val="22"/>
          <w:szCs w:val="22"/>
        </w:rPr>
        <w:t>For more detail on PBAC’s view, see section 7 “PBAC outcome”</w:t>
      </w:r>
      <w:r w:rsidR="00063A99" w:rsidRPr="005550C4">
        <w:rPr>
          <w:rFonts w:ascii="Arial" w:hAnsi="Arial" w:cs="Arial"/>
          <w:bCs/>
          <w:i/>
          <w:snapToGrid w:val="0"/>
          <w:sz w:val="22"/>
          <w:szCs w:val="22"/>
        </w:rPr>
        <w:t>.</w:t>
      </w:r>
    </w:p>
    <w:p w:rsidR="002D778B" w:rsidRPr="00F754F9" w:rsidRDefault="002D778B" w:rsidP="007660F7">
      <w:pPr>
        <w:ind w:left="-11"/>
        <w:rPr>
          <w:rFonts w:ascii="Arial" w:hAnsi="Arial" w:cs="Arial"/>
          <w:sz w:val="22"/>
          <w:szCs w:val="22"/>
        </w:rPr>
      </w:pPr>
    </w:p>
    <w:p w:rsidR="0027247F" w:rsidRPr="007B14F5" w:rsidRDefault="0027247F" w:rsidP="007660F7">
      <w:pPr>
        <w:ind w:left="-11"/>
        <w:rPr>
          <w:rFonts w:ascii="Arial" w:hAnsi="Arial" w:cs="Arial"/>
          <w:sz w:val="22"/>
          <w:szCs w:val="22"/>
        </w:rPr>
      </w:pPr>
    </w:p>
    <w:p w:rsidR="007A265A" w:rsidRPr="007B14F5" w:rsidRDefault="0095055D" w:rsidP="007B14F5">
      <w:pPr>
        <w:pStyle w:val="PBACHeading10"/>
        <w:numPr>
          <w:ilvl w:val="0"/>
          <w:numId w:val="4"/>
        </w:numPr>
        <w:outlineLvl w:val="0"/>
      </w:pPr>
      <w:r w:rsidRPr="00CE66EE">
        <w:t>Background</w:t>
      </w:r>
    </w:p>
    <w:p w:rsidR="00BA2EE9" w:rsidRPr="0027247F" w:rsidRDefault="00BA2EE9" w:rsidP="0027247F">
      <w:pPr>
        <w:pStyle w:val="PBACHeading10"/>
        <w:ind w:left="0" w:firstLine="0"/>
        <w:rPr>
          <w:b w:val="0"/>
          <w:lang w:eastAsia="en-AU"/>
        </w:rPr>
      </w:pPr>
    </w:p>
    <w:p w:rsidR="004F1B73" w:rsidRPr="007B14F5" w:rsidRDefault="001E2084" w:rsidP="001E2084">
      <w:pPr>
        <w:pStyle w:val="ListParagraph"/>
        <w:numPr>
          <w:ilvl w:val="1"/>
          <w:numId w:val="4"/>
        </w:numPr>
        <w:ind w:left="720"/>
        <w:rPr>
          <w:rFonts w:ascii="Arial" w:hAnsi="Arial" w:cs="Arial"/>
          <w:sz w:val="22"/>
          <w:szCs w:val="22"/>
          <w:lang w:eastAsia="en-AU"/>
        </w:rPr>
      </w:pPr>
      <w:r w:rsidRPr="00063A99">
        <w:rPr>
          <w:rFonts w:ascii="Arial" w:hAnsi="Arial" w:cs="Arial"/>
          <w:b/>
          <w:bCs/>
          <w:sz w:val="22"/>
          <w:szCs w:val="22"/>
          <w:lang w:eastAsia="en-AU"/>
        </w:rPr>
        <w:t xml:space="preserve">TGA status at time of </w:t>
      </w:r>
      <w:r w:rsidR="003E5BE0" w:rsidRPr="00063A99">
        <w:rPr>
          <w:rFonts w:ascii="Arial" w:hAnsi="Arial" w:cs="Arial"/>
          <w:b/>
          <w:bCs/>
          <w:sz w:val="22"/>
          <w:szCs w:val="22"/>
          <w:lang w:eastAsia="en-AU"/>
        </w:rPr>
        <w:t>PBA</w:t>
      </w:r>
      <w:r w:rsidRPr="00063A99">
        <w:rPr>
          <w:rFonts w:ascii="Arial" w:hAnsi="Arial" w:cs="Arial"/>
          <w:b/>
          <w:bCs/>
          <w:sz w:val="22"/>
          <w:szCs w:val="22"/>
          <w:lang w:eastAsia="en-AU"/>
        </w:rPr>
        <w:t>C advice</w:t>
      </w:r>
      <w:r w:rsidRPr="00832F58">
        <w:rPr>
          <w:rFonts w:ascii="Arial" w:hAnsi="Arial" w:cs="Arial"/>
          <w:bCs/>
          <w:sz w:val="22"/>
          <w:szCs w:val="22"/>
          <w:lang w:eastAsia="en-AU"/>
        </w:rPr>
        <w:t>:</w:t>
      </w:r>
      <w:r w:rsidRPr="007B14F5">
        <w:rPr>
          <w:rFonts w:ascii="Arial" w:hAnsi="Arial" w:cs="Arial"/>
          <w:bCs/>
          <w:sz w:val="22"/>
          <w:szCs w:val="22"/>
          <w:lang w:eastAsia="en-AU"/>
        </w:rPr>
        <w:t xml:space="preserve"> </w:t>
      </w:r>
      <w:r w:rsidR="001E2F83" w:rsidRPr="007B14F5">
        <w:rPr>
          <w:rFonts w:ascii="Arial" w:hAnsi="Arial" w:cs="Arial"/>
          <w:sz w:val="22"/>
          <w:szCs w:val="22"/>
        </w:rPr>
        <w:t xml:space="preserve">Pembrolizumab was approved by the TGA for unresectable or metastatic melanoma in April 2015. The sponsor submitted an application to the TGA under the TGA/PBAC parallel process to extend the indication for pembrolizumab for the treatment of NSCLC in the first- and later-line settings. </w:t>
      </w:r>
      <w:r w:rsidR="004F1B73" w:rsidRPr="007B14F5">
        <w:rPr>
          <w:rFonts w:ascii="Arial" w:hAnsi="Arial" w:cs="Arial"/>
          <w:sz w:val="22"/>
          <w:szCs w:val="22"/>
        </w:rPr>
        <w:t xml:space="preserve">The pembrolizumab Delegate’s Overview for the Advisory Committee for Medicines (ACM) – February 2017 </w:t>
      </w:r>
      <w:r w:rsidR="003E5BE0">
        <w:rPr>
          <w:rFonts w:ascii="Arial" w:hAnsi="Arial" w:cs="Arial"/>
          <w:sz w:val="22"/>
          <w:szCs w:val="22"/>
        </w:rPr>
        <w:t>wa</w:t>
      </w:r>
      <w:r w:rsidR="006558AF" w:rsidRPr="007B14F5">
        <w:rPr>
          <w:rFonts w:ascii="Arial" w:hAnsi="Arial" w:cs="Arial"/>
          <w:sz w:val="22"/>
          <w:szCs w:val="22"/>
        </w:rPr>
        <w:t>s</w:t>
      </w:r>
      <w:r w:rsidR="004F1B73" w:rsidRPr="007B14F5">
        <w:rPr>
          <w:rFonts w:ascii="Arial" w:hAnsi="Arial" w:cs="Arial"/>
          <w:sz w:val="22"/>
          <w:szCs w:val="22"/>
        </w:rPr>
        <w:t xml:space="preserve"> available. </w:t>
      </w:r>
      <w:r w:rsidR="003A55E8" w:rsidRPr="007B14F5">
        <w:rPr>
          <w:rFonts w:ascii="Arial" w:hAnsi="Arial" w:cs="Arial"/>
          <w:sz w:val="22"/>
          <w:szCs w:val="22"/>
        </w:rPr>
        <w:t xml:space="preserve">ACM meeting resolutions </w:t>
      </w:r>
      <w:r w:rsidR="00C12871">
        <w:rPr>
          <w:rFonts w:ascii="Arial" w:hAnsi="Arial" w:cs="Arial"/>
          <w:sz w:val="22"/>
          <w:szCs w:val="22"/>
        </w:rPr>
        <w:t>we</w:t>
      </w:r>
      <w:r w:rsidR="003A55E8" w:rsidRPr="007B14F5">
        <w:rPr>
          <w:rFonts w:ascii="Arial" w:hAnsi="Arial" w:cs="Arial"/>
          <w:sz w:val="22"/>
          <w:szCs w:val="22"/>
        </w:rPr>
        <w:t xml:space="preserve">re pending. </w:t>
      </w:r>
      <w:r w:rsidR="004F1B73" w:rsidRPr="007B14F5">
        <w:rPr>
          <w:rFonts w:ascii="Arial" w:hAnsi="Arial" w:cs="Arial"/>
          <w:sz w:val="22"/>
          <w:szCs w:val="22"/>
        </w:rPr>
        <w:t xml:space="preserve">The clinical evaluator’s recommendations to the Delegate, for the first- and later-line NSCLC settings, respectively, </w:t>
      </w:r>
      <w:r w:rsidR="003E5BE0">
        <w:rPr>
          <w:rFonts w:ascii="Arial" w:hAnsi="Arial" w:cs="Arial"/>
          <w:sz w:val="22"/>
          <w:szCs w:val="22"/>
        </w:rPr>
        <w:t>we</w:t>
      </w:r>
      <w:r w:rsidR="004F1B73" w:rsidRPr="007B14F5">
        <w:rPr>
          <w:rFonts w:ascii="Arial" w:hAnsi="Arial" w:cs="Arial"/>
          <w:sz w:val="22"/>
          <w:szCs w:val="22"/>
        </w:rPr>
        <w:t>re:</w:t>
      </w:r>
    </w:p>
    <w:p w:rsidR="001E2F83" w:rsidRPr="00F754F9" w:rsidRDefault="001E2F83" w:rsidP="00D47D44">
      <w:pPr>
        <w:rPr>
          <w:rFonts w:ascii="Arial" w:hAnsi="Arial" w:cs="Arial"/>
          <w:sz w:val="22"/>
          <w:szCs w:val="22"/>
        </w:rPr>
      </w:pPr>
    </w:p>
    <w:p w:rsidR="004F1B73" w:rsidRPr="00F754F9" w:rsidRDefault="004F1B73" w:rsidP="00294A10">
      <w:pPr>
        <w:pStyle w:val="ListParagraph"/>
        <w:numPr>
          <w:ilvl w:val="1"/>
          <w:numId w:val="4"/>
        </w:numPr>
        <w:ind w:left="720"/>
        <w:rPr>
          <w:rFonts w:ascii="Arial" w:hAnsi="Arial" w:cs="Arial"/>
          <w:sz w:val="22"/>
          <w:szCs w:val="22"/>
        </w:rPr>
      </w:pPr>
      <w:r w:rsidRPr="00F754F9">
        <w:rPr>
          <w:rFonts w:ascii="Arial" w:hAnsi="Arial" w:cs="Arial"/>
          <w:sz w:val="22"/>
          <w:szCs w:val="22"/>
          <w:u w:val="single"/>
        </w:rPr>
        <w:t>First-line</w:t>
      </w:r>
      <w:r w:rsidRPr="00F754F9">
        <w:rPr>
          <w:rFonts w:ascii="Arial" w:hAnsi="Arial" w:cs="Arial"/>
          <w:sz w:val="22"/>
          <w:szCs w:val="22"/>
        </w:rPr>
        <w:t>: This was modified by the clinical evaluator from an initial proposed indication of all NSCLC patients who express PD-L1 to NSCLC patients who only express PD-L1 ≥50% of neoplastic cells:</w:t>
      </w:r>
    </w:p>
    <w:p w:rsidR="004F1B73" w:rsidRPr="00F754F9" w:rsidRDefault="00CB1DCF" w:rsidP="0050024F">
      <w:pPr>
        <w:pStyle w:val="ListParagraph"/>
        <w:ind w:left="1080" w:firstLine="0"/>
        <w:rPr>
          <w:rFonts w:ascii="Arial" w:hAnsi="Arial" w:cs="Arial"/>
          <w:sz w:val="22"/>
          <w:szCs w:val="22"/>
        </w:rPr>
      </w:pPr>
      <w:r w:rsidRPr="00F754F9">
        <w:rPr>
          <w:rFonts w:ascii="Arial" w:hAnsi="Arial" w:cs="Arial"/>
          <w:sz w:val="22"/>
          <w:szCs w:val="22"/>
        </w:rPr>
        <w:t>(Pembrolizumab)</w:t>
      </w:r>
      <w:r w:rsidR="004F1B73" w:rsidRPr="00F754F9">
        <w:rPr>
          <w:rFonts w:ascii="Arial" w:hAnsi="Arial" w:cs="Arial"/>
          <w:sz w:val="22"/>
          <w:szCs w:val="22"/>
        </w:rPr>
        <w:t xml:space="preserve"> is indicated for the treatment of patients with previously untreated metastatic non-small cell lung carcinoma (NSCLC) whose tumours express PD-L1 in ≥ 50% of neoplastic cells as determined by a validated test and do not harbour a sensitizing </w:t>
      </w:r>
      <w:r w:rsidR="004F1B73" w:rsidRPr="00063A99">
        <w:rPr>
          <w:rFonts w:ascii="Arial" w:hAnsi="Arial" w:cs="Arial"/>
          <w:i/>
          <w:sz w:val="22"/>
          <w:szCs w:val="22"/>
        </w:rPr>
        <w:t>EGFR</w:t>
      </w:r>
      <w:r w:rsidR="004F1B73" w:rsidRPr="00F754F9">
        <w:rPr>
          <w:rFonts w:ascii="Arial" w:hAnsi="Arial" w:cs="Arial"/>
          <w:sz w:val="22"/>
          <w:szCs w:val="22"/>
        </w:rPr>
        <w:t xml:space="preserve"> mutation or </w:t>
      </w:r>
      <w:r w:rsidR="004F1B73" w:rsidRPr="00063A99">
        <w:rPr>
          <w:rFonts w:ascii="Arial" w:hAnsi="Arial" w:cs="Arial"/>
          <w:i/>
          <w:sz w:val="22"/>
          <w:szCs w:val="22"/>
        </w:rPr>
        <w:t>ALK</w:t>
      </w:r>
      <w:r w:rsidR="00EF5B41">
        <w:rPr>
          <w:rFonts w:ascii="Arial" w:hAnsi="Arial" w:cs="Arial"/>
          <w:sz w:val="22"/>
          <w:szCs w:val="22"/>
        </w:rPr>
        <w:t xml:space="preserve"> translocation</w:t>
      </w:r>
      <w:r w:rsidR="004F1B73" w:rsidRPr="00F754F9">
        <w:rPr>
          <w:rFonts w:ascii="Arial" w:hAnsi="Arial" w:cs="Arial"/>
          <w:sz w:val="22"/>
          <w:szCs w:val="22"/>
        </w:rPr>
        <w:t>.</w:t>
      </w:r>
    </w:p>
    <w:p w:rsidR="008F5463" w:rsidRPr="00F754F9" w:rsidRDefault="008F5463" w:rsidP="0050024F">
      <w:pPr>
        <w:rPr>
          <w:rFonts w:ascii="Arial" w:hAnsi="Arial" w:cs="Arial"/>
          <w:sz w:val="22"/>
          <w:szCs w:val="22"/>
        </w:rPr>
      </w:pPr>
    </w:p>
    <w:p w:rsidR="008F5463" w:rsidRPr="00F754F9" w:rsidRDefault="008F5463" w:rsidP="00294A10">
      <w:pPr>
        <w:pStyle w:val="ListParagraph"/>
        <w:numPr>
          <w:ilvl w:val="1"/>
          <w:numId w:val="4"/>
        </w:numPr>
        <w:ind w:left="720"/>
        <w:rPr>
          <w:rFonts w:ascii="Arial" w:hAnsi="Arial" w:cs="Arial"/>
          <w:sz w:val="22"/>
          <w:szCs w:val="22"/>
        </w:rPr>
      </w:pPr>
      <w:r w:rsidRPr="00F754F9">
        <w:rPr>
          <w:rFonts w:ascii="Arial" w:hAnsi="Arial" w:cs="Arial"/>
          <w:sz w:val="22"/>
          <w:szCs w:val="22"/>
        </w:rPr>
        <w:t>Relevant advice (p3-4 of Delegate’s Overview) sought from the ACM include</w:t>
      </w:r>
      <w:r w:rsidR="003E5BE0">
        <w:rPr>
          <w:rFonts w:ascii="Arial" w:hAnsi="Arial" w:cs="Arial"/>
          <w:sz w:val="22"/>
          <w:szCs w:val="22"/>
        </w:rPr>
        <w:t>d</w:t>
      </w:r>
      <w:r w:rsidR="0027247F" w:rsidRPr="00F754F9">
        <w:rPr>
          <w:rFonts w:ascii="Arial" w:hAnsi="Arial" w:cs="Arial"/>
          <w:sz w:val="22"/>
          <w:szCs w:val="22"/>
        </w:rPr>
        <w:t>:</w:t>
      </w:r>
      <w:r w:rsidRPr="00F754F9">
        <w:rPr>
          <w:rFonts w:ascii="Arial" w:hAnsi="Arial" w:cs="Arial"/>
          <w:sz w:val="22"/>
          <w:szCs w:val="22"/>
        </w:rPr>
        <w:t xml:space="preserve"> 1) what should the PI recommend regarding the proposed maximum duration of treatment of 35 administrations (or 24 months) for first-line NSCLC given the limited data, 2) whether the ACM consider that NSCLC indications should be limited to metastatic (Stage IV) disease, and 3) whether there was sufficient evidence of causality to support a </w:t>
      </w:r>
      <w:r w:rsidR="00416666">
        <w:rPr>
          <w:rFonts w:ascii="Arial" w:hAnsi="Arial" w:cs="Arial"/>
          <w:sz w:val="22"/>
          <w:szCs w:val="22"/>
        </w:rPr>
        <w:t>p</w:t>
      </w:r>
      <w:r w:rsidR="00416666" w:rsidRPr="00F754F9">
        <w:rPr>
          <w:rFonts w:ascii="Arial" w:hAnsi="Arial" w:cs="Arial"/>
          <w:sz w:val="22"/>
          <w:szCs w:val="22"/>
        </w:rPr>
        <w:t xml:space="preserve">recaution </w:t>
      </w:r>
      <w:r w:rsidRPr="00F754F9">
        <w:rPr>
          <w:rFonts w:ascii="Arial" w:hAnsi="Arial" w:cs="Arial"/>
          <w:sz w:val="22"/>
          <w:szCs w:val="22"/>
        </w:rPr>
        <w:t>for myasthenic syndrome and for myocarditis as important identified risks in the risk management plan (RMP).</w:t>
      </w:r>
    </w:p>
    <w:p w:rsidR="003A55E8" w:rsidRPr="00F754F9" w:rsidRDefault="003A55E8" w:rsidP="003A55E8">
      <w:pPr>
        <w:rPr>
          <w:rFonts w:ascii="Arial" w:hAnsi="Arial" w:cs="Arial"/>
          <w:sz w:val="22"/>
          <w:szCs w:val="22"/>
        </w:rPr>
      </w:pPr>
    </w:p>
    <w:p w:rsidR="006558AF" w:rsidRPr="00F754F9" w:rsidRDefault="001E2F83" w:rsidP="00217726">
      <w:pPr>
        <w:pStyle w:val="ListParagraph"/>
        <w:numPr>
          <w:ilvl w:val="1"/>
          <w:numId w:val="4"/>
        </w:numPr>
        <w:ind w:left="720"/>
        <w:rPr>
          <w:rFonts w:ascii="Arial" w:hAnsi="Arial" w:cs="Arial"/>
          <w:sz w:val="22"/>
          <w:szCs w:val="22"/>
        </w:rPr>
      </w:pPr>
      <w:r w:rsidRPr="00F754F9">
        <w:rPr>
          <w:rFonts w:ascii="Arial" w:hAnsi="Arial" w:cs="Arial"/>
          <w:sz w:val="22"/>
          <w:szCs w:val="22"/>
        </w:rPr>
        <w:t xml:space="preserve">Pembrolizumab </w:t>
      </w:r>
      <w:r w:rsidR="00AE3410">
        <w:rPr>
          <w:rFonts w:ascii="Arial" w:hAnsi="Arial" w:cs="Arial"/>
          <w:sz w:val="22"/>
          <w:szCs w:val="22"/>
        </w:rPr>
        <w:t>wa</w:t>
      </w:r>
      <w:r w:rsidRPr="00F754F9">
        <w:rPr>
          <w:rFonts w:ascii="Arial" w:hAnsi="Arial" w:cs="Arial"/>
          <w:sz w:val="22"/>
          <w:szCs w:val="22"/>
        </w:rPr>
        <w:t xml:space="preserve">s currently PBS-subsidised for the treatment of unresectable Stage III </w:t>
      </w:r>
      <w:r w:rsidR="006558AF" w:rsidRPr="00F754F9">
        <w:rPr>
          <w:rFonts w:ascii="Arial" w:hAnsi="Arial" w:cs="Arial"/>
          <w:sz w:val="22"/>
          <w:szCs w:val="22"/>
        </w:rPr>
        <w:t>or Stage IV malignant melanoma.</w:t>
      </w:r>
      <w:r w:rsidR="007660F7" w:rsidRPr="00F754F9">
        <w:rPr>
          <w:rFonts w:ascii="Arial" w:hAnsi="Arial" w:cs="Arial"/>
          <w:sz w:val="22"/>
          <w:szCs w:val="22"/>
        </w:rPr>
        <w:t xml:space="preserve"> </w:t>
      </w:r>
      <w:r w:rsidR="006558AF" w:rsidRPr="00F754F9">
        <w:rPr>
          <w:rFonts w:ascii="Arial" w:hAnsi="Arial" w:cs="Arial"/>
          <w:sz w:val="22"/>
          <w:szCs w:val="22"/>
        </w:rPr>
        <w:t xml:space="preserve">A codependent technology submission to list pembrolizumab for the treatment of patients with Stage IIIB/IV NSCLC who demonstrate a high level of PD-L1 expression (TPS ≥50%) in tumour material and have failed platinum-based therapy was considered by the PBAC in November 2016. </w:t>
      </w:r>
      <w:r w:rsidR="006558AF" w:rsidRPr="00F754F9">
        <w:rPr>
          <w:rFonts w:ascii="Arial" w:hAnsi="Arial" w:cs="Arial"/>
          <w:sz w:val="22"/>
          <w:szCs w:val="22"/>
        </w:rPr>
        <w:lastRenderedPageBreak/>
        <w:t xml:space="preserve">The PBAC </w:t>
      </w:r>
      <w:r w:rsidR="007660F7" w:rsidRPr="00F754F9">
        <w:rPr>
          <w:rFonts w:ascii="Arial" w:hAnsi="Arial" w:cs="Arial"/>
          <w:sz w:val="22"/>
          <w:szCs w:val="22"/>
        </w:rPr>
        <w:t xml:space="preserve">rejected this submission </w:t>
      </w:r>
      <w:r w:rsidR="006558AF" w:rsidRPr="00F754F9">
        <w:rPr>
          <w:rFonts w:ascii="Arial" w:hAnsi="Arial" w:cs="Arial"/>
          <w:sz w:val="22"/>
          <w:szCs w:val="22"/>
        </w:rPr>
        <w:t>on the basis of unfavourable and uncertain cost-effectiveness. The PBAC also advised that there was uncertainty in selecting a PD-L1 expression threshold to define an optimal patient population mostly likely to respond to treatment (Paragraphs 7.3 and 7.4, Item 6.05, November 2016 PBAC Meeting).</w:t>
      </w:r>
    </w:p>
    <w:p w:rsidR="006558AF" w:rsidRPr="00F754F9" w:rsidRDefault="006558AF" w:rsidP="0073713D">
      <w:pPr>
        <w:rPr>
          <w:rFonts w:ascii="Arial" w:hAnsi="Arial" w:cs="Arial"/>
          <w:sz w:val="22"/>
          <w:szCs w:val="22"/>
        </w:rPr>
      </w:pPr>
    </w:p>
    <w:p w:rsidR="00BA2EE9" w:rsidRPr="00F754F9" w:rsidRDefault="001E2F83" w:rsidP="00217726">
      <w:pPr>
        <w:pStyle w:val="ListParagraph"/>
        <w:numPr>
          <w:ilvl w:val="1"/>
          <w:numId w:val="4"/>
        </w:numPr>
        <w:ind w:left="720"/>
        <w:rPr>
          <w:rFonts w:ascii="Arial" w:hAnsi="Arial" w:cs="Arial"/>
          <w:sz w:val="22"/>
          <w:szCs w:val="22"/>
        </w:rPr>
      </w:pPr>
      <w:r w:rsidRPr="00F754F9">
        <w:rPr>
          <w:rFonts w:ascii="Arial" w:hAnsi="Arial" w:cs="Arial"/>
          <w:sz w:val="22"/>
          <w:szCs w:val="22"/>
        </w:rPr>
        <w:t xml:space="preserve">This </w:t>
      </w:r>
      <w:r w:rsidR="003E5BE0">
        <w:rPr>
          <w:rFonts w:ascii="Arial" w:hAnsi="Arial" w:cs="Arial"/>
          <w:sz w:val="22"/>
          <w:szCs w:val="22"/>
        </w:rPr>
        <w:t>wa</w:t>
      </w:r>
      <w:r w:rsidRPr="00F754F9">
        <w:rPr>
          <w:rFonts w:ascii="Arial" w:hAnsi="Arial" w:cs="Arial"/>
          <w:sz w:val="22"/>
          <w:szCs w:val="22"/>
        </w:rPr>
        <w:t xml:space="preserve">s the first consideration by the PBAC of pembrolizumab for the </w:t>
      </w:r>
      <w:r w:rsidR="006558AF" w:rsidRPr="00F754F9">
        <w:rPr>
          <w:rFonts w:ascii="Arial" w:hAnsi="Arial" w:cs="Arial"/>
          <w:sz w:val="22"/>
          <w:szCs w:val="22"/>
        </w:rPr>
        <w:t>first</w:t>
      </w:r>
      <w:r w:rsidRPr="00F754F9">
        <w:rPr>
          <w:rFonts w:ascii="Arial" w:hAnsi="Arial" w:cs="Arial"/>
          <w:sz w:val="22"/>
          <w:szCs w:val="22"/>
        </w:rPr>
        <w:t xml:space="preserve">-line </w:t>
      </w:r>
      <w:r w:rsidR="006558AF" w:rsidRPr="00F754F9">
        <w:rPr>
          <w:rFonts w:ascii="Arial" w:hAnsi="Arial" w:cs="Arial"/>
          <w:sz w:val="22"/>
          <w:szCs w:val="22"/>
        </w:rPr>
        <w:t xml:space="preserve">treatment of </w:t>
      </w:r>
      <w:r w:rsidRPr="00F754F9">
        <w:rPr>
          <w:rFonts w:ascii="Arial" w:hAnsi="Arial" w:cs="Arial"/>
          <w:sz w:val="22"/>
          <w:szCs w:val="22"/>
        </w:rPr>
        <w:t>NSCLC in patients who express PD-L1 at TPS ≥50%.</w:t>
      </w:r>
      <w:r w:rsidR="006558AF" w:rsidRPr="00F754F9">
        <w:rPr>
          <w:rFonts w:ascii="Arial" w:hAnsi="Arial" w:cs="Arial"/>
          <w:sz w:val="22"/>
          <w:szCs w:val="22"/>
        </w:rPr>
        <w:t xml:space="preserve"> This submission to PBAC </w:t>
      </w:r>
      <w:r w:rsidR="003E5BE0">
        <w:rPr>
          <w:rFonts w:ascii="Arial" w:hAnsi="Arial" w:cs="Arial"/>
          <w:sz w:val="22"/>
          <w:szCs w:val="22"/>
        </w:rPr>
        <w:t>wa</w:t>
      </w:r>
      <w:r w:rsidR="006558AF" w:rsidRPr="00F754F9">
        <w:rPr>
          <w:rFonts w:ascii="Arial" w:hAnsi="Arial" w:cs="Arial"/>
          <w:sz w:val="22"/>
          <w:szCs w:val="22"/>
        </w:rPr>
        <w:t>s part of an integrated codependent submission, which also include</w:t>
      </w:r>
      <w:r w:rsidR="003E5BE0">
        <w:rPr>
          <w:rFonts w:ascii="Arial" w:hAnsi="Arial" w:cs="Arial"/>
          <w:sz w:val="22"/>
          <w:szCs w:val="22"/>
        </w:rPr>
        <w:t>d</w:t>
      </w:r>
      <w:r w:rsidR="006558AF" w:rsidRPr="00F754F9">
        <w:rPr>
          <w:rFonts w:ascii="Arial" w:hAnsi="Arial" w:cs="Arial"/>
          <w:sz w:val="22"/>
          <w:szCs w:val="22"/>
        </w:rPr>
        <w:t xml:space="preserve"> a </w:t>
      </w:r>
      <w:r w:rsidR="003E5BE0">
        <w:rPr>
          <w:rFonts w:ascii="Arial" w:hAnsi="Arial" w:cs="Arial"/>
          <w:sz w:val="22"/>
          <w:szCs w:val="22"/>
        </w:rPr>
        <w:t>request</w:t>
      </w:r>
      <w:r w:rsidR="006558AF" w:rsidRPr="00F754F9">
        <w:rPr>
          <w:rFonts w:ascii="Arial" w:hAnsi="Arial" w:cs="Arial"/>
          <w:sz w:val="22"/>
          <w:szCs w:val="22"/>
        </w:rPr>
        <w:t xml:space="preserve"> to the Medical Services Advisory Committee (MSAC) for </w:t>
      </w:r>
      <w:r w:rsidR="003E5BE0">
        <w:rPr>
          <w:rFonts w:ascii="Arial" w:hAnsi="Arial" w:cs="Arial"/>
          <w:sz w:val="22"/>
          <w:szCs w:val="22"/>
        </w:rPr>
        <w:t xml:space="preserve">MBS listing of </w:t>
      </w:r>
      <w:r w:rsidR="006558AF" w:rsidRPr="00F754F9">
        <w:rPr>
          <w:rFonts w:ascii="Arial" w:hAnsi="Arial" w:cs="Arial"/>
          <w:sz w:val="22"/>
          <w:szCs w:val="22"/>
        </w:rPr>
        <w:t>the codependent PD-L1 immunohistochemistry test.</w:t>
      </w:r>
    </w:p>
    <w:p w:rsidR="002D778B" w:rsidRDefault="002D778B" w:rsidP="00C13E9B">
      <w:pPr>
        <w:pStyle w:val="ListParagraph"/>
        <w:ind w:left="0" w:firstLine="0"/>
        <w:rPr>
          <w:rFonts w:ascii="Arial" w:hAnsi="Arial" w:cs="Arial"/>
          <w:sz w:val="22"/>
          <w:szCs w:val="22"/>
          <w:lang w:eastAsia="en-AU"/>
        </w:rPr>
      </w:pPr>
    </w:p>
    <w:p w:rsidR="0027247F" w:rsidRPr="007B14F5" w:rsidRDefault="0027247F" w:rsidP="00C13E9B">
      <w:pPr>
        <w:pStyle w:val="ListParagraph"/>
        <w:ind w:left="0" w:firstLine="0"/>
        <w:rPr>
          <w:rFonts w:ascii="Arial" w:hAnsi="Arial" w:cs="Arial"/>
          <w:sz w:val="22"/>
          <w:szCs w:val="22"/>
          <w:lang w:eastAsia="en-AU"/>
        </w:rPr>
      </w:pPr>
    </w:p>
    <w:p w:rsidR="00AC2B72" w:rsidRPr="00B43E70" w:rsidRDefault="00AC2B72" w:rsidP="00AC2B72">
      <w:pPr>
        <w:pStyle w:val="PBACHeading10"/>
        <w:numPr>
          <w:ilvl w:val="0"/>
          <w:numId w:val="5"/>
        </w:numPr>
        <w:outlineLvl w:val="0"/>
      </w:pPr>
      <w:bookmarkStart w:id="16" w:name="_Toc441061713"/>
      <w:r w:rsidRPr="00B43E70">
        <w:t>Clinical place for the proposed therapy</w:t>
      </w:r>
      <w:bookmarkEnd w:id="16"/>
    </w:p>
    <w:bookmarkEnd w:id="12"/>
    <w:p w:rsidR="006643B3" w:rsidRPr="00F754F9" w:rsidRDefault="006643B3" w:rsidP="007B14F5">
      <w:pPr>
        <w:rPr>
          <w:rFonts w:ascii="Arial" w:hAnsi="Arial" w:cs="Arial"/>
          <w:sz w:val="22"/>
          <w:szCs w:val="22"/>
          <w:highlight w:val="yellow"/>
        </w:rPr>
      </w:pPr>
    </w:p>
    <w:p w:rsidR="006643B3" w:rsidRPr="00F754F9" w:rsidRDefault="006643B3" w:rsidP="00217726">
      <w:pPr>
        <w:numPr>
          <w:ilvl w:val="1"/>
          <w:numId w:val="4"/>
        </w:numPr>
        <w:ind w:left="720"/>
        <w:contextualSpacing/>
        <w:rPr>
          <w:rFonts w:ascii="Arial" w:hAnsi="Arial" w:cs="Arial"/>
          <w:sz w:val="22"/>
          <w:szCs w:val="22"/>
        </w:rPr>
      </w:pPr>
      <w:r w:rsidRPr="00F754F9">
        <w:rPr>
          <w:rFonts w:ascii="Arial" w:hAnsi="Arial" w:cs="Arial"/>
          <w:sz w:val="22"/>
          <w:szCs w:val="22"/>
        </w:rPr>
        <w:t>The current clinical management algorithm for advanced NSCLC pro</w:t>
      </w:r>
      <w:r w:rsidR="00A66FD1" w:rsidRPr="00F754F9">
        <w:rPr>
          <w:rFonts w:ascii="Arial" w:hAnsi="Arial" w:cs="Arial"/>
          <w:sz w:val="22"/>
          <w:szCs w:val="22"/>
        </w:rPr>
        <w:t>vid</w:t>
      </w:r>
      <w:r w:rsidRPr="00F754F9">
        <w:rPr>
          <w:rFonts w:ascii="Arial" w:hAnsi="Arial" w:cs="Arial"/>
          <w:sz w:val="22"/>
          <w:szCs w:val="22"/>
        </w:rPr>
        <w:t xml:space="preserve">ed in the submission </w:t>
      </w:r>
      <w:r w:rsidR="0057389A" w:rsidRPr="00F754F9">
        <w:rPr>
          <w:rFonts w:ascii="Arial" w:hAnsi="Arial" w:cs="Arial"/>
          <w:sz w:val="22"/>
          <w:szCs w:val="22"/>
        </w:rPr>
        <w:t>wa</w:t>
      </w:r>
      <w:r w:rsidRPr="00F754F9">
        <w:rPr>
          <w:rFonts w:ascii="Arial" w:hAnsi="Arial" w:cs="Arial"/>
          <w:sz w:val="22"/>
          <w:szCs w:val="22"/>
        </w:rPr>
        <w:t>s consistent with the most recent evidence-based Australian Clinical Practice Guidelines</w:t>
      </w:r>
      <w:r w:rsidRPr="00F754F9">
        <w:rPr>
          <w:rFonts w:ascii="Arial" w:hAnsi="Arial" w:cs="Arial"/>
          <w:sz w:val="22"/>
          <w:szCs w:val="22"/>
          <w:vertAlign w:val="superscript"/>
        </w:rPr>
        <w:footnoteReference w:id="5"/>
      </w:r>
      <w:r w:rsidRPr="00F754F9">
        <w:rPr>
          <w:rFonts w:ascii="Arial" w:hAnsi="Arial" w:cs="Arial"/>
          <w:sz w:val="22"/>
          <w:szCs w:val="22"/>
        </w:rPr>
        <w:t xml:space="preserve">. The proposed management algorithm </w:t>
      </w:r>
      <w:r w:rsidR="008D1699" w:rsidRPr="00F754F9">
        <w:rPr>
          <w:rFonts w:ascii="Arial" w:hAnsi="Arial" w:cs="Arial"/>
          <w:sz w:val="22"/>
          <w:szCs w:val="22"/>
        </w:rPr>
        <w:t>include</w:t>
      </w:r>
      <w:r w:rsidR="0057389A" w:rsidRPr="00F754F9">
        <w:rPr>
          <w:rFonts w:ascii="Arial" w:hAnsi="Arial" w:cs="Arial"/>
          <w:sz w:val="22"/>
          <w:szCs w:val="22"/>
        </w:rPr>
        <w:t>d</w:t>
      </w:r>
      <w:r w:rsidRPr="00F754F9">
        <w:rPr>
          <w:rFonts w:ascii="Arial" w:hAnsi="Arial" w:cs="Arial"/>
          <w:sz w:val="22"/>
          <w:szCs w:val="22"/>
        </w:rPr>
        <w:t xml:space="preserve">: 1) testing for PD-L1 expression at initial diagnosis; 2) use of pembrolizumab as first-line therapy for patients who are </w:t>
      </w:r>
      <w:r w:rsidRPr="00063A99">
        <w:rPr>
          <w:rFonts w:ascii="Arial" w:hAnsi="Arial" w:cs="Arial"/>
          <w:i/>
          <w:sz w:val="22"/>
          <w:szCs w:val="22"/>
        </w:rPr>
        <w:t>EGFR</w:t>
      </w:r>
      <w:r w:rsidRPr="00F754F9">
        <w:rPr>
          <w:rFonts w:ascii="Arial" w:hAnsi="Arial" w:cs="Arial"/>
          <w:sz w:val="22"/>
          <w:szCs w:val="22"/>
        </w:rPr>
        <w:t xml:space="preserve"> </w:t>
      </w:r>
      <w:r w:rsidR="00052799" w:rsidRPr="00F754F9">
        <w:rPr>
          <w:rFonts w:ascii="Arial" w:hAnsi="Arial" w:cs="Arial"/>
          <w:sz w:val="22"/>
          <w:szCs w:val="22"/>
        </w:rPr>
        <w:t>wild type</w:t>
      </w:r>
      <w:r w:rsidRPr="00F754F9">
        <w:rPr>
          <w:rFonts w:ascii="Arial" w:hAnsi="Arial" w:cs="Arial"/>
          <w:sz w:val="22"/>
          <w:szCs w:val="22"/>
        </w:rPr>
        <w:t>/</w:t>
      </w:r>
      <w:r w:rsidRPr="00063A99">
        <w:rPr>
          <w:rFonts w:ascii="Arial" w:hAnsi="Arial" w:cs="Arial"/>
          <w:i/>
          <w:sz w:val="22"/>
          <w:szCs w:val="22"/>
        </w:rPr>
        <w:t>ALK</w:t>
      </w:r>
      <w:r w:rsidRPr="00F754F9">
        <w:rPr>
          <w:rFonts w:ascii="Arial" w:hAnsi="Arial" w:cs="Arial"/>
          <w:sz w:val="22"/>
          <w:szCs w:val="22"/>
        </w:rPr>
        <w:t xml:space="preserve"> </w:t>
      </w:r>
      <w:r w:rsidR="0057389A" w:rsidRPr="00F754F9">
        <w:rPr>
          <w:rFonts w:ascii="Arial" w:hAnsi="Arial" w:cs="Arial"/>
          <w:sz w:val="22"/>
          <w:szCs w:val="22"/>
        </w:rPr>
        <w:t xml:space="preserve">gene rearrangement </w:t>
      </w:r>
      <w:r w:rsidRPr="00F754F9">
        <w:rPr>
          <w:rFonts w:ascii="Arial" w:hAnsi="Arial" w:cs="Arial"/>
          <w:sz w:val="22"/>
          <w:szCs w:val="22"/>
        </w:rPr>
        <w:t>negative and whose tumours express high levels of PD-L1 (TPS</w:t>
      </w:r>
      <w:r w:rsidR="00334421" w:rsidRPr="00F754F9">
        <w:rPr>
          <w:rFonts w:ascii="Arial" w:hAnsi="Arial" w:cs="Arial"/>
          <w:sz w:val="22"/>
          <w:szCs w:val="22"/>
        </w:rPr>
        <w:t xml:space="preserve"> </w:t>
      </w:r>
      <w:r w:rsidRPr="00F754F9">
        <w:rPr>
          <w:rFonts w:ascii="Arial" w:hAnsi="Arial" w:cs="Arial"/>
          <w:sz w:val="22"/>
          <w:szCs w:val="22"/>
        </w:rPr>
        <w:t>≥50%).</w:t>
      </w:r>
    </w:p>
    <w:p w:rsidR="006643B3" w:rsidRPr="00F754F9" w:rsidRDefault="006643B3" w:rsidP="00630FA3">
      <w:pPr>
        <w:rPr>
          <w:rFonts w:ascii="Arial" w:hAnsi="Arial" w:cs="Arial"/>
          <w:sz w:val="22"/>
          <w:szCs w:val="22"/>
        </w:rPr>
      </w:pPr>
    </w:p>
    <w:p w:rsidR="006643B3" w:rsidRPr="00F754F9" w:rsidRDefault="006643B3" w:rsidP="00217726">
      <w:pPr>
        <w:numPr>
          <w:ilvl w:val="1"/>
          <w:numId w:val="4"/>
        </w:numPr>
        <w:ind w:left="720"/>
        <w:contextualSpacing/>
        <w:rPr>
          <w:rFonts w:ascii="Arial" w:hAnsi="Arial" w:cs="Arial"/>
          <w:sz w:val="22"/>
          <w:szCs w:val="22"/>
        </w:rPr>
      </w:pPr>
      <w:r w:rsidRPr="00F754F9">
        <w:rPr>
          <w:rFonts w:ascii="Arial" w:hAnsi="Arial" w:cs="Arial"/>
          <w:sz w:val="22"/>
          <w:szCs w:val="22"/>
        </w:rPr>
        <w:t>The submission stated that</w:t>
      </w:r>
      <w:r w:rsidR="0057389A" w:rsidRPr="00F754F9">
        <w:rPr>
          <w:rFonts w:ascii="Arial" w:hAnsi="Arial" w:cs="Arial"/>
          <w:sz w:val="22"/>
          <w:szCs w:val="22"/>
        </w:rPr>
        <w:t>,</w:t>
      </w:r>
      <w:r w:rsidRPr="00F754F9">
        <w:rPr>
          <w:rFonts w:ascii="Arial" w:hAnsi="Arial" w:cs="Arial"/>
          <w:sz w:val="22"/>
          <w:szCs w:val="22"/>
        </w:rPr>
        <w:t xml:space="preserve"> if a patient progresses on pembrolizumab, the most likely post-progression therapy is a platinum doublet. The proposed treatment algorithm does not reflect the provision for retrea</w:t>
      </w:r>
      <w:r w:rsidR="003A55E8" w:rsidRPr="00F754F9">
        <w:rPr>
          <w:rFonts w:ascii="Arial" w:hAnsi="Arial" w:cs="Arial"/>
          <w:sz w:val="22"/>
          <w:szCs w:val="22"/>
        </w:rPr>
        <w:t>tment in the requested listing</w:t>
      </w:r>
      <w:r w:rsidRPr="00F754F9">
        <w:rPr>
          <w:rFonts w:ascii="Arial" w:hAnsi="Arial" w:cs="Arial"/>
          <w:sz w:val="22"/>
          <w:szCs w:val="22"/>
        </w:rPr>
        <w:t>.</w:t>
      </w:r>
    </w:p>
    <w:p w:rsidR="00AC2B72" w:rsidRPr="00BE5660" w:rsidRDefault="00AC2B72" w:rsidP="00AC2B72"/>
    <w:p w:rsidR="00AA2FD0" w:rsidRDefault="00AA2FD0">
      <w:pPr>
        <w:jc w:val="left"/>
        <w:rPr>
          <w:rFonts w:ascii="Arial Narrow" w:hAnsi="Arial Narrow" w:cs="Arial"/>
          <w:b/>
          <w:sz w:val="20"/>
          <w:szCs w:val="20"/>
        </w:rPr>
      </w:pPr>
      <w:r>
        <w:rPr>
          <w:rFonts w:ascii="Arial Narrow" w:hAnsi="Arial Narrow" w:cs="Arial"/>
          <w:b/>
          <w:sz w:val="20"/>
          <w:szCs w:val="20"/>
        </w:rPr>
        <w:br w:type="page"/>
      </w:r>
    </w:p>
    <w:p w:rsidR="00AC2B72" w:rsidRPr="007B14F5" w:rsidRDefault="00AC2B72" w:rsidP="00F01F77">
      <w:pPr>
        <w:keepNext/>
        <w:rPr>
          <w:rFonts w:ascii="Arial Narrow" w:hAnsi="Arial Narrow" w:cs="Arial"/>
          <w:b/>
          <w:sz w:val="20"/>
          <w:szCs w:val="20"/>
        </w:rPr>
      </w:pPr>
      <w:r w:rsidRPr="00832F58">
        <w:rPr>
          <w:rFonts w:ascii="Arial Narrow" w:hAnsi="Arial Narrow" w:cs="Arial"/>
          <w:b/>
          <w:sz w:val="20"/>
          <w:szCs w:val="20"/>
        </w:rPr>
        <w:lastRenderedPageBreak/>
        <w:t xml:space="preserve">Figure </w:t>
      </w:r>
      <w:r w:rsidR="00A7013F" w:rsidRPr="00832F58">
        <w:rPr>
          <w:rFonts w:ascii="Arial Narrow" w:hAnsi="Arial Narrow" w:cs="Arial"/>
          <w:b/>
          <w:sz w:val="20"/>
          <w:szCs w:val="20"/>
        </w:rPr>
        <w:t>1</w:t>
      </w:r>
      <w:r w:rsidRPr="00832F58">
        <w:rPr>
          <w:rFonts w:ascii="Arial Narrow" w:hAnsi="Arial Narrow" w:cs="Arial"/>
          <w:b/>
          <w:sz w:val="20"/>
          <w:szCs w:val="20"/>
        </w:rPr>
        <w:t>: Proposed</w:t>
      </w:r>
      <w:r w:rsidRPr="007B14F5">
        <w:rPr>
          <w:rFonts w:ascii="Arial Narrow" w:hAnsi="Arial Narrow" w:cs="Arial"/>
          <w:b/>
          <w:sz w:val="20"/>
          <w:szCs w:val="20"/>
        </w:rPr>
        <w:t xml:space="preserve"> treatment algorithm in Stage IV NSCLC for pembrolizumab and the PD-L1 test</w:t>
      </w:r>
    </w:p>
    <w:p w:rsidR="00AC2B72" w:rsidRDefault="00AC2B72" w:rsidP="00AC2B72">
      <w:pPr>
        <w:rPr>
          <w:rFonts w:ascii="Times New Roman" w:hAnsi="Times New Roman"/>
          <w:noProof/>
          <w:sz w:val="20"/>
          <w:szCs w:val="20"/>
          <w:lang w:eastAsia="en-AU"/>
        </w:rPr>
      </w:pPr>
      <w:r>
        <w:rPr>
          <w:noProof/>
          <w:lang w:eastAsia="en-AU"/>
        </w:rPr>
        <w:drawing>
          <wp:inline distT="0" distB="0" distL="0" distR="0" wp14:anchorId="278EEC52" wp14:editId="310CD271">
            <wp:extent cx="5810250" cy="3094355"/>
            <wp:effectExtent l="0" t="0" r="0" b="0"/>
            <wp:docPr id="67" name="Picture 67" title="Figure 1: Proposed treatment algorithm in Stage IV NSCLC for pembrolizumab and the PD-L1 t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10250" cy="3094355"/>
                    </a:xfrm>
                    <a:prstGeom prst="rect">
                      <a:avLst/>
                    </a:prstGeom>
                    <a:noFill/>
                    <a:ln>
                      <a:noFill/>
                    </a:ln>
                  </pic:spPr>
                </pic:pic>
              </a:graphicData>
            </a:graphic>
          </wp:inline>
        </w:drawing>
      </w:r>
    </w:p>
    <w:p w:rsidR="00AC2B72" w:rsidRPr="00BE5660" w:rsidRDefault="00AC2B72" w:rsidP="00AC2B72">
      <w:pPr>
        <w:pStyle w:val="TableFooter"/>
        <w:spacing w:before="0"/>
        <w:jc w:val="left"/>
      </w:pPr>
      <w:r w:rsidRPr="00BE5660">
        <w:t>ALK = anaplastic lymphoma kinase; EGFR = epidermal growth factor receptor; NSCLC = non-small cell lung cancer; PD-L1 = programmed death ligand-1</w:t>
      </w:r>
    </w:p>
    <w:p w:rsidR="00AC2B72" w:rsidRDefault="00AC2B72" w:rsidP="00AC2B72">
      <w:pPr>
        <w:pStyle w:val="TableFooter"/>
        <w:spacing w:before="0"/>
        <w:jc w:val="left"/>
      </w:pPr>
      <w:proofErr w:type="gramStart"/>
      <w:r w:rsidRPr="00430901">
        <w:rPr>
          <w:vertAlign w:val="superscript"/>
        </w:rPr>
        <w:t xml:space="preserve">1 </w:t>
      </w:r>
      <w:r w:rsidRPr="00BE5660">
        <w:t>Non-squamous or not otherwise specified histologies</w:t>
      </w:r>
      <w:proofErr w:type="gramEnd"/>
      <w:r w:rsidRPr="00BE5660">
        <w:t xml:space="preserve"> only</w:t>
      </w:r>
    </w:p>
    <w:p w:rsidR="00AC2B72" w:rsidRPr="00A24E39" w:rsidRDefault="00AC2B72" w:rsidP="00AC2B72">
      <w:pPr>
        <w:pStyle w:val="TableFooter"/>
        <w:spacing w:before="0"/>
        <w:jc w:val="left"/>
      </w:pPr>
      <w:r>
        <w:rPr>
          <w:vertAlign w:val="superscript"/>
        </w:rPr>
        <w:t>2</w:t>
      </w:r>
      <w:r>
        <w:t xml:space="preserve"> All histologies</w:t>
      </w:r>
    </w:p>
    <w:p w:rsidR="00AC2B72" w:rsidRPr="00BE5660" w:rsidRDefault="00AC2B72" w:rsidP="00AC2B72">
      <w:pPr>
        <w:pStyle w:val="TableFooter"/>
        <w:spacing w:before="0"/>
        <w:jc w:val="left"/>
      </w:pPr>
      <w:r>
        <w:rPr>
          <w:vertAlign w:val="superscript"/>
        </w:rPr>
        <w:t>3</w:t>
      </w:r>
      <w:r w:rsidRPr="00430901">
        <w:rPr>
          <w:vertAlign w:val="superscript"/>
        </w:rPr>
        <w:t xml:space="preserve"> </w:t>
      </w:r>
      <w:r w:rsidRPr="00BE5660">
        <w:t xml:space="preserve">Squamous or prior pemetrexed maintenance </w:t>
      </w:r>
    </w:p>
    <w:p w:rsidR="00AC2B72" w:rsidRDefault="00AC2B72" w:rsidP="00AC2B72">
      <w:pPr>
        <w:pStyle w:val="TableFooter"/>
        <w:spacing w:before="0"/>
        <w:jc w:val="left"/>
      </w:pPr>
      <w:r>
        <w:rPr>
          <w:vertAlign w:val="superscript"/>
        </w:rPr>
        <w:t>4</w:t>
      </w:r>
      <w:r w:rsidRPr="00BE5660">
        <w:t xml:space="preserve"> Non-squamous if no prior maintenance </w:t>
      </w:r>
      <w:proofErr w:type="gramStart"/>
      <w:r w:rsidRPr="00BE5660">
        <w:t>therapy</w:t>
      </w:r>
      <w:proofErr w:type="gramEnd"/>
    </w:p>
    <w:p w:rsidR="00FD3DBE" w:rsidRPr="00BE5660" w:rsidRDefault="00FD3DBE" w:rsidP="00FD3DBE">
      <w:pPr>
        <w:pStyle w:val="TableFooter"/>
        <w:spacing w:before="0"/>
        <w:jc w:val="left"/>
      </w:pPr>
      <w:r>
        <w:t>Source: Figure A.5-2, p64</w:t>
      </w:r>
      <w:r w:rsidRPr="00BE5660">
        <w:t xml:space="preserve"> of the submission</w:t>
      </w:r>
    </w:p>
    <w:p w:rsidR="006643B3" w:rsidRPr="007B14F5" w:rsidRDefault="006643B3" w:rsidP="00294A10">
      <w:pPr>
        <w:contextualSpacing/>
        <w:rPr>
          <w:rFonts w:ascii="Arial" w:hAnsi="Arial" w:cs="Arial"/>
          <w:sz w:val="22"/>
          <w:szCs w:val="22"/>
        </w:rPr>
      </w:pPr>
    </w:p>
    <w:p w:rsidR="006643B3" w:rsidRPr="007B14F5" w:rsidRDefault="006643B3" w:rsidP="00217726">
      <w:pPr>
        <w:numPr>
          <w:ilvl w:val="1"/>
          <w:numId w:val="4"/>
        </w:numPr>
        <w:ind w:left="720"/>
        <w:contextualSpacing/>
        <w:rPr>
          <w:rFonts w:ascii="Arial" w:hAnsi="Arial" w:cs="Arial"/>
          <w:sz w:val="22"/>
          <w:szCs w:val="22"/>
        </w:rPr>
      </w:pPr>
      <w:r w:rsidRPr="007B14F5">
        <w:rPr>
          <w:rFonts w:ascii="Arial" w:hAnsi="Arial" w:cs="Arial"/>
          <w:sz w:val="22"/>
          <w:szCs w:val="22"/>
        </w:rPr>
        <w:t>The treatment algorithm for NSCLC is evolving rapidly and the potential for future use of PD-1/PD-L1 inhibitors, including in sequence and in combination with other agents</w:t>
      </w:r>
      <w:r w:rsidR="0057389A" w:rsidRPr="007B14F5">
        <w:rPr>
          <w:rFonts w:ascii="Arial" w:hAnsi="Arial" w:cs="Arial"/>
          <w:sz w:val="22"/>
          <w:szCs w:val="22"/>
        </w:rPr>
        <w:t>, and with different (if any) prior application of PD-L1 testing</w:t>
      </w:r>
      <w:r w:rsidRPr="007B14F5">
        <w:rPr>
          <w:rFonts w:ascii="Arial" w:hAnsi="Arial" w:cs="Arial"/>
          <w:sz w:val="22"/>
          <w:szCs w:val="22"/>
        </w:rPr>
        <w:t>, remains under investigation. The following are currently ongoing trials of pembrolizumab</w:t>
      </w:r>
      <w:r w:rsidR="009B1DA4" w:rsidRPr="007B14F5">
        <w:rPr>
          <w:rFonts w:ascii="Arial" w:hAnsi="Arial" w:cs="Arial"/>
          <w:sz w:val="22"/>
          <w:szCs w:val="22"/>
        </w:rPr>
        <w:t xml:space="preserve"> in the NSCLC first-line setting</w:t>
      </w:r>
      <w:r w:rsidR="0017670E" w:rsidRPr="007B14F5">
        <w:rPr>
          <w:rFonts w:ascii="Arial" w:hAnsi="Arial" w:cs="Arial"/>
          <w:sz w:val="22"/>
          <w:szCs w:val="22"/>
        </w:rPr>
        <w:t xml:space="preserve">. </w:t>
      </w:r>
      <w:r w:rsidR="0057389A" w:rsidRPr="007B14F5">
        <w:rPr>
          <w:rFonts w:ascii="Arial" w:hAnsi="Arial" w:cs="Arial"/>
          <w:sz w:val="22"/>
          <w:szCs w:val="22"/>
        </w:rPr>
        <w:t>The r</w:t>
      </w:r>
      <w:r w:rsidR="0017670E" w:rsidRPr="007B14F5">
        <w:rPr>
          <w:rFonts w:ascii="Arial" w:hAnsi="Arial" w:cs="Arial"/>
          <w:sz w:val="22"/>
          <w:szCs w:val="22"/>
        </w:rPr>
        <w:t>equirement for PD-L1 positivity is not consistent across these trials</w:t>
      </w:r>
      <w:r w:rsidR="0071033E" w:rsidRPr="007B14F5">
        <w:rPr>
          <w:rFonts w:ascii="Arial" w:hAnsi="Arial" w:cs="Arial"/>
          <w:sz w:val="22"/>
          <w:szCs w:val="22"/>
        </w:rPr>
        <w:t xml:space="preserve"> and the future first-line management of advanced NSCLC could include </w:t>
      </w:r>
      <w:r w:rsidR="00746371">
        <w:rPr>
          <w:rFonts w:ascii="Arial" w:hAnsi="Arial" w:cs="Arial"/>
          <w:sz w:val="22"/>
          <w:szCs w:val="22"/>
        </w:rPr>
        <w:t xml:space="preserve">a </w:t>
      </w:r>
      <w:r w:rsidR="0071033E" w:rsidRPr="007B14F5">
        <w:rPr>
          <w:rFonts w:ascii="Arial" w:hAnsi="Arial" w:cs="Arial"/>
          <w:sz w:val="22"/>
          <w:szCs w:val="22"/>
        </w:rPr>
        <w:t>combination of PD-1 inhibitors with chemotherapy</w:t>
      </w:r>
      <w:r w:rsidR="0017670E" w:rsidRPr="007B14F5">
        <w:rPr>
          <w:rFonts w:ascii="Arial" w:hAnsi="Arial" w:cs="Arial"/>
          <w:sz w:val="22"/>
          <w:szCs w:val="22"/>
        </w:rPr>
        <w:t>:</w:t>
      </w:r>
    </w:p>
    <w:p w:rsidR="006643B3" w:rsidRPr="007B14F5" w:rsidRDefault="006643B3" w:rsidP="00217726">
      <w:pPr>
        <w:pStyle w:val="ListParagraph"/>
        <w:numPr>
          <w:ilvl w:val="0"/>
          <w:numId w:val="23"/>
        </w:numPr>
        <w:rPr>
          <w:rFonts w:ascii="Arial" w:hAnsi="Arial" w:cs="Arial"/>
          <w:sz w:val="22"/>
          <w:szCs w:val="22"/>
        </w:rPr>
      </w:pPr>
      <w:r w:rsidRPr="007B14F5">
        <w:rPr>
          <w:rFonts w:ascii="Arial" w:hAnsi="Arial" w:cs="Arial"/>
          <w:sz w:val="22"/>
          <w:szCs w:val="22"/>
        </w:rPr>
        <w:t>KN-042</w:t>
      </w:r>
      <w:r w:rsidR="0017670E" w:rsidRPr="007B14F5">
        <w:rPr>
          <w:rFonts w:ascii="Arial" w:hAnsi="Arial" w:cs="Arial"/>
          <w:sz w:val="22"/>
          <w:szCs w:val="22"/>
        </w:rPr>
        <w:t>: P</w:t>
      </w:r>
      <w:r w:rsidRPr="007B14F5">
        <w:rPr>
          <w:rFonts w:ascii="Arial" w:hAnsi="Arial" w:cs="Arial"/>
          <w:sz w:val="22"/>
          <w:szCs w:val="22"/>
        </w:rPr>
        <w:t xml:space="preserve">embrolizumab </w:t>
      </w:r>
      <w:r w:rsidR="0017670E" w:rsidRPr="007B14F5">
        <w:rPr>
          <w:rFonts w:ascii="Arial" w:hAnsi="Arial" w:cs="Arial"/>
          <w:sz w:val="22"/>
          <w:szCs w:val="22"/>
        </w:rPr>
        <w:t>versus</w:t>
      </w:r>
      <w:r w:rsidRPr="007B14F5">
        <w:rPr>
          <w:rFonts w:ascii="Arial" w:hAnsi="Arial" w:cs="Arial"/>
          <w:sz w:val="22"/>
          <w:szCs w:val="22"/>
        </w:rPr>
        <w:t xml:space="preserve"> platinum-based chemotherapy in </w:t>
      </w:r>
      <w:r w:rsidR="0017670E" w:rsidRPr="007B14F5">
        <w:rPr>
          <w:rFonts w:ascii="Arial" w:hAnsi="Arial" w:cs="Arial"/>
          <w:sz w:val="22"/>
          <w:szCs w:val="22"/>
        </w:rPr>
        <w:t xml:space="preserve">PD-L1 TPS ≥1% NSCLC </w:t>
      </w:r>
      <w:r w:rsidRPr="007B14F5">
        <w:rPr>
          <w:rFonts w:ascii="Arial" w:hAnsi="Arial" w:cs="Arial"/>
          <w:sz w:val="22"/>
          <w:szCs w:val="22"/>
        </w:rPr>
        <w:t xml:space="preserve">patients. </w:t>
      </w:r>
    </w:p>
    <w:p w:rsidR="006643B3" w:rsidRPr="007B14F5" w:rsidRDefault="006643B3" w:rsidP="00217726">
      <w:pPr>
        <w:pStyle w:val="ListParagraph"/>
        <w:numPr>
          <w:ilvl w:val="0"/>
          <w:numId w:val="23"/>
        </w:numPr>
        <w:rPr>
          <w:rFonts w:ascii="Arial" w:hAnsi="Arial" w:cs="Arial"/>
          <w:sz w:val="22"/>
          <w:szCs w:val="22"/>
        </w:rPr>
      </w:pPr>
      <w:r w:rsidRPr="007B14F5">
        <w:rPr>
          <w:rFonts w:ascii="Arial" w:hAnsi="Arial" w:cs="Arial"/>
          <w:sz w:val="22"/>
          <w:szCs w:val="22"/>
        </w:rPr>
        <w:t>KN-189</w:t>
      </w:r>
      <w:r w:rsidR="0017670E" w:rsidRPr="007B14F5">
        <w:rPr>
          <w:rFonts w:ascii="Arial" w:hAnsi="Arial" w:cs="Arial"/>
          <w:sz w:val="22"/>
          <w:szCs w:val="22"/>
        </w:rPr>
        <w:t>:</w:t>
      </w:r>
      <w:r w:rsidRPr="007B14F5">
        <w:rPr>
          <w:rFonts w:ascii="Arial" w:hAnsi="Arial" w:cs="Arial"/>
          <w:sz w:val="22"/>
          <w:szCs w:val="22"/>
        </w:rPr>
        <w:t xml:space="preserve"> </w:t>
      </w:r>
      <w:r w:rsidR="0017670E" w:rsidRPr="007B14F5">
        <w:rPr>
          <w:rFonts w:ascii="Arial" w:hAnsi="Arial" w:cs="Arial"/>
          <w:sz w:val="22"/>
          <w:szCs w:val="22"/>
        </w:rPr>
        <w:t>P</w:t>
      </w:r>
      <w:r w:rsidRPr="007B14F5">
        <w:rPr>
          <w:rFonts w:ascii="Arial" w:hAnsi="Arial" w:cs="Arial"/>
          <w:sz w:val="22"/>
          <w:szCs w:val="22"/>
        </w:rPr>
        <w:t xml:space="preserve">embrolizumab plus </w:t>
      </w:r>
      <w:r w:rsidR="0017670E" w:rsidRPr="007B14F5">
        <w:rPr>
          <w:rFonts w:ascii="Arial" w:hAnsi="Arial" w:cs="Arial"/>
          <w:sz w:val="22"/>
          <w:szCs w:val="22"/>
        </w:rPr>
        <w:t xml:space="preserve">platinum-pemetrexed </w:t>
      </w:r>
      <w:r w:rsidRPr="007B14F5">
        <w:rPr>
          <w:rFonts w:ascii="Arial" w:hAnsi="Arial" w:cs="Arial"/>
          <w:sz w:val="22"/>
          <w:szCs w:val="22"/>
        </w:rPr>
        <w:t>chemotherapy</w:t>
      </w:r>
      <w:r w:rsidR="0017670E" w:rsidRPr="007B14F5">
        <w:rPr>
          <w:rFonts w:ascii="Arial" w:hAnsi="Arial" w:cs="Arial"/>
          <w:sz w:val="22"/>
          <w:szCs w:val="22"/>
        </w:rPr>
        <w:t xml:space="preserve"> versus</w:t>
      </w:r>
      <w:r w:rsidRPr="007B14F5">
        <w:rPr>
          <w:rFonts w:ascii="Arial" w:hAnsi="Arial" w:cs="Arial"/>
          <w:sz w:val="22"/>
          <w:szCs w:val="22"/>
        </w:rPr>
        <w:t xml:space="preserve"> </w:t>
      </w:r>
      <w:r w:rsidR="0017670E" w:rsidRPr="007B14F5">
        <w:rPr>
          <w:rFonts w:ascii="Arial" w:hAnsi="Arial" w:cs="Arial"/>
          <w:sz w:val="22"/>
          <w:szCs w:val="22"/>
        </w:rPr>
        <w:t xml:space="preserve">platinum-pemetrexed chemotherapy </w:t>
      </w:r>
      <w:r w:rsidRPr="007B14F5">
        <w:rPr>
          <w:rFonts w:ascii="Arial" w:hAnsi="Arial" w:cs="Arial"/>
          <w:sz w:val="22"/>
          <w:szCs w:val="22"/>
        </w:rPr>
        <w:t>in patients with non-squamous NSCLC, regardless of PD-L1 status.</w:t>
      </w:r>
    </w:p>
    <w:p w:rsidR="006643B3" w:rsidRPr="007B14F5" w:rsidRDefault="00EA779B" w:rsidP="00217726">
      <w:pPr>
        <w:pStyle w:val="ListParagraph"/>
        <w:numPr>
          <w:ilvl w:val="0"/>
          <w:numId w:val="23"/>
        </w:numPr>
        <w:rPr>
          <w:rFonts w:ascii="Arial" w:hAnsi="Arial" w:cs="Arial"/>
          <w:sz w:val="22"/>
          <w:szCs w:val="22"/>
        </w:rPr>
      </w:pPr>
      <w:r w:rsidRPr="007B14F5">
        <w:rPr>
          <w:rFonts w:ascii="Arial" w:hAnsi="Arial" w:cs="Arial"/>
          <w:sz w:val="22"/>
          <w:szCs w:val="22"/>
        </w:rPr>
        <w:t>KN-407: P</w:t>
      </w:r>
      <w:r w:rsidR="006643B3" w:rsidRPr="007B14F5">
        <w:rPr>
          <w:rFonts w:ascii="Arial" w:hAnsi="Arial" w:cs="Arial"/>
          <w:sz w:val="22"/>
          <w:szCs w:val="22"/>
        </w:rPr>
        <w:t>embrolizumab plus carboplatin + albumin-bound paclitaxel with carboplatin + albumin-bound paclitaxel in patients with squamous NSCLC, regardless of PD-L1 status.</w:t>
      </w:r>
    </w:p>
    <w:p w:rsidR="002D778B" w:rsidRDefault="002D778B" w:rsidP="00D960FC">
      <w:pPr>
        <w:pStyle w:val="ListParagraph"/>
        <w:ind w:left="0" w:firstLine="0"/>
        <w:rPr>
          <w:rFonts w:ascii="Arial" w:hAnsi="Arial" w:cs="Arial"/>
          <w:sz w:val="22"/>
          <w:szCs w:val="22"/>
        </w:rPr>
      </w:pPr>
    </w:p>
    <w:p w:rsidR="0027247F" w:rsidRPr="007B14F5" w:rsidRDefault="0027247F" w:rsidP="00D960FC">
      <w:pPr>
        <w:pStyle w:val="ListParagraph"/>
        <w:ind w:left="0" w:firstLine="0"/>
        <w:rPr>
          <w:rFonts w:ascii="Arial" w:hAnsi="Arial" w:cs="Arial"/>
          <w:sz w:val="22"/>
          <w:szCs w:val="22"/>
        </w:rPr>
      </w:pPr>
    </w:p>
    <w:p w:rsidR="00AC2B72" w:rsidRPr="00B43E70" w:rsidRDefault="00AC2B72" w:rsidP="00AC2B72">
      <w:pPr>
        <w:pStyle w:val="PBACHeading10"/>
        <w:numPr>
          <w:ilvl w:val="0"/>
          <w:numId w:val="5"/>
        </w:numPr>
        <w:outlineLvl w:val="0"/>
      </w:pPr>
      <w:r w:rsidRPr="00B43E70">
        <w:t>Comparator</w:t>
      </w:r>
    </w:p>
    <w:p w:rsidR="00AC2B72" w:rsidRPr="007B14F5" w:rsidRDefault="00AC2B72" w:rsidP="00D960FC">
      <w:pPr>
        <w:pStyle w:val="ListParagraph"/>
        <w:ind w:left="0" w:firstLine="0"/>
        <w:rPr>
          <w:rFonts w:ascii="Arial" w:hAnsi="Arial" w:cs="Arial"/>
          <w:sz w:val="22"/>
          <w:szCs w:val="22"/>
        </w:rPr>
      </w:pPr>
    </w:p>
    <w:p w:rsidR="00932972" w:rsidRPr="00F754F9" w:rsidRDefault="00932972" w:rsidP="00217726">
      <w:pPr>
        <w:pStyle w:val="ListParagraph"/>
        <w:numPr>
          <w:ilvl w:val="1"/>
          <w:numId w:val="4"/>
        </w:numPr>
        <w:ind w:left="720"/>
        <w:rPr>
          <w:rFonts w:ascii="Arial" w:hAnsi="Arial" w:cs="Arial"/>
          <w:sz w:val="22"/>
          <w:szCs w:val="22"/>
        </w:rPr>
      </w:pPr>
      <w:bookmarkStart w:id="17" w:name="_Toc431891742"/>
      <w:r w:rsidRPr="00F754F9">
        <w:rPr>
          <w:rFonts w:ascii="Arial" w:hAnsi="Arial" w:cs="Arial"/>
          <w:sz w:val="22"/>
          <w:szCs w:val="22"/>
        </w:rPr>
        <w:t xml:space="preserve">The submission nominated platinum-based doublet chemotherapy as the main comparator. </w:t>
      </w:r>
      <w:r w:rsidRPr="00063A99">
        <w:rPr>
          <w:rFonts w:ascii="Arial" w:hAnsi="Arial" w:cs="Arial"/>
          <w:sz w:val="22"/>
          <w:szCs w:val="22"/>
        </w:rPr>
        <w:t>Th</w:t>
      </w:r>
      <w:r w:rsidR="00DC54A3">
        <w:rPr>
          <w:rFonts w:ascii="Arial" w:hAnsi="Arial" w:cs="Arial"/>
          <w:sz w:val="22"/>
          <w:szCs w:val="22"/>
        </w:rPr>
        <w:t>e ESC</w:t>
      </w:r>
      <w:r w:rsidR="00702058" w:rsidRPr="00063A99">
        <w:rPr>
          <w:rFonts w:ascii="Arial" w:hAnsi="Arial" w:cs="Arial"/>
          <w:sz w:val="22"/>
          <w:szCs w:val="22"/>
        </w:rPr>
        <w:t xml:space="preserve"> considered that this</w:t>
      </w:r>
      <w:r w:rsidRPr="00063A99">
        <w:rPr>
          <w:rFonts w:ascii="Arial" w:hAnsi="Arial" w:cs="Arial"/>
          <w:sz w:val="22"/>
          <w:szCs w:val="22"/>
        </w:rPr>
        <w:t xml:space="preserve"> comparator is appropriate for </w:t>
      </w:r>
      <w:r w:rsidR="00C20AC2" w:rsidRPr="00CF53E4">
        <w:rPr>
          <w:rFonts w:ascii="Arial" w:hAnsi="Arial" w:cs="Arial"/>
          <w:sz w:val="22"/>
          <w:szCs w:val="22"/>
        </w:rPr>
        <w:t>initial</w:t>
      </w:r>
      <w:r w:rsidR="00C20AC2" w:rsidRPr="00063A99">
        <w:rPr>
          <w:rFonts w:ascii="Arial" w:hAnsi="Arial" w:cs="Arial"/>
          <w:sz w:val="22"/>
          <w:szCs w:val="22"/>
        </w:rPr>
        <w:t xml:space="preserve"> </w:t>
      </w:r>
      <w:r w:rsidRPr="00063A99">
        <w:rPr>
          <w:rFonts w:ascii="Arial" w:hAnsi="Arial" w:cs="Arial"/>
          <w:sz w:val="22"/>
          <w:szCs w:val="22"/>
        </w:rPr>
        <w:t xml:space="preserve">first-line treatment of patients with </w:t>
      </w:r>
      <w:r w:rsidR="006A2C58" w:rsidRPr="00063A99">
        <w:rPr>
          <w:rFonts w:ascii="Arial" w:hAnsi="Arial" w:cs="Arial"/>
          <w:sz w:val="22"/>
          <w:szCs w:val="22"/>
        </w:rPr>
        <w:t>Stage</w:t>
      </w:r>
      <w:r w:rsidRPr="00063A99">
        <w:rPr>
          <w:rFonts w:ascii="Arial" w:hAnsi="Arial" w:cs="Arial"/>
          <w:sz w:val="22"/>
          <w:szCs w:val="22"/>
        </w:rPr>
        <w:t xml:space="preserve"> IV NSCLC who are </w:t>
      </w:r>
      <w:r w:rsidRPr="00063A99">
        <w:rPr>
          <w:rFonts w:ascii="Arial" w:hAnsi="Arial" w:cs="Arial"/>
          <w:i/>
          <w:sz w:val="22"/>
          <w:szCs w:val="22"/>
        </w:rPr>
        <w:t>EGFR</w:t>
      </w:r>
      <w:r w:rsidRPr="00063A99">
        <w:rPr>
          <w:rFonts w:ascii="Arial" w:hAnsi="Arial" w:cs="Arial"/>
          <w:sz w:val="22"/>
          <w:szCs w:val="22"/>
        </w:rPr>
        <w:t xml:space="preserve"> wild</w:t>
      </w:r>
      <w:r w:rsidR="00052799">
        <w:rPr>
          <w:rFonts w:ascii="Arial" w:hAnsi="Arial" w:cs="Arial"/>
          <w:sz w:val="22"/>
          <w:szCs w:val="22"/>
        </w:rPr>
        <w:t xml:space="preserve"> </w:t>
      </w:r>
      <w:r w:rsidRPr="00063A99">
        <w:rPr>
          <w:rFonts w:ascii="Arial" w:hAnsi="Arial" w:cs="Arial"/>
          <w:sz w:val="22"/>
          <w:szCs w:val="22"/>
        </w:rPr>
        <w:t xml:space="preserve">type and </w:t>
      </w:r>
      <w:r w:rsidRPr="00063A99">
        <w:rPr>
          <w:rFonts w:ascii="Arial" w:hAnsi="Arial" w:cs="Arial"/>
          <w:i/>
          <w:sz w:val="22"/>
          <w:szCs w:val="22"/>
        </w:rPr>
        <w:t>ALK</w:t>
      </w:r>
      <w:r w:rsidRPr="00063A99">
        <w:rPr>
          <w:rFonts w:ascii="Arial" w:hAnsi="Arial" w:cs="Arial"/>
          <w:sz w:val="22"/>
          <w:szCs w:val="22"/>
        </w:rPr>
        <w:t xml:space="preserve"> </w:t>
      </w:r>
      <w:r w:rsidR="00EF5B41">
        <w:rPr>
          <w:rFonts w:ascii="Arial" w:hAnsi="Arial" w:cs="Arial"/>
          <w:sz w:val="22"/>
          <w:szCs w:val="22"/>
        </w:rPr>
        <w:t>gene rearrangement</w:t>
      </w:r>
      <w:r w:rsidRPr="00063A99">
        <w:rPr>
          <w:rFonts w:ascii="Arial" w:hAnsi="Arial" w:cs="Arial"/>
          <w:sz w:val="22"/>
          <w:szCs w:val="22"/>
        </w:rPr>
        <w:t xml:space="preserve"> negative.</w:t>
      </w:r>
      <w:r w:rsidR="00DC54A3">
        <w:rPr>
          <w:rFonts w:ascii="Arial" w:hAnsi="Arial" w:cs="Arial"/>
          <w:sz w:val="22"/>
          <w:szCs w:val="22"/>
        </w:rPr>
        <w:t xml:space="preserve"> However, the ESC</w:t>
      </w:r>
      <w:r w:rsidR="00C20AC2" w:rsidRPr="00063A99">
        <w:rPr>
          <w:rFonts w:ascii="Arial" w:hAnsi="Arial" w:cs="Arial"/>
          <w:sz w:val="22"/>
          <w:szCs w:val="22"/>
        </w:rPr>
        <w:t xml:space="preserve"> considered that the appropriate comparators for any retreatment would be docetaxel or pemetrexed in addition to </w:t>
      </w:r>
      <w:r w:rsidR="00C20AC2" w:rsidRPr="00063A99">
        <w:rPr>
          <w:rFonts w:ascii="Arial" w:hAnsi="Arial" w:cs="Arial"/>
          <w:sz w:val="22"/>
          <w:szCs w:val="22"/>
        </w:rPr>
        <w:lastRenderedPageBreak/>
        <w:t>plati</w:t>
      </w:r>
      <w:r w:rsidR="00DC54A3">
        <w:rPr>
          <w:rFonts w:ascii="Arial" w:hAnsi="Arial" w:cs="Arial"/>
          <w:sz w:val="22"/>
          <w:szCs w:val="22"/>
        </w:rPr>
        <w:t>num-based chemotherapy. The ESC</w:t>
      </w:r>
      <w:r w:rsidR="00C20AC2" w:rsidRPr="00063A99">
        <w:rPr>
          <w:rFonts w:ascii="Arial" w:hAnsi="Arial" w:cs="Arial"/>
          <w:sz w:val="22"/>
          <w:szCs w:val="22"/>
        </w:rPr>
        <w:t xml:space="preserve"> also considered that</w:t>
      </w:r>
      <w:r w:rsidR="006A2C58" w:rsidRPr="00063A99">
        <w:rPr>
          <w:rFonts w:ascii="Arial" w:hAnsi="Arial" w:cs="Arial"/>
          <w:sz w:val="22"/>
          <w:szCs w:val="22"/>
        </w:rPr>
        <w:t>,</w:t>
      </w:r>
      <w:r w:rsidR="00C20AC2" w:rsidRPr="00063A99">
        <w:rPr>
          <w:rFonts w:ascii="Arial" w:hAnsi="Arial" w:cs="Arial"/>
          <w:sz w:val="22"/>
          <w:szCs w:val="22"/>
        </w:rPr>
        <w:t xml:space="preserve"> in clinical practice, the nominated comparator was likely to be displaced, rather than replaced by pembrolizumab.</w:t>
      </w:r>
    </w:p>
    <w:p w:rsidR="00932972" w:rsidRPr="007B14F5" w:rsidRDefault="00932972" w:rsidP="00294A10">
      <w:pPr>
        <w:rPr>
          <w:rFonts w:ascii="Arial" w:hAnsi="Arial" w:cs="Arial"/>
          <w:sz w:val="22"/>
          <w:szCs w:val="22"/>
        </w:rPr>
      </w:pPr>
    </w:p>
    <w:p w:rsidR="00932972" w:rsidRPr="007B14F5" w:rsidRDefault="00932972" w:rsidP="00217726">
      <w:pPr>
        <w:pStyle w:val="ListParagraph"/>
        <w:numPr>
          <w:ilvl w:val="1"/>
          <w:numId w:val="4"/>
        </w:numPr>
        <w:ind w:left="720"/>
        <w:rPr>
          <w:rFonts w:ascii="Arial" w:hAnsi="Arial" w:cs="Arial"/>
          <w:sz w:val="22"/>
          <w:szCs w:val="22"/>
        </w:rPr>
      </w:pPr>
      <w:r w:rsidRPr="007B14F5">
        <w:rPr>
          <w:rFonts w:ascii="Arial" w:hAnsi="Arial" w:cs="Arial"/>
          <w:sz w:val="22"/>
          <w:szCs w:val="22"/>
        </w:rPr>
        <w:t xml:space="preserve">The </w:t>
      </w:r>
      <w:r w:rsidR="00A64517">
        <w:rPr>
          <w:rFonts w:ascii="Arial" w:hAnsi="Arial" w:cs="Arial"/>
          <w:sz w:val="22"/>
          <w:szCs w:val="22"/>
        </w:rPr>
        <w:t>submission</w:t>
      </w:r>
      <w:r w:rsidR="00A64517" w:rsidRPr="007B14F5">
        <w:rPr>
          <w:rFonts w:ascii="Arial" w:hAnsi="Arial" w:cs="Arial"/>
          <w:sz w:val="22"/>
          <w:szCs w:val="22"/>
        </w:rPr>
        <w:t xml:space="preserve"> </w:t>
      </w:r>
      <w:r w:rsidRPr="007B14F5">
        <w:rPr>
          <w:rFonts w:ascii="Arial" w:hAnsi="Arial" w:cs="Arial"/>
          <w:sz w:val="22"/>
          <w:szCs w:val="22"/>
        </w:rPr>
        <w:t>presented one direct randomised trial comparing pembrolizumab with platinum-based chemotherapy in previously untreated patients (KN-024). The submission did not include any evidence in support of the requested listing for retreatment with pembrolizumab in patients with progressive disease (i.e. as later-line therapy), for which the appropriate comparator would be second- or later-line chemotherapy</w:t>
      </w:r>
      <w:r w:rsidR="00416666">
        <w:rPr>
          <w:rFonts w:ascii="Arial" w:hAnsi="Arial" w:cs="Arial"/>
          <w:sz w:val="22"/>
          <w:szCs w:val="22"/>
        </w:rPr>
        <w:t xml:space="preserve"> (or best supportive care)</w:t>
      </w:r>
      <w:r w:rsidRPr="007B14F5">
        <w:rPr>
          <w:rFonts w:ascii="Arial" w:hAnsi="Arial" w:cs="Arial"/>
          <w:sz w:val="22"/>
          <w:szCs w:val="22"/>
        </w:rPr>
        <w:t>.</w:t>
      </w:r>
    </w:p>
    <w:p w:rsidR="00932972" w:rsidRPr="007B14F5" w:rsidRDefault="00932972" w:rsidP="00294A10">
      <w:pPr>
        <w:rPr>
          <w:rFonts w:ascii="Arial" w:hAnsi="Arial" w:cs="Arial"/>
          <w:sz w:val="22"/>
          <w:szCs w:val="22"/>
        </w:rPr>
      </w:pPr>
    </w:p>
    <w:p w:rsidR="00932972" w:rsidRPr="007B14F5" w:rsidRDefault="00932972" w:rsidP="00217726">
      <w:pPr>
        <w:pStyle w:val="ListParagraph"/>
        <w:numPr>
          <w:ilvl w:val="1"/>
          <w:numId w:val="4"/>
        </w:numPr>
        <w:ind w:left="720"/>
        <w:rPr>
          <w:rFonts w:ascii="Arial" w:hAnsi="Arial" w:cs="Arial"/>
          <w:sz w:val="22"/>
          <w:szCs w:val="22"/>
        </w:rPr>
      </w:pPr>
      <w:r w:rsidRPr="007B14F5">
        <w:rPr>
          <w:rFonts w:ascii="Arial" w:hAnsi="Arial" w:cs="Arial"/>
          <w:sz w:val="22"/>
          <w:szCs w:val="22"/>
        </w:rPr>
        <w:t xml:space="preserve">The submission did not nominate a specific platinum doublet regimen as a comparator, on the basis that the platinum-doublet chemotherapy regimens used in Australia are considered </w:t>
      </w:r>
      <w:r w:rsidR="00FD1F8C">
        <w:rPr>
          <w:rFonts w:ascii="Arial" w:hAnsi="Arial" w:cs="Arial"/>
          <w:sz w:val="22"/>
          <w:szCs w:val="22"/>
        </w:rPr>
        <w:t>to produce similar outcomes</w:t>
      </w:r>
      <w:r w:rsidRPr="007B14F5">
        <w:rPr>
          <w:rFonts w:ascii="Arial" w:hAnsi="Arial" w:cs="Arial"/>
          <w:sz w:val="22"/>
          <w:szCs w:val="22"/>
        </w:rPr>
        <w:t xml:space="preserve">. </w:t>
      </w:r>
      <w:r w:rsidR="003216DB" w:rsidRPr="007B14F5">
        <w:rPr>
          <w:rFonts w:ascii="Arial" w:hAnsi="Arial" w:cs="Arial"/>
          <w:sz w:val="22"/>
          <w:szCs w:val="22"/>
        </w:rPr>
        <w:t>The KN-024 trial used platinum-pemetrexed combinations whereas in Australian clinical practice, pemetrexed combinations with platinum are not subsidised by the PBS (noting the current listing for pemetrexed does not exclude its use as maintenance).</w:t>
      </w:r>
    </w:p>
    <w:p w:rsidR="00EF29E7" w:rsidRDefault="00EF29E7" w:rsidP="00932972">
      <w:pPr>
        <w:pStyle w:val="ListParagraph"/>
        <w:ind w:left="0" w:firstLine="0"/>
        <w:rPr>
          <w:rFonts w:ascii="Arial" w:hAnsi="Arial" w:cs="Arial"/>
          <w:sz w:val="22"/>
          <w:szCs w:val="22"/>
        </w:rPr>
      </w:pPr>
    </w:p>
    <w:p w:rsidR="002D778B" w:rsidRPr="0005234D" w:rsidRDefault="002D778B" w:rsidP="002D778B">
      <w:pPr>
        <w:ind w:firstLine="720"/>
        <w:rPr>
          <w:rFonts w:ascii="Arial" w:hAnsi="Arial" w:cs="Arial"/>
          <w:bCs/>
          <w:snapToGrid w:val="0"/>
          <w:sz w:val="22"/>
          <w:szCs w:val="22"/>
        </w:rPr>
      </w:pPr>
      <w:r w:rsidRPr="00AE3410">
        <w:rPr>
          <w:rFonts w:ascii="Arial" w:hAnsi="Arial" w:cs="Arial"/>
          <w:bCs/>
          <w:i/>
          <w:snapToGrid w:val="0"/>
          <w:sz w:val="22"/>
          <w:szCs w:val="22"/>
        </w:rPr>
        <w:t>For more detail on PBAC’s view, see section 7 “PBAC outcome”</w:t>
      </w:r>
      <w:r w:rsidR="00322974" w:rsidRPr="00AE3410">
        <w:rPr>
          <w:rFonts w:ascii="Arial" w:hAnsi="Arial" w:cs="Arial"/>
          <w:bCs/>
          <w:i/>
          <w:snapToGrid w:val="0"/>
          <w:sz w:val="22"/>
          <w:szCs w:val="22"/>
        </w:rPr>
        <w:t>.</w:t>
      </w:r>
    </w:p>
    <w:p w:rsidR="002D778B" w:rsidRDefault="002D778B" w:rsidP="00932972">
      <w:pPr>
        <w:pStyle w:val="ListParagraph"/>
        <w:ind w:left="0" w:firstLine="0"/>
        <w:rPr>
          <w:rFonts w:ascii="Arial" w:hAnsi="Arial" w:cs="Arial"/>
          <w:sz w:val="22"/>
          <w:szCs w:val="22"/>
        </w:rPr>
      </w:pPr>
    </w:p>
    <w:p w:rsidR="0027247F" w:rsidRPr="007B14F5" w:rsidRDefault="0027247F" w:rsidP="00932972">
      <w:pPr>
        <w:pStyle w:val="ListParagraph"/>
        <w:ind w:left="0" w:firstLine="0"/>
        <w:rPr>
          <w:rFonts w:ascii="Arial" w:hAnsi="Arial" w:cs="Arial"/>
          <w:sz w:val="22"/>
          <w:szCs w:val="22"/>
        </w:rPr>
      </w:pPr>
    </w:p>
    <w:p w:rsidR="00FD3DBE" w:rsidRPr="00B43E70" w:rsidRDefault="00FD3DBE" w:rsidP="00FD3DBE">
      <w:pPr>
        <w:pStyle w:val="PBACHeading10"/>
        <w:numPr>
          <w:ilvl w:val="0"/>
          <w:numId w:val="5"/>
        </w:numPr>
        <w:outlineLvl w:val="0"/>
      </w:pPr>
      <w:r w:rsidRPr="00B43E70">
        <w:t>Consideration of the evidence</w:t>
      </w:r>
    </w:p>
    <w:p w:rsidR="00382A9D" w:rsidRPr="00F6757B" w:rsidRDefault="00382A9D" w:rsidP="00F6757B">
      <w:pPr>
        <w:pStyle w:val="Heading2"/>
      </w:pPr>
      <w:r w:rsidRPr="00F6757B">
        <w:t>Sponsor hearing</w:t>
      </w:r>
    </w:p>
    <w:p w:rsidR="00382A9D" w:rsidRPr="00AE3410" w:rsidRDefault="00382A9D" w:rsidP="00322974">
      <w:pPr>
        <w:numPr>
          <w:ilvl w:val="1"/>
          <w:numId w:val="4"/>
        </w:numPr>
        <w:ind w:left="720"/>
        <w:rPr>
          <w:rFonts w:ascii="Arial" w:hAnsi="Arial" w:cs="Arial"/>
          <w:bCs/>
          <w:snapToGrid w:val="0"/>
          <w:sz w:val="22"/>
          <w:szCs w:val="22"/>
        </w:rPr>
      </w:pPr>
      <w:r w:rsidRPr="00AE3410">
        <w:rPr>
          <w:rFonts w:ascii="Arial" w:hAnsi="Arial" w:cs="Arial"/>
          <w:bCs/>
          <w:snapToGrid w:val="0"/>
          <w:sz w:val="22"/>
          <w:szCs w:val="22"/>
        </w:rPr>
        <w:t xml:space="preserve">The sponsor requested a hearing for this item. </w:t>
      </w:r>
      <w:r w:rsidR="00FE25A1">
        <w:rPr>
          <w:rFonts w:ascii="Arial" w:hAnsi="Arial" w:cs="Arial"/>
          <w:bCs/>
          <w:snapToGrid w:val="0"/>
          <w:sz w:val="22"/>
          <w:szCs w:val="22"/>
        </w:rPr>
        <w:t>A comparison with t</w:t>
      </w:r>
      <w:r w:rsidRPr="00AE3410">
        <w:rPr>
          <w:rFonts w:ascii="Arial" w:hAnsi="Arial" w:cs="Arial"/>
          <w:bCs/>
          <w:snapToGrid w:val="0"/>
          <w:sz w:val="22"/>
          <w:szCs w:val="22"/>
        </w:rPr>
        <w:t xml:space="preserve">he </w:t>
      </w:r>
      <w:r w:rsidR="00CF53E4" w:rsidRPr="00AE3410">
        <w:rPr>
          <w:rFonts w:ascii="Arial" w:hAnsi="Arial" w:cs="Arial"/>
          <w:bCs/>
          <w:snapToGrid w:val="0"/>
          <w:sz w:val="22"/>
          <w:szCs w:val="22"/>
        </w:rPr>
        <w:t xml:space="preserve">key trial for </w:t>
      </w:r>
      <w:r w:rsidR="00FE25A1">
        <w:rPr>
          <w:rFonts w:ascii="Arial" w:hAnsi="Arial" w:cs="Arial"/>
          <w:bCs/>
          <w:snapToGrid w:val="0"/>
          <w:sz w:val="22"/>
          <w:szCs w:val="22"/>
        </w:rPr>
        <w:t xml:space="preserve">first-line </w:t>
      </w:r>
      <w:r w:rsidR="00CF53E4" w:rsidRPr="00AE3410">
        <w:rPr>
          <w:rFonts w:ascii="Arial" w:hAnsi="Arial" w:cs="Arial"/>
          <w:bCs/>
          <w:snapToGrid w:val="0"/>
          <w:sz w:val="22"/>
          <w:szCs w:val="22"/>
        </w:rPr>
        <w:t xml:space="preserve">nivolumab </w:t>
      </w:r>
      <w:r w:rsidR="00FE25A1">
        <w:rPr>
          <w:rFonts w:ascii="Arial" w:hAnsi="Arial" w:cs="Arial"/>
          <w:bCs/>
          <w:snapToGrid w:val="0"/>
          <w:sz w:val="22"/>
          <w:szCs w:val="22"/>
        </w:rPr>
        <w:t xml:space="preserve">in NSCLC </w:t>
      </w:r>
      <w:r w:rsidR="003637B2">
        <w:rPr>
          <w:rFonts w:ascii="Arial" w:hAnsi="Arial" w:cs="Arial"/>
          <w:bCs/>
          <w:snapToGrid w:val="0"/>
          <w:sz w:val="22"/>
          <w:szCs w:val="22"/>
        </w:rPr>
        <w:t xml:space="preserve">was </w:t>
      </w:r>
      <w:r w:rsidR="00FE25A1">
        <w:rPr>
          <w:rFonts w:ascii="Arial" w:hAnsi="Arial" w:cs="Arial"/>
          <w:bCs/>
          <w:snapToGrid w:val="0"/>
          <w:sz w:val="22"/>
          <w:szCs w:val="22"/>
        </w:rPr>
        <w:t>presented</w:t>
      </w:r>
      <w:r w:rsidR="003637B2">
        <w:rPr>
          <w:rFonts w:ascii="Arial" w:hAnsi="Arial" w:cs="Arial"/>
          <w:bCs/>
          <w:snapToGrid w:val="0"/>
          <w:sz w:val="22"/>
          <w:szCs w:val="22"/>
        </w:rPr>
        <w:t xml:space="preserve"> </w:t>
      </w:r>
      <w:r w:rsidR="00212DAC">
        <w:rPr>
          <w:rFonts w:ascii="Arial" w:hAnsi="Arial" w:cs="Arial"/>
          <w:bCs/>
          <w:snapToGrid w:val="0"/>
          <w:sz w:val="22"/>
          <w:szCs w:val="22"/>
        </w:rPr>
        <w:t xml:space="preserve">briefly </w:t>
      </w:r>
      <w:r w:rsidR="003637B2">
        <w:rPr>
          <w:rFonts w:ascii="Arial" w:hAnsi="Arial" w:cs="Arial"/>
          <w:bCs/>
          <w:snapToGrid w:val="0"/>
          <w:sz w:val="22"/>
          <w:szCs w:val="22"/>
        </w:rPr>
        <w:t xml:space="preserve">in relation </w:t>
      </w:r>
      <w:r w:rsidR="00CF53E4" w:rsidRPr="00AE3410">
        <w:rPr>
          <w:rFonts w:ascii="Arial" w:hAnsi="Arial" w:cs="Arial"/>
          <w:bCs/>
          <w:snapToGrid w:val="0"/>
          <w:sz w:val="22"/>
          <w:szCs w:val="22"/>
        </w:rPr>
        <w:t>to</w:t>
      </w:r>
      <w:r w:rsidR="003637B2">
        <w:rPr>
          <w:rFonts w:ascii="Arial" w:hAnsi="Arial" w:cs="Arial"/>
          <w:bCs/>
          <w:snapToGrid w:val="0"/>
          <w:sz w:val="22"/>
          <w:szCs w:val="22"/>
        </w:rPr>
        <w:t xml:space="preserve"> the</w:t>
      </w:r>
      <w:r w:rsidR="00CF53E4" w:rsidRPr="00AE3410">
        <w:rPr>
          <w:rFonts w:ascii="Arial" w:hAnsi="Arial" w:cs="Arial"/>
          <w:bCs/>
          <w:snapToGrid w:val="0"/>
          <w:sz w:val="22"/>
          <w:szCs w:val="22"/>
        </w:rPr>
        <w:t xml:space="preserve"> requested TPS threshold of ≥50%</w:t>
      </w:r>
      <w:r w:rsidR="003637B2">
        <w:rPr>
          <w:rFonts w:ascii="Arial" w:hAnsi="Arial" w:cs="Arial"/>
          <w:bCs/>
          <w:snapToGrid w:val="0"/>
          <w:sz w:val="22"/>
          <w:szCs w:val="22"/>
        </w:rPr>
        <w:t xml:space="preserve">, </w:t>
      </w:r>
      <w:r w:rsidR="00212DAC">
        <w:rPr>
          <w:rFonts w:ascii="Arial" w:hAnsi="Arial" w:cs="Arial"/>
          <w:bCs/>
          <w:snapToGrid w:val="0"/>
          <w:sz w:val="22"/>
          <w:szCs w:val="22"/>
        </w:rPr>
        <w:t xml:space="preserve">and more extensively in relation to </w:t>
      </w:r>
      <w:r w:rsidR="003779B2" w:rsidRPr="00AE3410">
        <w:rPr>
          <w:rFonts w:ascii="Arial" w:hAnsi="Arial" w:cs="Arial"/>
          <w:bCs/>
          <w:snapToGrid w:val="0"/>
          <w:sz w:val="22"/>
          <w:szCs w:val="22"/>
        </w:rPr>
        <w:t xml:space="preserve">the </w:t>
      </w:r>
      <w:r w:rsidR="00CF53E4" w:rsidRPr="00AE3410">
        <w:rPr>
          <w:rFonts w:ascii="Arial" w:hAnsi="Arial" w:cs="Arial"/>
          <w:bCs/>
          <w:snapToGrid w:val="0"/>
          <w:sz w:val="22"/>
          <w:szCs w:val="22"/>
        </w:rPr>
        <w:t xml:space="preserve">practical implementation of the </w:t>
      </w:r>
      <w:r w:rsidR="003779B2" w:rsidRPr="00AE3410">
        <w:rPr>
          <w:rFonts w:ascii="Arial" w:hAnsi="Arial" w:cs="Arial"/>
          <w:bCs/>
          <w:snapToGrid w:val="0"/>
          <w:sz w:val="22"/>
          <w:szCs w:val="22"/>
        </w:rPr>
        <w:t>PD-L1 expression test</w:t>
      </w:r>
      <w:r w:rsidR="00CF53E4" w:rsidRPr="00AE3410">
        <w:rPr>
          <w:rFonts w:ascii="Arial" w:hAnsi="Arial" w:cs="Arial"/>
          <w:bCs/>
          <w:snapToGrid w:val="0"/>
          <w:sz w:val="22"/>
          <w:szCs w:val="22"/>
        </w:rPr>
        <w:t xml:space="preserve"> in Australia</w:t>
      </w:r>
      <w:r w:rsidR="003779B2" w:rsidRPr="00AE3410">
        <w:rPr>
          <w:rFonts w:ascii="Arial" w:hAnsi="Arial" w:cs="Arial"/>
          <w:bCs/>
          <w:snapToGrid w:val="0"/>
          <w:sz w:val="22"/>
          <w:szCs w:val="22"/>
        </w:rPr>
        <w:t xml:space="preserve">. </w:t>
      </w:r>
      <w:r w:rsidRPr="00AE3410">
        <w:rPr>
          <w:rFonts w:ascii="Arial" w:hAnsi="Arial" w:cs="Arial"/>
          <w:bCs/>
          <w:snapToGrid w:val="0"/>
          <w:sz w:val="22"/>
          <w:szCs w:val="22"/>
        </w:rPr>
        <w:t xml:space="preserve">The PBAC </w:t>
      </w:r>
      <w:r w:rsidR="00212DAC">
        <w:rPr>
          <w:rFonts w:ascii="Arial" w:hAnsi="Arial" w:cs="Arial"/>
          <w:bCs/>
          <w:snapToGrid w:val="0"/>
          <w:sz w:val="22"/>
          <w:szCs w:val="22"/>
        </w:rPr>
        <w:t xml:space="preserve">therefore </w:t>
      </w:r>
      <w:r w:rsidRPr="00AE3410">
        <w:rPr>
          <w:rFonts w:ascii="Arial" w:hAnsi="Arial" w:cs="Arial"/>
          <w:bCs/>
          <w:snapToGrid w:val="0"/>
          <w:sz w:val="22"/>
          <w:szCs w:val="22"/>
        </w:rPr>
        <w:t xml:space="preserve">considered that the hearing was </w:t>
      </w:r>
      <w:r w:rsidR="00212DAC">
        <w:rPr>
          <w:rFonts w:ascii="Arial" w:hAnsi="Arial" w:cs="Arial"/>
          <w:bCs/>
          <w:snapToGrid w:val="0"/>
          <w:sz w:val="22"/>
          <w:szCs w:val="22"/>
        </w:rPr>
        <w:t xml:space="preserve">less </w:t>
      </w:r>
      <w:r w:rsidRPr="00AE3410">
        <w:rPr>
          <w:rFonts w:ascii="Arial" w:hAnsi="Arial" w:cs="Arial"/>
          <w:bCs/>
          <w:snapToGrid w:val="0"/>
          <w:sz w:val="22"/>
          <w:szCs w:val="22"/>
        </w:rPr>
        <w:t xml:space="preserve">informative </w:t>
      </w:r>
      <w:r w:rsidR="00212DAC">
        <w:rPr>
          <w:rFonts w:ascii="Arial" w:hAnsi="Arial" w:cs="Arial"/>
          <w:bCs/>
          <w:snapToGrid w:val="0"/>
          <w:sz w:val="22"/>
          <w:szCs w:val="22"/>
        </w:rPr>
        <w:t>than it might have been because</w:t>
      </w:r>
      <w:r w:rsidRPr="00AE3410">
        <w:rPr>
          <w:rFonts w:ascii="Arial" w:hAnsi="Arial" w:cs="Arial"/>
          <w:bCs/>
          <w:snapToGrid w:val="0"/>
          <w:sz w:val="22"/>
          <w:szCs w:val="22"/>
        </w:rPr>
        <w:t xml:space="preserve"> it </w:t>
      </w:r>
      <w:r w:rsidR="003779B2" w:rsidRPr="00AE3410">
        <w:rPr>
          <w:rFonts w:ascii="Arial" w:hAnsi="Arial" w:cs="Arial"/>
          <w:bCs/>
          <w:snapToGrid w:val="0"/>
          <w:sz w:val="22"/>
          <w:szCs w:val="22"/>
        </w:rPr>
        <w:t>mostly related to matters for MSAC rather than PBAC consideration</w:t>
      </w:r>
      <w:r w:rsidRPr="00AE3410">
        <w:rPr>
          <w:rFonts w:ascii="Arial" w:hAnsi="Arial" w:cs="Arial"/>
          <w:bCs/>
          <w:snapToGrid w:val="0"/>
          <w:sz w:val="22"/>
          <w:szCs w:val="22"/>
        </w:rPr>
        <w:t>.</w:t>
      </w:r>
    </w:p>
    <w:p w:rsidR="00382A9D" w:rsidRPr="00F6757B" w:rsidRDefault="00382A9D" w:rsidP="00F6757B">
      <w:pPr>
        <w:pStyle w:val="Heading2"/>
      </w:pPr>
      <w:r w:rsidRPr="00F6757B">
        <w:t>Consumer comments</w:t>
      </w:r>
    </w:p>
    <w:p w:rsidR="00382A9D" w:rsidRPr="00AE3410" w:rsidRDefault="00382A9D" w:rsidP="00322974">
      <w:pPr>
        <w:numPr>
          <w:ilvl w:val="1"/>
          <w:numId w:val="4"/>
        </w:numPr>
        <w:ind w:left="720"/>
        <w:rPr>
          <w:rFonts w:ascii="Arial" w:hAnsi="Arial" w:cs="Arial"/>
          <w:bCs/>
          <w:snapToGrid w:val="0"/>
          <w:sz w:val="22"/>
          <w:szCs w:val="22"/>
        </w:rPr>
      </w:pPr>
      <w:r w:rsidRPr="00AE3410">
        <w:rPr>
          <w:rFonts w:ascii="Arial" w:hAnsi="Arial" w:cs="Arial"/>
          <w:bCs/>
          <w:snapToGrid w:val="0"/>
          <w:sz w:val="22"/>
          <w:szCs w:val="22"/>
        </w:rPr>
        <w:t>The PBAC noted and welcomed the input from individuals (</w:t>
      </w:r>
      <w:r w:rsidR="003779B2" w:rsidRPr="00AE3410">
        <w:rPr>
          <w:rFonts w:ascii="Arial" w:hAnsi="Arial" w:cs="Arial"/>
          <w:bCs/>
          <w:snapToGrid w:val="0"/>
          <w:sz w:val="22"/>
          <w:szCs w:val="22"/>
        </w:rPr>
        <w:t>11</w:t>
      </w:r>
      <w:r w:rsidRPr="00AE3410">
        <w:rPr>
          <w:rFonts w:ascii="Arial" w:hAnsi="Arial" w:cs="Arial"/>
          <w:bCs/>
          <w:snapToGrid w:val="0"/>
          <w:sz w:val="22"/>
          <w:szCs w:val="22"/>
        </w:rPr>
        <w:t>), health care professionals (1</w:t>
      </w:r>
      <w:r w:rsidR="003779B2" w:rsidRPr="00AE3410">
        <w:rPr>
          <w:rFonts w:ascii="Arial" w:hAnsi="Arial" w:cs="Arial"/>
          <w:bCs/>
          <w:snapToGrid w:val="0"/>
          <w:sz w:val="22"/>
          <w:szCs w:val="22"/>
        </w:rPr>
        <w:t>6</w:t>
      </w:r>
      <w:r w:rsidRPr="00AE3410">
        <w:rPr>
          <w:rFonts w:ascii="Arial" w:hAnsi="Arial" w:cs="Arial"/>
          <w:bCs/>
          <w:snapToGrid w:val="0"/>
          <w:sz w:val="22"/>
          <w:szCs w:val="22"/>
        </w:rPr>
        <w:t>) and organisations (</w:t>
      </w:r>
      <w:r w:rsidR="003779B2" w:rsidRPr="00AE3410">
        <w:rPr>
          <w:rFonts w:ascii="Arial" w:hAnsi="Arial" w:cs="Arial"/>
          <w:bCs/>
          <w:snapToGrid w:val="0"/>
          <w:sz w:val="22"/>
          <w:szCs w:val="22"/>
        </w:rPr>
        <w:t>4</w:t>
      </w:r>
      <w:r w:rsidRPr="00AE3410">
        <w:rPr>
          <w:rFonts w:ascii="Arial" w:hAnsi="Arial" w:cs="Arial"/>
          <w:bCs/>
          <w:snapToGrid w:val="0"/>
          <w:sz w:val="22"/>
          <w:szCs w:val="22"/>
        </w:rPr>
        <w:t xml:space="preserve">) via the Consumer Comments facility on the PBS website. The comments described a range of benefits of treatment with </w:t>
      </w:r>
      <w:r w:rsidR="002F0DF3" w:rsidRPr="00AE3410">
        <w:rPr>
          <w:rFonts w:ascii="Arial" w:hAnsi="Arial" w:cs="Arial"/>
          <w:bCs/>
          <w:snapToGrid w:val="0"/>
          <w:sz w:val="22"/>
          <w:szCs w:val="22"/>
        </w:rPr>
        <w:t>pembrolizumab</w:t>
      </w:r>
      <w:r w:rsidRPr="00AE3410">
        <w:rPr>
          <w:rFonts w:ascii="Arial" w:hAnsi="Arial" w:cs="Arial"/>
          <w:bCs/>
          <w:snapToGrid w:val="0"/>
          <w:sz w:val="22"/>
          <w:szCs w:val="22"/>
        </w:rPr>
        <w:t xml:space="preserve"> including </w:t>
      </w:r>
      <w:r w:rsidR="00DC54A3" w:rsidRPr="00AE3410">
        <w:rPr>
          <w:rFonts w:ascii="Arial" w:hAnsi="Arial" w:cs="Arial"/>
          <w:bCs/>
          <w:snapToGrid w:val="0"/>
          <w:sz w:val="22"/>
          <w:szCs w:val="22"/>
        </w:rPr>
        <w:t xml:space="preserve">slowing of disease progression, </w:t>
      </w:r>
      <w:r w:rsidR="00AF2669" w:rsidRPr="00AE3410">
        <w:rPr>
          <w:rFonts w:ascii="Arial" w:hAnsi="Arial" w:cs="Arial"/>
          <w:bCs/>
          <w:snapToGrid w:val="0"/>
          <w:sz w:val="22"/>
          <w:szCs w:val="22"/>
        </w:rPr>
        <w:t xml:space="preserve">modest side effects, </w:t>
      </w:r>
      <w:r w:rsidR="00DC54A3" w:rsidRPr="00AE3410">
        <w:rPr>
          <w:rFonts w:ascii="Arial" w:hAnsi="Arial" w:cs="Arial"/>
          <w:bCs/>
          <w:snapToGrid w:val="0"/>
          <w:sz w:val="22"/>
          <w:szCs w:val="22"/>
        </w:rPr>
        <w:t>improved quality of life, improved survival rates</w:t>
      </w:r>
      <w:r w:rsidR="00AF2669" w:rsidRPr="00AE3410">
        <w:rPr>
          <w:rFonts w:ascii="Arial" w:hAnsi="Arial" w:cs="Arial"/>
          <w:bCs/>
          <w:snapToGrid w:val="0"/>
          <w:sz w:val="22"/>
          <w:szCs w:val="22"/>
        </w:rPr>
        <w:t>, reduced hospitalisations, and productivity impacts</w:t>
      </w:r>
      <w:r w:rsidR="00DC54A3" w:rsidRPr="00AE3410">
        <w:rPr>
          <w:rFonts w:ascii="Arial" w:hAnsi="Arial" w:cs="Arial"/>
          <w:bCs/>
          <w:snapToGrid w:val="0"/>
          <w:sz w:val="22"/>
          <w:szCs w:val="22"/>
        </w:rPr>
        <w:t xml:space="preserve">. The comments also noted the burden of financial hardships incurred by patients and their families in the absence of any subsidy of this </w:t>
      </w:r>
      <w:r w:rsidR="00774DA1">
        <w:rPr>
          <w:rFonts w:ascii="Arial" w:hAnsi="Arial" w:cs="Arial"/>
          <w:bCs/>
          <w:snapToGrid w:val="0"/>
          <w:sz w:val="22"/>
          <w:szCs w:val="22"/>
        </w:rPr>
        <w:t xml:space="preserve">class of </w:t>
      </w:r>
      <w:r w:rsidR="00DC54A3" w:rsidRPr="00AE3410">
        <w:rPr>
          <w:rFonts w:ascii="Arial" w:hAnsi="Arial" w:cs="Arial"/>
          <w:bCs/>
          <w:snapToGrid w:val="0"/>
          <w:sz w:val="22"/>
          <w:szCs w:val="22"/>
        </w:rPr>
        <w:t>expensive medicine</w:t>
      </w:r>
      <w:r w:rsidR="00E12B32" w:rsidRPr="00AE3410">
        <w:rPr>
          <w:rFonts w:ascii="Arial" w:hAnsi="Arial" w:cs="Arial"/>
          <w:bCs/>
          <w:snapToGrid w:val="0"/>
          <w:sz w:val="22"/>
          <w:szCs w:val="22"/>
        </w:rPr>
        <w:t>.</w:t>
      </w:r>
    </w:p>
    <w:p w:rsidR="00E12B32" w:rsidRDefault="00E12B32" w:rsidP="00E12B32">
      <w:pPr>
        <w:rPr>
          <w:rFonts w:ascii="Arial" w:hAnsi="Arial" w:cs="Arial"/>
          <w:bCs/>
          <w:snapToGrid w:val="0"/>
          <w:sz w:val="22"/>
          <w:szCs w:val="22"/>
        </w:rPr>
      </w:pPr>
    </w:p>
    <w:p w:rsidR="008672B4" w:rsidRPr="008672B4" w:rsidRDefault="008672B4" w:rsidP="008672B4">
      <w:pPr>
        <w:widowControl w:val="0"/>
        <w:numPr>
          <w:ilvl w:val="1"/>
          <w:numId w:val="4"/>
        </w:numPr>
        <w:snapToGrid w:val="0"/>
        <w:ind w:left="720"/>
        <w:contextualSpacing/>
        <w:rPr>
          <w:rFonts w:ascii="Arial" w:hAnsi="Arial" w:cs="Arial"/>
          <w:bCs/>
          <w:snapToGrid w:val="0"/>
          <w:sz w:val="22"/>
          <w:szCs w:val="22"/>
        </w:rPr>
      </w:pPr>
      <w:r w:rsidRPr="008672B4">
        <w:rPr>
          <w:rFonts w:ascii="Arial" w:hAnsi="Arial" w:cs="Arial"/>
          <w:snapToGrid w:val="0"/>
          <w:sz w:val="22"/>
          <w:szCs w:val="20"/>
        </w:rPr>
        <w:t xml:space="preserve">The Medical Oncology Group of Australia (MOGA) also expressed its support for the </w:t>
      </w:r>
      <w:r>
        <w:rPr>
          <w:rFonts w:ascii="Arial" w:hAnsi="Arial" w:cs="Arial"/>
          <w:snapToGrid w:val="0"/>
          <w:sz w:val="22"/>
          <w:szCs w:val="20"/>
        </w:rPr>
        <w:t xml:space="preserve">pembrolizumab </w:t>
      </w:r>
      <w:r w:rsidRPr="008672B4">
        <w:rPr>
          <w:rFonts w:ascii="Arial" w:hAnsi="Arial" w:cs="Arial"/>
          <w:snapToGrid w:val="0"/>
          <w:sz w:val="22"/>
          <w:szCs w:val="20"/>
        </w:rPr>
        <w:t xml:space="preserve">submission, on the basis of increased survival benefit and decreased toxicity. The PBAC noted that the MOGA presented the European Society for Medical Oncology Magnitude of Clinical Benefit Scale (ESMO-MCBS) in this context as being 5 (out of a maximum of 5, where 5 and 4 represent the grades with </w:t>
      </w:r>
      <w:r w:rsidRPr="008672B4">
        <w:rPr>
          <w:rFonts w:ascii="Arial" w:hAnsi="Arial" w:cs="Arial"/>
          <w:snapToGrid w:val="0"/>
          <w:sz w:val="22"/>
          <w:szCs w:val="20"/>
        </w:rPr>
        <w:lastRenderedPageBreak/>
        <w:t>substantial improvement)</w:t>
      </w:r>
      <w:r w:rsidRPr="008672B4">
        <w:rPr>
          <w:rFonts w:ascii="Arial" w:hAnsi="Arial" w:cs="Arial"/>
          <w:snapToGrid w:val="0"/>
          <w:sz w:val="22"/>
          <w:szCs w:val="20"/>
          <w:vertAlign w:val="superscript"/>
        </w:rPr>
        <w:footnoteReference w:id="6"/>
      </w:r>
      <w:r w:rsidRPr="008672B4">
        <w:rPr>
          <w:rFonts w:ascii="Arial" w:hAnsi="Arial" w:cs="Arial"/>
          <w:snapToGrid w:val="0"/>
          <w:sz w:val="22"/>
          <w:szCs w:val="20"/>
        </w:rPr>
        <w:t xml:space="preserve">, based </w:t>
      </w:r>
      <w:r>
        <w:rPr>
          <w:rFonts w:ascii="Arial" w:hAnsi="Arial" w:cs="Arial"/>
          <w:snapToGrid w:val="0"/>
          <w:sz w:val="22"/>
          <w:szCs w:val="20"/>
        </w:rPr>
        <w:t xml:space="preserve">the KN-024 </w:t>
      </w:r>
      <w:r w:rsidRPr="008672B4">
        <w:rPr>
          <w:rFonts w:ascii="Arial" w:hAnsi="Arial" w:cs="Arial"/>
          <w:snapToGrid w:val="0"/>
          <w:sz w:val="22"/>
          <w:szCs w:val="20"/>
        </w:rPr>
        <w:t xml:space="preserve">comparison of </w:t>
      </w:r>
      <w:r>
        <w:rPr>
          <w:rFonts w:ascii="Arial" w:hAnsi="Arial" w:cs="Arial"/>
          <w:snapToGrid w:val="0"/>
          <w:sz w:val="22"/>
          <w:szCs w:val="20"/>
        </w:rPr>
        <w:t xml:space="preserve">pembrolizumab </w:t>
      </w:r>
      <w:r w:rsidRPr="008672B4">
        <w:rPr>
          <w:rFonts w:ascii="Arial" w:hAnsi="Arial" w:cs="Arial"/>
          <w:snapToGrid w:val="0"/>
          <w:sz w:val="22"/>
          <w:szCs w:val="20"/>
        </w:rPr>
        <w:t xml:space="preserve">with </w:t>
      </w:r>
      <w:r>
        <w:rPr>
          <w:rFonts w:ascii="Arial" w:hAnsi="Arial" w:cs="Arial"/>
          <w:snapToGrid w:val="0"/>
          <w:sz w:val="22"/>
          <w:szCs w:val="20"/>
        </w:rPr>
        <w:t>platinum-based chemotherapy</w:t>
      </w:r>
      <w:r w:rsidRPr="008672B4">
        <w:rPr>
          <w:rFonts w:ascii="Arial" w:hAnsi="Arial" w:cs="Arial"/>
          <w:snapToGrid w:val="0"/>
          <w:sz w:val="22"/>
          <w:szCs w:val="20"/>
        </w:rPr>
        <w:t>.</w:t>
      </w:r>
    </w:p>
    <w:p w:rsidR="00382A9D" w:rsidRPr="00F6757B" w:rsidRDefault="00E12B32" w:rsidP="00F6757B">
      <w:pPr>
        <w:pStyle w:val="Heading2"/>
      </w:pPr>
      <w:r w:rsidRPr="00F6757B">
        <w:t>Clinical trials</w:t>
      </w:r>
    </w:p>
    <w:p w:rsidR="00932972" w:rsidRPr="007B14F5" w:rsidRDefault="00932972" w:rsidP="00217726">
      <w:pPr>
        <w:pStyle w:val="ListParagraph"/>
        <w:numPr>
          <w:ilvl w:val="1"/>
          <w:numId w:val="4"/>
        </w:numPr>
        <w:ind w:left="720"/>
        <w:rPr>
          <w:rFonts w:ascii="Arial" w:hAnsi="Arial" w:cs="Arial"/>
          <w:sz w:val="22"/>
          <w:szCs w:val="22"/>
        </w:rPr>
      </w:pPr>
      <w:bookmarkStart w:id="18" w:name="_Toc431891739"/>
      <w:r w:rsidRPr="007B14F5">
        <w:rPr>
          <w:rFonts w:ascii="Arial" w:hAnsi="Arial" w:cs="Arial"/>
          <w:sz w:val="22"/>
          <w:szCs w:val="22"/>
        </w:rPr>
        <w:t xml:space="preserve">The key features of the included evidence are summarised in Table </w:t>
      </w:r>
      <w:r w:rsidR="00A7013F">
        <w:rPr>
          <w:rFonts w:ascii="Arial" w:hAnsi="Arial" w:cs="Arial"/>
          <w:sz w:val="22"/>
          <w:szCs w:val="22"/>
        </w:rPr>
        <w:t>1</w:t>
      </w:r>
      <w:r w:rsidR="0027247F">
        <w:rPr>
          <w:rFonts w:ascii="Arial" w:hAnsi="Arial" w:cs="Arial"/>
          <w:sz w:val="22"/>
          <w:szCs w:val="22"/>
        </w:rPr>
        <w:t>.</w:t>
      </w:r>
    </w:p>
    <w:p w:rsidR="00581DED" w:rsidRPr="003779B2" w:rsidRDefault="00581DED">
      <w:pPr>
        <w:jc w:val="left"/>
        <w:rPr>
          <w:rFonts w:ascii="Arial" w:eastAsia="SimSun" w:hAnsi="Arial" w:cs="Arial"/>
          <w:sz w:val="22"/>
          <w:szCs w:val="22"/>
          <w:lang w:eastAsia="en-AU" w:bidi="en-US"/>
        </w:rPr>
      </w:pPr>
    </w:p>
    <w:p w:rsidR="00932972" w:rsidRPr="006B33C9" w:rsidRDefault="00932972" w:rsidP="00377F29">
      <w:pPr>
        <w:pStyle w:val="TableHeading0"/>
      </w:pPr>
      <w:r w:rsidRPr="006B33C9">
        <w:t xml:space="preserve">Table </w:t>
      </w:r>
      <w:r w:rsidR="00A7013F">
        <w:t>1</w:t>
      </w:r>
      <w:r w:rsidRPr="006B33C9">
        <w:t>: Key features of the included evidence</w:t>
      </w: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00"/>
        <w:gridCol w:w="425"/>
        <w:gridCol w:w="4253"/>
        <w:gridCol w:w="1278"/>
        <w:gridCol w:w="1132"/>
        <w:gridCol w:w="1400"/>
      </w:tblGrid>
      <w:tr w:rsidR="00A64517" w:rsidRPr="006B33C9" w:rsidTr="00A64517">
        <w:tc>
          <w:tcPr>
            <w:tcW w:w="330" w:type="pct"/>
            <w:tcBorders>
              <w:bottom w:val="single" w:sz="4" w:space="0" w:color="auto"/>
            </w:tcBorders>
            <w:shd w:val="clear" w:color="auto" w:fill="auto"/>
            <w:vAlign w:val="center"/>
          </w:tcPr>
          <w:p w:rsidR="00932972" w:rsidRPr="006B33C9" w:rsidRDefault="00932972" w:rsidP="00377F29">
            <w:pPr>
              <w:keepNext/>
              <w:rPr>
                <w:rFonts w:ascii="Arial Narrow" w:hAnsi="Arial Narrow"/>
                <w:b/>
                <w:sz w:val="20"/>
                <w:lang w:val="en-US"/>
              </w:rPr>
            </w:pPr>
            <w:r w:rsidRPr="006B33C9">
              <w:rPr>
                <w:rFonts w:ascii="Arial Narrow" w:hAnsi="Arial Narrow"/>
                <w:b/>
                <w:sz w:val="20"/>
                <w:lang w:val="en-US"/>
              </w:rPr>
              <w:t>Trial</w:t>
            </w:r>
          </w:p>
        </w:tc>
        <w:tc>
          <w:tcPr>
            <w:tcW w:w="234" w:type="pct"/>
            <w:tcBorders>
              <w:bottom w:val="single" w:sz="4" w:space="0" w:color="auto"/>
            </w:tcBorders>
            <w:shd w:val="clear" w:color="auto" w:fill="auto"/>
            <w:vAlign w:val="center"/>
          </w:tcPr>
          <w:p w:rsidR="00932972" w:rsidRPr="006B33C9" w:rsidRDefault="00932972" w:rsidP="00377F29">
            <w:pPr>
              <w:keepNext/>
              <w:jc w:val="center"/>
              <w:rPr>
                <w:rFonts w:ascii="Arial Narrow" w:hAnsi="Arial Narrow"/>
                <w:b/>
                <w:sz w:val="20"/>
                <w:lang w:val="en-US"/>
              </w:rPr>
            </w:pPr>
            <w:r w:rsidRPr="006B33C9">
              <w:rPr>
                <w:rFonts w:ascii="Arial Narrow" w:hAnsi="Arial Narrow"/>
                <w:b/>
                <w:sz w:val="20"/>
                <w:lang w:val="en-US"/>
              </w:rPr>
              <w:t>N</w:t>
            </w:r>
          </w:p>
        </w:tc>
        <w:tc>
          <w:tcPr>
            <w:tcW w:w="2340" w:type="pct"/>
            <w:tcBorders>
              <w:bottom w:val="single" w:sz="4" w:space="0" w:color="auto"/>
            </w:tcBorders>
            <w:shd w:val="clear" w:color="auto" w:fill="auto"/>
            <w:vAlign w:val="center"/>
          </w:tcPr>
          <w:p w:rsidR="00932972" w:rsidRPr="006B33C9" w:rsidRDefault="00932972" w:rsidP="00377F29">
            <w:pPr>
              <w:keepNext/>
              <w:jc w:val="center"/>
              <w:rPr>
                <w:rFonts w:ascii="Arial Narrow" w:hAnsi="Arial Narrow"/>
                <w:b/>
                <w:sz w:val="20"/>
                <w:lang w:val="en-US"/>
              </w:rPr>
            </w:pPr>
            <w:r w:rsidRPr="006B33C9">
              <w:rPr>
                <w:rFonts w:ascii="Arial Narrow" w:hAnsi="Arial Narrow"/>
                <w:b/>
                <w:sz w:val="20"/>
                <w:lang w:val="en-US"/>
              </w:rPr>
              <w:t>Design/ duration</w:t>
            </w:r>
          </w:p>
        </w:tc>
        <w:tc>
          <w:tcPr>
            <w:tcW w:w="703" w:type="pct"/>
            <w:tcBorders>
              <w:bottom w:val="single" w:sz="4" w:space="0" w:color="auto"/>
            </w:tcBorders>
            <w:shd w:val="clear" w:color="auto" w:fill="auto"/>
            <w:vAlign w:val="center"/>
          </w:tcPr>
          <w:p w:rsidR="00932972" w:rsidRPr="006B33C9" w:rsidRDefault="00932972" w:rsidP="00377F29">
            <w:pPr>
              <w:keepNext/>
              <w:jc w:val="center"/>
              <w:rPr>
                <w:rFonts w:ascii="Arial Narrow" w:hAnsi="Arial Narrow"/>
                <w:b/>
                <w:sz w:val="20"/>
                <w:lang w:val="en-US"/>
              </w:rPr>
            </w:pPr>
            <w:r w:rsidRPr="006B33C9">
              <w:rPr>
                <w:rFonts w:ascii="Arial Narrow" w:hAnsi="Arial Narrow"/>
                <w:b/>
                <w:sz w:val="20"/>
                <w:lang w:val="en-US"/>
              </w:rPr>
              <w:t>Patient population</w:t>
            </w:r>
          </w:p>
        </w:tc>
        <w:tc>
          <w:tcPr>
            <w:tcW w:w="623" w:type="pct"/>
            <w:tcBorders>
              <w:bottom w:val="single" w:sz="4" w:space="0" w:color="auto"/>
            </w:tcBorders>
            <w:shd w:val="clear" w:color="auto" w:fill="auto"/>
            <w:vAlign w:val="center"/>
          </w:tcPr>
          <w:p w:rsidR="00932972" w:rsidRPr="006B33C9" w:rsidRDefault="00932972" w:rsidP="00377F29">
            <w:pPr>
              <w:keepNext/>
              <w:jc w:val="center"/>
              <w:rPr>
                <w:rFonts w:ascii="Arial Narrow" w:hAnsi="Arial Narrow"/>
                <w:b/>
                <w:sz w:val="20"/>
                <w:lang w:val="en-US"/>
              </w:rPr>
            </w:pPr>
            <w:r w:rsidRPr="006B33C9">
              <w:rPr>
                <w:rFonts w:ascii="Arial Narrow" w:hAnsi="Arial Narrow"/>
                <w:b/>
                <w:sz w:val="20"/>
                <w:lang w:val="en-US"/>
              </w:rPr>
              <w:t>Outcome(s)</w:t>
            </w:r>
          </w:p>
        </w:tc>
        <w:tc>
          <w:tcPr>
            <w:tcW w:w="769" w:type="pct"/>
            <w:tcBorders>
              <w:bottom w:val="single" w:sz="4" w:space="0" w:color="auto"/>
            </w:tcBorders>
            <w:shd w:val="clear" w:color="auto" w:fill="auto"/>
            <w:vAlign w:val="center"/>
          </w:tcPr>
          <w:p w:rsidR="00932972" w:rsidRPr="006B33C9" w:rsidRDefault="00932972" w:rsidP="00377F29">
            <w:pPr>
              <w:keepNext/>
              <w:jc w:val="center"/>
              <w:rPr>
                <w:rFonts w:ascii="Arial Narrow" w:hAnsi="Arial Narrow"/>
                <w:b/>
                <w:sz w:val="20"/>
                <w:lang w:val="en-US"/>
              </w:rPr>
            </w:pPr>
            <w:r w:rsidRPr="006B33C9">
              <w:rPr>
                <w:rFonts w:ascii="Arial Narrow" w:hAnsi="Arial Narrow"/>
                <w:b/>
                <w:sz w:val="20"/>
                <w:lang w:val="en-US"/>
              </w:rPr>
              <w:t>Use in modelled evaluation</w:t>
            </w:r>
          </w:p>
        </w:tc>
      </w:tr>
      <w:tr w:rsidR="00932972" w:rsidRPr="008241D4" w:rsidTr="00932972">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932972" w:rsidRPr="006B33C9" w:rsidRDefault="00932972" w:rsidP="000C325C">
            <w:pPr>
              <w:keepNext/>
              <w:rPr>
                <w:rFonts w:ascii="Arial Narrow" w:hAnsi="Arial Narrow"/>
                <w:b/>
                <w:sz w:val="20"/>
                <w:lang w:val="en-US"/>
              </w:rPr>
            </w:pPr>
            <w:r w:rsidRPr="006B33C9">
              <w:rPr>
                <w:rFonts w:ascii="Arial Narrow" w:hAnsi="Arial Narrow"/>
                <w:b/>
                <w:sz w:val="20"/>
                <w:lang w:val="en-US"/>
              </w:rPr>
              <w:t xml:space="preserve">Direct comparison between pembrolizumab and platinum-based chemotherapy in PD-L1 positive ≥50% NSCLC </w:t>
            </w:r>
          </w:p>
        </w:tc>
      </w:tr>
      <w:tr w:rsidR="00A64517" w:rsidRPr="008241D4" w:rsidTr="00A64517">
        <w:trPr>
          <w:trHeight w:val="210"/>
        </w:trPr>
        <w:tc>
          <w:tcPr>
            <w:tcW w:w="330" w:type="pct"/>
            <w:tcBorders>
              <w:top w:val="single" w:sz="4" w:space="0" w:color="auto"/>
            </w:tcBorders>
            <w:shd w:val="clear" w:color="auto" w:fill="auto"/>
          </w:tcPr>
          <w:p w:rsidR="00932972" w:rsidRPr="006B33C9" w:rsidRDefault="00932972" w:rsidP="00932972">
            <w:pPr>
              <w:jc w:val="left"/>
              <w:rPr>
                <w:rFonts w:ascii="Arial Narrow" w:hAnsi="Arial Narrow"/>
                <w:sz w:val="20"/>
                <w:lang w:val="en-US"/>
              </w:rPr>
            </w:pPr>
            <w:r w:rsidRPr="006B33C9">
              <w:rPr>
                <w:rFonts w:ascii="Arial Narrow" w:hAnsi="Arial Narrow"/>
                <w:sz w:val="20"/>
                <w:lang w:val="en-US"/>
              </w:rPr>
              <w:t>KN-024</w:t>
            </w:r>
          </w:p>
        </w:tc>
        <w:tc>
          <w:tcPr>
            <w:tcW w:w="234" w:type="pct"/>
            <w:tcBorders>
              <w:top w:val="single" w:sz="4" w:space="0" w:color="auto"/>
            </w:tcBorders>
            <w:shd w:val="clear" w:color="auto" w:fill="auto"/>
          </w:tcPr>
          <w:p w:rsidR="00932972" w:rsidRPr="005E0428" w:rsidRDefault="00932972" w:rsidP="00932972">
            <w:pPr>
              <w:jc w:val="center"/>
              <w:rPr>
                <w:rFonts w:ascii="Arial Narrow" w:hAnsi="Arial Narrow"/>
                <w:sz w:val="20"/>
                <w:lang w:val="en-US"/>
              </w:rPr>
            </w:pPr>
            <w:r w:rsidRPr="005E0428">
              <w:rPr>
                <w:rFonts w:ascii="Arial Narrow" w:hAnsi="Arial Narrow"/>
                <w:sz w:val="20"/>
                <w:lang w:val="en-US"/>
              </w:rPr>
              <w:t>305</w:t>
            </w:r>
          </w:p>
        </w:tc>
        <w:tc>
          <w:tcPr>
            <w:tcW w:w="2340" w:type="pct"/>
            <w:tcBorders>
              <w:top w:val="single" w:sz="4" w:space="0" w:color="auto"/>
            </w:tcBorders>
            <w:shd w:val="clear" w:color="auto" w:fill="auto"/>
          </w:tcPr>
          <w:p w:rsidR="00932972" w:rsidRPr="00DE34A2" w:rsidRDefault="00932972" w:rsidP="00932972">
            <w:pPr>
              <w:jc w:val="left"/>
              <w:rPr>
                <w:rFonts w:ascii="Arial Narrow" w:hAnsi="Arial Narrow"/>
                <w:sz w:val="20"/>
                <w:lang w:val="en-US"/>
              </w:rPr>
            </w:pPr>
            <w:r w:rsidRPr="00DE34A2">
              <w:rPr>
                <w:rFonts w:ascii="Arial Narrow" w:hAnsi="Arial Narrow"/>
                <w:sz w:val="20"/>
                <w:lang w:val="en-US"/>
              </w:rPr>
              <w:t>R (1:1), OL, MC</w:t>
            </w:r>
          </w:p>
          <w:p w:rsidR="00932972" w:rsidRPr="00DE34A2" w:rsidRDefault="00932972" w:rsidP="00932972">
            <w:pPr>
              <w:numPr>
                <w:ilvl w:val="0"/>
                <w:numId w:val="2"/>
              </w:numPr>
              <w:tabs>
                <w:tab w:val="clear" w:pos="720"/>
              </w:tabs>
              <w:ind w:left="254" w:hanging="198"/>
              <w:contextualSpacing/>
              <w:jc w:val="left"/>
              <w:rPr>
                <w:rFonts w:ascii="Arial Narrow" w:hAnsi="Arial Narrow"/>
                <w:sz w:val="20"/>
                <w:lang w:val="en-US"/>
              </w:rPr>
            </w:pPr>
            <w:r w:rsidRPr="00DE34A2">
              <w:rPr>
                <w:rFonts w:ascii="Arial Narrow" w:hAnsi="Arial Narrow"/>
                <w:sz w:val="20"/>
                <w:lang w:val="en-US"/>
              </w:rPr>
              <w:t xml:space="preserve">Pembrolizumab </w:t>
            </w:r>
            <w:r>
              <w:rPr>
                <w:rFonts w:ascii="Arial Narrow" w:hAnsi="Arial Narrow"/>
                <w:sz w:val="20"/>
                <w:lang w:val="en-US"/>
              </w:rPr>
              <w:t>200 mg</w:t>
            </w:r>
            <w:r w:rsidRPr="00DE34A2">
              <w:rPr>
                <w:rFonts w:ascii="Arial Narrow" w:hAnsi="Arial Narrow"/>
                <w:sz w:val="20"/>
                <w:lang w:val="en-US"/>
              </w:rPr>
              <w:t xml:space="preserve"> Q3W</w:t>
            </w:r>
          </w:p>
          <w:p w:rsidR="00932972" w:rsidRPr="00DE34A2" w:rsidRDefault="00932972" w:rsidP="00932972">
            <w:pPr>
              <w:numPr>
                <w:ilvl w:val="0"/>
                <w:numId w:val="2"/>
              </w:numPr>
              <w:tabs>
                <w:tab w:val="clear" w:pos="720"/>
              </w:tabs>
              <w:ind w:left="254" w:hanging="198"/>
              <w:contextualSpacing/>
              <w:jc w:val="left"/>
              <w:rPr>
                <w:rFonts w:ascii="Arial Narrow" w:hAnsi="Arial Narrow"/>
                <w:sz w:val="20"/>
                <w:lang w:val="en-US"/>
              </w:rPr>
            </w:pPr>
            <w:r w:rsidRPr="00DE34A2">
              <w:rPr>
                <w:rFonts w:ascii="Arial Narrow" w:hAnsi="Arial Narrow"/>
                <w:sz w:val="20"/>
                <w:lang w:val="en-US"/>
              </w:rPr>
              <w:t>Platinum doublet</w:t>
            </w:r>
          </w:p>
          <w:p w:rsidR="00932972" w:rsidRPr="00DE34A2" w:rsidRDefault="00932972" w:rsidP="00932972">
            <w:pPr>
              <w:jc w:val="left"/>
              <w:rPr>
                <w:rFonts w:ascii="Arial Narrow" w:hAnsi="Arial Narrow"/>
                <w:sz w:val="20"/>
                <w:lang w:val="en-US"/>
              </w:rPr>
            </w:pPr>
            <w:r w:rsidRPr="00DE34A2">
              <w:rPr>
                <w:rFonts w:ascii="Arial Narrow" w:hAnsi="Arial Narrow"/>
                <w:sz w:val="20"/>
                <w:u w:val="single"/>
                <w:lang w:val="en-US"/>
              </w:rPr>
              <w:t>Stratification</w:t>
            </w:r>
            <w:r w:rsidRPr="00DE34A2">
              <w:rPr>
                <w:rFonts w:ascii="Arial Narrow" w:hAnsi="Arial Narrow"/>
                <w:sz w:val="20"/>
                <w:lang w:val="en-US"/>
              </w:rPr>
              <w:t>: by ECOG (0 vs 1), region (east Asia vs non East Asia) and histology (squamous vs non-squamous).</w:t>
            </w:r>
          </w:p>
          <w:p w:rsidR="00932972" w:rsidRPr="00DE34A2" w:rsidRDefault="00932972" w:rsidP="00932972">
            <w:pPr>
              <w:jc w:val="left"/>
              <w:rPr>
                <w:rFonts w:ascii="Arial Narrow" w:hAnsi="Arial Narrow"/>
                <w:sz w:val="20"/>
                <w:lang w:val="en-US"/>
              </w:rPr>
            </w:pPr>
          </w:p>
          <w:p w:rsidR="00155840" w:rsidRPr="00DE34A2" w:rsidRDefault="00155840" w:rsidP="00155840">
            <w:pPr>
              <w:jc w:val="left"/>
              <w:rPr>
                <w:rFonts w:ascii="Arial Narrow" w:hAnsi="Arial Narrow"/>
                <w:sz w:val="20"/>
                <w:vertAlign w:val="superscript"/>
                <w:lang w:val="en-US"/>
              </w:rPr>
            </w:pPr>
            <w:r w:rsidRPr="00DE34A2">
              <w:rPr>
                <w:rFonts w:ascii="Arial Narrow" w:hAnsi="Arial Narrow"/>
                <w:sz w:val="20"/>
                <w:lang w:val="en-US"/>
              </w:rPr>
              <w:t>Retreatment with pembrolizumab was allowed in the protocol</w:t>
            </w:r>
            <w:r w:rsidRPr="00DE34A2">
              <w:rPr>
                <w:rFonts w:ascii="Arial Narrow" w:hAnsi="Arial Narrow"/>
                <w:sz w:val="20"/>
                <w:vertAlign w:val="superscript"/>
                <w:lang w:val="en-US"/>
              </w:rPr>
              <w:t>a</w:t>
            </w:r>
          </w:p>
          <w:p w:rsidR="00932972" w:rsidRDefault="00932972" w:rsidP="00932972">
            <w:pPr>
              <w:jc w:val="left"/>
              <w:rPr>
                <w:rFonts w:ascii="Arial Narrow" w:hAnsi="Arial Narrow"/>
                <w:sz w:val="20"/>
                <w:lang w:val="en-US"/>
              </w:rPr>
            </w:pPr>
          </w:p>
          <w:p w:rsidR="00932972" w:rsidRPr="00DE34A2" w:rsidRDefault="00932972" w:rsidP="00932972">
            <w:pPr>
              <w:jc w:val="left"/>
              <w:rPr>
                <w:rFonts w:ascii="Arial Narrow" w:hAnsi="Arial Narrow"/>
                <w:sz w:val="20"/>
                <w:lang w:val="en-US"/>
              </w:rPr>
            </w:pPr>
            <w:r w:rsidRPr="00DE34A2">
              <w:rPr>
                <w:rFonts w:ascii="Arial Narrow" w:hAnsi="Arial Narrow"/>
                <w:sz w:val="20"/>
                <w:lang w:val="en-US"/>
              </w:rPr>
              <w:t xml:space="preserve">Patients </w:t>
            </w:r>
            <w:r w:rsidR="00155840">
              <w:rPr>
                <w:rFonts w:ascii="Arial Narrow" w:hAnsi="Arial Narrow"/>
                <w:sz w:val="20"/>
                <w:lang w:val="en-US"/>
              </w:rPr>
              <w:t>we</w:t>
            </w:r>
            <w:r w:rsidRPr="00DE34A2">
              <w:rPr>
                <w:rFonts w:ascii="Arial Narrow" w:hAnsi="Arial Narrow"/>
                <w:sz w:val="20"/>
                <w:lang w:val="en-US"/>
              </w:rPr>
              <w:t>re treated with pembrolizumab until disease progression or unacceptable toxicity.</w:t>
            </w:r>
          </w:p>
          <w:p w:rsidR="00932972" w:rsidRPr="00DE34A2" w:rsidRDefault="00932972" w:rsidP="00932972">
            <w:pPr>
              <w:jc w:val="left"/>
              <w:rPr>
                <w:rFonts w:ascii="Arial Narrow" w:hAnsi="Arial Narrow"/>
                <w:sz w:val="20"/>
                <w:lang w:val="en-US"/>
              </w:rPr>
            </w:pPr>
          </w:p>
          <w:p w:rsidR="00932972" w:rsidRPr="00DE34A2" w:rsidRDefault="00932972" w:rsidP="00932972">
            <w:pPr>
              <w:jc w:val="left"/>
              <w:rPr>
                <w:rFonts w:ascii="Arial Narrow" w:hAnsi="Arial Narrow"/>
                <w:sz w:val="20"/>
                <w:lang w:val="en-US"/>
              </w:rPr>
            </w:pPr>
            <w:r w:rsidRPr="00DE34A2">
              <w:rPr>
                <w:rFonts w:ascii="Arial Narrow" w:hAnsi="Arial Narrow"/>
                <w:sz w:val="20"/>
                <w:lang w:val="en-US"/>
              </w:rPr>
              <w:t>Switching was allowed from chemotherapy to pembrolizumab</w:t>
            </w:r>
            <w:r w:rsidRPr="00DE34A2">
              <w:rPr>
                <w:rFonts w:ascii="Arial Narrow" w:hAnsi="Arial Narrow"/>
                <w:sz w:val="20"/>
                <w:vertAlign w:val="superscript"/>
                <w:lang w:val="en-US"/>
              </w:rPr>
              <w:t>b</w:t>
            </w:r>
          </w:p>
        </w:tc>
        <w:tc>
          <w:tcPr>
            <w:tcW w:w="703" w:type="pct"/>
            <w:tcBorders>
              <w:top w:val="single" w:sz="4" w:space="0" w:color="auto"/>
            </w:tcBorders>
            <w:shd w:val="clear" w:color="auto" w:fill="auto"/>
          </w:tcPr>
          <w:p w:rsidR="00932972" w:rsidRPr="00DE34A2" w:rsidRDefault="00932972" w:rsidP="00EF5B41">
            <w:pPr>
              <w:jc w:val="left"/>
              <w:rPr>
                <w:rFonts w:ascii="Arial Narrow" w:hAnsi="Arial Narrow"/>
                <w:sz w:val="20"/>
                <w:lang w:val="en-US"/>
              </w:rPr>
            </w:pPr>
            <w:r w:rsidRPr="00DE34A2">
              <w:rPr>
                <w:rFonts w:ascii="Arial Narrow" w:hAnsi="Arial Narrow"/>
                <w:sz w:val="20"/>
                <w:lang w:val="en-US"/>
              </w:rPr>
              <w:t xml:space="preserve">Treatment naïve PD-L1 </w:t>
            </w:r>
            <w:r w:rsidR="00377F29">
              <w:rPr>
                <w:rFonts w:ascii="Arial Narrow" w:hAnsi="Arial Narrow"/>
                <w:sz w:val="20"/>
                <w:lang w:val="en-US"/>
              </w:rPr>
              <w:t>high</w:t>
            </w:r>
            <w:r w:rsidRPr="00DE34A2">
              <w:rPr>
                <w:rFonts w:ascii="Arial Narrow" w:hAnsi="Arial Narrow"/>
                <w:sz w:val="20"/>
                <w:lang w:val="en-US"/>
              </w:rPr>
              <w:t xml:space="preserve">ly positive (TPS ≥50%) Stage IV NSCLC with no evidence of </w:t>
            </w:r>
            <w:r w:rsidRPr="00063A99">
              <w:rPr>
                <w:rFonts w:ascii="Arial Narrow" w:hAnsi="Arial Narrow"/>
                <w:i/>
                <w:sz w:val="20"/>
                <w:lang w:val="en-US"/>
              </w:rPr>
              <w:t>EGFR</w:t>
            </w:r>
            <w:r w:rsidRPr="00DE34A2">
              <w:rPr>
                <w:rFonts w:ascii="Arial Narrow" w:hAnsi="Arial Narrow"/>
                <w:sz w:val="20"/>
                <w:lang w:val="en-US"/>
              </w:rPr>
              <w:t xml:space="preserve"> </w:t>
            </w:r>
            <w:r w:rsidR="00EF5B41">
              <w:rPr>
                <w:rFonts w:ascii="Arial Narrow" w:hAnsi="Arial Narrow"/>
                <w:sz w:val="20"/>
                <w:lang w:val="en-US"/>
              </w:rPr>
              <w:t xml:space="preserve">gene </w:t>
            </w:r>
            <w:r w:rsidRPr="00DE34A2">
              <w:rPr>
                <w:rFonts w:ascii="Arial Narrow" w:hAnsi="Arial Narrow"/>
                <w:sz w:val="20"/>
                <w:lang w:val="en-US"/>
              </w:rPr>
              <w:t xml:space="preserve">mutation or </w:t>
            </w:r>
            <w:r w:rsidRPr="00063A99">
              <w:rPr>
                <w:rFonts w:ascii="Arial Narrow" w:hAnsi="Arial Narrow"/>
                <w:i/>
                <w:sz w:val="20"/>
                <w:lang w:val="en-US"/>
              </w:rPr>
              <w:t>ALK</w:t>
            </w:r>
            <w:r w:rsidRPr="00DE34A2">
              <w:rPr>
                <w:rFonts w:ascii="Arial Narrow" w:hAnsi="Arial Narrow"/>
                <w:sz w:val="20"/>
                <w:lang w:val="en-US"/>
              </w:rPr>
              <w:t xml:space="preserve"> </w:t>
            </w:r>
            <w:r w:rsidR="00EF5B41">
              <w:rPr>
                <w:rFonts w:ascii="Arial Narrow" w:hAnsi="Arial Narrow"/>
                <w:sz w:val="20"/>
                <w:lang w:val="en-US"/>
              </w:rPr>
              <w:t>gene rearrangement</w:t>
            </w:r>
          </w:p>
        </w:tc>
        <w:tc>
          <w:tcPr>
            <w:tcW w:w="623" w:type="pct"/>
            <w:tcBorders>
              <w:top w:val="single" w:sz="4" w:space="0" w:color="auto"/>
            </w:tcBorders>
            <w:shd w:val="clear" w:color="auto" w:fill="auto"/>
          </w:tcPr>
          <w:p w:rsidR="00FD3DBE" w:rsidRDefault="00932972" w:rsidP="00932972">
            <w:pPr>
              <w:jc w:val="left"/>
              <w:rPr>
                <w:rFonts w:ascii="Arial Narrow" w:hAnsi="Arial Narrow"/>
                <w:sz w:val="20"/>
                <w:lang w:val="en-US"/>
              </w:rPr>
            </w:pPr>
            <w:r w:rsidRPr="00603D0F">
              <w:rPr>
                <w:rFonts w:ascii="Arial Narrow" w:hAnsi="Arial Narrow"/>
                <w:sz w:val="20"/>
                <w:lang w:val="en-US"/>
              </w:rPr>
              <w:t xml:space="preserve">Primary: </w:t>
            </w:r>
          </w:p>
          <w:p w:rsidR="00932972" w:rsidRPr="00603D0F" w:rsidRDefault="00932972" w:rsidP="00932972">
            <w:pPr>
              <w:jc w:val="left"/>
              <w:rPr>
                <w:rFonts w:ascii="Arial Narrow" w:hAnsi="Arial Narrow"/>
                <w:sz w:val="20"/>
                <w:lang w:val="en-US"/>
              </w:rPr>
            </w:pPr>
            <w:r w:rsidRPr="00603D0F">
              <w:rPr>
                <w:rFonts w:ascii="Arial Narrow" w:hAnsi="Arial Narrow"/>
                <w:sz w:val="20"/>
                <w:lang w:val="en-US"/>
              </w:rPr>
              <w:t>PFS per RECIST 1.1 based on BICR review</w:t>
            </w:r>
          </w:p>
          <w:p w:rsidR="00932972" w:rsidRPr="00603D0F" w:rsidRDefault="00932972" w:rsidP="00932972">
            <w:pPr>
              <w:jc w:val="left"/>
              <w:rPr>
                <w:rFonts w:ascii="Arial Narrow" w:hAnsi="Arial Narrow"/>
                <w:sz w:val="20"/>
                <w:lang w:val="en-US"/>
              </w:rPr>
            </w:pPr>
          </w:p>
          <w:p w:rsidR="00FD3DBE" w:rsidRDefault="00932972" w:rsidP="00294A10">
            <w:pPr>
              <w:jc w:val="left"/>
              <w:rPr>
                <w:rFonts w:ascii="Arial Narrow" w:hAnsi="Arial Narrow"/>
                <w:sz w:val="20"/>
                <w:lang w:val="en-US"/>
              </w:rPr>
            </w:pPr>
            <w:r w:rsidRPr="00603D0F">
              <w:rPr>
                <w:rFonts w:ascii="Arial Narrow" w:hAnsi="Arial Narrow"/>
                <w:sz w:val="20"/>
                <w:lang w:val="en-US"/>
              </w:rPr>
              <w:t xml:space="preserve">Secondary: </w:t>
            </w:r>
          </w:p>
          <w:p w:rsidR="00932972" w:rsidRPr="00603D0F" w:rsidRDefault="00932972" w:rsidP="00294A10">
            <w:pPr>
              <w:jc w:val="left"/>
              <w:rPr>
                <w:rFonts w:ascii="Arial Narrow" w:hAnsi="Arial Narrow"/>
                <w:sz w:val="20"/>
                <w:lang w:val="en-US"/>
              </w:rPr>
            </w:pPr>
            <w:r w:rsidRPr="00603D0F">
              <w:rPr>
                <w:rFonts w:ascii="Arial Narrow" w:hAnsi="Arial Narrow"/>
                <w:sz w:val="20"/>
                <w:lang w:val="en-US"/>
              </w:rPr>
              <w:t xml:space="preserve">OS, ORR, </w:t>
            </w:r>
            <w:r>
              <w:rPr>
                <w:rFonts w:ascii="Arial Narrow" w:hAnsi="Arial Narrow"/>
                <w:sz w:val="20"/>
                <w:lang w:val="en-US"/>
              </w:rPr>
              <w:t xml:space="preserve">QoL, </w:t>
            </w:r>
            <w:r w:rsidRPr="00603D0F">
              <w:rPr>
                <w:rFonts w:ascii="Arial Narrow" w:hAnsi="Arial Narrow"/>
                <w:sz w:val="20"/>
                <w:lang w:val="en-US"/>
              </w:rPr>
              <w:t xml:space="preserve">safety </w:t>
            </w:r>
          </w:p>
        </w:tc>
        <w:tc>
          <w:tcPr>
            <w:tcW w:w="769" w:type="pct"/>
            <w:tcBorders>
              <w:top w:val="single" w:sz="4" w:space="0" w:color="auto"/>
            </w:tcBorders>
            <w:shd w:val="clear" w:color="auto" w:fill="auto"/>
          </w:tcPr>
          <w:p w:rsidR="00932972" w:rsidRPr="008241D4" w:rsidRDefault="00932972" w:rsidP="00932972">
            <w:pPr>
              <w:jc w:val="left"/>
              <w:rPr>
                <w:rFonts w:ascii="Arial Narrow" w:hAnsi="Arial Narrow"/>
                <w:sz w:val="20"/>
                <w:highlight w:val="yellow"/>
                <w:lang w:val="en-US"/>
              </w:rPr>
            </w:pPr>
            <w:r w:rsidRPr="00A774DD">
              <w:rPr>
                <w:rFonts w:ascii="Arial Narrow" w:hAnsi="Arial Narrow"/>
                <w:sz w:val="20"/>
                <w:lang w:val="en-US"/>
              </w:rPr>
              <w:t>Used</w:t>
            </w:r>
          </w:p>
        </w:tc>
      </w:tr>
    </w:tbl>
    <w:p w:rsidR="00155840" w:rsidRDefault="00155840" w:rsidP="00155840">
      <w:pPr>
        <w:pStyle w:val="TableFooter"/>
        <w:spacing w:before="0"/>
      </w:pPr>
      <w:r w:rsidRPr="005E0428">
        <w:rPr>
          <w:sz w:val="20"/>
          <w:vertAlign w:val="superscript"/>
          <w:lang w:val="en-US"/>
        </w:rPr>
        <w:t>a</w:t>
      </w:r>
      <w:r>
        <w:rPr>
          <w:sz w:val="20"/>
          <w:vertAlign w:val="superscript"/>
          <w:lang w:val="en-US"/>
        </w:rPr>
        <w:t xml:space="preserve"> </w:t>
      </w:r>
      <w:r>
        <w:t>The eligibility criteria for retreatment in KN-024 were experienced disease progression after stopping their initial treatment with pembrolizumab due to attaining a confirmed complete response (CR), was treated for at least six months with pembrolizumab, and received at least two treatments with pembrolizumab beyond the date when the initial CR was declared; AND did not receive any anti-cancer treatment since the last dose of pembrolizumab; OR patients had stable disease (SD), partial response (PR) or CR and stopped pembrolizumab treatment after 24 months of study therapy for reasons other than disease progression or intolerability (Section 7.1.5.5, p90 KN-024 Protocol).</w:t>
      </w:r>
    </w:p>
    <w:p w:rsidR="00932972" w:rsidRPr="008241D4" w:rsidRDefault="00932972" w:rsidP="00932972">
      <w:pPr>
        <w:pStyle w:val="TableFooter"/>
        <w:rPr>
          <w:highlight w:val="yellow"/>
        </w:rPr>
      </w:pPr>
      <w:r w:rsidRPr="00603D0F">
        <w:t xml:space="preserve">ALK = anaplastic lymphoma kinase; BICR = blinded independent central radiology; NSCLC =non-small cell lung cancer; ORR = objective response rate; ECOG = Eastern Cooperative Oncology Group; EGFR = epidermal growth factor receptor; MC = multi-centre; OL = open label; OS = overall survival; PFS = progression-free survival; </w:t>
      </w:r>
      <w:r w:rsidRPr="00E2580B">
        <w:t>QoL = Quality of life</w:t>
      </w:r>
      <w:r>
        <w:t xml:space="preserve">; </w:t>
      </w:r>
      <w:r w:rsidRPr="00603D0F">
        <w:t>Q3W = every</w:t>
      </w:r>
      <w:r w:rsidRPr="006B33C9">
        <w:t xml:space="preserve"> three weeks; R (1:1) = randomised 1 to 1 ratio; TPS = tumour proportion score.</w:t>
      </w:r>
    </w:p>
    <w:p w:rsidR="00932972" w:rsidRPr="00DE34A2" w:rsidRDefault="00932972" w:rsidP="00932972">
      <w:pPr>
        <w:pStyle w:val="TableFooter"/>
      </w:pPr>
      <w:r w:rsidRPr="00DE34A2">
        <w:t>Source: compiled during the evaluation from the submission and the KN-024 clinical study report.</w:t>
      </w:r>
    </w:p>
    <w:p w:rsidR="00155840" w:rsidRPr="007B14F5" w:rsidRDefault="00155840" w:rsidP="00155840">
      <w:pPr>
        <w:rPr>
          <w:rFonts w:ascii="Arial" w:hAnsi="Arial" w:cs="Arial"/>
          <w:sz w:val="22"/>
          <w:szCs w:val="22"/>
        </w:rPr>
      </w:pPr>
    </w:p>
    <w:p w:rsidR="00155840" w:rsidRPr="007B14F5" w:rsidRDefault="00155840" w:rsidP="00217726">
      <w:pPr>
        <w:pStyle w:val="ListParagraph"/>
        <w:numPr>
          <w:ilvl w:val="1"/>
          <w:numId w:val="4"/>
        </w:numPr>
        <w:ind w:left="720"/>
        <w:rPr>
          <w:rFonts w:ascii="Arial" w:hAnsi="Arial" w:cs="Arial"/>
          <w:sz w:val="22"/>
          <w:szCs w:val="22"/>
        </w:rPr>
      </w:pPr>
      <w:r w:rsidRPr="007B14F5">
        <w:rPr>
          <w:rFonts w:ascii="Arial" w:hAnsi="Arial" w:cs="Arial"/>
          <w:sz w:val="22"/>
          <w:szCs w:val="22"/>
        </w:rPr>
        <w:t xml:space="preserve">The trial protocol titles and citations of corresponding publications are summarised in Table </w:t>
      </w:r>
      <w:r w:rsidR="00A7013F">
        <w:rPr>
          <w:rFonts w:ascii="Arial" w:hAnsi="Arial" w:cs="Arial"/>
          <w:sz w:val="22"/>
          <w:szCs w:val="22"/>
        </w:rPr>
        <w:t>2</w:t>
      </w:r>
      <w:r w:rsidRPr="007B14F5">
        <w:rPr>
          <w:rFonts w:ascii="Arial" w:hAnsi="Arial" w:cs="Arial"/>
          <w:sz w:val="22"/>
          <w:szCs w:val="22"/>
        </w:rPr>
        <w:t>.</w:t>
      </w:r>
    </w:p>
    <w:p w:rsidR="00F46566" w:rsidRDefault="00F46566">
      <w:pPr>
        <w:jc w:val="left"/>
        <w:rPr>
          <w:rFonts w:ascii="Arial Narrow" w:eastAsia="SimSun" w:hAnsi="Arial Narrow" w:cs="Arial"/>
          <w:b/>
          <w:snapToGrid w:val="0"/>
          <w:sz w:val="20"/>
          <w:szCs w:val="20"/>
          <w:lang w:eastAsia="en-AU" w:bidi="en-US"/>
        </w:rPr>
      </w:pPr>
      <w:r>
        <w:rPr>
          <w:snapToGrid w:val="0"/>
        </w:rPr>
        <w:br w:type="page"/>
      </w:r>
    </w:p>
    <w:p w:rsidR="00932972" w:rsidRPr="00886E2D" w:rsidRDefault="00932972" w:rsidP="00932972">
      <w:pPr>
        <w:pStyle w:val="TableHeading0"/>
      </w:pPr>
      <w:r w:rsidRPr="00603D0F">
        <w:rPr>
          <w:snapToGrid w:val="0"/>
        </w:rPr>
        <w:lastRenderedPageBreak/>
        <w:t xml:space="preserve">Table </w:t>
      </w:r>
      <w:r w:rsidR="00A7013F">
        <w:rPr>
          <w:snapToGrid w:val="0"/>
        </w:rPr>
        <w:t>2</w:t>
      </w:r>
      <w:r w:rsidRPr="00603D0F">
        <w:rPr>
          <w:snapToGrid w:val="0"/>
        </w:rPr>
        <w:t xml:space="preserve">: </w:t>
      </w:r>
      <w:r w:rsidRPr="00603D0F">
        <w:t>Trial and associated reports comparing pembrolizumab with chemotherapy as first-line treatment of NSCLC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80"/>
        <w:gridCol w:w="5811"/>
        <w:gridCol w:w="2392"/>
      </w:tblGrid>
      <w:tr w:rsidR="00932972" w:rsidRPr="00886E2D" w:rsidTr="00832F58">
        <w:tc>
          <w:tcPr>
            <w:tcW w:w="484" w:type="pct"/>
          </w:tcPr>
          <w:p w:rsidR="00932972" w:rsidRPr="00886E2D" w:rsidRDefault="00932972" w:rsidP="00932972">
            <w:pPr>
              <w:jc w:val="left"/>
              <w:rPr>
                <w:rFonts w:ascii="Arial Narrow" w:hAnsi="Arial Narrow"/>
                <w:b/>
                <w:sz w:val="20"/>
              </w:rPr>
            </w:pPr>
            <w:r w:rsidRPr="00886E2D">
              <w:rPr>
                <w:rFonts w:ascii="Arial Narrow" w:hAnsi="Arial Narrow"/>
                <w:b/>
                <w:sz w:val="20"/>
              </w:rPr>
              <w:t>Trial ID</w:t>
            </w:r>
          </w:p>
        </w:tc>
        <w:tc>
          <w:tcPr>
            <w:tcW w:w="3199" w:type="pct"/>
          </w:tcPr>
          <w:p w:rsidR="00932972" w:rsidRPr="00886E2D" w:rsidRDefault="00932972" w:rsidP="00932972">
            <w:pPr>
              <w:jc w:val="center"/>
              <w:rPr>
                <w:rFonts w:ascii="Arial Narrow" w:hAnsi="Arial Narrow"/>
                <w:b/>
                <w:sz w:val="20"/>
              </w:rPr>
            </w:pPr>
            <w:r w:rsidRPr="00886E2D">
              <w:rPr>
                <w:rFonts w:ascii="Arial Narrow" w:hAnsi="Arial Narrow"/>
                <w:b/>
                <w:sz w:val="20"/>
              </w:rPr>
              <w:t>Protocol title/ Publication title</w:t>
            </w:r>
          </w:p>
        </w:tc>
        <w:tc>
          <w:tcPr>
            <w:tcW w:w="1317" w:type="pct"/>
          </w:tcPr>
          <w:p w:rsidR="00932972" w:rsidRPr="00886E2D" w:rsidRDefault="00932972" w:rsidP="00932972">
            <w:pPr>
              <w:jc w:val="center"/>
              <w:rPr>
                <w:rFonts w:ascii="Arial Narrow" w:hAnsi="Arial Narrow"/>
                <w:b/>
                <w:sz w:val="20"/>
              </w:rPr>
            </w:pPr>
            <w:r w:rsidRPr="00886E2D">
              <w:rPr>
                <w:rFonts w:ascii="Arial Narrow" w:hAnsi="Arial Narrow"/>
                <w:b/>
                <w:sz w:val="20"/>
              </w:rPr>
              <w:t>Publication citation</w:t>
            </w:r>
          </w:p>
        </w:tc>
      </w:tr>
      <w:tr w:rsidR="00932972" w:rsidRPr="00886E2D" w:rsidTr="00832F58">
        <w:tc>
          <w:tcPr>
            <w:tcW w:w="484" w:type="pct"/>
          </w:tcPr>
          <w:p w:rsidR="00932972" w:rsidRPr="00B57580" w:rsidRDefault="00932972" w:rsidP="00932972">
            <w:pPr>
              <w:jc w:val="left"/>
              <w:rPr>
                <w:rFonts w:ascii="Arial Narrow" w:hAnsi="Arial Narrow"/>
                <w:sz w:val="20"/>
                <w:szCs w:val="20"/>
              </w:rPr>
            </w:pPr>
            <w:r w:rsidRPr="007B14F5">
              <w:rPr>
                <w:rFonts w:ascii="Arial Narrow" w:hAnsi="Arial Narrow"/>
                <w:sz w:val="20"/>
                <w:szCs w:val="20"/>
              </w:rPr>
              <w:t>KN-024</w:t>
            </w:r>
          </w:p>
        </w:tc>
        <w:tc>
          <w:tcPr>
            <w:tcW w:w="3199" w:type="pct"/>
            <w:tcBorders>
              <w:top w:val="single" w:sz="4" w:space="0" w:color="auto"/>
              <w:left w:val="single" w:sz="4" w:space="0" w:color="auto"/>
              <w:bottom w:val="single" w:sz="4" w:space="0" w:color="auto"/>
              <w:right w:val="single" w:sz="4" w:space="0" w:color="auto"/>
            </w:tcBorders>
          </w:tcPr>
          <w:p w:rsidR="00932972" w:rsidRPr="00886E2D" w:rsidRDefault="00932972" w:rsidP="00932972">
            <w:pPr>
              <w:pStyle w:val="TableText0"/>
              <w:widowControl w:val="0"/>
              <w:jc w:val="left"/>
              <w:rPr>
                <w:b/>
              </w:rPr>
            </w:pPr>
            <w:r w:rsidRPr="00886E2D">
              <w:rPr>
                <w:b/>
              </w:rPr>
              <w:t>Clinical Study Report KN-024</w:t>
            </w:r>
          </w:p>
          <w:p w:rsidR="00932972" w:rsidRPr="00886E2D" w:rsidRDefault="00932972" w:rsidP="00932972">
            <w:pPr>
              <w:pStyle w:val="TableText0"/>
              <w:widowControl w:val="0"/>
              <w:jc w:val="left"/>
            </w:pPr>
            <w:r w:rsidRPr="00886E2D">
              <w:t>A randomized open-label Phase III trial of pembrolizumab versus (vs.) platinum based chemotherapy in first-line (1L) subjects with programmed cell death 1 ligand 1 (PD-L1) Strong Metastatic Non-Small Cell Lung Cancer (NSCLC). Data</w:t>
            </w:r>
            <w:r>
              <w:t xml:space="preserve"> cut-off 9</w:t>
            </w:r>
            <w:r w:rsidRPr="00886E2D">
              <w:t>-</w:t>
            </w:r>
            <w:r>
              <w:t>May</w:t>
            </w:r>
            <w:r w:rsidRPr="00886E2D">
              <w:t xml:space="preserve">-2016. </w:t>
            </w:r>
            <w:r>
              <w:t>Median (range) follow-up of 11 months (6.3 to 19.7 months).</w:t>
            </w:r>
            <w:r w:rsidR="00A64517">
              <w:t xml:space="preserve"> </w:t>
            </w:r>
            <w:r w:rsidRPr="00886E2D">
              <w:t>CSR Identification P024V01MK3475</w:t>
            </w:r>
          </w:p>
          <w:p w:rsidR="00932972" w:rsidRPr="00886E2D" w:rsidRDefault="00932972" w:rsidP="00932972">
            <w:pPr>
              <w:pStyle w:val="TableText0"/>
              <w:keepNext w:val="0"/>
              <w:widowControl w:val="0"/>
              <w:jc w:val="left"/>
              <w:rPr>
                <w:u w:val="single"/>
              </w:rPr>
            </w:pPr>
          </w:p>
          <w:p w:rsidR="00932972" w:rsidRPr="00886E2D" w:rsidRDefault="00932972" w:rsidP="00932972">
            <w:pPr>
              <w:pStyle w:val="TableText0"/>
              <w:keepNext w:val="0"/>
              <w:widowControl w:val="0"/>
              <w:jc w:val="left"/>
              <w:rPr>
                <w:u w:val="single"/>
              </w:rPr>
            </w:pPr>
            <w:r w:rsidRPr="00886E2D">
              <w:rPr>
                <w:u w:val="single"/>
              </w:rPr>
              <w:t>Publication</w:t>
            </w:r>
          </w:p>
          <w:p w:rsidR="00932972" w:rsidRPr="00886E2D" w:rsidRDefault="00932972" w:rsidP="007B14F5">
            <w:pPr>
              <w:pStyle w:val="TableText0"/>
              <w:widowControl w:val="0"/>
              <w:jc w:val="left"/>
            </w:pPr>
            <w:proofErr w:type="gramStart"/>
            <w:r w:rsidRPr="00886E2D">
              <w:t>Reck,</w:t>
            </w:r>
            <w:proofErr w:type="gramEnd"/>
            <w:r w:rsidRPr="00886E2D">
              <w:t xml:space="preserve"> M, Rodriguez-Abreu, D, et al. Pembrolizumab versus chemotherapy for</w:t>
            </w:r>
            <w:r w:rsidR="00F15231">
              <w:t xml:space="preserve"> </w:t>
            </w:r>
            <w:r w:rsidRPr="00886E2D">
              <w:t xml:space="preserve">PD-L1–positive non–small-cell lung cancer. </w:t>
            </w:r>
          </w:p>
        </w:tc>
        <w:tc>
          <w:tcPr>
            <w:tcW w:w="1317" w:type="pct"/>
            <w:tcBorders>
              <w:top w:val="single" w:sz="4" w:space="0" w:color="auto"/>
              <w:left w:val="single" w:sz="4" w:space="0" w:color="auto"/>
              <w:bottom w:val="single" w:sz="4" w:space="0" w:color="auto"/>
              <w:right w:val="single" w:sz="4" w:space="0" w:color="auto"/>
            </w:tcBorders>
          </w:tcPr>
          <w:p w:rsidR="00932972" w:rsidRPr="00886E2D" w:rsidRDefault="00932972" w:rsidP="00932972">
            <w:pPr>
              <w:pStyle w:val="TableText0"/>
              <w:keepNext w:val="0"/>
              <w:widowControl w:val="0"/>
              <w:jc w:val="left"/>
            </w:pPr>
            <w:r w:rsidRPr="00886E2D">
              <w:t>Clinical Study Report 11 July 2016</w:t>
            </w:r>
          </w:p>
          <w:p w:rsidR="00932972" w:rsidRPr="00886E2D" w:rsidRDefault="00932972" w:rsidP="00932972">
            <w:pPr>
              <w:pStyle w:val="TableText0"/>
              <w:keepNext w:val="0"/>
              <w:widowControl w:val="0"/>
              <w:jc w:val="left"/>
              <w:rPr>
                <w:i/>
              </w:rPr>
            </w:pPr>
          </w:p>
          <w:p w:rsidR="00932972" w:rsidRPr="00886E2D" w:rsidRDefault="00932972" w:rsidP="00932972">
            <w:pPr>
              <w:pStyle w:val="TableText0"/>
              <w:keepNext w:val="0"/>
              <w:widowControl w:val="0"/>
              <w:jc w:val="left"/>
              <w:rPr>
                <w:i/>
              </w:rPr>
            </w:pPr>
          </w:p>
          <w:p w:rsidR="00932972" w:rsidRPr="00886E2D" w:rsidRDefault="00932972" w:rsidP="00932972">
            <w:pPr>
              <w:jc w:val="left"/>
              <w:rPr>
                <w:rFonts w:ascii="Arial Narrow" w:hAnsi="Arial Narrow"/>
                <w:sz w:val="20"/>
                <w:szCs w:val="20"/>
              </w:rPr>
            </w:pPr>
            <w:r w:rsidRPr="00886E2D">
              <w:rPr>
                <w:rFonts w:ascii="Arial Narrow" w:hAnsi="Arial Narrow"/>
                <w:i/>
                <w:sz w:val="20"/>
                <w:szCs w:val="20"/>
              </w:rPr>
              <w:t xml:space="preserve">New England Journal of Medicine, </w:t>
            </w:r>
            <w:r w:rsidRPr="00886E2D">
              <w:rPr>
                <w:rFonts w:ascii="Arial Narrow" w:hAnsi="Arial Narrow"/>
                <w:sz w:val="20"/>
                <w:szCs w:val="20"/>
              </w:rPr>
              <w:t>2016. Published online on October 9.</w:t>
            </w:r>
          </w:p>
          <w:p w:rsidR="00932972" w:rsidRPr="00886E2D" w:rsidRDefault="00932972" w:rsidP="00932972">
            <w:pPr>
              <w:jc w:val="left"/>
              <w:rPr>
                <w:rFonts w:ascii="Arial Narrow" w:hAnsi="Arial Narrow"/>
                <w:sz w:val="20"/>
              </w:rPr>
            </w:pPr>
            <w:r w:rsidRPr="00886E2D">
              <w:rPr>
                <w:rFonts w:ascii="Arial Narrow" w:hAnsi="Arial Narrow"/>
                <w:sz w:val="20"/>
                <w:szCs w:val="20"/>
              </w:rPr>
              <w:t>DOI: 10.1056/NEJMoa1606774</w:t>
            </w:r>
          </w:p>
        </w:tc>
      </w:tr>
    </w:tbl>
    <w:p w:rsidR="00932972" w:rsidRPr="00886E2D" w:rsidRDefault="00932972" w:rsidP="00932972">
      <w:pPr>
        <w:rPr>
          <w:rFonts w:ascii="Arial Narrow" w:hAnsi="Arial Narrow"/>
          <w:sz w:val="18"/>
          <w:szCs w:val="18"/>
        </w:rPr>
      </w:pPr>
      <w:r w:rsidRPr="00886E2D">
        <w:rPr>
          <w:rFonts w:ascii="Arial Narrow" w:hAnsi="Arial Narrow"/>
          <w:sz w:val="18"/>
          <w:szCs w:val="18"/>
        </w:rPr>
        <w:t>Source: Table B.2.3, p76 of the main submission</w:t>
      </w:r>
    </w:p>
    <w:p w:rsidR="00155840" w:rsidRPr="007B14F5" w:rsidRDefault="00155840" w:rsidP="00155840">
      <w:pPr>
        <w:contextualSpacing/>
        <w:rPr>
          <w:rFonts w:ascii="Arial" w:hAnsi="Arial" w:cs="Arial"/>
          <w:sz w:val="22"/>
          <w:szCs w:val="22"/>
          <w:highlight w:val="yellow"/>
        </w:rPr>
      </w:pPr>
    </w:p>
    <w:p w:rsidR="00155840" w:rsidRPr="007B14F5" w:rsidRDefault="00155840" w:rsidP="00217726">
      <w:pPr>
        <w:pStyle w:val="ListParagraph"/>
        <w:numPr>
          <w:ilvl w:val="1"/>
          <w:numId w:val="4"/>
        </w:numPr>
        <w:ind w:left="720"/>
        <w:rPr>
          <w:rFonts w:ascii="Arial" w:hAnsi="Arial" w:cs="Arial"/>
          <w:sz w:val="22"/>
          <w:szCs w:val="22"/>
        </w:rPr>
      </w:pPr>
      <w:r w:rsidRPr="007B14F5">
        <w:rPr>
          <w:rFonts w:ascii="Arial" w:hAnsi="Arial" w:cs="Arial"/>
          <w:sz w:val="22"/>
          <w:szCs w:val="22"/>
        </w:rPr>
        <w:t xml:space="preserve">In KN-024, as in another first-line NSCLC ongoing trial of pembrolizumab (KN-042), pembrolizumab was administered at a fixed dose of 200 mg </w:t>
      </w:r>
      <w:r w:rsidR="00746371">
        <w:rPr>
          <w:rFonts w:ascii="Arial" w:hAnsi="Arial" w:cs="Arial"/>
          <w:sz w:val="22"/>
          <w:szCs w:val="22"/>
        </w:rPr>
        <w:t>every three weeks (</w:t>
      </w:r>
      <w:r w:rsidRPr="007B14F5">
        <w:rPr>
          <w:rFonts w:ascii="Arial" w:hAnsi="Arial" w:cs="Arial"/>
          <w:sz w:val="22"/>
          <w:szCs w:val="22"/>
        </w:rPr>
        <w:t>Q3W</w:t>
      </w:r>
      <w:r w:rsidR="00746371">
        <w:rPr>
          <w:rFonts w:ascii="Arial" w:hAnsi="Arial" w:cs="Arial"/>
          <w:sz w:val="22"/>
          <w:szCs w:val="22"/>
        </w:rPr>
        <w:t>)</w:t>
      </w:r>
      <w:r w:rsidRPr="007B14F5">
        <w:rPr>
          <w:rFonts w:ascii="Arial" w:hAnsi="Arial" w:cs="Arial"/>
          <w:sz w:val="22"/>
          <w:szCs w:val="22"/>
        </w:rPr>
        <w:t xml:space="preserve"> regardless of weight. This differs from previous later-line NSCLC pembrolizumab trials (such as the KN-010 and KN-001 studies) which used weight-based dosing regimens of pembrolizumab such as 2 mg/kg or 10 mg/kg Q3W.</w:t>
      </w:r>
    </w:p>
    <w:p w:rsidR="00932972" w:rsidRPr="007B14F5" w:rsidRDefault="00932972" w:rsidP="00932972">
      <w:pPr>
        <w:contextualSpacing/>
        <w:rPr>
          <w:rFonts w:ascii="Arial" w:hAnsi="Arial" w:cs="Arial"/>
          <w:sz w:val="22"/>
          <w:szCs w:val="22"/>
          <w:highlight w:val="yellow"/>
        </w:rPr>
      </w:pPr>
    </w:p>
    <w:p w:rsidR="00932972" w:rsidRPr="007B14F5" w:rsidRDefault="00932972" w:rsidP="00217726">
      <w:pPr>
        <w:pStyle w:val="ListParagraph"/>
        <w:numPr>
          <w:ilvl w:val="1"/>
          <w:numId w:val="4"/>
        </w:numPr>
        <w:ind w:left="720"/>
        <w:rPr>
          <w:rFonts w:ascii="Arial" w:hAnsi="Arial" w:cs="Arial"/>
          <w:sz w:val="22"/>
          <w:szCs w:val="22"/>
        </w:rPr>
      </w:pPr>
      <w:r w:rsidRPr="007B14F5">
        <w:rPr>
          <w:rFonts w:ascii="Arial" w:hAnsi="Arial" w:cs="Arial"/>
          <w:sz w:val="22"/>
          <w:szCs w:val="22"/>
        </w:rPr>
        <w:t>The overall risk of bias associated with the included evi</w:t>
      </w:r>
      <w:r w:rsidR="00125457" w:rsidRPr="007B14F5">
        <w:rPr>
          <w:rFonts w:ascii="Arial" w:hAnsi="Arial" w:cs="Arial"/>
          <w:sz w:val="22"/>
          <w:szCs w:val="22"/>
        </w:rPr>
        <w:t>dence is summarised in Table</w:t>
      </w:r>
      <w:r w:rsidR="00AA2FD0">
        <w:rPr>
          <w:rFonts w:ascii="Arial" w:hAnsi="Arial" w:cs="Arial"/>
          <w:sz w:val="22"/>
          <w:szCs w:val="22"/>
        </w:rPr>
        <w:t> </w:t>
      </w:r>
      <w:r w:rsidR="00A7013F">
        <w:rPr>
          <w:rFonts w:ascii="Arial" w:hAnsi="Arial" w:cs="Arial"/>
          <w:sz w:val="22"/>
          <w:szCs w:val="22"/>
        </w:rPr>
        <w:t>3</w:t>
      </w:r>
      <w:r w:rsidRPr="007B14F5">
        <w:rPr>
          <w:rFonts w:ascii="Arial" w:hAnsi="Arial" w:cs="Arial"/>
          <w:sz w:val="22"/>
          <w:szCs w:val="22"/>
        </w:rPr>
        <w:t>.</w:t>
      </w:r>
    </w:p>
    <w:p w:rsidR="00932972" w:rsidRPr="007B14F5" w:rsidRDefault="00932972" w:rsidP="00932972">
      <w:pPr>
        <w:rPr>
          <w:rFonts w:ascii="Arial" w:hAnsi="Arial" w:cs="Arial"/>
          <w:sz w:val="22"/>
          <w:szCs w:val="22"/>
        </w:rPr>
      </w:pPr>
    </w:p>
    <w:p w:rsidR="00932972" w:rsidRPr="00A373CB" w:rsidRDefault="00932972" w:rsidP="00932972">
      <w:pPr>
        <w:pStyle w:val="TableHeading0"/>
      </w:pPr>
      <w:r w:rsidRPr="00A373CB">
        <w:t xml:space="preserve">Table </w:t>
      </w:r>
      <w:r w:rsidR="00A7013F">
        <w:t>3</w:t>
      </w:r>
      <w:r w:rsidRPr="00A373CB">
        <w:t>: Overall risk of bias/confounding associated with the included evidence KN-024</w:t>
      </w:r>
    </w:p>
    <w:tbl>
      <w:tblPr>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3"/>
        <w:gridCol w:w="7430"/>
      </w:tblGrid>
      <w:tr w:rsidR="00932972" w:rsidRPr="00746371" w:rsidTr="00832F58">
        <w:trPr>
          <w:trHeight w:val="20"/>
        </w:trPr>
        <w:tc>
          <w:tcPr>
            <w:tcW w:w="981" w:type="pct"/>
            <w:shd w:val="clear" w:color="auto" w:fill="auto"/>
          </w:tcPr>
          <w:p w:rsidR="00932972" w:rsidRPr="00746371" w:rsidRDefault="00932972" w:rsidP="00F2368E">
            <w:pPr>
              <w:jc w:val="left"/>
              <w:rPr>
                <w:rFonts w:ascii="Arial Narrow" w:hAnsi="Arial Narrow"/>
                <w:sz w:val="20"/>
                <w:lang w:eastAsia="en-AU"/>
              </w:rPr>
            </w:pPr>
            <w:r w:rsidRPr="00746371">
              <w:rPr>
                <w:rFonts w:ascii="Arial Narrow" w:hAnsi="Arial Narrow"/>
                <w:sz w:val="20"/>
                <w:lang w:eastAsia="en-AU"/>
              </w:rPr>
              <w:t xml:space="preserve">Direct comparison between pembrolizumab and platinum-based chemotherapy KN-024 (randomisation was stratified by region, histology and ECOG </w:t>
            </w:r>
            <w:r w:rsidR="00F2368E" w:rsidRPr="00746371">
              <w:rPr>
                <w:rFonts w:ascii="Arial Narrow" w:hAnsi="Arial Narrow"/>
                <w:sz w:val="20"/>
                <w:lang w:eastAsia="en-AU"/>
              </w:rPr>
              <w:t>PS</w:t>
            </w:r>
            <w:r w:rsidRPr="00746371">
              <w:rPr>
                <w:rFonts w:ascii="Arial Narrow" w:hAnsi="Arial Narrow"/>
                <w:sz w:val="20"/>
                <w:lang w:eastAsia="en-AU"/>
              </w:rPr>
              <w:t xml:space="preserve">). </w:t>
            </w:r>
          </w:p>
        </w:tc>
        <w:tc>
          <w:tcPr>
            <w:tcW w:w="4019" w:type="pct"/>
            <w:shd w:val="clear" w:color="auto" w:fill="auto"/>
          </w:tcPr>
          <w:p w:rsidR="00932972" w:rsidRPr="00746371" w:rsidRDefault="00932972" w:rsidP="00932972">
            <w:pPr>
              <w:jc w:val="left"/>
              <w:rPr>
                <w:rFonts w:ascii="Arial Narrow" w:hAnsi="Arial Narrow"/>
                <w:sz w:val="20"/>
                <w:lang w:eastAsia="en-AU"/>
              </w:rPr>
            </w:pPr>
            <w:r w:rsidRPr="00746371">
              <w:rPr>
                <w:rFonts w:ascii="Arial Narrow" w:hAnsi="Arial Narrow"/>
                <w:sz w:val="20"/>
                <w:lang w:eastAsia="en-AU"/>
              </w:rPr>
              <w:t>Low risk of bias for outcome of PFS (Independent assessment)</w:t>
            </w:r>
          </w:p>
          <w:p w:rsidR="00932972" w:rsidRPr="00746371" w:rsidRDefault="00932972" w:rsidP="00932972">
            <w:pPr>
              <w:jc w:val="left"/>
              <w:rPr>
                <w:rFonts w:ascii="Arial Narrow" w:hAnsi="Arial Narrow"/>
                <w:sz w:val="20"/>
                <w:lang w:eastAsia="en-AU"/>
              </w:rPr>
            </w:pPr>
            <w:r w:rsidRPr="00746371">
              <w:rPr>
                <w:rFonts w:ascii="Arial Narrow" w:hAnsi="Arial Narrow"/>
                <w:sz w:val="20"/>
                <w:lang w:eastAsia="en-AU"/>
              </w:rPr>
              <w:t>Unclear risk of confounding for OS depending on the type of statistical analysis. Although the ITT analysis might underestimate the OS benefit associated with pembrolizumab, the adjustment methods may overestimate the OS benefit. The ITT is likely to represent the most conservative estimate of comparative OS.</w:t>
            </w:r>
          </w:p>
          <w:p w:rsidR="00932972" w:rsidRPr="00746371" w:rsidRDefault="00932972" w:rsidP="00932972">
            <w:pPr>
              <w:jc w:val="left"/>
              <w:rPr>
                <w:rFonts w:ascii="Arial Narrow" w:hAnsi="Arial Narrow"/>
                <w:sz w:val="20"/>
                <w:lang w:eastAsia="en-AU"/>
              </w:rPr>
            </w:pPr>
          </w:p>
          <w:p w:rsidR="00932972" w:rsidRPr="00746371" w:rsidRDefault="00932972" w:rsidP="00932972">
            <w:pPr>
              <w:jc w:val="left"/>
              <w:rPr>
                <w:rFonts w:ascii="Arial Narrow" w:hAnsi="Arial Narrow"/>
                <w:sz w:val="20"/>
                <w:lang w:eastAsia="en-AU"/>
              </w:rPr>
            </w:pPr>
            <w:r w:rsidRPr="00746371">
              <w:rPr>
                <w:rFonts w:ascii="Arial Narrow" w:hAnsi="Arial Narrow"/>
                <w:sz w:val="20"/>
                <w:lang w:eastAsia="en-AU"/>
              </w:rPr>
              <w:t xml:space="preserve">Safety and patient reported outcomes such as QoL: </w:t>
            </w:r>
            <w:r w:rsidR="00155840" w:rsidRPr="00746371">
              <w:rPr>
                <w:rFonts w:ascii="Arial Narrow" w:hAnsi="Arial Narrow"/>
                <w:sz w:val="20"/>
                <w:lang w:eastAsia="en-AU"/>
              </w:rPr>
              <w:t>h</w:t>
            </w:r>
            <w:r w:rsidRPr="00746371">
              <w:rPr>
                <w:rFonts w:ascii="Arial Narrow" w:hAnsi="Arial Narrow"/>
                <w:sz w:val="20"/>
                <w:lang w:eastAsia="en-AU"/>
              </w:rPr>
              <w:t>igh risk of bias</w:t>
            </w:r>
          </w:p>
          <w:p w:rsidR="00932972" w:rsidRPr="00746371" w:rsidRDefault="00932972" w:rsidP="00155840">
            <w:pPr>
              <w:jc w:val="left"/>
              <w:rPr>
                <w:rFonts w:ascii="Arial Narrow" w:hAnsi="Arial Narrow"/>
                <w:b/>
                <w:sz w:val="20"/>
                <w:u w:val="single"/>
                <w:lang w:eastAsia="en-AU"/>
              </w:rPr>
            </w:pPr>
            <w:r w:rsidRPr="00746371">
              <w:rPr>
                <w:rFonts w:ascii="Arial Narrow" w:hAnsi="Arial Narrow"/>
                <w:sz w:val="20"/>
                <w:lang w:eastAsia="en-AU"/>
              </w:rPr>
              <w:t>Investigators (given the open-label design) would likely to have monitored the grade of immune-related events in the trial such as pneumonitis, diarrhoea and colitis (anticipation by a high risk for such events associated with immunotherapy</w:t>
            </w:r>
            <w:r w:rsidR="00155840" w:rsidRPr="00746371">
              <w:rPr>
                <w:rFonts w:ascii="Arial Narrow" w:hAnsi="Arial Narrow"/>
                <w:sz w:val="20"/>
                <w:lang w:eastAsia="en-AU"/>
              </w:rPr>
              <w:t>)</w:t>
            </w:r>
            <w:r w:rsidRPr="00746371">
              <w:rPr>
                <w:rFonts w:ascii="Arial Narrow" w:hAnsi="Arial Narrow"/>
                <w:sz w:val="20"/>
                <w:lang w:eastAsia="en-AU"/>
              </w:rPr>
              <w:t xml:space="preserve"> and could have implemented rapid measures to minimise or prevent more severe Grade 3/4 events occurring.</w:t>
            </w:r>
          </w:p>
        </w:tc>
      </w:tr>
    </w:tbl>
    <w:p w:rsidR="00932972" w:rsidRPr="00746371" w:rsidRDefault="00746371" w:rsidP="00932972">
      <w:pPr>
        <w:contextualSpacing/>
        <w:rPr>
          <w:rFonts w:ascii="Arial Narrow" w:hAnsi="Arial Narrow"/>
          <w:sz w:val="18"/>
          <w:szCs w:val="18"/>
        </w:rPr>
      </w:pPr>
      <w:r w:rsidRPr="00746371">
        <w:rPr>
          <w:rFonts w:ascii="Arial Narrow" w:hAnsi="Arial Narrow"/>
          <w:sz w:val="18"/>
          <w:szCs w:val="18"/>
        </w:rPr>
        <w:t>ECOG = East</w:t>
      </w:r>
      <w:r>
        <w:rPr>
          <w:rFonts w:ascii="Arial Narrow" w:hAnsi="Arial Narrow"/>
          <w:sz w:val="18"/>
          <w:szCs w:val="18"/>
        </w:rPr>
        <w:t xml:space="preserve">ern Cooperative Oncology Group; </w:t>
      </w:r>
      <w:r w:rsidR="00932972" w:rsidRPr="00746371">
        <w:rPr>
          <w:rFonts w:ascii="Arial Narrow" w:hAnsi="Arial Narrow"/>
          <w:sz w:val="18"/>
          <w:szCs w:val="18"/>
        </w:rPr>
        <w:t>ITT = intention-to-treat; OS = overall survival; PFS = progression</w:t>
      </w:r>
      <w:r w:rsidR="006A2C58" w:rsidRPr="00746371">
        <w:rPr>
          <w:rFonts w:ascii="Arial Narrow" w:hAnsi="Arial Narrow"/>
          <w:sz w:val="18"/>
          <w:szCs w:val="18"/>
        </w:rPr>
        <w:t>-</w:t>
      </w:r>
      <w:r w:rsidR="00932972" w:rsidRPr="00746371">
        <w:rPr>
          <w:rFonts w:ascii="Arial Narrow" w:hAnsi="Arial Narrow"/>
          <w:sz w:val="18"/>
          <w:szCs w:val="18"/>
        </w:rPr>
        <w:t xml:space="preserve">free survival; </w:t>
      </w:r>
      <w:r w:rsidR="00F2368E" w:rsidRPr="00746371">
        <w:rPr>
          <w:rFonts w:ascii="Arial Narrow" w:hAnsi="Arial Narrow"/>
          <w:sz w:val="18"/>
          <w:szCs w:val="18"/>
        </w:rPr>
        <w:t xml:space="preserve">PS = performance status; </w:t>
      </w:r>
      <w:r>
        <w:rPr>
          <w:rFonts w:ascii="Arial Narrow" w:hAnsi="Arial Narrow"/>
          <w:sz w:val="18"/>
          <w:szCs w:val="18"/>
        </w:rPr>
        <w:t>QoL = quality of life</w:t>
      </w:r>
    </w:p>
    <w:p w:rsidR="00932972" w:rsidRPr="00746371" w:rsidRDefault="00932972" w:rsidP="00932972">
      <w:pPr>
        <w:contextualSpacing/>
        <w:rPr>
          <w:rFonts w:ascii="Arial Narrow" w:hAnsi="Arial Narrow"/>
          <w:sz w:val="18"/>
          <w:szCs w:val="18"/>
        </w:rPr>
      </w:pPr>
      <w:r w:rsidRPr="00746371">
        <w:rPr>
          <w:rFonts w:ascii="Arial Narrow" w:hAnsi="Arial Narrow"/>
          <w:sz w:val="18"/>
          <w:szCs w:val="18"/>
        </w:rPr>
        <w:t>Source: Constructed during the evaluation</w:t>
      </w:r>
    </w:p>
    <w:p w:rsidR="00F15231" w:rsidRPr="00F6757B" w:rsidRDefault="00F15231" w:rsidP="00F6757B">
      <w:pPr>
        <w:pStyle w:val="Heading2"/>
      </w:pPr>
      <w:bookmarkStart w:id="19" w:name="_Toc439845556"/>
      <w:bookmarkStart w:id="20" w:name="_Toc461627088"/>
      <w:bookmarkStart w:id="21" w:name="_Toc471744455"/>
      <w:r w:rsidRPr="00F6757B">
        <w:t xml:space="preserve">Comparative </w:t>
      </w:r>
      <w:bookmarkEnd w:id="19"/>
      <w:r w:rsidRPr="00F6757B">
        <w:t>effectiveness</w:t>
      </w:r>
    </w:p>
    <w:bookmarkEnd w:id="18"/>
    <w:bookmarkEnd w:id="20"/>
    <w:bookmarkEnd w:id="21"/>
    <w:p w:rsidR="00155840" w:rsidRPr="007B14F5" w:rsidRDefault="00155840" w:rsidP="00217726">
      <w:pPr>
        <w:pStyle w:val="ListParagraph"/>
        <w:numPr>
          <w:ilvl w:val="1"/>
          <w:numId w:val="4"/>
        </w:numPr>
        <w:ind w:left="709"/>
        <w:rPr>
          <w:rFonts w:ascii="Arial" w:hAnsi="Arial" w:cs="Arial"/>
          <w:snapToGrid w:val="0"/>
          <w:sz w:val="22"/>
          <w:szCs w:val="22"/>
        </w:rPr>
      </w:pPr>
      <w:r w:rsidRPr="007B14F5">
        <w:rPr>
          <w:rFonts w:ascii="Arial" w:hAnsi="Arial" w:cs="Arial"/>
          <w:snapToGrid w:val="0"/>
          <w:sz w:val="22"/>
          <w:szCs w:val="22"/>
        </w:rPr>
        <w:t xml:space="preserve">Although PFS was the primary outcome in KN-024, the secondary outcome of OS was more clinically relevant. However, the OS data was immature (median duration of follow-up of 11 months) and 44% of patients switched to pembrolizumab from platinum-based chemotherapy primarily upon progression, which may have confounded the results. Adjustment of OS for treatment switching and the resulting incremental cost-effectiveness ratios (ICERs) are presented in the economic evaluation section below (see </w:t>
      </w:r>
      <w:r w:rsidRPr="00C511A0">
        <w:rPr>
          <w:rFonts w:ascii="Arial" w:hAnsi="Arial" w:cs="Arial"/>
          <w:snapToGrid w:val="0"/>
          <w:sz w:val="22"/>
          <w:szCs w:val="22"/>
        </w:rPr>
        <w:t xml:space="preserve">Table </w:t>
      </w:r>
      <w:r w:rsidR="00521D3D" w:rsidRPr="00C511A0">
        <w:rPr>
          <w:rFonts w:ascii="Arial" w:hAnsi="Arial" w:cs="Arial"/>
          <w:snapToGrid w:val="0"/>
          <w:sz w:val="22"/>
          <w:szCs w:val="22"/>
        </w:rPr>
        <w:t>1</w:t>
      </w:r>
      <w:r w:rsidR="00C511A0" w:rsidRPr="00C511A0">
        <w:rPr>
          <w:rFonts w:ascii="Arial" w:hAnsi="Arial" w:cs="Arial"/>
          <w:snapToGrid w:val="0"/>
          <w:sz w:val="22"/>
          <w:szCs w:val="22"/>
        </w:rPr>
        <w:t>6</w:t>
      </w:r>
      <w:r w:rsidRPr="00C511A0">
        <w:rPr>
          <w:rFonts w:ascii="Arial" w:hAnsi="Arial" w:cs="Arial"/>
          <w:snapToGrid w:val="0"/>
          <w:sz w:val="22"/>
          <w:szCs w:val="22"/>
        </w:rPr>
        <w:t>).</w:t>
      </w:r>
    </w:p>
    <w:p w:rsidR="00932972" w:rsidRPr="007B14F5" w:rsidRDefault="00932972" w:rsidP="007B14F5">
      <w:pPr>
        <w:tabs>
          <w:tab w:val="left" w:pos="1635"/>
        </w:tabs>
        <w:rPr>
          <w:rFonts w:ascii="Arial" w:eastAsia="Calibri" w:hAnsi="Arial" w:cs="Arial"/>
          <w:sz w:val="22"/>
          <w:szCs w:val="22"/>
          <w:lang w:eastAsia="en-GB"/>
        </w:rPr>
      </w:pPr>
    </w:p>
    <w:p w:rsidR="00932972" w:rsidRPr="007B14F5" w:rsidRDefault="00932972" w:rsidP="00217726">
      <w:pPr>
        <w:pStyle w:val="ListParagraph"/>
        <w:numPr>
          <w:ilvl w:val="1"/>
          <w:numId w:val="4"/>
        </w:numPr>
        <w:ind w:left="709"/>
        <w:rPr>
          <w:rFonts w:ascii="Arial" w:hAnsi="Arial" w:cs="Arial"/>
          <w:sz w:val="22"/>
          <w:szCs w:val="22"/>
        </w:rPr>
      </w:pPr>
      <w:r w:rsidRPr="007B14F5">
        <w:rPr>
          <w:rFonts w:ascii="Arial" w:hAnsi="Arial" w:cs="Arial"/>
          <w:sz w:val="22"/>
          <w:szCs w:val="22"/>
        </w:rPr>
        <w:t xml:space="preserve">Tables </w:t>
      </w:r>
      <w:r w:rsidR="00A7013F">
        <w:rPr>
          <w:rFonts w:ascii="Arial" w:hAnsi="Arial" w:cs="Arial"/>
          <w:sz w:val="22"/>
          <w:szCs w:val="22"/>
        </w:rPr>
        <w:t>4</w:t>
      </w:r>
      <w:r w:rsidR="007B1D74">
        <w:rPr>
          <w:rFonts w:ascii="Arial" w:hAnsi="Arial" w:cs="Arial"/>
          <w:sz w:val="22"/>
          <w:szCs w:val="22"/>
        </w:rPr>
        <w:t xml:space="preserve"> and </w:t>
      </w:r>
      <w:r w:rsidR="00A7013F">
        <w:rPr>
          <w:rFonts w:ascii="Arial" w:hAnsi="Arial" w:cs="Arial"/>
          <w:sz w:val="22"/>
          <w:szCs w:val="22"/>
        </w:rPr>
        <w:t>5</w:t>
      </w:r>
      <w:r w:rsidRPr="007B14F5">
        <w:rPr>
          <w:rFonts w:ascii="Arial" w:hAnsi="Arial" w:cs="Arial"/>
          <w:sz w:val="22"/>
          <w:szCs w:val="22"/>
        </w:rPr>
        <w:t xml:space="preserve"> summarise the PFS and OS results from the KN-024 trial</w:t>
      </w:r>
      <w:r w:rsidRPr="00C511A0">
        <w:rPr>
          <w:rFonts w:ascii="Arial" w:hAnsi="Arial" w:cs="Arial"/>
          <w:sz w:val="22"/>
          <w:szCs w:val="22"/>
        </w:rPr>
        <w:t xml:space="preserve">. </w:t>
      </w:r>
      <w:r w:rsidR="00542905" w:rsidRPr="00C511A0">
        <w:rPr>
          <w:rFonts w:ascii="Arial" w:hAnsi="Arial" w:cs="Arial"/>
          <w:sz w:val="22"/>
          <w:szCs w:val="22"/>
        </w:rPr>
        <w:t>Figures</w:t>
      </w:r>
      <w:r w:rsidR="00542905">
        <w:rPr>
          <w:rFonts w:ascii="Arial" w:hAnsi="Arial" w:cs="Arial"/>
          <w:sz w:val="22"/>
          <w:szCs w:val="22"/>
        </w:rPr>
        <w:t xml:space="preserve"> </w:t>
      </w:r>
      <w:r w:rsidR="00542905" w:rsidRPr="00C511A0">
        <w:rPr>
          <w:rFonts w:ascii="Arial" w:hAnsi="Arial" w:cs="Arial"/>
          <w:sz w:val="22"/>
          <w:szCs w:val="22"/>
        </w:rPr>
        <w:t>2</w:t>
      </w:r>
      <w:r w:rsidR="00542905">
        <w:rPr>
          <w:rFonts w:ascii="Arial" w:hAnsi="Arial" w:cs="Arial"/>
          <w:sz w:val="22"/>
          <w:szCs w:val="22"/>
        </w:rPr>
        <w:t xml:space="preserve"> and 3</w:t>
      </w:r>
      <w:r w:rsidR="00542905" w:rsidRPr="007B14F5">
        <w:rPr>
          <w:rFonts w:ascii="Arial" w:hAnsi="Arial" w:cs="Arial"/>
          <w:sz w:val="22"/>
          <w:szCs w:val="22"/>
        </w:rPr>
        <w:t xml:space="preserve"> depict</w:t>
      </w:r>
      <w:r w:rsidRPr="007B14F5">
        <w:rPr>
          <w:rFonts w:ascii="Arial" w:hAnsi="Arial" w:cs="Arial"/>
          <w:sz w:val="22"/>
          <w:szCs w:val="22"/>
        </w:rPr>
        <w:t xml:space="preserve"> the corresponding Kaplan-Meier curves. Figure </w:t>
      </w:r>
      <w:r w:rsidR="006A2C58">
        <w:rPr>
          <w:rFonts w:ascii="Arial" w:hAnsi="Arial" w:cs="Arial"/>
          <w:sz w:val="22"/>
          <w:szCs w:val="22"/>
        </w:rPr>
        <w:t>4</w:t>
      </w:r>
      <w:r w:rsidRPr="007B14F5">
        <w:rPr>
          <w:rFonts w:ascii="Arial" w:hAnsi="Arial" w:cs="Arial"/>
          <w:sz w:val="22"/>
          <w:szCs w:val="22"/>
        </w:rPr>
        <w:t xml:space="preserve"> depicts a forest plot of OS results by subgroup.</w:t>
      </w:r>
    </w:p>
    <w:p w:rsidR="00932972" w:rsidRPr="007B14F5" w:rsidRDefault="00932972" w:rsidP="00932972">
      <w:pPr>
        <w:rPr>
          <w:rFonts w:ascii="Arial" w:hAnsi="Arial" w:cs="Arial"/>
          <w:sz w:val="22"/>
          <w:szCs w:val="22"/>
        </w:rPr>
      </w:pPr>
    </w:p>
    <w:p w:rsidR="00932972" w:rsidRPr="00C033F7" w:rsidRDefault="00932972" w:rsidP="008D1699">
      <w:pPr>
        <w:keepNext/>
        <w:rPr>
          <w:rFonts w:ascii="Arial Narrow" w:hAnsi="Arial Narrow"/>
          <w:b/>
          <w:sz w:val="20"/>
          <w:szCs w:val="20"/>
        </w:rPr>
      </w:pPr>
      <w:r w:rsidRPr="00C033F7">
        <w:rPr>
          <w:rFonts w:ascii="Arial Narrow" w:hAnsi="Arial Narrow"/>
          <w:b/>
          <w:sz w:val="20"/>
          <w:szCs w:val="20"/>
        </w:rPr>
        <w:t xml:space="preserve">Table </w:t>
      </w:r>
      <w:r w:rsidR="00A7013F">
        <w:rPr>
          <w:rFonts w:ascii="Arial Narrow" w:hAnsi="Arial Narrow"/>
          <w:b/>
          <w:sz w:val="20"/>
          <w:szCs w:val="20"/>
        </w:rPr>
        <w:t>4</w:t>
      </w:r>
      <w:r w:rsidRPr="00C033F7">
        <w:rPr>
          <w:rFonts w:ascii="Arial Narrow" w:hAnsi="Arial Narrow"/>
          <w:b/>
          <w:sz w:val="20"/>
          <w:szCs w:val="20"/>
        </w:rPr>
        <w:t>: Analysis of</w:t>
      </w:r>
      <w:r>
        <w:rPr>
          <w:rFonts w:ascii="Arial Narrow" w:hAnsi="Arial Narrow"/>
          <w:b/>
          <w:sz w:val="20"/>
          <w:szCs w:val="20"/>
        </w:rPr>
        <w:t xml:space="preserve"> the primary outcome of PFS, </w:t>
      </w:r>
      <w:r w:rsidRPr="00C033F7">
        <w:rPr>
          <w:rFonts w:ascii="Arial Narrow" w:hAnsi="Arial Narrow"/>
          <w:b/>
          <w:sz w:val="20"/>
          <w:szCs w:val="20"/>
        </w:rPr>
        <w:t>based on BICR assessment per RECIST 1.1</w:t>
      </w:r>
      <w:r>
        <w:rPr>
          <w:rFonts w:ascii="Arial Narrow" w:hAnsi="Arial Narrow"/>
          <w:b/>
          <w:sz w:val="20"/>
          <w:szCs w:val="20"/>
        </w:rPr>
        <w:t>, ITT population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362"/>
        <w:gridCol w:w="1501"/>
        <w:gridCol w:w="994"/>
        <w:gridCol w:w="2125"/>
        <w:gridCol w:w="1437"/>
        <w:gridCol w:w="1664"/>
      </w:tblGrid>
      <w:tr w:rsidR="001E4A8C" w:rsidRPr="00C033F7" w:rsidTr="00832F58">
        <w:tc>
          <w:tcPr>
            <w:tcW w:w="750" w:type="pct"/>
            <w:shd w:val="clear" w:color="auto" w:fill="auto"/>
          </w:tcPr>
          <w:p w:rsidR="00932972" w:rsidRPr="00C033F7" w:rsidRDefault="00932972" w:rsidP="008D1699">
            <w:pPr>
              <w:keepNext/>
              <w:rPr>
                <w:rFonts w:ascii="Arial Narrow" w:hAnsi="Arial Narrow"/>
                <w:b/>
                <w:sz w:val="20"/>
                <w:szCs w:val="20"/>
              </w:rPr>
            </w:pPr>
            <w:r w:rsidRPr="00C033F7">
              <w:rPr>
                <w:rFonts w:ascii="Arial Narrow" w:hAnsi="Arial Narrow"/>
                <w:b/>
                <w:sz w:val="20"/>
                <w:szCs w:val="20"/>
              </w:rPr>
              <w:t>Treatment</w:t>
            </w:r>
          </w:p>
        </w:tc>
        <w:tc>
          <w:tcPr>
            <w:tcW w:w="826" w:type="pct"/>
            <w:shd w:val="clear" w:color="auto" w:fill="auto"/>
          </w:tcPr>
          <w:p w:rsidR="00932972" w:rsidRPr="00C033F7" w:rsidRDefault="00932972" w:rsidP="008D1699">
            <w:pPr>
              <w:keepNext/>
              <w:tabs>
                <w:tab w:val="left" w:pos="870"/>
              </w:tabs>
              <w:jc w:val="center"/>
              <w:rPr>
                <w:rFonts w:ascii="Arial Narrow" w:hAnsi="Arial Narrow"/>
                <w:b/>
                <w:sz w:val="20"/>
                <w:szCs w:val="20"/>
              </w:rPr>
            </w:pPr>
            <w:r w:rsidRPr="00C033F7">
              <w:rPr>
                <w:rFonts w:ascii="Arial Narrow" w:hAnsi="Arial Narrow"/>
                <w:b/>
                <w:sz w:val="20"/>
                <w:szCs w:val="20"/>
              </w:rPr>
              <w:t>Events</w:t>
            </w:r>
          </w:p>
          <w:p w:rsidR="00932972" w:rsidRPr="00C033F7" w:rsidRDefault="00932972" w:rsidP="008D1699">
            <w:pPr>
              <w:keepNext/>
              <w:tabs>
                <w:tab w:val="left" w:pos="870"/>
              </w:tabs>
              <w:jc w:val="center"/>
              <w:rPr>
                <w:rFonts w:ascii="Arial Narrow" w:hAnsi="Arial Narrow"/>
                <w:b/>
                <w:sz w:val="20"/>
                <w:szCs w:val="20"/>
              </w:rPr>
            </w:pPr>
            <w:proofErr w:type="gramStart"/>
            <w:r w:rsidRPr="00C033F7">
              <w:rPr>
                <w:rFonts w:ascii="Arial Narrow" w:hAnsi="Arial Narrow"/>
                <w:b/>
                <w:sz w:val="20"/>
                <w:szCs w:val="20"/>
              </w:rPr>
              <w:t>n/N</w:t>
            </w:r>
            <w:proofErr w:type="gramEnd"/>
            <w:r w:rsidRPr="00C033F7">
              <w:rPr>
                <w:rFonts w:ascii="Arial Narrow" w:hAnsi="Arial Narrow"/>
                <w:b/>
                <w:sz w:val="20"/>
                <w:szCs w:val="20"/>
              </w:rPr>
              <w:t xml:space="preserve"> (%)</w:t>
            </w:r>
          </w:p>
        </w:tc>
        <w:tc>
          <w:tcPr>
            <w:tcW w:w="547" w:type="pct"/>
            <w:shd w:val="clear" w:color="auto" w:fill="auto"/>
          </w:tcPr>
          <w:p w:rsidR="00932972" w:rsidRPr="00C033F7" w:rsidRDefault="00932972" w:rsidP="008D1699">
            <w:pPr>
              <w:keepNext/>
              <w:jc w:val="center"/>
              <w:rPr>
                <w:rFonts w:ascii="Arial Narrow" w:hAnsi="Arial Narrow"/>
                <w:b/>
                <w:sz w:val="20"/>
                <w:szCs w:val="20"/>
              </w:rPr>
            </w:pPr>
            <w:r w:rsidRPr="00C033F7">
              <w:rPr>
                <w:rFonts w:ascii="Arial Narrow" w:hAnsi="Arial Narrow"/>
                <w:b/>
                <w:sz w:val="20"/>
                <w:szCs w:val="20"/>
              </w:rPr>
              <w:t>Person-months</w:t>
            </w:r>
          </w:p>
        </w:tc>
        <w:tc>
          <w:tcPr>
            <w:tcW w:w="1170" w:type="pct"/>
            <w:shd w:val="clear" w:color="auto" w:fill="auto"/>
          </w:tcPr>
          <w:p w:rsidR="00932972" w:rsidRPr="00C033F7" w:rsidRDefault="00932972" w:rsidP="008D1699">
            <w:pPr>
              <w:pStyle w:val="TableText0"/>
              <w:jc w:val="center"/>
              <w:rPr>
                <w:b/>
              </w:rPr>
            </w:pPr>
            <w:r w:rsidRPr="00C033F7">
              <w:rPr>
                <w:b/>
              </w:rPr>
              <w:t>PFS Rate at</w:t>
            </w:r>
          </w:p>
          <w:p w:rsidR="00932972" w:rsidRPr="00C033F7" w:rsidRDefault="00932972" w:rsidP="008D1699">
            <w:pPr>
              <w:pStyle w:val="TableText0"/>
              <w:jc w:val="center"/>
              <w:rPr>
                <w:b/>
              </w:rPr>
            </w:pPr>
            <w:r w:rsidRPr="00C033F7">
              <w:rPr>
                <w:b/>
              </w:rPr>
              <w:t>Month 12 (%</w:t>
            </w:r>
            <w:proofErr w:type="gramStart"/>
            <w:r w:rsidRPr="00C033F7">
              <w:rPr>
                <w:b/>
              </w:rPr>
              <w:t>)</w:t>
            </w:r>
            <w:r w:rsidRPr="00C033F7">
              <w:rPr>
                <w:b/>
                <w:vertAlign w:val="superscript"/>
              </w:rPr>
              <w:t>†</w:t>
            </w:r>
            <w:proofErr w:type="gramEnd"/>
          </w:p>
          <w:p w:rsidR="00932972" w:rsidRPr="00C033F7" w:rsidRDefault="00932972" w:rsidP="008D1699">
            <w:pPr>
              <w:keepNext/>
              <w:jc w:val="center"/>
              <w:rPr>
                <w:rFonts w:ascii="Arial Narrow" w:hAnsi="Arial Narrow"/>
                <w:b/>
                <w:sz w:val="20"/>
                <w:szCs w:val="20"/>
              </w:rPr>
            </w:pPr>
            <w:r w:rsidRPr="00C033F7">
              <w:rPr>
                <w:rFonts w:ascii="Arial Narrow" w:hAnsi="Arial Narrow"/>
                <w:b/>
                <w:sz w:val="20"/>
                <w:szCs w:val="20"/>
              </w:rPr>
              <w:t>(95% CI)</w:t>
            </w:r>
          </w:p>
        </w:tc>
        <w:tc>
          <w:tcPr>
            <w:tcW w:w="791" w:type="pct"/>
            <w:shd w:val="clear" w:color="auto" w:fill="auto"/>
          </w:tcPr>
          <w:p w:rsidR="00932972" w:rsidRPr="00C033F7" w:rsidRDefault="00932972" w:rsidP="008D1699">
            <w:pPr>
              <w:keepNext/>
              <w:jc w:val="center"/>
              <w:rPr>
                <w:rFonts w:ascii="Arial Narrow" w:hAnsi="Arial Narrow"/>
                <w:b/>
                <w:sz w:val="20"/>
                <w:szCs w:val="20"/>
              </w:rPr>
            </w:pPr>
            <w:r w:rsidRPr="00C033F7">
              <w:rPr>
                <w:rFonts w:ascii="Arial Narrow" w:hAnsi="Arial Narrow"/>
                <w:b/>
                <w:sz w:val="20"/>
                <w:szCs w:val="20"/>
              </w:rPr>
              <w:t>Median PFS</w:t>
            </w:r>
            <w:r w:rsidRPr="00C033F7">
              <w:rPr>
                <w:rFonts w:ascii="Arial Narrow" w:hAnsi="Arial Narrow"/>
                <w:b/>
                <w:sz w:val="20"/>
                <w:szCs w:val="20"/>
                <w:vertAlign w:val="superscript"/>
              </w:rPr>
              <w:t>a</w:t>
            </w:r>
            <w:r w:rsidRPr="00C033F7">
              <w:rPr>
                <w:rFonts w:ascii="Arial Narrow" w:hAnsi="Arial Narrow"/>
                <w:b/>
                <w:sz w:val="20"/>
                <w:szCs w:val="20"/>
              </w:rPr>
              <w:t>, months</w:t>
            </w:r>
          </w:p>
          <w:p w:rsidR="00932972" w:rsidRPr="00C033F7" w:rsidRDefault="00932972" w:rsidP="008D1699">
            <w:pPr>
              <w:keepNext/>
              <w:jc w:val="center"/>
              <w:rPr>
                <w:rFonts w:ascii="Arial Narrow" w:hAnsi="Arial Narrow"/>
                <w:b/>
                <w:sz w:val="20"/>
                <w:szCs w:val="20"/>
              </w:rPr>
            </w:pPr>
            <w:r w:rsidRPr="00C033F7">
              <w:rPr>
                <w:rFonts w:ascii="Arial Narrow" w:hAnsi="Arial Narrow"/>
                <w:b/>
                <w:sz w:val="20"/>
                <w:szCs w:val="20"/>
              </w:rPr>
              <w:t>(95% CI)</w:t>
            </w:r>
          </w:p>
        </w:tc>
        <w:tc>
          <w:tcPr>
            <w:tcW w:w="916" w:type="pct"/>
            <w:shd w:val="clear" w:color="auto" w:fill="auto"/>
          </w:tcPr>
          <w:p w:rsidR="00932972" w:rsidRPr="00C033F7" w:rsidRDefault="00932972" w:rsidP="008D1699">
            <w:pPr>
              <w:pStyle w:val="TableText0"/>
              <w:jc w:val="center"/>
              <w:rPr>
                <w:b/>
                <w:vertAlign w:val="superscript"/>
                <w:lang w:val="en-GB" w:eastAsia="en-GB"/>
              </w:rPr>
            </w:pPr>
            <w:r w:rsidRPr="00C033F7">
              <w:rPr>
                <w:b/>
                <w:lang w:val="en-GB" w:eastAsia="en-GB"/>
              </w:rPr>
              <w:t>HR</w:t>
            </w:r>
            <w:r w:rsidRPr="00C033F7">
              <w:rPr>
                <w:b/>
                <w:vertAlign w:val="superscript"/>
              </w:rPr>
              <w:t>b</w:t>
            </w:r>
            <w:r w:rsidRPr="00C033F7">
              <w:rPr>
                <w:b/>
                <w:lang w:val="en-GB" w:eastAsia="en-GB"/>
              </w:rPr>
              <w:t xml:space="preserve"> (95% CI)</w:t>
            </w:r>
          </w:p>
          <w:p w:rsidR="00932972" w:rsidRPr="00C033F7" w:rsidRDefault="00932972" w:rsidP="008D1699">
            <w:pPr>
              <w:keepNext/>
              <w:jc w:val="center"/>
              <w:rPr>
                <w:rFonts w:ascii="Arial Narrow" w:hAnsi="Arial Narrow"/>
                <w:b/>
                <w:sz w:val="20"/>
                <w:szCs w:val="20"/>
                <w:lang w:val="en-GB" w:eastAsia="en-GB"/>
              </w:rPr>
            </w:pPr>
            <w:r w:rsidRPr="00C033F7">
              <w:rPr>
                <w:rFonts w:ascii="Arial Narrow" w:hAnsi="Arial Narrow"/>
                <w:b/>
                <w:sz w:val="20"/>
                <w:szCs w:val="20"/>
                <w:lang w:val="en-GB" w:eastAsia="en-GB"/>
              </w:rPr>
              <w:t xml:space="preserve">Pembro vs </w:t>
            </w:r>
            <w:r w:rsidR="006A2C58">
              <w:rPr>
                <w:rFonts w:ascii="Arial Narrow" w:hAnsi="Arial Narrow"/>
                <w:b/>
                <w:sz w:val="20"/>
                <w:szCs w:val="20"/>
                <w:lang w:val="en-GB" w:eastAsia="en-GB"/>
              </w:rPr>
              <w:t>c</w:t>
            </w:r>
            <w:r w:rsidRPr="00C033F7">
              <w:rPr>
                <w:rFonts w:ascii="Arial Narrow" w:hAnsi="Arial Narrow"/>
                <w:b/>
                <w:sz w:val="20"/>
                <w:szCs w:val="20"/>
                <w:lang w:val="en-GB" w:eastAsia="en-GB"/>
              </w:rPr>
              <w:t>hemo</w:t>
            </w:r>
          </w:p>
          <w:p w:rsidR="00932972" w:rsidRPr="00C033F7" w:rsidRDefault="00932972" w:rsidP="008D1699">
            <w:pPr>
              <w:keepNext/>
              <w:jc w:val="center"/>
              <w:rPr>
                <w:rFonts w:ascii="Arial Narrow" w:hAnsi="Arial Narrow"/>
                <w:b/>
                <w:sz w:val="20"/>
                <w:szCs w:val="20"/>
              </w:rPr>
            </w:pPr>
            <w:r w:rsidRPr="00C033F7">
              <w:rPr>
                <w:rFonts w:ascii="Arial Narrow" w:hAnsi="Arial Narrow"/>
                <w:b/>
                <w:sz w:val="20"/>
                <w:szCs w:val="20"/>
                <w:lang w:val="en-GB" w:eastAsia="en-GB"/>
              </w:rPr>
              <w:t>p-value</w:t>
            </w:r>
            <w:r w:rsidRPr="00C033F7">
              <w:rPr>
                <w:rFonts w:ascii="Arial Narrow" w:hAnsi="Arial Narrow"/>
                <w:b/>
                <w:sz w:val="20"/>
                <w:szCs w:val="20"/>
                <w:vertAlign w:val="superscript"/>
              </w:rPr>
              <w:t>c</w:t>
            </w:r>
          </w:p>
        </w:tc>
      </w:tr>
      <w:tr w:rsidR="001E4A8C" w:rsidRPr="00C033F7" w:rsidTr="00832F58">
        <w:tc>
          <w:tcPr>
            <w:tcW w:w="750" w:type="pct"/>
            <w:shd w:val="clear" w:color="auto" w:fill="auto"/>
          </w:tcPr>
          <w:p w:rsidR="00932972" w:rsidRPr="00C033F7" w:rsidRDefault="00932972" w:rsidP="00932972">
            <w:pPr>
              <w:rPr>
                <w:rFonts w:ascii="Arial Narrow" w:hAnsi="Arial Narrow"/>
                <w:sz w:val="20"/>
                <w:szCs w:val="20"/>
              </w:rPr>
            </w:pPr>
            <w:r w:rsidRPr="00C033F7">
              <w:rPr>
                <w:rFonts w:ascii="Arial Narrow" w:hAnsi="Arial Narrow"/>
                <w:sz w:val="20"/>
                <w:szCs w:val="20"/>
              </w:rPr>
              <w:t>Pembrolizumab</w:t>
            </w:r>
          </w:p>
        </w:tc>
        <w:tc>
          <w:tcPr>
            <w:tcW w:w="826" w:type="pct"/>
            <w:shd w:val="clear" w:color="auto" w:fill="auto"/>
          </w:tcPr>
          <w:p w:rsidR="00932972" w:rsidRPr="00C033F7" w:rsidRDefault="00932972" w:rsidP="00932972">
            <w:pPr>
              <w:jc w:val="center"/>
              <w:rPr>
                <w:rFonts w:ascii="Arial Narrow" w:hAnsi="Arial Narrow"/>
                <w:sz w:val="20"/>
                <w:szCs w:val="20"/>
              </w:rPr>
            </w:pPr>
            <w:r w:rsidRPr="00C033F7">
              <w:rPr>
                <w:rFonts w:ascii="Arial Narrow" w:hAnsi="Arial Narrow"/>
                <w:sz w:val="20"/>
                <w:szCs w:val="20"/>
              </w:rPr>
              <w:t>73/154 (47.4%)</w:t>
            </w:r>
          </w:p>
        </w:tc>
        <w:tc>
          <w:tcPr>
            <w:tcW w:w="547" w:type="pct"/>
            <w:shd w:val="clear" w:color="auto" w:fill="auto"/>
          </w:tcPr>
          <w:p w:rsidR="00932972" w:rsidRPr="00C033F7" w:rsidRDefault="00932972" w:rsidP="00932972">
            <w:pPr>
              <w:pStyle w:val="TableText0"/>
              <w:jc w:val="center"/>
            </w:pPr>
            <w:r w:rsidRPr="00C033F7">
              <w:t>1000.2</w:t>
            </w:r>
          </w:p>
        </w:tc>
        <w:tc>
          <w:tcPr>
            <w:tcW w:w="1170" w:type="pct"/>
            <w:shd w:val="clear" w:color="auto" w:fill="auto"/>
          </w:tcPr>
          <w:p w:rsidR="00932972" w:rsidRPr="00C033F7" w:rsidRDefault="00932972" w:rsidP="001E4A8C">
            <w:pPr>
              <w:pStyle w:val="TableText0"/>
              <w:jc w:val="center"/>
            </w:pPr>
            <w:r w:rsidRPr="00C033F7">
              <w:t>47.7%</w:t>
            </w:r>
            <w:r w:rsidR="001E4A8C">
              <w:t xml:space="preserve"> </w:t>
            </w:r>
            <w:r w:rsidRPr="00C033F7">
              <w:t>(38.5%, 56.4%)</w:t>
            </w:r>
          </w:p>
        </w:tc>
        <w:tc>
          <w:tcPr>
            <w:tcW w:w="791" w:type="pct"/>
            <w:shd w:val="clear" w:color="auto" w:fill="auto"/>
          </w:tcPr>
          <w:p w:rsidR="00932972" w:rsidRPr="00C033F7" w:rsidRDefault="005A04DF" w:rsidP="006A2C58">
            <w:pPr>
              <w:pStyle w:val="TableText0"/>
              <w:jc w:val="center"/>
            </w:pPr>
            <w:r>
              <w:t>10.3</w:t>
            </w:r>
            <w:r w:rsidR="001E4A8C">
              <w:t xml:space="preserve"> </w:t>
            </w:r>
            <w:r>
              <w:t>(6.7, -</w:t>
            </w:r>
            <w:r w:rsidR="00932972" w:rsidRPr="00C033F7">
              <w:t>)</w:t>
            </w:r>
          </w:p>
        </w:tc>
        <w:tc>
          <w:tcPr>
            <w:tcW w:w="916" w:type="pct"/>
            <w:vMerge w:val="restart"/>
            <w:shd w:val="clear" w:color="auto" w:fill="auto"/>
            <w:vAlign w:val="center"/>
          </w:tcPr>
          <w:p w:rsidR="00932972" w:rsidRPr="00BC0C7D" w:rsidRDefault="00932972" w:rsidP="00932972">
            <w:pPr>
              <w:pStyle w:val="TableText0"/>
              <w:jc w:val="center"/>
              <w:rPr>
                <w:b/>
              </w:rPr>
            </w:pPr>
            <w:r w:rsidRPr="00BC0C7D">
              <w:rPr>
                <w:b/>
              </w:rPr>
              <w:t>0.50 (0.37, 0.68)</w:t>
            </w:r>
          </w:p>
          <w:p w:rsidR="00932972" w:rsidRPr="00C033F7" w:rsidRDefault="00932972" w:rsidP="00932972">
            <w:pPr>
              <w:jc w:val="center"/>
              <w:rPr>
                <w:rFonts w:ascii="Arial Narrow" w:hAnsi="Arial Narrow"/>
                <w:sz w:val="20"/>
                <w:szCs w:val="20"/>
              </w:rPr>
            </w:pPr>
            <w:r w:rsidRPr="00C033F7">
              <w:rPr>
                <w:rFonts w:ascii="Arial Narrow" w:hAnsi="Arial Narrow"/>
                <w:sz w:val="20"/>
                <w:szCs w:val="20"/>
              </w:rPr>
              <w:t>p&lt;0.001</w:t>
            </w:r>
            <w:r w:rsidRPr="00C033F7">
              <w:rPr>
                <w:rFonts w:ascii="Arial Narrow" w:hAnsi="Arial Narrow"/>
                <w:sz w:val="20"/>
                <w:szCs w:val="20"/>
                <w:vertAlign w:val="superscript"/>
              </w:rPr>
              <w:t>c</w:t>
            </w:r>
          </w:p>
        </w:tc>
      </w:tr>
      <w:tr w:rsidR="001E4A8C" w:rsidRPr="00C033F7" w:rsidTr="00832F58">
        <w:tc>
          <w:tcPr>
            <w:tcW w:w="750" w:type="pct"/>
            <w:shd w:val="clear" w:color="auto" w:fill="auto"/>
          </w:tcPr>
          <w:p w:rsidR="00932972" w:rsidRPr="00C033F7" w:rsidRDefault="00932972" w:rsidP="00932972">
            <w:pPr>
              <w:rPr>
                <w:rFonts w:ascii="Arial Narrow" w:hAnsi="Arial Narrow"/>
                <w:sz w:val="20"/>
                <w:szCs w:val="20"/>
              </w:rPr>
            </w:pPr>
            <w:r w:rsidRPr="00C033F7">
              <w:rPr>
                <w:rFonts w:ascii="Arial Narrow" w:hAnsi="Arial Narrow"/>
                <w:sz w:val="20"/>
                <w:szCs w:val="20"/>
              </w:rPr>
              <w:t>Chemotherapy</w:t>
            </w:r>
          </w:p>
        </w:tc>
        <w:tc>
          <w:tcPr>
            <w:tcW w:w="826" w:type="pct"/>
            <w:shd w:val="clear" w:color="auto" w:fill="auto"/>
          </w:tcPr>
          <w:p w:rsidR="00932972" w:rsidRPr="00C033F7" w:rsidRDefault="00932972" w:rsidP="00932972">
            <w:pPr>
              <w:jc w:val="center"/>
              <w:rPr>
                <w:rFonts w:ascii="Arial Narrow" w:hAnsi="Arial Narrow"/>
                <w:sz w:val="20"/>
                <w:szCs w:val="20"/>
              </w:rPr>
            </w:pPr>
            <w:r w:rsidRPr="00C033F7">
              <w:rPr>
                <w:rFonts w:ascii="Arial Narrow" w:hAnsi="Arial Narrow"/>
                <w:sz w:val="20"/>
                <w:szCs w:val="20"/>
              </w:rPr>
              <w:t>116/151 (76.8%)</w:t>
            </w:r>
          </w:p>
        </w:tc>
        <w:tc>
          <w:tcPr>
            <w:tcW w:w="547" w:type="pct"/>
            <w:shd w:val="clear" w:color="auto" w:fill="auto"/>
          </w:tcPr>
          <w:p w:rsidR="00932972" w:rsidRPr="00C033F7" w:rsidRDefault="00932972" w:rsidP="00932972">
            <w:pPr>
              <w:jc w:val="center"/>
              <w:rPr>
                <w:rFonts w:ascii="Arial Narrow" w:hAnsi="Arial Narrow"/>
                <w:sz w:val="20"/>
                <w:szCs w:val="20"/>
              </w:rPr>
            </w:pPr>
            <w:r w:rsidRPr="00C033F7">
              <w:rPr>
                <w:rFonts w:ascii="Arial Narrow" w:hAnsi="Arial Narrow"/>
                <w:sz w:val="20"/>
                <w:szCs w:val="20"/>
              </w:rPr>
              <w:t>785.6</w:t>
            </w:r>
          </w:p>
        </w:tc>
        <w:tc>
          <w:tcPr>
            <w:tcW w:w="1170" w:type="pct"/>
            <w:shd w:val="clear" w:color="auto" w:fill="auto"/>
          </w:tcPr>
          <w:p w:rsidR="00932972" w:rsidRPr="00C033F7" w:rsidRDefault="00932972" w:rsidP="001E4A8C">
            <w:pPr>
              <w:jc w:val="center"/>
              <w:rPr>
                <w:rFonts w:ascii="Arial Narrow" w:hAnsi="Arial Narrow"/>
                <w:sz w:val="20"/>
                <w:szCs w:val="20"/>
              </w:rPr>
            </w:pPr>
            <w:r w:rsidRPr="00C033F7">
              <w:rPr>
                <w:rFonts w:ascii="Arial Narrow" w:hAnsi="Arial Narrow"/>
                <w:sz w:val="20"/>
                <w:szCs w:val="20"/>
              </w:rPr>
              <w:t>15.0%</w:t>
            </w:r>
            <w:r w:rsidR="001E4A8C">
              <w:rPr>
                <w:rFonts w:ascii="Arial Narrow" w:hAnsi="Arial Narrow"/>
                <w:sz w:val="20"/>
                <w:szCs w:val="20"/>
              </w:rPr>
              <w:t xml:space="preserve"> </w:t>
            </w:r>
            <w:r w:rsidRPr="00C033F7">
              <w:rPr>
                <w:rFonts w:ascii="Arial Narrow" w:hAnsi="Arial Narrow"/>
                <w:sz w:val="20"/>
                <w:szCs w:val="20"/>
              </w:rPr>
              <w:t>(8.6%, 23.0%)</w:t>
            </w:r>
          </w:p>
        </w:tc>
        <w:tc>
          <w:tcPr>
            <w:tcW w:w="791" w:type="pct"/>
            <w:shd w:val="clear" w:color="auto" w:fill="auto"/>
          </w:tcPr>
          <w:p w:rsidR="00932972" w:rsidRPr="00C033F7" w:rsidRDefault="00932972" w:rsidP="006A2C58">
            <w:pPr>
              <w:jc w:val="center"/>
              <w:rPr>
                <w:rFonts w:ascii="Arial Narrow" w:hAnsi="Arial Narrow"/>
                <w:sz w:val="20"/>
                <w:szCs w:val="20"/>
              </w:rPr>
            </w:pPr>
            <w:r w:rsidRPr="00C033F7">
              <w:rPr>
                <w:rFonts w:ascii="Arial Narrow" w:hAnsi="Arial Narrow"/>
                <w:sz w:val="20"/>
                <w:szCs w:val="20"/>
              </w:rPr>
              <w:t>6.0</w:t>
            </w:r>
            <w:r w:rsidR="001E4A8C">
              <w:rPr>
                <w:rFonts w:ascii="Arial Narrow" w:hAnsi="Arial Narrow"/>
                <w:sz w:val="20"/>
                <w:szCs w:val="20"/>
              </w:rPr>
              <w:t xml:space="preserve"> </w:t>
            </w:r>
            <w:r w:rsidRPr="00C033F7">
              <w:rPr>
                <w:rFonts w:ascii="Arial Narrow" w:hAnsi="Arial Narrow"/>
                <w:sz w:val="20"/>
                <w:szCs w:val="20"/>
              </w:rPr>
              <w:t>(4.2, 6.2)</w:t>
            </w:r>
          </w:p>
        </w:tc>
        <w:tc>
          <w:tcPr>
            <w:tcW w:w="916" w:type="pct"/>
            <w:vMerge/>
            <w:shd w:val="clear" w:color="auto" w:fill="auto"/>
          </w:tcPr>
          <w:p w:rsidR="00932972" w:rsidRPr="00C033F7" w:rsidRDefault="00932972" w:rsidP="00932972">
            <w:pPr>
              <w:jc w:val="center"/>
              <w:rPr>
                <w:rFonts w:ascii="Arial Narrow" w:hAnsi="Arial Narrow"/>
                <w:sz w:val="20"/>
                <w:szCs w:val="20"/>
              </w:rPr>
            </w:pPr>
          </w:p>
        </w:tc>
      </w:tr>
    </w:tbl>
    <w:p w:rsidR="00932972" w:rsidRPr="00C033F7" w:rsidRDefault="00932972" w:rsidP="00932972">
      <w:pPr>
        <w:pStyle w:val="TableText0"/>
        <w:rPr>
          <w:sz w:val="18"/>
          <w:szCs w:val="18"/>
        </w:rPr>
      </w:pPr>
      <w:r>
        <w:rPr>
          <w:sz w:val="18"/>
          <w:szCs w:val="18"/>
        </w:rPr>
        <w:t>Database c</w:t>
      </w:r>
      <w:r w:rsidRPr="00C033F7">
        <w:rPr>
          <w:sz w:val="18"/>
          <w:szCs w:val="18"/>
        </w:rPr>
        <w:t>ut</w:t>
      </w:r>
      <w:r>
        <w:rPr>
          <w:sz w:val="18"/>
          <w:szCs w:val="18"/>
        </w:rPr>
        <w:t>-</w:t>
      </w:r>
      <w:r w:rsidRPr="00C033F7">
        <w:rPr>
          <w:sz w:val="18"/>
          <w:szCs w:val="18"/>
        </w:rPr>
        <w:t>off</w:t>
      </w:r>
      <w:r>
        <w:rPr>
          <w:sz w:val="18"/>
          <w:szCs w:val="18"/>
        </w:rPr>
        <w:t xml:space="preserve"> date</w:t>
      </w:r>
      <w:r w:rsidRPr="00C033F7">
        <w:rPr>
          <w:sz w:val="18"/>
          <w:szCs w:val="18"/>
        </w:rPr>
        <w:t>: 9 May 2016</w:t>
      </w:r>
    </w:p>
    <w:p w:rsidR="00932972" w:rsidRPr="00C033F7" w:rsidRDefault="00932972" w:rsidP="00932972">
      <w:pPr>
        <w:rPr>
          <w:rFonts w:ascii="Arial Narrow" w:hAnsi="Arial Narrow"/>
          <w:sz w:val="18"/>
          <w:szCs w:val="18"/>
        </w:rPr>
      </w:pPr>
      <w:r w:rsidRPr="00C033F7">
        <w:rPr>
          <w:rFonts w:ascii="Arial Narrow" w:hAnsi="Arial Narrow"/>
          <w:sz w:val="18"/>
          <w:szCs w:val="18"/>
        </w:rPr>
        <w:t>− = not reached; BICR = blinded independent central radiologist review; CI = confidence interval; HR = hazard ratio; ITT = intention to treat; PFS = progression</w:t>
      </w:r>
      <w:r w:rsidR="006A2C58">
        <w:rPr>
          <w:rFonts w:ascii="Arial Narrow" w:hAnsi="Arial Narrow"/>
          <w:sz w:val="18"/>
          <w:szCs w:val="18"/>
        </w:rPr>
        <w:t>-</w:t>
      </w:r>
      <w:r w:rsidRPr="00C033F7">
        <w:rPr>
          <w:rFonts w:ascii="Arial Narrow" w:hAnsi="Arial Narrow"/>
          <w:sz w:val="18"/>
          <w:szCs w:val="18"/>
        </w:rPr>
        <w:t>free survival; RECIST = Response Evaluation Criteria in Solid Tumours</w:t>
      </w:r>
    </w:p>
    <w:p w:rsidR="00932972" w:rsidRPr="00C033F7" w:rsidRDefault="00932972" w:rsidP="00932972">
      <w:pPr>
        <w:pStyle w:val="TableText0"/>
        <w:rPr>
          <w:sz w:val="18"/>
          <w:szCs w:val="18"/>
        </w:rPr>
      </w:pPr>
      <w:proofErr w:type="gramStart"/>
      <w:r w:rsidRPr="00C033F7">
        <w:rPr>
          <w:sz w:val="18"/>
          <w:szCs w:val="18"/>
          <w:vertAlign w:val="superscript"/>
        </w:rPr>
        <w:t>a</w:t>
      </w:r>
      <w:proofErr w:type="gramEnd"/>
      <w:r w:rsidRPr="00C033F7">
        <w:rPr>
          <w:sz w:val="18"/>
          <w:szCs w:val="18"/>
        </w:rPr>
        <w:t xml:space="preserve"> From product-limit (Kaplan-Meier) method for censored data.</w:t>
      </w:r>
    </w:p>
    <w:p w:rsidR="00932972" w:rsidRPr="00C033F7" w:rsidRDefault="00932972" w:rsidP="00932972">
      <w:pPr>
        <w:pStyle w:val="TableText0"/>
        <w:rPr>
          <w:sz w:val="18"/>
          <w:szCs w:val="18"/>
        </w:rPr>
      </w:pPr>
      <w:proofErr w:type="gramStart"/>
      <w:r w:rsidRPr="00C033F7">
        <w:rPr>
          <w:sz w:val="18"/>
          <w:szCs w:val="18"/>
          <w:vertAlign w:val="superscript"/>
        </w:rPr>
        <w:t>b</w:t>
      </w:r>
      <w:proofErr w:type="gramEnd"/>
      <w:r w:rsidRPr="00C033F7">
        <w:rPr>
          <w:sz w:val="18"/>
          <w:szCs w:val="18"/>
        </w:rPr>
        <w:t xml:space="preserve"> Based on Cox regression model with treatment as a covariate stratified by geographic region (East Asia vs. non-East Asia), ECOG PS (0 vs. 1) and histology (squamous vs. non-squamous).</w:t>
      </w:r>
    </w:p>
    <w:p w:rsidR="00932972" w:rsidRPr="00C033F7" w:rsidRDefault="00932972" w:rsidP="00932972">
      <w:pPr>
        <w:pStyle w:val="TableText0"/>
        <w:rPr>
          <w:sz w:val="18"/>
          <w:szCs w:val="18"/>
        </w:rPr>
      </w:pPr>
      <w:proofErr w:type="gramStart"/>
      <w:r w:rsidRPr="00C033F7">
        <w:rPr>
          <w:sz w:val="18"/>
          <w:szCs w:val="18"/>
          <w:vertAlign w:val="superscript"/>
        </w:rPr>
        <w:t>c</w:t>
      </w:r>
      <w:proofErr w:type="gramEnd"/>
      <w:r w:rsidRPr="00C033F7">
        <w:rPr>
          <w:sz w:val="18"/>
          <w:szCs w:val="18"/>
        </w:rPr>
        <w:t xml:space="preserve"> One-sided p-value based on log-rank test.</w:t>
      </w:r>
    </w:p>
    <w:p w:rsidR="00932972" w:rsidRPr="00C033F7" w:rsidRDefault="00932972" w:rsidP="00932972">
      <w:pPr>
        <w:pStyle w:val="TableHeading0"/>
        <w:rPr>
          <w:b w:val="0"/>
          <w:snapToGrid w:val="0"/>
          <w:sz w:val="18"/>
          <w:highlight w:val="yellow"/>
        </w:rPr>
      </w:pPr>
      <w:r w:rsidRPr="00C033F7">
        <w:rPr>
          <w:b w:val="0"/>
          <w:sz w:val="18"/>
          <w:szCs w:val="18"/>
        </w:rPr>
        <w:t>Source: Table B.6.1, p103 of the main submission Database</w:t>
      </w:r>
    </w:p>
    <w:p w:rsidR="00932972" w:rsidRPr="006A2C58" w:rsidRDefault="00932972" w:rsidP="00932972">
      <w:pPr>
        <w:rPr>
          <w:rFonts w:ascii="Arial" w:eastAsia="Calibri" w:hAnsi="Arial" w:cs="Arial"/>
          <w:sz w:val="22"/>
          <w:szCs w:val="22"/>
          <w:highlight w:val="yellow"/>
          <w:lang w:eastAsia="en-GB"/>
        </w:rPr>
      </w:pPr>
    </w:p>
    <w:p w:rsidR="00932972" w:rsidRPr="001E7E5C" w:rsidRDefault="005A04DF" w:rsidP="008D1699">
      <w:pPr>
        <w:keepNext/>
        <w:rPr>
          <w:rFonts w:ascii="Arial Narrow" w:hAnsi="Arial Narrow"/>
          <w:b/>
          <w:sz w:val="20"/>
          <w:szCs w:val="20"/>
        </w:rPr>
      </w:pPr>
      <w:r>
        <w:rPr>
          <w:rFonts w:ascii="Arial Narrow" w:hAnsi="Arial Narrow"/>
          <w:b/>
          <w:sz w:val="20"/>
          <w:szCs w:val="20"/>
        </w:rPr>
        <w:t xml:space="preserve">Table </w:t>
      </w:r>
      <w:r w:rsidR="00A7013F">
        <w:rPr>
          <w:rFonts w:ascii="Arial Narrow" w:hAnsi="Arial Narrow"/>
          <w:b/>
          <w:sz w:val="20"/>
          <w:szCs w:val="20"/>
        </w:rPr>
        <w:t>5</w:t>
      </w:r>
      <w:r>
        <w:rPr>
          <w:rFonts w:ascii="Arial Narrow" w:hAnsi="Arial Narrow"/>
          <w:b/>
          <w:sz w:val="20"/>
          <w:szCs w:val="20"/>
        </w:rPr>
        <w:t xml:space="preserve">: </w:t>
      </w:r>
      <w:r w:rsidRPr="001E7E5C">
        <w:rPr>
          <w:rFonts w:ascii="Arial Narrow" w:hAnsi="Arial Narrow"/>
          <w:b/>
          <w:sz w:val="20"/>
          <w:szCs w:val="20"/>
        </w:rPr>
        <w:t xml:space="preserve">Analysis </w:t>
      </w:r>
      <w:r w:rsidR="00932972" w:rsidRPr="001E7E5C">
        <w:rPr>
          <w:rFonts w:ascii="Arial Narrow" w:hAnsi="Arial Narrow"/>
          <w:b/>
          <w:sz w:val="20"/>
          <w:szCs w:val="20"/>
        </w:rPr>
        <w:t xml:space="preserve">of </w:t>
      </w:r>
      <w:r w:rsidR="00932972">
        <w:rPr>
          <w:rFonts w:ascii="Arial Narrow" w:hAnsi="Arial Narrow"/>
          <w:b/>
          <w:sz w:val="20"/>
          <w:szCs w:val="20"/>
        </w:rPr>
        <w:t xml:space="preserve">the secondary outcome of </w:t>
      </w:r>
      <w:r w:rsidR="00953AEC">
        <w:rPr>
          <w:rFonts w:ascii="Arial Narrow" w:hAnsi="Arial Narrow"/>
          <w:b/>
          <w:sz w:val="20"/>
          <w:szCs w:val="20"/>
        </w:rPr>
        <w:t>OS, ITT population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445"/>
        <w:gridCol w:w="1420"/>
        <w:gridCol w:w="992"/>
        <w:gridCol w:w="2125"/>
        <w:gridCol w:w="1422"/>
        <w:gridCol w:w="1679"/>
      </w:tblGrid>
      <w:tr w:rsidR="00932972" w:rsidRPr="001E7E5C" w:rsidTr="00832F58">
        <w:tc>
          <w:tcPr>
            <w:tcW w:w="795" w:type="pct"/>
            <w:shd w:val="clear" w:color="auto" w:fill="auto"/>
          </w:tcPr>
          <w:p w:rsidR="00932972" w:rsidRPr="001E7E5C" w:rsidRDefault="00932972" w:rsidP="008D1699">
            <w:pPr>
              <w:keepNext/>
              <w:rPr>
                <w:rFonts w:ascii="Arial Narrow" w:hAnsi="Arial Narrow"/>
                <w:b/>
                <w:sz w:val="20"/>
                <w:szCs w:val="20"/>
              </w:rPr>
            </w:pPr>
            <w:r w:rsidRPr="001E7E5C">
              <w:rPr>
                <w:rFonts w:ascii="Arial Narrow" w:hAnsi="Arial Narrow"/>
                <w:b/>
                <w:sz w:val="20"/>
                <w:szCs w:val="20"/>
              </w:rPr>
              <w:t>Treatment</w:t>
            </w:r>
          </w:p>
        </w:tc>
        <w:tc>
          <w:tcPr>
            <w:tcW w:w="781" w:type="pct"/>
            <w:shd w:val="clear" w:color="auto" w:fill="auto"/>
          </w:tcPr>
          <w:p w:rsidR="00932972" w:rsidRPr="001E7E5C" w:rsidRDefault="00932972" w:rsidP="008D1699">
            <w:pPr>
              <w:keepNext/>
              <w:tabs>
                <w:tab w:val="left" w:pos="870"/>
              </w:tabs>
              <w:jc w:val="center"/>
              <w:rPr>
                <w:rFonts w:ascii="Arial Narrow" w:hAnsi="Arial Narrow"/>
                <w:b/>
                <w:sz w:val="20"/>
                <w:szCs w:val="20"/>
              </w:rPr>
            </w:pPr>
            <w:r w:rsidRPr="001E7E5C">
              <w:rPr>
                <w:rFonts w:ascii="Arial Narrow" w:hAnsi="Arial Narrow"/>
                <w:b/>
                <w:sz w:val="20"/>
                <w:szCs w:val="20"/>
              </w:rPr>
              <w:t>Events</w:t>
            </w:r>
          </w:p>
          <w:p w:rsidR="00932972" w:rsidRPr="001E7E5C" w:rsidRDefault="00932972" w:rsidP="008D1699">
            <w:pPr>
              <w:keepNext/>
              <w:tabs>
                <w:tab w:val="left" w:pos="870"/>
              </w:tabs>
              <w:jc w:val="center"/>
              <w:rPr>
                <w:rFonts w:ascii="Arial Narrow" w:hAnsi="Arial Narrow"/>
                <w:b/>
                <w:sz w:val="20"/>
                <w:szCs w:val="20"/>
              </w:rPr>
            </w:pPr>
            <w:proofErr w:type="gramStart"/>
            <w:r w:rsidRPr="001E7E5C">
              <w:rPr>
                <w:rFonts w:ascii="Arial Narrow" w:hAnsi="Arial Narrow"/>
                <w:b/>
                <w:sz w:val="20"/>
                <w:szCs w:val="20"/>
              </w:rPr>
              <w:t>n/N</w:t>
            </w:r>
            <w:proofErr w:type="gramEnd"/>
            <w:r w:rsidRPr="001E7E5C">
              <w:rPr>
                <w:rFonts w:ascii="Arial Narrow" w:hAnsi="Arial Narrow"/>
                <w:b/>
                <w:sz w:val="20"/>
                <w:szCs w:val="20"/>
              </w:rPr>
              <w:t xml:space="preserve"> (%)</w:t>
            </w:r>
          </w:p>
        </w:tc>
        <w:tc>
          <w:tcPr>
            <w:tcW w:w="546" w:type="pct"/>
            <w:shd w:val="clear" w:color="auto" w:fill="auto"/>
          </w:tcPr>
          <w:p w:rsidR="00932972" w:rsidRPr="001E7E5C" w:rsidRDefault="00932972" w:rsidP="008D1699">
            <w:pPr>
              <w:keepNext/>
              <w:jc w:val="center"/>
              <w:rPr>
                <w:rFonts w:ascii="Arial Narrow" w:hAnsi="Arial Narrow"/>
                <w:b/>
                <w:sz w:val="20"/>
                <w:szCs w:val="20"/>
              </w:rPr>
            </w:pPr>
            <w:r w:rsidRPr="001E7E5C">
              <w:rPr>
                <w:rFonts w:ascii="Arial Narrow" w:hAnsi="Arial Narrow"/>
                <w:b/>
                <w:sz w:val="20"/>
                <w:szCs w:val="20"/>
              </w:rPr>
              <w:t>Person-months</w:t>
            </w:r>
          </w:p>
        </w:tc>
        <w:tc>
          <w:tcPr>
            <w:tcW w:w="1170" w:type="pct"/>
            <w:shd w:val="clear" w:color="auto" w:fill="auto"/>
          </w:tcPr>
          <w:p w:rsidR="00932972" w:rsidRPr="001E7E5C" w:rsidRDefault="00932972" w:rsidP="008D1699">
            <w:pPr>
              <w:pStyle w:val="TableText0"/>
              <w:jc w:val="center"/>
              <w:rPr>
                <w:b/>
              </w:rPr>
            </w:pPr>
            <w:r w:rsidRPr="001E7E5C">
              <w:rPr>
                <w:b/>
              </w:rPr>
              <w:t>OS Rate at</w:t>
            </w:r>
          </w:p>
          <w:p w:rsidR="00932972" w:rsidRPr="001E7E5C" w:rsidRDefault="00932972" w:rsidP="008D1699">
            <w:pPr>
              <w:pStyle w:val="TableText0"/>
              <w:jc w:val="center"/>
              <w:rPr>
                <w:b/>
              </w:rPr>
            </w:pPr>
            <w:r w:rsidRPr="001E7E5C">
              <w:rPr>
                <w:b/>
              </w:rPr>
              <w:t>Month 12 (%</w:t>
            </w:r>
            <w:proofErr w:type="gramStart"/>
            <w:r w:rsidRPr="001E7E5C">
              <w:rPr>
                <w:b/>
              </w:rPr>
              <w:t>)</w:t>
            </w:r>
            <w:r w:rsidRPr="001E7E5C">
              <w:rPr>
                <w:b/>
                <w:vertAlign w:val="superscript"/>
              </w:rPr>
              <w:t>†</w:t>
            </w:r>
            <w:proofErr w:type="gramEnd"/>
          </w:p>
          <w:p w:rsidR="00932972" w:rsidRPr="001E7E5C" w:rsidRDefault="00932972" w:rsidP="008D1699">
            <w:pPr>
              <w:keepNext/>
              <w:jc w:val="center"/>
              <w:rPr>
                <w:rFonts w:ascii="Arial Narrow" w:hAnsi="Arial Narrow"/>
                <w:b/>
                <w:sz w:val="20"/>
                <w:szCs w:val="20"/>
              </w:rPr>
            </w:pPr>
            <w:r w:rsidRPr="001E7E5C">
              <w:rPr>
                <w:rFonts w:ascii="Arial Narrow" w:hAnsi="Arial Narrow"/>
                <w:b/>
                <w:sz w:val="20"/>
                <w:szCs w:val="20"/>
              </w:rPr>
              <w:t>(95% CI)</w:t>
            </w:r>
          </w:p>
        </w:tc>
        <w:tc>
          <w:tcPr>
            <w:tcW w:w="783" w:type="pct"/>
            <w:shd w:val="clear" w:color="auto" w:fill="auto"/>
          </w:tcPr>
          <w:p w:rsidR="00932972" w:rsidRPr="001E7E5C" w:rsidRDefault="00932972" w:rsidP="008D1699">
            <w:pPr>
              <w:keepNext/>
              <w:jc w:val="center"/>
              <w:rPr>
                <w:rFonts w:ascii="Arial Narrow" w:hAnsi="Arial Narrow"/>
                <w:b/>
                <w:sz w:val="20"/>
                <w:szCs w:val="20"/>
              </w:rPr>
            </w:pPr>
            <w:r w:rsidRPr="001E7E5C">
              <w:rPr>
                <w:rFonts w:ascii="Arial Narrow" w:hAnsi="Arial Narrow"/>
                <w:b/>
                <w:sz w:val="20"/>
                <w:szCs w:val="20"/>
              </w:rPr>
              <w:t>Median OS</w:t>
            </w:r>
            <w:r w:rsidRPr="001E7E5C">
              <w:rPr>
                <w:rFonts w:ascii="Arial Narrow" w:hAnsi="Arial Narrow"/>
                <w:b/>
                <w:sz w:val="20"/>
                <w:szCs w:val="20"/>
                <w:vertAlign w:val="superscript"/>
              </w:rPr>
              <w:t>a</w:t>
            </w:r>
            <w:r w:rsidRPr="001E7E5C">
              <w:rPr>
                <w:rFonts w:ascii="Arial Narrow" w:hAnsi="Arial Narrow"/>
                <w:b/>
                <w:sz w:val="20"/>
                <w:szCs w:val="20"/>
              </w:rPr>
              <w:t>, months</w:t>
            </w:r>
          </w:p>
          <w:p w:rsidR="00932972" w:rsidRPr="001E7E5C" w:rsidRDefault="00932972" w:rsidP="008D1699">
            <w:pPr>
              <w:keepNext/>
              <w:jc w:val="center"/>
              <w:rPr>
                <w:rFonts w:ascii="Arial Narrow" w:hAnsi="Arial Narrow"/>
                <w:b/>
                <w:sz w:val="20"/>
                <w:szCs w:val="20"/>
              </w:rPr>
            </w:pPr>
            <w:r w:rsidRPr="001E7E5C">
              <w:rPr>
                <w:rFonts w:ascii="Arial Narrow" w:hAnsi="Arial Narrow"/>
                <w:b/>
                <w:sz w:val="20"/>
                <w:szCs w:val="20"/>
              </w:rPr>
              <w:t>(95% CI)</w:t>
            </w:r>
          </w:p>
        </w:tc>
        <w:tc>
          <w:tcPr>
            <w:tcW w:w="924" w:type="pct"/>
            <w:shd w:val="clear" w:color="auto" w:fill="auto"/>
          </w:tcPr>
          <w:p w:rsidR="00932972" w:rsidRPr="001E7E5C" w:rsidRDefault="00932972" w:rsidP="008D1699">
            <w:pPr>
              <w:pStyle w:val="TableText0"/>
              <w:jc w:val="center"/>
              <w:rPr>
                <w:b/>
                <w:vertAlign w:val="superscript"/>
                <w:lang w:val="en-GB" w:eastAsia="en-GB"/>
              </w:rPr>
            </w:pPr>
            <w:r w:rsidRPr="001E7E5C">
              <w:rPr>
                <w:b/>
                <w:lang w:val="en-GB" w:eastAsia="en-GB"/>
              </w:rPr>
              <w:t>HR</w:t>
            </w:r>
            <w:r w:rsidRPr="001E7E5C">
              <w:rPr>
                <w:b/>
                <w:vertAlign w:val="superscript"/>
              </w:rPr>
              <w:t>b</w:t>
            </w:r>
            <w:r w:rsidRPr="001E7E5C">
              <w:rPr>
                <w:b/>
                <w:lang w:val="en-GB" w:eastAsia="en-GB"/>
              </w:rPr>
              <w:t xml:space="preserve"> (95% CI)</w:t>
            </w:r>
          </w:p>
          <w:p w:rsidR="00932972" w:rsidRPr="001E7E5C" w:rsidRDefault="00932972" w:rsidP="008D1699">
            <w:pPr>
              <w:keepNext/>
              <w:jc w:val="center"/>
              <w:rPr>
                <w:rFonts w:ascii="Arial Narrow" w:hAnsi="Arial Narrow"/>
                <w:b/>
                <w:sz w:val="20"/>
                <w:szCs w:val="20"/>
                <w:lang w:val="en-GB" w:eastAsia="en-GB"/>
              </w:rPr>
            </w:pPr>
            <w:r w:rsidRPr="001E7E5C">
              <w:rPr>
                <w:rFonts w:ascii="Arial Narrow" w:hAnsi="Arial Narrow"/>
                <w:b/>
                <w:sz w:val="20"/>
                <w:szCs w:val="20"/>
                <w:lang w:val="en-GB" w:eastAsia="en-GB"/>
              </w:rPr>
              <w:t>Pembro</w:t>
            </w:r>
            <w:r w:rsidR="001E4A8C">
              <w:rPr>
                <w:rFonts w:ascii="Arial Narrow" w:hAnsi="Arial Narrow"/>
                <w:b/>
                <w:sz w:val="20"/>
                <w:szCs w:val="20"/>
                <w:lang w:val="en-GB" w:eastAsia="en-GB"/>
              </w:rPr>
              <w:t xml:space="preserve"> </w:t>
            </w:r>
            <w:r w:rsidRPr="001E7E5C">
              <w:rPr>
                <w:rFonts w:ascii="Arial Narrow" w:hAnsi="Arial Narrow"/>
                <w:b/>
                <w:sz w:val="20"/>
                <w:szCs w:val="20"/>
                <w:lang w:val="en-GB" w:eastAsia="en-GB"/>
              </w:rPr>
              <w:t xml:space="preserve">vs </w:t>
            </w:r>
            <w:r w:rsidR="006A2C58">
              <w:rPr>
                <w:rFonts w:ascii="Arial Narrow" w:hAnsi="Arial Narrow"/>
                <w:b/>
                <w:sz w:val="20"/>
                <w:szCs w:val="20"/>
                <w:lang w:val="en-GB" w:eastAsia="en-GB"/>
              </w:rPr>
              <w:t>c</w:t>
            </w:r>
            <w:r w:rsidRPr="001E7E5C">
              <w:rPr>
                <w:rFonts w:ascii="Arial Narrow" w:hAnsi="Arial Narrow"/>
                <w:b/>
                <w:sz w:val="20"/>
                <w:szCs w:val="20"/>
                <w:lang w:val="en-GB" w:eastAsia="en-GB"/>
              </w:rPr>
              <w:t>hemo</w:t>
            </w:r>
          </w:p>
          <w:p w:rsidR="00932972" w:rsidRPr="001E7E5C" w:rsidRDefault="00932972" w:rsidP="008D1699">
            <w:pPr>
              <w:keepNext/>
              <w:jc w:val="center"/>
              <w:rPr>
                <w:rFonts w:ascii="Arial Narrow" w:hAnsi="Arial Narrow"/>
                <w:b/>
                <w:sz w:val="20"/>
                <w:szCs w:val="20"/>
              </w:rPr>
            </w:pPr>
            <w:r w:rsidRPr="001E7E5C">
              <w:rPr>
                <w:rFonts w:ascii="Arial Narrow" w:hAnsi="Arial Narrow"/>
                <w:b/>
                <w:sz w:val="20"/>
                <w:szCs w:val="20"/>
                <w:lang w:val="en-GB" w:eastAsia="en-GB"/>
              </w:rPr>
              <w:t>p-value</w:t>
            </w:r>
            <w:r w:rsidRPr="001E7E5C">
              <w:rPr>
                <w:rFonts w:ascii="Arial Narrow" w:hAnsi="Arial Narrow"/>
                <w:b/>
                <w:sz w:val="20"/>
                <w:szCs w:val="20"/>
                <w:vertAlign w:val="superscript"/>
              </w:rPr>
              <w:t>c</w:t>
            </w:r>
          </w:p>
        </w:tc>
      </w:tr>
      <w:tr w:rsidR="00932972" w:rsidRPr="001E7E5C" w:rsidTr="00832F58">
        <w:tc>
          <w:tcPr>
            <w:tcW w:w="795" w:type="pct"/>
            <w:shd w:val="clear" w:color="auto" w:fill="auto"/>
          </w:tcPr>
          <w:p w:rsidR="00932972" w:rsidRPr="001E7E5C" w:rsidRDefault="00932972" w:rsidP="00932972">
            <w:pPr>
              <w:rPr>
                <w:rFonts w:ascii="Arial Narrow" w:hAnsi="Arial Narrow"/>
                <w:sz w:val="20"/>
                <w:szCs w:val="20"/>
              </w:rPr>
            </w:pPr>
            <w:r w:rsidRPr="001E7E5C">
              <w:rPr>
                <w:rFonts w:ascii="Arial Narrow" w:hAnsi="Arial Narrow"/>
                <w:sz w:val="20"/>
                <w:szCs w:val="20"/>
              </w:rPr>
              <w:t>Pembrolizumab</w:t>
            </w:r>
          </w:p>
        </w:tc>
        <w:tc>
          <w:tcPr>
            <w:tcW w:w="781" w:type="pct"/>
            <w:shd w:val="clear" w:color="auto" w:fill="auto"/>
          </w:tcPr>
          <w:p w:rsidR="00932972" w:rsidRPr="001E7E5C" w:rsidRDefault="00932972" w:rsidP="00932972">
            <w:pPr>
              <w:pStyle w:val="TableText0"/>
              <w:jc w:val="center"/>
            </w:pPr>
            <w:r w:rsidRPr="001E7E5C">
              <w:t>44/154 (28.6%)</w:t>
            </w:r>
          </w:p>
        </w:tc>
        <w:tc>
          <w:tcPr>
            <w:tcW w:w="546" w:type="pct"/>
            <w:shd w:val="clear" w:color="auto" w:fill="auto"/>
          </w:tcPr>
          <w:p w:rsidR="00932972" w:rsidRPr="001E7E5C" w:rsidRDefault="00932972" w:rsidP="00932972">
            <w:pPr>
              <w:pStyle w:val="TableText0"/>
              <w:jc w:val="center"/>
            </w:pPr>
            <w:r w:rsidRPr="001E7E5C">
              <w:t>1402.0</w:t>
            </w:r>
          </w:p>
        </w:tc>
        <w:tc>
          <w:tcPr>
            <w:tcW w:w="1170" w:type="pct"/>
            <w:shd w:val="clear" w:color="auto" w:fill="auto"/>
          </w:tcPr>
          <w:p w:rsidR="00932972" w:rsidRPr="001E7E5C" w:rsidRDefault="00932972" w:rsidP="001E4A8C">
            <w:pPr>
              <w:pStyle w:val="TableText0"/>
              <w:jc w:val="center"/>
            </w:pPr>
            <w:r w:rsidRPr="001E7E5C">
              <w:t>69.9%</w:t>
            </w:r>
            <w:r w:rsidR="001E4A8C">
              <w:t xml:space="preserve"> </w:t>
            </w:r>
            <w:r w:rsidRPr="001E7E5C">
              <w:t>(61.1%, 77.0%)</w:t>
            </w:r>
          </w:p>
        </w:tc>
        <w:tc>
          <w:tcPr>
            <w:tcW w:w="783" w:type="pct"/>
            <w:shd w:val="clear" w:color="auto" w:fill="auto"/>
          </w:tcPr>
          <w:p w:rsidR="00932972" w:rsidRPr="001E7E5C" w:rsidRDefault="00932972" w:rsidP="00932972">
            <w:pPr>
              <w:pStyle w:val="TableText0"/>
              <w:jc w:val="center"/>
              <w:rPr>
                <w:vertAlign w:val="superscript"/>
              </w:rPr>
            </w:pPr>
            <w:r w:rsidRPr="001E7E5C">
              <w:t>− (−, −)</w:t>
            </w:r>
          </w:p>
        </w:tc>
        <w:tc>
          <w:tcPr>
            <w:tcW w:w="924" w:type="pct"/>
            <w:vMerge w:val="restart"/>
            <w:shd w:val="clear" w:color="auto" w:fill="auto"/>
            <w:vAlign w:val="center"/>
          </w:tcPr>
          <w:p w:rsidR="00932972" w:rsidRPr="00BC0C7D" w:rsidRDefault="00932972" w:rsidP="00932972">
            <w:pPr>
              <w:pStyle w:val="TableText0"/>
              <w:jc w:val="center"/>
              <w:rPr>
                <w:b/>
              </w:rPr>
            </w:pPr>
            <w:r w:rsidRPr="00BC0C7D">
              <w:rPr>
                <w:b/>
              </w:rPr>
              <w:t>0.60 (0.41, 0.89)</w:t>
            </w:r>
          </w:p>
          <w:p w:rsidR="00932972" w:rsidRPr="001E7E5C" w:rsidRDefault="00932972" w:rsidP="00932972">
            <w:pPr>
              <w:jc w:val="center"/>
              <w:rPr>
                <w:rFonts w:ascii="Arial Narrow" w:hAnsi="Arial Narrow"/>
                <w:sz w:val="20"/>
                <w:szCs w:val="20"/>
              </w:rPr>
            </w:pPr>
            <w:r w:rsidRPr="001E7E5C">
              <w:rPr>
                <w:rFonts w:ascii="Arial Narrow" w:hAnsi="Arial Narrow"/>
                <w:sz w:val="20"/>
                <w:szCs w:val="20"/>
              </w:rPr>
              <w:t>p&lt;0.001</w:t>
            </w:r>
            <w:r w:rsidRPr="001E7E5C">
              <w:rPr>
                <w:rFonts w:ascii="Arial Narrow" w:hAnsi="Arial Narrow"/>
                <w:sz w:val="20"/>
                <w:szCs w:val="20"/>
                <w:vertAlign w:val="superscript"/>
              </w:rPr>
              <w:t>c</w:t>
            </w:r>
          </w:p>
        </w:tc>
      </w:tr>
      <w:tr w:rsidR="00932972" w:rsidRPr="001E7E5C" w:rsidTr="00832F58">
        <w:tc>
          <w:tcPr>
            <w:tcW w:w="795" w:type="pct"/>
            <w:shd w:val="clear" w:color="auto" w:fill="auto"/>
          </w:tcPr>
          <w:p w:rsidR="00932972" w:rsidRPr="001E7E5C" w:rsidRDefault="00932972" w:rsidP="00932972">
            <w:pPr>
              <w:rPr>
                <w:rFonts w:ascii="Arial Narrow" w:hAnsi="Arial Narrow"/>
                <w:sz w:val="20"/>
                <w:szCs w:val="20"/>
              </w:rPr>
            </w:pPr>
            <w:r w:rsidRPr="001E7E5C">
              <w:rPr>
                <w:rFonts w:ascii="Arial Narrow" w:hAnsi="Arial Narrow"/>
                <w:sz w:val="20"/>
                <w:szCs w:val="20"/>
              </w:rPr>
              <w:t>Chemotherapy</w:t>
            </w:r>
          </w:p>
        </w:tc>
        <w:tc>
          <w:tcPr>
            <w:tcW w:w="781" w:type="pct"/>
            <w:shd w:val="clear" w:color="auto" w:fill="auto"/>
          </w:tcPr>
          <w:p w:rsidR="00932972" w:rsidRPr="001E7E5C" w:rsidRDefault="00932972" w:rsidP="00932972">
            <w:pPr>
              <w:jc w:val="center"/>
              <w:rPr>
                <w:rFonts w:ascii="Arial Narrow" w:hAnsi="Arial Narrow"/>
                <w:sz w:val="20"/>
                <w:szCs w:val="20"/>
              </w:rPr>
            </w:pPr>
            <w:r w:rsidRPr="001E7E5C">
              <w:rPr>
                <w:rFonts w:ascii="Arial Narrow" w:hAnsi="Arial Narrow"/>
                <w:sz w:val="20"/>
                <w:szCs w:val="20"/>
              </w:rPr>
              <w:t>64/151 (42.4%)</w:t>
            </w:r>
          </w:p>
        </w:tc>
        <w:tc>
          <w:tcPr>
            <w:tcW w:w="546" w:type="pct"/>
            <w:shd w:val="clear" w:color="auto" w:fill="auto"/>
          </w:tcPr>
          <w:p w:rsidR="00932972" w:rsidRPr="001E7E5C" w:rsidRDefault="00932972" w:rsidP="00932972">
            <w:pPr>
              <w:jc w:val="center"/>
              <w:rPr>
                <w:rFonts w:ascii="Arial Narrow" w:hAnsi="Arial Narrow"/>
                <w:sz w:val="20"/>
                <w:szCs w:val="20"/>
              </w:rPr>
            </w:pPr>
            <w:r w:rsidRPr="001E7E5C">
              <w:rPr>
                <w:rFonts w:ascii="Arial Narrow" w:hAnsi="Arial Narrow"/>
                <w:sz w:val="20"/>
                <w:szCs w:val="20"/>
              </w:rPr>
              <w:t>1227.5</w:t>
            </w:r>
          </w:p>
        </w:tc>
        <w:tc>
          <w:tcPr>
            <w:tcW w:w="1170" w:type="pct"/>
            <w:shd w:val="clear" w:color="auto" w:fill="auto"/>
          </w:tcPr>
          <w:p w:rsidR="00932972" w:rsidRPr="001E7E5C" w:rsidRDefault="00932972" w:rsidP="001E4A8C">
            <w:pPr>
              <w:jc w:val="center"/>
              <w:rPr>
                <w:rFonts w:ascii="Arial Narrow" w:hAnsi="Arial Narrow"/>
                <w:sz w:val="20"/>
                <w:szCs w:val="20"/>
              </w:rPr>
            </w:pPr>
            <w:r w:rsidRPr="001E7E5C">
              <w:rPr>
                <w:rFonts w:ascii="Arial Narrow" w:hAnsi="Arial Narrow"/>
                <w:sz w:val="20"/>
                <w:szCs w:val="20"/>
              </w:rPr>
              <w:t>54.2%</w:t>
            </w:r>
            <w:r w:rsidR="001E4A8C">
              <w:rPr>
                <w:rFonts w:ascii="Arial Narrow" w:hAnsi="Arial Narrow"/>
                <w:sz w:val="20"/>
                <w:szCs w:val="20"/>
              </w:rPr>
              <w:t xml:space="preserve"> </w:t>
            </w:r>
            <w:r w:rsidRPr="001E7E5C">
              <w:rPr>
                <w:rFonts w:ascii="Arial Narrow" w:hAnsi="Arial Narrow"/>
                <w:sz w:val="20"/>
                <w:szCs w:val="20"/>
              </w:rPr>
              <w:t>(44.9%, 62.6%)</w:t>
            </w:r>
          </w:p>
        </w:tc>
        <w:tc>
          <w:tcPr>
            <w:tcW w:w="783" w:type="pct"/>
            <w:shd w:val="clear" w:color="auto" w:fill="auto"/>
          </w:tcPr>
          <w:p w:rsidR="00932972" w:rsidRPr="001E7E5C" w:rsidRDefault="00932972" w:rsidP="00932972">
            <w:pPr>
              <w:jc w:val="center"/>
              <w:rPr>
                <w:rFonts w:ascii="Arial Narrow" w:hAnsi="Arial Narrow"/>
                <w:sz w:val="20"/>
                <w:szCs w:val="20"/>
              </w:rPr>
            </w:pPr>
            <w:r w:rsidRPr="001E7E5C">
              <w:rPr>
                <w:rFonts w:ascii="Arial Narrow" w:hAnsi="Arial Narrow"/>
                <w:sz w:val="20"/>
                <w:szCs w:val="20"/>
              </w:rPr>
              <w:t>− (9.4, −)</w:t>
            </w:r>
          </w:p>
        </w:tc>
        <w:tc>
          <w:tcPr>
            <w:tcW w:w="924" w:type="pct"/>
            <w:vMerge/>
            <w:shd w:val="clear" w:color="auto" w:fill="auto"/>
          </w:tcPr>
          <w:p w:rsidR="00932972" w:rsidRPr="001E7E5C" w:rsidRDefault="00932972" w:rsidP="00932972">
            <w:pPr>
              <w:jc w:val="center"/>
              <w:rPr>
                <w:rFonts w:ascii="Arial Narrow" w:hAnsi="Arial Narrow"/>
                <w:sz w:val="20"/>
                <w:szCs w:val="20"/>
              </w:rPr>
            </w:pPr>
          </w:p>
        </w:tc>
      </w:tr>
    </w:tbl>
    <w:p w:rsidR="00932972" w:rsidRPr="001E7E5C" w:rsidRDefault="00932972" w:rsidP="00932972">
      <w:pPr>
        <w:pStyle w:val="TableText0"/>
        <w:rPr>
          <w:sz w:val="18"/>
          <w:szCs w:val="18"/>
        </w:rPr>
      </w:pPr>
      <w:r w:rsidRPr="001E7E5C">
        <w:rPr>
          <w:sz w:val="18"/>
          <w:szCs w:val="18"/>
        </w:rPr>
        <w:t xml:space="preserve">Database </w:t>
      </w:r>
      <w:r>
        <w:rPr>
          <w:sz w:val="18"/>
          <w:szCs w:val="18"/>
        </w:rPr>
        <w:t>c</w:t>
      </w:r>
      <w:r w:rsidRPr="001E7E5C">
        <w:rPr>
          <w:sz w:val="18"/>
          <w:szCs w:val="18"/>
        </w:rPr>
        <w:t>ut</w:t>
      </w:r>
      <w:r>
        <w:rPr>
          <w:sz w:val="18"/>
          <w:szCs w:val="18"/>
        </w:rPr>
        <w:t>-</w:t>
      </w:r>
      <w:r w:rsidRPr="001E7E5C">
        <w:rPr>
          <w:sz w:val="18"/>
          <w:szCs w:val="18"/>
        </w:rPr>
        <w:t xml:space="preserve">off </w:t>
      </w:r>
      <w:r>
        <w:rPr>
          <w:sz w:val="18"/>
          <w:szCs w:val="18"/>
        </w:rPr>
        <w:t>d</w:t>
      </w:r>
      <w:r w:rsidRPr="001E7E5C">
        <w:rPr>
          <w:sz w:val="18"/>
          <w:szCs w:val="18"/>
        </w:rPr>
        <w:t>ate: 9 May 2016</w:t>
      </w:r>
      <w:r>
        <w:rPr>
          <w:sz w:val="18"/>
          <w:szCs w:val="18"/>
        </w:rPr>
        <w:t xml:space="preserve"> </w:t>
      </w:r>
    </w:p>
    <w:p w:rsidR="00932972" w:rsidRPr="001E7E5C" w:rsidRDefault="00932972" w:rsidP="00932972">
      <w:pPr>
        <w:rPr>
          <w:rFonts w:ascii="Arial Narrow" w:hAnsi="Arial Narrow"/>
          <w:sz w:val="18"/>
          <w:szCs w:val="18"/>
        </w:rPr>
      </w:pPr>
      <w:r w:rsidRPr="001E7E5C">
        <w:rPr>
          <w:rFonts w:ascii="Arial Narrow" w:hAnsi="Arial Narrow"/>
          <w:sz w:val="18"/>
          <w:szCs w:val="18"/>
        </w:rPr>
        <w:t>− = not reached; BICR = blinded independent central radiologist review; CI = confidence interval; HR = hazard ratio; ITT = intention to treat; OS = overall survival; RECIST = Response Evaluation Criteria in Solid Tumours</w:t>
      </w:r>
    </w:p>
    <w:p w:rsidR="00932972" w:rsidRPr="001E7E5C" w:rsidRDefault="00932972" w:rsidP="00932972">
      <w:pPr>
        <w:pStyle w:val="TableText0"/>
        <w:rPr>
          <w:sz w:val="18"/>
          <w:szCs w:val="18"/>
        </w:rPr>
      </w:pPr>
      <w:proofErr w:type="gramStart"/>
      <w:r w:rsidRPr="001E7E5C">
        <w:rPr>
          <w:sz w:val="18"/>
          <w:szCs w:val="18"/>
          <w:vertAlign w:val="superscript"/>
        </w:rPr>
        <w:t>a</w:t>
      </w:r>
      <w:proofErr w:type="gramEnd"/>
      <w:r w:rsidRPr="001E7E5C">
        <w:rPr>
          <w:sz w:val="18"/>
          <w:szCs w:val="18"/>
        </w:rPr>
        <w:t xml:space="preserve"> From product-limit (Kaplan-Meier) method for censored data.</w:t>
      </w:r>
    </w:p>
    <w:p w:rsidR="00932972" w:rsidRPr="001E7E5C" w:rsidRDefault="00932972" w:rsidP="00932972">
      <w:pPr>
        <w:pStyle w:val="TableText0"/>
        <w:rPr>
          <w:sz w:val="18"/>
          <w:szCs w:val="18"/>
        </w:rPr>
      </w:pPr>
      <w:proofErr w:type="gramStart"/>
      <w:r w:rsidRPr="001E7E5C">
        <w:rPr>
          <w:sz w:val="18"/>
          <w:szCs w:val="18"/>
          <w:vertAlign w:val="superscript"/>
        </w:rPr>
        <w:t>b</w:t>
      </w:r>
      <w:proofErr w:type="gramEnd"/>
      <w:r w:rsidRPr="001E7E5C">
        <w:rPr>
          <w:sz w:val="18"/>
          <w:szCs w:val="18"/>
        </w:rPr>
        <w:t xml:space="preserve"> Based on Cox regression model with treatment as a covariate stratified by geographic region (East Asia vs. non-East Asia), ECOG PS (0 vs. 1) and histology (squamous vs. non-squamous).</w:t>
      </w:r>
    </w:p>
    <w:p w:rsidR="00932972" w:rsidRPr="001E7E5C" w:rsidRDefault="00932972" w:rsidP="00932972">
      <w:pPr>
        <w:pStyle w:val="TableText0"/>
        <w:rPr>
          <w:sz w:val="18"/>
          <w:szCs w:val="18"/>
        </w:rPr>
      </w:pPr>
      <w:proofErr w:type="gramStart"/>
      <w:r w:rsidRPr="001E7E5C">
        <w:rPr>
          <w:sz w:val="18"/>
          <w:szCs w:val="18"/>
          <w:vertAlign w:val="superscript"/>
        </w:rPr>
        <w:t>c</w:t>
      </w:r>
      <w:proofErr w:type="gramEnd"/>
      <w:r w:rsidRPr="001E7E5C">
        <w:rPr>
          <w:sz w:val="18"/>
          <w:szCs w:val="18"/>
        </w:rPr>
        <w:t xml:space="preserve"> One-sided p-value based on log-rank test.</w:t>
      </w:r>
    </w:p>
    <w:p w:rsidR="00932972" w:rsidRDefault="00932972" w:rsidP="00932972">
      <w:pPr>
        <w:spacing w:after="240"/>
      </w:pPr>
      <w:r w:rsidRPr="001E7E5C">
        <w:rPr>
          <w:rFonts w:ascii="Arial Narrow" w:hAnsi="Arial Narrow"/>
          <w:sz w:val="18"/>
          <w:szCs w:val="18"/>
        </w:rPr>
        <w:t>Source: Table B.6.1, p103 of the main submission</w:t>
      </w:r>
    </w:p>
    <w:p w:rsidR="00932972" w:rsidRDefault="005A04DF" w:rsidP="00932972">
      <w:pPr>
        <w:pStyle w:val="Caption"/>
        <w:keepNext/>
        <w:rPr>
          <w:rFonts w:ascii="Arial Narrow" w:hAnsi="Arial Narrow"/>
          <w:noProof/>
        </w:rPr>
      </w:pPr>
      <w:r w:rsidRPr="00C511A0">
        <w:rPr>
          <w:rFonts w:ascii="Arial Narrow" w:hAnsi="Arial Narrow"/>
          <w:noProof/>
        </w:rPr>
        <w:lastRenderedPageBreak/>
        <w:t xml:space="preserve">Figure </w:t>
      </w:r>
      <w:r w:rsidR="00A7013F" w:rsidRPr="00832F58">
        <w:rPr>
          <w:rFonts w:ascii="Arial Narrow" w:hAnsi="Arial Narrow"/>
          <w:noProof/>
        </w:rPr>
        <w:t>2</w:t>
      </w:r>
      <w:r w:rsidRPr="00C511A0">
        <w:rPr>
          <w:rFonts w:ascii="Arial Narrow" w:hAnsi="Arial Narrow"/>
          <w:noProof/>
        </w:rPr>
        <w:t xml:space="preserve">: </w:t>
      </w:r>
      <w:r w:rsidR="00932972" w:rsidRPr="00C511A0">
        <w:rPr>
          <w:rFonts w:ascii="Arial Narrow" w:hAnsi="Arial Narrow"/>
          <w:noProof/>
        </w:rPr>
        <w:t>Kaplan</w:t>
      </w:r>
      <w:r w:rsidR="00932972" w:rsidRPr="00351C1F">
        <w:rPr>
          <w:rFonts w:ascii="Arial Narrow" w:hAnsi="Arial Narrow"/>
          <w:noProof/>
        </w:rPr>
        <w:t xml:space="preserve">-Meier of </w:t>
      </w:r>
      <w:r w:rsidR="00932972">
        <w:rPr>
          <w:rFonts w:ascii="Arial Narrow" w:hAnsi="Arial Narrow"/>
          <w:noProof/>
        </w:rPr>
        <w:t>PFS</w:t>
      </w:r>
      <w:r w:rsidR="00932972" w:rsidRPr="00351C1F">
        <w:rPr>
          <w:rFonts w:ascii="Arial Narrow" w:hAnsi="Arial Narrow"/>
          <w:noProof/>
        </w:rPr>
        <w:t xml:space="preserve"> based on BICR assessment per RECIST</w:t>
      </w:r>
      <w:r w:rsidR="00932972">
        <w:rPr>
          <w:rFonts w:ascii="Arial Narrow" w:hAnsi="Arial Narrow"/>
          <w:noProof/>
        </w:rPr>
        <w:t xml:space="preserve"> 1.1, </w:t>
      </w:r>
      <w:r w:rsidR="00932972" w:rsidRPr="00351C1F">
        <w:rPr>
          <w:rFonts w:ascii="Arial Narrow" w:hAnsi="Arial Narrow"/>
          <w:noProof/>
        </w:rPr>
        <w:t>ITT Population</w:t>
      </w:r>
    </w:p>
    <w:p w:rsidR="00932972" w:rsidRPr="00481120" w:rsidRDefault="00932972" w:rsidP="008D1699">
      <w:pPr>
        <w:rPr>
          <w:rFonts w:ascii="Arial Narrow" w:hAnsi="Arial Narrow"/>
          <w:sz w:val="20"/>
          <w:szCs w:val="20"/>
        </w:rPr>
      </w:pPr>
      <w:r>
        <w:rPr>
          <w:noProof/>
          <w:lang w:eastAsia="en-AU"/>
        </w:rPr>
        <w:drawing>
          <wp:inline distT="0" distB="0" distL="0" distR="0" wp14:anchorId="53F20BEC" wp14:editId="07C03288">
            <wp:extent cx="5753100" cy="4142483"/>
            <wp:effectExtent l="0" t="0" r="0" b="0"/>
            <wp:docPr id="7177" name="Picture 33" title="Figure 2: Kaplan-Meier of PFS based on BICR assessment per RECIST 1.1, IT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3994"/>
                    <a:stretch/>
                  </pic:blipFill>
                  <pic:spPr bwMode="auto">
                    <a:xfrm>
                      <a:off x="0" y="0"/>
                      <a:ext cx="5786173" cy="4166297"/>
                    </a:xfrm>
                    <a:prstGeom prst="rect">
                      <a:avLst/>
                    </a:prstGeom>
                    <a:noFill/>
                    <a:ln>
                      <a:noFill/>
                    </a:ln>
                    <a:extLst>
                      <a:ext uri="{53640926-AAD7-44D8-BBD7-CCE9431645EC}">
                        <a14:shadowObscured xmlns:a14="http://schemas.microsoft.com/office/drawing/2010/main"/>
                      </a:ext>
                    </a:extLst>
                  </pic:spPr>
                </pic:pic>
              </a:graphicData>
            </a:graphic>
          </wp:inline>
        </w:drawing>
      </w:r>
    </w:p>
    <w:p w:rsidR="00932972" w:rsidRPr="00351C1F" w:rsidRDefault="00932972" w:rsidP="00932972">
      <w:pPr>
        <w:pStyle w:val="Tableorfigurefootnote"/>
        <w:rPr>
          <w:rFonts w:ascii="Arial Narrow" w:hAnsi="Arial Narrow"/>
          <w:sz w:val="18"/>
          <w:szCs w:val="18"/>
        </w:rPr>
      </w:pPr>
      <w:r w:rsidRPr="003F72A9">
        <w:rPr>
          <w:rFonts w:ascii="Arial Narrow" w:hAnsi="Arial Narrow"/>
          <w:sz w:val="18"/>
          <w:szCs w:val="18"/>
        </w:rPr>
        <w:t>RECIST = Response Evaluation Criteria in Solid Tumours</w:t>
      </w:r>
      <w:r>
        <w:rPr>
          <w:rFonts w:ascii="Arial Narrow" w:hAnsi="Arial Narrow"/>
          <w:sz w:val="18"/>
          <w:szCs w:val="18"/>
        </w:rPr>
        <w:t xml:space="preserve">; ITT = intention to treat; </w:t>
      </w:r>
      <w:r w:rsidRPr="00D23808">
        <w:rPr>
          <w:rFonts w:ascii="Arial Narrow" w:hAnsi="Arial Narrow"/>
          <w:sz w:val="18"/>
          <w:szCs w:val="18"/>
        </w:rPr>
        <w:t>PFS = progression</w:t>
      </w:r>
      <w:r w:rsidR="006A2C58">
        <w:rPr>
          <w:rFonts w:ascii="Arial Narrow" w:hAnsi="Arial Narrow"/>
          <w:sz w:val="18"/>
          <w:szCs w:val="18"/>
        </w:rPr>
        <w:t>-</w:t>
      </w:r>
      <w:r w:rsidRPr="00D23808">
        <w:rPr>
          <w:rFonts w:ascii="Arial Narrow" w:hAnsi="Arial Narrow"/>
          <w:sz w:val="18"/>
          <w:szCs w:val="18"/>
        </w:rPr>
        <w:t>free survival;</w:t>
      </w:r>
      <w:r>
        <w:rPr>
          <w:rFonts w:ascii="Arial Narrow" w:hAnsi="Arial Narrow"/>
          <w:sz w:val="18"/>
          <w:szCs w:val="18"/>
        </w:rPr>
        <w:t xml:space="preserve"> </w:t>
      </w:r>
      <w:r w:rsidRPr="00351C1F">
        <w:rPr>
          <w:rFonts w:ascii="Arial Narrow" w:hAnsi="Arial Narrow"/>
          <w:sz w:val="18"/>
          <w:szCs w:val="18"/>
        </w:rPr>
        <w:t xml:space="preserve">BICR = Blinded Independent </w:t>
      </w:r>
      <w:r>
        <w:rPr>
          <w:rFonts w:ascii="Arial Narrow" w:hAnsi="Arial Narrow"/>
          <w:sz w:val="18"/>
          <w:szCs w:val="18"/>
        </w:rPr>
        <w:t>9 May 2016</w:t>
      </w:r>
    </w:p>
    <w:p w:rsidR="00932972" w:rsidRPr="00351C1F" w:rsidRDefault="00932972" w:rsidP="00932972">
      <w:pPr>
        <w:pStyle w:val="Tableorfigurefootnote"/>
        <w:rPr>
          <w:rFonts w:ascii="Arial Narrow" w:hAnsi="Arial Narrow"/>
          <w:sz w:val="18"/>
          <w:szCs w:val="18"/>
        </w:rPr>
      </w:pPr>
      <w:r>
        <w:rPr>
          <w:rFonts w:ascii="Arial Narrow" w:hAnsi="Arial Narrow"/>
          <w:sz w:val="18"/>
          <w:szCs w:val="18"/>
        </w:rPr>
        <w:t xml:space="preserve">Source: </w:t>
      </w:r>
      <w:r w:rsidRPr="00351C1F">
        <w:rPr>
          <w:rFonts w:ascii="Arial Narrow" w:hAnsi="Arial Narrow"/>
          <w:sz w:val="18"/>
          <w:szCs w:val="18"/>
        </w:rPr>
        <w:t xml:space="preserve">Figure </w:t>
      </w:r>
      <w:r>
        <w:rPr>
          <w:rFonts w:ascii="Arial Narrow" w:hAnsi="Arial Narrow"/>
          <w:sz w:val="18"/>
          <w:szCs w:val="18"/>
        </w:rPr>
        <w:t>B.6.1, p104 of the main submission</w:t>
      </w:r>
    </w:p>
    <w:p w:rsidR="00932972" w:rsidRPr="00481120" w:rsidRDefault="00932972" w:rsidP="00932972">
      <w:pPr>
        <w:rPr>
          <w:rFonts w:ascii="Arial" w:hAnsi="Arial" w:cs="Arial"/>
          <w:sz w:val="22"/>
          <w:szCs w:val="22"/>
          <w:highlight w:val="yellow"/>
        </w:rPr>
      </w:pPr>
    </w:p>
    <w:p w:rsidR="00932972" w:rsidRPr="00EE4829" w:rsidRDefault="00932972" w:rsidP="00932972">
      <w:pPr>
        <w:pStyle w:val="Caption"/>
        <w:keepNext/>
        <w:rPr>
          <w:rFonts w:ascii="Arial Narrow" w:hAnsi="Arial Narrow"/>
        </w:rPr>
      </w:pPr>
      <w:r w:rsidRPr="00C511A0">
        <w:rPr>
          <w:rFonts w:ascii="Arial Narrow" w:hAnsi="Arial Narrow"/>
        </w:rPr>
        <w:lastRenderedPageBreak/>
        <w:t>Fig</w:t>
      </w:r>
      <w:r w:rsidR="005A04DF" w:rsidRPr="00C511A0">
        <w:rPr>
          <w:rFonts w:ascii="Arial Narrow" w:hAnsi="Arial Narrow"/>
        </w:rPr>
        <w:t>ure</w:t>
      </w:r>
      <w:r w:rsidRPr="00C511A0">
        <w:rPr>
          <w:rFonts w:ascii="Arial Narrow" w:hAnsi="Arial Narrow"/>
        </w:rPr>
        <w:t xml:space="preserve"> </w:t>
      </w:r>
      <w:r w:rsidR="00A7013F" w:rsidRPr="00832F58">
        <w:rPr>
          <w:rFonts w:ascii="Arial Narrow" w:hAnsi="Arial Narrow"/>
        </w:rPr>
        <w:t>3</w:t>
      </w:r>
      <w:r w:rsidR="005A04DF" w:rsidRPr="00C511A0">
        <w:rPr>
          <w:rFonts w:ascii="Arial Narrow" w:hAnsi="Arial Narrow"/>
        </w:rPr>
        <w:t xml:space="preserve">: </w:t>
      </w:r>
      <w:r w:rsidRPr="00C511A0">
        <w:rPr>
          <w:rFonts w:ascii="Arial Narrow" w:hAnsi="Arial Narrow"/>
        </w:rPr>
        <w:t>Ka</w:t>
      </w:r>
      <w:r w:rsidR="005A04DF" w:rsidRPr="00C511A0">
        <w:rPr>
          <w:rFonts w:ascii="Arial Narrow" w:hAnsi="Arial Narrow"/>
        </w:rPr>
        <w:t>plan</w:t>
      </w:r>
      <w:r w:rsidR="005A04DF">
        <w:rPr>
          <w:rFonts w:ascii="Arial Narrow" w:hAnsi="Arial Narrow"/>
        </w:rPr>
        <w:t>-Meier of Overall Survival, ITT population</w:t>
      </w:r>
    </w:p>
    <w:p w:rsidR="00932972" w:rsidRPr="00EE4829" w:rsidRDefault="00932972" w:rsidP="00932972">
      <w:pPr>
        <w:pStyle w:val="Caption"/>
        <w:keepNext/>
        <w:rPr>
          <w:rFonts w:ascii="Arial Narrow" w:hAnsi="Arial Narrow"/>
        </w:rPr>
      </w:pPr>
      <w:r w:rsidRPr="0091001B">
        <w:rPr>
          <w:noProof/>
          <w:lang w:eastAsia="en-AU"/>
        </w:rPr>
        <w:drawing>
          <wp:inline distT="0" distB="0" distL="0" distR="0" wp14:anchorId="735F3E0E" wp14:editId="27DC9733">
            <wp:extent cx="5229225" cy="3143250"/>
            <wp:effectExtent l="0" t="0" r="9525" b="0"/>
            <wp:docPr id="31" name="Picture 31" title="Figure 3: Kaplan-Meier of Overall Survival, ITT population"/>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rotWithShape="1">
                    <a:blip r:embed="rId11" cstate="print">
                      <a:extLst>
                        <a:ext uri="{28A0092B-C50C-407E-A947-70E740481C1C}">
                          <a14:useLocalDpi xmlns:a14="http://schemas.microsoft.com/office/drawing/2010/main" val="0"/>
                        </a:ext>
                      </a:extLst>
                    </a:blip>
                    <a:srcRect b="3994"/>
                    <a:stretch/>
                  </pic:blipFill>
                  <pic:spPr bwMode="auto">
                    <a:xfrm>
                      <a:off x="0" y="0"/>
                      <a:ext cx="5238161" cy="3148621"/>
                    </a:xfrm>
                    <a:prstGeom prst="rect">
                      <a:avLst/>
                    </a:prstGeom>
                    <a:noFill/>
                    <a:ln>
                      <a:noFill/>
                    </a:ln>
                    <a:extLst>
                      <a:ext uri="{53640926-AAD7-44D8-BBD7-CCE9431645EC}">
                        <a14:shadowObscured xmlns:a14="http://schemas.microsoft.com/office/drawing/2010/main"/>
                      </a:ext>
                    </a:extLst>
                  </pic:spPr>
                </pic:pic>
              </a:graphicData>
            </a:graphic>
          </wp:inline>
        </w:drawing>
      </w:r>
    </w:p>
    <w:p w:rsidR="00932972" w:rsidRPr="00EE4829" w:rsidRDefault="00932972" w:rsidP="00932972">
      <w:pPr>
        <w:pStyle w:val="Tableorfigurefootnoteindent"/>
        <w:ind w:left="0" w:firstLine="0"/>
        <w:rPr>
          <w:rFonts w:ascii="Arial Narrow" w:hAnsi="Arial Narrow"/>
          <w:sz w:val="18"/>
          <w:szCs w:val="18"/>
        </w:rPr>
      </w:pPr>
      <w:r w:rsidRPr="00EE4829">
        <w:rPr>
          <w:rFonts w:ascii="Arial Narrow" w:hAnsi="Arial Narrow"/>
          <w:sz w:val="18"/>
          <w:szCs w:val="18"/>
        </w:rPr>
        <w:t>BICR = Blinded Investigators Cen</w:t>
      </w:r>
      <w:r>
        <w:rPr>
          <w:rFonts w:ascii="Arial Narrow" w:hAnsi="Arial Narrow"/>
          <w:sz w:val="18"/>
          <w:szCs w:val="18"/>
        </w:rPr>
        <w:t xml:space="preserve">tral Review; SOC = Standard of </w:t>
      </w:r>
      <w:r w:rsidRPr="00EE4829">
        <w:rPr>
          <w:rFonts w:ascii="Arial Narrow" w:hAnsi="Arial Narrow"/>
          <w:sz w:val="18"/>
          <w:szCs w:val="18"/>
        </w:rPr>
        <w:t>Care</w:t>
      </w:r>
      <w:r>
        <w:rPr>
          <w:rFonts w:ascii="Arial Narrow" w:hAnsi="Arial Narrow"/>
          <w:sz w:val="18"/>
          <w:szCs w:val="18"/>
        </w:rPr>
        <w:t xml:space="preserve"> (First-line </w:t>
      </w:r>
      <w:r w:rsidRPr="00EE4829">
        <w:rPr>
          <w:rFonts w:ascii="Arial Narrow" w:hAnsi="Arial Narrow"/>
          <w:sz w:val="18"/>
          <w:szCs w:val="18"/>
        </w:rPr>
        <w:t>platinum-based chemotherapy</w:t>
      </w:r>
      <w:r>
        <w:rPr>
          <w:rFonts w:ascii="Arial Narrow" w:hAnsi="Arial Narrow"/>
          <w:sz w:val="18"/>
          <w:szCs w:val="18"/>
        </w:rPr>
        <w:t>); OS = overall survival</w:t>
      </w:r>
    </w:p>
    <w:p w:rsidR="00932972" w:rsidRPr="00EE4829" w:rsidRDefault="00932972" w:rsidP="00932972">
      <w:pPr>
        <w:pStyle w:val="Tableorfigurefootnoteindent"/>
        <w:rPr>
          <w:rFonts w:ascii="Arial Narrow" w:hAnsi="Arial Narrow"/>
          <w:sz w:val="18"/>
          <w:szCs w:val="18"/>
        </w:rPr>
      </w:pPr>
      <w:r>
        <w:rPr>
          <w:rFonts w:ascii="Arial Narrow" w:hAnsi="Arial Narrow"/>
          <w:sz w:val="18"/>
          <w:szCs w:val="18"/>
        </w:rPr>
        <w:t>Database cut-off date: 9 May 2016</w:t>
      </w:r>
    </w:p>
    <w:p w:rsidR="00932972" w:rsidRPr="008E2644" w:rsidRDefault="00481120" w:rsidP="00932972">
      <w:pPr>
        <w:pStyle w:val="TableHeading0"/>
        <w:keepNext w:val="0"/>
        <w:spacing w:after="240"/>
        <w:rPr>
          <w:b w:val="0"/>
          <w:highlight w:val="yellow"/>
        </w:rPr>
      </w:pPr>
      <w:r>
        <w:rPr>
          <w:b w:val="0"/>
          <w:sz w:val="18"/>
          <w:szCs w:val="18"/>
        </w:rPr>
        <w:t xml:space="preserve">Source: </w:t>
      </w:r>
      <w:r w:rsidR="00932972" w:rsidRPr="008E2644">
        <w:rPr>
          <w:b w:val="0"/>
          <w:sz w:val="18"/>
          <w:szCs w:val="18"/>
        </w:rPr>
        <w:t>Figure B.6-2, p107 of the main submission</w:t>
      </w:r>
    </w:p>
    <w:p w:rsidR="00F46566" w:rsidRDefault="00F46566">
      <w:pPr>
        <w:jc w:val="left"/>
        <w:rPr>
          <w:rFonts w:ascii="Arial Narrow" w:eastAsia="Calibri" w:hAnsi="Arial Narrow" w:cs="Arial"/>
          <w:b/>
          <w:sz w:val="20"/>
          <w:szCs w:val="20"/>
        </w:rPr>
      </w:pPr>
      <w:r>
        <w:rPr>
          <w:rFonts w:ascii="Arial Narrow" w:eastAsia="Calibri" w:hAnsi="Arial Narrow" w:cs="Arial"/>
          <w:b/>
          <w:sz w:val="20"/>
          <w:szCs w:val="20"/>
        </w:rPr>
        <w:br w:type="page"/>
      </w:r>
    </w:p>
    <w:p w:rsidR="00932972" w:rsidRPr="00DF3DBC" w:rsidRDefault="00932972" w:rsidP="00932972">
      <w:pPr>
        <w:keepNext/>
        <w:rPr>
          <w:rFonts w:ascii="Arial Narrow" w:hAnsi="Arial Narrow"/>
          <w:b/>
          <w:sz w:val="20"/>
          <w:szCs w:val="20"/>
          <w:highlight w:val="yellow"/>
        </w:rPr>
      </w:pPr>
      <w:r w:rsidRPr="00C511A0">
        <w:rPr>
          <w:rFonts w:ascii="Arial Narrow" w:eastAsia="Calibri" w:hAnsi="Arial Narrow" w:cs="Arial"/>
          <w:b/>
          <w:sz w:val="20"/>
          <w:szCs w:val="20"/>
        </w:rPr>
        <w:lastRenderedPageBreak/>
        <w:t xml:space="preserve">Figure </w:t>
      </w:r>
      <w:r w:rsidR="00A7013F" w:rsidRPr="00832F58">
        <w:rPr>
          <w:rFonts w:ascii="Arial Narrow" w:eastAsia="Calibri" w:hAnsi="Arial Narrow" w:cs="Arial"/>
          <w:b/>
          <w:sz w:val="20"/>
          <w:szCs w:val="20"/>
        </w:rPr>
        <w:t>4</w:t>
      </w:r>
      <w:r w:rsidR="005A04DF" w:rsidRPr="00C511A0">
        <w:rPr>
          <w:rFonts w:ascii="Arial Narrow" w:eastAsia="Calibri" w:hAnsi="Arial Narrow" w:cs="Arial"/>
          <w:b/>
          <w:sz w:val="20"/>
          <w:szCs w:val="20"/>
        </w:rPr>
        <w:t xml:space="preserve">: </w:t>
      </w:r>
      <w:r w:rsidRPr="00C511A0">
        <w:rPr>
          <w:rFonts w:ascii="Arial Narrow" w:eastAsia="Calibri" w:hAnsi="Arial Narrow" w:cs="Arial"/>
          <w:b/>
          <w:sz w:val="20"/>
          <w:szCs w:val="20"/>
        </w:rPr>
        <w:t>Forest</w:t>
      </w:r>
      <w:r>
        <w:rPr>
          <w:rFonts w:ascii="Arial Narrow" w:eastAsia="Calibri" w:hAnsi="Arial Narrow" w:cs="Arial"/>
          <w:b/>
          <w:sz w:val="20"/>
          <w:szCs w:val="20"/>
        </w:rPr>
        <w:t xml:space="preserve"> plot of OS hazard ratio, by subgroup</w:t>
      </w:r>
    </w:p>
    <w:p w:rsidR="00932972" w:rsidRPr="00DF3DBC" w:rsidRDefault="00DF3DBC" w:rsidP="00932972">
      <w:pPr>
        <w:rPr>
          <w:rFonts w:ascii="Arial Narrow" w:hAnsi="Arial Narrow"/>
          <w:sz w:val="20"/>
          <w:szCs w:val="20"/>
          <w:highlight w:val="yellow"/>
        </w:rPr>
      </w:pPr>
      <w:r>
        <w:rPr>
          <w:rFonts w:ascii="Arial Narrow" w:hAnsi="Arial Narrow"/>
          <w:noProof/>
          <w:sz w:val="20"/>
          <w:szCs w:val="20"/>
          <w:lang w:eastAsia="en-AU"/>
        </w:rPr>
        <w:drawing>
          <wp:inline distT="0" distB="0" distL="0" distR="0">
            <wp:extent cx="5690235" cy="3952875"/>
            <wp:effectExtent l="0" t="0" r="5715" b="952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90235" cy="3952875"/>
                    </a:xfrm>
                    <a:prstGeom prst="rect">
                      <a:avLst/>
                    </a:prstGeom>
                  </pic:spPr>
                </pic:pic>
              </a:graphicData>
            </a:graphic>
          </wp:inline>
        </w:drawing>
      </w:r>
    </w:p>
    <w:p w:rsidR="00932972" w:rsidRPr="00DF3DBC" w:rsidRDefault="00DF3DBC" w:rsidP="005E6CCE">
      <w:pPr>
        <w:pStyle w:val="TableFooter"/>
        <w:rPr>
          <w:highlight w:val="black"/>
        </w:rPr>
      </w:pPr>
      <w:r>
        <w:rPr>
          <w:noProof/>
          <w:color w:val="000000"/>
          <w:highlight w:val="black"/>
        </w:rPr>
        <w:t>'''''''''''''' '''''' '''''''''' '''''''''''''''''''''''' '''''''''''''' ''''''''' ''''''''''''''''''''' '''''' ''' '''''''''''''''''''''' '''''''''''''''''' '''''' '''''''''''''''''''''''' ''''''''''''''' '''''''''''' ''''''''''' ''''''' '''''''''''''''''''' ''''''''''''' ''''''''''''''' ''''''' ''''' ''''''' '''''' ''''''''' ''''''''''''''''''''' '''''''''''''''''''''''''' ''''''' '''''''''''''''''''''''''''''''''''''' ''''''''''''''''''''''' ''''''''''''''' ''''''''''' '''''' '''''''''' ''''''''''''</w:t>
      </w:r>
    </w:p>
    <w:p w:rsidR="00932972" w:rsidRPr="00DF3DBC" w:rsidRDefault="00DF3DBC" w:rsidP="00932972">
      <w:pPr>
        <w:pStyle w:val="TableFooter"/>
        <w:spacing w:before="0"/>
        <w:rPr>
          <w:rFonts w:eastAsia="Calibri"/>
          <w:highlight w:val="black"/>
        </w:rPr>
      </w:pPr>
      <w:r>
        <w:rPr>
          <w:noProof/>
          <w:color w:val="000000"/>
          <w:highlight w:val="black"/>
        </w:rPr>
        <w:t>'''''' '''' '''''''''''''''''''''''' '''''''''''''''''' ''''''''' ''' ''''''''''''''''' '''''''''' ''''''''''' '''''''''''''''''''''''' '''''''''''''''''''''''''''''''''''' ''''''' '''''''''''''''''''''''''''''' '''''''''''''''''''''''''''''''</w:t>
      </w:r>
    </w:p>
    <w:p w:rsidR="00932972" w:rsidRPr="00DF3DBC" w:rsidRDefault="00DF3DBC" w:rsidP="00932972">
      <w:pPr>
        <w:rPr>
          <w:rFonts w:ascii="Arial Narrow" w:eastAsia="Calibri" w:hAnsi="Arial Narrow" w:cs="Arial"/>
          <w:sz w:val="18"/>
          <w:szCs w:val="18"/>
          <w:highlight w:val="black"/>
        </w:rPr>
      </w:pPr>
      <w:r>
        <w:rPr>
          <w:rFonts w:ascii="Arial Narrow" w:eastAsia="Calibri" w:hAnsi="Arial Narrow" w:cs="Arial"/>
          <w:noProof/>
          <w:color w:val="000000"/>
          <w:sz w:val="18"/>
          <w:szCs w:val="18"/>
          <w:highlight w:val="black"/>
        </w:rPr>
        <w:t>''''''''''''''''''' '''''''''''''' '''''''''''' ''''''''''' ''''' '''''''''''''''' ''''''''''''</w:t>
      </w:r>
    </w:p>
    <w:p w:rsidR="00932972" w:rsidRPr="00481120" w:rsidRDefault="00932972" w:rsidP="00932972">
      <w:pPr>
        <w:rPr>
          <w:rFonts w:ascii="Arial" w:hAnsi="Arial" w:cs="Arial"/>
          <w:sz w:val="22"/>
          <w:szCs w:val="22"/>
        </w:rPr>
      </w:pPr>
    </w:p>
    <w:p w:rsidR="00932972" w:rsidRPr="007B14F5" w:rsidRDefault="00932972" w:rsidP="00217726">
      <w:pPr>
        <w:pStyle w:val="ListParagraph"/>
        <w:numPr>
          <w:ilvl w:val="1"/>
          <w:numId w:val="4"/>
        </w:numPr>
        <w:ind w:left="709"/>
        <w:rPr>
          <w:rFonts w:ascii="Arial" w:hAnsi="Arial" w:cs="Arial"/>
          <w:sz w:val="22"/>
          <w:szCs w:val="22"/>
        </w:rPr>
      </w:pPr>
      <w:r w:rsidRPr="007B14F5">
        <w:rPr>
          <w:rFonts w:ascii="Arial" w:hAnsi="Arial" w:cs="Arial"/>
          <w:sz w:val="22"/>
          <w:szCs w:val="22"/>
          <w:u w:val="single"/>
        </w:rPr>
        <w:t>PFS</w:t>
      </w:r>
      <w:r w:rsidRPr="007B14F5">
        <w:rPr>
          <w:rFonts w:ascii="Arial" w:hAnsi="Arial" w:cs="Arial"/>
          <w:sz w:val="22"/>
          <w:szCs w:val="22"/>
        </w:rPr>
        <w:t xml:space="preserve">: A total of 189 </w:t>
      </w:r>
      <w:r w:rsidR="005A04DF" w:rsidRPr="007B14F5">
        <w:rPr>
          <w:rFonts w:ascii="Arial" w:hAnsi="Arial" w:cs="Arial"/>
          <w:sz w:val="22"/>
          <w:szCs w:val="22"/>
        </w:rPr>
        <w:t>progression</w:t>
      </w:r>
      <w:r w:rsidRPr="007B14F5">
        <w:rPr>
          <w:rFonts w:ascii="Arial" w:hAnsi="Arial" w:cs="Arial"/>
          <w:sz w:val="22"/>
          <w:szCs w:val="22"/>
        </w:rPr>
        <w:t xml:space="preserve"> events were reported at the time of data cut-</w:t>
      </w:r>
      <w:r w:rsidR="005A04DF" w:rsidRPr="007B14F5">
        <w:rPr>
          <w:rFonts w:ascii="Arial" w:hAnsi="Arial" w:cs="Arial"/>
          <w:sz w:val="22"/>
          <w:szCs w:val="22"/>
        </w:rPr>
        <w:t>off (</w:t>
      </w:r>
      <w:r w:rsidRPr="007B14F5">
        <w:rPr>
          <w:rFonts w:ascii="Arial" w:hAnsi="Arial" w:cs="Arial"/>
          <w:sz w:val="22"/>
          <w:szCs w:val="22"/>
        </w:rPr>
        <w:t xml:space="preserve">9 May 2016). There was a statistically significant difference in median PFS (4.3 months; </w:t>
      </w:r>
      <w:r w:rsidR="00984DB9" w:rsidRPr="007B14F5">
        <w:rPr>
          <w:rFonts w:ascii="Arial" w:hAnsi="Arial" w:cs="Arial"/>
          <w:sz w:val="22"/>
          <w:szCs w:val="22"/>
        </w:rPr>
        <w:t>hazard ratio (</w:t>
      </w:r>
      <w:r w:rsidRPr="007B14F5">
        <w:rPr>
          <w:rFonts w:ascii="Arial" w:hAnsi="Arial" w:cs="Arial"/>
          <w:sz w:val="22"/>
          <w:szCs w:val="22"/>
        </w:rPr>
        <w:t>HR</w:t>
      </w:r>
      <w:r w:rsidR="00984DB9" w:rsidRPr="007B14F5">
        <w:rPr>
          <w:rFonts w:ascii="Arial" w:hAnsi="Arial" w:cs="Arial"/>
          <w:sz w:val="22"/>
          <w:szCs w:val="22"/>
        </w:rPr>
        <w:t>)</w:t>
      </w:r>
      <w:r w:rsidRPr="007B14F5">
        <w:rPr>
          <w:rFonts w:ascii="Arial" w:hAnsi="Arial" w:cs="Arial"/>
          <w:sz w:val="22"/>
          <w:szCs w:val="22"/>
        </w:rPr>
        <w:t xml:space="preserve"> = 0.50; 95% CI 0.37, 0.68) as determined by blinded independent review, favouring pembrolizumab 200 mg Q3W compared to platinum-based chemotherapy. The PFS Kaplan-Meier curves separated early at approximately 4 months, with continuous separation between the two curves over the course of follow-up.</w:t>
      </w:r>
    </w:p>
    <w:p w:rsidR="00932972" w:rsidRPr="007B14F5" w:rsidRDefault="00932972" w:rsidP="00932972">
      <w:pPr>
        <w:ind w:left="-11"/>
        <w:rPr>
          <w:rFonts w:ascii="Arial" w:hAnsi="Arial" w:cs="Arial"/>
          <w:sz w:val="22"/>
          <w:szCs w:val="22"/>
        </w:rPr>
      </w:pPr>
    </w:p>
    <w:p w:rsidR="00D960FC" w:rsidRDefault="00932972" w:rsidP="00217726">
      <w:pPr>
        <w:pStyle w:val="ListParagraph"/>
        <w:numPr>
          <w:ilvl w:val="1"/>
          <w:numId w:val="4"/>
        </w:numPr>
        <w:ind w:left="709"/>
        <w:rPr>
          <w:rFonts w:ascii="Arial" w:hAnsi="Arial" w:cs="Arial"/>
          <w:sz w:val="22"/>
          <w:szCs w:val="22"/>
        </w:rPr>
      </w:pPr>
      <w:r w:rsidRPr="007B14F5">
        <w:rPr>
          <w:rFonts w:ascii="Arial" w:hAnsi="Arial" w:cs="Arial"/>
          <w:sz w:val="22"/>
          <w:szCs w:val="22"/>
          <w:u w:val="single"/>
        </w:rPr>
        <w:t>OS</w:t>
      </w:r>
      <w:r w:rsidRPr="00481120">
        <w:rPr>
          <w:rFonts w:ascii="Arial" w:hAnsi="Arial" w:cs="Arial"/>
          <w:sz w:val="22"/>
          <w:szCs w:val="22"/>
        </w:rPr>
        <w:t>:</w:t>
      </w:r>
      <w:r w:rsidRPr="007B14F5">
        <w:rPr>
          <w:rFonts w:ascii="Arial" w:hAnsi="Arial" w:cs="Arial"/>
          <w:sz w:val="22"/>
          <w:szCs w:val="22"/>
        </w:rPr>
        <w:t xml:space="preserve"> A total of 108 deaths were reported at the time of data cut-off (9 May 2016). The median OS times were not reached for both arms. The HR was statistically significant favouring pembrolizumab 200 mg Q3W compared to platinum-based chemotherapy (HR = 0.60; 95% CI 0.41, 0.89). The OS Kaplan-Meier curves separated at approximately 1 month, with continuous separation between the two curves over the course of follow-up. The forest plot indicated the OS benefit favoured pembrolizumab for the majority of subgroups. Approximately 44% (66/151) of patients in the platinum-based chemotherapy arm had switched over to pembrolizumab on progression. The submission conducted multiple statistical analyses (</w:t>
      </w:r>
      <w:r w:rsidR="00984DB9" w:rsidRPr="007B14F5">
        <w:rPr>
          <w:rFonts w:ascii="Arial" w:hAnsi="Arial" w:cs="Arial"/>
          <w:sz w:val="22"/>
          <w:szCs w:val="22"/>
        </w:rPr>
        <w:t>i</w:t>
      </w:r>
      <w:r w:rsidR="00F301A7" w:rsidRPr="007B14F5">
        <w:rPr>
          <w:rFonts w:ascii="Arial" w:hAnsi="Arial" w:cs="Arial"/>
          <w:sz w:val="22"/>
          <w:szCs w:val="22"/>
        </w:rPr>
        <w:t xml:space="preserve">nverse probability of censoring </w:t>
      </w:r>
      <w:r w:rsidR="00984DB9" w:rsidRPr="007B14F5">
        <w:rPr>
          <w:rFonts w:ascii="Arial" w:hAnsi="Arial" w:cs="Arial"/>
          <w:sz w:val="22"/>
          <w:szCs w:val="22"/>
        </w:rPr>
        <w:t>weights (</w:t>
      </w:r>
      <w:r w:rsidRPr="007B14F5">
        <w:rPr>
          <w:rFonts w:ascii="Arial" w:hAnsi="Arial" w:cs="Arial"/>
          <w:sz w:val="22"/>
          <w:szCs w:val="22"/>
        </w:rPr>
        <w:t>IPCW</w:t>
      </w:r>
      <w:r w:rsidR="00984DB9" w:rsidRPr="007B14F5">
        <w:rPr>
          <w:rFonts w:ascii="Arial" w:hAnsi="Arial" w:cs="Arial"/>
          <w:sz w:val="22"/>
          <w:szCs w:val="22"/>
        </w:rPr>
        <w:t>)</w:t>
      </w:r>
      <w:r w:rsidRPr="007B14F5">
        <w:rPr>
          <w:rFonts w:ascii="Arial" w:hAnsi="Arial" w:cs="Arial"/>
          <w:sz w:val="22"/>
          <w:szCs w:val="22"/>
        </w:rPr>
        <w:t xml:space="preserve">, </w:t>
      </w:r>
      <w:r w:rsidR="00F301A7" w:rsidRPr="007B14F5">
        <w:rPr>
          <w:rFonts w:ascii="Arial" w:hAnsi="Arial" w:cs="Arial"/>
          <w:sz w:val="22"/>
          <w:szCs w:val="22"/>
        </w:rPr>
        <w:t>rank preserving structural failure time (</w:t>
      </w:r>
      <w:r w:rsidR="005A04DF" w:rsidRPr="007B14F5">
        <w:rPr>
          <w:rFonts w:ascii="Arial" w:hAnsi="Arial" w:cs="Arial"/>
          <w:sz w:val="22"/>
          <w:szCs w:val="22"/>
        </w:rPr>
        <w:t>RPS</w:t>
      </w:r>
      <w:r w:rsidR="00F301A7" w:rsidRPr="007B14F5">
        <w:rPr>
          <w:rFonts w:ascii="Arial" w:hAnsi="Arial" w:cs="Arial"/>
          <w:sz w:val="22"/>
          <w:szCs w:val="22"/>
        </w:rPr>
        <w:t>FT)</w:t>
      </w:r>
      <w:r w:rsidR="005A04DF" w:rsidRPr="007B14F5">
        <w:rPr>
          <w:rFonts w:ascii="Arial" w:hAnsi="Arial" w:cs="Arial"/>
          <w:sz w:val="22"/>
          <w:szCs w:val="22"/>
        </w:rPr>
        <w:t xml:space="preserve"> </w:t>
      </w:r>
      <w:r w:rsidRPr="007B14F5">
        <w:rPr>
          <w:rFonts w:ascii="Arial" w:hAnsi="Arial" w:cs="Arial"/>
          <w:sz w:val="22"/>
          <w:szCs w:val="22"/>
        </w:rPr>
        <w:t xml:space="preserve">and two-stage methods) to adjust the OS observed in the ITT analysis. These methods are well established and commonly used in the literature. However, the assumptions associated with these methods are difficult to test. The adjusted </w:t>
      </w:r>
      <w:r w:rsidRPr="007B14F5">
        <w:rPr>
          <w:rFonts w:ascii="Arial" w:hAnsi="Arial" w:cs="Arial"/>
          <w:sz w:val="22"/>
          <w:szCs w:val="22"/>
        </w:rPr>
        <w:lastRenderedPageBreak/>
        <w:t xml:space="preserve">HRs should therefore be considered exploratory and the ITT HR remains the most conservative relative treatment effect. </w:t>
      </w:r>
      <w:r w:rsidRPr="00EF2936">
        <w:rPr>
          <w:rFonts w:ascii="Arial" w:hAnsi="Arial" w:cs="Arial"/>
          <w:sz w:val="22"/>
          <w:szCs w:val="22"/>
        </w:rPr>
        <w:t>Treatment switching is further discussed in the economic evaluation section below.</w:t>
      </w:r>
    </w:p>
    <w:p w:rsidR="00DA3403" w:rsidRPr="00DA3403" w:rsidRDefault="00DA3403" w:rsidP="00DA3403">
      <w:pPr>
        <w:ind w:left="-11"/>
        <w:rPr>
          <w:rFonts w:ascii="Arial" w:hAnsi="Arial" w:cs="Arial"/>
          <w:sz w:val="22"/>
          <w:szCs w:val="22"/>
        </w:rPr>
      </w:pPr>
    </w:p>
    <w:p w:rsidR="00DA3403" w:rsidRDefault="00DA3403" w:rsidP="00217726">
      <w:pPr>
        <w:pStyle w:val="ListParagraph"/>
        <w:numPr>
          <w:ilvl w:val="1"/>
          <w:numId w:val="4"/>
        </w:numPr>
        <w:ind w:left="709"/>
        <w:rPr>
          <w:rFonts w:ascii="Arial" w:hAnsi="Arial" w:cs="Arial"/>
          <w:sz w:val="22"/>
          <w:szCs w:val="22"/>
        </w:rPr>
      </w:pPr>
      <w:r w:rsidRPr="00212DAC">
        <w:rPr>
          <w:rFonts w:ascii="Arial" w:hAnsi="Arial" w:cs="Arial"/>
          <w:sz w:val="22"/>
          <w:szCs w:val="22"/>
        </w:rPr>
        <w:t>The pre</w:t>
      </w:r>
      <w:r w:rsidRPr="00DA3403">
        <w:rPr>
          <w:rFonts w:ascii="Arial" w:hAnsi="Arial" w:cs="Arial"/>
          <w:sz w:val="22"/>
          <w:szCs w:val="22"/>
        </w:rPr>
        <w:t>-</w:t>
      </w:r>
      <w:r>
        <w:rPr>
          <w:rFonts w:ascii="Arial" w:hAnsi="Arial" w:cs="Arial"/>
          <w:sz w:val="22"/>
          <w:szCs w:val="22"/>
        </w:rPr>
        <w:t>PBAC response provided updated overall survival results</w:t>
      </w:r>
      <w:r w:rsidR="00A024BF">
        <w:rPr>
          <w:rFonts w:ascii="Arial" w:hAnsi="Arial" w:cs="Arial"/>
          <w:sz w:val="22"/>
          <w:szCs w:val="22"/>
        </w:rPr>
        <w:t xml:space="preserve"> (data cut-off 5 January 2017)</w:t>
      </w:r>
      <w:r>
        <w:rPr>
          <w:rFonts w:ascii="Arial" w:hAnsi="Arial" w:cs="Arial"/>
          <w:sz w:val="22"/>
          <w:szCs w:val="22"/>
        </w:rPr>
        <w:t>, extending the median duration of follow-up to 19.2 months</w:t>
      </w:r>
      <w:r w:rsidR="0068035F">
        <w:rPr>
          <w:rFonts w:ascii="Arial" w:hAnsi="Arial" w:cs="Arial"/>
          <w:sz w:val="22"/>
          <w:szCs w:val="22"/>
        </w:rPr>
        <w:t xml:space="preserve"> (see also Figure 8</w:t>
      </w:r>
      <w:r w:rsidR="0068035F" w:rsidRPr="00BF698C">
        <w:rPr>
          <w:rFonts w:ascii="Arial" w:hAnsi="Arial" w:cs="Arial"/>
          <w:sz w:val="22"/>
          <w:szCs w:val="22"/>
        </w:rPr>
        <w:t>)</w:t>
      </w:r>
      <w:r w:rsidRPr="00BF698C">
        <w:rPr>
          <w:rFonts w:ascii="Arial" w:hAnsi="Arial" w:cs="Arial"/>
          <w:sz w:val="22"/>
          <w:szCs w:val="22"/>
        </w:rPr>
        <w:t>.</w:t>
      </w:r>
      <w:r w:rsidR="00DF3DBC">
        <w:rPr>
          <w:rFonts w:ascii="Arial" w:hAnsi="Arial" w:cs="Arial"/>
          <w:noProof/>
          <w:color w:val="000000"/>
          <w:sz w:val="22"/>
          <w:szCs w:val="22"/>
          <w:highlight w:val="black"/>
        </w:rPr>
        <w:t xml:space="preserve"> '''' ''''''' ''''''''''''''''''''''''''''' ''''''''''' ''''''''''''''''' '''''' '''''''''''''' '''' ''''''''' '''''''''''''''''''''''''''''' '''''''''' ''''''''''''''''''''' ''''' '''' '''''''''''' '''''''''''''''''''' '''''''' '''''''''''''''''''''''''' '''''''''''''''''''''''' '''''''''''''''''' '''''''''''''''''''' ''''''''''''''''''''''''''' '''' ''''''''''''''''' ''''''''''''''''''' '''''''''''''''' '''''''''''''''' ''''''''''' ''''''' '''''''''''' '''' '''''''''''''' ''''''''''''''''''''''' '''''''''''' '''''''''' ''''''' '''''''''''' '''''''''''''''''''''''' ''''''''''''''''''''''''''''''''''''' ''''''''' ''''''''''''''''''''' '''''''''''''''' ''''''' '''''''''' ''''''''''''''''''' '''''' ''''''' '''''''''''''''''''''''''''' ''''''''' ''''''''''' ''''''''''''''''' '''''''''''' ''''''' ''''''''' '''''''''''''' ''''''''' ''''''' ''''''' '''''''' ''''''''''''''''''''''''''''''''' ''''''''''' '''''''''' '''''''''''''''''''' '''''''' '''''' '''''''' '''''''''' ''''''''''''''''''''' ''''' '''''' ''''''''''' ''''''''''''' '''''' ''''''''''''' '''''''''''''</w:t>
      </w:r>
      <w:r>
        <w:rPr>
          <w:rFonts w:ascii="Arial" w:hAnsi="Arial" w:cs="Arial"/>
          <w:sz w:val="22"/>
          <w:szCs w:val="22"/>
        </w:rPr>
        <w:t>.</w:t>
      </w:r>
    </w:p>
    <w:p w:rsidR="008A68B2" w:rsidRPr="00974B8B" w:rsidRDefault="008A68B2" w:rsidP="00974B8B">
      <w:pPr>
        <w:rPr>
          <w:rFonts w:ascii="Arial" w:hAnsi="Arial" w:cs="Arial"/>
          <w:sz w:val="22"/>
          <w:szCs w:val="22"/>
        </w:rPr>
      </w:pPr>
    </w:p>
    <w:p w:rsidR="008A68B2" w:rsidRPr="007B14F5" w:rsidRDefault="008A68B2" w:rsidP="00974B8B">
      <w:pPr>
        <w:pStyle w:val="ListParagraph"/>
        <w:numPr>
          <w:ilvl w:val="1"/>
          <w:numId w:val="4"/>
        </w:numPr>
        <w:ind w:left="709"/>
        <w:rPr>
          <w:rFonts w:ascii="Arial" w:hAnsi="Arial" w:cs="Arial"/>
          <w:sz w:val="22"/>
          <w:szCs w:val="22"/>
        </w:rPr>
      </w:pPr>
      <w:r w:rsidRPr="008A68B2">
        <w:rPr>
          <w:rFonts w:ascii="Arial" w:hAnsi="Arial" w:cs="Arial"/>
          <w:sz w:val="22"/>
          <w:szCs w:val="22"/>
        </w:rPr>
        <w:t>The sponsor also separately provided a more extensive set of subgroup analyses of randomised trials of pembrolizumab in NSCLC (KN-010 and KN-024) to further assess whether varying age (&lt;65 years, 65-74 years, 75-84 years) is associated with a variation in the effectiveness of pembrolizumab.</w:t>
      </w:r>
    </w:p>
    <w:p w:rsidR="00F15231" w:rsidRPr="00F6757B" w:rsidRDefault="00F15231" w:rsidP="00F6757B">
      <w:pPr>
        <w:pStyle w:val="Heading2"/>
      </w:pPr>
      <w:bookmarkStart w:id="22" w:name="_Toc439845557"/>
      <w:bookmarkStart w:id="23" w:name="_Toc431891740"/>
      <w:bookmarkStart w:id="24" w:name="_Toc461627089"/>
      <w:bookmarkStart w:id="25" w:name="_Toc471744456"/>
      <w:bookmarkEnd w:id="17"/>
      <w:r w:rsidRPr="007B14F5">
        <w:t>Comparative harms and extended assessment of comparative harms</w:t>
      </w:r>
      <w:bookmarkEnd w:id="22"/>
    </w:p>
    <w:bookmarkEnd w:id="23"/>
    <w:bookmarkEnd w:id="24"/>
    <w:bookmarkEnd w:id="25"/>
    <w:p w:rsidR="00932972" w:rsidRPr="007B14F5" w:rsidRDefault="00932972" w:rsidP="00217726">
      <w:pPr>
        <w:pStyle w:val="ListParagraph"/>
        <w:numPr>
          <w:ilvl w:val="1"/>
          <w:numId w:val="4"/>
        </w:numPr>
        <w:ind w:left="709"/>
        <w:rPr>
          <w:rFonts w:ascii="Arial" w:hAnsi="Arial" w:cs="Arial"/>
          <w:sz w:val="22"/>
          <w:szCs w:val="22"/>
        </w:rPr>
      </w:pPr>
      <w:r w:rsidRPr="007B14F5">
        <w:rPr>
          <w:rFonts w:ascii="Arial" w:hAnsi="Arial" w:cs="Arial"/>
          <w:sz w:val="22"/>
          <w:szCs w:val="22"/>
        </w:rPr>
        <w:t xml:space="preserve">Table </w:t>
      </w:r>
      <w:r w:rsidR="00B0118C">
        <w:rPr>
          <w:rFonts w:ascii="Arial" w:hAnsi="Arial" w:cs="Arial"/>
          <w:sz w:val="22"/>
          <w:szCs w:val="22"/>
        </w:rPr>
        <w:t>6</w:t>
      </w:r>
      <w:r w:rsidRPr="007B14F5">
        <w:rPr>
          <w:rFonts w:ascii="Arial" w:hAnsi="Arial" w:cs="Arial"/>
          <w:sz w:val="22"/>
          <w:szCs w:val="22"/>
        </w:rPr>
        <w:t xml:space="preserve"> summarises the key AEs in all subjects as treated (</w:t>
      </w:r>
      <w:proofErr w:type="gramStart"/>
      <w:r w:rsidRPr="007B14F5">
        <w:rPr>
          <w:rFonts w:ascii="Arial" w:hAnsi="Arial" w:cs="Arial"/>
          <w:sz w:val="22"/>
          <w:szCs w:val="22"/>
        </w:rPr>
        <w:t>ASaT</w:t>
      </w:r>
      <w:proofErr w:type="gramEnd"/>
      <w:r w:rsidRPr="007B14F5">
        <w:rPr>
          <w:rFonts w:ascii="Arial" w:hAnsi="Arial" w:cs="Arial"/>
          <w:sz w:val="22"/>
          <w:szCs w:val="22"/>
        </w:rPr>
        <w:t>) from the KN-024 trial.</w:t>
      </w:r>
    </w:p>
    <w:p w:rsidR="00932972" w:rsidRPr="007B14F5" w:rsidRDefault="00932972" w:rsidP="00932972">
      <w:pPr>
        <w:rPr>
          <w:rFonts w:ascii="Arial" w:hAnsi="Arial" w:cs="Arial"/>
          <w:sz w:val="22"/>
          <w:szCs w:val="22"/>
          <w:highlight w:val="yellow"/>
        </w:rPr>
      </w:pPr>
    </w:p>
    <w:p w:rsidR="00932972" w:rsidRPr="005F3F6F" w:rsidRDefault="00932972" w:rsidP="00932972">
      <w:pPr>
        <w:rPr>
          <w:rFonts w:ascii="Arial Narrow" w:hAnsi="Arial Narrow"/>
          <w:b/>
          <w:sz w:val="20"/>
          <w:szCs w:val="20"/>
        </w:rPr>
      </w:pPr>
      <w:r>
        <w:rPr>
          <w:rFonts w:ascii="Arial Narrow" w:hAnsi="Arial Narrow"/>
          <w:b/>
          <w:sz w:val="20"/>
          <w:szCs w:val="20"/>
        </w:rPr>
        <w:t xml:space="preserve">Table </w:t>
      </w:r>
      <w:r w:rsidR="00B0118C">
        <w:rPr>
          <w:rFonts w:ascii="Arial Narrow" w:hAnsi="Arial Narrow"/>
          <w:b/>
          <w:sz w:val="20"/>
          <w:szCs w:val="20"/>
        </w:rPr>
        <w:t>6</w:t>
      </w:r>
      <w:r w:rsidR="00F301A7">
        <w:rPr>
          <w:rFonts w:ascii="Arial Narrow" w:hAnsi="Arial Narrow"/>
          <w:b/>
          <w:sz w:val="20"/>
          <w:szCs w:val="20"/>
        </w:rPr>
        <w:t xml:space="preserve">: </w:t>
      </w:r>
      <w:r w:rsidRPr="005F3F6F">
        <w:rPr>
          <w:rFonts w:ascii="Arial Narrow" w:hAnsi="Arial Narrow"/>
          <w:b/>
          <w:sz w:val="20"/>
          <w:szCs w:val="20"/>
        </w:rPr>
        <w:t>Summary of key AEs from KN-024 in all subjects as treated (</w:t>
      </w:r>
      <w:proofErr w:type="gramStart"/>
      <w:r w:rsidRPr="005F3F6F">
        <w:rPr>
          <w:rFonts w:ascii="Arial Narrow" w:hAnsi="Arial Narrow"/>
          <w:b/>
          <w:sz w:val="20"/>
          <w:szCs w:val="20"/>
        </w:rPr>
        <w:t>ASaT</w:t>
      </w:r>
      <w:proofErr w:type="gramEnd"/>
      <w:r w:rsidRPr="005F3F6F">
        <w:rPr>
          <w:rFonts w:ascii="Arial Narrow" w:hAnsi="Arial Narrow"/>
          <w:b/>
          <w:sz w:val="20"/>
          <w:szCs w:val="20"/>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3572"/>
        <w:gridCol w:w="1419"/>
        <w:gridCol w:w="1124"/>
        <w:gridCol w:w="1484"/>
        <w:gridCol w:w="1484"/>
      </w:tblGrid>
      <w:tr w:rsidR="00A7013F" w:rsidRPr="00F559CD" w:rsidTr="00AB0BFB">
        <w:trPr>
          <w:tblHeader/>
        </w:trPr>
        <w:tc>
          <w:tcPr>
            <w:tcW w:w="1966" w:type="pct"/>
            <w:shd w:val="clear" w:color="auto" w:fill="auto"/>
          </w:tcPr>
          <w:p w:rsidR="00932972" w:rsidRPr="00827C28" w:rsidRDefault="00481120" w:rsidP="00932972">
            <w:pPr>
              <w:pStyle w:val="BodyText3"/>
              <w:jc w:val="left"/>
              <w:rPr>
                <w:rFonts w:ascii="Arial Narrow" w:hAnsi="Arial Narrow"/>
                <w:b/>
                <w:color w:val="auto"/>
                <w:sz w:val="20"/>
              </w:rPr>
            </w:pPr>
            <w:r>
              <w:rPr>
                <w:rFonts w:ascii="Arial Narrow" w:hAnsi="Arial Narrow"/>
                <w:b/>
                <w:color w:val="auto"/>
                <w:sz w:val="20"/>
              </w:rPr>
              <w:t>Subjects</w:t>
            </w:r>
          </w:p>
        </w:tc>
        <w:tc>
          <w:tcPr>
            <w:tcW w:w="781" w:type="pct"/>
            <w:shd w:val="clear" w:color="auto" w:fill="auto"/>
            <w:vAlign w:val="center"/>
          </w:tcPr>
          <w:p w:rsidR="00932972" w:rsidRPr="00827C28" w:rsidRDefault="00932972" w:rsidP="00832F58">
            <w:pPr>
              <w:pStyle w:val="BodyText3"/>
              <w:contextualSpacing/>
              <w:jc w:val="center"/>
              <w:rPr>
                <w:rFonts w:ascii="Arial Narrow" w:hAnsi="Arial Narrow"/>
                <w:b/>
                <w:color w:val="auto"/>
                <w:sz w:val="20"/>
              </w:rPr>
            </w:pPr>
            <w:r w:rsidRPr="00827C28">
              <w:rPr>
                <w:rFonts w:ascii="Arial Narrow" w:hAnsi="Arial Narrow"/>
                <w:b/>
                <w:color w:val="auto"/>
                <w:sz w:val="20"/>
              </w:rPr>
              <w:t>Pembrolizumab</w:t>
            </w:r>
          </w:p>
          <w:p w:rsidR="00932972" w:rsidRPr="00827C28" w:rsidRDefault="00932972" w:rsidP="00832F58">
            <w:pPr>
              <w:pStyle w:val="BodyText3"/>
              <w:contextualSpacing/>
              <w:jc w:val="center"/>
              <w:rPr>
                <w:rFonts w:ascii="Arial Narrow" w:hAnsi="Arial Narrow"/>
                <w:b/>
                <w:color w:val="auto"/>
                <w:sz w:val="20"/>
              </w:rPr>
            </w:pPr>
            <w:r w:rsidRPr="00827C28">
              <w:rPr>
                <w:rFonts w:ascii="Arial Narrow" w:hAnsi="Arial Narrow"/>
                <w:b/>
                <w:color w:val="auto"/>
                <w:sz w:val="20"/>
              </w:rPr>
              <w:t>N=154</w:t>
            </w:r>
          </w:p>
          <w:p w:rsidR="00932972" w:rsidRPr="00827C28" w:rsidRDefault="00932972" w:rsidP="00832F58">
            <w:pPr>
              <w:pStyle w:val="BodyText3"/>
              <w:contextualSpacing/>
              <w:jc w:val="center"/>
              <w:rPr>
                <w:rFonts w:ascii="Arial Narrow" w:hAnsi="Arial Narrow"/>
                <w:b/>
                <w:color w:val="auto"/>
                <w:sz w:val="20"/>
              </w:rPr>
            </w:pPr>
            <w:proofErr w:type="gramStart"/>
            <w:r w:rsidRPr="00827C28">
              <w:rPr>
                <w:rFonts w:ascii="Arial Narrow" w:hAnsi="Arial Narrow"/>
                <w:b/>
                <w:color w:val="auto"/>
                <w:sz w:val="20"/>
              </w:rPr>
              <w:t>n</w:t>
            </w:r>
            <w:proofErr w:type="gramEnd"/>
            <w:r w:rsidRPr="00827C28">
              <w:rPr>
                <w:rFonts w:ascii="Arial Narrow" w:hAnsi="Arial Narrow"/>
                <w:b/>
                <w:color w:val="auto"/>
                <w:sz w:val="20"/>
              </w:rPr>
              <w:t xml:space="preserve"> (%)</w:t>
            </w:r>
          </w:p>
        </w:tc>
        <w:tc>
          <w:tcPr>
            <w:tcW w:w="619" w:type="pct"/>
            <w:shd w:val="clear" w:color="auto" w:fill="auto"/>
            <w:vAlign w:val="center"/>
          </w:tcPr>
          <w:p w:rsidR="00932972" w:rsidRPr="00827C28" w:rsidRDefault="00932972" w:rsidP="00832F58">
            <w:pPr>
              <w:pStyle w:val="BodyText3"/>
              <w:contextualSpacing/>
              <w:jc w:val="center"/>
              <w:rPr>
                <w:rFonts w:ascii="Arial Narrow" w:hAnsi="Arial Narrow"/>
                <w:b/>
                <w:color w:val="auto"/>
                <w:sz w:val="20"/>
              </w:rPr>
            </w:pPr>
            <w:r w:rsidRPr="00827C28">
              <w:rPr>
                <w:rFonts w:ascii="Arial Narrow" w:hAnsi="Arial Narrow"/>
                <w:b/>
                <w:color w:val="auto"/>
                <w:sz w:val="20"/>
              </w:rPr>
              <w:t>Platinum-chemo</w:t>
            </w:r>
          </w:p>
          <w:p w:rsidR="00932972" w:rsidRPr="00827C28" w:rsidRDefault="00932972" w:rsidP="00832F58">
            <w:pPr>
              <w:pStyle w:val="BodyText3"/>
              <w:contextualSpacing/>
              <w:jc w:val="center"/>
              <w:rPr>
                <w:rFonts w:ascii="Arial Narrow" w:hAnsi="Arial Narrow"/>
                <w:b/>
                <w:color w:val="auto"/>
                <w:sz w:val="20"/>
              </w:rPr>
            </w:pPr>
            <w:r w:rsidRPr="00827C28">
              <w:rPr>
                <w:rFonts w:ascii="Arial Narrow" w:hAnsi="Arial Narrow"/>
                <w:b/>
                <w:color w:val="auto"/>
                <w:sz w:val="20"/>
              </w:rPr>
              <w:t>N=150</w:t>
            </w:r>
          </w:p>
          <w:p w:rsidR="00932972" w:rsidRPr="00827C28" w:rsidRDefault="00932972" w:rsidP="00832F58">
            <w:pPr>
              <w:pStyle w:val="BodyText3"/>
              <w:contextualSpacing/>
              <w:jc w:val="center"/>
              <w:rPr>
                <w:rFonts w:ascii="Arial Narrow" w:hAnsi="Arial Narrow"/>
                <w:b/>
                <w:color w:val="auto"/>
                <w:sz w:val="20"/>
              </w:rPr>
            </w:pPr>
            <w:proofErr w:type="gramStart"/>
            <w:r w:rsidRPr="00827C28">
              <w:rPr>
                <w:rFonts w:ascii="Arial Narrow" w:hAnsi="Arial Narrow"/>
                <w:b/>
                <w:color w:val="auto"/>
                <w:sz w:val="20"/>
              </w:rPr>
              <w:t>n</w:t>
            </w:r>
            <w:proofErr w:type="gramEnd"/>
            <w:r w:rsidRPr="00827C28">
              <w:rPr>
                <w:rFonts w:ascii="Arial Narrow" w:hAnsi="Arial Narrow"/>
                <w:b/>
                <w:color w:val="auto"/>
                <w:sz w:val="20"/>
              </w:rPr>
              <w:t xml:space="preserve"> (%)</w:t>
            </w:r>
          </w:p>
        </w:tc>
        <w:tc>
          <w:tcPr>
            <w:tcW w:w="817" w:type="pct"/>
            <w:shd w:val="clear" w:color="auto" w:fill="auto"/>
            <w:vAlign w:val="center"/>
          </w:tcPr>
          <w:p w:rsidR="00932972" w:rsidRPr="00827C28" w:rsidRDefault="00932972" w:rsidP="00832F58">
            <w:pPr>
              <w:pStyle w:val="BodyText3"/>
              <w:contextualSpacing/>
              <w:jc w:val="center"/>
              <w:rPr>
                <w:rFonts w:ascii="Arial Narrow" w:hAnsi="Arial Narrow"/>
                <w:b/>
                <w:color w:val="auto"/>
                <w:sz w:val="20"/>
              </w:rPr>
            </w:pPr>
            <w:r w:rsidRPr="00827C28">
              <w:rPr>
                <w:rFonts w:ascii="Arial Narrow" w:hAnsi="Arial Narrow"/>
                <w:b/>
                <w:color w:val="auto"/>
                <w:sz w:val="20"/>
              </w:rPr>
              <w:t xml:space="preserve">RD % </w:t>
            </w:r>
            <w:r>
              <w:rPr>
                <w:rFonts w:ascii="Arial Narrow" w:hAnsi="Arial Narrow"/>
                <w:b/>
                <w:color w:val="auto"/>
                <w:sz w:val="20"/>
              </w:rPr>
              <w:t>P</w:t>
            </w:r>
            <w:r w:rsidRPr="00827C28">
              <w:rPr>
                <w:rFonts w:ascii="Arial Narrow" w:hAnsi="Arial Narrow"/>
                <w:b/>
                <w:color w:val="auto"/>
                <w:sz w:val="20"/>
              </w:rPr>
              <w:t>embro minus platinum-chemo</w:t>
            </w:r>
          </w:p>
          <w:p w:rsidR="00932972" w:rsidRPr="00832F58" w:rsidRDefault="00932972" w:rsidP="00481120">
            <w:pPr>
              <w:pStyle w:val="BodyText3"/>
              <w:keepNext/>
              <w:contextualSpacing/>
              <w:jc w:val="center"/>
              <w:rPr>
                <w:rFonts w:ascii="Arial Narrow" w:hAnsi="Arial Narrow"/>
                <w:b/>
                <w:color w:val="auto"/>
                <w:sz w:val="20"/>
                <w:vertAlign w:val="superscript"/>
              </w:rPr>
            </w:pPr>
            <w:r w:rsidRPr="00827C28">
              <w:rPr>
                <w:rFonts w:ascii="Arial Narrow" w:hAnsi="Arial Narrow"/>
                <w:b/>
                <w:color w:val="auto"/>
                <w:sz w:val="20"/>
              </w:rPr>
              <w:t>(95% CI)</w:t>
            </w:r>
            <w:r w:rsidR="005C1BA2">
              <w:rPr>
                <w:rFonts w:ascii="Arial Narrow" w:hAnsi="Arial Narrow"/>
                <w:b/>
                <w:color w:val="auto"/>
                <w:sz w:val="20"/>
                <w:vertAlign w:val="superscript"/>
              </w:rPr>
              <w:t>b</w:t>
            </w:r>
          </w:p>
        </w:tc>
        <w:tc>
          <w:tcPr>
            <w:tcW w:w="817" w:type="pct"/>
            <w:vAlign w:val="center"/>
          </w:tcPr>
          <w:p w:rsidR="00932972" w:rsidRPr="00832F58" w:rsidRDefault="00932972" w:rsidP="00832F58">
            <w:pPr>
              <w:pStyle w:val="BodyText3"/>
              <w:keepNext/>
              <w:tabs>
                <w:tab w:val="left" w:pos="216"/>
                <w:tab w:val="num" w:pos="360"/>
              </w:tabs>
              <w:contextualSpacing/>
              <w:jc w:val="center"/>
              <w:rPr>
                <w:rFonts w:ascii="Arial Narrow" w:hAnsi="Arial Narrow"/>
                <w:b/>
                <w:color w:val="auto"/>
                <w:sz w:val="20"/>
              </w:rPr>
            </w:pPr>
            <w:r w:rsidRPr="00832F58">
              <w:rPr>
                <w:rFonts w:ascii="Arial Narrow" w:hAnsi="Arial Narrow"/>
                <w:b/>
                <w:color w:val="auto"/>
                <w:sz w:val="20"/>
              </w:rPr>
              <w:t>RR</w:t>
            </w:r>
            <w:r w:rsidR="00A301ED">
              <w:rPr>
                <w:rFonts w:ascii="Arial Narrow" w:hAnsi="Arial Narrow"/>
                <w:b/>
                <w:color w:val="auto"/>
                <w:sz w:val="20"/>
              </w:rPr>
              <w:t xml:space="preserve"> </w:t>
            </w:r>
            <w:r w:rsidRPr="00832F58">
              <w:rPr>
                <w:rFonts w:ascii="Arial Narrow" w:hAnsi="Arial Narrow"/>
                <w:b/>
                <w:color w:val="auto"/>
                <w:sz w:val="20"/>
              </w:rPr>
              <w:t>Pembro</w:t>
            </w:r>
            <w:r w:rsidR="005C1BA2" w:rsidRPr="00832F58">
              <w:rPr>
                <w:rFonts w:ascii="Arial Narrow" w:hAnsi="Arial Narrow"/>
                <w:b/>
                <w:color w:val="auto"/>
                <w:sz w:val="20"/>
              </w:rPr>
              <w:t xml:space="preserve"> </w:t>
            </w:r>
            <w:r w:rsidRPr="00832F58">
              <w:rPr>
                <w:rFonts w:ascii="Arial Narrow" w:hAnsi="Arial Narrow"/>
                <w:b/>
                <w:color w:val="auto"/>
                <w:sz w:val="20"/>
              </w:rPr>
              <w:t>vs platinum-chemo</w:t>
            </w:r>
          </w:p>
          <w:p w:rsidR="00932972" w:rsidRPr="00832F58" w:rsidRDefault="00932972" w:rsidP="00832F58">
            <w:pPr>
              <w:pStyle w:val="BodyText3"/>
              <w:contextualSpacing/>
              <w:jc w:val="center"/>
              <w:rPr>
                <w:rFonts w:ascii="Arial Narrow" w:hAnsi="Arial Narrow"/>
                <w:b/>
                <w:color w:val="auto"/>
                <w:sz w:val="20"/>
                <w:vertAlign w:val="superscript"/>
              </w:rPr>
            </w:pPr>
            <w:r w:rsidRPr="00832F58">
              <w:rPr>
                <w:rFonts w:ascii="Arial Narrow" w:hAnsi="Arial Narrow"/>
                <w:b/>
                <w:color w:val="auto"/>
                <w:sz w:val="20"/>
              </w:rPr>
              <w:t>(95% CI)</w:t>
            </w:r>
            <w:r w:rsidR="005C1BA2" w:rsidRPr="00832F58">
              <w:rPr>
                <w:rFonts w:ascii="Arial Narrow" w:hAnsi="Arial Narrow"/>
                <w:b/>
                <w:color w:val="auto"/>
                <w:sz w:val="20"/>
                <w:vertAlign w:val="superscript"/>
              </w:rPr>
              <w:t>b</w:t>
            </w:r>
          </w:p>
        </w:tc>
      </w:tr>
      <w:tr w:rsidR="00A7013F" w:rsidRPr="00F559CD" w:rsidTr="00AB0BFB">
        <w:tc>
          <w:tcPr>
            <w:tcW w:w="1966" w:type="pct"/>
            <w:shd w:val="clear" w:color="auto" w:fill="auto"/>
          </w:tcPr>
          <w:p w:rsidR="00932972" w:rsidRPr="00827C28" w:rsidRDefault="00932972" w:rsidP="00932972">
            <w:pPr>
              <w:pStyle w:val="BodyText3"/>
              <w:jc w:val="left"/>
              <w:rPr>
                <w:rFonts w:ascii="Arial Narrow" w:hAnsi="Arial Narrow"/>
                <w:color w:val="auto"/>
                <w:sz w:val="20"/>
                <w:vertAlign w:val="superscript"/>
              </w:rPr>
            </w:pPr>
            <w:r>
              <w:rPr>
                <w:rFonts w:ascii="Arial Narrow" w:hAnsi="Arial Narrow"/>
                <w:color w:val="auto"/>
                <w:sz w:val="20"/>
              </w:rPr>
              <w:t>At least 1</w:t>
            </w:r>
            <w:r w:rsidRPr="00F559CD">
              <w:rPr>
                <w:rFonts w:ascii="Arial Narrow" w:hAnsi="Arial Narrow"/>
                <w:color w:val="auto"/>
                <w:sz w:val="20"/>
              </w:rPr>
              <w:t xml:space="preserve"> drug-related AE</w:t>
            </w:r>
            <w:r>
              <w:rPr>
                <w:rFonts w:ascii="Arial Narrow" w:hAnsi="Arial Narrow"/>
                <w:color w:val="auto"/>
                <w:sz w:val="20"/>
              </w:rPr>
              <w:t>*</w:t>
            </w:r>
          </w:p>
        </w:tc>
        <w:tc>
          <w:tcPr>
            <w:tcW w:w="781" w:type="pct"/>
            <w:shd w:val="clear" w:color="auto" w:fill="auto"/>
            <w:vAlign w:val="center"/>
          </w:tcPr>
          <w:p w:rsidR="00932972" w:rsidRPr="00F559CD" w:rsidRDefault="00932972" w:rsidP="00832F58">
            <w:pPr>
              <w:pStyle w:val="BodyText3"/>
              <w:contextualSpacing/>
              <w:jc w:val="center"/>
              <w:rPr>
                <w:rFonts w:ascii="Arial Narrow" w:hAnsi="Arial Narrow"/>
                <w:color w:val="auto"/>
                <w:sz w:val="20"/>
              </w:rPr>
            </w:pPr>
            <w:r>
              <w:rPr>
                <w:rFonts w:ascii="Arial Narrow" w:hAnsi="Arial Narrow"/>
                <w:color w:val="auto"/>
                <w:sz w:val="20"/>
              </w:rPr>
              <w:t>113 (73.4)</w:t>
            </w:r>
          </w:p>
        </w:tc>
        <w:tc>
          <w:tcPr>
            <w:tcW w:w="619" w:type="pct"/>
            <w:shd w:val="clear" w:color="auto" w:fill="auto"/>
            <w:vAlign w:val="center"/>
          </w:tcPr>
          <w:p w:rsidR="00932972" w:rsidRPr="00F559CD" w:rsidRDefault="00932972" w:rsidP="00832F58">
            <w:pPr>
              <w:pStyle w:val="BodyText3"/>
              <w:contextualSpacing/>
              <w:jc w:val="center"/>
              <w:rPr>
                <w:rFonts w:ascii="Arial Narrow" w:hAnsi="Arial Narrow"/>
                <w:color w:val="auto"/>
                <w:sz w:val="20"/>
              </w:rPr>
            </w:pPr>
            <w:r>
              <w:rPr>
                <w:rFonts w:ascii="Arial Narrow" w:hAnsi="Arial Narrow"/>
                <w:color w:val="auto"/>
                <w:sz w:val="20"/>
              </w:rPr>
              <w:t>135 (90.0)</w:t>
            </w:r>
          </w:p>
        </w:tc>
        <w:tc>
          <w:tcPr>
            <w:tcW w:w="817" w:type="pct"/>
            <w:shd w:val="clear" w:color="auto" w:fill="auto"/>
            <w:vAlign w:val="center"/>
          </w:tcPr>
          <w:p w:rsidR="00932972" w:rsidRPr="005C1BA2" w:rsidRDefault="00932972" w:rsidP="00832F58">
            <w:pPr>
              <w:pStyle w:val="BodyText3"/>
              <w:contextualSpacing/>
              <w:jc w:val="center"/>
              <w:rPr>
                <w:rFonts w:ascii="Arial Narrow" w:hAnsi="Arial Narrow"/>
                <w:color w:val="auto"/>
                <w:sz w:val="20"/>
              </w:rPr>
            </w:pPr>
            <w:r w:rsidRPr="005C1BA2">
              <w:rPr>
                <w:rFonts w:ascii="Arial Narrow" w:hAnsi="Arial Narrow"/>
                <w:color w:val="auto"/>
                <w:sz w:val="20"/>
              </w:rPr>
              <w:t>-16.6 (-7.9, -25.3)</w:t>
            </w:r>
          </w:p>
        </w:tc>
        <w:tc>
          <w:tcPr>
            <w:tcW w:w="817" w:type="pct"/>
            <w:vAlign w:val="center"/>
          </w:tcPr>
          <w:p w:rsidR="00932972" w:rsidRPr="00832F58" w:rsidRDefault="00932972" w:rsidP="00832F58">
            <w:pPr>
              <w:pStyle w:val="BodyText3"/>
              <w:contextualSpacing/>
              <w:jc w:val="center"/>
              <w:rPr>
                <w:rFonts w:ascii="Arial Narrow" w:hAnsi="Arial Narrow"/>
                <w:b/>
                <w:color w:val="auto"/>
                <w:sz w:val="20"/>
              </w:rPr>
            </w:pPr>
            <w:r w:rsidRPr="00832F58">
              <w:rPr>
                <w:rFonts w:ascii="Arial Narrow" w:hAnsi="Arial Narrow"/>
                <w:b/>
                <w:color w:val="auto"/>
                <w:sz w:val="20"/>
              </w:rPr>
              <w:t>0.8 (0.7, 0.9)</w:t>
            </w:r>
          </w:p>
        </w:tc>
      </w:tr>
      <w:tr w:rsidR="00A7013F" w:rsidRPr="00F559CD" w:rsidTr="00AB0BFB">
        <w:tc>
          <w:tcPr>
            <w:tcW w:w="1966" w:type="pct"/>
            <w:shd w:val="clear" w:color="auto" w:fill="auto"/>
          </w:tcPr>
          <w:p w:rsidR="00932972" w:rsidRPr="00F559CD" w:rsidRDefault="00932972" w:rsidP="00932972">
            <w:pPr>
              <w:pStyle w:val="BodyText3"/>
              <w:jc w:val="left"/>
              <w:rPr>
                <w:rFonts w:ascii="Arial Narrow" w:hAnsi="Arial Narrow"/>
                <w:color w:val="auto"/>
                <w:sz w:val="20"/>
              </w:rPr>
            </w:pPr>
            <w:r>
              <w:rPr>
                <w:rFonts w:ascii="Arial Narrow" w:hAnsi="Arial Narrow"/>
                <w:color w:val="auto"/>
                <w:sz w:val="20"/>
              </w:rPr>
              <w:t xml:space="preserve">Toxicity </w:t>
            </w:r>
            <w:r w:rsidRPr="00F559CD">
              <w:rPr>
                <w:rFonts w:ascii="Arial Narrow" w:hAnsi="Arial Narrow"/>
                <w:color w:val="auto"/>
                <w:sz w:val="20"/>
              </w:rPr>
              <w:t>grade 3-5 drug-related AEs</w:t>
            </w:r>
          </w:p>
        </w:tc>
        <w:tc>
          <w:tcPr>
            <w:tcW w:w="781" w:type="pct"/>
            <w:shd w:val="clear" w:color="auto" w:fill="auto"/>
            <w:vAlign w:val="center"/>
          </w:tcPr>
          <w:p w:rsidR="00932972" w:rsidRPr="00F559CD" w:rsidRDefault="00932972" w:rsidP="00832F58">
            <w:pPr>
              <w:pStyle w:val="BodyText3"/>
              <w:contextualSpacing/>
              <w:jc w:val="center"/>
              <w:rPr>
                <w:rFonts w:ascii="Arial Narrow" w:hAnsi="Arial Narrow"/>
                <w:color w:val="auto"/>
                <w:sz w:val="20"/>
              </w:rPr>
            </w:pPr>
            <w:r>
              <w:rPr>
                <w:rFonts w:ascii="Arial Narrow" w:hAnsi="Arial Narrow"/>
                <w:color w:val="auto"/>
                <w:sz w:val="20"/>
              </w:rPr>
              <w:t>41 (26.6)</w:t>
            </w:r>
          </w:p>
        </w:tc>
        <w:tc>
          <w:tcPr>
            <w:tcW w:w="619" w:type="pct"/>
            <w:shd w:val="clear" w:color="auto" w:fill="auto"/>
            <w:vAlign w:val="center"/>
          </w:tcPr>
          <w:p w:rsidR="00932972" w:rsidRPr="00F559CD" w:rsidRDefault="00932972" w:rsidP="00832F58">
            <w:pPr>
              <w:pStyle w:val="BodyText3"/>
              <w:contextualSpacing/>
              <w:jc w:val="center"/>
              <w:rPr>
                <w:rFonts w:ascii="Arial Narrow" w:hAnsi="Arial Narrow"/>
                <w:color w:val="auto"/>
                <w:sz w:val="20"/>
              </w:rPr>
            </w:pPr>
            <w:r>
              <w:rPr>
                <w:rFonts w:ascii="Arial Narrow" w:hAnsi="Arial Narrow"/>
                <w:color w:val="auto"/>
                <w:sz w:val="20"/>
              </w:rPr>
              <w:t>80 (53.3)</w:t>
            </w:r>
          </w:p>
        </w:tc>
        <w:tc>
          <w:tcPr>
            <w:tcW w:w="817" w:type="pct"/>
            <w:shd w:val="clear" w:color="auto" w:fill="auto"/>
            <w:vAlign w:val="center"/>
          </w:tcPr>
          <w:p w:rsidR="00932972" w:rsidRPr="005C1BA2" w:rsidRDefault="00932972" w:rsidP="00832F58">
            <w:pPr>
              <w:pStyle w:val="BodyText3"/>
              <w:contextualSpacing/>
              <w:jc w:val="center"/>
              <w:rPr>
                <w:rFonts w:ascii="Arial Narrow" w:hAnsi="Arial Narrow"/>
                <w:color w:val="auto"/>
                <w:sz w:val="20"/>
              </w:rPr>
            </w:pPr>
            <w:r w:rsidRPr="005C1BA2">
              <w:rPr>
                <w:rFonts w:ascii="Arial Narrow" w:hAnsi="Arial Narrow"/>
                <w:color w:val="auto"/>
                <w:sz w:val="20"/>
              </w:rPr>
              <w:t>- 26.7 (-15.7, -37.7)</w:t>
            </w:r>
          </w:p>
        </w:tc>
        <w:tc>
          <w:tcPr>
            <w:tcW w:w="817" w:type="pct"/>
            <w:vAlign w:val="center"/>
          </w:tcPr>
          <w:p w:rsidR="00932972" w:rsidRPr="00832F58" w:rsidRDefault="00932972" w:rsidP="00832F58">
            <w:pPr>
              <w:pStyle w:val="BodyText3"/>
              <w:contextualSpacing/>
              <w:jc w:val="center"/>
              <w:rPr>
                <w:rFonts w:ascii="Arial Narrow" w:hAnsi="Arial Narrow"/>
                <w:b/>
                <w:color w:val="auto"/>
                <w:sz w:val="20"/>
              </w:rPr>
            </w:pPr>
            <w:r w:rsidRPr="00832F58">
              <w:rPr>
                <w:rFonts w:ascii="Arial Narrow" w:hAnsi="Arial Narrow"/>
                <w:b/>
                <w:color w:val="auto"/>
                <w:sz w:val="20"/>
              </w:rPr>
              <w:t>0.5 (0.4, 0.7)</w:t>
            </w:r>
          </w:p>
        </w:tc>
      </w:tr>
      <w:tr w:rsidR="00A7013F" w:rsidRPr="00F559CD" w:rsidTr="00AB0BFB">
        <w:tc>
          <w:tcPr>
            <w:tcW w:w="1966" w:type="pct"/>
            <w:shd w:val="clear" w:color="auto" w:fill="auto"/>
          </w:tcPr>
          <w:p w:rsidR="00932972" w:rsidRPr="00F559CD" w:rsidRDefault="00932972" w:rsidP="00932972">
            <w:pPr>
              <w:pStyle w:val="BodyText3"/>
              <w:jc w:val="left"/>
              <w:rPr>
                <w:rFonts w:ascii="Arial Narrow" w:hAnsi="Arial Narrow"/>
                <w:color w:val="auto"/>
                <w:sz w:val="20"/>
              </w:rPr>
            </w:pPr>
            <w:r>
              <w:rPr>
                <w:rFonts w:ascii="Arial Narrow" w:hAnsi="Arial Narrow"/>
                <w:color w:val="auto"/>
                <w:sz w:val="20"/>
              </w:rPr>
              <w:t>S</w:t>
            </w:r>
            <w:r w:rsidRPr="00F559CD">
              <w:rPr>
                <w:rFonts w:ascii="Arial Narrow" w:hAnsi="Arial Narrow"/>
                <w:color w:val="auto"/>
                <w:sz w:val="20"/>
              </w:rPr>
              <w:t>erious drug-related AEs</w:t>
            </w:r>
            <w:r>
              <w:rPr>
                <w:rFonts w:ascii="Arial Narrow" w:hAnsi="Arial Narrow"/>
                <w:color w:val="auto"/>
                <w:sz w:val="20"/>
              </w:rPr>
              <w:t>*</w:t>
            </w:r>
          </w:p>
        </w:tc>
        <w:tc>
          <w:tcPr>
            <w:tcW w:w="781" w:type="pct"/>
            <w:shd w:val="clear" w:color="auto" w:fill="auto"/>
            <w:vAlign w:val="center"/>
          </w:tcPr>
          <w:p w:rsidR="00932972" w:rsidRPr="00F559CD" w:rsidRDefault="00932972" w:rsidP="00832F58">
            <w:pPr>
              <w:pStyle w:val="BodyText3"/>
              <w:contextualSpacing/>
              <w:jc w:val="center"/>
              <w:rPr>
                <w:rFonts w:ascii="Arial Narrow" w:hAnsi="Arial Narrow"/>
                <w:color w:val="auto"/>
                <w:sz w:val="20"/>
              </w:rPr>
            </w:pPr>
            <w:r>
              <w:rPr>
                <w:rFonts w:ascii="Arial Narrow" w:hAnsi="Arial Narrow"/>
                <w:color w:val="auto"/>
                <w:sz w:val="20"/>
              </w:rPr>
              <w:t>33 (21.4)</w:t>
            </w:r>
          </w:p>
        </w:tc>
        <w:tc>
          <w:tcPr>
            <w:tcW w:w="619" w:type="pct"/>
            <w:shd w:val="clear" w:color="auto" w:fill="auto"/>
            <w:vAlign w:val="center"/>
          </w:tcPr>
          <w:p w:rsidR="00932972" w:rsidRPr="00F559CD" w:rsidRDefault="00932972" w:rsidP="00832F58">
            <w:pPr>
              <w:pStyle w:val="BodyText3"/>
              <w:contextualSpacing/>
              <w:jc w:val="center"/>
              <w:rPr>
                <w:rFonts w:ascii="Arial Narrow" w:hAnsi="Arial Narrow"/>
                <w:color w:val="auto"/>
                <w:sz w:val="20"/>
              </w:rPr>
            </w:pPr>
            <w:r>
              <w:rPr>
                <w:rFonts w:ascii="Arial Narrow" w:hAnsi="Arial Narrow"/>
                <w:color w:val="auto"/>
                <w:sz w:val="20"/>
              </w:rPr>
              <w:t>31 (20.7)</w:t>
            </w:r>
          </w:p>
        </w:tc>
        <w:tc>
          <w:tcPr>
            <w:tcW w:w="817" w:type="pct"/>
            <w:shd w:val="clear" w:color="auto" w:fill="auto"/>
            <w:vAlign w:val="center"/>
          </w:tcPr>
          <w:p w:rsidR="00932972" w:rsidRPr="005C1BA2" w:rsidRDefault="00932972" w:rsidP="00832F58">
            <w:pPr>
              <w:pStyle w:val="BodyText3"/>
              <w:contextualSpacing/>
              <w:jc w:val="center"/>
              <w:rPr>
                <w:rFonts w:ascii="Arial Narrow" w:hAnsi="Arial Narrow"/>
                <w:color w:val="auto"/>
                <w:sz w:val="20"/>
              </w:rPr>
            </w:pPr>
            <w:r w:rsidRPr="005C1BA2">
              <w:rPr>
                <w:rFonts w:ascii="Arial Narrow" w:hAnsi="Arial Narrow"/>
                <w:color w:val="auto"/>
                <w:sz w:val="20"/>
              </w:rPr>
              <w:t>0.8 (-8.4, 9.9)</w:t>
            </w:r>
          </w:p>
        </w:tc>
        <w:tc>
          <w:tcPr>
            <w:tcW w:w="817" w:type="pct"/>
            <w:vAlign w:val="center"/>
          </w:tcPr>
          <w:p w:rsidR="00932972" w:rsidRPr="00832F58" w:rsidRDefault="00932972" w:rsidP="00832F58">
            <w:pPr>
              <w:pStyle w:val="BodyText3"/>
              <w:contextualSpacing/>
              <w:jc w:val="center"/>
              <w:rPr>
                <w:rFonts w:ascii="Arial Narrow" w:hAnsi="Arial Narrow"/>
                <w:color w:val="auto"/>
                <w:sz w:val="20"/>
              </w:rPr>
            </w:pPr>
            <w:r w:rsidRPr="00832F58">
              <w:rPr>
                <w:rFonts w:ascii="Arial Narrow" w:hAnsi="Arial Narrow"/>
                <w:color w:val="auto"/>
                <w:sz w:val="20"/>
              </w:rPr>
              <w:t>1.0 (0.7, 1.6)</w:t>
            </w:r>
          </w:p>
        </w:tc>
      </w:tr>
      <w:tr w:rsidR="00A7013F" w:rsidRPr="00F559CD" w:rsidTr="00AB0BFB">
        <w:tc>
          <w:tcPr>
            <w:tcW w:w="1966" w:type="pct"/>
            <w:shd w:val="clear" w:color="auto" w:fill="auto"/>
          </w:tcPr>
          <w:p w:rsidR="00932972" w:rsidRDefault="00932972" w:rsidP="00932972">
            <w:pPr>
              <w:pStyle w:val="BodyText3"/>
              <w:jc w:val="left"/>
              <w:rPr>
                <w:rFonts w:ascii="Arial Narrow" w:hAnsi="Arial Narrow"/>
                <w:color w:val="auto"/>
                <w:sz w:val="20"/>
              </w:rPr>
            </w:pPr>
            <w:r>
              <w:rPr>
                <w:rFonts w:ascii="Arial Narrow" w:hAnsi="Arial Narrow"/>
                <w:color w:val="auto"/>
                <w:sz w:val="20"/>
              </w:rPr>
              <w:t>Deaths due to drug-related AE*</w:t>
            </w:r>
          </w:p>
        </w:tc>
        <w:tc>
          <w:tcPr>
            <w:tcW w:w="781" w:type="pct"/>
            <w:shd w:val="clear" w:color="auto" w:fill="auto"/>
            <w:vAlign w:val="center"/>
          </w:tcPr>
          <w:p w:rsidR="00932972" w:rsidRDefault="00932972" w:rsidP="00832F58">
            <w:pPr>
              <w:pStyle w:val="BodyText3"/>
              <w:contextualSpacing/>
              <w:jc w:val="center"/>
              <w:rPr>
                <w:rFonts w:ascii="Arial Narrow" w:hAnsi="Arial Narrow"/>
                <w:color w:val="auto"/>
                <w:sz w:val="20"/>
              </w:rPr>
            </w:pPr>
            <w:r>
              <w:rPr>
                <w:rFonts w:ascii="Arial Narrow" w:hAnsi="Arial Narrow"/>
                <w:color w:val="auto"/>
                <w:sz w:val="20"/>
              </w:rPr>
              <w:t>1 (0.6)</w:t>
            </w:r>
          </w:p>
        </w:tc>
        <w:tc>
          <w:tcPr>
            <w:tcW w:w="619" w:type="pct"/>
            <w:shd w:val="clear" w:color="auto" w:fill="auto"/>
            <w:vAlign w:val="center"/>
          </w:tcPr>
          <w:p w:rsidR="00932972" w:rsidRDefault="00932972" w:rsidP="00832F58">
            <w:pPr>
              <w:pStyle w:val="BodyText3"/>
              <w:contextualSpacing/>
              <w:jc w:val="center"/>
              <w:rPr>
                <w:rFonts w:ascii="Arial Narrow" w:hAnsi="Arial Narrow"/>
                <w:color w:val="auto"/>
                <w:sz w:val="20"/>
              </w:rPr>
            </w:pPr>
            <w:r>
              <w:rPr>
                <w:rFonts w:ascii="Arial Narrow" w:hAnsi="Arial Narrow"/>
                <w:color w:val="auto"/>
                <w:sz w:val="20"/>
              </w:rPr>
              <w:t>3 (2.0)</w:t>
            </w:r>
          </w:p>
        </w:tc>
        <w:tc>
          <w:tcPr>
            <w:tcW w:w="817" w:type="pct"/>
            <w:shd w:val="clear" w:color="auto" w:fill="auto"/>
            <w:vAlign w:val="center"/>
          </w:tcPr>
          <w:p w:rsidR="00932972" w:rsidRPr="005C1BA2" w:rsidRDefault="00932972" w:rsidP="00832F58">
            <w:pPr>
              <w:pStyle w:val="BodyText3"/>
              <w:contextualSpacing/>
              <w:jc w:val="center"/>
              <w:rPr>
                <w:rFonts w:ascii="Arial Narrow" w:hAnsi="Arial Narrow"/>
                <w:color w:val="auto"/>
                <w:sz w:val="20"/>
              </w:rPr>
            </w:pPr>
            <w:r w:rsidRPr="005C1BA2">
              <w:rPr>
                <w:rFonts w:ascii="Arial Narrow" w:hAnsi="Arial Narrow"/>
                <w:color w:val="auto"/>
                <w:sz w:val="20"/>
              </w:rPr>
              <w:t>-</w:t>
            </w:r>
          </w:p>
        </w:tc>
        <w:tc>
          <w:tcPr>
            <w:tcW w:w="817" w:type="pct"/>
            <w:vAlign w:val="center"/>
          </w:tcPr>
          <w:p w:rsidR="00932972" w:rsidRPr="005C1BA2" w:rsidRDefault="00932972" w:rsidP="00832F58">
            <w:pPr>
              <w:pStyle w:val="BodyText3"/>
              <w:contextualSpacing/>
              <w:jc w:val="center"/>
              <w:rPr>
                <w:rFonts w:ascii="Arial Narrow" w:hAnsi="Arial Narrow"/>
                <w:color w:val="auto"/>
                <w:sz w:val="20"/>
              </w:rPr>
            </w:pPr>
            <w:r w:rsidRPr="005C1BA2">
              <w:rPr>
                <w:rFonts w:ascii="Arial Narrow" w:hAnsi="Arial Narrow"/>
                <w:color w:val="auto"/>
                <w:sz w:val="20"/>
              </w:rPr>
              <w:t>-</w:t>
            </w:r>
          </w:p>
        </w:tc>
      </w:tr>
      <w:tr w:rsidR="00A7013F" w:rsidRPr="00F559CD" w:rsidTr="00AB0BFB">
        <w:tc>
          <w:tcPr>
            <w:tcW w:w="1966" w:type="pct"/>
            <w:tcBorders>
              <w:bottom w:val="nil"/>
            </w:tcBorders>
            <w:shd w:val="clear" w:color="auto" w:fill="auto"/>
          </w:tcPr>
          <w:p w:rsidR="00932972" w:rsidRDefault="00932972" w:rsidP="00932972">
            <w:pPr>
              <w:pStyle w:val="BodyText3"/>
              <w:ind w:left="142" w:hanging="142"/>
              <w:jc w:val="left"/>
              <w:rPr>
                <w:rFonts w:ascii="Arial Narrow" w:hAnsi="Arial Narrow"/>
                <w:color w:val="auto"/>
                <w:sz w:val="20"/>
              </w:rPr>
            </w:pPr>
            <w:r>
              <w:rPr>
                <w:rFonts w:ascii="Arial Narrow" w:hAnsi="Arial Narrow"/>
                <w:color w:val="auto"/>
                <w:sz w:val="20"/>
              </w:rPr>
              <w:t>Discontinuations due to</w:t>
            </w:r>
          </w:p>
          <w:p w:rsidR="00932972" w:rsidRPr="00F559CD" w:rsidRDefault="00932972" w:rsidP="00217726">
            <w:pPr>
              <w:pStyle w:val="BodyText3"/>
              <w:numPr>
                <w:ilvl w:val="0"/>
                <w:numId w:val="32"/>
              </w:numPr>
              <w:ind w:left="284" w:hanging="219"/>
              <w:jc w:val="left"/>
              <w:rPr>
                <w:rFonts w:ascii="Arial Narrow" w:hAnsi="Arial Narrow"/>
                <w:color w:val="auto"/>
                <w:sz w:val="20"/>
              </w:rPr>
            </w:pPr>
            <w:r w:rsidRPr="00F559CD">
              <w:rPr>
                <w:rFonts w:ascii="Arial Narrow" w:hAnsi="Arial Narrow"/>
                <w:color w:val="auto"/>
                <w:sz w:val="20"/>
              </w:rPr>
              <w:t>drug-related AE</w:t>
            </w:r>
            <w:r>
              <w:rPr>
                <w:rFonts w:ascii="Arial Narrow" w:hAnsi="Arial Narrow"/>
                <w:color w:val="auto"/>
                <w:sz w:val="20"/>
              </w:rPr>
              <w:t>*</w:t>
            </w:r>
          </w:p>
        </w:tc>
        <w:tc>
          <w:tcPr>
            <w:tcW w:w="781" w:type="pct"/>
            <w:tcBorders>
              <w:bottom w:val="nil"/>
            </w:tcBorders>
            <w:shd w:val="clear" w:color="auto" w:fill="auto"/>
            <w:vAlign w:val="center"/>
          </w:tcPr>
          <w:p w:rsidR="00932972" w:rsidRDefault="00932972" w:rsidP="00832F58">
            <w:pPr>
              <w:pStyle w:val="BodyText3"/>
              <w:contextualSpacing/>
              <w:jc w:val="center"/>
              <w:rPr>
                <w:rFonts w:ascii="Arial Narrow" w:hAnsi="Arial Narrow"/>
                <w:color w:val="auto"/>
                <w:sz w:val="20"/>
              </w:rPr>
            </w:pPr>
          </w:p>
          <w:p w:rsidR="00932972" w:rsidRPr="00F559CD" w:rsidRDefault="00932972" w:rsidP="00832F58">
            <w:pPr>
              <w:pStyle w:val="BodyText3"/>
              <w:contextualSpacing/>
              <w:jc w:val="center"/>
              <w:rPr>
                <w:rFonts w:ascii="Arial Narrow" w:hAnsi="Arial Narrow"/>
                <w:color w:val="auto"/>
                <w:sz w:val="20"/>
              </w:rPr>
            </w:pPr>
            <w:r>
              <w:rPr>
                <w:rFonts w:ascii="Arial Narrow" w:hAnsi="Arial Narrow"/>
                <w:color w:val="auto"/>
                <w:sz w:val="20"/>
              </w:rPr>
              <w:t>11 (7.1)</w:t>
            </w:r>
          </w:p>
        </w:tc>
        <w:tc>
          <w:tcPr>
            <w:tcW w:w="619" w:type="pct"/>
            <w:tcBorders>
              <w:bottom w:val="nil"/>
            </w:tcBorders>
            <w:shd w:val="clear" w:color="auto" w:fill="auto"/>
            <w:vAlign w:val="center"/>
          </w:tcPr>
          <w:p w:rsidR="00932972" w:rsidRDefault="00932972" w:rsidP="00832F58">
            <w:pPr>
              <w:pStyle w:val="BodyText3"/>
              <w:contextualSpacing/>
              <w:jc w:val="center"/>
              <w:rPr>
                <w:rFonts w:ascii="Arial Narrow" w:hAnsi="Arial Narrow"/>
                <w:color w:val="auto"/>
                <w:sz w:val="20"/>
              </w:rPr>
            </w:pPr>
          </w:p>
          <w:p w:rsidR="00932972" w:rsidRPr="00F559CD" w:rsidRDefault="00932972" w:rsidP="00832F58">
            <w:pPr>
              <w:pStyle w:val="BodyText3"/>
              <w:contextualSpacing/>
              <w:jc w:val="center"/>
              <w:rPr>
                <w:rFonts w:ascii="Arial Narrow" w:hAnsi="Arial Narrow"/>
                <w:color w:val="auto"/>
                <w:sz w:val="20"/>
              </w:rPr>
            </w:pPr>
            <w:r>
              <w:rPr>
                <w:rFonts w:ascii="Arial Narrow" w:hAnsi="Arial Narrow"/>
                <w:color w:val="auto"/>
                <w:sz w:val="20"/>
              </w:rPr>
              <w:t>16 (10.7)</w:t>
            </w:r>
          </w:p>
        </w:tc>
        <w:tc>
          <w:tcPr>
            <w:tcW w:w="817" w:type="pct"/>
            <w:tcBorders>
              <w:bottom w:val="nil"/>
            </w:tcBorders>
            <w:shd w:val="clear" w:color="auto" w:fill="auto"/>
            <w:vAlign w:val="center"/>
          </w:tcPr>
          <w:p w:rsidR="00A7013F" w:rsidRPr="005C1BA2" w:rsidRDefault="00A7013F" w:rsidP="00832F58">
            <w:pPr>
              <w:pStyle w:val="BodyText3"/>
              <w:contextualSpacing/>
              <w:jc w:val="center"/>
              <w:rPr>
                <w:rFonts w:ascii="Arial Narrow" w:hAnsi="Arial Narrow"/>
                <w:color w:val="auto"/>
                <w:sz w:val="20"/>
              </w:rPr>
            </w:pPr>
          </w:p>
          <w:p w:rsidR="00932972" w:rsidRPr="005C1BA2" w:rsidRDefault="00932972" w:rsidP="00832F58">
            <w:pPr>
              <w:pStyle w:val="BodyText3"/>
              <w:contextualSpacing/>
              <w:jc w:val="center"/>
              <w:rPr>
                <w:rFonts w:ascii="Arial Narrow" w:hAnsi="Arial Narrow"/>
                <w:color w:val="auto"/>
                <w:sz w:val="20"/>
              </w:rPr>
            </w:pPr>
            <w:r w:rsidRPr="005C1BA2">
              <w:rPr>
                <w:rFonts w:ascii="Arial Narrow" w:hAnsi="Arial Narrow"/>
                <w:color w:val="auto"/>
                <w:sz w:val="20"/>
              </w:rPr>
              <w:t>-3.5 (-9.9, 2.9)</w:t>
            </w:r>
          </w:p>
        </w:tc>
        <w:tc>
          <w:tcPr>
            <w:tcW w:w="817" w:type="pct"/>
            <w:tcBorders>
              <w:bottom w:val="nil"/>
            </w:tcBorders>
            <w:vAlign w:val="center"/>
          </w:tcPr>
          <w:p w:rsidR="00A7013F" w:rsidRPr="00832F58" w:rsidRDefault="00A7013F" w:rsidP="00832F58">
            <w:pPr>
              <w:pStyle w:val="BodyText3"/>
              <w:contextualSpacing/>
              <w:jc w:val="center"/>
              <w:rPr>
                <w:rFonts w:ascii="Arial Narrow" w:hAnsi="Arial Narrow"/>
                <w:color w:val="auto"/>
                <w:sz w:val="20"/>
              </w:rPr>
            </w:pPr>
          </w:p>
          <w:p w:rsidR="00932972" w:rsidRPr="00832F58" w:rsidRDefault="00932972" w:rsidP="00832F58">
            <w:pPr>
              <w:pStyle w:val="BodyText3"/>
              <w:contextualSpacing/>
              <w:jc w:val="center"/>
              <w:rPr>
                <w:rFonts w:ascii="Arial Narrow" w:hAnsi="Arial Narrow"/>
                <w:color w:val="auto"/>
                <w:sz w:val="20"/>
              </w:rPr>
            </w:pPr>
            <w:r w:rsidRPr="00832F58">
              <w:rPr>
                <w:rFonts w:ascii="Arial Narrow" w:hAnsi="Arial Narrow"/>
                <w:color w:val="auto"/>
                <w:sz w:val="20"/>
              </w:rPr>
              <w:t>0.7 (0.3, 1.4)</w:t>
            </w:r>
          </w:p>
        </w:tc>
      </w:tr>
      <w:tr w:rsidR="00A7013F" w:rsidRPr="00F559CD" w:rsidTr="00AB0BFB">
        <w:tc>
          <w:tcPr>
            <w:tcW w:w="1966" w:type="pct"/>
            <w:tcBorders>
              <w:top w:val="nil"/>
              <w:bottom w:val="nil"/>
            </w:tcBorders>
            <w:shd w:val="clear" w:color="auto" w:fill="auto"/>
          </w:tcPr>
          <w:p w:rsidR="00932972" w:rsidRPr="00F559CD" w:rsidRDefault="00932972" w:rsidP="00217726">
            <w:pPr>
              <w:pStyle w:val="BodyText3"/>
              <w:numPr>
                <w:ilvl w:val="0"/>
                <w:numId w:val="32"/>
              </w:numPr>
              <w:ind w:left="284" w:hanging="219"/>
              <w:jc w:val="left"/>
              <w:rPr>
                <w:rFonts w:ascii="Arial Narrow" w:hAnsi="Arial Narrow"/>
                <w:color w:val="auto"/>
                <w:sz w:val="20"/>
              </w:rPr>
            </w:pPr>
            <w:r w:rsidRPr="00F559CD">
              <w:rPr>
                <w:rFonts w:ascii="Arial Narrow" w:hAnsi="Arial Narrow"/>
                <w:color w:val="auto"/>
                <w:sz w:val="20"/>
              </w:rPr>
              <w:t>serious drug-related AE</w:t>
            </w:r>
            <w:r>
              <w:rPr>
                <w:rFonts w:ascii="Arial Narrow" w:hAnsi="Arial Narrow"/>
                <w:color w:val="auto"/>
                <w:sz w:val="20"/>
              </w:rPr>
              <w:t>*</w:t>
            </w:r>
          </w:p>
        </w:tc>
        <w:tc>
          <w:tcPr>
            <w:tcW w:w="781" w:type="pct"/>
            <w:tcBorders>
              <w:top w:val="nil"/>
              <w:bottom w:val="nil"/>
            </w:tcBorders>
            <w:shd w:val="clear" w:color="auto" w:fill="auto"/>
            <w:vAlign w:val="center"/>
          </w:tcPr>
          <w:p w:rsidR="00932972" w:rsidRPr="00F559CD" w:rsidRDefault="00932972" w:rsidP="00832F58">
            <w:pPr>
              <w:pStyle w:val="BodyText3"/>
              <w:contextualSpacing/>
              <w:jc w:val="center"/>
              <w:rPr>
                <w:rFonts w:ascii="Arial Narrow" w:hAnsi="Arial Narrow"/>
                <w:color w:val="auto"/>
                <w:sz w:val="20"/>
              </w:rPr>
            </w:pPr>
            <w:r>
              <w:rPr>
                <w:rFonts w:ascii="Arial Narrow" w:hAnsi="Arial Narrow"/>
                <w:color w:val="auto"/>
                <w:sz w:val="20"/>
              </w:rPr>
              <w:t>10 (6.5)</w:t>
            </w:r>
          </w:p>
        </w:tc>
        <w:tc>
          <w:tcPr>
            <w:tcW w:w="619" w:type="pct"/>
            <w:tcBorders>
              <w:top w:val="nil"/>
              <w:bottom w:val="nil"/>
            </w:tcBorders>
            <w:shd w:val="clear" w:color="auto" w:fill="auto"/>
            <w:vAlign w:val="center"/>
          </w:tcPr>
          <w:p w:rsidR="00932972" w:rsidRPr="00F559CD" w:rsidRDefault="00932972" w:rsidP="00832F58">
            <w:pPr>
              <w:pStyle w:val="BodyText3"/>
              <w:contextualSpacing/>
              <w:jc w:val="center"/>
              <w:rPr>
                <w:rFonts w:ascii="Arial Narrow" w:hAnsi="Arial Narrow"/>
                <w:color w:val="auto"/>
                <w:sz w:val="20"/>
              </w:rPr>
            </w:pPr>
            <w:r>
              <w:rPr>
                <w:rFonts w:ascii="Arial Narrow" w:hAnsi="Arial Narrow"/>
                <w:color w:val="auto"/>
                <w:sz w:val="20"/>
              </w:rPr>
              <w:t>7 (4.7)</w:t>
            </w:r>
          </w:p>
        </w:tc>
        <w:tc>
          <w:tcPr>
            <w:tcW w:w="817" w:type="pct"/>
            <w:tcBorders>
              <w:top w:val="nil"/>
              <w:bottom w:val="nil"/>
            </w:tcBorders>
            <w:shd w:val="clear" w:color="auto" w:fill="auto"/>
            <w:vAlign w:val="center"/>
          </w:tcPr>
          <w:p w:rsidR="00932972" w:rsidRPr="005C1BA2" w:rsidRDefault="00932972" w:rsidP="00832F58">
            <w:pPr>
              <w:pStyle w:val="BodyText3"/>
              <w:contextualSpacing/>
              <w:jc w:val="center"/>
              <w:rPr>
                <w:rFonts w:ascii="Arial Narrow" w:hAnsi="Arial Narrow"/>
                <w:color w:val="auto"/>
                <w:sz w:val="20"/>
              </w:rPr>
            </w:pPr>
            <w:r w:rsidRPr="005C1BA2">
              <w:rPr>
                <w:rFonts w:ascii="Arial Narrow" w:hAnsi="Arial Narrow"/>
                <w:color w:val="auto"/>
                <w:sz w:val="20"/>
              </w:rPr>
              <w:t>1.8 (-7.0, 3.3)</w:t>
            </w:r>
          </w:p>
        </w:tc>
        <w:tc>
          <w:tcPr>
            <w:tcW w:w="817" w:type="pct"/>
            <w:tcBorders>
              <w:top w:val="nil"/>
              <w:bottom w:val="nil"/>
            </w:tcBorders>
            <w:vAlign w:val="center"/>
          </w:tcPr>
          <w:p w:rsidR="00932972" w:rsidRPr="00832F58" w:rsidRDefault="00932972" w:rsidP="00832F58">
            <w:pPr>
              <w:pStyle w:val="BodyText3"/>
              <w:contextualSpacing/>
              <w:jc w:val="center"/>
              <w:rPr>
                <w:rFonts w:ascii="Arial Narrow" w:hAnsi="Arial Narrow"/>
                <w:color w:val="auto"/>
                <w:sz w:val="20"/>
              </w:rPr>
            </w:pPr>
            <w:r w:rsidRPr="00832F58">
              <w:rPr>
                <w:rFonts w:ascii="Arial Narrow" w:hAnsi="Arial Narrow"/>
                <w:color w:val="auto"/>
                <w:sz w:val="20"/>
              </w:rPr>
              <w:t>1.4 (0.5, 3.6)</w:t>
            </w:r>
          </w:p>
        </w:tc>
      </w:tr>
      <w:tr w:rsidR="00A7013F" w:rsidRPr="00F559CD" w:rsidTr="00AB0BFB">
        <w:tc>
          <w:tcPr>
            <w:tcW w:w="1966" w:type="pct"/>
            <w:shd w:val="clear" w:color="auto" w:fill="auto"/>
          </w:tcPr>
          <w:p w:rsidR="00932972" w:rsidRPr="00827C28" w:rsidRDefault="00932972" w:rsidP="00932972">
            <w:pPr>
              <w:pStyle w:val="BodyText3"/>
              <w:jc w:val="left"/>
              <w:rPr>
                <w:rFonts w:ascii="Arial Narrow" w:hAnsi="Arial Narrow"/>
                <w:color w:val="auto"/>
                <w:sz w:val="20"/>
                <w:vertAlign w:val="superscript"/>
              </w:rPr>
            </w:pPr>
            <w:r w:rsidRPr="001A6568">
              <w:rPr>
                <w:rFonts w:ascii="Arial Narrow" w:hAnsi="Arial Narrow"/>
                <w:color w:val="auto"/>
                <w:sz w:val="20"/>
                <w:u w:val="single"/>
              </w:rPr>
              <w:t>AEOSI</w:t>
            </w:r>
            <w:r>
              <w:rPr>
                <w:rFonts w:ascii="Arial Narrow" w:hAnsi="Arial Narrow"/>
                <w:color w:val="auto"/>
                <w:sz w:val="20"/>
                <w:vertAlign w:val="superscript"/>
              </w:rPr>
              <w:t>a</w:t>
            </w:r>
          </w:p>
          <w:p w:rsidR="00932972" w:rsidRPr="001A6568" w:rsidRDefault="00932972" w:rsidP="00217726">
            <w:pPr>
              <w:pStyle w:val="BodyText3"/>
              <w:numPr>
                <w:ilvl w:val="0"/>
                <w:numId w:val="32"/>
              </w:numPr>
              <w:ind w:left="284" w:hanging="219"/>
              <w:jc w:val="left"/>
              <w:rPr>
                <w:rFonts w:ascii="Arial Narrow" w:hAnsi="Arial Narrow"/>
                <w:color w:val="auto"/>
                <w:sz w:val="20"/>
              </w:rPr>
            </w:pPr>
            <w:r w:rsidRPr="001A6568">
              <w:rPr>
                <w:rFonts w:ascii="Arial Narrow" w:hAnsi="Arial Narrow"/>
                <w:color w:val="auto"/>
                <w:sz w:val="20"/>
              </w:rPr>
              <w:t>drug-related</w:t>
            </w:r>
            <w:r>
              <w:rPr>
                <w:rFonts w:ascii="Arial Narrow" w:hAnsi="Arial Narrow"/>
                <w:color w:val="auto"/>
                <w:sz w:val="20"/>
              </w:rPr>
              <w:t xml:space="preserve"> AE*</w:t>
            </w:r>
          </w:p>
          <w:p w:rsidR="00932972" w:rsidRPr="009C3B43" w:rsidRDefault="00932972" w:rsidP="00217726">
            <w:pPr>
              <w:pStyle w:val="BodyText3"/>
              <w:numPr>
                <w:ilvl w:val="0"/>
                <w:numId w:val="32"/>
              </w:numPr>
              <w:ind w:left="284" w:hanging="219"/>
              <w:jc w:val="left"/>
              <w:rPr>
                <w:rFonts w:ascii="Arial Narrow" w:hAnsi="Arial Narrow"/>
                <w:color w:val="auto"/>
                <w:sz w:val="20"/>
              </w:rPr>
            </w:pPr>
            <w:r w:rsidRPr="00827C28">
              <w:rPr>
                <w:rFonts w:ascii="Arial Narrow" w:hAnsi="Arial Narrow"/>
                <w:color w:val="auto"/>
                <w:sz w:val="20"/>
              </w:rPr>
              <w:t>serious drug-related</w:t>
            </w:r>
            <w:r>
              <w:rPr>
                <w:rFonts w:ascii="Arial Narrow" w:hAnsi="Arial Narrow"/>
                <w:color w:val="auto"/>
                <w:sz w:val="20"/>
              </w:rPr>
              <w:t xml:space="preserve"> AE*</w:t>
            </w:r>
          </w:p>
        </w:tc>
        <w:tc>
          <w:tcPr>
            <w:tcW w:w="781" w:type="pct"/>
            <w:shd w:val="clear" w:color="auto" w:fill="auto"/>
            <w:vAlign w:val="center"/>
          </w:tcPr>
          <w:p w:rsidR="00932972" w:rsidRDefault="00932972" w:rsidP="00832F58">
            <w:pPr>
              <w:pStyle w:val="BodyText3"/>
              <w:contextualSpacing/>
              <w:jc w:val="center"/>
              <w:rPr>
                <w:rFonts w:ascii="Arial Narrow" w:hAnsi="Arial Narrow"/>
                <w:color w:val="auto"/>
                <w:sz w:val="20"/>
              </w:rPr>
            </w:pPr>
          </w:p>
          <w:p w:rsidR="00932972" w:rsidRDefault="00932972" w:rsidP="00832F58">
            <w:pPr>
              <w:pStyle w:val="BodyText3"/>
              <w:contextualSpacing/>
              <w:jc w:val="center"/>
              <w:rPr>
                <w:rFonts w:ascii="Arial Narrow" w:hAnsi="Arial Narrow"/>
                <w:color w:val="auto"/>
                <w:sz w:val="20"/>
              </w:rPr>
            </w:pPr>
            <w:r>
              <w:rPr>
                <w:rFonts w:ascii="Arial Narrow" w:hAnsi="Arial Narrow"/>
                <w:color w:val="auto"/>
                <w:sz w:val="20"/>
              </w:rPr>
              <w:t>39 (25.3)</w:t>
            </w:r>
          </w:p>
          <w:p w:rsidR="00932972" w:rsidRDefault="00932972" w:rsidP="00832F58">
            <w:pPr>
              <w:pStyle w:val="BodyText3"/>
              <w:contextualSpacing/>
              <w:jc w:val="center"/>
              <w:rPr>
                <w:rFonts w:ascii="Arial Narrow" w:hAnsi="Arial Narrow"/>
                <w:color w:val="auto"/>
                <w:sz w:val="20"/>
              </w:rPr>
            </w:pPr>
            <w:r>
              <w:rPr>
                <w:rFonts w:ascii="Arial Narrow" w:hAnsi="Arial Narrow"/>
                <w:color w:val="auto"/>
                <w:sz w:val="20"/>
              </w:rPr>
              <w:t>16 (10.4)</w:t>
            </w:r>
          </w:p>
        </w:tc>
        <w:tc>
          <w:tcPr>
            <w:tcW w:w="619" w:type="pct"/>
            <w:shd w:val="clear" w:color="auto" w:fill="auto"/>
            <w:vAlign w:val="center"/>
          </w:tcPr>
          <w:p w:rsidR="00932972" w:rsidRDefault="00932972" w:rsidP="00832F58">
            <w:pPr>
              <w:pStyle w:val="BodyText3"/>
              <w:contextualSpacing/>
              <w:jc w:val="center"/>
              <w:rPr>
                <w:rFonts w:ascii="Arial Narrow" w:hAnsi="Arial Narrow"/>
                <w:color w:val="auto"/>
                <w:sz w:val="20"/>
              </w:rPr>
            </w:pPr>
          </w:p>
          <w:p w:rsidR="00932972" w:rsidRDefault="00932972" w:rsidP="00832F58">
            <w:pPr>
              <w:pStyle w:val="BodyText3"/>
              <w:contextualSpacing/>
              <w:jc w:val="center"/>
              <w:rPr>
                <w:rFonts w:ascii="Arial Narrow" w:hAnsi="Arial Narrow"/>
                <w:color w:val="auto"/>
                <w:sz w:val="20"/>
              </w:rPr>
            </w:pPr>
            <w:r>
              <w:rPr>
                <w:rFonts w:ascii="Arial Narrow" w:hAnsi="Arial Narrow"/>
                <w:color w:val="auto"/>
                <w:sz w:val="20"/>
              </w:rPr>
              <w:t>3 (2.0)</w:t>
            </w:r>
          </w:p>
          <w:p w:rsidR="00932972" w:rsidRDefault="00932972" w:rsidP="00832F58">
            <w:pPr>
              <w:pStyle w:val="BodyText3"/>
              <w:contextualSpacing/>
              <w:jc w:val="center"/>
              <w:rPr>
                <w:rFonts w:ascii="Arial Narrow" w:hAnsi="Arial Narrow"/>
                <w:color w:val="auto"/>
                <w:sz w:val="20"/>
              </w:rPr>
            </w:pPr>
            <w:r>
              <w:rPr>
                <w:rFonts w:ascii="Arial Narrow" w:hAnsi="Arial Narrow"/>
                <w:color w:val="auto"/>
                <w:sz w:val="20"/>
              </w:rPr>
              <w:t>1 (0.7)</w:t>
            </w:r>
          </w:p>
        </w:tc>
        <w:tc>
          <w:tcPr>
            <w:tcW w:w="817" w:type="pct"/>
            <w:shd w:val="clear" w:color="auto" w:fill="auto"/>
            <w:vAlign w:val="center"/>
          </w:tcPr>
          <w:p w:rsidR="00A7013F" w:rsidRPr="005C1BA2" w:rsidRDefault="00A7013F" w:rsidP="00832F58">
            <w:pPr>
              <w:pStyle w:val="BodyText3"/>
              <w:contextualSpacing/>
              <w:jc w:val="center"/>
              <w:rPr>
                <w:rFonts w:ascii="Arial Narrow" w:hAnsi="Arial Narrow"/>
                <w:color w:val="auto"/>
                <w:sz w:val="20"/>
              </w:rPr>
            </w:pPr>
          </w:p>
          <w:p w:rsidR="00932972" w:rsidRPr="00832F58" w:rsidRDefault="00932972" w:rsidP="00832F58">
            <w:pPr>
              <w:pStyle w:val="BodyText3"/>
              <w:contextualSpacing/>
              <w:jc w:val="center"/>
              <w:rPr>
                <w:rFonts w:ascii="Arial Narrow" w:hAnsi="Arial Narrow"/>
                <w:color w:val="auto"/>
                <w:sz w:val="20"/>
              </w:rPr>
            </w:pPr>
            <w:r w:rsidRPr="00832F58">
              <w:rPr>
                <w:rFonts w:ascii="Arial Narrow" w:hAnsi="Arial Narrow"/>
                <w:color w:val="auto"/>
                <w:sz w:val="20"/>
              </w:rPr>
              <w:t>23.3</w:t>
            </w:r>
            <w:r w:rsidR="00A7013F">
              <w:rPr>
                <w:rFonts w:ascii="Arial Narrow" w:hAnsi="Arial Narrow"/>
                <w:color w:val="auto"/>
                <w:sz w:val="20"/>
              </w:rPr>
              <w:t xml:space="preserve"> </w:t>
            </w:r>
            <w:r w:rsidRPr="00832F58">
              <w:rPr>
                <w:rFonts w:ascii="Arial Narrow" w:hAnsi="Arial Narrow"/>
                <w:color w:val="auto"/>
                <w:sz w:val="20"/>
              </w:rPr>
              <w:t>(16.1, 30.5)</w:t>
            </w:r>
          </w:p>
          <w:p w:rsidR="00932972" w:rsidRPr="00832F58" w:rsidRDefault="00932972" w:rsidP="00832F58">
            <w:pPr>
              <w:pStyle w:val="BodyText3"/>
              <w:contextualSpacing/>
              <w:jc w:val="center"/>
              <w:rPr>
                <w:rFonts w:ascii="Arial Narrow" w:hAnsi="Arial Narrow"/>
                <w:color w:val="auto"/>
                <w:sz w:val="20"/>
              </w:rPr>
            </w:pPr>
            <w:r w:rsidRPr="00832F58">
              <w:rPr>
                <w:rFonts w:ascii="Arial Narrow" w:hAnsi="Arial Narrow"/>
                <w:color w:val="auto"/>
                <w:sz w:val="20"/>
              </w:rPr>
              <w:t>9.7</w:t>
            </w:r>
            <w:r w:rsidR="00481120">
              <w:rPr>
                <w:rFonts w:ascii="Arial Narrow" w:hAnsi="Arial Narrow"/>
                <w:color w:val="auto"/>
                <w:sz w:val="20"/>
              </w:rPr>
              <w:t xml:space="preserve"> </w:t>
            </w:r>
            <w:r w:rsidRPr="00832F58">
              <w:rPr>
                <w:rFonts w:ascii="Arial Narrow" w:hAnsi="Arial Narrow"/>
                <w:color w:val="auto"/>
                <w:sz w:val="20"/>
              </w:rPr>
              <w:t>(4.7, 14.7)</w:t>
            </w:r>
          </w:p>
        </w:tc>
        <w:tc>
          <w:tcPr>
            <w:tcW w:w="817" w:type="pct"/>
            <w:vAlign w:val="center"/>
          </w:tcPr>
          <w:p w:rsidR="00932972" w:rsidRPr="00481120" w:rsidRDefault="00932972" w:rsidP="00832F58">
            <w:pPr>
              <w:pStyle w:val="BodyText3"/>
              <w:contextualSpacing/>
              <w:jc w:val="center"/>
              <w:rPr>
                <w:rFonts w:ascii="Arial Narrow" w:hAnsi="Arial Narrow"/>
                <w:color w:val="auto"/>
                <w:sz w:val="20"/>
              </w:rPr>
            </w:pPr>
          </w:p>
          <w:p w:rsidR="00932972" w:rsidRPr="00832F58" w:rsidRDefault="00932972" w:rsidP="00832F58">
            <w:pPr>
              <w:pStyle w:val="BodyText3"/>
              <w:contextualSpacing/>
              <w:jc w:val="center"/>
              <w:rPr>
                <w:rFonts w:ascii="Arial Narrow" w:hAnsi="Arial Narrow"/>
                <w:b/>
                <w:color w:val="auto"/>
                <w:sz w:val="20"/>
              </w:rPr>
            </w:pPr>
            <w:r w:rsidRPr="00832F58">
              <w:rPr>
                <w:rFonts w:ascii="Arial Narrow" w:hAnsi="Arial Narrow"/>
                <w:b/>
                <w:color w:val="auto"/>
                <w:sz w:val="20"/>
              </w:rPr>
              <w:t>12.6 (4.0, 40.1)</w:t>
            </w:r>
          </w:p>
          <w:p w:rsidR="00932972" w:rsidRPr="00832F58" w:rsidRDefault="00932972" w:rsidP="00832F58">
            <w:pPr>
              <w:pStyle w:val="BodyText3"/>
              <w:contextualSpacing/>
              <w:jc w:val="center"/>
              <w:rPr>
                <w:rFonts w:ascii="Arial Narrow" w:hAnsi="Arial Narrow"/>
                <w:color w:val="auto"/>
                <w:sz w:val="20"/>
              </w:rPr>
            </w:pPr>
            <w:r w:rsidRPr="00832F58">
              <w:rPr>
                <w:rFonts w:ascii="Arial Narrow" w:hAnsi="Arial Narrow"/>
                <w:b/>
                <w:color w:val="auto"/>
                <w:sz w:val="20"/>
              </w:rPr>
              <w:t>15.6 (2.1, 116.0)</w:t>
            </w:r>
          </w:p>
        </w:tc>
      </w:tr>
      <w:tr w:rsidR="00A7013F" w:rsidRPr="00F559CD" w:rsidTr="00AB0BFB">
        <w:tc>
          <w:tcPr>
            <w:tcW w:w="1966" w:type="pct"/>
            <w:tcBorders>
              <w:bottom w:val="single" w:sz="4" w:space="0" w:color="000000"/>
            </w:tcBorders>
            <w:shd w:val="clear" w:color="auto" w:fill="auto"/>
          </w:tcPr>
          <w:p w:rsidR="00932972" w:rsidRPr="001A6568" w:rsidRDefault="00932972" w:rsidP="00932972">
            <w:pPr>
              <w:pStyle w:val="BodyText3"/>
              <w:jc w:val="left"/>
              <w:rPr>
                <w:rFonts w:ascii="Arial Narrow" w:hAnsi="Arial Narrow"/>
                <w:color w:val="auto"/>
                <w:sz w:val="20"/>
                <w:u w:val="single"/>
              </w:rPr>
            </w:pPr>
            <w:r>
              <w:rPr>
                <w:rFonts w:ascii="Arial Narrow" w:hAnsi="Arial Narrow"/>
                <w:color w:val="auto"/>
                <w:sz w:val="20"/>
                <w:u w:val="single"/>
              </w:rPr>
              <w:t>Grade 3 or 4 Immune mediated pneumonitis</w:t>
            </w:r>
            <w:r>
              <w:rPr>
                <w:rFonts w:ascii="Arial Narrow" w:hAnsi="Arial Narrow"/>
                <w:color w:val="auto"/>
                <w:sz w:val="20"/>
                <w:u w:val="single"/>
                <w:vertAlign w:val="superscript"/>
              </w:rPr>
              <w:t>∞</w:t>
            </w:r>
            <w:r>
              <w:rPr>
                <w:rFonts w:ascii="Arial Narrow" w:hAnsi="Arial Narrow"/>
                <w:color w:val="auto"/>
                <w:sz w:val="20"/>
                <w:u w:val="single"/>
              </w:rPr>
              <w:t xml:space="preserve"> </w:t>
            </w:r>
          </w:p>
        </w:tc>
        <w:tc>
          <w:tcPr>
            <w:tcW w:w="781" w:type="pct"/>
            <w:tcBorders>
              <w:bottom w:val="single" w:sz="4" w:space="0" w:color="000000"/>
            </w:tcBorders>
            <w:shd w:val="clear" w:color="auto" w:fill="auto"/>
            <w:vAlign w:val="center"/>
          </w:tcPr>
          <w:p w:rsidR="00932972" w:rsidRDefault="00932972" w:rsidP="00832F58">
            <w:pPr>
              <w:pStyle w:val="BodyText3"/>
              <w:contextualSpacing/>
              <w:jc w:val="center"/>
              <w:rPr>
                <w:rFonts w:ascii="Arial Narrow" w:hAnsi="Arial Narrow"/>
                <w:color w:val="auto"/>
                <w:sz w:val="20"/>
              </w:rPr>
            </w:pPr>
            <w:r>
              <w:rPr>
                <w:rFonts w:ascii="Arial Narrow" w:hAnsi="Arial Narrow"/>
                <w:color w:val="auto"/>
                <w:sz w:val="20"/>
              </w:rPr>
              <w:t>4 (2.6)</w:t>
            </w:r>
          </w:p>
        </w:tc>
        <w:tc>
          <w:tcPr>
            <w:tcW w:w="619" w:type="pct"/>
            <w:tcBorders>
              <w:bottom w:val="single" w:sz="4" w:space="0" w:color="000000"/>
            </w:tcBorders>
            <w:shd w:val="clear" w:color="auto" w:fill="auto"/>
            <w:vAlign w:val="center"/>
          </w:tcPr>
          <w:p w:rsidR="00932972" w:rsidRDefault="00932972" w:rsidP="00832F58">
            <w:pPr>
              <w:pStyle w:val="BodyText3"/>
              <w:contextualSpacing/>
              <w:jc w:val="center"/>
              <w:rPr>
                <w:rFonts w:ascii="Arial Narrow" w:hAnsi="Arial Narrow"/>
                <w:color w:val="auto"/>
                <w:sz w:val="20"/>
              </w:rPr>
            </w:pPr>
            <w:r>
              <w:rPr>
                <w:rFonts w:ascii="Arial Narrow" w:hAnsi="Arial Narrow"/>
                <w:color w:val="auto"/>
                <w:sz w:val="20"/>
              </w:rPr>
              <w:t>1 (0.7)</w:t>
            </w:r>
          </w:p>
        </w:tc>
        <w:tc>
          <w:tcPr>
            <w:tcW w:w="817" w:type="pct"/>
            <w:tcBorders>
              <w:bottom w:val="single" w:sz="4" w:space="0" w:color="000000"/>
            </w:tcBorders>
            <w:shd w:val="clear" w:color="auto" w:fill="auto"/>
            <w:vAlign w:val="center"/>
          </w:tcPr>
          <w:p w:rsidR="00932972" w:rsidRPr="00832F58" w:rsidRDefault="00932972" w:rsidP="00832F58">
            <w:pPr>
              <w:pStyle w:val="BodyText3"/>
              <w:contextualSpacing/>
              <w:jc w:val="center"/>
              <w:rPr>
                <w:rFonts w:ascii="Arial Narrow" w:hAnsi="Arial Narrow"/>
                <w:color w:val="auto"/>
                <w:sz w:val="20"/>
              </w:rPr>
            </w:pPr>
            <w:r w:rsidRPr="00832F58">
              <w:rPr>
                <w:rFonts w:ascii="Arial Narrow" w:hAnsi="Arial Narrow"/>
                <w:color w:val="auto"/>
                <w:sz w:val="20"/>
              </w:rPr>
              <w:t>1.9 (-0.9, 4.8)</w:t>
            </w:r>
          </w:p>
        </w:tc>
        <w:tc>
          <w:tcPr>
            <w:tcW w:w="817" w:type="pct"/>
            <w:tcBorders>
              <w:bottom w:val="single" w:sz="4" w:space="0" w:color="000000"/>
            </w:tcBorders>
            <w:vAlign w:val="center"/>
          </w:tcPr>
          <w:p w:rsidR="00932972" w:rsidRPr="00832F58" w:rsidRDefault="00932972" w:rsidP="00832F58">
            <w:pPr>
              <w:pStyle w:val="BodyText3"/>
              <w:contextualSpacing/>
              <w:jc w:val="center"/>
              <w:rPr>
                <w:rFonts w:ascii="Arial Narrow" w:hAnsi="Arial Narrow"/>
                <w:color w:val="auto"/>
                <w:sz w:val="20"/>
              </w:rPr>
            </w:pPr>
            <w:r w:rsidRPr="00832F58">
              <w:rPr>
                <w:rFonts w:ascii="Arial Narrow" w:hAnsi="Arial Narrow"/>
                <w:color w:val="auto"/>
                <w:sz w:val="20"/>
              </w:rPr>
              <w:t>3.9 (0.44, 34.5)</w:t>
            </w:r>
          </w:p>
        </w:tc>
      </w:tr>
    </w:tbl>
    <w:p w:rsidR="00932972" w:rsidRDefault="00932972" w:rsidP="00932972">
      <w:pPr>
        <w:pStyle w:val="BodyText3"/>
        <w:rPr>
          <w:rFonts w:ascii="Arial Narrow" w:hAnsi="Arial Narrow"/>
          <w:color w:val="auto"/>
          <w:sz w:val="18"/>
          <w:szCs w:val="18"/>
        </w:rPr>
      </w:pPr>
      <w:r w:rsidRPr="00B7722D">
        <w:rPr>
          <w:rFonts w:ascii="Arial Narrow" w:hAnsi="Arial Narrow"/>
          <w:color w:val="auto"/>
          <w:sz w:val="18"/>
          <w:szCs w:val="18"/>
        </w:rPr>
        <w:t>Database cut</w:t>
      </w:r>
      <w:r>
        <w:rPr>
          <w:rFonts w:ascii="Arial Narrow" w:hAnsi="Arial Narrow"/>
          <w:color w:val="auto"/>
          <w:sz w:val="18"/>
          <w:szCs w:val="18"/>
        </w:rPr>
        <w:t>-</w:t>
      </w:r>
      <w:r w:rsidRPr="00B7722D">
        <w:rPr>
          <w:rFonts w:ascii="Arial Narrow" w:hAnsi="Arial Narrow"/>
          <w:color w:val="auto"/>
          <w:sz w:val="18"/>
          <w:szCs w:val="18"/>
        </w:rPr>
        <w:t>off</w:t>
      </w:r>
      <w:r>
        <w:rPr>
          <w:rFonts w:ascii="Arial Narrow" w:hAnsi="Arial Narrow"/>
          <w:color w:val="auto"/>
          <w:sz w:val="18"/>
          <w:szCs w:val="18"/>
        </w:rPr>
        <w:t xml:space="preserve"> date</w:t>
      </w:r>
      <w:r w:rsidRPr="00B7722D">
        <w:rPr>
          <w:rFonts w:ascii="Arial Narrow" w:hAnsi="Arial Narrow"/>
          <w:color w:val="auto"/>
          <w:sz w:val="18"/>
          <w:szCs w:val="18"/>
        </w:rPr>
        <w:t>: May 2016.</w:t>
      </w:r>
    </w:p>
    <w:p w:rsidR="00932972" w:rsidRDefault="00932972" w:rsidP="00932972">
      <w:pPr>
        <w:pStyle w:val="BodyText3"/>
        <w:rPr>
          <w:rFonts w:ascii="Arial Narrow" w:hAnsi="Arial Narrow"/>
          <w:color w:val="auto"/>
          <w:sz w:val="18"/>
          <w:szCs w:val="18"/>
        </w:rPr>
      </w:pPr>
      <w:r w:rsidRPr="00827C28">
        <w:rPr>
          <w:rFonts w:ascii="Arial Narrow" w:hAnsi="Arial Narrow"/>
          <w:color w:val="auto"/>
          <w:sz w:val="18"/>
          <w:szCs w:val="18"/>
        </w:rPr>
        <w:t>*</w:t>
      </w:r>
      <w:r>
        <w:rPr>
          <w:rFonts w:ascii="Arial Narrow" w:hAnsi="Arial Narrow"/>
          <w:color w:val="auto"/>
          <w:sz w:val="18"/>
          <w:szCs w:val="18"/>
        </w:rPr>
        <w:t xml:space="preserve"> Drug-related AEs were determined by the investigator to be related to the drug.</w:t>
      </w:r>
    </w:p>
    <w:p w:rsidR="00932972" w:rsidRPr="005C1BA2" w:rsidRDefault="00932972" w:rsidP="00932972">
      <w:pPr>
        <w:pStyle w:val="BodyText3"/>
        <w:rPr>
          <w:rFonts w:ascii="Arial Narrow" w:hAnsi="Arial Narrow"/>
          <w:color w:val="auto"/>
          <w:sz w:val="18"/>
          <w:szCs w:val="18"/>
        </w:rPr>
      </w:pPr>
      <w:r>
        <w:rPr>
          <w:rFonts w:ascii="Arial Narrow" w:hAnsi="Arial Narrow"/>
          <w:color w:val="auto"/>
          <w:sz w:val="18"/>
          <w:szCs w:val="18"/>
          <w:vertAlign w:val="superscript"/>
        </w:rPr>
        <w:t>∞</w:t>
      </w:r>
      <w:r w:rsidRPr="00425CB1">
        <w:rPr>
          <w:rFonts w:ascii="Arial Narrow" w:hAnsi="Arial Narrow"/>
          <w:color w:val="auto"/>
          <w:sz w:val="18"/>
          <w:szCs w:val="18"/>
        </w:rPr>
        <w:t>Table 3 of</w:t>
      </w:r>
      <w:r>
        <w:rPr>
          <w:rFonts w:ascii="Arial Narrow" w:hAnsi="Arial Narrow"/>
          <w:color w:val="auto"/>
          <w:sz w:val="18"/>
          <w:szCs w:val="18"/>
          <w:vertAlign w:val="superscript"/>
        </w:rPr>
        <w:t xml:space="preserve"> </w:t>
      </w:r>
      <w:r>
        <w:rPr>
          <w:rFonts w:ascii="Arial Narrow" w:hAnsi="Arial Narrow"/>
          <w:color w:val="auto"/>
          <w:sz w:val="18"/>
          <w:szCs w:val="18"/>
        </w:rPr>
        <w:t xml:space="preserve">Reck et al (2016) stated that these AEs were not </w:t>
      </w:r>
      <w:r w:rsidRPr="00425CB1">
        <w:rPr>
          <w:rFonts w:ascii="Arial Narrow" w:hAnsi="Arial Narrow"/>
          <w:color w:val="auto"/>
          <w:sz w:val="18"/>
          <w:szCs w:val="18"/>
        </w:rPr>
        <w:t xml:space="preserve">necessarily attributed to </w:t>
      </w:r>
      <w:r>
        <w:rPr>
          <w:rFonts w:ascii="Arial Narrow" w:hAnsi="Arial Narrow"/>
          <w:color w:val="auto"/>
          <w:sz w:val="18"/>
          <w:szCs w:val="18"/>
        </w:rPr>
        <w:t xml:space="preserve">study </w:t>
      </w:r>
      <w:r w:rsidRPr="00425CB1">
        <w:rPr>
          <w:rFonts w:ascii="Arial Narrow" w:hAnsi="Arial Narrow"/>
          <w:color w:val="auto"/>
          <w:sz w:val="18"/>
          <w:szCs w:val="18"/>
        </w:rPr>
        <w:t>drug</w:t>
      </w:r>
      <w:r w:rsidRPr="00425CB1">
        <w:rPr>
          <w:rFonts w:ascii="Arial Narrow" w:hAnsi="Arial Narrow"/>
          <w:i/>
          <w:color w:val="auto"/>
          <w:sz w:val="18"/>
          <w:szCs w:val="18"/>
        </w:rPr>
        <w:t xml:space="preserve">. </w:t>
      </w:r>
      <w:r w:rsidRPr="00832F58">
        <w:rPr>
          <w:rFonts w:ascii="Arial Narrow" w:hAnsi="Arial Narrow"/>
          <w:color w:val="auto"/>
          <w:sz w:val="18"/>
          <w:szCs w:val="18"/>
        </w:rPr>
        <w:t>However, these AEs are reflective of the mechanism of pembrolizumab</w:t>
      </w:r>
      <w:r w:rsidRPr="005C1BA2">
        <w:rPr>
          <w:rFonts w:ascii="Arial Narrow" w:hAnsi="Arial Narrow"/>
          <w:color w:val="auto"/>
          <w:sz w:val="18"/>
          <w:szCs w:val="18"/>
        </w:rPr>
        <w:t>)</w:t>
      </w:r>
    </w:p>
    <w:p w:rsidR="00932972" w:rsidRPr="00287D15" w:rsidRDefault="005A04DF" w:rsidP="00932972">
      <w:pPr>
        <w:pStyle w:val="BodyText3"/>
        <w:rPr>
          <w:rFonts w:ascii="Arial Narrow" w:hAnsi="Arial Narrow"/>
          <w:color w:val="auto"/>
          <w:sz w:val="18"/>
          <w:szCs w:val="18"/>
        </w:rPr>
      </w:pPr>
      <w:r>
        <w:rPr>
          <w:rFonts w:ascii="Arial Narrow" w:hAnsi="Arial Narrow"/>
          <w:color w:val="auto"/>
          <w:sz w:val="18"/>
          <w:szCs w:val="18"/>
        </w:rPr>
        <w:t>AEOSI = adverse event</w:t>
      </w:r>
      <w:r w:rsidRPr="003473EA">
        <w:rPr>
          <w:rFonts w:ascii="Arial Narrow" w:hAnsi="Arial Narrow"/>
          <w:color w:val="auto"/>
          <w:sz w:val="18"/>
          <w:szCs w:val="18"/>
        </w:rPr>
        <w:t xml:space="preserve"> of special interest</w:t>
      </w:r>
      <w:r>
        <w:rPr>
          <w:rFonts w:ascii="Arial Narrow" w:hAnsi="Arial Narrow"/>
          <w:color w:val="auto"/>
          <w:sz w:val="18"/>
          <w:szCs w:val="18"/>
        </w:rPr>
        <w:t xml:space="preserve">; </w:t>
      </w:r>
      <w:proofErr w:type="gramStart"/>
      <w:r w:rsidR="00932972">
        <w:rPr>
          <w:rFonts w:ascii="Arial Narrow" w:hAnsi="Arial Narrow"/>
          <w:color w:val="auto"/>
          <w:sz w:val="18"/>
          <w:szCs w:val="18"/>
        </w:rPr>
        <w:t>ASaT</w:t>
      </w:r>
      <w:proofErr w:type="gramEnd"/>
      <w:r w:rsidR="00932972">
        <w:rPr>
          <w:rFonts w:ascii="Arial Narrow" w:hAnsi="Arial Narrow"/>
          <w:color w:val="auto"/>
          <w:sz w:val="18"/>
          <w:szCs w:val="18"/>
        </w:rPr>
        <w:t xml:space="preserve"> = All patients as treated defined as a</w:t>
      </w:r>
      <w:r w:rsidR="00932972" w:rsidRPr="0042754A">
        <w:rPr>
          <w:rFonts w:ascii="Arial Narrow" w:hAnsi="Arial Narrow"/>
          <w:color w:val="auto"/>
          <w:sz w:val="18"/>
          <w:szCs w:val="18"/>
        </w:rPr>
        <w:t>ll patients who received at least one dose of a trial treatment</w:t>
      </w:r>
      <w:r w:rsidR="00932972">
        <w:rPr>
          <w:rFonts w:ascii="Arial Narrow" w:hAnsi="Arial Narrow"/>
          <w:color w:val="auto"/>
          <w:sz w:val="18"/>
          <w:szCs w:val="18"/>
        </w:rPr>
        <w:t xml:space="preserve">; AE = adverse event; CI = confidence interval; </w:t>
      </w:r>
      <w:r w:rsidR="00932972" w:rsidRPr="00287D15">
        <w:rPr>
          <w:rFonts w:ascii="Arial Narrow" w:hAnsi="Arial Narrow"/>
          <w:color w:val="auto"/>
          <w:sz w:val="18"/>
          <w:szCs w:val="18"/>
        </w:rPr>
        <w:t xml:space="preserve">RD = risk difference; </w:t>
      </w:r>
      <w:r w:rsidR="00AB0BFB">
        <w:rPr>
          <w:rFonts w:ascii="Arial Narrow" w:hAnsi="Arial Narrow"/>
          <w:color w:val="auto"/>
          <w:sz w:val="18"/>
          <w:szCs w:val="18"/>
        </w:rPr>
        <w:t>RR = relative risk</w:t>
      </w:r>
    </w:p>
    <w:p w:rsidR="00932972" w:rsidRDefault="00932972" w:rsidP="00932972">
      <w:pPr>
        <w:pStyle w:val="BodyText3"/>
        <w:ind w:left="142" w:hanging="142"/>
        <w:rPr>
          <w:rFonts w:ascii="Arial Narrow" w:hAnsi="Arial Narrow"/>
          <w:color w:val="auto"/>
          <w:sz w:val="18"/>
          <w:szCs w:val="18"/>
        </w:rPr>
      </w:pPr>
      <w:proofErr w:type="gramStart"/>
      <w:r>
        <w:rPr>
          <w:rFonts w:ascii="Arial Narrow" w:hAnsi="Arial Narrow"/>
          <w:color w:val="auto"/>
          <w:sz w:val="20"/>
          <w:vertAlign w:val="superscript"/>
        </w:rPr>
        <w:t>a</w:t>
      </w:r>
      <w:proofErr w:type="gramEnd"/>
      <w:r>
        <w:rPr>
          <w:rFonts w:ascii="Arial Narrow" w:hAnsi="Arial Narrow"/>
          <w:color w:val="auto"/>
          <w:sz w:val="20"/>
          <w:vertAlign w:val="superscript"/>
        </w:rPr>
        <w:t xml:space="preserve"> </w:t>
      </w:r>
      <w:r w:rsidRPr="001A6568">
        <w:rPr>
          <w:rFonts w:ascii="Arial Narrow" w:hAnsi="Arial Narrow"/>
          <w:color w:val="auto"/>
          <w:sz w:val="18"/>
          <w:szCs w:val="18"/>
        </w:rPr>
        <w:t>Analyses of AEOSIs were based on a specific list of AE terms pre-identified by</w:t>
      </w:r>
      <w:r>
        <w:rPr>
          <w:rFonts w:ascii="Arial Narrow" w:hAnsi="Arial Narrow"/>
          <w:color w:val="auto"/>
          <w:sz w:val="18"/>
          <w:szCs w:val="18"/>
        </w:rPr>
        <w:t xml:space="preserve"> </w:t>
      </w:r>
      <w:r w:rsidRPr="001A6568">
        <w:rPr>
          <w:rFonts w:ascii="Arial Narrow" w:hAnsi="Arial Narrow"/>
          <w:color w:val="auto"/>
          <w:sz w:val="18"/>
          <w:szCs w:val="18"/>
        </w:rPr>
        <w:t>Merck as AEOSI.</w:t>
      </w:r>
      <w:r>
        <w:rPr>
          <w:rFonts w:ascii="Arial Narrow" w:hAnsi="Arial Narrow"/>
          <w:color w:val="auto"/>
          <w:sz w:val="18"/>
          <w:szCs w:val="18"/>
        </w:rPr>
        <w:t xml:space="preserve"> This list was not presented in the current KN-024 CSR</w:t>
      </w:r>
      <w:r w:rsidR="00F03136">
        <w:rPr>
          <w:rFonts w:ascii="Arial Narrow" w:hAnsi="Arial Narrow"/>
          <w:color w:val="auto"/>
          <w:sz w:val="18"/>
          <w:szCs w:val="18"/>
        </w:rPr>
        <w:t>,</w:t>
      </w:r>
      <w:r>
        <w:rPr>
          <w:rFonts w:ascii="Arial Narrow" w:hAnsi="Arial Narrow"/>
          <w:color w:val="auto"/>
          <w:sz w:val="18"/>
          <w:szCs w:val="18"/>
        </w:rPr>
        <w:t xml:space="preserve"> but it represents </w:t>
      </w:r>
      <w:r w:rsidRPr="001A6568">
        <w:rPr>
          <w:rFonts w:ascii="Arial Narrow" w:hAnsi="Arial Narrow"/>
          <w:color w:val="auto"/>
          <w:sz w:val="18"/>
          <w:szCs w:val="18"/>
        </w:rPr>
        <w:t xml:space="preserve">potentially </w:t>
      </w:r>
      <w:r>
        <w:rPr>
          <w:rFonts w:ascii="Arial Narrow" w:hAnsi="Arial Narrow"/>
          <w:color w:val="auto"/>
          <w:sz w:val="18"/>
          <w:szCs w:val="18"/>
        </w:rPr>
        <w:t xml:space="preserve">immune related AEs </w:t>
      </w:r>
      <w:r w:rsidRPr="001A6568">
        <w:rPr>
          <w:rFonts w:ascii="Arial Narrow" w:hAnsi="Arial Narrow"/>
          <w:color w:val="auto"/>
          <w:sz w:val="18"/>
          <w:szCs w:val="18"/>
        </w:rPr>
        <w:t>across several System</w:t>
      </w:r>
      <w:r>
        <w:rPr>
          <w:rFonts w:ascii="Arial Narrow" w:hAnsi="Arial Narrow"/>
          <w:color w:val="auto"/>
          <w:sz w:val="18"/>
          <w:szCs w:val="18"/>
        </w:rPr>
        <w:t xml:space="preserve"> </w:t>
      </w:r>
      <w:r w:rsidRPr="001A6568">
        <w:rPr>
          <w:rFonts w:ascii="Arial Narrow" w:hAnsi="Arial Narrow"/>
          <w:color w:val="auto"/>
          <w:sz w:val="18"/>
          <w:szCs w:val="18"/>
        </w:rPr>
        <w:t>Organ Classes</w:t>
      </w:r>
      <w:r>
        <w:rPr>
          <w:rFonts w:ascii="Arial Narrow" w:hAnsi="Arial Narrow"/>
          <w:color w:val="auto"/>
          <w:sz w:val="18"/>
          <w:szCs w:val="18"/>
        </w:rPr>
        <w:t xml:space="preserve"> examined in the pembrolizumab program</w:t>
      </w:r>
      <w:r w:rsidRPr="001A6568">
        <w:rPr>
          <w:rFonts w:ascii="Arial Narrow" w:hAnsi="Arial Narrow"/>
          <w:color w:val="auto"/>
          <w:sz w:val="18"/>
          <w:szCs w:val="18"/>
        </w:rPr>
        <w:t>.</w:t>
      </w:r>
    </w:p>
    <w:p w:rsidR="00932972" w:rsidRPr="00B7722D" w:rsidRDefault="00932972" w:rsidP="00932972">
      <w:pPr>
        <w:pStyle w:val="BodyText3"/>
        <w:rPr>
          <w:rFonts w:ascii="Arial Narrow" w:hAnsi="Arial Narrow"/>
          <w:color w:val="auto"/>
          <w:sz w:val="18"/>
          <w:szCs w:val="18"/>
        </w:rPr>
      </w:pPr>
      <w:r w:rsidRPr="00B7722D">
        <w:rPr>
          <w:rFonts w:ascii="Arial Narrow" w:hAnsi="Arial Narrow"/>
          <w:color w:val="auto"/>
          <w:sz w:val="18"/>
          <w:szCs w:val="18"/>
        </w:rPr>
        <w:t>AEs were followed up for 30 days after last dose of study treatment</w:t>
      </w:r>
    </w:p>
    <w:p w:rsidR="00932972" w:rsidRDefault="00932972" w:rsidP="00932972">
      <w:pPr>
        <w:pStyle w:val="BodyText3"/>
        <w:rPr>
          <w:rFonts w:ascii="Arial Narrow" w:hAnsi="Arial Narrow"/>
          <w:color w:val="auto"/>
          <w:sz w:val="18"/>
          <w:szCs w:val="18"/>
        </w:rPr>
      </w:pPr>
      <w:r w:rsidRPr="00B7722D">
        <w:rPr>
          <w:rFonts w:ascii="Arial Narrow" w:hAnsi="Arial Narrow"/>
          <w:color w:val="auto"/>
          <w:sz w:val="18"/>
          <w:szCs w:val="18"/>
        </w:rPr>
        <w:t>Se</w:t>
      </w:r>
      <w:r>
        <w:rPr>
          <w:rFonts w:ascii="Arial Narrow" w:hAnsi="Arial Narrow"/>
          <w:color w:val="auto"/>
          <w:sz w:val="18"/>
          <w:szCs w:val="18"/>
        </w:rPr>
        <w:t>rious AE were monitored for at l</w:t>
      </w:r>
      <w:r w:rsidRPr="00B7722D">
        <w:rPr>
          <w:rFonts w:ascii="Arial Narrow" w:hAnsi="Arial Narrow"/>
          <w:color w:val="auto"/>
          <w:sz w:val="18"/>
          <w:szCs w:val="18"/>
        </w:rPr>
        <w:t>east 90 days after last dose.</w:t>
      </w:r>
    </w:p>
    <w:p w:rsidR="00932972" w:rsidRPr="005C1BA2" w:rsidRDefault="005C1BA2" w:rsidP="00932972">
      <w:pPr>
        <w:pStyle w:val="BodyText3"/>
        <w:rPr>
          <w:rFonts w:ascii="Arial Narrow" w:hAnsi="Arial Narrow"/>
          <w:color w:val="auto"/>
          <w:sz w:val="18"/>
          <w:szCs w:val="18"/>
        </w:rPr>
      </w:pPr>
      <w:proofErr w:type="gramStart"/>
      <w:r w:rsidRPr="00832F58">
        <w:rPr>
          <w:rFonts w:ascii="Arial Narrow" w:hAnsi="Arial Narrow"/>
          <w:color w:val="auto"/>
          <w:sz w:val="18"/>
          <w:szCs w:val="18"/>
          <w:vertAlign w:val="superscript"/>
        </w:rPr>
        <w:t>b</w:t>
      </w:r>
      <w:proofErr w:type="gramEnd"/>
      <w:r w:rsidR="00932972" w:rsidRPr="00832F58">
        <w:rPr>
          <w:rFonts w:ascii="Arial Narrow" w:hAnsi="Arial Narrow"/>
          <w:color w:val="auto"/>
          <w:sz w:val="18"/>
          <w:szCs w:val="18"/>
        </w:rPr>
        <w:t xml:space="preserve"> RD and RR calculated during the evaluation</w:t>
      </w:r>
    </w:p>
    <w:p w:rsidR="00932972" w:rsidRPr="008241D4" w:rsidRDefault="00932972" w:rsidP="00932972">
      <w:pPr>
        <w:pStyle w:val="TableFooter"/>
        <w:rPr>
          <w:highlight w:val="yellow"/>
        </w:rPr>
      </w:pPr>
      <w:r>
        <w:lastRenderedPageBreak/>
        <w:t>Source: Table B.6-12, p119 and Table B.8-1, p145 of the submission</w:t>
      </w:r>
    </w:p>
    <w:p w:rsidR="00932972" w:rsidRPr="007B14F5" w:rsidRDefault="00932972" w:rsidP="00932972">
      <w:pPr>
        <w:pStyle w:val="ListParagraph"/>
        <w:ind w:left="0" w:firstLine="0"/>
        <w:rPr>
          <w:rFonts w:ascii="Arial" w:hAnsi="Arial" w:cs="Arial"/>
          <w:sz w:val="22"/>
          <w:szCs w:val="22"/>
          <w:highlight w:val="yellow"/>
        </w:rPr>
      </w:pPr>
    </w:p>
    <w:p w:rsidR="00932972" w:rsidRPr="00F754F9" w:rsidRDefault="00932972" w:rsidP="00217726">
      <w:pPr>
        <w:pStyle w:val="ListParagraph"/>
        <w:numPr>
          <w:ilvl w:val="1"/>
          <w:numId w:val="4"/>
        </w:numPr>
        <w:ind w:left="720"/>
        <w:rPr>
          <w:rFonts w:ascii="Arial" w:hAnsi="Arial" w:cs="Arial"/>
          <w:sz w:val="22"/>
          <w:szCs w:val="22"/>
        </w:rPr>
      </w:pPr>
      <w:r w:rsidRPr="00F754F9">
        <w:rPr>
          <w:rFonts w:ascii="Arial" w:hAnsi="Arial" w:cs="Arial"/>
          <w:sz w:val="22"/>
          <w:szCs w:val="22"/>
        </w:rPr>
        <w:t xml:space="preserve">The proportion of patients with any Grade 3, 4, or 5 treatment-related AE in the chemotherapy treatment arm was almost twice that in the pembrolizumab treatment arm (53.3% </w:t>
      </w:r>
      <w:r w:rsidR="005A04DF" w:rsidRPr="00F754F9">
        <w:rPr>
          <w:rFonts w:ascii="Arial" w:hAnsi="Arial" w:cs="Arial"/>
          <w:sz w:val="22"/>
          <w:szCs w:val="22"/>
        </w:rPr>
        <w:t>vs</w:t>
      </w:r>
      <w:r w:rsidRPr="00F754F9">
        <w:rPr>
          <w:rFonts w:ascii="Arial" w:hAnsi="Arial" w:cs="Arial"/>
          <w:sz w:val="22"/>
          <w:szCs w:val="22"/>
        </w:rPr>
        <w:t xml:space="preserve"> 26.6%). Serious treatment-related adverse events were similar between treatment arms. </w:t>
      </w:r>
      <w:r w:rsidR="00F301A7" w:rsidRPr="00F754F9">
        <w:rPr>
          <w:rFonts w:ascii="Arial" w:hAnsi="Arial" w:cs="Arial"/>
          <w:sz w:val="22"/>
          <w:szCs w:val="22"/>
        </w:rPr>
        <w:t>Adverse events of special interest (</w:t>
      </w:r>
      <w:r w:rsidR="005A04DF" w:rsidRPr="00F754F9">
        <w:rPr>
          <w:rFonts w:ascii="Arial" w:hAnsi="Arial" w:cs="Arial"/>
          <w:sz w:val="22"/>
          <w:szCs w:val="22"/>
        </w:rPr>
        <w:t>AEOSI</w:t>
      </w:r>
      <w:r w:rsidR="00F301A7" w:rsidRPr="00F754F9">
        <w:rPr>
          <w:rFonts w:ascii="Arial" w:hAnsi="Arial" w:cs="Arial"/>
          <w:sz w:val="22"/>
          <w:szCs w:val="22"/>
        </w:rPr>
        <w:t>)</w:t>
      </w:r>
      <w:r w:rsidR="005A04DF" w:rsidRPr="00F754F9">
        <w:rPr>
          <w:rFonts w:ascii="Arial" w:hAnsi="Arial" w:cs="Arial"/>
          <w:sz w:val="22"/>
          <w:szCs w:val="22"/>
        </w:rPr>
        <w:t xml:space="preserve"> </w:t>
      </w:r>
      <w:r w:rsidRPr="00F754F9">
        <w:rPr>
          <w:rFonts w:ascii="Arial" w:hAnsi="Arial" w:cs="Arial"/>
          <w:sz w:val="22"/>
          <w:szCs w:val="22"/>
        </w:rPr>
        <w:t>that were related to the study drug were significantly higher in the pembrolizumab treatment arm compared to the chemotherapy treatment arm for both serious and non-serious events (25.3 % vs 2.0%; risk difference (RD)</w:t>
      </w:r>
      <w:r w:rsidR="00AB0BFB" w:rsidRPr="00F754F9">
        <w:rPr>
          <w:rFonts w:ascii="Arial" w:hAnsi="Arial" w:cs="Arial"/>
          <w:sz w:val="22"/>
          <w:szCs w:val="22"/>
        </w:rPr>
        <w:t xml:space="preserve"> </w:t>
      </w:r>
      <w:r w:rsidRPr="00F754F9">
        <w:rPr>
          <w:rFonts w:ascii="Arial" w:hAnsi="Arial" w:cs="Arial"/>
          <w:sz w:val="22"/>
          <w:szCs w:val="22"/>
        </w:rPr>
        <w:t>= 23.3%; 95% CI: 16.1, 30.5) and for only serious events (10.</w:t>
      </w:r>
      <w:r w:rsidR="00AB0BFB" w:rsidRPr="00F754F9">
        <w:rPr>
          <w:rFonts w:ascii="Arial" w:hAnsi="Arial" w:cs="Arial"/>
          <w:sz w:val="22"/>
          <w:szCs w:val="22"/>
        </w:rPr>
        <w:t xml:space="preserve">4% vs 0.7%; RD </w:t>
      </w:r>
      <w:r w:rsidRPr="00F754F9">
        <w:rPr>
          <w:rFonts w:ascii="Arial" w:hAnsi="Arial" w:cs="Arial"/>
          <w:sz w:val="22"/>
          <w:szCs w:val="22"/>
        </w:rPr>
        <w:t>= 9.7%; 95% CI: 4.7, 14.7). There was a higher proportion of patients in the pembrolizumab treatment arm, compared to the chemotherapy treatment arm, with any immune-mediated AE of any grade (29.2% vs 4.7%) or a Gr</w:t>
      </w:r>
      <w:r w:rsidR="005A04DF" w:rsidRPr="00F754F9">
        <w:rPr>
          <w:rFonts w:ascii="Arial" w:hAnsi="Arial" w:cs="Arial"/>
          <w:sz w:val="22"/>
          <w:szCs w:val="22"/>
        </w:rPr>
        <w:t>ade 3 or 4 immune-mediated AE (</w:t>
      </w:r>
      <w:r w:rsidRPr="00F754F9">
        <w:rPr>
          <w:rFonts w:ascii="Arial" w:hAnsi="Arial" w:cs="Arial"/>
          <w:sz w:val="22"/>
          <w:szCs w:val="22"/>
        </w:rPr>
        <w:t xml:space="preserve">9.7% and 0.7%). Any grade pneumonitis and a Grade 3 or </w:t>
      </w:r>
      <w:proofErr w:type="gramStart"/>
      <w:r w:rsidRPr="00F754F9">
        <w:rPr>
          <w:rFonts w:ascii="Arial" w:hAnsi="Arial" w:cs="Arial"/>
          <w:sz w:val="22"/>
          <w:szCs w:val="22"/>
        </w:rPr>
        <w:t>4 pneumonitis</w:t>
      </w:r>
      <w:proofErr w:type="gramEnd"/>
      <w:r w:rsidRPr="00F754F9">
        <w:rPr>
          <w:rFonts w:ascii="Arial" w:hAnsi="Arial" w:cs="Arial"/>
          <w:sz w:val="22"/>
          <w:szCs w:val="22"/>
        </w:rPr>
        <w:t xml:space="preserve"> occurred in approximately 6% and 3% of patients, respectively, in the pembrolizumab treatment arm compared to 1% in the chemotherapy arm.</w:t>
      </w:r>
    </w:p>
    <w:p w:rsidR="00932972" w:rsidRPr="00F754F9" w:rsidRDefault="00932972" w:rsidP="00294A10">
      <w:pPr>
        <w:rPr>
          <w:rFonts w:ascii="Arial" w:hAnsi="Arial" w:cs="Arial"/>
          <w:sz w:val="22"/>
          <w:szCs w:val="22"/>
        </w:rPr>
      </w:pPr>
    </w:p>
    <w:p w:rsidR="00932972" w:rsidRPr="00F754F9" w:rsidRDefault="00932972" w:rsidP="00217726">
      <w:pPr>
        <w:pStyle w:val="ListParagraph"/>
        <w:numPr>
          <w:ilvl w:val="1"/>
          <w:numId w:val="4"/>
        </w:numPr>
        <w:ind w:left="720"/>
        <w:rPr>
          <w:rFonts w:ascii="Arial" w:hAnsi="Arial" w:cs="Arial"/>
          <w:sz w:val="22"/>
          <w:szCs w:val="22"/>
        </w:rPr>
      </w:pPr>
      <w:r w:rsidRPr="00F754F9">
        <w:rPr>
          <w:rFonts w:ascii="Arial" w:hAnsi="Arial" w:cs="Arial"/>
          <w:sz w:val="22"/>
          <w:szCs w:val="22"/>
        </w:rPr>
        <w:t>Overall, immune-mediated AEs occurred more frequently with pembrolizumab treatment whereas cytopenias, decreased appetite, nausea and fatigue occurred more frequently with chemotherapy treatment. The safety data from KN-024 appear consistent with the mechanism of action for each therapy.</w:t>
      </w:r>
      <w:r w:rsidR="000D6711" w:rsidRPr="00F754F9">
        <w:rPr>
          <w:rFonts w:ascii="Arial" w:hAnsi="Arial" w:cs="Arial"/>
          <w:sz w:val="22"/>
          <w:szCs w:val="22"/>
        </w:rPr>
        <w:t xml:space="preserve"> </w:t>
      </w:r>
      <w:r w:rsidR="00DC54A3">
        <w:rPr>
          <w:rFonts w:ascii="Arial" w:hAnsi="Arial" w:cs="Arial"/>
          <w:sz w:val="22"/>
          <w:szCs w:val="22"/>
        </w:rPr>
        <w:t>The ESC</w:t>
      </w:r>
      <w:r w:rsidR="000D6711" w:rsidRPr="00322974">
        <w:rPr>
          <w:rFonts w:ascii="Arial" w:hAnsi="Arial" w:cs="Arial"/>
          <w:sz w:val="22"/>
          <w:szCs w:val="22"/>
        </w:rPr>
        <w:t xml:space="preserve"> considered that immune-mediated AEs are expected of PD-L1 inhibitors and therefore can mostly be pre-empted and managed accordingly in clinical practice.</w:t>
      </w:r>
    </w:p>
    <w:p w:rsidR="008B6BF2" w:rsidRPr="00F6757B" w:rsidRDefault="008B6BF2" w:rsidP="00F6757B">
      <w:pPr>
        <w:pStyle w:val="Heading2"/>
      </w:pPr>
      <w:bookmarkStart w:id="26" w:name="_Toc439845558"/>
      <w:bookmarkStart w:id="27" w:name="_Toc392858197"/>
      <w:bookmarkStart w:id="28" w:name="_Toc431891741"/>
      <w:bookmarkStart w:id="29" w:name="_Toc461627090"/>
      <w:bookmarkStart w:id="30" w:name="_Toc471744457"/>
      <w:r w:rsidRPr="00F6757B">
        <w:t>Benefits/harms</w:t>
      </w:r>
      <w:bookmarkEnd w:id="26"/>
    </w:p>
    <w:bookmarkEnd w:id="27"/>
    <w:bookmarkEnd w:id="28"/>
    <w:bookmarkEnd w:id="29"/>
    <w:bookmarkEnd w:id="30"/>
    <w:p w:rsidR="00932972" w:rsidRPr="00F754F9" w:rsidRDefault="00932972" w:rsidP="00217726">
      <w:pPr>
        <w:pStyle w:val="ListParagraph"/>
        <w:numPr>
          <w:ilvl w:val="1"/>
          <w:numId w:val="4"/>
        </w:numPr>
        <w:ind w:left="720"/>
        <w:rPr>
          <w:rFonts w:ascii="Arial" w:hAnsi="Arial" w:cs="Arial"/>
          <w:sz w:val="22"/>
          <w:szCs w:val="22"/>
        </w:rPr>
      </w:pPr>
      <w:r w:rsidRPr="00F754F9">
        <w:rPr>
          <w:rFonts w:ascii="Arial" w:hAnsi="Arial" w:cs="Arial"/>
          <w:sz w:val="22"/>
          <w:szCs w:val="22"/>
        </w:rPr>
        <w:t xml:space="preserve">Table </w:t>
      </w:r>
      <w:r w:rsidR="00B0118C" w:rsidRPr="00F754F9">
        <w:rPr>
          <w:rFonts w:ascii="Arial" w:hAnsi="Arial" w:cs="Arial"/>
          <w:sz w:val="22"/>
          <w:szCs w:val="22"/>
        </w:rPr>
        <w:t>7</w:t>
      </w:r>
      <w:r w:rsidRPr="00F754F9">
        <w:rPr>
          <w:rFonts w:ascii="Arial" w:hAnsi="Arial" w:cs="Arial"/>
          <w:sz w:val="22"/>
          <w:szCs w:val="22"/>
        </w:rPr>
        <w:t xml:space="preserve"> summarises the comparative benefits and harms for pembrolizumab 200 mg Q3W versus platinum-based chemotherapy, for a median duration of follow up of approximately 11 months in first-line NSCLC patients who have evidence of a high level </w:t>
      </w:r>
      <w:r w:rsidR="00294A10" w:rsidRPr="00F754F9">
        <w:rPr>
          <w:rFonts w:ascii="Arial" w:hAnsi="Arial" w:cs="Arial"/>
          <w:sz w:val="22"/>
          <w:szCs w:val="22"/>
        </w:rPr>
        <w:t>of PD-L1 expression (TPS ≥50%).</w:t>
      </w:r>
    </w:p>
    <w:p w:rsidR="00932972" w:rsidRPr="007B14F5" w:rsidRDefault="00932972" w:rsidP="00932972">
      <w:pPr>
        <w:rPr>
          <w:rFonts w:ascii="Arial" w:hAnsi="Arial" w:cs="Arial"/>
          <w:sz w:val="22"/>
          <w:szCs w:val="22"/>
        </w:rPr>
      </w:pPr>
    </w:p>
    <w:p w:rsidR="00AA2FD0" w:rsidRDefault="00AA2FD0">
      <w:pPr>
        <w:jc w:val="left"/>
        <w:rPr>
          <w:rFonts w:ascii="Arial Narrow" w:eastAsia="SimSun" w:hAnsi="Arial Narrow" w:cs="Arial"/>
          <w:b/>
          <w:sz w:val="20"/>
          <w:szCs w:val="20"/>
          <w:lang w:eastAsia="en-AU" w:bidi="en-US"/>
        </w:rPr>
      </w:pPr>
      <w:r>
        <w:br w:type="page"/>
      </w:r>
    </w:p>
    <w:p w:rsidR="00932972" w:rsidRPr="0042754A" w:rsidRDefault="004F190E" w:rsidP="00932972">
      <w:pPr>
        <w:pStyle w:val="TableHeading0"/>
        <w:rPr>
          <w:i/>
        </w:rPr>
      </w:pPr>
      <w:r>
        <w:lastRenderedPageBreak/>
        <w:t xml:space="preserve">Table </w:t>
      </w:r>
      <w:r w:rsidR="00B0118C">
        <w:t>7</w:t>
      </w:r>
      <w:r>
        <w:t xml:space="preserve">: </w:t>
      </w:r>
      <w:r w:rsidR="00932972" w:rsidRPr="0042754A">
        <w:rPr>
          <w:noProof/>
        </w:rPr>
        <w:t>KN-024</w:t>
      </w:r>
      <w:r w:rsidR="00932972" w:rsidRPr="0042754A">
        <w:t xml:space="preserve">: Comparative benefits for pembrolizumab </w:t>
      </w:r>
      <w:r w:rsidR="00932972">
        <w:t>200 mg Q3W</w:t>
      </w:r>
      <w:r w:rsidR="00932972" w:rsidRPr="0042754A">
        <w:t xml:space="preserve"> vs chemotherapy in the first-line setting </w:t>
      </w:r>
      <w:r w:rsidR="00932972" w:rsidRPr="0042754A">
        <w:rPr>
          <w:color w:val="000000"/>
        </w:rPr>
        <w:t>(PD-L1</w:t>
      </w:r>
      <w:r w:rsidR="00932972">
        <w:rPr>
          <w:color w:val="000000"/>
        </w:rPr>
        <w:t xml:space="preserve"> TPS</w:t>
      </w:r>
      <w:r w:rsidR="00932972" w:rsidRPr="0042754A">
        <w:rPr>
          <w:color w:val="000000"/>
        </w:rPr>
        <w:t xml:space="preserve"> ≥50%)</w:t>
      </w:r>
    </w:p>
    <w:tbl>
      <w:tblPr>
        <w:tblW w:w="509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2200"/>
        <w:gridCol w:w="1391"/>
        <w:gridCol w:w="1278"/>
        <w:gridCol w:w="1387"/>
        <w:gridCol w:w="1308"/>
        <w:gridCol w:w="1697"/>
      </w:tblGrid>
      <w:tr w:rsidR="00C0365F" w:rsidRPr="008241D4" w:rsidTr="0073713D">
        <w:trPr>
          <w:trHeight w:val="20"/>
        </w:trPr>
        <w:tc>
          <w:tcPr>
            <w:tcW w:w="1188" w:type="pct"/>
            <w:shd w:val="clear" w:color="auto" w:fill="auto"/>
            <w:vAlign w:val="center"/>
          </w:tcPr>
          <w:p w:rsidR="00932972" w:rsidRPr="00BC1163" w:rsidRDefault="00932972" w:rsidP="00932972">
            <w:pPr>
              <w:pStyle w:val="TableText0"/>
              <w:rPr>
                <w:b/>
                <w:lang w:eastAsia="en-AU"/>
              </w:rPr>
            </w:pPr>
          </w:p>
        </w:tc>
        <w:tc>
          <w:tcPr>
            <w:tcW w:w="751" w:type="pct"/>
            <w:shd w:val="clear" w:color="auto" w:fill="auto"/>
            <w:vAlign w:val="center"/>
          </w:tcPr>
          <w:p w:rsidR="00932972" w:rsidRPr="00BC1163" w:rsidRDefault="00932972" w:rsidP="00932972">
            <w:pPr>
              <w:pStyle w:val="TableText0"/>
              <w:rPr>
                <w:b/>
                <w:lang w:eastAsia="en-AU"/>
              </w:rPr>
            </w:pPr>
            <w:r w:rsidRPr="00BC1163">
              <w:rPr>
                <w:b/>
                <w:lang w:eastAsia="en-AU"/>
              </w:rPr>
              <w:t>Pembrolizumab</w:t>
            </w:r>
          </w:p>
        </w:tc>
        <w:tc>
          <w:tcPr>
            <w:tcW w:w="690" w:type="pct"/>
            <w:shd w:val="clear" w:color="auto" w:fill="auto"/>
            <w:vAlign w:val="center"/>
          </w:tcPr>
          <w:p w:rsidR="00932972" w:rsidRPr="00BC1163" w:rsidRDefault="00932972" w:rsidP="0073713D">
            <w:pPr>
              <w:pStyle w:val="TableText0"/>
              <w:jc w:val="center"/>
              <w:rPr>
                <w:b/>
                <w:lang w:eastAsia="en-AU"/>
              </w:rPr>
            </w:pPr>
            <w:r w:rsidRPr="00BC1163">
              <w:rPr>
                <w:b/>
                <w:lang w:eastAsia="en-AU"/>
              </w:rPr>
              <w:t>Platinum-based chemotherapy</w:t>
            </w:r>
          </w:p>
        </w:tc>
        <w:tc>
          <w:tcPr>
            <w:tcW w:w="1455" w:type="pct"/>
            <w:gridSpan w:val="2"/>
            <w:shd w:val="clear" w:color="auto" w:fill="auto"/>
            <w:vAlign w:val="center"/>
          </w:tcPr>
          <w:p w:rsidR="00932972" w:rsidRPr="00BC1163" w:rsidRDefault="00932972" w:rsidP="0073713D">
            <w:pPr>
              <w:pStyle w:val="TableText0"/>
              <w:jc w:val="center"/>
              <w:rPr>
                <w:b/>
                <w:lang w:eastAsia="en-AU"/>
              </w:rPr>
            </w:pPr>
            <w:r w:rsidRPr="00BC1163">
              <w:rPr>
                <w:b/>
                <w:lang w:eastAsia="en-AU"/>
              </w:rPr>
              <w:t>Absolute difference</w:t>
            </w:r>
          </w:p>
        </w:tc>
        <w:tc>
          <w:tcPr>
            <w:tcW w:w="916" w:type="pct"/>
            <w:shd w:val="clear" w:color="auto" w:fill="auto"/>
            <w:vAlign w:val="center"/>
          </w:tcPr>
          <w:p w:rsidR="00932972" w:rsidRPr="00BC1163" w:rsidRDefault="00932972" w:rsidP="0073713D">
            <w:pPr>
              <w:pStyle w:val="TableText0"/>
              <w:jc w:val="center"/>
              <w:rPr>
                <w:b/>
                <w:lang w:eastAsia="en-AU"/>
              </w:rPr>
            </w:pPr>
            <w:r w:rsidRPr="00BC1163">
              <w:rPr>
                <w:b/>
                <w:lang w:eastAsia="en-AU"/>
              </w:rPr>
              <w:t>HR (95% CI)</w:t>
            </w:r>
          </w:p>
        </w:tc>
      </w:tr>
      <w:tr w:rsidR="00932972" w:rsidRPr="008241D4" w:rsidTr="0073713D">
        <w:trPr>
          <w:trHeight w:val="20"/>
        </w:trPr>
        <w:tc>
          <w:tcPr>
            <w:tcW w:w="5000" w:type="pct"/>
            <w:gridSpan w:val="6"/>
            <w:shd w:val="clear" w:color="auto" w:fill="D9D9D9" w:themeFill="background1" w:themeFillShade="D9"/>
            <w:vAlign w:val="center"/>
          </w:tcPr>
          <w:p w:rsidR="00932972" w:rsidRPr="008241D4" w:rsidRDefault="00932972" w:rsidP="00932972">
            <w:pPr>
              <w:pStyle w:val="TableText0"/>
              <w:rPr>
                <w:b/>
                <w:highlight w:val="yellow"/>
                <w:lang w:eastAsia="en-AU"/>
              </w:rPr>
            </w:pPr>
            <w:r w:rsidRPr="00BC1163">
              <w:rPr>
                <w:b/>
                <w:lang w:eastAsia="en-AU"/>
              </w:rPr>
              <w:t xml:space="preserve">Benefits </w:t>
            </w:r>
          </w:p>
        </w:tc>
      </w:tr>
      <w:tr w:rsidR="00C0365F" w:rsidRPr="008241D4" w:rsidTr="0073713D">
        <w:trPr>
          <w:trHeight w:val="20"/>
        </w:trPr>
        <w:tc>
          <w:tcPr>
            <w:tcW w:w="1188" w:type="pct"/>
            <w:shd w:val="clear" w:color="auto" w:fill="auto"/>
            <w:vAlign w:val="center"/>
          </w:tcPr>
          <w:p w:rsidR="00C0365F" w:rsidRDefault="00932972" w:rsidP="00932972">
            <w:pPr>
              <w:pStyle w:val="TableText0"/>
              <w:rPr>
                <w:lang w:eastAsia="en-AU"/>
              </w:rPr>
            </w:pPr>
            <w:r w:rsidRPr="00BC1163">
              <w:rPr>
                <w:lang w:eastAsia="en-AU"/>
              </w:rPr>
              <w:t xml:space="preserve">Median PFS, </w:t>
            </w:r>
          </w:p>
          <w:p w:rsidR="00932972" w:rsidRPr="00BC1163" w:rsidRDefault="00932972" w:rsidP="00932972">
            <w:pPr>
              <w:pStyle w:val="TableText0"/>
              <w:rPr>
                <w:lang w:eastAsia="en-AU"/>
              </w:rPr>
            </w:pPr>
            <w:r w:rsidRPr="00BC1163">
              <w:rPr>
                <w:lang w:eastAsia="en-AU"/>
              </w:rPr>
              <w:t>months (95% CI)</w:t>
            </w:r>
          </w:p>
        </w:tc>
        <w:tc>
          <w:tcPr>
            <w:tcW w:w="751" w:type="pct"/>
            <w:shd w:val="clear" w:color="auto" w:fill="auto"/>
            <w:vAlign w:val="center"/>
          </w:tcPr>
          <w:p w:rsidR="00932972" w:rsidRPr="00BC1163" w:rsidRDefault="00932972" w:rsidP="00932972">
            <w:pPr>
              <w:pStyle w:val="TableText0"/>
              <w:jc w:val="center"/>
              <w:rPr>
                <w:lang w:eastAsia="en-AU"/>
              </w:rPr>
            </w:pPr>
            <w:r w:rsidRPr="00BC1163">
              <w:rPr>
                <w:lang w:eastAsia="en-AU"/>
              </w:rPr>
              <w:t>N=154</w:t>
            </w:r>
          </w:p>
          <w:p w:rsidR="00932972" w:rsidRPr="00BC1163" w:rsidRDefault="00932972" w:rsidP="00932972">
            <w:pPr>
              <w:pStyle w:val="TableText0"/>
              <w:jc w:val="center"/>
              <w:rPr>
                <w:lang w:eastAsia="en-AU"/>
              </w:rPr>
            </w:pPr>
            <w:r w:rsidRPr="00BC1163">
              <w:rPr>
                <w:lang w:eastAsia="en-AU"/>
              </w:rPr>
              <w:t>10.3 (6.7, -.)</w:t>
            </w:r>
          </w:p>
        </w:tc>
        <w:tc>
          <w:tcPr>
            <w:tcW w:w="690" w:type="pct"/>
            <w:shd w:val="clear" w:color="auto" w:fill="auto"/>
            <w:vAlign w:val="center"/>
          </w:tcPr>
          <w:p w:rsidR="00932972" w:rsidRPr="00691BB9" w:rsidRDefault="00932972" w:rsidP="00932972">
            <w:pPr>
              <w:pStyle w:val="TableText0"/>
              <w:jc w:val="center"/>
              <w:rPr>
                <w:lang w:eastAsia="en-AU"/>
              </w:rPr>
            </w:pPr>
            <w:r w:rsidRPr="00691BB9">
              <w:rPr>
                <w:lang w:eastAsia="en-AU"/>
              </w:rPr>
              <w:t>N=151</w:t>
            </w:r>
          </w:p>
          <w:p w:rsidR="00932972" w:rsidRPr="00691BB9" w:rsidRDefault="00932972" w:rsidP="00932972">
            <w:pPr>
              <w:pStyle w:val="TableText0"/>
              <w:jc w:val="center"/>
              <w:rPr>
                <w:lang w:eastAsia="en-AU"/>
              </w:rPr>
            </w:pPr>
            <w:r w:rsidRPr="00691BB9">
              <w:t>6.0 (4.2, 6.2)</w:t>
            </w:r>
          </w:p>
        </w:tc>
        <w:tc>
          <w:tcPr>
            <w:tcW w:w="1455" w:type="pct"/>
            <w:gridSpan w:val="2"/>
            <w:shd w:val="clear" w:color="auto" w:fill="auto"/>
            <w:vAlign w:val="center"/>
          </w:tcPr>
          <w:p w:rsidR="00932972" w:rsidRPr="00691BB9" w:rsidRDefault="00932972" w:rsidP="00932972">
            <w:pPr>
              <w:pStyle w:val="TableText0"/>
              <w:jc w:val="center"/>
              <w:rPr>
                <w:lang w:eastAsia="en-AU"/>
              </w:rPr>
            </w:pPr>
            <w:r w:rsidRPr="00691BB9">
              <w:rPr>
                <w:lang w:eastAsia="en-AU"/>
              </w:rPr>
              <w:t>4.3</w:t>
            </w:r>
          </w:p>
        </w:tc>
        <w:tc>
          <w:tcPr>
            <w:tcW w:w="916" w:type="pct"/>
            <w:shd w:val="clear" w:color="auto" w:fill="auto"/>
            <w:vAlign w:val="center"/>
          </w:tcPr>
          <w:p w:rsidR="00932972" w:rsidRPr="00691BB9" w:rsidRDefault="00932972" w:rsidP="00932972">
            <w:pPr>
              <w:pStyle w:val="TableText0"/>
              <w:jc w:val="center"/>
              <w:rPr>
                <w:lang w:eastAsia="en-AU"/>
              </w:rPr>
            </w:pPr>
            <w:r w:rsidRPr="00691BB9">
              <w:rPr>
                <w:lang w:eastAsia="en-AU"/>
              </w:rPr>
              <w:t xml:space="preserve">0.50 </w:t>
            </w:r>
          </w:p>
          <w:p w:rsidR="00932972" w:rsidRPr="00691BB9" w:rsidRDefault="00932972" w:rsidP="00DF0773">
            <w:pPr>
              <w:pStyle w:val="TableText0"/>
              <w:jc w:val="center"/>
              <w:rPr>
                <w:lang w:eastAsia="en-AU"/>
              </w:rPr>
            </w:pPr>
            <w:r w:rsidRPr="00691BB9">
              <w:rPr>
                <w:lang w:eastAsia="en-AU"/>
              </w:rPr>
              <w:t>(0.</w:t>
            </w:r>
            <w:r>
              <w:rPr>
                <w:lang w:eastAsia="en-AU"/>
              </w:rPr>
              <w:t>37</w:t>
            </w:r>
            <w:r w:rsidRPr="00691BB9">
              <w:rPr>
                <w:lang w:eastAsia="en-AU"/>
              </w:rPr>
              <w:t xml:space="preserve">, </w:t>
            </w:r>
            <w:r>
              <w:rPr>
                <w:lang w:eastAsia="en-AU"/>
              </w:rPr>
              <w:t>0.68</w:t>
            </w:r>
            <w:r w:rsidRPr="00691BB9">
              <w:rPr>
                <w:lang w:eastAsia="en-AU"/>
              </w:rPr>
              <w:t>)</w:t>
            </w:r>
          </w:p>
        </w:tc>
      </w:tr>
      <w:tr w:rsidR="00C0365F" w:rsidRPr="008241D4" w:rsidTr="0073713D">
        <w:trPr>
          <w:trHeight w:val="20"/>
        </w:trPr>
        <w:tc>
          <w:tcPr>
            <w:tcW w:w="1188" w:type="pct"/>
            <w:shd w:val="clear" w:color="auto" w:fill="auto"/>
            <w:vAlign w:val="center"/>
          </w:tcPr>
          <w:p w:rsidR="00C0365F" w:rsidRDefault="00932972" w:rsidP="00932972">
            <w:pPr>
              <w:pStyle w:val="TableText0"/>
              <w:rPr>
                <w:lang w:eastAsia="en-AU"/>
              </w:rPr>
            </w:pPr>
            <w:r w:rsidRPr="00691BB9">
              <w:rPr>
                <w:lang w:eastAsia="en-AU"/>
              </w:rPr>
              <w:t xml:space="preserve">Median OS, </w:t>
            </w:r>
          </w:p>
          <w:p w:rsidR="00932972" w:rsidRPr="00691BB9" w:rsidRDefault="00932972" w:rsidP="00932972">
            <w:pPr>
              <w:pStyle w:val="TableText0"/>
              <w:rPr>
                <w:highlight w:val="yellow"/>
                <w:vertAlign w:val="superscript"/>
                <w:lang w:eastAsia="en-AU"/>
              </w:rPr>
            </w:pPr>
            <w:r w:rsidRPr="00691BB9">
              <w:rPr>
                <w:lang w:eastAsia="en-AU"/>
              </w:rPr>
              <w:t>months (95% CI)</w:t>
            </w:r>
            <w:r>
              <w:rPr>
                <w:vertAlign w:val="superscript"/>
                <w:lang w:eastAsia="en-AU"/>
              </w:rPr>
              <w:t>a</w:t>
            </w:r>
          </w:p>
        </w:tc>
        <w:tc>
          <w:tcPr>
            <w:tcW w:w="751" w:type="pct"/>
            <w:shd w:val="clear" w:color="auto" w:fill="auto"/>
            <w:vAlign w:val="center"/>
          </w:tcPr>
          <w:p w:rsidR="00932972" w:rsidRPr="00BC1163" w:rsidRDefault="00932972" w:rsidP="00932972">
            <w:pPr>
              <w:pStyle w:val="TableText0"/>
              <w:jc w:val="center"/>
              <w:rPr>
                <w:lang w:eastAsia="en-AU"/>
              </w:rPr>
            </w:pPr>
            <w:r w:rsidRPr="00BC1163">
              <w:rPr>
                <w:lang w:eastAsia="en-AU"/>
              </w:rPr>
              <w:t>N=154</w:t>
            </w:r>
          </w:p>
          <w:p w:rsidR="00932972" w:rsidRPr="008241D4" w:rsidRDefault="00932972" w:rsidP="00932972">
            <w:pPr>
              <w:pStyle w:val="TableText0"/>
              <w:jc w:val="center"/>
              <w:rPr>
                <w:highlight w:val="yellow"/>
                <w:lang w:eastAsia="en-AU"/>
              </w:rPr>
            </w:pPr>
            <w:r w:rsidRPr="0003063E">
              <w:t>− (−, −)</w:t>
            </w:r>
          </w:p>
        </w:tc>
        <w:tc>
          <w:tcPr>
            <w:tcW w:w="690" w:type="pct"/>
            <w:shd w:val="clear" w:color="auto" w:fill="auto"/>
            <w:vAlign w:val="center"/>
          </w:tcPr>
          <w:p w:rsidR="00932972" w:rsidRPr="00691BB9" w:rsidRDefault="00932972" w:rsidP="00932972">
            <w:pPr>
              <w:pStyle w:val="TableText0"/>
              <w:jc w:val="center"/>
              <w:rPr>
                <w:lang w:eastAsia="en-AU"/>
              </w:rPr>
            </w:pPr>
            <w:r w:rsidRPr="00691BB9">
              <w:rPr>
                <w:lang w:eastAsia="en-AU"/>
              </w:rPr>
              <w:t>N=151</w:t>
            </w:r>
          </w:p>
          <w:p w:rsidR="00932972" w:rsidRPr="008241D4" w:rsidRDefault="00932972" w:rsidP="00932972">
            <w:pPr>
              <w:pStyle w:val="TableText0"/>
              <w:jc w:val="center"/>
              <w:rPr>
                <w:highlight w:val="yellow"/>
                <w:lang w:eastAsia="en-AU"/>
              </w:rPr>
            </w:pPr>
            <w:r w:rsidRPr="0003063E">
              <w:t>− (9.4, −)</w:t>
            </w:r>
          </w:p>
        </w:tc>
        <w:tc>
          <w:tcPr>
            <w:tcW w:w="1455" w:type="pct"/>
            <w:gridSpan w:val="2"/>
            <w:shd w:val="clear" w:color="auto" w:fill="auto"/>
            <w:vAlign w:val="center"/>
          </w:tcPr>
          <w:p w:rsidR="00932972" w:rsidRPr="00691BB9" w:rsidRDefault="00932972" w:rsidP="00932972">
            <w:pPr>
              <w:pStyle w:val="TableText0"/>
              <w:jc w:val="center"/>
              <w:rPr>
                <w:lang w:eastAsia="en-AU"/>
              </w:rPr>
            </w:pPr>
            <w:r w:rsidRPr="00691BB9">
              <w:rPr>
                <w:lang w:eastAsia="en-AU"/>
              </w:rPr>
              <w:t>-</w:t>
            </w:r>
          </w:p>
        </w:tc>
        <w:tc>
          <w:tcPr>
            <w:tcW w:w="916" w:type="pct"/>
            <w:shd w:val="clear" w:color="auto" w:fill="auto"/>
            <w:vAlign w:val="center"/>
          </w:tcPr>
          <w:p w:rsidR="00932972" w:rsidRPr="00691BB9" w:rsidRDefault="00932972" w:rsidP="00932972">
            <w:pPr>
              <w:pStyle w:val="TableText0"/>
              <w:jc w:val="center"/>
              <w:rPr>
                <w:lang w:eastAsia="en-AU"/>
              </w:rPr>
            </w:pPr>
            <w:r w:rsidRPr="00691BB9">
              <w:rPr>
                <w:lang w:eastAsia="en-AU"/>
              </w:rPr>
              <w:t>0.60</w:t>
            </w:r>
          </w:p>
          <w:p w:rsidR="00932972" w:rsidRPr="00691BB9" w:rsidRDefault="00932972" w:rsidP="00932972">
            <w:pPr>
              <w:pStyle w:val="TableText0"/>
              <w:jc w:val="center"/>
              <w:rPr>
                <w:lang w:eastAsia="en-AU"/>
              </w:rPr>
            </w:pPr>
            <w:r w:rsidRPr="00691BB9">
              <w:rPr>
                <w:lang w:eastAsia="en-AU"/>
              </w:rPr>
              <w:t>(0.41, 0.89)</w:t>
            </w:r>
          </w:p>
        </w:tc>
      </w:tr>
      <w:tr w:rsidR="00932972" w:rsidRPr="008241D4" w:rsidTr="0073713D">
        <w:trPr>
          <w:trHeight w:val="20"/>
        </w:trPr>
        <w:tc>
          <w:tcPr>
            <w:tcW w:w="5000" w:type="pct"/>
            <w:gridSpan w:val="6"/>
            <w:tcBorders>
              <w:top w:val="double" w:sz="4" w:space="0" w:color="auto"/>
            </w:tcBorders>
            <w:shd w:val="clear" w:color="auto" w:fill="D9D9D9" w:themeFill="background1" w:themeFillShade="D9"/>
            <w:vAlign w:val="center"/>
          </w:tcPr>
          <w:p w:rsidR="00932972" w:rsidRPr="008241D4" w:rsidRDefault="00932972" w:rsidP="00932972">
            <w:pPr>
              <w:pStyle w:val="TableText0"/>
              <w:rPr>
                <w:b/>
                <w:highlight w:val="yellow"/>
                <w:lang w:eastAsia="en-AU"/>
              </w:rPr>
            </w:pPr>
            <w:r w:rsidRPr="00762921">
              <w:rPr>
                <w:b/>
                <w:lang w:eastAsia="en-AU"/>
              </w:rPr>
              <w:t>Harms</w:t>
            </w:r>
          </w:p>
        </w:tc>
      </w:tr>
      <w:tr w:rsidR="00C0365F" w:rsidRPr="008241D4" w:rsidTr="0073713D">
        <w:trPr>
          <w:trHeight w:val="20"/>
        </w:trPr>
        <w:tc>
          <w:tcPr>
            <w:tcW w:w="1188" w:type="pct"/>
            <w:vMerge w:val="restart"/>
            <w:shd w:val="clear" w:color="auto" w:fill="auto"/>
            <w:vAlign w:val="center"/>
          </w:tcPr>
          <w:p w:rsidR="00932972" w:rsidRPr="008241D4" w:rsidRDefault="00932972" w:rsidP="00932972">
            <w:pPr>
              <w:pStyle w:val="TableText0"/>
              <w:rPr>
                <w:b/>
                <w:highlight w:val="yellow"/>
                <w:lang w:eastAsia="en-AU"/>
              </w:rPr>
            </w:pPr>
          </w:p>
        </w:tc>
        <w:tc>
          <w:tcPr>
            <w:tcW w:w="751" w:type="pct"/>
            <w:vMerge w:val="restart"/>
            <w:shd w:val="clear" w:color="auto" w:fill="auto"/>
            <w:vAlign w:val="center"/>
          </w:tcPr>
          <w:p w:rsidR="00932972" w:rsidRPr="008241D4" w:rsidRDefault="00932972" w:rsidP="00932972">
            <w:pPr>
              <w:pStyle w:val="TableText0"/>
              <w:rPr>
                <w:b/>
                <w:highlight w:val="yellow"/>
                <w:lang w:eastAsia="en-AU"/>
              </w:rPr>
            </w:pPr>
            <w:r w:rsidRPr="00BC1163">
              <w:rPr>
                <w:b/>
                <w:lang w:eastAsia="en-AU"/>
              </w:rPr>
              <w:t>Pembrolizumab</w:t>
            </w:r>
          </w:p>
        </w:tc>
        <w:tc>
          <w:tcPr>
            <w:tcW w:w="690" w:type="pct"/>
            <w:vMerge w:val="restart"/>
            <w:shd w:val="clear" w:color="auto" w:fill="auto"/>
            <w:vAlign w:val="center"/>
          </w:tcPr>
          <w:p w:rsidR="00932972" w:rsidRPr="008241D4" w:rsidRDefault="00932972" w:rsidP="0073713D">
            <w:pPr>
              <w:pStyle w:val="TableText0"/>
              <w:jc w:val="center"/>
              <w:rPr>
                <w:b/>
                <w:highlight w:val="yellow"/>
                <w:lang w:eastAsia="en-AU"/>
              </w:rPr>
            </w:pPr>
            <w:r w:rsidRPr="00BC1163">
              <w:rPr>
                <w:b/>
                <w:lang w:eastAsia="en-AU"/>
              </w:rPr>
              <w:t>Platinum-based chemotherapy</w:t>
            </w:r>
          </w:p>
        </w:tc>
        <w:tc>
          <w:tcPr>
            <w:tcW w:w="1455" w:type="pct"/>
            <w:gridSpan w:val="2"/>
            <w:shd w:val="clear" w:color="auto" w:fill="auto"/>
            <w:vAlign w:val="center"/>
          </w:tcPr>
          <w:p w:rsidR="00932972" w:rsidRPr="00762921" w:rsidRDefault="00932972" w:rsidP="0073713D">
            <w:pPr>
              <w:pStyle w:val="TableText0"/>
              <w:jc w:val="center"/>
              <w:rPr>
                <w:b/>
                <w:lang w:eastAsia="en-AU"/>
              </w:rPr>
            </w:pPr>
            <w:r w:rsidRPr="00762921">
              <w:rPr>
                <w:b/>
                <w:lang w:eastAsia="en-AU"/>
              </w:rPr>
              <w:t>Event rate/100 patients</w:t>
            </w:r>
          </w:p>
        </w:tc>
        <w:tc>
          <w:tcPr>
            <w:tcW w:w="916" w:type="pct"/>
            <w:vMerge w:val="restart"/>
            <w:shd w:val="clear" w:color="auto" w:fill="auto"/>
            <w:vAlign w:val="center"/>
          </w:tcPr>
          <w:p w:rsidR="00932972" w:rsidRPr="00762921" w:rsidRDefault="00932972" w:rsidP="00932972">
            <w:pPr>
              <w:pStyle w:val="TableText0"/>
              <w:jc w:val="center"/>
              <w:rPr>
                <w:b/>
                <w:lang w:eastAsia="en-AU"/>
              </w:rPr>
            </w:pPr>
            <w:r w:rsidRPr="00762921">
              <w:rPr>
                <w:b/>
                <w:lang w:eastAsia="en-AU"/>
              </w:rPr>
              <w:t>RD</w:t>
            </w:r>
          </w:p>
          <w:p w:rsidR="00932972" w:rsidRPr="008241D4" w:rsidRDefault="00932972" w:rsidP="00932972">
            <w:pPr>
              <w:pStyle w:val="TableText0"/>
              <w:jc w:val="center"/>
              <w:rPr>
                <w:b/>
                <w:highlight w:val="yellow"/>
                <w:lang w:eastAsia="en-AU"/>
              </w:rPr>
            </w:pPr>
            <w:r w:rsidRPr="00762921">
              <w:rPr>
                <w:b/>
                <w:lang w:eastAsia="en-AU"/>
              </w:rPr>
              <w:t>(95% CI)</w:t>
            </w:r>
          </w:p>
        </w:tc>
      </w:tr>
      <w:tr w:rsidR="00C0365F" w:rsidRPr="008241D4" w:rsidTr="0073713D">
        <w:trPr>
          <w:trHeight w:val="20"/>
        </w:trPr>
        <w:tc>
          <w:tcPr>
            <w:tcW w:w="1188" w:type="pct"/>
            <w:vMerge/>
            <w:shd w:val="clear" w:color="auto" w:fill="auto"/>
            <w:vAlign w:val="center"/>
          </w:tcPr>
          <w:p w:rsidR="00932972" w:rsidRPr="008241D4" w:rsidRDefault="00932972" w:rsidP="00932972">
            <w:pPr>
              <w:pStyle w:val="TableText0"/>
              <w:rPr>
                <w:highlight w:val="yellow"/>
                <w:lang w:eastAsia="en-AU"/>
              </w:rPr>
            </w:pPr>
          </w:p>
        </w:tc>
        <w:tc>
          <w:tcPr>
            <w:tcW w:w="751" w:type="pct"/>
            <w:vMerge/>
            <w:shd w:val="clear" w:color="auto" w:fill="auto"/>
            <w:vAlign w:val="center"/>
          </w:tcPr>
          <w:p w:rsidR="00932972" w:rsidRPr="008241D4" w:rsidRDefault="00932972" w:rsidP="00932972">
            <w:pPr>
              <w:pStyle w:val="TableText0"/>
              <w:rPr>
                <w:highlight w:val="yellow"/>
                <w:lang w:eastAsia="en-AU"/>
              </w:rPr>
            </w:pPr>
          </w:p>
        </w:tc>
        <w:tc>
          <w:tcPr>
            <w:tcW w:w="690" w:type="pct"/>
            <w:vMerge/>
            <w:shd w:val="clear" w:color="auto" w:fill="auto"/>
            <w:vAlign w:val="center"/>
          </w:tcPr>
          <w:p w:rsidR="00932972" w:rsidRPr="008241D4" w:rsidRDefault="00932972" w:rsidP="00932972">
            <w:pPr>
              <w:pStyle w:val="TableText0"/>
              <w:rPr>
                <w:highlight w:val="yellow"/>
                <w:lang w:eastAsia="en-AU"/>
              </w:rPr>
            </w:pPr>
          </w:p>
        </w:tc>
        <w:tc>
          <w:tcPr>
            <w:tcW w:w="749" w:type="pct"/>
            <w:shd w:val="clear" w:color="auto" w:fill="auto"/>
            <w:vAlign w:val="center"/>
          </w:tcPr>
          <w:p w:rsidR="00932972" w:rsidRPr="00762921" w:rsidRDefault="00932972" w:rsidP="00932972">
            <w:pPr>
              <w:pStyle w:val="TableText0"/>
              <w:jc w:val="center"/>
              <w:rPr>
                <w:b/>
                <w:lang w:eastAsia="en-AU"/>
              </w:rPr>
            </w:pPr>
            <w:r w:rsidRPr="00762921">
              <w:rPr>
                <w:b/>
                <w:lang w:eastAsia="en-AU"/>
              </w:rPr>
              <w:t>Pembrolizumab</w:t>
            </w:r>
          </w:p>
        </w:tc>
        <w:tc>
          <w:tcPr>
            <w:tcW w:w="706" w:type="pct"/>
            <w:shd w:val="clear" w:color="auto" w:fill="auto"/>
            <w:vAlign w:val="center"/>
          </w:tcPr>
          <w:p w:rsidR="00932972" w:rsidRPr="00762921" w:rsidRDefault="00932972" w:rsidP="00932972">
            <w:pPr>
              <w:pStyle w:val="TableText0"/>
              <w:jc w:val="center"/>
              <w:rPr>
                <w:b/>
                <w:lang w:eastAsia="en-AU"/>
              </w:rPr>
            </w:pPr>
            <w:r>
              <w:rPr>
                <w:b/>
                <w:lang w:eastAsia="en-AU"/>
              </w:rPr>
              <w:t>C</w:t>
            </w:r>
            <w:r w:rsidRPr="00762921">
              <w:rPr>
                <w:b/>
                <w:lang w:eastAsia="en-AU"/>
              </w:rPr>
              <w:t>hemotherapy</w:t>
            </w:r>
          </w:p>
        </w:tc>
        <w:tc>
          <w:tcPr>
            <w:tcW w:w="916" w:type="pct"/>
            <w:vMerge/>
            <w:shd w:val="clear" w:color="auto" w:fill="auto"/>
            <w:vAlign w:val="center"/>
          </w:tcPr>
          <w:p w:rsidR="00932972" w:rsidRPr="008241D4" w:rsidRDefault="00932972" w:rsidP="00932972">
            <w:pPr>
              <w:pStyle w:val="TableText0"/>
              <w:rPr>
                <w:highlight w:val="yellow"/>
                <w:lang w:eastAsia="en-AU"/>
              </w:rPr>
            </w:pPr>
          </w:p>
        </w:tc>
      </w:tr>
      <w:tr w:rsidR="00C0365F" w:rsidRPr="008241D4" w:rsidTr="0073713D">
        <w:trPr>
          <w:trHeight w:val="20"/>
        </w:trPr>
        <w:tc>
          <w:tcPr>
            <w:tcW w:w="1188" w:type="pct"/>
            <w:shd w:val="clear" w:color="auto" w:fill="auto"/>
            <w:vAlign w:val="center"/>
          </w:tcPr>
          <w:p w:rsidR="00932972" w:rsidRPr="000D7C75" w:rsidRDefault="00932972" w:rsidP="00932972">
            <w:pPr>
              <w:pStyle w:val="TableText0"/>
              <w:rPr>
                <w:u w:val="single"/>
                <w:lang w:eastAsia="en-AU"/>
              </w:rPr>
            </w:pPr>
            <w:r w:rsidRPr="000D7C75">
              <w:rPr>
                <w:u w:val="single"/>
                <w:lang w:eastAsia="en-AU"/>
              </w:rPr>
              <w:t>Treatment related</w:t>
            </w:r>
            <w:r w:rsidRPr="000D7C75">
              <w:rPr>
                <w:u w:val="single"/>
                <w:vertAlign w:val="superscript"/>
                <w:lang w:eastAsia="en-AU"/>
              </w:rPr>
              <w:t>b</w:t>
            </w:r>
            <w:r w:rsidRPr="000D7C75">
              <w:rPr>
                <w:u w:val="single"/>
                <w:lang w:eastAsia="en-AU"/>
              </w:rPr>
              <w:t xml:space="preserve"> AEs</w:t>
            </w:r>
          </w:p>
          <w:p w:rsidR="00932972" w:rsidRPr="000D7C75" w:rsidRDefault="00932972" w:rsidP="00217726">
            <w:pPr>
              <w:pStyle w:val="TableText0"/>
              <w:numPr>
                <w:ilvl w:val="0"/>
                <w:numId w:val="25"/>
              </w:numPr>
              <w:ind w:left="251" w:hanging="186"/>
              <w:rPr>
                <w:lang w:eastAsia="en-AU"/>
              </w:rPr>
            </w:pPr>
            <w:r w:rsidRPr="000D7C75">
              <w:rPr>
                <w:lang w:eastAsia="en-AU"/>
              </w:rPr>
              <w:t>Any Grade</w:t>
            </w:r>
          </w:p>
          <w:p w:rsidR="00932972" w:rsidRPr="000D7C75" w:rsidRDefault="00932972" w:rsidP="00217726">
            <w:pPr>
              <w:pStyle w:val="TableText0"/>
              <w:numPr>
                <w:ilvl w:val="0"/>
                <w:numId w:val="25"/>
              </w:numPr>
              <w:ind w:left="251" w:hanging="186"/>
              <w:rPr>
                <w:lang w:eastAsia="en-AU"/>
              </w:rPr>
            </w:pPr>
            <w:r w:rsidRPr="000D7C75">
              <w:rPr>
                <w:lang w:eastAsia="en-AU"/>
              </w:rPr>
              <w:t>Grade 3, 4 or 5</w:t>
            </w:r>
          </w:p>
        </w:tc>
        <w:tc>
          <w:tcPr>
            <w:tcW w:w="751" w:type="pct"/>
            <w:shd w:val="clear" w:color="auto" w:fill="auto"/>
            <w:vAlign w:val="center"/>
          </w:tcPr>
          <w:p w:rsidR="00932972" w:rsidRPr="000D7C75" w:rsidRDefault="00932972" w:rsidP="00932972">
            <w:pPr>
              <w:pStyle w:val="TableText0"/>
              <w:jc w:val="center"/>
              <w:rPr>
                <w:lang w:eastAsia="en-AU"/>
              </w:rPr>
            </w:pPr>
          </w:p>
          <w:p w:rsidR="00932972" w:rsidRPr="000D7C75" w:rsidRDefault="00932972" w:rsidP="00932972">
            <w:pPr>
              <w:pStyle w:val="TableText0"/>
              <w:jc w:val="center"/>
              <w:rPr>
                <w:lang w:eastAsia="en-AU"/>
              </w:rPr>
            </w:pPr>
            <w:r w:rsidRPr="000D7C75">
              <w:rPr>
                <w:lang w:eastAsia="en-AU"/>
              </w:rPr>
              <w:t>113/154</w:t>
            </w:r>
          </w:p>
          <w:p w:rsidR="00932972" w:rsidRPr="000D7C75" w:rsidRDefault="00932972" w:rsidP="00932972">
            <w:pPr>
              <w:pStyle w:val="TableText0"/>
              <w:jc w:val="center"/>
              <w:rPr>
                <w:lang w:eastAsia="en-AU"/>
              </w:rPr>
            </w:pPr>
            <w:r w:rsidRPr="000D7C75">
              <w:rPr>
                <w:lang w:eastAsia="en-AU"/>
              </w:rPr>
              <w:t>41/154</w:t>
            </w:r>
          </w:p>
        </w:tc>
        <w:tc>
          <w:tcPr>
            <w:tcW w:w="690" w:type="pct"/>
            <w:shd w:val="clear" w:color="auto" w:fill="auto"/>
            <w:vAlign w:val="center"/>
          </w:tcPr>
          <w:p w:rsidR="00932972" w:rsidRPr="000D7C75" w:rsidRDefault="00932972" w:rsidP="00932972">
            <w:pPr>
              <w:pStyle w:val="TableText0"/>
              <w:jc w:val="center"/>
              <w:rPr>
                <w:lang w:eastAsia="en-AU"/>
              </w:rPr>
            </w:pPr>
          </w:p>
          <w:p w:rsidR="00932972" w:rsidRPr="000D7C75" w:rsidRDefault="00932972" w:rsidP="00932972">
            <w:pPr>
              <w:pStyle w:val="TableText0"/>
              <w:jc w:val="center"/>
              <w:rPr>
                <w:lang w:eastAsia="en-AU"/>
              </w:rPr>
            </w:pPr>
            <w:r w:rsidRPr="000D7C75">
              <w:rPr>
                <w:lang w:eastAsia="en-AU"/>
              </w:rPr>
              <w:t>135/150</w:t>
            </w:r>
          </w:p>
          <w:p w:rsidR="00932972" w:rsidRPr="000D7C75" w:rsidRDefault="00932972" w:rsidP="00932972">
            <w:pPr>
              <w:pStyle w:val="TableText0"/>
              <w:jc w:val="center"/>
              <w:rPr>
                <w:lang w:eastAsia="en-AU"/>
              </w:rPr>
            </w:pPr>
            <w:r w:rsidRPr="000D7C75">
              <w:rPr>
                <w:lang w:eastAsia="en-AU"/>
              </w:rPr>
              <w:t>80/150</w:t>
            </w:r>
          </w:p>
        </w:tc>
        <w:tc>
          <w:tcPr>
            <w:tcW w:w="749" w:type="pct"/>
            <w:shd w:val="clear" w:color="auto" w:fill="auto"/>
            <w:vAlign w:val="center"/>
          </w:tcPr>
          <w:p w:rsidR="00932972" w:rsidRPr="000D7C75" w:rsidRDefault="00932972" w:rsidP="00932972">
            <w:pPr>
              <w:pStyle w:val="TableText0"/>
              <w:jc w:val="center"/>
              <w:rPr>
                <w:lang w:eastAsia="en-AU"/>
              </w:rPr>
            </w:pPr>
          </w:p>
          <w:p w:rsidR="00932972" w:rsidRPr="000D7C75" w:rsidRDefault="00932972" w:rsidP="00932972">
            <w:pPr>
              <w:pStyle w:val="TableText0"/>
              <w:jc w:val="center"/>
              <w:rPr>
                <w:lang w:eastAsia="en-AU"/>
              </w:rPr>
            </w:pPr>
            <w:r w:rsidRPr="000D7C75">
              <w:rPr>
                <w:lang w:eastAsia="en-AU"/>
              </w:rPr>
              <w:t>73.4</w:t>
            </w:r>
          </w:p>
          <w:p w:rsidR="00932972" w:rsidRPr="000D7C75" w:rsidRDefault="00932972" w:rsidP="00932972">
            <w:pPr>
              <w:pStyle w:val="TableText0"/>
              <w:jc w:val="center"/>
              <w:rPr>
                <w:lang w:eastAsia="en-AU"/>
              </w:rPr>
            </w:pPr>
            <w:r w:rsidRPr="000D7C75">
              <w:rPr>
                <w:lang w:eastAsia="en-AU"/>
              </w:rPr>
              <w:t>26.6</w:t>
            </w:r>
          </w:p>
        </w:tc>
        <w:tc>
          <w:tcPr>
            <w:tcW w:w="706" w:type="pct"/>
            <w:shd w:val="clear" w:color="auto" w:fill="auto"/>
            <w:vAlign w:val="center"/>
          </w:tcPr>
          <w:p w:rsidR="00932972" w:rsidRPr="000D7C75" w:rsidRDefault="00932972" w:rsidP="00932972">
            <w:pPr>
              <w:pStyle w:val="TableText0"/>
              <w:jc w:val="center"/>
              <w:rPr>
                <w:lang w:eastAsia="en-AU"/>
              </w:rPr>
            </w:pPr>
          </w:p>
          <w:p w:rsidR="00932972" w:rsidRPr="000D7C75" w:rsidRDefault="00932972" w:rsidP="00932972">
            <w:pPr>
              <w:pStyle w:val="TableText0"/>
              <w:jc w:val="center"/>
              <w:rPr>
                <w:lang w:eastAsia="en-AU"/>
              </w:rPr>
            </w:pPr>
            <w:r w:rsidRPr="000D7C75">
              <w:rPr>
                <w:lang w:eastAsia="en-AU"/>
              </w:rPr>
              <w:t>90.0</w:t>
            </w:r>
          </w:p>
          <w:p w:rsidR="00932972" w:rsidRPr="000D7C75" w:rsidRDefault="00932972" w:rsidP="00932972">
            <w:pPr>
              <w:pStyle w:val="TableText0"/>
              <w:jc w:val="center"/>
              <w:rPr>
                <w:lang w:eastAsia="en-AU"/>
              </w:rPr>
            </w:pPr>
            <w:r w:rsidRPr="000D7C75">
              <w:rPr>
                <w:lang w:eastAsia="en-AU"/>
              </w:rPr>
              <w:t>53.3</w:t>
            </w:r>
          </w:p>
        </w:tc>
        <w:tc>
          <w:tcPr>
            <w:tcW w:w="916" w:type="pct"/>
            <w:shd w:val="clear" w:color="auto" w:fill="auto"/>
            <w:vAlign w:val="center"/>
          </w:tcPr>
          <w:p w:rsidR="00932972" w:rsidRPr="000D7C75" w:rsidRDefault="00932972" w:rsidP="00932972">
            <w:pPr>
              <w:pStyle w:val="TableText0"/>
              <w:jc w:val="center"/>
              <w:rPr>
                <w:lang w:eastAsia="en-AU"/>
              </w:rPr>
            </w:pPr>
          </w:p>
          <w:p w:rsidR="00932972" w:rsidRPr="000D7C75" w:rsidRDefault="00932972" w:rsidP="00932972">
            <w:pPr>
              <w:pStyle w:val="TableText0"/>
              <w:jc w:val="center"/>
              <w:rPr>
                <w:lang w:eastAsia="en-AU"/>
              </w:rPr>
            </w:pPr>
            <w:r w:rsidRPr="000D7C75">
              <w:rPr>
                <w:lang w:eastAsia="en-AU"/>
              </w:rPr>
              <w:t>-16.6 (-25.1, -8.1)</w:t>
            </w:r>
          </w:p>
          <w:p w:rsidR="00932972" w:rsidRPr="000D7C75" w:rsidRDefault="00932972" w:rsidP="00932972">
            <w:pPr>
              <w:pStyle w:val="TableText0"/>
              <w:jc w:val="center"/>
              <w:rPr>
                <w:lang w:eastAsia="en-AU"/>
              </w:rPr>
            </w:pPr>
            <w:r w:rsidRPr="000D7C75">
              <w:rPr>
                <w:lang w:eastAsia="en-AU"/>
              </w:rPr>
              <w:t>-26.7 (-37.3, -16.1)</w:t>
            </w:r>
          </w:p>
        </w:tc>
      </w:tr>
      <w:tr w:rsidR="00C0365F" w:rsidRPr="008241D4" w:rsidTr="0073713D">
        <w:trPr>
          <w:trHeight w:val="20"/>
        </w:trPr>
        <w:tc>
          <w:tcPr>
            <w:tcW w:w="1188" w:type="pct"/>
            <w:shd w:val="clear" w:color="auto" w:fill="auto"/>
          </w:tcPr>
          <w:p w:rsidR="00932972" w:rsidRPr="000D7C75" w:rsidRDefault="00932972" w:rsidP="00932972">
            <w:pPr>
              <w:pStyle w:val="TableText0"/>
              <w:jc w:val="left"/>
              <w:rPr>
                <w:u w:val="single"/>
                <w:lang w:eastAsia="en-AU"/>
              </w:rPr>
            </w:pPr>
            <w:r w:rsidRPr="000D7C75">
              <w:rPr>
                <w:u w:val="single"/>
                <w:lang w:eastAsia="en-AU"/>
              </w:rPr>
              <w:t>Immune mediated AEs</w:t>
            </w:r>
          </w:p>
          <w:p w:rsidR="00932972" w:rsidRPr="000D7C75" w:rsidRDefault="00932972" w:rsidP="00217726">
            <w:pPr>
              <w:pStyle w:val="TableText0"/>
              <w:numPr>
                <w:ilvl w:val="0"/>
                <w:numId w:val="25"/>
              </w:numPr>
              <w:ind w:left="251" w:hanging="186"/>
              <w:rPr>
                <w:lang w:eastAsia="en-AU"/>
              </w:rPr>
            </w:pPr>
            <w:r w:rsidRPr="000D7C75">
              <w:rPr>
                <w:lang w:eastAsia="en-AU"/>
              </w:rPr>
              <w:t>Any Grade</w:t>
            </w:r>
          </w:p>
          <w:p w:rsidR="00932972" w:rsidRPr="000D7C75" w:rsidRDefault="00932972" w:rsidP="00217726">
            <w:pPr>
              <w:pStyle w:val="TableText0"/>
              <w:numPr>
                <w:ilvl w:val="0"/>
                <w:numId w:val="25"/>
              </w:numPr>
              <w:ind w:left="251" w:hanging="186"/>
              <w:rPr>
                <w:lang w:eastAsia="en-AU"/>
              </w:rPr>
            </w:pPr>
            <w:r w:rsidRPr="000D7C75">
              <w:rPr>
                <w:lang w:eastAsia="en-AU"/>
              </w:rPr>
              <w:t>Grade 3,4 or 5</w:t>
            </w:r>
          </w:p>
          <w:p w:rsidR="00932972" w:rsidRPr="000D7C75" w:rsidRDefault="00932972" w:rsidP="00217726">
            <w:pPr>
              <w:pStyle w:val="TableText0"/>
              <w:numPr>
                <w:ilvl w:val="1"/>
                <w:numId w:val="24"/>
              </w:numPr>
              <w:ind w:left="676" w:hanging="283"/>
              <w:jc w:val="left"/>
              <w:rPr>
                <w:lang w:eastAsia="en-AU"/>
              </w:rPr>
            </w:pPr>
            <w:r w:rsidRPr="000D7C75">
              <w:rPr>
                <w:lang w:eastAsia="en-AU"/>
              </w:rPr>
              <w:t>Pneumonitis</w:t>
            </w:r>
          </w:p>
        </w:tc>
        <w:tc>
          <w:tcPr>
            <w:tcW w:w="751" w:type="pct"/>
            <w:shd w:val="clear" w:color="auto" w:fill="auto"/>
            <w:vAlign w:val="center"/>
          </w:tcPr>
          <w:p w:rsidR="00932972" w:rsidRPr="000D7C75" w:rsidRDefault="00932972" w:rsidP="00932972">
            <w:pPr>
              <w:pStyle w:val="TableText0"/>
              <w:jc w:val="center"/>
              <w:rPr>
                <w:lang w:eastAsia="en-AU"/>
              </w:rPr>
            </w:pPr>
          </w:p>
          <w:p w:rsidR="00932972" w:rsidRPr="000D7C75" w:rsidRDefault="00932972" w:rsidP="00932972">
            <w:pPr>
              <w:pStyle w:val="TableText0"/>
              <w:jc w:val="center"/>
              <w:rPr>
                <w:lang w:eastAsia="en-AU"/>
              </w:rPr>
            </w:pPr>
            <w:r w:rsidRPr="000D7C75">
              <w:rPr>
                <w:lang w:eastAsia="en-AU"/>
              </w:rPr>
              <w:t>45/154</w:t>
            </w:r>
          </w:p>
          <w:p w:rsidR="00932972" w:rsidRPr="000D7C75" w:rsidRDefault="00932972" w:rsidP="00932972">
            <w:pPr>
              <w:pStyle w:val="TableText0"/>
              <w:jc w:val="center"/>
              <w:rPr>
                <w:lang w:eastAsia="en-AU"/>
              </w:rPr>
            </w:pPr>
            <w:r w:rsidRPr="000D7C75">
              <w:rPr>
                <w:lang w:eastAsia="en-AU"/>
              </w:rPr>
              <w:t>15/154</w:t>
            </w:r>
          </w:p>
          <w:p w:rsidR="00932972" w:rsidRPr="000D7C75" w:rsidRDefault="00932972" w:rsidP="00932972">
            <w:pPr>
              <w:pStyle w:val="TableText0"/>
              <w:jc w:val="center"/>
              <w:rPr>
                <w:lang w:eastAsia="en-AU"/>
              </w:rPr>
            </w:pPr>
            <w:r w:rsidRPr="000D7C75">
              <w:rPr>
                <w:lang w:eastAsia="en-AU"/>
              </w:rPr>
              <w:t>4/154</w:t>
            </w:r>
          </w:p>
        </w:tc>
        <w:tc>
          <w:tcPr>
            <w:tcW w:w="690" w:type="pct"/>
            <w:shd w:val="clear" w:color="auto" w:fill="auto"/>
            <w:vAlign w:val="center"/>
          </w:tcPr>
          <w:p w:rsidR="00932972" w:rsidRPr="000D7C75" w:rsidRDefault="00932972" w:rsidP="00932972">
            <w:pPr>
              <w:pStyle w:val="TableText0"/>
              <w:jc w:val="center"/>
              <w:rPr>
                <w:lang w:eastAsia="en-AU"/>
              </w:rPr>
            </w:pPr>
          </w:p>
          <w:p w:rsidR="00932972" w:rsidRPr="000D7C75" w:rsidRDefault="00932972" w:rsidP="00932972">
            <w:pPr>
              <w:pStyle w:val="TableText0"/>
              <w:jc w:val="center"/>
              <w:rPr>
                <w:lang w:eastAsia="en-AU"/>
              </w:rPr>
            </w:pPr>
            <w:r w:rsidRPr="000D7C75">
              <w:rPr>
                <w:lang w:eastAsia="en-AU"/>
              </w:rPr>
              <w:t>7/150</w:t>
            </w:r>
          </w:p>
          <w:p w:rsidR="00932972" w:rsidRPr="000D7C75" w:rsidRDefault="00932972" w:rsidP="00932972">
            <w:pPr>
              <w:pStyle w:val="TableText0"/>
              <w:jc w:val="center"/>
              <w:rPr>
                <w:lang w:eastAsia="en-AU"/>
              </w:rPr>
            </w:pPr>
            <w:r w:rsidRPr="000D7C75">
              <w:rPr>
                <w:lang w:eastAsia="en-AU"/>
              </w:rPr>
              <w:t>1/150</w:t>
            </w:r>
          </w:p>
          <w:p w:rsidR="00932972" w:rsidRPr="000D7C75" w:rsidRDefault="00932972" w:rsidP="00932972">
            <w:pPr>
              <w:pStyle w:val="TableText0"/>
              <w:jc w:val="center"/>
              <w:rPr>
                <w:lang w:eastAsia="en-AU"/>
              </w:rPr>
            </w:pPr>
            <w:r w:rsidRPr="000D7C75">
              <w:rPr>
                <w:lang w:eastAsia="en-AU"/>
              </w:rPr>
              <w:t>1/150</w:t>
            </w:r>
          </w:p>
        </w:tc>
        <w:tc>
          <w:tcPr>
            <w:tcW w:w="749" w:type="pct"/>
            <w:shd w:val="clear" w:color="auto" w:fill="auto"/>
            <w:vAlign w:val="center"/>
          </w:tcPr>
          <w:p w:rsidR="00932972" w:rsidRPr="000D7C75" w:rsidRDefault="00932972" w:rsidP="00932972">
            <w:pPr>
              <w:pStyle w:val="TableText0"/>
              <w:jc w:val="center"/>
              <w:rPr>
                <w:lang w:eastAsia="en-AU"/>
              </w:rPr>
            </w:pPr>
          </w:p>
          <w:p w:rsidR="00932972" w:rsidRPr="000D7C75" w:rsidRDefault="00932972" w:rsidP="00932972">
            <w:pPr>
              <w:pStyle w:val="TableText0"/>
              <w:jc w:val="center"/>
              <w:rPr>
                <w:lang w:eastAsia="en-AU"/>
              </w:rPr>
            </w:pPr>
            <w:r w:rsidRPr="000D7C75">
              <w:rPr>
                <w:lang w:eastAsia="en-AU"/>
              </w:rPr>
              <w:t>29.2</w:t>
            </w:r>
          </w:p>
          <w:p w:rsidR="00932972" w:rsidRPr="000D7C75" w:rsidRDefault="00932972" w:rsidP="00932972">
            <w:pPr>
              <w:pStyle w:val="TableText0"/>
              <w:jc w:val="center"/>
              <w:rPr>
                <w:lang w:eastAsia="en-AU"/>
              </w:rPr>
            </w:pPr>
            <w:r w:rsidRPr="000D7C75">
              <w:rPr>
                <w:lang w:eastAsia="en-AU"/>
              </w:rPr>
              <w:t>9.7</w:t>
            </w:r>
          </w:p>
          <w:p w:rsidR="00932972" w:rsidRPr="000D7C75" w:rsidRDefault="00932972" w:rsidP="00932972">
            <w:pPr>
              <w:pStyle w:val="TableText0"/>
              <w:jc w:val="center"/>
              <w:rPr>
                <w:lang w:eastAsia="en-AU"/>
              </w:rPr>
            </w:pPr>
            <w:r w:rsidRPr="000D7C75">
              <w:rPr>
                <w:lang w:eastAsia="en-AU"/>
              </w:rPr>
              <w:t>2.6</w:t>
            </w:r>
          </w:p>
        </w:tc>
        <w:tc>
          <w:tcPr>
            <w:tcW w:w="706" w:type="pct"/>
            <w:shd w:val="clear" w:color="auto" w:fill="auto"/>
            <w:vAlign w:val="center"/>
          </w:tcPr>
          <w:p w:rsidR="00932972" w:rsidRPr="000D7C75" w:rsidRDefault="00932972" w:rsidP="00932972">
            <w:pPr>
              <w:pStyle w:val="TableText0"/>
              <w:jc w:val="center"/>
              <w:rPr>
                <w:lang w:eastAsia="en-AU"/>
              </w:rPr>
            </w:pPr>
          </w:p>
          <w:p w:rsidR="00932972" w:rsidRPr="000D7C75" w:rsidRDefault="00932972" w:rsidP="00932972">
            <w:pPr>
              <w:pStyle w:val="TableText0"/>
              <w:jc w:val="center"/>
              <w:rPr>
                <w:lang w:eastAsia="en-AU"/>
              </w:rPr>
            </w:pPr>
            <w:r w:rsidRPr="000D7C75">
              <w:rPr>
                <w:lang w:eastAsia="en-AU"/>
              </w:rPr>
              <w:t>4.7</w:t>
            </w:r>
          </w:p>
          <w:p w:rsidR="00932972" w:rsidRPr="000D7C75" w:rsidRDefault="00932972" w:rsidP="00932972">
            <w:pPr>
              <w:pStyle w:val="TableText0"/>
              <w:jc w:val="center"/>
              <w:rPr>
                <w:lang w:eastAsia="en-AU"/>
              </w:rPr>
            </w:pPr>
            <w:r w:rsidRPr="000D7C75">
              <w:rPr>
                <w:lang w:eastAsia="en-AU"/>
              </w:rPr>
              <w:t>0.7</w:t>
            </w:r>
          </w:p>
          <w:p w:rsidR="00932972" w:rsidRPr="000D7C75" w:rsidRDefault="00932972" w:rsidP="00932972">
            <w:pPr>
              <w:pStyle w:val="TableText0"/>
              <w:jc w:val="center"/>
              <w:rPr>
                <w:lang w:eastAsia="en-AU"/>
              </w:rPr>
            </w:pPr>
            <w:r w:rsidRPr="000D7C75">
              <w:rPr>
                <w:lang w:eastAsia="en-AU"/>
              </w:rPr>
              <w:t>0.7</w:t>
            </w:r>
          </w:p>
        </w:tc>
        <w:tc>
          <w:tcPr>
            <w:tcW w:w="916" w:type="pct"/>
            <w:shd w:val="clear" w:color="auto" w:fill="auto"/>
            <w:vAlign w:val="center"/>
          </w:tcPr>
          <w:p w:rsidR="00932972" w:rsidRPr="000D7C75" w:rsidRDefault="00932972" w:rsidP="00932972">
            <w:pPr>
              <w:pStyle w:val="TableText0"/>
              <w:jc w:val="center"/>
              <w:rPr>
                <w:lang w:eastAsia="en-AU"/>
              </w:rPr>
            </w:pPr>
          </w:p>
          <w:p w:rsidR="00932972" w:rsidRPr="000D7C75" w:rsidRDefault="00932972" w:rsidP="00932972">
            <w:pPr>
              <w:pStyle w:val="TableText0"/>
              <w:jc w:val="center"/>
              <w:rPr>
                <w:lang w:eastAsia="en-AU"/>
              </w:rPr>
            </w:pPr>
            <w:r w:rsidRPr="000D7C75">
              <w:rPr>
                <w:lang w:eastAsia="en-AU"/>
              </w:rPr>
              <w:t>24.5 (16.6, 32.5)</w:t>
            </w:r>
          </w:p>
          <w:p w:rsidR="00932972" w:rsidRPr="000D7C75" w:rsidRDefault="00932972" w:rsidP="00932972">
            <w:pPr>
              <w:pStyle w:val="TableText0"/>
              <w:jc w:val="center"/>
              <w:rPr>
                <w:lang w:eastAsia="en-AU"/>
              </w:rPr>
            </w:pPr>
            <w:r w:rsidRPr="000D7C75">
              <w:rPr>
                <w:lang w:eastAsia="en-AU"/>
              </w:rPr>
              <w:t>9.0 (4.2, 13.9)</w:t>
            </w:r>
          </w:p>
          <w:p w:rsidR="00932972" w:rsidRPr="000D7C75" w:rsidRDefault="00932972" w:rsidP="00932972">
            <w:pPr>
              <w:pStyle w:val="TableText0"/>
              <w:jc w:val="center"/>
              <w:rPr>
                <w:lang w:eastAsia="en-AU"/>
              </w:rPr>
            </w:pPr>
            <w:r w:rsidRPr="000D7C75">
              <w:rPr>
                <w:lang w:eastAsia="en-AU"/>
              </w:rPr>
              <w:t>1.9 (-0.9, 4.8)</w:t>
            </w:r>
          </w:p>
        </w:tc>
      </w:tr>
    </w:tbl>
    <w:p w:rsidR="00932972" w:rsidRPr="000D7C75" w:rsidRDefault="00932972" w:rsidP="00932972">
      <w:pPr>
        <w:pStyle w:val="TableFooter"/>
      </w:pPr>
      <w:proofErr w:type="gramStart"/>
      <w:r w:rsidRPr="000D7C75">
        <w:rPr>
          <w:vertAlign w:val="superscript"/>
          <w:lang w:eastAsia="en-AU"/>
        </w:rPr>
        <w:t>a</w:t>
      </w:r>
      <w:proofErr w:type="gramEnd"/>
      <w:r w:rsidRPr="000D7C75">
        <w:t xml:space="preserve"> (Database </w:t>
      </w:r>
      <w:r>
        <w:t>c</w:t>
      </w:r>
      <w:r w:rsidRPr="000D7C75">
        <w:t>ut-off</w:t>
      </w:r>
      <w:r>
        <w:t xml:space="preserve"> date</w:t>
      </w:r>
      <w:r w:rsidRPr="000D7C75">
        <w:t>: May 9, 2016; median duration of follow up of 11.2 months (range 6.3 to 19.7 months). OS data remain immature</w:t>
      </w:r>
    </w:p>
    <w:p w:rsidR="00932972" w:rsidRPr="000D7C75" w:rsidRDefault="00932972" w:rsidP="00932972">
      <w:pPr>
        <w:pStyle w:val="TableFooter"/>
      </w:pPr>
      <w:proofErr w:type="gramStart"/>
      <w:r w:rsidRPr="000D7C75">
        <w:rPr>
          <w:vertAlign w:val="superscript"/>
          <w:lang w:eastAsia="en-AU"/>
        </w:rPr>
        <w:t>b</w:t>
      </w:r>
      <w:proofErr w:type="gramEnd"/>
      <w:r w:rsidR="00542905">
        <w:rPr>
          <w:vertAlign w:val="superscript"/>
          <w:lang w:eastAsia="en-AU"/>
        </w:rPr>
        <w:t xml:space="preserve"> </w:t>
      </w:r>
      <w:r w:rsidRPr="000D7C75">
        <w:t>Events were attributed to treatment by the investigator and indicated by the investigator on case-report form</w:t>
      </w:r>
    </w:p>
    <w:p w:rsidR="00932972" w:rsidRPr="000D7C75" w:rsidRDefault="00932972" w:rsidP="00932972">
      <w:pPr>
        <w:pStyle w:val="TableFooter"/>
      </w:pPr>
      <w:r w:rsidRPr="000D7C75">
        <w:t>– = median not reached; AE = adverse event; HR = hazard ratio; RD = risk difference; CI = confidence interval; PD-L1 = programmed death ligand-1</w:t>
      </w:r>
    </w:p>
    <w:p w:rsidR="00932972" w:rsidRPr="000D7C75" w:rsidRDefault="00932972" w:rsidP="00932972">
      <w:pPr>
        <w:pStyle w:val="TableFooter"/>
      </w:pPr>
      <w:r w:rsidRPr="000D7C75">
        <w:t>Source: Compiled during the evaluation from effectiveness and safety data presented in the submission</w:t>
      </w:r>
    </w:p>
    <w:p w:rsidR="00932972" w:rsidRPr="007B14F5" w:rsidRDefault="00932972" w:rsidP="00932972">
      <w:pPr>
        <w:pStyle w:val="ListParagraph"/>
        <w:ind w:left="0" w:firstLine="0"/>
        <w:rPr>
          <w:rFonts w:ascii="Arial" w:hAnsi="Arial" w:cs="Arial"/>
          <w:sz w:val="22"/>
          <w:szCs w:val="22"/>
        </w:rPr>
      </w:pPr>
    </w:p>
    <w:p w:rsidR="00932972" w:rsidRPr="00F754F9" w:rsidRDefault="00932972" w:rsidP="00217726">
      <w:pPr>
        <w:pStyle w:val="ListParagraph"/>
        <w:numPr>
          <w:ilvl w:val="1"/>
          <w:numId w:val="4"/>
        </w:numPr>
        <w:ind w:left="720"/>
        <w:rPr>
          <w:rFonts w:ascii="Arial" w:hAnsi="Arial" w:cs="Arial"/>
          <w:sz w:val="22"/>
          <w:szCs w:val="22"/>
        </w:rPr>
      </w:pPr>
      <w:r w:rsidRPr="00F754F9">
        <w:rPr>
          <w:rFonts w:ascii="Arial" w:hAnsi="Arial" w:cs="Arial"/>
          <w:sz w:val="22"/>
          <w:szCs w:val="22"/>
        </w:rPr>
        <w:t xml:space="preserve">On the basis of the direct evidence presented in the submission for untreated NSCLC Stage </w:t>
      </w:r>
      <w:r w:rsidR="00217EDB" w:rsidRPr="00F754F9">
        <w:rPr>
          <w:rFonts w:ascii="Arial" w:hAnsi="Arial" w:cs="Arial"/>
          <w:sz w:val="22"/>
          <w:szCs w:val="22"/>
        </w:rPr>
        <w:t>I</w:t>
      </w:r>
      <w:r w:rsidRPr="00F754F9">
        <w:rPr>
          <w:rFonts w:ascii="Arial" w:hAnsi="Arial" w:cs="Arial"/>
          <w:sz w:val="22"/>
          <w:szCs w:val="22"/>
        </w:rPr>
        <w:t xml:space="preserve">V patients </w:t>
      </w:r>
      <w:r w:rsidR="00E04BDE">
        <w:rPr>
          <w:rFonts w:ascii="Arial" w:hAnsi="Arial" w:cs="Arial"/>
          <w:sz w:val="22"/>
          <w:szCs w:val="22"/>
        </w:rPr>
        <w:t xml:space="preserve">given </w:t>
      </w:r>
      <w:r w:rsidR="00692FE4" w:rsidRPr="00F754F9">
        <w:rPr>
          <w:rFonts w:ascii="Arial" w:hAnsi="Arial" w:cs="Arial"/>
          <w:sz w:val="22"/>
          <w:szCs w:val="22"/>
        </w:rPr>
        <w:t>treat</w:t>
      </w:r>
      <w:r w:rsidR="00692FE4">
        <w:rPr>
          <w:rFonts w:ascii="Arial" w:hAnsi="Arial" w:cs="Arial"/>
          <w:sz w:val="22"/>
          <w:szCs w:val="22"/>
        </w:rPr>
        <w:t>ment</w:t>
      </w:r>
      <w:r w:rsidR="00692FE4" w:rsidRPr="00F754F9">
        <w:rPr>
          <w:rFonts w:ascii="Arial" w:hAnsi="Arial" w:cs="Arial"/>
          <w:sz w:val="22"/>
          <w:szCs w:val="22"/>
        </w:rPr>
        <w:t xml:space="preserve"> </w:t>
      </w:r>
      <w:r w:rsidRPr="00F754F9">
        <w:rPr>
          <w:rFonts w:ascii="Arial" w:hAnsi="Arial" w:cs="Arial"/>
          <w:sz w:val="22"/>
          <w:szCs w:val="22"/>
        </w:rPr>
        <w:t>with pembrolizumab instead of first-line platinum-based chemotherapy for a median duration of 11 months:</w:t>
      </w:r>
    </w:p>
    <w:p w:rsidR="00932972" w:rsidRPr="00F754F9" w:rsidRDefault="00932972" w:rsidP="00217726">
      <w:pPr>
        <w:pStyle w:val="ListParagraph"/>
        <w:numPr>
          <w:ilvl w:val="0"/>
          <w:numId w:val="23"/>
        </w:numPr>
        <w:rPr>
          <w:rFonts w:ascii="Arial" w:hAnsi="Arial" w:cs="Arial"/>
          <w:sz w:val="22"/>
          <w:szCs w:val="22"/>
        </w:rPr>
      </w:pPr>
      <w:r w:rsidRPr="00F754F9">
        <w:rPr>
          <w:rFonts w:ascii="Arial" w:hAnsi="Arial" w:cs="Arial"/>
          <w:sz w:val="22"/>
          <w:szCs w:val="22"/>
        </w:rPr>
        <w:t xml:space="preserve">There was a statistically significant </w:t>
      </w:r>
      <w:r w:rsidR="00A3410B" w:rsidRPr="00F754F9">
        <w:rPr>
          <w:rFonts w:ascii="Arial" w:hAnsi="Arial" w:cs="Arial"/>
          <w:sz w:val="22"/>
          <w:szCs w:val="22"/>
        </w:rPr>
        <w:t>overall survival</w:t>
      </w:r>
      <w:r w:rsidRPr="00F754F9">
        <w:rPr>
          <w:rFonts w:ascii="Arial" w:hAnsi="Arial" w:cs="Arial"/>
          <w:sz w:val="22"/>
          <w:szCs w:val="22"/>
        </w:rPr>
        <w:t xml:space="preserve"> benefit associated with pembrolizumab over chemotherapy</w:t>
      </w:r>
      <w:r w:rsidR="00A3410B" w:rsidRPr="00F754F9">
        <w:rPr>
          <w:rFonts w:ascii="Arial" w:hAnsi="Arial" w:cs="Arial"/>
          <w:sz w:val="22"/>
          <w:szCs w:val="22"/>
        </w:rPr>
        <w:t>,</w:t>
      </w:r>
      <w:r w:rsidRPr="00F754F9">
        <w:rPr>
          <w:rFonts w:ascii="Arial" w:hAnsi="Arial" w:cs="Arial"/>
          <w:sz w:val="22"/>
          <w:szCs w:val="22"/>
        </w:rPr>
        <w:t xml:space="preserve"> but the data remain immature</w:t>
      </w:r>
      <w:r w:rsidR="0073713D" w:rsidRPr="00F754F9">
        <w:rPr>
          <w:rFonts w:ascii="Arial" w:hAnsi="Arial" w:cs="Arial"/>
          <w:sz w:val="22"/>
          <w:szCs w:val="22"/>
        </w:rPr>
        <w:t xml:space="preserve"> as the difference in median overall survival is unknown</w:t>
      </w:r>
      <w:r w:rsidRPr="00F754F9">
        <w:rPr>
          <w:rFonts w:ascii="Arial" w:hAnsi="Arial" w:cs="Arial"/>
          <w:sz w:val="22"/>
          <w:szCs w:val="22"/>
        </w:rPr>
        <w:t xml:space="preserve">. The risk of death </w:t>
      </w:r>
      <w:r w:rsidR="00A3410B" w:rsidRPr="00F754F9">
        <w:rPr>
          <w:rFonts w:ascii="Arial" w:hAnsi="Arial" w:cs="Arial"/>
          <w:sz w:val="22"/>
          <w:szCs w:val="22"/>
        </w:rPr>
        <w:t xml:space="preserve">over 11 months </w:t>
      </w:r>
      <w:r w:rsidRPr="00F754F9">
        <w:rPr>
          <w:rFonts w:ascii="Arial" w:hAnsi="Arial" w:cs="Arial"/>
          <w:sz w:val="22"/>
          <w:szCs w:val="22"/>
        </w:rPr>
        <w:t>was reduced by almost 40%. There was also a statistically significant increase in progression-free survival (</w:t>
      </w:r>
      <w:r w:rsidR="00A3410B" w:rsidRPr="00F754F9">
        <w:rPr>
          <w:rFonts w:ascii="Arial" w:hAnsi="Arial" w:cs="Arial"/>
          <w:sz w:val="22"/>
          <w:szCs w:val="22"/>
        </w:rPr>
        <w:t xml:space="preserve">difference in </w:t>
      </w:r>
      <w:r w:rsidRPr="00F754F9">
        <w:rPr>
          <w:rFonts w:ascii="Arial" w:hAnsi="Arial" w:cs="Arial"/>
          <w:sz w:val="22"/>
          <w:szCs w:val="22"/>
        </w:rPr>
        <w:t>median</w:t>
      </w:r>
      <w:r w:rsidR="00A3410B" w:rsidRPr="00F754F9">
        <w:rPr>
          <w:rFonts w:ascii="Arial" w:hAnsi="Arial" w:cs="Arial"/>
          <w:sz w:val="22"/>
          <w:szCs w:val="22"/>
        </w:rPr>
        <w:t>s</w:t>
      </w:r>
      <w:r w:rsidRPr="00F754F9">
        <w:rPr>
          <w:rFonts w:ascii="Arial" w:hAnsi="Arial" w:cs="Arial"/>
          <w:sz w:val="22"/>
          <w:szCs w:val="22"/>
        </w:rPr>
        <w:t xml:space="preserve"> of approximately 4 and a half </w:t>
      </w:r>
      <w:r w:rsidR="00A3410B" w:rsidRPr="00F754F9">
        <w:rPr>
          <w:rFonts w:ascii="Arial" w:hAnsi="Arial" w:cs="Arial"/>
          <w:sz w:val="22"/>
          <w:szCs w:val="22"/>
        </w:rPr>
        <w:t>months</w:t>
      </w:r>
      <w:r w:rsidRPr="00F754F9">
        <w:rPr>
          <w:rFonts w:ascii="Arial" w:hAnsi="Arial" w:cs="Arial"/>
          <w:sz w:val="22"/>
          <w:szCs w:val="22"/>
        </w:rPr>
        <w:t>);</w:t>
      </w:r>
    </w:p>
    <w:p w:rsidR="00692FE4" w:rsidRDefault="00932972" w:rsidP="00217726">
      <w:pPr>
        <w:pStyle w:val="ListParagraph"/>
        <w:numPr>
          <w:ilvl w:val="0"/>
          <w:numId w:val="23"/>
        </w:numPr>
        <w:rPr>
          <w:rFonts w:ascii="Arial" w:hAnsi="Arial" w:cs="Arial"/>
          <w:sz w:val="22"/>
          <w:szCs w:val="22"/>
        </w:rPr>
      </w:pPr>
      <w:r w:rsidRPr="00F754F9">
        <w:rPr>
          <w:rFonts w:ascii="Arial" w:hAnsi="Arial" w:cs="Arial"/>
          <w:sz w:val="22"/>
          <w:szCs w:val="22"/>
        </w:rPr>
        <w:t>For every 100 patients, 27 fewer patients would experience a drug-related Grade 3</w:t>
      </w:r>
      <w:r w:rsidR="00C120BD" w:rsidRPr="00F754F9">
        <w:rPr>
          <w:rFonts w:ascii="Arial" w:hAnsi="Arial" w:cs="Arial"/>
          <w:sz w:val="22"/>
          <w:szCs w:val="22"/>
        </w:rPr>
        <w:t>–</w:t>
      </w:r>
      <w:r w:rsidRPr="00F754F9">
        <w:rPr>
          <w:rFonts w:ascii="Arial" w:hAnsi="Arial" w:cs="Arial"/>
          <w:sz w:val="22"/>
          <w:szCs w:val="22"/>
        </w:rPr>
        <w:t>5 AE</w:t>
      </w:r>
      <w:r w:rsidR="00EF5B41">
        <w:rPr>
          <w:rFonts w:ascii="Arial" w:hAnsi="Arial" w:cs="Arial"/>
          <w:sz w:val="22"/>
          <w:szCs w:val="22"/>
        </w:rPr>
        <w:t>,</w:t>
      </w:r>
      <w:r w:rsidRPr="00F754F9">
        <w:rPr>
          <w:rFonts w:ascii="Arial" w:hAnsi="Arial" w:cs="Arial"/>
          <w:sz w:val="22"/>
          <w:szCs w:val="22"/>
        </w:rPr>
        <w:t xml:space="preserve"> but an additional 9 patients may experience a Grade 3, 4 or 5 immune mediated AE. The risk of these immune-mediated events may be higher in clinical practice than that observed during the trial.</w:t>
      </w:r>
    </w:p>
    <w:p w:rsidR="00932972" w:rsidRPr="00E04BDE" w:rsidRDefault="00692FE4" w:rsidP="00E04BDE">
      <w:pPr>
        <w:ind w:left="720"/>
        <w:rPr>
          <w:rFonts w:ascii="Arial" w:hAnsi="Arial" w:cs="Arial"/>
          <w:sz w:val="22"/>
          <w:szCs w:val="22"/>
        </w:rPr>
      </w:pPr>
      <w:r w:rsidRPr="00E04BDE">
        <w:rPr>
          <w:rFonts w:ascii="Arial" w:hAnsi="Arial" w:cs="Arial"/>
          <w:sz w:val="22"/>
          <w:szCs w:val="22"/>
        </w:rPr>
        <w:t xml:space="preserve">This conclusion applies to patients with tumours which do not have an activating </w:t>
      </w:r>
      <w:r w:rsidRPr="00E04BDE">
        <w:rPr>
          <w:rFonts w:ascii="Arial" w:hAnsi="Arial" w:cs="Arial"/>
          <w:i/>
          <w:sz w:val="22"/>
          <w:szCs w:val="22"/>
        </w:rPr>
        <w:t>EGFR</w:t>
      </w:r>
      <w:r w:rsidRPr="00E04BDE">
        <w:rPr>
          <w:rFonts w:ascii="Arial" w:hAnsi="Arial" w:cs="Arial"/>
          <w:sz w:val="22"/>
          <w:szCs w:val="22"/>
        </w:rPr>
        <w:t xml:space="preserve"> </w:t>
      </w:r>
      <w:r w:rsidR="00EF5B41">
        <w:rPr>
          <w:rFonts w:ascii="Arial" w:hAnsi="Arial" w:cs="Arial"/>
          <w:sz w:val="22"/>
          <w:szCs w:val="22"/>
        </w:rPr>
        <w:t xml:space="preserve">gene </w:t>
      </w:r>
      <w:r w:rsidRPr="00E04BDE">
        <w:rPr>
          <w:rFonts w:ascii="Arial" w:hAnsi="Arial" w:cs="Arial"/>
          <w:sz w:val="22"/>
          <w:szCs w:val="22"/>
        </w:rPr>
        <w:t xml:space="preserve">mutation or </w:t>
      </w:r>
      <w:r w:rsidRPr="00E04BDE">
        <w:rPr>
          <w:rFonts w:ascii="Arial" w:hAnsi="Arial" w:cs="Arial"/>
          <w:i/>
          <w:sz w:val="22"/>
          <w:szCs w:val="22"/>
        </w:rPr>
        <w:t>ALK</w:t>
      </w:r>
      <w:r w:rsidRPr="00E04BDE">
        <w:rPr>
          <w:rFonts w:ascii="Arial" w:hAnsi="Arial" w:cs="Arial"/>
          <w:sz w:val="22"/>
          <w:szCs w:val="22"/>
        </w:rPr>
        <w:t xml:space="preserve"> </w:t>
      </w:r>
      <w:r w:rsidR="00EF5B41">
        <w:rPr>
          <w:rFonts w:ascii="Arial" w:hAnsi="Arial" w:cs="Arial"/>
          <w:sz w:val="22"/>
          <w:szCs w:val="22"/>
        </w:rPr>
        <w:t>gene rearrangement</w:t>
      </w:r>
      <w:r w:rsidRPr="00E04BDE">
        <w:rPr>
          <w:rFonts w:ascii="Arial" w:hAnsi="Arial" w:cs="Arial"/>
          <w:sz w:val="22"/>
          <w:szCs w:val="22"/>
        </w:rPr>
        <w:t>, but have high expression levels of PD-L1 (TPS ≥50%).</w:t>
      </w:r>
    </w:p>
    <w:p w:rsidR="008B6BF2" w:rsidRPr="00F6757B" w:rsidRDefault="008B6BF2" w:rsidP="00F6757B">
      <w:pPr>
        <w:pStyle w:val="Heading2"/>
      </w:pPr>
      <w:bookmarkStart w:id="31" w:name="_Toc439845559"/>
      <w:bookmarkStart w:id="32" w:name="_Toc461627091"/>
      <w:bookmarkStart w:id="33" w:name="_Toc471744458"/>
      <w:r w:rsidRPr="00F6757B">
        <w:t>Clinical claim</w:t>
      </w:r>
      <w:bookmarkEnd w:id="31"/>
    </w:p>
    <w:bookmarkEnd w:id="32"/>
    <w:bookmarkEnd w:id="33"/>
    <w:p w:rsidR="00932972" w:rsidRDefault="00932972" w:rsidP="00217726">
      <w:pPr>
        <w:pStyle w:val="ListParagraph"/>
        <w:numPr>
          <w:ilvl w:val="1"/>
          <w:numId w:val="4"/>
        </w:numPr>
        <w:ind w:left="720"/>
        <w:rPr>
          <w:rFonts w:ascii="Arial" w:hAnsi="Arial" w:cs="Arial"/>
          <w:sz w:val="22"/>
          <w:szCs w:val="22"/>
        </w:rPr>
      </w:pPr>
      <w:r w:rsidRPr="00F754F9">
        <w:rPr>
          <w:rFonts w:ascii="Arial" w:hAnsi="Arial" w:cs="Arial"/>
          <w:sz w:val="22"/>
          <w:szCs w:val="22"/>
        </w:rPr>
        <w:t xml:space="preserve">The submission </w:t>
      </w:r>
      <w:r w:rsidR="008B6BF2" w:rsidRPr="00F754F9">
        <w:rPr>
          <w:rFonts w:ascii="Arial" w:hAnsi="Arial" w:cs="Arial"/>
          <w:sz w:val="22"/>
          <w:szCs w:val="22"/>
        </w:rPr>
        <w:t xml:space="preserve">claimed </w:t>
      </w:r>
      <w:r w:rsidRPr="00F754F9">
        <w:rPr>
          <w:rFonts w:ascii="Arial" w:hAnsi="Arial" w:cs="Arial"/>
          <w:sz w:val="22"/>
          <w:szCs w:val="22"/>
        </w:rPr>
        <w:t>that pembrolizumab is superior to standard of care (platinum doublet chemotherapy), in terms of both comparative effectiveness and comparative safety, in patients with advanced previously untreated NSCLC who</w:t>
      </w:r>
      <w:r w:rsidR="00692FE4">
        <w:rPr>
          <w:rFonts w:ascii="Arial" w:hAnsi="Arial" w:cs="Arial"/>
          <w:sz w:val="22"/>
          <w:szCs w:val="22"/>
        </w:rPr>
        <w:t xml:space="preserve">se tumours meet the molecular and immunohistochemical profile described above. </w:t>
      </w:r>
      <w:r w:rsidRPr="00F754F9">
        <w:rPr>
          <w:rFonts w:ascii="Arial" w:hAnsi="Arial" w:cs="Arial"/>
          <w:sz w:val="22"/>
          <w:szCs w:val="22"/>
        </w:rPr>
        <w:t xml:space="preserve">This claim is adequately supported based on the available data from Trial KN-024 (data-cut-off May 2016). The data remain immature and extended OS data beyond the </w:t>
      </w:r>
      <w:r w:rsidR="00A024BF">
        <w:rPr>
          <w:rFonts w:ascii="Arial" w:hAnsi="Arial" w:cs="Arial"/>
          <w:sz w:val="22"/>
          <w:szCs w:val="22"/>
        </w:rPr>
        <w:t xml:space="preserve">latest </w:t>
      </w:r>
      <w:r w:rsidRPr="00F754F9">
        <w:rPr>
          <w:rFonts w:ascii="Arial" w:hAnsi="Arial" w:cs="Arial"/>
          <w:sz w:val="22"/>
          <w:szCs w:val="22"/>
        </w:rPr>
        <w:t xml:space="preserve">cut-off </w:t>
      </w:r>
      <w:r w:rsidR="00A024BF">
        <w:rPr>
          <w:rFonts w:ascii="Arial" w:hAnsi="Arial" w:cs="Arial"/>
          <w:sz w:val="22"/>
          <w:szCs w:val="22"/>
        </w:rPr>
        <w:t xml:space="preserve">(5 January 2017) </w:t>
      </w:r>
      <w:r w:rsidRPr="00F754F9">
        <w:rPr>
          <w:rFonts w:ascii="Arial" w:hAnsi="Arial" w:cs="Arial"/>
          <w:sz w:val="22"/>
          <w:szCs w:val="22"/>
        </w:rPr>
        <w:t xml:space="preserve">date would be </w:t>
      </w:r>
      <w:r w:rsidR="00A3410B" w:rsidRPr="00F754F9">
        <w:rPr>
          <w:rFonts w:ascii="Arial" w:hAnsi="Arial" w:cs="Arial"/>
          <w:sz w:val="22"/>
          <w:szCs w:val="22"/>
        </w:rPr>
        <w:t>informative</w:t>
      </w:r>
      <w:r w:rsidR="00B644F1">
        <w:rPr>
          <w:rFonts w:ascii="Arial" w:hAnsi="Arial" w:cs="Arial"/>
          <w:sz w:val="22"/>
          <w:szCs w:val="22"/>
        </w:rPr>
        <w:t>.</w:t>
      </w:r>
      <w:r w:rsidRPr="00F754F9">
        <w:rPr>
          <w:rFonts w:ascii="Arial" w:hAnsi="Arial" w:cs="Arial"/>
          <w:sz w:val="22"/>
          <w:szCs w:val="22"/>
        </w:rPr>
        <w:t xml:space="preserve"> </w:t>
      </w:r>
      <w:r w:rsidR="00B644F1">
        <w:rPr>
          <w:rFonts w:ascii="Arial" w:hAnsi="Arial" w:cs="Arial"/>
          <w:sz w:val="22"/>
          <w:szCs w:val="22"/>
        </w:rPr>
        <w:t xml:space="preserve">Compared to </w:t>
      </w:r>
      <w:r w:rsidR="00E04BDE">
        <w:rPr>
          <w:rFonts w:ascii="Arial" w:hAnsi="Arial" w:cs="Arial"/>
          <w:sz w:val="22"/>
          <w:szCs w:val="22"/>
        </w:rPr>
        <w:t>i</w:t>
      </w:r>
      <w:r w:rsidR="00B644F1">
        <w:rPr>
          <w:rFonts w:ascii="Arial" w:hAnsi="Arial" w:cs="Arial"/>
          <w:sz w:val="22"/>
          <w:szCs w:val="22"/>
        </w:rPr>
        <w:t>t</w:t>
      </w:r>
      <w:r w:rsidR="00E04BDE">
        <w:rPr>
          <w:rFonts w:ascii="Arial" w:hAnsi="Arial" w:cs="Arial"/>
          <w:sz w:val="22"/>
          <w:szCs w:val="22"/>
        </w:rPr>
        <w:t>s</w:t>
      </w:r>
      <w:r w:rsidR="00B644F1">
        <w:rPr>
          <w:rFonts w:ascii="Arial" w:hAnsi="Arial" w:cs="Arial"/>
          <w:sz w:val="22"/>
          <w:szCs w:val="22"/>
        </w:rPr>
        <w:t xml:space="preserve"> comparator, </w:t>
      </w:r>
      <w:r w:rsidR="00E04BDE">
        <w:rPr>
          <w:rFonts w:ascii="Arial" w:hAnsi="Arial" w:cs="Arial"/>
          <w:sz w:val="22"/>
          <w:szCs w:val="22"/>
        </w:rPr>
        <w:t>p</w:t>
      </w:r>
      <w:r w:rsidRPr="00F754F9">
        <w:rPr>
          <w:rFonts w:ascii="Arial" w:hAnsi="Arial" w:cs="Arial"/>
          <w:sz w:val="22"/>
          <w:szCs w:val="22"/>
        </w:rPr>
        <w:t xml:space="preserve">embrolizumab </w:t>
      </w:r>
      <w:r w:rsidR="00B644F1">
        <w:rPr>
          <w:rFonts w:ascii="Arial" w:hAnsi="Arial" w:cs="Arial"/>
          <w:sz w:val="22"/>
          <w:szCs w:val="22"/>
        </w:rPr>
        <w:t xml:space="preserve">was </w:t>
      </w:r>
      <w:r w:rsidRPr="00F754F9">
        <w:rPr>
          <w:rFonts w:ascii="Arial" w:hAnsi="Arial" w:cs="Arial"/>
          <w:sz w:val="22"/>
          <w:szCs w:val="22"/>
        </w:rPr>
        <w:t>superior in terms of ≥Grade 3 haematologic AEs</w:t>
      </w:r>
      <w:r w:rsidR="00E04BDE">
        <w:rPr>
          <w:rFonts w:ascii="Arial" w:hAnsi="Arial" w:cs="Arial"/>
          <w:sz w:val="22"/>
          <w:szCs w:val="22"/>
        </w:rPr>
        <w:t>,</w:t>
      </w:r>
      <w:r w:rsidRPr="00F754F9">
        <w:rPr>
          <w:rFonts w:ascii="Arial" w:hAnsi="Arial" w:cs="Arial"/>
          <w:sz w:val="22"/>
          <w:szCs w:val="22"/>
        </w:rPr>
        <w:t xml:space="preserve"> </w:t>
      </w:r>
      <w:r w:rsidR="00B644F1">
        <w:rPr>
          <w:rFonts w:ascii="Arial" w:hAnsi="Arial" w:cs="Arial"/>
          <w:sz w:val="22"/>
          <w:szCs w:val="22"/>
        </w:rPr>
        <w:t xml:space="preserve">but </w:t>
      </w:r>
      <w:r w:rsidRPr="00F754F9">
        <w:rPr>
          <w:rFonts w:ascii="Arial" w:hAnsi="Arial" w:cs="Arial"/>
          <w:sz w:val="22"/>
          <w:szCs w:val="22"/>
        </w:rPr>
        <w:t xml:space="preserve">was </w:t>
      </w:r>
      <w:r w:rsidRPr="00F754F9">
        <w:rPr>
          <w:rFonts w:ascii="Arial" w:hAnsi="Arial" w:cs="Arial"/>
          <w:sz w:val="22"/>
          <w:szCs w:val="22"/>
        </w:rPr>
        <w:lastRenderedPageBreak/>
        <w:t xml:space="preserve">associated with a higher frequency of immune-mediated AEs. Few of these were </w:t>
      </w:r>
      <w:r w:rsidR="00A3410B" w:rsidRPr="00F754F9">
        <w:rPr>
          <w:rFonts w:ascii="Arial" w:hAnsi="Arial" w:cs="Arial"/>
          <w:sz w:val="22"/>
          <w:szCs w:val="22"/>
        </w:rPr>
        <w:t>≥</w:t>
      </w:r>
      <w:r w:rsidRPr="00F754F9">
        <w:rPr>
          <w:rFonts w:ascii="Arial" w:hAnsi="Arial" w:cs="Arial"/>
          <w:sz w:val="22"/>
          <w:szCs w:val="22"/>
        </w:rPr>
        <w:t xml:space="preserve">Grade 3 events presumably due to </w:t>
      </w:r>
      <w:r w:rsidR="00B644F1">
        <w:rPr>
          <w:rFonts w:ascii="Arial" w:hAnsi="Arial" w:cs="Arial"/>
          <w:sz w:val="22"/>
          <w:szCs w:val="22"/>
        </w:rPr>
        <w:t xml:space="preserve">close </w:t>
      </w:r>
      <w:r w:rsidRPr="00F754F9">
        <w:rPr>
          <w:rFonts w:ascii="Arial" w:hAnsi="Arial" w:cs="Arial"/>
          <w:sz w:val="22"/>
          <w:szCs w:val="22"/>
        </w:rPr>
        <w:t>monitoring in an open-label experimental setting. Where these events can be managed promptly in clinical practice</w:t>
      </w:r>
      <w:r w:rsidR="00A3410B" w:rsidRPr="00F754F9">
        <w:rPr>
          <w:rFonts w:ascii="Arial" w:hAnsi="Arial" w:cs="Arial"/>
          <w:sz w:val="22"/>
          <w:szCs w:val="22"/>
        </w:rPr>
        <w:t xml:space="preserve"> </w:t>
      </w:r>
      <w:r w:rsidR="00CD7A9A" w:rsidRPr="00F754F9">
        <w:rPr>
          <w:rFonts w:ascii="Arial" w:hAnsi="Arial" w:cs="Arial"/>
          <w:sz w:val="22"/>
          <w:szCs w:val="22"/>
        </w:rPr>
        <w:t>(i.e.</w:t>
      </w:r>
      <w:r w:rsidR="00A3410B" w:rsidRPr="00F754F9">
        <w:rPr>
          <w:rFonts w:ascii="Arial" w:hAnsi="Arial" w:cs="Arial"/>
          <w:sz w:val="22"/>
          <w:szCs w:val="22"/>
        </w:rPr>
        <w:t xml:space="preserve"> before worsening to ≥</w:t>
      </w:r>
      <w:r w:rsidRPr="00F754F9">
        <w:rPr>
          <w:rFonts w:ascii="Arial" w:hAnsi="Arial" w:cs="Arial"/>
          <w:sz w:val="22"/>
          <w:szCs w:val="22"/>
        </w:rPr>
        <w:t>Grade 3 events</w:t>
      </w:r>
      <w:r w:rsidR="00CD7A9A" w:rsidRPr="00F754F9">
        <w:rPr>
          <w:rFonts w:ascii="Arial" w:hAnsi="Arial" w:cs="Arial"/>
          <w:sz w:val="22"/>
          <w:szCs w:val="22"/>
        </w:rPr>
        <w:t>)</w:t>
      </w:r>
      <w:r w:rsidRPr="00F754F9">
        <w:rPr>
          <w:rFonts w:ascii="Arial" w:hAnsi="Arial" w:cs="Arial"/>
          <w:sz w:val="22"/>
          <w:szCs w:val="22"/>
        </w:rPr>
        <w:t xml:space="preserve">, pembrolizumab can be considered to be superior in terms of safety. The KN-024 trial currently lacks adequate data to </w:t>
      </w:r>
      <w:r w:rsidR="00217EDB" w:rsidRPr="00F754F9">
        <w:rPr>
          <w:rFonts w:ascii="Arial" w:hAnsi="Arial" w:cs="Arial"/>
          <w:sz w:val="22"/>
          <w:szCs w:val="22"/>
        </w:rPr>
        <w:t>support the effectiveness of re</w:t>
      </w:r>
      <w:r w:rsidRPr="00F754F9">
        <w:rPr>
          <w:rFonts w:ascii="Arial" w:hAnsi="Arial" w:cs="Arial"/>
          <w:sz w:val="22"/>
          <w:szCs w:val="22"/>
        </w:rPr>
        <w:t xml:space="preserve">treatment with pembrolizumab after disease progression as proposed </w:t>
      </w:r>
      <w:r w:rsidR="00A66FD1" w:rsidRPr="00F754F9">
        <w:rPr>
          <w:rFonts w:ascii="Arial" w:hAnsi="Arial" w:cs="Arial"/>
          <w:sz w:val="22"/>
          <w:szCs w:val="22"/>
        </w:rPr>
        <w:t>by</w:t>
      </w:r>
      <w:r w:rsidRPr="00F754F9">
        <w:rPr>
          <w:rFonts w:ascii="Arial" w:hAnsi="Arial" w:cs="Arial"/>
          <w:sz w:val="22"/>
          <w:szCs w:val="22"/>
        </w:rPr>
        <w:t xml:space="preserve"> the requested restriction.</w:t>
      </w:r>
    </w:p>
    <w:p w:rsidR="00DF2158" w:rsidRDefault="00DF2158" w:rsidP="00BA1D86">
      <w:pPr>
        <w:rPr>
          <w:rFonts w:ascii="Arial" w:hAnsi="Arial" w:cs="Arial"/>
          <w:sz w:val="22"/>
          <w:szCs w:val="22"/>
        </w:rPr>
      </w:pPr>
    </w:p>
    <w:p w:rsidR="00DF2158" w:rsidRPr="00BA1D86" w:rsidRDefault="00DF2158" w:rsidP="00BA1D86">
      <w:pPr>
        <w:pStyle w:val="ListParagraph"/>
        <w:numPr>
          <w:ilvl w:val="1"/>
          <w:numId w:val="4"/>
        </w:numPr>
        <w:ind w:left="720"/>
        <w:rPr>
          <w:rFonts w:ascii="Arial" w:hAnsi="Arial" w:cs="Arial"/>
          <w:bCs/>
          <w:sz w:val="22"/>
        </w:rPr>
      </w:pPr>
      <w:r w:rsidRPr="00BA1D86">
        <w:rPr>
          <w:rFonts w:ascii="Arial" w:hAnsi="Arial" w:cs="Arial"/>
          <w:bCs/>
          <w:sz w:val="22"/>
          <w:szCs w:val="22"/>
        </w:rPr>
        <w:t>The PBAC considered that the claim of superior comparative effectiveness was reasonable.</w:t>
      </w:r>
    </w:p>
    <w:p w:rsidR="00DF2158" w:rsidRPr="00BA1D86" w:rsidRDefault="00DF2158" w:rsidP="00BA1D86">
      <w:pPr>
        <w:rPr>
          <w:rFonts w:ascii="Arial" w:hAnsi="Arial" w:cs="Arial"/>
          <w:bCs/>
          <w:sz w:val="22"/>
          <w:szCs w:val="22"/>
        </w:rPr>
      </w:pPr>
    </w:p>
    <w:p w:rsidR="00DF2158" w:rsidRPr="00BA1D86" w:rsidRDefault="00DF2158" w:rsidP="00BA1D86">
      <w:pPr>
        <w:pStyle w:val="ListParagraph"/>
        <w:numPr>
          <w:ilvl w:val="1"/>
          <w:numId w:val="4"/>
        </w:numPr>
        <w:ind w:left="720"/>
        <w:rPr>
          <w:rFonts w:ascii="Arial" w:hAnsi="Arial" w:cs="Arial"/>
          <w:sz w:val="22"/>
          <w:szCs w:val="22"/>
        </w:rPr>
      </w:pPr>
      <w:r w:rsidRPr="00BA1D86">
        <w:rPr>
          <w:rFonts w:ascii="Arial" w:hAnsi="Arial" w:cs="Arial"/>
          <w:sz w:val="22"/>
          <w:szCs w:val="22"/>
        </w:rPr>
        <w:t>The PBAC considered that the claim of superior comparative safety was reasonable.</w:t>
      </w:r>
    </w:p>
    <w:p w:rsidR="008B6BF2" w:rsidRPr="00F6757B" w:rsidRDefault="008B6BF2" w:rsidP="00F6757B">
      <w:pPr>
        <w:pStyle w:val="Heading2"/>
      </w:pPr>
      <w:bookmarkStart w:id="34" w:name="_Toc439845560"/>
      <w:bookmarkStart w:id="35" w:name="_Toc431891743"/>
      <w:bookmarkStart w:id="36" w:name="_Toc461627092"/>
      <w:bookmarkStart w:id="37" w:name="_Toc471744459"/>
      <w:bookmarkStart w:id="38" w:name="_Toc431891745"/>
      <w:bookmarkStart w:id="39" w:name="_Toc431891753"/>
      <w:r w:rsidRPr="00F6757B">
        <w:t>Claim of co-dependence</w:t>
      </w:r>
      <w:bookmarkEnd w:id="34"/>
    </w:p>
    <w:bookmarkEnd w:id="35"/>
    <w:bookmarkEnd w:id="36"/>
    <w:bookmarkEnd w:id="37"/>
    <w:p w:rsidR="00B64C00" w:rsidRPr="00F754F9" w:rsidRDefault="00426517" w:rsidP="00217726">
      <w:pPr>
        <w:pStyle w:val="ListParagraph"/>
        <w:numPr>
          <w:ilvl w:val="1"/>
          <w:numId w:val="4"/>
        </w:numPr>
        <w:ind w:left="720"/>
        <w:rPr>
          <w:rFonts w:ascii="Arial" w:eastAsia="Calibri" w:hAnsi="Arial" w:cs="Arial"/>
          <w:sz w:val="22"/>
          <w:szCs w:val="22"/>
        </w:rPr>
      </w:pPr>
      <w:r w:rsidRPr="00F754F9">
        <w:rPr>
          <w:rFonts w:ascii="Arial" w:eastAsia="Calibri" w:hAnsi="Arial" w:cs="Arial"/>
          <w:sz w:val="22"/>
          <w:szCs w:val="22"/>
        </w:rPr>
        <w:t>The submission</w:t>
      </w:r>
      <w:r w:rsidR="00B64C00" w:rsidRPr="00F754F9">
        <w:rPr>
          <w:rFonts w:ascii="Arial" w:eastAsia="Calibri" w:hAnsi="Arial" w:cs="Arial"/>
          <w:sz w:val="22"/>
          <w:szCs w:val="22"/>
        </w:rPr>
        <w:t xml:space="preserve"> </w:t>
      </w:r>
      <w:r w:rsidRPr="00F754F9">
        <w:rPr>
          <w:rFonts w:ascii="Arial" w:eastAsia="Calibri" w:hAnsi="Arial" w:cs="Arial"/>
          <w:sz w:val="22"/>
          <w:szCs w:val="22"/>
        </w:rPr>
        <w:t>claim</w:t>
      </w:r>
      <w:r w:rsidR="00B64C00" w:rsidRPr="00F754F9">
        <w:rPr>
          <w:rFonts w:ascii="Arial" w:eastAsia="Calibri" w:hAnsi="Arial" w:cs="Arial"/>
          <w:sz w:val="22"/>
          <w:szCs w:val="22"/>
        </w:rPr>
        <w:t>ed</w:t>
      </w:r>
      <w:r w:rsidRPr="00F754F9">
        <w:rPr>
          <w:rFonts w:ascii="Arial" w:eastAsia="Calibri" w:hAnsi="Arial" w:cs="Arial"/>
          <w:sz w:val="22"/>
          <w:szCs w:val="22"/>
        </w:rPr>
        <w:t xml:space="preserve"> that treatment guided by PD-L1 status, where PD-L1 strong positives (i.e. TPS ≥50%) are treated with pembrolizumab, and PD-L1 negatives (i.e. TPS &lt;1%) and weakly positives (i.e. TPS 1‒49%) are treated with platinum-based chemotherapy, results in improved outcomes versus the comparator</w:t>
      </w:r>
      <w:r w:rsidR="00B644F1">
        <w:rPr>
          <w:rFonts w:ascii="Arial" w:eastAsia="Calibri" w:hAnsi="Arial" w:cs="Arial"/>
          <w:sz w:val="22"/>
          <w:szCs w:val="22"/>
        </w:rPr>
        <w:t xml:space="preserve"> of </w:t>
      </w:r>
      <w:r w:rsidRPr="00F754F9">
        <w:rPr>
          <w:rFonts w:ascii="Arial" w:eastAsia="Calibri" w:hAnsi="Arial" w:cs="Arial"/>
          <w:sz w:val="22"/>
          <w:szCs w:val="22"/>
        </w:rPr>
        <w:t xml:space="preserve">no testing and platinum-based chemotherapy. </w:t>
      </w:r>
      <w:r w:rsidR="00A3410B" w:rsidRPr="00F754F9">
        <w:rPr>
          <w:rFonts w:ascii="Arial" w:eastAsia="Calibri" w:hAnsi="Arial" w:cs="Arial"/>
          <w:sz w:val="22"/>
          <w:szCs w:val="22"/>
        </w:rPr>
        <w:t xml:space="preserve">This was based on the </w:t>
      </w:r>
      <w:r w:rsidR="00B64C00" w:rsidRPr="00F754F9">
        <w:rPr>
          <w:rFonts w:ascii="Arial" w:eastAsia="Calibri" w:hAnsi="Arial" w:cs="Arial"/>
          <w:sz w:val="22"/>
          <w:szCs w:val="22"/>
        </w:rPr>
        <w:t>submission’s</w:t>
      </w:r>
      <w:r w:rsidR="00286984" w:rsidRPr="00F754F9">
        <w:rPr>
          <w:rFonts w:ascii="Arial" w:eastAsia="Calibri" w:hAnsi="Arial" w:cs="Arial"/>
          <w:sz w:val="22"/>
          <w:szCs w:val="22"/>
        </w:rPr>
        <w:t xml:space="preserve"> conclusions</w:t>
      </w:r>
      <w:r w:rsidR="00A3410B" w:rsidRPr="00F754F9">
        <w:rPr>
          <w:rFonts w:ascii="Arial" w:eastAsia="Calibri" w:hAnsi="Arial" w:cs="Arial"/>
          <w:sz w:val="22"/>
          <w:szCs w:val="22"/>
        </w:rPr>
        <w:t xml:space="preserve"> that</w:t>
      </w:r>
      <w:r w:rsidR="00B64C00" w:rsidRPr="00F754F9">
        <w:rPr>
          <w:rFonts w:ascii="Arial" w:eastAsia="Calibri" w:hAnsi="Arial" w:cs="Arial"/>
          <w:sz w:val="22"/>
          <w:szCs w:val="22"/>
        </w:rPr>
        <w:t>:</w:t>
      </w:r>
    </w:p>
    <w:p w:rsidR="00B64C00" w:rsidRPr="00F754F9" w:rsidRDefault="0026320B" w:rsidP="00A46534">
      <w:pPr>
        <w:pStyle w:val="ListParagraph"/>
        <w:numPr>
          <w:ilvl w:val="0"/>
          <w:numId w:val="23"/>
        </w:numPr>
        <w:rPr>
          <w:rFonts w:ascii="Arial" w:eastAsia="Calibri" w:hAnsi="Arial" w:cs="Arial"/>
          <w:sz w:val="22"/>
          <w:szCs w:val="22"/>
        </w:rPr>
      </w:pPr>
      <w:r w:rsidRPr="00F754F9">
        <w:rPr>
          <w:rFonts w:ascii="Arial" w:eastAsia="Calibri" w:hAnsi="Arial" w:cs="Arial"/>
          <w:sz w:val="22"/>
          <w:szCs w:val="22"/>
        </w:rPr>
        <w:t>the test is accurate,</w:t>
      </w:r>
    </w:p>
    <w:p w:rsidR="00B64C00" w:rsidRPr="00F754F9" w:rsidRDefault="00A3410B" w:rsidP="00A46534">
      <w:pPr>
        <w:pStyle w:val="ListParagraph"/>
        <w:numPr>
          <w:ilvl w:val="0"/>
          <w:numId w:val="23"/>
        </w:numPr>
        <w:rPr>
          <w:rFonts w:ascii="Arial" w:eastAsia="Calibri" w:hAnsi="Arial" w:cs="Arial"/>
          <w:sz w:val="22"/>
          <w:szCs w:val="22"/>
        </w:rPr>
      </w:pPr>
      <w:r w:rsidRPr="00F754F9">
        <w:rPr>
          <w:rFonts w:ascii="Arial" w:eastAsia="Calibri" w:hAnsi="Arial" w:cs="Arial"/>
          <w:sz w:val="22"/>
          <w:szCs w:val="22"/>
        </w:rPr>
        <w:t>there is no prognostic impact of PD-L1 status (therefore patients with TPS ≥50% in the trial treated with platinum-based chemotherapy can reasonably approximate an unselected population treated wit</w:t>
      </w:r>
      <w:r w:rsidR="0026320B" w:rsidRPr="00F754F9">
        <w:rPr>
          <w:rFonts w:ascii="Arial" w:eastAsia="Calibri" w:hAnsi="Arial" w:cs="Arial"/>
          <w:sz w:val="22"/>
          <w:szCs w:val="22"/>
        </w:rPr>
        <w:t>h platinum-based chemotherapy),</w:t>
      </w:r>
    </w:p>
    <w:p w:rsidR="00B64C00" w:rsidRPr="00F754F9" w:rsidRDefault="00A3410B" w:rsidP="00A46534">
      <w:pPr>
        <w:pStyle w:val="ListParagraph"/>
        <w:numPr>
          <w:ilvl w:val="0"/>
          <w:numId w:val="23"/>
        </w:numPr>
        <w:rPr>
          <w:rFonts w:ascii="Arial" w:eastAsia="Calibri" w:hAnsi="Arial" w:cs="Arial"/>
          <w:sz w:val="22"/>
          <w:szCs w:val="22"/>
        </w:rPr>
      </w:pPr>
      <w:r w:rsidRPr="00F754F9">
        <w:rPr>
          <w:rFonts w:ascii="Arial" w:hAnsi="Arial" w:cs="Arial"/>
          <w:sz w:val="22"/>
          <w:szCs w:val="22"/>
        </w:rPr>
        <w:t>pembrolizumab</w:t>
      </w:r>
      <w:r w:rsidRPr="00F754F9">
        <w:rPr>
          <w:rFonts w:ascii="Arial" w:eastAsia="Calibri" w:hAnsi="Arial" w:cs="Arial"/>
          <w:sz w:val="22"/>
          <w:szCs w:val="22"/>
        </w:rPr>
        <w:t xml:space="preserve"> has improved effectiveness and improved or non-inferior safety, when compared to platinum-based chemotherapy and </w:t>
      </w:r>
    </w:p>
    <w:p w:rsidR="00B64C00" w:rsidRPr="00F754F9" w:rsidRDefault="00A3410B" w:rsidP="00A46534">
      <w:pPr>
        <w:pStyle w:val="ListParagraph"/>
        <w:numPr>
          <w:ilvl w:val="0"/>
          <w:numId w:val="23"/>
        </w:numPr>
        <w:rPr>
          <w:rFonts w:ascii="Arial" w:eastAsia="Calibri" w:hAnsi="Arial" w:cs="Arial"/>
          <w:sz w:val="22"/>
          <w:szCs w:val="22"/>
        </w:rPr>
      </w:pPr>
      <w:proofErr w:type="gramStart"/>
      <w:r w:rsidRPr="00F754F9">
        <w:rPr>
          <w:rFonts w:ascii="Arial" w:eastAsia="Calibri" w:hAnsi="Arial" w:cs="Arial"/>
          <w:sz w:val="22"/>
          <w:szCs w:val="22"/>
        </w:rPr>
        <w:t>that</w:t>
      </w:r>
      <w:proofErr w:type="gramEnd"/>
      <w:r w:rsidRPr="00F754F9">
        <w:rPr>
          <w:rFonts w:ascii="Arial" w:eastAsia="Calibri" w:hAnsi="Arial" w:cs="Arial"/>
          <w:sz w:val="22"/>
          <w:szCs w:val="22"/>
        </w:rPr>
        <w:t xml:space="preserve"> </w:t>
      </w:r>
      <w:r w:rsidRPr="00F754F9">
        <w:rPr>
          <w:rFonts w:ascii="Arial" w:hAnsi="Arial" w:cs="Arial"/>
          <w:sz w:val="22"/>
          <w:szCs w:val="22"/>
        </w:rPr>
        <w:t>there</w:t>
      </w:r>
      <w:r w:rsidRPr="00F754F9">
        <w:rPr>
          <w:rFonts w:ascii="Arial" w:eastAsia="Calibri" w:hAnsi="Arial" w:cs="Arial"/>
          <w:sz w:val="22"/>
          <w:szCs w:val="22"/>
        </w:rPr>
        <w:t xml:space="preserve"> is treatment effect varia</w:t>
      </w:r>
      <w:r w:rsidR="0026320B" w:rsidRPr="00F754F9">
        <w:rPr>
          <w:rFonts w:ascii="Arial" w:eastAsia="Calibri" w:hAnsi="Arial" w:cs="Arial"/>
          <w:sz w:val="22"/>
          <w:szCs w:val="22"/>
        </w:rPr>
        <w:t>tion by PD-L1 status.</w:t>
      </w:r>
    </w:p>
    <w:p w:rsidR="00426517" w:rsidRPr="00F754F9" w:rsidRDefault="00572D70" w:rsidP="00286984">
      <w:pPr>
        <w:pStyle w:val="ListParagraph"/>
        <w:ind w:left="720" w:firstLine="0"/>
        <w:rPr>
          <w:rFonts w:ascii="Arial" w:eastAsia="Calibri" w:hAnsi="Arial" w:cs="Arial"/>
          <w:sz w:val="22"/>
          <w:szCs w:val="22"/>
        </w:rPr>
      </w:pPr>
      <w:r w:rsidRPr="00F754F9">
        <w:rPr>
          <w:rFonts w:ascii="Arial" w:hAnsi="Arial" w:cs="Arial"/>
          <w:sz w:val="22"/>
          <w:szCs w:val="22"/>
        </w:rPr>
        <w:t>The argument presented to support treatment effect modification by PD-L1 status in treatment-naïve patients was not well supported. The evidence presented included single-arm studies (in which the prognostic effect could not be distinguished from the treatment effect) and studies which included both treatment-naïve and treatment-experienced patients. Recently presented data from the nivolumab first-line NSCLC CheckMate 026 trial did not demonstrate treatment effect modification of nivolumab by PD-L1 status.</w:t>
      </w:r>
      <w:r w:rsidRPr="00F754F9">
        <w:rPr>
          <w:rStyle w:val="FootnoteReference"/>
          <w:rFonts w:ascii="Arial" w:hAnsi="Arial" w:cs="Arial"/>
          <w:sz w:val="22"/>
          <w:szCs w:val="22"/>
        </w:rPr>
        <w:footnoteReference w:id="7"/>
      </w:r>
    </w:p>
    <w:p w:rsidR="00B76173" w:rsidRPr="00F754F9" w:rsidRDefault="00B76173" w:rsidP="00424438">
      <w:pPr>
        <w:rPr>
          <w:rFonts w:ascii="Arial" w:eastAsia="Calibri" w:hAnsi="Arial" w:cs="Arial"/>
          <w:sz w:val="22"/>
          <w:szCs w:val="22"/>
        </w:rPr>
      </w:pPr>
    </w:p>
    <w:p w:rsidR="00572D70" w:rsidRPr="00F754F9" w:rsidRDefault="00572D70" w:rsidP="00217726">
      <w:pPr>
        <w:pStyle w:val="ListParagraph"/>
        <w:numPr>
          <w:ilvl w:val="1"/>
          <w:numId w:val="4"/>
        </w:numPr>
        <w:ind w:left="720"/>
        <w:rPr>
          <w:rFonts w:ascii="Arial" w:hAnsi="Arial" w:cs="Arial"/>
          <w:sz w:val="22"/>
          <w:szCs w:val="22"/>
        </w:rPr>
      </w:pPr>
      <w:r w:rsidRPr="00F754F9">
        <w:rPr>
          <w:rFonts w:ascii="Arial" w:hAnsi="Arial" w:cs="Arial"/>
          <w:sz w:val="22"/>
          <w:szCs w:val="22"/>
        </w:rPr>
        <w:t>MSAC and PBAC have raised the following important concerns regarding a previous pembrolizumab codependent submission for</w:t>
      </w:r>
      <w:r w:rsidRPr="00C12871">
        <w:rPr>
          <w:rFonts w:ascii="Arial" w:hAnsi="Arial" w:cs="Arial"/>
          <w:sz w:val="22"/>
          <w:szCs w:val="22"/>
        </w:rPr>
        <w:t xml:space="preserve"> later-line NSCLC</w:t>
      </w:r>
      <w:r w:rsidRPr="00F754F9">
        <w:rPr>
          <w:rFonts w:ascii="Arial" w:hAnsi="Arial" w:cs="Arial"/>
          <w:sz w:val="22"/>
          <w:szCs w:val="22"/>
        </w:rPr>
        <w:t xml:space="preserve"> (MSAC Public Summary Document (PSD) Application 1414, November 2016 and Item 6.05 November 2016 PBAC Meeting). These concerns have relevance to the current pembrolizumab codependent submission for first-line NSCLC.</w:t>
      </w:r>
    </w:p>
    <w:p w:rsidR="00572D70" w:rsidRPr="00F754F9" w:rsidRDefault="00572D70" w:rsidP="00217726">
      <w:pPr>
        <w:pStyle w:val="ListParagraph"/>
        <w:numPr>
          <w:ilvl w:val="0"/>
          <w:numId w:val="23"/>
        </w:numPr>
        <w:rPr>
          <w:rFonts w:ascii="Arial" w:hAnsi="Arial" w:cs="Arial"/>
          <w:sz w:val="22"/>
          <w:szCs w:val="22"/>
        </w:rPr>
      </w:pPr>
      <w:r w:rsidRPr="00F754F9">
        <w:rPr>
          <w:rFonts w:ascii="Arial" w:hAnsi="Arial" w:cs="Arial"/>
          <w:sz w:val="22"/>
          <w:szCs w:val="22"/>
        </w:rPr>
        <w:t>PD-L1 IHC as a companion diagnostic test has weak evidence of clinical validity (lacks ability to predict response to therapy) and clinical utility (insufficient information to guide treatment).</w:t>
      </w:r>
    </w:p>
    <w:p w:rsidR="00572D70" w:rsidRPr="00F754F9" w:rsidRDefault="00572D70" w:rsidP="00217726">
      <w:pPr>
        <w:pStyle w:val="ListParagraph"/>
        <w:numPr>
          <w:ilvl w:val="0"/>
          <w:numId w:val="23"/>
        </w:numPr>
        <w:rPr>
          <w:rFonts w:ascii="Arial" w:hAnsi="Arial" w:cs="Arial"/>
          <w:sz w:val="22"/>
          <w:szCs w:val="22"/>
        </w:rPr>
      </w:pPr>
      <w:r w:rsidRPr="00F754F9">
        <w:rPr>
          <w:rFonts w:ascii="Arial" w:hAnsi="Arial" w:cs="Arial"/>
          <w:sz w:val="22"/>
          <w:szCs w:val="22"/>
        </w:rPr>
        <w:t>The issue of the optimum threshold for PD-L1 positivity remained unresolved. F</w:t>
      </w:r>
      <w:r w:rsidR="00E810BD">
        <w:rPr>
          <w:rFonts w:ascii="Arial" w:hAnsi="Arial" w:cs="Arial"/>
          <w:sz w:val="22"/>
          <w:szCs w:val="22"/>
        </w:rPr>
        <w:t xml:space="preserve">or this </w:t>
      </w:r>
      <w:r w:rsidR="00FE25A1">
        <w:rPr>
          <w:rFonts w:ascii="Arial" w:hAnsi="Arial" w:cs="Arial"/>
          <w:sz w:val="22"/>
          <w:szCs w:val="22"/>
        </w:rPr>
        <w:t xml:space="preserve">current </w:t>
      </w:r>
      <w:r w:rsidR="00E810BD">
        <w:rPr>
          <w:rFonts w:ascii="Arial" w:hAnsi="Arial" w:cs="Arial"/>
          <w:sz w:val="22"/>
          <w:szCs w:val="22"/>
        </w:rPr>
        <w:t>submission</w:t>
      </w:r>
      <w:r w:rsidRPr="00F754F9">
        <w:rPr>
          <w:rFonts w:ascii="Arial" w:hAnsi="Arial" w:cs="Arial"/>
          <w:sz w:val="22"/>
          <w:szCs w:val="22"/>
        </w:rPr>
        <w:t xml:space="preserve">, nominating a TPS ≥50% threshold </w:t>
      </w:r>
      <w:r w:rsidR="00424438" w:rsidRPr="00F754F9">
        <w:rPr>
          <w:rFonts w:ascii="Arial" w:hAnsi="Arial" w:cs="Arial"/>
          <w:sz w:val="22"/>
          <w:szCs w:val="22"/>
        </w:rPr>
        <w:t>w</w:t>
      </w:r>
      <w:r w:rsidRPr="00F754F9">
        <w:rPr>
          <w:rFonts w:ascii="Arial" w:hAnsi="Arial" w:cs="Arial"/>
          <w:sz w:val="22"/>
          <w:szCs w:val="22"/>
        </w:rPr>
        <w:t>as no</w:t>
      </w:r>
      <w:r w:rsidR="00424438" w:rsidRPr="00F754F9">
        <w:rPr>
          <w:rFonts w:ascii="Arial" w:hAnsi="Arial" w:cs="Arial"/>
          <w:sz w:val="22"/>
          <w:szCs w:val="22"/>
        </w:rPr>
        <w:t xml:space="preserve">t justified with </w:t>
      </w:r>
      <w:r w:rsidR="00424438" w:rsidRPr="00F754F9">
        <w:rPr>
          <w:rFonts w:ascii="Arial" w:hAnsi="Arial" w:cs="Arial"/>
          <w:sz w:val="22"/>
          <w:szCs w:val="22"/>
        </w:rPr>
        <w:lastRenderedPageBreak/>
        <w:t>a</w:t>
      </w:r>
      <w:r w:rsidRPr="00F754F9">
        <w:rPr>
          <w:rFonts w:ascii="Arial" w:hAnsi="Arial" w:cs="Arial"/>
          <w:sz w:val="22"/>
          <w:szCs w:val="22"/>
        </w:rPr>
        <w:t xml:space="preserve"> biological basis</w:t>
      </w:r>
      <w:r w:rsidR="00E810BD">
        <w:rPr>
          <w:rFonts w:ascii="Arial" w:hAnsi="Arial" w:cs="Arial"/>
          <w:sz w:val="22"/>
          <w:szCs w:val="22"/>
        </w:rPr>
        <w:t>, and n</w:t>
      </w:r>
      <w:r w:rsidR="00E810BD" w:rsidRPr="00E810BD">
        <w:rPr>
          <w:rFonts w:ascii="Arial" w:hAnsi="Arial" w:cs="Arial"/>
          <w:sz w:val="22"/>
          <w:szCs w:val="22"/>
        </w:rPr>
        <w:t>o data were presented to assess clinical utility across patients with first-line NSCLC varying TPS thresholds</w:t>
      </w:r>
      <w:r w:rsidR="00E810BD">
        <w:rPr>
          <w:rFonts w:ascii="Arial" w:hAnsi="Arial" w:cs="Arial"/>
          <w:sz w:val="22"/>
          <w:szCs w:val="22"/>
        </w:rPr>
        <w:t>. In particular, t</w:t>
      </w:r>
      <w:r w:rsidR="00E810BD" w:rsidRPr="00E810BD">
        <w:rPr>
          <w:rFonts w:ascii="Arial" w:hAnsi="Arial" w:cs="Arial"/>
          <w:sz w:val="22"/>
          <w:szCs w:val="22"/>
        </w:rPr>
        <w:t>he key trial in the current codependent submission, KN-024, only enrolled patients with a TPS ≥50% and so the treatment effect of pembrolizumab in patients with a TPS &lt;50% could not be established</w:t>
      </w:r>
      <w:r w:rsidR="00424438" w:rsidRPr="00F754F9">
        <w:rPr>
          <w:rFonts w:ascii="Arial" w:hAnsi="Arial" w:cs="Arial"/>
          <w:sz w:val="22"/>
          <w:szCs w:val="22"/>
        </w:rPr>
        <w:t>.</w:t>
      </w:r>
      <w:r w:rsidRPr="00F754F9">
        <w:rPr>
          <w:rFonts w:ascii="Arial" w:hAnsi="Arial" w:cs="Arial"/>
          <w:sz w:val="22"/>
          <w:szCs w:val="22"/>
        </w:rPr>
        <w:t xml:space="preserve"> </w:t>
      </w:r>
      <w:r w:rsidR="00E810BD">
        <w:rPr>
          <w:rFonts w:ascii="Arial" w:hAnsi="Arial" w:cs="Arial"/>
          <w:sz w:val="22"/>
          <w:szCs w:val="22"/>
        </w:rPr>
        <w:t xml:space="preserve">PD-L1 expression testing </w:t>
      </w:r>
      <w:r w:rsidR="00424438" w:rsidRPr="00F754F9">
        <w:rPr>
          <w:rFonts w:ascii="Arial" w:hAnsi="Arial" w:cs="Arial"/>
          <w:sz w:val="22"/>
          <w:szCs w:val="22"/>
        </w:rPr>
        <w:t>was</w:t>
      </w:r>
      <w:r w:rsidRPr="00F754F9">
        <w:rPr>
          <w:rFonts w:ascii="Arial" w:hAnsi="Arial" w:cs="Arial"/>
          <w:sz w:val="22"/>
          <w:szCs w:val="22"/>
        </w:rPr>
        <w:t xml:space="preserve"> proposed as a means to narrow the population, and therefore, may exclude patients who express lower levels of PD-L1 expression who may benefit from pembrolizumab treatment.</w:t>
      </w:r>
    </w:p>
    <w:p w:rsidR="00572D70" w:rsidRPr="00F754F9" w:rsidRDefault="00572D70" w:rsidP="00217726">
      <w:pPr>
        <w:pStyle w:val="ListParagraph"/>
        <w:numPr>
          <w:ilvl w:val="0"/>
          <w:numId w:val="23"/>
        </w:numPr>
        <w:rPr>
          <w:rFonts w:ascii="Arial" w:hAnsi="Arial" w:cs="Arial"/>
          <w:sz w:val="22"/>
          <w:szCs w:val="22"/>
        </w:rPr>
      </w:pPr>
      <w:r w:rsidRPr="00F754F9">
        <w:rPr>
          <w:rFonts w:ascii="Arial" w:hAnsi="Arial" w:cs="Arial"/>
          <w:sz w:val="22"/>
          <w:szCs w:val="22"/>
        </w:rPr>
        <w:t>Unlike many other companion tests, PD-L1 has a wide range of expression and hence the results reported are not dichotomous and are challenging to quantify.</w:t>
      </w:r>
    </w:p>
    <w:p w:rsidR="00572D70" w:rsidRDefault="00572D70" w:rsidP="00217726">
      <w:pPr>
        <w:pStyle w:val="ListParagraph"/>
        <w:numPr>
          <w:ilvl w:val="0"/>
          <w:numId w:val="23"/>
        </w:numPr>
        <w:rPr>
          <w:rFonts w:ascii="Arial" w:hAnsi="Arial" w:cs="Arial"/>
          <w:sz w:val="22"/>
          <w:szCs w:val="22"/>
        </w:rPr>
      </w:pPr>
      <w:r w:rsidRPr="00F754F9">
        <w:rPr>
          <w:rFonts w:ascii="Arial" w:hAnsi="Arial" w:cs="Arial"/>
          <w:sz w:val="22"/>
          <w:szCs w:val="22"/>
        </w:rPr>
        <w:t>The Royal College of Pathologists of Australasia (RCPA) does not currently endorse the use of PD-L1 testing as a biomarker to exclude patients from therapy.</w:t>
      </w:r>
    </w:p>
    <w:p w:rsidR="00E810BD" w:rsidRPr="00F754F9" w:rsidRDefault="00E810BD" w:rsidP="00217726">
      <w:pPr>
        <w:pStyle w:val="ListParagraph"/>
        <w:numPr>
          <w:ilvl w:val="0"/>
          <w:numId w:val="23"/>
        </w:numPr>
        <w:rPr>
          <w:rFonts w:ascii="Arial" w:hAnsi="Arial" w:cs="Arial"/>
          <w:sz w:val="22"/>
          <w:szCs w:val="22"/>
        </w:rPr>
      </w:pPr>
      <w:r w:rsidRPr="00E810BD">
        <w:rPr>
          <w:rFonts w:ascii="Arial" w:hAnsi="Arial" w:cs="Arial"/>
          <w:sz w:val="22"/>
          <w:szCs w:val="22"/>
        </w:rPr>
        <w:t>If other programmed death 1 (PD-1)/PD-L1 inhibitors become listed in the PBS for NSCLC in the future that also require PD-L1 testing, the required TPS threshold for eligibility may vary, i.e. with a lower or higher TPS threshold than the 50% requested for pembrolizumab.</w:t>
      </w:r>
    </w:p>
    <w:p w:rsidR="00DB304C" w:rsidRPr="00F6757B" w:rsidRDefault="00DB304C" w:rsidP="00F6757B">
      <w:pPr>
        <w:pStyle w:val="Heading2"/>
      </w:pPr>
      <w:bookmarkStart w:id="40" w:name="_Toc431891744"/>
      <w:bookmarkStart w:id="41" w:name="_Toc471744460"/>
      <w:r w:rsidRPr="00F6757B">
        <w:t>Economic analysis</w:t>
      </w:r>
    </w:p>
    <w:bookmarkEnd w:id="40"/>
    <w:bookmarkEnd w:id="41"/>
    <w:p w:rsidR="00E62DD5" w:rsidRPr="00F754F9" w:rsidRDefault="00E62DD5" w:rsidP="00217726">
      <w:pPr>
        <w:pStyle w:val="ListParagraph"/>
        <w:numPr>
          <w:ilvl w:val="1"/>
          <w:numId w:val="4"/>
        </w:numPr>
        <w:ind w:left="720"/>
        <w:rPr>
          <w:rFonts w:ascii="Arial" w:hAnsi="Arial" w:cs="Arial"/>
          <w:sz w:val="22"/>
          <w:szCs w:val="22"/>
        </w:rPr>
      </w:pPr>
      <w:r w:rsidRPr="00F754F9">
        <w:rPr>
          <w:rFonts w:ascii="Arial" w:hAnsi="Arial" w:cs="Arial"/>
          <w:sz w:val="22"/>
          <w:szCs w:val="22"/>
        </w:rPr>
        <w:t xml:space="preserve">A modelled economic evaluation, in terms of incremental cost per life year gained and incremental cost per quality-adjusted life year (QALY) gained, was presented based on the claim of superior effectiveness and safety compared to platinum-doublet chemotherapy in treatment-naïve NSCLC patients who expressed high levels of PD-L1 (TPS ≥50%). The submission presented an ICER of </w:t>
      </w:r>
      <w:r w:rsidR="00AC6A24">
        <w:rPr>
          <w:rFonts w:ascii="Arial" w:hAnsi="Arial" w:cs="Arial"/>
          <w:sz w:val="22"/>
          <w:szCs w:val="22"/>
        </w:rPr>
        <w:t>$45,000/QALY - $75,000/QALY</w:t>
      </w:r>
      <w:r w:rsidRPr="00F754F9">
        <w:rPr>
          <w:rFonts w:ascii="Arial" w:hAnsi="Arial" w:cs="Arial"/>
          <w:sz w:val="22"/>
          <w:szCs w:val="22"/>
        </w:rPr>
        <w:t xml:space="preserve"> based on OS and PFS outcome data from the KN-024 trial, extrapolated to 7 years duration (from median 11 months in the trial) and utility weights from the KN-024 trial.</w:t>
      </w:r>
      <w:r w:rsidR="00D119A9" w:rsidRPr="00F754F9">
        <w:rPr>
          <w:rFonts w:ascii="Arial" w:hAnsi="Arial" w:cs="Arial"/>
          <w:sz w:val="22"/>
          <w:szCs w:val="22"/>
        </w:rPr>
        <w:t xml:space="preserve"> </w:t>
      </w:r>
      <w:r w:rsidR="00D119A9" w:rsidRPr="00440AD0">
        <w:rPr>
          <w:rFonts w:ascii="Arial" w:hAnsi="Arial" w:cs="Arial"/>
          <w:sz w:val="22"/>
          <w:szCs w:val="22"/>
        </w:rPr>
        <w:t xml:space="preserve">The PSCR changed various economic modelling assumptions as detailed in </w:t>
      </w:r>
      <w:r w:rsidR="00B0118C" w:rsidRPr="00440AD0">
        <w:rPr>
          <w:rFonts w:ascii="Arial" w:hAnsi="Arial" w:cs="Arial"/>
          <w:sz w:val="22"/>
          <w:szCs w:val="22"/>
        </w:rPr>
        <w:t>Table 8</w:t>
      </w:r>
      <w:r w:rsidR="00D119A9" w:rsidRPr="00440AD0">
        <w:rPr>
          <w:rFonts w:ascii="Arial" w:hAnsi="Arial" w:cs="Arial"/>
          <w:sz w:val="22"/>
          <w:szCs w:val="22"/>
        </w:rPr>
        <w:t>.</w:t>
      </w:r>
    </w:p>
    <w:p w:rsidR="00B0118C" w:rsidRPr="00832F58" w:rsidRDefault="00B0118C" w:rsidP="00832F58">
      <w:pPr>
        <w:rPr>
          <w:rFonts w:ascii="Arial" w:hAnsi="Arial" w:cs="Arial"/>
          <w:sz w:val="22"/>
          <w:szCs w:val="22"/>
          <w:highlight w:val="yellow"/>
        </w:rPr>
      </w:pPr>
    </w:p>
    <w:p w:rsidR="00D119A9" w:rsidRPr="00440AD0" w:rsidRDefault="00B0118C" w:rsidP="00832F58">
      <w:pPr>
        <w:rPr>
          <w:rFonts w:ascii="Arial Narrow" w:hAnsi="Arial Narrow" w:cs="Arial"/>
          <w:b/>
          <w:sz w:val="20"/>
          <w:szCs w:val="20"/>
        </w:rPr>
      </w:pPr>
      <w:r w:rsidRPr="00440AD0">
        <w:rPr>
          <w:rFonts w:ascii="Arial Narrow" w:hAnsi="Arial Narrow" w:cs="Arial"/>
          <w:b/>
          <w:sz w:val="20"/>
          <w:szCs w:val="20"/>
        </w:rPr>
        <w:t>Table 8</w:t>
      </w:r>
      <w:r w:rsidR="00D119A9" w:rsidRPr="00440AD0">
        <w:rPr>
          <w:rFonts w:ascii="Arial Narrow" w:hAnsi="Arial Narrow" w:cs="Arial"/>
          <w:b/>
          <w:sz w:val="20"/>
          <w:szCs w:val="20"/>
        </w:rPr>
        <w:t>: Differences in economic modelling between the submission and PSCR</w:t>
      </w:r>
    </w:p>
    <w:tbl>
      <w:tblPr>
        <w:tblStyle w:val="TableGrid"/>
        <w:tblW w:w="0" w:type="auto"/>
        <w:tblCellMar>
          <w:top w:w="28" w:type="dxa"/>
          <w:left w:w="28" w:type="dxa"/>
          <w:bottom w:w="28" w:type="dxa"/>
          <w:right w:w="28" w:type="dxa"/>
        </w:tblCellMar>
        <w:tblLook w:val="04A0" w:firstRow="1" w:lastRow="0" w:firstColumn="1" w:lastColumn="0" w:noHBand="0" w:noVBand="1"/>
        <w:tblCaption w:val="Table 8: Differences in economic modelling between the submission and PSCR"/>
      </w:tblPr>
      <w:tblGrid>
        <w:gridCol w:w="1729"/>
        <w:gridCol w:w="3402"/>
        <w:gridCol w:w="3952"/>
      </w:tblGrid>
      <w:tr w:rsidR="0056071E" w:rsidRPr="00F754F9" w:rsidTr="000052EA">
        <w:trPr>
          <w:tblHeader/>
        </w:trPr>
        <w:tc>
          <w:tcPr>
            <w:tcW w:w="1729" w:type="dxa"/>
          </w:tcPr>
          <w:p w:rsidR="00D119A9" w:rsidRPr="00440AD0" w:rsidRDefault="0056071E">
            <w:pPr>
              <w:rPr>
                <w:rFonts w:ascii="Arial Narrow" w:hAnsi="Arial Narrow" w:cs="Arial"/>
                <w:b/>
                <w:sz w:val="20"/>
                <w:szCs w:val="20"/>
              </w:rPr>
            </w:pPr>
            <w:r w:rsidRPr="00440AD0">
              <w:rPr>
                <w:rFonts w:ascii="Arial Narrow" w:hAnsi="Arial Narrow" w:cs="Arial"/>
                <w:b/>
                <w:sz w:val="20"/>
                <w:szCs w:val="20"/>
              </w:rPr>
              <w:t>Model variables</w:t>
            </w:r>
          </w:p>
        </w:tc>
        <w:tc>
          <w:tcPr>
            <w:tcW w:w="3402" w:type="dxa"/>
          </w:tcPr>
          <w:p w:rsidR="00D119A9" w:rsidRPr="00440AD0" w:rsidRDefault="00D119A9" w:rsidP="00832F58">
            <w:pPr>
              <w:keepNext/>
              <w:tabs>
                <w:tab w:val="left" w:pos="216"/>
                <w:tab w:val="num" w:pos="360"/>
              </w:tabs>
              <w:ind w:left="216" w:hanging="216"/>
              <w:rPr>
                <w:rFonts w:ascii="Arial Narrow" w:hAnsi="Arial Narrow" w:cs="Arial"/>
                <w:b/>
                <w:sz w:val="20"/>
                <w:szCs w:val="20"/>
              </w:rPr>
            </w:pPr>
            <w:r w:rsidRPr="00440AD0">
              <w:rPr>
                <w:rFonts w:ascii="Arial Narrow" w:hAnsi="Arial Narrow" w:cs="Arial"/>
                <w:b/>
                <w:sz w:val="20"/>
                <w:szCs w:val="20"/>
              </w:rPr>
              <w:t>Submission</w:t>
            </w:r>
          </w:p>
        </w:tc>
        <w:tc>
          <w:tcPr>
            <w:tcW w:w="3952" w:type="dxa"/>
          </w:tcPr>
          <w:p w:rsidR="00D119A9" w:rsidRPr="00440AD0" w:rsidRDefault="00D119A9" w:rsidP="00832F58">
            <w:pPr>
              <w:keepNext/>
              <w:tabs>
                <w:tab w:val="left" w:pos="216"/>
                <w:tab w:val="num" w:pos="360"/>
              </w:tabs>
              <w:ind w:left="216" w:hanging="216"/>
              <w:rPr>
                <w:rFonts w:ascii="Arial Narrow" w:hAnsi="Arial Narrow" w:cs="Arial"/>
                <w:b/>
                <w:sz w:val="20"/>
                <w:szCs w:val="20"/>
              </w:rPr>
            </w:pPr>
            <w:r w:rsidRPr="00440AD0">
              <w:rPr>
                <w:rFonts w:ascii="Arial Narrow" w:hAnsi="Arial Narrow" w:cs="Arial"/>
                <w:b/>
                <w:sz w:val="20"/>
                <w:szCs w:val="20"/>
              </w:rPr>
              <w:t>PSCR</w:t>
            </w:r>
          </w:p>
        </w:tc>
      </w:tr>
      <w:tr w:rsidR="0056071E" w:rsidRPr="00F754F9" w:rsidTr="0056071E">
        <w:tc>
          <w:tcPr>
            <w:tcW w:w="1729" w:type="dxa"/>
          </w:tcPr>
          <w:p w:rsidR="00D119A9" w:rsidRPr="00440AD0" w:rsidRDefault="00D119A9" w:rsidP="00832F58">
            <w:pPr>
              <w:keepNext/>
              <w:tabs>
                <w:tab w:val="left" w:pos="216"/>
                <w:tab w:val="num" w:pos="360"/>
              </w:tabs>
              <w:ind w:left="216" w:hanging="216"/>
              <w:rPr>
                <w:rFonts w:ascii="Arial Narrow" w:hAnsi="Arial Narrow" w:cs="Arial"/>
                <w:sz w:val="20"/>
                <w:szCs w:val="20"/>
              </w:rPr>
            </w:pPr>
            <w:r w:rsidRPr="00440AD0">
              <w:rPr>
                <w:rFonts w:ascii="Arial Narrow" w:hAnsi="Arial Narrow" w:cs="Arial"/>
                <w:sz w:val="20"/>
                <w:szCs w:val="20"/>
              </w:rPr>
              <w:t>Cost per 50</w:t>
            </w:r>
            <w:r w:rsidR="000C325C" w:rsidRPr="00440AD0">
              <w:rPr>
                <w:rFonts w:ascii="Arial Narrow" w:hAnsi="Arial Narrow" w:cs="Arial"/>
                <w:sz w:val="20"/>
                <w:szCs w:val="20"/>
              </w:rPr>
              <w:t> </w:t>
            </w:r>
            <w:r w:rsidRPr="00440AD0">
              <w:rPr>
                <w:rFonts w:ascii="Arial Narrow" w:hAnsi="Arial Narrow" w:cs="Arial"/>
                <w:sz w:val="20"/>
                <w:szCs w:val="20"/>
              </w:rPr>
              <w:t>mg vial</w:t>
            </w:r>
          </w:p>
        </w:tc>
        <w:tc>
          <w:tcPr>
            <w:tcW w:w="3402" w:type="dxa"/>
          </w:tcPr>
          <w:p w:rsidR="00D119A9" w:rsidRPr="00440AD0" w:rsidRDefault="00D119A9" w:rsidP="00832F58">
            <w:pPr>
              <w:rPr>
                <w:rFonts w:ascii="Arial Narrow" w:hAnsi="Arial Narrow" w:cs="Arial"/>
                <w:sz w:val="20"/>
                <w:szCs w:val="20"/>
              </w:rPr>
            </w:pPr>
            <w:r w:rsidRPr="00440AD0">
              <w:rPr>
                <w:rFonts w:ascii="Arial Narrow" w:hAnsi="Arial Narrow" w:cs="Arial"/>
                <w:sz w:val="20"/>
                <w:szCs w:val="20"/>
              </w:rPr>
              <w:t>$</w:t>
            </w:r>
            <w:r w:rsidR="00DF3DBC">
              <w:rPr>
                <w:rFonts w:ascii="Arial Narrow" w:hAnsi="Arial Narrow" w:cs="Arial"/>
                <w:noProof/>
                <w:color w:val="000000"/>
                <w:sz w:val="20"/>
                <w:szCs w:val="20"/>
                <w:highlight w:val="black"/>
              </w:rPr>
              <w:t>'''''''''''''</w:t>
            </w:r>
          </w:p>
        </w:tc>
        <w:tc>
          <w:tcPr>
            <w:tcW w:w="3952" w:type="dxa"/>
          </w:tcPr>
          <w:p w:rsidR="00D119A9" w:rsidRPr="00440AD0" w:rsidRDefault="00D119A9" w:rsidP="00832F58">
            <w:pPr>
              <w:rPr>
                <w:rFonts w:ascii="Arial Narrow" w:hAnsi="Arial Narrow" w:cs="Arial"/>
                <w:sz w:val="20"/>
                <w:szCs w:val="20"/>
              </w:rPr>
            </w:pPr>
            <w:r w:rsidRPr="00440AD0">
              <w:rPr>
                <w:rFonts w:ascii="Arial Narrow" w:hAnsi="Arial Narrow" w:cs="Arial"/>
                <w:sz w:val="20"/>
                <w:szCs w:val="20"/>
              </w:rPr>
              <w:t>$</w:t>
            </w:r>
            <w:r w:rsidR="00DF3DBC">
              <w:rPr>
                <w:rFonts w:ascii="Arial Narrow" w:hAnsi="Arial Narrow" w:cs="Arial"/>
                <w:noProof/>
                <w:color w:val="000000"/>
                <w:sz w:val="20"/>
                <w:szCs w:val="20"/>
                <w:highlight w:val="black"/>
              </w:rPr>
              <w:t>'''''''''</w:t>
            </w:r>
          </w:p>
        </w:tc>
      </w:tr>
      <w:tr w:rsidR="0056071E" w:rsidRPr="00F754F9" w:rsidTr="0056071E">
        <w:tc>
          <w:tcPr>
            <w:tcW w:w="1729" w:type="dxa"/>
          </w:tcPr>
          <w:p w:rsidR="00D119A9" w:rsidRPr="00440AD0" w:rsidRDefault="00D119A9" w:rsidP="00832F58">
            <w:pPr>
              <w:rPr>
                <w:rFonts w:ascii="Arial Narrow" w:hAnsi="Arial Narrow" w:cs="Arial"/>
                <w:sz w:val="20"/>
                <w:szCs w:val="20"/>
              </w:rPr>
            </w:pPr>
            <w:r w:rsidRPr="00440AD0">
              <w:rPr>
                <w:rFonts w:ascii="Arial Narrow" w:hAnsi="Arial Narrow" w:cs="Arial"/>
                <w:sz w:val="20"/>
                <w:szCs w:val="20"/>
              </w:rPr>
              <w:t>Time horizon</w:t>
            </w:r>
          </w:p>
        </w:tc>
        <w:tc>
          <w:tcPr>
            <w:tcW w:w="3402" w:type="dxa"/>
          </w:tcPr>
          <w:p w:rsidR="00D119A9" w:rsidRPr="00440AD0" w:rsidRDefault="00D119A9" w:rsidP="00832F58">
            <w:pPr>
              <w:rPr>
                <w:rFonts w:ascii="Arial Narrow" w:hAnsi="Arial Narrow" w:cs="Arial"/>
                <w:sz w:val="20"/>
                <w:szCs w:val="20"/>
              </w:rPr>
            </w:pPr>
            <w:r w:rsidRPr="00440AD0">
              <w:rPr>
                <w:rFonts w:ascii="Arial Narrow" w:hAnsi="Arial Narrow" w:cs="Arial"/>
                <w:sz w:val="20"/>
                <w:szCs w:val="20"/>
              </w:rPr>
              <w:t>7 years</w:t>
            </w:r>
          </w:p>
        </w:tc>
        <w:tc>
          <w:tcPr>
            <w:tcW w:w="3952" w:type="dxa"/>
          </w:tcPr>
          <w:p w:rsidR="00D119A9" w:rsidRPr="00440AD0" w:rsidRDefault="00D119A9" w:rsidP="00832F58">
            <w:pPr>
              <w:rPr>
                <w:rFonts w:ascii="Arial Narrow" w:hAnsi="Arial Narrow" w:cs="Arial"/>
                <w:sz w:val="20"/>
                <w:szCs w:val="20"/>
              </w:rPr>
            </w:pPr>
            <w:r w:rsidRPr="00440AD0">
              <w:rPr>
                <w:rFonts w:ascii="Arial Narrow" w:hAnsi="Arial Narrow" w:cs="Arial"/>
                <w:sz w:val="20"/>
                <w:szCs w:val="20"/>
              </w:rPr>
              <w:t>6 years</w:t>
            </w:r>
          </w:p>
        </w:tc>
      </w:tr>
      <w:tr w:rsidR="0056071E" w:rsidRPr="00F754F9" w:rsidTr="0056071E">
        <w:tc>
          <w:tcPr>
            <w:tcW w:w="1729" w:type="dxa"/>
          </w:tcPr>
          <w:p w:rsidR="00D119A9" w:rsidRPr="00440AD0" w:rsidRDefault="00D119A9" w:rsidP="00832F58">
            <w:pPr>
              <w:rPr>
                <w:rFonts w:ascii="Arial Narrow" w:hAnsi="Arial Narrow" w:cs="Arial"/>
                <w:sz w:val="20"/>
                <w:szCs w:val="20"/>
              </w:rPr>
            </w:pPr>
            <w:r w:rsidRPr="00440AD0">
              <w:rPr>
                <w:rFonts w:ascii="Arial Narrow" w:hAnsi="Arial Narrow" w:cs="Arial"/>
                <w:sz w:val="20"/>
                <w:szCs w:val="20"/>
              </w:rPr>
              <w:t>Treatment switching</w:t>
            </w:r>
          </w:p>
        </w:tc>
        <w:tc>
          <w:tcPr>
            <w:tcW w:w="3402" w:type="dxa"/>
          </w:tcPr>
          <w:p w:rsidR="00D119A9" w:rsidRPr="00440AD0" w:rsidRDefault="00D119A9" w:rsidP="00832F58">
            <w:pPr>
              <w:rPr>
                <w:rFonts w:ascii="Arial Narrow" w:hAnsi="Arial Narrow" w:cs="Arial"/>
                <w:sz w:val="20"/>
                <w:szCs w:val="20"/>
              </w:rPr>
            </w:pPr>
            <w:r w:rsidRPr="00440AD0">
              <w:rPr>
                <w:rFonts w:ascii="Arial Narrow" w:hAnsi="Arial Narrow" w:cs="Arial"/>
                <w:sz w:val="20"/>
                <w:szCs w:val="20"/>
              </w:rPr>
              <w:t>Two-stage treatment cross over adjustment</w:t>
            </w:r>
          </w:p>
        </w:tc>
        <w:tc>
          <w:tcPr>
            <w:tcW w:w="3952" w:type="dxa"/>
          </w:tcPr>
          <w:p w:rsidR="00D119A9" w:rsidRPr="00440AD0" w:rsidRDefault="00D119A9" w:rsidP="006A2C58">
            <w:pPr>
              <w:rPr>
                <w:rFonts w:ascii="Arial Narrow" w:hAnsi="Arial Narrow" w:cs="Arial"/>
                <w:sz w:val="20"/>
                <w:szCs w:val="20"/>
              </w:rPr>
            </w:pPr>
            <w:r w:rsidRPr="00440AD0">
              <w:rPr>
                <w:rFonts w:ascii="Arial Narrow" w:hAnsi="Arial Narrow" w:cs="Arial"/>
                <w:sz w:val="20"/>
                <w:szCs w:val="20"/>
              </w:rPr>
              <w:t>ITT + second</w:t>
            </w:r>
            <w:r w:rsidR="006A2C58" w:rsidRPr="00440AD0">
              <w:rPr>
                <w:rFonts w:ascii="Arial Narrow" w:hAnsi="Arial Narrow" w:cs="Arial"/>
                <w:sz w:val="20"/>
                <w:szCs w:val="20"/>
              </w:rPr>
              <w:t>-</w:t>
            </w:r>
            <w:r w:rsidRPr="00440AD0">
              <w:rPr>
                <w:rFonts w:ascii="Arial Narrow" w:hAnsi="Arial Narrow" w:cs="Arial"/>
                <w:sz w:val="20"/>
                <w:szCs w:val="20"/>
              </w:rPr>
              <w:t>line immunotherapy ($</w:t>
            </w:r>
            <w:r w:rsidR="00DF3DBC">
              <w:rPr>
                <w:rFonts w:ascii="Arial Narrow" w:hAnsi="Arial Narrow" w:cs="Arial"/>
                <w:noProof/>
                <w:color w:val="000000"/>
                <w:sz w:val="20"/>
                <w:szCs w:val="20"/>
                <w:highlight w:val="black"/>
              </w:rPr>
              <w:t>''''''''''</w:t>
            </w:r>
            <w:r w:rsidRPr="00440AD0">
              <w:rPr>
                <w:rFonts w:ascii="Arial Narrow" w:hAnsi="Arial Narrow" w:cs="Arial"/>
                <w:sz w:val="20"/>
                <w:szCs w:val="20"/>
              </w:rPr>
              <w:t>/100</w:t>
            </w:r>
            <w:r w:rsidR="00A66FD1" w:rsidRPr="00440AD0">
              <w:rPr>
                <w:rFonts w:ascii="Arial Narrow" w:hAnsi="Arial Narrow" w:cs="Arial"/>
                <w:sz w:val="20"/>
                <w:szCs w:val="20"/>
              </w:rPr>
              <w:t> </w:t>
            </w:r>
            <w:r w:rsidRPr="00440AD0">
              <w:rPr>
                <w:rFonts w:ascii="Arial Narrow" w:hAnsi="Arial Narrow" w:cs="Arial"/>
                <w:sz w:val="20"/>
                <w:szCs w:val="20"/>
              </w:rPr>
              <w:t>mg vial)</w:t>
            </w:r>
          </w:p>
        </w:tc>
      </w:tr>
      <w:tr w:rsidR="0056071E" w:rsidRPr="00F754F9" w:rsidTr="0056071E">
        <w:tc>
          <w:tcPr>
            <w:tcW w:w="1729" w:type="dxa"/>
          </w:tcPr>
          <w:p w:rsidR="00D119A9" w:rsidRPr="00440AD0" w:rsidRDefault="00D119A9" w:rsidP="00832F58">
            <w:pPr>
              <w:rPr>
                <w:rFonts w:ascii="Arial Narrow" w:hAnsi="Arial Narrow" w:cs="Arial"/>
                <w:sz w:val="20"/>
                <w:szCs w:val="20"/>
              </w:rPr>
            </w:pPr>
            <w:r w:rsidRPr="00440AD0">
              <w:rPr>
                <w:rFonts w:ascii="Arial Narrow" w:hAnsi="Arial Narrow" w:cs="Arial"/>
                <w:sz w:val="20"/>
                <w:szCs w:val="20"/>
              </w:rPr>
              <w:t>Extrapolation</w:t>
            </w:r>
          </w:p>
        </w:tc>
        <w:tc>
          <w:tcPr>
            <w:tcW w:w="3402" w:type="dxa"/>
          </w:tcPr>
          <w:p w:rsidR="00D119A9" w:rsidRPr="00440AD0" w:rsidRDefault="00D119A9" w:rsidP="00832F58">
            <w:pPr>
              <w:rPr>
                <w:rFonts w:ascii="Arial Narrow" w:hAnsi="Arial Narrow" w:cs="Arial"/>
                <w:sz w:val="20"/>
                <w:szCs w:val="20"/>
              </w:rPr>
            </w:pPr>
            <w:r w:rsidRPr="00440AD0">
              <w:rPr>
                <w:rFonts w:ascii="Arial Narrow" w:hAnsi="Arial Narrow" w:cs="Arial"/>
                <w:sz w:val="20"/>
                <w:szCs w:val="20"/>
              </w:rPr>
              <w:t xml:space="preserve">Log-logistic </w:t>
            </w:r>
          </w:p>
        </w:tc>
        <w:tc>
          <w:tcPr>
            <w:tcW w:w="3952" w:type="dxa"/>
          </w:tcPr>
          <w:p w:rsidR="00D119A9" w:rsidRPr="00440AD0" w:rsidRDefault="00D119A9" w:rsidP="00832F58">
            <w:pPr>
              <w:rPr>
                <w:rFonts w:ascii="Arial Narrow" w:hAnsi="Arial Narrow" w:cs="Arial"/>
                <w:sz w:val="20"/>
                <w:szCs w:val="20"/>
              </w:rPr>
            </w:pPr>
            <w:r w:rsidRPr="00440AD0">
              <w:rPr>
                <w:rFonts w:ascii="Arial Narrow" w:hAnsi="Arial Narrow" w:cs="Arial"/>
                <w:sz w:val="20"/>
                <w:szCs w:val="20"/>
              </w:rPr>
              <w:t xml:space="preserve">Exponential </w:t>
            </w:r>
          </w:p>
        </w:tc>
      </w:tr>
      <w:tr w:rsidR="0056071E" w:rsidRPr="00F754F9" w:rsidTr="0056071E">
        <w:tc>
          <w:tcPr>
            <w:tcW w:w="1729" w:type="dxa"/>
          </w:tcPr>
          <w:p w:rsidR="00D119A9" w:rsidRPr="00440AD0" w:rsidRDefault="00D119A9" w:rsidP="00832F58">
            <w:pPr>
              <w:rPr>
                <w:rFonts w:ascii="Arial Narrow" w:hAnsi="Arial Narrow" w:cs="Arial"/>
                <w:sz w:val="20"/>
                <w:szCs w:val="20"/>
              </w:rPr>
            </w:pPr>
            <w:r w:rsidRPr="00440AD0">
              <w:rPr>
                <w:rFonts w:ascii="Arial Narrow" w:hAnsi="Arial Narrow" w:cs="Arial"/>
                <w:sz w:val="20"/>
                <w:szCs w:val="20"/>
              </w:rPr>
              <w:t>Cost of pemetrexed</w:t>
            </w:r>
          </w:p>
        </w:tc>
        <w:tc>
          <w:tcPr>
            <w:tcW w:w="3402" w:type="dxa"/>
          </w:tcPr>
          <w:p w:rsidR="00D119A9" w:rsidRPr="00440AD0" w:rsidRDefault="00D119A9" w:rsidP="00832F58">
            <w:pPr>
              <w:rPr>
                <w:rFonts w:ascii="Arial Narrow" w:hAnsi="Arial Narrow" w:cs="Arial"/>
                <w:sz w:val="20"/>
                <w:szCs w:val="20"/>
              </w:rPr>
            </w:pPr>
            <w:r w:rsidRPr="00440AD0">
              <w:rPr>
                <w:rFonts w:ascii="Arial Narrow" w:hAnsi="Arial Narrow" w:cs="Arial"/>
                <w:sz w:val="20"/>
                <w:szCs w:val="20"/>
              </w:rPr>
              <w:t>Full price</w:t>
            </w:r>
          </w:p>
        </w:tc>
        <w:tc>
          <w:tcPr>
            <w:tcW w:w="3952" w:type="dxa"/>
          </w:tcPr>
          <w:p w:rsidR="00D119A9" w:rsidRPr="00440AD0" w:rsidRDefault="00D119A9" w:rsidP="00832F58">
            <w:pPr>
              <w:rPr>
                <w:rFonts w:ascii="Arial Narrow" w:hAnsi="Arial Narrow" w:cs="Arial"/>
                <w:sz w:val="20"/>
                <w:szCs w:val="20"/>
              </w:rPr>
            </w:pPr>
            <w:r w:rsidRPr="00440AD0">
              <w:rPr>
                <w:rFonts w:ascii="Arial Narrow" w:hAnsi="Arial Narrow" w:cs="Arial"/>
                <w:sz w:val="20"/>
                <w:szCs w:val="20"/>
              </w:rPr>
              <w:t>85% discount (per April 2017 price reductions)</w:t>
            </w:r>
          </w:p>
        </w:tc>
      </w:tr>
      <w:tr w:rsidR="0056071E" w:rsidRPr="00F754F9" w:rsidTr="0056071E">
        <w:tc>
          <w:tcPr>
            <w:tcW w:w="1729" w:type="dxa"/>
          </w:tcPr>
          <w:p w:rsidR="0056071E" w:rsidRPr="00440AD0" w:rsidRDefault="0056071E" w:rsidP="00832F58">
            <w:pPr>
              <w:spacing w:after="100" w:line="276" w:lineRule="auto"/>
              <w:rPr>
                <w:rFonts w:ascii="Arial Narrow" w:hAnsi="Arial Narrow" w:cs="Arial"/>
                <w:sz w:val="20"/>
                <w:szCs w:val="20"/>
              </w:rPr>
            </w:pPr>
            <w:r w:rsidRPr="00440AD0">
              <w:rPr>
                <w:rFonts w:ascii="Arial Narrow" w:hAnsi="Arial Narrow" w:cs="Arial"/>
                <w:sz w:val="20"/>
                <w:szCs w:val="20"/>
              </w:rPr>
              <w:t>ICER</w:t>
            </w:r>
          </w:p>
        </w:tc>
        <w:tc>
          <w:tcPr>
            <w:tcW w:w="3402" w:type="dxa"/>
          </w:tcPr>
          <w:p w:rsidR="0056071E" w:rsidRPr="00440AD0" w:rsidRDefault="0056071E" w:rsidP="00832F58">
            <w:pPr>
              <w:spacing w:after="100" w:line="276" w:lineRule="auto"/>
              <w:rPr>
                <w:rFonts w:ascii="Arial Narrow" w:hAnsi="Arial Narrow" w:cs="Arial"/>
                <w:sz w:val="20"/>
                <w:szCs w:val="20"/>
              </w:rPr>
            </w:pPr>
            <w:r w:rsidRPr="00440AD0">
              <w:rPr>
                <w:rFonts w:ascii="Arial Narrow" w:hAnsi="Arial Narrow" w:cs="Arial"/>
                <w:sz w:val="20"/>
                <w:szCs w:val="20"/>
              </w:rPr>
              <w:t>$</w:t>
            </w:r>
            <w:r w:rsidR="00DF3DBC">
              <w:rPr>
                <w:rFonts w:ascii="Arial Narrow" w:hAnsi="Arial Narrow" w:cs="Arial"/>
                <w:noProof/>
                <w:color w:val="000000"/>
                <w:sz w:val="20"/>
                <w:szCs w:val="20"/>
                <w:highlight w:val="black"/>
              </w:rPr>
              <w:t>''''''''''''''''</w:t>
            </w:r>
            <w:r w:rsidRPr="00440AD0">
              <w:rPr>
                <w:rFonts w:ascii="Arial Narrow" w:hAnsi="Arial Narrow" w:cs="Arial"/>
                <w:sz w:val="20"/>
                <w:szCs w:val="20"/>
              </w:rPr>
              <w:t>/QALY</w:t>
            </w:r>
          </w:p>
        </w:tc>
        <w:tc>
          <w:tcPr>
            <w:tcW w:w="3952" w:type="dxa"/>
          </w:tcPr>
          <w:p w:rsidR="0056071E" w:rsidRPr="00440AD0" w:rsidRDefault="0056071E" w:rsidP="0056071E">
            <w:pPr>
              <w:rPr>
                <w:rFonts w:ascii="Arial Narrow" w:hAnsi="Arial Narrow" w:cs="Arial"/>
                <w:sz w:val="20"/>
                <w:szCs w:val="20"/>
              </w:rPr>
            </w:pPr>
            <w:r w:rsidRPr="00440AD0">
              <w:rPr>
                <w:rFonts w:ascii="Arial Narrow" w:hAnsi="Arial Narrow" w:cs="Arial"/>
                <w:sz w:val="20"/>
                <w:szCs w:val="20"/>
              </w:rPr>
              <w:t>$</w:t>
            </w:r>
            <w:r w:rsidR="00DF3DBC">
              <w:rPr>
                <w:rFonts w:ascii="Arial Narrow" w:hAnsi="Arial Narrow" w:cs="Arial"/>
                <w:noProof/>
                <w:color w:val="000000"/>
                <w:sz w:val="20"/>
                <w:szCs w:val="20"/>
                <w:highlight w:val="black"/>
              </w:rPr>
              <w:t>'''''''''''''''</w:t>
            </w:r>
            <w:r w:rsidRPr="00440AD0">
              <w:rPr>
                <w:rFonts w:ascii="Arial Narrow" w:hAnsi="Arial Narrow" w:cs="Arial"/>
                <w:sz w:val="20"/>
                <w:szCs w:val="20"/>
              </w:rPr>
              <w:t>/QALY (see paragraph 6.</w:t>
            </w:r>
            <w:r w:rsidR="00974B8B">
              <w:rPr>
                <w:rFonts w:ascii="Arial Narrow" w:hAnsi="Arial Narrow" w:cs="Arial"/>
                <w:sz w:val="20"/>
                <w:szCs w:val="20"/>
              </w:rPr>
              <w:t>25</w:t>
            </w:r>
            <w:r w:rsidRPr="00440AD0">
              <w:rPr>
                <w:rFonts w:ascii="Arial Narrow" w:hAnsi="Arial Narrow" w:cs="Arial"/>
                <w:sz w:val="20"/>
                <w:szCs w:val="20"/>
              </w:rPr>
              <w:t>)</w:t>
            </w:r>
          </w:p>
          <w:p w:rsidR="0056071E" w:rsidRPr="00440AD0" w:rsidRDefault="0056071E" w:rsidP="0056071E">
            <w:pPr>
              <w:rPr>
                <w:rFonts w:ascii="Arial Narrow" w:hAnsi="Arial Narrow" w:cs="Arial"/>
                <w:sz w:val="20"/>
                <w:szCs w:val="20"/>
              </w:rPr>
            </w:pPr>
            <w:r w:rsidRPr="00440AD0">
              <w:rPr>
                <w:rFonts w:ascii="Arial Narrow" w:hAnsi="Arial Narrow" w:cs="Arial"/>
                <w:sz w:val="20"/>
                <w:szCs w:val="20"/>
              </w:rPr>
              <w:t>Revised: $</w:t>
            </w:r>
            <w:r w:rsidR="00DF3DBC">
              <w:rPr>
                <w:rFonts w:ascii="Arial Narrow" w:hAnsi="Arial Narrow" w:cs="Arial"/>
                <w:noProof/>
                <w:color w:val="000000"/>
                <w:sz w:val="20"/>
                <w:szCs w:val="20"/>
                <w:highlight w:val="black"/>
              </w:rPr>
              <w:t>''''''''''''''''</w:t>
            </w:r>
            <w:r w:rsidRPr="00440AD0">
              <w:rPr>
                <w:rFonts w:ascii="Arial Narrow" w:hAnsi="Arial Narrow" w:cs="Arial"/>
                <w:sz w:val="20"/>
                <w:szCs w:val="20"/>
              </w:rPr>
              <w:t xml:space="preserve">/QALY (see </w:t>
            </w:r>
            <w:r w:rsidR="007652E5" w:rsidRPr="00440AD0">
              <w:rPr>
                <w:rFonts w:ascii="Arial Narrow" w:hAnsi="Arial Narrow" w:cs="Arial"/>
                <w:sz w:val="20"/>
                <w:szCs w:val="20"/>
              </w:rPr>
              <w:t>Table 15</w:t>
            </w:r>
            <w:r w:rsidRPr="00440AD0">
              <w:rPr>
                <w:rFonts w:ascii="Arial Narrow" w:hAnsi="Arial Narrow" w:cs="Arial"/>
                <w:sz w:val="20"/>
                <w:szCs w:val="20"/>
              </w:rPr>
              <w:t>)</w:t>
            </w:r>
          </w:p>
        </w:tc>
      </w:tr>
    </w:tbl>
    <w:p w:rsidR="00D119A9" w:rsidRPr="00440AD0" w:rsidRDefault="00D119A9" w:rsidP="00832F58">
      <w:pPr>
        <w:rPr>
          <w:rFonts w:ascii="Arial Narrow" w:hAnsi="Arial Narrow" w:cs="Arial"/>
          <w:sz w:val="18"/>
          <w:szCs w:val="18"/>
        </w:rPr>
      </w:pPr>
      <w:r w:rsidRPr="00440AD0">
        <w:rPr>
          <w:rFonts w:ascii="Arial Narrow" w:hAnsi="Arial Narrow" w:cs="Arial"/>
          <w:sz w:val="18"/>
          <w:szCs w:val="18"/>
        </w:rPr>
        <w:t>Source: p1, PSCR</w:t>
      </w:r>
    </w:p>
    <w:p w:rsidR="00E62DD5" w:rsidRDefault="00E62DD5" w:rsidP="00E62DD5">
      <w:pPr>
        <w:pStyle w:val="ListParagraph"/>
        <w:ind w:left="0" w:firstLine="0"/>
        <w:rPr>
          <w:rFonts w:ascii="Arial" w:hAnsi="Arial" w:cs="Arial"/>
          <w:sz w:val="22"/>
          <w:szCs w:val="22"/>
        </w:rPr>
      </w:pPr>
    </w:p>
    <w:p w:rsidR="00D119A9" w:rsidRPr="00440AD0" w:rsidRDefault="00D119A9" w:rsidP="00832F58">
      <w:pPr>
        <w:pStyle w:val="ListParagraph"/>
        <w:numPr>
          <w:ilvl w:val="1"/>
          <w:numId w:val="4"/>
        </w:numPr>
        <w:ind w:left="720"/>
        <w:rPr>
          <w:rFonts w:ascii="Arial" w:hAnsi="Arial" w:cs="Arial"/>
          <w:sz w:val="22"/>
          <w:szCs w:val="22"/>
        </w:rPr>
      </w:pPr>
      <w:r w:rsidRPr="00440AD0">
        <w:rPr>
          <w:rFonts w:ascii="Arial" w:hAnsi="Arial" w:cs="Arial"/>
          <w:sz w:val="22"/>
          <w:szCs w:val="22"/>
        </w:rPr>
        <w:t xml:space="preserve">The PSCR stated that the revised model resulted in an ICER of </w:t>
      </w:r>
      <w:r w:rsidR="004E19E2">
        <w:rPr>
          <w:rFonts w:ascii="Arial" w:hAnsi="Arial" w:cs="Arial"/>
          <w:sz w:val="22"/>
          <w:szCs w:val="22"/>
        </w:rPr>
        <w:t>$45,000/QALY - $75,000/QALY</w:t>
      </w:r>
      <w:r w:rsidR="0065373E" w:rsidRPr="00440AD0">
        <w:rPr>
          <w:rFonts w:ascii="Arial" w:hAnsi="Arial" w:cs="Arial"/>
          <w:sz w:val="22"/>
          <w:szCs w:val="22"/>
        </w:rPr>
        <w:t xml:space="preserve"> gained</w:t>
      </w:r>
      <w:r w:rsidR="00DC54A3">
        <w:rPr>
          <w:rFonts w:ascii="Arial" w:hAnsi="Arial" w:cs="Arial"/>
          <w:sz w:val="22"/>
          <w:szCs w:val="22"/>
        </w:rPr>
        <w:t>, however, the ESC</w:t>
      </w:r>
      <w:r w:rsidRPr="00440AD0">
        <w:rPr>
          <w:rFonts w:ascii="Arial" w:hAnsi="Arial" w:cs="Arial"/>
          <w:sz w:val="22"/>
          <w:szCs w:val="22"/>
        </w:rPr>
        <w:t xml:space="preserve"> noted that the revised economic modelling workbook accompanying the PS</w:t>
      </w:r>
      <w:r w:rsidR="0056071E" w:rsidRPr="00440AD0">
        <w:rPr>
          <w:rFonts w:ascii="Arial" w:hAnsi="Arial" w:cs="Arial"/>
          <w:sz w:val="22"/>
          <w:szCs w:val="22"/>
        </w:rPr>
        <w:t xml:space="preserve">CR presented an ICER of </w:t>
      </w:r>
      <w:r w:rsidR="008D54C5">
        <w:rPr>
          <w:rFonts w:ascii="Arial" w:hAnsi="Arial" w:cs="Arial"/>
          <w:sz w:val="22"/>
          <w:szCs w:val="22"/>
        </w:rPr>
        <w:t>$45,000/QALY - $75,000/QALY</w:t>
      </w:r>
      <w:r w:rsidR="008D54C5" w:rsidRPr="00440AD0">
        <w:rPr>
          <w:rFonts w:ascii="Arial" w:hAnsi="Arial" w:cs="Arial"/>
          <w:sz w:val="22"/>
          <w:szCs w:val="22"/>
        </w:rPr>
        <w:t xml:space="preserve"> </w:t>
      </w:r>
      <w:r w:rsidR="0065373E" w:rsidRPr="00440AD0">
        <w:rPr>
          <w:rFonts w:ascii="Arial" w:hAnsi="Arial" w:cs="Arial"/>
          <w:sz w:val="22"/>
          <w:szCs w:val="22"/>
        </w:rPr>
        <w:t>gained</w:t>
      </w:r>
      <w:r w:rsidR="0056071E" w:rsidRPr="00440AD0">
        <w:rPr>
          <w:rFonts w:ascii="Arial" w:hAnsi="Arial" w:cs="Arial"/>
          <w:sz w:val="22"/>
          <w:szCs w:val="22"/>
        </w:rPr>
        <w:t>.</w:t>
      </w:r>
    </w:p>
    <w:p w:rsidR="00D119A9" w:rsidRPr="00F754F9" w:rsidRDefault="00D119A9" w:rsidP="00E62DD5">
      <w:pPr>
        <w:pStyle w:val="ListParagraph"/>
        <w:ind w:left="0" w:firstLine="0"/>
        <w:rPr>
          <w:rFonts w:ascii="Arial" w:hAnsi="Arial" w:cs="Arial"/>
          <w:sz w:val="22"/>
          <w:szCs w:val="22"/>
        </w:rPr>
      </w:pPr>
    </w:p>
    <w:p w:rsidR="00E62DD5" w:rsidRPr="00F754F9" w:rsidRDefault="00E62DD5" w:rsidP="00217726">
      <w:pPr>
        <w:pStyle w:val="ListParagraph"/>
        <w:numPr>
          <w:ilvl w:val="1"/>
          <w:numId w:val="4"/>
        </w:numPr>
        <w:ind w:left="720"/>
        <w:rPr>
          <w:rFonts w:ascii="Arial" w:hAnsi="Arial" w:cs="Arial"/>
          <w:sz w:val="22"/>
          <w:szCs w:val="22"/>
        </w:rPr>
      </w:pPr>
      <w:r w:rsidRPr="00F754F9">
        <w:rPr>
          <w:rFonts w:ascii="Arial" w:hAnsi="Arial" w:cs="Arial"/>
          <w:sz w:val="22"/>
          <w:szCs w:val="22"/>
        </w:rPr>
        <w:t xml:space="preserve">The evidence presented in the submission adequately supported the type of economic evaluation presented. However, the data from the KN-024 trial are immature (median OS had not been reached for patients treated with pembrolizumab or platinum-doublet chemotherapy), leading to a proportionately large reliance on </w:t>
      </w:r>
      <w:r w:rsidRPr="00F754F9">
        <w:rPr>
          <w:rFonts w:ascii="Arial" w:hAnsi="Arial" w:cs="Arial"/>
          <w:sz w:val="22"/>
          <w:szCs w:val="22"/>
        </w:rPr>
        <w:lastRenderedPageBreak/>
        <w:t xml:space="preserve">extrapolated outcomes. </w:t>
      </w:r>
      <w:r w:rsidRPr="00440AD0">
        <w:rPr>
          <w:rFonts w:ascii="Arial" w:hAnsi="Arial" w:cs="Arial"/>
          <w:sz w:val="22"/>
          <w:szCs w:val="22"/>
        </w:rPr>
        <w:t xml:space="preserve">The </w:t>
      </w:r>
      <w:r w:rsidR="00DC54A3">
        <w:rPr>
          <w:rFonts w:ascii="Arial" w:hAnsi="Arial" w:cs="Arial"/>
          <w:sz w:val="22"/>
          <w:szCs w:val="22"/>
        </w:rPr>
        <w:t>ESC</w:t>
      </w:r>
      <w:r w:rsidR="00BC0C9C" w:rsidRPr="00440AD0">
        <w:rPr>
          <w:rFonts w:ascii="Arial" w:hAnsi="Arial" w:cs="Arial"/>
          <w:sz w:val="22"/>
          <w:szCs w:val="22"/>
        </w:rPr>
        <w:t xml:space="preserve"> considered that the </w:t>
      </w:r>
      <w:r w:rsidRPr="00440AD0">
        <w:rPr>
          <w:rFonts w:ascii="Arial" w:hAnsi="Arial" w:cs="Arial"/>
          <w:sz w:val="22"/>
          <w:szCs w:val="22"/>
        </w:rPr>
        <w:t>submission</w:t>
      </w:r>
      <w:r w:rsidR="00BC0C9C" w:rsidRPr="00440AD0">
        <w:rPr>
          <w:rFonts w:ascii="Arial" w:hAnsi="Arial" w:cs="Arial"/>
          <w:sz w:val="22"/>
          <w:szCs w:val="22"/>
        </w:rPr>
        <w:t xml:space="preserve">’s inclusion of </w:t>
      </w:r>
      <w:r w:rsidRPr="00440AD0">
        <w:rPr>
          <w:rFonts w:ascii="Arial" w:hAnsi="Arial" w:cs="Arial"/>
          <w:sz w:val="22"/>
          <w:szCs w:val="22"/>
        </w:rPr>
        <w:t>retreatment in the economic evaluation</w:t>
      </w:r>
      <w:r w:rsidR="00BC0C9C" w:rsidRPr="00440AD0">
        <w:rPr>
          <w:rFonts w:ascii="Arial" w:hAnsi="Arial" w:cs="Arial"/>
          <w:sz w:val="22"/>
          <w:szCs w:val="22"/>
        </w:rPr>
        <w:t xml:space="preserve"> was </w:t>
      </w:r>
      <w:r w:rsidRPr="00440AD0">
        <w:rPr>
          <w:rFonts w:ascii="Arial" w:hAnsi="Arial" w:cs="Arial"/>
          <w:sz w:val="22"/>
          <w:szCs w:val="22"/>
        </w:rPr>
        <w:t xml:space="preserve">not reasonable as there </w:t>
      </w:r>
      <w:r w:rsidR="000E315C" w:rsidRPr="00440AD0">
        <w:rPr>
          <w:rFonts w:ascii="Arial" w:hAnsi="Arial" w:cs="Arial"/>
          <w:sz w:val="22"/>
          <w:szCs w:val="22"/>
        </w:rPr>
        <w:t>wa</w:t>
      </w:r>
      <w:r w:rsidRPr="00440AD0">
        <w:rPr>
          <w:rFonts w:ascii="Arial" w:hAnsi="Arial" w:cs="Arial"/>
          <w:sz w:val="22"/>
          <w:szCs w:val="22"/>
        </w:rPr>
        <w:t>s no evidence to support the clinical effectiveness of this approach.</w:t>
      </w:r>
    </w:p>
    <w:p w:rsidR="0095055D" w:rsidRPr="00F6757B" w:rsidRDefault="0095055D" w:rsidP="00F6757B">
      <w:pPr>
        <w:pStyle w:val="Heading3"/>
      </w:pPr>
      <w:bookmarkStart w:id="42" w:name="_Toc471744461"/>
      <w:r w:rsidRPr="00F6757B">
        <w:t>Translation issues</w:t>
      </w:r>
      <w:bookmarkEnd w:id="38"/>
      <w:bookmarkEnd w:id="42"/>
    </w:p>
    <w:p w:rsidR="0095055D" w:rsidRPr="007B14F5" w:rsidRDefault="0095055D" w:rsidP="00217726">
      <w:pPr>
        <w:pStyle w:val="ListParagraph"/>
        <w:numPr>
          <w:ilvl w:val="1"/>
          <w:numId w:val="4"/>
        </w:numPr>
        <w:ind w:left="720"/>
        <w:rPr>
          <w:rFonts w:ascii="Arial" w:hAnsi="Arial" w:cs="Arial"/>
          <w:sz w:val="22"/>
          <w:szCs w:val="22"/>
        </w:rPr>
      </w:pPr>
      <w:bookmarkStart w:id="43" w:name="_Toc431891746"/>
      <w:r w:rsidRPr="007B14F5">
        <w:rPr>
          <w:rFonts w:ascii="Arial" w:hAnsi="Arial" w:cs="Arial"/>
          <w:sz w:val="22"/>
          <w:szCs w:val="22"/>
        </w:rPr>
        <w:t xml:space="preserve">Translation issues identified by the submission are presented in Table </w:t>
      </w:r>
      <w:r w:rsidR="00B0118C">
        <w:rPr>
          <w:rFonts w:ascii="Arial" w:hAnsi="Arial" w:cs="Arial"/>
          <w:sz w:val="22"/>
          <w:szCs w:val="22"/>
        </w:rPr>
        <w:t>9</w:t>
      </w:r>
      <w:r w:rsidR="00956B85" w:rsidRPr="007B14F5">
        <w:rPr>
          <w:rFonts w:ascii="Arial" w:hAnsi="Arial" w:cs="Arial"/>
          <w:sz w:val="22"/>
          <w:szCs w:val="22"/>
        </w:rPr>
        <w:t>.</w:t>
      </w:r>
    </w:p>
    <w:p w:rsidR="0095055D" w:rsidRPr="007B14F5" w:rsidRDefault="0095055D" w:rsidP="00C71CDD">
      <w:pPr>
        <w:rPr>
          <w:rFonts w:ascii="Arial" w:hAnsi="Arial" w:cs="Arial"/>
          <w:sz w:val="22"/>
          <w:szCs w:val="22"/>
        </w:rPr>
      </w:pPr>
    </w:p>
    <w:p w:rsidR="0095055D" w:rsidRPr="00C15D3B" w:rsidRDefault="0095055D" w:rsidP="00C71CDD">
      <w:pPr>
        <w:pStyle w:val="TableHeading0"/>
      </w:pPr>
      <w:r w:rsidRPr="00C15D3B">
        <w:t xml:space="preserve">Table </w:t>
      </w:r>
      <w:r w:rsidR="00B0118C">
        <w:t>9</w:t>
      </w:r>
      <w:r w:rsidRPr="00C15D3B">
        <w:t xml:space="preserve">: </w:t>
      </w:r>
      <w:r w:rsidR="00C15D3B" w:rsidRPr="00C15D3B">
        <w:t>Translation issues identified by the submission</w:t>
      </w:r>
    </w:p>
    <w:tbl>
      <w:tblPr>
        <w:tblW w:w="498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674"/>
        <w:gridCol w:w="7382"/>
      </w:tblGrid>
      <w:tr w:rsidR="0095055D" w:rsidRPr="00BC0C9C" w:rsidTr="00E339DA">
        <w:trPr>
          <w:trHeight w:val="20"/>
        </w:trPr>
        <w:tc>
          <w:tcPr>
            <w:tcW w:w="924" w:type="pct"/>
          </w:tcPr>
          <w:p w:rsidR="0095055D" w:rsidRPr="00BC0C9C" w:rsidRDefault="0095055D" w:rsidP="00C71CDD">
            <w:pPr>
              <w:pStyle w:val="TableText0"/>
              <w:keepNext w:val="0"/>
              <w:jc w:val="left"/>
              <w:rPr>
                <w:b/>
              </w:rPr>
            </w:pPr>
            <w:r w:rsidRPr="00BC0C9C">
              <w:rPr>
                <w:b/>
              </w:rPr>
              <w:t>Issue</w:t>
            </w:r>
          </w:p>
        </w:tc>
        <w:tc>
          <w:tcPr>
            <w:tcW w:w="4076" w:type="pct"/>
            <w:vAlign w:val="center"/>
          </w:tcPr>
          <w:p w:rsidR="0095055D" w:rsidRPr="00BC0C9C" w:rsidRDefault="0095055D" w:rsidP="00C71CDD">
            <w:pPr>
              <w:pStyle w:val="TableText0"/>
              <w:keepNext w:val="0"/>
              <w:rPr>
                <w:b/>
              </w:rPr>
            </w:pPr>
            <w:r w:rsidRPr="00BC0C9C">
              <w:rPr>
                <w:b/>
              </w:rPr>
              <w:t>Results</w:t>
            </w:r>
          </w:p>
        </w:tc>
      </w:tr>
      <w:tr w:rsidR="0095055D" w:rsidRPr="00BC0C9C" w:rsidTr="00E339DA">
        <w:tc>
          <w:tcPr>
            <w:tcW w:w="5000" w:type="pct"/>
            <w:gridSpan w:val="2"/>
          </w:tcPr>
          <w:p w:rsidR="0095055D" w:rsidRPr="00BC0C9C" w:rsidRDefault="0095055D" w:rsidP="00C71CDD">
            <w:pPr>
              <w:pStyle w:val="TableText0"/>
              <w:keepNext w:val="0"/>
              <w:jc w:val="left"/>
              <w:rPr>
                <w:b/>
              </w:rPr>
            </w:pPr>
            <w:r w:rsidRPr="00BC0C9C">
              <w:rPr>
                <w:b/>
              </w:rPr>
              <w:t>Applicability premodelling studies</w:t>
            </w:r>
          </w:p>
        </w:tc>
      </w:tr>
      <w:tr w:rsidR="000E315C" w:rsidRPr="00BC0C9C" w:rsidTr="00E339DA">
        <w:tc>
          <w:tcPr>
            <w:tcW w:w="924" w:type="pct"/>
          </w:tcPr>
          <w:p w:rsidR="0095055D" w:rsidRPr="00BC0C9C" w:rsidRDefault="0095055D" w:rsidP="00C71CDD">
            <w:pPr>
              <w:pStyle w:val="TableText0"/>
              <w:keepNext w:val="0"/>
              <w:jc w:val="left"/>
            </w:pPr>
            <w:r w:rsidRPr="00BC0C9C">
              <w:t>Applicability of trials</w:t>
            </w:r>
          </w:p>
        </w:tc>
        <w:tc>
          <w:tcPr>
            <w:tcW w:w="4076" w:type="pct"/>
          </w:tcPr>
          <w:p w:rsidR="0095055D" w:rsidRPr="00F754F9" w:rsidRDefault="00C15D3B" w:rsidP="00FC6E54">
            <w:pPr>
              <w:pStyle w:val="TableText0"/>
              <w:keepNext w:val="0"/>
              <w:rPr>
                <w:highlight w:val="yellow"/>
              </w:rPr>
            </w:pPr>
            <w:r w:rsidRPr="00F754F9">
              <w:t xml:space="preserve">The submission identified no differences between patients enrolled in the trial and </w:t>
            </w:r>
            <w:r w:rsidR="00A3410B" w:rsidRPr="00F754F9">
              <w:t>the proposed PBS population</w:t>
            </w:r>
            <w:r w:rsidRPr="00F754F9">
              <w:t xml:space="preserve">. Study results were directly applied to the modelled evaluation. The </w:t>
            </w:r>
            <w:r w:rsidR="00FC6E54">
              <w:t xml:space="preserve">initially </w:t>
            </w:r>
            <w:r w:rsidRPr="00F754F9">
              <w:t xml:space="preserve">proposed population eligible for pembrolizumab was broader than the KN-024 trial population, in terms of ECOG </w:t>
            </w:r>
            <w:r w:rsidR="00F2368E" w:rsidRPr="00F754F9">
              <w:t>PS</w:t>
            </w:r>
            <w:r w:rsidRPr="00F754F9">
              <w:t xml:space="preserve"> </w:t>
            </w:r>
            <w:r w:rsidR="00E87F73" w:rsidRPr="00F754F9">
              <w:t xml:space="preserve">(no restriction vs 0-1) </w:t>
            </w:r>
            <w:r w:rsidRPr="00F754F9">
              <w:t>and stage of disease</w:t>
            </w:r>
            <w:r w:rsidR="00E87F73" w:rsidRPr="00F754F9">
              <w:t xml:space="preserve"> (Stage IIIB/IV vs Stage IV)</w:t>
            </w:r>
            <w:r w:rsidRPr="00F754F9">
              <w:t xml:space="preserve">. </w:t>
            </w:r>
            <w:r w:rsidR="00BC0C9C" w:rsidRPr="00440AD0">
              <w:t>The PSCR revised the eligible population to include only patients with Stage IV disease and with a PS of 0 or 1.</w:t>
            </w:r>
            <w:r w:rsidR="00BC0C9C" w:rsidRPr="00F754F9">
              <w:t xml:space="preserve"> </w:t>
            </w:r>
          </w:p>
        </w:tc>
      </w:tr>
      <w:tr w:rsidR="000E315C" w:rsidRPr="00BC0C9C" w:rsidTr="00E339DA">
        <w:tc>
          <w:tcPr>
            <w:tcW w:w="924" w:type="pct"/>
          </w:tcPr>
          <w:p w:rsidR="0095055D" w:rsidRPr="00BC0C9C" w:rsidRDefault="0095055D" w:rsidP="00C71CDD">
            <w:pPr>
              <w:pStyle w:val="TableText0"/>
              <w:keepNext w:val="0"/>
              <w:jc w:val="left"/>
            </w:pPr>
            <w:r w:rsidRPr="00BC0C9C">
              <w:t>Prognostic effect of PD-L1</w:t>
            </w:r>
          </w:p>
        </w:tc>
        <w:tc>
          <w:tcPr>
            <w:tcW w:w="4076" w:type="pct"/>
          </w:tcPr>
          <w:p w:rsidR="0095055D" w:rsidRPr="00F754F9" w:rsidRDefault="00C15D3B" w:rsidP="00E83FB8">
            <w:pPr>
              <w:pStyle w:val="TableText0"/>
              <w:keepNext w:val="0"/>
              <w:rPr>
                <w:highlight w:val="yellow"/>
              </w:rPr>
            </w:pPr>
            <w:r w:rsidRPr="00F754F9">
              <w:t xml:space="preserve">The submission did not identify a clear prognostic effect of PD-L1 status in the literature. The submission assumed similar efficacy of </w:t>
            </w:r>
            <w:r w:rsidR="00E83FB8" w:rsidRPr="00F754F9">
              <w:t>platinum-doublet chemotherapy</w:t>
            </w:r>
            <w:r w:rsidRPr="00F754F9">
              <w:t xml:space="preserve"> in PD-L1 positive and negative populations. </w:t>
            </w:r>
            <w:r w:rsidR="00CE33FE" w:rsidRPr="00F754F9">
              <w:t>This may be reasonable, however absence of evidence for a prognostic effect is not definitive evidence that no effect exists, and this remains an issue of uncertainty.</w:t>
            </w:r>
          </w:p>
        </w:tc>
      </w:tr>
      <w:tr w:rsidR="000E315C" w:rsidRPr="00BC0C9C" w:rsidTr="00E339DA">
        <w:tc>
          <w:tcPr>
            <w:tcW w:w="924" w:type="pct"/>
          </w:tcPr>
          <w:p w:rsidR="0095055D" w:rsidRPr="00BC0C9C" w:rsidRDefault="0095055D" w:rsidP="00C71CDD">
            <w:pPr>
              <w:pStyle w:val="TableText0"/>
              <w:keepNext w:val="0"/>
              <w:jc w:val="left"/>
            </w:pPr>
            <w:r w:rsidRPr="00BC0C9C">
              <w:t>Prevalence of PD-L1 positivity</w:t>
            </w:r>
          </w:p>
        </w:tc>
        <w:tc>
          <w:tcPr>
            <w:tcW w:w="4076" w:type="pct"/>
          </w:tcPr>
          <w:p w:rsidR="0095055D" w:rsidRPr="00F754F9" w:rsidRDefault="00C15D3B" w:rsidP="00C03731">
            <w:pPr>
              <w:pStyle w:val="TableText0"/>
              <w:keepNext w:val="0"/>
              <w:rPr>
                <w:highlight w:val="yellow"/>
              </w:rPr>
            </w:pPr>
            <w:r w:rsidRPr="00F754F9">
              <w:t>The literature review identified one Australian study</w:t>
            </w:r>
            <w:r w:rsidR="0057151F" w:rsidRPr="00F754F9">
              <w:rPr>
                <w:rStyle w:val="FootnoteReference"/>
              </w:rPr>
              <w:footnoteReference w:id="8"/>
            </w:r>
            <w:r w:rsidRPr="00F754F9">
              <w:t xml:space="preserve"> that reported prevalence of TPS ≥50% in early (</w:t>
            </w:r>
            <w:r w:rsidR="002905E3" w:rsidRPr="00F754F9">
              <w:t>Stage</w:t>
            </w:r>
            <w:r w:rsidRPr="00F754F9">
              <w:t xml:space="preserve"> I-III) NSCLC (7.4%) and one Danish study</w:t>
            </w:r>
            <w:r w:rsidR="0057151F" w:rsidRPr="00F754F9">
              <w:rPr>
                <w:rStyle w:val="FootnoteReference"/>
              </w:rPr>
              <w:footnoteReference w:id="9"/>
            </w:r>
            <w:r w:rsidRPr="00F754F9">
              <w:t xml:space="preserve"> in advanced patients (25%). Prevalence in Australian patients screened for KN-024 was also reported (28.5%), a</w:t>
            </w:r>
            <w:r w:rsidR="00E83FB8" w:rsidRPr="00F754F9">
              <w:t xml:space="preserve">nd across all patients </w:t>
            </w:r>
            <w:r w:rsidR="00392A33" w:rsidRPr="00F754F9">
              <w:t>screened for</w:t>
            </w:r>
            <w:r w:rsidR="00E83FB8" w:rsidRPr="00F754F9">
              <w:t xml:space="preserve"> KN-024</w:t>
            </w:r>
            <w:r w:rsidRPr="00F754F9">
              <w:t xml:space="preserve"> (28.9%). Prevalence reported in Australian patients screened for KN-024 was used in the economic model. This may be reasonable if the same antibody used in the KN-024 trial is used in clinical practice</w:t>
            </w:r>
            <w:r w:rsidR="00265590" w:rsidRPr="00F754F9">
              <w:t>, and if the test performs in practice as in the trial</w:t>
            </w:r>
            <w:r w:rsidRPr="00F754F9">
              <w:t>. However, caution is required when extrapolating the benefit observed in TPS ≥50% patients from the KN-024 to TPS ≥50% patients identified usin</w:t>
            </w:r>
            <w:r w:rsidR="00C03731" w:rsidRPr="00F754F9">
              <w:t xml:space="preserve">g different PD-1/PD-L1 antibodies </w:t>
            </w:r>
            <w:r w:rsidRPr="00F754F9">
              <w:t xml:space="preserve">that may be used in clinical practice. </w:t>
            </w:r>
            <w:r w:rsidR="007F7E81" w:rsidRPr="00F754F9">
              <w:t xml:space="preserve">Furthermore, as the proposed </w:t>
            </w:r>
            <w:r w:rsidR="00A66FD1" w:rsidRPr="00F754F9">
              <w:t xml:space="preserve">MBS </w:t>
            </w:r>
            <w:r w:rsidR="007F7E81" w:rsidRPr="00F754F9">
              <w:t>item descriptor did not specify disease stage for PD-L1 testing, should patients with earlier stage disease uptake PD-L1 testing and</w:t>
            </w:r>
            <w:r w:rsidR="00A66FD1" w:rsidRPr="00F754F9">
              <w:t>,</w:t>
            </w:r>
            <w:r w:rsidR="007F7E81" w:rsidRPr="00F754F9">
              <w:t xml:space="preserve"> if these patients have a lower prevalence of TPS ≥50%, as observed in the study of early stage NSCLC, lower estimates of prevalence may be observed than those modelled in the submission.</w:t>
            </w:r>
          </w:p>
        </w:tc>
      </w:tr>
      <w:tr w:rsidR="000E315C" w:rsidRPr="00BC0C9C" w:rsidTr="00E339DA">
        <w:tc>
          <w:tcPr>
            <w:tcW w:w="924" w:type="pct"/>
          </w:tcPr>
          <w:p w:rsidR="00C15D3B" w:rsidRPr="00BC0C9C" w:rsidRDefault="00C15D3B" w:rsidP="00C15D3B">
            <w:pPr>
              <w:pStyle w:val="TableText0"/>
              <w:keepNext w:val="0"/>
              <w:jc w:val="left"/>
              <w:rPr>
                <w:highlight w:val="yellow"/>
              </w:rPr>
            </w:pPr>
            <w:r w:rsidRPr="00BC0C9C">
              <w:t>Comparison of first-line NSCLC regimens that do and do not include pemetrexed</w:t>
            </w:r>
          </w:p>
        </w:tc>
        <w:tc>
          <w:tcPr>
            <w:tcW w:w="4076" w:type="pct"/>
          </w:tcPr>
          <w:p w:rsidR="00C15D3B" w:rsidRPr="00F754F9" w:rsidRDefault="00392A33" w:rsidP="00C03731">
            <w:pPr>
              <w:pStyle w:val="TableText0"/>
              <w:keepNext w:val="0"/>
              <w:rPr>
                <w:highlight w:val="yellow"/>
              </w:rPr>
            </w:pPr>
            <w:r w:rsidRPr="00F754F9">
              <w:t>The systematic review concluded similar efficacy between regimens that d</w:t>
            </w:r>
            <w:r w:rsidR="00C03731" w:rsidRPr="00F754F9">
              <w:t>o</w:t>
            </w:r>
            <w:r w:rsidRPr="00F754F9">
              <w:t xml:space="preserve"> and do not include pemet</w:t>
            </w:r>
            <w:r w:rsidR="00C03731" w:rsidRPr="00F754F9">
              <w:t>rexed. T</w:t>
            </w:r>
            <w:r w:rsidRPr="00F754F9">
              <w:t xml:space="preserve">he economic model used the overall data from the comparator arm of KN-024. </w:t>
            </w:r>
            <w:r w:rsidR="00A3410B" w:rsidRPr="00F754F9">
              <w:t xml:space="preserve">This was consistent with </w:t>
            </w:r>
            <w:r w:rsidR="0026320B" w:rsidRPr="00F754F9">
              <w:t xml:space="preserve">the </w:t>
            </w:r>
            <w:r w:rsidR="00A3410B" w:rsidRPr="00F754F9">
              <w:t>previous PBAC consideration.</w:t>
            </w:r>
          </w:p>
        </w:tc>
      </w:tr>
      <w:tr w:rsidR="000E315C" w:rsidRPr="00BC0C9C" w:rsidTr="00E339DA">
        <w:tc>
          <w:tcPr>
            <w:tcW w:w="924" w:type="pct"/>
          </w:tcPr>
          <w:p w:rsidR="00C15D3B" w:rsidRPr="00BC0C9C" w:rsidRDefault="00C15D3B" w:rsidP="00C15D3B">
            <w:pPr>
              <w:pStyle w:val="TableText0"/>
              <w:keepNext w:val="0"/>
              <w:jc w:val="left"/>
              <w:rPr>
                <w:highlight w:val="yellow"/>
              </w:rPr>
            </w:pPr>
            <w:r w:rsidRPr="00BC0C9C">
              <w:t>PD-L1 status as treatment effect modifier</w:t>
            </w:r>
          </w:p>
        </w:tc>
        <w:tc>
          <w:tcPr>
            <w:tcW w:w="4076" w:type="pct"/>
          </w:tcPr>
          <w:p w:rsidR="00C15D3B" w:rsidRPr="00F754F9" w:rsidRDefault="0032228C" w:rsidP="00B76173">
            <w:pPr>
              <w:pStyle w:val="TableText0"/>
              <w:keepNext w:val="0"/>
              <w:rPr>
                <w:highlight w:val="yellow"/>
              </w:rPr>
            </w:pPr>
            <w:r w:rsidRPr="00F754F9">
              <w:t xml:space="preserve">The submission claimed that </w:t>
            </w:r>
            <w:r w:rsidR="00C15D3B" w:rsidRPr="00F754F9">
              <w:t xml:space="preserve">PD-L1 status </w:t>
            </w:r>
            <w:r w:rsidRPr="00F754F9">
              <w:t xml:space="preserve">is </w:t>
            </w:r>
            <w:r w:rsidR="00C15D3B" w:rsidRPr="00F754F9">
              <w:t xml:space="preserve">a treatment effect modifier based on the plausibility of treatment effect variation and quantitative analysis to demonstrate treatment effect variation. </w:t>
            </w:r>
            <w:r w:rsidR="00A3410B" w:rsidRPr="00F754F9">
              <w:t xml:space="preserve">The argument presented to support treatment effect modification by PD-L1 status in chemotherapy-naïve patients was not well supported. </w:t>
            </w:r>
          </w:p>
        </w:tc>
      </w:tr>
      <w:tr w:rsidR="000E315C" w:rsidRPr="00BC0C9C" w:rsidTr="00E339DA">
        <w:tc>
          <w:tcPr>
            <w:tcW w:w="924" w:type="pct"/>
          </w:tcPr>
          <w:p w:rsidR="00C15D3B" w:rsidRPr="00BC0C9C" w:rsidRDefault="00C15D3B" w:rsidP="00C15D3B">
            <w:pPr>
              <w:pStyle w:val="TableText0"/>
              <w:keepNext w:val="0"/>
              <w:jc w:val="left"/>
              <w:rPr>
                <w:highlight w:val="yellow"/>
              </w:rPr>
            </w:pPr>
            <w:r w:rsidRPr="00BC0C9C">
              <w:t>Comparison of the different pembrolizumab doses used in NSCLC trials.</w:t>
            </w:r>
          </w:p>
        </w:tc>
        <w:tc>
          <w:tcPr>
            <w:tcW w:w="4076" w:type="pct"/>
          </w:tcPr>
          <w:p w:rsidR="00C15D3B" w:rsidRPr="00F754F9" w:rsidRDefault="00C15D3B" w:rsidP="000E315C">
            <w:pPr>
              <w:pStyle w:val="TableText0"/>
              <w:keepNext w:val="0"/>
              <w:rPr>
                <w:highlight w:val="yellow"/>
              </w:rPr>
            </w:pPr>
            <w:r w:rsidRPr="00F754F9">
              <w:t xml:space="preserve">The submission </w:t>
            </w:r>
            <w:r w:rsidR="000E315C" w:rsidRPr="00F754F9">
              <w:t xml:space="preserve">stated </w:t>
            </w:r>
            <w:r w:rsidRPr="00F754F9">
              <w:t xml:space="preserve">that the pembrolizumab 2 mg/kg and 10 mg/kg doses were similar to the pembrolizumab </w:t>
            </w:r>
            <w:r w:rsidR="00770884" w:rsidRPr="00F754F9">
              <w:t>200 mg</w:t>
            </w:r>
            <w:r w:rsidRPr="00F754F9">
              <w:t xml:space="preserve"> </w:t>
            </w:r>
            <w:r w:rsidR="00E83FB8" w:rsidRPr="00F754F9">
              <w:t>fixed</w:t>
            </w:r>
            <w:r w:rsidRPr="00F754F9">
              <w:t xml:space="preserve"> dose. Data from KN-001 </w:t>
            </w:r>
            <w:r w:rsidR="00392A33" w:rsidRPr="00F754F9">
              <w:t>was</w:t>
            </w:r>
            <w:r w:rsidRPr="00F754F9">
              <w:t xml:space="preserve"> used in the model to estimate the relative efficacy of pembrolizumab in the PD-L1 negative population. Less overlap </w:t>
            </w:r>
            <w:r w:rsidR="00E90A87" w:rsidRPr="00F754F9">
              <w:t>wa</w:t>
            </w:r>
            <w:r w:rsidRPr="00F754F9">
              <w:t xml:space="preserve">s observed in AUC between the pembrolizumab 10 mg/kg dosing and either the 2 mg/kg dose or </w:t>
            </w:r>
            <w:r w:rsidR="00770884" w:rsidRPr="00F754F9">
              <w:t>200 mg</w:t>
            </w:r>
            <w:r w:rsidRPr="00F754F9">
              <w:t xml:space="preserve"> fixed dose. This may be consistent with the clinical evidence from KN-010 (later-line NSCLC) where patients randomised to pembrolizumab 10 mg/kg experienced longer median OS benefit (17.3 months) compared to those randomised to pembrolizumab 2 mg/kg (14.9 months). Given that the majority of patients in KN-001 received pembrolizumab 10 mg/kg doses (94%), there may be some uncertainty </w:t>
            </w:r>
            <w:r w:rsidRPr="00F754F9">
              <w:lastRenderedPageBreak/>
              <w:t>in the applicability of these data to inform outcomes with pembrolizumab treatment in PD-L1 negative (TPS &lt;50%) patients.</w:t>
            </w:r>
          </w:p>
        </w:tc>
      </w:tr>
      <w:tr w:rsidR="000E315C" w:rsidRPr="00BC0C9C" w:rsidTr="00E339DA">
        <w:tc>
          <w:tcPr>
            <w:tcW w:w="924" w:type="pct"/>
          </w:tcPr>
          <w:p w:rsidR="00C15D3B" w:rsidRPr="00BC0C9C" w:rsidRDefault="00C15D3B" w:rsidP="00C15D3B">
            <w:pPr>
              <w:pStyle w:val="TableText0"/>
              <w:keepNext w:val="0"/>
              <w:jc w:val="left"/>
              <w:rPr>
                <w:highlight w:val="yellow"/>
              </w:rPr>
            </w:pPr>
            <w:r w:rsidRPr="00BC0C9C">
              <w:lastRenderedPageBreak/>
              <w:t>Applicability of trial PD-L1 testing to clinical practice</w:t>
            </w:r>
          </w:p>
        </w:tc>
        <w:tc>
          <w:tcPr>
            <w:tcW w:w="4076" w:type="pct"/>
          </w:tcPr>
          <w:p w:rsidR="00C15D3B" w:rsidRPr="00F754F9" w:rsidRDefault="00C15D3B" w:rsidP="00E90A87">
            <w:pPr>
              <w:pStyle w:val="TableText0"/>
              <w:keepNext w:val="0"/>
              <w:rPr>
                <w:highlight w:val="yellow"/>
              </w:rPr>
            </w:pPr>
            <w:r w:rsidRPr="00F754F9">
              <w:t xml:space="preserve">The submission concluded that while </w:t>
            </w:r>
            <w:r w:rsidR="00E90A87" w:rsidRPr="00F754F9">
              <w:t xml:space="preserve">there were </w:t>
            </w:r>
            <w:r w:rsidRPr="00F754F9">
              <w:t xml:space="preserve">differences between PD-L1 testing </w:t>
            </w:r>
            <w:r w:rsidR="00E90A87" w:rsidRPr="00F754F9">
              <w:t>in</w:t>
            </w:r>
            <w:r w:rsidRPr="00F754F9">
              <w:t xml:space="preserve"> the trial and as proposed in clinical practice, in terms of timing and type of tissue sample and antibody used, the results from KN-024 would be used in the base case economic evaluation, and would be tested in sensitivity analyses. This was reasonable.</w:t>
            </w:r>
          </w:p>
        </w:tc>
      </w:tr>
      <w:tr w:rsidR="0095055D" w:rsidRPr="00BC0C9C" w:rsidTr="00E339DA">
        <w:tc>
          <w:tcPr>
            <w:tcW w:w="5000" w:type="pct"/>
            <w:gridSpan w:val="2"/>
          </w:tcPr>
          <w:p w:rsidR="0095055D" w:rsidRPr="00BC0C9C" w:rsidRDefault="0095055D" w:rsidP="00C71CDD">
            <w:pPr>
              <w:pStyle w:val="TableText0"/>
              <w:jc w:val="left"/>
              <w:rPr>
                <w:b/>
              </w:rPr>
            </w:pPr>
            <w:r w:rsidRPr="00BC0C9C">
              <w:rPr>
                <w:b/>
              </w:rPr>
              <w:t>Extrapolation premodelling studies</w:t>
            </w:r>
          </w:p>
        </w:tc>
      </w:tr>
      <w:tr w:rsidR="00C15D3B" w:rsidRPr="00BC0C9C" w:rsidTr="00E339DA">
        <w:tc>
          <w:tcPr>
            <w:tcW w:w="924" w:type="pct"/>
          </w:tcPr>
          <w:p w:rsidR="00C15D3B" w:rsidRPr="00832F58" w:rsidRDefault="00C15D3B" w:rsidP="00832F58">
            <w:pPr>
              <w:pStyle w:val="TableText0"/>
              <w:keepNext w:val="0"/>
              <w:spacing w:after="100" w:line="276" w:lineRule="auto"/>
              <w:jc w:val="left"/>
            </w:pPr>
            <w:r w:rsidRPr="00100B72">
              <w:t>Extrapolation of PFS and OS</w:t>
            </w:r>
          </w:p>
        </w:tc>
        <w:tc>
          <w:tcPr>
            <w:tcW w:w="4076" w:type="pct"/>
          </w:tcPr>
          <w:p w:rsidR="006B16B3" w:rsidRPr="00F754F9" w:rsidRDefault="00392A33" w:rsidP="006B16B3">
            <w:pPr>
              <w:pStyle w:val="TableText0"/>
            </w:pPr>
            <w:r w:rsidRPr="00F754F9">
              <w:t xml:space="preserve">Kaplan-Meier data were used in the model up to </w:t>
            </w:r>
            <w:r w:rsidR="003146B2" w:rsidRPr="00F754F9">
              <w:t xml:space="preserve">selected </w:t>
            </w:r>
            <w:r w:rsidR="00A3410B" w:rsidRPr="00F754F9">
              <w:t>time point</w:t>
            </w:r>
            <w:r w:rsidR="003146B2" w:rsidRPr="00F754F9">
              <w:t>s which varied for PFS and OS, and by treatment arm</w:t>
            </w:r>
            <w:r w:rsidRPr="00F754F9">
              <w:t>. For OS, th</w:t>
            </w:r>
            <w:r w:rsidR="00D011C6" w:rsidRPr="00F754F9">
              <w:t>e</w:t>
            </w:r>
            <w:r w:rsidRPr="00F754F9">
              <w:t>s</w:t>
            </w:r>
            <w:r w:rsidR="00D011C6" w:rsidRPr="00F754F9">
              <w:t>e</w:t>
            </w:r>
            <w:r w:rsidRPr="00F754F9">
              <w:t xml:space="preserve"> w</w:t>
            </w:r>
            <w:r w:rsidR="00D011C6" w:rsidRPr="00F754F9">
              <w:t>ere</w:t>
            </w:r>
            <w:r w:rsidRPr="00F754F9">
              <w:t xml:space="preserve"> determined by Chow tests</w:t>
            </w:r>
            <w:r w:rsidR="00D011C6" w:rsidRPr="00F754F9">
              <w:t xml:space="preserve"> – week 32 for pembrolizumab, and week 25 for platinum-doublet chemotherapy</w:t>
            </w:r>
            <w:r w:rsidR="004F4039" w:rsidRPr="00F754F9">
              <w:t xml:space="preserve"> (compared to 48 weeks median follow-up)</w:t>
            </w:r>
            <w:r w:rsidRPr="00F754F9">
              <w:t xml:space="preserve">. </w:t>
            </w:r>
            <w:r w:rsidR="006B16B3" w:rsidRPr="00F754F9">
              <w:t xml:space="preserve">This was not consistent with the preferred approach to use all reliable empirical data. Further, little </w:t>
            </w:r>
            <w:r w:rsidR="00365257" w:rsidRPr="00F754F9">
              <w:t xml:space="preserve">information </w:t>
            </w:r>
            <w:r w:rsidR="00E90A87" w:rsidRPr="00F754F9">
              <w:t>wa</w:t>
            </w:r>
            <w:r w:rsidR="00365257" w:rsidRPr="00F754F9">
              <w:t xml:space="preserve">s provided in the submission regarding how the Chow tests were performed. </w:t>
            </w:r>
            <w:r w:rsidRPr="00F754F9">
              <w:t xml:space="preserve">No justification was provided for the </w:t>
            </w:r>
            <w:r w:rsidR="00C760DD" w:rsidRPr="00F754F9">
              <w:t xml:space="preserve">time </w:t>
            </w:r>
            <w:r w:rsidRPr="00F754F9">
              <w:t>point selected for PFS</w:t>
            </w:r>
            <w:r w:rsidR="00A518DC" w:rsidRPr="00F754F9">
              <w:t xml:space="preserve"> (week 27 for both treatment arms)</w:t>
            </w:r>
            <w:r w:rsidRPr="00F754F9">
              <w:t xml:space="preserve">. Beyond these points, </w:t>
            </w:r>
            <w:r w:rsidR="00E90A87" w:rsidRPr="00F754F9">
              <w:t xml:space="preserve">the </w:t>
            </w:r>
            <w:r w:rsidRPr="00F754F9">
              <w:t>OS and PFS curves from KN-024 were extrapolated separately by treatment</w:t>
            </w:r>
            <w:r w:rsidR="00853B4A" w:rsidRPr="00F754F9">
              <w:t xml:space="preserve"> arm, as the proportional hazards assumption did not hold</w:t>
            </w:r>
            <w:r w:rsidR="00E90A87" w:rsidRPr="00F754F9">
              <w:t>. The OS data from KN-024 were immature (35.4% of patients had died: 28.6% in pembrolizumab arm and 42.4% in the platinum-based chemotherapy arm) – extrapolation of immature data may not be appropriate. Parametric models were fitted to</w:t>
            </w:r>
            <w:r w:rsidR="004A5991" w:rsidRPr="00F754F9">
              <w:t xml:space="preserve"> the data remaining after the chosen time point</w:t>
            </w:r>
            <w:r w:rsidRPr="00F754F9">
              <w:t xml:space="preserve">. </w:t>
            </w:r>
            <w:r w:rsidR="006B16B3" w:rsidRPr="00F754F9">
              <w:t xml:space="preserve">Long-term extrapolation should primarily be based on data that is regarded as reliable (e.g. with respect to sample size). Therefore, some overlap between the empirical data used in the model and the data informing the extrapolated curve may be reasonable. It may be justified to fit long-term survival to the latter part of the survival curve (i.e. no overlap of the empirical data used in the model and the data used to fit the extrapolation) in circumstances where the alternative approach yields a poor fit, however this should be demonstrated. </w:t>
            </w:r>
          </w:p>
          <w:p w:rsidR="00C15D3B" w:rsidRPr="00F754F9" w:rsidRDefault="00392A33" w:rsidP="00E90A87">
            <w:pPr>
              <w:pStyle w:val="TableText0"/>
            </w:pPr>
            <w:r w:rsidRPr="00F754F9">
              <w:t xml:space="preserve">Parametric model selection was based on </w:t>
            </w:r>
            <w:r w:rsidR="00E90A87" w:rsidRPr="00F754F9">
              <w:t xml:space="preserve">the </w:t>
            </w:r>
            <w:r w:rsidRPr="00F754F9">
              <w:t xml:space="preserve">AIC and BIC for assessing the best fit of the data and clinical plausibility of results. </w:t>
            </w:r>
            <w:r w:rsidR="009F101E" w:rsidRPr="00F754F9">
              <w:t xml:space="preserve">The submission selected the log-logistic model to extrapolate OS with pembrolizumab. </w:t>
            </w:r>
            <w:r w:rsidR="00E90A87" w:rsidRPr="00F754F9">
              <w:t>This was inadequately</w:t>
            </w:r>
            <w:r w:rsidR="003146B2" w:rsidRPr="00F754F9">
              <w:t xml:space="preserve"> justified</w:t>
            </w:r>
            <w:r w:rsidR="00E90A87" w:rsidRPr="00F754F9">
              <w:t xml:space="preserve">, as it was not the best fit for the clinical data or by AIC or BIC. This selection projected optimistic survival at seven years (20% of patients </w:t>
            </w:r>
            <w:r w:rsidR="003146B2" w:rsidRPr="00F754F9">
              <w:t xml:space="preserve">in the pembrolizumab arm </w:t>
            </w:r>
            <w:r w:rsidR="00E90A87" w:rsidRPr="00F754F9">
              <w:t>still alive).</w:t>
            </w:r>
            <w:r w:rsidR="00CF53E4">
              <w:t xml:space="preserve"> The ESC also advised that t</w:t>
            </w:r>
            <w:r w:rsidR="00CF53E4" w:rsidRPr="00CF53E4">
              <w:t>he time point selected to truncate trial data was not adequately justified nor was it consistent with the preferred approach to use empirical data in the model.</w:t>
            </w:r>
          </w:p>
          <w:p w:rsidR="00BC0C9C" w:rsidRPr="00440AD0" w:rsidRDefault="00100B72" w:rsidP="002478FF">
            <w:pPr>
              <w:pStyle w:val="TableText0"/>
            </w:pPr>
            <w:r w:rsidRPr="00440AD0">
              <w:t xml:space="preserve">The PSCR argued that the time points nominated in the model were methodologically robust. It stated that the Chow </w:t>
            </w:r>
            <w:r w:rsidR="002478FF">
              <w:rPr>
                <w:lang w:val="en-US"/>
              </w:rPr>
              <w:t xml:space="preserve">test </w:t>
            </w:r>
            <w:r w:rsidRPr="00440AD0">
              <w:rPr>
                <w:lang w:val="en-US"/>
              </w:rPr>
              <w:t>was used to assess the structural changes to the slope of the cumulative hazard curves. The time point with the most pronounced change to the slope of the cumulative hazard curve was selected as the cut point. Chow tests were performed on a sequence of F-tests for a sequence of cut-off point candidates (starting from week 5 and proceeding at weekly intervals until the end of the trial). The F-tests were based on the null hypothesis (the whole survival curve fit one piece exponential curve) versus the alternative hypothesis (the survival curve is fitted by a two-piece exponential curve with the specific cut-off point). The ESC considered that application of the Chow test would only be appropriate if the “structural changes” of the model slope w</w:t>
            </w:r>
            <w:r w:rsidR="005B6F31" w:rsidRPr="00440AD0">
              <w:rPr>
                <w:lang w:val="en-US"/>
              </w:rPr>
              <w:t>ere</w:t>
            </w:r>
            <w:r w:rsidRPr="00440AD0">
              <w:rPr>
                <w:lang w:val="en-US"/>
              </w:rPr>
              <w:t xml:space="preserve"> known a priori. </w:t>
            </w:r>
            <w:r w:rsidR="005B6F31" w:rsidRPr="00440AD0">
              <w:rPr>
                <w:lang w:val="en-US"/>
              </w:rPr>
              <w:t>Therefore, g</w:t>
            </w:r>
            <w:r w:rsidRPr="00440AD0">
              <w:rPr>
                <w:lang w:val="en-US"/>
              </w:rPr>
              <w:t xml:space="preserve">iven the submission applied the Chow test as a post-hoc analysis, the ESC considered that this was </w:t>
            </w:r>
            <w:r w:rsidR="005B6F31" w:rsidRPr="00440AD0">
              <w:rPr>
                <w:lang w:val="en-US"/>
              </w:rPr>
              <w:t xml:space="preserve">an </w:t>
            </w:r>
            <w:r w:rsidRPr="00440AD0">
              <w:rPr>
                <w:lang w:val="en-US"/>
              </w:rPr>
              <w:t xml:space="preserve">inappropriate </w:t>
            </w:r>
            <w:r w:rsidR="005B6F31" w:rsidRPr="00440AD0">
              <w:rPr>
                <w:lang w:val="en-US"/>
              </w:rPr>
              <w:t xml:space="preserve">argument for statistical support, </w:t>
            </w:r>
            <w:r w:rsidRPr="00440AD0">
              <w:rPr>
                <w:lang w:val="en-US"/>
              </w:rPr>
              <w:t>and that the selected cut points were likely chosen to maximize the OS difference.</w:t>
            </w:r>
          </w:p>
        </w:tc>
      </w:tr>
      <w:tr w:rsidR="00C15D3B" w:rsidRPr="00BC0C9C" w:rsidTr="00E339DA">
        <w:tc>
          <w:tcPr>
            <w:tcW w:w="924" w:type="pct"/>
          </w:tcPr>
          <w:p w:rsidR="00C15D3B" w:rsidRPr="00BC0C9C" w:rsidRDefault="00C15D3B" w:rsidP="00C15D3B">
            <w:pPr>
              <w:pStyle w:val="TableText0"/>
              <w:keepNext w:val="0"/>
              <w:jc w:val="left"/>
              <w:rPr>
                <w:highlight w:val="yellow"/>
              </w:rPr>
            </w:pPr>
            <w:r w:rsidRPr="00BC0C9C">
              <w:t>Time horizon</w:t>
            </w:r>
          </w:p>
        </w:tc>
        <w:tc>
          <w:tcPr>
            <w:tcW w:w="4076" w:type="pct"/>
          </w:tcPr>
          <w:p w:rsidR="00C15D3B" w:rsidRPr="00F754F9" w:rsidRDefault="00392A33" w:rsidP="00286984">
            <w:pPr>
              <w:pStyle w:val="TableText0"/>
              <w:keepNext w:val="0"/>
            </w:pPr>
            <w:r w:rsidRPr="00F754F9">
              <w:t>The submission claimed that patients receiving immunotherapies have been shown to have improved survival patterns compared to t</w:t>
            </w:r>
            <w:r w:rsidR="00CC2EC2" w:rsidRPr="00F754F9">
              <w:t>hose receiving chemotherapies and that a</w:t>
            </w:r>
            <w:r w:rsidRPr="00F754F9">
              <w:t xml:space="preserve"> five-year time horizon </w:t>
            </w:r>
            <w:r w:rsidR="00CC2EC2" w:rsidRPr="00F754F9">
              <w:t>would</w:t>
            </w:r>
            <w:r w:rsidRPr="00F754F9">
              <w:t xml:space="preserve"> </w:t>
            </w:r>
            <w:r w:rsidR="00CC2EC2" w:rsidRPr="00F754F9">
              <w:t xml:space="preserve">be </w:t>
            </w:r>
            <w:r w:rsidRPr="00F754F9">
              <w:t xml:space="preserve">likely </w:t>
            </w:r>
            <w:r w:rsidR="00CC2EC2" w:rsidRPr="00F754F9">
              <w:t xml:space="preserve">to </w:t>
            </w:r>
            <w:r w:rsidRPr="00F754F9">
              <w:t>artificially truncate model outcomes</w:t>
            </w:r>
            <w:r w:rsidR="00CC2EC2" w:rsidRPr="00F754F9">
              <w:t>. A</w:t>
            </w:r>
            <w:r w:rsidRPr="00F754F9">
              <w:t xml:space="preserve"> seven-year time horizon was used in the base case analysis. </w:t>
            </w:r>
            <w:r w:rsidR="009F101E" w:rsidRPr="00F754F9">
              <w:t xml:space="preserve">While survival with pembrolizumab at seven years was projected to be 20%, if the extrapolation is considered to be overly optimistic, then a five-year time horizon may </w:t>
            </w:r>
            <w:r w:rsidR="00E82D0A" w:rsidRPr="00F754F9">
              <w:t xml:space="preserve">still </w:t>
            </w:r>
            <w:r w:rsidR="009F101E" w:rsidRPr="00F754F9">
              <w:t xml:space="preserve">not </w:t>
            </w:r>
            <w:r w:rsidR="00286984" w:rsidRPr="00F754F9">
              <w:t xml:space="preserve">sufficiently </w:t>
            </w:r>
            <w:proofErr w:type="gramStart"/>
            <w:r w:rsidR="00286984" w:rsidRPr="00F754F9">
              <w:t>converge</w:t>
            </w:r>
            <w:proofErr w:type="gramEnd"/>
            <w:r w:rsidR="00286984" w:rsidRPr="00F754F9">
              <w:t xml:space="preserve"> </w:t>
            </w:r>
            <w:r w:rsidR="00E82D0A" w:rsidRPr="00F754F9">
              <w:t xml:space="preserve">the </w:t>
            </w:r>
            <w:r w:rsidR="009F101E" w:rsidRPr="00F754F9">
              <w:t>modelled outcomes. Further, this selection was not consistent with previous submissions to the PBAC in the context of first-line NSCLC (five years).</w:t>
            </w:r>
          </w:p>
          <w:p w:rsidR="00C9641F" w:rsidRPr="00440AD0" w:rsidRDefault="00C9641F" w:rsidP="00286984">
            <w:pPr>
              <w:pStyle w:val="TableText0"/>
              <w:keepNext w:val="0"/>
              <w:rPr>
                <w:highlight w:val="yellow"/>
              </w:rPr>
            </w:pPr>
            <w:r w:rsidRPr="00440AD0">
              <w:t xml:space="preserve">The PSCR </w:t>
            </w:r>
            <w:r w:rsidR="00CA7336" w:rsidRPr="00440AD0">
              <w:t>revis</w:t>
            </w:r>
            <w:r w:rsidR="007B1D74">
              <w:t>ed the time horizon to 6 years.</w:t>
            </w:r>
          </w:p>
        </w:tc>
      </w:tr>
      <w:tr w:rsidR="00C15D3B" w:rsidRPr="00BC0C9C" w:rsidTr="00E339DA">
        <w:tc>
          <w:tcPr>
            <w:tcW w:w="924" w:type="pct"/>
          </w:tcPr>
          <w:p w:rsidR="00C15D3B" w:rsidRPr="00BC0C9C" w:rsidRDefault="00C15D3B" w:rsidP="00C15D3B">
            <w:pPr>
              <w:pStyle w:val="TableText0"/>
              <w:keepNext w:val="0"/>
              <w:jc w:val="left"/>
              <w:rPr>
                <w:highlight w:val="yellow"/>
              </w:rPr>
            </w:pPr>
            <w:r w:rsidRPr="00BC0C9C">
              <w:t>Adjustment for treatment switching</w:t>
            </w:r>
          </w:p>
        </w:tc>
        <w:tc>
          <w:tcPr>
            <w:tcW w:w="4076" w:type="pct"/>
          </w:tcPr>
          <w:p w:rsidR="00C15D3B" w:rsidRPr="00F754F9" w:rsidRDefault="00C15D3B" w:rsidP="00A518DC">
            <w:pPr>
              <w:pStyle w:val="TableText0"/>
              <w:keepNext w:val="0"/>
            </w:pPr>
            <w:r w:rsidRPr="00F754F9">
              <w:t>The</w:t>
            </w:r>
            <w:r w:rsidR="00CC2EC2" w:rsidRPr="00F754F9">
              <w:t xml:space="preserve"> submission claimed that the</w:t>
            </w:r>
            <w:r w:rsidRPr="00F754F9">
              <w:t xml:space="preserve"> ITT </w:t>
            </w:r>
            <w:r w:rsidR="00CC2EC2" w:rsidRPr="00F754F9">
              <w:t>OS analysis appeared to over</w:t>
            </w:r>
            <w:r w:rsidRPr="00F754F9">
              <w:t>estimate survival in the platinum-doublet chemotherapy trial arm. The RPSFT, IPCW and two-stage methods of adjustment for treatm</w:t>
            </w:r>
            <w:r w:rsidR="00CC2EC2" w:rsidRPr="00F754F9">
              <w:t>ent switching were considered, and t</w:t>
            </w:r>
            <w:r w:rsidRPr="00F754F9">
              <w:t xml:space="preserve">he two-stage method was used in the base-case </w:t>
            </w:r>
            <w:r w:rsidRPr="00F754F9">
              <w:lastRenderedPageBreak/>
              <w:t xml:space="preserve">economic evaluation. </w:t>
            </w:r>
            <w:r w:rsidR="003146B2" w:rsidRPr="00F754F9">
              <w:t xml:space="preserve">Given the uncertainties associated with the adjustment methods, the ITT </w:t>
            </w:r>
            <w:r w:rsidR="00A518DC" w:rsidRPr="00F754F9">
              <w:t xml:space="preserve">analysis is more reasonable </w:t>
            </w:r>
            <w:r w:rsidR="003146B2" w:rsidRPr="00F754F9">
              <w:t xml:space="preserve">in the base case analysis. </w:t>
            </w:r>
            <w:r w:rsidR="007F7E81" w:rsidRPr="00F754F9">
              <w:t>The need to adjust for OS from KN-024 would also depend on the outcomes of current PBAC considerations of PD-1 inhibitors in the later-line NSCLC setting.</w:t>
            </w:r>
          </w:p>
          <w:p w:rsidR="00CA7336" w:rsidRPr="00440AD0" w:rsidRDefault="00CA7336" w:rsidP="00A518DC">
            <w:pPr>
              <w:pStyle w:val="TableText0"/>
              <w:keepNext w:val="0"/>
              <w:rPr>
                <w:highlight w:val="yellow"/>
              </w:rPr>
            </w:pPr>
            <w:r w:rsidRPr="00440AD0">
              <w:t>The PSCR revised the economic analysis to</w:t>
            </w:r>
            <w:r w:rsidR="00A666D9" w:rsidRPr="00440AD0">
              <w:t xml:space="preserve"> use the ITT in the base case, which</w:t>
            </w:r>
            <w:r w:rsidRPr="00440AD0">
              <w:t xml:space="preserve"> include</w:t>
            </w:r>
            <w:r w:rsidR="00A666D9" w:rsidRPr="00440AD0">
              <w:t>d</w:t>
            </w:r>
            <w:r w:rsidRPr="00440AD0">
              <w:t xml:space="preserve"> an assumption that second-line immunotherapy will be used by 43.7% of patients.</w:t>
            </w:r>
          </w:p>
        </w:tc>
      </w:tr>
      <w:tr w:rsidR="00C15D3B" w:rsidRPr="00BC0C9C" w:rsidTr="00E339DA">
        <w:tc>
          <w:tcPr>
            <w:tcW w:w="924" w:type="pct"/>
          </w:tcPr>
          <w:p w:rsidR="00C15D3B" w:rsidRPr="00BC0C9C" w:rsidRDefault="00C15D3B" w:rsidP="00C15D3B">
            <w:pPr>
              <w:pStyle w:val="TableText0"/>
              <w:keepNext w:val="0"/>
              <w:jc w:val="left"/>
              <w:rPr>
                <w:highlight w:val="yellow"/>
              </w:rPr>
            </w:pPr>
            <w:r w:rsidRPr="00BC0C9C">
              <w:lastRenderedPageBreak/>
              <w:t xml:space="preserve">Modelling treatment </w:t>
            </w:r>
            <w:r w:rsidR="003146B2" w:rsidRPr="00BC0C9C">
              <w:t>duration</w:t>
            </w:r>
          </w:p>
        </w:tc>
        <w:tc>
          <w:tcPr>
            <w:tcW w:w="4076" w:type="pct"/>
          </w:tcPr>
          <w:p w:rsidR="0062383A" w:rsidRPr="00F754F9" w:rsidRDefault="00CC2EC2" w:rsidP="0062383A">
            <w:pPr>
              <w:pStyle w:val="TableText0"/>
              <w:keepNext w:val="0"/>
            </w:pPr>
            <w:proofErr w:type="gramStart"/>
            <w:r w:rsidRPr="00F754F9">
              <w:t>A</w:t>
            </w:r>
            <w:r w:rsidR="0065373E" w:rsidRPr="00F754F9">
              <w:t xml:space="preserve"> </w:t>
            </w:r>
            <w:r w:rsidR="0062383A" w:rsidRPr="00F754F9">
              <w:t>maximum</w:t>
            </w:r>
            <w:proofErr w:type="gramEnd"/>
            <w:r w:rsidR="0062383A" w:rsidRPr="00F754F9">
              <w:t xml:space="preserve"> treatment duration of </w:t>
            </w:r>
            <w:r w:rsidR="004F4039" w:rsidRPr="00F754F9">
              <w:t>24 months</w:t>
            </w:r>
            <w:r w:rsidRPr="00F754F9">
              <w:t xml:space="preserve"> </w:t>
            </w:r>
            <w:r w:rsidR="00CA7336" w:rsidRPr="00F754F9">
              <w:t>wa</w:t>
            </w:r>
            <w:r w:rsidRPr="00F754F9">
              <w:t>s proposed</w:t>
            </w:r>
            <w:r w:rsidR="0062383A" w:rsidRPr="00F754F9">
              <w:t xml:space="preserve"> for pembrolizumab</w:t>
            </w:r>
            <w:r w:rsidRPr="00F754F9">
              <w:t xml:space="preserve"> use as t</w:t>
            </w:r>
            <w:r w:rsidR="00392A33" w:rsidRPr="00F754F9">
              <w:t xml:space="preserve">he submission </w:t>
            </w:r>
            <w:r w:rsidRPr="00F754F9">
              <w:t>claimed that PD-1 inhibitors have a durable</w:t>
            </w:r>
            <w:r w:rsidR="00392A33" w:rsidRPr="00F754F9">
              <w:t xml:space="preserve"> response </w:t>
            </w:r>
            <w:r w:rsidRPr="00F754F9">
              <w:t xml:space="preserve">after treatment cessation, based on data in melanoma and </w:t>
            </w:r>
            <w:r w:rsidR="00DE51EF" w:rsidRPr="00F754F9">
              <w:t xml:space="preserve">later-line </w:t>
            </w:r>
            <w:r w:rsidRPr="00F754F9">
              <w:t>NSCLC patients</w:t>
            </w:r>
            <w:r w:rsidR="00392A33" w:rsidRPr="00F754F9">
              <w:t xml:space="preserve">. </w:t>
            </w:r>
            <w:r w:rsidR="00DE51EF" w:rsidRPr="00F754F9">
              <w:t xml:space="preserve">The applicability of these data </w:t>
            </w:r>
            <w:r w:rsidR="008F4CA8" w:rsidRPr="00F754F9">
              <w:t>is</w:t>
            </w:r>
            <w:r w:rsidR="00DE51EF" w:rsidRPr="00F754F9">
              <w:t xml:space="preserve"> uncertain given the differences in indication and setting. The m</w:t>
            </w:r>
            <w:r w:rsidR="00392A33" w:rsidRPr="00F754F9">
              <w:t xml:space="preserve">aximum treatment duration was modelled </w:t>
            </w:r>
            <w:r w:rsidR="0056761D" w:rsidRPr="00F754F9">
              <w:t xml:space="preserve">only </w:t>
            </w:r>
            <w:r w:rsidR="00392A33" w:rsidRPr="00F754F9">
              <w:t xml:space="preserve">in terms of cost as extrapolated PFS and OS data </w:t>
            </w:r>
            <w:r w:rsidR="0056761D" w:rsidRPr="00F754F9">
              <w:t>were</w:t>
            </w:r>
            <w:r w:rsidR="00392A33" w:rsidRPr="00F754F9">
              <w:t xml:space="preserve"> not adjusted to take treatment cessation into account. </w:t>
            </w:r>
            <w:r w:rsidR="007F7E81" w:rsidRPr="00F754F9">
              <w:t>At two years, 24% of patients remain</w:t>
            </w:r>
            <w:r w:rsidR="00853B4A" w:rsidRPr="00F754F9">
              <w:t>ed</w:t>
            </w:r>
            <w:r w:rsidR="007F7E81" w:rsidRPr="00F754F9">
              <w:t xml:space="preserve"> in the progression-free health state. </w:t>
            </w:r>
            <w:r w:rsidR="00392A33" w:rsidRPr="00F754F9">
              <w:t>It may not be reasonable to assume OS and PFS extrapolated from the trial, where</w:t>
            </w:r>
            <w:r w:rsidR="00A518DC" w:rsidRPr="00F754F9">
              <w:t xml:space="preserve"> median duration of treatment was seven months and where</w:t>
            </w:r>
            <w:r w:rsidR="00392A33" w:rsidRPr="00F754F9">
              <w:t xml:space="preserve"> few patients </w:t>
            </w:r>
            <w:r w:rsidR="00A518DC" w:rsidRPr="00F754F9">
              <w:t xml:space="preserve">had </w:t>
            </w:r>
            <w:r w:rsidR="00392A33" w:rsidRPr="00F754F9">
              <w:t xml:space="preserve">stopped pembrolizumab treatment due to complete response or maximum treatment duration, </w:t>
            </w:r>
            <w:r w:rsidR="00A518DC" w:rsidRPr="00F754F9">
              <w:t xml:space="preserve">would </w:t>
            </w:r>
            <w:r w:rsidR="00392A33" w:rsidRPr="00F754F9">
              <w:t xml:space="preserve">apply to the context where treatment </w:t>
            </w:r>
            <w:r w:rsidR="00D12C20" w:rsidRPr="00F754F9">
              <w:t>ceases</w:t>
            </w:r>
            <w:r w:rsidR="006A2C58" w:rsidRPr="00F754F9">
              <w:t>.</w:t>
            </w:r>
          </w:p>
          <w:p w:rsidR="00C15D3B" w:rsidRPr="00F754F9" w:rsidRDefault="00DE51EF" w:rsidP="00853B4A">
            <w:pPr>
              <w:pStyle w:val="TableText0"/>
              <w:keepNext w:val="0"/>
            </w:pPr>
            <w:r w:rsidRPr="00F754F9">
              <w:t xml:space="preserve">KN-010 (later-line NSCLC) data were used to inform the proportion of patients in the model who would receive retreatment (5.3%). </w:t>
            </w:r>
            <w:r w:rsidR="00853B4A" w:rsidRPr="00F754F9">
              <w:t xml:space="preserve">This was modelled in terms of costs only. </w:t>
            </w:r>
            <w:r w:rsidR="00CC2EC2" w:rsidRPr="00F754F9">
              <w:t xml:space="preserve">There is no evidence on the clinical effectiveness of retreatment with pembrolizumab after disease progression </w:t>
            </w:r>
            <w:proofErr w:type="gramStart"/>
            <w:r w:rsidR="00CC2EC2" w:rsidRPr="00F754F9">
              <w:t>nor</w:t>
            </w:r>
            <w:proofErr w:type="gramEnd"/>
            <w:r w:rsidR="00CC2EC2" w:rsidRPr="00F754F9">
              <w:t xml:space="preserve"> on the applicability of the estimate used in the model, given the limited follow-up and setting</w:t>
            </w:r>
            <w:r w:rsidR="004F4039" w:rsidRPr="00F754F9">
              <w:t xml:space="preserve"> (later-line NSCLC)</w:t>
            </w:r>
            <w:r w:rsidR="00CC2EC2" w:rsidRPr="00F754F9">
              <w:t>.</w:t>
            </w:r>
          </w:p>
        </w:tc>
      </w:tr>
      <w:tr w:rsidR="0095055D" w:rsidRPr="00BC0C9C" w:rsidTr="00E339DA">
        <w:tc>
          <w:tcPr>
            <w:tcW w:w="5000" w:type="pct"/>
            <w:gridSpan w:val="2"/>
          </w:tcPr>
          <w:p w:rsidR="0095055D" w:rsidRPr="00BC0C9C" w:rsidRDefault="0095055D" w:rsidP="00C71CDD">
            <w:pPr>
              <w:pStyle w:val="TableText0"/>
              <w:jc w:val="left"/>
              <w:rPr>
                <w:b/>
              </w:rPr>
            </w:pPr>
            <w:r w:rsidRPr="00BC0C9C">
              <w:rPr>
                <w:b/>
              </w:rPr>
              <w:t>Transformation premodelling studies</w:t>
            </w:r>
          </w:p>
        </w:tc>
      </w:tr>
      <w:tr w:rsidR="00C15D3B" w:rsidRPr="00BC0C9C" w:rsidTr="00E339DA">
        <w:tc>
          <w:tcPr>
            <w:tcW w:w="924" w:type="pct"/>
          </w:tcPr>
          <w:p w:rsidR="00C15D3B" w:rsidRPr="00BC0C9C" w:rsidRDefault="00C15D3B" w:rsidP="00C15D3B">
            <w:pPr>
              <w:pStyle w:val="TableText0"/>
              <w:keepNext w:val="0"/>
              <w:jc w:val="left"/>
              <w:rPr>
                <w:highlight w:val="yellow"/>
              </w:rPr>
            </w:pPr>
            <w:r w:rsidRPr="00BC0C9C">
              <w:t>Utilities</w:t>
            </w:r>
          </w:p>
        </w:tc>
        <w:tc>
          <w:tcPr>
            <w:tcW w:w="4076" w:type="pct"/>
          </w:tcPr>
          <w:p w:rsidR="00C15D3B" w:rsidRPr="00F754F9" w:rsidRDefault="00003C86" w:rsidP="00392A33">
            <w:pPr>
              <w:pStyle w:val="TableText0"/>
              <w:keepNext w:val="0"/>
              <w:rPr>
                <w:highlight w:val="yellow"/>
              </w:rPr>
            </w:pPr>
            <w:r w:rsidRPr="00F754F9">
              <w:t>Utility weights</w:t>
            </w:r>
            <w:r w:rsidR="00C15D3B" w:rsidRPr="00F754F9">
              <w:t xml:space="preserve"> from KN-024 mapped to Australian values for pembrolizumab and platinum-doublet chemotherapy were </w:t>
            </w:r>
            <w:r w:rsidRPr="00F754F9">
              <w:t xml:space="preserve">observed to be </w:t>
            </w:r>
            <w:r w:rsidR="00C15D3B" w:rsidRPr="00F754F9">
              <w:t>com</w:t>
            </w:r>
            <w:r w:rsidRPr="00F754F9">
              <w:t>parable to utility weights</w:t>
            </w:r>
            <w:r w:rsidR="00C15D3B" w:rsidRPr="00F754F9">
              <w:t xml:space="preserve"> identified for NSCLC patients in the literature. Trial-based utilities mapped to Australian values</w:t>
            </w:r>
            <w:r w:rsidRPr="00F754F9">
              <w:t>,</w:t>
            </w:r>
            <w:r w:rsidR="00C15D3B" w:rsidRPr="00F754F9">
              <w:t xml:space="preserve"> by treatment and progression status</w:t>
            </w:r>
            <w:r w:rsidRPr="00F754F9">
              <w:t>,</w:t>
            </w:r>
            <w:r w:rsidR="00C15D3B" w:rsidRPr="00F754F9">
              <w:t xml:space="preserve"> were used in the economic model. This was a reasonable approach</w:t>
            </w:r>
            <w:r w:rsidR="002F37BF" w:rsidRPr="00F754F9">
              <w:t>, however the average utilities may be overestimated given they more strongly reflect patient questionnaires at a relatively early time within each health state, which would favour pembrolizumab.</w:t>
            </w:r>
          </w:p>
        </w:tc>
      </w:tr>
      <w:tr w:rsidR="00C15D3B" w:rsidRPr="00BC0C9C" w:rsidTr="00E339DA">
        <w:tc>
          <w:tcPr>
            <w:tcW w:w="924" w:type="pct"/>
          </w:tcPr>
          <w:p w:rsidR="00C15D3B" w:rsidRPr="00BC0C9C" w:rsidRDefault="00C15D3B" w:rsidP="00C15D3B">
            <w:pPr>
              <w:pStyle w:val="TableText0"/>
              <w:keepNext w:val="0"/>
              <w:jc w:val="left"/>
              <w:rPr>
                <w:highlight w:val="yellow"/>
              </w:rPr>
            </w:pPr>
            <w:r w:rsidRPr="00BC0C9C">
              <w:t>Resource utilisation for disease management</w:t>
            </w:r>
          </w:p>
        </w:tc>
        <w:tc>
          <w:tcPr>
            <w:tcW w:w="4076" w:type="pct"/>
          </w:tcPr>
          <w:p w:rsidR="00C15D3B" w:rsidRPr="00F754F9" w:rsidRDefault="00C15D3B" w:rsidP="00C15D3B">
            <w:pPr>
              <w:pStyle w:val="TableText0"/>
              <w:keepNext w:val="0"/>
              <w:rPr>
                <w:highlight w:val="yellow"/>
              </w:rPr>
            </w:pPr>
            <w:r w:rsidRPr="00F754F9">
              <w:t>Ongoing healthcare utilisation costs were drawn directly from the PIVOTAL study. This may be a reasonable approach, however, the PIVOTAL data may have limited applicability to estimating resource utilisation in patients who receive best supportive care (estimated in the model to be 55% of those who progress), as resource utilisation in PIVOTAL was only measured in patients on active treatment.</w:t>
            </w:r>
          </w:p>
        </w:tc>
      </w:tr>
    </w:tbl>
    <w:p w:rsidR="00C15D3B" w:rsidRPr="00F81C55" w:rsidRDefault="00C15D3B" w:rsidP="00C15D3B">
      <w:pPr>
        <w:pStyle w:val="TableFooter"/>
      </w:pPr>
      <w:r w:rsidRPr="00F81C55">
        <w:t xml:space="preserve">AIC = Akaike Information Criterion; AUC = area under curve; BIC = Bayesian Information Criterion; ECOG = Eastern Cooperative Oncology Group; ICER = incremental cost-effectiveness ratio; IPCW = inverse probability of censoring weights; ITT = intention-to-treat; NSCLC = non-small cell lung cancer; OS = overall survival; PBAC = Pharmaceutical Benefits Advisory Committee; PBS = Pharmaceutical Benefits Scheme; PD-L1 = programmed death-ligand 1; PFS = progression-free survival; </w:t>
      </w:r>
      <w:r w:rsidR="00F2368E">
        <w:t xml:space="preserve">PS = performance status; </w:t>
      </w:r>
      <w:r w:rsidRPr="00F81C55">
        <w:t>RPSFT = rank preserving structural failure time method; TPS = tumour proportion score.</w:t>
      </w:r>
    </w:p>
    <w:p w:rsidR="00C15D3B" w:rsidRPr="00F81C55" w:rsidRDefault="00C15D3B" w:rsidP="00C15D3B">
      <w:pPr>
        <w:pStyle w:val="TableFooter"/>
      </w:pPr>
      <w:r w:rsidRPr="00F81C55">
        <w:t xml:space="preserve">Source: Table C.5-1, </w:t>
      </w:r>
      <w:r w:rsidR="0029440C">
        <w:t>pp235-238</w:t>
      </w:r>
      <w:r w:rsidR="005B6F31">
        <w:t xml:space="preserve"> of the submission.</w:t>
      </w:r>
    </w:p>
    <w:p w:rsidR="0095055D" w:rsidRPr="007B14F5" w:rsidRDefault="0095055D" w:rsidP="00F6757B">
      <w:pPr>
        <w:pStyle w:val="Heading3"/>
      </w:pPr>
      <w:bookmarkStart w:id="44" w:name="_Toc471744462"/>
      <w:r w:rsidRPr="007B14F5">
        <w:t>Modelled evaluation</w:t>
      </w:r>
      <w:bookmarkEnd w:id="43"/>
      <w:bookmarkEnd w:id="44"/>
    </w:p>
    <w:p w:rsidR="0095055D" w:rsidRPr="007B14F5" w:rsidRDefault="0095055D" w:rsidP="00217726">
      <w:pPr>
        <w:pStyle w:val="ListParagraph"/>
        <w:numPr>
          <w:ilvl w:val="1"/>
          <w:numId w:val="4"/>
        </w:numPr>
        <w:ind w:left="720"/>
        <w:rPr>
          <w:rFonts w:ascii="Arial" w:hAnsi="Arial" w:cs="Arial"/>
          <w:sz w:val="22"/>
          <w:szCs w:val="22"/>
        </w:rPr>
      </w:pPr>
      <w:r w:rsidRPr="007B14F5">
        <w:rPr>
          <w:rFonts w:ascii="Arial" w:hAnsi="Arial" w:cs="Arial"/>
          <w:sz w:val="22"/>
          <w:szCs w:val="22"/>
        </w:rPr>
        <w:t>The submission presented a two phase modelled economic evaluation for patients with Stage IIIB/IV NSCLC where PD-L1 status was determined in the ‘Testing phase’; and treatment was guided by PD-L1 status in the ‘Treatment phase’. Each sub-cohort of patients (by PD-L1 status and treatment) entered a Markov model, where three health states were possible: progression-free; progressive disease; and dead</w:t>
      </w:r>
      <w:r w:rsidR="003146B2" w:rsidRPr="007B14F5">
        <w:rPr>
          <w:rFonts w:ascii="Arial" w:hAnsi="Arial" w:cs="Arial"/>
          <w:sz w:val="22"/>
          <w:szCs w:val="22"/>
        </w:rPr>
        <w:t>.</w:t>
      </w:r>
    </w:p>
    <w:p w:rsidR="0095055D" w:rsidRPr="007B14F5" w:rsidRDefault="0095055D" w:rsidP="00C71CDD">
      <w:pPr>
        <w:pStyle w:val="ListParagraph"/>
        <w:ind w:left="0" w:firstLine="0"/>
        <w:rPr>
          <w:rFonts w:ascii="Arial" w:hAnsi="Arial" w:cs="Arial"/>
          <w:sz w:val="22"/>
          <w:szCs w:val="22"/>
        </w:rPr>
      </w:pPr>
    </w:p>
    <w:p w:rsidR="0095055D" w:rsidRPr="007B14F5" w:rsidRDefault="0095055D" w:rsidP="00217726">
      <w:pPr>
        <w:pStyle w:val="ListParagraph"/>
        <w:numPr>
          <w:ilvl w:val="1"/>
          <w:numId w:val="4"/>
        </w:numPr>
        <w:ind w:left="720"/>
        <w:rPr>
          <w:rFonts w:ascii="Arial" w:hAnsi="Arial" w:cs="Arial"/>
          <w:sz w:val="22"/>
          <w:szCs w:val="22"/>
        </w:rPr>
      </w:pPr>
      <w:r w:rsidRPr="007B14F5">
        <w:rPr>
          <w:rFonts w:ascii="Arial" w:hAnsi="Arial" w:cs="Arial"/>
          <w:sz w:val="22"/>
          <w:szCs w:val="22"/>
        </w:rPr>
        <w:t xml:space="preserve">The comparator in the ‘Testing phase’ was no PD-L1 testing, while that in the ‘Treatment phase’ was </w:t>
      </w:r>
      <w:r w:rsidR="00D22307" w:rsidRPr="007B14F5">
        <w:rPr>
          <w:rFonts w:ascii="Arial" w:hAnsi="Arial" w:cs="Arial"/>
          <w:sz w:val="22"/>
          <w:szCs w:val="22"/>
        </w:rPr>
        <w:t>platinum-doublet chemotherapy</w:t>
      </w:r>
      <w:r w:rsidRPr="007B14F5">
        <w:rPr>
          <w:rFonts w:ascii="Arial" w:hAnsi="Arial" w:cs="Arial"/>
          <w:sz w:val="22"/>
          <w:szCs w:val="22"/>
        </w:rPr>
        <w:t>.</w:t>
      </w:r>
    </w:p>
    <w:p w:rsidR="00035C4F" w:rsidRPr="007B14F5" w:rsidRDefault="00035C4F" w:rsidP="00035C4F">
      <w:pPr>
        <w:rPr>
          <w:rFonts w:ascii="Arial" w:hAnsi="Arial" w:cs="Arial"/>
          <w:sz w:val="22"/>
          <w:szCs w:val="22"/>
        </w:rPr>
      </w:pPr>
    </w:p>
    <w:p w:rsidR="0095055D" w:rsidRPr="007B14F5" w:rsidRDefault="0095055D" w:rsidP="00217726">
      <w:pPr>
        <w:pStyle w:val="ListParagraph"/>
        <w:numPr>
          <w:ilvl w:val="1"/>
          <w:numId w:val="4"/>
        </w:numPr>
        <w:ind w:left="720"/>
        <w:rPr>
          <w:rFonts w:ascii="Arial" w:hAnsi="Arial" w:cs="Arial"/>
          <w:sz w:val="22"/>
          <w:szCs w:val="22"/>
        </w:rPr>
      </w:pPr>
      <w:r w:rsidRPr="007B14F5">
        <w:rPr>
          <w:rFonts w:ascii="Arial" w:hAnsi="Arial" w:cs="Arial"/>
          <w:sz w:val="22"/>
          <w:szCs w:val="22"/>
        </w:rPr>
        <w:t xml:space="preserve">The key structural features of the model are presented in Table </w:t>
      </w:r>
      <w:r w:rsidR="00B1633E" w:rsidRPr="007B14F5">
        <w:rPr>
          <w:rFonts w:ascii="Arial" w:hAnsi="Arial" w:cs="Arial"/>
          <w:sz w:val="22"/>
          <w:szCs w:val="22"/>
        </w:rPr>
        <w:t>1</w:t>
      </w:r>
      <w:r w:rsidR="00B0118C">
        <w:rPr>
          <w:rFonts w:ascii="Arial" w:hAnsi="Arial" w:cs="Arial"/>
          <w:sz w:val="22"/>
          <w:szCs w:val="22"/>
        </w:rPr>
        <w:t>0</w:t>
      </w:r>
      <w:r w:rsidRPr="007B14F5">
        <w:rPr>
          <w:rFonts w:ascii="Arial" w:hAnsi="Arial" w:cs="Arial"/>
          <w:sz w:val="22"/>
          <w:szCs w:val="22"/>
        </w:rPr>
        <w:t>.</w:t>
      </w:r>
    </w:p>
    <w:p w:rsidR="0095055D" w:rsidRPr="007B14F5" w:rsidRDefault="0095055D" w:rsidP="00C71CDD">
      <w:pPr>
        <w:rPr>
          <w:rFonts w:ascii="Arial" w:hAnsi="Arial" w:cs="Arial"/>
          <w:sz w:val="22"/>
          <w:szCs w:val="22"/>
        </w:rPr>
      </w:pPr>
    </w:p>
    <w:p w:rsidR="0095055D" w:rsidRPr="00C15D3B" w:rsidRDefault="0095055D" w:rsidP="00C71CDD">
      <w:pPr>
        <w:pStyle w:val="TableHeading0"/>
      </w:pPr>
      <w:r w:rsidRPr="00C15D3B">
        <w:lastRenderedPageBreak/>
        <w:t xml:space="preserve">Table </w:t>
      </w:r>
      <w:r w:rsidR="00B1633E">
        <w:t>1</w:t>
      </w:r>
      <w:r w:rsidR="00B0118C">
        <w:t>0</w:t>
      </w:r>
      <w:r w:rsidRPr="00C15D3B">
        <w:t>: Key structural features of the model</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181"/>
        <w:gridCol w:w="3547"/>
        <w:gridCol w:w="773"/>
        <w:gridCol w:w="3587"/>
      </w:tblGrid>
      <w:tr w:rsidR="005B6F31" w:rsidRPr="00C15D3B" w:rsidTr="00E82D0A">
        <w:trPr>
          <w:tblHeader/>
        </w:trPr>
        <w:tc>
          <w:tcPr>
            <w:tcW w:w="0" w:type="auto"/>
            <w:shd w:val="clear" w:color="auto" w:fill="auto"/>
          </w:tcPr>
          <w:p w:rsidR="0095055D" w:rsidRPr="00C15D3B" w:rsidRDefault="0095055D" w:rsidP="000C325C">
            <w:pPr>
              <w:pStyle w:val="TableText0"/>
              <w:rPr>
                <w:b/>
              </w:rPr>
            </w:pPr>
          </w:p>
        </w:tc>
        <w:tc>
          <w:tcPr>
            <w:tcW w:w="0" w:type="auto"/>
            <w:shd w:val="clear" w:color="auto" w:fill="auto"/>
          </w:tcPr>
          <w:p w:rsidR="0095055D" w:rsidRPr="00C15D3B" w:rsidRDefault="0095055D" w:rsidP="000C325C">
            <w:pPr>
              <w:pStyle w:val="TableText0"/>
              <w:rPr>
                <w:b/>
              </w:rPr>
            </w:pPr>
            <w:r w:rsidRPr="00C15D3B">
              <w:rPr>
                <w:b/>
              </w:rPr>
              <w:t>Summary</w:t>
            </w:r>
          </w:p>
        </w:tc>
        <w:tc>
          <w:tcPr>
            <w:tcW w:w="0" w:type="auto"/>
            <w:shd w:val="clear" w:color="auto" w:fill="auto"/>
          </w:tcPr>
          <w:p w:rsidR="0095055D" w:rsidRPr="00C15D3B" w:rsidRDefault="0095055D" w:rsidP="000C325C">
            <w:pPr>
              <w:pStyle w:val="TableText0"/>
              <w:jc w:val="center"/>
              <w:rPr>
                <w:b/>
              </w:rPr>
            </w:pPr>
            <w:r w:rsidRPr="00C15D3B">
              <w:rPr>
                <w:b/>
              </w:rPr>
              <w:t>Able to be varied?</w:t>
            </w:r>
          </w:p>
        </w:tc>
        <w:tc>
          <w:tcPr>
            <w:tcW w:w="0" w:type="auto"/>
            <w:shd w:val="clear" w:color="auto" w:fill="auto"/>
          </w:tcPr>
          <w:p w:rsidR="0095055D" w:rsidRPr="00C15D3B" w:rsidRDefault="0095055D" w:rsidP="000C325C">
            <w:pPr>
              <w:pStyle w:val="TableText0"/>
              <w:rPr>
                <w:b/>
              </w:rPr>
            </w:pPr>
            <w:r w:rsidRPr="00C15D3B">
              <w:rPr>
                <w:b/>
              </w:rPr>
              <w:t>Appropriate?</w:t>
            </w:r>
          </w:p>
        </w:tc>
      </w:tr>
      <w:tr w:rsidR="005B6F31" w:rsidRPr="008241D4" w:rsidTr="000C325C">
        <w:trPr>
          <w:trHeight w:val="173"/>
        </w:trPr>
        <w:tc>
          <w:tcPr>
            <w:tcW w:w="0" w:type="auto"/>
            <w:shd w:val="clear" w:color="auto" w:fill="auto"/>
          </w:tcPr>
          <w:p w:rsidR="0095055D" w:rsidRPr="00C15D3B" w:rsidRDefault="0095055D" w:rsidP="000C325C">
            <w:pPr>
              <w:pStyle w:val="TableText0"/>
              <w:keepNext w:val="0"/>
            </w:pPr>
            <w:r w:rsidRPr="00C15D3B">
              <w:t>Duration</w:t>
            </w:r>
          </w:p>
        </w:tc>
        <w:tc>
          <w:tcPr>
            <w:tcW w:w="0" w:type="auto"/>
            <w:shd w:val="clear" w:color="auto" w:fill="auto"/>
          </w:tcPr>
          <w:p w:rsidR="0095055D" w:rsidRPr="00832F58" w:rsidRDefault="0095055D" w:rsidP="000C325C">
            <w:pPr>
              <w:pStyle w:val="TableText0"/>
              <w:keepNext w:val="0"/>
              <w:rPr>
                <w:i/>
              </w:rPr>
            </w:pPr>
            <w:r w:rsidRPr="00C15D3B">
              <w:t>7 years</w:t>
            </w:r>
            <w:r w:rsidR="006178FB">
              <w:t xml:space="preserve">, </w:t>
            </w:r>
            <w:r w:rsidR="006178FB">
              <w:rPr>
                <w:i/>
              </w:rPr>
              <w:t>revised to 6 years in the PSCR.</w:t>
            </w:r>
          </w:p>
        </w:tc>
        <w:tc>
          <w:tcPr>
            <w:tcW w:w="0" w:type="auto"/>
            <w:shd w:val="clear" w:color="auto" w:fill="auto"/>
          </w:tcPr>
          <w:p w:rsidR="0095055D" w:rsidRPr="00C15D3B" w:rsidRDefault="0095055D" w:rsidP="000C325C">
            <w:pPr>
              <w:pStyle w:val="TableText0"/>
              <w:keepNext w:val="0"/>
              <w:jc w:val="center"/>
            </w:pPr>
            <w:r w:rsidRPr="00C15D3B">
              <w:t>Yes</w:t>
            </w:r>
          </w:p>
        </w:tc>
        <w:tc>
          <w:tcPr>
            <w:tcW w:w="0" w:type="auto"/>
            <w:shd w:val="clear" w:color="auto" w:fill="auto"/>
          </w:tcPr>
          <w:p w:rsidR="0095055D" w:rsidRPr="00832F58" w:rsidRDefault="0095055D" w:rsidP="000C325C">
            <w:pPr>
              <w:pStyle w:val="TableText0"/>
              <w:keepNext w:val="0"/>
            </w:pPr>
            <w:r w:rsidRPr="00832F58">
              <w:t>A 5-year time horizon may be more appropriate.</w:t>
            </w:r>
          </w:p>
        </w:tc>
      </w:tr>
      <w:tr w:rsidR="005B6F31" w:rsidRPr="008241D4" w:rsidTr="000C325C">
        <w:trPr>
          <w:trHeight w:val="746"/>
        </w:trPr>
        <w:tc>
          <w:tcPr>
            <w:tcW w:w="0" w:type="auto"/>
            <w:shd w:val="clear" w:color="auto" w:fill="auto"/>
          </w:tcPr>
          <w:p w:rsidR="0095055D" w:rsidRPr="00C15D3B" w:rsidRDefault="0095055D" w:rsidP="000C325C">
            <w:pPr>
              <w:pStyle w:val="TableText0"/>
              <w:keepNext w:val="0"/>
            </w:pPr>
            <w:r w:rsidRPr="00C15D3B">
              <w:t>Cycle length</w:t>
            </w:r>
          </w:p>
        </w:tc>
        <w:tc>
          <w:tcPr>
            <w:tcW w:w="0" w:type="auto"/>
            <w:shd w:val="clear" w:color="auto" w:fill="auto"/>
          </w:tcPr>
          <w:p w:rsidR="0095055D" w:rsidRPr="00C15D3B" w:rsidRDefault="0095055D" w:rsidP="000C325C">
            <w:pPr>
              <w:pStyle w:val="TableText0"/>
              <w:keepNext w:val="0"/>
            </w:pPr>
            <w:r w:rsidRPr="00C15D3B">
              <w:t>1 week</w:t>
            </w:r>
          </w:p>
        </w:tc>
        <w:tc>
          <w:tcPr>
            <w:tcW w:w="0" w:type="auto"/>
            <w:shd w:val="clear" w:color="auto" w:fill="auto"/>
          </w:tcPr>
          <w:p w:rsidR="0095055D" w:rsidRPr="00C15D3B" w:rsidRDefault="0095055D" w:rsidP="000C325C">
            <w:pPr>
              <w:pStyle w:val="TableText0"/>
              <w:keepNext w:val="0"/>
              <w:jc w:val="center"/>
            </w:pPr>
            <w:r w:rsidRPr="00C15D3B">
              <w:t>No</w:t>
            </w:r>
          </w:p>
        </w:tc>
        <w:tc>
          <w:tcPr>
            <w:tcW w:w="0" w:type="auto"/>
            <w:shd w:val="clear" w:color="auto" w:fill="auto"/>
          </w:tcPr>
          <w:p w:rsidR="0095055D" w:rsidRPr="00832F58" w:rsidRDefault="0095055D" w:rsidP="000C325C">
            <w:pPr>
              <w:pStyle w:val="TableText0"/>
              <w:keepNext w:val="0"/>
            </w:pPr>
            <w:r w:rsidRPr="00832F58">
              <w:t xml:space="preserve">A </w:t>
            </w:r>
            <w:r w:rsidR="00CE0114" w:rsidRPr="00832F58">
              <w:t>1</w:t>
            </w:r>
            <w:r w:rsidRPr="00832F58">
              <w:t>-week cycle length may be reasonable, however a three-week cycle could be more appropriate, as this is consistent with time bet</w:t>
            </w:r>
            <w:r w:rsidR="000C325C">
              <w:t>ween treatment administrations.</w:t>
            </w:r>
          </w:p>
        </w:tc>
      </w:tr>
      <w:tr w:rsidR="005B6F31" w:rsidRPr="00A9762C" w:rsidTr="00E82D0A">
        <w:tc>
          <w:tcPr>
            <w:tcW w:w="0" w:type="auto"/>
            <w:shd w:val="clear" w:color="auto" w:fill="auto"/>
          </w:tcPr>
          <w:p w:rsidR="0095055D" w:rsidRPr="00A9762C" w:rsidRDefault="0095055D" w:rsidP="000C325C">
            <w:pPr>
              <w:pStyle w:val="TableText0"/>
              <w:keepNext w:val="0"/>
            </w:pPr>
            <w:r w:rsidRPr="00A9762C">
              <w:t>When tested</w:t>
            </w:r>
          </w:p>
        </w:tc>
        <w:tc>
          <w:tcPr>
            <w:tcW w:w="0" w:type="auto"/>
            <w:shd w:val="clear" w:color="auto" w:fill="auto"/>
          </w:tcPr>
          <w:p w:rsidR="0095055D" w:rsidRPr="00A9762C" w:rsidRDefault="0095055D" w:rsidP="000C325C">
            <w:pPr>
              <w:pStyle w:val="TableText0"/>
              <w:keepNext w:val="0"/>
            </w:pPr>
            <w:r w:rsidRPr="00A9762C">
              <w:t>At diagnosis of advanced disease</w:t>
            </w:r>
          </w:p>
        </w:tc>
        <w:tc>
          <w:tcPr>
            <w:tcW w:w="0" w:type="auto"/>
            <w:shd w:val="clear" w:color="auto" w:fill="auto"/>
          </w:tcPr>
          <w:p w:rsidR="0095055D" w:rsidRPr="00A9762C" w:rsidRDefault="0095055D" w:rsidP="000C325C">
            <w:pPr>
              <w:pStyle w:val="TableText0"/>
              <w:keepNext w:val="0"/>
              <w:jc w:val="center"/>
            </w:pPr>
            <w:r w:rsidRPr="00A9762C">
              <w:t>No</w:t>
            </w:r>
          </w:p>
        </w:tc>
        <w:tc>
          <w:tcPr>
            <w:tcW w:w="0" w:type="auto"/>
            <w:shd w:val="clear" w:color="auto" w:fill="auto"/>
          </w:tcPr>
          <w:p w:rsidR="0095055D" w:rsidRPr="00832F58" w:rsidRDefault="0095055D" w:rsidP="000C325C">
            <w:pPr>
              <w:pStyle w:val="TableText0"/>
              <w:keepNext w:val="0"/>
            </w:pPr>
            <w:r w:rsidRPr="00832F58">
              <w:t>Alternative scenarios for the timing of the test should also have been presented in scenario analyses.</w:t>
            </w:r>
          </w:p>
        </w:tc>
      </w:tr>
      <w:tr w:rsidR="005B6F31" w:rsidRPr="008241D4" w:rsidTr="00E82D0A">
        <w:tc>
          <w:tcPr>
            <w:tcW w:w="0" w:type="auto"/>
            <w:shd w:val="clear" w:color="auto" w:fill="auto"/>
          </w:tcPr>
          <w:p w:rsidR="0095055D" w:rsidRPr="00A9762C" w:rsidRDefault="0095055D" w:rsidP="000C325C">
            <w:pPr>
              <w:pStyle w:val="TableText0"/>
              <w:keepNext w:val="0"/>
            </w:pPr>
            <w:r w:rsidRPr="00A9762C">
              <w:t>Who tested</w:t>
            </w:r>
          </w:p>
        </w:tc>
        <w:tc>
          <w:tcPr>
            <w:tcW w:w="0" w:type="auto"/>
            <w:shd w:val="clear" w:color="auto" w:fill="auto"/>
          </w:tcPr>
          <w:p w:rsidR="0095055D" w:rsidRPr="00A9762C" w:rsidRDefault="0095055D" w:rsidP="000C325C">
            <w:pPr>
              <w:pStyle w:val="TableText0"/>
              <w:keepNext w:val="0"/>
            </w:pPr>
            <w:r w:rsidRPr="00A9762C">
              <w:t>Stage IIIB/IV NSCLC</w:t>
            </w:r>
          </w:p>
        </w:tc>
        <w:tc>
          <w:tcPr>
            <w:tcW w:w="0" w:type="auto"/>
            <w:shd w:val="clear" w:color="auto" w:fill="auto"/>
          </w:tcPr>
          <w:p w:rsidR="0095055D" w:rsidRPr="00A9762C" w:rsidRDefault="0095055D" w:rsidP="000C325C">
            <w:pPr>
              <w:pStyle w:val="TableText0"/>
              <w:keepNext w:val="0"/>
              <w:jc w:val="center"/>
            </w:pPr>
            <w:r w:rsidRPr="00A9762C">
              <w:t>No</w:t>
            </w:r>
          </w:p>
        </w:tc>
        <w:tc>
          <w:tcPr>
            <w:tcW w:w="0" w:type="auto"/>
            <w:shd w:val="clear" w:color="auto" w:fill="auto"/>
          </w:tcPr>
          <w:p w:rsidR="0095055D" w:rsidRPr="00832F58" w:rsidRDefault="00A9762C" w:rsidP="000C325C">
            <w:pPr>
              <w:pStyle w:val="TableText0"/>
              <w:keepNext w:val="0"/>
            </w:pPr>
            <w:r w:rsidRPr="00832F58">
              <w:t xml:space="preserve">This may not be reasonable given that the submission has proposed that testing occur at diagnosis of NSCLC (any stage). </w:t>
            </w:r>
          </w:p>
        </w:tc>
      </w:tr>
      <w:tr w:rsidR="005B6F31" w:rsidRPr="008241D4" w:rsidTr="00E82D0A">
        <w:tc>
          <w:tcPr>
            <w:tcW w:w="0" w:type="auto"/>
            <w:shd w:val="clear" w:color="auto" w:fill="auto"/>
          </w:tcPr>
          <w:p w:rsidR="0095055D" w:rsidRPr="00C15D3B" w:rsidRDefault="0095055D" w:rsidP="000C325C">
            <w:pPr>
              <w:pStyle w:val="TableText0"/>
              <w:keepNext w:val="0"/>
            </w:pPr>
            <w:r w:rsidRPr="00C15D3B">
              <w:t>Outcomes</w:t>
            </w:r>
          </w:p>
        </w:tc>
        <w:tc>
          <w:tcPr>
            <w:tcW w:w="0" w:type="auto"/>
            <w:shd w:val="clear" w:color="auto" w:fill="auto"/>
          </w:tcPr>
          <w:p w:rsidR="0095055D" w:rsidRPr="00C15D3B" w:rsidRDefault="0095055D" w:rsidP="000C325C">
            <w:pPr>
              <w:pStyle w:val="TableText0"/>
              <w:keepNext w:val="0"/>
            </w:pPr>
            <w:r w:rsidRPr="00C15D3B">
              <w:t>QALYs, LYs</w:t>
            </w:r>
          </w:p>
        </w:tc>
        <w:tc>
          <w:tcPr>
            <w:tcW w:w="0" w:type="auto"/>
            <w:shd w:val="clear" w:color="auto" w:fill="auto"/>
          </w:tcPr>
          <w:p w:rsidR="0095055D" w:rsidRPr="00C15D3B" w:rsidRDefault="00C03B62" w:rsidP="000C325C">
            <w:pPr>
              <w:pStyle w:val="TableText0"/>
              <w:keepNext w:val="0"/>
              <w:jc w:val="center"/>
            </w:pPr>
            <w:r>
              <w:t>Yes</w:t>
            </w:r>
          </w:p>
        </w:tc>
        <w:tc>
          <w:tcPr>
            <w:tcW w:w="0" w:type="auto"/>
            <w:shd w:val="clear" w:color="auto" w:fill="auto"/>
          </w:tcPr>
          <w:p w:rsidR="0095055D" w:rsidRPr="00832F58" w:rsidRDefault="0095055D" w:rsidP="000C325C">
            <w:pPr>
              <w:pStyle w:val="TableText0"/>
              <w:keepNext w:val="0"/>
            </w:pPr>
            <w:r w:rsidRPr="00832F58">
              <w:t>Yes</w:t>
            </w:r>
          </w:p>
        </w:tc>
      </w:tr>
      <w:tr w:rsidR="005B6F31" w:rsidRPr="008241D4" w:rsidTr="00E82D0A">
        <w:tc>
          <w:tcPr>
            <w:tcW w:w="0" w:type="auto"/>
            <w:shd w:val="clear" w:color="auto" w:fill="auto"/>
          </w:tcPr>
          <w:p w:rsidR="0095055D" w:rsidRPr="00C15D3B" w:rsidRDefault="0095055D" w:rsidP="000C325C">
            <w:pPr>
              <w:pStyle w:val="TableText0"/>
              <w:keepNext w:val="0"/>
            </w:pPr>
            <w:r w:rsidRPr="00C15D3B">
              <w:t>Methods used to generate results</w:t>
            </w:r>
          </w:p>
        </w:tc>
        <w:tc>
          <w:tcPr>
            <w:tcW w:w="0" w:type="auto"/>
            <w:shd w:val="clear" w:color="auto" w:fill="auto"/>
          </w:tcPr>
          <w:p w:rsidR="0095055D" w:rsidRPr="00C15D3B" w:rsidRDefault="0095055D" w:rsidP="000C325C">
            <w:pPr>
              <w:pStyle w:val="TableText0"/>
              <w:keepNext w:val="0"/>
            </w:pPr>
            <w:r w:rsidRPr="00C15D3B">
              <w:t>Markov model. Cohort expected value analysis</w:t>
            </w:r>
          </w:p>
        </w:tc>
        <w:tc>
          <w:tcPr>
            <w:tcW w:w="0" w:type="auto"/>
            <w:shd w:val="clear" w:color="auto" w:fill="auto"/>
          </w:tcPr>
          <w:p w:rsidR="0095055D" w:rsidRPr="00C15D3B" w:rsidRDefault="0095055D" w:rsidP="000C325C">
            <w:pPr>
              <w:pStyle w:val="TableText0"/>
              <w:keepNext w:val="0"/>
              <w:jc w:val="center"/>
            </w:pPr>
            <w:r w:rsidRPr="00C15D3B">
              <w:t>No</w:t>
            </w:r>
          </w:p>
        </w:tc>
        <w:tc>
          <w:tcPr>
            <w:tcW w:w="0" w:type="auto"/>
            <w:shd w:val="clear" w:color="auto" w:fill="auto"/>
          </w:tcPr>
          <w:p w:rsidR="0095055D" w:rsidRPr="00832F58" w:rsidRDefault="0095055D" w:rsidP="000C325C">
            <w:pPr>
              <w:pStyle w:val="TableText0"/>
              <w:keepNext w:val="0"/>
            </w:pPr>
            <w:r w:rsidRPr="00832F58">
              <w:t>Yes</w:t>
            </w:r>
          </w:p>
        </w:tc>
      </w:tr>
      <w:tr w:rsidR="005B6F31" w:rsidRPr="008241D4" w:rsidTr="00E82D0A">
        <w:tc>
          <w:tcPr>
            <w:tcW w:w="0" w:type="auto"/>
            <w:tcBorders>
              <w:bottom w:val="single" w:sz="4" w:space="0" w:color="000000"/>
            </w:tcBorders>
            <w:shd w:val="clear" w:color="auto" w:fill="auto"/>
          </w:tcPr>
          <w:p w:rsidR="0095055D" w:rsidRPr="00C15D3B" w:rsidRDefault="0095055D" w:rsidP="000C325C">
            <w:pPr>
              <w:pStyle w:val="TableText0"/>
              <w:keepNext w:val="0"/>
            </w:pPr>
            <w:r w:rsidRPr="00C15D3B">
              <w:t>Health states</w:t>
            </w:r>
          </w:p>
        </w:tc>
        <w:tc>
          <w:tcPr>
            <w:tcW w:w="0" w:type="auto"/>
            <w:tcBorders>
              <w:bottom w:val="single" w:sz="4" w:space="0" w:color="000000"/>
            </w:tcBorders>
            <w:shd w:val="clear" w:color="auto" w:fill="auto"/>
          </w:tcPr>
          <w:p w:rsidR="0095055D" w:rsidRPr="00C15D3B" w:rsidRDefault="0095055D" w:rsidP="000C325C">
            <w:pPr>
              <w:pStyle w:val="TableText0"/>
              <w:keepNext w:val="0"/>
            </w:pPr>
            <w:r w:rsidRPr="00C15D3B">
              <w:t>Progression-free, progressive disease and dead</w:t>
            </w:r>
          </w:p>
        </w:tc>
        <w:tc>
          <w:tcPr>
            <w:tcW w:w="0" w:type="auto"/>
            <w:tcBorders>
              <w:bottom w:val="single" w:sz="4" w:space="0" w:color="000000"/>
            </w:tcBorders>
            <w:shd w:val="clear" w:color="auto" w:fill="auto"/>
          </w:tcPr>
          <w:p w:rsidR="0095055D" w:rsidRPr="00C15D3B" w:rsidRDefault="0095055D" w:rsidP="000C325C">
            <w:pPr>
              <w:pStyle w:val="TableText0"/>
              <w:keepNext w:val="0"/>
              <w:jc w:val="center"/>
            </w:pPr>
            <w:r w:rsidRPr="00C15D3B">
              <w:t>No</w:t>
            </w:r>
          </w:p>
        </w:tc>
        <w:tc>
          <w:tcPr>
            <w:tcW w:w="0" w:type="auto"/>
            <w:tcBorders>
              <w:bottom w:val="single" w:sz="4" w:space="0" w:color="000000"/>
            </w:tcBorders>
            <w:shd w:val="clear" w:color="auto" w:fill="auto"/>
          </w:tcPr>
          <w:p w:rsidR="0095055D" w:rsidRPr="00832F58" w:rsidRDefault="0095055D" w:rsidP="000C325C">
            <w:pPr>
              <w:pStyle w:val="TableText0"/>
              <w:keepNext w:val="0"/>
            </w:pPr>
            <w:r w:rsidRPr="00832F58">
              <w:t>Yes</w:t>
            </w:r>
          </w:p>
        </w:tc>
      </w:tr>
      <w:tr w:rsidR="005B6F31" w:rsidRPr="008241D4" w:rsidTr="00E82D0A">
        <w:tc>
          <w:tcPr>
            <w:tcW w:w="0" w:type="auto"/>
            <w:tcBorders>
              <w:bottom w:val="single" w:sz="4" w:space="0" w:color="auto"/>
            </w:tcBorders>
            <w:shd w:val="clear" w:color="auto" w:fill="auto"/>
          </w:tcPr>
          <w:p w:rsidR="007F7E81" w:rsidRPr="004810CC" w:rsidRDefault="007F7E81" w:rsidP="000C325C">
            <w:pPr>
              <w:pStyle w:val="TableText0"/>
              <w:keepNext w:val="0"/>
            </w:pPr>
            <w:r w:rsidRPr="004810CC">
              <w:t>Transition probabilities</w:t>
            </w:r>
          </w:p>
        </w:tc>
        <w:tc>
          <w:tcPr>
            <w:tcW w:w="0" w:type="auto"/>
            <w:tcBorders>
              <w:bottom w:val="single" w:sz="4" w:space="0" w:color="auto"/>
            </w:tcBorders>
            <w:shd w:val="clear" w:color="auto" w:fill="auto"/>
          </w:tcPr>
          <w:p w:rsidR="007F7E81" w:rsidRPr="004810CC" w:rsidRDefault="007F7E81" w:rsidP="000C325C">
            <w:pPr>
              <w:pStyle w:val="TableText0"/>
              <w:keepNext w:val="0"/>
            </w:pPr>
            <w:r w:rsidRPr="004810CC">
              <w:t>Based on PFS and OS from KN-024</w:t>
            </w:r>
            <w:r>
              <w:t xml:space="preserve"> and extrapolated </w:t>
            </w:r>
            <w:r w:rsidRPr="005B6F31">
              <w:t xml:space="preserve">to </w:t>
            </w:r>
            <w:r>
              <w:t xml:space="preserve">seven years </w:t>
            </w:r>
            <w:r w:rsidR="005B6F31">
              <w:rPr>
                <w:i/>
              </w:rPr>
              <w:t xml:space="preserve">(revised to six years in the PSCR) </w:t>
            </w:r>
            <w:r>
              <w:t>using parametric distributions</w:t>
            </w:r>
            <w:r w:rsidR="00853B4A">
              <w:t xml:space="preserve"> modelled to treatment arms separately, as the proportional hazards assumption did not hold</w:t>
            </w:r>
            <w:r>
              <w:t>.</w:t>
            </w:r>
          </w:p>
          <w:p w:rsidR="007F7E81" w:rsidRPr="004810CC" w:rsidRDefault="007F7E81" w:rsidP="000C325C">
            <w:pPr>
              <w:pStyle w:val="TableText0"/>
              <w:keepNext w:val="0"/>
            </w:pPr>
            <w:r w:rsidRPr="004810CC">
              <w:t>In the base case analysis, OS with platinum-doublet chemotherapy was adjusted for treatment switching observed in the KN-024 trial.</w:t>
            </w:r>
          </w:p>
        </w:tc>
        <w:tc>
          <w:tcPr>
            <w:tcW w:w="0" w:type="auto"/>
            <w:tcBorders>
              <w:bottom w:val="single" w:sz="4" w:space="0" w:color="auto"/>
            </w:tcBorders>
            <w:shd w:val="clear" w:color="auto" w:fill="auto"/>
          </w:tcPr>
          <w:p w:rsidR="007F7E81" w:rsidRPr="004810CC" w:rsidRDefault="006A2C58" w:rsidP="000C325C">
            <w:pPr>
              <w:pStyle w:val="TableText0"/>
              <w:keepNext w:val="0"/>
              <w:jc w:val="center"/>
            </w:pPr>
            <w:r>
              <w:t>Yes</w:t>
            </w:r>
          </w:p>
        </w:tc>
        <w:tc>
          <w:tcPr>
            <w:tcW w:w="0" w:type="auto"/>
            <w:tcBorders>
              <w:bottom w:val="single" w:sz="4" w:space="0" w:color="auto"/>
            </w:tcBorders>
            <w:shd w:val="clear" w:color="auto" w:fill="auto"/>
          </w:tcPr>
          <w:p w:rsidR="007F7E81" w:rsidRPr="00832F58" w:rsidRDefault="007F7E81" w:rsidP="000C325C">
            <w:pPr>
              <w:pStyle w:val="TableText0"/>
              <w:keepNext w:val="0"/>
            </w:pPr>
            <w:r w:rsidRPr="00832F58">
              <w:t xml:space="preserve">It </w:t>
            </w:r>
            <w:r w:rsidR="00A518DC" w:rsidRPr="00832F58">
              <w:t xml:space="preserve">is </w:t>
            </w:r>
            <w:r w:rsidR="003146B2" w:rsidRPr="00832F58">
              <w:t>not</w:t>
            </w:r>
            <w:r w:rsidRPr="00832F58">
              <w:t xml:space="preserve"> reasonable to adjust for treatment switching in the base case analysis given the uncertainties associated with the adjustment methods.</w:t>
            </w:r>
          </w:p>
          <w:p w:rsidR="007F7E81" w:rsidRPr="00F754F9" w:rsidRDefault="007F7E81" w:rsidP="000C325C">
            <w:pPr>
              <w:pStyle w:val="TableText0"/>
              <w:keepNext w:val="0"/>
            </w:pPr>
            <w:r w:rsidRPr="00832F58">
              <w:t xml:space="preserve">The </w:t>
            </w:r>
            <w:r w:rsidRPr="00F754F9">
              <w:t>selection of log-logistic distribution to extrapolate OS in the pembrolizumab arm may be overly optimistic.</w:t>
            </w:r>
          </w:p>
          <w:p w:rsidR="006178FB" w:rsidRPr="006178FB" w:rsidRDefault="006178FB" w:rsidP="000C325C">
            <w:pPr>
              <w:pStyle w:val="TableText0"/>
              <w:keepNext w:val="0"/>
              <w:rPr>
                <w:i/>
              </w:rPr>
            </w:pPr>
            <w:r w:rsidRPr="00440AD0">
              <w:t xml:space="preserve">The PSCR revised the economic modelling to </w:t>
            </w:r>
            <w:r w:rsidR="00B14D9C" w:rsidRPr="00440AD0">
              <w:t>use of the ITT analysis, which includes an assumption that second</w:t>
            </w:r>
            <w:r w:rsidR="006A2C58" w:rsidRPr="00440AD0">
              <w:t>-</w:t>
            </w:r>
            <w:r w:rsidR="00B14D9C" w:rsidRPr="00440AD0">
              <w:t>line immunotherapy will be used by 43.7% of patients, and the OS extrapolation was changed to exponential.</w:t>
            </w:r>
          </w:p>
        </w:tc>
      </w:tr>
    </w:tbl>
    <w:p w:rsidR="00CE0114" w:rsidRPr="00F81C55" w:rsidRDefault="00CE0114" w:rsidP="00CE0114">
      <w:pPr>
        <w:pStyle w:val="TableFooter"/>
      </w:pPr>
      <w:r>
        <w:t xml:space="preserve">LY = life year; NSCLC = non-small cell lung cancer; OS = overall survival; </w:t>
      </w:r>
      <w:r w:rsidRPr="00F81C55">
        <w:t xml:space="preserve">PD-L1 = programmed death-ligand 1; PFS = progression-free survival; </w:t>
      </w:r>
      <w:r>
        <w:t xml:space="preserve">QALY = quality-adjusted life year; </w:t>
      </w:r>
      <w:r w:rsidRPr="00F81C55">
        <w:t>TPS = tumour proportion score.</w:t>
      </w:r>
    </w:p>
    <w:p w:rsidR="00CE0114" w:rsidRPr="00443842" w:rsidRDefault="00CE0114" w:rsidP="00CE0114">
      <w:pPr>
        <w:pStyle w:val="TableFooter"/>
      </w:pPr>
      <w:r w:rsidRPr="00443842">
        <w:t>Source: Compiled during the evaluation</w:t>
      </w:r>
    </w:p>
    <w:p w:rsidR="0095055D" w:rsidRPr="007B14F5" w:rsidRDefault="0095055D" w:rsidP="00C71CDD">
      <w:pPr>
        <w:pStyle w:val="ListParagraph"/>
        <w:ind w:left="0" w:firstLine="0"/>
        <w:rPr>
          <w:rFonts w:ascii="Arial" w:hAnsi="Arial" w:cs="Arial"/>
          <w:sz w:val="22"/>
          <w:szCs w:val="22"/>
        </w:rPr>
      </w:pPr>
    </w:p>
    <w:p w:rsidR="0095055D" w:rsidRPr="007B14F5" w:rsidRDefault="0095055D" w:rsidP="00217726">
      <w:pPr>
        <w:pStyle w:val="ListParagraph"/>
        <w:numPr>
          <w:ilvl w:val="1"/>
          <w:numId w:val="4"/>
        </w:numPr>
        <w:ind w:left="720"/>
        <w:rPr>
          <w:rFonts w:ascii="Arial" w:hAnsi="Arial" w:cs="Arial"/>
          <w:sz w:val="22"/>
          <w:szCs w:val="22"/>
        </w:rPr>
      </w:pPr>
      <w:r w:rsidRPr="007B14F5">
        <w:rPr>
          <w:rFonts w:ascii="Arial" w:hAnsi="Arial" w:cs="Arial"/>
          <w:sz w:val="22"/>
          <w:szCs w:val="22"/>
        </w:rPr>
        <w:t>The model presented in the submission was structurally sound.</w:t>
      </w:r>
    </w:p>
    <w:p w:rsidR="0095055D" w:rsidRPr="007B14F5" w:rsidRDefault="0095055D" w:rsidP="00C71CDD">
      <w:pPr>
        <w:pStyle w:val="ListParagraph"/>
        <w:ind w:left="0" w:firstLine="0"/>
        <w:rPr>
          <w:rFonts w:ascii="Arial" w:hAnsi="Arial" w:cs="Arial"/>
          <w:sz w:val="22"/>
          <w:szCs w:val="22"/>
        </w:rPr>
      </w:pPr>
    </w:p>
    <w:p w:rsidR="0095055D" w:rsidRPr="007B14F5" w:rsidRDefault="0095055D" w:rsidP="00217726">
      <w:pPr>
        <w:pStyle w:val="ListParagraph"/>
        <w:numPr>
          <w:ilvl w:val="1"/>
          <w:numId w:val="4"/>
        </w:numPr>
        <w:ind w:left="720"/>
        <w:rPr>
          <w:rFonts w:ascii="Arial" w:hAnsi="Arial" w:cs="Arial"/>
          <w:sz w:val="22"/>
          <w:szCs w:val="22"/>
        </w:rPr>
      </w:pPr>
      <w:r w:rsidRPr="007B14F5">
        <w:rPr>
          <w:rFonts w:ascii="Arial" w:hAnsi="Arial" w:cs="Arial"/>
          <w:sz w:val="22"/>
          <w:szCs w:val="22"/>
        </w:rPr>
        <w:t xml:space="preserve">Variables used in the economic model are presented in Table </w:t>
      </w:r>
      <w:r w:rsidR="00B1633E" w:rsidRPr="007B14F5">
        <w:rPr>
          <w:rFonts w:ascii="Arial" w:hAnsi="Arial" w:cs="Arial"/>
          <w:sz w:val="22"/>
          <w:szCs w:val="22"/>
        </w:rPr>
        <w:t>1</w:t>
      </w:r>
      <w:r w:rsidR="00B0118C">
        <w:rPr>
          <w:rFonts w:ascii="Arial" w:hAnsi="Arial" w:cs="Arial"/>
          <w:sz w:val="22"/>
          <w:szCs w:val="22"/>
        </w:rPr>
        <w:t>1</w:t>
      </w:r>
      <w:r w:rsidRPr="007B14F5">
        <w:rPr>
          <w:rFonts w:ascii="Arial" w:hAnsi="Arial" w:cs="Arial"/>
          <w:sz w:val="22"/>
          <w:szCs w:val="22"/>
        </w:rPr>
        <w:t>.</w:t>
      </w:r>
    </w:p>
    <w:p w:rsidR="00581DED" w:rsidRDefault="00581DED">
      <w:pPr>
        <w:jc w:val="left"/>
        <w:rPr>
          <w:rFonts w:ascii="Arial Narrow" w:eastAsia="SimSun" w:hAnsi="Arial Narrow" w:cs="Arial"/>
          <w:b/>
          <w:sz w:val="20"/>
          <w:szCs w:val="20"/>
          <w:lang w:eastAsia="en-AU" w:bidi="en-US"/>
        </w:rPr>
      </w:pPr>
    </w:p>
    <w:p w:rsidR="00AA2FD0" w:rsidRDefault="00AA2FD0">
      <w:pPr>
        <w:jc w:val="left"/>
        <w:rPr>
          <w:rFonts w:ascii="Arial Narrow" w:eastAsia="SimSun" w:hAnsi="Arial Narrow" w:cs="Arial"/>
          <w:b/>
          <w:sz w:val="20"/>
          <w:szCs w:val="20"/>
          <w:lang w:eastAsia="en-AU" w:bidi="en-US"/>
        </w:rPr>
      </w:pPr>
      <w:r>
        <w:br w:type="page"/>
      </w:r>
    </w:p>
    <w:p w:rsidR="0095055D" w:rsidRPr="006961A9" w:rsidRDefault="0095055D" w:rsidP="00C71CDD">
      <w:pPr>
        <w:pStyle w:val="TableHeading0"/>
      </w:pPr>
      <w:r w:rsidRPr="006961A9">
        <w:lastRenderedPageBreak/>
        <w:t xml:space="preserve">Table </w:t>
      </w:r>
      <w:r w:rsidR="00B1633E">
        <w:t>1</w:t>
      </w:r>
      <w:r w:rsidR="00B0118C">
        <w:t>1</w:t>
      </w:r>
      <w:r w:rsidRPr="006961A9">
        <w:t>: Variables in the economic model</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2505"/>
        <w:gridCol w:w="2349"/>
        <w:gridCol w:w="2193"/>
        <w:gridCol w:w="2036"/>
      </w:tblGrid>
      <w:tr w:rsidR="0095055D" w:rsidRPr="008241D4" w:rsidTr="00832F58">
        <w:tc>
          <w:tcPr>
            <w:tcW w:w="1379" w:type="pct"/>
            <w:shd w:val="clear" w:color="auto" w:fill="auto"/>
          </w:tcPr>
          <w:p w:rsidR="0095055D" w:rsidRPr="006961A9" w:rsidRDefault="0095055D" w:rsidP="00C71CDD">
            <w:pPr>
              <w:pStyle w:val="TableText0"/>
              <w:rPr>
                <w:b/>
              </w:rPr>
            </w:pPr>
            <w:r w:rsidRPr="006961A9">
              <w:rPr>
                <w:b/>
              </w:rPr>
              <w:t>Variable</w:t>
            </w:r>
          </w:p>
        </w:tc>
        <w:tc>
          <w:tcPr>
            <w:tcW w:w="1293" w:type="pct"/>
            <w:shd w:val="clear" w:color="auto" w:fill="auto"/>
          </w:tcPr>
          <w:p w:rsidR="0095055D" w:rsidRPr="006961A9" w:rsidRDefault="0095055D" w:rsidP="00832F58">
            <w:pPr>
              <w:pStyle w:val="TableText0"/>
              <w:jc w:val="left"/>
              <w:rPr>
                <w:b/>
              </w:rPr>
            </w:pPr>
            <w:r w:rsidRPr="006961A9">
              <w:rPr>
                <w:b/>
              </w:rPr>
              <w:t>Base case value</w:t>
            </w:r>
          </w:p>
        </w:tc>
        <w:tc>
          <w:tcPr>
            <w:tcW w:w="1207" w:type="pct"/>
            <w:shd w:val="clear" w:color="auto" w:fill="auto"/>
          </w:tcPr>
          <w:p w:rsidR="0095055D" w:rsidRPr="006961A9" w:rsidRDefault="0095055D" w:rsidP="00832F58">
            <w:pPr>
              <w:pStyle w:val="TableText0"/>
              <w:jc w:val="left"/>
              <w:rPr>
                <w:b/>
              </w:rPr>
            </w:pPr>
            <w:r w:rsidRPr="006961A9">
              <w:rPr>
                <w:b/>
              </w:rPr>
              <w:t>Source</w:t>
            </w:r>
          </w:p>
        </w:tc>
        <w:tc>
          <w:tcPr>
            <w:tcW w:w="1121" w:type="pct"/>
            <w:shd w:val="clear" w:color="auto" w:fill="auto"/>
          </w:tcPr>
          <w:p w:rsidR="0095055D" w:rsidRPr="006961A9" w:rsidRDefault="0095055D" w:rsidP="00832F58">
            <w:pPr>
              <w:pStyle w:val="TableText0"/>
              <w:jc w:val="left"/>
              <w:rPr>
                <w:b/>
              </w:rPr>
            </w:pPr>
            <w:r w:rsidRPr="006961A9">
              <w:rPr>
                <w:b/>
              </w:rPr>
              <w:t>Tested in sensitivity analyses?</w:t>
            </w:r>
          </w:p>
        </w:tc>
      </w:tr>
      <w:tr w:rsidR="0095055D" w:rsidRPr="008241D4" w:rsidTr="00832F58">
        <w:tc>
          <w:tcPr>
            <w:tcW w:w="1379" w:type="pct"/>
            <w:shd w:val="clear" w:color="auto" w:fill="auto"/>
          </w:tcPr>
          <w:p w:rsidR="0095055D" w:rsidRPr="006961A9" w:rsidRDefault="0095055D" w:rsidP="00C71CDD">
            <w:pPr>
              <w:pStyle w:val="TableText0"/>
              <w:keepNext w:val="0"/>
              <w:rPr>
                <w:i/>
              </w:rPr>
            </w:pPr>
            <w:r w:rsidRPr="006961A9">
              <w:t>Test cost</w:t>
            </w:r>
          </w:p>
        </w:tc>
        <w:tc>
          <w:tcPr>
            <w:tcW w:w="1293" w:type="pct"/>
            <w:shd w:val="clear" w:color="auto" w:fill="auto"/>
          </w:tcPr>
          <w:p w:rsidR="0095055D" w:rsidRPr="006961A9" w:rsidRDefault="0095055D" w:rsidP="00832F58">
            <w:pPr>
              <w:pStyle w:val="TableText0"/>
              <w:keepNext w:val="0"/>
              <w:jc w:val="left"/>
            </w:pPr>
            <w:r w:rsidRPr="006961A9">
              <w:t>$74.50</w:t>
            </w:r>
          </w:p>
        </w:tc>
        <w:tc>
          <w:tcPr>
            <w:tcW w:w="1207" w:type="pct"/>
            <w:shd w:val="clear" w:color="auto" w:fill="auto"/>
          </w:tcPr>
          <w:p w:rsidR="0095055D" w:rsidRPr="006961A9" w:rsidRDefault="0095055D" w:rsidP="00832F58">
            <w:pPr>
              <w:pStyle w:val="TableText0"/>
              <w:keepNext w:val="0"/>
              <w:jc w:val="left"/>
            </w:pPr>
            <w:r w:rsidRPr="006961A9">
              <w:t>Based on MBS item 72848</w:t>
            </w:r>
          </w:p>
        </w:tc>
        <w:tc>
          <w:tcPr>
            <w:tcW w:w="1121" w:type="pct"/>
            <w:shd w:val="clear" w:color="auto" w:fill="auto"/>
          </w:tcPr>
          <w:p w:rsidR="0095055D" w:rsidRPr="008241D4" w:rsidRDefault="0095055D" w:rsidP="005B6F31">
            <w:pPr>
              <w:pStyle w:val="TableText0"/>
              <w:keepNext w:val="0"/>
              <w:jc w:val="left"/>
              <w:rPr>
                <w:i/>
                <w:highlight w:val="yellow"/>
              </w:rPr>
            </w:pPr>
            <w:r w:rsidRPr="00757105">
              <w:t>No.</w:t>
            </w:r>
          </w:p>
        </w:tc>
      </w:tr>
      <w:tr w:rsidR="0095055D" w:rsidRPr="008241D4" w:rsidTr="00832F58">
        <w:tc>
          <w:tcPr>
            <w:tcW w:w="1379" w:type="pct"/>
            <w:shd w:val="clear" w:color="auto" w:fill="auto"/>
          </w:tcPr>
          <w:p w:rsidR="0095055D" w:rsidRPr="00A9762C" w:rsidRDefault="0095055D" w:rsidP="00C71CDD">
            <w:pPr>
              <w:pStyle w:val="TableText0"/>
              <w:keepNext w:val="0"/>
            </w:pPr>
            <w:r w:rsidRPr="00A9762C">
              <w:t>Re-biopsy</w:t>
            </w:r>
          </w:p>
        </w:tc>
        <w:tc>
          <w:tcPr>
            <w:tcW w:w="1293" w:type="pct"/>
            <w:shd w:val="clear" w:color="auto" w:fill="auto"/>
          </w:tcPr>
          <w:p w:rsidR="0095055D" w:rsidRPr="00A9762C" w:rsidRDefault="006961A9" w:rsidP="00832F58">
            <w:pPr>
              <w:pStyle w:val="TableText0"/>
              <w:keepNext w:val="0"/>
              <w:jc w:val="left"/>
            </w:pPr>
            <w:r w:rsidRPr="00A9762C">
              <w:t>0%</w:t>
            </w:r>
          </w:p>
        </w:tc>
        <w:tc>
          <w:tcPr>
            <w:tcW w:w="1207" w:type="pct"/>
            <w:shd w:val="clear" w:color="auto" w:fill="auto"/>
          </w:tcPr>
          <w:p w:rsidR="0095055D" w:rsidRPr="00A9762C" w:rsidRDefault="006961A9" w:rsidP="00832F58">
            <w:pPr>
              <w:pStyle w:val="TableText0"/>
              <w:keepNext w:val="0"/>
              <w:jc w:val="left"/>
            </w:pPr>
            <w:r w:rsidRPr="00A9762C">
              <w:t>Assumption</w:t>
            </w:r>
          </w:p>
        </w:tc>
        <w:tc>
          <w:tcPr>
            <w:tcW w:w="1121" w:type="pct"/>
            <w:shd w:val="clear" w:color="auto" w:fill="auto"/>
          </w:tcPr>
          <w:p w:rsidR="0095055D" w:rsidRPr="00A9762C" w:rsidRDefault="00A9762C" w:rsidP="00832F58">
            <w:pPr>
              <w:pStyle w:val="TableText0"/>
              <w:keepNext w:val="0"/>
              <w:jc w:val="left"/>
            </w:pPr>
            <w:r>
              <w:t>Yes (</w:t>
            </w:r>
            <w:r w:rsidR="006961A9" w:rsidRPr="00A9762C">
              <w:t>1</w:t>
            </w:r>
            <w:r w:rsidRPr="00A9762C">
              <w:t>0</w:t>
            </w:r>
            <w:r w:rsidR="006961A9" w:rsidRPr="00A9762C">
              <w:t xml:space="preserve">% </w:t>
            </w:r>
            <w:r w:rsidR="00CE0114">
              <w:t>re-biopsy rate; assuming 22% adverse event</w:t>
            </w:r>
            <w:r w:rsidR="006961A9" w:rsidRPr="00A9762C">
              <w:t>s</w:t>
            </w:r>
            <w:r>
              <w:t>)</w:t>
            </w:r>
          </w:p>
        </w:tc>
      </w:tr>
      <w:tr w:rsidR="0095055D" w:rsidRPr="008241D4" w:rsidTr="00832F58">
        <w:tc>
          <w:tcPr>
            <w:tcW w:w="1379" w:type="pct"/>
            <w:shd w:val="clear" w:color="auto" w:fill="auto"/>
          </w:tcPr>
          <w:p w:rsidR="0095055D" w:rsidRPr="006961A9" w:rsidRDefault="0095055D" w:rsidP="00C71CDD">
            <w:pPr>
              <w:pStyle w:val="TableText0"/>
              <w:keepNext w:val="0"/>
            </w:pPr>
            <w:r w:rsidRPr="006961A9">
              <w:t>Prevalence</w:t>
            </w:r>
          </w:p>
        </w:tc>
        <w:tc>
          <w:tcPr>
            <w:tcW w:w="1293" w:type="pct"/>
            <w:shd w:val="clear" w:color="auto" w:fill="auto"/>
          </w:tcPr>
          <w:p w:rsidR="0095055D" w:rsidRPr="006961A9" w:rsidRDefault="00DF3DBC" w:rsidP="00832F58">
            <w:pPr>
              <w:pStyle w:val="TableText0"/>
              <w:keepNext w:val="0"/>
              <w:jc w:val="left"/>
            </w:pPr>
            <w:r>
              <w:rPr>
                <w:noProof/>
                <w:color w:val="000000"/>
                <w:highlight w:val="black"/>
              </w:rPr>
              <w:t>'''''''''''</w:t>
            </w:r>
            <w:r w:rsidR="0095055D" w:rsidRPr="006961A9">
              <w:t>%</w:t>
            </w:r>
          </w:p>
        </w:tc>
        <w:tc>
          <w:tcPr>
            <w:tcW w:w="1207" w:type="pct"/>
            <w:shd w:val="clear" w:color="auto" w:fill="auto"/>
          </w:tcPr>
          <w:p w:rsidR="0095055D" w:rsidRPr="006961A9" w:rsidRDefault="0095055D" w:rsidP="00832F58">
            <w:pPr>
              <w:pStyle w:val="TableText0"/>
              <w:keepNext w:val="0"/>
              <w:jc w:val="left"/>
            </w:pPr>
            <w:r w:rsidRPr="006961A9">
              <w:t>% Australian patients with TPS ≥50% PD-L1 expressio</w:t>
            </w:r>
            <w:r w:rsidR="006961A9" w:rsidRPr="006961A9">
              <w:t>n screened for KN-024</w:t>
            </w:r>
            <w:r w:rsidRPr="006961A9">
              <w:t xml:space="preserve"> </w:t>
            </w:r>
          </w:p>
        </w:tc>
        <w:tc>
          <w:tcPr>
            <w:tcW w:w="1121" w:type="pct"/>
            <w:shd w:val="clear" w:color="auto" w:fill="auto"/>
          </w:tcPr>
          <w:p w:rsidR="0095055D" w:rsidRPr="006961A9" w:rsidRDefault="0095055D" w:rsidP="00832F58">
            <w:pPr>
              <w:pStyle w:val="TableText0"/>
              <w:keepNext w:val="0"/>
              <w:jc w:val="left"/>
            </w:pPr>
            <w:r w:rsidRPr="006961A9">
              <w:t>Y</w:t>
            </w:r>
            <w:r w:rsidR="006961A9" w:rsidRPr="006961A9">
              <w:t>es (18.5</w:t>
            </w:r>
            <w:r w:rsidR="003146B2">
              <w:t>%</w:t>
            </w:r>
            <w:r w:rsidR="006961A9" w:rsidRPr="006961A9">
              <w:t xml:space="preserve"> – 38.5</w:t>
            </w:r>
            <w:r w:rsidRPr="006961A9">
              <w:t>%)</w:t>
            </w:r>
          </w:p>
        </w:tc>
      </w:tr>
      <w:tr w:rsidR="0095055D" w:rsidRPr="008241D4" w:rsidTr="00832F58">
        <w:tc>
          <w:tcPr>
            <w:tcW w:w="1379" w:type="pct"/>
            <w:shd w:val="clear" w:color="auto" w:fill="auto"/>
          </w:tcPr>
          <w:p w:rsidR="0095055D" w:rsidRPr="00A9762C" w:rsidRDefault="0095055D" w:rsidP="00C71CDD">
            <w:pPr>
              <w:pStyle w:val="TableText0"/>
              <w:keepNext w:val="0"/>
            </w:pPr>
            <w:r w:rsidRPr="00A9762C">
              <w:t>Test performance</w:t>
            </w:r>
          </w:p>
        </w:tc>
        <w:tc>
          <w:tcPr>
            <w:tcW w:w="1293" w:type="pct"/>
            <w:shd w:val="clear" w:color="auto" w:fill="auto"/>
          </w:tcPr>
          <w:p w:rsidR="0095055D" w:rsidRPr="00A9762C" w:rsidRDefault="0095055D" w:rsidP="00832F58">
            <w:pPr>
              <w:pStyle w:val="TableText0"/>
              <w:keepNext w:val="0"/>
              <w:jc w:val="left"/>
            </w:pPr>
            <w:r w:rsidRPr="00A9762C">
              <w:t>Sensitivity: 100%</w:t>
            </w:r>
          </w:p>
          <w:p w:rsidR="0095055D" w:rsidRPr="00A9762C" w:rsidRDefault="006961A9" w:rsidP="00832F58">
            <w:pPr>
              <w:pStyle w:val="TableText0"/>
              <w:keepNext w:val="0"/>
              <w:jc w:val="left"/>
            </w:pPr>
            <w:r w:rsidRPr="00A9762C">
              <w:t>Specificity: 100</w:t>
            </w:r>
            <w:r w:rsidR="0095055D" w:rsidRPr="00A9762C">
              <w:t>%</w:t>
            </w:r>
          </w:p>
        </w:tc>
        <w:tc>
          <w:tcPr>
            <w:tcW w:w="1207" w:type="pct"/>
            <w:shd w:val="clear" w:color="auto" w:fill="auto"/>
          </w:tcPr>
          <w:p w:rsidR="0095055D" w:rsidRPr="00A9762C" w:rsidRDefault="00A9762C" w:rsidP="00832F58">
            <w:pPr>
              <w:pStyle w:val="TableText0"/>
              <w:keepNext w:val="0"/>
              <w:jc w:val="left"/>
            </w:pPr>
            <w:r>
              <w:t>Evidentiary standard</w:t>
            </w:r>
            <w:r w:rsidR="00CE0114">
              <w:t xml:space="preserve"> (22C3 antibody)</w:t>
            </w:r>
            <w:r>
              <w:t xml:space="preserve"> </w:t>
            </w:r>
            <w:r w:rsidR="00CE0114">
              <w:t>is one of the tests that could be used in practice</w:t>
            </w:r>
          </w:p>
        </w:tc>
        <w:tc>
          <w:tcPr>
            <w:tcW w:w="1121" w:type="pct"/>
            <w:shd w:val="clear" w:color="auto" w:fill="auto"/>
          </w:tcPr>
          <w:p w:rsidR="0095055D" w:rsidRPr="00A9762C" w:rsidRDefault="0095055D" w:rsidP="00832F58">
            <w:pPr>
              <w:pStyle w:val="TableText0"/>
              <w:keepNext w:val="0"/>
              <w:jc w:val="left"/>
            </w:pPr>
            <w:r w:rsidRPr="00A9762C">
              <w:t xml:space="preserve">Yes, </w:t>
            </w:r>
            <w:r w:rsidR="00443842" w:rsidRPr="00A9762C">
              <w:t>agreement</w:t>
            </w:r>
            <w:r w:rsidR="006961A9" w:rsidRPr="00A9762C">
              <w:t xml:space="preserve"> with SP263 antibody</w:t>
            </w:r>
          </w:p>
        </w:tc>
      </w:tr>
      <w:tr w:rsidR="0095055D" w:rsidRPr="008241D4" w:rsidTr="00832F58">
        <w:tc>
          <w:tcPr>
            <w:tcW w:w="1379" w:type="pct"/>
            <w:shd w:val="clear" w:color="auto" w:fill="auto"/>
          </w:tcPr>
          <w:p w:rsidR="0095055D" w:rsidRPr="006961A9" w:rsidRDefault="0095055D" w:rsidP="00C71CDD">
            <w:pPr>
              <w:pStyle w:val="TableText0"/>
              <w:keepNext w:val="0"/>
            </w:pPr>
            <w:r w:rsidRPr="006961A9">
              <w:t>Baseline risk by PD-L1 status</w:t>
            </w:r>
          </w:p>
        </w:tc>
        <w:tc>
          <w:tcPr>
            <w:tcW w:w="1293" w:type="pct"/>
            <w:shd w:val="clear" w:color="auto" w:fill="auto"/>
          </w:tcPr>
          <w:p w:rsidR="0095055D" w:rsidRPr="006961A9" w:rsidRDefault="0095055D" w:rsidP="00832F58">
            <w:pPr>
              <w:pStyle w:val="TableText0"/>
              <w:keepNext w:val="0"/>
              <w:jc w:val="left"/>
            </w:pPr>
            <w:r w:rsidRPr="006961A9">
              <w:t>No difference</w:t>
            </w:r>
          </w:p>
        </w:tc>
        <w:tc>
          <w:tcPr>
            <w:tcW w:w="1207" w:type="pct"/>
            <w:shd w:val="clear" w:color="auto" w:fill="auto"/>
          </w:tcPr>
          <w:p w:rsidR="0095055D" w:rsidRPr="006961A9" w:rsidRDefault="0095055D" w:rsidP="00832F58">
            <w:pPr>
              <w:pStyle w:val="TableText0"/>
              <w:keepNext w:val="0"/>
              <w:jc w:val="left"/>
            </w:pPr>
            <w:r w:rsidRPr="006961A9">
              <w:t>Systematic review</w:t>
            </w:r>
          </w:p>
        </w:tc>
        <w:tc>
          <w:tcPr>
            <w:tcW w:w="1121" w:type="pct"/>
            <w:shd w:val="clear" w:color="auto" w:fill="auto"/>
          </w:tcPr>
          <w:p w:rsidR="0095055D" w:rsidRPr="006961A9" w:rsidRDefault="00A9762C" w:rsidP="00832F58">
            <w:pPr>
              <w:pStyle w:val="TableText0"/>
              <w:keepNext w:val="0"/>
              <w:jc w:val="left"/>
              <w:rPr>
                <w:i/>
              </w:rPr>
            </w:pPr>
            <w:r>
              <w:t>No</w:t>
            </w:r>
          </w:p>
        </w:tc>
      </w:tr>
      <w:tr w:rsidR="0095055D" w:rsidRPr="00443842" w:rsidTr="00832F58">
        <w:tc>
          <w:tcPr>
            <w:tcW w:w="1379" w:type="pct"/>
            <w:shd w:val="clear" w:color="auto" w:fill="auto"/>
          </w:tcPr>
          <w:p w:rsidR="0095055D" w:rsidRPr="00443842" w:rsidRDefault="0095055D" w:rsidP="00C71CDD">
            <w:pPr>
              <w:pStyle w:val="TableText0"/>
              <w:keepNext w:val="0"/>
            </w:pPr>
            <w:r w:rsidRPr="00443842">
              <w:t xml:space="preserve">Treatment effect v </w:t>
            </w:r>
            <w:r w:rsidR="00443842" w:rsidRPr="00443842">
              <w:t>platinum-doublet chemotherapy</w:t>
            </w:r>
          </w:p>
          <w:p w:rsidR="0095055D" w:rsidRPr="00443842" w:rsidRDefault="0095055D" w:rsidP="00C71CDD">
            <w:pPr>
              <w:pStyle w:val="TableText0"/>
              <w:keepNext w:val="0"/>
            </w:pPr>
            <w:r w:rsidRPr="00443842">
              <w:t>(in trial period)</w:t>
            </w:r>
          </w:p>
        </w:tc>
        <w:tc>
          <w:tcPr>
            <w:tcW w:w="1293" w:type="pct"/>
            <w:shd w:val="clear" w:color="auto" w:fill="auto"/>
          </w:tcPr>
          <w:p w:rsidR="0095055D" w:rsidRPr="00443842" w:rsidRDefault="0095055D" w:rsidP="00832F58">
            <w:pPr>
              <w:pStyle w:val="TableText0"/>
              <w:keepNext w:val="0"/>
              <w:jc w:val="left"/>
            </w:pPr>
            <w:r w:rsidRPr="00443842">
              <w:t>Per trial</w:t>
            </w:r>
          </w:p>
        </w:tc>
        <w:tc>
          <w:tcPr>
            <w:tcW w:w="1207" w:type="pct"/>
            <w:shd w:val="clear" w:color="auto" w:fill="auto"/>
          </w:tcPr>
          <w:p w:rsidR="0095055D" w:rsidRPr="00443842" w:rsidRDefault="00443842" w:rsidP="00832F58">
            <w:pPr>
              <w:pStyle w:val="TableText0"/>
              <w:keepNext w:val="0"/>
              <w:jc w:val="left"/>
            </w:pPr>
            <w:r w:rsidRPr="00443842">
              <w:t>KN-024</w:t>
            </w:r>
          </w:p>
        </w:tc>
        <w:tc>
          <w:tcPr>
            <w:tcW w:w="1121" w:type="pct"/>
            <w:shd w:val="clear" w:color="auto" w:fill="auto"/>
          </w:tcPr>
          <w:p w:rsidR="0095055D" w:rsidRPr="00443842" w:rsidRDefault="00A9762C" w:rsidP="00832F58">
            <w:pPr>
              <w:pStyle w:val="TableText0"/>
              <w:keepNext w:val="0"/>
              <w:jc w:val="left"/>
            </w:pPr>
            <w:r>
              <w:t>No</w:t>
            </w:r>
          </w:p>
        </w:tc>
      </w:tr>
      <w:tr w:rsidR="0095055D" w:rsidRPr="008241D4" w:rsidTr="00832F58">
        <w:tc>
          <w:tcPr>
            <w:tcW w:w="1379" w:type="pct"/>
            <w:shd w:val="clear" w:color="auto" w:fill="auto"/>
          </w:tcPr>
          <w:p w:rsidR="0095055D" w:rsidRPr="00443842" w:rsidRDefault="0095055D" w:rsidP="00C71CDD">
            <w:pPr>
              <w:pStyle w:val="TableText0"/>
              <w:keepNext w:val="0"/>
            </w:pPr>
            <w:r w:rsidRPr="00443842">
              <w:t xml:space="preserve">Treatment effect v </w:t>
            </w:r>
            <w:r w:rsidR="00443842" w:rsidRPr="00443842">
              <w:t>platinum-doublet chemotherapy</w:t>
            </w:r>
          </w:p>
          <w:p w:rsidR="0095055D" w:rsidRPr="00443842" w:rsidRDefault="0095055D" w:rsidP="00C71CDD">
            <w:pPr>
              <w:pStyle w:val="TableText0"/>
              <w:keepNext w:val="0"/>
            </w:pPr>
            <w:r w:rsidRPr="00443842">
              <w:t>(extrapolated)</w:t>
            </w:r>
          </w:p>
        </w:tc>
        <w:tc>
          <w:tcPr>
            <w:tcW w:w="1293" w:type="pct"/>
            <w:shd w:val="clear" w:color="auto" w:fill="auto"/>
          </w:tcPr>
          <w:p w:rsidR="0095055D" w:rsidRPr="00443842" w:rsidRDefault="0095055D" w:rsidP="00832F58">
            <w:pPr>
              <w:pStyle w:val="TableText0"/>
              <w:keepNext w:val="0"/>
              <w:jc w:val="left"/>
            </w:pPr>
            <w:r w:rsidRPr="00443842">
              <w:t>Per trial, extrapolated treatment arms separately. OS curves do not converge within model time horizon</w:t>
            </w:r>
          </w:p>
        </w:tc>
        <w:tc>
          <w:tcPr>
            <w:tcW w:w="1207" w:type="pct"/>
            <w:shd w:val="clear" w:color="auto" w:fill="auto"/>
          </w:tcPr>
          <w:p w:rsidR="0095055D" w:rsidRPr="00443842" w:rsidRDefault="0095055D" w:rsidP="00832F58">
            <w:pPr>
              <w:pStyle w:val="TableText0"/>
              <w:keepNext w:val="0"/>
              <w:jc w:val="left"/>
            </w:pPr>
            <w:r w:rsidRPr="00832F58">
              <w:t>Section C.3.1</w:t>
            </w:r>
            <w:r w:rsidR="00553764" w:rsidRPr="00553764">
              <w:t xml:space="preserve"> of the submission</w:t>
            </w:r>
          </w:p>
        </w:tc>
        <w:tc>
          <w:tcPr>
            <w:tcW w:w="1121" w:type="pct"/>
            <w:shd w:val="clear" w:color="auto" w:fill="auto"/>
          </w:tcPr>
          <w:p w:rsidR="0095055D" w:rsidRPr="00443842" w:rsidRDefault="0095055D" w:rsidP="00832F58">
            <w:pPr>
              <w:pStyle w:val="TableText0"/>
              <w:keepNext w:val="0"/>
              <w:jc w:val="left"/>
            </w:pPr>
            <w:r w:rsidRPr="00443842">
              <w:t>Yes – different distributions tested</w:t>
            </w:r>
          </w:p>
        </w:tc>
      </w:tr>
      <w:tr w:rsidR="0095055D" w:rsidRPr="00443842" w:rsidTr="00832F58">
        <w:tc>
          <w:tcPr>
            <w:tcW w:w="1379" w:type="pct"/>
            <w:shd w:val="clear" w:color="auto" w:fill="auto"/>
          </w:tcPr>
          <w:p w:rsidR="0095055D" w:rsidRPr="00443842" w:rsidRDefault="0095055D" w:rsidP="00C71CDD">
            <w:pPr>
              <w:pStyle w:val="TableText0"/>
              <w:keepNext w:val="0"/>
            </w:pPr>
            <w:r w:rsidRPr="00443842">
              <w:t>Utilities: progression-free</w:t>
            </w:r>
          </w:p>
        </w:tc>
        <w:tc>
          <w:tcPr>
            <w:tcW w:w="1293" w:type="pct"/>
            <w:shd w:val="clear" w:color="auto" w:fill="auto"/>
          </w:tcPr>
          <w:p w:rsidR="0095055D" w:rsidRPr="00443842" w:rsidRDefault="00443842" w:rsidP="00832F58">
            <w:pPr>
              <w:pStyle w:val="TableText0"/>
              <w:keepNext w:val="0"/>
              <w:jc w:val="left"/>
            </w:pPr>
            <w:r w:rsidRPr="00443842">
              <w:t>Pembrolizumab: 0.78</w:t>
            </w:r>
          </w:p>
          <w:p w:rsidR="0095055D" w:rsidRPr="00443842" w:rsidRDefault="00CE0114" w:rsidP="00832F58">
            <w:pPr>
              <w:pStyle w:val="TableText0"/>
              <w:keepNext w:val="0"/>
              <w:jc w:val="left"/>
            </w:pPr>
            <w:r>
              <w:t>Chemotherapy</w:t>
            </w:r>
            <w:r w:rsidR="0095055D" w:rsidRPr="00443842">
              <w:t xml:space="preserve">: </w:t>
            </w:r>
            <w:r w:rsidR="00443842" w:rsidRPr="00443842">
              <w:t>0.74</w:t>
            </w:r>
          </w:p>
        </w:tc>
        <w:tc>
          <w:tcPr>
            <w:tcW w:w="1207" w:type="pct"/>
            <w:shd w:val="clear" w:color="auto" w:fill="auto"/>
          </w:tcPr>
          <w:p w:rsidR="0095055D" w:rsidRPr="00443842" w:rsidRDefault="00443842" w:rsidP="00832F58">
            <w:pPr>
              <w:pStyle w:val="TableText0"/>
              <w:keepNext w:val="0"/>
              <w:jc w:val="left"/>
            </w:pPr>
            <w:r w:rsidRPr="00443842">
              <w:t>KN-024</w:t>
            </w:r>
            <w:r w:rsidR="0095055D" w:rsidRPr="00443842">
              <w:t>, mapped to Australian algorithm</w:t>
            </w:r>
          </w:p>
        </w:tc>
        <w:tc>
          <w:tcPr>
            <w:tcW w:w="1121" w:type="pct"/>
            <w:shd w:val="clear" w:color="auto" w:fill="auto"/>
          </w:tcPr>
          <w:p w:rsidR="0095055D" w:rsidRPr="00443842" w:rsidRDefault="0095055D" w:rsidP="00832F58">
            <w:pPr>
              <w:pStyle w:val="TableText0"/>
              <w:keepNext w:val="0"/>
              <w:jc w:val="left"/>
            </w:pPr>
            <w:r w:rsidRPr="00443842">
              <w:t>Yes (by time-to-death)</w:t>
            </w:r>
          </w:p>
        </w:tc>
      </w:tr>
      <w:tr w:rsidR="0095055D" w:rsidRPr="008241D4" w:rsidTr="00832F58">
        <w:tc>
          <w:tcPr>
            <w:tcW w:w="1379" w:type="pct"/>
            <w:shd w:val="clear" w:color="auto" w:fill="auto"/>
          </w:tcPr>
          <w:p w:rsidR="0095055D" w:rsidRPr="00443842" w:rsidRDefault="0095055D" w:rsidP="00C71CDD">
            <w:pPr>
              <w:pStyle w:val="TableText0"/>
              <w:keepNext w:val="0"/>
            </w:pPr>
            <w:r w:rsidRPr="00443842">
              <w:t>Utilities: progressive-disease</w:t>
            </w:r>
          </w:p>
        </w:tc>
        <w:tc>
          <w:tcPr>
            <w:tcW w:w="1293" w:type="pct"/>
            <w:shd w:val="clear" w:color="auto" w:fill="auto"/>
          </w:tcPr>
          <w:p w:rsidR="0095055D" w:rsidRPr="00443842" w:rsidRDefault="00443842" w:rsidP="00832F58">
            <w:pPr>
              <w:pStyle w:val="TableText0"/>
              <w:keepNext w:val="0"/>
              <w:jc w:val="left"/>
            </w:pPr>
            <w:r w:rsidRPr="00443842">
              <w:t>Pembrolizumab: 0.67</w:t>
            </w:r>
          </w:p>
          <w:p w:rsidR="0095055D" w:rsidRPr="00443842" w:rsidRDefault="00CE0114" w:rsidP="00832F58">
            <w:pPr>
              <w:pStyle w:val="TableText0"/>
              <w:keepNext w:val="0"/>
              <w:jc w:val="left"/>
            </w:pPr>
            <w:r>
              <w:t>Chemotherapy</w:t>
            </w:r>
            <w:r w:rsidR="00443842" w:rsidRPr="00443842">
              <w:t>: 0.69</w:t>
            </w:r>
          </w:p>
        </w:tc>
        <w:tc>
          <w:tcPr>
            <w:tcW w:w="1207" w:type="pct"/>
            <w:shd w:val="clear" w:color="auto" w:fill="auto"/>
          </w:tcPr>
          <w:p w:rsidR="0095055D" w:rsidRPr="00443842" w:rsidRDefault="00443842" w:rsidP="00832F58">
            <w:pPr>
              <w:pStyle w:val="TableText0"/>
              <w:keepNext w:val="0"/>
              <w:jc w:val="left"/>
            </w:pPr>
            <w:r w:rsidRPr="00443842">
              <w:t>KN-024</w:t>
            </w:r>
            <w:r w:rsidR="0095055D" w:rsidRPr="00443842">
              <w:t>, mapped to Australian algorithm</w:t>
            </w:r>
          </w:p>
        </w:tc>
        <w:tc>
          <w:tcPr>
            <w:tcW w:w="1121" w:type="pct"/>
            <w:shd w:val="clear" w:color="auto" w:fill="auto"/>
          </w:tcPr>
          <w:p w:rsidR="0095055D" w:rsidRPr="00443842" w:rsidRDefault="0095055D" w:rsidP="00832F58">
            <w:pPr>
              <w:pStyle w:val="TableText0"/>
              <w:keepNext w:val="0"/>
              <w:jc w:val="left"/>
            </w:pPr>
            <w:r w:rsidRPr="00443842">
              <w:t>Yes (by time-to-death)</w:t>
            </w:r>
          </w:p>
        </w:tc>
      </w:tr>
    </w:tbl>
    <w:p w:rsidR="00CE0114" w:rsidRPr="00F81C55" w:rsidRDefault="00CE0114" w:rsidP="00CE0114">
      <w:pPr>
        <w:pStyle w:val="TableFooter"/>
      </w:pPr>
      <w:r>
        <w:t xml:space="preserve">OS = overall survival; </w:t>
      </w:r>
      <w:r w:rsidRPr="00F81C55">
        <w:t>PD-L1 = programmed death-ligand 1; PFS = progression-free survival; TPS = tumour proportion score.</w:t>
      </w:r>
    </w:p>
    <w:p w:rsidR="00CE0114" w:rsidRPr="00443842" w:rsidRDefault="00CE0114" w:rsidP="00CE0114">
      <w:pPr>
        <w:pStyle w:val="TableFooter"/>
      </w:pPr>
      <w:r w:rsidRPr="00443842">
        <w:t>Source: Compiled during the evaluation</w:t>
      </w:r>
    </w:p>
    <w:p w:rsidR="003D6EC7" w:rsidRPr="00A46534" w:rsidRDefault="003D6EC7" w:rsidP="003D6EC7">
      <w:pPr>
        <w:ind w:left="-12"/>
        <w:rPr>
          <w:rFonts w:ascii="Arial" w:hAnsi="Arial" w:cs="Arial"/>
          <w:sz w:val="22"/>
          <w:szCs w:val="22"/>
        </w:rPr>
      </w:pPr>
    </w:p>
    <w:p w:rsidR="0095055D" w:rsidRPr="007B14F5" w:rsidRDefault="0095055D" w:rsidP="00217726">
      <w:pPr>
        <w:pStyle w:val="ListParagraph"/>
        <w:numPr>
          <w:ilvl w:val="1"/>
          <w:numId w:val="4"/>
        </w:numPr>
        <w:ind w:left="567" w:hanging="579"/>
        <w:rPr>
          <w:rFonts w:ascii="Arial" w:hAnsi="Arial" w:cs="Arial"/>
          <w:sz w:val="22"/>
          <w:szCs w:val="22"/>
        </w:rPr>
      </w:pPr>
      <w:r w:rsidRPr="007B14F5">
        <w:rPr>
          <w:rFonts w:ascii="Arial" w:hAnsi="Arial" w:cs="Arial"/>
          <w:sz w:val="22"/>
          <w:szCs w:val="22"/>
        </w:rPr>
        <w:t xml:space="preserve">The key drivers of the model are presented in Table </w:t>
      </w:r>
      <w:r w:rsidR="007A5D4D" w:rsidRPr="007B14F5">
        <w:rPr>
          <w:rFonts w:ascii="Arial" w:hAnsi="Arial" w:cs="Arial"/>
          <w:sz w:val="22"/>
          <w:szCs w:val="22"/>
        </w:rPr>
        <w:t>1</w:t>
      </w:r>
      <w:r w:rsidR="00B0118C">
        <w:rPr>
          <w:rFonts w:ascii="Arial" w:hAnsi="Arial" w:cs="Arial"/>
          <w:sz w:val="22"/>
          <w:szCs w:val="22"/>
        </w:rPr>
        <w:t>2</w:t>
      </w:r>
      <w:r w:rsidRPr="007B14F5">
        <w:rPr>
          <w:rFonts w:ascii="Arial" w:hAnsi="Arial" w:cs="Arial"/>
          <w:sz w:val="22"/>
          <w:szCs w:val="22"/>
        </w:rPr>
        <w:t>.</w:t>
      </w:r>
    </w:p>
    <w:p w:rsidR="0095055D" w:rsidRPr="007B14F5" w:rsidRDefault="0095055D" w:rsidP="00C71CDD">
      <w:pPr>
        <w:ind w:left="-12"/>
        <w:rPr>
          <w:rFonts w:ascii="Arial" w:hAnsi="Arial" w:cs="Arial"/>
          <w:sz w:val="22"/>
          <w:szCs w:val="22"/>
        </w:rPr>
      </w:pPr>
    </w:p>
    <w:p w:rsidR="0095055D" w:rsidRPr="006961A9" w:rsidRDefault="0095055D" w:rsidP="00C71CDD">
      <w:pPr>
        <w:pStyle w:val="TableHeading0"/>
      </w:pPr>
      <w:r w:rsidRPr="006961A9">
        <w:t xml:space="preserve">Table </w:t>
      </w:r>
      <w:r w:rsidR="00B1633E">
        <w:t>1</w:t>
      </w:r>
      <w:r w:rsidR="00B0118C">
        <w:t>2</w:t>
      </w:r>
      <w:r w:rsidRPr="006961A9">
        <w:t>: Key drivers of the model</w:t>
      </w:r>
    </w:p>
    <w:tbl>
      <w:tblPr>
        <w:tblW w:w="498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41"/>
        <w:gridCol w:w="5845"/>
        <w:gridCol w:w="1670"/>
      </w:tblGrid>
      <w:tr w:rsidR="0095055D" w:rsidRPr="008241D4" w:rsidTr="00E339DA">
        <w:trPr>
          <w:cantSplit/>
          <w:tblHeader/>
        </w:trPr>
        <w:tc>
          <w:tcPr>
            <w:tcW w:w="851" w:type="pct"/>
            <w:shd w:val="clear" w:color="auto" w:fill="auto"/>
            <w:vAlign w:val="center"/>
          </w:tcPr>
          <w:p w:rsidR="0095055D" w:rsidRPr="006961A9" w:rsidRDefault="0095055D" w:rsidP="00C511A0">
            <w:pPr>
              <w:pStyle w:val="TableText0"/>
              <w:rPr>
                <w:b/>
                <w:lang w:val="en-US"/>
              </w:rPr>
            </w:pPr>
            <w:r w:rsidRPr="006961A9">
              <w:rPr>
                <w:b/>
                <w:lang w:val="en-US"/>
              </w:rPr>
              <w:t>Description</w:t>
            </w:r>
          </w:p>
        </w:tc>
        <w:tc>
          <w:tcPr>
            <w:tcW w:w="3227" w:type="pct"/>
            <w:shd w:val="clear" w:color="auto" w:fill="auto"/>
            <w:vAlign w:val="center"/>
          </w:tcPr>
          <w:p w:rsidR="0095055D" w:rsidRPr="006961A9" w:rsidRDefault="0095055D" w:rsidP="00C511A0">
            <w:pPr>
              <w:pStyle w:val="TableText0"/>
              <w:rPr>
                <w:b/>
                <w:lang w:val="en-US"/>
              </w:rPr>
            </w:pPr>
            <w:r w:rsidRPr="006961A9">
              <w:rPr>
                <w:b/>
                <w:lang w:val="en-US"/>
              </w:rPr>
              <w:t>Method/Value</w:t>
            </w:r>
          </w:p>
        </w:tc>
        <w:tc>
          <w:tcPr>
            <w:tcW w:w="922" w:type="pct"/>
            <w:shd w:val="clear" w:color="auto" w:fill="auto"/>
            <w:vAlign w:val="center"/>
          </w:tcPr>
          <w:p w:rsidR="0095055D" w:rsidRPr="006961A9" w:rsidRDefault="0095055D" w:rsidP="00C511A0">
            <w:pPr>
              <w:pStyle w:val="TableText0"/>
              <w:rPr>
                <w:b/>
                <w:lang w:val="en-US"/>
              </w:rPr>
            </w:pPr>
            <w:r w:rsidRPr="006961A9">
              <w:rPr>
                <w:b/>
                <w:lang w:val="en-US"/>
              </w:rPr>
              <w:t>Impact</w:t>
            </w:r>
          </w:p>
        </w:tc>
      </w:tr>
      <w:tr w:rsidR="00806E85" w:rsidRPr="008241D4" w:rsidTr="00E339DA">
        <w:trPr>
          <w:cantSplit/>
        </w:trPr>
        <w:tc>
          <w:tcPr>
            <w:tcW w:w="851" w:type="pct"/>
            <w:shd w:val="clear" w:color="auto" w:fill="auto"/>
            <w:vAlign w:val="center"/>
          </w:tcPr>
          <w:p w:rsidR="00806E85" w:rsidRPr="00695595" w:rsidRDefault="00806E85" w:rsidP="00C511A0">
            <w:pPr>
              <w:pStyle w:val="TableText0"/>
              <w:keepNext w:val="0"/>
              <w:jc w:val="left"/>
              <w:rPr>
                <w:lang w:val="en-US"/>
              </w:rPr>
            </w:pPr>
            <w:r w:rsidRPr="00695595">
              <w:rPr>
                <w:lang w:val="en-US"/>
              </w:rPr>
              <w:t>Pembrolizumab treatment duration</w:t>
            </w:r>
          </w:p>
        </w:tc>
        <w:tc>
          <w:tcPr>
            <w:tcW w:w="3227" w:type="pct"/>
            <w:shd w:val="clear" w:color="auto" w:fill="auto"/>
            <w:vAlign w:val="center"/>
          </w:tcPr>
          <w:p w:rsidR="00806E85" w:rsidRPr="00F754F9" w:rsidRDefault="00806E85" w:rsidP="00C511A0">
            <w:pPr>
              <w:pStyle w:val="TableText0"/>
              <w:keepNext w:val="0"/>
              <w:jc w:val="left"/>
              <w:rPr>
                <w:lang w:val="en-US"/>
              </w:rPr>
            </w:pPr>
            <w:r w:rsidRPr="00F754F9">
              <w:rPr>
                <w:lang w:val="en-US"/>
              </w:rPr>
              <w:t>The submission applie</w:t>
            </w:r>
            <w:r w:rsidR="008B7DD3" w:rsidRPr="00F754F9">
              <w:rPr>
                <w:lang w:val="en-US"/>
              </w:rPr>
              <w:t>d</w:t>
            </w:r>
            <w:r w:rsidRPr="00F754F9">
              <w:rPr>
                <w:lang w:val="en-US"/>
              </w:rPr>
              <w:t xml:space="preserve"> </w:t>
            </w:r>
            <w:r w:rsidR="003146B2" w:rsidRPr="00F754F9">
              <w:rPr>
                <w:lang w:val="en-US"/>
              </w:rPr>
              <w:t>a maximum duration of pembrolizumab treatment of two years</w:t>
            </w:r>
            <w:r w:rsidR="00D33B7B" w:rsidRPr="00F754F9">
              <w:rPr>
                <w:lang w:val="en-US"/>
              </w:rPr>
              <w:t xml:space="preserve"> (with some retreatment)</w:t>
            </w:r>
            <w:r w:rsidR="003146B2" w:rsidRPr="00F754F9">
              <w:rPr>
                <w:lang w:val="en-US"/>
              </w:rPr>
              <w:t>.</w:t>
            </w:r>
            <w:r w:rsidR="008B7DD3" w:rsidRPr="00F754F9">
              <w:rPr>
                <w:lang w:val="en-US"/>
              </w:rPr>
              <w:t xml:space="preserve"> This w</w:t>
            </w:r>
            <w:r w:rsidRPr="00F754F9">
              <w:rPr>
                <w:lang w:val="en-US"/>
              </w:rPr>
              <w:t xml:space="preserve">as applied in terms of costs only. Extrapolated PFS and OS data </w:t>
            </w:r>
            <w:r w:rsidR="008B7DD3" w:rsidRPr="00F754F9">
              <w:rPr>
                <w:lang w:val="en-US"/>
              </w:rPr>
              <w:t>were</w:t>
            </w:r>
            <w:r w:rsidRPr="00F754F9">
              <w:rPr>
                <w:lang w:val="en-US"/>
              </w:rPr>
              <w:t xml:space="preserve"> not adjusted to take treatment cessation into account. It may not be reasonable to assume </w:t>
            </w:r>
            <w:r w:rsidR="008B7DD3" w:rsidRPr="00F754F9">
              <w:rPr>
                <w:lang w:val="en-US"/>
              </w:rPr>
              <w:t xml:space="preserve">that </w:t>
            </w:r>
            <w:r w:rsidRPr="00F754F9">
              <w:rPr>
                <w:lang w:val="en-US"/>
              </w:rPr>
              <w:t xml:space="preserve">OS and PFS extrapolated from the trial, where few patients have stopped pembrolizumab treatment due to complete response or maximum treatment duration, </w:t>
            </w:r>
            <w:r w:rsidR="008B7DD3" w:rsidRPr="00F754F9">
              <w:rPr>
                <w:lang w:val="en-US"/>
              </w:rPr>
              <w:t>would</w:t>
            </w:r>
            <w:r w:rsidRPr="00F754F9">
              <w:rPr>
                <w:lang w:val="en-US"/>
              </w:rPr>
              <w:t xml:space="preserve"> apply to the context where treatment stops.</w:t>
            </w:r>
            <w:r w:rsidR="009D3DB1" w:rsidRPr="00F754F9">
              <w:rPr>
                <w:lang w:val="en-US"/>
              </w:rPr>
              <w:t xml:space="preserve"> There are no direct data from KN-024 to inform on retreatment.</w:t>
            </w:r>
          </w:p>
        </w:tc>
        <w:tc>
          <w:tcPr>
            <w:tcW w:w="922" w:type="pct"/>
            <w:shd w:val="clear" w:color="auto" w:fill="auto"/>
            <w:vAlign w:val="center"/>
          </w:tcPr>
          <w:p w:rsidR="00806E85" w:rsidRPr="00695595" w:rsidRDefault="00806E85" w:rsidP="00C511A0">
            <w:pPr>
              <w:pStyle w:val="TableText0"/>
              <w:keepNext w:val="0"/>
              <w:jc w:val="left"/>
              <w:rPr>
                <w:lang w:val="en-US"/>
              </w:rPr>
            </w:pPr>
            <w:r>
              <w:rPr>
                <w:lang w:val="en-US"/>
              </w:rPr>
              <w:t>H</w:t>
            </w:r>
            <w:r w:rsidRPr="00695595">
              <w:rPr>
                <w:lang w:val="en-US"/>
              </w:rPr>
              <w:t>igh,</w:t>
            </w:r>
            <w:r w:rsidRPr="00695595">
              <w:t xml:space="preserve"> favours</w:t>
            </w:r>
            <w:r w:rsidRPr="00695595">
              <w:rPr>
                <w:lang w:val="en-US"/>
              </w:rPr>
              <w:t xml:space="preserve"> PD-L1/pembrolizumab</w:t>
            </w:r>
          </w:p>
        </w:tc>
      </w:tr>
      <w:tr w:rsidR="00443842" w:rsidRPr="00305E5E" w:rsidTr="00E339DA">
        <w:trPr>
          <w:cantSplit/>
        </w:trPr>
        <w:tc>
          <w:tcPr>
            <w:tcW w:w="851" w:type="pct"/>
            <w:shd w:val="clear" w:color="auto" w:fill="auto"/>
            <w:vAlign w:val="center"/>
          </w:tcPr>
          <w:p w:rsidR="00443842" w:rsidRPr="00305E5E" w:rsidRDefault="00305E5E" w:rsidP="00C511A0">
            <w:pPr>
              <w:pStyle w:val="TableText0"/>
              <w:keepNext w:val="0"/>
              <w:jc w:val="left"/>
              <w:rPr>
                <w:lang w:val="en-US"/>
              </w:rPr>
            </w:pPr>
            <w:r>
              <w:rPr>
                <w:lang w:val="en-US"/>
              </w:rPr>
              <w:t>Extrapolation</w:t>
            </w:r>
            <w:r w:rsidR="00443842" w:rsidRPr="00305E5E">
              <w:rPr>
                <w:lang w:val="en-US"/>
              </w:rPr>
              <w:t xml:space="preserve"> </w:t>
            </w:r>
            <w:r>
              <w:rPr>
                <w:lang w:val="en-US"/>
              </w:rPr>
              <w:t>of pembrolizumab OS</w:t>
            </w:r>
          </w:p>
        </w:tc>
        <w:tc>
          <w:tcPr>
            <w:tcW w:w="3227" w:type="pct"/>
            <w:shd w:val="clear" w:color="auto" w:fill="auto"/>
            <w:vAlign w:val="center"/>
          </w:tcPr>
          <w:p w:rsidR="00443842" w:rsidRPr="00440AD0" w:rsidRDefault="00305E5E" w:rsidP="00C511A0">
            <w:pPr>
              <w:pStyle w:val="TableText0"/>
              <w:keepNext w:val="0"/>
              <w:jc w:val="left"/>
              <w:rPr>
                <w:lang w:val="en-US"/>
              </w:rPr>
            </w:pPr>
            <w:r w:rsidRPr="00F754F9">
              <w:rPr>
                <w:lang w:val="en-US"/>
              </w:rPr>
              <w:t>Based on immature data (</w:t>
            </w:r>
            <w:r w:rsidR="007F7E81" w:rsidRPr="00F754F9">
              <w:rPr>
                <w:lang w:val="en-US"/>
              </w:rPr>
              <w:t xml:space="preserve">only </w:t>
            </w:r>
            <w:r w:rsidRPr="00F754F9">
              <w:rPr>
                <w:lang w:val="en-US"/>
              </w:rPr>
              <w:t>28.6% of patients randomi</w:t>
            </w:r>
            <w:r w:rsidR="00D12C20" w:rsidRPr="00F754F9">
              <w:rPr>
                <w:lang w:val="en-US"/>
              </w:rPr>
              <w:t>s</w:t>
            </w:r>
            <w:r w:rsidRPr="00F754F9">
              <w:rPr>
                <w:lang w:val="en-US"/>
              </w:rPr>
              <w:t xml:space="preserve">ed to pembrolizumab have died) </w:t>
            </w:r>
            <w:r w:rsidR="00334BBB" w:rsidRPr="00F754F9">
              <w:rPr>
                <w:lang w:val="en-US"/>
              </w:rPr>
              <w:t>leading to uncertainty in the modelled estimates. The selection of the log-logistic model in the base case analysis may overestimate long-term survival.</w:t>
            </w:r>
            <w:r w:rsidR="0070338B" w:rsidRPr="00F754F9">
              <w:rPr>
                <w:lang w:val="en-US"/>
              </w:rPr>
              <w:t xml:space="preserve"> </w:t>
            </w:r>
            <w:r w:rsidR="0070338B" w:rsidRPr="00440AD0">
              <w:rPr>
                <w:lang w:val="en-US"/>
              </w:rPr>
              <w:t xml:space="preserve">The PSCR revised the extrapolation to an exponential model. </w:t>
            </w:r>
          </w:p>
        </w:tc>
        <w:tc>
          <w:tcPr>
            <w:tcW w:w="922" w:type="pct"/>
            <w:shd w:val="clear" w:color="auto" w:fill="auto"/>
            <w:vAlign w:val="center"/>
          </w:tcPr>
          <w:p w:rsidR="00443842" w:rsidRPr="00305E5E" w:rsidRDefault="0070338B" w:rsidP="00C511A0">
            <w:pPr>
              <w:pStyle w:val="TableText0"/>
              <w:keepNext w:val="0"/>
              <w:jc w:val="left"/>
              <w:rPr>
                <w:lang w:val="en-US"/>
              </w:rPr>
            </w:pPr>
            <w:r w:rsidRPr="00974B8B">
              <w:rPr>
                <w:lang w:val="en-US"/>
              </w:rPr>
              <w:t>Moderate</w:t>
            </w:r>
            <w:r w:rsidR="00334BBB" w:rsidRPr="00974B8B">
              <w:rPr>
                <w:lang w:val="en-US"/>
              </w:rPr>
              <w:t>,</w:t>
            </w:r>
            <w:r w:rsidR="00334BBB" w:rsidRPr="00974B8B">
              <w:t xml:space="preserve"> favours</w:t>
            </w:r>
            <w:r w:rsidR="00334BBB" w:rsidRPr="00974B8B">
              <w:rPr>
                <w:lang w:val="en-US"/>
              </w:rPr>
              <w:t xml:space="preserve"> </w:t>
            </w:r>
            <w:r w:rsidR="00334BBB">
              <w:rPr>
                <w:lang w:val="en-US"/>
              </w:rPr>
              <w:t>PD-L1/pembrolizumab</w:t>
            </w:r>
          </w:p>
        </w:tc>
      </w:tr>
      <w:tr w:rsidR="0095055D" w:rsidRPr="008241D4" w:rsidTr="00E339DA">
        <w:trPr>
          <w:cantSplit/>
        </w:trPr>
        <w:tc>
          <w:tcPr>
            <w:tcW w:w="851" w:type="pct"/>
            <w:shd w:val="clear" w:color="auto" w:fill="auto"/>
            <w:vAlign w:val="center"/>
          </w:tcPr>
          <w:p w:rsidR="0095055D" w:rsidRPr="00443842" w:rsidRDefault="0095055D" w:rsidP="00C511A0">
            <w:pPr>
              <w:pStyle w:val="TableText0"/>
              <w:keepNext w:val="0"/>
              <w:jc w:val="left"/>
              <w:rPr>
                <w:lang w:val="en-US"/>
              </w:rPr>
            </w:pPr>
            <w:r w:rsidRPr="00443842">
              <w:rPr>
                <w:lang w:val="en-US"/>
              </w:rPr>
              <w:t>Time horizon</w:t>
            </w:r>
          </w:p>
        </w:tc>
        <w:tc>
          <w:tcPr>
            <w:tcW w:w="3227" w:type="pct"/>
            <w:shd w:val="clear" w:color="auto" w:fill="auto"/>
            <w:vAlign w:val="center"/>
          </w:tcPr>
          <w:p w:rsidR="0095055D" w:rsidRPr="00440AD0" w:rsidRDefault="0095055D" w:rsidP="00832F58">
            <w:pPr>
              <w:pStyle w:val="TableText0"/>
              <w:keepNext w:val="0"/>
              <w:jc w:val="left"/>
              <w:rPr>
                <w:lang w:val="en-US"/>
              </w:rPr>
            </w:pPr>
            <w:r w:rsidRPr="00F754F9">
              <w:rPr>
                <w:lang w:val="en-US"/>
              </w:rPr>
              <w:t>7 years</w:t>
            </w:r>
            <w:r w:rsidR="0070338B" w:rsidRPr="00F754F9">
              <w:rPr>
                <w:lang w:val="en-US"/>
              </w:rPr>
              <w:t xml:space="preserve">, </w:t>
            </w:r>
            <w:r w:rsidR="0070338B" w:rsidRPr="00440AD0">
              <w:rPr>
                <w:lang w:val="en-US"/>
              </w:rPr>
              <w:t>revised to 6 years in the PSCR.</w:t>
            </w:r>
          </w:p>
        </w:tc>
        <w:tc>
          <w:tcPr>
            <w:tcW w:w="922" w:type="pct"/>
            <w:shd w:val="clear" w:color="auto" w:fill="auto"/>
            <w:vAlign w:val="center"/>
          </w:tcPr>
          <w:p w:rsidR="0095055D" w:rsidRPr="00443842" w:rsidRDefault="0095055D" w:rsidP="00974B8B">
            <w:pPr>
              <w:pStyle w:val="TableText0"/>
              <w:keepNext w:val="0"/>
              <w:jc w:val="left"/>
              <w:rPr>
                <w:lang w:val="en-US"/>
              </w:rPr>
            </w:pPr>
            <w:r w:rsidRPr="00443842">
              <w:rPr>
                <w:lang w:val="en-US"/>
              </w:rPr>
              <w:t>Moderate</w:t>
            </w:r>
            <w:r w:rsidR="00974B8B">
              <w:rPr>
                <w:lang w:val="en-US"/>
              </w:rPr>
              <w:t xml:space="preserve"> to </w:t>
            </w:r>
            <w:r w:rsidRPr="00443842">
              <w:rPr>
                <w:lang w:val="en-US"/>
              </w:rPr>
              <w:t>high, favours PD-L1/pembrolizumab</w:t>
            </w:r>
          </w:p>
        </w:tc>
      </w:tr>
    </w:tbl>
    <w:p w:rsidR="00334BBB" w:rsidRPr="00693739" w:rsidRDefault="00334BBB" w:rsidP="00C71CDD">
      <w:pPr>
        <w:pStyle w:val="TableFooter"/>
      </w:pPr>
      <w:r>
        <w:t xml:space="preserve">OS = overall survival; </w:t>
      </w:r>
      <w:r w:rsidRPr="00F81C55">
        <w:t>PD</w:t>
      </w:r>
      <w:r>
        <w:t>-L1 = programmed death-ligand 1.</w:t>
      </w:r>
    </w:p>
    <w:p w:rsidR="0095055D" w:rsidRPr="00334BBB" w:rsidRDefault="0095055D" w:rsidP="00C71CDD">
      <w:pPr>
        <w:pStyle w:val="TableFooter"/>
      </w:pPr>
      <w:r w:rsidRPr="00334BBB">
        <w:t>Source: Compiled during the evaluation</w:t>
      </w:r>
    </w:p>
    <w:p w:rsidR="0095055D" w:rsidRPr="007B14F5" w:rsidRDefault="0095055D" w:rsidP="0026320B">
      <w:pPr>
        <w:rPr>
          <w:rFonts w:ascii="Arial" w:hAnsi="Arial" w:cs="Arial"/>
          <w:sz w:val="22"/>
          <w:szCs w:val="22"/>
        </w:rPr>
      </w:pPr>
    </w:p>
    <w:p w:rsidR="0095055D" w:rsidRPr="007B14F5" w:rsidRDefault="0095055D" w:rsidP="00217726">
      <w:pPr>
        <w:pStyle w:val="ListParagraph"/>
        <w:numPr>
          <w:ilvl w:val="1"/>
          <w:numId w:val="4"/>
        </w:numPr>
        <w:ind w:left="720"/>
        <w:rPr>
          <w:rFonts w:ascii="Arial" w:hAnsi="Arial" w:cs="Arial"/>
          <w:sz w:val="22"/>
          <w:szCs w:val="22"/>
        </w:rPr>
      </w:pPr>
      <w:bookmarkStart w:id="45" w:name="_Toc431891747"/>
      <w:r w:rsidRPr="007B14F5">
        <w:rPr>
          <w:rFonts w:ascii="Arial" w:hAnsi="Arial" w:cs="Arial"/>
          <w:sz w:val="22"/>
          <w:szCs w:val="22"/>
        </w:rPr>
        <w:lastRenderedPageBreak/>
        <w:t xml:space="preserve">The results of the economic evaluation </w:t>
      </w:r>
      <w:r w:rsidR="008A78BE">
        <w:rPr>
          <w:rFonts w:ascii="Arial" w:hAnsi="Arial" w:cs="Arial"/>
          <w:sz w:val="22"/>
          <w:szCs w:val="22"/>
        </w:rPr>
        <w:t xml:space="preserve">presented in the submission </w:t>
      </w:r>
      <w:r w:rsidRPr="007B14F5">
        <w:rPr>
          <w:rFonts w:ascii="Arial" w:hAnsi="Arial" w:cs="Arial"/>
          <w:sz w:val="22"/>
          <w:szCs w:val="22"/>
        </w:rPr>
        <w:t xml:space="preserve">are presented in Table </w:t>
      </w:r>
      <w:r w:rsidR="00B1633E" w:rsidRPr="007B14F5">
        <w:rPr>
          <w:rFonts w:ascii="Arial" w:hAnsi="Arial" w:cs="Arial"/>
          <w:sz w:val="22"/>
          <w:szCs w:val="22"/>
        </w:rPr>
        <w:t>1</w:t>
      </w:r>
      <w:r w:rsidR="00B0118C">
        <w:rPr>
          <w:rFonts w:ascii="Arial" w:hAnsi="Arial" w:cs="Arial"/>
          <w:sz w:val="22"/>
          <w:szCs w:val="22"/>
        </w:rPr>
        <w:t>3</w:t>
      </w:r>
      <w:r w:rsidRPr="007B14F5">
        <w:rPr>
          <w:rFonts w:ascii="Arial" w:hAnsi="Arial" w:cs="Arial"/>
          <w:sz w:val="22"/>
          <w:szCs w:val="22"/>
        </w:rPr>
        <w:t>.</w:t>
      </w:r>
    </w:p>
    <w:p w:rsidR="0095055D" w:rsidRPr="007B14F5" w:rsidRDefault="0095055D" w:rsidP="00C71CDD">
      <w:pPr>
        <w:rPr>
          <w:rFonts w:ascii="Arial" w:hAnsi="Arial" w:cs="Arial"/>
          <w:sz w:val="22"/>
          <w:szCs w:val="22"/>
        </w:rPr>
      </w:pPr>
    </w:p>
    <w:p w:rsidR="0095055D" w:rsidRPr="003D6EC7" w:rsidRDefault="00956035" w:rsidP="00C71CDD">
      <w:pPr>
        <w:pStyle w:val="TableHeading0"/>
      </w:pPr>
      <w:r>
        <w:t xml:space="preserve">Table </w:t>
      </w:r>
      <w:r w:rsidR="00B1633E">
        <w:t>1</w:t>
      </w:r>
      <w:r w:rsidR="00B0118C">
        <w:t>3</w:t>
      </w:r>
      <w:r w:rsidR="0095055D" w:rsidRPr="003D6EC7">
        <w:t>: Results of the economic evaluation</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2733"/>
        <w:gridCol w:w="3112"/>
        <w:gridCol w:w="1515"/>
      </w:tblGrid>
      <w:tr w:rsidR="0095055D" w:rsidRPr="008241D4" w:rsidTr="00E339DA">
        <w:tc>
          <w:tcPr>
            <w:tcW w:w="972" w:type="pct"/>
          </w:tcPr>
          <w:p w:rsidR="0095055D" w:rsidRPr="003D6EC7" w:rsidRDefault="0095055D" w:rsidP="00C71CDD">
            <w:pPr>
              <w:pStyle w:val="TableText0"/>
              <w:keepNext w:val="0"/>
              <w:rPr>
                <w:b/>
              </w:rPr>
            </w:pPr>
            <w:r w:rsidRPr="003D6EC7">
              <w:rPr>
                <w:b/>
              </w:rPr>
              <w:t>Component</w:t>
            </w:r>
          </w:p>
        </w:tc>
        <w:tc>
          <w:tcPr>
            <w:tcW w:w="1496" w:type="pct"/>
            <w:vAlign w:val="center"/>
          </w:tcPr>
          <w:p w:rsidR="00D33B7B" w:rsidRPr="003D6EC7" w:rsidRDefault="003146B2" w:rsidP="00C71CDD">
            <w:pPr>
              <w:pStyle w:val="TableText0"/>
              <w:keepNext w:val="0"/>
              <w:jc w:val="center"/>
              <w:rPr>
                <w:b/>
              </w:rPr>
            </w:pPr>
            <w:r w:rsidRPr="003D6EC7">
              <w:rPr>
                <w:b/>
              </w:rPr>
              <w:t>PD-L1/pembrolizumab</w:t>
            </w:r>
          </w:p>
        </w:tc>
        <w:tc>
          <w:tcPr>
            <w:tcW w:w="1703" w:type="pct"/>
            <w:vAlign w:val="center"/>
          </w:tcPr>
          <w:p w:rsidR="0095055D" w:rsidRPr="003D6EC7" w:rsidRDefault="003D6EC7" w:rsidP="00C71CDD">
            <w:pPr>
              <w:pStyle w:val="TableText0"/>
              <w:keepNext w:val="0"/>
              <w:jc w:val="center"/>
              <w:rPr>
                <w:b/>
              </w:rPr>
            </w:pPr>
            <w:r w:rsidRPr="00192C01">
              <w:rPr>
                <w:b/>
              </w:rPr>
              <w:t>Platinum-doublet chemotherapy</w:t>
            </w:r>
          </w:p>
        </w:tc>
        <w:tc>
          <w:tcPr>
            <w:tcW w:w="829" w:type="pct"/>
          </w:tcPr>
          <w:p w:rsidR="0095055D" w:rsidRPr="003D6EC7" w:rsidRDefault="0095055D" w:rsidP="00C71CDD">
            <w:pPr>
              <w:pStyle w:val="TableText0"/>
              <w:keepNext w:val="0"/>
              <w:jc w:val="center"/>
              <w:rPr>
                <w:b/>
              </w:rPr>
            </w:pPr>
            <w:r w:rsidRPr="003D6EC7">
              <w:rPr>
                <w:b/>
              </w:rPr>
              <w:t>Increment</w:t>
            </w:r>
          </w:p>
        </w:tc>
      </w:tr>
      <w:tr w:rsidR="003D6EC7" w:rsidRPr="008241D4" w:rsidTr="00E339DA">
        <w:tc>
          <w:tcPr>
            <w:tcW w:w="972" w:type="pct"/>
          </w:tcPr>
          <w:p w:rsidR="003D6EC7" w:rsidRPr="008241D4" w:rsidRDefault="003D6EC7" w:rsidP="003D6EC7">
            <w:pPr>
              <w:pStyle w:val="TableText0"/>
              <w:keepNext w:val="0"/>
              <w:rPr>
                <w:highlight w:val="yellow"/>
              </w:rPr>
            </w:pPr>
            <w:r w:rsidRPr="0007727B">
              <w:t>Costs</w:t>
            </w:r>
          </w:p>
        </w:tc>
        <w:tc>
          <w:tcPr>
            <w:tcW w:w="1496" w:type="pct"/>
          </w:tcPr>
          <w:p w:rsidR="003D6EC7" w:rsidRPr="008241D4" w:rsidRDefault="003D6EC7" w:rsidP="003D6EC7">
            <w:pPr>
              <w:pStyle w:val="TableText0"/>
              <w:keepNext w:val="0"/>
              <w:jc w:val="center"/>
              <w:rPr>
                <w:highlight w:val="yellow"/>
              </w:rPr>
            </w:pPr>
            <w:r w:rsidRPr="0007727B">
              <w:t>$</w:t>
            </w:r>
            <w:r w:rsidR="00DF3DBC">
              <w:rPr>
                <w:noProof/>
                <w:color w:val="000000"/>
                <w:highlight w:val="black"/>
              </w:rPr>
              <w:t>''''''''''''''''</w:t>
            </w:r>
          </w:p>
        </w:tc>
        <w:tc>
          <w:tcPr>
            <w:tcW w:w="1703" w:type="pct"/>
          </w:tcPr>
          <w:p w:rsidR="003D6EC7" w:rsidRPr="008241D4" w:rsidRDefault="003D6EC7" w:rsidP="003D6EC7">
            <w:pPr>
              <w:pStyle w:val="TableText0"/>
              <w:keepNext w:val="0"/>
              <w:jc w:val="center"/>
              <w:rPr>
                <w:highlight w:val="yellow"/>
              </w:rPr>
            </w:pPr>
            <w:r w:rsidRPr="0007727B">
              <w:t>$</w:t>
            </w:r>
            <w:r w:rsidR="00DF3DBC">
              <w:rPr>
                <w:noProof/>
                <w:color w:val="000000"/>
                <w:highlight w:val="black"/>
              </w:rPr>
              <w:t>''''''''''''''''</w:t>
            </w:r>
          </w:p>
        </w:tc>
        <w:tc>
          <w:tcPr>
            <w:tcW w:w="829" w:type="pct"/>
          </w:tcPr>
          <w:p w:rsidR="003D6EC7" w:rsidRPr="008241D4" w:rsidRDefault="003D6EC7" w:rsidP="003D6EC7">
            <w:pPr>
              <w:pStyle w:val="TableText0"/>
              <w:keepNext w:val="0"/>
              <w:jc w:val="center"/>
              <w:rPr>
                <w:highlight w:val="yellow"/>
              </w:rPr>
            </w:pPr>
            <w:r w:rsidRPr="0007727B">
              <w:t>$</w:t>
            </w:r>
            <w:r w:rsidR="00DF3DBC">
              <w:rPr>
                <w:noProof/>
                <w:color w:val="000000"/>
                <w:highlight w:val="black"/>
              </w:rPr>
              <w:t>'''''''''''''''</w:t>
            </w:r>
          </w:p>
        </w:tc>
      </w:tr>
      <w:tr w:rsidR="003D6EC7" w:rsidRPr="008241D4" w:rsidTr="00E339DA">
        <w:tc>
          <w:tcPr>
            <w:tcW w:w="972" w:type="pct"/>
          </w:tcPr>
          <w:p w:rsidR="003D6EC7" w:rsidRPr="008241D4" w:rsidRDefault="003D6EC7" w:rsidP="003D6EC7">
            <w:pPr>
              <w:pStyle w:val="TableText0"/>
              <w:keepNext w:val="0"/>
              <w:rPr>
                <w:rStyle w:val="CommentReference"/>
                <w:b w:val="0"/>
                <w:highlight w:val="yellow"/>
              </w:rPr>
            </w:pPr>
            <w:r w:rsidRPr="0007727B">
              <w:t>LYs</w:t>
            </w:r>
          </w:p>
        </w:tc>
        <w:tc>
          <w:tcPr>
            <w:tcW w:w="1496" w:type="pct"/>
          </w:tcPr>
          <w:p w:rsidR="003D6EC7" w:rsidRPr="008241D4" w:rsidRDefault="003D6EC7" w:rsidP="003D6EC7">
            <w:pPr>
              <w:pStyle w:val="TableText0"/>
              <w:keepNext w:val="0"/>
              <w:jc w:val="center"/>
              <w:rPr>
                <w:rStyle w:val="CommentReference"/>
                <w:b w:val="0"/>
                <w:highlight w:val="yellow"/>
              </w:rPr>
            </w:pPr>
            <w:r w:rsidRPr="0007727B">
              <w:t>1.69</w:t>
            </w:r>
          </w:p>
        </w:tc>
        <w:tc>
          <w:tcPr>
            <w:tcW w:w="1703" w:type="pct"/>
          </w:tcPr>
          <w:p w:rsidR="003D6EC7" w:rsidRPr="008241D4" w:rsidRDefault="003D6EC7" w:rsidP="003D6EC7">
            <w:pPr>
              <w:pStyle w:val="TableText0"/>
              <w:keepNext w:val="0"/>
              <w:jc w:val="center"/>
              <w:rPr>
                <w:rStyle w:val="CommentReference"/>
                <w:b w:val="0"/>
                <w:highlight w:val="yellow"/>
              </w:rPr>
            </w:pPr>
            <w:r w:rsidRPr="0007727B">
              <w:t>1.27</w:t>
            </w:r>
          </w:p>
        </w:tc>
        <w:tc>
          <w:tcPr>
            <w:tcW w:w="829" w:type="pct"/>
          </w:tcPr>
          <w:p w:rsidR="003D6EC7" w:rsidRPr="008241D4" w:rsidRDefault="003D6EC7" w:rsidP="003D6EC7">
            <w:pPr>
              <w:pStyle w:val="TableText0"/>
              <w:keepNext w:val="0"/>
              <w:jc w:val="center"/>
              <w:rPr>
                <w:rStyle w:val="CommentReference"/>
                <w:b w:val="0"/>
                <w:highlight w:val="yellow"/>
              </w:rPr>
            </w:pPr>
            <w:r w:rsidRPr="0007727B">
              <w:t>0.42</w:t>
            </w:r>
          </w:p>
        </w:tc>
      </w:tr>
      <w:tr w:rsidR="003D6EC7" w:rsidRPr="008241D4" w:rsidTr="00E339DA">
        <w:tc>
          <w:tcPr>
            <w:tcW w:w="972" w:type="pct"/>
          </w:tcPr>
          <w:p w:rsidR="003D6EC7" w:rsidRPr="008241D4" w:rsidRDefault="003D6EC7" w:rsidP="003D6EC7">
            <w:pPr>
              <w:pStyle w:val="TableText0"/>
              <w:keepNext w:val="0"/>
              <w:rPr>
                <w:rStyle w:val="CommentReference"/>
                <w:b w:val="0"/>
                <w:highlight w:val="yellow"/>
              </w:rPr>
            </w:pPr>
            <w:r w:rsidRPr="0007727B">
              <w:t>QALYs</w:t>
            </w:r>
          </w:p>
        </w:tc>
        <w:tc>
          <w:tcPr>
            <w:tcW w:w="1496" w:type="pct"/>
          </w:tcPr>
          <w:p w:rsidR="003D6EC7" w:rsidRPr="008241D4" w:rsidRDefault="003D6EC7" w:rsidP="003D6EC7">
            <w:pPr>
              <w:pStyle w:val="TableText0"/>
              <w:keepNext w:val="0"/>
              <w:jc w:val="center"/>
              <w:rPr>
                <w:rStyle w:val="CommentReference"/>
                <w:b w:val="0"/>
                <w:highlight w:val="yellow"/>
              </w:rPr>
            </w:pPr>
            <w:r w:rsidRPr="0007727B">
              <w:t>1.21</w:t>
            </w:r>
          </w:p>
        </w:tc>
        <w:tc>
          <w:tcPr>
            <w:tcW w:w="1703" w:type="pct"/>
          </w:tcPr>
          <w:p w:rsidR="003D6EC7" w:rsidRPr="008241D4" w:rsidRDefault="003D6EC7" w:rsidP="003D6EC7">
            <w:pPr>
              <w:pStyle w:val="TableText0"/>
              <w:keepNext w:val="0"/>
              <w:jc w:val="center"/>
              <w:rPr>
                <w:rStyle w:val="CommentReference"/>
                <w:b w:val="0"/>
                <w:highlight w:val="yellow"/>
              </w:rPr>
            </w:pPr>
            <w:r w:rsidRPr="0007727B">
              <w:t>0.91</w:t>
            </w:r>
          </w:p>
        </w:tc>
        <w:tc>
          <w:tcPr>
            <w:tcW w:w="829" w:type="pct"/>
          </w:tcPr>
          <w:p w:rsidR="003D6EC7" w:rsidRPr="008241D4" w:rsidRDefault="00035C4F" w:rsidP="003D6EC7">
            <w:pPr>
              <w:pStyle w:val="TableText0"/>
              <w:keepNext w:val="0"/>
              <w:jc w:val="center"/>
              <w:rPr>
                <w:rStyle w:val="CommentReference"/>
                <w:b w:val="0"/>
                <w:highlight w:val="yellow"/>
              </w:rPr>
            </w:pPr>
            <w:r>
              <w:t>0.30</w:t>
            </w:r>
          </w:p>
        </w:tc>
      </w:tr>
      <w:tr w:rsidR="003D6EC7" w:rsidRPr="008241D4" w:rsidTr="00E339DA">
        <w:tc>
          <w:tcPr>
            <w:tcW w:w="4171" w:type="pct"/>
            <w:gridSpan w:val="3"/>
          </w:tcPr>
          <w:p w:rsidR="003D6EC7" w:rsidRPr="008241D4" w:rsidRDefault="003D6EC7" w:rsidP="003D6EC7">
            <w:pPr>
              <w:pStyle w:val="TableText0"/>
              <w:keepNext w:val="0"/>
              <w:rPr>
                <w:rStyle w:val="CommentReference"/>
                <w:highlight w:val="yellow"/>
              </w:rPr>
            </w:pPr>
            <w:r w:rsidRPr="0007727B">
              <w:rPr>
                <w:b/>
              </w:rPr>
              <w:t>Incremental cost/extra LY gained</w:t>
            </w:r>
          </w:p>
        </w:tc>
        <w:tc>
          <w:tcPr>
            <w:tcW w:w="829" w:type="pct"/>
          </w:tcPr>
          <w:p w:rsidR="003D6EC7" w:rsidRPr="008241D4" w:rsidRDefault="003D6EC7" w:rsidP="003D6EC7">
            <w:pPr>
              <w:pStyle w:val="TableText0"/>
              <w:keepNext w:val="0"/>
              <w:jc w:val="center"/>
              <w:rPr>
                <w:rStyle w:val="CommentReference"/>
                <w:b w:val="0"/>
                <w:highlight w:val="yellow"/>
              </w:rPr>
            </w:pPr>
            <w:r w:rsidRPr="00221589">
              <w:rPr>
                <w:b/>
              </w:rPr>
              <w:t>$</w:t>
            </w:r>
            <w:r w:rsidR="00DF3DBC">
              <w:rPr>
                <w:b/>
                <w:noProof/>
                <w:color w:val="000000"/>
                <w:highlight w:val="black"/>
              </w:rPr>
              <w:t>''''''''''''''</w:t>
            </w:r>
          </w:p>
        </w:tc>
      </w:tr>
      <w:tr w:rsidR="003D6EC7" w:rsidRPr="008241D4" w:rsidTr="00E339DA">
        <w:tc>
          <w:tcPr>
            <w:tcW w:w="4171" w:type="pct"/>
            <w:gridSpan w:val="3"/>
          </w:tcPr>
          <w:p w:rsidR="003D6EC7" w:rsidRPr="008241D4" w:rsidRDefault="003D6EC7" w:rsidP="003D6EC7">
            <w:pPr>
              <w:pStyle w:val="TableText0"/>
              <w:keepNext w:val="0"/>
              <w:rPr>
                <w:rStyle w:val="CommentReference"/>
                <w:highlight w:val="yellow"/>
              </w:rPr>
            </w:pPr>
            <w:r w:rsidRPr="0007727B">
              <w:rPr>
                <w:b/>
              </w:rPr>
              <w:t>Incremental cost/extra QALY gained</w:t>
            </w:r>
          </w:p>
        </w:tc>
        <w:tc>
          <w:tcPr>
            <w:tcW w:w="829" w:type="pct"/>
          </w:tcPr>
          <w:p w:rsidR="003D6EC7" w:rsidRPr="008241D4" w:rsidRDefault="003D6EC7" w:rsidP="003D6EC7">
            <w:pPr>
              <w:pStyle w:val="TableText0"/>
              <w:keepNext w:val="0"/>
              <w:jc w:val="center"/>
              <w:rPr>
                <w:rStyle w:val="CommentReference"/>
                <w:b w:val="0"/>
                <w:highlight w:val="yellow"/>
              </w:rPr>
            </w:pPr>
            <w:r w:rsidRPr="00221589">
              <w:rPr>
                <w:b/>
              </w:rPr>
              <w:t>$</w:t>
            </w:r>
            <w:r w:rsidR="00DF3DBC">
              <w:rPr>
                <w:b/>
                <w:noProof/>
                <w:color w:val="000000"/>
                <w:highlight w:val="black"/>
              </w:rPr>
              <w:t>'''''''''''''</w:t>
            </w:r>
          </w:p>
        </w:tc>
      </w:tr>
    </w:tbl>
    <w:p w:rsidR="003D6EC7" w:rsidRPr="000620EA" w:rsidRDefault="003D6EC7" w:rsidP="003D6EC7">
      <w:pPr>
        <w:pStyle w:val="TableFooter"/>
      </w:pPr>
      <w:r>
        <w:t xml:space="preserve">LY = life year; </w:t>
      </w:r>
      <w:r w:rsidRPr="000620EA">
        <w:t xml:space="preserve">PD-L1 = </w:t>
      </w:r>
      <w:r>
        <w:t>programmed death-ligand 1; QALY</w:t>
      </w:r>
      <w:r w:rsidRPr="000620EA">
        <w:t xml:space="preserve"> = quality-adjusted life year</w:t>
      </w:r>
      <w:r>
        <w:t>.</w:t>
      </w:r>
    </w:p>
    <w:p w:rsidR="003D6EC7" w:rsidRPr="0007727B" w:rsidRDefault="003D6EC7" w:rsidP="003D6EC7">
      <w:pPr>
        <w:pStyle w:val="TableFooter"/>
      </w:pPr>
      <w:r w:rsidRPr="0007727B">
        <w:t xml:space="preserve">Source: </w:t>
      </w:r>
      <w:r w:rsidR="00035C4F" w:rsidRPr="00440AD0">
        <w:t xml:space="preserve">Constructed during the evaluation from </w:t>
      </w:r>
      <w:r w:rsidRPr="00F754F9">
        <w:t xml:space="preserve">Table D.5-8, </w:t>
      </w:r>
      <w:r w:rsidR="0029440C" w:rsidRPr="00F754F9">
        <w:t>p278</w:t>
      </w:r>
      <w:r w:rsidRPr="00440AD0">
        <w:t xml:space="preserve"> </w:t>
      </w:r>
      <w:r w:rsidR="00035C4F" w:rsidRPr="00440AD0">
        <w:t xml:space="preserve">and </w:t>
      </w:r>
      <w:r w:rsidR="00035C4F" w:rsidRPr="00F754F9">
        <w:t xml:space="preserve">FINAL_Pembrolizumab Section D Workbook 1L NSCLC Australia.xlsm </w:t>
      </w:r>
      <w:r w:rsidRPr="00440AD0">
        <w:t>of the submission.</w:t>
      </w:r>
    </w:p>
    <w:p w:rsidR="0095055D" w:rsidRDefault="0095055D" w:rsidP="00C71CDD">
      <w:pPr>
        <w:rPr>
          <w:rFonts w:ascii="Arial" w:hAnsi="Arial" w:cs="Arial"/>
          <w:sz w:val="22"/>
          <w:szCs w:val="22"/>
        </w:rPr>
      </w:pPr>
    </w:p>
    <w:p w:rsidR="0070338B" w:rsidRPr="00440AD0" w:rsidRDefault="0070338B" w:rsidP="0070338B">
      <w:pPr>
        <w:pStyle w:val="ListParagraph"/>
        <w:numPr>
          <w:ilvl w:val="1"/>
          <w:numId w:val="4"/>
        </w:numPr>
        <w:ind w:left="720"/>
        <w:rPr>
          <w:rFonts w:ascii="Arial" w:hAnsi="Arial" w:cs="Arial"/>
          <w:sz w:val="22"/>
          <w:szCs w:val="22"/>
        </w:rPr>
      </w:pPr>
      <w:r w:rsidRPr="00440AD0">
        <w:rPr>
          <w:rFonts w:ascii="Arial" w:hAnsi="Arial" w:cs="Arial"/>
          <w:sz w:val="22"/>
          <w:szCs w:val="22"/>
        </w:rPr>
        <w:t xml:space="preserve">The PSCR </w:t>
      </w:r>
      <w:r w:rsidR="008A78BE" w:rsidRPr="00440AD0">
        <w:rPr>
          <w:rFonts w:ascii="Arial" w:hAnsi="Arial" w:cs="Arial"/>
          <w:sz w:val="22"/>
          <w:szCs w:val="22"/>
        </w:rPr>
        <w:t>presented a revised ICER (</w:t>
      </w:r>
      <w:r w:rsidR="00F6752C">
        <w:rPr>
          <w:rFonts w:ascii="Arial" w:hAnsi="Arial" w:cs="Arial"/>
          <w:sz w:val="22"/>
          <w:szCs w:val="22"/>
        </w:rPr>
        <w:t>$45,000/QALY - $75,000/QALY</w:t>
      </w:r>
      <w:r w:rsidR="008A78BE" w:rsidRPr="00440AD0">
        <w:rPr>
          <w:rFonts w:ascii="Arial" w:hAnsi="Arial" w:cs="Arial"/>
          <w:sz w:val="22"/>
          <w:szCs w:val="22"/>
        </w:rPr>
        <w:t xml:space="preserve">), which </w:t>
      </w:r>
      <w:r w:rsidRPr="00440AD0">
        <w:rPr>
          <w:rFonts w:ascii="Arial" w:hAnsi="Arial" w:cs="Arial"/>
          <w:sz w:val="22"/>
          <w:szCs w:val="22"/>
        </w:rPr>
        <w:t>was based on the OS of platinum-doublet chemotherapy which had not been adjusted for treatment switching (i.e. ITT analysis). However the Kaplan-Meier data used was that which was adjusted using the two-stage method. While this was identified during the evaluation of the submission, and where relevant, analyses revised, the PSCR did not correct for this in the respecified analysis presented in the PSCR. As this now affects the base case, all scenario and sensitivity analyses in Tables 16, 17 and 18 have been revised to correct for this.</w:t>
      </w:r>
    </w:p>
    <w:p w:rsidR="008A78BE" w:rsidRPr="00440AD0" w:rsidRDefault="008A78BE" w:rsidP="000C325C">
      <w:pPr>
        <w:rPr>
          <w:rFonts w:ascii="Arial" w:hAnsi="Arial" w:cs="Arial"/>
          <w:sz w:val="22"/>
          <w:szCs w:val="22"/>
        </w:rPr>
      </w:pPr>
    </w:p>
    <w:p w:rsidR="00B85C85" w:rsidRPr="00440AD0" w:rsidRDefault="008A78BE" w:rsidP="00B85C85">
      <w:pPr>
        <w:pStyle w:val="ListParagraph"/>
        <w:numPr>
          <w:ilvl w:val="1"/>
          <w:numId w:val="4"/>
        </w:numPr>
        <w:ind w:left="720"/>
        <w:rPr>
          <w:rFonts w:ascii="Arial" w:hAnsi="Arial" w:cs="Arial"/>
          <w:sz w:val="22"/>
          <w:szCs w:val="22"/>
        </w:rPr>
      </w:pPr>
      <w:r w:rsidRPr="00440AD0">
        <w:rPr>
          <w:rFonts w:ascii="Arial" w:hAnsi="Arial" w:cs="Arial"/>
          <w:sz w:val="22"/>
          <w:szCs w:val="22"/>
        </w:rPr>
        <w:t xml:space="preserve">Verification of the PSCR’s revised ICER is presented in </w:t>
      </w:r>
      <w:r w:rsidR="00B0118C" w:rsidRPr="00440AD0">
        <w:rPr>
          <w:rFonts w:ascii="Arial" w:hAnsi="Arial" w:cs="Arial"/>
          <w:sz w:val="22"/>
          <w:szCs w:val="22"/>
        </w:rPr>
        <w:t>Table 14</w:t>
      </w:r>
      <w:r w:rsidRPr="00440AD0">
        <w:rPr>
          <w:rFonts w:ascii="Arial" w:hAnsi="Arial" w:cs="Arial"/>
          <w:sz w:val="22"/>
          <w:szCs w:val="22"/>
        </w:rPr>
        <w:t>.</w:t>
      </w:r>
    </w:p>
    <w:p w:rsidR="008A78BE" w:rsidRPr="000C325C" w:rsidRDefault="008A78BE" w:rsidP="000C325C">
      <w:pPr>
        <w:rPr>
          <w:rFonts w:ascii="Arial" w:hAnsi="Arial" w:cs="Arial"/>
          <w:i/>
          <w:sz w:val="22"/>
          <w:szCs w:val="22"/>
        </w:rPr>
      </w:pPr>
    </w:p>
    <w:p w:rsidR="008A78BE" w:rsidRPr="00440AD0" w:rsidRDefault="008A78BE" w:rsidP="00832F58">
      <w:pPr>
        <w:rPr>
          <w:rFonts w:ascii="Arial Narrow" w:hAnsi="Arial Narrow" w:cs="Arial"/>
          <w:b/>
          <w:sz w:val="20"/>
          <w:szCs w:val="20"/>
        </w:rPr>
      </w:pPr>
      <w:r w:rsidRPr="00440AD0">
        <w:rPr>
          <w:rFonts w:ascii="Arial Narrow" w:hAnsi="Arial Narrow" w:cs="Arial"/>
          <w:b/>
          <w:sz w:val="20"/>
          <w:szCs w:val="20"/>
        </w:rPr>
        <w:t xml:space="preserve">Table </w:t>
      </w:r>
      <w:r w:rsidR="00B0118C" w:rsidRPr="00440AD0">
        <w:rPr>
          <w:rFonts w:ascii="Arial Narrow" w:hAnsi="Arial Narrow" w:cs="Arial"/>
          <w:b/>
          <w:sz w:val="20"/>
          <w:szCs w:val="20"/>
        </w:rPr>
        <w:t>14</w:t>
      </w:r>
      <w:r w:rsidRPr="00440AD0">
        <w:rPr>
          <w:rFonts w:ascii="Arial Narrow" w:hAnsi="Arial Narrow" w:cs="Arial"/>
          <w:b/>
          <w:sz w:val="20"/>
          <w:szCs w:val="20"/>
        </w:rPr>
        <w:t>: Stepped economic analysis based on revisions presented in the PSCR</w:t>
      </w:r>
    </w:p>
    <w:tbl>
      <w:tblPr>
        <w:tblStyle w:val="TableGrid"/>
        <w:tblW w:w="0" w:type="auto"/>
        <w:tblInd w:w="108" w:type="dxa"/>
        <w:tblLook w:val="04A0" w:firstRow="1" w:lastRow="0" w:firstColumn="1" w:lastColumn="0" w:noHBand="0" w:noVBand="1"/>
        <w:tblCaption w:val="Table 14: Stepped economic analysis based on revisions presented in the PSCR"/>
      </w:tblPr>
      <w:tblGrid>
        <w:gridCol w:w="426"/>
        <w:gridCol w:w="6884"/>
        <w:gridCol w:w="1825"/>
      </w:tblGrid>
      <w:tr w:rsidR="008A78BE" w:rsidRPr="00F754F9" w:rsidTr="000052EA">
        <w:trPr>
          <w:tblHeader/>
        </w:trPr>
        <w:tc>
          <w:tcPr>
            <w:tcW w:w="7310" w:type="dxa"/>
            <w:gridSpan w:val="2"/>
          </w:tcPr>
          <w:p w:rsidR="008A78BE" w:rsidRPr="00F754F9" w:rsidRDefault="008A78BE" w:rsidP="004E3D11">
            <w:pPr>
              <w:rPr>
                <w:rFonts w:ascii="Arial Narrow" w:hAnsi="Arial Narrow"/>
                <w:b/>
                <w:sz w:val="20"/>
              </w:rPr>
            </w:pPr>
            <w:r w:rsidRPr="00F754F9">
              <w:rPr>
                <w:rFonts w:ascii="Arial Narrow" w:hAnsi="Arial Narrow"/>
                <w:b/>
                <w:sz w:val="20"/>
              </w:rPr>
              <w:t>Analysis</w:t>
            </w:r>
          </w:p>
        </w:tc>
        <w:tc>
          <w:tcPr>
            <w:tcW w:w="1825" w:type="dxa"/>
          </w:tcPr>
          <w:p w:rsidR="008A78BE" w:rsidRPr="00F754F9" w:rsidRDefault="008A78BE" w:rsidP="004E3D11">
            <w:pPr>
              <w:jc w:val="center"/>
              <w:rPr>
                <w:rFonts w:ascii="Arial Narrow" w:hAnsi="Arial Narrow"/>
                <w:b/>
                <w:sz w:val="20"/>
              </w:rPr>
            </w:pPr>
            <w:r w:rsidRPr="00F754F9">
              <w:rPr>
                <w:rFonts w:ascii="Arial Narrow" w:hAnsi="Arial Narrow"/>
                <w:b/>
                <w:sz w:val="20"/>
              </w:rPr>
              <w:t>ICER</w:t>
            </w:r>
          </w:p>
        </w:tc>
      </w:tr>
      <w:tr w:rsidR="008A78BE" w:rsidRPr="00F754F9" w:rsidTr="00E339DA">
        <w:tc>
          <w:tcPr>
            <w:tcW w:w="426" w:type="dxa"/>
          </w:tcPr>
          <w:p w:rsidR="008A78BE" w:rsidRPr="00F754F9" w:rsidRDefault="008A78BE" w:rsidP="004E3D11">
            <w:pPr>
              <w:rPr>
                <w:rFonts w:ascii="Arial Narrow" w:hAnsi="Arial Narrow"/>
                <w:b/>
                <w:sz w:val="20"/>
              </w:rPr>
            </w:pPr>
            <w:r w:rsidRPr="00F754F9">
              <w:rPr>
                <w:rFonts w:ascii="Arial Narrow" w:hAnsi="Arial Narrow"/>
                <w:b/>
                <w:sz w:val="20"/>
              </w:rPr>
              <w:t>1</w:t>
            </w:r>
          </w:p>
        </w:tc>
        <w:tc>
          <w:tcPr>
            <w:tcW w:w="6884" w:type="dxa"/>
          </w:tcPr>
          <w:p w:rsidR="008A78BE" w:rsidRPr="00F754F9" w:rsidRDefault="008A78BE" w:rsidP="004E3D11">
            <w:pPr>
              <w:rPr>
                <w:rFonts w:ascii="Arial Narrow" w:hAnsi="Arial Narrow"/>
                <w:b/>
                <w:sz w:val="20"/>
              </w:rPr>
            </w:pPr>
            <w:r w:rsidRPr="00F754F9">
              <w:rPr>
                <w:rFonts w:ascii="Arial Narrow" w:hAnsi="Arial Narrow"/>
                <w:b/>
                <w:sz w:val="20"/>
              </w:rPr>
              <w:t>Base case ICER</w:t>
            </w:r>
            <w:r w:rsidR="00877BAD" w:rsidRPr="00F754F9">
              <w:rPr>
                <w:rFonts w:ascii="Arial Narrow" w:hAnsi="Arial Narrow"/>
                <w:b/>
                <w:sz w:val="20"/>
              </w:rPr>
              <w:t xml:space="preserve"> from the major submission</w:t>
            </w:r>
          </w:p>
        </w:tc>
        <w:tc>
          <w:tcPr>
            <w:tcW w:w="1825" w:type="dxa"/>
          </w:tcPr>
          <w:p w:rsidR="008A78BE" w:rsidRPr="00F754F9" w:rsidRDefault="008A78BE" w:rsidP="004E3D11">
            <w:pPr>
              <w:jc w:val="center"/>
              <w:rPr>
                <w:rFonts w:ascii="Arial Narrow" w:hAnsi="Arial Narrow"/>
                <w:b/>
                <w:sz w:val="20"/>
              </w:rPr>
            </w:pPr>
            <w:r w:rsidRPr="00F754F9">
              <w:rPr>
                <w:rFonts w:ascii="Arial Narrow" w:hAnsi="Arial Narrow"/>
                <w:b/>
                <w:sz w:val="20"/>
              </w:rPr>
              <w:t>$</w:t>
            </w:r>
            <w:r w:rsidR="00DF3DBC">
              <w:rPr>
                <w:rFonts w:ascii="Arial Narrow" w:hAnsi="Arial Narrow"/>
                <w:b/>
                <w:noProof/>
                <w:color w:val="000000"/>
                <w:sz w:val="20"/>
                <w:highlight w:val="black"/>
              </w:rPr>
              <w:t>''''''''''''''</w:t>
            </w:r>
          </w:p>
        </w:tc>
      </w:tr>
      <w:tr w:rsidR="008A78BE" w:rsidRPr="00F754F9" w:rsidTr="00E339DA">
        <w:tc>
          <w:tcPr>
            <w:tcW w:w="426" w:type="dxa"/>
          </w:tcPr>
          <w:p w:rsidR="008A78BE" w:rsidRPr="00F754F9" w:rsidRDefault="008A78BE" w:rsidP="004E3D11">
            <w:pPr>
              <w:rPr>
                <w:rFonts w:ascii="Arial Narrow" w:hAnsi="Arial Narrow"/>
                <w:sz w:val="20"/>
              </w:rPr>
            </w:pPr>
            <w:r w:rsidRPr="00F754F9">
              <w:rPr>
                <w:rFonts w:ascii="Arial Narrow" w:hAnsi="Arial Narrow"/>
                <w:sz w:val="20"/>
              </w:rPr>
              <w:t>2</w:t>
            </w:r>
          </w:p>
        </w:tc>
        <w:tc>
          <w:tcPr>
            <w:tcW w:w="6884" w:type="dxa"/>
          </w:tcPr>
          <w:p w:rsidR="008A78BE" w:rsidRPr="00F754F9" w:rsidRDefault="008A78BE" w:rsidP="004E3D11">
            <w:pPr>
              <w:rPr>
                <w:rFonts w:ascii="Arial Narrow" w:hAnsi="Arial Narrow"/>
                <w:sz w:val="20"/>
              </w:rPr>
            </w:pPr>
            <w:r w:rsidRPr="00F754F9">
              <w:rPr>
                <w:rFonts w:ascii="Arial Narrow" w:hAnsi="Arial Narrow"/>
                <w:sz w:val="20"/>
              </w:rPr>
              <w:t>1 + exponential extrapolation of pembrolizumab OS</w:t>
            </w:r>
          </w:p>
        </w:tc>
        <w:tc>
          <w:tcPr>
            <w:tcW w:w="1825" w:type="dxa"/>
          </w:tcPr>
          <w:p w:rsidR="008A78BE" w:rsidRPr="00F754F9" w:rsidRDefault="008A78BE" w:rsidP="004E3D11">
            <w:pPr>
              <w:jc w:val="center"/>
              <w:rPr>
                <w:rFonts w:ascii="Arial Narrow" w:hAnsi="Arial Narrow"/>
                <w:sz w:val="20"/>
              </w:rPr>
            </w:pPr>
            <w:r w:rsidRPr="00F754F9">
              <w:rPr>
                <w:rFonts w:ascii="Arial Narrow" w:hAnsi="Arial Narrow"/>
                <w:sz w:val="20"/>
              </w:rPr>
              <w:t>$</w:t>
            </w:r>
            <w:r w:rsidR="00DF3DBC">
              <w:rPr>
                <w:rFonts w:ascii="Arial Narrow" w:hAnsi="Arial Narrow"/>
                <w:noProof/>
                <w:color w:val="000000"/>
                <w:sz w:val="20"/>
                <w:highlight w:val="black"/>
              </w:rPr>
              <w:t>''''''''''''''''''</w:t>
            </w:r>
          </w:p>
        </w:tc>
      </w:tr>
      <w:tr w:rsidR="008A78BE" w:rsidRPr="00F754F9" w:rsidTr="00E339DA">
        <w:tc>
          <w:tcPr>
            <w:tcW w:w="426" w:type="dxa"/>
          </w:tcPr>
          <w:p w:rsidR="008A78BE" w:rsidRPr="00F754F9" w:rsidRDefault="008A78BE" w:rsidP="004E3D11">
            <w:pPr>
              <w:rPr>
                <w:rFonts w:ascii="Arial Narrow" w:hAnsi="Arial Narrow"/>
                <w:sz w:val="20"/>
              </w:rPr>
            </w:pPr>
            <w:r w:rsidRPr="00F754F9">
              <w:rPr>
                <w:rFonts w:ascii="Arial Narrow" w:hAnsi="Arial Narrow"/>
                <w:sz w:val="20"/>
              </w:rPr>
              <w:t>3</w:t>
            </w:r>
          </w:p>
        </w:tc>
        <w:tc>
          <w:tcPr>
            <w:tcW w:w="6884" w:type="dxa"/>
          </w:tcPr>
          <w:p w:rsidR="008A78BE" w:rsidRPr="00F754F9" w:rsidRDefault="008A78BE" w:rsidP="004E3D11">
            <w:pPr>
              <w:rPr>
                <w:rFonts w:ascii="Arial Narrow" w:hAnsi="Arial Narrow"/>
                <w:sz w:val="20"/>
              </w:rPr>
            </w:pPr>
            <w:r w:rsidRPr="00F754F9">
              <w:rPr>
                <w:rFonts w:ascii="Arial Narrow" w:hAnsi="Arial Narrow"/>
                <w:sz w:val="20"/>
              </w:rPr>
              <w:t>2 + time horizon 6 years</w:t>
            </w:r>
          </w:p>
        </w:tc>
        <w:tc>
          <w:tcPr>
            <w:tcW w:w="1825" w:type="dxa"/>
          </w:tcPr>
          <w:p w:rsidR="008A78BE" w:rsidRPr="00F754F9" w:rsidRDefault="008A78BE" w:rsidP="004E3D11">
            <w:pPr>
              <w:jc w:val="center"/>
              <w:rPr>
                <w:rFonts w:ascii="Arial Narrow" w:hAnsi="Arial Narrow"/>
                <w:sz w:val="20"/>
              </w:rPr>
            </w:pPr>
            <w:r w:rsidRPr="00F754F9">
              <w:rPr>
                <w:rFonts w:ascii="Arial Narrow" w:hAnsi="Arial Narrow"/>
                <w:sz w:val="20"/>
              </w:rPr>
              <w:t>$</w:t>
            </w:r>
            <w:r w:rsidR="00DF3DBC">
              <w:rPr>
                <w:rFonts w:ascii="Arial Narrow" w:hAnsi="Arial Narrow"/>
                <w:noProof/>
                <w:color w:val="000000"/>
                <w:sz w:val="20"/>
                <w:highlight w:val="black"/>
              </w:rPr>
              <w:t>'''''''''''''''</w:t>
            </w:r>
          </w:p>
        </w:tc>
      </w:tr>
      <w:tr w:rsidR="008A78BE" w:rsidRPr="00F754F9" w:rsidTr="00E339DA">
        <w:tc>
          <w:tcPr>
            <w:tcW w:w="426" w:type="dxa"/>
          </w:tcPr>
          <w:p w:rsidR="008A78BE" w:rsidRPr="00F754F9" w:rsidRDefault="008A78BE" w:rsidP="004E3D11">
            <w:pPr>
              <w:rPr>
                <w:rFonts w:ascii="Arial Narrow" w:hAnsi="Arial Narrow"/>
                <w:sz w:val="20"/>
              </w:rPr>
            </w:pPr>
            <w:r w:rsidRPr="00F754F9">
              <w:rPr>
                <w:rFonts w:ascii="Arial Narrow" w:hAnsi="Arial Narrow"/>
                <w:sz w:val="20"/>
              </w:rPr>
              <w:t>4</w:t>
            </w:r>
          </w:p>
        </w:tc>
        <w:tc>
          <w:tcPr>
            <w:tcW w:w="6884" w:type="dxa"/>
          </w:tcPr>
          <w:p w:rsidR="008A78BE" w:rsidRPr="00F754F9" w:rsidRDefault="008A78BE" w:rsidP="004E3D11">
            <w:pPr>
              <w:rPr>
                <w:rFonts w:ascii="Arial Narrow" w:hAnsi="Arial Narrow"/>
                <w:sz w:val="20"/>
              </w:rPr>
            </w:pPr>
            <w:r w:rsidRPr="00F754F9">
              <w:rPr>
                <w:rFonts w:ascii="Arial Narrow" w:hAnsi="Arial Narrow"/>
                <w:sz w:val="20"/>
              </w:rPr>
              <w:t>3 + treatment switching changed to ITT analysis</w:t>
            </w:r>
          </w:p>
        </w:tc>
        <w:tc>
          <w:tcPr>
            <w:tcW w:w="1825" w:type="dxa"/>
          </w:tcPr>
          <w:p w:rsidR="008A78BE" w:rsidRPr="00F754F9" w:rsidRDefault="008A78BE" w:rsidP="004E3D11">
            <w:pPr>
              <w:jc w:val="center"/>
              <w:rPr>
                <w:rFonts w:ascii="Arial Narrow" w:hAnsi="Arial Narrow"/>
                <w:sz w:val="20"/>
              </w:rPr>
            </w:pPr>
            <w:r w:rsidRPr="00F754F9">
              <w:rPr>
                <w:rFonts w:ascii="Arial Narrow" w:hAnsi="Arial Narrow"/>
                <w:sz w:val="20"/>
              </w:rPr>
              <w:t>$</w:t>
            </w:r>
            <w:r w:rsidR="00DF3DBC">
              <w:rPr>
                <w:rFonts w:ascii="Arial Narrow" w:hAnsi="Arial Narrow"/>
                <w:noProof/>
                <w:color w:val="000000"/>
                <w:sz w:val="20"/>
                <w:highlight w:val="black"/>
              </w:rPr>
              <w:t>''''''''''''''''''</w:t>
            </w:r>
          </w:p>
        </w:tc>
      </w:tr>
      <w:tr w:rsidR="008A78BE" w:rsidRPr="00F754F9" w:rsidTr="00E339DA">
        <w:tc>
          <w:tcPr>
            <w:tcW w:w="426" w:type="dxa"/>
            <w:tcBorders>
              <w:bottom w:val="single" w:sz="4" w:space="0" w:color="auto"/>
            </w:tcBorders>
          </w:tcPr>
          <w:p w:rsidR="008A78BE" w:rsidRPr="00F754F9" w:rsidRDefault="008A78BE" w:rsidP="004E3D11">
            <w:pPr>
              <w:rPr>
                <w:rFonts w:ascii="Arial Narrow" w:hAnsi="Arial Narrow"/>
                <w:sz w:val="20"/>
              </w:rPr>
            </w:pPr>
            <w:r w:rsidRPr="00F754F9">
              <w:rPr>
                <w:rFonts w:ascii="Arial Narrow" w:hAnsi="Arial Narrow"/>
                <w:sz w:val="20"/>
              </w:rPr>
              <w:t>5</w:t>
            </w:r>
          </w:p>
        </w:tc>
        <w:tc>
          <w:tcPr>
            <w:tcW w:w="6884" w:type="dxa"/>
            <w:tcBorders>
              <w:bottom w:val="single" w:sz="4" w:space="0" w:color="auto"/>
            </w:tcBorders>
          </w:tcPr>
          <w:p w:rsidR="008A78BE" w:rsidRPr="00F754F9" w:rsidRDefault="008A78BE" w:rsidP="004E3D11">
            <w:pPr>
              <w:rPr>
                <w:rFonts w:ascii="Arial Narrow" w:hAnsi="Arial Narrow"/>
                <w:sz w:val="20"/>
              </w:rPr>
            </w:pPr>
            <w:r w:rsidRPr="00F754F9">
              <w:rPr>
                <w:rFonts w:ascii="Arial Narrow" w:hAnsi="Arial Narrow"/>
                <w:sz w:val="20"/>
              </w:rPr>
              <w:t>4 + costs for post-progression treatment with immunotherapy amended</w:t>
            </w:r>
          </w:p>
        </w:tc>
        <w:tc>
          <w:tcPr>
            <w:tcW w:w="1825" w:type="dxa"/>
            <w:tcBorders>
              <w:bottom w:val="single" w:sz="4" w:space="0" w:color="auto"/>
            </w:tcBorders>
          </w:tcPr>
          <w:p w:rsidR="008A78BE" w:rsidRPr="00F754F9" w:rsidRDefault="008A78BE" w:rsidP="004E3D11">
            <w:pPr>
              <w:jc w:val="center"/>
              <w:rPr>
                <w:rFonts w:ascii="Arial Narrow" w:hAnsi="Arial Narrow"/>
                <w:sz w:val="20"/>
              </w:rPr>
            </w:pPr>
            <w:r w:rsidRPr="00F754F9">
              <w:rPr>
                <w:rFonts w:ascii="Arial Narrow" w:hAnsi="Arial Narrow"/>
                <w:sz w:val="20"/>
              </w:rPr>
              <w:t>$</w:t>
            </w:r>
            <w:r w:rsidR="00DF3DBC">
              <w:rPr>
                <w:rFonts w:ascii="Arial Narrow" w:hAnsi="Arial Narrow"/>
                <w:noProof/>
                <w:color w:val="000000"/>
                <w:sz w:val="20"/>
                <w:highlight w:val="black"/>
              </w:rPr>
              <w:t>''''''''''''''''</w:t>
            </w:r>
          </w:p>
        </w:tc>
      </w:tr>
      <w:tr w:rsidR="008A78BE" w:rsidRPr="00F754F9" w:rsidTr="00E339DA">
        <w:tc>
          <w:tcPr>
            <w:tcW w:w="426" w:type="dxa"/>
            <w:tcBorders>
              <w:bottom w:val="nil"/>
            </w:tcBorders>
          </w:tcPr>
          <w:p w:rsidR="008A78BE" w:rsidRPr="00F754F9" w:rsidRDefault="008A78BE" w:rsidP="004E3D11">
            <w:pPr>
              <w:rPr>
                <w:rFonts w:ascii="Arial Narrow" w:hAnsi="Arial Narrow"/>
                <w:sz w:val="20"/>
              </w:rPr>
            </w:pPr>
            <w:r w:rsidRPr="00F754F9">
              <w:rPr>
                <w:rFonts w:ascii="Arial Narrow" w:hAnsi="Arial Narrow"/>
                <w:sz w:val="20"/>
              </w:rPr>
              <w:t>6</w:t>
            </w:r>
          </w:p>
        </w:tc>
        <w:tc>
          <w:tcPr>
            <w:tcW w:w="6884" w:type="dxa"/>
            <w:tcBorders>
              <w:bottom w:val="nil"/>
            </w:tcBorders>
          </w:tcPr>
          <w:p w:rsidR="008A78BE" w:rsidRPr="00F754F9" w:rsidRDefault="008A78BE" w:rsidP="004E3D11">
            <w:pPr>
              <w:rPr>
                <w:rFonts w:ascii="Arial Narrow" w:hAnsi="Arial Narrow"/>
                <w:sz w:val="20"/>
              </w:rPr>
            </w:pPr>
            <w:r w:rsidRPr="00F754F9">
              <w:rPr>
                <w:rFonts w:ascii="Arial Narrow" w:hAnsi="Arial Narrow"/>
                <w:sz w:val="20"/>
              </w:rPr>
              <w:t>5 + pemetrexed 85% discount</w:t>
            </w:r>
          </w:p>
        </w:tc>
        <w:tc>
          <w:tcPr>
            <w:tcW w:w="1825" w:type="dxa"/>
            <w:tcBorders>
              <w:bottom w:val="nil"/>
            </w:tcBorders>
          </w:tcPr>
          <w:p w:rsidR="008A78BE" w:rsidRPr="00F754F9" w:rsidRDefault="008A78BE" w:rsidP="004E3D11">
            <w:pPr>
              <w:jc w:val="center"/>
              <w:rPr>
                <w:rFonts w:ascii="Arial Narrow" w:hAnsi="Arial Narrow"/>
                <w:sz w:val="20"/>
              </w:rPr>
            </w:pPr>
            <w:r w:rsidRPr="00F754F9">
              <w:rPr>
                <w:rFonts w:ascii="Arial Narrow" w:hAnsi="Arial Narrow"/>
                <w:sz w:val="20"/>
              </w:rPr>
              <w:t>$</w:t>
            </w:r>
            <w:r w:rsidR="00DF3DBC">
              <w:rPr>
                <w:rFonts w:ascii="Arial Narrow" w:hAnsi="Arial Narrow"/>
                <w:noProof/>
                <w:color w:val="000000"/>
                <w:sz w:val="20"/>
                <w:highlight w:val="black"/>
              </w:rPr>
              <w:t>''''''''''''''''</w:t>
            </w:r>
          </w:p>
        </w:tc>
      </w:tr>
      <w:tr w:rsidR="008A78BE" w:rsidRPr="00F754F9" w:rsidTr="00E339DA">
        <w:tc>
          <w:tcPr>
            <w:tcW w:w="426" w:type="dxa"/>
            <w:tcBorders>
              <w:top w:val="nil"/>
              <w:bottom w:val="single" w:sz="4" w:space="0" w:color="auto"/>
            </w:tcBorders>
          </w:tcPr>
          <w:p w:rsidR="008A78BE" w:rsidRPr="00F754F9" w:rsidRDefault="008A78BE" w:rsidP="004E3D11">
            <w:pPr>
              <w:rPr>
                <w:rFonts w:ascii="Arial Narrow" w:hAnsi="Arial Narrow"/>
                <w:sz w:val="20"/>
              </w:rPr>
            </w:pPr>
          </w:p>
        </w:tc>
        <w:tc>
          <w:tcPr>
            <w:tcW w:w="6884" w:type="dxa"/>
            <w:tcBorders>
              <w:top w:val="nil"/>
              <w:bottom w:val="single" w:sz="4" w:space="0" w:color="auto"/>
            </w:tcBorders>
          </w:tcPr>
          <w:p w:rsidR="008A78BE" w:rsidRPr="00440AD0" w:rsidRDefault="008A78BE" w:rsidP="004E3D11">
            <w:pPr>
              <w:rPr>
                <w:rFonts w:ascii="Arial Narrow" w:hAnsi="Arial Narrow"/>
                <w:sz w:val="20"/>
              </w:rPr>
            </w:pPr>
            <w:r w:rsidRPr="00440AD0">
              <w:rPr>
                <w:rFonts w:ascii="Arial Narrow" w:hAnsi="Arial Narrow"/>
                <w:sz w:val="20"/>
              </w:rPr>
              <w:t>5 + pemetrexed 85% discount (corrected for error)</w:t>
            </w:r>
            <w:r w:rsidRPr="00440AD0">
              <w:rPr>
                <w:rFonts w:ascii="Arial Narrow" w:hAnsi="Arial Narrow"/>
                <w:sz w:val="20"/>
                <w:vertAlign w:val="superscript"/>
              </w:rPr>
              <w:t>a</w:t>
            </w:r>
          </w:p>
        </w:tc>
        <w:tc>
          <w:tcPr>
            <w:tcW w:w="1825" w:type="dxa"/>
            <w:tcBorders>
              <w:top w:val="nil"/>
              <w:bottom w:val="single" w:sz="4" w:space="0" w:color="auto"/>
            </w:tcBorders>
          </w:tcPr>
          <w:p w:rsidR="008A78BE" w:rsidRPr="00440AD0" w:rsidRDefault="008A78BE" w:rsidP="004E3D11">
            <w:pPr>
              <w:jc w:val="center"/>
              <w:rPr>
                <w:rFonts w:ascii="Arial Narrow" w:hAnsi="Arial Narrow"/>
                <w:sz w:val="20"/>
              </w:rPr>
            </w:pPr>
            <w:r w:rsidRPr="00440AD0">
              <w:rPr>
                <w:rFonts w:ascii="Arial Narrow" w:hAnsi="Arial Narrow"/>
                <w:sz w:val="20"/>
              </w:rPr>
              <w:t>$</w:t>
            </w:r>
            <w:r w:rsidR="00DF3DBC">
              <w:rPr>
                <w:rFonts w:ascii="Arial Narrow" w:hAnsi="Arial Narrow"/>
                <w:noProof/>
                <w:color w:val="000000"/>
                <w:sz w:val="20"/>
                <w:highlight w:val="black"/>
              </w:rPr>
              <w:t>'''''''''''''''</w:t>
            </w:r>
          </w:p>
        </w:tc>
      </w:tr>
      <w:tr w:rsidR="008A78BE" w:rsidRPr="00F754F9" w:rsidTr="00E339DA">
        <w:tc>
          <w:tcPr>
            <w:tcW w:w="426" w:type="dxa"/>
            <w:tcBorders>
              <w:bottom w:val="nil"/>
            </w:tcBorders>
          </w:tcPr>
          <w:p w:rsidR="008A78BE" w:rsidRPr="00F754F9" w:rsidRDefault="008A78BE" w:rsidP="004E3D11">
            <w:pPr>
              <w:rPr>
                <w:rFonts w:ascii="Arial Narrow" w:hAnsi="Arial Narrow"/>
                <w:sz w:val="20"/>
              </w:rPr>
            </w:pPr>
            <w:r w:rsidRPr="00F754F9">
              <w:rPr>
                <w:rFonts w:ascii="Arial Narrow" w:hAnsi="Arial Narrow"/>
                <w:sz w:val="20"/>
              </w:rPr>
              <w:t>7</w:t>
            </w:r>
          </w:p>
        </w:tc>
        <w:tc>
          <w:tcPr>
            <w:tcW w:w="6884" w:type="dxa"/>
            <w:tcBorders>
              <w:bottom w:val="nil"/>
            </w:tcBorders>
          </w:tcPr>
          <w:p w:rsidR="008A78BE" w:rsidRPr="00F754F9" w:rsidRDefault="008A78BE" w:rsidP="004E3D11">
            <w:pPr>
              <w:rPr>
                <w:rFonts w:ascii="Arial Narrow" w:hAnsi="Arial Narrow"/>
                <w:sz w:val="20"/>
              </w:rPr>
            </w:pPr>
            <w:r w:rsidRPr="00F754F9">
              <w:rPr>
                <w:rFonts w:ascii="Arial Narrow" w:hAnsi="Arial Narrow"/>
                <w:sz w:val="20"/>
              </w:rPr>
              <w:t>6 + pembrolizumab cost $</w:t>
            </w:r>
            <w:r w:rsidR="00DF3DBC">
              <w:rPr>
                <w:rFonts w:ascii="Arial Narrow" w:hAnsi="Arial Narrow"/>
                <w:noProof/>
                <w:color w:val="000000"/>
                <w:sz w:val="20"/>
                <w:highlight w:val="black"/>
              </w:rPr>
              <w:t>'''''''''</w:t>
            </w:r>
            <w:r w:rsidRPr="00F754F9">
              <w:rPr>
                <w:rFonts w:ascii="Arial Narrow" w:hAnsi="Arial Narrow"/>
                <w:sz w:val="20"/>
              </w:rPr>
              <w:t xml:space="preserve"> per 50</w:t>
            </w:r>
            <w:r w:rsidR="000C325C" w:rsidRPr="00F754F9">
              <w:rPr>
                <w:rFonts w:ascii="Arial Narrow" w:hAnsi="Arial Narrow"/>
                <w:sz w:val="20"/>
              </w:rPr>
              <w:t> </w:t>
            </w:r>
            <w:r w:rsidRPr="00F754F9">
              <w:rPr>
                <w:rFonts w:ascii="Arial Narrow" w:hAnsi="Arial Narrow"/>
                <w:sz w:val="20"/>
              </w:rPr>
              <w:t>mg vial</w:t>
            </w:r>
          </w:p>
        </w:tc>
        <w:tc>
          <w:tcPr>
            <w:tcW w:w="1825" w:type="dxa"/>
            <w:tcBorders>
              <w:bottom w:val="nil"/>
            </w:tcBorders>
          </w:tcPr>
          <w:p w:rsidR="008A78BE" w:rsidRPr="00F754F9" w:rsidRDefault="008A78BE" w:rsidP="004E3D11">
            <w:pPr>
              <w:jc w:val="center"/>
              <w:rPr>
                <w:rFonts w:ascii="Arial Narrow" w:hAnsi="Arial Narrow"/>
                <w:sz w:val="20"/>
              </w:rPr>
            </w:pPr>
            <w:r w:rsidRPr="00F754F9">
              <w:rPr>
                <w:rFonts w:ascii="Arial Narrow" w:hAnsi="Arial Narrow"/>
                <w:sz w:val="20"/>
              </w:rPr>
              <w:t>$</w:t>
            </w:r>
            <w:r w:rsidR="00DF3DBC">
              <w:rPr>
                <w:rFonts w:ascii="Arial Narrow" w:hAnsi="Arial Narrow"/>
                <w:noProof/>
                <w:color w:val="000000"/>
                <w:sz w:val="20"/>
                <w:highlight w:val="black"/>
              </w:rPr>
              <w:t>''''''''''''''''</w:t>
            </w:r>
          </w:p>
        </w:tc>
      </w:tr>
      <w:tr w:rsidR="008A78BE" w:rsidRPr="00F754F9" w:rsidTr="00E339DA">
        <w:tc>
          <w:tcPr>
            <w:tcW w:w="426" w:type="dxa"/>
            <w:tcBorders>
              <w:top w:val="nil"/>
            </w:tcBorders>
          </w:tcPr>
          <w:p w:rsidR="008A78BE" w:rsidRPr="00F754F9" w:rsidRDefault="008A78BE" w:rsidP="004E3D11">
            <w:pPr>
              <w:rPr>
                <w:rFonts w:ascii="Arial Narrow" w:hAnsi="Arial Narrow"/>
                <w:sz w:val="20"/>
              </w:rPr>
            </w:pPr>
          </w:p>
        </w:tc>
        <w:tc>
          <w:tcPr>
            <w:tcW w:w="6884" w:type="dxa"/>
            <w:tcBorders>
              <w:top w:val="nil"/>
            </w:tcBorders>
          </w:tcPr>
          <w:p w:rsidR="008A78BE" w:rsidRPr="00440AD0" w:rsidRDefault="008A78BE" w:rsidP="004E3D11">
            <w:pPr>
              <w:rPr>
                <w:rFonts w:ascii="Arial Narrow" w:hAnsi="Arial Narrow"/>
                <w:sz w:val="20"/>
                <w:vertAlign w:val="subscript"/>
              </w:rPr>
            </w:pPr>
            <w:r w:rsidRPr="00440AD0">
              <w:rPr>
                <w:rFonts w:ascii="Arial Narrow" w:hAnsi="Arial Narrow"/>
                <w:sz w:val="20"/>
              </w:rPr>
              <w:t>6 (corrected) + pembrolizumab cost $</w:t>
            </w:r>
            <w:r w:rsidR="00DF3DBC">
              <w:rPr>
                <w:rFonts w:ascii="Arial Narrow" w:hAnsi="Arial Narrow"/>
                <w:noProof/>
                <w:color w:val="000000"/>
                <w:sz w:val="20"/>
                <w:highlight w:val="black"/>
              </w:rPr>
              <w:t>''''''''''</w:t>
            </w:r>
            <w:r w:rsidRPr="00440AD0">
              <w:rPr>
                <w:rFonts w:ascii="Arial Narrow" w:hAnsi="Arial Narrow"/>
                <w:sz w:val="20"/>
              </w:rPr>
              <w:t xml:space="preserve"> per 50</w:t>
            </w:r>
            <w:r w:rsidR="000C325C" w:rsidRPr="00440AD0">
              <w:rPr>
                <w:rFonts w:ascii="Arial Narrow" w:hAnsi="Arial Narrow"/>
                <w:sz w:val="20"/>
              </w:rPr>
              <w:t> </w:t>
            </w:r>
            <w:r w:rsidRPr="00440AD0">
              <w:rPr>
                <w:rFonts w:ascii="Arial Narrow" w:hAnsi="Arial Narrow"/>
                <w:sz w:val="20"/>
              </w:rPr>
              <w:t>mg vial</w:t>
            </w:r>
          </w:p>
        </w:tc>
        <w:tc>
          <w:tcPr>
            <w:tcW w:w="1825" w:type="dxa"/>
            <w:tcBorders>
              <w:top w:val="nil"/>
            </w:tcBorders>
          </w:tcPr>
          <w:p w:rsidR="008A78BE" w:rsidRPr="00440AD0" w:rsidRDefault="008A78BE" w:rsidP="004E3D11">
            <w:pPr>
              <w:jc w:val="center"/>
              <w:rPr>
                <w:rFonts w:ascii="Arial Narrow" w:hAnsi="Arial Narrow"/>
                <w:sz w:val="20"/>
              </w:rPr>
            </w:pPr>
            <w:r w:rsidRPr="00440AD0">
              <w:rPr>
                <w:rFonts w:ascii="Arial Narrow" w:hAnsi="Arial Narrow"/>
                <w:sz w:val="20"/>
              </w:rPr>
              <w:t>$</w:t>
            </w:r>
            <w:r w:rsidR="00DF3DBC">
              <w:rPr>
                <w:rFonts w:ascii="Arial Narrow" w:hAnsi="Arial Narrow"/>
                <w:noProof/>
                <w:color w:val="000000"/>
                <w:sz w:val="20"/>
                <w:highlight w:val="black"/>
              </w:rPr>
              <w:t>''''''''''''''''</w:t>
            </w:r>
          </w:p>
        </w:tc>
      </w:tr>
    </w:tbl>
    <w:p w:rsidR="008A78BE" w:rsidRPr="00440AD0" w:rsidRDefault="008A78BE" w:rsidP="008A78BE">
      <w:pPr>
        <w:rPr>
          <w:rFonts w:ascii="Arial Narrow" w:hAnsi="Arial Narrow"/>
          <w:sz w:val="20"/>
        </w:rPr>
      </w:pPr>
      <w:r w:rsidRPr="00440AD0">
        <w:rPr>
          <w:rFonts w:ascii="Arial Narrow" w:hAnsi="Arial Narrow"/>
          <w:sz w:val="18"/>
          <w:vertAlign w:val="superscript"/>
        </w:rPr>
        <w:t>a</w:t>
      </w:r>
      <w:r w:rsidRPr="00440AD0">
        <w:rPr>
          <w:rFonts w:ascii="Arial Narrow" w:hAnsi="Arial Narrow"/>
          <w:sz w:val="18"/>
        </w:rPr>
        <w:t xml:space="preserve"> In estimating the revised treatment course cost of pemetrexed, the PSCR only multiplied the administration costs by the number of administrations, rather than both the pemetrexed and administration costs.</w:t>
      </w:r>
    </w:p>
    <w:p w:rsidR="0070338B" w:rsidRDefault="0070338B" w:rsidP="00C71CDD">
      <w:pPr>
        <w:rPr>
          <w:rFonts w:ascii="Arial" w:hAnsi="Arial" w:cs="Arial"/>
          <w:sz w:val="22"/>
          <w:szCs w:val="22"/>
        </w:rPr>
      </w:pPr>
    </w:p>
    <w:p w:rsidR="0052011D" w:rsidRDefault="0052011D" w:rsidP="005A6CC9">
      <w:pPr>
        <w:ind w:left="720"/>
        <w:rPr>
          <w:rFonts w:ascii="Arial" w:hAnsi="Arial" w:cs="Arial"/>
          <w:sz w:val="22"/>
          <w:szCs w:val="22"/>
        </w:rPr>
      </w:pPr>
      <w:r>
        <w:rPr>
          <w:rFonts w:ascii="Arial" w:hAnsi="Arial" w:cs="Arial"/>
          <w:sz w:val="22"/>
          <w:szCs w:val="22"/>
        </w:rPr>
        <w:t xml:space="preserve">The redacted table shows ICERs in the range of $45,000/QALY - $75,000/QALY to $75,000/QALY - $105,000/QALY. </w:t>
      </w:r>
    </w:p>
    <w:p w:rsidR="0052011D" w:rsidRPr="00B85C85" w:rsidRDefault="0052011D" w:rsidP="00C71CDD">
      <w:pPr>
        <w:rPr>
          <w:rFonts w:ascii="Arial" w:hAnsi="Arial" w:cs="Arial"/>
          <w:sz w:val="22"/>
          <w:szCs w:val="22"/>
        </w:rPr>
      </w:pPr>
    </w:p>
    <w:p w:rsidR="00B85C85" w:rsidRPr="00440AD0" w:rsidRDefault="00B85C85" w:rsidP="00832F58">
      <w:pPr>
        <w:pStyle w:val="ListParagraph"/>
        <w:numPr>
          <w:ilvl w:val="1"/>
          <w:numId w:val="4"/>
        </w:numPr>
        <w:ind w:left="720"/>
        <w:rPr>
          <w:rFonts w:ascii="Arial" w:hAnsi="Arial" w:cs="Arial"/>
          <w:sz w:val="22"/>
          <w:szCs w:val="22"/>
        </w:rPr>
      </w:pPr>
      <w:r w:rsidRPr="00440AD0">
        <w:rPr>
          <w:rFonts w:ascii="Arial" w:hAnsi="Arial" w:cs="Arial"/>
          <w:sz w:val="22"/>
          <w:szCs w:val="22"/>
        </w:rPr>
        <w:t>The PSCR revised the cost per treatment course of later-line immunotherapy from $</w:t>
      </w:r>
      <w:r w:rsidR="00DF3DBC">
        <w:rPr>
          <w:rFonts w:ascii="Arial" w:hAnsi="Arial" w:cs="Arial"/>
          <w:noProof/>
          <w:color w:val="000000"/>
          <w:sz w:val="22"/>
          <w:szCs w:val="22"/>
          <w:highlight w:val="black"/>
        </w:rPr>
        <w:t>''''''''''''''''</w:t>
      </w:r>
      <w:r w:rsidRPr="00440AD0">
        <w:rPr>
          <w:rFonts w:ascii="Arial" w:hAnsi="Arial" w:cs="Arial"/>
          <w:sz w:val="22"/>
          <w:szCs w:val="22"/>
        </w:rPr>
        <w:t xml:space="preserve"> to $</w:t>
      </w:r>
      <w:r w:rsidR="00DF3DBC">
        <w:rPr>
          <w:rFonts w:ascii="Arial" w:hAnsi="Arial" w:cs="Arial"/>
          <w:noProof/>
          <w:color w:val="000000"/>
          <w:sz w:val="22"/>
          <w:szCs w:val="22"/>
          <w:highlight w:val="black"/>
        </w:rPr>
        <w:t>''''''''''''''''''''''</w:t>
      </w:r>
      <w:r w:rsidRPr="00440AD0">
        <w:rPr>
          <w:rFonts w:ascii="Arial" w:hAnsi="Arial" w:cs="Arial"/>
          <w:sz w:val="22"/>
          <w:szCs w:val="22"/>
        </w:rPr>
        <w:t>. This was based on three changes:</w:t>
      </w:r>
    </w:p>
    <w:p w:rsidR="00B85C85" w:rsidRPr="00440AD0" w:rsidRDefault="00B85C85" w:rsidP="00A46534">
      <w:pPr>
        <w:pStyle w:val="ListParagraph"/>
        <w:numPr>
          <w:ilvl w:val="0"/>
          <w:numId w:val="23"/>
        </w:numPr>
        <w:rPr>
          <w:rFonts w:ascii="Arial" w:hAnsi="Arial" w:cs="Arial"/>
          <w:sz w:val="22"/>
          <w:szCs w:val="22"/>
        </w:rPr>
      </w:pPr>
      <w:r w:rsidRPr="00F754F9">
        <w:rPr>
          <w:rFonts w:ascii="Arial" w:hAnsi="Arial" w:cs="Arial"/>
          <w:sz w:val="22"/>
          <w:szCs w:val="22"/>
        </w:rPr>
        <w:t>The</w:t>
      </w:r>
      <w:r w:rsidRPr="00440AD0">
        <w:rPr>
          <w:rFonts w:ascii="Arial" w:hAnsi="Arial" w:cs="Arial"/>
          <w:sz w:val="22"/>
          <w:szCs w:val="22"/>
        </w:rPr>
        <w:t xml:space="preserve"> number of 50</w:t>
      </w:r>
      <w:r w:rsidR="000C325C" w:rsidRPr="00440AD0">
        <w:rPr>
          <w:rFonts w:ascii="Arial" w:hAnsi="Arial" w:cs="Arial"/>
          <w:sz w:val="22"/>
          <w:szCs w:val="22"/>
        </w:rPr>
        <w:t> </w:t>
      </w:r>
      <w:r w:rsidRPr="00440AD0">
        <w:rPr>
          <w:rFonts w:ascii="Arial" w:hAnsi="Arial" w:cs="Arial"/>
          <w:sz w:val="22"/>
          <w:szCs w:val="22"/>
        </w:rPr>
        <w:t>mg vials per administration (from 3.38 to 4.46), assuming an increase in the average dose of from 169</w:t>
      </w:r>
      <w:r w:rsidR="00826BFD" w:rsidRPr="00440AD0">
        <w:rPr>
          <w:rFonts w:ascii="Arial" w:hAnsi="Arial" w:cs="Arial"/>
          <w:sz w:val="22"/>
          <w:szCs w:val="22"/>
        </w:rPr>
        <w:t> </w:t>
      </w:r>
      <w:r w:rsidRPr="00440AD0">
        <w:rPr>
          <w:rFonts w:ascii="Arial" w:hAnsi="Arial" w:cs="Arial"/>
          <w:sz w:val="22"/>
          <w:szCs w:val="22"/>
        </w:rPr>
        <w:t>mg to 223</w:t>
      </w:r>
      <w:r w:rsidR="00826BFD" w:rsidRPr="00440AD0">
        <w:rPr>
          <w:rFonts w:ascii="Arial" w:hAnsi="Arial" w:cs="Arial"/>
          <w:sz w:val="22"/>
          <w:szCs w:val="22"/>
        </w:rPr>
        <w:t> </w:t>
      </w:r>
      <w:r w:rsidRPr="00440AD0">
        <w:rPr>
          <w:rFonts w:ascii="Arial" w:hAnsi="Arial" w:cs="Arial"/>
          <w:sz w:val="22"/>
          <w:szCs w:val="22"/>
        </w:rPr>
        <w:t>mg. This was based on the average dose of nivolumab reported in the squamous NSCLC PBAC PSD (March 2016)</w:t>
      </w:r>
      <w:r w:rsidR="00826BFD" w:rsidRPr="00440AD0">
        <w:rPr>
          <w:rFonts w:ascii="Arial" w:hAnsi="Arial" w:cs="Arial"/>
          <w:sz w:val="22"/>
          <w:szCs w:val="22"/>
        </w:rPr>
        <w:t>.</w:t>
      </w:r>
    </w:p>
    <w:p w:rsidR="00B85C85" w:rsidRPr="00440AD0" w:rsidRDefault="00B85C85" w:rsidP="00A46534">
      <w:pPr>
        <w:pStyle w:val="ListParagraph"/>
        <w:numPr>
          <w:ilvl w:val="0"/>
          <w:numId w:val="23"/>
        </w:numPr>
        <w:rPr>
          <w:rFonts w:ascii="Arial" w:hAnsi="Arial" w:cs="Arial"/>
          <w:sz w:val="22"/>
          <w:szCs w:val="22"/>
        </w:rPr>
      </w:pPr>
      <w:r w:rsidRPr="00F754F9">
        <w:rPr>
          <w:rFonts w:ascii="Arial" w:hAnsi="Arial" w:cs="Arial"/>
          <w:sz w:val="22"/>
          <w:szCs w:val="22"/>
        </w:rPr>
        <w:t>The</w:t>
      </w:r>
      <w:r w:rsidRPr="00440AD0">
        <w:rPr>
          <w:rFonts w:ascii="Arial" w:hAnsi="Arial" w:cs="Arial"/>
          <w:sz w:val="22"/>
          <w:szCs w:val="22"/>
        </w:rPr>
        <w:t xml:space="preserve"> number of administrations (from </w:t>
      </w:r>
      <w:r w:rsidR="00DF3DBC">
        <w:rPr>
          <w:rFonts w:ascii="Arial" w:hAnsi="Arial" w:cs="Arial"/>
          <w:noProof/>
          <w:color w:val="000000"/>
          <w:sz w:val="22"/>
          <w:szCs w:val="22"/>
          <w:highlight w:val="black"/>
        </w:rPr>
        <w:t>''''</w:t>
      </w:r>
      <w:r w:rsidRPr="00440AD0">
        <w:rPr>
          <w:rFonts w:ascii="Arial" w:hAnsi="Arial" w:cs="Arial"/>
          <w:sz w:val="22"/>
          <w:szCs w:val="22"/>
        </w:rPr>
        <w:t xml:space="preserve"> to </w:t>
      </w:r>
      <w:r w:rsidR="00DF3DBC">
        <w:rPr>
          <w:rFonts w:ascii="Arial" w:hAnsi="Arial" w:cs="Arial"/>
          <w:noProof/>
          <w:color w:val="000000"/>
          <w:sz w:val="22"/>
          <w:szCs w:val="22"/>
          <w:highlight w:val="black"/>
        </w:rPr>
        <w:t>'''''''</w:t>
      </w:r>
      <w:r w:rsidRPr="00440AD0">
        <w:rPr>
          <w:rFonts w:ascii="Arial" w:hAnsi="Arial" w:cs="Arial"/>
          <w:sz w:val="22"/>
          <w:szCs w:val="22"/>
        </w:rPr>
        <w:t>), based on data from KN-001. It was unclear whether this data was based on all patients in KN-001 (which included treatment-experienced and -naïve patients)</w:t>
      </w:r>
      <w:r w:rsidR="00826BFD" w:rsidRPr="00440AD0">
        <w:rPr>
          <w:rFonts w:ascii="Arial" w:hAnsi="Arial" w:cs="Arial"/>
          <w:sz w:val="22"/>
          <w:szCs w:val="22"/>
        </w:rPr>
        <w:t>.</w:t>
      </w:r>
    </w:p>
    <w:p w:rsidR="00B85C85" w:rsidRPr="00440AD0" w:rsidRDefault="00B85C85" w:rsidP="00A46534">
      <w:pPr>
        <w:pStyle w:val="ListParagraph"/>
        <w:numPr>
          <w:ilvl w:val="0"/>
          <w:numId w:val="23"/>
        </w:numPr>
        <w:rPr>
          <w:rFonts w:ascii="Arial" w:hAnsi="Arial" w:cs="Arial"/>
          <w:sz w:val="22"/>
          <w:szCs w:val="22"/>
        </w:rPr>
      </w:pPr>
      <w:r w:rsidRPr="00440AD0">
        <w:rPr>
          <w:rFonts w:ascii="Arial" w:hAnsi="Arial" w:cs="Arial"/>
          <w:sz w:val="22"/>
          <w:szCs w:val="22"/>
        </w:rPr>
        <w:t>The cost per vial of pembrolizumab/nivolumab (from $</w:t>
      </w:r>
      <w:r w:rsidR="00DF3DBC">
        <w:rPr>
          <w:rFonts w:ascii="Arial" w:hAnsi="Arial" w:cs="Arial"/>
          <w:noProof/>
          <w:color w:val="000000"/>
          <w:sz w:val="22"/>
          <w:szCs w:val="22"/>
          <w:highlight w:val="black"/>
        </w:rPr>
        <w:t>''''''''''''''</w:t>
      </w:r>
      <w:r w:rsidRPr="00440AD0">
        <w:rPr>
          <w:rFonts w:ascii="Arial" w:hAnsi="Arial" w:cs="Arial"/>
          <w:sz w:val="22"/>
          <w:szCs w:val="22"/>
        </w:rPr>
        <w:t xml:space="preserve"> per 50</w:t>
      </w:r>
      <w:r w:rsidR="000C325C" w:rsidRPr="00440AD0">
        <w:rPr>
          <w:rFonts w:ascii="Arial" w:hAnsi="Arial" w:cs="Arial"/>
          <w:sz w:val="22"/>
          <w:szCs w:val="22"/>
        </w:rPr>
        <w:t> </w:t>
      </w:r>
      <w:r w:rsidRPr="00440AD0">
        <w:rPr>
          <w:rFonts w:ascii="Arial" w:hAnsi="Arial" w:cs="Arial"/>
          <w:sz w:val="22"/>
          <w:szCs w:val="22"/>
        </w:rPr>
        <w:t>mg vial to $</w:t>
      </w:r>
      <w:r w:rsidR="00DF3DBC">
        <w:rPr>
          <w:rFonts w:ascii="Arial" w:hAnsi="Arial" w:cs="Arial"/>
          <w:noProof/>
          <w:color w:val="000000"/>
          <w:sz w:val="22"/>
          <w:szCs w:val="22"/>
          <w:highlight w:val="black"/>
        </w:rPr>
        <w:t>'''''''''</w:t>
      </w:r>
      <w:r w:rsidRPr="00440AD0">
        <w:rPr>
          <w:rFonts w:ascii="Arial" w:hAnsi="Arial" w:cs="Arial"/>
          <w:sz w:val="22"/>
          <w:szCs w:val="22"/>
        </w:rPr>
        <w:t xml:space="preserve"> per 100</w:t>
      </w:r>
      <w:r w:rsidR="004353D5" w:rsidRPr="00440AD0">
        <w:rPr>
          <w:rFonts w:ascii="Arial" w:hAnsi="Arial" w:cs="Arial"/>
          <w:sz w:val="22"/>
          <w:szCs w:val="22"/>
        </w:rPr>
        <w:t> </w:t>
      </w:r>
      <w:r w:rsidRPr="00440AD0">
        <w:rPr>
          <w:rFonts w:ascii="Arial" w:hAnsi="Arial" w:cs="Arial"/>
          <w:sz w:val="22"/>
          <w:szCs w:val="22"/>
        </w:rPr>
        <w:t>mg vial).</w:t>
      </w:r>
    </w:p>
    <w:p w:rsidR="00B85C85" w:rsidRPr="007B14F5" w:rsidRDefault="00B85C85" w:rsidP="00C71CDD">
      <w:pPr>
        <w:rPr>
          <w:rFonts w:ascii="Arial" w:hAnsi="Arial" w:cs="Arial"/>
          <w:sz w:val="22"/>
          <w:szCs w:val="22"/>
        </w:rPr>
      </w:pPr>
    </w:p>
    <w:p w:rsidR="00C42417" w:rsidRPr="007B14F5" w:rsidRDefault="00C42417" w:rsidP="00217726">
      <w:pPr>
        <w:pStyle w:val="ListParagraph"/>
        <w:numPr>
          <w:ilvl w:val="1"/>
          <w:numId w:val="4"/>
        </w:numPr>
        <w:ind w:left="720"/>
        <w:rPr>
          <w:rFonts w:ascii="Arial" w:hAnsi="Arial" w:cs="Arial"/>
          <w:sz w:val="22"/>
          <w:szCs w:val="22"/>
        </w:rPr>
      </w:pPr>
      <w:r w:rsidRPr="007B14F5">
        <w:rPr>
          <w:rFonts w:ascii="Arial" w:hAnsi="Arial" w:cs="Arial"/>
          <w:sz w:val="22"/>
          <w:szCs w:val="22"/>
        </w:rPr>
        <w:t xml:space="preserve">Additional scenarios of test accessibility </w:t>
      </w:r>
      <w:r w:rsidR="0026320B" w:rsidRPr="007B14F5">
        <w:rPr>
          <w:rFonts w:ascii="Arial" w:hAnsi="Arial" w:cs="Arial"/>
          <w:sz w:val="22"/>
          <w:szCs w:val="22"/>
        </w:rPr>
        <w:t>were</w:t>
      </w:r>
      <w:r w:rsidRPr="007B14F5">
        <w:rPr>
          <w:rFonts w:ascii="Arial" w:hAnsi="Arial" w:cs="Arial"/>
          <w:sz w:val="22"/>
          <w:szCs w:val="22"/>
        </w:rPr>
        <w:t xml:space="preserve"> explored during the evaluation (compared to standard of care). These are presented in Table 1</w:t>
      </w:r>
      <w:r w:rsidR="00B0118C">
        <w:rPr>
          <w:rFonts w:ascii="Arial" w:hAnsi="Arial" w:cs="Arial"/>
          <w:sz w:val="22"/>
          <w:szCs w:val="22"/>
        </w:rPr>
        <w:t>5</w:t>
      </w:r>
      <w:r w:rsidR="00AA41FE" w:rsidRPr="007B14F5">
        <w:rPr>
          <w:rFonts w:ascii="Arial" w:hAnsi="Arial" w:cs="Arial"/>
          <w:sz w:val="22"/>
          <w:szCs w:val="22"/>
        </w:rPr>
        <w:t>.</w:t>
      </w:r>
    </w:p>
    <w:p w:rsidR="00C42417" w:rsidRPr="007B14F5" w:rsidRDefault="00C42417" w:rsidP="007F6F17">
      <w:pPr>
        <w:rPr>
          <w:rFonts w:ascii="Arial" w:hAnsi="Arial" w:cs="Arial"/>
          <w:sz w:val="22"/>
          <w:szCs w:val="22"/>
        </w:rPr>
      </w:pPr>
    </w:p>
    <w:p w:rsidR="00C42417" w:rsidRPr="0028610F" w:rsidRDefault="00C42417" w:rsidP="00C42417">
      <w:pPr>
        <w:pStyle w:val="TableHeading0"/>
        <w:rPr>
          <w:lang w:val="en-GB"/>
        </w:rPr>
      </w:pPr>
      <w:r w:rsidRPr="0028610F">
        <w:rPr>
          <w:lang w:val="en-GB"/>
        </w:rPr>
        <w:t xml:space="preserve">Table </w:t>
      </w:r>
      <w:r>
        <w:rPr>
          <w:lang w:val="en-GB"/>
        </w:rPr>
        <w:t>1</w:t>
      </w:r>
      <w:r w:rsidR="00B0118C">
        <w:rPr>
          <w:lang w:val="en-GB"/>
        </w:rPr>
        <w:t>5</w:t>
      </w:r>
      <w:r w:rsidRPr="0028610F">
        <w:rPr>
          <w:lang w:val="en-GB"/>
        </w:rPr>
        <w:t>: ICERs and considerations of various testing/treatment funding scenarios</w:t>
      </w:r>
    </w:p>
    <w:tbl>
      <w:tblPr>
        <w:tblW w:w="494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85"/>
        <w:gridCol w:w="2551"/>
      </w:tblGrid>
      <w:tr w:rsidR="00C42417" w:rsidRPr="009E132D" w:rsidTr="00E339DA">
        <w:trPr>
          <w:cantSplit/>
          <w:trHeight w:val="20"/>
          <w:tblHeader/>
        </w:trPr>
        <w:tc>
          <w:tcPr>
            <w:tcW w:w="3604" w:type="pct"/>
          </w:tcPr>
          <w:p w:rsidR="00C42417" w:rsidRPr="009E132D" w:rsidRDefault="00C42417">
            <w:pPr>
              <w:pStyle w:val="TableText0"/>
              <w:keepNext w:val="0"/>
              <w:ind w:firstLine="720"/>
              <w:rPr>
                <w:lang w:eastAsia="en-AU"/>
              </w:rPr>
            </w:pPr>
          </w:p>
        </w:tc>
        <w:tc>
          <w:tcPr>
            <w:tcW w:w="1396" w:type="pct"/>
          </w:tcPr>
          <w:p w:rsidR="00C42417" w:rsidRPr="009E132D" w:rsidRDefault="00C42417" w:rsidP="00832F58">
            <w:pPr>
              <w:pStyle w:val="TableText0"/>
              <w:keepNext w:val="0"/>
              <w:jc w:val="center"/>
              <w:rPr>
                <w:rFonts w:cs="Arial Narrow"/>
                <w:b/>
                <w:lang w:eastAsia="en-AU"/>
              </w:rPr>
            </w:pPr>
            <w:r>
              <w:rPr>
                <w:b/>
                <w:lang w:eastAsia="en-AU"/>
              </w:rPr>
              <w:t>ICER</w:t>
            </w:r>
          </w:p>
        </w:tc>
      </w:tr>
      <w:tr w:rsidR="00C42417" w:rsidRPr="009E132D" w:rsidTr="00E339DA">
        <w:trPr>
          <w:cantSplit/>
          <w:trHeight w:val="20"/>
          <w:tblHeader/>
        </w:trPr>
        <w:tc>
          <w:tcPr>
            <w:tcW w:w="3604" w:type="pct"/>
          </w:tcPr>
          <w:p w:rsidR="00C42417" w:rsidRDefault="00C42417" w:rsidP="00832F58">
            <w:pPr>
              <w:pStyle w:val="TableText0"/>
              <w:keepNext w:val="0"/>
              <w:rPr>
                <w:rFonts w:cs="Arial Narrow"/>
                <w:lang w:eastAsia="en-AU"/>
              </w:rPr>
            </w:pPr>
            <w:r>
              <w:rPr>
                <w:lang w:eastAsia="en-AU"/>
              </w:rPr>
              <w:t>Base case</w:t>
            </w:r>
          </w:p>
          <w:p w:rsidR="00C42417" w:rsidRDefault="00C42417" w:rsidP="00832F58">
            <w:pPr>
              <w:pStyle w:val="TableText0"/>
              <w:keepNext w:val="0"/>
              <w:numPr>
                <w:ilvl w:val="0"/>
                <w:numId w:val="2"/>
              </w:numPr>
              <w:tabs>
                <w:tab w:val="clear" w:pos="720"/>
              </w:tabs>
              <w:ind w:left="313" w:hanging="266"/>
              <w:rPr>
                <w:rFonts w:cs="Arial Narrow"/>
                <w:lang w:eastAsia="en-AU"/>
              </w:rPr>
            </w:pPr>
            <w:r>
              <w:rPr>
                <w:lang w:eastAsia="en-AU"/>
              </w:rPr>
              <w:t>MSAC funded test: testing at diagnosis of NSCLC (any stage)</w:t>
            </w:r>
          </w:p>
          <w:p w:rsidR="00C42417" w:rsidRDefault="00C42417" w:rsidP="00832F58">
            <w:pPr>
              <w:pStyle w:val="TableText0"/>
              <w:keepNext w:val="0"/>
              <w:numPr>
                <w:ilvl w:val="0"/>
                <w:numId w:val="2"/>
              </w:numPr>
              <w:tabs>
                <w:tab w:val="clear" w:pos="720"/>
              </w:tabs>
              <w:ind w:left="313" w:hanging="266"/>
              <w:rPr>
                <w:rFonts w:cs="Arial Narrow"/>
                <w:lang w:eastAsia="en-AU"/>
              </w:rPr>
            </w:pPr>
            <w:r>
              <w:rPr>
                <w:lang w:eastAsia="en-AU"/>
              </w:rPr>
              <w:t>Highly positive patients (TPS ≥50%) eligible for pembrolizumab</w:t>
            </w:r>
          </w:p>
          <w:p w:rsidR="00876C95" w:rsidRDefault="00876C95" w:rsidP="00832F58">
            <w:pPr>
              <w:pStyle w:val="TableText0"/>
              <w:keepNext w:val="0"/>
              <w:numPr>
                <w:ilvl w:val="0"/>
                <w:numId w:val="2"/>
              </w:numPr>
              <w:tabs>
                <w:tab w:val="clear" w:pos="720"/>
              </w:tabs>
              <w:ind w:left="313" w:hanging="266"/>
              <w:rPr>
                <w:rFonts w:cs="Arial Narrow"/>
                <w:lang w:eastAsia="en-AU"/>
              </w:rPr>
            </w:pPr>
            <w:r>
              <w:rPr>
                <w:lang w:eastAsia="en-AU"/>
              </w:rPr>
              <w:t>Maximum treatment duration for initial pembrolizumab course, 24 months</w:t>
            </w:r>
          </w:p>
          <w:p w:rsidR="0070338B" w:rsidRPr="00832F58" w:rsidRDefault="0070338B" w:rsidP="00832F58">
            <w:pPr>
              <w:pStyle w:val="TableText0"/>
              <w:keepNext w:val="0"/>
              <w:ind w:left="47"/>
              <w:rPr>
                <w:i/>
                <w:lang w:eastAsia="en-AU"/>
              </w:rPr>
            </w:pPr>
            <w:r>
              <w:rPr>
                <w:i/>
                <w:lang w:eastAsia="en-AU"/>
              </w:rPr>
              <w:t>Revised</w:t>
            </w:r>
          </w:p>
        </w:tc>
        <w:tc>
          <w:tcPr>
            <w:tcW w:w="1396" w:type="pct"/>
          </w:tcPr>
          <w:p w:rsidR="0070338B" w:rsidRPr="00440AD0" w:rsidRDefault="0070338B">
            <w:pPr>
              <w:pStyle w:val="TableText0"/>
              <w:keepNext w:val="0"/>
              <w:jc w:val="center"/>
              <w:rPr>
                <w:highlight w:val="yellow"/>
                <w:lang w:eastAsia="en-AU"/>
              </w:rPr>
            </w:pPr>
            <w:r w:rsidRPr="00440AD0">
              <w:rPr>
                <w:lang w:eastAsia="en-AU"/>
              </w:rPr>
              <w:t>$</w:t>
            </w:r>
            <w:r w:rsidR="00DF3DBC">
              <w:rPr>
                <w:noProof/>
                <w:color w:val="000000"/>
                <w:highlight w:val="black"/>
                <w:lang w:eastAsia="en-AU"/>
              </w:rPr>
              <w:t>'''''''''''''''</w:t>
            </w:r>
            <w:r w:rsidRPr="00440AD0">
              <w:rPr>
                <w:lang w:eastAsia="en-AU"/>
              </w:rPr>
              <w:t>/QALY</w:t>
            </w:r>
          </w:p>
          <w:p w:rsidR="0070338B" w:rsidRPr="00440AD0" w:rsidRDefault="0070338B">
            <w:pPr>
              <w:pStyle w:val="TableText0"/>
              <w:keepNext w:val="0"/>
              <w:jc w:val="center"/>
              <w:rPr>
                <w:highlight w:val="yellow"/>
                <w:lang w:eastAsia="en-AU"/>
              </w:rPr>
            </w:pPr>
          </w:p>
          <w:p w:rsidR="00877BAD" w:rsidRPr="00440AD0" w:rsidRDefault="00877BAD">
            <w:pPr>
              <w:pStyle w:val="TableText0"/>
              <w:keepNext w:val="0"/>
              <w:jc w:val="center"/>
              <w:rPr>
                <w:highlight w:val="yellow"/>
                <w:lang w:eastAsia="en-AU"/>
              </w:rPr>
            </w:pPr>
          </w:p>
          <w:p w:rsidR="00C42417" w:rsidRPr="00440AD0" w:rsidRDefault="0070338B">
            <w:pPr>
              <w:pStyle w:val="TableText0"/>
              <w:keepNext w:val="0"/>
              <w:jc w:val="center"/>
              <w:rPr>
                <w:b/>
                <w:highlight w:val="yellow"/>
                <w:lang w:eastAsia="en-AU"/>
              </w:rPr>
            </w:pPr>
            <w:r w:rsidRPr="00440AD0">
              <w:rPr>
                <w:b/>
                <w:i/>
                <w:lang w:eastAsia="en-AU"/>
              </w:rPr>
              <w:t>$</w:t>
            </w:r>
            <w:r w:rsidR="00DF3DBC">
              <w:rPr>
                <w:b/>
                <w:i/>
                <w:noProof/>
                <w:color w:val="000000"/>
                <w:highlight w:val="black"/>
                <w:lang w:eastAsia="en-AU"/>
              </w:rPr>
              <w:t>''''''''''''''</w:t>
            </w:r>
            <w:r w:rsidRPr="00440AD0">
              <w:rPr>
                <w:b/>
                <w:i/>
                <w:lang w:eastAsia="en-AU"/>
              </w:rPr>
              <w:t>/QALY</w:t>
            </w:r>
            <w:r w:rsidRPr="00440AD0" w:rsidDel="0070338B">
              <w:rPr>
                <w:b/>
                <w:lang w:eastAsia="en-AU"/>
              </w:rPr>
              <w:t xml:space="preserve"> </w:t>
            </w:r>
          </w:p>
        </w:tc>
      </w:tr>
      <w:tr w:rsidR="0070338B" w:rsidRPr="009E132D" w:rsidTr="00E339DA">
        <w:trPr>
          <w:cantSplit/>
          <w:trHeight w:val="20"/>
        </w:trPr>
        <w:tc>
          <w:tcPr>
            <w:tcW w:w="3604" w:type="pct"/>
            <w:tcBorders>
              <w:bottom w:val="single" w:sz="4" w:space="0" w:color="000000"/>
            </w:tcBorders>
          </w:tcPr>
          <w:p w:rsidR="0070338B" w:rsidRDefault="0070338B" w:rsidP="00832F58">
            <w:pPr>
              <w:pStyle w:val="TableText0"/>
              <w:keepNext w:val="0"/>
              <w:rPr>
                <w:i/>
                <w:lang w:eastAsia="en-AU"/>
              </w:rPr>
            </w:pPr>
            <w:r>
              <w:rPr>
                <w:lang w:eastAsia="en-AU"/>
              </w:rPr>
              <w:t>Scenario 1: Pembrolizumab treatment until progression</w:t>
            </w:r>
          </w:p>
        </w:tc>
        <w:tc>
          <w:tcPr>
            <w:tcW w:w="1396" w:type="pct"/>
            <w:tcBorders>
              <w:bottom w:val="single" w:sz="4" w:space="0" w:color="000000"/>
            </w:tcBorders>
          </w:tcPr>
          <w:p w:rsidR="0070338B" w:rsidRPr="00440AD0" w:rsidRDefault="0070338B" w:rsidP="00832F58">
            <w:pPr>
              <w:pStyle w:val="TableText0"/>
              <w:keepNext w:val="0"/>
              <w:jc w:val="center"/>
              <w:rPr>
                <w:i/>
                <w:lang w:eastAsia="en-AU"/>
              </w:rPr>
            </w:pPr>
            <w:r w:rsidRPr="00440AD0">
              <w:rPr>
                <w:i/>
              </w:rPr>
              <w:t>$</w:t>
            </w:r>
            <w:r w:rsidR="00DF3DBC">
              <w:rPr>
                <w:i/>
                <w:noProof/>
                <w:color w:val="000000"/>
                <w:highlight w:val="black"/>
              </w:rPr>
              <w:t>''''''''''''''''''''''</w:t>
            </w:r>
            <w:r w:rsidRPr="00440AD0">
              <w:rPr>
                <w:i/>
              </w:rPr>
              <w:t>/QALY</w:t>
            </w:r>
          </w:p>
        </w:tc>
      </w:tr>
      <w:tr w:rsidR="0070338B" w:rsidRPr="009E132D" w:rsidTr="00E339DA">
        <w:trPr>
          <w:cantSplit/>
          <w:trHeight w:val="20"/>
        </w:trPr>
        <w:tc>
          <w:tcPr>
            <w:tcW w:w="3604" w:type="pct"/>
            <w:tcBorders>
              <w:bottom w:val="single" w:sz="4" w:space="0" w:color="000000"/>
            </w:tcBorders>
          </w:tcPr>
          <w:p w:rsidR="0070338B" w:rsidRPr="00876C95" w:rsidRDefault="0070338B" w:rsidP="00832F58">
            <w:pPr>
              <w:pStyle w:val="TableText0"/>
              <w:keepNext w:val="0"/>
              <w:rPr>
                <w:lang w:eastAsia="en-AU"/>
              </w:rPr>
            </w:pPr>
            <w:r>
              <w:rPr>
                <w:lang w:eastAsia="en-AU"/>
              </w:rPr>
              <w:t>Scenario 2: Pembrolizumab eligibility not restricted by PD-L1 status (i.e. no testing)</w:t>
            </w:r>
            <w:r w:rsidRPr="007F6F17">
              <w:rPr>
                <w:i/>
                <w:vertAlign w:val="superscript"/>
                <w:lang w:eastAsia="en-AU"/>
              </w:rPr>
              <w:t xml:space="preserve"> </w:t>
            </w:r>
            <w:r>
              <w:rPr>
                <w:i/>
                <w:vertAlign w:val="superscript"/>
                <w:lang w:eastAsia="en-AU"/>
              </w:rPr>
              <w:t>a</w:t>
            </w:r>
          </w:p>
        </w:tc>
        <w:tc>
          <w:tcPr>
            <w:tcW w:w="1396" w:type="pct"/>
            <w:tcBorders>
              <w:bottom w:val="single" w:sz="4" w:space="0" w:color="000000"/>
            </w:tcBorders>
          </w:tcPr>
          <w:p w:rsidR="0070338B" w:rsidRPr="00440AD0" w:rsidRDefault="0070338B" w:rsidP="00832F58">
            <w:pPr>
              <w:pStyle w:val="TableText0"/>
              <w:keepNext w:val="0"/>
              <w:jc w:val="center"/>
              <w:rPr>
                <w:i/>
                <w:lang w:eastAsia="en-AU"/>
              </w:rPr>
            </w:pPr>
            <w:r w:rsidRPr="00440AD0">
              <w:rPr>
                <w:i/>
                <w:lang w:eastAsia="en-AU"/>
              </w:rPr>
              <w:t>$</w:t>
            </w:r>
            <w:r w:rsidR="00DF3DBC">
              <w:rPr>
                <w:i/>
                <w:noProof/>
                <w:color w:val="000000"/>
                <w:highlight w:val="black"/>
                <w:lang w:eastAsia="en-AU"/>
              </w:rPr>
              <w:t>''''''''''''''''''''</w:t>
            </w:r>
            <w:r w:rsidRPr="00440AD0">
              <w:rPr>
                <w:i/>
                <w:lang w:eastAsia="en-AU"/>
              </w:rPr>
              <w:t>/QALY</w:t>
            </w:r>
          </w:p>
        </w:tc>
      </w:tr>
      <w:tr w:rsidR="0070338B" w:rsidRPr="009E132D" w:rsidTr="00E339DA">
        <w:trPr>
          <w:cantSplit/>
          <w:trHeight w:val="20"/>
        </w:trPr>
        <w:tc>
          <w:tcPr>
            <w:tcW w:w="3604" w:type="pct"/>
            <w:tcBorders>
              <w:bottom w:val="single" w:sz="4" w:space="0" w:color="000000"/>
            </w:tcBorders>
          </w:tcPr>
          <w:p w:rsidR="0070338B" w:rsidRPr="00876C95" w:rsidRDefault="0070338B" w:rsidP="00832F58">
            <w:pPr>
              <w:pStyle w:val="TableText0"/>
              <w:keepNext w:val="0"/>
              <w:rPr>
                <w:lang w:eastAsia="en-AU"/>
              </w:rPr>
            </w:pPr>
            <w:r>
              <w:rPr>
                <w:lang w:eastAsia="en-AU"/>
              </w:rPr>
              <w:t>Scenario 3: Testing of archived sample on diagnosis of advanced disease</w:t>
            </w:r>
            <w:r>
              <w:rPr>
                <w:i/>
                <w:vertAlign w:val="superscript"/>
                <w:lang w:eastAsia="en-AU"/>
              </w:rPr>
              <w:t>b</w:t>
            </w:r>
          </w:p>
        </w:tc>
        <w:tc>
          <w:tcPr>
            <w:tcW w:w="1396" w:type="pct"/>
            <w:tcBorders>
              <w:bottom w:val="single" w:sz="4" w:space="0" w:color="000000"/>
            </w:tcBorders>
          </w:tcPr>
          <w:p w:rsidR="0070338B" w:rsidRPr="00440AD0" w:rsidRDefault="0070338B" w:rsidP="00832F58">
            <w:pPr>
              <w:pStyle w:val="TableText0"/>
              <w:keepNext w:val="0"/>
              <w:jc w:val="center"/>
              <w:rPr>
                <w:i/>
                <w:lang w:eastAsia="en-AU"/>
              </w:rPr>
            </w:pPr>
            <w:r w:rsidRPr="00440AD0">
              <w:rPr>
                <w:i/>
                <w:lang w:eastAsia="en-AU"/>
              </w:rPr>
              <w:t>$</w:t>
            </w:r>
            <w:r w:rsidR="00DF3DBC">
              <w:rPr>
                <w:i/>
                <w:noProof/>
                <w:color w:val="000000"/>
                <w:highlight w:val="black"/>
                <w:lang w:eastAsia="en-AU"/>
              </w:rPr>
              <w:t>'''''''''''''''</w:t>
            </w:r>
            <w:r w:rsidRPr="00440AD0">
              <w:rPr>
                <w:i/>
                <w:lang w:eastAsia="en-AU"/>
              </w:rPr>
              <w:t>/QALY</w:t>
            </w:r>
          </w:p>
        </w:tc>
      </w:tr>
      <w:tr w:rsidR="0070338B" w:rsidRPr="009E132D" w:rsidTr="00E339DA">
        <w:trPr>
          <w:cantSplit/>
          <w:trHeight w:val="20"/>
        </w:trPr>
        <w:tc>
          <w:tcPr>
            <w:tcW w:w="3604" w:type="pct"/>
            <w:tcBorders>
              <w:bottom w:val="single" w:sz="4" w:space="0" w:color="auto"/>
            </w:tcBorders>
          </w:tcPr>
          <w:p w:rsidR="0070338B" w:rsidRPr="00E114CB" w:rsidRDefault="0070338B" w:rsidP="00832F58">
            <w:pPr>
              <w:pStyle w:val="TableText0"/>
              <w:keepNext w:val="0"/>
              <w:rPr>
                <w:lang w:eastAsia="en-AU"/>
              </w:rPr>
            </w:pPr>
            <w:r>
              <w:rPr>
                <w:lang w:eastAsia="en-AU"/>
              </w:rPr>
              <w:t>Scenario 4: Testing of rebiopsied material on diagnosis of advanced disease</w:t>
            </w:r>
            <w:r>
              <w:rPr>
                <w:i/>
                <w:vertAlign w:val="superscript"/>
                <w:lang w:eastAsia="en-AU"/>
              </w:rPr>
              <w:t>c</w:t>
            </w:r>
          </w:p>
        </w:tc>
        <w:tc>
          <w:tcPr>
            <w:tcW w:w="1396" w:type="pct"/>
            <w:tcBorders>
              <w:bottom w:val="single" w:sz="4" w:space="0" w:color="auto"/>
            </w:tcBorders>
          </w:tcPr>
          <w:p w:rsidR="0070338B" w:rsidRPr="00440AD0" w:rsidRDefault="0070338B" w:rsidP="00832F58">
            <w:pPr>
              <w:pStyle w:val="TableText0"/>
              <w:keepNext w:val="0"/>
              <w:jc w:val="center"/>
              <w:rPr>
                <w:i/>
                <w:lang w:eastAsia="en-AU"/>
              </w:rPr>
            </w:pPr>
            <w:r w:rsidRPr="00440AD0">
              <w:rPr>
                <w:i/>
                <w:lang w:eastAsia="en-AU"/>
              </w:rPr>
              <w:t>$</w:t>
            </w:r>
            <w:r w:rsidR="00DF3DBC">
              <w:rPr>
                <w:i/>
                <w:noProof/>
                <w:color w:val="000000"/>
                <w:highlight w:val="black"/>
                <w:lang w:eastAsia="en-AU"/>
              </w:rPr>
              <w:t>'''''''''''''''</w:t>
            </w:r>
            <w:r w:rsidRPr="00440AD0">
              <w:rPr>
                <w:i/>
                <w:lang w:eastAsia="en-AU"/>
              </w:rPr>
              <w:t>/QALY</w:t>
            </w:r>
          </w:p>
        </w:tc>
      </w:tr>
    </w:tbl>
    <w:p w:rsidR="0070338B" w:rsidRPr="00832F58" w:rsidRDefault="0070338B" w:rsidP="00C42417">
      <w:pPr>
        <w:pStyle w:val="TableFooter"/>
        <w:rPr>
          <w:i/>
        </w:rPr>
      </w:pPr>
      <w:r w:rsidRPr="00440AD0">
        <w:rPr>
          <w:i/>
        </w:rPr>
        <w:t>Note: Analyses in italics have been revised to correct 1) the Kaplan-Meier data used in the submission’s chemotherapy ITT analysis (which used two-stage adjusted data); and 2) the treatment course cost of pemetrexed (which did not multiply the drug cost per administration by the number of administrations).</w:t>
      </w:r>
    </w:p>
    <w:p w:rsidR="00C42417" w:rsidRPr="0070338B" w:rsidRDefault="00C42417" w:rsidP="00C42417">
      <w:pPr>
        <w:pStyle w:val="TableFooter"/>
      </w:pPr>
      <w:r w:rsidRPr="00D569E0">
        <w:rPr>
          <w:vertAlign w:val="superscript"/>
        </w:rPr>
        <w:t>a</w:t>
      </w:r>
      <w:r>
        <w:t xml:space="preserve"> </w:t>
      </w:r>
      <w:r w:rsidR="007F6F17" w:rsidRPr="0070338B">
        <w:t>As KN-024 did not enrol patients with TPS &lt;50%, the submission estimated health outcomes in these patients with pembrolizumab treatment using the OS and PFS HRs of pembrolizumab treatment in patients who expressed high levels PD-L1 (TPS ≥50%) compared to those who weakly expressed or did not express PD-L1 (TPS &lt;50%) from treatment-naïve patients in KN-001.</w:t>
      </w:r>
    </w:p>
    <w:p w:rsidR="00C42417" w:rsidRPr="0070338B" w:rsidRDefault="00C42417" w:rsidP="00C42417">
      <w:pPr>
        <w:pStyle w:val="TableFooter"/>
      </w:pPr>
      <w:proofErr w:type="gramStart"/>
      <w:r w:rsidRPr="00832F58">
        <w:rPr>
          <w:vertAlign w:val="superscript"/>
          <w:lang w:eastAsia="en-AU"/>
        </w:rPr>
        <w:t>b</w:t>
      </w:r>
      <w:proofErr w:type="gramEnd"/>
      <w:r w:rsidRPr="0070338B">
        <w:t xml:space="preserve"> </w:t>
      </w:r>
      <w:r w:rsidR="00876C95" w:rsidRPr="0070338B">
        <w:t>S</w:t>
      </w:r>
      <w:r w:rsidR="00876C95" w:rsidRPr="00832F58">
        <w:rPr>
          <w:lang w:eastAsia="en-AU"/>
        </w:rPr>
        <w:t>ample retrieval costs</w:t>
      </w:r>
      <w:r w:rsidR="00876C95" w:rsidRPr="00832F58">
        <w:rPr>
          <w:vertAlign w:val="superscript"/>
          <w:lang w:eastAsia="en-AU"/>
        </w:rPr>
        <w:t xml:space="preserve"> </w:t>
      </w:r>
      <w:r w:rsidR="00876C95" w:rsidRPr="00832F58">
        <w:rPr>
          <w:lang w:eastAsia="en-AU"/>
        </w:rPr>
        <w:t xml:space="preserve">were applied in </w:t>
      </w:r>
      <w:r w:rsidR="00F401C4" w:rsidRPr="00832F58">
        <w:rPr>
          <w:i/>
          <w:lang w:eastAsia="en-AU"/>
        </w:rPr>
        <w:t>48.5</w:t>
      </w:r>
      <w:r w:rsidR="00876C95" w:rsidRPr="00F401C4">
        <w:rPr>
          <w:i/>
          <w:lang w:eastAsia="en-AU"/>
        </w:rPr>
        <w:t>%</w:t>
      </w:r>
      <w:r w:rsidR="00876C95" w:rsidRPr="00832F58">
        <w:rPr>
          <w:lang w:eastAsia="en-AU"/>
        </w:rPr>
        <w:t xml:space="preserve"> of patients who received a diagnosis at earlier stage of disease (based on an </w:t>
      </w:r>
      <w:r w:rsidR="00876C95" w:rsidRPr="00832F58">
        <w:t>analysis of Victorian cancer registry data</w:t>
      </w:r>
      <w:r w:rsidR="00EC6985" w:rsidRPr="00832F58">
        <w:rPr>
          <w:noProof/>
          <w:vertAlign w:val="superscript"/>
        </w:rPr>
        <w:t>1</w:t>
      </w:r>
      <w:r w:rsidR="00876C95" w:rsidRPr="00832F58">
        <w:t xml:space="preserve"> reported that </w:t>
      </w:r>
      <w:r w:rsidR="00E84519" w:rsidRPr="00832F58">
        <w:rPr>
          <w:i/>
        </w:rPr>
        <w:t>51.5</w:t>
      </w:r>
      <w:r w:rsidR="00876C95" w:rsidRPr="00E84519">
        <w:rPr>
          <w:i/>
        </w:rPr>
        <w:t>%</w:t>
      </w:r>
      <w:r w:rsidR="00876C95" w:rsidRPr="00832F58">
        <w:t xml:space="preserve"> of NSCLC patients were </w:t>
      </w:r>
      <w:r w:rsidR="00876C95" w:rsidRPr="00E84519">
        <w:rPr>
          <w:i/>
        </w:rPr>
        <w:t>Stage IV</w:t>
      </w:r>
      <w:r w:rsidR="00876C95" w:rsidRPr="00832F58">
        <w:t xml:space="preserve"> at diagnosis)</w:t>
      </w:r>
      <w:r w:rsidR="00876C95" w:rsidRPr="0070338B">
        <w:t>. A s</w:t>
      </w:r>
      <w:r w:rsidR="007F6F17" w:rsidRPr="0070338B">
        <w:t xml:space="preserve">ample retrieval cost of $150.00 </w:t>
      </w:r>
      <w:r w:rsidR="00876C95" w:rsidRPr="0070338B">
        <w:t xml:space="preserve">was </w:t>
      </w:r>
      <w:r w:rsidR="007F6F17" w:rsidRPr="0070338B">
        <w:t>applied, based on the proposed MBS fee, MSAC Application 1331.</w:t>
      </w:r>
    </w:p>
    <w:p w:rsidR="007F6F17" w:rsidRPr="00832F58" w:rsidRDefault="007F6F17" w:rsidP="00C42417">
      <w:pPr>
        <w:pStyle w:val="TableFooter"/>
      </w:pPr>
      <w:proofErr w:type="gramStart"/>
      <w:r w:rsidRPr="0070338B">
        <w:rPr>
          <w:vertAlign w:val="superscript"/>
        </w:rPr>
        <w:t>c</w:t>
      </w:r>
      <w:proofErr w:type="gramEnd"/>
      <w:r w:rsidRPr="0070338B">
        <w:t xml:space="preserve"> </w:t>
      </w:r>
      <w:r w:rsidR="00E114CB" w:rsidRPr="00832F58">
        <w:t>A</w:t>
      </w:r>
      <w:r w:rsidR="00876C95" w:rsidRPr="00832F58">
        <w:rPr>
          <w:lang w:eastAsia="en-AU"/>
        </w:rPr>
        <w:t xml:space="preserve"> </w:t>
      </w:r>
      <w:r w:rsidR="00E84519" w:rsidRPr="00832F58">
        <w:rPr>
          <w:i/>
          <w:lang w:eastAsia="en-AU"/>
        </w:rPr>
        <w:t>48.5</w:t>
      </w:r>
      <w:r w:rsidR="00876C95" w:rsidRPr="00E84519">
        <w:rPr>
          <w:i/>
          <w:lang w:eastAsia="en-AU"/>
        </w:rPr>
        <w:t>%</w:t>
      </w:r>
      <w:r w:rsidR="00876C95" w:rsidRPr="00832F58">
        <w:rPr>
          <w:lang w:eastAsia="en-AU"/>
        </w:rPr>
        <w:t xml:space="preserve"> </w:t>
      </w:r>
      <w:r w:rsidR="00E114CB" w:rsidRPr="00832F58">
        <w:rPr>
          <w:lang w:eastAsia="en-AU"/>
        </w:rPr>
        <w:t xml:space="preserve">re-biopsy rate was applied to reflect re-biopsy and subsequent testing in </w:t>
      </w:r>
      <w:r w:rsidR="00876C95" w:rsidRPr="00832F58">
        <w:rPr>
          <w:lang w:eastAsia="en-AU"/>
        </w:rPr>
        <w:t xml:space="preserve">patients who received a diagnosis at earlier stage of disease (based on an </w:t>
      </w:r>
      <w:r w:rsidR="00876C95" w:rsidRPr="00832F58">
        <w:t>analysis of Victorian cancer registry data</w:t>
      </w:r>
      <w:r w:rsidR="00EC6985" w:rsidRPr="00832F58">
        <w:rPr>
          <w:noProof/>
          <w:vertAlign w:val="superscript"/>
        </w:rPr>
        <w:t>1</w:t>
      </w:r>
      <w:r w:rsidR="00876C95" w:rsidRPr="00832F58">
        <w:t xml:space="preserve"> reported that </w:t>
      </w:r>
      <w:r w:rsidR="00E84519" w:rsidRPr="00832F58">
        <w:rPr>
          <w:i/>
        </w:rPr>
        <w:t>51.5</w:t>
      </w:r>
      <w:r w:rsidR="00876C95" w:rsidRPr="00E84519">
        <w:rPr>
          <w:i/>
        </w:rPr>
        <w:t>%</w:t>
      </w:r>
      <w:r w:rsidR="00876C95" w:rsidRPr="00832F58">
        <w:t xml:space="preserve"> of NSCLC patients were </w:t>
      </w:r>
      <w:r w:rsidR="00876C95" w:rsidRPr="00E84519">
        <w:rPr>
          <w:i/>
        </w:rPr>
        <w:t>Stage IV</w:t>
      </w:r>
      <w:r w:rsidR="00876C95" w:rsidRPr="00832F58">
        <w:t xml:space="preserve"> at diagnosis)</w:t>
      </w:r>
      <w:r w:rsidR="00876C95" w:rsidRPr="0070338B">
        <w:t>.</w:t>
      </w:r>
    </w:p>
    <w:p w:rsidR="00C42417" w:rsidRPr="0070338B" w:rsidRDefault="00C42417" w:rsidP="00C42417">
      <w:pPr>
        <w:pStyle w:val="TableFooter"/>
      </w:pPr>
      <w:r w:rsidRPr="0070338B">
        <w:t>ICER = incremental cost effectiveness ratio; NSCLC = non-small cell lung cancer; QAL</w:t>
      </w:r>
      <w:r w:rsidR="004353D5">
        <w:t>Y = quality-adjusted life year.</w:t>
      </w:r>
    </w:p>
    <w:p w:rsidR="00C42417" w:rsidRPr="00832F58" w:rsidRDefault="00C42417" w:rsidP="00C42417">
      <w:pPr>
        <w:pStyle w:val="TableFooter"/>
      </w:pPr>
      <w:r w:rsidRPr="00832F58">
        <w:t>Source: Constructed during the evaluation</w:t>
      </w:r>
    </w:p>
    <w:p w:rsidR="00C42417" w:rsidRDefault="00C42417" w:rsidP="007F6F17">
      <w:pPr>
        <w:rPr>
          <w:rFonts w:ascii="Arial" w:hAnsi="Arial" w:cs="Arial"/>
          <w:sz w:val="22"/>
          <w:szCs w:val="22"/>
        </w:rPr>
      </w:pPr>
    </w:p>
    <w:p w:rsidR="00016788" w:rsidRDefault="00016788" w:rsidP="00AA2FD0">
      <w:pPr>
        <w:rPr>
          <w:rFonts w:ascii="Arial" w:hAnsi="Arial" w:cs="Arial"/>
          <w:sz w:val="22"/>
          <w:szCs w:val="22"/>
        </w:rPr>
      </w:pPr>
      <w:r>
        <w:rPr>
          <w:rFonts w:ascii="Arial" w:hAnsi="Arial" w:cs="Arial"/>
          <w:sz w:val="22"/>
          <w:szCs w:val="22"/>
        </w:rPr>
        <w:t xml:space="preserve">The redacted table shows ICERs in the range of $45,000/QALY - $75,000/QALY to </w:t>
      </w:r>
      <w:r w:rsidR="002A6CCA">
        <w:rPr>
          <w:rFonts w:ascii="Arial" w:hAnsi="Arial" w:cs="Arial"/>
          <w:sz w:val="22"/>
          <w:szCs w:val="22"/>
        </w:rPr>
        <w:t>$105,000/QALY - $200,000/QALY.</w:t>
      </w:r>
    </w:p>
    <w:p w:rsidR="00016788" w:rsidRPr="007B14F5" w:rsidRDefault="00016788" w:rsidP="007F6F17">
      <w:pPr>
        <w:rPr>
          <w:rFonts w:ascii="Arial" w:hAnsi="Arial" w:cs="Arial"/>
          <w:sz w:val="22"/>
          <w:szCs w:val="22"/>
        </w:rPr>
      </w:pPr>
    </w:p>
    <w:p w:rsidR="00392A33" w:rsidRDefault="00392A33" w:rsidP="00440AD0">
      <w:pPr>
        <w:pStyle w:val="ListParagraph"/>
        <w:numPr>
          <w:ilvl w:val="1"/>
          <w:numId w:val="4"/>
        </w:numPr>
        <w:ind w:left="720"/>
        <w:rPr>
          <w:rFonts w:ascii="Arial" w:hAnsi="Arial" w:cs="Arial"/>
          <w:sz w:val="22"/>
          <w:szCs w:val="22"/>
        </w:rPr>
      </w:pPr>
      <w:r w:rsidRPr="007B14F5">
        <w:rPr>
          <w:rFonts w:ascii="Arial" w:hAnsi="Arial" w:cs="Arial"/>
          <w:sz w:val="22"/>
          <w:szCs w:val="22"/>
        </w:rPr>
        <w:t xml:space="preserve">A Markov trace depicting the proportion of patients alive per cycle compared to KN-024 Kaplan-Meier OS data is presented in </w:t>
      </w:r>
      <w:r w:rsidRPr="00C511A0">
        <w:rPr>
          <w:rFonts w:ascii="Arial" w:hAnsi="Arial" w:cs="Arial"/>
          <w:sz w:val="22"/>
          <w:szCs w:val="22"/>
        </w:rPr>
        <w:t xml:space="preserve">Figure </w:t>
      </w:r>
      <w:r w:rsidR="00B0118C" w:rsidRPr="00832F58">
        <w:rPr>
          <w:rFonts w:ascii="Arial" w:hAnsi="Arial" w:cs="Arial"/>
          <w:sz w:val="22"/>
          <w:szCs w:val="22"/>
        </w:rPr>
        <w:t>5</w:t>
      </w:r>
      <w:r w:rsidRPr="00C511A0">
        <w:rPr>
          <w:rFonts w:ascii="Arial" w:hAnsi="Arial" w:cs="Arial"/>
          <w:sz w:val="22"/>
          <w:szCs w:val="22"/>
        </w:rPr>
        <w:t>.</w:t>
      </w:r>
    </w:p>
    <w:p w:rsidR="00440AD0" w:rsidRPr="00440AD0" w:rsidRDefault="00440AD0" w:rsidP="00440AD0">
      <w:pPr>
        <w:rPr>
          <w:rFonts w:ascii="Arial" w:hAnsi="Arial" w:cs="Arial"/>
          <w:sz w:val="22"/>
          <w:szCs w:val="22"/>
        </w:rPr>
      </w:pPr>
    </w:p>
    <w:p w:rsidR="00392A33" w:rsidRPr="00077259" w:rsidRDefault="00392A33" w:rsidP="00392A33">
      <w:pPr>
        <w:pStyle w:val="TableHeading0"/>
        <w:rPr>
          <w:lang w:val="en-GB"/>
        </w:rPr>
      </w:pPr>
      <w:r w:rsidRPr="00C511A0">
        <w:rPr>
          <w:lang w:val="en-GB"/>
        </w:rPr>
        <w:lastRenderedPageBreak/>
        <w:t xml:space="preserve">Figure </w:t>
      </w:r>
      <w:r w:rsidR="00B0118C" w:rsidRPr="00832F58">
        <w:rPr>
          <w:lang w:val="en-GB"/>
        </w:rPr>
        <w:t>5</w:t>
      </w:r>
      <w:r w:rsidRPr="00C511A0">
        <w:rPr>
          <w:lang w:val="en-GB"/>
        </w:rPr>
        <w:t>: Markov</w:t>
      </w:r>
      <w:r w:rsidRPr="00077259">
        <w:rPr>
          <w:lang w:val="en-GB"/>
        </w:rPr>
        <w:t xml:space="preserve"> trace, </w:t>
      </w:r>
      <w:r>
        <w:rPr>
          <w:lang w:val="en-GB"/>
        </w:rPr>
        <w:t xml:space="preserve">modelled </w:t>
      </w:r>
      <w:r w:rsidRPr="00077259">
        <w:rPr>
          <w:lang w:val="en-GB"/>
        </w:rPr>
        <w:t xml:space="preserve">proportion patients alive, compared to </w:t>
      </w:r>
      <w:r>
        <w:rPr>
          <w:lang w:val="en-GB"/>
        </w:rPr>
        <w:t>KN-024 Kaplan-Meier</w:t>
      </w:r>
      <w:r w:rsidRPr="00077259">
        <w:rPr>
          <w:lang w:val="en-GB"/>
        </w:rPr>
        <w:t xml:space="preserve"> OS</w:t>
      </w:r>
      <w:r>
        <w:rPr>
          <w:lang w:val="en-GB"/>
        </w:rPr>
        <w:t xml:space="preserve"> data</w:t>
      </w:r>
    </w:p>
    <w:p w:rsidR="00392A33" w:rsidRDefault="00392A33" w:rsidP="00392A33">
      <w:r>
        <w:rPr>
          <w:noProof/>
          <w:lang w:eastAsia="en-AU"/>
        </w:rPr>
        <w:drawing>
          <wp:inline distT="0" distB="0" distL="0" distR="0" wp14:anchorId="7CCF5A92" wp14:editId="39D289A7">
            <wp:extent cx="5038725" cy="3248025"/>
            <wp:effectExtent l="0" t="0" r="9525" b="9525"/>
            <wp:docPr id="7169" name="Picture 7169" title="Figure 5: Markov trace, modelled proportion patients alive, compared to KN-024 Kaplan-Meier OS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2633" cy="3263436"/>
                    </a:xfrm>
                    <a:prstGeom prst="rect">
                      <a:avLst/>
                    </a:prstGeom>
                    <a:noFill/>
                  </pic:spPr>
                </pic:pic>
              </a:graphicData>
            </a:graphic>
          </wp:inline>
        </w:drawing>
      </w:r>
    </w:p>
    <w:p w:rsidR="00392A33" w:rsidRPr="002851A5" w:rsidRDefault="00392A33" w:rsidP="00392A33">
      <w:pPr>
        <w:pStyle w:val="TableFooter"/>
      </w:pPr>
      <w:r>
        <w:t xml:space="preserve">KM = Kaplan-Meier; </w:t>
      </w:r>
      <w:r w:rsidRPr="002851A5">
        <w:t>OS = overall survival.</w:t>
      </w:r>
    </w:p>
    <w:p w:rsidR="00392A33" w:rsidRPr="00077259" w:rsidRDefault="00392A33" w:rsidP="00392A33">
      <w:pPr>
        <w:pStyle w:val="TableFooter"/>
      </w:pPr>
      <w:r w:rsidRPr="00077259">
        <w:t xml:space="preserve">Source: </w:t>
      </w:r>
      <w:r w:rsidRPr="00A32AF1">
        <w:rPr>
          <w:i/>
        </w:rPr>
        <w:t>Constructed during the evaluation</w:t>
      </w:r>
      <w:r w:rsidRPr="00077259">
        <w:t xml:space="preserve"> from FINAL_Pembrolizumab Section D Workbook 1L NSCLC Australia.xlsm of the submission.</w:t>
      </w:r>
    </w:p>
    <w:p w:rsidR="00392A33" w:rsidRDefault="00392A33" w:rsidP="00424028">
      <w:pPr>
        <w:jc w:val="left"/>
        <w:rPr>
          <w:rFonts w:ascii="Arial" w:hAnsi="Arial" w:cs="Arial"/>
          <w:sz w:val="22"/>
          <w:szCs w:val="22"/>
        </w:rPr>
      </w:pPr>
    </w:p>
    <w:p w:rsidR="00E84519" w:rsidRPr="00440AD0" w:rsidRDefault="00E84519" w:rsidP="00E84519">
      <w:pPr>
        <w:pStyle w:val="ListParagraph"/>
        <w:numPr>
          <w:ilvl w:val="1"/>
          <w:numId w:val="4"/>
        </w:numPr>
        <w:ind w:left="720"/>
        <w:rPr>
          <w:rFonts w:ascii="Arial" w:hAnsi="Arial" w:cs="Arial"/>
          <w:sz w:val="22"/>
          <w:szCs w:val="22"/>
        </w:rPr>
      </w:pPr>
      <w:r w:rsidRPr="00440AD0">
        <w:rPr>
          <w:rFonts w:ascii="Arial" w:hAnsi="Arial" w:cs="Arial"/>
          <w:sz w:val="22"/>
          <w:szCs w:val="22"/>
        </w:rPr>
        <w:t xml:space="preserve">The Markov trace from the PSCR’s revised model is presented in Figure </w:t>
      </w:r>
      <w:r w:rsidR="00B0118C" w:rsidRPr="00440AD0">
        <w:rPr>
          <w:rFonts w:ascii="Arial" w:hAnsi="Arial" w:cs="Arial"/>
          <w:sz w:val="22"/>
          <w:szCs w:val="22"/>
        </w:rPr>
        <w:t>6</w:t>
      </w:r>
      <w:r w:rsidRPr="00440AD0">
        <w:rPr>
          <w:rFonts w:ascii="Arial" w:hAnsi="Arial" w:cs="Arial"/>
          <w:sz w:val="22"/>
          <w:szCs w:val="22"/>
        </w:rPr>
        <w:t>.</w:t>
      </w:r>
    </w:p>
    <w:p w:rsidR="00424028" w:rsidRPr="00440AD0" w:rsidRDefault="00424028" w:rsidP="00424028">
      <w:pPr>
        <w:rPr>
          <w:rFonts w:ascii="Arial" w:hAnsi="Arial" w:cs="Arial"/>
          <w:sz w:val="22"/>
          <w:szCs w:val="22"/>
        </w:rPr>
      </w:pPr>
    </w:p>
    <w:p w:rsidR="00E84519" w:rsidRPr="00440AD0" w:rsidRDefault="00E84519" w:rsidP="00832F58">
      <w:pPr>
        <w:pStyle w:val="Caption"/>
        <w:keepNext/>
        <w:rPr>
          <w:rFonts w:ascii="Arial Narrow" w:hAnsi="Arial Narrow"/>
        </w:rPr>
      </w:pPr>
      <w:r w:rsidRPr="00440AD0">
        <w:rPr>
          <w:rFonts w:ascii="Arial Narrow" w:hAnsi="Arial Narrow"/>
        </w:rPr>
        <w:t xml:space="preserve">Figure </w:t>
      </w:r>
      <w:r w:rsidR="00B0118C" w:rsidRPr="00440AD0">
        <w:rPr>
          <w:rFonts w:ascii="Arial Narrow" w:hAnsi="Arial Narrow"/>
        </w:rPr>
        <w:t>6</w:t>
      </w:r>
      <w:r w:rsidRPr="00440AD0">
        <w:rPr>
          <w:rFonts w:ascii="Arial Narrow" w:hAnsi="Arial Narrow"/>
        </w:rPr>
        <w:t>: Updated Markov trace from the revised economic model accompanying the PSCR</w:t>
      </w:r>
    </w:p>
    <w:p w:rsidR="00E84519" w:rsidRPr="00832F58" w:rsidRDefault="00E84519" w:rsidP="00832F58">
      <w:pPr>
        <w:rPr>
          <w:rFonts w:ascii="Arial" w:hAnsi="Arial" w:cs="Arial"/>
          <w:sz w:val="22"/>
          <w:szCs w:val="22"/>
        </w:rPr>
      </w:pPr>
      <w:r>
        <w:rPr>
          <w:noProof/>
          <w:lang w:eastAsia="en-AU"/>
        </w:rPr>
        <w:drawing>
          <wp:inline distT="0" distB="0" distL="0" distR="0" wp14:anchorId="5CF793D3" wp14:editId="20EEDC6C">
            <wp:extent cx="5098547" cy="3333750"/>
            <wp:effectExtent l="0" t="0" r="6985" b="0"/>
            <wp:docPr id="1" name="Picture 1" title="Figure 6: Updated Markov trace from the revised economic model accompanying the P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04964" cy="3337946"/>
                    </a:xfrm>
                    <a:prstGeom prst="rect">
                      <a:avLst/>
                    </a:prstGeom>
                    <a:noFill/>
                  </pic:spPr>
                </pic:pic>
              </a:graphicData>
            </a:graphic>
          </wp:inline>
        </w:drawing>
      </w:r>
    </w:p>
    <w:p w:rsidR="00581DED" w:rsidRPr="00D6409D" w:rsidRDefault="00E84519" w:rsidP="00424028">
      <w:pPr>
        <w:rPr>
          <w:rFonts w:ascii="Arial" w:hAnsi="Arial" w:cs="Arial"/>
          <w:sz w:val="22"/>
          <w:szCs w:val="22"/>
        </w:rPr>
      </w:pPr>
      <w:r w:rsidRPr="00440AD0">
        <w:rPr>
          <w:rFonts w:ascii="Arial Narrow" w:hAnsi="Arial Narrow" w:cs="Arial"/>
          <w:sz w:val="18"/>
          <w:szCs w:val="18"/>
        </w:rPr>
        <w:t>Source: Constructed from workbook accompanying PSCR: AMENDED_Pembrolizumab Section D Workbook 1L NSCLC Australia.xlsm</w:t>
      </w:r>
    </w:p>
    <w:p w:rsidR="00440AD0" w:rsidRPr="00440AD0" w:rsidRDefault="00440AD0" w:rsidP="00440AD0">
      <w:pPr>
        <w:rPr>
          <w:rFonts w:ascii="Arial" w:hAnsi="Arial" w:cs="Arial"/>
          <w:sz w:val="22"/>
          <w:szCs w:val="22"/>
        </w:rPr>
      </w:pPr>
    </w:p>
    <w:p w:rsidR="00AA2FD0" w:rsidRDefault="00AA2FD0">
      <w:pPr>
        <w:jc w:val="left"/>
        <w:rPr>
          <w:rFonts w:ascii="Arial" w:hAnsi="Arial" w:cs="Arial"/>
          <w:sz w:val="22"/>
          <w:szCs w:val="22"/>
        </w:rPr>
      </w:pPr>
      <w:r>
        <w:rPr>
          <w:rFonts w:ascii="Arial" w:hAnsi="Arial" w:cs="Arial"/>
          <w:sz w:val="22"/>
          <w:szCs w:val="22"/>
        </w:rPr>
        <w:br w:type="page"/>
      </w:r>
    </w:p>
    <w:p w:rsidR="00AE2EEA" w:rsidRPr="00440AD0" w:rsidRDefault="00AE2EEA" w:rsidP="00832F58">
      <w:pPr>
        <w:pStyle w:val="ListParagraph"/>
        <w:numPr>
          <w:ilvl w:val="1"/>
          <w:numId w:val="4"/>
        </w:numPr>
        <w:ind w:left="720"/>
        <w:rPr>
          <w:rFonts w:ascii="Arial" w:hAnsi="Arial" w:cs="Arial"/>
          <w:sz w:val="22"/>
          <w:szCs w:val="22"/>
        </w:rPr>
      </w:pPr>
      <w:r w:rsidRPr="00440AD0">
        <w:rPr>
          <w:rFonts w:ascii="Arial" w:hAnsi="Arial" w:cs="Arial"/>
          <w:sz w:val="22"/>
          <w:szCs w:val="22"/>
        </w:rPr>
        <w:lastRenderedPageBreak/>
        <w:t xml:space="preserve">The visual presentation of various extrapolations </w:t>
      </w:r>
      <w:r w:rsidR="00B0118C" w:rsidRPr="00440AD0">
        <w:rPr>
          <w:rFonts w:ascii="Arial" w:hAnsi="Arial" w:cs="Arial"/>
          <w:sz w:val="22"/>
          <w:szCs w:val="22"/>
        </w:rPr>
        <w:t>for OS is presented in Figure 7</w:t>
      </w:r>
      <w:r w:rsidRPr="00440AD0">
        <w:rPr>
          <w:rFonts w:ascii="Arial" w:hAnsi="Arial" w:cs="Arial"/>
          <w:sz w:val="22"/>
          <w:szCs w:val="22"/>
        </w:rPr>
        <w:t>.</w:t>
      </w:r>
    </w:p>
    <w:p w:rsidR="00AE2EEA" w:rsidRPr="00440AD0" w:rsidRDefault="00AE2EEA">
      <w:pPr>
        <w:rPr>
          <w:rFonts w:ascii="Arial" w:hAnsi="Arial" w:cs="Arial"/>
          <w:sz w:val="22"/>
          <w:szCs w:val="22"/>
        </w:rPr>
      </w:pPr>
    </w:p>
    <w:p w:rsidR="00AE2EEA" w:rsidRPr="00440AD0" w:rsidRDefault="00B0118C" w:rsidP="00481120">
      <w:pPr>
        <w:keepNext/>
        <w:rPr>
          <w:rFonts w:ascii="Arial Narrow" w:hAnsi="Arial Narrow" w:cs="Arial"/>
          <w:b/>
          <w:sz w:val="20"/>
          <w:szCs w:val="20"/>
        </w:rPr>
      </w:pPr>
      <w:r w:rsidRPr="00440AD0">
        <w:rPr>
          <w:rFonts w:ascii="Arial Narrow" w:hAnsi="Arial Narrow" w:cs="Arial"/>
          <w:b/>
          <w:sz w:val="20"/>
          <w:szCs w:val="20"/>
        </w:rPr>
        <w:t>Figure 7</w:t>
      </w:r>
      <w:r w:rsidR="00AE2EEA" w:rsidRPr="00440AD0">
        <w:rPr>
          <w:rFonts w:ascii="Arial Narrow" w:hAnsi="Arial Narrow" w:cs="Arial"/>
          <w:b/>
          <w:sz w:val="20"/>
          <w:szCs w:val="20"/>
        </w:rPr>
        <w:t>: Extrapolation of OS with the revised six year time horizon as per the PSCR</w:t>
      </w:r>
    </w:p>
    <w:p w:rsidR="00AE2EEA" w:rsidRPr="00832F58" w:rsidRDefault="00AE2EEA">
      <w:pPr>
        <w:rPr>
          <w:rFonts w:ascii="Arial" w:hAnsi="Arial" w:cs="Arial"/>
          <w:sz w:val="22"/>
          <w:szCs w:val="22"/>
        </w:rPr>
      </w:pPr>
      <w:r>
        <w:rPr>
          <w:noProof/>
          <w:lang w:eastAsia="en-AU"/>
        </w:rPr>
        <w:drawing>
          <wp:inline distT="0" distB="0" distL="0" distR="0" wp14:anchorId="068ADBC0" wp14:editId="181D174A">
            <wp:extent cx="5981140" cy="4972050"/>
            <wp:effectExtent l="0" t="0" r="635" b="0"/>
            <wp:docPr id="8" name="Picture 8" title="Figure 7: Extrapolation of OS with the revised six year time horizon as per the P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89297" cy="4978831"/>
                    </a:xfrm>
                    <a:prstGeom prst="rect">
                      <a:avLst/>
                    </a:prstGeom>
                    <a:noFill/>
                  </pic:spPr>
                </pic:pic>
              </a:graphicData>
            </a:graphic>
          </wp:inline>
        </w:drawing>
      </w:r>
    </w:p>
    <w:p w:rsidR="00AE2EEA" w:rsidRPr="00440AD0" w:rsidRDefault="00AE2EEA" w:rsidP="00AE2EEA">
      <w:pPr>
        <w:rPr>
          <w:rFonts w:ascii="Arial Narrow" w:hAnsi="Arial Narrow"/>
          <w:sz w:val="18"/>
          <w:szCs w:val="18"/>
        </w:rPr>
      </w:pPr>
      <w:r w:rsidRPr="00440AD0">
        <w:rPr>
          <w:rFonts w:ascii="Arial Narrow" w:hAnsi="Arial Narrow"/>
          <w:sz w:val="18"/>
          <w:szCs w:val="18"/>
        </w:rPr>
        <w:t>Note: In the base case analysis, an exponential distribution was selected for extrapolation of both pembrolizumab and platinum-doublet chemotherapy.</w:t>
      </w:r>
    </w:p>
    <w:p w:rsidR="00AE2EEA" w:rsidRPr="007B14F5" w:rsidRDefault="00AE2EEA" w:rsidP="0026320B">
      <w:pPr>
        <w:rPr>
          <w:rFonts w:ascii="Arial" w:hAnsi="Arial" w:cs="Arial"/>
          <w:sz w:val="22"/>
          <w:szCs w:val="22"/>
        </w:rPr>
      </w:pPr>
    </w:p>
    <w:p w:rsidR="00AE2EEA" w:rsidRPr="00832F58" w:rsidRDefault="00780F08">
      <w:pPr>
        <w:pStyle w:val="ListParagraph"/>
        <w:numPr>
          <w:ilvl w:val="1"/>
          <w:numId w:val="4"/>
        </w:numPr>
        <w:ind w:left="720"/>
        <w:rPr>
          <w:rFonts w:ascii="Arial" w:hAnsi="Arial" w:cs="Arial"/>
          <w:sz w:val="22"/>
          <w:szCs w:val="22"/>
        </w:rPr>
      </w:pPr>
      <w:r w:rsidRPr="009B07B2">
        <w:rPr>
          <w:rFonts w:ascii="Arial" w:hAnsi="Arial" w:cs="Arial"/>
          <w:sz w:val="22"/>
          <w:szCs w:val="22"/>
        </w:rPr>
        <w:t xml:space="preserve">A table summarising the different methods used to adjust for treatment switching and the resulting ICERs is presented in Table </w:t>
      </w:r>
      <w:r w:rsidR="00C42417" w:rsidRPr="009B07B2">
        <w:rPr>
          <w:rFonts w:ascii="Arial" w:hAnsi="Arial" w:cs="Arial"/>
          <w:sz w:val="22"/>
          <w:szCs w:val="22"/>
        </w:rPr>
        <w:t>1</w:t>
      </w:r>
      <w:r w:rsidR="00100B90">
        <w:rPr>
          <w:rFonts w:ascii="Arial" w:hAnsi="Arial" w:cs="Arial"/>
          <w:sz w:val="22"/>
          <w:szCs w:val="22"/>
        </w:rPr>
        <w:t>6</w:t>
      </w:r>
      <w:r w:rsidRPr="009B07B2">
        <w:rPr>
          <w:rFonts w:ascii="Arial" w:hAnsi="Arial" w:cs="Arial"/>
          <w:sz w:val="22"/>
          <w:szCs w:val="22"/>
        </w:rPr>
        <w:t>. Of the three adjustment methods presented, the two-stage approach is associated with the largest effect on the ICER, which is consistent with the most favourable adjusted HR for OS.</w:t>
      </w:r>
    </w:p>
    <w:p w:rsidR="0095055D" w:rsidRPr="009B07B2" w:rsidRDefault="0095055D" w:rsidP="00C71CDD">
      <w:pPr>
        <w:rPr>
          <w:rFonts w:ascii="Arial" w:hAnsi="Arial" w:cs="Arial"/>
          <w:sz w:val="22"/>
          <w:szCs w:val="22"/>
        </w:rPr>
      </w:pPr>
    </w:p>
    <w:p w:rsidR="00581DED" w:rsidRDefault="00581DED">
      <w:pPr>
        <w:jc w:val="left"/>
        <w:rPr>
          <w:rFonts w:ascii="Arial Narrow" w:eastAsia="SimSun" w:hAnsi="Arial Narrow" w:cs="Arial"/>
          <w:b/>
          <w:sz w:val="20"/>
          <w:szCs w:val="20"/>
          <w:lang w:eastAsia="en-AU" w:bidi="en-US"/>
        </w:rPr>
      </w:pPr>
      <w:r>
        <w:br w:type="page"/>
      </w:r>
    </w:p>
    <w:p w:rsidR="0095055D" w:rsidRPr="009B07B2" w:rsidRDefault="0095055D" w:rsidP="00C71CDD">
      <w:pPr>
        <w:pStyle w:val="TableHeading0"/>
      </w:pPr>
      <w:r w:rsidRPr="009B07B2">
        <w:lastRenderedPageBreak/>
        <w:t xml:space="preserve">Table </w:t>
      </w:r>
      <w:r w:rsidR="00C42417" w:rsidRPr="009B07B2">
        <w:t>1</w:t>
      </w:r>
      <w:r w:rsidR="00100B90">
        <w:t>6</w:t>
      </w:r>
      <w:r w:rsidRPr="009B07B2">
        <w:t xml:space="preserve">: </w:t>
      </w:r>
      <w:r w:rsidR="003D6EC7" w:rsidRPr="009B07B2">
        <w:rPr>
          <w:lang w:val="en-GB"/>
        </w:rPr>
        <w:t>Results of the economic evaluation, different methods for adjusting for treatment switching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639"/>
        <w:gridCol w:w="2233"/>
        <w:gridCol w:w="1402"/>
        <w:gridCol w:w="2314"/>
        <w:gridCol w:w="1495"/>
      </w:tblGrid>
      <w:tr w:rsidR="003D6EC7" w:rsidRPr="009B07B2" w:rsidTr="00832F58">
        <w:trPr>
          <w:cantSplit/>
        </w:trPr>
        <w:tc>
          <w:tcPr>
            <w:tcW w:w="902" w:type="pct"/>
            <w:shd w:val="clear" w:color="auto" w:fill="auto"/>
            <w:vAlign w:val="center"/>
          </w:tcPr>
          <w:p w:rsidR="003D6EC7" w:rsidRPr="009B07B2" w:rsidRDefault="003D6EC7" w:rsidP="004353D5">
            <w:pPr>
              <w:pStyle w:val="TableText0"/>
              <w:keepNext w:val="0"/>
              <w:contextualSpacing/>
              <w:jc w:val="left"/>
              <w:rPr>
                <w:b/>
              </w:rPr>
            </w:pPr>
            <w:r w:rsidRPr="009B07B2">
              <w:rPr>
                <w:b/>
              </w:rPr>
              <w:t xml:space="preserve">Analysis </w:t>
            </w:r>
            <w:r w:rsidR="004353D5">
              <w:rPr>
                <w:b/>
              </w:rPr>
              <w:t>m</w:t>
            </w:r>
            <w:r w:rsidRPr="009B07B2">
              <w:rPr>
                <w:b/>
              </w:rPr>
              <w:t>ethod</w:t>
            </w:r>
          </w:p>
        </w:tc>
        <w:tc>
          <w:tcPr>
            <w:tcW w:w="1229" w:type="pct"/>
            <w:vAlign w:val="center"/>
          </w:tcPr>
          <w:p w:rsidR="003D6EC7" w:rsidRPr="009B07B2" w:rsidRDefault="003D6EC7" w:rsidP="00832F58">
            <w:pPr>
              <w:pStyle w:val="TableText0"/>
              <w:keepNext w:val="0"/>
              <w:contextualSpacing/>
              <w:jc w:val="center"/>
              <w:rPr>
                <w:b/>
              </w:rPr>
            </w:pPr>
            <w:r w:rsidRPr="009B07B2">
              <w:rPr>
                <w:b/>
              </w:rPr>
              <w:t>Assumptions</w:t>
            </w:r>
          </w:p>
        </w:tc>
        <w:tc>
          <w:tcPr>
            <w:tcW w:w="772" w:type="pct"/>
            <w:shd w:val="clear" w:color="auto" w:fill="auto"/>
            <w:vAlign w:val="center"/>
          </w:tcPr>
          <w:p w:rsidR="003D6EC7" w:rsidRPr="009B07B2" w:rsidRDefault="003D6EC7" w:rsidP="00832F58">
            <w:pPr>
              <w:pStyle w:val="TableText0"/>
              <w:keepNext w:val="0"/>
              <w:contextualSpacing/>
              <w:jc w:val="center"/>
              <w:rPr>
                <w:b/>
              </w:rPr>
            </w:pPr>
            <w:r w:rsidRPr="009B07B2">
              <w:rPr>
                <w:b/>
              </w:rPr>
              <w:t>OS HR</w:t>
            </w:r>
            <w:r w:rsidRPr="009B07B2">
              <w:rPr>
                <w:b/>
              </w:rPr>
              <w:br/>
              <w:t>(95% CI)</w:t>
            </w:r>
          </w:p>
        </w:tc>
        <w:tc>
          <w:tcPr>
            <w:tcW w:w="1274" w:type="pct"/>
            <w:shd w:val="clear" w:color="auto" w:fill="auto"/>
            <w:vAlign w:val="center"/>
          </w:tcPr>
          <w:p w:rsidR="003D6EC7" w:rsidRPr="009B07B2" w:rsidRDefault="00C51EC8" w:rsidP="00832F58">
            <w:pPr>
              <w:pStyle w:val="TableText0"/>
              <w:keepNext w:val="0"/>
              <w:contextualSpacing/>
              <w:jc w:val="center"/>
              <w:rPr>
                <w:b/>
              </w:rPr>
            </w:pPr>
            <w:r w:rsidRPr="009B07B2">
              <w:rPr>
                <w:b/>
              </w:rPr>
              <w:t>Includes cost of later-line pembrolizumab in the comparator arm</w:t>
            </w:r>
          </w:p>
        </w:tc>
        <w:tc>
          <w:tcPr>
            <w:tcW w:w="823" w:type="pct"/>
            <w:vAlign w:val="center"/>
          </w:tcPr>
          <w:p w:rsidR="003D6EC7" w:rsidRPr="009B07B2" w:rsidRDefault="003D6EC7" w:rsidP="00832F58">
            <w:pPr>
              <w:pStyle w:val="TableText0"/>
              <w:keepNext w:val="0"/>
              <w:contextualSpacing/>
              <w:jc w:val="center"/>
              <w:rPr>
                <w:b/>
              </w:rPr>
            </w:pPr>
            <w:r w:rsidRPr="009B07B2">
              <w:rPr>
                <w:b/>
              </w:rPr>
              <w:t>ICER</w:t>
            </w:r>
          </w:p>
        </w:tc>
      </w:tr>
      <w:tr w:rsidR="009B07B2" w:rsidRPr="009B07B2" w:rsidTr="00832F58">
        <w:trPr>
          <w:cantSplit/>
          <w:trHeight w:val="20"/>
        </w:trPr>
        <w:tc>
          <w:tcPr>
            <w:tcW w:w="902" w:type="pct"/>
            <w:vMerge w:val="restart"/>
            <w:shd w:val="clear" w:color="auto" w:fill="auto"/>
            <w:vAlign w:val="center"/>
          </w:tcPr>
          <w:p w:rsidR="009B07B2" w:rsidRPr="009B07B2" w:rsidRDefault="009B07B2" w:rsidP="00832F58">
            <w:pPr>
              <w:pStyle w:val="TableText0"/>
              <w:keepNext w:val="0"/>
              <w:contextualSpacing/>
              <w:jc w:val="left"/>
            </w:pPr>
            <w:r w:rsidRPr="009B07B2">
              <w:t>ITT</w:t>
            </w:r>
            <w:r>
              <w:t xml:space="preserve"> </w:t>
            </w:r>
            <w:r w:rsidRPr="009B07B2">
              <w:t>(base case)</w:t>
            </w:r>
          </w:p>
        </w:tc>
        <w:tc>
          <w:tcPr>
            <w:tcW w:w="1229" w:type="pct"/>
            <w:vMerge w:val="restart"/>
            <w:vAlign w:val="center"/>
          </w:tcPr>
          <w:p w:rsidR="009B07B2" w:rsidRPr="009B07B2" w:rsidRDefault="009B07B2" w:rsidP="00832F58">
            <w:pPr>
              <w:pStyle w:val="TableText0"/>
              <w:keepNext w:val="0"/>
              <w:contextualSpacing/>
              <w:jc w:val="center"/>
            </w:pPr>
            <w:r w:rsidRPr="009B07B2">
              <w:t>That switching does not confound OS</w:t>
            </w:r>
          </w:p>
        </w:tc>
        <w:tc>
          <w:tcPr>
            <w:tcW w:w="772" w:type="pct"/>
            <w:vMerge w:val="restart"/>
            <w:shd w:val="clear" w:color="auto" w:fill="auto"/>
            <w:vAlign w:val="center"/>
          </w:tcPr>
          <w:p w:rsidR="009B07B2" w:rsidRPr="009B07B2" w:rsidRDefault="009B07B2" w:rsidP="00832F58">
            <w:pPr>
              <w:pStyle w:val="TableText0"/>
              <w:keepNext w:val="0"/>
              <w:contextualSpacing/>
              <w:jc w:val="center"/>
            </w:pPr>
            <w:r w:rsidRPr="009B07B2">
              <w:t>0.60</w:t>
            </w:r>
            <w:r w:rsidRPr="009B07B2">
              <w:br/>
              <w:t>(0.41, 0.89)</w:t>
            </w:r>
          </w:p>
        </w:tc>
        <w:tc>
          <w:tcPr>
            <w:tcW w:w="1274" w:type="pct"/>
            <w:shd w:val="clear" w:color="auto" w:fill="auto"/>
            <w:vAlign w:val="center"/>
          </w:tcPr>
          <w:p w:rsidR="009B07B2" w:rsidRPr="00832F58" w:rsidRDefault="009B07B2" w:rsidP="00832F58">
            <w:pPr>
              <w:pStyle w:val="TableText0"/>
              <w:keepNext w:val="0"/>
              <w:contextualSpacing/>
              <w:jc w:val="center"/>
            </w:pPr>
            <w:r w:rsidRPr="00832F58">
              <w:t>Yes</w:t>
            </w:r>
          </w:p>
        </w:tc>
        <w:tc>
          <w:tcPr>
            <w:tcW w:w="823" w:type="pct"/>
            <w:vAlign w:val="center"/>
          </w:tcPr>
          <w:p w:rsidR="009B07B2" w:rsidRPr="00440AD0" w:rsidRDefault="009B07B2" w:rsidP="00832F58">
            <w:pPr>
              <w:pStyle w:val="TableText0"/>
              <w:keepNext w:val="0"/>
              <w:contextualSpacing/>
              <w:jc w:val="center"/>
            </w:pPr>
            <w:r w:rsidRPr="00440AD0">
              <w:t>$</w:t>
            </w:r>
            <w:r w:rsidR="00DF3DBC">
              <w:rPr>
                <w:noProof/>
                <w:color w:val="000000"/>
                <w:highlight w:val="black"/>
              </w:rPr>
              <w:t>'''''''''''''''''</w:t>
            </w:r>
            <w:r w:rsidRPr="00440AD0">
              <w:rPr>
                <w:vertAlign w:val="superscript"/>
              </w:rPr>
              <w:t>a</w:t>
            </w:r>
          </w:p>
        </w:tc>
      </w:tr>
      <w:tr w:rsidR="009B07B2" w:rsidRPr="009B07B2" w:rsidTr="00832F58">
        <w:trPr>
          <w:cantSplit/>
          <w:trHeight w:val="20"/>
        </w:trPr>
        <w:tc>
          <w:tcPr>
            <w:tcW w:w="902" w:type="pct"/>
            <w:vMerge/>
            <w:shd w:val="clear" w:color="auto" w:fill="auto"/>
            <w:vAlign w:val="center"/>
          </w:tcPr>
          <w:p w:rsidR="009B07B2" w:rsidRPr="009B07B2" w:rsidRDefault="009B07B2" w:rsidP="00832F58">
            <w:pPr>
              <w:pStyle w:val="TableText0"/>
              <w:keepNext w:val="0"/>
              <w:contextualSpacing/>
              <w:jc w:val="left"/>
            </w:pPr>
          </w:p>
        </w:tc>
        <w:tc>
          <w:tcPr>
            <w:tcW w:w="1229" w:type="pct"/>
            <w:vMerge/>
            <w:vAlign w:val="center"/>
          </w:tcPr>
          <w:p w:rsidR="009B07B2" w:rsidRPr="009B07B2" w:rsidRDefault="009B07B2" w:rsidP="00832F58">
            <w:pPr>
              <w:pStyle w:val="TableText0"/>
              <w:keepNext w:val="0"/>
              <w:contextualSpacing/>
              <w:jc w:val="center"/>
            </w:pPr>
          </w:p>
        </w:tc>
        <w:tc>
          <w:tcPr>
            <w:tcW w:w="772" w:type="pct"/>
            <w:vMerge/>
            <w:shd w:val="clear" w:color="auto" w:fill="auto"/>
            <w:vAlign w:val="center"/>
          </w:tcPr>
          <w:p w:rsidR="009B07B2" w:rsidRPr="009B07B2" w:rsidRDefault="009B07B2" w:rsidP="00832F58">
            <w:pPr>
              <w:pStyle w:val="TableText0"/>
              <w:keepNext w:val="0"/>
              <w:contextualSpacing/>
              <w:jc w:val="center"/>
            </w:pPr>
          </w:p>
        </w:tc>
        <w:tc>
          <w:tcPr>
            <w:tcW w:w="1274" w:type="pct"/>
            <w:shd w:val="clear" w:color="auto" w:fill="auto"/>
            <w:vAlign w:val="center"/>
          </w:tcPr>
          <w:p w:rsidR="009B07B2" w:rsidRPr="00832F58" w:rsidRDefault="009B07B2" w:rsidP="00832F58">
            <w:pPr>
              <w:pStyle w:val="TableText0"/>
              <w:keepNext w:val="0"/>
              <w:contextualSpacing/>
              <w:jc w:val="center"/>
            </w:pPr>
            <w:r w:rsidRPr="00832F58">
              <w:t>No</w:t>
            </w:r>
          </w:p>
        </w:tc>
        <w:tc>
          <w:tcPr>
            <w:tcW w:w="823" w:type="pct"/>
            <w:vAlign w:val="center"/>
          </w:tcPr>
          <w:p w:rsidR="009B07B2" w:rsidRPr="00440AD0" w:rsidRDefault="009B07B2" w:rsidP="00832F58">
            <w:pPr>
              <w:pStyle w:val="TableText0"/>
              <w:keepNext w:val="0"/>
              <w:contextualSpacing/>
              <w:jc w:val="center"/>
            </w:pPr>
            <w:r w:rsidRPr="00440AD0">
              <w:t>$</w:t>
            </w:r>
            <w:r w:rsidR="00DF3DBC">
              <w:rPr>
                <w:noProof/>
                <w:color w:val="000000"/>
                <w:highlight w:val="black"/>
              </w:rPr>
              <w:t>''''''''''''''''</w:t>
            </w:r>
            <w:r w:rsidRPr="00440AD0">
              <w:rPr>
                <w:vertAlign w:val="superscript"/>
              </w:rPr>
              <w:t>a</w:t>
            </w:r>
          </w:p>
        </w:tc>
      </w:tr>
      <w:tr w:rsidR="009B07B2" w:rsidRPr="009B07B2" w:rsidTr="00832F58">
        <w:trPr>
          <w:cantSplit/>
          <w:trHeight w:val="20"/>
        </w:trPr>
        <w:tc>
          <w:tcPr>
            <w:tcW w:w="902" w:type="pct"/>
            <w:shd w:val="clear" w:color="auto" w:fill="auto"/>
            <w:vAlign w:val="center"/>
          </w:tcPr>
          <w:p w:rsidR="009B07B2" w:rsidRPr="009B07B2" w:rsidRDefault="009B07B2" w:rsidP="004353D5">
            <w:pPr>
              <w:pStyle w:val="TableText0"/>
              <w:keepNext w:val="0"/>
              <w:contextualSpacing/>
              <w:jc w:val="left"/>
            </w:pPr>
            <w:r w:rsidRPr="009B07B2">
              <w:t>Simplified two-stage</w:t>
            </w:r>
          </w:p>
        </w:tc>
        <w:tc>
          <w:tcPr>
            <w:tcW w:w="1229" w:type="pct"/>
            <w:vAlign w:val="center"/>
          </w:tcPr>
          <w:p w:rsidR="009B07B2" w:rsidRPr="009B07B2" w:rsidRDefault="009B07B2" w:rsidP="00832F58">
            <w:pPr>
              <w:pStyle w:val="TableText0"/>
              <w:keepNext w:val="0"/>
              <w:contextualSpacing/>
              <w:jc w:val="center"/>
            </w:pPr>
            <w:r w:rsidRPr="009B07B2">
              <w:t>No unmeasured confounders</w:t>
            </w:r>
          </w:p>
        </w:tc>
        <w:tc>
          <w:tcPr>
            <w:tcW w:w="772" w:type="pct"/>
            <w:shd w:val="clear" w:color="auto" w:fill="auto"/>
            <w:vAlign w:val="center"/>
          </w:tcPr>
          <w:p w:rsidR="009B07B2" w:rsidRPr="009B07B2" w:rsidRDefault="009B07B2" w:rsidP="00832F58">
            <w:pPr>
              <w:pStyle w:val="TableText0"/>
              <w:keepNext w:val="0"/>
              <w:contextualSpacing/>
              <w:jc w:val="center"/>
            </w:pPr>
            <w:r w:rsidRPr="009B07B2">
              <w:t>0.50</w:t>
            </w:r>
            <w:r w:rsidRPr="009B07B2">
              <w:br/>
              <w:t>(0.34, 0.76)</w:t>
            </w:r>
          </w:p>
        </w:tc>
        <w:tc>
          <w:tcPr>
            <w:tcW w:w="1274" w:type="pct"/>
            <w:shd w:val="clear" w:color="auto" w:fill="auto"/>
            <w:vAlign w:val="center"/>
          </w:tcPr>
          <w:p w:rsidR="009B07B2" w:rsidRPr="009B07B2" w:rsidRDefault="009B07B2" w:rsidP="00832F58">
            <w:pPr>
              <w:pStyle w:val="TableText0"/>
              <w:keepNext w:val="0"/>
              <w:contextualSpacing/>
              <w:jc w:val="center"/>
            </w:pPr>
            <w:r w:rsidRPr="009B07B2">
              <w:t>No</w:t>
            </w:r>
          </w:p>
        </w:tc>
        <w:tc>
          <w:tcPr>
            <w:tcW w:w="823" w:type="pct"/>
            <w:vAlign w:val="center"/>
          </w:tcPr>
          <w:p w:rsidR="009B07B2" w:rsidRPr="00440AD0" w:rsidRDefault="009B07B2" w:rsidP="00832F58">
            <w:pPr>
              <w:pStyle w:val="TableText0"/>
              <w:keepNext w:val="0"/>
              <w:contextualSpacing/>
              <w:jc w:val="center"/>
            </w:pPr>
            <w:r w:rsidRPr="00440AD0">
              <w:t>$</w:t>
            </w:r>
            <w:r w:rsidR="00DF3DBC">
              <w:rPr>
                <w:noProof/>
                <w:color w:val="000000"/>
                <w:highlight w:val="black"/>
              </w:rPr>
              <w:t>'''''''''''''''''</w:t>
            </w:r>
          </w:p>
        </w:tc>
      </w:tr>
      <w:tr w:rsidR="009B07B2" w:rsidRPr="009B07B2" w:rsidTr="00832F58">
        <w:trPr>
          <w:cantSplit/>
          <w:trHeight w:val="20"/>
        </w:trPr>
        <w:tc>
          <w:tcPr>
            <w:tcW w:w="902" w:type="pct"/>
            <w:tcBorders>
              <w:bottom w:val="single" w:sz="4" w:space="0" w:color="auto"/>
            </w:tcBorders>
            <w:shd w:val="clear" w:color="auto" w:fill="auto"/>
            <w:vAlign w:val="center"/>
          </w:tcPr>
          <w:p w:rsidR="009B07B2" w:rsidRPr="009B07B2" w:rsidRDefault="009B07B2" w:rsidP="00832F58">
            <w:pPr>
              <w:pStyle w:val="TableText0"/>
              <w:keepNext w:val="0"/>
              <w:contextualSpacing/>
              <w:jc w:val="left"/>
            </w:pPr>
            <w:r w:rsidRPr="009B07B2">
              <w:t>RPSFT</w:t>
            </w:r>
          </w:p>
        </w:tc>
        <w:tc>
          <w:tcPr>
            <w:tcW w:w="1229" w:type="pct"/>
            <w:tcBorders>
              <w:bottom w:val="single" w:sz="4" w:space="0" w:color="auto"/>
            </w:tcBorders>
            <w:vAlign w:val="center"/>
          </w:tcPr>
          <w:p w:rsidR="009B07B2" w:rsidRPr="009B07B2" w:rsidRDefault="009B07B2" w:rsidP="00832F58">
            <w:pPr>
              <w:pStyle w:val="TableText0"/>
              <w:keepNext w:val="0"/>
              <w:contextualSpacing/>
              <w:jc w:val="center"/>
            </w:pPr>
            <w:r w:rsidRPr="009B07B2">
              <w:t>Common treatment effect</w:t>
            </w:r>
          </w:p>
        </w:tc>
        <w:tc>
          <w:tcPr>
            <w:tcW w:w="772" w:type="pct"/>
            <w:tcBorders>
              <w:bottom w:val="single" w:sz="4" w:space="0" w:color="auto"/>
            </w:tcBorders>
            <w:shd w:val="clear" w:color="auto" w:fill="auto"/>
            <w:vAlign w:val="center"/>
          </w:tcPr>
          <w:p w:rsidR="009B07B2" w:rsidRPr="009B07B2" w:rsidRDefault="009B07B2" w:rsidP="00832F58">
            <w:pPr>
              <w:pStyle w:val="TableText0"/>
              <w:keepNext w:val="0"/>
              <w:contextualSpacing/>
              <w:jc w:val="center"/>
            </w:pPr>
            <w:r w:rsidRPr="009B07B2">
              <w:t>0.57</w:t>
            </w:r>
            <w:r w:rsidRPr="009B07B2">
              <w:br/>
              <w:t>(0.32, 0.86)</w:t>
            </w:r>
          </w:p>
        </w:tc>
        <w:tc>
          <w:tcPr>
            <w:tcW w:w="1274" w:type="pct"/>
            <w:tcBorders>
              <w:bottom w:val="single" w:sz="4" w:space="0" w:color="auto"/>
            </w:tcBorders>
            <w:shd w:val="clear" w:color="auto" w:fill="auto"/>
            <w:vAlign w:val="center"/>
          </w:tcPr>
          <w:p w:rsidR="009B07B2" w:rsidRPr="00832F58" w:rsidRDefault="009B07B2" w:rsidP="00832F58">
            <w:pPr>
              <w:pStyle w:val="TableText0"/>
              <w:contextualSpacing/>
              <w:jc w:val="center"/>
            </w:pPr>
            <w:r w:rsidRPr="00832F58">
              <w:t>No</w:t>
            </w:r>
          </w:p>
        </w:tc>
        <w:tc>
          <w:tcPr>
            <w:tcW w:w="823" w:type="pct"/>
            <w:tcBorders>
              <w:bottom w:val="single" w:sz="4" w:space="0" w:color="auto"/>
            </w:tcBorders>
            <w:vAlign w:val="center"/>
          </w:tcPr>
          <w:p w:rsidR="009B07B2" w:rsidRPr="00440AD0" w:rsidRDefault="009B07B2" w:rsidP="00832F58">
            <w:pPr>
              <w:pStyle w:val="TableText0"/>
              <w:keepNext w:val="0"/>
              <w:contextualSpacing/>
              <w:jc w:val="center"/>
            </w:pPr>
            <w:r w:rsidRPr="00440AD0">
              <w:t>$</w:t>
            </w:r>
            <w:r w:rsidR="00DF3DBC">
              <w:rPr>
                <w:noProof/>
                <w:color w:val="000000"/>
                <w:highlight w:val="black"/>
              </w:rPr>
              <w:t>''''''''''''''''</w:t>
            </w:r>
          </w:p>
        </w:tc>
      </w:tr>
      <w:tr w:rsidR="009B07B2" w:rsidRPr="009B07B2" w:rsidTr="00832F58">
        <w:trPr>
          <w:cantSplit/>
          <w:trHeight w:val="20"/>
        </w:trPr>
        <w:tc>
          <w:tcPr>
            <w:tcW w:w="902" w:type="pct"/>
            <w:tcBorders>
              <w:bottom w:val="single" w:sz="4" w:space="0" w:color="auto"/>
            </w:tcBorders>
            <w:shd w:val="clear" w:color="auto" w:fill="auto"/>
            <w:vAlign w:val="center"/>
          </w:tcPr>
          <w:p w:rsidR="009B07B2" w:rsidRPr="009B07B2" w:rsidRDefault="009B07B2" w:rsidP="00832F58">
            <w:pPr>
              <w:pStyle w:val="TableText0"/>
              <w:keepNext w:val="0"/>
              <w:contextualSpacing/>
              <w:jc w:val="left"/>
            </w:pPr>
            <w:r w:rsidRPr="009B07B2">
              <w:t>IPCW</w:t>
            </w:r>
          </w:p>
        </w:tc>
        <w:tc>
          <w:tcPr>
            <w:tcW w:w="1229" w:type="pct"/>
            <w:tcBorders>
              <w:bottom w:val="single" w:sz="4" w:space="0" w:color="auto"/>
            </w:tcBorders>
            <w:vAlign w:val="center"/>
          </w:tcPr>
          <w:p w:rsidR="009B07B2" w:rsidRPr="009B07B2" w:rsidRDefault="009B07B2" w:rsidP="00832F58">
            <w:pPr>
              <w:pStyle w:val="TableText0"/>
              <w:keepNext w:val="0"/>
              <w:contextualSpacing/>
              <w:jc w:val="center"/>
            </w:pPr>
            <w:r w:rsidRPr="009B07B2">
              <w:t>No unmeasured confounders</w:t>
            </w:r>
          </w:p>
        </w:tc>
        <w:tc>
          <w:tcPr>
            <w:tcW w:w="772" w:type="pct"/>
            <w:tcBorders>
              <w:bottom w:val="single" w:sz="4" w:space="0" w:color="auto"/>
            </w:tcBorders>
            <w:shd w:val="clear" w:color="auto" w:fill="auto"/>
            <w:vAlign w:val="center"/>
          </w:tcPr>
          <w:p w:rsidR="009B07B2" w:rsidRPr="009B07B2" w:rsidRDefault="009B07B2" w:rsidP="00832F58">
            <w:pPr>
              <w:pStyle w:val="TableText0"/>
              <w:keepNext w:val="0"/>
              <w:contextualSpacing/>
              <w:jc w:val="center"/>
            </w:pPr>
            <w:r w:rsidRPr="009B07B2">
              <w:t>0.55</w:t>
            </w:r>
            <w:r w:rsidRPr="009B07B2">
              <w:br/>
              <w:t>(0.34, 0.87)</w:t>
            </w:r>
          </w:p>
        </w:tc>
        <w:tc>
          <w:tcPr>
            <w:tcW w:w="1274" w:type="pct"/>
            <w:tcBorders>
              <w:bottom w:val="single" w:sz="4" w:space="0" w:color="auto"/>
            </w:tcBorders>
            <w:shd w:val="clear" w:color="auto" w:fill="auto"/>
            <w:vAlign w:val="center"/>
          </w:tcPr>
          <w:p w:rsidR="009B07B2" w:rsidRPr="00832F58" w:rsidRDefault="009B07B2" w:rsidP="00832F58">
            <w:pPr>
              <w:pStyle w:val="TableText0"/>
              <w:contextualSpacing/>
              <w:jc w:val="center"/>
            </w:pPr>
            <w:r w:rsidRPr="00832F58">
              <w:t>No</w:t>
            </w:r>
          </w:p>
        </w:tc>
        <w:tc>
          <w:tcPr>
            <w:tcW w:w="823" w:type="pct"/>
            <w:tcBorders>
              <w:bottom w:val="single" w:sz="4" w:space="0" w:color="auto"/>
            </w:tcBorders>
            <w:vAlign w:val="center"/>
          </w:tcPr>
          <w:p w:rsidR="009B07B2" w:rsidRPr="00440AD0" w:rsidRDefault="009B07B2" w:rsidP="00832F58">
            <w:pPr>
              <w:pStyle w:val="TableText0"/>
              <w:keepNext w:val="0"/>
              <w:contextualSpacing/>
              <w:jc w:val="center"/>
            </w:pPr>
            <w:r w:rsidRPr="00440AD0">
              <w:t>$</w:t>
            </w:r>
            <w:r w:rsidR="00DF3DBC">
              <w:rPr>
                <w:noProof/>
                <w:color w:val="000000"/>
                <w:highlight w:val="black"/>
              </w:rPr>
              <w:t>'''''''''''''''</w:t>
            </w:r>
            <w:r w:rsidRPr="00440AD0">
              <w:rPr>
                <w:vertAlign w:val="superscript"/>
              </w:rPr>
              <w:t>b</w:t>
            </w:r>
          </w:p>
        </w:tc>
      </w:tr>
    </w:tbl>
    <w:p w:rsidR="00D60C4D" w:rsidRPr="009B07B2" w:rsidRDefault="00440AD0" w:rsidP="00D60C4D">
      <w:pPr>
        <w:pStyle w:val="TableFooter"/>
      </w:pPr>
      <w:r w:rsidRPr="00440AD0">
        <w:t xml:space="preserve">ICER results were generated </w:t>
      </w:r>
      <w:r w:rsidR="004353D5" w:rsidRPr="00440AD0">
        <w:t>during the evaluation.</w:t>
      </w:r>
    </w:p>
    <w:p w:rsidR="003D6EC7" w:rsidRPr="009B07B2" w:rsidRDefault="00D60C4D" w:rsidP="003D6EC7">
      <w:pPr>
        <w:pStyle w:val="TableFooter"/>
      </w:pPr>
      <w:r w:rsidRPr="009B07B2">
        <w:t>CI = confidence interval; HR = hazard ratio; ICER = incremental cost effectiveness ratio; IPCW = inverse probability of censoring weights; ITT = intention-to-treat; OS = overall survival; RPSFT = rank preserving structural failure time method.</w:t>
      </w:r>
    </w:p>
    <w:p w:rsidR="003D6EC7" w:rsidRPr="00832F58" w:rsidRDefault="003D6EC7" w:rsidP="003D6EC7">
      <w:pPr>
        <w:pStyle w:val="TableFooter"/>
      </w:pPr>
      <w:proofErr w:type="gramStart"/>
      <w:r w:rsidRPr="00832F58">
        <w:rPr>
          <w:vertAlign w:val="superscript"/>
        </w:rPr>
        <w:t>a</w:t>
      </w:r>
      <w:proofErr w:type="gramEnd"/>
      <w:r w:rsidRPr="009B07B2">
        <w:t xml:space="preserve"> </w:t>
      </w:r>
      <w:r w:rsidRPr="00832F58">
        <w:t>Analysis was corrected during the evaluation as Kaplan-M</w:t>
      </w:r>
      <w:r w:rsidR="00A666D9">
        <w:t>eier data used in the PSCR</w:t>
      </w:r>
      <w:r w:rsidRPr="00832F58">
        <w:t>’s</w:t>
      </w:r>
      <w:r w:rsidR="00A666D9">
        <w:t xml:space="preserve"> ITT</w:t>
      </w:r>
      <w:r w:rsidR="00E8263F">
        <w:t xml:space="preserve"> analysis </w:t>
      </w:r>
      <w:r w:rsidRPr="00832F58">
        <w:t>used Kaplan-Meier data that had been adjusted using the two-stage approach.</w:t>
      </w:r>
    </w:p>
    <w:p w:rsidR="003D6EC7" w:rsidRPr="00832F58" w:rsidRDefault="003D6EC7" w:rsidP="003D6EC7">
      <w:pPr>
        <w:pStyle w:val="TableFooter"/>
      </w:pPr>
      <w:proofErr w:type="gramStart"/>
      <w:r w:rsidRPr="00832F58">
        <w:rPr>
          <w:vertAlign w:val="superscript"/>
        </w:rPr>
        <w:t>b</w:t>
      </w:r>
      <w:proofErr w:type="gramEnd"/>
      <w:r w:rsidRPr="00832F58">
        <w:t xml:space="preserve"> Relative to the </w:t>
      </w:r>
      <w:r w:rsidR="00F53250" w:rsidRPr="00832F58">
        <w:t>RPSFT</w:t>
      </w:r>
      <w:r w:rsidRPr="00832F58">
        <w:t xml:space="preserve"> method, a less favourable ICER is observed with the IPCW which is not consistent with the relative HRs. This is due to the time point selected from which to extrapolate (week 25). At week 25, the Kaplan-Meier curve adjusted using the IPCW is above that adjusted using the RPSFT method. As the extrapolated curves do not appear to cross, improved survival is observed in the IPCW adjusted analysis, relative to the RPSFT adjusted analysis.</w:t>
      </w:r>
    </w:p>
    <w:p w:rsidR="003D6EC7" w:rsidRPr="00716E75" w:rsidRDefault="003D6EC7" w:rsidP="003D6EC7">
      <w:pPr>
        <w:pStyle w:val="TableFooter"/>
      </w:pPr>
      <w:r w:rsidRPr="009B07B2">
        <w:t xml:space="preserve">Source: </w:t>
      </w:r>
      <w:r w:rsidRPr="00832F58">
        <w:t xml:space="preserve">Constructed during the evaluation from </w:t>
      </w:r>
      <w:r w:rsidRPr="009B07B2">
        <w:t>FINAL_Pembrolizumab Section D Workbook 1L NSCLC Australia.xlsm</w:t>
      </w:r>
      <w:r w:rsidRPr="00716E75">
        <w:t xml:space="preserve"> of the submission.</w:t>
      </w:r>
    </w:p>
    <w:p w:rsidR="0095055D" w:rsidRDefault="0095055D" w:rsidP="00C71CDD">
      <w:pPr>
        <w:rPr>
          <w:rFonts w:ascii="Arial" w:hAnsi="Arial" w:cs="Arial"/>
          <w:sz w:val="22"/>
          <w:szCs w:val="22"/>
        </w:rPr>
      </w:pPr>
    </w:p>
    <w:p w:rsidR="00B367D3" w:rsidRDefault="00B367D3" w:rsidP="00AA2FD0">
      <w:pPr>
        <w:rPr>
          <w:rFonts w:ascii="Arial" w:hAnsi="Arial" w:cs="Arial"/>
          <w:sz w:val="22"/>
          <w:szCs w:val="22"/>
        </w:rPr>
      </w:pPr>
      <w:r>
        <w:rPr>
          <w:rFonts w:ascii="Arial" w:hAnsi="Arial" w:cs="Arial"/>
          <w:sz w:val="22"/>
          <w:szCs w:val="22"/>
        </w:rPr>
        <w:t>The redacted table shows ICERs in the range of $45,000/QALY - $75,000/QALY to $75,000/QALY - $105,000/QALY.</w:t>
      </w:r>
    </w:p>
    <w:p w:rsidR="00B367D3" w:rsidRPr="007B14F5" w:rsidRDefault="00B367D3" w:rsidP="00C71CDD">
      <w:pPr>
        <w:rPr>
          <w:rFonts w:ascii="Arial" w:hAnsi="Arial" w:cs="Arial"/>
          <w:sz w:val="22"/>
          <w:szCs w:val="22"/>
        </w:rPr>
      </w:pPr>
    </w:p>
    <w:p w:rsidR="00B1633E" w:rsidRPr="00440AD0" w:rsidRDefault="00B1633E" w:rsidP="00217726">
      <w:pPr>
        <w:pStyle w:val="ListParagraph"/>
        <w:numPr>
          <w:ilvl w:val="1"/>
          <w:numId w:val="4"/>
        </w:numPr>
        <w:ind w:left="720"/>
        <w:rPr>
          <w:rFonts w:ascii="Arial" w:hAnsi="Arial" w:cs="Arial"/>
          <w:sz w:val="22"/>
          <w:szCs w:val="22"/>
        </w:rPr>
      </w:pPr>
      <w:r w:rsidRPr="00440AD0">
        <w:rPr>
          <w:rFonts w:ascii="Arial" w:hAnsi="Arial" w:cs="Arial"/>
          <w:sz w:val="22"/>
          <w:szCs w:val="22"/>
        </w:rPr>
        <w:t xml:space="preserve">The results of the key sensitivity analyses </w:t>
      </w:r>
      <w:r w:rsidR="009B07B2" w:rsidRPr="00440AD0">
        <w:rPr>
          <w:rFonts w:ascii="Arial" w:hAnsi="Arial" w:cs="Arial"/>
          <w:sz w:val="22"/>
          <w:szCs w:val="22"/>
        </w:rPr>
        <w:t xml:space="preserve">based on changes presented in the PSCR </w:t>
      </w:r>
      <w:r w:rsidRPr="00440AD0">
        <w:rPr>
          <w:rFonts w:ascii="Arial" w:hAnsi="Arial" w:cs="Arial"/>
          <w:sz w:val="22"/>
          <w:szCs w:val="22"/>
        </w:rPr>
        <w:t xml:space="preserve">are presented in Table </w:t>
      </w:r>
      <w:r w:rsidR="00C42417" w:rsidRPr="00440AD0">
        <w:rPr>
          <w:rFonts w:ascii="Arial" w:hAnsi="Arial" w:cs="Arial"/>
          <w:sz w:val="22"/>
          <w:szCs w:val="22"/>
        </w:rPr>
        <w:t>1</w:t>
      </w:r>
      <w:r w:rsidR="00100B90" w:rsidRPr="00440AD0">
        <w:rPr>
          <w:rFonts w:ascii="Arial" w:hAnsi="Arial" w:cs="Arial"/>
          <w:sz w:val="22"/>
          <w:szCs w:val="22"/>
        </w:rPr>
        <w:t>7</w:t>
      </w:r>
      <w:r w:rsidRPr="00440AD0">
        <w:rPr>
          <w:rFonts w:ascii="Arial" w:hAnsi="Arial" w:cs="Arial"/>
          <w:sz w:val="22"/>
          <w:szCs w:val="22"/>
        </w:rPr>
        <w:t>.</w:t>
      </w:r>
    </w:p>
    <w:p w:rsidR="00B1633E" w:rsidRPr="00077820" w:rsidRDefault="00B1633E" w:rsidP="00B1633E">
      <w:pPr>
        <w:rPr>
          <w:rFonts w:ascii="Arial" w:hAnsi="Arial" w:cs="Arial"/>
          <w:sz w:val="22"/>
          <w:szCs w:val="22"/>
        </w:rPr>
      </w:pPr>
    </w:p>
    <w:p w:rsidR="00AA2FD0" w:rsidRDefault="00AA2FD0">
      <w:pPr>
        <w:jc w:val="left"/>
        <w:rPr>
          <w:rFonts w:ascii="Arial Narrow" w:eastAsia="SimSun" w:hAnsi="Arial Narrow" w:cs="Arial"/>
          <w:b/>
          <w:sz w:val="20"/>
          <w:szCs w:val="20"/>
          <w:lang w:eastAsia="en-AU" w:bidi="en-US"/>
        </w:rPr>
      </w:pPr>
      <w:r>
        <w:br w:type="page"/>
      </w:r>
    </w:p>
    <w:p w:rsidR="0095055D" w:rsidRPr="003D6EC7" w:rsidRDefault="0095055D" w:rsidP="00C71CDD">
      <w:pPr>
        <w:pStyle w:val="TableHeading0"/>
      </w:pPr>
      <w:r w:rsidRPr="003D6EC7">
        <w:lastRenderedPageBreak/>
        <w:t xml:space="preserve">Table </w:t>
      </w:r>
      <w:r w:rsidR="00C42417">
        <w:t>1</w:t>
      </w:r>
      <w:r w:rsidR="00100B90">
        <w:t>7</w:t>
      </w:r>
      <w:r w:rsidRPr="003D6EC7">
        <w:t>: Results of key sensitivity analyses</w:t>
      </w: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312"/>
        <w:gridCol w:w="143"/>
        <w:gridCol w:w="4501"/>
        <w:gridCol w:w="1075"/>
        <w:gridCol w:w="1158"/>
        <w:gridCol w:w="1021"/>
        <w:gridCol w:w="935"/>
      </w:tblGrid>
      <w:tr w:rsidR="00CE43B1" w:rsidRPr="008241D4" w:rsidTr="00E82D0A">
        <w:trPr>
          <w:cantSplit/>
          <w:tblHeader/>
        </w:trPr>
        <w:tc>
          <w:tcPr>
            <w:tcW w:w="2709" w:type="pct"/>
            <w:gridSpan w:val="3"/>
            <w:tcBorders>
              <w:top w:val="single" w:sz="4" w:space="0" w:color="auto"/>
              <w:left w:val="single" w:sz="4" w:space="0" w:color="auto"/>
              <w:bottom w:val="single" w:sz="4" w:space="0" w:color="auto"/>
              <w:right w:val="single" w:sz="4" w:space="0" w:color="auto"/>
            </w:tcBorders>
          </w:tcPr>
          <w:p w:rsidR="00CE43B1" w:rsidRPr="002B0480" w:rsidRDefault="00CE43B1" w:rsidP="00832F58">
            <w:pPr>
              <w:pStyle w:val="TableText0"/>
              <w:contextualSpacing/>
              <w:jc w:val="left"/>
              <w:rPr>
                <w:b/>
              </w:rPr>
            </w:pPr>
          </w:p>
        </w:tc>
        <w:tc>
          <w:tcPr>
            <w:tcW w:w="588" w:type="pct"/>
            <w:tcBorders>
              <w:top w:val="single" w:sz="4" w:space="0" w:color="auto"/>
              <w:left w:val="single" w:sz="4" w:space="0" w:color="auto"/>
              <w:bottom w:val="single" w:sz="4" w:space="0" w:color="auto"/>
              <w:right w:val="single" w:sz="4" w:space="0" w:color="auto"/>
            </w:tcBorders>
            <w:vAlign w:val="center"/>
          </w:tcPr>
          <w:p w:rsidR="00CE43B1" w:rsidRPr="002B0480" w:rsidRDefault="00CE43B1" w:rsidP="00832F58">
            <w:pPr>
              <w:pStyle w:val="TableText0"/>
              <w:contextualSpacing/>
              <w:jc w:val="center"/>
              <w:rPr>
                <w:b/>
              </w:rPr>
            </w:pPr>
            <w:r w:rsidRPr="002B0480">
              <w:rPr>
                <w:b/>
              </w:rPr>
              <w:t>Incremental costs</w:t>
            </w:r>
          </w:p>
        </w:tc>
        <w:tc>
          <w:tcPr>
            <w:tcW w:w="633" w:type="pct"/>
            <w:tcBorders>
              <w:top w:val="single" w:sz="4" w:space="0" w:color="auto"/>
              <w:left w:val="single" w:sz="4" w:space="0" w:color="auto"/>
              <w:bottom w:val="single" w:sz="4" w:space="0" w:color="auto"/>
              <w:right w:val="single" w:sz="4" w:space="0" w:color="auto"/>
            </w:tcBorders>
            <w:vAlign w:val="center"/>
          </w:tcPr>
          <w:p w:rsidR="00CE43B1" w:rsidRPr="002B0480" w:rsidRDefault="00CE43B1" w:rsidP="00832F58">
            <w:pPr>
              <w:pStyle w:val="TableText0"/>
              <w:contextualSpacing/>
              <w:jc w:val="center"/>
              <w:rPr>
                <w:b/>
              </w:rPr>
            </w:pPr>
            <w:r w:rsidRPr="002B0480">
              <w:rPr>
                <w:b/>
              </w:rPr>
              <w:t>Incremental QALYs</w:t>
            </w:r>
          </w:p>
        </w:tc>
        <w:tc>
          <w:tcPr>
            <w:tcW w:w="558" w:type="pct"/>
            <w:tcBorders>
              <w:top w:val="single" w:sz="4" w:space="0" w:color="auto"/>
              <w:left w:val="single" w:sz="4" w:space="0" w:color="auto"/>
              <w:bottom w:val="single" w:sz="4" w:space="0" w:color="auto"/>
              <w:right w:val="single" w:sz="4" w:space="0" w:color="auto"/>
            </w:tcBorders>
            <w:vAlign w:val="center"/>
          </w:tcPr>
          <w:p w:rsidR="00CE43B1" w:rsidRPr="002B0480" w:rsidRDefault="00CE43B1" w:rsidP="00832F58">
            <w:pPr>
              <w:pStyle w:val="TableText0"/>
              <w:contextualSpacing/>
              <w:jc w:val="center"/>
              <w:rPr>
                <w:b/>
              </w:rPr>
            </w:pPr>
            <w:r w:rsidRPr="002B0480">
              <w:rPr>
                <w:b/>
              </w:rPr>
              <w:t>ICER</w:t>
            </w:r>
          </w:p>
        </w:tc>
        <w:tc>
          <w:tcPr>
            <w:tcW w:w="512" w:type="pct"/>
            <w:tcBorders>
              <w:top w:val="single" w:sz="4" w:space="0" w:color="auto"/>
              <w:left w:val="single" w:sz="4" w:space="0" w:color="auto"/>
              <w:bottom w:val="single" w:sz="4" w:space="0" w:color="auto"/>
              <w:right w:val="single" w:sz="4" w:space="0" w:color="auto"/>
            </w:tcBorders>
            <w:vAlign w:val="center"/>
          </w:tcPr>
          <w:p w:rsidR="00CE43B1" w:rsidRPr="002B0480" w:rsidRDefault="00CE43B1" w:rsidP="00832F58">
            <w:pPr>
              <w:pStyle w:val="TableText0"/>
              <w:contextualSpacing/>
              <w:jc w:val="left"/>
              <w:rPr>
                <w:b/>
              </w:rPr>
            </w:pPr>
            <w:r w:rsidRPr="002B0480">
              <w:rPr>
                <w:b/>
              </w:rPr>
              <w:t>% change</w:t>
            </w:r>
            <w:r w:rsidR="009B07B2" w:rsidRPr="002B0480">
              <w:rPr>
                <w:b/>
              </w:rPr>
              <w:t xml:space="preserve"> from PSCR base case</w:t>
            </w:r>
          </w:p>
        </w:tc>
      </w:tr>
      <w:tr w:rsidR="009B07B2" w:rsidRPr="008241D4" w:rsidTr="00E82D0A">
        <w:trPr>
          <w:cantSplit/>
          <w:tblHeader/>
        </w:trPr>
        <w:tc>
          <w:tcPr>
            <w:tcW w:w="2709" w:type="pct"/>
            <w:gridSpan w:val="3"/>
            <w:tcBorders>
              <w:top w:val="single" w:sz="4" w:space="0" w:color="auto"/>
              <w:left w:val="single" w:sz="4" w:space="0" w:color="auto"/>
              <w:bottom w:val="single" w:sz="4" w:space="0" w:color="auto"/>
              <w:right w:val="single" w:sz="4" w:space="0" w:color="auto"/>
            </w:tcBorders>
          </w:tcPr>
          <w:p w:rsidR="009B07B2" w:rsidRPr="002B0480" w:rsidRDefault="009B07B2" w:rsidP="00832F58">
            <w:pPr>
              <w:pStyle w:val="TableText0"/>
              <w:contextualSpacing/>
              <w:rPr>
                <w:b/>
              </w:rPr>
            </w:pPr>
            <w:r w:rsidRPr="002B0480">
              <w:rPr>
                <w:b/>
              </w:rPr>
              <w:t>Base case (PSCR)</w:t>
            </w:r>
          </w:p>
          <w:p w:rsidR="009B07B2" w:rsidRPr="002B0480" w:rsidRDefault="009B07B2" w:rsidP="00832F58">
            <w:pPr>
              <w:pStyle w:val="TableText0"/>
              <w:contextualSpacing/>
              <w:rPr>
                <w:b/>
              </w:rPr>
            </w:pPr>
            <w:r w:rsidRPr="002B0480">
              <w:rPr>
                <w:b/>
              </w:rPr>
              <w:t>Revised</w:t>
            </w:r>
          </w:p>
        </w:tc>
        <w:tc>
          <w:tcPr>
            <w:tcW w:w="588" w:type="pct"/>
            <w:tcBorders>
              <w:top w:val="single" w:sz="4" w:space="0" w:color="auto"/>
              <w:left w:val="single" w:sz="4" w:space="0" w:color="auto"/>
              <w:bottom w:val="single" w:sz="4" w:space="0" w:color="auto"/>
              <w:right w:val="single" w:sz="4" w:space="0" w:color="auto"/>
            </w:tcBorders>
          </w:tcPr>
          <w:p w:rsidR="009B07B2" w:rsidRPr="002B0480" w:rsidRDefault="009B07B2" w:rsidP="00832F58">
            <w:pPr>
              <w:pStyle w:val="TableText0"/>
              <w:contextualSpacing/>
              <w:jc w:val="center"/>
              <w:rPr>
                <w:b/>
              </w:rPr>
            </w:pPr>
            <w:r w:rsidRPr="002B0480">
              <w:rPr>
                <w:b/>
              </w:rPr>
              <w:t>$</w:t>
            </w:r>
            <w:r w:rsidR="00DF3DBC">
              <w:rPr>
                <w:b/>
                <w:noProof/>
                <w:color w:val="000000"/>
                <w:highlight w:val="black"/>
              </w:rPr>
              <w:t>'''''''''''''''</w:t>
            </w:r>
          </w:p>
          <w:p w:rsidR="009B07B2" w:rsidRPr="002B0480" w:rsidRDefault="009B07B2" w:rsidP="00832F58">
            <w:pPr>
              <w:pStyle w:val="TableText0"/>
              <w:contextualSpacing/>
              <w:jc w:val="center"/>
              <w:rPr>
                <w:b/>
              </w:rPr>
            </w:pPr>
            <w:r w:rsidRPr="002B0480">
              <w:rPr>
                <w:b/>
              </w:rPr>
              <w:t>$</w:t>
            </w:r>
            <w:r w:rsidR="00DF3DBC">
              <w:rPr>
                <w:b/>
                <w:noProof/>
                <w:color w:val="000000"/>
                <w:highlight w:val="black"/>
              </w:rPr>
              <w:t>'''''''''''''</w:t>
            </w:r>
          </w:p>
        </w:tc>
        <w:tc>
          <w:tcPr>
            <w:tcW w:w="633" w:type="pct"/>
            <w:tcBorders>
              <w:top w:val="single" w:sz="4" w:space="0" w:color="auto"/>
              <w:left w:val="single" w:sz="4" w:space="0" w:color="auto"/>
              <w:bottom w:val="single" w:sz="4" w:space="0" w:color="auto"/>
              <w:right w:val="single" w:sz="4" w:space="0" w:color="auto"/>
            </w:tcBorders>
          </w:tcPr>
          <w:p w:rsidR="009B07B2" w:rsidRPr="002B0480" w:rsidRDefault="009B07B2" w:rsidP="00832F58">
            <w:pPr>
              <w:pStyle w:val="TableText0"/>
              <w:contextualSpacing/>
              <w:jc w:val="center"/>
              <w:rPr>
                <w:b/>
              </w:rPr>
            </w:pPr>
            <w:r w:rsidRPr="002B0480">
              <w:rPr>
                <w:b/>
              </w:rPr>
              <w:t>0.249</w:t>
            </w:r>
          </w:p>
          <w:p w:rsidR="009B07B2" w:rsidRPr="002B0480" w:rsidRDefault="009B07B2" w:rsidP="00832F58">
            <w:pPr>
              <w:pStyle w:val="TableText0"/>
              <w:contextualSpacing/>
              <w:jc w:val="center"/>
              <w:rPr>
                <w:b/>
              </w:rPr>
            </w:pPr>
            <w:r w:rsidRPr="002B0480">
              <w:rPr>
                <w:b/>
              </w:rPr>
              <w:t>0.226</w:t>
            </w:r>
          </w:p>
        </w:tc>
        <w:tc>
          <w:tcPr>
            <w:tcW w:w="558" w:type="pct"/>
            <w:tcBorders>
              <w:top w:val="single" w:sz="4" w:space="0" w:color="auto"/>
              <w:left w:val="single" w:sz="4" w:space="0" w:color="auto"/>
              <w:bottom w:val="single" w:sz="4" w:space="0" w:color="auto"/>
              <w:right w:val="single" w:sz="4" w:space="0" w:color="auto"/>
            </w:tcBorders>
          </w:tcPr>
          <w:p w:rsidR="009B07B2" w:rsidRPr="002B0480" w:rsidRDefault="009B07B2" w:rsidP="00832F58">
            <w:pPr>
              <w:pStyle w:val="TableText0"/>
              <w:contextualSpacing/>
              <w:jc w:val="center"/>
              <w:rPr>
                <w:b/>
              </w:rPr>
            </w:pPr>
            <w:r w:rsidRPr="002B0480">
              <w:rPr>
                <w:b/>
              </w:rPr>
              <w:t>$</w:t>
            </w:r>
            <w:r w:rsidR="00DF3DBC">
              <w:rPr>
                <w:b/>
                <w:noProof/>
                <w:color w:val="000000"/>
                <w:highlight w:val="black"/>
              </w:rPr>
              <w:t>'''''''''''''</w:t>
            </w:r>
          </w:p>
          <w:p w:rsidR="009B07B2" w:rsidRPr="002B0480" w:rsidRDefault="009B07B2" w:rsidP="00832F58">
            <w:pPr>
              <w:pStyle w:val="TableText0"/>
              <w:contextualSpacing/>
              <w:jc w:val="center"/>
              <w:rPr>
                <w:b/>
              </w:rPr>
            </w:pPr>
            <w:r w:rsidRPr="002B0480">
              <w:rPr>
                <w:b/>
              </w:rPr>
              <w:t>$</w:t>
            </w:r>
            <w:r w:rsidR="00DF3DBC">
              <w:rPr>
                <w:b/>
                <w:noProof/>
                <w:color w:val="000000"/>
                <w:highlight w:val="black"/>
              </w:rPr>
              <w:t>'''''''''''''''</w:t>
            </w:r>
          </w:p>
        </w:tc>
        <w:tc>
          <w:tcPr>
            <w:tcW w:w="512" w:type="pct"/>
            <w:tcBorders>
              <w:top w:val="single" w:sz="4" w:space="0" w:color="auto"/>
              <w:left w:val="single" w:sz="4" w:space="0" w:color="auto"/>
              <w:bottom w:val="single" w:sz="4" w:space="0" w:color="auto"/>
              <w:right w:val="single" w:sz="4" w:space="0" w:color="auto"/>
            </w:tcBorders>
            <w:vAlign w:val="bottom"/>
          </w:tcPr>
          <w:p w:rsidR="009B07B2" w:rsidRPr="002B0480" w:rsidRDefault="009B07B2" w:rsidP="00832F58">
            <w:pPr>
              <w:pStyle w:val="TableText0"/>
              <w:contextualSpacing/>
              <w:jc w:val="center"/>
            </w:pPr>
            <w:r w:rsidRPr="002B0480">
              <w:t>10%</w:t>
            </w:r>
          </w:p>
        </w:tc>
      </w:tr>
      <w:tr w:rsidR="009B07B2" w:rsidRPr="008241D4" w:rsidTr="00832F58">
        <w:trPr>
          <w:cantSplit/>
        </w:trPr>
        <w:tc>
          <w:tcPr>
            <w:tcW w:w="171" w:type="pct"/>
            <w:tcBorders>
              <w:top w:val="single" w:sz="4" w:space="0" w:color="auto"/>
              <w:left w:val="single" w:sz="4" w:space="0" w:color="auto"/>
              <w:bottom w:val="single" w:sz="4" w:space="0" w:color="auto"/>
              <w:right w:val="single" w:sz="4" w:space="0" w:color="auto"/>
            </w:tcBorders>
          </w:tcPr>
          <w:p w:rsidR="009B07B2" w:rsidRPr="00C1459E" w:rsidRDefault="009B07B2" w:rsidP="00832F58">
            <w:pPr>
              <w:pStyle w:val="TableText0"/>
              <w:keepNext w:val="0"/>
              <w:contextualSpacing/>
            </w:pPr>
            <w:r>
              <w:t>1</w:t>
            </w:r>
          </w:p>
        </w:tc>
        <w:tc>
          <w:tcPr>
            <w:tcW w:w="2539" w:type="pct"/>
            <w:gridSpan w:val="2"/>
            <w:tcBorders>
              <w:top w:val="single" w:sz="4" w:space="0" w:color="auto"/>
              <w:left w:val="single" w:sz="4" w:space="0" w:color="auto"/>
              <w:bottom w:val="single" w:sz="4" w:space="0" w:color="auto"/>
              <w:right w:val="single" w:sz="4" w:space="0" w:color="auto"/>
            </w:tcBorders>
          </w:tcPr>
          <w:p w:rsidR="009B07B2" w:rsidRPr="00832F58" w:rsidRDefault="009B07B2" w:rsidP="00832F58">
            <w:pPr>
              <w:pStyle w:val="TableText0"/>
              <w:keepNext w:val="0"/>
              <w:contextualSpacing/>
              <w:rPr>
                <w:highlight w:val="yellow"/>
              </w:rPr>
            </w:pPr>
            <w:r w:rsidRPr="00832F58">
              <w:t>Pembrolizumab PFS and OS HRs = 1 after three years (assumes 12-months durable response after treatment cessation)</w:t>
            </w:r>
          </w:p>
        </w:tc>
        <w:tc>
          <w:tcPr>
            <w:tcW w:w="588" w:type="pct"/>
            <w:tcBorders>
              <w:top w:val="single" w:sz="4" w:space="0" w:color="auto"/>
              <w:left w:val="single" w:sz="4" w:space="0" w:color="auto"/>
              <w:bottom w:val="single" w:sz="4" w:space="0" w:color="auto"/>
              <w:right w:val="single" w:sz="4" w:space="0" w:color="auto"/>
            </w:tcBorders>
            <w:vAlign w:val="center"/>
          </w:tcPr>
          <w:p w:rsidR="009B07B2" w:rsidRPr="00440AD0" w:rsidRDefault="009B07B2" w:rsidP="00832F58">
            <w:pPr>
              <w:pStyle w:val="TableText0"/>
              <w:contextualSpacing/>
              <w:jc w:val="center"/>
              <w:rPr>
                <w:highlight w:val="yellow"/>
              </w:rPr>
            </w:pPr>
            <w:r w:rsidRPr="00440AD0">
              <w:t>$</w:t>
            </w:r>
            <w:r w:rsidR="00DF3DBC">
              <w:rPr>
                <w:noProof/>
                <w:color w:val="000000"/>
                <w:highlight w:val="black"/>
              </w:rPr>
              <w:t>'''''''''''''''</w:t>
            </w:r>
          </w:p>
        </w:tc>
        <w:tc>
          <w:tcPr>
            <w:tcW w:w="633" w:type="pct"/>
            <w:tcBorders>
              <w:top w:val="single" w:sz="4" w:space="0" w:color="auto"/>
              <w:left w:val="single" w:sz="4" w:space="0" w:color="auto"/>
              <w:bottom w:val="single" w:sz="4" w:space="0" w:color="auto"/>
              <w:right w:val="single" w:sz="4" w:space="0" w:color="auto"/>
            </w:tcBorders>
            <w:vAlign w:val="center"/>
          </w:tcPr>
          <w:p w:rsidR="009B07B2" w:rsidRPr="00440AD0" w:rsidRDefault="009B07B2" w:rsidP="00832F58">
            <w:pPr>
              <w:pStyle w:val="TableText0"/>
              <w:contextualSpacing/>
              <w:jc w:val="center"/>
              <w:rPr>
                <w:highlight w:val="yellow"/>
              </w:rPr>
            </w:pPr>
            <w:r w:rsidRPr="00440AD0">
              <w:t>0.182</w:t>
            </w:r>
          </w:p>
        </w:tc>
        <w:tc>
          <w:tcPr>
            <w:tcW w:w="558" w:type="pct"/>
            <w:tcBorders>
              <w:top w:val="single" w:sz="4" w:space="0" w:color="auto"/>
              <w:left w:val="single" w:sz="4" w:space="0" w:color="auto"/>
              <w:bottom w:val="single" w:sz="4" w:space="0" w:color="auto"/>
              <w:right w:val="single" w:sz="4" w:space="0" w:color="auto"/>
            </w:tcBorders>
            <w:vAlign w:val="center"/>
          </w:tcPr>
          <w:p w:rsidR="009B07B2" w:rsidRPr="00440AD0" w:rsidRDefault="009B07B2" w:rsidP="00832F58">
            <w:pPr>
              <w:pStyle w:val="TableText0"/>
              <w:contextualSpacing/>
              <w:jc w:val="center"/>
              <w:rPr>
                <w:highlight w:val="yellow"/>
              </w:rPr>
            </w:pPr>
            <w:r w:rsidRPr="00440AD0">
              <w:t>$</w:t>
            </w:r>
            <w:r w:rsidR="00DF3DBC">
              <w:rPr>
                <w:noProof/>
                <w:color w:val="000000"/>
                <w:highlight w:val="black"/>
              </w:rPr>
              <w:t>'''''''''''''''''''''</w:t>
            </w:r>
          </w:p>
        </w:tc>
        <w:tc>
          <w:tcPr>
            <w:tcW w:w="512" w:type="pct"/>
            <w:tcBorders>
              <w:top w:val="single" w:sz="4" w:space="0" w:color="auto"/>
              <w:left w:val="single" w:sz="4" w:space="0" w:color="auto"/>
              <w:bottom w:val="single" w:sz="4" w:space="0" w:color="auto"/>
              <w:right w:val="single" w:sz="4" w:space="0" w:color="auto"/>
            </w:tcBorders>
            <w:vAlign w:val="center"/>
          </w:tcPr>
          <w:p w:rsidR="009B07B2" w:rsidRPr="00440AD0" w:rsidRDefault="009B07B2" w:rsidP="00832F58">
            <w:pPr>
              <w:pStyle w:val="TableText0"/>
              <w:contextualSpacing/>
              <w:jc w:val="center"/>
              <w:rPr>
                <w:highlight w:val="yellow"/>
              </w:rPr>
            </w:pPr>
            <w:r w:rsidRPr="00440AD0">
              <w:t>35%</w:t>
            </w:r>
          </w:p>
        </w:tc>
      </w:tr>
      <w:tr w:rsidR="009B07B2" w:rsidRPr="008241D4" w:rsidTr="00832F58">
        <w:trPr>
          <w:cantSplit/>
        </w:trPr>
        <w:tc>
          <w:tcPr>
            <w:tcW w:w="171" w:type="pct"/>
            <w:tcBorders>
              <w:top w:val="single" w:sz="4" w:space="0" w:color="auto"/>
              <w:left w:val="single" w:sz="4" w:space="0" w:color="auto"/>
              <w:bottom w:val="single" w:sz="4" w:space="0" w:color="auto"/>
              <w:right w:val="single" w:sz="4" w:space="0" w:color="auto"/>
            </w:tcBorders>
          </w:tcPr>
          <w:p w:rsidR="009B07B2" w:rsidRPr="00C1459E" w:rsidRDefault="009B07B2" w:rsidP="00832F58">
            <w:pPr>
              <w:pStyle w:val="TableText0"/>
              <w:keepNext w:val="0"/>
              <w:contextualSpacing/>
            </w:pPr>
            <w:r>
              <w:t>2</w:t>
            </w:r>
          </w:p>
        </w:tc>
        <w:tc>
          <w:tcPr>
            <w:tcW w:w="2539" w:type="pct"/>
            <w:gridSpan w:val="2"/>
            <w:tcBorders>
              <w:top w:val="single" w:sz="4" w:space="0" w:color="auto"/>
              <w:left w:val="single" w:sz="4" w:space="0" w:color="auto"/>
              <w:bottom w:val="single" w:sz="4" w:space="0" w:color="auto"/>
              <w:right w:val="single" w:sz="4" w:space="0" w:color="auto"/>
            </w:tcBorders>
          </w:tcPr>
          <w:p w:rsidR="009B07B2" w:rsidRPr="00832F58" w:rsidRDefault="009B07B2" w:rsidP="00832F58">
            <w:pPr>
              <w:pStyle w:val="TableText0"/>
              <w:keepNext w:val="0"/>
              <w:contextualSpacing/>
              <w:rPr>
                <w:highlight w:val="yellow"/>
              </w:rPr>
            </w:pPr>
            <w:r w:rsidRPr="00832F58">
              <w:t>Pembrolizumab treatment cost until disease progression</w:t>
            </w:r>
          </w:p>
        </w:tc>
        <w:tc>
          <w:tcPr>
            <w:tcW w:w="588" w:type="pct"/>
            <w:tcBorders>
              <w:top w:val="single" w:sz="4" w:space="0" w:color="auto"/>
              <w:left w:val="single" w:sz="4" w:space="0" w:color="auto"/>
              <w:bottom w:val="single" w:sz="4" w:space="0" w:color="auto"/>
              <w:right w:val="single" w:sz="4" w:space="0" w:color="auto"/>
            </w:tcBorders>
            <w:vAlign w:val="center"/>
          </w:tcPr>
          <w:p w:rsidR="009B07B2" w:rsidRPr="00440AD0" w:rsidRDefault="009B07B2" w:rsidP="00832F58">
            <w:pPr>
              <w:pStyle w:val="TableText0"/>
              <w:contextualSpacing/>
              <w:jc w:val="center"/>
              <w:rPr>
                <w:highlight w:val="yellow"/>
              </w:rPr>
            </w:pPr>
            <w:r w:rsidRPr="00440AD0">
              <w:t>$</w:t>
            </w:r>
            <w:r w:rsidR="00DF3DBC">
              <w:rPr>
                <w:noProof/>
                <w:color w:val="000000"/>
                <w:highlight w:val="black"/>
              </w:rPr>
              <w:t>''''''''''''''''</w:t>
            </w:r>
          </w:p>
        </w:tc>
        <w:tc>
          <w:tcPr>
            <w:tcW w:w="633" w:type="pct"/>
            <w:tcBorders>
              <w:top w:val="single" w:sz="4" w:space="0" w:color="auto"/>
              <w:left w:val="single" w:sz="4" w:space="0" w:color="auto"/>
              <w:bottom w:val="single" w:sz="4" w:space="0" w:color="auto"/>
              <w:right w:val="single" w:sz="4" w:space="0" w:color="auto"/>
            </w:tcBorders>
            <w:vAlign w:val="center"/>
          </w:tcPr>
          <w:p w:rsidR="009B07B2" w:rsidRPr="00440AD0" w:rsidRDefault="009B07B2" w:rsidP="00832F58">
            <w:pPr>
              <w:pStyle w:val="TableText0"/>
              <w:contextualSpacing/>
              <w:jc w:val="center"/>
              <w:rPr>
                <w:highlight w:val="yellow"/>
              </w:rPr>
            </w:pPr>
            <w:r w:rsidRPr="00440AD0">
              <w:t>0.226</w:t>
            </w:r>
          </w:p>
        </w:tc>
        <w:tc>
          <w:tcPr>
            <w:tcW w:w="558" w:type="pct"/>
            <w:tcBorders>
              <w:top w:val="single" w:sz="4" w:space="0" w:color="auto"/>
              <w:left w:val="single" w:sz="4" w:space="0" w:color="auto"/>
              <w:bottom w:val="single" w:sz="4" w:space="0" w:color="auto"/>
              <w:right w:val="single" w:sz="4" w:space="0" w:color="auto"/>
            </w:tcBorders>
            <w:vAlign w:val="center"/>
          </w:tcPr>
          <w:p w:rsidR="009B07B2" w:rsidRPr="00440AD0" w:rsidRDefault="009B07B2" w:rsidP="00832F58">
            <w:pPr>
              <w:pStyle w:val="TableText0"/>
              <w:contextualSpacing/>
              <w:jc w:val="center"/>
              <w:rPr>
                <w:highlight w:val="yellow"/>
              </w:rPr>
            </w:pPr>
            <w:r w:rsidRPr="00440AD0">
              <w:t>$</w:t>
            </w:r>
            <w:r w:rsidR="00DF3DBC">
              <w:rPr>
                <w:noProof/>
                <w:color w:val="000000"/>
                <w:highlight w:val="black"/>
              </w:rPr>
              <w:t>''''''''''''''''''</w:t>
            </w:r>
          </w:p>
        </w:tc>
        <w:tc>
          <w:tcPr>
            <w:tcW w:w="512" w:type="pct"/>
            <w:tcBorders>
              <w:top w:val="single" w:sz="4" w:space="0" w:color="auto"/>
              <w:left w:val="single" w:sz="4" w:space="0" w:color="auto"/>
              <w:bottom w:val="single" w:sz="4" w:space="0" w:color="auto"/>
              <w:right w:val="single" w:sz="4" w:space="0" w:color="auto"/>
            </w:tcBorders>
            <w:vAlign w:val="center"/>
          </w:tcPr>
          <w:p w:rsidR="009B07B2" w:rsidRPr="00440AD0" w:rsidRDefault="009B07B2" w:rsidP="00832F58">
            <w:pPr>
              <w:pStyle w:val="TableText0"/>
              <w:contextualSpacing/>
              <w:jc w:val="center"/>
              <w:rPr>
                <w:highlight w:val="yellow"/>
              </w:rPr>
            </w:pPr>
            <w:r w:rsidRPr="00440AD0">
              <w:t>49%</w:t>
            </w:r>
          </w:p>
        </w:tc>
      </w:tr>
      <w:tr w:rsidR="009B07B2" w:rsidRPr="008241D4" w:rsidTr="00832F58">
        <w:trPr>
          <w:cantSplit/>
        </w:trPr>
        <w:tc>
          <w:tcPr>
            <w:tcW w:w="171" w:type="pct"/>
            <w:tcBorders>
              <w:top w:val="single" w:sz="4" w:space="0" w:color="auto"/>
              <w:left w:val="single" w:sz="4" w:space="0" w:color="auto"/>
              <w:bottom w:val="single" w:sz="4" w:space="0" w:color="auto"/>
              <w:right w:val="single" w:sz="4" w:space="0" w:color="auto"/>
            </w:tcBorders>
          </w:tcPr>
          <w:p w:rsidR="009B07B2" w:rsidRPr="00C1459E" w:rsidRDefault="009B07B2" w:rsidP="00832F58">
            <w:pPr>
              <w:pStyle w:val="TableText0"/>
              <w:keepNext w:val="0"/>
              <w:contextualSpacing/>
            </w:pPr>
            <w:r>
              <w:t>3</w:t>
            </w:r>
          </w:p>
        </w:tc>
        <w:tc>
          <w:tcPr>
            <w:tcW w:w="2539" w:type="pct"/>
            <w:gridSpan w:val="2"/>
            <w:tcBorders>
              <w:top w:val="single" w:sz="4" w:space="0" w:color="auto"/>
              <w:left w:val="single" w:sz="4" w:space="0" w:color="auto"/>
              <w:bottom w:val="single" w:sz="4" w:space="0" w:color="auto"/>
              <w:right w:val="single" w:sz="4" w:space="0" w:color="auto"/>
            </w:tcBorders>
          </w:tcPr>
          <w:p w:rsidR="009B07B2" w:rsidRPr="00832F58" w:rsidRDefault="009B07B2" w:rsidP="00832F58">
            <w:pPr>
              <w:pStyle w:val="TableText0"/>
              <w:keepNext w:val="0"/>
              <w:contextualSpacing/>
              <w:rPr>
                <w:highlight w:val="yellow"/>
              </w:rPr>
            </w:pPr>
            <w:r w:rsidRPr="00832F58">
              <w:t>Weibull distribution for OS of pembrolizumab</w:t>
            </w:r>
          </w:p>
        </w:tc>
        <w:tc>
          <w:tcPr>
            <w:tcW w:w="588" w:type="pct"/>
            <w:tcBorders>
              <w:top w:val="single" w:sz="4" w:space="0" w:color="auto"/>
              <w:left w:val="single" w:sz="4" w:space="0" w:color="auto"/>
              <w:bottom w:val="single" w:sz="4" w:space="0" w:color="auto"/>
              <w:right w:val="single" w:sz="4" w:space="0" w:color="auto"/>
            </w:tcBorders>
            <w:vAlign w:val="center"/>
          </w:tcPr>
          <w:p w:rsidR="009B07B2" w:rsidRPr="00440AD0" w:rsidRDefault="009B07B2" w:rsidP="00832F58">
            <w:pPr>
              <w:pStyle w:val="TableText0"/>
              <w:contextualSpacing/>
              <w:jc w:val="center"/>
              <w:rPr>
                <w:highlight w:val="yellow"/>
              </w:rPr>
            </w:pPr>
            <w:r w:rsidRPr="00440AD0">
              <w:t>$</w:t>
            </w:r>
            <w:r w:rsidR="00DF3DBC">
              <w:rPr>
                <w:noProof/>
                <w:color w:val="000000"/>
                <w:highlight w:val="black"/>
              </w:rPr>
              <w:t>'''''''''''''''</w:t>
            </w:r>
          </w:p>
        </w:tc>
        <w:tc>
          <w:tcPr>
            <w:tcW w:w="633" w:type="pct"/>
            <w:tcBorders>
              <w:top w:val="single" w:sz="4" w:space="0" w:color="auto"/>
              <w:left w:val="single" w:sz="4" w:space="0" w:color="auto"/>
              <w:bottom w:val="single" w:sz="4" w:space="0" w:color="auto"/>
              <w:right w:val="single" w:sz="4" w:space="0" w:color="auto"/>
            </w:tcBorders>
            <w:vAlign w:val="center"/>
          </w:tcPr>
          <w:p w:rsidR="009B07B2" w:rsidRPr="00440AD0" w:rsidRDefault="009B07B2" w:rsidP="00832F58">
            <w:pPr>
              <w:pStyle w:val="TableText0"/>
              <w:contextualSpacing/>
              <w:jc w:val="center"/>
              <w:rPr>
                <w:highlight w:val="yellow"/>
              </w:rPr>
            </w:pPr>
            <w:r w:rsidRPr="00440AD0">
              <w:t>0.179</w:t>
            </w:r>
          </w:p>
        </w:tc>
        <w:tc>
          <w:tcPr>
            <w:tcW w:w="558" w:type="pct"/>
            <w:tcBorders>
              <w:top w:val="single" w:sz="4" w:space="0" w:color="auto"/>
              <w:left w:val="single" w:sz="4" w:space="0" w:color="auto"/>
              <w:bottom w:val="single" w:sz="4" w:space="0" w:color="auto"/>
              <w:right w:val="single" w:sz="4" w:space="0" w:color="auto"/>
            </w:tcBorders>
            <w:vAlign w:val="center"/>
          </w:tcPr>
          <w:p w:rsidR="009B07B2" w:rsidRPr="00440AD0" w:rsidRDefault="009B07B2" w:rsidP="00832F58">
            <w:pPr>
              <w:pStyle w:val="TableText0"/>
              <w:contextualSpacing/>
              <w:jc w:val="center"/>
              <w:rPr>
                <w:highlight w:val="yellow"/>
              </w:rPr>
            </w:pPr>
            <w:r w:rsidRPr="00440AD0">
              <w:t>$</w:t>
            </w:r>
            <w:r w:rsidR="00DF3DBC">
              <w:rPr>
                <w:noProof/>
                <w:color w:val="000000"/>
                <w:highlight w:val="black"/>
              </w:rPr>
              <w:t>''''''''''''''''''</w:t>
            </w:r>
          </w:p>
        </w:tc>
        <w:tc>
          <w:tcPr>
            <w:tcW w:w="512" w:type="pct"/>
            <w:tcBorders>
              <w:top w:val="single" w:sz="4" w:space="0" w:color="auto"/>
              <w:left w:val="single" w:sz="4" w:space="0" w:color="auto"/>
              <w:bottom w:val="single" w:sz="4" w:space="0" w:color="auto"/>
              <w:right w:val="single" w:sz="4" w:space="0" w:color="auto"/>
            </w:tcBorders>
            <w:vAlign w:val="center"/>
          </w:tcPr>
          <w:p w:rsidR="009B07B2" w:rsidRPr="00440AD0" w:rsidRDefault="009B07B2" w:rsidP="00832F58">
            <w:pPr>
              <w:pStyle w:val="TableText0"/>
              <w:contextualSpacing/>
              <w:jc w:val="center"/>
              <w:rPr>
                <w:highlight w:val="yellow"/>
              </w:rPr>
            </w:pPr>
            <w:r w:rsidRPr="00440AD0">
              <w:t>37%</w:t>
            </w:r>
          </w:p>
        </w:tc>
      </w:tr>
      <w:tr w:rsidR="009B07B2" w:rsidRPr="008241D4" w:rsidTr="00832F58">
        <w:trPr>
          <w:cantSplit/>
        </w:trPr>
        <w:tc>
          <w:tcPr>
            <w:tcW w:w="171" w:type="pct"/>
            <w:tcBorders>
              <w:top w:val="single" w:sz="4" w:space="0" w:color="auto"/>
              <w:left w:val="single" w:sz="4" w:space="0" w:color="auto"/>
              <w:bottom w:val="single" w:sz="4" w:space="0" w:color="auto"/>
              <w:right w:val="single" w:sz="4" w:space="0" w:color="auto"/>
            </w:tcBorders>
          </w:tcPr>
          <w:p w:rsidR="009B07B2" w:rsidRPr="00C1459E" w:rsidRDefault="009B07B2" w:rsidP="00832F58">
            <w:pPr>
              <w:pStyle w:val="TableText0"/>
              <w:keepNext w:val="0"/>
              <w:contextualSpacing/>
            </w:pPr>
            <w:r>
              <w:t>4</w:t>
            </w:r>
          </w:p>
        </w:tc>
        <w:tc>
          <w:tcPr>
            <w:tcW w:w="2539" w:type="pct"/>
            <w:gridSpan w:val="2"/>
            <w:tcBorders>
              <w:top w:val="single" w:sz="4" w:space="0" w:color="auto"/>
              <w:left w:val="single" w:sz="4" w:space="0" w:color="auto"/>
              <w:bottom w:val="single" w:sz="4" w:space="0" w:color="auto"/>
              <w:right w:val="single" w:sz="4" w:space="0" w:color="auto"/>
            </w:tcBorders>
          </w:tcPr>
          <w:p w:rsidR="009B07B2" w:rsidRPr="009B07B2" w:rsidRDefault="009B07B2" w:rsidP="00832F58">
            <w:pPr>
              <w:pStyle w:val="TableText0"/>
              <w:keepNext w:val="0"/>
              <w:contextualSpacing/>
              <w:rPr>
                <w:highlight w:val="yellow"/>
              </w:rPr>
            </w:pPr>
            <w:r w:rsidRPr="009B07B2">
              <w:t>Time horizon 5 years</w:t>
            </w:r>
          </w:p>
        </w:tc>
        <w:tc>
          <w:tcPr>
            <w:tcW w:w="588" w:type="pct"/>
            <w:tcBorders>
              <w:top w:val="single" w:sz="4" w:space="0" w:color="auto"/>
              <w:left w:val="single" w:sz="4" w:space="0" w:color="auto"/>
              <w:bottom w:val="single" w:sz="4" w:space="0" w:color="auto"/>
              <w:right w:val="single" w:sz="4" w:space="0" w:color="auto"/>
            </w:tcBorders>
            <w:vAlign w:val="center"/>
          </w:tcPr>
          <w:p w:rsidR="009B07B2" w:rsidRPr="00440AD0" w:rsidRDefault="009B07B2" w:rsidP="00832F58">
            <w:pPr>
              <w:pStyle w:val="TableText0"/>
              <w:contextualSpacing/>
              <w:jc w:val="center"/>
              <w:rPr>
                <w:highlight w:val="yellow"/>
              </w:rPr>
            </w:pPr>
            <w:r w:rsidRPr="00440AD0">
              <w:t>$</w:t>
            </w:r>
            <w:r w:rsidR="00DF3DBC">
              <w:rPr>
                <w:noProof/>
                <w:color w:val="000000"/>
                <w:highlight w:val="black"/>
              </w:rPr>
              <w:t>'''''''''''''''''</w:t>
            </w:r>
          </w:p>
        </w:tc>
        <w:tc>
          <w:tcPr>
            <w:tcW w:w="633" w:type="pct"/>
            <w:tcBorders>
              <w:top w:val="single" w:sz="4" w:space="0" w:color="auto"/>
              <w:left w:val="single" w:sz="4" w:space="0" w:color="auto"/>
              <w:bottom w:val="single" w:sz="4" w:space="0" w:color="auto"/>
              <w:right w:val="single" w:sz="4" w:space="0" w:color="auto"/>
            </w:tcBorders>
            <w:vAlign w:val="center"/>
          </w:tcPr>
          <w:p w:rsidR="009B07B2" w:rsidRPr="00440AD0" w:rsidRDefault="009B07B2" w:rsidP="00832F58">
            <w:pPr>
              <w:pStyle w:val="TableText0"/>
              <w:contextualSpacing/>
              <w:jc w:val="center"/>
              <w:rPr>
                <w:highlight w:val="yellow"/>
              </w:rPr>
            </w:pPr>
            <w:r w:rsidRPr="00440AD0">
              <w:t>0.198</w:t>
            </w:r>
          </w:p>
        </w:tc>
        <w:tc>
          <w:tcPr>
            <w:tcW w:w="558" w:type="pct"/>
            <w:tcBorders>
              <w:top w:val="single" w:sz="4" w:space="0" w:color="auto"/>
              <w:left w:val="single" w:sz="4" w:space="0" w:color="auto"/>
              <w:bottom w:val="single" w:sz="4" w:space="0" w:color="auto"/>
              <w:right w:val="single" w:sz="4" w:space="0" w:color="auto"/>
            </w:tcBorders>
            <w:vAlign w:val="center"/>
          </w:tcPr>
          <w:p w:rsidR="009B07B2" w:rsidRPr="00440AD0" w:rsidRDefault="009B07B2" w:rsidP="00832F58">
            <w:pPr>
              <w:pStyle w:val="TableText0"/>
              <w:contextualSpacing/>
              <w:jc w:val="center"/>
              <w:rPr>
                <w:highlight w:val="yellow"/>
              </w:rPr>
            </w:pPr>
            <w:r w:rsidRPr="00440AD0">
              <w:t>$</w:t>
            </w:r>
            <w:r w:rsidR="00DF3DBC">
              <w:rPr>
                <w:noProof/>
                <w:color w:val="000000"/>
                <w:highlight w:val="black"/>
              </w:rPr>
              <w:t>''''''''''''''''</w:t>
            </w:r>
          </w:p>
        </w:tc>
        <w:tc>
          <w:tcPr>
            <w:tcW w:w="512" w:type="pct"/>
            <w:tcBorders>
              <w:top w:val="single" w:sz="4" w:space="0" w:color="auto"/>
              <w:left w:val="single" w:sz="4" w:space="0" w:color="auto"/>
              <w:bottom w:val="single" w:sz="4" w:space="0" w:color="auto"/>
              <w:right w:val="single" w:sz="4" w:space="0" w:color="auto"/>
            </w:tcBorders>
            <w:vAlign w:val="center"/>
          </w:tcPr>
          <w:p w:rsidR="009B07B2" w:rsidRPr="00440AD0" w:rsidRDefault="009B07B2" w:rsidP="00832F58">
            <w:pPr>
              <w:pStyle w:val="TableText0"/>
              <w:contextualSpacing/>
              <w:jc w:val="center"/>
              <w:rPr>
                <w:highlight w:val="yellow"/>
              </w:rPr>
            </w:pPr>
            <w:r w:rsidRPr="00440AD0">
              <w:t>24%</w:t>
            </w:r>
          </w:p>
        </w:tc>
      </w:tr>
      <w:tr w:rsidR="009943C9" w:rsidRPr="008241D4" w:rsidTr="00832F58">
        <w:trPr>
          <w:cantSplit/>
        </w:trPr>
        <w:tc>
          <w:tcPr>
            <w:tcW w:w="171" w:type="pct"/>
            <w:tcBorders>
              <w:top w:val="single" w:sz="4" w:space="0" w:color="auto"/>
              <w:left w:val="single" w:sz="4" w:space="0" w:color="auto"/>
              <w:bottom w:val="single" w:sz="4" w:space="0" w:color="auto"/>
              <w:right w:val="single" w:sz="4" w:space="0" w:color="auto"/>
            </w:tcBorders>
          </w:tcPr>
          <w:p w:rsidR="009943C9" w:rsidRPr="00C1459E" w:rsidRDefault="009943C9" w:rsidP="00832F58">
            <w:pPr>
              <w:pStyle w:val="TableText0"/>
              <w:keepNext w:val="0"/>
              <w:contextualSpacing/>
            </w:pPr>
            <w:r>
              <w:t>5</w:t>
            </w:r>
          </w:p>
        </w:tc>
        <w:tc>
          <w:tcPr>
            <w:tcW w:w="2539" w:type="pct"/>
            <w:gridSpan w:val="2"/>
            <w:tcBorders>
              <w:top w:val="single" w:sz="4" w:space="0" w:color="auto"/>
              <w:left w:val="single" w:sz="4" w:space="0" w:color="auto"/>
              <w:bottom w:val="single" w:sz="4" w:space="0" w:color="auto"/>
              <w:right w:val="single" w:sz="4" w:space="0" w:color="auto"/>
            </w:tcBorders>
            <w:vAlign w:val="bottom"/>
          </w:tcPr>
          <w:p w:rsidR="009943C9" w:rsidRPr="009B07B2" w:rsidRDefault="009943C9" w:rsidP="00832F58">
            <w:pPr>
              <w:pStyle w:val="TableText0"/>
              <w:keepNext w:val="0"/>
              <w:contextualSpacing/>
            </w:pPr>
            <w:r w:rsidRPr="00832F58">
              <w:t>Extrapolate from median follow-up, fitted to all data</w:t>
            </w:r>
            <w:r w:rsidRPr="009B07B2">
              <w:rPr>
                <w:vertAlign w:val="superscript"/>
              </w:rPr>
              <w:t xml:space="preserve"> a</w:t>
            </w:r>
          </w:p>
        </w:tc>
        <w:tc>
          <w:tcPr>
            <w:tcW w:w="588" w:type="pct"/>
            <w:tcBorders>
              <w:top w:val="single" w:sz="4" w:space="0" w:color="auto"/>
              <w:left w:val="single" w:sz="4" w:space="0" w:color="auto"/>
              <w:bottom w:val="single" w:sz="4" w:space="0" w:color="auto"/>
              <w:right w:val="single" w:sz="4" w:space="0" w:color="auto"/>
            </w:tcBorders>
            <w:vAlign w:val="center"/>
          </w:tcPr>
          <w:p w:rsidR="009943C9" w:rsidRPr="00440AD0" w:rsidRDefault="009943C9" w:rsidP="00832F58">
            <w:pPr>
              <w:pStyle w:val="TableText0"/>
              <w:contextualSpacing/>
              <w:jc w:val="center"/>
            </w:pPr>
            <w:r w:rsidRPr="00440AD0">
              <w:t>$</w:t>
            </w:r>
            <w:r w:rsidR="00DF3DBC">
              <w:rPr>
                <w:noProof/>
                <w:color w:val="000000"/>
                <w:highlight w:val="black"/>
              </w:rPr>
              <w:t>''''''''''''''''</w:t>
            </w:r>
          </w:p>
        </w:tc>
        <w:tc>
          <w:tcPr>
            <w:tcW w:w="633" w:type="pct"/>
            <w:tcBorders>
              <w:top w:val="single" w:sz="4" w:space="0" w:color="auto"/>
              <w:left w:val="single" w:sz="4" w:space="0" w:color="auto"/>
              <w:bottom w:val="single" w:sz="4" w:space="0" w:color="auto"/>
              <w:right w:val="single" w:sz="4" w:space="0" w:color="auto"/>
            </w:tcBorders>
            <w:vAlign w:val="center"/>
          </w:tcPr>
          <w:p w:rsidR="009943C9" w:rsidRPr="00440AD0" w:rsidRDefault="009943C9" w:rsidP="00832F58">
            <w:pPr>
              <w:pStyle w:val="TableText0"/>
              <w:contextualSpacing/>
              <w:jc w:val="center"/>
            </w:pPr>
            <w:r w:rsidRPr="00440AD0">
              <w:t>0.155</w:t>
            </w:r>
          </w:p>
        </w:tc>
        <w:tc>
          <w:tcPr>
            <w:tcW w:w="558" w:type="pct"/>
            <w:tcBorders>
              <w:top w:val="single" w:sz="4" w:space="0" w:color="auto"/>
              <w:left w:val="single" w:sz="4" w:space="0" w:color="auto"/>
              <w:bottom w:val="single" w:sz="4" w:space="0" w:color="auto"/>
              <w:right w:val="single" w:sz="4" w:space="0" w:color="auto"/>
            </w:tcBorders>
            <w:vAlign w:val="center"/>
          </w:tcPr>
          <w:p w:rsidR="009943C9" w:rsidRPr="00440AD0" w:rsidRDefault="009943C9" w:rsidP="00832F58">
            <w:pPr>
              <w:pStyle w:val="TableText0"/>
              <w:contextualSpacing/>
              <w:jc w:val="center"/>
            </w:pPr>
            <w:r w:rsidRPr="00440AD0">
              <w:t>$</w:t>
            </w:r>
            <w:r w:rsidR="00DF3DBC">
              <w:rPr>
                <w:noProof/>
                <w:color w:val="000000"/>
                <w:highlight w:val="black"/>
              </w:rPr>
              <w:t>'''''''''''''''''''</w:t>
            </w:r>
          </w:p>
        </w:tc>
        <w:tc>
          <w:tcPr>
            <w:tcW w:w="512" w:type="pct"/>
            <w:tcBorders>
              <w:top w:val="single" w:sz="4" w:space="0" w:color="auto"/>
              <w:left w:val="single" w:sz="4" w:space="0" w:color="auto"/>
              <w:bottom w:val="single" w:sz="4" w:space="0" w:color="auto"/>
              <w:right w:val="single" w:sz="4" w:space="0" w:color="auto"/>
            </w:tcBorders>
            <w:vAlign w:val="center"/>
          </w:tcPr>
          <w:p w:rsidR="009943C9" w:rsidRPr="00440AD0" w:rsidRDefault="009943C9" w:rsidP="00832F58">
            <w:pPr>
              <w:pStyle w:val="TableText0"/>
              <w:contextualSpacing/>
              <w:jc w:val="center"/>
            </w:pPr>
            <w:r w:rsidRPr="00440AD0">
              <w:t>57%</w:t>
            </w:r>
          </w:p>
        </w:tc>
      </w:tr>
      <w:tr w:rsidR="009943C9" w:rsidRPr="008241D4" w:rsidTr="00832F58">
        <w:trPr>
          <w:cantSplit/>
        </w:trPr>
        <w:tc>
          <w:tcPr>
            <w:tcW w:w="171" w:type="pct"/>
            <w:tcBorders>
              <w:top w:val="single" w:sz="4" w:space="0" w:color="auto"/>
              <w:left w:val="single" w:sz="4" w:space="0" w:color="auto"/>
              <w:bottom w:val="single" w:sz="4" w:space="0" w:color="auto"/>
              <w:right w:val="single" w:sz="4" w:space="0" w:color="auto"/>
            </w:tcBorders>
          </w:tcPr>
          <w:p w:rsidR="009943C9" w:rsidRPr="00C1459E" w:rsidRDefault="009943C9" w:rsidP="00832F58">
            <w:pPr>
              <w:pStyle w:val="TableText0"/>
              <w:keepNext w:val="0"/>
              <w:contextualSpacing/>
            </w:pPr>
            <w:r>
              <w:t>6</w:t>
            </w:r>
          </w:p>
        </w:tc>
        <w:tc>
          <w:tcPr>
            <w:tcW w:w="2539" w:type="pct"/>
            <w:gridSpan w:val="2"/>
            <w:tcBorders>
              <w:top w:val="single" w:sz="4" w:space="0" w:color="auto"/>
              <w:left w:val="single" w:sz="4" w:space="0" w:color="auto"/>
              <w:bottom w:val="single" w:sz="4" w:space="0" w:color="auto"/>
              <w:right w:val="single" w:sz="4" w:space="0" w:color="auto"/>
            </w:tcBorders>
          </w:tcPr>
          <w:p w:rsidR="009943C9" w:rsidRPr="00832F58" w:rsidRDefault="009943C9" w:rsidP="00832F58">
            <w:pPr>
              <w:pStyle w:val="TableText0"/>
              <w:keepNext w:val="0"/>
              <w:contextualSpacing/>
              <w:rPr>
                <w:highlight w:val="yellow"/>
              </w:rPr>
            </w:pPr>
            <w:r w:rsidRPr="009B07B2">
              <w:t>Discounting 10%</w:t>
            </w:r>
          </w:p>
        </w:tc>
        <w:tc>
          <w:tcPr>
            <w:tcW w:w="588" w:type="pct"/>
            <w:tcBorders>
              <w:top w:val="single" w:sz="4" w:space="0" w:color="auto"/>
              <w:left w:val="single" w:sz="4" w:space="0" w:color="auto"/>
              <w:bottom w:val="single" w:sz="4" w:space="0" w:color="auto"/>
              <w:right w:val="single" w:sz="4" w:space="0" w:color="auto"/>
            </w:tcBorders>
            <w:vAlign w:val="center"/>
          </w:tcPr>
          <w:p w:rsidR="009943C9" w:rsidRPr="00440AD0" w:rsidRDefault="009943C9" w:rsidP="00832F58">
            <w:pPr>
              <w:pStyle w:val="TableText0"/>
              <w:contextualSpacing/>
              <w:jc w:val="center"/>
              <w:rPr>
                <w:highlight w:val="yellow"/>
              </w:rPr>
            </w:pPr>
            <w:r w:rsidRPr="00440AD0">
              <w:t>$</w:t>
            </w:r>
            <w:r w:rsidR="00DF3DBC">
              <w:rPr>
                <w:noProof/>
                <w:color w:val="000000"/>
                <w:highlight w:val="black"/>
              </w:rPr>
              <w:t>'''''''''''''''</w:t>
            </w:r>
          </w:p>
        </w:tc>
        <w:tc>
          <w:tcPr>
            <w:tcW w:w="633" w:type="pct"/>
            <w:tcBorders>
              <w:top w:val="single" w:sz="4" w:space="0" w:color="auto"/>
              <w:left w:val="single" w:sz="4" w:space="0" w:color="auto"/>
              <w:bottom w:val="single" w:sz="4" w:space="0" w:color="auto"/>
              <w:right w:val="single" w:sz="4" w:space="0" w:color="auto"/>
            </w:tcBorders>
            <w:vAlign w:val="center"/>
          </w:tcPr>
          <w:p w:rsidR="009943C9" w:rsidRPr="00440AD0" w:rsidRDefault="009943C9" w:rsidP="00832F58">
            <w:pPr>
              <w:pStyle w:val="TableText0"/>
              <w:contextualSpacing/>
              <w:jc w:val="center"/>
              <w:rPr>
                <w:highlight w:val="yellow"/>
              </w:rPr>
            </w:pPr>
            <w:r w:rsidRPr="00440AD0">
              <w:t>0.202</w:t>
            </w:r>
          </w:p>
        </w:tc>
        <w:tc>
          <w:tcPr>
            <w:tcW w:w="558" w:type="pct"/>
            <w:tcBorders>
              <w:top w:val="single" w:sz="4" w:space="0" w:color="auto"/>
              <w:left w:val="single" w:sz="4" w:space="0" w:color="auto"/>
              <w:bottom w:val="single" w:sz="4" w:space="0" w:color="auto"/>
              <w:right w:val="single" w:sz="4" w:space="0" w:color="auto"/>
            </w:tcBorders>
            <w:vAlign w:val="center"/>
          </w:tcPr>
          <w:p w:rsidR="009943C9" w:rsidRPr="00440AD0" w:rsidRDefault="009943C9" w:rsidP="00832F58">
            <w:pPr>
              <w:pStyle w:val="TableText0"/>
              <w:contextualSpacing/>
              <w:jc w:val="center"/>
              <w:rPr>
                <w:highlight w:val="yellow"/>
              </w:rPr>
            </w:pPr>
            <w:r w:rsidRPr="00440AD0">
              <w:t>$</w:t>
            </w:r>
            <w:r w:rsidR="00DF3DBC">
              <w:rPr>
                <w:noProof/>
                <w:color w:val="000000"/>
                <w:highlight w:val="black"/>
              </w:rPr>
              <w:t>'''''''''''''''''</w:t>
            </w:r>
          </w:p>
        </w:tc>
        <w:tc>
          <w:tcPr>
            <w:tcW w:w="512" w:type="pct"/>
            <w:tcBorders>
              <w:top w:val="single" w:sz="4" w:space="0" w:color="auto"/>
              <w:left w:val="single" w:sz="4" w:space="0" w:color="auto"/>
              <w:bottom w:val="single" w:sz="4" w:space="0" w:color="auto"/>
              <w:right w:val="single" w:sz="4" w:space="0" w:color="auto"/>
            </w:tcBorders>
            <w:vAlign w:val="center"/>
          </w:tcPr>
          <w:p w:rsidR="009943C9" w:rsidRPr="00440AD0" w:rsidRDefault="009943C9" w:rsidP="00832F58">
            <w:pPr>
              <w:pStyle w:val="TableText0"/>
              <w:contextualSpacing/>
              <w:jc w:val="center"/>
              <w:rPr>
                <w:highlight w:val="yellow"/>
              </w:rPr>
            </w:pPr>
            <w:r w:rsidRPr="00440AD0">
              <w:t>19%</w:t>
            </w:r>
          </w:p>
        </w:tc>
      </w:tr>
      <w:tr w:rsidR="009943C9" w:rsidRPr="008241D4" w:rsidTr="00832F58">
        <w:trPr>
          <w:cantSplit/>
        </w:trPr>
        <w:tc>
          <w:tcPr>
            <w:tcW w:w="171" w:type="pct"/>
            <w:tcBorders>
              <w:top w:val="single" w:sz="4" w:space="0" w:color="auto"/>
              <w:left w:val="single" w:sz="4" w:space="0" w:color="auto"/>
              <w:bottom w:val="single" w:sz="4" w:space="0" w:color="auto"/>
              <w:right w:val="single" w:sz="4" w:space="0" w:color="auto"/>
            </w:tcBorders>
          </w:tcPr>
          <w:p w:rsidR="009943C9" w:rsidRPr="00C1459E" w:rsidRDefault="009943C9" w:rsidP="006F42AE">
            <w:pPr>
              <w:pStyle w:val="TableText0"/>
              <w:keepNext w:val="0"/>
              <w:contextualSpacing/>
              <w:jc w:val="left"/>
            </w:pPr>
            <w:r>
              <w:t>7</w:t>
            </w:r>
          </w:p>
        </w:tc>
        <w:tc>
          <w:tcPr>
            <w:tcW w:w="2539" w:type="pct"/>
            <w:gridSpan w:val="2"/>
            <w:tcBorders>
              <w:top w:val="single" w:sz="4" w:space="0" w:color="auto"/>
              <w:left w:val="single" w:sz="4" w:space="0" w:color="auto"/>
              <w:bottom w:val="single" w:sz="4" w:space="0" w:color="auto"/>
              <w:right w:val="single" w:sz="4" w:space="0" w:color="auto"/>
            </w:tcBorders>
          </w:tcPr>
          <w:p w:rsidR="009943C9" w:rsidRPr="00832F58" w:rsidRDefault="009943C9" w:rsidP="00832F58">
            <w:pPr>
              <w:pStyle w:val="TableText0"/>
              <w:keepNext w:val="0"/>
              <w:contextualSpacing/>
              <w:rPr>
                <w:highlight w:val="yellow"/>
              </w:rPr>
            </w:pPr>
            <w:r w:rsidRPr="009B07B2">
              <w:t>OS extrapolation from week 0 using base case parametric model selection</w:t>
            </w:r>
            <w:r w:rsidRPr="009B07B2">
              <w:rPr>
                <w:vertAlign w:val="superscript"/>
              </w:rPr>
              <w:t xml:space="preserve"> a</w:t>
            </w:r>
          </w:p>
        </w:tc>
        <w:tc>
          <w:tcPr>
            <w:tcW w:w="588" w:type="pct"/>
            <w:tcBorders>
              <w:top w:val="single" w:sz="4" w:space="0" w:color="auto"/>
              <w:left w:val="single" w:sz="4" w:space="0" w:color="auto"/>
              <w:bottom w:val="single" w:sz="4" w:space="0" w:color="auto"/>
              <w:right w:val="single" w:sz="4" w:space="0" w:color="auto"/>
            </w:tcBorders>
            <w:vAlign w:val="center"/>
          </w:tcPr>
          <w:p w:rsidR="009943C9" w:rsidRPr="00440AD0" w:rsidRDefault="009943C9" w:rsidP="00832F58">
            <w:pPr>
              <w:pStyle w:val="TableText0"/>
              <w:contextualSpacing/>
              <w:jc w:val="center"/>
              <w:rPr>
                <w:iCs/>
                <w:highlight w:val="yellow"/>
              </w:rPr>
            </w:pPr>
            <w:r w:rsidRPr="00440AD0">
              <w:t>$</w:t>
            </w:r>
            <w:r w:rsidR="00DF3DBC">
              <w:rPr>
                <w:noProof/>
                <w:color w:val="000000"/>
                <w:highlight w:val="black"/>
              </w:rPr>
              <w:t>''''''''''''''''</w:t>
            </w:r>
          </w:p>
        </w:tc>
        <w:tc>
          <w:tcPr>
            <w:tcW w:w="633" w:type="pct"/>
            <w:tcBorders>
              <w:top w:val="single" w:sz="4" w:space="0" w:color="auto"/>
              <w:left w:val="single" w:sz="4" w:space="0" w:color="auto"/>
              <w:bottom w:val="single" w:sz="4" w:space="0" w:color="auto"/>
              <w:right w:val="single" w:sz="4" w:space="0" w:color="auto"/>
            </w:tcBorders>
            <w:vAlign w:val="center"/>
          </w:tcPr>
          <w:p w:rsidR="009943C9" w:rsidRPr="00440AD0" w:rsidRDefault="009943C9" w:rsidP="00832F58">
            <w:pPr>
              <w:pStyle w:val="TableText0"/>
              <w:contextualSpacing/>
              <w:jc w:val="center"/>
              <w:rPr>
                <w:iCs/>
                <w:highlight w:val="yellow"/>
              </w:rPr>
            </w:pPr>
            <w:r w:rsidRPr="00440AD0">
              <w:t>0.144</w:t>
            </w:r>
          </w:p>
        </w:tc>
        <w:tc>
          <w:tcPr>
            <w:tcW w:w="558" w:type="pct"/>
            <w:tcBorders>
              <w:top w:val="single" w:sz="4" w:space="0" w:color="auto"/>
              <w:left w:val="single" w:sz="4" w:space="0" w:color="auto"/>
              <w:bottom w:val="single" w:sz="4" w:space="0" w:color="auto"/>
              <w:right w:val="single" w:sz="4" w:space="0" w:color="auto"/>
            </w:tcBorders>
            <w:vAlign w:val="center"/>
          </w:tcPr>
          <w:p w:rsidR="009943C9" w:rsidRPr="00440AD0" w:rsidRDefault="009943C9" w:rsidP="00832F58">
            <w:pPr>
              <w:pStyle w:val="TableText0"/>
              <w:contextualSpacing/>
              <w:jc w:val="center"/>
              <w:rPr>
                <w:iCs/>
                <w:highlight w:val="yellow"/>
              </w:rPr>
            </w:pPr>
            <w:r w:rsidRPr="00440AD0">
              <w:t>$</w:t>
            </w:r>
            <w:r w:rsidR="00DF3DBC">
              <w:rPr>
                <w:noProof/>
                <w:color w:val="000000"/>
                <w:highlight w:val="black"/>
              </w:rPr>
              <w:t>''''''''''''''''''''</w:t>
            </w:r>
          </w:p>
        </w:tc>
        <w:tc>
          <w:tcPr>
            <w:tcW w:w="512" w:type="pct"/>
            <w:tcBorders>
              <w:top w:val="single" w:sz="4" w:space="0" w:color="auto"/>
              <w:left w:val="single" w:sz="4" w:space="0" w:color="auto"/>
              <w:bottom w:val="single" w:sz="4" w:space="0" w:color="auto"/>
              <w:right w:val="single" w:sz="4" w:space="0" w:color="auto"/>
            </w:tcBorders>
            <w:vAlign w:val="center"/>
          </w:tcPr>
          <w:p w:rsidR="009943C9" w:rsidRPr="00440AD0" w:rsidRDefault="009943C9" w:rsidP="00832F58">
            <w:pPr>
              <w:pStyle w:val="TableText0"/>
              <w:contextualSpacing/>
              <w:jc w:val="center"/>
              <w:rPr>
                <w:iCs/>
                <w:highlight w:val="yellow"/>
              </w:rPr>
            </w:pPr>
            <w:r w:rsidRPr="00440AD0">
              <w:t>69%</w:t>
            </w:r>
          </w:p>
        </w:tc>
      </w:tr>
      <w:tr w:rsidR="009943C9" w:rsidRPr="008241D4" w:rsidTr="00832F58">
        <w:trPr>
          <w:cantSplit/>
        </w:trPr>
        <w:tc>
          <w:tcPr>
            <w:tcW w:w="171" w:type="pct"/>
            <w:tcBorders>
              <w:top w:val="single" w:sz="4" w:space="0" w:color="auto"/>
              <w:left w:val="single" w:sz="4" w:space="0" w:color="auto"/>
              <w:bottom w:val="single" w:sz="4" w:space="0" w:color="auto"/>
              <w:right w:val="single" w:sz="4" w:space="0" w:color="auto"/>
            </w:tcBorders>
          </w:tcPr>
          <w:p w:rsidR="009943C9" w:rsidRPr="00C1459E" w:rsidRDefault="009943C9" w:rsidP="006F42AE">
            <w:pPr>
              <w:pStyle w:val="TableText0"/>
              <w:keepNext w:val="0"/>
              <w:contextualSpacing/>
              <w:jc w:val="left"/>
            </w:pPr>
            <w:r>
              <w:t>8</w:t>
            </w:r>
          </w:p>
        </w:tc>
        <w:tc>
          <w:tcPr>
            <w:tcW w:w="2539" w:type="pct"/>
            <w:gridSpan w:val="2"/>
            <w:tcBorders>
              <w:top w:val="single" w:sz="4" w:space="0" w:color="auto"/>
              <w:left w:val="single" w:sz="4" w:space="0" w:color="auto"/>
              <w:bottom w:val="single" w:sz="4" w:space="0" w:color="auto"/>
              <w:right w:val="single" w:sz="4" w:space="0" w:color="auto"/>
            </w:tcBorders>
          </w:tcPr>
          <w:p w:rsidR="009943C9" w:rsidRPr="00832F58" w:rsidRDefault="009943C9" w:rsidP="00832F58">
            <w:pPr>
              <w:pStyle w:val="TableText0"/>
              <w:keepNext w:val="0"/>
              <w:contextualSpacing/>
            </w:pPr>
            <w:r w:rsidRPr="00832F58">
              <w:t xml:space="preserve">OS extrapolation from week 22 for pembrolizumab, week 14 for platinum-doublet chemotherapy </w:t>
            </w:r>
            <w:r w:rsidRPr="00832F58">
              <w:rPr>
                <w:vertAlign w:val="superscript"/>
              </w:rPr>
              <w:t>a</w:t>
            </w:r>
          </w:p>
        </w:tc>
        <w:tc>
          <w:tcPr>
            <w:tcW w:w="588" w:type="pct"/>
            <w:tcBorders>
              <w:top w:val="single" w:sz="4" w:space="0" w:color="auto"/>
              <w:left w:val="single" w:sz="4" w:space="0" w:color="auto"/>
              <w:bottom w:val="single" w:sz="4" w:space="0" w:color="auto"/>
              <w:right w:val="single" w:sz="4" w:space="0" w:color="auto"/>
            </w:tcBorders>
            <w:vAlign w:val="center"/>
          </w:tcPr>
          <w:p w:rsidR="009943C9" w:rsidRPr="00440AD0" w:rsidRDefault="009943C9" w:rsidP="00832F58">
            <w:pPr>
              <w:pStyle w:val="TableText0"/>
              <w:contextualSpacing/>
              <w:jc w:val="center"/>
            </w:pPr>
            <w:r w:rsidRPr="00440AD0">
              <w:t>$</w:t>
            </w:r>
            <w:r w:rsidR="00DF3DBC">
              <w:rPr>
                <w:noProof/>
                <w:color w:val="000000"/>
                <w:highlight w:val="black"/>
              </w:rPr>
              <w:t>''''''''''''''''</w:t>
            </w:r>
          </w:p>
        </w:tc>
        <w:tc>
          <w:tcPr>
            <w:tcW w:w="633" w:type="pct"/>
            <w:tcBorders>
              <w:top w:val="single" w:sz="4" w:space="0" w:color="auto"/>
              <w:left w:val="single" w:sz="4" w:space="0" w:color="auto"/>
              <w:bottom w:val="single" w:sz="4" w:space="0" w:color="auto"/>
              <w:right w:val="single" w:sz="4" w:space="0" w:color="auto"/>
            </w:tcBorders>
            <w:vAlign w:val="center"/>
          </w:tcPr>
          <w:p w:rsidR="009943C9" w:rsidRPr="00440AD0" w:rsidRDefault="009943C9" w:rsidP="00832F58">
            <w:pPr>
              <w:pStyle w:val="TableText0"/>
              <w:contextualSpacing/>
              <w:jc w:val="center"/>
            </w:pPr>
            <w:r w:rsidRPr="00440AD0">
              <w:t>0.186</w:t>
            </w:r>
          </w:p>
        </w:tc>
        <w:tc>
          <w:tcPr>
            <w:tcW w:w="558" w:type="pct"/>
            <w:tcBorders>
              <w:top w:val="single" w:sz="4" w:space="0" w:color="auto"/>
              <w:left w:val="single" w:sz="4" w:space="0" w:color="auto"/>
              <w:bottom w:val="single" w:sz="4" w:space="0" w:color="auto"/>
              <w:right w:val="single" w:sz="4" w:space="0" w:color="auto"/>
            </w:tcBorders>
            <w:vAlign w:val="center"/>
          </w:tcPr>
          <w:p w:rsidR="009943C9" w:rsidRPr="00440AD0" w:rsidRDefault="009943C9" w:rsidP="00832F58">
            <w:pPr>
              <w:pStyle w:val="TableText0"/>
              <w:contextualSpacing/>
              <w:jc w:val="center"/>
            </w:pPr>
            <w:r w:rsidRPr="00440AD0">
              <w:t>$</w:t>
            </w:r>
            <w:r w:rsidR="00DF3DBC">
              <w:rPr>
                <w:noProof/>
                <w:color w:val="000000"/>
                <w:highlight w:val="black"/>
              </w:rPr>
              <w:t>'''''''''''''''</w:t>
            </w:r>
          </w:p>
        </w:tc>
        <w:tc>
          <w:tcPr>
            <w:tcW w:w="512" w:type="pct"/>
            <w:tcBorders>
              <w:top w:val="single" w:sz="4" w:space="0" w:color="auto"/>
              <w:left w:val="single" w:sz="4" w:space="0" w:color="auto"/>
              <w:bottom w:val="single" w:sz="4" w:space="0" w:color="auto"/>
              <w:right w:val="single" w:sz="4" w:space="0" w:color="auto"/>
            </w:tcBorders>
            <w:vAlign w:val="center"/>
          </w:tcPr>
          <w:p w:rsidR="009943C9" w:rsidRPr="00440AD0" w:rsidRDefault="009943C9" w:rsidP="00832F58">
            <w:pPr>
              <w:pStyle w:val="TableText0"/>
              <w:contextualSpacing/>
              <w:jc w:val="center"/>
            </w:pPr>
            <w:r w:rsidRPr="00440AD0">
              <w:t>32%</w:t>
            </w:r>
          </w:p>
        </w:tc>
      </w:tr>
      <w:tr w:rsidR="009B07B2" w:rsidRPr="008241D4" w:rsidTr="00E82D0A">
        <w:trPr>
          <w:cantSplit/>
        </w:trPr>
        <w:tc>
          <w:tcPr>
            <w:tcW w:w="2709" w:type="pct"/>
            <w:gridSpan w:val="3"/>
            <w:tcBorders>
              <w:top w:val="single" w:sz="4" w:space="0" w:color="auto"/>
              <w:left w:val="single" w:sz="4" w:space="0" w:color="auto"/>
              <w:bottom w:val="single" w:sz="4" w:space="0" w:color="auto"/>
              <w:right w:val="single" w:sz="4" w:space="0" w:color="auto"/>
            </w:tcBorders>
          </w:tcPr>
          <w:p w:rsidR="009B07B2" w:rsidRPr="00925AB3" w:rsidRDefault="009B07B2" w:rsidP="00832F58">
            <w:pPr>
              <w:pStyle w:val="TableText0"/>
              <w:keepNext w:val="0"/>
              <w:contextualSpacing/>
              <w:rPr>
                <w:i/>
              </w:rPr>
            </w:pPr>
            <w:r w:rsidRPr="003D6EC7">
              <w:rPr>
                <w:b/>
                <w:i/>
              </w:rPr>
              <w:t>Multivariate analyses</w:t>
            </w:r>
          </w:p>
        </w:tc>
        <w:tc>
          <w:tcPr>
            <w:tcW w:w="588" w:type="pct"/>
            <w:tcBorders>
              <w:top w:val="single" w:sz="4" w:space="0" w:color="auto"/>
              <w:left w:val="nil"/>
              <w:bottom w:val="single" w:sz="4" w:space="0" w:color="auto"/>
              <w:right w:val="nil"/>
            </w:tcBorders>
            <w:vAlign w:val="bottom"/>
          </w:tcPr>
          <w:p w:rsidR="009B07B2" w:rsidRPr="00440AD0" w:rsidRDefault="009B07B2" w:rsidP="00832F58">
            <w:pPr>
              <w:pStyle w:val="TableText0"/>
              <w:contextualSpacing/>
              <w:jc w:val="center"/>
            </w:pPr>
          </w:p>
        </w:tc>
        <w:tc>
          <w:tcPr>
            <w:tcW w:w="633" w:type="pct"/>
            <w:tcBorders>
              <w:top w:val="single" w:sz="4" w:space="0" w:color="auto"/>
              <w:left w:val="nil"/>
              <w:bottom w:val="single" w:sz="4" w:space="0" w:color="auto"/>
              <w:right w:val="nil"/>
            </w:tcBorders>
            <w:vAlign w:val="bottom"/>
          </w:tcPr>
          <w:p w:rsidR="009B07B2" w:rsidRPr="00440AD0" w:rsidRDefault="009B07B2" w:rsidP="00832F58">
            <w:pPr>
              <w:pStyle w:val="TableText0"/>
              <w:contextualSpacing/>
              <w:jc w:val="center"/>
            </w:pPr>
          </w:p>
        </w:tc>
        <w:tc>
          <w:tcPr>
            <w:tcW w:w="558" w:type="pct"/>
            <w:tcBorders>
              <w:top w:val="single" w:sz="4" w:space="0" w:color="auto"/>
              <w:left w:val="nil"/>
              <w:bottom w:val="single" w:sz="4" w:space="0" w:color="auto"/>
              <w:right w:val="nil"/>
            </w:tcBorders>
            <w:vAlign w:val="bottom"/>
          </w:tcPr>
          <w:p w:rsidR="009B07B2" w:rsidRPr="00440AD0" w:rsidRDefault="009B07B2" w:rsidP="00832F58">
            <w:pPr>
              <w:pStyle w:val="TableText0"/>
              <w:contextualSpacing/>
              <w:jc w:val="center"/>
            </w:pPr>
          </w:p>
        </w:tc>
        <w:tc>
          <w:tcPr>
            <w:tcW w:w="512" w:type="pct"/>
            <w:tcBorders>
              <w:top w:val="single" w:sz="4" w:space="0" w:color="auto"/>
              <w:left w:val="nil"/>
              <w:bottom w:val="single" w:sz="4" w:space="0" w:color="auto"/>
              <w:right w:val="single" w:sz="4" w:space="0" w:color="auto"/>
            </w:tcBorders>
            <w:vAlign w:val="bottom"/>
          </w:tcPr>
          <w:p w:rsidR="009B07B2" w:rsidRPr="00440AD0" w:rsidRDefault="009B07B2" w:rsidP="00832F58">
            <w:pPr>
              <w:pStyle w:val="TableText0"/>
              <w:contextualSpacing/>
              <w:jc w:val="center"/>
            </w:pPr>
          </w:p>
        </w:tc>
      </w:tr>
      <w:tr w:rsidR="009943C9" w:rsidRPr="008241D4" w:rsidTr="00E82D0A">
        <w:trPr>
          <w:cantSplit/>
        </w:trPr>
        <w:tc>
          <w:tcPr>
            <w:tcW w:w="249" w:type="pct"/>
            <w:gridSpan w:val="2"/>
            <w:tcBorders>
              <w:top w:val="single" w:sz="4" w:space="0" w:color="auto"/>
              <w:left w:val="single" w:sz="4" w:space="0" w:color="auto"/>
              <w:bottom w:val="single" w:sz="4" w:space="0" w:color="auto"/>
              <w:right w:val="nil"/>
            </w:tcBorders>
          </w:tcPr>
          <w:p w:rsidR="009943C9" w:rsidRPr="009B07B2" w:rsidRDefault="009943C9" w:rsidP="00832F58">
            <w:pPr>
              <w:pStyle w:val="TableText0"/>
              <w:keepNext w:val="0"/>
              <w:contextualSpacing/>
            </w:pPr>
          </w:p>
        </w:tc>
        <w:tc>
          <w:tcPr>
            <w:tcW w:w="2460" w:type="pct"/>
            <w:tcBorders>
              <w:top w:val="single" w:sz="4" w:space="0" w:color="auto"/>
              <w:left w:val="nil"/>
              <w:bottom w:val="single" w:sz="4" w:space="0" w:color="auto"/>
              <w:right w:val="single" w:sz="4" w:space="0" w:color="auto"/>
            </w:tcBorders>
          </w:tcPr>
          <w:p w:rsidR="009943C9" w:rsidRPr="00832F58" w:rsidRDefault="009943C9" w:rsidP="00832F58">
            <w:pPr>
              <w:pStyle w:val="TableText0"/>
              <w:keepNext w:val="0"/>
              <w:contextualSpacing/>
            </w:pPr>
            <w:r w:rsidRPr="00832F58">
              <w:t>#3 AND #4</w:t>
            </w:r>
          </w:p>
        </w:tc>
        <w:tc>
          <w:tcPr>
            <w:tcW w:w="588" w:type="pct"/>
            <w:tcBorders>
              <w:top w:val="single" w:sz="4" w:space="0" w:color="auto"/>
              <w:left w:val="single" w:sz="4" w:space="0" w:color="auto"/>
              <w:bottom w:val="single" w:sz="4" w:space="0" w:color="auto"/>
              <w:right w:val="single" w:sz="4" w:space="0" w:color="auto"/>
            </w:tcBorders>
          </w:tcPr>
          <w:p w:rsidR="009943C9" w:rsidRPr="00440AD0" w:rsidRDefault="009943C9" w:rsidP="00832F58">
            <w:pPr>
              <w:pStyle w:val="TableText0"/>
              <w:contextualSpacing/>
              <w:jc w:val="center"/>
            </w:pPr>
            <w:r w:rsidRPr="00440AD0">
              <w:t>$</w:t>
            </w:r>
            <w:r w:rsidR="00DF3DBC">
              <w:rPr>
                <w:noProof/>
                <w:color w:val="000000"/>
                <w:highlight w:val="black"/>
              </w:rPr>
              <w:t>'''''''''''''''''</w:t>
            </w:r>
          </w:p>
        </w:tc>
        <w:tc>
          <w:tcPr>
            <w:tcW w:w="633" w:type="pct"/>
            <w:tcBorders>
              <w:top w:val="single" w:sz="4" w:space="0" w:color="auto"/>
              <w:left w:val="single" w:sz="4" w:space="0" w:color="auto"/>
              <w:bottom w:val="single" w:sz="4" w:space="0" w:color="auto"/>
              <w:right w:val="single" w:sz="4" w:space="0" w:color="auto"/>
            </w:tcBorders>
          </w:tcPr>
          <w:p w:rsidR="009943C9" w:rsidRPr="00440AD0" w:rsidRDefault="009943C9" w:rsidP="00832F58">
            <w:pPr>
              <w:pStyle w:val="TableText0"/>
              <w:contextualSpacing/>
              <w:jc w:val="center"/>
            </w:pPr>
            <w:r w:rsidRPr="00440AD0">
              <w:t>0.163</w:t>
            </w:r>
          </w:p>
        </w:tc>
        <w:tc>
          <w:tcPr>
            <w:tcW w:w="558" w:type="pct"/>
            <w:tcBorders>
              <w:top w:val="single" w:sz="4" w:space="0" w:color="auto"/>
              <w:left w:val="single" w:sz="4" w:space="0" w:color="auto"/>
              <w:bottom w:val="single" w:sz="4" w:space="0" w:color="auto"/>
              <w:right w:val="single" w:sz="4" w:space="0" w:color="auto"/>
            </w:tcBorders>
          </w:tcPr>
          <w:p w:rsidR="009943C9" w:rsidRPr="00440AD0" w:rsidRDefault="009943C9" w:rsidP="00832F58">
            <w:pPr>
              <w:pStyle w:val="TableText0"/>
              <w:contextualSpacing/>
              <w:jc w:val="center"/>
            </w:pPr>
            <w:r w:rsidRPr="00440AD0">
              <w:t>$</w:t>
            </w:r>
            <w:r w:rsidR="00DF3DBC">
              <w:rPr>
                <w:noProof/>
                <w:color w:val="000000"/>
                <w:highlight w:val="black"/>
              </w:rPr>
              <w:t>''''''''''''''''''''''</w:t>
            </w:r>
          </w:p>
        </w:tc>
        <w:tc>
          <w:tcPr>
            <w:tcW w:w="512" w:type="pct"/>
            <w:tcBorders>
              <w:top w:val="single" w:sz="4" w:space="0" w:color="auto"/>
              <w:left w:val="single" w:sz="4" w:space="0" w:color="auto"/>
              <w:bottom w:val="single" w:sz="4" w:space="0" w:color="auto"/>
              <w:right w:val="single" w:sz="4" w:space="0" w:color="auto"/>
            </w:tcBorders>
          </w:tcPr>
          <w:p w:rsidR="009943C9" w:rsidRPr="00440AD0" w:rsidRDefault="009943C9" w:rsidP="00832F58">
            <w:pPr>
              <w:pStyle w:val="TableText0"/>
              <w:contextualSpacing/>
              <w:jc w:val="center"/>
            </w:pPr>
            <w:r w:rsidRPr="00440AD0">
              <w:t>49%</w:t>
            </w:r>
          </w:p>
        </w:tc>
      </w:tr>
      <w:tr w:rsidR="009943C9" w:rsidRPr="008241D4" w:rsidTr="00E82D0A">
        <w:trPr>
          <w:cantSplit/>
        </w:trPr>
        <w:tc>
          <w:tcPr>
            <w:tcW w:w="249" w:type="pct"/>
            <w:gridSpan w:val="2"/>
            <w:tcBorders>
              <w:top w:val="single" w:sz="4" w:space="0" w:color="auto"/>
              <w:left w:val="single" w:sz="4" w:space="0" w:color="auto"/>
              <w:bottom w:val="single" w:sz="4" w:space="0" w:color="auto"/>
              <w:right w:val="nil"/>
            </w:tcBorders>
          </w:tcPr>
          <w:p w:rsidR="009943C9" w:rsidRPr="009B07B2" w:rsidRDefault="009943C9" w:rsidP="00832F58">
            <w:pPr>
              <w:pStyle w:val="TableText0"/>
              <w:keepNext w:val="0"/>
              <w:contextualSpacing/>
            </w:pPr>
          </w:p>
        </w:tc>
        <w:tc>
          <w:tcPr>
            <w:tcW w:w="2460" w:type="pct"/>
            <w:tcBorders>
              <w:top w:val="single" w:sz="4" w:space="0" w:color="auto"/>
              <w:left w:val="nil"/>
              <w:bottom w:val="single" w:sz="4" w:space="0" w:color="auto"/>
              <w:right w:val="single" w:sz="4" w:space="0" w:color="auto"/>
            </w:tcBorders>
          </w:tcPr>
          <w:p w:rsidR="009943C9" w:rsidRPr="00832F58" w:rsidRDefault="009943C9" w:rsidP="00832F58">
            <w:pPr>
              <w:pStyle w:val="TableText0"/>
              <w:keepNext w:val="0"/>
              <w:contextualSpacing/>
            </w:pPr>
            <w:r w:rsidRPr="00832F58">
              <w:t>#1, #3 AND #4</w:t>
            </w:r>
          </w:p>
        </w:tc>
        <w:tc>
          <w:tcPr>
            <w:tcW w:w="588" w:type="pct"/>
            <w:tcBorders>
              <w:top w:val="single" w:sz="4" w:space="0" w:color="auto"/>
              <w:left w:val="single" w:sz="4" w:space="0" w:color="auto"/>
              <w:bottom w:val="single" w:sz="4" w:space="0" w:color="auto"/>
              <w:right w:val="single" w:sz="4" w:space="0" w:color="auto"/>
            </w:tcBorders>
          </w:tcPr>
          <w:p w:rsidR="009943C9" w:rsidRPr="00440AD0" w:rsidRDefault="009943C9" w:rsidP="00832F58">
            <w:pPr>
              <w:pStyle w:val="TableText0"/>
              <w:contextualSpacing/>
              <w:jc w:val="center"/>
            </w:pPr>
            <w:r w:rsidRPr="00440AD0">
              <w:t>$</w:t>
            </w:r>
            <w:r w:rsidR="00DF3DBC">
              <w:rPr>
                <w:noProof/>
                <w:color w:val="000000"/>
                <w:highlight w:val="black"/>
              </w:rPr>
              <w:t>''''''''''''''''</w:t>
            </w:r>
          </w:p>
        </w:tc>
        <w:tc>
          <w:tcPr>
            <w:tcW w:w="633" w:type="pct"/>
            <w:tcBorders>
              <w:top w:val="single" w:sz="4" w:space="0" w:color="auto"/>
              <w:left w:val="single" w:sz="4" w:space="0" w:color="auto"/>
              <w:bottom w:val="single" w:sz="4" w:space="0" w:color="auto"/>
              <w:right w:val="single" w:sz="4" w:space="0" w:color="auto"/>
            </w:tcBorders>
          </w:tcPr>
          <w:p w:rsidR="009943C9" w:rsidRPr="00440AD0" w:rsidRDefault="009943C9" w:rsidP="00832F58">
            <w:pPr>
              <w:pStyle w:val="TableText0"/>
              <w:contextualSpacing/>
              <w:jc w:val="center"/>
            </w:pPr>
            <w:r w:rsidRPr="00440AD0">
              <w:t>0.150</w:t>
            </w:r>
          </w:p>
        </w:tc>
        <w:tc>
          <w:tcPr>
            <w:tcW w:w="558" w:type="pct"/>
            <w:tcBorders>
              <w:top w:val="single" w:sz="4" w:space="0" w:color="auto"/>
              <w:left w:val="single" w:sz="4" w:space="0" w:color="auto"/>
              <w:bottom w:val="single" w:sz="4" w:space="0" w:color="auto"/>
              <w:right w:val="single" w:sz="4" w:space="0" w:color="auto"/>
            </w:tcBorders>
          </w:tcPr>
          <w:p w:rsidR="009943C9" w:rsidRPr="00440AD0" w:rsidRDefault="009943C9" w:rsidP="00832F58">
            <w:pPr>
              <w:pStyle w:val="TableText0"/>
              <w:contextualSpacing/>
              <w:jc w:val="center"/>
            </w:pPr>
            <w:r w:rsidRPr="00440AD0">
              <w:t>$</w:t>
            </w:r>
            <w:r w:rsidR="00DF3DBC">
              <w:rPr>
                <w:noProof/>
                <w:color w:val="000000"/>
                <w:highlight w:val="black"/>
              </w:rPr>
              <w:t>'''''''''''''''''''</w:t>
            </w:r>
          </w:p>
        </w:tc>
        <w:tc>
          <w:tcPr>
            <w:tcW w:w="512" w:type="pct"/>
            <w:tcBorders>
              <w:top w:val="single" w:sz="4" w:space="0" w:color="auto"/>
              <w:left w:val="single" w:sz="4" w:space="0" w:color="auto"/>
              <w:bottom w:val="single" w:sz="4" w:space="0" w:color="auto"/>
              <w:right w:val="single" w:sz="4" w:space="0" w:color="auto"/>
            </w:tcBorders>
          </w:tcPr>
          <w:p w:rsidR="009943C9" w:rsidRPr="00440AD0" w:rsidRDefault="009943C9" w:rsidP="00832F58">
            <w:pPr>
              <w:pStyle w:val="TableText0"/>
              <w:contextualSpacing/>
              <w:jc w:val="center"/>
            </w:pPr>
            <w:r w:rsidRPr="00440AD0">
              <w:t>62%</w:t>
            </w:r>
          </w:p>
        </w:tc>
      </w:tr>
      <w:tr w:rsidR="009943C9" w:rsidRPr="008241D4" w:rsidTr="00E82D0A">
        <w:trPr>
          <w:cantSplit/>
        </w:trPr>
        <w:tc>
          <w:tcPr>
            <w:tcW w:w="249" w:type="pct"/>
            <w:gridSpan w:val="2"/>
            <w:tcBorders>
              <w:top w:val="single" w:sz="4" w:space="0" w:color="auto"/>
              <w:left w:val="single" w:sz="4" w:space="0" w:color="auto"/>
              <w:bottom w:val="single" w:sz="4" w:space="0" w:color="auto"/>
              <w:right w:val="nil"/>
            </w:tcBorders>
          </w:tcPr>
          <w:p w:rsidR="009943C9" w:rsidRPr="009B07B2" w:rsidRDefault="009943C9" w:rsidP="00832F58">
            <w:pPr>
              <w:pStyle w:val="TableText0"/>
              <w:keepNext w:val="0"/>
              <w:contextualSpacing/>
            </w:pPr>
          </w:p>
        </w:tc>
        <w:tc>
          <w:tcPr>
            <w:tcW w:w="2460" w:type="pct"/>
            <w:tcBorders>
              <w:top w:val="single" w:sz="4" w:space="0" w:color="auto"/>
              <w:left w:val="nil"/>
              <w:bottom w:val="single" w:sz="4" w:space="0" w:color="auto"/>
              <w:right w:val="single" w:sz="4" w:space="0" w:color="auto"/>
            </w:tcBorders>
          </w:tcPr>
          <w:p w:rsidR="009943C9" w:rsidRPr="00832F58" w:rsidRDefault="009943C9" w:rsidP="00832F58">
            <w:pPr>
              <w:pStyle w:val="TableText0"/>
              <w:keepNext w:val="0"/>
              <w:contextualSpacing/>
            </w:pPr>
            <w:r w:rsidRPr="00832F58">
              <w:t>#2, #3 AND #4</w:t>
            </w:r>
          </w:p>
        </w:tc>
        <w:tc>
          <w:tcPr>
            <w:tcW w:w="588" w:type="pct"/>
            <w:tcBorders>
              <w:top w:val="single" w:sz="4" w:space="0" w:color="auto"/>
              <w:left w:val="single" w:sz="4" w:space="0" w:color="auto"/>
              <w:bottom w:val="single" w:sz="4" w:space="0" w:color="auto"/>
              <w:right w:val="single" w:sz="4" w:space="0" w:color="auto"/>
            </w:tcBorders>
          </w:tcPr>
          <w:p w:rsidR="009943C9" w:rsidRPr="00440AD0" w:rsidRDefault="009943C9" w:rsidP="00832F58">
            <w:pPr>
              <w:pStyle w:val="TableText0"/>
              <w:contextualSpacing/>
              <w:jc w:val="center"/>
            </w:pPr>
            <w:r w:rsidRPr="00440AD0">
              <w:t>$</w:t>
            </w:r>
            <w:r w:rsidR="00DF3DBC">
              <w:rPr>
                <w:noProof/>
                <w:color w:val="000000"/>
                <w:highlight w:val="black"/>
              </w:rPr>
              <w:t>'''''''''''''''</w:t>
            </w:r>
          </w:p>
        </w:tc>
        <w:tc>
          <w:tcPr>
            <w:tcW w:w="633" w:type="pct"/>
            <w:tcBorders>
              <w:top w:val="single" w:sz="4" w:space="0" w:color="auto"/>
              <w:left w:val="single" w:sz="4" w:space="0" w:color="auto"/>
              <w:bottom w:val="single" w:sz="4" w:space="0" w:color="auto"/>
              <w:right w:val="single" w:sz="4" w:space="0" w:color="auto"/>
            </w:tcBorders>
          </w:tcPr>
          <w:p w:rsidR="009943C9" w:rsidRPr="00440AD0" w:rsidRDefault="009943C9" w:rsidP="00832F58">
            <w:pPr>
              <w:pStyle w:val="TableText0"/>
              <w:contextualSpacing/>
              <w:jc w:val="center"/>
            </w:pPr>
            <w:r w:rsidRPr="00440AD0">
              <w:t>0.163</w:t>
            </w:r>
          </w:p>
        </w:tc>
        <w:tc>
          <w:tcPr>
            <w:tcW w:w="558" w:type="pct"/>
            <w:tcBorders>
              <w:top w:val="single" w:sz="4" w:space="0" w:color="auto"/>
              <w:left w:val="single" w:sz="4" w:space="0" w:color="auto"/>
              <w:bottom w:val="single" w:sz="4" w:space="0" w:color="auto"/>
              <w:right w:val="single" w:sz="4" w:space="0" w:color="auto"/>
            </w:tcBorders>
          </w:tcPr>
          <w:p w:rsidR="009943C9" w:rsidRPr="00440AD0" w:rsidRDefault="009943C9" w:rsidP="00832F58">
            <w:pPr>
              <w:pStyle w:val="TableText0"/>
              <w:contextualSpacing/>
              <w:jc w:val="center"/>
            </w:pPr>
            <w:r w:rsidRPr="00440AD0">
              <w:t>$</w:t>
            </w:r>
            <w:r w:rsidR="00DF3DBC">
              <w:rPr>
                <w:noProof/>
                <w:color w:val="000000"/>
                <w:highlight w:val="black"/>
              </w:rPr>
              <w:t>''''''''''''''''''</w:t>
            </w:r>
          </w:p>
        </w:tc>
        <w:tc>
          <w:tcPr>
            <w:tcW w:w="512" w:type="pct"/>
            <w:tcBorders>
              <w:top w:val="single" w:sz="4" w:space="0" w:color="auto"/>
              <w:left w:val="single" w:sz="4" w:space="0" w:color="auto"/>
              <w:bottom w:val="single" w:sz="4" w:space="0" w:color="auto"/>
              <w:right w:val="single" w:sz="4" w:space="0" w:color="auto"/>
            </w:tcBorders>
          </w:tcPr>
          <w:p w:rsidR="009943C9" w:rsidRPr="00440AD0" w:rsidRDefault="009943C9" w:rsidP="00832F58">
            <w:pPr>
              <w:pStyle w:val="TableText0"/>
              <w:contextualSpacing/>
              <w:jc w:val="center"/>
            </w:pPr>
            <w:r w:rsidRPr="00440AD0">
              <w:t>99%</w:t>
            </w:r>
          </w:p>
        </w:tc>
      </w:tr>
    </w:tbl>
    <w:p w:rsidR="009B07B2" w:rsidRPr="00440AD0" w:rsidRDefault="009B07B2" w:rsidP="00832F58">
      <w:pPr>
        <w:pStyle w:val="TableFooter"/>
        <w:spacing w:before="0"/>
        <w:contextualSpacing/>
      </w:pPr>
      <w:r w:rsidRPr="00440AD0">
        <w:t xml:space="preserve">Note: </w:t>
      </w:r>
      <w:r w:rsidR="002B0480">
        <w:t>Revised results and s</w:t>
      </w:r>
      <w:r w:rsidRPr="00440AD0">
        <w:t>ensitivity analyses have correct</w:t>
      </w:r>
      <w:r w:rsidR="002B0480">
        <w:t>ed</w:t>
      </w:r>
      <w:r w:rsidRPr="00440AD0">
        <w:t xml:space="preserve"> 1) the Kaplan-Meier data used in the PSCR/submission’s chemotherapy ITT analysis (which used two-stage adjusted data); and 2) the treatment course cost of pemetrexed (which did not multiply the drug cost per administration by the number of administrations).</w:t>
      </w:r>
    </w:p>
    <w:p w:rsidR="007F7E81" w:rsidRDefault="007F7E81" w:rsidP="007F7E81">
      <w:pPr>
        <w:pStyle w:val="TableFooter"/>
      </w:pPr>
      <w:proofErr w:type="gramStart"/>
      <w:r w:rsidRPr="004F5A1B">
        <w:rPr>
          <w:vertAlign w:val="superscript"/>
        </w:rPr>
        <w:t>a</w:t>
      </w:r>
      <w:proofErr w:type="gramEnd"/>
      <w:r>
        <w:t xml:space="preserve"> Parametric models selected in the base case analysis were used (i.e.</w:t>
      </w:r>
      <w:r w:rsidRPr="00832F58">
        <w:rPr>
          <w:i/>
        </w:rPr>
        <w:t xml:space="preserve"> </w:t>
      </w:r>
      <w:r w:rsidR="009B07B2" w:rsidRPr="00832F58">
        <w:rPr>
          <w:i/>
        </w:rPr>
        <w:t>exponential</w:t>
      </w:r>
      <w:r>
        <w:t xml:space="preserve"> for pembrolizumab and exponential for platinum-doublet chemotherapy).</w:t>
      </w:r>
    </w:p>
    <w:p w:rsidR="007F7E81" w:rsidRPr="00AD3624" w:rsidRDefault="007F7E81" w:rsidP="007F7E81">
      <w:pPr>
        <w:pStyle w:val="TableFooter"/>
      </w:pPr>
      <w:r>
        <w:t>HR = hazard ratio;</w:t>
      </w:r>
      <w:r w:rsidRPr="00AD3624">
        <w:t xml:space="preserve"> ICER = incremental cost-effectiveness ratio; ITT = intention to treat; OS = overall survival; </w:t>
      </w:r>
      <w:r>
        <w:t>PFS = progression</w:t>
      </w:r>
      <w:r w:rsidR="006A2C58">
        <w:t>-</w:t>
      </w:r>
      <w:r>
        <w:t xml:space="preserve">free survival; </w:t>
      </w:r>
      <w:r w:rsidRPr="00AD3624">
        <w:t>QALY = quality adjusted life year</w:t>
      </w:r>
      <w:r>
        <w:t>.</w:t>
      </w:r>
    </w:p>
    <w:p w:rsidR="003D6EC7" w:rsidRDefault="003D6EC7" w:rsidP="003D6EC7">
      <w:pPr>
        <w:pStyle w:val="TableFooter"/>
      </w:pPr>
      <w:r w:rsidRPr="00AA40DC">
        <w:t xml:space="preserve">Note: </w:t>
      </w:r>
      <w:r w:rsidR="00440AD0">
        <w:t>All presented sensitivity a</w:t>
      </w:r>
      <w:r w:rsidRPr="00440AD0">
        <w:t xml:space="preserve">nalyses </w:t>
      </w:r>
      <w:r w:rsidR="00440AD0">
        <w:t xml:space="preserve">in this table </w:t>
      </w:r>
      <w:r w:rsidRPr="00440AD0">
        <w:t xml:space="preserve">were </w:t>
      </w:r>
      <w:r w:rsidR="00440AD0">
        <w:t xml:space="preserve">generated </w:t>
      </w:r>
      <w:r w:rsidRPr="00440AD0">
        <w:t>during the evaluation.</w:t>
      </w:r>
    </w:p>
    <w:p w:rsidR="003D6EC7" w:rsidRDefault="003D6EC7" w:rsidP="003D6EC7">
      <w:pPr>
        <w:pStyle w:val="TableFooter"/>
      </w:pPr>
      <w:r w:rsidRPr="00AD3624">
        <w:t xml:space="preserve">Source: Table D.6-1, </w:t>
      </w:r>
      <w:r w:rsidR="0029440C">
        <w:t>p281</w:t>
      </w:r>
      <w:r w:rsidRPr="00AD3624">
        <w:t xml:space="preserve"> of the submission</w:t>
      </w:r>
      <w:r w:rsidR="0029440C">
        <w:t>.</w:t>
      </w:r>
    </w:p>
    <w:p w:rsidR="008B7DD3" w:rsidRDefault="008B7DD3" w:rsidP="008B7DD3">
      <w:pPr>
        <w:rPr>
          <w:rFonts w:ascii="Arial" w:hAnsi="Arial" w:cs="Arial"/>
          <w:sz w:val="22"/>
          <w:szCs w:val="22"/>
        </w:rPr>
      </w:pPr>
    </w:p>
    <w:p w:rsidR="00814D59" w:rsidRDefault="00814D59" w:rsidP="00AA2FD0">
      <w:pPr>
        <w:tabs>
          <w:tab w:val="left" w:pos="709"/>
        </w:tabs>
        <w:rPr>
          <w:rFonts w:ascii="Arial" w:hAnsi="Arial" w:cs="Arial"/>
          <w:sz w:val="22"/>
          <w:szCs w:val="22"/>
        </w:rPr>
      </w:pPr>
      <w:r>
        <w:rPr>
          <w:rFonts w:ascii="Arial" w:hAnsi="Arial" w:cs="Arial"/>
          <w:sz w:val="22"/>
          <w:szCs w:val="22"/>
        </w:rPr>
        <w:t xml:space="preserve">The redacted table shows ICERs in the range of $75,000/QALY - $105,000/QALY to $105,000/QALY to $200,000/QALY. </w:t>
      </w:r>
    </w:p>
    <w:p w:rsidR="00814D59" w:rsidRPr="007B14F5" w:rsidRDefault="00814D59" w:rsidP="008B7DD3">
      <w:pPr>
        <w:rPr>
          <w:rFonts w:ascii="Arial" w:hAnsi="Arial" w:cs="Arial"/>
          <w:sz w:val="22"/>
          <w:szCs w:val="22"/>
        </w:rPr>
      </w:pPr>
    </w:p>
    <w:p w:rsidR="008B7DD3" w:rsidRDefault="008B7DD3" w:rsidP="00217726">
      <w:pPr>
        <w:pStyle w:val="ListParagraph"/>
        <w:numPr>
          <w:ilvl w:val="1"/>
          <w:numId w:val="4"/>
        </w:numPr>
        <w:ind w:left="720"/>
        <w:rPr>
          <w:rFonts w:ascii="Arial" w:hAnsi="Arial" w:cs="Arial"/>
          <w:sz w:val="22"/>
          <w:szCs w:val="22"/>
        </w:rPr>
      </w:pPr>
      <w:r w:rsidRPr="00E34581">
        <w:rPr>
          <w:rFonts w:ascii="Arial" w:hAnsi="Arial" w:cs="Arial"/>
          <w:sz w:val="22"/>
          <w:szCs w:val="22"/>
        </w:rPr>
        <w:t>The ICER was sensitive to changes</w:t>
      </w:r>
      <w:r w:rsidR="00A76050" w:rsidRPr="00E34581">
        <w:rPr>
          <w:rFonts w:ascii="Arial" w:hAnsi="Arial" w:cs="Arial"/>
          <w:sz w:val="22"/>
          <w:szCs w:val="22"/>
        </w:rPr>
        <w:t xml:space="preserve"> (and combinations of changes)</w:t>
      </w:r>
      <w:r w:rsidRPr="00E34581">
        <w:rPr>
          <w:rFonts w:ascii="Arial" w:hAnsi="Arial" w:cs="Arial"/>
          <w:sz w:val="22"/>
          <w:szCs w:val="22"/>
        </w:rPr>
        <w:t xml:space="preserve"> in the model, including</w:t>
      </w:r>
      <w:r w:rsidR="009943C9" w:rsidRPr="00E34581">
        <w:rPr>
          <w:rFonts w:ascii="Arial" w:hAnsi="Arial" w:cs="Arial"/>
          <w:sz w:val="22"/>
          <w:szCs w:val="22"/>
        </w:rPr>
        <w:t xml:space="preserve"> </w:t>
      </w:r>
      <w:r w:rsidR="009943C9" w:rsidRPr="00440AD0">
        <w:rPr>
          <w:rFonts w:ascii="Arial" w:hAnsi="Arial" w:cs="Arial"/>
          <w:sz w:val="22"/>
          <w:szCs w:val="22"/>
        </w:rPr>
        <w:t>the time points selected to fit and extrapolate OS</w:t>
      </w:r>
      <w:r w:rsidR="009943C9" w:rsidRPr="00E34581">
        <w:rPr>
          <w:rFonts w:ascii="Arial" w:hAnsi="Arial" w:cs="Arial"/>
          <w:sz w:val="22"/>
          <w:szCs w:val="22"/>
        </w:rPr>
        <w:t xml:space="preserve">, </w:t>
      </w:r>
      <w:r w:rsidRPr="00E34581">
        <w:rPr>
          <w:rFonts w:ascii="Arial" w:hAnsi="Arial" w:cs="Arial"/>
          <w:sz w:val="22"/>
          <w:szCs w:val="22"/>
        </w:rPr>
        <w:t xml:space="preserve">the duration of the treatment effect, duration of pembrolizumab treatment (until progression), the model selected to extrapolate </w:t>
      </w:r>
      <w:r w:rsidR="00DF61ED" w:rsidRPr="00E34581">
        <w:rPr>
          <w:rFonts w:ascii="Arial" w:hAnsi="Arial" w:cs="Arial"/>
          <w:sz w:val="22"/>
          <w:szCs w:val="22"/>
        </w:rPr>
        <w:t xml:space="preserve">OS in the </w:t>
      </w:r>
      <w:r w:rsidRPr="00E34581">
        <w:rPr>
          <w:rFonts w:ascii="Arial" w:hAnsi="Arial" w:cs="Arial"/>
          <w:sz w:val="22"/>
          <w:szCs w:val="22"/>
        </w:rPr>
        <w:t xml:space="preserve">pembrolizumab </w:t>
      </w:r>
      <w:r w:rsidR="00DF61ED" w:rsidRPr="00E34581">
        <w:rPr>
          <w:rFonts w:ascii="Arial" w:hAnsi="Arial" w:cs="Arial"/>
          <w:sz w:val="22"/>
          <w:szCs w:val="22"/>
        </w:rPr>
        <w:t>arm</w:t>
      </w:r>
      <w:r w:rsidR="001C4F60" w:rsidRPr="00E34581">
        <w:rPr>
          <w:rFonts w:ascii="Arial" w:hAnsi="Arial" w:cs="Arial"/>
          <w:sz w:val="22"/>
          <w:szCs w:val="22"/>
        </w:rPr>
        <w:t xml:space="preserve"> and </w:t>
      </w:r>
      <w:r w:rsidR="00DF61ED" w:rsidRPr="00E34581">
        <w:rPr>
          <w:rFonts w:ascii="Arial" w:hAnsi="Arial" w:cs="Arial"/>
          <w:sz w:val="22"/>
          <w:szCs w:val="22"/>
        </w:rPr>
        <w:t xml:space="preserve">the model </w:t>
      </w:r>
      <w:r w:rsidR="001C4F60" w:rsidRPr="00E34581">
        <w:rPr>
          <w:rFonts w:ascii="Arial" w:hAnsi="Arial" w:cs="Arial"/>
          <w:sz w:val="22"/>
          <w:szCs w:val="22"/>
        </w:rPr>
        <w:t>time</w:t>
      </w:r>
      <w:r w:rsidR="001C4F60" w:rsidRPr="007B14F5">
        <w:rPr>
          <w:rFonts w:ascii="Arial" w:hAnsi="Arial" w:cs="Arial"/>
          <w:sz w:val="22"/>
          <w:szCs w:val="22"/>
        </w:rPr>
        <w:t xml:space="preserve"> horizon</w:t>
      </w:r>
      <w:r w:rsidRPr="007B14F5">
        <w:rPr>
          <w:rFonts w:ascii="Arial" w:hAnsi="Arial" w:cs="Arial"/>
          <w:sz w:val="22"/>
          <w:szCs w:val="22"/>
        </w:rPr>
        <w:t>.</w:t>
      </w:r>
    </w:p>
    <w:p w:rsidR="005A3391" w:rsidRPr="005A3391" w:rsidRDefault="005A3391" w:rsidP="005A3391">
      <w:pPr>
        <w:rPr>
          <w:rFonts w:ascii="Arial" w:hAnsi="Arial" w:cs="Arial"/>
          <w:sz w:val="22"/>
          <w:szCs w:val="22"/>
        </w:rPr>
      </w:pPr>
    </w:p>
    <w:p w:rsidR="005A3391" w:rsidRDefault="005A3391" w:rsidP="00217726">
      <w:pPr>
        <w:pStyle w:val="ListParagraph"/>
        <w:numPr>
          <w:ilvl w:val="1"/>
          <w:numId w:val="4"/>
        </w:numPr>
        <w:ind w:left="720"/>
        <w:rPr>
          <w:rFonts w:ascii="Arial" w:hAnsi="Arial" w:cs="Arial"/>
          <w:sz w:val="22"/>
          <w:szCs w:val="22"/>
        </w:rPr>
      </w:pPr>
      <w:r>
        <w:rPr>
          <w:rFonts w:ascii="Arial" w:hAnsi="Arial" w:cs="Arial"/>
          <w:sz w:val="22"/>
          <w:szCs w:val="22"/>
        </w:rPr>
        <w:t>The pre-PBAC response addressed the issues raised in the following ways:</w:t>
      </w:r>
    </w:p>
    <w:p w:rsidR="005A3391" w:rsidRDefault="00C82406" w:rsidP="005A3391">
      <w:pPr>
        <w:pStyle w:val="ListParagraph"/>
        <w:numPr>
          <w:ilvl w:val="0"/>
          <w:numId w:val="23"/>
        </w:numPr>
        <w:rPr>
          <w:rFonts w:ascii="Arial" w:hAnsi="Arial" w:cs="Arial"/>
          <w:sz w:val="22"/>
          <w:szCs w:val="22"/>
        </w:rPr>
      </w:pPr>
      <w:r>
        <w:rPr>
          <w:rFonts w:ascii="Arial" w:hAnsi="Arial" w:cs="Arial"/>
          <w:sz w:val="22"/>
          <w:szCs w:val="22"/>
        </w:rPr>
        <w:t>a correction to Kaplan Meier curve for the comparator arm of the model</w:t>
      </w:r>
    </w:p>
    <w:p w:rsidR="00C82406" w:rsidRDefault="00C82406" w:rsidP="005A3391">
      <w:pPr>
        <w:pStyle w:val="ListParagraph"/>
        <w:numPr>
          <w:ilvl w:val="0"/>
          <w:numId w:val="23"/>
        </w:numPr>
        <w:rPr>
          <w:rFonts w:ascii="Arial" w:hAnsi="Arial" w:cs="Arial"/>
          <w:sz w:val="22"/>
          <w:szCs w:val="22"/>
        </w:rPr>
      </w:pPr>
      <w:r>
        <w:rPr>
          <w:rFonts w:ascii="Arial" w:hAnsi="Arial" w:cs="Arial"/>
          <w:sz w:val="22"/>
          <w:szCs w:val="22"/>
        </w:rPr>
        <w:t>a reduction of the time horizon to 5 years</w:t>
      </w:r>
    </w:p>
    <w:p w:rsidR="00C82406" w:rsidRDefault="00C82406" w:rsidP="005A3391">
      <w:pPr>
        <w:pStyle w:val="ListParagraph"/>
        <w:numPr>
          <w:ilvl w:val="0"/>
          <w:numId w:val="23"/>
        </w:numPr>
        <w:rPr>
          <w:rFonts w:ascii="Arial" w:hAnsi="Arial" w:cs="Arial"/>
          <w:sz w:val="22"/>
          <w:szCs w:val="22"/>
        </w:rPr>
      </w:pPr>
      <w:r>
        <w:rPr>
          <w:rFonts w:ascii="Arial" w:hAnsi="Arial" w:cs="Arial"/>
          <w:sz w:val="22"/>
          <w:szCs w:val="22"/>
        </w:rPr>
        <w:t>a removal of any pembrolizumab retreatment</w:t>
      </w:r>
    </w:p>
    <w:p w:rsidR="00C82406" w:rsidRDefault="00C82406" w:rsidP="005A3391">
      <w:pPr>
        <w:pStyle w:val="ListParagraph"/>
        <w:numPr>
          <w:ilvl w:val="0"/>
          <w:numId w:val="23"/>
        </w:numPr>
        <w:rPr>
          <w:rFonts w:ascii="Arial" w:hAnsi="Arial" w:cs="Arial"/>
          <w:sz w:val="22"/>
          <w:szCs w:val="22"/>
        </w:rPr>
      </w:pPr>
      <w:r>
        <w:rPr>
          <w:rFonts w:ascii="Arial" w:hAnsi="Arial" w:cs="Arial"/>
          <w:sz w:val="22"/>
          <w:szCs w:val="22"/>
        </w:rPr>
        <w:t xml:space="preserve">use of 2-weekly second-line </w:t>
      </w:r>
      <w:r w:rsidR="00D24346">
        <w:rPr>
          <w:rFonts w:ascii="Arial" w:hAnsi="Arial" w:cs="Arial"/>
          <w:sz w:val="22"/>
          <w:szCs w:val="22"/>
        </w:rPr>
        <w:t>immuno</w:t>
      </w:r>
      <w:r>
        <w:rPr>
          <w:rFonts w:ascii="Arial" w:hAnsi="Arial" w:cs="Arial"/>
          <w:sz w:val="22"/>
          <w:szCs w:val="22"/>
        </w:rPr>
        <w:t xml:space="preserve">therapy with nivolumab (although </w:t>
      </w:r>
      <w:r w:rsidR="000D7616">
        <w:rPr>
          <w:rFonts w:ascii="Arial" w:hAnsi="Arial" w:cs="Arial"/>
          <w:sz w:val="22"/>
          <w:szCs w:val="22"/>
        </w:rPr>
        <w:t xml:space="preserve">this assumed </w:t>
      </w:r>
      <w:r>
        <w:rPr>
          <w:rFonts w:ascii="Arial" w:hAnsi="Arial" w:cs="Arial"/>
          <w:sz w:val="22"/>
          <w:szCs w:val="22"/>
        </w:rPr>
        <w:t xml:space="preserve">vial price equivalence rather than </w:t>
      </w:r>
      <w:r w:rsidR="00D24346">
        <w:rPr>
          <w:rFonts w:ascii="Arial" w:hAnsi="Arial" w:cs="Arial"/>
          <w:sz w:val="22"/>
          <w:szCs w:val="22"/>
        </w:rPr>
        <w:t xml:space="preserve">equivalent cost for the same duration of </w:t>
      </w:r>
      <w:r>
        <w:rPr>
          <w:rFonts w:ascii="Arial" w:hAnsi="Arial" w:cs="Arial"/>
          <w:sz w:val="22"/>
          <w:szCs w:val="22"/>
        </w:rPr>
        <w:t>treatment)</w:t>
      </w:r>
    </w:p>
    <w:p w:rsidR="00C82406" w:rsidRDefault="00C82406" w:rsidP="005A3391">
      <w:pPr>
        <w:pStyle w:val="ListParagraph"/>
        <w:numPr>
          <w:ilvl w:val="0"/>
          <w:numId w:val="23"/>
        </w:numPr>
        <w:rPr>
          <w:rFonts w:ascii="Arial" w:hAnsi="Arial" w:cs="Arial"/>
          <w:sz w:val="22"/>
          <w:szCs w:val="22"/>
        </w:rPr>
      </w:pPr>
      <w:r>
        <w:rPr>
          <w:rFonts w:ascii="Arial" w:hAnsi="Arial" w:cs="Arial"/>
          <w:sz w:val="22"/>
          <w:szCs w:val="22"/>
        </w:rPr>
        <w:t>inclusion of wastage for second-line therapies</w:t>
      </w:r>
    </w:p>
    <w:p w:rsidR="00C82406" w:rsidRDefault="00C82406" w:rsidP="005A3391">
      <w:pPr>
        <w:pStyle w:val="ListParagraph"/>
        <w:numPr>
          <w:ilvl w:val="0"/>
          <w:numId w:val="23"/>
        </w:numPr>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reduction in the proposed effective price of a pembrolizumab 50 mg vial (to $</w:t>
      </w:r>
      <w:r w:rsidR="00DF3DBC">
        <w:rPr>
          <w:rFonts w:ascii="Arial" w:hAnsi="Arial" w:cs="Arial"/>
          <w:noProof/>
          <w:color w:val="000000"/>
          <w:sz w:val="22"/>
          <w:szCs w:val="22"/>
          <w:highlight w:val="black"/>
        </w:rPr>
        <w:t>''''''''''''''''''</w:t>
      </w:r>
      <w:r>
        <w:rPr>
          <w:rFonts w:ascii="Arial" w:hAnsi="Arial" w:cs="Arial"/>
          <w:sz w:val="22"/>
          <w:szCs w:val="22"/>
        </w:rPr>
        <w:t>).</w:t>
      </w:r>
    </w:p>
    <w:p w:rsidR="002569C8" w:rsidRDefault="002569C8" w:rsidP="007B14F5">
      <w:pPr>
        <w:pStyle w:val="ListParagraph"/>
        <w:ind w:left="0" w:firstLine="0"/>
        <w:rPr>
          <w:rFonts w:ascii="Arial" w:hAnsi="Arial" w:cs="Arial"/>
          <w:bCs/>
          <w:sz w:val="22"/>
          <w:szCs w:val="22"/>
          <w:lang w:eastAsia="en-AU"/>
        </w:rPr>
      </w:pPr>
      <w:bookmarkStart w:id="46" w:name="_Toc431891749"/>
      <w:bookmarkStart w:id="47" w:name="_Toc471744465"/>
      <w:bookmarkEnd w:id="45"/>
    </w:p>
    <w:p w:rsidR="00C82406" w:rsidRDefault="00C82406" w:rsidP="00C82406">
      <w:pPr>
        <w:pStyle w:val="ListParagraph"/>
        <w:numPr>
          <w:ilvl w:val="1"/>
          <w:numId w:val="4"/>
        </w:numPr>
        <w:ind w:left="720"/>
        <w:rPr>
          <w:rFonts w:ascii="Arial" w:hAnsi="Arial" w:cs="Arial"/>
          <w:bCs/>
          <w:sz w:val="22"/>
          <w:szCs w:val="22"/>
          <w:lang w:eastAsia="en-AU"/>
        </w:rPr>
      </w:pPr>
      <w:r w:rsidRPr="00C82406">
        <w:rPr>
          <w:rFonts w:ascii="Arial" w:hAnsi="Arial" w:cs="Arial"/>
          <w:sz w:val="22"/>
          <w:szCs w:val="22"/>
        </w:rPr>
        <w:lastRenderedPageBreak/>
        <w:t>The</w:t>
      </w:r>
      <w:r>
        <w:rPr>
          <w:rFonts w:ascii="Arial" w:hAnsi="Arial" w:cs="Arial"/>
          <w:bCs/>
          <w:sz w:val="22"/>
          <w:szCs w:val="22"/>
          <w:lang w:eastAsia="en-AU"/>
        </w:rPr>
        <w:t xml:space="preserve"> pre-PBAC response provided the following figure to illustrate the similarity between its </w:t>
      </w:r>
      <w:r w:rsidR="000D7616">
        <w:rPr>
          <w:rFonts w:ascii="Arial" w:hAnsi="Arial" w:cs="Arial"/>
          <w:bCs/>
          <w:sz w:val="22"/>
          <w:szCs w:val="22"/>
          <w:lang w:eastAsia="en-AU"/>
        </w:rPr>
        <w:t>extrapolated</w:t>
      </w:r>
      <w:r>
        <w:rPr>
          <w:rFonts w:ascii="Arial" w:hAnsi="Arial" w:cs="Arial"/>
          <w:bCs/>
          <w:sz w:val="22"/>
          <w:szCs w:val="22"/>
          <w:lang w:eastAsia="en-AU"/>
        </w:rPr>
        <w:t xml:space="preserve"> overall </w:t>
      </w:r>
      <w:proofErr w:type="gramStart"/>
      <w:r>
        <w:rPr>
          <w:rFonts w:ascii="Arial" w:hAnsi="Arial" w:cs="Arial"/>
          <w:bCs/>
          <w:sz w:val="22"/>
          <w:szCs w:val="22"/>
          <w:lang w:eastAsia="en-AU"/>
        </w:rPr>
        <w:t>survival</w:t>
      </w:r>
      <w:proofErr w:type="gramEnd"/>
      <w:r>
        <w:rPr>
          <w:rFonts w:ascii="Arial" w:hAnsi="Arial" w:cs="Arial"/>
          <w:bCs/>
          <w:sz w:val="22"/>
          <w:szCs w:val="22"/>
          <w:lang w:eastAsia="en-AU"/>
        </w:rPr>
        <w:t xml:space="preserve"> from 32 weeks </w:t>
      </w:r>
      <w:r w:rsidR="00785245">
        <w:rPr>
          <w:rFonts w:ascii="Arial" w:hAnsi="Arial" w:cs="Arial"/>
          <w:bCs/>
          <w:sz w:val="22"/>
          <w:szCs w:val="22"/>
          <w:lang w:eastAsia="en-AU"/>
        </w:rPr>
        <w:t>against the observed overall survival to 19.2 months from the 5 January 2017 cut-off from the KN-024 trial.</w:t>
      </w:r>
    </w:p>
    <w:p w:rsidR="00785245" w:rsidRDefault="00785245" w:rsidP="00785245">
      <w:pPr>
        <w:rPr>
          <w:rFonts w:ascii="Arial" w:hAnsi="Arial" w:cs="Arial"/>
          <w:bCs/>
          <w:sz w:val="22"/>
          <w:szCs w:val="22"/>
          <w:lang w:eastAsia="en-AU"/>
        </w:rPr>
      </w:pPr>
    </w:p>
    <w:p w:rsidR="000D7616" w:rsidRPr="00440AD0" w:rsidRDefault="000D7616" w:rsidP="000D7616">
      <w:pPr>
        <w:keepNext/>
        <w:rPr>
          <w:rFonts w:ascii="Arial Narrow" w:hAnsi="Arial Narrow" w:cs="Arial"/>
          <w:b/>
          <w:sz w:val="20"/>
          <w:szCs w:val="20"/>
        </w:rPr>
      </w:pPr>
      <w:r w:rsidRPr="00440AD0">
        <w:rPr>
          <w:rFonts w:ascii="Arial Narrow" w:hAnsi="Arial Narrow" w:cs="Arial"/>
          <w:b/>
          <w:sz w:val="20"/>
          <w:szCs w:val="20"/>
        </w:rPr>
        <w:t xml:space="preserve">Figure </w:t>
      </w:r>
      <w:r>
        <w:rPr>
          <w:rFonts w:ascii="Arial Narrow" w:hAnsi="Arial Narrow" w:cs="Arial"/>
          <w:b/>
          <w:sz w:val="20"/>
          <w:szCs w:val="20"/>
        </w:rPr>
        <w:t>8</w:t>
      </w:r>
      <w:r w:rsidRPr="00440AD0">
        <w:rPr>
          <w:rFonts w:ascii="Arial Narrow" w:hAnsi="Arial Narrow" w:cs="Arial"/>
          <w:b/>
          <w:sz w:val="20"/>
          <w:szCs w:val="20"/>
        </w:rPr>
        <w:t xml:space="preserve">: </w:t>
      </w:r>
      <w:r>
        <w:rPr>
          <w:rFonts w:ascii="Arial Narrow" w:hAnsi="Arial Narrow" w:cs="Arial"/>
          <w:b/>
          <w:sz w:val="20"/>
          <w:szCs w:val="20"/>
        </w:rPr>
        <w:t xml:space="preserve">Comparison </w:t>
      </w:r>
      <w:r w:rsidRPr="00440AD0">
        <w:rPr>
          <w:rFonts w:ascii="Arial Narrow" w:hAnsi="Arial Narrow" w:cs="Arial"/>
          <w:b/>
          <w:sz w:val="20"/>
          <w:szCs w:val="20"/>
        </w:rPr>
        <w:t xml:space="preserve">of OS </w:t>
      </w:r>
      <w:r>
        <w:rPr>
          <w:rFonts w:ascii="Arial Narrow" w:hAnsi="Arial Narrow" w:cs="Arial"/>
          <w:b/>
          <w:sz w:val="20"/>
          <w:szCs w:val="20"/>
        </w:rPr>
        <w:t>extrapolations with updated KN-024 data (5 January 2017 cut-off)</w:t>
      </w:r>
    </w:p>
    <w:p w:rsidR="00785245" w:rsidRPr="00785245" w:rsidRDefault="000D7616" w:rsidP="00785245">
      <w:pPr>
        <w:rPr>
          <w:rFonts w:ascii="Arial" w:hAnsi="Arial" w:cs="Arial"/>
          <w:bCs/>
          <w:sz w:val="22"/>
          <w:szCs w:val="22"/>
          <w:lang w:eastAsia="en-AU"/>
        </w:rPr>
      </w:pPr>
      <w:r w:rsidRPr="008103B5">
        <w:rPr>
          <w:noProof/>
          <w:highlight w:val="yellow"/>
          <w:lang w:eastAsia="en-AU"/>
        </w:rPr>
        <w:drawing>
          <wp:inline distT="0" distB="0" distL="0" distR="0" wp14:anchorId="2F1330C0" wp14:editId="0E41F871">
            <wp:extent cx="5827499" cy="2932981"/>
            <wp:effectExtent l="0" t="0" r="1905" b="1270"/>
            <wp:docPr id="28" name="Picture 28" title="Figure 8: Comparison of OS extrapolations with updated KN-024 data (5 January 2017 cut-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69073" cy="2953905"/>
                    </a:xfrm>
                    <a:prstGeom prst="rect">
                      <a:avLst/>
                    </a:prstGeom>
                    <a:noFill/>
                    <a:ln>
                      <a:noFill/>
                    </a:ln>
                  </pic:spPr>
                </pic:pic>
              </a:graphicData>
            </a:graphic>
          </wp:inline>
        </w:drawing>
      </w:r>
    </w:p>
    <w:p w:rsidR="00C82406" w:rsidRDefault="00C82406" w:rsidP="007B14F5">
      <w:pPr>
        <w:pStyle w:val="ListParagraph"/>
        <w:ind w:left="0" w:firstLine="0"/>
        <w:rPr>
          <w:rFonts w:ascii="Arial" w:hAnsi="Arial" w:cs="Arial"/>
          <w:bCs/>
          <w:sz w:val="22"/>
          <w:szCs w:val="22"/>
          <w:lang w:eastAsia="en-AU"/>
        </w:rPr>
      </w:pPr>
    </w:p>
    <w:p w:rsidR="000D7616" w:rsidRDefault="000D7616" w:rsidP="000D7616">
      <w:pPr>
        <w:pStyle w:val="ListParagraph"/>
        <w:numPr>
          <w:ilvl w:val="1"/>
          <w:numId w:val="4"/>
        </w:numPr>
        <w:ind w:left="720"/>
        <w:rPr>
          <w:rFonts w:ascii="Arial" w:hAnsi="Arial" w:cs="Arial"/>
          <w:sz w:val="22"/>
          <w:szCs w:val="22"/>
        </w:rPr>
      </w:pPr>
      <w:r>
        <w:rPr>
          <w:rFonts w:ascii="Arial" w:hAnsi="Arial" w:cs="Arial"/>
          <w:sz w:val="22"/>
          <w:szCs w:val="22"/>
        </w:rPr>
        <w:t>Table 18 presents the stepped results of making the changes presented in the pre-PBAC response.</w:t>
      </w:r>
    </w:p>
    <w:p w:rsidR="000D7616" w:rsidRDefault="000D7616" w:rsidP="007B14F5">
      <w:pPr>
        <w:pStyle w:val="ListParagraph"/>
        <w:ind w:left="0" w:firstLine="0"/>
        <w:rPr>
          <w:rFonts w:ascii="Arial" w:hAnsi="Arial" w:cs="Arial"/>
          <w:bCs/>
          <w:sz w:val="22"/>
          <w:szCs w:val="22"/>
          <w:lang w:eastAsia="en-AU"/>
        </w:rPr>
      </w:pPr>
    </w:p>
    <w:p w:rsidR="00D24346" w:rsidRPr="00440AD0" w:rsidRDefault="00D24346" w:rsidP="00D24346">
      <w:pPr>
        <w:rPr>
          <w:rFonts w:ascii="Arial Narrow" w:hAnsi="Arial Narrow" w:cs="Arial"/>
          <w:b/>
          <w:sz w:val="20"/>
          <w:szCs w:val="20"/>
        </w:rPr>
      </w:pPr>
      <w:r w:rsidRPr="00440AD0">
        <w:rPr>
          <w:rFonts w:ascii="Arial Narrow" w:hAnsi="Arial Narrow" w:cs="Arial"/>
          <w:b/>
          <w:sz w:val="20"/>
          <w:szCs w:val="20"/>
        </w:rPr>
        <w:t>Table 1</w:t>
      </w:r>
      <w:r>
        <w:rPr>
          <w:rFonts w:ascii="Arial Narrow" w:hAnsi="Arial Narrow" w:cs="Arial"/>
          <w:b/>
          <w:sz w:val="20"/>
          <w:szCs w:val="20"/>
        </w:rPr>
        <w:t>8</w:t>
      </w:r>
      <w:r w:rsidRPr="00440AD0">
        <w:rPr>
          <w:rFonts w:ascii="Arial Narrow" w:hAnsi="Arial Narrow" w:cs="Arial"/>
          <w:b/>
          <w:sz w:val="20"/>
          <w:szCs w:val="20"/>
        </w:rPr>
        <w:t xml:space="preserve">: Stepped </w:t>
      </w:r>
      <w:r>
        <w:rPr>
          <w:rFonts w:ascii="Arial Narrow" w:hAnsi="Arial Narrow" w:cs="Arial"/>
          <w:b/>
          <w:sz w:val="20"/>
          <w:szCs w:val="20"/>
        </w:rPr>
        <w:t>re-analysis from PSCR model to pre-PBAC response model</w:t>
      </w:r>
    </w:p>
    <w:tbl>
      <w:tblPr>
        <w:tblStyle w:val="TableGrid"/>
        <w:tblW w:w="0" w:type="auto"/>
        <w:tblInd w:w="108" w:type="dxa"/>
        <w:tblLook w:val="04A0" w:firstRow="1" w:lastRow="0" w:firstColumn="1" w:lastColumn="0" w:noHBand="0" w:noVBand="1"/>
        <w:tblCaption w:val="Table 18: Stepped re-analysis from PSCR model to pre-PBAC response model"/>
      </w:tblPr>
      <w:tblGrid>
        <w:gridCol w:w="308"/>
        <w:gridCol w:w="7001"/>
        <w:gridCol w:w="1826"/>
      </w:tblGrid>
      <w:tr w:rsidR="00D24346" w:rsidRPr="00F754F9" w:rsidTr="000052EA">
        <w:trPr>
          <w:tblHeader/>
        </w:trPr>
        <w:tc>
          <w:tcPr>
            <w:tcW w:w="7304" w:type="dxa"/>
            <w:gridSpan w:val="2"/>
          </w:tcPr>
          <w:p w:rsidR="00D24346" w:rsidRPr="00F754F9" w:rsidRDefault="00D24346" w:rsidP="00D24346">
            <w:pPr>
              <w:rPr>
                <w:rFonts w:ascii="Arial Narrow" w:hAnsi="Arial Narrow"/>
                <w:b/>
                <w:sz w:val="20"/>
              </w:rPr>
            </w:pPr>
            <w:r w:rsidRPr="00F754F9">
              <w:rPr>
                <w:rFonts w:ascii="Arial Narrow" w:hAnsi="Arial Narrow"/>
                <w:b/>
                <w:sz w:val="20"/>
              </w:rPr>
              <w:t>Analysis</w:t>
            </w:r>
          </w:p>
        </w:tc>
        <w:tc>
          <w:tcPr>
            <w:tcW w:w="1831" w:type="dxa"/>
          </w:tcPr>
          <w:p w:rsidR="00D24346" w:rsidRPr="00F754F9" w:rsidRDefault="00D24346" w:rsidP="00D24346">
            <w:pPr>
              <w:jc w:val="center"/>
              <w:rPr>
                <w:rFonts w:ascii="Arial Narrow" w:hAnsi="Arial Narrow"/>
                <w:b/>
                <w:sz w:val="20"/>
              </w:rPr>
            </w:pPr>
            <w:r w:rsidRPr="00F754F9">
              <w:rPr>
                <w:rFonts w:ascii="Arial Narrow" w:hAnsi="Arial Narrow"/>
                <w:b/>
                <w:sz w:val="20"/>
              </w:rPr>
              <w:t>ICER</w:t>
            </w:r>
            <w:r>
              <w:rPr>
                <w:rFonts w:ascii="Arial Narrow" w:hAnsi="Arial Narrow"/>
                <w:b/>
                <w:sz w:val="20"/>
              </w:rPr>
              <w:t>/QALY</w:t>
            </w:r>
          </w:p>
        </w:tc>
      </w:tr>
      <w:tr w:rsidR="00D24346" w:rsidRPr="00F754F9" w:rsidTr="00E339DA">
        <w:tc>
          <w:tcPr>
            <w:tcW w:w="267" w:type="dxa"/>
          </w:tcPr>
          <w:p w:rsidR="00D24346" w:rsidRPr="00F754F9" w:rsidRDefault="00D24346" w:rsidP="00D24346">
            <w:pPr>
              <w:rPr>
                <w:rFonts w:ascii="Arial Narrow" w:hAnsi="Arial Narrow"/>
                <w:b/>
                <w:sz w:val="20"/>
              </w:rPr>
            </w:pPr>
            <w:r w:rsidRPr="00F754F9">
              <w:rPr>
                <w:rFonts w:ascii="Arial Narrow" w:hAnsi="Arial Narrow"/>
                <w:b/>
                <w:sz w:val="20"/>
              </w:rPr>
              <w:t>1</w:t>
            </w:r>
          </w:p>
        </w:tc>
        <w:tc>
          <w:tcPr>
            <w:tcW w:w="7037" w:type="dxa"/>
          </w:tcPr>
          <w:p w:rsidR="00D24346" w:rsidRPr="00F754F9" w:rsidRDefault="00D24346" w:rsidP="00D24346">
            <w:pPr>
              <w:rPr>
                <w:rFonts w:ascii="Arial Narrow" w:hAnsi="Arial Narrow"/>
                <w:b/>
                <w:sz w:val="20"/>
              </w:rPr>
            </w:pPr>
            <w:r w:rsidRPr="00F754F9">
              <w:rPr>
                <w:rFonts w:ascii="Arial Narrow" w:hAnsi="Arial Narrow"/>
                <w:b/>
                <w:sz w:val="20"/>
              </w:rPr>
              <w:t xml:space="preserve">Base case ICER from the </w:t>
            </w:r>
            <w:r>
              <w:rPr>
                <w:rFonts w:ascii="Arial Narrow" w:hAnsi="Arial Narrow"/>
                <w:b/>
                <w:sz w:val="20"/>
              </w:rPr>
              <w:t>PSCR</w:t>
            </w:r>
          </w:p>
        </w:tc>
        <w:tc>
          <w:tcPr>
            <w:tcW w:w="1831" w:type="dxa"/>
          </w:tcPr>
          <w:p w:rsidR="00D24346" w:rsidRPr="00F754F9" w:rsidRDefault="00D24346" w:rsidP="00D24346">
            <w:pPr>
              <w:jc w:val="center"/>
              <w:rPr>
                <w:rFonts w:ascii="Arial Narrow" w:hAnsi="Arial Narrow"/>
                <w:b/>
                <w:sz w:val="20"/>
              </w:rPr>
            </w:pPr>
            <w:r w:rsidRPr="00F754F9">
              <w:rPr>
                <w:rFonts w:ascii="Arial Narrow" w:hAnsi="Arial Narrow"/>
                <w:b/>
                <w:sz w:val="20"/>
              </w:rPr>
              <w:t>$</w:t>
            </w:r>
            <w:r w:rsidR="00DF3DBC">
              <w:rPr>
                <w:rFonts w:ascii="Arial Narrow" w:hAnsi="Arial Narrow"/>
                <w:b/>
                <w:noProof/>
                <w:color w:val="000000"/>
                <w:sz w:val="20"/>
                <w:highlight w:val="black"/>
              </w:rPr>
              <w:t>'''''''''''''</w:t>
            </w:r>
          </w:p>
        </w:tc>
      </w:tr>
      <w:tr w:rsidR="00D24346" w:rsidRPr="00F754F9" w:rsidTr="00E339DA">
        <w:tc>
          <w:tcPr>
            <w:tcW w:w="267" w:type="dxa"/>
          </w:tcPr>
          <w:p w:rsidR="00D24346" w:rsidRPr="00F754F9" w:rsidRDefault="00D24346" w:rsidP="00D24346">
            <w:pPr>
              <w:rPr>
                <w:rFonts w:ascii="Arial Narrow" w:hAnsi="Arial Narrow"/>
                <w:sz w:val="20"/>
              </w:rPr>
            </w:pPr>
            <w:r w:rsidRPr="00F754F9">
              <w:rPr>
                <w:rFonts w:ascii="Arial Narrow" w:hAnsi="Arial Narrow"/>
                <w:sz w:val="20"/>
              </w:rPr>
              <w:t>2</w:t>
            </w:r>
          </w:p>
        </w:tc>
        <w:tc>
          <w:tcPr>
            <w:tcW w:w="7037" w:type="dxa"/>
          </w:tcPr>
          <w:p w:rsidR="00D24346" w:rsidRPr="00F754F9" w:rsidRDefault="00D24346" w:rsidP="00D24346">
            <w:pPr>
              <w:rPr>
                <w:rFonts w:ascii="Arial Narrow" w:hAnsi="Arial Narrow"/>
                <w:sz w:val="20"/>
              </w:rPr>
            </w:pPr>
            <w:r w:rsidRPr="00F754F9">
              <w:rPr>
                <w:rFonts w:ascii="Arial Narrow" w:hAnsi="Arial Narrow"/>
                <w:sz w:val="20"/>
              </w:rPr>
              <w:t xml:space="preserve">1 + </w:t>
            </w:r>
            <w:r w:rsidRPr="00D24346">
              <w:rPr>
                <w:rFonts w:ascii="Arial Narrow" w:hAnsi="Arial Narrow"/>
                <w:sz w:val="20"/>
              </w:rPr>
              <w:t>correction to Kaplan Meier curve for the comparator arm of the model</w:t>
            </w:r>
          </w:p>
        </w:tc>
        <w:tc>
          <w:tcPr>
            <w:tcW w:w="1831" w:type="dxa"/>
          </w:tcPr>
          <w:p w:rsidR="00D24346" w:rsidRPr="00F754F9" w:rsidRDefault="00D24346" w:rsidP="00D24346">
            <w:pPr>
              <w:jc w:val="center"/>
              <w:rPr>
                <w:rFonts w:ascii="Arial Narrow" w:hAnsi="Arial Narrow"/>
                <w:sz w:val="20"/>
              </w:rPr>
            </w:pPr>
            <w:r w:rsidRPr="00F754F9">
              <w:rPr>
                <w:rFonts w:ascii="Arial Narrow" w:hAnsi="Arial Narrow"/>
                <w:sz w:val="20"/>
              </w:rPr>
              <w:t>$</w:t>
            </w:r>
            <w:r w:rsidR="00DF3DBC">
              <w:rPr>
                <w:rFonts w:ascii="Arial Narrow" w:hAnsi="Arial Narrow"/>
                <w:noProof/>
                <w:color w:val="000000"/>
                <w:sz w:val="20"/>
                <w:highlight w:val="black"/>
              </w:rPr>
              <w:t>''''''''''''''''</w:t>
            </w:r>
          </w:p>
        </w:tc>
      </w:tr>
      <w:tr w:rsidR="00D24346" w:rsidRPr="00F754F9" w:rsidTr="00E339DA">
        <w:tc>
          <w:tcPr>
            <w:tcW w:w="267" w:type="dxa"/>
          </w:tcPr>
          <w:p w:rsidR="00D24346" w:rsidRPr="00F754F9" w:rsidRDefault="00D24346" w:rsidP="00D24346">
            <w:pPr>
              <w:rPr>
                <w:rFonts w:ascii="Arial Narrow" w:hAnsi="Arial Narrow"/>
                <w:sz w:val="20"/>
              </w:rPr>
            </w:pPr>
            <w:r w:rsidRPr="00F754F9">
              <w:rPr>
                <w:rFonts w:ascii="Arial Narrow" w:hAnsi="Arial Narrow"/>
                <w:sz w:val="20"/>
              </w:rPr>
              <w:t>3</w:t>
            </w:r>
          </w:p>
        </w:tc>
        <w:tc>
          <w:tcPr>
            <w:tcW w:w="7037" w:type="dxa"/>
          </w:tcPr>
          <w:p w:rsidR="00D24346" w:rsidRPr="00F754F9" w:rsidRDefault="00D24346" w:rsidP="00D24346">
            <w:pPr>
              <w:rPr>
                <w:rFonts w:ascii="Arial Narrow" w:hAnsi="Arial Narrow"/>
                <w:sz w:val="20"/>
              </w:rPr>
            </w:pPr>
            <w:r w:rsidRPr="00F754F9">
              <w:rPr>
                <w:rFonts w:ascii="Arial Narrow" w:hAnsi="Arial Narrow"/>
                <w:sz w:val="20"/>
              </w:rPr>
              <w:t xml:space="preserve">2 + time horizon </w:t>
            </w:r>
            <w:r>
              <w:rPr>
                <w:rFonts w:ascii="Arial Narrow" w:hAnsi="Arial Narrow"/>
                <w:sz w:val="20"/>
              </w:rPr>
              <w:t>to 5</w:t>
            </w:r>
            <w:r w:rsidRPr="00F754F9">
              <w:rPr>
                <w:rFonts w:ascii="Arial Narrow" w:hAnsi="Arial Narrow"/>
                <w:sz w:val="20"/>
              </w:rPr>
              <w:t xml:space="preserve"> years</w:t>
            </w:r>
          </w:p>
        </w:tc>
        <w:tc>
          <w:tcPr>
            <w:tcW w:w="1831" w:type="dxa"/>
          </w:tcPr>
          <w:p w:rsidR="00D24346" w:rsidRPr="00F754F9" w:rsidRDefault="00D24346" w:rsidP="00D24346">
            <w:pPr>
              <w:jc w:val="center"/>
              <w:rPr>
                <w:rFonts w:ascii="Arial Narrow" w:hAnsi="Arial Narrow"/>
                <w:sz w:val="20"/>
              </w:rPr>
            </w:pPr>
            <w:r w:rsidRPr="00F754F9">
              <w:rPr>
                <w:rFonts w:ascii="Arial Narrow" w:hAnsi="Arial Narrow"/>
                <w:sz w:val="20"/>
              </w:rPr>
              <w:t>$</w:t>
            </w:r>
            <w:r w:rsidR="00DF3DBC">
              <w:rPr>
                <w:rFonts w:ascii="Arial Narrow" w:hAnsi="Arial Narrow"/>
                <w:noProof/>
                <w:color w:val="000000"/>
                <w:sz w:val="20"/>
                <w:highlight w:val="black"/>
              </w:rPr>
              <w:t>'''''''''''''''</w:t>
            </w:r>
          </w:p>
        </w:tc>
      </w:tr>
      <w:tr w:rsidR="00D24346" w:rsidRPr="00F754F9" w:rsidTr="00E339DA">
        <w:tc>
          <w:tcPr>
            <w:tcW w:w="267" w:type="dxa"/>
          </w:tcPr>
          <w:p w:rsidR="00D24346" w:rsidRPr="00F754F9" w:rsidRDefault="00D24346" w:rsidP="00D24346">
            <w:pPr>
              <w:rPr>
                <w:rFonts w:ascii="Arial Narrow" w:hAnsi="Arial Narrow"/>
                <w:sz w:val="20"/>
              </w:rPr>
            </w:pPr>
            <w:r w:rsidRPr="00F754F9">
              <w:rPr>
                <w:rFonts w:ascii="Arial Narrow" w:hAnsi="Arial Narrow"/>
                <w:sz w:val="20"/>
              </w:rPr>
              <w:t>4</w:t>
            </w:r>
          </w:p>
        </w:tc>
        <w:tc>
          <w:tcPr>
            <w:tcW w:w="7037" w:type="dxa"/>
          </w:tcPr>
          <w:p w:rsidR="00D24346" w:rsidRPr="00F754F9" w:rsidRDefault="00D24346" w:rsidP="00D24346">
            <w:pPr>
              <w:rPr>
                <w:rFonts w:ascii="Arial Narrow" w:hAnsi="Arial Narrow"/>
                <w:sz w:val="20"/>
              </w:rPr>
            </w:pPr>
            <w:r w:rsidRPr="00F754F9">
              <w:rPr>
                <w:rFonts w:ascii="Arial Narrow" w:hAnsi="Arial Narrow"/>
                <w:sz w:val="20"/>
              </w:rPr>
              <w:t xml:space="preserve">3 + </w:t>
            </w:r>
            <w:r>
              <w:rPr>
                <w:rFonts w:ascii="Arial Narrow" w:hAnsi="Arial Narrow"/>
                <w:sz w:val="20"/>
              </w:rPr>
              <w:t>removal of pembrolizumab retreatment</w:t>
            </w:r>
          </w:p>
        </w:tc>
        <w:tc>
          <w:tcPr>
            <w:tcW w:w="1831" w:type="dxa"/>
          </w:tcPr>
          <w:p w:rsidR="00D24346" w:rsidRPr="00F754F9" w:rsidRDefault="00D24346" w:rsidP="00D24346">
            <w:pPr>
              <w:jc w:val="center"/>
              <w:rPr>
                <w:rFonts w:ascii="Arial Narrow" w:hAnsi="Arial Narrow"/>
                <w:sz w:val="20"/>
              </w:rPr>
            </w:pPr>
            <w:r w:rsidRPr="00F754F9">
              <w:rPr>
                <w:rFonts w:ascii="Arial Narrow" w:hAnsi="Arial Narrow"/>
                <w:sz w:val="20"/>
              </w:rPr>
              <w:t>$</w:t>
            </w:r>
            <w:r w:rsidR="00DF3DBC">
              <w:rPr>
                <w:rFonts w:ascii="Arial Narrow" w:hAnsi="Arial Narrow"/>
                <w:noProof/>
                <w:color w:val="000000"/>
                <w:sz w:val="20"/>
                <w:highlight w:val="black"/>
              </w:rPr>
              <w:t>''''''''''''''''''</w:t>
            </w:r>
          </w:p>
        </w:tc>
      </w:tr>
      <w:tr w:rsidR="00D24346" w:rsidRPr="00F754F9" w:rsidTr="00E339DA">
        <w:tc>
          <w:tcPr>
            <w:tcW w:w="267" w:type="dxa"/>
            <w:tcBorders>
              <w:bottom w:val="single" w:sz="4" w:space="0" w:color="auto"/>
            </w:tcBorders>
          </w:tcPr>
          <w:p w:rsidR="00D24346" w:rsidRPr="00F754F9" w:rsidRDefault="00D24346" w:rsidP="00D24346">
            <w:pPr>
              <w:rPr>
                <w:rFonts w:ascii="Arial Narrow" w:hAnsi="Arial Narrow"/>
                <w:sz w:val="20"/>
              </w:rPr>
            </w:pPr>
            <w:r w:rsidRPr="00F754F9">
              <w:rPr>
                <w:rFonts w:ascii="Arial Narrow" w:hAnsi="Arial Narrow"/>
                <w:sz w:val="20"/>
              </w:rPr>
              <w:t>5</w:t>
            </w:r>
          </w:p>
        </w:tc>
        <w:tc>
          <w:tcPr>
            <w:tcW w:w="7037" w:type="dxa"/>
            <w:tcBorders>
              <w:bottom w:val="single" w:sz="4" w:space="0" w:color="auto"/>
            </w:tcBorders>
          </w:tcPr>
          <w:p w:rsidR="00D24346" w:rsidRPr="00F754F9" w:rsidRDefault="00D24346" w:rsidP="00D24346">
            <w:pPr>
              <w:rPr>
                <w:rFonts w:ascii="Arial Narrow" w:hAnsi="Arial Narrow"/>
                <w:sz w:val="20"/>
              </w:rPr>
            </w:pPr>
            <w:r w:rsidRPr="00F754F9">
              <w:rPr>
                <w:rFonts w:ascii="Arial Narrow" w:hAnsi="Arial Narrow"/>
                <w:sz w:val="20"/>
              </w:rPr>
              <w:t xml:space="preserve">4 + </w:t>
            </w:r>
            <w:r>
              <w:rPr>
                <w:rFonts w:ascii="Arial Narrow" w:hAnsi="Arial Narrow"/>
                <w:sz w:val="20"/>
              </w:rPr>
              <w:t xml:space="preserve">2-weekly </w:t>
            </w:r>
            <w:r w:rsidRPr="00F754F9">
              <w:rPr>
                <w:rFonts w:ascii="Arial Narrow" w:hAnsi="Arial Narrow"/>
                <w:sz w:val="20"/>
              </w:rPr>
              <w:t>costs for post-progressi</w:t>
            </w:r>
            <w:r>
              <w:rPr>
                <w:rFonts w:ascii="Arial Narrow" w:hAnsi="Arial Narrow"/>
                <w:sz w:val="20"/>
              </w:rPr>
              <w:t>on treatment with immunotherapy</w:t>
            </w:r>
            <w:r w:rsidRPr="00D24346">
              <w:rPr>
                <w:rFonts w:ascii="Arial Narrow" w:hAnsi="Arial Narrow"/>
                <w:sz w:val="20"/>
                <w:vertAlign w:val="superscript"/>
              </w:rPr>
              <w:t>a</w:t>
            </w:r>
          </w:p>
        </w:tc>
        <w:tc>
          <w:tcPr>
            <w:tcW w:w="1831" w:type="dxa"/>
            <w:tcBorders>
              <w:bottom w:val="single" w:sz="4" w:space="0" w:color="auto"/>
            </w:tcBorders>
          </w:tcPr>
          <w:p w:rsidR="00D24346" w:rsidRPr="00F754F9" w:rsidRDefault="00D24346" w:rsidP="00D24346">
            <w:pPr>
              <w:jc w:val="center"/>
              <w:rPr>
                <w:rFonts w:ascii="Arial Narrow" w:hAnsi="Arial Narrow"/>
                <w:sz w:val="20"/>
              </w:rPr>
            </w:pPr>
            <w:r w:rsidRPr="00F754F9">
              <w:rPr>
                <w:rFonts w:ascii="Arial Narrow" w:hAnsi="Arial Narrow"/>
                <w:sz w:val="20"/>
              </w:rPr>
              <w:t>$</w:t>
            </w:r>
            <w:r w:rsidR="00DF3DBC">
              <w:rPr>
                <w:rFonts w:ascii="Arial Narrow" w:hAnsi="Arial Narrow"/>
                <w:noProof/>
                <w:color w:val="000000"/>
                <w:sz w:val="20"/>
                <w:highlight w:val="black"/>
              </w:rPr>
              <w:t>''''''''''''''''</w:t>
            </w:r>
          </w:p>
        </w:tc>
      </w:tr>
      <w:tr w:rsidR="00D24346" w:rsidRPr="00F754F9" w:rsidTr="00E339DA">
        <w:tc>
          <w:tcPr>
            <w:tcW w:w="267" w:type="dxa"/>
            <w:tcBorders>
              <w:bottom w:val="single" w:sz="4" w:space="0" w:color="000000"/>
            </w:tcBorders>
          </w:tcPr>
          <w:p w:rsidR="00D24346" w:rsidRPr="00F754F9" w:rsidRDefault="00D24346" w:rsidP="00D24346">
            <w:pPr>
              <w:rPr>
                <w:rFonts w:ascii="Arial Narrow" w:hAnsi="Arial Narrow"/>
                <w:sz w:val="20"/>
              </w:rPr>
            </w:pPr>
            <w:r w:rsidRPr="00F754F9">
              <w:rPr>
                <w:rFonts w:ascii="Arial Narrow" w:hAnsi="Arial Narrow"/>
                <w:sz w:val="20"/>
              </w:rPr>
              <w:t>6</w:t>
            </w:r>
          </w:p>
        </w:tc>
        <w:tc>
          <w:tcPr>
            <w:tcW w:w="7037" w:type="dxa"/>
            <w:tcBorders>
              <w:bottom w:val="single" w:sz="4" w:space="0" w:color="000000"/>
            </w:tcBorders>
          </w:tcPr>
          <w:p w:rsidR="00D24346" w:rsidRPr="00F754F9" w:rsidRDefault="00D24346" w:rsidP="00D24346">
            <w:pPr>
              <w:rPr>
                <w:rFonts w:ascii="Arial Narrow" w:hAnsi="Arial Narrow"/>
                <w:sz w:val="20"/>
              </w:rPr>
            </w:pPr>
            <w:r w:rsidRPr="00F754F9">
              <w:rPr>
                <w:rFonts w:ascii="Arial Narrow" w:hAnsi="Arial Narrow"/>
                <w:sz w:val="20"/>
              </w:rPr>
              <w:t xml:space="preserve">5 + </w:t>
            </w:r>
            <w:r>
              <w:rPr>
                <w:rFonts w:ascii="Arial Narrow" w:hAnsi="Arial Narrow"/>
                <w:sz w:val="20"/>
              </w:rPr>
              <w:t>inclusion of wastage for second-line therapies</w:t>
            </w:r>
          </w:p>
        </w:tc>
        <w:tc>
          <w:tcPr>
            <w:tcW w:w="1831" w:type="dxa"/>
            <w:tcBorders>
              <w:bottom w:val="single" w:sz="4" w:space="0" w:color="000000"/>
            </w:tcBorders>
          </w:tcPr>
          <w:p w:rsidR="00D24346" w:rsidRPr="00F754F9" w:rsidRDefault="00D24346" w:rsidP="00D24346">
            <w:pPr>
              <w:jc w:val="center"/>
              <w:rPr>
                <w:rFonts w:ascii="Arial Narrow" w:hAnsi="Arial Narrow"/>
                <w:sz w:val="20"/>
              </w:rPr>
            </w:pPr>
            <w:r w:rsidRPr="00F754F9">
              <w:rPr>
                <w:rFonts w:ascii="Arial Narrow" w:hAnsi="Arial Narrow"/>
                <w:sz w:val="20"/>
              </w:rPr>
              <w:t>$</w:t>
            </w:r>
            <w:r w:rsidR="00DF3DBC">
              <w:rPr>
                <w:rFonts w:ascii="Arial Narrow" w:hAnsi="Arial Narrow"/>
                <w:noProof/>
                <w:color w:val="000000"/>
                <w:sz w:val="20"/>
                <w:highlight w:val="black"/>
              </w:rPr>
              <w:t>'''''''''''''''''</w:t>
            </w:r>
          </w:p>
        </w:tc>
      </w:tr>
      <w:tr w:rsidR="00D24346" w:rsidRPr="00F754F9" w:rsidTr="00E339DA">
        <w:tc>
          <w:tcPr>
            <w:tcW w:w="267" w:type="dxa"/>
            <w:tcBorders>
              <w:bottom w:val="single" w:sz="4" w:space="0" w:color="000000"/>
            </w:tcBorders>
          </w:tcPr>
          <w:p w:rsidR="00D24346" w:rsidRPr="00F754F9" w:rsidRDefault="00D24346" w:rsidP="00D24346">
            <w:pPr>
              <w:rPr>
                <w:rFonts w:ascii="Arial Narrow" w:hAnsi="Arial Narrow"/>
                <w:sz w:val="20"/>
              </w:rPr>
            </w:pPr>
            <w:r w:rsidRPr="00F754F9">
              <w:rPr>
                <w:rFonts w:ascii="Arial Narrow" w:hAnsi="Arial Narrow"/>
                <w:sz w:val="20"/>
              </w:rPr>
              <w:t>7</w:t>
            </w:r>
          </w:p>
        </w:tc>
        <w:tc>
          <w:tcPr>
            <w:tcW w:w="7037" w:type="dxa"/>
            <w:tcBorders>
              <w:bottom w:val="single" w:sz="4" w:space="0" w:color="000000"/>
            </w:tcBorders>
          </w:tcPr>
          <w:p w:rsidR="00D24346" w:rsidRPr="00F754F9" w:rsidRDefault="00D24346" w:rsidP="00D24346">
            <w:pPr>
              <w:rPr>
                <w:rFonts w:ascii="Arial Narrow" w:hAnsi="Arial Narrow"/>
                <w:sz w:val="20"/>
              </w:rPr>
            </w:pPr>
            <w:r w:rsidRPr="00F754F9">
              <w:rPr>
                <w:rFonts w:ascii="Arial Narrow" w:hAnsi="Arial Narrow"/>
                <w:sz w:val="20"/>
              </w:rPr>
              <w:t>6 + pembrolizumab cost $</w:t>
            </w:r>
            <w:r w:rsidR="00DF3DBC">
              <w:rPr>
                <w:rFonts w:ascii="Arial Narrow" w:hAnsi="Arial Narrow"/>
                <w:noProof/>
                <w:color w:val="000000"/>
                <w:sz w:val="20"/>
                <w:highlight w:val="black"/>
              </w:rPr>
              <w:t>'''''''''''''''</w:t>
            </w:r>
            <w:r w:rsidRPr="00F754F9">
              <w:rPr>
                <w:rFonts w:ascii="Arial Narrow" w:hAnsi="Arial Narrow"/>
                <w:sz w:val="20"/>
              </w:rPr>
              <w:t xml:space="preserve"> per 50 mg vial</w:t>
            </w:r>
          </w:p>
        </w:tc>
        <w:tc>
          <w:tcPr>
            <w:tcW w:w="1831" w:type="dxa"/>
            <w:tcBorders>
              <w:bottom w:val="single" w:sz="4" w:space="0" w:color="000000"/>
            </w:tcBorders>
          </w:tcPr>
          <w:p w:rsidR="00D24346" w:rsidRPr="00F754F9" w:rsidRDefault="00D24346" w:rsidP="00D24346">
            <w:pPr>
              <w:jc w:val="center"/>
              <w:rPr>
                <w:rFonts w:ascii="Arial Narrow" w:hAnsi="Arial Narrow"/>
                <w:sz w:val="20"/>
              </w:rPr>
            </w:pPr>
            <w:r w:rsidRPr="00F754F9">
              <w:rPr>
                <w:rFonts w:ascii="Arial Narrow" w:hAnsi="Arial Narrow"/>
                <w:sz w:val="20"/>
              </w:rPr>
              <w:t>$</w:t>
            </w:r>
            <w:r w:rsidR="00DF3DBC">
              <w:rPr>
                <w:rFonts w:ascii="Arial Narrow" w:hAnsi="Arial Narrow"/>
                <w:noProof/>
                <w:color w:val="000000"/>
                <w:sz w:val="20"/>
                <w:highlight w:val="black"/>
              </w:rPr>
              <w:t>'''''''''''''''</w:t>
            </w:r>
          </w:p>
        </w:tc>
      </w:tr>
    </w:tbl>
    <w:p w:rsidR="00D24346" w:rsidRPr="00440AD0" w:rsidRDefault="00D24346" w:rsidP="00D24346">
      <w:pPr>
        <w:rPr>
          <w:rFonts w:ascii="Arial Narrow" w:hAnsi="Arial Narrow"/>
          <w:sz w:val="20"/>
        </w:rPr>
      </w:pPr>
      <w:proofErr w:type="gramStart"/>
      <w:r w:rsidRPr="00440AD0">
        <w:rPr>
          <w:rFonts w:ascii="Arial Narrow" w:hAnsi="Arial Narrow"/>
          <w:sz w:val="18"/>
          <w:vertAlign w:val="superscript"/>
        </w:rPr>
        <w:t>a</w:t>
      </w:r>
      <w:proofErr w:type="gramEnd"/>
      <w:r w:rsidRPr="00440AD0">
        <w:rPr>
          <w:rFonts w:ascii="Arial Narrow" w:hAnsi="Arial Narrow"/>
          <w:sz w:val="18"/>
        </w:rPr>
        <w:t xml:space="preserve"> In estimating the revised treatment course cost of </w:t>
      </w:r>
      <w:r>
        <w:rPr>
          <w:rFonts w:ascii="Arial Narrow" w:hAnsi="Arial Narrow"/>
          <w:sz w:val="18"/>
        </w:rPr>
        <w:t>immunotherapy</w:t>
      </w:r>
      <w:r w:rsidRPr="00440AD0">
        <w:rPr>
          <w:rFonts w:ascii="Arial Narrow" w:hAnsi="Arial Narrow"/>
          <w:sz w:val="18"/>
        </w:rPr>
        <w:t xml:space="preserve">, the </w:t>
      </w:r>
      <w:r>
        <w:rPr>
          <w:rFonts w:ascii="Arial Narrow" w:hAnsi="Arial Narrow"/>
          <w:sz w:val="18"/>
        </w:rPr>
        <w:t>pre-PBAC response assumed vial price equivalence rather than equivalent cost for the same duration of treatment</w:t>
      </w:r>
      <w:r w:rsidRPr="00440AD0">
        <w:rPr>
          <w:rFonts w:ascii="Arial Narrow" w:hAnsi="Arial Narrow"/>
          <w:sz w:val="18"/>
        </w:rPr>
        <w:t>.</w:t>
      </w:r>
    </w:p>
    <w:p w:rsidR="00D24346" w:rsidRDefault="00D24346" w:rsidP="007B14F5">
      <w:pPr>
        <w:pStyle w:val="ListParagraph"/>
        <w:ind w:left="0" w:firstLine="0"/>
        <w:rPr>
          <w:rFonts w:ascii="Arial" w:hAnsi="Arial" w:cs="Arial"/>
          <w:bCs/>
          <w:sz w:val="22"/>
          <w:szCs w:val="22"/>
          <w:lang w:eastAsia="en-AU"/>
        </w:rPr>
      </w:pPr>
    </w:p>
    <w:p w:rsidR="00457D26" w:rsidRDefault="00457D26" w:rsidP="00AA2FD0">
      <w:pPr>
        <w:tabs>
          <w:tab w:val="left" w:pos="709"/>
        </w:tabs>
        <w:rPr>
          <w:rFonts w:ascii="Arial" w:hAnsi="Arial" w:cs="Arial"/>
          <w:sz w:val="22"/>
          <w:szCs w:val="22"/>
        </w:rPr>
      </w:pPr>
      <w:r>
        <w:rPr>
          <w:rFonts w:ascii="Arial" w:hAnsi="Arial" w:cs="Arial"/>
          <w:sz w:val="22"/>
          <w:szCs w:val="22"/>
        </w:rPr>
        <w:t xml:space="preserve">The redacted table shows ICERs in the range of $45,000/QALY - $75,000/QALY to $75,000/QALY - $105,000/QALY. </w:t>
      </w:r>
    </w:p>
    <w:p w:rsidR="0095055D" w:rsidRPr="007B14F5" w:rsidRDefault="0095055D" w:rsidP="00E25A5A">
      <w:pPr>
        <w:pStyle w:val="Heading2"/>
      </w:pPr>
      <w:r w:rsidRPr="007B14F5">
        <w:t>Drug cost/patient/course</w:t>
      </w:r>
      <w:bookmarkEnd w:id="46"/>
      <w:r w:rsidRPr="007B14F5">
        <w:t>: $</w:t>
      </w:r>
      <w:bookmarkEnd w:id="47"/>
      <w:r w:rsidR="00DF3DBC">
        <w:rPr>
          <w:noProof/>
          <w:color w:val="000000"/>
          <w:highlight w:val="black"/>
        </w:rPr>
        <w:t>''''''''''''''</w:t>
      </w:r>
      <w:r w:rsidR="009943C9">
        <w:t xml:space="preserve"> (revised to </w:t>
      </w:r>
      <w:r w:rsidR="009943C9" w:rsidRPr="009943C9">
        <w:t>$</w:t>
      </w:r>
      <w:r w:rsidR="00DF3DBC">
        <w:rPr>
          <w:noProof/>
          <w:color w:val="000000"/>
          <w:highlight w:val="black"/>
        </w:rPr>
        <w:t>'''''''''''''''</w:t>
      </w:r>
      <w:r w:rsidR="009943C9">
        <w:t xml:space="preserve"> from changes in PSCR)</w:t>
      </w:r>
    </w:p>
    <w:p w:rsidR="0095055D" w:rsidRPr="00E34581" w:rsidRDefault="0095055D" w:rsidP="00217726">
      <w:pPr>
        <w:pStyle w:val="ListParagraph"/>
        <w:numPr>
          <w:ilvl w:val="1"/>
          <w:numId w:val="4"/>
        </w:numPr>
        <w:ind w:left="720"/>
        <w:rPr>
          <w:rFonts w:ascii="Arial" w:hAnsi="Arial" w:cs="Arial"/>
          <w:sz w:val="22"/>
          <w:szCs w:val="22"/>
        </w:rPr>
      </w:pPr>
      <w:r w:rsidRPr="00E34581">
        <w:rPr>
          <w:rFonts w:ascii="Arial" w:hAnsi="Arial" w:cs="Arial"/>
          <w:sz w:val="22"/>
          <w:szCs w:val="22"/>
        </w:rPr>
        <w:t>The submission estimated that the cost per patient per treatment course was $</w:t>
      </w:r>
      <w:r w:rsidR="00DF3DBC">
        <w:rPr>
          <w:rFonts w:ascii="Arial" w:hAnsi="Arial" w:cs="Arial"/>
          <w:noProof/>
          <w:color w:val="000000"/>
          <w:sz w:val="22"/>
          <w:szCs w:val="22"/>
          <w:highlight w:val="black"/>
        </w:rPr>
        <w:t>'''''''''''''''''</w:t>
      </w:r>
      <w:r w:rsidRPr="00E34581">
        <w:rPr>
          <w:rFonts w:ascii="Arial" w:hAnsi="Arial" w:cs="Arial"/>
          <w:sz w:val="22"/>
          <w:szCs w:val="22"/>
        </w:rPr>
        <w:t>. The average cost per administration was $</w:t>
      </w:r>
      <w:r w:rsidR="00DF3DBC">
        <w:rPr>
          <w:rFonts w:ascii="Arial" w:hAnsi="Arial" w:cs="Arial"/>
          <w:noProof/>
          <w:color w:val="000000"/>
          <w:sz w:val="22"/>
          <w:szCs w:val="22"/>
          <w:highlight w:val="black"/>
        </w:rPr>
        <w:t>'''''''''''''</w:t>
      </w:r>
      <w:r w:rsidRPr="00E34581">
        <w:rPr>
          <w:rFonts w:ascii="Arial" w:hAnsi="Arial" w:cs="Arial"/>
          <w:sz w:val="22"/>
          <w:szCs w:val="22"/>
        </w:rPr>
        <w:t xml:space="preserve">, which was based on </w:t>
      </w:r>
      <w:r w:rsidR="007F7E81" w:rsidRPr="00E34581">
        <w:rPr>
          <w:rFonts w:ascii="Arial" w:hAnsi="Arial" w:cs="Arial"/>
          <w:sz w:val="22"/>
          <w:szCs w:val="22"/>
        </w:rPr>
        <w:t>four</w:t>
      </w:r>
      <w:r w:rsidRPr="00E34581">
        <w:rPr>
          <w:rFonts w:ascii="Arial" w:hAnsi="Arial" w:cs="Arial"/>
          <w:sz w:val="22"/>
          <w:szCs w:val="22"/>
        </w:rPr>
        <w:t xml:space="preserve"> </w:t>
      </w:r>
      <w:r w:rsidR="006F720C" w:rsidRPr="00E34581">
        <w:rPr>
          <w:rFonts w:ascii="Arial" w:hAnsi="Arial" w:cs="Arial"/>
          <w:sz w:val="22"/>
          <w:szCs w:val="22"/>
        </w:rPr>
        <w:t xml:space="preserve">50 mg </w:t>
      </w:r>
      <w:r w:rsidRPr="00E34581">
        <w:rPr>
          <w:rFonts w:ascii="Arial" w:hAnsi="Arial" w:cs="Arial"/>
          <w:sz w:val="22"/>
          <w:szCs w:val="22"/>
        </w:rPr>
        <w:t xml:space="preserve">vials per patient per administration. Each patient was assumed to have an average of </w:t>
      </w:r>
      <w:r w:rsidR="00FF2859" w:rsidRPr="00E34581">
        <w:rPr>
          <w:rFonts w:ascii="Arial" w:hAnsi="Arial" w:cs="Arial"/>
          <w:sz w:val="22"/>
          <w:szCs w:val="22"/>
        </w:rPr>
        <w:t>17.9</w:t>
      </w:r>
      <w:r w:rsidRPr="00E34581">
        <w:rPr>
          <w:rFonts w:ascii="Arial" w:hAnsi="Arial" w:cs="Arial"/>
          <w:sz w:val="22"/>
          <w:szCs w:val="22"/>
        </w:rPr>
        <w:t xml:space="preserve"> administrations (</w:t>
      </w:r>
      <w:r w:rsidR="003A753A" w:rsidRPr="00E34581">
        <w:rPr>
          <w:rFonts w:ascii="Arial" w:hAnsi="Arial" w:cs="Arial"/>
          <w:sz w:val="22"/>
          <w:szCs w:val="22"/>
        </w:rPr>
        <w:t>Q3W</w:t>
      </w:r>
      <w:r w:rsidRPr="00E34581">
        <w:rPr>
          <w:rFonts w:ascii="Arial" w:hAnsi="Arial" w:cs="Arial"/>
          <w:sz w:val="22"/>
          <w:szCs w:val="22"/>
        </w:rPr>
        <w:t>) per treatment course, based on</w:t>
      </w:r>
      <w:r w:rsidR="00FF2859" w:rsidRPr="00E34581">
        <w:rPr>
          <w:rFonts w:ascii="Arial" w:hAnsi="Arial" w:cs="Arial"/>
          <w:sz w:val="22"/>
          <w:szCs w:val="22"/>
        </w:rPr>
        <w:t xml:space="preserve"> estimates from the economic model, applying the maximum trea</w:t>
      </w:r>
      <w:r w:rsidR="00B23E59" w:rsidRPr="00E34581">
        <w:rPr>
          <w:rFonts w:ascii="Arial" w:hAnsi="Arial" w:cs="Arial"/>
          <w:sz w:val="22"/>
          <w:szCs w:val="22"/>
        </w:rPr>
        <w:t>tment duration of two years. Re</w:t>
      </w:r>
      <w:r w:rsidR="00FF2859" w:rsidRPr="00E34581">
        <w:rPr>
          <w:rFonts w:ascii="Arial" w:hAnsi="Arial" w:cs="Arial"/>
          <w:sz w:val="22"/>
          <w:szCs w:val="22"/>
        </w:rPr>
        <w:t xml:space="preserve">treatment for an additional </w:t>
      </w:r>
      <w:r w:rsidR="006F720C" w:rsidRPr="00E34581">
        <w:rPr>
          <w:rFonts w:ascii="Arial" w:hAnsi="Arial" w:cs="Arial"/>
          <w:sz w:val="22"/>
          <w:szCs w:val="22"/>
        </w:rPr>
        <w:t xml:space="preserve">12 months </w:t>
      </w:r>
      <w:r w:rsidR="00FF2859" w:rsidRPr="00E34581">
        <w:rPr>
          <w:rFonts w:ascii="Arial" w:hAnsi="Arial" w:cs="Arial"/>
          <w:sz w:val="22"/>
          <w:szCs w:val="22"/>
        </w:rPr>
        <w:t xml:space="preserve">was also </w:t>
      </w:r>
      <w:r w:rsidR="00DE5480" w:rsidRPr="00E34581">
        <w:rPr>
          <w:rFonts w:ascii="Arial" w:hAnsi="Arial" w:cs="Arial"/>
          <w:sz w:val="22"/>
          <w:szCs w:val="22"/>
        </w:rPr>
        <w:t>included</w:t>
      </w:r>
      <w:r w:rsidR="00FF2859" w:rsidRPr="00E34581">
        <w:rPr>
          <w:rFonts w:ascii="Arial" w:hAnsi="Arial" w:cs="Arial"/>
          <w:sz w:val="22"/>
          <w:szCs w:val="22"/>
        </w:rPr>
        <w:t xml:space="preserve"> in this estimate</w:t>
      </w:r>
      <w:r w:rsidRPr="00440AD0">
        <w:rPr>
          <w:rFonts w:ascii="Arial" w:hAnsi="Arial" w:cs="Arial"/>
          <w:sz w:val="22"/>
          <w:szCs w:val="22"/>
        </w:rPr>
        <w:t>.</w:t>
      </w:r>
      <w:r w:rsidR="009943C9" w:rsidRPr="00440AD0">
        <w:rPr>
          <w:rFonts w:ascii="Arial" w:hAnsi="Arial" w:cs="Arial"/>
          <w:sz w:val="22"/>
          <w:szCs w:val="22"/>
        </w:rPr>
        <w:t xml:space="preserve"> Based on the changes in the PSCR, the cost per patient per treatment course was revised to </w:t>
      </w:r>
      <w:r w:rsidR="009943C9" w:rsidRPr="00440AD0">
        <w:rPr>
          <w:rFonts w:ascii="Arial" w:hAnsi="Arial" w:cs="Arial"/>
          <w:sz w:val="22"/>
          <w:szCs w:val="22"/>
        </w:rPr>
        <w:lastRenderedPageBreak/>
        <w:t>$</w:t>
      </w:r>
      <w:r w:rsidR="00DF3DBC">
        <w:rPr>
          <w:rFonts w:ascii="Arial" w:hAnsi="Arial" w:cs="Arial"/>
          <w:noProof/>
          <w:color w:val="000000"/>
          <w:sz w:val="22"/>
          <w:szCs w:val="22"/>
          <w:highlight w:val="black"/>
        </w:rPr>
        <w:t>'''''''''''''''</w:t>
      </w:r>
      <w:r w:rsidR="00F03136">
        <w:rPr>
          <w:rFonts w:ascii="Arial" w:hAnsi="Arial" w:cs="Arial"/>
          <w:sz w:val="22"/>
          <w:szCs w:val="22"/>
        </w:rPr>
        <w:t>, and t</w:t>
      </w:r>
      <w:r w:rsidR="009943C9" w:rsidRPr="00440AD0">
        <w:rPr>
          <w:rFonts w:ascii="Arial" w:hAnsi="Arial" w:cs="Arial"/>
          <w:sz w:val="22"/>
          <w:szCs w:val="22"/>
        </w:rPr>
        <w:t>he average cost per administration was revised to $</w:t>
      </w:r>
      <w:r w:rsidR="00DF3DBC">
        <w:rPr>
          <w:rFonts w:ascii="Arial" w:hAnsi="Arial" w:cs="Arial"/>
          <w:noProof/>
          <w:color w:val="000000"/>
          <w:sz w:val="22"/>
          <w:szCs w:val="22"/>
          <w:highlight w:val="black"/>
        </w:rPr>
        <w:t>'''''''''''''''</w:t>
      </w:r>
      <w:r w:rsidR="009943C9" w:rsidRPr="00440AD0">
        <w:rPr>
          <w:rFonts w:ascii="Arial" w:hAnsi="Arial" w:cs="Arial"/>
          <w:sz w:val="22"/>
          <w:szCs w:val="22"/>
        </w:rPr>
        <w:t>.</w:t>
      </w:r>
      <w:r w:rsidR="00F03136">
        <w:rPr>
          <w:rFonts w:ascii="Arial" w:hAnsi="Arial" w:cs="Arial"/>
          <w:sz w:val="22"/>
          <w:szCs w:val="22"/>
        </w:rPr>
        <w:t xml:space="preserve"> Updates to these estimates were not available to reflect the further price reduction offered in the pre-PBAC response.</w:t>
      </w:r>
    </w:p>
    <w:p w:rsidR="0095055D" w:rsidRPr="00E34581" w:rsidRDefault="0095055D" w:rsidP="00C71CDD">
      <w:pPr>
        <w:pStyle w:val="ListParagraph"/>
        <w:ind w:left="0" w:firstLine="0"/>
        <w:rPr>
          <w:rFonts w:ascii="Arial" w:hAnsi="Arial" w:cs="Arial"/>
          <w:sz w:val="22"/>
          <w:szCs w:val="22"/>
        </w:rPr>
      </w:pPr>
    </w:p>
    <w:p w:rsidR="0095055D" w:rsidRPr="00E34581" w:rsidRDefault="0095055D" w:rsidP="009943C9">
      <w:pPr>
        <w:pStyle w:val="ListParagraph"/>
        <w:numPr>
          <w:ilvl w:val="1"/>
          <w:numId w:val="4"/>
        </w:numPr>
        <w:ind w:left="720"/>
        <w:rPr>
          <w:rFonts w:ascii="Arial" w:hAnsi="Arial" w:cs="Arial"/>
          <w:sz w:val="22"/>
          <w:szCs w:val="22"/>
        </w:rPr>
      </w:pPr>
      <w:r w:rsidRPr="00E34581">
        <w:rPr>
          <w:rFonts w:ascii="Arial" w:hAnsi="Arial" w:cs="Arial"/>
          <w:sz w:val="22"/>
          <w:szCs w:val="22"/>
        </w:rPr>
        <w:t xml:space="preserve">Comparator treatment cost per patient per course </w:t>
      </w:r>
      <w:r w:rsidR="00445CE9" w:rsidRPr="00E34581">
        <w:rPr>
          <w:rFonts w:ascii="Arial" w:hAnsi="Arial" w:cs="Arial"/>
          <w:sz w:val="22"/>
          <w:szCs w:val="22"/>
        </w:rPr>
        <w:t xml:space="preserve">of platinum-doublet chemotherapy </w:t>
      </w:r>
      <w:r w:rsidRPr="00E34581">
        <w:rPr>
          <w:rFonts w:ascii="Arial" w:hAnsi="Arial" w:cs="Arial"/>
          <w:sz w:val="22"/>
          <w:szCs w:val="22"/>
        </w:rPr>
        <w:t>was $</w:t>
      </w:r>
      <w:r w:rsidR="00445CE9" w:rsidRPr="00E34581">
        <w:rPr>
          <w:rFonts w:ascii="Arial" w:hAnsi="Arial" w:cs="Arial"/>
          <w:sz w:val="22"/>
          <w:szCs w:val="22"/>
        </w:rPr>
        <w:t>2,604</w:t>
      </w:r>
      <w:r w:rsidRPr="00E34581">
        <w:rPr>
          <w:rFonts w:ascii="Arial" w:hAnsi="Arial" w:cs="Arial"/>
          <w:sz w:val="22"/>
          <w:szCs w:val="22"/>
        </w:rPr>
        <w:t xml:space="preserve"> (revised: $</w:t>
      </w:r>
      <w:r w:rsidR="00445CE9" w:rsidRPr="00E34581">
        <w:rPr>
          <w:rFonts w:ascii="Arial" w:hAnsi="Arial" w:cs="Arial"/>
          <w:sz w:val="22"/>
          <w:szCs w:val="22"/>
        </w:rPr>
        <w:t>2,462</w:t>
      </w:r>
      <w:r w:rsidRPr="00E34581">
        <w:rPr>
          <w:rFonts w:ascii="Arial" w:hAnsi="Arial" w:cs="Arial"/>
          <w:sz w:val="22"/>
          <w:szCs w:val="22"/>
        </w:rPr>
        <w:t>)</w:t>
      </w:r>
      <w:r w:rsidRPr="00E34581">
        <w:rPr>
          <w:rStyle w:val="FootnoteReference"/>
          <w:rFonts w:ascii="Arial" w:hAnsi="Arial" w:cs="Arial"/>
          <w:sz w:val="22"/>
          <w:szCs w:val="22"/>
        </w:rPr>
        <w:footnoteReference w:id="10"/>
      </w:r>
      <w:r w:rsidRPr="00E34581">
        <w:rPr>
          <w:rFonts w:ascii="Arial" w:hAnsi="Arial" w:cs="Arial"/>
          <w:sz w:val="22"/>
          <w:szCs w:val="22"/>
        </w:rPr>
        <w:t xml:space="preserve">, based on </w:t>
      </w:r>
      <w:r w:rsidR="00445CE9" w:rsidRPr="00E34581">
        <w:rPr>
          <w:rFonts w:ascii="Arial" w:hAnsi="Arial" w:cs="Arial"/>
          <w:sz w:val="22"/>
          <w:szCs w:val="22"/>
        </w:rPr>
        <w:t>5</w:t>
      </w:r>
      <w:r w:rsidRPr="00E34581">
        <w:rPr>
          <w:rFonts w:ascii="Arial" w:hAnsi="Arial" w:cs="Arial"/>
          <w:sz w:val="22"/>
          <w:szCs w:val="22"/>
        </w:rPr>
        <w:t xml:space="preserve"> cycles </w:t>
      </w:r>
      <w:r w:rsidR="00445CE9" w:rsidRPr="00E34581">
        <w:rPr>
          <w:rFonts w:ascii="Arial" w:hAnsi="Arial" w:cs="Arial"/>
          <w:sz w:val="22"/>
          <w:szCs w:val="22"/>
        </w:rPr>
        <w:t xml:space="preserve">of </w:t>
      </w:r>
      <w:r w:rsidR="00392A33" w:rsidRPr="00E34581">
        <w:rPr>
          <w:rFonts w:ascii="Arial" w:hAnsi="Arial" w:cs="Arial"/>
          <w:sz w:val="22"/>
          <w:szCs w:val="22"/>
        </w:rPr>
        <w:t xml:space="preserve">carboplatin + gemcitabine </w:t>
      </w:r>
      <w:r w:rsidR="00445CE9" w:rsidRPr="00E34581">
        <w:rPr>
          <w:rFonts w:ascii="Arial" w:hAnsi="Arial" w:cs="Arial"/>
          <w:sz w:val="22"/>
          <w:szCs w:val="22"/>
        </w:rPr>
        <w:t xml:space="preserve">treatment </w:t>
      </w:r>
      <w:r w:rsidRPr="00E34581">
        <w:rPr>
          <w:rFonts w:ascii="Arial" w:hAnsi="Arial" w:cs="Arial"/>
          <w:sz w:val="22"/>
          <w:szCs w:val="22"/>
        </w:rPr>
        <w:t xml:space="preserve">(as per </w:t>
      </w:r>
      <w:r w:rsidR="00445CE9" w:rsidRPr="00E34581">
        <w:rPr>
          <w:rFonts w:ascii="Arial" w:hAnsi="Arial" w:cs="Arial"/>
          <w:sz w:val="22"/>
          <w:szCs w:val="22"/>
        </w:rPr>
        <w:t>clinical practice guidelines</w:t>
      </w:r>
      <w:r w:rsidRPr="00E34581">
        <w:rPr>
          <w:rFonts w:ascii="Arial" w:hAnsi="Arial" w:cs="Arial"/>
          <w:sz w:val="22"/>
          <w:szCs w:val="22"/>
        </w:rPr>
        <w:t>).</w:t>
      </w:r>
      <w:r w:rsidR="00445CE9" w:rsidRPr="00E34581">
        <w:rPr>
          <w:rFonts w:ascii="Arial" w:hAnsi="Arial" w:cs="Arial"/>
          <w:sz w:val="22"/>
          <w:szCs w:val="22"/>
        </w:rPr>
        <w:t xml:space="preserve"> Pemetrexed maintenance was additionally assumed in 15% of patients with non-squamous histology. Patients w</w:t>
      </w:r>
      <w:r w:rsidR="002E0B43" w:rsidRPr="00E34581">
        <w:rPr>
          <w:rFonts w:ascii="Arial" w:hAnsi="Arial" w:cs="Arial"/>
          <w:sz w:val="22"/>
          <w:szCs w:val="22"/>
        </w:rPr>
        <w:t xml:space="preserve">ho </w:t>
      </w:r>
      <w:r w:rsidR="00C03B62" w:rsidRPr="00E34581">
        <w:rPr>
          <w:rFonts w:ascii="Arial" w:hAnsi="Arial" w:cs="Arial"/>
          <w:sz w:val="22"/>
          <w:szCs w:val="22"/>
        </w:rPr>
        <w:t>received pemetrexed maintenance w</w:t>
      </w:r>
      <w:r w:rsidR="00445CE9" w:rsidRPr="00E34581">
        <w:rPr>
          <w:rFonts w:ascii="Arial" w:hAnsi="Arial" w:cs="Arial"/>
          <w:sz w:val="22"/>
          <w:szCs w:val="22"/>
        </w:rPr>
        <w:t>ere assumed to receive 6.47 cycles of maintenance, at a cost of $20,267 (revised: $20,138)</w:t>
      </w:r>
      <w:r w:rsidR="00445CE9" w:rsidRPr="00E34581">
        <w:rPr>
          <w:rStyle w:val="FootnoteReference"/>
          <w:rFonts w:ascii="Arial" w:hAnsi="Arial" w:cs="Arial"/>
          <w:sz w:val="22"/>
          <w:szCs w:val="22"/>
        </w:rPr>
        <w:footnoteReference w:id="11"/>
      </w:r>
      <w:r w:rsidR="00445CE9" w:rsidRPr="00E34581">
        <w:rPr>
          <w:rFonts w:ascii="Arial" w:hAnsi="Arial" w:cs="Arial"/>
          <w:sz w:val="22"/>
          <w:szCs w:val="22"/>
        </w:rPr>
        <w:t xml:space="preserve"> per course.</w:t>
      </w:r>
      <w:r w:rsidR="009943C9" w:rsidRPr="00440AD0">
        <w:rPr>
          <w:rFonts w:ascii="Arial" w:hAnsi="Arial" w:cs="Arial"/>
          <w:sz w:val="22"/>
          <w:szCs w:val="22"/>
        </w:rPr>
        <w:t xml:space="preserve"> The cost of pemetrexed was reduced by 85% in the PSCR, as per the April 2017 price cuts. This resulted in a cost of $3,806 (revised: $3,786) per course.</w:t>
      </w:r>
    </w:p>
    <w:p w:rsidR="00DB304C" w:rsidRPr="00F6757B" w:rsidRDefault="00DB304C" w:rsidP="00F6757B">
      <w:pPr>
        <w:pStyle w:val="Heading2"/>
      </w:pPr>
      <w:r w:rsidRPr="00F6757B">
        <w:t>Estimated extent of use and financial implications</w:t>
      </w:r>
    </w:p>
    <w:p w:rsidR="00915C06" w:rsidRPr="002478FF" w:rsidRDefault="00915C06" w:rsidP="00915C06">
      <w:pPr>
        <w:pStyle w:val="ListParagraph"/>
        <w:numPr>
          <w:ilvl w:val="1"/>
          <w:numId w:val="4"/>
        </w:numPr>
        <w:ind w:left="720"/>
        <w:rPr>
          <w:rFonts w:ascii="Arial" w:hAnsi="Arial" w:cs="Arial"/>
          <w:bCs/>
          <w:sz w:val="22"/>
          <w:szCs w:val="22"/>
        </w:rPr>
      </w:pPr>
      <w:r w:rsidRPr="002478FF">
        <w:rPr>
          <w:rFonts w:ascii="Arial" w:hAnsi="Arial" w:cs="Arial"/>
          <w:bCs/>
          <w:sz w:val="22"/>
          <w:szCs w:val="22"/>
        </w:rPr>
        <w:t xml:space="preserve">DUSC </w:t>
      </w:r>
      <w:r w:rsidRPr="002478FF">
        <w:rPr>
          <w:rFonts w:ascii="Arial" w:hAnsi="Arial" w:cs="Arial"/>
          <w:sz w:val="22"/>
          <w:szCs w:val="22"/>
        </w:rPr>
        <w:t>considered</w:t>
      </w:r>
      <w:r w:rsidRPr="002478FF">
        <w:rPr>
          <w:rFonts w:ascii="Arial" w:hAnsi="Arial" w:cs="Arial"/>
          <w:bCs/>
          <w:sz w:val="22"/>
          <w:szCs w:val="22"/>
        </w:rPr>
        <w:t xml:space="preserve"> the estimates presented in the submission to be broadly reasonable. The main issues were identified as being:</w:t>
      </w:r>
    </w:p>
    <w:p w:rsidR="00915C06" w:rsidRPr="002478FF" w:rsidRDefault="00915C06" w:rsidP="00915C06">
      <w:pPr>
        <w:pStyle w:val="ListParagraph"/>
        <w:numPr>
          <w:ilvl w:val="0"/>
          <w:numId w:val="23"/>
        </w:numPr>
        <w:rPr>
          <w:rFonts w:ascii="Arial" w:hAnsi="Arial" w:cs="Arial"/>
          <w:bCs/>
          <w:sz w:val="22"/>
          <w:szCs w:val="22"/>
        </w:rPr>
      </w:pPr>
      <w:r w:rsidRPr="002478FF">
        <w:rPr>
          <w:rFonts w:ascii="Arial" w:hAnsi="Arial" w:cs="Arial"/>
          <w:bCs/>
          <w:sz w:val="22"/>
          <w:szCs w:val="22"/>
        </w:rPr>
        <w:t xml:space="preserve">The rate of patients diagnosed with </w:t>
      </w:r>
      <w:r>
        <w:rPr>
          <w:rFonts w:ascii="Arial" w:hAnsi="Arial" w:cs="Arial"/>
          <w:bCs/>
          <w:sz w:val="22"/>
          <w:szCs w:val="22"/>
        </w:rPr>
        <w:t>S</w:t>
      </w:r>
      <w:r w:rsidRPr="002478FF">
        <w:rPr>
          <w:rFonts w:ascii="Arial" w:hAnsi="Arial" w:cs="Arial"/>
          <w:bCs/>
          <w:sz w:val="22"/>
          <w:szCs w:val="22"/>
        </w:rPr>
        <w:t xml:space="preserve">tage IV NSCLC </w:t>
      </w:r>
      <w:r>
        <w:rPr>
          <w:rFonts w:ascii="Arial" w:hAnsi="Arial" w:cs="Arial"/>
          <w:bCs/>
          <w:sz w:val="22"/>
          <w:szCs w:val="22"/>
        </w:rPr>
        <w:t>wa</w:t>
      </w:r>
      <w:r w:rsidRPr="002478FF">
        <w:rPr>
          <w:rFonts w:ascii="Arial" w:hAnsi="Arial" w:cs="Arial"/>
          <w:bCs/>
          <w:sz w:val="22"/>
          <w:szCs w:val="22"/>
        </w:rPr>
        <w:t>s likely underestimated.</w:t>
      </w:r>
    </w:p>
    <w:p w:rsidR="00915C06" w:rsidRPr="002478FF" w:rsidRDefault="00915C06" w:rsidP="00915C06">
      <w:pPr>
        <w:pStyle w:val="ListParagraph"/>
        <w:numPr>
          <w:ilvl w:val="0"/>
          <w:numId w:val="23"/>
        </w:numPr>
        <w:rPr>
          <w:rFonts w:ascii="Arial" w:hAnsi="Arial" w:cs="Arial"/>
          <w:bCs/>
          <w:sz w:val="22"/>
          <w:szCs w:val="22"/>
        </w:rPr>
      </w:pPr>
      <w:r w:rsidRPr="002478FF">
        <w:rPr>
          <w:rFonts w:ascii="Arial" w:hAnsi="Arial" w:cs="Arial"/>
          <w:bCs/>
          <w:sz w:val="22"/>
          <w:szCs w:val="22"/>
        </w:rPr>
        <w:t xml:space="preserve">It </w:t>
      </w:r>
      <w:r>
        <w:rPr>
          <w:rFonts w:ascii="Arial" w:hAnsi="Arial" w:cs="Arial"/>
          <w:bCs/>
          <w:sz w:val="22"/>
          <w:szCs w:val="22"/>
        </w:rPr>
        <w:t>wa</w:t>
      </w:r>
      <w:r w:rsidRPr="002478FF">
        <w:rPr>
          <w:rFonts w:ascii="Arial" w:hAnsi="Arial" w:cs="Arial"/>
          <w:bCs/>
          <w:sz w:val="22"/>
          <w:szCs w:val="22"/>
        </w:rPr>
        <w:t xml:space="preserve">s unclear how the rate of progression to </w:t>
      </w:r>
      <w:r>
        <w:rPr>
          <w:rFonts w:ascii="Arial" w:hAnsi="Arial" w:cs="Arial"/>
          <w:bCs/>
          <w:sz w:val="22"/>
          <w:szCs w:val="22"/>
        </w:rPr>
        <w:t>S</w:t>
      </w:r>
      <w:r w:rsidRPr="002478FF">
        <w:rPr>
          <w:rFonts w:ascii="Arial" w:hAnsi="Arial" w:cs="Arial"/>
          <w:bCs/>
          <w:sz w:val="22"/>
          <w:szCs w:val="22"/>
        </w:rPr>
        <w:t>tage IV disease from earlier stages of disease was determined.</w:t>
      </w:r>
    </w:p>
    <w:p w:rsidR="00915C06" w:rsidRPr="002478FF" w:rsidRDefault="00915C06" w:rsidP="00915C06">
      <w:pPr>
        <w:pStyle w:val="ListParagraph"/>
        <w:numPr>
          <w:ilvl w:val="0"/>
          <w:numId w:val="23"/>
        </w:numPr>
        <w:rPr>
          <w:rFonts w:ascii="Arial" w:hAnsi="Arial" w:cs="Arial"/>
          <w:bCs/>
          <w:sz w:val="22"/>
          <w:szCs w:val="22"/>
        </w:rPr>
      </w:pPr>
      <w:r w:rsidRPr="002478FF">
        <w:rPr>
          <w:rFonts w:ascii="Arial" w:hAnsi="Arial" w:cs="Arial"/>
          <w:bCs/>
          <w:sz w:val="22"/>
          <w:szCs w:val="22"/>
        </w:rPr>
        <w:t xml:space="preserve">The estimates should be updated to reflect the amendment to the </w:t>
      </w:r>
      <w:r>
        <w:rPr>
          <w:rFonts w:ascii="Arial" w:hAnsi="Arial" w:cs="Arial"/>
          <w:bCs/>
          <w:sz w:val="22"/>
          <w:szCs w:val="22"/>
        </w:rPr>
        <w:t xml:space="preserve">revised </w:t>
      </w:r>
      <w:r w:rsidRPr="002478FF">
        <w:rPr>
          <w:rFonts w:ascii="Arial" w:hAnsi="Arial" w:cs="Arial"/>
          <w:bCs/>
          <w:sz w:val="22"/>
          <w:szCs w:val="22"/>
        </w:rPr>
        <w:t>proposed PBS restriction</w:t>
      </w:r>
      <w:r>
        <w:rPr>
          <w:rFonts w:ascii="Arial" w:hAnsi="Arial" w:cs="Arial"/>
          <w:bCs/>
          <w:sz w:val="22"/>
          <w:szCs w:val="22"/>
        </w:rPr>
        <w:t>,</w:t>
      </w:r>
      <w:r w:rsidRPr="002478FF">
        <w:rPr>
          <w:rFonts w:ascii="Arial" w:hAnsi="Arial" w:cs="Arial"/>
          <w:bCs/>
          <w:sz w:val="22"/>
          <w:szCs w:val="22"/>
        </w:rPr>
        <w:t xml:space="preserve"> which only includes treatment of patients with </w:t>
      </w:r>
      <w:r>
        <w:rPr>
          <w:rFonts w:ascii="Arial" w:hAnsi="Arial" w:cs="Arial"/>
          <w:bCs/>
          <w:sz w:val="22"/>
          <w:szCs w:val="22"/>
        </w:rPr>
        <w:t xml:space="preserve">a </w:t>
      </w:r>
      <w:r w:rsidRPr="002478FF">
        <w:rPr>
          <w:rFonts w:ascii="Arial" w:hAnsi="Arial" w:cs="Arial"/>
          <w:bCs/>
          <w:sz w:val="22"/>
          <w:szCs w:val="22"/>
        </w:rPr>
        <w:t>performanc</w:t>
      </w:r>
      <w:r>
        <w:rPr>
          <w:rFonts w:ascii="Arial" w:hAnsi="Arial" w:cs="Arial"/>
          <w:bCs/>
          <w:sz w:val="22"/>
          <w:szCs w:val="22"/>
        </w:rPr>
        <w:t xml:space="preserve">e status of </w:t>
      </w:r>
      <w:r w:rsidRPr="002478FF">
        <w:rPr>
          <w:rFonts w:ascii="Arial" w:hAnsi="Arial" w:cs="Arial"/>
          <w:bCs/>
          <w:sz w:val="22"/>
          <w:szCs w:val="22"/>
        </w:rPr>
        <w:t>0 or 1.</w:t>
      </w:r>
    </w:p>
    <w:p w:rsidR="00915C06" w:rsidRDefault="00915C06" w:rsidP="00915C06">
      <w:pPr>
        <w:pStyle w:val="ListParagraph"/>
        <w:numPr>
          <w:ilvl w:val="0"/>
          <w:numId w:val="23"/>
        </w:numPr>
        <w:rPr>
          <w:rFonts w:ascii="Arial" w:hAnsi="Arial" w:cs="Arial"/>
          <w:bCs/>
          <w:sz w:val="22"/>
          <w:szCs w:val="22"/>
        </w:rPr>
      </w:pPr>
      <w:r w:rsidRPr="002478FF">
        <w:rPr>
          <w:rFonts w:ascii="Arial" w:hAnsi="Arial" w:cs="Arial"/>
          <w:bCs/>
          <w:sz w:val="22"/>
          <w:szCs w:val="22"/>
        </w:rPr>
        <w:t xml:space="preserve">There </w:t>
      </w:r>
      <w:r>
        <w:rPr>
          <w:rFonts w:ascii="Arial" w:hAnsi="Arial" w:cs="Arial"/>
          <w:bCs/>
          <w:sz w:val="22"/>
          <w:szCs w:val="22"/>
        </w:rPr>
        <w:t>we</w:t>
      </w:r>
      <w:r w:rsidRPr="002478FF">
        <w:rPr>
          <w:rFonts w:ascii="Arial" w:hAnsi="Arial" w:cs="Arial"/>
          <w:bCs/>
          <w:sz w:val="22"/>
          <w:szCs w:val="22"/>
        </w:rPr>
        <w:t>re no data provided to support the proposed PBS restriction for retreatment.</w:t>
      </w:r>
    </w:p>
    <w:p w:rsidR="00915C06" w:rsidRDefault="00915C06" w:rsidP="00915C06">
      <w:pPr>
        <w:rPr>
          <w:rFonts w:ascii="Arial" w:hAnsi="Arial" w:cs="Arial"/>
          <w:bCs/>
          <w:sz w:val="22"/>
          <w:szCs w:val="22"/>
        </w:rPr>
      </w:pPr>
    </w:p>
    <w:p w:rsidR="00EA4B35" w:rsidRPr="002478FF" w:rsidRDefault="00EA4B35" w:rsidP="00EA4B35">
      <w:pPr>
        <w:pStyle w:val="ListParagraph"/>
        <w:numPr>
          <w:ilvl w:val="1"/>
          <w:numId w:val="4"/>
        </w:numPr>
        <w:ind w:left="720"/>
        <w:rPr>
          <w:rFonts w:ascii="Arial" w:hAnsi="Arial" w:cs="Arial"/>
          <w:sz w:val="22"/>
          <w:szCs w:val="22"/>
        </w:rPr>
      </w:pPr>
      <w:r w:rsidRPr="002478FF">
        <w:rPr>
          <w:rFonts w:ascii="Arial" w:hAnsi="Arial" w:cs="Arial"/>
          <w:sz w:val="22"/>
          <w:szCs w:val="22"/>
        </w:rPr>
        <w:t>The PSCR provided revised estimates of usage and financial implications as a result of removing Stage IIIB patients from the proposed PBS restriction, increasing the uptake in years’ two to five, and decreasing the price. These estimates were able to be replicated</w:t>
      </w:r>
      <w:r w:rsidR="00F03136">
        <w:rPr>
          <w:rFonts w:ascii="Arial" w:hAnsi="Arial" w:cs="Arial"/>
          <w:sz w:val="22"/>
          <w:szCs w:val="22"/>
        </w:rPr>
        <w:t>,</w:t>
      </w:r>
      <w:r w:rsidRPr="002478FF">
        <w:rPr>
          <w:rFonts w:ascii="Arial" w:hAnsi="Arial" w:cs="Arial"/>
          <w:sz w:val="22"/>
          <w:szCs w:val="22"/>
        </w:rPr>
        <w:t xml:space="preserve"> and are shown in the table below.</w:t>
      </w:r>
    </w:p>
    <w:p w:rsidR="00EA4B35" w:rsidRPr="002478FF" w:rsidRDefault="00EA4B35" w:rsidP="00EA4B35">
      <w:pPr>
        <w:pStyle w:val="ListParagraph"/>
        <w:ind w:left="0" w:firstLine="0"/>
        <w:rPr>
          <w:rFonts w:ascii="Arial" w:hAnsi="Arial" w:cs="Arial"/>
          <w:sz w:val="22"/>
          <w:szCs w:val="22"/>
        </w:rPr>
      </w:pPr>
    </w:p>
    <w:p w:rsidR="00C645F3" w:rsidRPr="002478FF" w:rsidRDefault="00C645F3" w:rsidP="00C645F3">
      <w:pPr>
        <w:rPr>
          <w:lang w:val="en-US"/>
        </w:rPr>
      </w:pPr>
      <w:r w:rsidRPr="002478FF">
        <w:rPr>
          <w:rFonts w:ascii="Arial Narrow" w:hAnsi="Arial Narrow"/>
          <w:b/>
          <w:sz w:val="20"/>
        </w:rPr>
        <w:t>Table 1</w:t>
      </w:r>
      <w:r w:rsidR="000D7616">
        <w:rPr>
          <w:rFonts w:ascii="Arial Narrow" w:hAnsi="Arial Narrow"/>
          <w:b/>
          <w:sz w:val="20"/>
        </w:rPr>
        <w:t>9</w:t>
      </w:r>
      <w:r w:rsidRPr="002478FF">
        <w:rPr>
          <w:rFonts w:ascii="Arial Narrow" w:hAnsi="Arial Narrow"/>
          <w:b/>
          <w:sz w:val="20"/>
        </w:rPr>
        <w:t>: Estimation of the population likely to be treated with pembrolizumab and the cost to the PBS/RPBS</w:t>
      </w:r>
    </w:p>
    <w:tbl>
      <w:tblPr>
        <w:tblStyle w:val="TableGrid"/>
        <w:tblW w:w="8963" w:type="dxa"/>
        <w:tblInd w:w="108" w:type="dxa"/>
        <w:tblLayout w:type="fixed"/>
        <w:tblLook w:val="04A0" w:firstRow="1" w:lastRow="0" w:firstColumn="1" w:lastColumn="0" w:noHBand="0" w:noVBand="1"/>
        <w:tblCaption w:val="Table 19: Estimation of the population likely to be treated with pembrolizumab and the cost to the PBS/RPBS"/>
      </w:tblPr>
      <w:tblGrid>
        <w:gridCol w:w="2416"/>
        <w:gridCol w:w="1309"/>
        <w:gridCol w:w="1309"/>
        <w:gridCol w:w="1310"/>
        <w:gridCol w:w="1309"/>
        <w:gridCol w:w="1310"/>
      </w:tblGrid>
      <w:tr w:rsidR="00C645F3" w:rsidRPr="002478FF" w:rsidTr="000052EA">
        <w:trPr>
          <w:trHeight w:val="228"/>
          <w:tblHeader/>
        </w:trPr>
        <w:tc>
          <w:tcPr>
            <w:tcW w:w="2416" w:type="dxa"/>
          </w:tcPr>
          <w:p w:rsidR="00C645F3" w:rsidRPr="002478FF" w:rsidRDefault="00C645F3" w:rsidP="00D24346">
            <w:pPr>
              <w:rPr>
                <w:rFonts w:ascii="Arial Narrow" w:hAnsi="Arial Narrow"/>
                <w:sz w:val="20"/>
                <w:lang w:val="en-US"/>
              </w:rPr>
            </w:pPr>
          </w:p>
        </w:tc>
        <w:tc>
          <w:tcPr>
            <w:tcW w:w="1309" w:type="dxa"/>
            <w:vAlign w:val="bottom"/>
          </w:tcPr>
          <w:p w:rsidR="00C645F3" w:rsidRPr="002478FF" w:rsidRDefault="00C645F3" w:rsidP="00D24346">
            <w:pPr>
              <w:jc w:val="center"/>
              <w:rPr>
                <w:rFonts w:ascii="Arial Narrow" w:hAnsi="Arial Narrow"/>
                <w:sz w:val="20"/>
                <w:lang w:val="en-US"/>
              </w:rPr>
            </w:pPr>
            <w:r w:rsidRPr="002478FF">
              <w:rPr>
                <w:rFonts w:ascii="Arial Narrow" w:hAnsi="Arial Narrow" w:cs="Arial"/>
                <w:b/>
                <w:bCs/>
                <w:sz w:val="20"/>
              </w:rPr>
              <w:t>Year 1</w:t>
            </w:r>
          </w:p>
        </w:tc>
        <w:tc>
          <w:tcPr>
            <w:tcW w:w="1309" w:type="dxa"/>
            <w:vAlign w:val="bottom"/>
          </w:tcPr>
          <w:p w:rsidR="00C645F3" w:rsidRPr="002478FF" w:rsidRDefault="00C645F3" w:rsidP="00D24346">
            <w:pPr>
              <w:jc w:val="center"/>
              <w:rPr>
                <w:rFonts w:ascii="Arial Narrow" w:hAnsi="Arial Narrow"/>
                <w:sz w:val="20"/>
                <w:lang w:val="en-US"/>
              </w:rPr>
            </w:pPr>
            <w:r w:rsidRPr="002478FF">
              <w:rPr>
                <w:rFonts w:ascii="Arial Narrow" w:hAnsi="Arial Narrow" w:cs="Arial"/>
                <w:b/>
                <w:bCs/>
                <w:sz w:val="20"/>
              </w:rPr>
              <w:t>Year 2</w:t>
            </w:r>
          </w:p>
        </w:tc>
        <w:tc>
          <w:tcPr>
            <w:tcW w:w="1310" w:type="dxa"/>
            <w:vAlign w:val="bottom"/>
          </w:tcPr>
          <w:p w:rsidR="00C645F3" w:rsidRPr="002478FF" w:rsidRDefault="00C645F3" w:rsidP="00D24346">
            <w:pPr>
              <w:jc w:val="center"/>
              <w:rPr>
                <w:rFonts w:ascii="Arial Narrow" w:hAnsi="Arial Narrow"/>
                <w:sz w:val="20"/>
                <w:lang w:val="en-US"/>
              </w:rPr>
            </w:pPr>
            <w:r w:rsidRPr="002478FF">
              <w:rPr>
                <w:rFonts w:ascii="Arial Narrow" w:hAnsi="Arial Narrow" w:cs="Arial"/>
                <w:b/>
                <w:bCs/>
                <w:sz w:val="20"/>
              </w:rPr>
              <w:t>Year 3</w:t>
            </w:r>
          </w:p>
        </w:tc>
        <w:tc>
          <w:tcPr>
            <w:tcW w:w="1309" w:type="dxa"/>
            <w:vAlign w:val="bottom"/>
          </w:tcPr>
          <w:p w:rsidR="00C645F3" w:rsidRPr="002478FF" w:rsidRDefault="00C645F3" w:rsidP="00D24346">
            <w:pPr>
              <w:jc w:val="center"/>
              <w:rPr>
                <w:rFonts w:ascii="Arial Narrow" w:hAnsi="Arial Narrow"/>
                <w:sz w:val="20"/>
                <w:lang w:val="en-US"/>
              </w:rPr>
            </w:pPr>
            <w:r w:rsidRPr="002478FF">
              <w:rPr>
                <w:rFonts w:ascii="Arial Narrow" w:hAnsi="Arial Narrow" w:cs="Arial"/>
                <w:b/>
                <w:bCs/>
                <w:sz w:val="20"/>
              </w:rPr>
              <w:t>Year 4</w:t>
            </w:r>
          </w:p>
        </w:tc>
        <w:tc>
          <w:tcPr>
            <w:tcW w:w="1310" w:type="dxa"/>
            <w:vAlign w:val="bottom"/>
          </w:tcPr>
          <w:p w:rsidR="00C645F3" w:rsidRPr="002478FF" w:rsidRDefault="00C645F3" w:rsidP="00D24346">
            <w:pPr>
              <w:jc w:val="center"/>
              <w:rPr>
                <w:rFonts w:ascii="Arial Narrow" w:hAnsi="Arial Narrow"/>
                <w:sz w:val="20"/>
                <w:lang w:val="en-US"/>
              </w:rPr>
            </w:pPr>
            <w:r w:rsidRPr="002478FF">
              <w:rPr>
                <w:rFonts w:ascii="Arial Narrow" w:hAnsi="Arial Narrow" w:cs="Arial"/>
                <w:b/>
                <w:bCs/>
                <w:sz w:val="20"/>
              </w:rPr>
              <w:t>Year 5</w:t>
            </w:r>
          </w:p>
        </w:tc>
      </w:tr>
      <w:tr w:rsidR="00C645F3" w:rsidRPr="002478FF" w:rsidTr="00CE0674">
        <w:trPr>
          <w:trHeight w:val="432"/>
        </w:trPr>
        <w:tc>
          <w:tcPr>
            <w:tcW w:w="2416" w:type="dxa"/>
          </w:tcPr>
          <w:p w:rsidR="00C645F3" w:rsidRPr="002478FF" w:rsidRDefault="00C645F3" w:rsidP="00D24346">
            <w:pPr>
              <w:rPr>
                <w:rFonts w:ascii="Arial Narrow" w:hAnsi="Arial Narrow"/>
                <w:sz w:val="20"/>
                <w:lang w:val="en-US"/>
              </w:rPr>
            </w:pPr>
            <w:r w:rsidRPr="002478FF">
              <w:rPr>
                <w:rFonts w:ascii="Arial Narrow" w:hAnsi="Arial Narrow"/>
                <w:sz w:val="20"/>
                <w:lang w:val="en-US"/>
              </w:rPr>
              <w:t>Patients eligible for first-line pembrolizumab</w:t>
            </w:r>
          </w:p>
        </w:tc>
        <w:tc>
          <w:tcPr>
            <w:tcW w:w="1309" w:type="dxa"/>
          </w:tcPr>
          <w:p w:rsidR="00C645F3" w:rsidRPr="00DF3DBC" w:rsidRDefault="00DF3DBC" w:rsidP="00D24346">
            <w:pPr>
              <w:jc w:val="center"/>
              <w:rPr>
                <w:rFonts w:ascii="Arial Narrow" w:hAnsi="Arial Narrow" w:cs="Arial"/>
                <w:b/>
                <w:bCs/>
                <w:sz w:val="20"/>
                <w:highlight w:val="black"/>
              </w:rPr>
            </w:pPr>
            <w:r>
              <w:rPr>
                <w:rFonts w:ascii="Arial Narrow" w:hAnsi="Arial Narrow"/>
                <w:noProof/>
                <w:color w:val="000000"/>
                <w:sz w:val="20"/>
                <w:highlight w:val="black"/>
                <w:lang w:val="en-US"/>
              </w:rPr>
              <w:t>''''''''''''''</w:t>
            </w:r>
          </w:p>
        </w:tc>
        <w:tc>
          <w:tcPr>
            <w:tcW w:w="1309" w:type="dxa"/>
          </w:tcPr>
          <w:p w:rsidR="00C645F3" w:rsidRPr="00DF3DBC" w:rsidRDefault="00DF3DBC" w:rsidP="00D24346">
            <w:pPr>
              <w:jc w:val="center"/>
              <w:rPr>
                <w:rFonts w:ascii="Arial Narrow" w:hAnsi="Arial Narrow" w:cs="Arial"/>
                <w:b/>
                <w:bCs/>
                <w:sz w:val="20"/>
                <w:highlight w:val="black"/>
              </w:rPr>
            </w:pPr>
            <w:r>
              <w:rPr>
                <w:rFonts w:ascii="Arial Narrow" w:hAnsi="Arial Narrow"/>
                <w:noProof/>
                <w:color w:val="000000"/>
                <w:sz w:val="20"/>
                <w:highlight w:val="black"/>
                <w:lang w:val="en-US"/>
              </w:rPr>
              <w:t>''''''''''''''</w:t>
            </w:r>
          </w:p>
        </w:tc>
        <w:tc>
          <w:tcPr>
            <w:tcW w:w="1310" w:type="dxa"/>
          </w:tcPr>
          <w:p w:rsidR="00C645F3" w:rsidRPr="00DF3DBC" w:rsidRDefault="00DF3DBC" w:rsidP="00D24346">
            <w:pPr>
              <w:jc w:val="center"/>
              <w:rPr>
                <w:rFonts w:ascii="Arial Narrow" w:hAnsi="Arial Narrow" w:cs="Arial"/>
                <w:b/>
                <w:bCs/>
                <w:sz w:val="20"/>
                <w:highlight w:val="black"/>
              </w:rPr>
            </w:pPr>
            <w:r>
              <w:rPr>
                <w:rFonts w:ascii="Arial Narrow" w:hAnsi="Arial Narrow"/>
                <w:noProof/>
                <w:color w:val="000000"/>
                <w:sz w:val="20"/>
                <w:highlight w:val="black"/>
                <w:lang w:val="en-US"/>
              </w:rPr>
              <w:t>'''''''''''''</w:t>
            </w:r>
          </w:p>
        </w:tc>
        <w:tc>
          <w:tcPr>
            <w:tcW w:w="1309" w:type="dxa"/>
          </w:tcPr>
          <w:p w:rsidR="00C645F3" w:rsidRPr="00DF3DBC" w:rsidRDefault="00DF3DBC" w:rsidP="00D24346">
            <w:pPr>
              <w:jc w:val="center"/>
              <w:rPr>
                <w:rFonts w:ascii="Arial Narrow" w:hAnsi="Arial Narrow" w:cs="Arial"/>
                <w:b/>
                <w:bCs/>
                <w:sz w:val="20"/>
                <w:highlight w:val="black"/>
              </w:rPr>
            </w:pPr>
            <w:r>
              <w:rPr>
                <w:rFonts w:ascii="Arial Narrow" w:hAnsi="Arial Narrow"/>
                <w:noProof/>
                <w:color w:val="000000"/>
                <w:sz w:val="20"/>
                <w:highlight w:val="black"/>
                <w:lang w:val="en-US"/>
              </w:rPr>
              <w:t>'''''''''''''</w:t>
            </w:r>
          </w:p>
        </w:tc>
        <w:tc>
          <w:tcPr>
            <w:tcW w:w="1310" w:type="dxa"/>
          </w:tcPr>
          <w:p w:rsidR="00C645F3" w:rsidRPr="00DF3DBC" w:rsidRDefault="00DF3DBC" w:rsidP="00D24346">
            <w:pPr>
              <w:jc w:val="center"/>
              <w:rPr>
                <w:rFonts w:ascii="Arial Narrow" w:hAnsi="Arial Narrow" w:cs="Arial"/>
                <w:b/>
                <w:bCs/>
                <w:sz w:val="20"/>
                <w:highlight w:val="black"/>
              </w:rPr>
            </w:pPr>
            <w:r>
              <w:rPr>
                <w:rFonts w:ascii="Arial Narrow" w:hAnsi="Arial Narrow"/>
                <w:noProof/>
                <w:color w:val="000000"/>
                <w:sz w:val="20"/>
                <w:highlight w:val="black"/>
                <w:lang w:val="en-US"/>
              </w:rPr>
              <w:t>''''''''''''</w:t>
            </w:r>
          </w:p>
        </w:tc>
      </w:tr>
      <w:tr w:rsidR="00C645F3" w:rsidRPr="002478FF" w:rsidTr="00CE0674">
        <w:trPr>
          <w:trHeight w:val="228"/>
        </w:trPr>
        <w:tc>
          <w:tcPr>
            <w:tcW w:w="2416" w:type="dxa"/>
          </w:tcPr>
          <w:p w:rsidR="00C645F3" w:rsidRPr="002478FF" w:rsidRDefault="00C645F3" w:rsidP="00D24346">
            <w:pPr>
              <w:rPr>
                <w:rFonts w:ascii="Arial Narrow" w:hAnsi="Arial Narrow"/>
                <w:sz w:val="20"/>
                <w:lang w:val="en-US"/>
              </w:rPr>
            </w:pPr>
            <w:r w:rsidRPr="002478FF">
              <w:rPr>
                <w:rFonts w:ascii="Arial Narrow" w:hAnsi="Arial Narrow"/>
                <w:sz w:val="20"/>
                <w:lang w:val="en-US"/>
              </w:rPr>
              <w:t>Pembrolizumab uptake</w:t>
            </w:r>
          </w:p>
        </w:tc>
        <w:tc>
          <w:tcPr>
            <w:tcW w:w="1309" w:type="dxa"/>
          </w:tcPr>
          <w:p w:rsidR="00C645F3" w:rsidRPr="002478FF" w:rsidRDefault="00DF3DBC" w:rsidP="00D24346">
            <w:pPr>
              <w:jc w:val="center"/>
              <w:rPr>
                <w:rFonts w:ascii="Arial Narrow" w:hAnsi="Arial Narrow"/>
                <w:sz w:val="20"/>
                <w:lang w:val="en-US"/>
              </w:rPr>
            </w:pPr>
            <w:r>
              <w:rPr>
                <w:rFonts w:ascii="Arial Narrow" w:hAnsi="Arial Narrow"/>
                <w:noProof/>
                <w:color w:val="000000"/>
                <w:sz w:val="20"/>
                <w:highlight w:val="black"/>
                <w:lang w:val="en-US"/>
              </w:rPr>
              <w:t>'''''''</w:t>
            </w:r>
            <w:r w:rsidR="00C645F3" w:rsidRPr="002478FF">
              <w:rPr>
                <w:rFonts w:ascii="Arial Narrow" w:hAnsi="Arial Narrow"/>
                <w:sz w:val="20"/>
                <w:lang w:val="en-US"/>
              </w:rPr>
              <w:t>%</w:t>
            </w:r>
          </w:p>
        </w:tc>
        <w:tc>
          <w:tcPr>
            <w:tcW w:w="1309" w:type="dxa"/>
          </w:tcPr>
          <w:p w:rsidR="00C645F3" w:rsidRPr="002478FF" w:rsidRDefault="00DF3DBC" w:rsidP="00D24346">
            <w:pPr>
              <w:jc w:val="center"/>
              <w:rPr>
                <w:rFonts w:ascii="Arial Narrow" w:hAnsi="Arial Narrow"/>
                <w:sz w:val="20"/>
                <w:lang w:val="en-US"/>
              </w:rPr>
            </w:pPr>
            <w:r>
              <w:rPr>
                <w:rFonts w:ascii="Arial Narrow" w:hAnsi="Arial Narrow"/>
                <w:noProof/>
                <w:color w:val="000000"/>
                <w:sz w:val="20"/>
                <w:highlight w:val="black"/>
                <w:lang w:val="en-US"/>
              </w:rPr>
              <w:t>''''''</w:t>
            </w:r>
            <w:r w:rsidR="00C645F3" w:rsidRPr="002478FF">
              <w:rPr>
                <w:rFonts w:ascii="Arial Narrow" w:hAnsi="Arial Narrow"/>
                <w:sz w:val="20"/>
                <w:lang w:val="en-US"/>
              </w:rPr>
              <w:t>%</w:t>
            </w:r>
          </w:p>
        </w:tc>
        <w:tc>
          <w:tcPr>
            <w:tcW w:w="1310" w:type="dxa"/>
          </w:tcPr>
          <w:p w:rsidR="00C645F3" w:rsidRPr="002478FF" w:rsidRDefault="00DF3DBC" w:rsidP="00D24346">
            <w:pPr>
              <w:jc w:val="center"/>
              <w:rPr>
                <w:rFonts w:ascii="Arial Narrow" w:hAnsi="Arial Narrow"/>
                <w:sz w:val="20"/>
                <w:lang w:val="en-US"/>
              </w:rPr>
            </w:pPr>
            <w:r>
              <w:rPr>
                <w:rFonts w:ascii="Arial Narrow" w:hAnsi="Arial Narrow"/>
                <w:noProof/>
                <w:color w:val="000000"/>
                <w:sz w:val="20"/>
                <w:highlight w:val="black"/>
                <w:lang w:val="en-US"/>
              </w:rPr>
              <w:t>''''''</w:t>
            </w:r>
            <w:r w:rsidR="00C645F3" w:rsidRPr="002478FF">
              <w:rPr>
                <w:rFonts w:ascii="Arial Narrow" w:hAnsi="Arial Narrow"/>
                <w:sz w:val="20"/>
                <w:lang w:val="en-US"/>
              </w:rPr>
              <w:t>%</w:t>
            </w:r>
          </w:p>
        </w:tc>
        <w:tc>
          <w:tcPr>
            <w:tcW w:w="1309" w:type="dxa"/>
          </w:tcPr>
          <w:p w:rsidR="00C645F3" w:rsidRPr="002478FF" w:rsidRDefault="00DF3DBC" w:rsidP="00D24346">
            <w:pPr>
              <w:jc w:val="center"/>
              <w:rPr>
                <w:rFonts w:ascii="Arial Narrow" w:hAnsi="Arial Narrow"/>
                <w:sz w:val="20"/>
                <w:lang w:val="en-US"/>
              </w:rPr>
            </w:pPr>
            <w:r>
              <w:rPr>
                <w:rFonts w:ascii="Arial Narrow" w:hAnsi="Arial Narrow"/>
                <w:noProof/>
                <w:color w:val="000000"/>
                <w:sz w:val="20"/>
                <w:highlight w:val="black"/>
                <w:lang w:val="en-US"/>
              </w:rPr>
              <w:t>''''''</w:t>
            </w:r>
            <w:r w:rsidR="00C645F3" w:rsidRPr="002478FF">
              <w:rPr>
                <w:rFonts w:ascii="Arial Narrow" w:hAnsi="Arial Narrow"/>
                <w:sz w:val="20"/>
                <w:lang w:val="en-US"/>
              </w:rPr>
              <w:t>%</w:t>
            </w:r>
          </w:p>
        </w:tc>
        <w:tc>
          <w:tcPr>
            <w:tcW w:w="1310" w:type="dxa"/>
          </w:tcPr>
          <w:p w:rsidR="00C645F3" w:rsidRPr="002478FF" w:rsidRDefault="00DF3DBC" w:rsidP="00D24346">
            <w:pPr>
              <w:jc w:val="center"/>
              <w:rPr>
                <w:rFonts w:ascii="Arial Narrow" w:hAnsi="Arial Narrow"/>
                <w:sz w:val="20"/>
                <w:lang w:val="en-US"/>
              </w:rPr>
            </w:pPr>
            <w:r>
              <w:rPr>
                <w:rFonts w:ascii="Arial Narrow" w:hAnsi="Arial Narrow"/>
                <w:noProof/>
                <w:color w:val="000000"/>
                <w:sz w:val="20"/>
                <w:highlight w:val="black"/>
                <w:lang w:val="en-US"/>
              </w:rPr>
              <w:t>''''''</w:t>
            </w:r>
            <w:r w:rsidR="00C645F3" w:rsidRPr="002478FF">
              <w:rPr>
                <w:rFonts w:ascii="Arial Narrow" w:hAnsi="Arial Narrow"/>
                <w:sz w:val="20"/>
                <w:lang w:val="en-US"/>
              </w:rPr>
              <w:t>%</w:t>
            </w:r>
          </w:p>
        </w:tc>
      </w:tr>
      <w:tr w:rsidR="00C645F3" w:rsidRPr="002478FF" w:rsidTr="00CE0674">
        <w:trPr>
          <w:trHeight w:val="458"/>
        </w:trPr>
        <w:tc>
          <w:tcPr>
            <w:tcW w:w="2416" w:type="dxa"/>
          </w:tcPr>
          <w:p w:rsidR="00C645F3" w:rsidRPr="002478FF" w:rsidRDefault="00C645F3" w:rsidP="00D24346">
            <w:pPr>
              <w:rPr>
                <w:rFonts w:ascii="Arial Narrow" w:hAnsi="Arial Narrow"/>
                <w:sz w:val="20"/>
                <w:lang w:val="en-US"/>
              </w:rPr>
            </w:pPr>
            <w:r w:rsidRPr="002478FF">
              <w:rPr>
                <w:rFonts w:ascii="Arial Narrow" w:hAnsi="Arial Narrow"/>
                <w:sz w:val="20"/>
                <w:lang w:val="en-US"/>
              </w:rPr>
              <w:t>Patients likely to be treated with pembrolizumab</w:t>
            </w:r>
          </w:p>
        </w:tc>
        <w:tc>
          <w:tcPr>
            <w:tcW w:w="1309" w:type="dxa"/>
          </w:tcPr>
          <w:p w:rsidR="00C645F3" w:rsidRPr="00DF3DBC" w:rsidRDefault="00DF3DBC" w:rsidP="00D24346">
            <w:pPr>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309" w:type="dxa"/>
          </w:tcPr>
          <w:p w:rsidR="00C645F3" w:rsidRPr="00DF3DBC" w:rsidRDefault="00DF3DBC" w:rsidP="00D24346">
            <w:pPr>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310" w:type="dxa"/>
          </w:tcPr>
          <w:p w:rsidR="00C645F3" w:rsidRPr="00DF3DBC" w:rsidRDefault="00DF3DBC" w:rsidP="00D24346">
            <w:pPr>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309" w:type="dxa"/>
          </w:tcPr>
          <w:p w:rsidR="00C645F3" w:rsidRPr="00DF3DBC" w:rsidRDefault="00DF3DBC" w:rsidP="00D24346">
            <w:pPr>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310" w:type="dxa"/>
          </w:tcPr>
          <w:p w:rsidR="00C645F3" w:rsidRPr="00DF3DBC" w:rsidRDefault="00DF3DBC" w:rsidP="00D24346">
            <w:pPr>
              <w:jc w:val="center"/>
              <w:rPr>
                <w:rFonts w:ascii="Arial Narrow" w:hAnsi="Arial Narrow"/>
                <w:sz w:val="20"/>
                <w:highlight w:val="black"/>
                <w:lang w:val="en-US"/>
              </w:rPr>
            </w:pPr>
            <w:r>
              <w:rPr>
                <w:rFonts w:ascii="Arial Narrow" w:hAnsi="Arial Narrow"/>
                <w:noProof/>
                <w:color w:val="000000"/>
                <w:sz w:val="20"/>
                <w:highlight w:val="black"/>
                <w:lang w:val="en-US"/>
              </w:rPr>
              <w:t>''''''''''''''</w:t>
            </w:r>
          </w:p>
        </w:tc>
      </w:tr>
      <w:tr w:rsidR="00C645F3" w:rsidRPr="002478FF" w:rsidTr="00CE0674">
        <w:trPr>
          <w:trHeight w:val="228"/>
        </w:trPr>
        <w:tc>
          <w:tcPr>
            <w:tcW w:w="2416" w:type="dxa"/>
          </w:tcPr>
          <w:p w:rsidR="00C645F3" w:rsidRPr="002478FF" w:rsidRDefault="00C645F3" w:rsidP="00D24346">
            <w:pPr>
              <w:rPr>
                <w:rFonts w:ascii="Arial Narrow" w:hAnsi="Arial Narrow"/>
                <w:sz w:val="20"/>
                <w:lang w:val="en-US"/>
              </w:rPr>
            </w:pPr>
            <w:r w:rsidRPr="002478FF">
              <w:rPr>
                <w:rFonts w:ascii="Arial Narrow" w:hAnsi="Arial Narrow"/>
                <w:sz w:val="20"/>
                <w:lang w:val="en-US"/>
              </w:rPr>
              <w:t>Total administrations</w:t>
            </w:r>
            <w:r w:rsidRPr="002478FF">
              <w:rPr>
                <w:rFonts w:ascii="Arial Narrow" w:hAnsi="Arial Narrow"/>
                <w:sz w:val="20"/>
                <w:vertAlign w:val="superscript"/>
                <w:lang w:val="en-US"/>
              </w:rPr>
              <w:t>a</w:t>
            </w:r>
          </w:p>
        </w:tc>
        <w:tc>
          <w:tcPr>
            <w:tcW w:w="1309" w:type="dxa"/>
          </w:tcPr>
          <w:p w:rsidR="00C645F3" w:rsidRPr="00DF3DBC" w:rsidRDefault="00DF3DBC" w:rsidP="00D24346">
            <w:pPr>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309" w:type="dxa"/>
          </w:tcPr>
          <w:p w:rsidR="00C645F3" w:rsidRPr="00DF3DBC" w:rsidRDefault="00DF3DBC" w:rsidP="00D24346">
            <w:pPr>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310" w:type="dxa"/>
          </w:tcPr>
          <w:p w:rsidR="00C645F3" w:rsidRPr="00DF3DBC" w:rsidRDefault="00DF3DBC" w:rsidP="00D24346">
            <w:pPr>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309" w:type="dxa"/>
          </w:tcPr>
          <w:p w:rsidR="00C645F3" w:rsidRPr="00DF3DBC" w:rsidRDefault="00DF3DBC" w:rsidP="00D24346">
            <w:pPr>
              <w:jc w:val="center"/>
              <w:rPr>
                <w:rFonts w:ascii="Arial Narrow" w:hAnsi="Arial Narrow"/>
                <w:sz w:val="20"/>
                <w:highlight w:val="black"/>
                <w:lang w:val="en-US"/>
              </w:rPr>
            </w:pPr>
            <w:r>
              <w:rPr>
                <w:rFonts w:ascii="Arial Narrow" w:hAnsi="Arial Narrow"/>
                <w:noProof/>
                <w:color w:val="000000"/>
                <w:sz w:val="20"/>
                <w:highlight w:val="black"/>
                <w:lang w:val="en-US"/>
              </w:rPr>
              <w:t>'''''''''''''''''</w:t>
            </w:r>
          </w:p>
        </w:tc>
        <w:tc>
          <w:tcPr>
            <w:tcW w:w="1310" w:type="dxa"/>
          </w:tcPr>
          <w:p w:rsidR="00C645F3" w:rsidRPr="00DF3DBC" w:rsidRDefault="00DF3DBC" w:rsidP="00D24346">
            <w:pPr>
              <w:jc w:val="center"/>
              <w:rPr>
                <w:rFonts w:ascii="Arial Narrow" w:hAnsi="Arial Narrow"/>
                <w:sz w:val="20"/>
                <w:highlight w:val="black"/>
                <w:lang w:val="en-US"/>
              </w:rPr>
            </w:pPr>
            <w:r>
              <w:rPr>
                <w:rFonts w:ascii="Arial Narrow" w:hAnsi="Arial Narrow"/>
                <w:noProof/>
                <w:color w:val="000000"/>
                <w:sz w:val="20"/>
                <w:highlight w:val="black"/>
                <w:lang w:val="en-US"/>
              </w:rPr>
              <w:t>''''''''''''''''</w:t>
            </w:r>
          </w:p>
        </w:tc>
      </w:tr>
      <w:tr w:rsidR="00C645F3" w:rsidRPr="002478FF" w:rsidTr="00CE0674">
        <w:trPr>
          <w:trHeight w:val="204"/>
        </w:trPr>
        <w:tc>
          <w:tcPr>
            <w:tcW w:w="2416" w:type="dxa"/>
          </w:tcPr>
          <w:p w:rsidR="00C645F3" w:rsidRPr="002478FF" w:rsidRDefault="00C645F3" w:rsidP="00D24346">
            <w:pPr>
              <w:rPr>
                <w:rFonts w:ascii="Arial Narrow" w:hAnsi="Arial Narrow"/>
                <w:sz w:val="20"/>
                <w:lang w:val="en-US"/>
              </w:rPr>
            </w:pPr>
            <w:r w:rsidRPr="002478FF">
              <w:rPr>
                <w:rFonts w:ascii="Arial Narrow" w:hAnsi="Arial Narrow"/>
                <w:sz w:val="20"/>
                <w:lang w:val="en-US"/>
              </w:rPr>
              <w:t>Cost per administration</w:t>
            </w:r>
          </w:p>
        </w:tc>
        <w:tc>
          <w:tcPr>
            <w:tcW w:w="1309" w:type="dxa"/>
          </w:tcPr>
          <w:p w:rsidR="00C645F3" w:rsidRPr="002478FF" w:rsidRDefault="00C645F3" w:rsidP="00D24346">
            <w:pPr>
              <w:jc w:val="center"/>
              <w:rPr>
                <w:rFonts w:ascii="Arial Narrow" w:hAnsi="Arial Narrow"/>
                <w:sz w:val="20"/>
                <w:lang w:val="en-US"/>
              </w:rPr>
            </w:pPr>
            <w:r w:rsidRPr="002478FF">
              <w:rPr>
                <w:rFonts w:ascii="Arial Narrow" w:hAnsi="Arial Narrow"/>
                <w:sz w:val="20"/>
                <w:lang w:val="en-US"/>
              </w:rPr>
              <w:t>$</w:t>
            </w:r>
            <w:r w:rsidR="00DF3DBC">
              <w:rPr>
                <w:rFonts w:ascii="Arial Narrow" w:hAnsi="Arial Narrow"/>
                <w:noProof/>
                <w:color w:val="000000"/>
                <w:sz w:val="20"/>
                <w:highlight w:val="black"/>
                <w:lang w:val="en-US"/>
              </w:rPr>
              <w:t>''''''''''''''''''''</w:t>
            </w:r>
          </w:p>
        </w:tc>
        <w:tc>
          <w:tcPr>
            <w:tcW w:w="1309" w:type="dxa"/>
          </w:tcPr>
          <w:p w:rsidR="00C645F3" w:rsidRPr="002478FF" w:rsidRDefault="00C645F3" w:rsidP="00D24346">
            <w:pPr>
              <w:jc w:val="center"/>
              <w:rPr>
                <w:rFonts w:ascii="Arial Narrow" w:hAnsi="Arial Narrow"/>
                <w:sz w:val="20"/>
                <w:lang w:val="en-US"/>
              </w:rPr>
            </w:pPr>
            <w:r w:rsidRPr="002478FF">
              <w:rPr>
                <w:rFonts w:ascii="Arial Narrow" w:hAnsi="Arial Narrow"/>
                <w:sz w:val="20"/>
                <w:lang w:val="en-US"/>
              </w:rPr>
              <w:t>$</w:t>
            </w:r>
            <w:r w:rsidR="00DF3DBC">
              <w:rPr>
                <w:rFonts w:ascii="Arial Narrow" w:hAnsi="Arial Narrow"/>
                <w:noProof/>
                <w:color w:val="000000"/>
                <w:sz w:val="20"/>
                <w:highlight w:val="black"/>
                <w:lang w:val="en-US"/>
              </w:rPr>
              <w:t>'''''''''''''''''''''</w:t>
            </w:r>
          </w:p>
        </w:tc>
        <w:tc>
          <w:tcPr>
            <w:tcW w:w="1310" w:type="dxa"/>
          </w:tcPr>
          <w:p w:rsidR="00C645F3" w:rsidRPr="002478FF" w:rsidRDefault="00C645F3" w:rsidP="00D24346">
            <w:pPr>
              <w:jc w:val="center"/>
              <w:rPr>
                <w:rFonts w:ascii="Arial Narrow" w:hAnsi="Arial Narrow"/>
                <w:sz w:val="20"/>
                <w:lang w:val="en-US"/>
              </w:rPr>
            </w:pPr>
            <w:r w:rsidRPr="002478FF">
              <w:rPr>
                <w:rFonts w:ascii="Arial Narrow" w:hAnsi="Arial Narrow"/>
                <w:sz w:val="20"/>
                <w:lang w:val="en-US"/>
              </w:rPr>
              <w:t>$</w:t>
            </w:r>
            <w:r w:rsidR="00DF3DBC">
              <w:rPr>
                <w:rFonts w:ascii="Arial Narrow" w:hAnsi="Arial Narrow"/>
                <w:noProof/>
                <w:color w:val="000000"/>
                <w:sz w:val="20"/>
                <w:highlight w:val="black"/>
                <w:lang w:val="en-US"/>
              </w:rPr>
              <w:t>''''''''''''''''''''''</w:t>
            </w:r>
          </w:p>
        </w:tc>
        <w:tc>
          <w:tcPr>
            <w:tcW w:w="1309" w:type="dxa"/>
          </w:tcPr>
          <w:p w:rsidR="00C645F3" w:rsidRPr="002478FF" w:rsidRDefault="00C645F3" w:rsidP="00D24346">
            <w:pPr>
              <w:jc w:val="center"/>
              <w:rPr>
                <w:rFonts w:ascii="Arial Narrow" w:hAnsi="Arial Narrow"/>
                <w:sz w:val="20"/>
                <w:lang w:val="en-US"/>
              </w:rPr>
            </w:pPr>
            <w:r w:rsidRPr="002478FF">
              <w:rPr>
                <w:rFonts w:ascii="Arial Narrow" w:hAnsi="Arial Narrow"/>
                <w:sz w:val="20"/>
                <w:lang w:val="en-US"/>
              </w:rPr>
              <w:t>$</w:t>
            </w:r>
            <w:r w:rsidR="00DF3DBC">
              <w:rPr>
                <w:rFonts w:ascii="Arial Narrow" w:hAnsi="Arial Narrow"/>
                <w:noProof/>
                <w:color w:val="000000"/>
                <w:sz w:val="20"/>
                <w:highlight w:val="black"/>
                <w:lang w:val="en-US"/>
              </w:rPr>
              <w:t>'''''''''''''''''''''''</w:t>
            </w:r>
          </w:p>
        </w:tc>
        <w:tc>
          <w:tcPr>
            <w:tcW w:w="1310" w:type="dxa"/>
          </w:tcPr>
          <w:p w:rsidR="00C645F3" w:rsidRPr="002478FF" w:rsidRDefault="00C645F3" w:rsidP="00D24346">
            <w:pPr>
              <w:jc w:val="center"/>
              <w:rPr>
                <w:rFonts w:ascii="Arial Narrow" w:hAnsi="Arial Narrow"/>
                <w:sz w:val="20"/>
                <w:lang w:val="en-US"/>
              </w:rPr>
            </w:pPr>
            <w:r w:rsidRPr="002478FF">
              <w:rPr>
                <w:rFonts w:ascii="Arial Narrow" w:hAnsi="Arial Narrow"/>
                <w:sz w:val="20"/>
                <w:lang w:val="en-US"/>
              </w:rPr>
              <w:t>$</w:t>
            </w:r>
            <w:r w:rsidR="00DF3DBC">
              <w:rPr>
                <w:rFonts w:ascii="Arial Narrow" w:hAnsi="Arial Narrow"/>
                <w:noProof/>
                <w:color w:val="000000"/>
                <w:sz w:val="20"/>
                <w:highlight w:val="black"/>
                <w:lang w:val="en-US"/>
              </w:rPr>
              <w:t>'''''''''''''''''''''</w:t>
            </w:r>
          </w:p>
        </w:tc>
      </w:tr>
      <w:tr w:rsidR="00C645F3" w:rsidRPr="002478FF" w:rsidTr="00CE0674">
        <w:trPr>
          <w:trHeight w:val="228"/>
        </w:trPr>
        <w:tc>
          <w:tcPr>
            <w:tcW w:w="2416" w:type="dxa"/>
          </w:tcPr>
          <w:p w:rsidR="00C645F3" w:rsidRPr="002478FF" w:rsidRDefault="00C645F3" w:rsidP="00D24346">
            <w:pPr>
              <w:rPr>
                <w:rFonts w:ascii="Arial Narrow" w:hAnsi="Arial Narrow"/>
                <w:sz w:val="20"/>
                <w:lang w:val="en-US"/>
              </w:rPr>
            </w:pPr>
            <w:r w:rsidRPr="002478FF">
              <w:rPr>
                <w:rFonts w:ascii="Arial Narrow" w:hAnsi="Arial Narrow"/>
                <w:sz w:val="20"/>
                <w:lang w:val="en-US"/>
              </w:rPr>
              <w:t>Dispensed cost</w:t>
            </w:r>
            <w:r w:rsidRPr="002478FF">
              <w:rPr>
                <w:rFonts w:ascii="Arial Narrow" w:hAnsi="Arial Narrow"/>
                <w:sz w:val="20"/>
                <w:vertAlign w:val="superscript"/>
                <w:lang w:val="en-US"/>
              </w:rPr>
              <w:t>b</w:t>
            </w:r>
          </w:p>
        </w:tc>
        <w:tc>
          <w:tcPr>
            <w:tcW w:w="1309" w:type="dxa"/>
          </w:tcPr>
          <w:p w:rsidR="00C645F3" w:rsidRPr="002478FF" w:rsidRDefault="00C645F3" w:rsidP="00D24346">
            <w:pPr>
              <w:jc w:val="center"/>
              <w:rPr>
                <w:rFonts w:ascii="Arial Narrow" w:hAnsi="Arial Narrow"/>
                <w:sz w:val="20"/>
                <w:lang w:val="en-US"/>
              </w:rPr>
            </w:pPr>
            <w:r w:rsidRPr="002478FF">
              <w:rPr>
                <w:rFonts w:ascii="Arial Narrow" w:hAnsi="Arial Narrow"/>
                <w:sz w:val="20"/>
                <w:lang w:val="en-US"/>
              </w:rPr>
              <w:t>$</w:t>
            </w:r>
            <w:r w:rsidR="00DF3DBC">
              <w:rPr>
                <w:rFonts w:ascii="Arial Narrow" w:hAnsi="Arial Narrow"/>
                <w:noProof/>
                <w:color w:val="000000"/>
                <w:sz w:val="20"/>
                <w:highlight w:val="black"/>
                <w:lang w:val="en-US"/>
              </w:rPr>
              <w:t>''''''''''''''''''''''''''</w:t>
            </w:r>
          </w:p>
        </w:tc>
        <w:tc>
          <w:tcPr>
            <w:tcW w:w="1309" w:type="dxa"/>
          </w:tcPr>
          <w:p w:rsidR="00C645F3" w:rsidRPr="002478FF" w:rsidRDefault="00C645F3" w:rsidP="00D24346">
            <w:pPr>
              <w:jc w:val="center"/>
              <w:rPr>
                <w:rFonts w:ascii="Arial Narrow" w:hAnsi="Arial Narrow"/>
                <w:sz w:val="20"/>
                <w:lang w:val="en-US"/>
              </w:rPr>
            </w:pPr>
            <w:r w:rsidRPr="002478FF">
              <w:rPr>
                <w:rFonts w:ascii="Arial Narrow" w:hAnsi="Arial Narrow"/>
                <w:sz w:val="20"/>
                <w:lang w:val="en-US"/>
              </w:rPr>
              <w:t>$</w:t>
            </w:r>
            <w:r w:rsidR="00DF3DBC">
              <w:rPr>
                <w:rFonts w:ascii="Arial Narrow" w:hAnsi="Arial Narrow"/>
                <w:noProof/>
                <w:color w:val="000000"/>
                <w:sz w:val="20"/>
                <w:highlight w:val="black"/>
                <w:lang w:val="en-US"/>
              </w:rPr>
              <w:t>'''''''''''''''''''''''''''</w:t>
            </w:r>
          </w:p>
        </w:tc>
        <w:tc>
          <w:tcPr>
            <w:tcW w:w="1310" w:type="dxa"/>
          </w:tcPr>
          <w:p w:rsidR="00C645F3" w:rsidRPr="002478FF" w:rsidRDefault="00C645F3" w:rsidP="00D24346">
            <w:pPr>
              <w:jc w:val="center"/>
              <w:rPr>
                <w:rFonts w:ascii="Arial Narrow" w:hAnsi="Arial Narrow"/>
                <w:sz w:val="20"/>
                <w:lang w:val="en-US"/>
              </w:rPr>
            </w:pPr>
            <w:r w:rsidRPr="002478FF">
              <w:rPr>
                <w:rFonts w:ascii="Arial Narrow" w:hAnsi="Arial Narrow"/>
                <w:sz w:val="20"/>
                <w:lang w:val="en-US"/>
              </w:rPr>
              <w:t>$</w:t>
            </w:r>
            <w:r w:rsidR="00DF3DBC">
              <w:rPr>
                <w:rFonts w:ascii="Arial Narrow" w:hAnsi="Arial Narrow"/>
                <w:noProof/>
                <w:color w:val="000000"/>
                <w:sz w:val="20"/>
                <w:highlight w:val="black"/>
                <w:lang w:val="en-US"/>
              </w:rPr>
              <w:t>''''''''''''''''''''''''''''''''</w:t>
            </w:r>
          </w:p>
        </w:tc>
        <w:tc>
          <w:tcPr>
            <w:tcW w:w="1309" w:type="dxa"/>
          </w:tcPr>
          <w:p w:rsidR="00C645F3" w:rsidRPr="002478FF" w:rsidRDefault="00C645F3" w:rsidP="00D24346">
            <w:pPr>
              <w:jc w:val="center"/>
              <w:rPr>
                <w:rFonts w:ascii="Arial Narrow" w:hAnsi="Arial Narrow"/>
                <w:sz w:val="20"/>
                <w:lang w:val="en-US"/>
              </w:rPr>
            </w:pPr>
            <w:r w:rsidRPr="002478FF">
              <w:rPr>
                <w:rFonts w:ascii="Arial Narrow" w:hAnsi="Arial Narrow"/>
                <w:sz w:val="20"/>
                <w:lang w:val="en-US"/>
              </w:rPr>
              <w:t>$</w:t>
            </w:r>
            <w:r w:rsidR="00DF3DBC">
              <w:rPr>
                <w:rFonts w:ascii="Arial Narrow" w:hAnsi="Arial Narrow"/>
                <w:noProof/>
                <w:color w:val="000000"/>
                <w:sz w:val="20"/>
                <w:highlight w:val="black"/>
                <w:lang w:val="en-US"/>
              </w:rPr>
              <w:t>'''''''''''''''''''''''''''''''''</w:t>
            </w:r>
          </w:p>
        </w:tc>
        <w:tc>
          <w:tcPr>
            <w:tcW w:w="1310" w:type="dxa"/>
          </w:tcPr>
          <w:p w:rsidR="00C645F3" w:rsidRPr="002478FF" w:rsidRDefault="00C645F3" w:rsidP="00D24346">
            <w:pPr>
              <w:jc w:val="center"/>
              <w:rPr>
                <w:rFonts w:ascii="Arial Narrow" w:hAnsi="Arial Narrow"/>
                <w:sz w:val="20"/>
                <w:lang w:val="en-US"/>
              </w:rPr>
            </w:pPr>
            <w:r w:rsidRPr="002478FF">
              <w:rPr>
                <w:rFonts w:ascii="Arial Narrow" w:hAnsi="Arial Narrow"/>
                <w:sz w:val="20"/>
                <w:lang w:val="en-US"/>
              </w:rPr>
              <w:t>$</w:t>
            </w:r>
            <w:r w:rsidR="00DF3DBC">
              <w:rPr>
                <w:rFonts w:ascii="Arial Narrow" w:hAnsi="Arial Narrow"/>
                <w:noProof/>
                <w:color w:val="000000"/>
                <w:sz w:val="20"/>
                <w:highlight w:val="black"/>
                <w:lang w:val="en-US"/>
              </w:rPr>
              <w:t>''''''''''''''''''''''''''''''</w:t>
            </w:r>
          </w:p>
        </w:tc>
      </w:tr>
      <w:tr w:rsidR="00C645F3" w:rsidRPr="002478FF" w:rsidTr="00CE0674">
        <w:trPr>
          <w:trHeight w:val="228"/>
        </w:trPr>
        <w:tc>
          <w:tcPr>
            <w:tcW w:w="2416" w:type="dxa"/>
          </w:tcPr>
          <w:p w:rsidR="00C645F3" w:rsidRPr="002478FF" w:rsidRDefault="00C645F3" w:rsidP="00D24346">
            <w:pPr>
              <w:rPr>
                <w:rFonts w:ascii="Arial Narrow" w:hAnsi="Arial Narrow"/>
                <w:sz w:val="20"/>
                <w:lang w:val="en-US"/>
              </w:rPr>
            </w:pPr>
            <w:r w:rsidRPr="002478FF">
              <w:rPr>
                <w:rFonts w:ascii="Arial Narrow" w:hAnsi="Arial Narrow"/>
                <w:sz w:val="20"/>
                <w:lang w:val="en-US"/>
              </w:rPr>
              <w:t>Average patient copayment</w:t>
            </w:r>
            <w:r w:rsidRPr="002478FF">
              <w:rPr>
                <w:rFonts w:ascii="Arial Narrow" w:hAnsi="Arial Narrow"/>
                <w:sz w:val="20"/>
                <w:vertAlign w:val="superscript"/>
                <w:lang w:val="en-US"/>
              </w:rPr>
              <w:t>c</w:t>
            </w:r>
          </w:p>
        </w:tc>
        <w:tc>
          <w:tcPr>
            <w:tcW w:w="1309" w:type="dxa"/>
          </w:tcPr>
          <w:p w:rsidR="00C645F3" w:rsidRPr="002478FF" w:rsidRDefault="00C645F3" w:rsidP="00D24346">
            <w:pPr>
              <w:jc w:val="center"/>
              <w:rPr>
                <w:rFonts w:ascii="Arial Narrow" w:hAnsi="Arial Narrow"/>
                <w:sz w:val="20"/>
                <w:lang w:val="en-US"/>
              </w:rPr>
            </w:pPr>
            <w:r w:rsidRPr="002478FF">
              <w:rPr>
                <w:rFonts w:ascii="Arial Narrow" w:hAnsi="Arial Narrow"/>
                <w:sz w:val="20"/>
                <w:lang w:val="en-US"/>
              </w:rPr>
              <w:t>$17</w:t>
            </w:r>
          </w:p>
        </w:tc>
        <w:tc>
          <w:tcPr>
            <w:tcW w:w="1309" w:type="dxa"/>
          </w:tcPr>
          <w:p w:rsidR="00C645F3" w:rsidRPr="002478FF" w:rsidRDefault="00C645F3" w:rsidP="00D24346">
            <w:pPr>
              <w:jc w:val="center"/>
              <w:rPr>
                <w:rFonts w:ascii="Arial Narrow" w:hAnsi="Arial Narrow"/>
                <w:sz w:val="20"/>
                <w:lang w:val="en-US"/>
              </w:rPr>
            </w:pPr>
            <w:r w:rsidRPr="002478FF">
              <w:rPr>
                <w:rFonts w:ascii="Arial Narrow" w:hAnsi="Arial Narrow"/>
                <w:sz w:val="20"/>
                <w:lang w:val="en-US"/>
              </w:rPr>
              <w:t>$17</w:t>
            </w:r>
          </w:p>
        </w:tc>
        <w:tc>
          <w:tcPr>
            <w:tcW w:w="1310" w:type="dxa"/>
          </w:tcPr>
          <w:p w:rsidR="00C645F3" w:rsidRPr="002478FF" w:rsidRDefault="00C645F3" w:rsidP="00D24346">
            <w:pPr>
              <w:jc w:val="center"/>
              <w:rPr>
                <w:rFonts w:ascii="Arial Narrow" w:hAnsi="Arial Narrow"/>
                <w:sz w:val="20"/>
                <w:lang w:val="en-US"/>
              </w:rPr>
            </w:pPr>
            <w:r w:rsidRPr="002478FF">
              <w:rPr>
                <w:rFonts w:ascii="Arial Narrow" w:hAnsi="Arial Narrow"/>
                <w:sz w:val="20"/>
                <w:lang w:val="en-US"/>
              </w:rPr>
              <w:t>$17</w:t>
            </w:r>
          </w:p>
        </w:tc>
        <w:tc>
          <w:tcPr>
            <w:tcW w:w="1309" w:type="dxa"/>
          </w:tcPr>
          <w:p w:rsidR="00C645F3" w:rsidRPr="002478FF" w:rsidRDefault="00C645F3" w:rsidP="00D24346">
            <w:pPr>
              <w:jc w:val="center"/>
              <w:rPr>
                <w:rFonts w:ascii="Arial Narrow" w:hAnsi="Arial Narrow"/>
                <w:sz w:val="20"/>
                <w:lang w:val="en-US"/>
              </w:rPr>
            </w:pPr>
            <w:r w:rsidRPr="002478FF">
              <w:rPr>
                <w:rFonts w:ascii="Arial Narrow" w:hAnsi="Arial Narrow"/>
                <w:sz w:val="20"/>
                <w:lang w:val="en-US"/>
              </w:rPr>
              <w:t>$17</w:t>
            </w:r>
          </w:p>
        </w:tc>
        <w:tc>
          <w:tcPr>
            <w:tcW w:w="1310" w:type="dxa"/>
          </w:tcPr>
          <w:p w:rsidR="00C645F3" w:rsidRPr="002478FF" w:rsidRDefault="00C645F3" w:rsidP="00D24346">
            <w:pPr>
              <w:jc w:val="center"/>
              <w:rPr>
                <w:rFonts w:ascii="Arial Narrow" w:hAnsi="Arial Narrow"/>
                <w:sz w:val="20"/>
                <w:lang w:val="en-US"/>
              </w:rPr>
            </w:pPr>
            <w:r w:rsidRPr="002478FF">
              <w:rPr>
                <w:rFonts w:ascii="Arial Narrow" w:hAnsi="Arial Narrow"/>
                <w:sz w:val="20"/>
                <w:lang w:val="en-US"/>
              </w:rPr>
              <w:t>$17</w:t>
            </w:r>
          </w:p>
        </w:tc>
      </w:tr>
      <w:tr w:rsidR="00C645F3" w:rsidRPr="002478FF" w:rsidTr="00CE0674">
        <w:trPr>
          <w:trHeight w:val="204"/>
        </w:trPr>
        <w:tc>
          <w:tcPr>
            <w:tcW w:w="2416" w:type="dxa"/>
          </w:tcPr>
          <w:p w:rsidR="00C645F3" w:rsidRPr="002478FF" w:rsidRDefault="00C645F3" w:rsidP="00D24346">
            <w:pPr>
              <w:rPr>
                <w:rFonts w:ascii="Arial Narrow" w:hAnsi="Arial Narrow"/>
                <w:sz w:val="20"/>
                <w:lang w:val="en-US"/>
              </w:rPr>
            </w:pPr>
            <w:r w:rsidRPr="002478FF">
              <w:rPr>
                <w:rFonts w:ascii="Arial Narrow" w:hAnsi="Arial Narrow"/>
                <w:sz w:val="20"/>
                <w:lang w:val="en-US"/>
              </w:rPr>
              <w:t>Patient copayments</w:t>
            </w:r>
          </w:p>
        </w:tc>
        <w:tc>
          <w:tcPr>
            <w:tcW w:w="1309" w:type="dxa"/>
          </w:tcPr>
          <w:p w:rsidR="00C645F3" w:rsidRPr="002478FF" w:rsidRDefault="00C645F3" w:rsidP="00D24346">
            <w:pPr>
              <w:jc w:val="center"/>
              <w:rPr>
                <w:rFonts w:ascii="Arial Narrow" w:hAnsi="Arial Narrow"/>
                <w:sz w:val="20"/>
                <w:lang w:val="en-US"/>
              </w:rPr>
            </w:pPr>
            <w:r w:rsidRPr="002478FF">
              <w:rPr>
                <w:rFonts w:ascii="Arial Narrow" w:hAnsi="Arial Narrow"/>
                <w:sz w:val="20"/>
                <w:lang w:val="en-US"/>
              </w:rPr>
              <w:t>$</w:t>
            </w:r>
            <w:r w:rsidR="00DF3DBC">
              <w:rPr>
                <w:rFonts w:ascii="Arial Narrow" w:hAnsi="Arial Narrow"/>
                <w:noProof/>
                <w:color w:val="000000"/>
                <w:sz w:val="20"/>
                <w:highlight w:val="black"/>
                <w:lang w:val="en-US"/>
              </w:rPr>
              <w:t>'''''''''''''''</w:t>
            </w:r>
          </w:p>
        </w:tc>
        <w:tc>
          <w:tcPr>
            <w:tcW w:w="1309" w:type="dxa"/>
          </w:tcPr>
          <w:p w:rsidR="00C645F3" w:rsidRPr="002478FF" w:rsidRDefault="00C645F3" w:rsidP="00D24346">
            <w:pPr>
              <w:jc w:val="center"/>
              <w:rPr>
                <w:rFonts w:ascii="Arial Narrow" w:hAnsi="Arial Narrow"/>
                <w:sz w:val="20"/>
                <w:lang w:val="en-US"/>
              </w:rPr>
            </w:pPr>
            <w:r w:rsidRPr="002478FF">
              <w:rPr>
                <w:rFonts w:ascii="Arial Narrow" w:hAnsi="Arial Narrow"/>
                <w:sz w:val="20"/>
                <w:lang w:val="en-US"/>
              </w:rPr>
              <w:t>$</w:t>
            </w:r>
            <w:r w:rsidR="00DF3DBC">
              <w:rPr>
                <w:rFonts w:ascii="Arial Narrow" w:hAnsi="Arial Narrow"/>
                <w:noProof/>
                <w:color w:val="000000"/>
                <w:sz w:val="20"/>
                <w:highlight w:val="black"/>
                <w:lang w:val="en-US"/>
              </w:rPr>
              <w:t>'''''''''''''''</w:t>
            </w:r>
          </w:p>
        </w:tc>
        <w:tc>
          <w:tcPr>
            <w:tcW w:w="1310" w:type="dxa"/>
          </w:tcPr>
          <w:p w:rsidR="00C645F3" w:rsidRPr="002478FF" w:rsidRDefault="00C645F3" w:rsidP="00D24346">
            <w:pPr>
              <w:jc w:val="center"/>
              <w:rPr>
                <w:rFonts w:ascii="Arial Narrow" w:hAnsi="Arial Narrow"/>
                <w:sz w:val="20"/>
                <w:lang w:val="en-US"/>
              </w:rPr>
            </w:pPr>
            <w:r w:rsidRPr="002478FF">
              <w:rPr>
                <w:rFonts w:ascii="Arial Narrow" w:hAnsi="Arial Narrow"/>
                <w:sz w:val="20"/>
                <w:lang w:val="en-US"/>
              </w:rPr>
              <w:t>$</w:t>
            </w:r>
            <w:r w:rsidR="00DF3DBC">
              <w:rPr>
                <w:rFonts w:ascii="Arial Narrow" w:hAnsi="Arial Narrow"/>
                <w:noProof/>
                <w:color w:val="000000"/>
                <w:sz w:val="20"/>
                <w:highlight w:val="black"/>
                <w:lang w:val="en-US"/>
              </w:rPr>
              <w:t>'''''''''''''''''</w:t>
            </w:r>
          </w:p>
        </w:tc>
        <w:tc>
          <w:tcPr>
            <w:tcW w:w="1309" w:type="dxa"/>
          </w:tcPr>
          <w:p w:rsidR="00C645F3" w:rsidRPr="002478FF" w:rsidRDefault="00C645F3" w:rsidP="00D24346">
            <w:pPr>
              <w:jc w:val="center"/>
              <w:rPr>
                <w:rFonts w:ascii="Arial Narrow" w:hAnsi="Arial Narrow"/>
                <w:sz w:val="20"/>
                <w:lang w:val="en-US"/>
              </w:rPr>
            </w:pPr>
            <w:r w:rsidRPr="002478FF">
              <w:rPr>
                <w:rFonts w:ascii="Arial Narrow" w:hAnsi="Arial Narrow"/>
                <w:sz w:val="20"/>
                <w:lang w:val="en-US"/>
              </w:rPr>
              <w:t>$</w:t>
            </w:r>
            <w:r w:rsidR="00DF3DBC">
              <w:rPr>
                <w:rFonts w:ascii="Arial Narrow" w:hAnsi="Arial Narrow"/>
                <w:noProof/>
                <w:color w:val="000000"/>
                <w:sz w:val="20"/>
                <w:highlight w:val="black"/>
                <w:lang w:val="en-US"/>
              </w:rPr>
              <w:t>'''''''''''''''''</w:t>
            </w:r>
          </w:p>
        </w:tc>
        <w:tc>
          <w:tcPr>
            <w:tcW w:w="1310" w:type="dxa"/>
          </w:tcPr>
          <w:p w:rsidR="00C645F3" w:rsidRPr="002478FF" w:rsidRDefault="00C645F3" w:rsidP="00D24346">
            <w:pPr>
              <w:jc w:val="center"/>
              <w:rPr>
                <w:rFonts w:ascii="Arial Narrow" w:hAnsi="Arial Narrow"/>
                <w:sz w:val="20"/>
                <w:lang w:val="en-US"/>
              </w:rPr>
            </w:pPr>
            <w:r w:rsidRPr="002478FF">
              <w:rPr>
                <w:rFonts w:ascii="Arial Narrow" w:hAnsi="Arial Narrow"/>
                <w:sz w:val="20"/>
                <w:lang w:val="en-US"/>
              </w:rPr>
              <w:t>$</w:t>
            </w:r>
            <w:r w:rsidR="00DF3DBC">
              <w:rPr>
                <w:rFonts w:ascii="Arial Narrow" w:hAnsi="Arial Narrow"/>
                <w:noProof/>
                <w:color w:val="000000"/>
                <w:sz w:val="20"/>
                <w:highlight w:val="black"/>
                <w:lang w:val="en-US"/>
              </w:rPr>
              <w:t>''''''''''''''''</w:t>
            </w:r>
          </w:p>
        </w:tc>
      </w:tr>
      <w:tr w:rsidR="00C645F3" w:rsidRPr="002478FF" w:rsidTr="00CE0674">
        <w:trPr>
          <w:trHeight w:val="228"/>
        </w:trPr>
        <w:tc>
          <w:tcPr>
            <w:tcW w:w="2416" w:type="dxa"/>
          </w:tcPr>
          <w:p w:rsidR="00C645F3" w:rsidRPr="002478FF" w:rsidRDefault="00C645F3" w:rsidP="00D24346">
            <w:pPr>
              <w:rPr>
                <w:rFonts w:ascii="Arial Narrow" w:hAnsi="Arial Narrow"/>
                <w:b/>
                <w:sz w:val="20"/>
                <w:lang w:val="en-US"/>
              </w:rPr>
            </w:pPr>
            <w:r w:rsidRPr="002478FF">
              <w:rPr>
                <w:rFonts w:ascii="Arial Narrow" w:hAnsi="Arial Narrow"/>
                <w:b/>
                <w:sz w:val="20"/>
                <w:lang w:val="en-US"/>
              </w:rPr>
              <w:t>Cost to PBS/RPBS</w:t>
            </w:r>
          </w:p>
        </w:tc>
        <w:tc>
          <w:tcPr>
            <w:tcW w:w="1309" w:type="dxa"/>
          </w:tcPr>
          <w:p w:rsidR="00C645F3" w:rsidRPr="002478FF" w:rsidRDefault="00C645F3" w:rsidP="00D24346">
            <w:pPr>
              <w:jc w:val="center"/>
              <w:rPr>
                <w:rFonts w:ascii="Arial Narrow" w:hAnsi="Arial Narrow"/>
                <w:b/>
                <w:sz w:val="20"/>
                <w:lang w:val="en-US"/>
              </w:rPr>
            </w:pPr>
            <w:r w:rsidRPr="002478FF">
              <w:rPr>
                <w:rFonts w:ascii="Arial Narrow" w:hAnsi="Arial Narrow"/>
                <w:b/>
                <w:sz w:val="20"/>
                <w:lang w:val="en-US"/>
              </w:rPr>
              <w:t>$</w:t>
            </w:r>
            <w:r w:rsidR="00DF3DBC">
              <w:rPr>
                <w:rFonts w:ascii="Arial Narrow" w:hAnsi="Arial Narrow"/>
                <w:b/>
                <w:noProof/>
                <w:color w:val="000000"/>
                <w:sz w:val="20"/>
                <w:highlight w:val="black"/>
                <w:lang w:val="en-US"/>
              </w:rPr>
              <w:t>'''''''''''''''''''''</w:t>
            </w:r>
          </w:p>
        </w:tc>
        <w:tc>
          <w:tcPr>
            <w:tcW w:w="1309" w:type="dxa"/>
          </w:tcPr>
          <w:p w:rsidR="00C645F3" w:rsidRPr="002478FF" w:rsidRDefault="00C645F3" w:rsidP="00D24346">
            <w:pPr>
              <w:jc w:val="center"/>
              <w:rPr>
                <w:rFonts w:ascii="Arial Narrow" w:hAnsi="Arial Narrow"/>
                <w:b/>
                <w:sz w:val="20"/>
                <w:lang w:val="en-US"/>
              </w:rPr>
            </w:pPr>
            <w:r w:rsidRPr="002478FF">
              <w:rPr>
                <w:rFonts w:ascii="Arial Narrow" w:hAnsi="Arial Narrow"/>
                <w:b/>
                <w:sz w:val="20"/>
                <w:lang w:val="en-US"/>
              </w:rPr>
              <w:t>$</w:t>
            </w:r>
            <w:r w:rsidR="00DF3DBC">
              <w:rPr>
                <w:rFonts w:ascii="Arial Narrow" w:hAnsi="Arial Narrow"/>
                <w:b/>
                <w:noProof/>
                <w:color w:val="000000"/>
                <w:sz w:val="20"/>
                <w:highlight w:val="black"/>
                <w:lang w:val="en-US"/>
              </w:rPr>
              <w:t>''''''''''''''''''''''</w:t>
            </w:r>
          </w:p>
        </w:tc>
        <w:tc>
          <w:tcPr>
            <w:tcW w:w="1310" w:type="dxa"/>
          </w:tcPr>
          <w:p w:rsidR="00C645F3" w:rsidRPr="002478FF" w:rsidRDefault="00C645F3" w:rsidP="00D24346">
            <w:pPr>
              <w:jc w:val="center"/>
              <w:rPr>
                <w:rFonts w:ascii="Arial Narrow" w:hAnsi="Arial Narrow"/>
                <w:b/>
                <w:sz w:val="20"/>
                <w:lang w:val="en-US"/>
              </w:rPr>
            </w:pPr>
            <w:r w:rsidRPr="002478FF">
              <w:rPr>
                <w:rFonts w:ascii="Arial Narrow" w:hAnsi="Arial Narrow"/>
                <w:b/>
                <w:sz w:val="20"/>
                <w:lang w:val="en-US"/>
              </w:rPr>
              <w:t>$</w:t>
            </w:r>
            <w:r w:rsidR="00DF3DBC">
              <w:rPr>
                <w:rFonts w:ascii="Arial Narrow" w:hAnsi="Arial Narrow"/>
                <w:b/>
                <w:noProof/>
                <w:color w:val="000000"/>
                <w:sz w:val="20"/>
                <w:highlight w:val="black"/>
                <w:lang w:val="en-US"/>
              </w:rPr>
              <w:t>'''''''''''''''''''''''''</w:t>
            </w:r>
          </w:p>
        </w:tc>
        <w:tc>
          <w:tcPr>
            <w:tcW w:w="1309" w:type="dxa"/>
          </w:tcPr>
          <w:p w:rsidR="00C645F3" w:rsidRPr="002478FF" w:rsidRDefault="00C645F3" w:rsidP="00D24346">
            <w:pPr>
              <w:jc w:val="center"/>
              <w:rPr>
                <w:rFonts w:ascii="Arial Narrow" w:hAnsi="Arial Narrow"/>
                <w:b/>
                <w:sz w:val="20"/>
                <w:lang w:val="en-US"/>
              </w:rPr>
            </w:pPr>
            <w:r w:rsidRPr="002478FF">
              <w:rPr>
                <w:rFonts w:ascii="Arial Narrow" w:hAnsi="Arial Narrow"/>
                <w:b/>
                <w:sz w:val="20"/>
                <w:lang w:val="en-US"/>
              </w:rPr>
              <w:t>$</w:t>
            </w:r>
            <w:r w:rsidR="00DF3DBC">
              <w:rPr>
                <w:rFonts w:ascii="Arial Narrow" w:hAnsi="Arial Narrow"/>
                <w:b/>
                <w:noProof/>
                <w:color w:val="000000"/>
                <w:sz w:val="20"/>
                <w:highlight w:val="black"/>
                <w:lang w:val="en-US"/>
              </w:rPr>
              <w:t>''''''''''''''''''''''''</w:t>
            </w:r>
          </w:p>
        </w:tc>
        <w:tc>
          <w:tcPr>
            <w:tcW w:w="1310" w:type="dxa"/>
          </w:tcPr>
          <w:p w:rsidR="00C645F3" w:rsidRPr="002478FF" w:rsidRDefault="00C645F3" w:rsidP="00D24346">
            <w:pPr>
              <w:jc w:val="center"/>
              <w:rPr>
                <w:rFonts w:ascii="Arial Narrow" w:hAnsi="Arial Narrow"/>
                <w:b/>
                <w:sz w:val="20"/>
                <w:lang w:val="en-US"/>
              </w:rPr>
            </w:pPr>
            <w:r w:rsidRPr="002478FF">
              <w:rPr>
                <w:rFonts w:ascii="Arial Narrow" w:hAnsi="Arial Narrow"/>
                <w:b/>
                <w:sz w:val="20"/>
                <w:lang w:val="en-US"/>
              </w:rPr>
              <w:t>$</w:t>
            </w:r>
            <w:r w:rsidR="00DF3DBC">
              <w:rPr>
                <w:rFonts w:ascii="Arial Narrow" w:hAnsi="Arial Narrow"/>
                <w:b/>
                <w:noProof/>
                <w:color w:val="000000"/>
                <w:sz w:val="20"/>
                <w:highlight w:val="black"/>
                <w:lang w:val="en-US"/>
              </w:rPr>
              <w:t>'''''''''''''''''''''''''</w:t>
            </w:r>
          </w:p>
        </w:tc>
      </w:tr>
    </w:tbl>
    <w:p w:rsidR="00C645F3" w:rsidRPr="002478FF" w:rsidRDefault="00C645F3" w:rsidP="00C645F3">
      <w:pPr>
        <w:pStyle w:val="TableFooter"/>
      </w:pPr>
      <w:r w:rsidRPr="002478FF">
        <w:rPr>
          <w:vertAlign w:val="superscript"/>
        </w:rPr>
        <w:t>a</w:t>
      </w:r>
      <w:r w:rsidRPr="002478FF">
        <w:t xml:space="preserve"> The average number of administrations per patient by treatment year is assumed to be 11.83 in Year 1, 5.89 in Year 2, 0.18 in Year 3, and 0 in Years 4 and 5 of treatment.</w:t>
      </w:r>
    </w:p>
    <w:p w:rsidR="00C645F3" w:rsidRPr="002478FF" w:rsidRDefault="00C645F3" w:rsidP="00C645F3">
      <w:pPr>
        <w:pStyle w:val="TableFooter"/>
      </w:pPr>
      <w:proofErr w:type="gramStart"/>
      <w:r w:rsidRPr="002478FF">
        <w:rPr>
          <w:vertAlign w:val="superscript"/>
        </w:rPr>
        <w:t>b</w:t>
      </w:r>
      <w:proofErr w:type="gramEnd"/>
      <w:r w:rsidRPr="002478FF">
        <w:t xml:space="preserve"> The dispensed cost and the cost to the PBS/RPBS is based on the effective price for pembrolizumab</w:t>
      </w:r>
      <w:r w:rsidR="008818FD">
        <w:t>, not accounting for the price reduction offered in the pre-PBAC response, and the other changes accepted in the pre-PBAC response.</w:t>
      </w:r>
    </w:p>
    <w:p w:rsidR="00C645F3" w:rsidRPr="002478FF" w:rsidRDefault="00C645F3" w:rsidP="00C645F3">
      <w:pPr>
        <w:pStyle w:val="TableFooter"/>
      </w:pPr>
      <w:proofErr w:type="gramStart"/>
      <w:r w:rsidRPr="002478FF">
        <w:rPr>
          <w:vertAlign w:val="superscript"/>
        </w:rPr>
        <w:lastRenderedPageBreak/>
        <w:t>c</w:t>
      </w:r>
      <w:proofErr w:type="gramEnd"/>
      <w:r w:rsidRPr="002478FF">
        <w:t xml:space="preserve"> Assumed one per patient</w:t>
      </w:r>
    </w:p>
    <w:p w:rsidR="00C645F3" w:rsidRPr="002478FF" w:rsidRDefault="00C645F3" w:rsidP="00C645F3">
      <w:pPr>
        <w:rPr>
          <w:rFonts w:ascii="Arial" w:hAnsi="Arial" w:cs="Arial"/>
          <w:bCs/>
          <w:sz w:val="22"/>
          <w:szCs w:val="22"/>
        </w:rPr>
      </w:pPr>
    </w:p>
    <w:p w:rsidR="008818FD" w:rsidRDefault="008818FD" w:rsidP="008818FD">
      <w:pPr>
        <w:pStyle w:val="ListParagraph"/>
        <w:numPr>
          <w:ilvl w:val="1"/>
          <w:numId w:val="4"/>
        </w:numPr>
        <w:ind w:left="720"/>
        <w:rPr>
          <w:rFonts w:ascii="Arial" w:hAnsi="Arial" w:cs="Arial"/>
          <w:bCs/>
          <w:sz w:val="22"/>
          <w:szCs w:val="22"/>
        </w:rPr>
      </w:pPr>
      <w:r>
        <w:rPr>
          <w:rFonts w:ascii="Arial" w:hAnsi="Arial" w:cs="Arial"/>
          <w:bCs/>
          <w:sz w:val="22"/>
          <w:szCs w:val="22"/>
        </w:rPr>
        <w:t xml:space="preserve">The pre-PBAC response </w:t>
      </w:r>
      <w:r w:rsidR="00F03136">
        <w:rPr>
          <w:rFonts w:ascii="Arial" w:hAnsi="Arial" w:cs="Arial"/>
          <w:bCs/>
          <w:sz w:val="22"/>
          <w:szCs w:val="22"/>
        </w:rPr>
        <w:t xml:space="preserve">further reduced </w:t>
      </w:r>
      <w:r>
        <w:rPr>
          <w:rFonts w:ascii="Arial" w:hAnsi="Arial" w:cs="Arial"/>
          <w:bCs/>
          <w:sz w:val="22"/>
          <w:szCs w:val="22"/>
        </w:rPr>
        <w:t xml:space="preserve">the financial estimates </w:t>
      </w:r>
      <w:r w:rsidR="00F03136">
        <w:rPr>
          <w:rFonts w:ascii="Arial" w:hAnsi="Arial" w:cs="Arial"/>
          <w:bCs/>
          <w:sz w:val="22"/>
          <w:szCs w:val="22"/>
        </w:rPr>
        <w:t xml:space="preserve">as a results of </w:t>
      </w:r>
      <w:r>
        <w:rPr>
          <w:rFonts w:ascii="Arial" w:hAnsi="Arial" w:cs="Arial"/>
          <w:bCs/>
          <w:sz w:val="22"/>
          <w:szCs w:val="22"/>
        </w:rPr>
        <w:t>the following</w:t>
      </w:r>
      <w:r w:rsidR="00931CCD">
        <w:rPr>
          <w:rFonts w:ascii="Arial" w:hAnsi="Arial" w:cs="Arial"/>
          <w:bCs/>
          <w:sz w:val="22"/>
          <w:szCs w:val="22"/>
        </w:rPr>
        <w:t xml:space="preserve"> (the revised estimates were not independently verified before the PBAC meeting)</w:t>
      </w:r>
      <w:r>
        <w:rPr>
          <w:rFonts w:ascii="Arial" w:hAnsi="Arial" w:cs="Arial"/>
          <w:bCs/>
          <w:sz w:val="22"/>
          <w:szCs w:val="22"/>
        </w:rPr>
        <w:t>:</w:t>
      </w:r>
    </w:p>
    <w:p w:rsidR="00BA7894" w:rsidRPr="006E2D9E" w:rsidRDefault="00BA7894" w:rsidP="008818FD">
      <w:pPr>
        <w:pStyle w:val="ListParagraph"/>
        <w:numPr>
          <w:ilvl w:val="0"/>
          <w:numId w:val="23"/>
        </w:numPr>
        <w:rPr>
          <w:rFonts w:ascii="Arial" w:hAnsi="Arial" w:cs="Arial"/>
          <w:bCs/>
          <w:sz w:val="22"/>
          <w:szCs w:val="22"/>
        </w:rPr>
      </w:pPr>
      <w:bookmarkStart w:id="48" w:name="_Toc461627102"/>
      <w:bookmarkStart w:id="49" w:name="_Toc471744469"/>
      <w:r w:rsidRPr="006E2D9E">
        <w:rPr>
          <w:rFonts w:ascii="Arial" w:hAnsi="Arial" w:cs="Arial"/>
          <w:sz w:val="22"/>
          <w:szCs w:val="22"/>
        </w:rPr>
        <w:t>A revised price of $</w:t>
      </w:r>
      <w:r w:rsidR="00DF3DBC">
        <w:rPr>
          <w:rFonts w:ascii="Arial" w:hAnsi="Arial" w:cs="Arial"/>
          <w:noProof/>
          <w:color w:val="000000"/>
          <w:sz w:val="22"/>
          <w:szCs w:val="22"/>
          <w:highlight w:val="black"/>
        </w:rPr>
        <w:t>'''''''''''''''</w:t>
      </w:r>
      <w:r w:rsidRPr="006E2D9E">
        <w:rPr>
          <w:rFonts w:ascii="Arial" w:hAnsi="Arial" w:cs="Arial"/>
          <w:sz w:val="22"/>
          <w:szCs w:val="22"/>
        </w:rPr>
        <w:t xml:space="preserve"> per 50</w:t>
      </w:r>
      <w:r w:rsidR="006E2D9E">
        <w:rPr>
          <w:rFonts w:ascii="Arial" w:hAnsi="Arial" w:cs="Arial"/>
          <w:sz w:val="22"/>
          <w:szCs w:val="22"/>
        </w:rPr>
        <w:t> </w:t>
      </w:r>
      <w:r w:rsidRPr="006E2D9E">
        <w:rPr>
          <w:rFonts w:ascii="Arial" w:hAnsi="Arial" w:cs="Arial"/>
          <w:sz w:val="22"/>
          <w:szCs w:val="22"/>
        </w:rPr>
        <w:t>mg vial.</w:t>
      </w:r>
    </w:p>
    <w:p w:rsidR="008818FD" w:rsidRDefault="008818FD" w:rsidP="008818FD">
      <w:pPr>
        <w:pStyle w:val="ListParagraph"/>
        <w:numPr>
          <w:ilvl w:val="0"/>
          <w:numId w:val="23"/>
        </w:numPr>
        <w:rPr>
          <w:rFonts w:ascii="Arial" w:hAnsi="Arial" w:cs="Arial"/>
          <w:bCs/>
          <w:sz w:val="22"/>
          <w:szCs w:val="22"/>
        </w:rPr>
      </w:pPr>
      <w:r w:rsidRPr="008818FD">
        <w:rPr>
          <w:rFonts w:ascii="Arial" w:hAnsi="Arial" w:cs="Arial"/>
          <w:bCs/>
          <w:sz w:val="22"/>
          <w:szCs w:val="22"/>
        </w:rPr>
        <w:t>The incident</w:t>
      </w:r>
      <w:r>
        <w:rPr>
          <w:rFonts w:ascii="Arial" w:hAnsi="Arial" w:cs="Arial"/>
          <w:bCs/>
          <w:sz w:val="22"/>
          <w:szCs w:val="22"/>
        </w:rPr>
        <w:t xml:space="preserve"> population of patients with Stage IIIb/IV changed to 65%.</w:t>
      </w:r>
    </w:p>
    <w:p w:rsidR="008818FD" w:rsidRDefault="008818FD" w:rsidP="008818FD">
      <w:pPr>
        <w:pStyle w:val="ListParagraph"/>
        <w:numPr>
          <w:ilvl w:val="0"/>
          <w:numId w:val="23"/>
        </w:numPr>
        <w:rPr>
          <w:rFonts w:ascii="Arial" w:hAnsi="Arial" w:cs="Arial"/>
          <w:bCs/>
          <w:sz w:val="22"/>
          <w:szCs w:val="22"/>
        </w:rPr>
      </w:pPr>
      <w:r>
        <w:rPr>
          <w:rFonts w:ascii="Arial" w:hAnsi="Arial" w:cs="Arial"/>
          <w:bCs/>
          <w:sz w:val="22"/>
          <w:szCs w:val="22"/>
        </w:rPr>
        <w:t>The Stage IV patient population reduced to include a performance score of 0 or 1 only.</w:t>
      </w:r>
    </w:p>
    <w:p w:rsidR="008818FD" w:rsidRDefault="008818FD" w:rsidP="008818FD">
      <w:pPr>
        <w:pStyle w:val="ListParagraph"/>
        <w:numPr>
          <w:ilvl w:val="0"/>
          <w:numId w:val="23"/>
        </w:numPr>
        <w:rPr>
          <w:rFonts w:ascii="Arial" w:hAnsi="Arial" w:cs="Arial"/>
          <w:bCs/>
          <w:sz w:val="22"/>
          <w:szCs w:val="22"/>
        </w:rPr>
      </w:pPr>
      <w:r>
        <w:rPr>
          <w:rFonts w:ascii="Arial" w:hAnsi="Arial" w:cs="Arial"/>
          <w:bCs/>
          <w:sz w:val="22"/>
          <w:szCs w:val="22"/>
        </w:rPr>
        <w:t xml:space="preserve">The inclusion of patients with Stage I to </w:t>
      </w:r>
      <w:r w:rsidR="00393CE3">
        <w:rPr>
          <w:rFonts w:ascii="Arial" w:hAnsi="Arial" w:cs="Arial"/>
          <w:bCs/>
          <w:sz w:val="22"/>
          <w:szCs w:val="22"/>
        </w:rPr>
        <w:t xml:space="preserve">IIIa </w:t>
      </w:r>
      <w:r>
        <w:rPr>
          <w:rFonts w:ascii="Arial" w:hAnsi="Arial" w:cs="Arial"/>
          <w:bCs/>
          <w:sz w:val="22"/>
          <w:szCs w:val="22"/>
        </w:rPr>
        <w:t>patients who progress to Stage IV.</w:t>
      </w:r>
    </w:p>
    <w:p w:rsidR="008818FD" w:rsidRDefault="008818FD" w:rsidP="008818FD">
      <w:pPr>
        <w:pStyle w:val="ListParagraph"/>
        <w:numPr>
          <w:ilvl w:val="0"/>
          <w:numId w:val="23"/>
        </w:numPr>
        <w:rPr>
          <w:rFonts w:ascii="Arial" w:hAnsi="Arial" w:cs="Arial"/>
          <w:bCs/>
          <w:sz w:val="22"/>
          <w:szCs w:val="22"/>
        </w:rPr>
      </w:pPr>
      <w:r>
        <w:rPr>
          <w:rFonts w:ascii="Arial" w:hAnsi="Arial" w:cs="Arial"/>
          <w:bCs/>
          <w:sz w:val="22"/>
          <w:szCs w:val="22"/>
        </w:rPr>
        <w:t>The treatment rate changed to 83.5% to reflect referral rates of patients with a performance score of 0 or 1.</w:t>
      </w:r>
    </w:p>
    <w:p w:rsidR="00931CCD" w:rsidRDefault="00931CCD" w:rsidP="008818FD">
      <w:pPr>
        <w:pStyle w:val="ListParagraph"/>
        <w:numPr>
          <w:ilvl w:val="0"/>
          <w:numId w:val="23"/>
        </w:numPr>
        <w:rPr>
          <w:rFonts w:ascii="Arial" w:hAnsi="Arial" w:cs="Arial"/>
          <w:bCs/>
          <w:sz w:val="22"/>
          <w:szCs w:val="22"/>
        </w:rPr>
      </w:pPr>
      <w:r>
        <w:rPr>
          <w:rFonts w:ascii="Arial" w:hAnsi="Arial" w:cs="Arial"/>
          <w:bCs/>
          <w:sz w:val="22"/>
          <w:szCs w:val="22"/>
        </w:rPr>
        <w:t>The estimate of grandfathered patients aligned to the intended scope of the planned access program.</w:t>
      </w:r>
    </w:p>
    <w:p w:rsidR="00931CCD" w:rsidRPr="008818FD" w:rsidRDefault="00931CCD" w:rsidP="008818FD">
      <w:pPr>
        <w:pStyle w:val="ListParagraph"/>
        <w:numPr>
          <w:ilvl w:val="0"/>
          <w:numId w:val="23"/>
        </w:numPr>
        <w:rPr>
          <w:rFonts w:ascii="Arial" w:hAnsi="Arial" w:cs="Arial"/>
          <w:bCs/>
          <w:sz w:val="22"/>
          <w:szCs w:val="22"/>
        </w:rPr>
      </w:pPr>
      <w:r>
        <w:rPr>
          <w:rFonts w:ascii="Arial" w:hAnsi="Arial" w:cs="Arial"/>
          <w:bCs/>
          <w:sz w:val="22"/>
          <w:szCs w:val="22"/>
        </w:rPr>
        <w:t>The inclusion of the costs of retesting Stage I to IIIa patients when the</w:t>
      </w:r>
      <w:r w:rsidR="003D7146">
        <w:rPr>
          <w:rFonts w:ascii="Arial" w:hAnsi="Arial" w:cs="Arial"/>
          <w:bCs/>
          <w:sz w:val="22"/>
          <w:szCs w:val="22"/>
        </w:rPr>
        <w:t>y</w:t>
      </w:r>
      <w:r>
        <w:rPr>
          <w:rFonts w:ascii="Arial" w:hAnsi="Arial" w:cs="Arial"/>
          <w:bCs/>
          <w:sz w:val="22"/>
          <w:szCs w:val="22"/>
        </w:rPr>
        <w:t xml:space="preserve"> progress to Stage IV.</w:t>
      </w:r>
    </w:p>
    <w:p w:rsidR="00AB590E" w:rsidRPr="00F6757B" w:rsidRDefault="00AB590E" w:rsidP="00F6757B">
      <w:pPr>
        <w:pStyle w:val="Heading2"/>
      </w:pPr>
      <w:r w:rsidRPr="00F6757B">
        <w:t>Quality Use of Medicines</w:t>
      </w:r>
      <w:bookmarkEnd w:id="48"/>
    </w:p>
    <w:bookmarkEnd w:id="39"/>
    <w:bookmarkEnd w:id="49"/>
    <w:p w:rsidR="0095055D" w:rsidRPr="00E34581" w:rsidRDefault="00C220ED" w:rsidP="000F7FDA">
      <w:pPr>
        <w:pStyle w:val="ListParagraph"/>
        <w:numPr>
          <w:ilvl w:val="1"/>
          <w:numId w:val="4"/>
        </w:numPr>
        <w:ind w:left="720"/>
        <w:rPr>
          <w:rFonts w:ascii="Arial" w:hAnsi="Arial" w:cs="Arial"/>
          <w:sz w:val="22"/>
          <w:szCs w:val="22"/>
        </w:rPr>
      </w:pPr>
      <w:r w:rsidRPr="00E34581">
        <w:rPr>
          <w:rFonts w:ascii="Arial" w:hAnsi="Arial" w:cs="Arial"/>
          <w:sz w:val="22"/>
          <w:szCs w:val="22"/>
        </w:rPr>
        <w:t>A greater awareness, recognition and management of immune-related AEs was likely to have occurred in the KN-010 trial before AEs progressed to ≥ Grade 3; and until there is adequate familiarity with immunotherapy and its side effects, AE rates in practice may be higher than observed in the trial.</w:t>
      </w:r>
    </w:p>
    <w:p w:rsidR="00AB590E" w:rsidRPr="00F6757B" w:rsidRDefault="00AB590E" w:rsidP="00F6757B">
      <w:pPr>
        <w:pStyle w:val="Heading2"/>
      </w:pPr>
      <w:bookmarkStart w:id="50" w:name="_Toc461627103"/>
      <w:bookmarkStart w:id="51" w:name="_Toc471744470"/>
      <w:r w:rsidRPr="00F6757B">
        <w:t>Financial Management – Risk Sharing Arrangements</w:t>
      </w:r>
      <w:bookmarkEnd w:id="50"/>
    </w:p>
    <w:bookmarkEnd w:id="51"/>
    <w:p w:rsidR="0095055D" w:rsidRDefault="0095055D" w:rsidP="000F7FDA">
      <w:pPr>
        <w:pStyle w:val="ListParagraph"/>
        <w:numPr>
          <w:ilvl w:val="1"/>
          <w:numId w:val="4"/>
        </w:numPr>
        <w:ind w:left="720"/>
        <w:rPr>
          <w:rFonts w:ascii="Arial" w:hAnsi="Arial" w:cs="Arial"/>
          <w:sz w:val="22"/>
          <w:szCs w:val="22"/>
        </w:rPr>
      </w:pPr>
      <w:r w:rsidRPr="00E34581">
        <w:rPr>
          <w:rFonts w:ascii="Arial" w:hAnsi="Arial" w:cs="Arial"/>
          <w:sz w:val="22"/>
          <w:szCs w:val="22"/>
        </w:rPr>
        <w:t xml:space="preserve">The submission </w:t>
      </w:r>
      <w:r w:rsidR="00A66FD1" w:rsidRPr="00E34581">
        <w:rPr>
          <w:rFonts w:ascii="Arial" w:hAnsi="Arial" w:cs="Arial"/>
          <w:sz w:val="22"/>
          <w:szCs w:val="22"/>
        </w:rPr>
        <w:t>requested</w:t>
      </w:r>
      <w:r w:rsidRPr="00E34581">
        <w:rPr>
          <w:rFonts w:ascii="Arial" w:hAnsi="Arial" w:cs="Arial"/>
          <w:sz w:val="22"/>
          <w:szCs w:val="22"/>
        </w:rPr>
        <w:t xml:space="preserve"> a Special Pricing Arrangement (SPA) where the published price is gre</w:t>
      </w:r>
      <w:r w:rsidR="000A3B65" w:rsidRPr="00E34581">
        <w:rPr>
          <w:rFonts w:ascii="Arial" w:hAnsi="Arial" w:cs="Arial"/>
          <w:sz w:val="22"/>
          <w:szCs w:val="22"/>
        </w:rPr>
        <w:t>ater than the effective price.</w:t>
      </w:r>
    </w:p>
    <w:p w:rsidR="00931CCD" w:rsidRPr="00931CCD" w:rsidRDefault="00931CCD" w:rsidP="00931CCD">
      <w:pPr>
        <w:rPr>
          <w:rFonts w:ascii="Arial" w:hAnsi="Arial" w:cs="Arial"/>
          <w:sz w:val="22"/>
          <w:szCs w:val="22"/>
        </w:rPr>
      </w:pPr>
    </w:p>
    <w:p w:rsidR="00931CCD" w:rsidRDefault="00931CCD" w:rsidP="000F7FDA">
      <w:pPr>
        <w:pStyle w:val="ListParagraph"/>
        <w:numPr>
          <w:ilvl w:val="1"/>
          <w:numId w:val="4"/>
        </w:numPr>
        <w:ind w:left="720"/>
        <w:rPr>
          <w:rFonts w:ascii="Arial" w:hAnsi="Arial" w:cs="Arial"/>
          <w:sz w:val="22"/>
          <w:szCs w:val="22"/>
        </w:rPr>
      </w:pPr>
      <w:r>
        <w:rPr>
          <w:rFonts w:ascii="Arial" w:hAnsi="Arial" w:cs="Arial"/>
          <w:sz w:val="22"/>
          <w:szCs w:val="22"/>
        </w:rPr>
        <w:t xml:space="preserve">The pre-PBAC response confirmed the sponsor’s willingness to enter a </w:t>
      </w:r>
      <w:r w:rsidR="0036599F">
        <w:rPr>
          <w:rFonts w:ascii="Arial" w:hAnsi="Arial" w:cs="Arial"/>
          <w:sz w:val="22"/>
          <w:szCs w:val="22"/>
        </w:rPr>
        <w:t>R</w:t>
      </w:r>
      <w:r>
        <w:rPr>
          <w:rFonts w:ascii="Arial" w:hAnsi="Arial" w:cs="Arial"/>
          <w:sz w:val="22"/>
          <w:szCs w:val="22"/>
        </w:rPr>
        <w:t xml:space="preserve">isk </w:t>
      </w:r>
      <w:r w:rsidR="0036599F">
        <w:rPr>
          <w:rFonts w:ascii="Arial" w:hAnsi="Arial" w:cs="Arial"/>
          <w:sz w:val="22"/>
          <w:szCs w:val="22"/>
        </w:rPr>
        <w:t>S</w:t>
      </w:r>
      <w:r>
        <w:rPr>
          <w:rFonts w:ascii="Arial" w:hAnsi="Arial" w:cs="Arial"/>
          <w:sz w:val="22"/>
          <w:szCs w:val="22"/>
        </w:rPr>
        <w:t xml:space="preserve">haring </w:t>
      </w:r>
      <w:r w:rsidR="0036599F">
        <w:rPr>
          <w:rFonts w:ascii="Arial" w:hAnsi="Arial" w:cs="Arial"/>
          <w:sz w:val="22"/>
          <w:szCs w:val="22"/>
        </w:rPr>
        <w:t>A</w:t>
      </w:r>
      <w:r>
        <w:rPr>
          <w:rFonts w:ascii="Arial" w:hAnsi="Arial" w:cs="Arial"/>
          <w:sz w:val="22"/>
          <w:szCs w:val="22"/>
        </w:rPr>
        <w:t>rrangement in relation to the requested listing</w:t>
      </w:r>
      <w:r w:rsidR="008672B4">
        <w:rPr>
          <w:rFonts w:ascii="Arial" w:hAnsi="Arial" w:cs="Arial"/>
          <w:sz w:val="22"/>
          <w:szCs w:val="22"/>
        </w:rPr>
        <w:t>, with expenditure caps based on agreed utilisation rates</w:t>
      </w:r>
      <w:r w:rsidR="0036599F">
        <w:rPr>
          <w:rFonts w:ascii="Arial" w:hAnsi="Arial" w:cs="Arial"/>
          <w:sz w:val="22"/>
          <w:szCs w:val="22"/>
        </w:rPr>
        <w:t>,</w:t>
      </w:r>
      <w:r w:rsidR="008672B4">
        <w:rPr>
          <w:rFonts w:ascii="Arial" w:hAnsi="Arial" w:cs="Arial"/>
          <w:sz w:val="22"/>
          <w:szCs w:val="22"/>
        </w:rPr>
        <w:t xml:space="preserve"> and a 50% rebate for expenditure beyond these caps.</w:t>
      </w:r>
    </w:p>
    <w:p w:rsidR="00615A07" w:rsidRDefault="00615A07" w:rsidP="00D42DEE">
      <w:pPr>
        <w:rPr>
          <w:rFonts w:ascii="Arial" w:hAnsi="Arial" w:cs="Arial"/>
          <w:sz w:val="22"/>
          <w:szCs w:val="22"/>
        </w:rPr>
      </w:pPr>
    </w:p>
    <w:p w:rsidR="00615A07" w:rsidRPr="0005234D" w:rsidRDefault="00615A07" w:rsidP="00615A07">
      <w:pPr>
        <w:ind w:firstLine="720"/>
        <w:rPr>
          <w:rFonts w:ascii="Arial" w:hAnsi="Arial" w:cs="Arial"/>
          <w:bCs/>
          <w:snapToGrid w:val="0"/>
          <w:sz w:val="22"/>
          <w:szCs w:val="22"/>
        </w:rPr>
      </w:pPr>
      <w:r w:rsidRPr="002478FF">
        <w:rPr>
          <w:rFonts w:ascii="Arial" w:hAnsi="Arial" w:cs="Arial"/>
          <w:bCs/>
          <w:i/>
          <w:snapToGrid w:val="0"/>
          <w:sz w:val="22"/>
          <w:szCs w:val="22"/>
        </w:rPr>
        <w:t>For more detail on PBAC’s view, see section 7 “PBAC outcome”</w:t>
      </w:r>
      <w:r w:rsidR="00EA4B35" w:rsidRPr="002478FF">
        <w:rPr>
          <w:rFonts w:ascii="Arial" w:hAnsi="Arial" w:cs="Arial"/>
          <w:bCs/>
          <w:i/>
          <w:snapToGrid w:val="0"/>
          <w:sz w:val="22"/>
          <w:szCs w:val="22"/>
        </w:rPr>
        <w:t>.</w:t>
      </w:r>
    </w:p>
    <w:p w:rsidR="00615A07" w:rsidRDefault="00615A07" w:rsidP="00D42DEE">
      <w:pPr>
        <w:rPr>
          <w:rFonts w:ascii="Arial" w:hAnsi="Arial" w:cs="Arial"/>
          <w:sz w:val="22"/>
          <w:szCs w:val="22"/>
        </w:rPr>
      </w:pPr>
    </w:p>
    <w:p w:rsidR="00EA01F1" w:rsidRPr="00D42DEE" w:rsidRDefault="00EA01F1" w:rsidP="00D42DEE">
      <w:pPr>
        <w:rPr>
          <w:rFonts w:ascii="Arial" w:hAnsi="Arial" w:cs="Arial"/>
          <w:sz w:val="22"/>
          <w:szCs w:val="22"/>
        </w:rPr>
      </w:pPr>
    </w:p>
    <w:p w:rsidR="00846153" w:rsidRPr="00C205C8" w:rsidRDefault="00846153" w:rsidP="00C205C8">
      <w:pPr>
        <w:pStyle w:val="PBACHeading10"/>
        <w:numPr>
          <w:ilvl w:val="0"/>
          <w:numId w:val="5"/>
        </w:numPr>
        <w:outlineLvl w:val="0"/>
      </w:pPr>
      <w:r w:rsidRPr="00C205C8">
        <w:t>PBAC Outcome</w:t>
      </w:r>
    </w:p>
    <w:p w:rsidR="00846153" w:rsidRPr="002478FF" w:rsidRDefault="00846153" w:rsidP="00846153">
      <w:pPr>
        <w:widowControl w:val="0"/>
        <w:rPr>
          <w:rFonts w:ascii="Arial" w:hAnsi="Arial" w:cs="Arial"/>
          <w:bCs/>
          <w:snapToGrid w:val="0"/>
          <w:sz w:val="22"/>
          <w:szCs w:val="20"/>
          <w:lang w:val="en-GB"/>
        </w:rPr>
      </w:pPr>
    </w:p>
    <w:p w:rsidR="00CC54C2" w:rsidRPr="002478FF" w:rsidRDefault="00CC54C2" w:rsidP="00CC54C2">
      <w:pPr>
        <w:widowControl w:val="0"/>
        <w:numPr>
          <w:ilvl w:val="1"/>
          <w:numId w:val="4"/>
        </w:numPr>
        <w:ind w:left="720"/>
        <w:contextualSpacing/>
        <w:rPr>
          <w:rFonts w:ascii="Arial" w:hAnsi="Arial" w:cs="Arial"/>
          <w:bCs/>
          <w:snapToGrid w:val="0"/>
          <w:sz w:val="22"/>
          <w:szCs w:val="22"/>
        </w:rPr>
      </w:pPr>
      <w:r w:rsidRPr="002478FF">
        <w:rPr>
          <w:rFonts w:ascii="Arial" w:hAnsi="Arial" w:cs="Arial"/>
          <w:bCs/>
          <w:snapToGrid w:val="0"/>
          <w:sz w:val="22"/>
          <w:szCs w:val="22"/>
          <w:lang w:val="en-GB"/>
        </w:rPr>
        <w:t>The PBAC decided not to recommend that pembrolizumab be listed in the PBS for the treatment of PD-L1 positive NSCLC on the basis of unfavourable and uncertain cost-effectiveness.</w:t>
      </w:r>
    </w:p>
    <w:p w:rsidR="00CC54C2" w:rsidRPr="002478FF" w:rsidRDefault="00CC54C2" w:rsidP="00CC54C2">
      <w:pPr>
        <w:widowControl w:val="0"/>
        <w:contextualSpacing/>
        <w:rPr>
          <w:rFonts w:ascii="Arial" w:hAnsi="Arial" w:cs="Arial"/>
          <w:bCs/>
          <w:snapToGrid w:val="0"/>
          <w:sz w:val="22"/>
          <w:szCs w:val="22"/>
        </w:rPr>
      </w:pPr>
    </w:p>
    <w:p w:rsidR="00CC54C2" w:rsidRPr="002478FF" w:rsidRDefault="00CC54C2" w:rsidP="00CC54C2">
      <w:pPr>
        <w:widowControl w:val="0"/>
        <w:numPr>
          <w:ilvl w:val="1"/>
          <w:numId w:val="4"/>
        </w:numPr>
        <w:ind w:left="720"/>
        <w:contextualSpacing/>
        <w:rPr>
          <w:rFonts w:ascii="Arial" w:hAnsi="Arial" w:cs="Arial"/>
          <w:bCs/>
          <w:snapToGrid w:val="0"/>
          <w:sz w:val="22"/>
          <w:szCs w:val="22"/>
        </w:rPr>
      </w:pPr>
      <w:r w:rsidRPr="002478FF">
        <w:rPr>
          <w:rFonts w:ascii="Arial" w:hAnsi="Arial" w:cs="Arial"/>
          <w:bCs/>
          <w:snapToGrid w:val="0"/>
          <w:sz w:val="22"/>
          <w:szCs w:val="22"/>
        </w:rPr>
        <w:t xml:space="preserve">The PBAC recognised that there is a clinical need for new treatments for patients with NSCLC, and that there is a clinical place for pembrolizumab in this population. The PBAC noted that the </w:t>
      </w:r>
      <w:r w:rsidR="005002A8" w:rsidRPr="002478FF">
        <w:rPr>
          <w:rFonts w:ascii="Arial" w:hAnsi="Arial" w:cs="Arial"/>
          <w:bCs/>
          <w:snapToGrid w:val="0"/>
          <w:sz w:val="22"/>
          <w:szCs w:val="22"/>
        </w:rPr>
        <w:t>sponsor</w:t>
      </w:r>
      <w:r w:rsidRPr="002478FF">
        <w:rPr>
          <w:rFonts w:ascii="Arial" w:hAnsi="Arial" w:cs="Arial"/>
          <w:bCs/>
          <w:snapToGrid w:val="0"/>
          <w:sz w:val="22"/>
          <w:szCs w:val="22"/>
        </w:rPr>
        <w:t xml:space="preserve"> requested a first-line PBS listing for pembrolizumab</w:t>
      </w:r>
      <w:r w:rsidR="005002A8" w:rsidRPr="002478FF">
        <w:rPr>
          <w:rFonts w:ascii="Arial" w:hAnsi="Arial" w:cs="Arial"/>
          <w:bCs/>
          <w:snapToGrid w:val="0"/>
          <w:sz w:val="22"/>
          <w:szCs w:val="22"/>
        </w:rPr>
        <w:t xml:space="preserve"> as monotherapy </w:t>
      </w:r>
      <w:r w:rsidRPr="002478FF">
        <w:rPr>
          <w:rFonts w:ascii="Arial" w:hAnsi="Arial" w:cs="Arial"/>
          <w:bCs/>
          <w:snapToGrid w:val="0"/>
          <w:sz w:val="22"/>
          <w:szCs w:val="22"/>
        </w:rPr>
        <w:t xml:space="preserve">for </w:t>
      </w:r>
      <w:r w:rsidR="005002A8" w:rsidRPr="002478FF">
        <w:rPr>
          <w:rFonts w:ascii="Arial" w:hAnsi="Arial" w:cs="Arial"/>
          <w:bCs/>
          <w:snapToGrid w:val="0"/>
          <w:sz w:val="22"/>
          <w:szCs w:val="22"/>
        </w:rPr>
        <w:t xml:space="preserve">metastatic (Stage IV) </w:t>
      </w:r>
      <w:r w:rsidRPr="002478FF">
        <w:rPr>
          <w:rFonts w:ascii="Arial" w:hAnsi="Arial" w:cs="Arial"/>
          <w:bCs/>
          <w:snapToGrid w:val="0"/>
          <w:sz w:val="22"/>
          <w:szCs w:val="22"/>
        </w:rPr>
        <w:t>NSCLC</w:t>
      </w:r>
      <w:r w:rsidR="005002A8" w:rsidRPr="002478FF">
        <w:rPr>
          <w:rFonts w:ascii="Arial" w:hAnsi="Arial" w:cs="Arial"/>
          <w:bCs/>
          <w:snapToGrid w:val="0"/>
          <w:sz w:val="22"/>
          <w:szCs w:val="22"/>
        </w:rPr>
        <w:t xml:space="preserve">, in patients </w:t>
      </w:r>
      <w:r w:rsidR="00FC6E54" w:rsidRPr="002478FF">
        <w:rPr>
          <w:rFonts w:ascii="Arial" w:hAnsi="Arial" w:cs="Arial"/>
          <w:sz w:val="22"/>
          <w:szCs w:val="22"/>
        </w:rPr>
        <w:t>who</w:t>
      </w:r>
      <w:r w:rsidR="00393CE3" w:rsidRPr="00393CE3">
        <w:rPr>
          <w:rFonts w:ascii="Arial" w:hAnsi="Arial" w:cs="Arial"/>
          <w:sz w:val="22"/>
          <w:szCs w:val="22"/>
        </w:rPr>
        <w:t xml:space="preserve"> </w:t>
      </w:r>
      <w:r w:rsidR="00393CE3" w:rsidRPr="002478FF">
        <w:rPr>
          <w:rFonts w:ascii="Arial" w:hAnsi="Arial" w:cs="Arial"/>
          <w:sz w:val="22"/>
          <w:szCs w:val="22"/>
        </w:rPr>
        <w:t xml:space="preserve">have </w:t>
      </w:r>
      <w:r w:rsidR="00393CE3" w:rsidRPr="002478FF">
        <w:rPr>
          <w:rFonts w:ascii="Arial" w:hAnsi="Arial" w:cs="Arial"/>
          <w:bCs/>
          <w:snapToGrid w:val="0"/>
          <w:sz w:val="22"/>
          <w:szCs w:val="22"/>
        </w:rPr>
        <w:t>a performance status of 0 or 1</w:t>
      </w:r>
      <w:r w:rsidR="00E04BDE">
        <w:rPr>
          <w:rFonts w:ascii="Arial" w:hAnsi="Arial" w:cs="Arial"/>
          <w:bCs/>
          <w:snapToGrid w:val="0"/>
          <w:sz w:val="22"/>
          <w:szCs w:val="22"/>
        </w:rPr>
        <w:t>,</w:t>
      </w:r>
      <w:r w:rsidR="00393CE3">
        <w:rPr>
          <w:rFonts w:ascii="Arial" w:hAnsi="Arial" w:cs="Arial"/>
          <w:bCs/>
          <w:snapToGrid w:val="0"/>
          <w:sz w:val="22"/>
          <w:szCs w:val="22"/>
        </w:rPr>
        <w:t xml:space="preserve"> and who</w:t>
      </w:r>
      <w:r w:rsidR="00393CE3">
        <w:rPr>
          <w:rFonts w:ascii="Arial" w:hAnsi="Arial" w:cs="Arial"/>
          <w:sz w:val="22"/>
          <w:szCs w:val="22"/>
        </w:rPr>
        <w:t>se tumours</w:t>
      </w:r>
      <w:r w:rsidR="00FC6E54" w:rsidRPr="002478FF">
        <w:rPr>
          <w:rFonts w:ascii="Arial" w:hAnsi="Arial" w:cs="Arial"/>
          <w:sz w:val="22"/>
          <w:szCs w:val="22"/>
        </w:rPr>
        <w:t xml:space="preserve"> are </w:t>
      </w:r>
      <w:r w:rsidR="00FC6E54" w:rsidRPr="002478FF">
        <w:rPr>
          <w:rFonts w:ascii="Arial" w:hAnsi="Arial" w:cs="Arial"/>
          <w:i/>
          <w:sz w:val="22"/>
          <w:szCs w:val="22"/>
        </w:rPr>
        <w:t>EGFR</w:t>
      </w:r>
      <w:r w:rsidR="00FC6E54" w:rsidRPr="002478FF">
        <w:rPr>
          <w:rFonts w:ascii="Arial" w:hAnsi="Arial" w:cs="Arial"/>
          <w:sz w:val="22"/>
          <w:szCs w:val="22"/>
        </w:rPr>
        <w:t xml:space="preserve"> wild</w:t>
      </w:r>
      <w:r w:rsidR="00052799">
        <w:rPr>
          <w:rFonts w:ascii="Arial" w:hAnsi="Arial" w:cs="Arial"/>
          <w:sz w:val="22"/>
          <w:szCs w:val="22"/>
        </w:rPr>
        <w:t xml:space="preserve"> </w:t>
      </w:r>
      <w:r w:rsidR="00FC6E54" w:rsidRPr="002478FF">
        <w:rPr>
          <w:rFonts w:ascii="Arial" w:hAnsi="Arial" w:cs="Arial"/>
          <w:sz w:val="22"/>
          <w:szCs w:val="22"/>
        </w:rPr>
        <w:t>type</w:t>
      </w:r>
      <w:r w:rsidR="00E04BDE">
        <w:rPr>
          <w:rFonts w:ascii="Arial" w:hAnsi="Arial" w:cs="Arial"/>
          <w:sz w:val="22"/>
          <w:szCs w:val="22"/>
        </w:rPr>
        <w:t>,</w:t>
      </w:r>
      <w:r w:rsidR="00FC6E54" w:rsidRPr="002478FF">
        <w:rPr>
          <w:rFonts w:ascii="Arial" w:hAnsi="Arial" w:cs="Arial"/>
          <w:sz w:val="22"/>
          <w:szCs w:val="22"/>
        </w:rPr>
        <w:t xml:space="preserve"> </w:t>
      </w:r>
      <w:r w:rsidR="00FC6E54" w:rsidRPr="002478FF">
        <w:rPr>
          <w:rFonts w:ascii="Arial" w:hAnsi="Arial" w:cs="Arial"/>
          <w:i/>
          <w:sz w:val="22"/>
          <w:szCs w:val="22"/>
        </w:rPr>
        <w:t>ALK</w:t>
      </w:r>
      <w:r w:rsidR="00FC6E54" w:rsidRPr="002478FF">
        <w:rPr>
          <w:rFonts w:ascii="Arial" w:hAnsi="Arial" w:cs="Arial"/>
          <w:sz w:val="22"/>
          <w:szCs w:val="22"/>
        </w:rPr>
        <w:t xml:space="preserve"> gene rearrangement negative</w:t>
      </w:r>
      <w:r w:rsidR="000C4413" w:rsidRPr="002478FF">
        <w:rPr>
          <w:rFonts w:ascii="Arial" w:hAnsi="Arial" w:cs="Arial"/>
          <w:bCs/>
          <w:snapToGrid w:val="0"/>
          <w:sz w:val="22"/>
          <w:szCs w:val="22"/>
        </w:rPr>
        <w:t xml:space="preserve">, and </w:t>
      </w:r>
      <w:r w:rsidR="00FC6E54" w:rsidRPr="002478FF">
        <w:rPr>
          <w:rFonts w:ascii="Arial" w:hAnsi="Arial" w:cs="Arial"/>
          <w:bCs/>
          <w:snapToGrid w:val="0"/>
          <w:sz w:val="22"/>
          <w:szCs w:val="22"/>
        </w:rPr>
        <w:t xml:space="preserve">have </w:t>
      </w:r>
      <w:r w:rsidR="000C4413" w:rsidRPr="002478FF">
        <w:rPr>
          <w:rFonts w:ascii="Arial" w:hAnsi="Arial" w:cs="Arial"/>
          <w:bCs/>
          <w:snapToGrid w:val="0"/>
          <w:sz w:val="22"/>
          <w:szCs w:val="22"/>
        </w:rPr>
        <w:t xml:space="preserve">a TPS </w:t>
      </w:r>
      <w:r w:rsidR="000C4413" w:rsidRPr="002478FF">
        <w:rPr>
          <w:rFonts w:ascii="Arial" w:hAnsi="Arial" w:cs="Arial"/>
          <w:sz w:val="22"/>
          <w:szCs w:val="22"/>
        </w:rPr>
        <w:t>≥50%</w:t>
      </w:r>
      <w:r w:rsidR="005002A8" w:rsidRPr="002478FF">
        <w:rPr>
          <w:rFonts w:ascii="Arial" w:hAnsi="Arial" w:cs="Arial"/>
          <w:bCs/>
          <w:snapToGrid w:val="0"/>
          <w:sz w:val="22"/>
          <w:szCs w:val="22"/>
        </w:rPr>
        <w:t>.</w:t>
      </w:r>
    </w:p>
    <w:p w:rsidR="00CC54C2" w:rsidRPr="002478FF" w:rsidRDefault="00CC54C2" w:rsidP="00CC54C2">
      <w:pPr>
        <w:pStyle w:val="ListParagraph"/>
        <w:ind w:left="0" w:firstLine="0"/>
        <w:rPr>
          <w:rFonts w:ascii="Arial" w:hAnsi="Arial" w:cs="Arial"/>
          <w:bCs/>
          <w:snapToGrid w:val="0"/>
          <w:sz w:val="22"/>
          <w:szCs w:val="22"/>
          <w:lang w:val="en-GB"/>
        </w:rPr>
      </w:pPr>
    </w:p>
    <w:p w:rsidR="00846153" w:rsidRPr="002478FF" w:rsidRDefault="005002A8" w:rsidP="00846153">
      <w:pPr>
        <w:widowControl w:val="0"/>
        <w:numPr>
          <w:ilvl w:val="1"/>
          <w:numId w:val="4"/>
        </w:numPr>
        <w:ind w:left="720"/>
        <w:rPr>
          <w:rFonts w:ascii="Arial" w:hAnsi="Arial" w:cs="Arial"/>
          <w:bCs/>
          <w:snapToGrid w:val="0"/>
          <w:sz w:val="22"/>
          <w:szCs w:val="20"/>
          <w:lang w:val="en-GB"/>
        </w:rPr>
      </w:pPr>
      <w:r w:rsidRPr="002478FF">
        <w:rPr>
          <w:rFonts w:ascii="Arial" w:hAnsi="Arial" w:cs="Arial"/>
          <w:bCs/>
          <w:snapToGrid w:val="0"/>
          <w:sz w:val="22"/>
          <w:szCs w:val="20"/>
          <w:lang w:val="en-GB"/>
        </w:rPr>
        <w:t xml:space="preserve">As with the previous submission for </w:t>
      </w:r>
      <w:r w:rsidR="00DA2754">
        <w:rPr>
          <w:rFonts w:ascii="Arial" w:hAnsi="Arial" w:cs="Arial"/>
          <w:bCs/>
          <w:snapToGrid w:val="0"/>
          <w:sz w:val="22"/>
          <w:szCs w:val="20"/>
          <w:lang w:val="en-GB"/>
        </w:rPr>
        <w:t xml:space="preserve">PBS listing of </w:t>
      </w:r>
      <w:r w:rsidRPr="002478FF">
        <w:rPr>
          <w:rFonts w:ascii="Arial" w:hAnsi="Arial" w:cs="Arial"/>
          <w:bCs/>
          <w:snapToGrid w:val="0"/>
          <w:sz w:val="22"/>
          <w:szCs w:val="20"/>
          <w:lang w:val="en-GB"/>
        </w:rPr>
        <w:t xml:space="preserve">second- and third-line </w:t>
      </w:r>
      <w:r w:rsidR="00DA2754">
        <w:rPr>
          <w:rFonts w:ascii="Arial" w:hAnsi="Arial" w:cs="Arial"/>
          <w:bCs/>
          <w:snapToGrid w:val="0"/>
          <w:sz w:val="22"/>
          <w:szCs w:val="20"/>
          <w:lang w:val="en-GB"/>
        </w:rPr>
        <w:t>pembrolizumab treatment</w:t>
      </w:r>
      <w:r w:rsidRPr="002478FF">
        <w:rPr>
          <w:rFonts w:ascii="Arial" w:hAnsi="Arial" w:cs="Arial"/>
          <w:bCs/>
          <w:snapToGrid w:val="0"/>
          <w:sz w:val="22"/>
          <w:szCs w:val="20"/>
          <w:lang w:val="en-GB"/>
        </w:rPr>
        <w:t xml:space="preserve"> for </w:t>
      </w:r>
      <w:r w:rsidR="000C4413" w:rsidRPr="002478FF">
        <w:rPr>
          <w:rFonts w:ascii="Arial" w:hAnsi="Arial" w:cs="Arial"/>
          <w:bCs/>
          <w:snapToGrid w:val="0"/>
          <w:sz w:val="22"/>
          <w:szCs w:val="20"/>
          <w:lang w:val="en-GB"/>
        </w:rPr>
        <w:t xml:space="preserve">NSCLC, there was uncertainty in selecting a PD-L1 </w:t>
      </w:r>
      <w:r w:rsidR="000C4413" w:rsidRPr="002478FF">
        <w:rPr>
          <w:rFonts w:ascii="Arial" w:hAnsi="Arial" w:cs="Arial"/>
          <w:bCs/>
          <w:snapToGrid w:val="0"/>
          <w:sz w:val="22"/>
          <w:szCs w:val="20"/>
          <w:lang w:val="en-GB"/>
        </w:rPr>
        <w:lastRenderedPageBreak/>
        <w:t xml:space="preserve">expression threshold to define an optimal patient population most likely to respond to </w:t>
      </w:r>
      <w:r w:rsidR="00DA2754">
        <w:rPr>
          <w:rFonts w:ascii="Arial" w:hAnsi="Arial" w:cs="Arial"/>
          <w:bCs/>
          <w:snapToGrid w:val="0"/>
          <w:sz w:val="22"/>
          <w:szCs w:val="20"/>
          <w:lang w:val="en-GB"/>
        </w:rPr>
        <w:t xml:space="preserve">first-line pembrolizumab </w:t>
      </w:r>
      <w:r w:rsidR="000C4413" w:rsidRPr="002478FF">
        <w:rPr>
          <w:rFonts w:ascii="Arial" w:hAnsi="Arial" w:cs="Arial"/>
          <w:bCs/>
          <w:snapToGrid w:val="0"/>
          <w:sz w:val="22"/>
          <w:szCs w:val="20"/>
          <w:lang w:val="en-GB"/>
        </w:rPr>
        <w:t xml:space="preserve">treatment. For this </w:t>
      </w:r>
      <w:r w:rsidR="00DA2754">
        <w:rPr>
          <w:rFonts w:ascii="Arial" w:hAnsi="Arial" w:cs="Arial"/>
          <w:bCs/>
          <w:snapToGrid w:val="0"/>
          <w:sz w:val="22"/>
          <w:szCs w:val="20"/>
          <w:lang w:val="en-GB"/>
        </w:rPr>
        <w:t xml:space="preserve">submission for PBS </w:t>
      </w:r>
      <w:r w:rsidR="000C4413" w:rsidRPr="002478FF">
        <w:rPr>
          <w:rFonts w:ascii="Arial" w:hAnsi="Arial" w:cs="Arial"/>
          <w:bCs/>
          <w:snapToGrid w:val="0"/>
          <w:sz w:val="22"/>
          <w:szCs w:val="20"/>
          <w:lang w:val="en-GB"/>
        </w:rPr>
        <w:t xml:space="preserve">listing </w:t>
      </w:r>
      <w:r w:rsidR="00DA2754">
        <w:rPr>
          <w:rFonts w:ascii="Arial" w:hAnsi="Arial" w:cs="Arial"/>
          <w:bCs/>
          <w:snapToGrid w:val="0"/>
          <w:sz w:val="22"/>
          <w:szCs w:val="20"/>
          <w:lang w:val="en-GB"/>
        </w:rPr>
        <w:t xml:space="preserve">of </w:t>
      </w:r>
      <w:r w:rsidR="00DA2754" w:rsidRPr="002478FF">
        <w:rPr>
          <w:rFonts w:ascii="Arial" w:hAnsi="Arial" w:cs="Arial"/>
          <w:bCs/>
          <w:snapToGrid w:val="0"/>
          <w:sz w:val="22"/>
          <w:szCs w:val="20"/>
          <w:lang w:val="en-GB"/>
        </w:rPr>
        <w:t xml:space="preserve">first-line </w:t>
      </w:r>
      <w:r w:rsidR="00DA2754">
        <w:rPr>
          <w:rFonts w:ascii="Arial" w:hAnsi="Arial" w:cs="Arial"/>
          <w:bCs/>
          <w:snapToGrid w:val="0"/>
          <w:sz w:val="22"/>
          <w:szCs w:val="20"/>
          <w:lang w:val="en-GB"/>
        </w:rPr>
        <w:t>pembrolizumab treatment</w:t>
      </w:r>
      <w:r w:rsidR="000C4413" w:rsidRPr="002478FF">
        <w:rPr>
          <w:rFonts w:ascii="Arial" w:hAnsi="Arial" w:cs="Arial"/>
          <w:bCs/>
          <w:snapToGrid w:val="0"/>
          <w:sz w:val="22"/>
          <w:szCs w:val="20"/>
          <w:lang w:val="en-GB"/>
        </w:rPr>
        <w:t xml:space="preserve">, the key </w:t>
      </w:r>
      <w:r w:rsidR="00BA1D86">
        <w:rPr>
          <w:rFonts w:ascii="Arial" w:hAnsi="Arial" w:cs="Arial"/>
          <w:bCs/>
          <w:snapToGrid w:val="0"/>
          <w:sz w:val="22"/>
          <w:szCs w:val="20"/>
          <w:lang w:val="en-GB"/>
        </w:rPr>
        <w:t>trial presented (KN-024)</w:t>
      </w:r>
      <w:r w:rsidR="000C4413" w:rsidRPr="002478FF">
        <w:rPr>
          <w:rFonts w:ascii="Arial" w:hAnsi="Arial" w:cs="Arial"/>
          <w:bCs/>
          <w:snapToGrid w:val="0"/>
          <w:sz w:val="22"/>
          <w:szCs w:val="20"/>
          <w:lang w:val="en-GB"/>
        </w:rPr>
        <w:t xml:space="preserve"> only recruited </w:t>
      </w:r>
      <w:r w:rsidRPr="002478FF">
        <w:rPr>
          <w:rFonts w:ascii="Arial" w:hAnsi="Arial" w:cs="Arial"/>
          <w:bCs/>
          <w:snapToGrid w:val="0"/>
          <w:sz w:val="22"/>
          <w:szCs w:val="20"/>
          <w:lang w:val="en-GB"/>
        </w:rPr>
        <w:t xml:space="preserve">patients with </w:t>
      </w:r>
      <w:r w:rsidR="000C4413" w:rsidRPr="002478FF">
        <w:rPr>
          <w:rFonts w:ascii="Arial" w:hAnsi="Arial" w:cs="Arial"/>
          <w:bCs/>
          <w:snapToGrid w:val="0"/>
          <w:sz w:val="22"/>
          <w:szCs w:val="20"/>
          <w:lang w:val="en-GB"/>
        </w:rPr>
        <w:t xml:space="preserve">a TPS </w:t>
      </w:r>
      <w:r w:rsidR="000C4413" w:rsidRPr="002478FF">
        <w:rPr>
          <w:rFonts w:ascii="Arial" w:hAnsi="Arial" w:cs="Arial"/>
          <w:sz w:val="22"/>
          <w:szCs w:val="22"/>
        </w:rPr>
        <w:t>≥50%</w:t>
      </w:r>
      <w:r w:rsidR="000C4413" w:rsidRPr="002478FF">
        <w:rPr>
          <w:rFonts w:ascii="Arial" w:hAnsi="Arial" w:cs="Arial"/>
          <w:bCs/>
          <w:snapToGrid w:val="0"/>
          <w:sz w:val="22"/>
          <w:szCs w:val="20"/>
          <w:lang w:val="en-GB"/>
        </w:rPr>
        <w:t xml:space="preserve">. </w:t>
      </w:r>
      <w:r w:rsidR="00FD1F8C" w:rsidRPr="002478FF">
        <w:rPr>
          <w:rFonts w:ascii="Arial" w:hAnsi="Arial" w:cs="Arial"/>
          <w:bCs/>
          <w:snapToGrid w:val="0"/>
          <w:sz w:val="22"/>
          <w:szCs w:val="22"/>
          <w:lang w:val="en-GB"/>
        </w:rPr>
        <w:t xml:space="preserve">The PBAC therefore considered there was no direct basis to evaluate whether this definition of the proposed biomarker was a treatment effect modifier, and any basis for doing so needed to be extrapolated from a small single-arm study in patients receiving later line therapy. </w:t>
      </w:r>
      <w:r w:rsidR="00BA1D86">
        <w:rPr>
          <w:rFonts w:ascii="Arial" w:hAnsi="Arial" w:cs="Arial"/>
          <w:bCs/>
          <w:snapToGrid w:val="0"/>
          <w:sz w:val="22"/>
          <w:szCs w:val="22"/>
          <w:lang w:val="en-GB"/>
        </w:rPr>
        <w:t>The PBAC noted that the ongoing KN-</w:t>
      </w:r>
      <w:r w:rsidR="0068035F">
        <w:rPr>
          <w:rFonts w:ascii="Arial" w:hAnsi="Arial" w:cs="Arial"/>
          <w:bCs/>
          <w:snapToGrid w:val="0"/>
          <w:sz w:val="22"/>
          <w:szCs w:val="22"/>
          <w:lang w:val="en-GB"/>
        </w:rPr>
        <w:t>0</w:t>
      </w:r>
      <w:r w:rsidR="00BA1D86">
        <w:rPr>
          <w:rFonts w:ascii="Arial" w:hAnsi="Arial" w:cs="Arial"/>
          <w:bCs/>
          <w:snapToGrid w:val="0"/>
          <w:sz w:val="22"/>
          <w:szCs w:val="22"/>
          <w:lang w:val="en-GB"/>
        </w:rPr>
        <w:t xml:space="preserve">42 trial </w:t>
      </w:r>
      <w:r w:rsidR="00687A10">
        <w:rPr>
          <w:rFonts w:ascii="Arial" w:hAnsi="Arial" w:cs="Arial"/>
          <w:bCs/>
          <w:snapToGrid w:val="0"/>
          <w:sz w:val="22"/>
          <w:szCs w:val="22"/>
          <w:lang w:val="en-GB"/>
        </w:rPr>
        <w:t xml:space="preserve">recruited patients with a </w:t>
      </w:r>
      <w:r w:rsidR="00687A10" w:rsidRPr="002478FF">
        <w:rPr>
          <w:rFonts w:ascii="Arial" w:hAnsi="Arial" w:cs="Arial"/>
          <w:bCs/>
          <w:snapToGrid w:val="0"/>
          <w:sz w:val="22"/>
          <w:szCs w:val="20"/>
          <w:lang w:val="en-GB"/>
        </w:rPr>
        <w:t xml:space="preserve">TPS </w:t>
      </w:r>
      <w:r w:rsidR="00687A10" w:rsidRPr="002478FF">
        <w:rPr>
          <w:rFonts w:ascii="Arial" w:hAnsi="Arial" w:cs="Arial"/>
          <w:sz w:val="22"/>
          <w:szCs w:val="22"/>
        </w:rPr>
        <w:t>≥</w:t>
      </w:r>
      <w:r w:rsidR="006E2D9E">
        <w:rPr>
          <w:rFonts w:ascii="Arial" w:hAnsi="Arial" w:cs="Arial"/>
          <w:sz w:val="22"/>
          <w:szCs w:val="22"/>
        </w:rPr>
        <w:t>1</w:t>
      </w:r>
      <w:r w:rsidR="00687A10" w:rsidRPr="002478FF">
        <w:rPr>
          <w:rFonts w:ascii="Arial" w:hAnsi="Arial" w:cs="Arial"/>
          <w:sz w:val="22"/>
          <w:szCs w:val="22"/>
        </w:rPr>
        <w:t>%</w:t>
      </w:r>
      <w:r w:rsidR="00687A10">
        <w:rPr>
          <w:rFonts w:ascii="Arial" w:hAnsi="Arial" w:cs="Arial"/>
          <w:bCs/>
          <w:snapToGrid w:val="0"/>
          <w:sz w:val="22"/>
          <w:szCs w:val="20"/>
          <w:lang w:val="en-GB"/>
        </w:rPr>
        <w:t xml:space="preserve">, and so might provide some relevant evidence to inform this issue, but that this needed to be balanced against the </w:t>
      </w:r>
      <w:r w:rsidR="00393CE3">
        <w:rPr>
          <w:rFonts w:ascii="Arial" w:hAnsi="Arial" w:cs="Arial"/>
          <w:bCs/>
          <w:snapToGrid w:val="0"/>
          <w:sz w:val="22"/>
          <w:szCs w:val="20"/>
          <w:lang w:val="en-GB"/>
        </w:rPr>
        <w:t>fact that this</w:t>
      </w:r>
      <w:r w:rsidR="00687A10">
        <w:rPr>
          <w:rFonts w:ascii="Arial" w:hAnsi="Arial" w:cs="Arial"/>
          <w:bCs/>
          <w:snapToGrid w:val="0"/>
          <w:sz w:val="22"/>
          <w:szCs w:val="20"/>
          <w:lang w:val="en-GB"/>
        </w:rPr>
        <w:t xml:space="preserve"> trial was not expected to be completed until 2018, </w:t>
      </w:r>
      <w:r w:rsidR="00DF3DBC">
        <w:rPr>
          <w:rFonts w:ascii="Arial" w:hAnsi="Arial" w:cs="Arial"/>
          <w:bCs/>
          <w:noProof/>
          <w:snapToGrid w:val="0"/>
          <w:color w:val="000000"/>
          <w:sz w:val="22"/>
          <w:szCs w:val="20"/>
          <w:highlight w:val="black"/>
          <w:lang w:val="en-GB"/>
        </w:rPr>
        <w:t>''''''''''' ''''''' ''''''''''''''' '''''''''''''''''''' ''''' ''''''''''''</w:t>
      </w:r>
      <w:r w:rsidR="00687A10">
        <w:rPr>
          <w:rFonts w:ascii="Arial" w:hAnsi="Arial" w:cs="Arial"/>
          <w:bCs/>
          <w:snapToGrid w:val="0"/>
          <w:sz w:val="22"/>
          <w:szCs w:val="20"/>
          <w:lang w:val="en-GB"/>
        </w:rPr>
        <w:t xml:space="preserve">. </w:t>
      </w:r>
      <w:r w:rsidR="00FA116D">
        <w:rPr>
          <w:rFonts w:ascii="Arial" w:hAnsi="Arial" w:cs="Arial"/>
          <w:bCs/>
          <w:snapToGrid w:val="0"/>
          <w:sz w:val="22"/>
          <w:szCs w:val="20"/>
          <w:lang w:val="en-GB"/>
        </w:rPr>
        <w:t>The PBAC noted that different trials of immunotherapies in NSCLC used different PD-L1 thresholds, increasing the appearance of arbitrariness</w:t>
      </w:r>
      <w:r w:rsidR="00393CE3">
        <w:rPr>
          <w:rFonts w:ascii="Arial" w:hAnsi="Arial" w:cs="Arial"/>
          <w:bCs/>
          <w:snapToGrid w:val="0"/>
          <w:sz w:val="22"/>
          <w:szCs w:val="20"/>
          <w:lang w:val="en-GB"/>
        </w:rPr>
        <w:t xml:space="preserve"> in the exclusion of patients from a potentially beneficial treatment. </w:t>
      </w:r>
      <w:r w:rsidR="00FA116D">
        <w:rPr>
          <w:rFonts w:ascii="Arial" w:hAnsi="Arial" w:cs="Arial"/>
          <w:bCs/>
          <w:snapToGrid w:val="0"/>
          <w:sz w:val="22"/>
          <w:szCs w:val="20"/>
          <w:lang w:val="en-GB"/>
        </w:rPr>
        <w:t xml:space="preserve">The PBAC also considered that although variation in PD-L1 expression might vary treatment effectiveness quantitatively, this variation has not been sufficient to identify a patient group whose outcomes would be inferior to those following platinum-based chemotherapy, making it difficult to exclude patients from any subsidy from an equity viewpoint. </w:t>
      </w:r>
      <w:r w:rsidR="00393CE3">
        <w:rPr>
          <w:rFonts w:ascii="Arial" w:hAnsi="Arial" w:cs="Arial"/>
          <w:bCs/>
          <w:snapToGrid w:val="0"/>
          <w:sz w:val="22"/>
          <w:szCs w:val="20"/>
          <w:lang w:val="en-GB"/>
        </w:rPr>
        <w:t>A number of studies have reviewed the challenges of interpreting and applying molecular testing in lung cancer in general and have also highlighted the limitations of using PD</w:t>
      </w:r>
      <w:r w:rsidR="00E04BDE">
        <w:rPr>
          <w:rFonts w:ascii="Arial" w:hAnsi="Arial" w:cs="Arial"/>
          <w:bCs/>
          <w:snapToGrid w:val="0"/>
          <w:sz w:val="22"/>
          <w:szCs w:val="20"/>
          <w:lang w:val="en-GB"/>
        </w:rPr>
        <w:t>-</w:t>
      </w:r>
      <w:r w:rsidR="00393CE3">
        <w:rPr>
          <w:rFonts w:ascii="Arial" w:hAnsi="Arial" w:cs="Arial"/>
          <w:bCs/>
          <w:snapToGrid w:val="0"/>
          <w:sz w:val="22"/>
          <w:szCs w:val="20"/>
          <w:lang w:val="en-GB"/>
        </w:rPr>
        <w:t xml:space="preserve">L1 expression as a discriminatory biomarker to determine treatment eligibility. The studies have also noted that durable responses </w:t>
      </w:r>
      <w:r w:rsidR="00E04BDE">
        <w:rPr>
          <w:rFonts w:ascii="Arial" w:hAnsi="Arial" w:cs="Arial"/>
          <w:bCs/>
          <w:snapToGrid w:val="0"/>
          <w:sz w:val="22"/>
          <w:szCs w:val="20"/>
          <w:lang w:val="en-GB"/>
        </w:rPr>
        <w:t xml:space="preserve">have been </w:t>
      </w:r>
      <w:r w:rsidR="00393CE3">
        <w:rPr>
          <w:rFonts w:ascii="Arial" w:hAnsi="Arial" w:cs="Arial"/>
          <w:bCs/>
          <w:snapToGrid w:val="0"/>
          <w:sz w:val="22"/>
          <w:szCs w:val="20"/>
          <w:lang w:val="en-GB"/>
        </w:rPr>
        <w:t>observed in patients without PD</w:t>
      </w:r>
      <w:r w:rsidR="00E04BDE">
        <w:rPr>
          <w:rFonts w:ascii="Arial" w:hAnsi="Arial" w:cs="Arial"/>
          <w:bCs/>
          <w:snapToGrid w:val="0"/>
          <w:sz w:val="22"/>
          <w:szCs w:val="20"/>
          <w:lang w:val="en-GB"/>
        </w:rPr>
        <w:t>-</w:t>
      </w:r>
      <w:r w:rsidR="00393CE3">
        <w:rPr>
          <w:rFonts w:ascii="Arial" w:hAnsi="Arial" w:cs="Arial"/>
          <w:bCs/>
          <w:snapToGrid w:val="0"/>
          <w:sz w:val="22"/>
          <w:szCs w:val="20"/>
          <w:lang w:val="en-GB"/>
        </w:rPr>
        <w:t>L1 expression</w:t>
      </w:r>
      <w:r w:rsidR="0054177C">
        <w:rPr>
          <w:rStyle w:val="FootnoteReference"/>
          <w:rFonts w:ascii="Arial" w:hAnsi="Arial" w:cs="Arial"/>
          <w:bCs/>
          <w:snapToGrid w:val="0"/>
          <w:sz w:val="22"/>
          <w:szCs w:val="20"/>
          <w:lang w:val="en-GB"/>
        </w:rPr>
        <w:footnoteReference w:id="12"/>
      </w:r>
      <w:r w:rsidR="00393CE3">
        <w:rPr>
          <w:rFonts w:ascii="Arial" w:hAnsi="Arial" w:cs="Arial"/>
          <w:bCs/>
          <w:snapToGrid w:val="0"/>
          <w:sz w:val="22"/>
          <w:szCs w:val="20"/>
          <w:lang w:val="en-GB"/>
        </w:rPr>
        <w:t xml:space="preserve">. </w:t>
      </w:r>
      <w:r w:rsidR="0068035F">
        <w:rPr>
          <w:rFonts w:ascii="Arial" w:hAnsi="Arial" w:cs="Arial"/>
          <w:bCs/>
          <w:snapToGrid w:val="0"/>
          <w:sz w:val="22"/>
          <w:szCs w:val="20"/>
          <w:lang w:val="en-GB"/>
        </w:rPr>
        <w:t>Therefore, a</w:t>
      </w:r>
      <w:r w:rsidR="000C4413" w:rsidRPr="002478FF">
        <w:rPr>
          <w:rFonts w:ascii="Arial" w:hAnsi="Arial" w:cs="Arial"/>
          <w:bCs/>
          <w:snapToGrid w:val="0"/>
          <w:sz w:val="22"/>
          <w:szCs w:val="20"/>
          <w:lang w:val="en-GB"/>
        </w:rPr>
        <w:t xml:space="preserve">s </w:t>
      </w:r>
      <w:r w:rsidR="0068035F">
        <w:rPr>
          <w:rFonts w:ascii="Arial" w:hAnsi="Arial" w:cs="Arial"/>
          <w:bCs/>
          <w:snapToGrid w:val="0"/>
          <w:sz w:val="22"/>
          <w:szCs w:val="20"/>
          <w:lang w:val="en-GB"/>
        </w:rPr>
        <w:t>p</w:t>
      </w:r>
      <w:r w:rsidR="000C4413" w:rsidRPr="002478FF">
        <w:rPr>
          <w:rFonts w:ascii="Arial" w:hAnsi="Arial" w:cs="Arial"/>
          <w:bCs/>
          <w:snapToGrid w:val="0"/>
          <w:sz w:val="22"/>
          <w:szCs w:val="20"/>
          <w:lang w:val="en-GB"/>
        </w:rPr>
        <w:t>reviously</w:t>
      </w:r>
      <w:r w:rsidR="0068035F">
        <w:rPr>
          <w:rFonts w:ascii="Arial" w:hAnsi="Arial" w:cs="Arial"/>
          <w:bCs/>
          <w:snapToGrid w:val="0"/>
          <w:sz w:val="22"/>
          <w:szCs w:val="20"/>
          <w:lang w:val="en-GB"/>
        </w:rPr>
        <w:t xml:space="preserve">, </w:t>
      </w:r>
      <w:r w:rsidR="000C4413" w:rsidRPr="002478FF">
        <w:rPr>
          <w:rFonts w:ascii="Arial" w:hAnsi="Arial" w:cs="Arial"/>
          <w:bCs/>
          <w:snapToGrid w:val="0"/>
          <w:sz w:val="22"/>
          <w:szCs w:val="20"/>
          <w:lang w:val="en-GB"/>
        </w:rPr>
        <w:t>t</w:t>
      </w:r>
      <w:r w:rsidR="000C4413" w:rsidRPr="002478FF">
        <w:rPr>
          <w:rFonts w:ascii="Arial" w:hAnsi="Arial" w:cs="Arial"/>
          <w:bCs/>
          <w:snapToGrid w:val="0"/>
          <w:sz w:val="22"/>
          <w:szCs w:val="22"/>
        </w:rPr>
        <w:t>he PBAC considered that the use of th</w:t>
      </w:r>
      <w:r w:rsidR="0068035F">
        <w:rPr>
          <w:rFonts w:ascii="Arial" w:hAnsi="Arial" w:cs="Arial"/>
          <w:bCs/>
          <w:snapToGrid w:val="0"/>
          <w:sz w:val="22"/>
          <w:szCs w:val="22"/>
        </w:rPr>
        <w:t xml:space="preserve">e </w:t>
      </w:r>
      <w:r w:rsidR="0068035F" w:rsidRPr="002478FF">
        <w:rPr>
          <w:rFonts w:ascii="Arial" w:hAnsi="Arial" w:cs="Arial"/>
          <w:bCs/>
          <w:snapToGrid w:val="0"/>
          <w:sz w:val="22"/>
          <w:szCs w:val="20"/>
          <w:lang w:val="en-GB"/>
        </w:rPr>
        <w:t xml:space="preserve">TPS </w:t>
      </w:r>
      <w:r w:rsidR="0068035F" w:rsidRPr="002478FF">
        <w:rPr>
          <w:rFonts w:ascii="Arial" w:hAnsi="Arial" w:cs="Arial"/>
          <w:sz w:val="22"/>
          <w:szCs w:val="22"/>
        </w:rPr>
        <w:t>≥50%</w:t>
      </w:r>
      <w:r w:rsidR="000C4413" w:rsidRPr="002478FF">
        <w:rPr>
          <w:rFonts w:ascii="Arial" w:hAnsi="Arial" w:cs="Arial"/>
          <w:bCs/>
          <w:snapToGrid w:val="0"/>
          <w:sz w:val="22"/>
          <w:szCs w:val="22"/>
        </w:rPr>
        <w:t xml:space="preserve"> threshold was not adequately justified.</w:t>
      </w:r>
    </w:p>
    <w:p w:rsidR="00846153" w:rsidRPr="002478FF" w:rsidRDefault="00846153" w:rsidP="00846153">
      <w:pPr>
        <w:widowControl w:val="0"/>
        <w:rPr>
          <w:rFonts w:ascii="Arial" w:hAnsi="Arial" w:cs="Arial"/>
          <w:bCs/>
          <w:snapToGrid w:val="0"/>
          <w:sz w:val="22"/>
          <w:szCs w:val="20"/>
          <w:lang w:val="en-GB"/>
        </w:rPr>
      </w:pPr>
    </w:p>
    <w:p w:rsidR="00C74E99" w:rsidRPr="002478FF" w:rsidRDefault="00C74E99" w:rsidP="00846153">
      <w:pPr>
        <w:widowControl w:val="0"/>
        <w:numPr>
          <w:ilvl w:val="1"/>
          <w:numId w:val="4"/>
        </w:numPr>
        <w:ind w:left="720"/>
        <w:rPr>
          <w:rFonts w:ascii="Arial" w:hAnsi="Arial" w:cs="Arial"/>
          <w:bCs/>
          <w:snapToGrid w:val="0"/>
          <w:sz w:val="22"/>
          <w:szCs w:val="22"/>
          <w:lang w:val="en-GB"/>
        </w:rPr>
      </w:pPr>
      <w:r w:rsidRPr="002478FF">
        <w:rPr>
          <w:rFonts w:ascii="Arial" w:hAnsi="Arial" w:cs="Arial"/>
          <w:bCs/>
          <w:sz w:val="22"/>
          <w:szCs w:val="22"/>
        </w:rPr>
        <w:t xml:space="preserve">The PBAC </w:t>
      </w:r>
      <w:r w:rsidR="00E30B67">
        <w:rPr>
          <w:rFonts w:ascii="Arial" w:hAnsi="Arial" w:cs="Arial"/>
          <w:bCs/>
          <w:sz w:val="22"/>
          <w:szCs w:val="22"/>
        </w:rPr>
        <w:t xml:space="preserve">noted the request not to include </w:t>
      </w:r>
      <w:r w:rsidRPr="002478FF">
        <w:rPr>
          <w:rFonts w:ascii="Arial" w:hAnsi="Arial" w:cs="Arial"/>
          <w:bCs/>
          <w:sz w:val="22"/>
          <w:szCs w:val="22"/>
        </w:rPr>
        <w:t xml:space="preserve">the administrative advice as is currently linked to the </w:t>
      </w:r>
      <w:r w:rsidR="00037261" w:rsidRPr="002478FF">
        <w:rPr>
          <w:rFonts w:ascii="Arial" w:hAnsi="Arial" w:cs="Arial"/>
          <w:bCs/>
          <w:sz w:val="22"/>
          <w:szCs w:val="22"/>
        </w:rPr>
        <w:t>pembrolizumab</w:t>
      </w:r>
      <w:r w:rsidRPr="002478FF">
        <w:rPr>
          <w:rFonts w:ascii="Arial" w:hAnsi="Arial" w:cs="Arial"/>
          <w:bCs/>
          <w:sz w:val="22"/>
          <w:szCs w:val="22"/>
        </w:rPr>
        <w:t xml:space="preserve"> restriction for melanoma, “In the first few months after start of immunotherapy, some patients can have a transient tumour flare with subsequent disease response. When progression is suspected, this should be confirmed through a confirmatory scan, taken at least 4 weeks later”. </w:t>
      </w:r>
      <w:r w:rsidR="00C205C8">
        <w:rPr>
          <w:rFonts w:ascii="Arial" w:hAnsi="Arial" w:cs="Arial"/>
          <w:bCs/>
          <w:sz w:val="22"/>
          <w:szCs w:val="22"/>
        </w:rPr>
        <w:t xml:space="preserve"> The PBAC advised that the administrative advice should be retained on current and future pembrolizumab restrictions, as prescriber experience using this drug may vary. In addition, the PBAC noted that the grandfather restriction for pembrolizumab for unresectable Stage III or Stage IV malignant melanoma has been PBS listed for over a year</w:t>
      </w:r>
      <w:r w:rsidR="003543B8">
        <w:rPr>
          <w:rFonts w:ascii="Arial" w:hAnsi="Arial" w:cs="Arial"/>
          <w:bCs/>
          <w:sz w:val="22"/>
          <w:szCs w:val="22"/>
        </w:rPr>
        <w:t xml:space="preserve">, and hence should be removed. </w:t>
      </w:r>
    </w:p>
    <w:p w:rsidR="00FC6E54" w:rsidRDefault="00FC6E54" w:rsidP="00FC6E54">
      <w:pPr>
        <w:pStyle w:val="ListParagraph"/>
        <w:ind w:left="0" w:firstLine="0"/>
        <w:rPr>
          <w:rFonts w:ascii="Arial" w:hAnsi="Arial" w:cs="Arial"/>
          <w:bCs/>
          <w:snapToGrid w:val="0"/>
          <w:sz w:val="22"/>
          <w:szCs w:val="22"/>
          <w:lang w:val="en-GB"/>
        </w:rPr>
      </w:pPr>
    </w:p>
    <w:p w:rsidR="002478FF" w:rsidRDefault="002478FF" w:rsidP="00FC6E54">
      <w:pPr>
        <w:widowControl w:val="0"/>
        <w:numPr>
          <w:ilvl w:val="1"/>
          <w:numId w:val="4"/>
        </w:numPr>
        <w:ind w:left="720"/>
        <w:contextualSpacing/>
        <w:rPr>
          <w:rFonts w:ascii="Arial" w:hAnsi="Arial" w:cs="Arial"/>
          <w:bCs/>
          <w:snapToGrid w:val="0"/>
          <w:sz w:val="22"/>
          <w:szCs w:val="22"/>
          <w:lang w:val="en-GB"/>
        </w:rPr>
      </w:pPr>
      <w:r>
        <w:rPr>
          <w:rFonts w:ascii="Arial" w:hAnsi="Arial" w:cs="Arial"/>
          <w:bCs/>
          <w:snapToGrid w:val="0"/>
          <w:sz w:val="22"/>
          <w:szCs w:val="22"/>
          <w:lang w:val="en-GB"/>
        </w:rPr>
        <w:t xml:space="preserve">The PBAC considered that the proposal to limit </w:t>
      </w:r>
      <w:r w:rsidR="00205ECE">
        <w:rPr>
          <w:rFonts w:ascii="Arial" w:hAnsi="Arial" w:cs="Arial"/>
          <w:bCs/>
          <w:snapToGrid w:val="0"/>
          <w:sz w:val="22"/>
          <w:szCs w:val="22"/>
          <w:lang w:val="en-GB"/>
        </w:rPr>
        <w:t xml:space="preserve">PBS-subsidised </w:t>
      </w:r>
      <w:r>
        <w:rPr>
          <w:rFonts w:ascii="Arial" w:hAnsi="Arial" w:cs="Arial"/>
          <w:bCs/>
          <w:snapToGrid w:val="0"/>
          <w:sz w:val="22"/>
          <w:szCs w:val="22"/>
          <w:lang w:val="en-GB"/>
        </w:rPr>
        <w:t xml:space="preserve">pembrolizumab therapy to up to 24 months’ duration in patients who did not progress was consistent with the </w:t>
      </w:r>
      <w:r w:rsidR="00205ECE">
        <w:rPr>
          <w:rFonts w:ascii="Arial" w:hAnsi="Arial" w:cs="Arial"/>
          <w:bCs/>
          <w:snapToGrid w:val="0"/>
          <w:sz w:val="22"/>
          <w:szCs w:val="22"/>
          <w:lang w:val="en-GB"/>
        </w:rPr>
        <w:t>TGA</w:t>
      </w:r>
      <w:r w:rsidR="00906748">
        <w:rPr>
          <w:rFonts w:ascii="Arial" w:hAnsi="Arial" w:cs="Arial"/>
          <w:bCs/>
          <w:snapToGrid w:val="0"/>
          <w:sz w:val="22"/>
          <w:szCs w:val="22"/>
          <w:lang w:val="en-GB"/>
        </w:rPr>
        <w:t>’s</w:t>
      </w:r>
      <w:r w:rsidR="00205ECE">
        <w:rPr>
          <w:rFonts w:ascii="Arial" w:hAnsi="Arial" w:cs="Arial"/>
          <w:bCs/>
          <w:snapToGrid w:val="0"/>
          <w:sz w:val="22"/>
          <w:szCs w:val="22"/>
          <w:lang w:val="en-GB"/>
        </w:rPr>
        <w:t xml:space="preserve"> </w:t>
      </w:r>
      <w:r>
        <w:rPr>
          <w:rFonts w:ascii="Arial" w:hAnsi="Arial" w:cs="Arial"/>
          <w:bCs/>
          <w:snapToGrid w:val="0"/>
          <w:sz w:val="22"/>
          <w:szCs w:val="22"/>
          <w:lang w:val="en-GB"/>
        </w:rPr>
        <w:t>recommend</w:t>
      </w:r>
      <w:r w:rsidR="00906748">
        <w:rPr>
          <w:rFonts w:ascii="Arial" w:hAnsi="Arial" w:cs="Arial"/>
          <w:bCs/>
          <w:snapToGrid w:val="0"/>
          <w:sz w:val="22"/>
          <w:szCs w:val="22"/>
          <w:lang w:val="en-GB"/>
        </w:rPr>
        <w:t>ation</w:t>
      </w:r>
      <w:r w:rsidR="00205ECE">
        <w:rPr>
          <w:rFonts w:ascii="Arial" w:hAnsi="Arial" w:cs="Arial"/>
          <w:bCs/>
          <w:snapToGrid w:val="0"/>
          <w:sz w:val="22"/>
          <w:szCs w:val="22"/>
          <w:lang w:val="en-GB"/>
        </w:rPr>
        <w:t xml:space="preserve"> </w:t>
      </w:r>
      <w:r w:rsidR="00906748">
        <w:rPr>
          <w:rFonts w:ascii="Arial" w:hAnsi="Arial" w:cs="Arial"/>
          <w:bCs/>
          <w:snapToGrid w:val="0"/>
          <w:sz w:val="22"/>
          <w:szCs w:val="22"/>
          <w:lang w:val="en-GB"/>
        </w:rPr>
        <w:t xml:space="preserve">in the </w:t>
      </w:r>
      <w:r>
        <w:rPr>
          <w:rFonts w:ascii="Arial" w:hAnsi="Arial" w:cs="Arial"/>
          <w:bCs/>
          <w:snapToGrid w:val="0"/>
          <w:sz w:val="22"/>
          <w:szCs w:val="22"/>
          <w:lang w:val="en-GB"/>
        </w:rPr>
        <w:t xml:space="preserve">dosage </w:t>
      </w:r>
      <w:r w:rsidR="00906748">
        <w:rPr>
          <w:rFonts w:ascii="Arial" w:hAnsi="Arial" w:cs="Arial"/>
          <w:bCs/>
          <w:snapToGrid w:val="0"/>
          <w:sz w:val="22"/>
          <w:szCs w:val="22"/>
          <w:lang w:val="en-GB"/>
        </w:rPr>
        <w:t>and administration section of the updated PI.</w:t>
      </w:r>
      <w:r w:rsidR="00205ECE">
        <w:rPr>
          <w:rFonts w:ascii="Arial" w:hAnsi="Arial" w:cs="Arial"/>
          <w:bCs/>
          <w:snapToGrid w:val="0"/>
          <w:sz w:val="22"/>
          <w:szCs w:val="22"/>
          <w:lang w:val="en-GB"/>
        </w:rPr>
        <w:t xml:space="preserve"> </w:t>
      </w:r>
      <w:r w:rsidR="00906748">
        <w:rPr>
          <w:rFonts w:ascii="Arial" w:hAnsi="Arial" w:cs="Arial"/>
          <w:bCs/>
          <w:snapToGrid w:val="0"/>
          <w:sz w:val="22"/>
          <w:szCs w:val="22"/>
          <w:lang w:val="en-GB"/>
        </w:rPr>
        <w:t xml:space="preserve">The PBAC also agreed with the sponsor’s withdrawal of its initial request for </w:t>
      </w:r>
      <w:r w:rsidR="00205ECE">
        <w:rPr>
          <w:rFonts w:ascii="Arial" w:hAnsi="Arial" w:cs="Arial"/>
          <w:bCs/>
          <w:snapToGrid w:val="0"/>
          <w:sz w:val="22"/>
          <w:szCs w:val="22"/>
          <w:lang w:val="en-GB"/>
        </w:rPr>
        <w:t xml:space="preserve">PBS-subsidised </w:t>
      </w:r>
      <w:r>
        <w:rPr>
          <w:rFonts w:ascii="Arial" w:hAnsi="Arial" w:cs="Arial"/>
          <w:bCs/>
          <w:snapToGrid w:val="0"/>
          <w:sz w:val="22"/>
          <w:szCs w:val="22"/>
          <w:lang w:val="en-GB"/>
        </w:rPr>
        <w:t xml:space="preserve">retreatment </w:t>
      </w:r>
      <w:r w:rsidR="00205ECE">
        <w:rPr>
          <w:rFonts w:ascii="Arial" w:hAnsi="Arial" w:cs="Arial"/>
          <w:bCs/>
          <w:snapToGrid w:val="0"/>
          <w:sz w:val="22"/>
          <w:szCs w:val="22"/>
          <w:lang w:val="en-GB"/>
        </w:rPr>
        <w:t>with pembrolizumab after subsequent disease progression</w:t>
      </w:r>
      <w:r w:rsidR="00906748">
        <w:rPr>
          <w:rFonts w:ascii="Arial" w:hAnsi="Arial" w:cs="Arial"/>
          <w:bCs/>
          <w:snapToGrid w:val="0"/>
          <w:sz w:val="22"/>
          <w:szCs w:val="22"/>
          <w:lang w:val="en-GB"/>
        </w:rPr>
        <w:t>, noting that this withdrawal was consistent with the TGA’s decision not to include any recommendation for retreatment in the updated PI</w:t>
      </w:r>
      <w:r w:rsidR="00205ECE">
        <w:rPr>
          <w:rFonts w:ascii="Arial" w:hAnsi="Arial" w:cs="Arial"/>
          <w:bCs/>
          <w:snapToGrid w:val="0"/>
          <w:sz w:val="22"/>
          <w:szCs w:val="22"/>
          <w:lang w:val="en-GB"/>
        </w:rPr>
        <w:t>.</w:t>
      </w:r>
    </w:p>
    <w:p w:rsidR="002478FF" w:rsidRPr="002478FF" w:rsidRDefault="002478FF" w:rsidP="002478FF">
      <w:pPr>
        <w:rPr>
          <w:rFonts w:ascii="Arial" w:hAnsi="Arial" w:cs="Arial"/>
          <w:bCs/>
          <w:snapToGrid w:val="0"/>
          <w:sz w:val="22"/>
          <w:szCs w:val="22"/>
          <w:lang w:val="en-GB"/>
        </w:rPr>
      </w:pPr>
    </w:p>
    <w:p w:rsidR="00FC6E54" w:rsidRDefault="00FC6E54" w:rsidP="00FC6E54">
      <w:pPr>
        <w:widowControl w:val="0"/>
        <w:numPr>
          <w:ilvl w:val="1"/>
          <w:numId w:val="4"/>
        </w:numPr>
        <w:ind w:left="720"/>
        <w:contextualSpacing/>
        <w:rPr>
          <w:rFonts w:ascii="Arial" w:hAnsi="Arial" w:cs="Arial"/>
          <w:bCs/>
          <w:snapToGrid w:val="0"/>
          <w:sz w:val="22"/>
          <w:szCs w:val="22"/>
          <w:lang w:val="en-GB"/>
        </w:rPr>
      </w:pPr>
      <w:r>
        <w:rPr>
          <w:rFonts w:ascii="Arial" w:hAnsi="Arial" w:cs="Arial"/>
          <w:bCs/>
          <w:snapToGrid w:val="0"/>
          <w:sz w:val="22"/>
          <w:szCs w:val="22"/>
          <w:lang w:val="en-GB"/>
        </w:rPr>
        <w:t>The submission nominated platinum-based doublet chemotherapy as the main comparator for pembrolizumab in the proposed population. The PBAC considered that this was the appropriate comparator</w:t>
      </w:r>
      <w:r w:rsidR="00E11AC8">
        <w:rPr>
          <w:rFonts w:ascii="Arial" w:hAnsi="Arial" w:cs="Arial"/>
          <w:bCs/>
          <w:snapToGrid w:val="0"/>
          <w:sz w:val="22"/>
          <w:szCs w:val="22"/>
          <w:lang w:val="en-GB"/>
        </w:rPr>
        <w:t xml:space="preserve"> for first</w:t>
      </w:r>
      <w:r w:rsidR="00F01F77">
        <w:rPr>
          <w:rFonts w:ascii="Arial" w:hAnsi="Arial" w:cs="Arial"/>
          <w:bCs/>
          <w:snapToGrid w:val="0"/>
          <w:sz w:val="22"/>
          <w:szCs w:val="22"/>
          <w:lang w:val="en-GB"/>
        </w:rPr>
        <w:t>-</w:t>
      </w:r>
      <w:r w:rsidR="00E11AC8">
        <w:rPr>
          <w:rFonts w:ascii="Arial" w:hAnsi="Arial" w:cs="Arial"/>
          <w:bCs/>
          <w:snapToGrid w:val="0"/>
          <w:sz w:val="22"/>
          <w:szCs w:val="22"/>
          <w:lang w:val="en-GB"/>
        </w:rPr>
        <w:t>line treatment</w:t>
      </w:r>
      <w:r w:rsidR="00F01F77">
        <w:rPr>
          <w:rFonts w:ascii="Arial" w:hAnsi="Arial" w:cs="Arial"/>
          <w:bCs/>
          <w:snapToGrid w:val="0"/>
          <w:sz w:val="22"/>
          <w:szCs w:val="22"/>
          <w:lang w:val="en-GB"/>
        </w:rPr>
        <w:t>,</w:t>
      </w:r>
      <w:r w:rsidR="00E11AC8">
        <w:rPr>
          <w:rFonts w:ascii="Arial" w:hAnsi="Arial" w:cs="Arial"/>
          <w:bCs/>
          <w:snapToGrid w:val="0"/>
          <w:sz w:val="22"/>
          <w:szCs w:val="22"/>
          <w:lang w:val="en-GB"/>
        </w:rPr>
        <w:t xml:space="preserve"> but was not sufficient for retreatment comparisons</w:t>
      </w:r>
      <w:r>
        <w:rPr>
          <w:rFonts w:ascii="Arial" w:hAnsi="Arial" w:cs="Arial"/>
          <w:bCs/>
          <w:snapToGrid w:val="0"/>
          <w:sz w:val="22"/>
          <w:szCs w:val="22"/>
          <w:lang w:val="en-GB"/>
        </w:rPr>
        <w:t>.</w:t>
      </w:r>
    </w:p>
    <w:p w:rsidR="00BA1D86" w:rsidRPr="00BA1D86" w:rsidRDefault="00BA1D86" w:rsidP="00BA1D86">
      <w:pPr>
        <w:rPr>
          <w:rFonts w:ascii="Arial" w:hAnsi="Arial" w:cs="Arial"/>
          <w:bCs/>
          <w:snapToGrid w:val="0"/>
          <w:sz w:val="22"/>
          <w:szCs w:val="22"/>
          <w:lang w:val="en-GB"/>
        </w:rPr>
      </w:pPr>
    </w:p>
    <w:p w:rsidR="00BA1D86" w:rsidRPr="004D674E" w:rsidRDefault="00BA1D86" w:rsidP="00FC6E54">
      <w:pPr>
        <w:widowControl w:val="0"/>
        <w:numPr>
          <w:ilvl w:val="1"/>
          <w:numId w:val="4"/>
        </w:numPr>
        <w:ind w:left="720"/>
        <w:contextualSpacing/>
        <w:rPr>
          <w:rFonts w:ascii="Arial" w:hAnsi="Arial" w:cs="Arial"/>
          <w:bCs/>
          <w:snapToGrid w:val="0"/>
          <w:sz w:val="22"/>
          <w:szCs w:val="22"/>
          <w:lang w:val="en-GB"/>
        </w:rPr>
      </w:pPr>
      <w:r w:rsidRPr="00BA1D86">
        <w:rPr>
          <w:rFonts w:ascii="Arial" w:hAnsi="Arial" w:cs="Arial"/>
          <w:bCs/>
          <w:sz w:val="22"/>
          <w:szCs w:val="22"/>
        </w:rPr>
        <w:lastRenderedPageBreak/>
        <w:t xml:space="preserve">The PBAC considered that the claim of superior comparative effectiveness </w:t>
      </w:r>
      <w:r>
        <w:rPr>
          <w:rFonts w:ascii="Arial" w:hAnsi="Arial" w:cs="Arial"/>
          <w:bCs/>
          <w:sz w:val="22"/>
          <w:szCs w:val="22"/>
        </w:rPr>
        <w:t xml:space="preserve">(in terms of both progression-free survival and overall survival) and superior comparative safety were both </w:t>
      </w:r>
      <w:r w:rsidRPr="00BA1D86">
        <w:rPr>
          <w:rFonts w:ascii="Arial" w:hAnsi="Arial" w:cs="Arial"/>
          <w:bCs/>
          <w:sz w:val="22"/>
          <w:szCs w:val="22"/>
        </w:rPr>
        <w:t>reasonable.</w:t>
      </w:r>
      <w:r>
        <w:rPr>
          <w:rFonts w:ascii="Arial" w:hAnsi="Arial" w:cs="Arial"/>
          <w:bCs/>
          <w:sz w:val="22"/>
          <w:szCs w:val="22"/>
        </w:rPr>
        <w:t xml:space="preserve"> However, the PBAC considered that the data on quality of life were equivocal, and provided a weak basis to judge whether pembrolizumab resulted in no detriment to quality of life or possibly improved quality of life.</w:t>
      </w:r>
      <w:r w:rsidR="004D674E">
        <w:rPr>
          <w:rFonts w:ascii="Arial" w:hAnsi="Arial" w:cs="Arial"/>
          <w:bCs/>
          <w:sz w:val="22"/>
          <w:szCs w:val="22"/>
        </w:rPr>
        <w:t xml:space="preserve"> I</w:t>
      </w:r>
      <w:r w:rsidR="008A68B2">
        <w:rPr>
          <w:rFonts w:ascii="Arial" w:hAnsi="Arial" w:cs="Arial"/>
          <w:bCs/>
          <w:sz w:val="22"/>
          <w:szCs w:val="22"/>
        </w:rPr>
        <w:t>n</w:t>
      </w:r>
      <w:r w:rsidR="004D674E">
        <w:rPr>
          <w:rFonts w:ascii="Arial" w:hAnsi="Arial" w:cs="Arial"/>
          <w:bCs/>
          <w:sz w:val="22"/>
          <w:szCs w:val="22"/>
        </w:rPr>
        <w:t xml:space="preserve"> addition, despite the late presentation of overall survival results up to a median duration of follow-up of 19.2 months, the PBAC considered that future overall survival results from this trial would still be informative.</w:t>
      </w:r>
    </w:p>
    <w:p w:rsidR="004D674E" w:rsidRPr="00C74B04" w:rsidRDefault="004D674E" w:rsidP="00C74B04">
      <w:pPr>
        <w:rPr>
          <w:rFonts w:ascii="Arial" w:hAnsi="Arial" w:cs="Arial"/>
          <w:bCs/>
          <w:snapToGrid w:val="0"/>
          <w:sz w:val="22"/>
          <w:szCs w:val="22"/>
          <w:lang w:val="en-GB"/>
        </w:rPr>
      </w:pPr>
    </w:p>
    <w:p w:rsidR="004D674E" w:rsidRDefault="004D674E" w:rsidP="00FC6E54">
      <w:pPr>
        <w:widowControl w:val="0"/>
        <w:numPr>
          <w:ilvl w:val="1"/>
          <w:numId w:val="4"/>
        </w:numPr>
        <w:ind w:left="720"/>
        <w:contextualSpacing/>
        <w:rPr>
          <w:rFonts w:ascii="Arial" w:hAnsi="Arial" w:cs="Arial"/>
          <w:bCs/>
          <w:snapToGrid w:val="0"/>
          <w:sz w:val="22"/>
          <w:szCs w:val="22"/>
          <w:lang w:val="en-GB"/>
        </w:rPr>
      </w:pPr>
      <w:r>
        <w:rPr>
          <w:rFonts w:ascii="Arial" w:hAnsi="Arial" w:cs="Arial"/>
          <w:bCs/>
          <w:snapToGrid w:val="0"/>
          <w:sz w:val="22"/>
          <w:szCs w:val="22"/>
          <w:lang w:val="en-GB"/>
        </w:rPr>
        <w:t xml:space="preserve">The PBAC </w:t>
      </w:r>
      <w:r w:rsidR="00073275">
        <w:rPr>
          <w:rFonts w:ascii="Arial" w:hAnsi="Arial" w:cs="Arial"/>
          <w:bCs/>
          <w:snapToGrid w:val="0"/>
          <w:sz w:val="22"/>
          <w:szCs w:val="22"/>
          <w:lang w:val="en-GB"/>
        </w:rPr>
        <w:t xml:space="preserve">considered the basic structure of the economic model was sound, but </w:t>
      </w:r>
      <w:r>
        <w:rPr>
          <w:rFonts w:ascii="Arial" w:hAnsi="Arial" w:cs="Arial"/>
          <w:bCs/>
          <w:snapToGrid w:val="0"/>
          <w:sz w:val="22"/>
          <w:szCs w:val="22"/>
          <w:lang w:val="en-GB"/>
        </w:rPr>
        <w:t xml:space="preserve">noted the various </w:t>
      </w:r>
      <w:r w:rsidR="0036599F">
        <w:rPr>
          <w:rFonts w:ascii="Arial" w:hAnsi="Arial" w:cs="Arial"/>
          <w:bCs/>
          <w:snapToGrid w:val="0"/>
          <w:sz w:val="22"/>
          <w:szCs w:val="22"/>
          <w:lang w:val="en-GB"/>
        </w:rPr>
        <w:t>iterations of the economic evaluation from the submission, the PSCR and the pre-PBAC response</w:t>
      </w:r>
      <w:r w:rsidR="00073275">
        <w:rPr>
          <w:rFonts w:ascii="Arial" w:hAnsi="Arial" w:cs="Arial"/>
          <w:bCs/>
          <w:snapToGrid w:val="0"/>
          <w:sz w:val="22"/>
          <w:szCs w:val="22"/>
          <w:lang w:val="en-GB"/>
        </w:rPr>
        <w:t>, reflecting different assumptions and inputs which still adopt this basic structure</w:t>
      </w:r>
      <w:r w:rsidR="0036599F">
        <w:rPr>
          <w:rFonts w:ascii="Arial" w:hAnsi="Arial" w:cs="Arial"/>
          <w:bCs/>
          <w:snapToGrid w:val="0"/>
          <w:sz w:val="22"/>
          <w:szCs w:val="22"/>
          <w:lang w:val="en-GB"/>
        </w:rPr>
        <w:t xml:space="preserve">. The pre-PBAC response adopted a 5-year </w:t>
      </w:r>
      <w:r w:rsidR="007E18D1">
        <w:rPr>
          <w:rFonts w:ascii="Arial" w:hAnsi="Arial" w:cs="Arial"/>
          <w:bCs/>
          <w:snapToGrid w:val="0"/>
          <w:sz w:val="22"/>
          <w:szCs w:val="22"/>
          <w:lang w:val="en-GB"/>
        </w:rPr>
        <w:t xml:space="preserve">(260-week) </w:t>
      </w:r>
      <w:r w:rsidR="0036599F">
        <w:rPr>
          <w:rFonts w:ascii="Arial" w:hAnsi="Arial" w:cs="Arial"/>
          <w:bCs/>
          <w:snapToGrid w:val="0"/>
          <w:sz w:val="22"/>
          <w:szCs w:val="22"/>
          <w:lang w:val="en-GB"/>
        </w:rPr>
        <w:t>time horizon, consistent with the PBAC’s preference, but the two OS curves did not converge before or at this time horizon</w:t>
      </w:r>
      <w:r w:rsidR="00CC1DBD">
        <w:rPr>
          <w:rFonts w:ascii="Arial" w:hAnsi="Arial" w:cs="Arial"/>
          <w:bCs/>
          <w:snapToGrid w:val="0"/>
          <w:sz w:val="22"/>
          <w:szCs w:val="22"/>
          <w:lang w:val="en-GB"/>
        </w:rPr>
        <w:t>, and the model was sensitive to the choice of the distribution basis for the extrapolation</w:t>
      </w:r>
      <w:r w:rsidR="0036599F">
        <w:rPr>
          <w:rFonts w:ascii="Arial" w:hAnsi="Arial" w:cs="Arial"/>
          <w:bCs/>
          <w:snapToGrid w:val="0"/>
          <w:sz w:val="22"/>
          <w:szCs w:val="22"/>
          <w:lang w:val="en-GB"/>
        </w:rPr>
        <w:t xml:space="preserve">. </w:t>
      </w:r>
      <w:r w:rsidR="007E18D1">
        <w:rPr>
          <w:rFonts w:ascii="Arial" w:hAnsi="Arial" w:cs="Arial"/>
          <w:bCs/>
          <w:snapToGrid w:val="0"/>
          <w:sz w:val="22"/>
          <w:szCs w:val="22"/>
          <w:lang w:val="en-GB"/>
        </w:rPr>
        <w:t>In this context, t</w:t>
      </w:r>
      <w:r w:rsidR="0036599F">
        <w:rPr>
          <w:rFonts w:ascii="Arial" w:hAnsi="Arial" w:cs="Arial"/>
          <w:bCs/>
          <w:snapToGrid w:val="0"/>
          <w:sz w:val="22"/>
          <w:szCs w:val="22"/>
          <w:lang w:val="en-GB"/>
        </w:rPr>
        <w:t xml:space="preserve">he updated OS results from KN-024 to a median duration of follow-up to 19.2 months (82 weeks) </w:t>
      </w:r>
      <w:r w:rsidR="007E18D1">
        <w:rPr>
          <w:rFonts w:ascii="Arial" w:hAnsi="Arial" w:cs="Arial"/>
          <w:bCs/>
          <w:snapToGrid w:val="0"/>
          <w:sz w:val="22"/>
          <w:szCs w:val="22"/>
          <w:lang w:val="en-GB"/>
        </w:rPr>
        <w:t>gave some reassurance beyond the original extrapolations from 32-week or 38-week data-cuts. The PBAC also noted the appropriate correction of the comparator arm extrapolation and the removal of pembrolizumab retreatment</w:t>
      </w:r>
      <w:r w:rsidR="00CC1DBD">
        <w:rPr>
          <w:rFonts w:ascii="Arial" w:hAnsi="Arial" w:cs="Arial"/>
          <w:bCs/>
          <w:snapToGrid w:val="0"/>
          <w:sz w:val="22"/>
          <w:szCs w:val="22"/>
          <w:lang w:val="en-GB"/>
        </w:rPr>
        <w:t xml:space="preserve">, although considered that the restriction may not prevent leakage of pembrolizumab beyond either disease progression or two years of therapy in </w:t>
      </w:r>
      <w:r w:rsidR="00073275">
        <w:rPr>
          <w:rFonts w:ascii="Arial" w:hAnsi="Arial" w:cs="Arial"/>
          <w:bCs/>
          <w:snapToGrid w:val="0"/>
          <w:sz w:val="22"/>
          <w:szCs w:val="22"/>
          <w:lang w:val="en-GB"/>
        </w:rPr>
        <w:t xml:space="preserve">those </w:t>
      </w:r>
      <w:r w:rsidR="00CC1DBD">
        <w:rPr>
          <w:rFonts w:ascii="Arial" w:hAnsi="Arial" w:cs="Arial"/>
          <w:bCs/>
          <w:snapToGrid w:val="0"/>
          <w:sz w:val="22"/>
          <w:szCs w:val="22"/>
          <w:lang w:val="en-GB"/>
        </w:rPr>
        <w:t>patients who do not progress</w:t>
      </w:r>
      <w:r w:rsidR="007E18D1">
        <w:rPr>
          <w:rFonts w:ascii="Arial" w:hAnsi="Arial" w:cs="Arial"/>
          <w:bCs/>
          <w:snapToGrid w:val="0"/>
          <w:sz w:val="22"/>
          <w:szCs w:val="22"/>
          <w:lang w:val="en-GB"/>
        </w:rPr>
        <w:t>.</w:t>
      </w:r>
      <w:r w:rsidR="00F530D8" w:rsidRPr="00F530D8">
        <w:rPr>
          <w:rFonts w:ascii="Arial" w:hAnsi="Arial" w:cs="Arial"/>
          <w:bCs/>
          <w:snapToGrid w:val="0"/>
          <w:sz w:val="22"/>
          <w:szCs w:val="22"/>
          <w:lang w:val="en-GB"/>
        </w:rPr>
        <w:t xml:space="preserve"> </w:t>
      </w:r>
      <w:r w:rsidR="00F530D8">
        <w:rPr>
          <w:rFonts w:ascii="Arial" w:hAnsi="Arial" w:cs="Arial"/>
          <w:bCs/>
          <w:snapToGrid w:val="0"/>
          <w:sz w:val="22"/>
          <w:szCs w:val="22"/>
          <w:lang w:val="en-GB"/>
        </w:rPr>
        <w:t>The PBAC did not accept the second-line immunotherapy and wastage cost off-sets as calculated in the submission. Further, the PBAC noted the inclusion of such costs is only valid if second-line immunotherapy is listed on the PBS.</w:t>
      </w:r>
      <w:r w:rsidR="007E18D1">
        <w:rPr>
          <w:rFonts w:ascii="Arial" w:hAnsi="Arial" w:cs="Arial"/>
          <w:bCs/>
          <w:snapToGrid w:val="0"/>
          <w:sz w:val="22"/>
          <w:szCs w:val="22"/>
          <w:lang w:val="en-GB"/>
        </w:rPr>
        <w:t xml:space="preserve"> The PBAC accepted the second-line immunotherapy </w:t>
      </w:r>
      <w:r w:rsidR="007057DC">
        <w:rPr>
          <w:rFonts w:ascii="Arial" w:hAnsi="Arial" w:cs="Arial"/>
          <w:bCs/>
          <w:snapToGrid w:val="0"/>
          <w:sz w:val="22"/>
          <w:szCs w:val="22"/>
          <w:lang w:val="en-GB"/>
        </w:rPr>
        <w:t xml:space="preserve">and wastage </w:t>
      </w:r>
      <w:r w:rsidR="007E18D1">
        <w:rPr>
          <w:rFonts w:ascii="Arial" w:hAnsi="Arial" w:cs="Arial"/>
          <w:bCs/>
          <w:snapToGrid w:val="0"/>
          <w:sz w:val="22"/>
          <w:szCs w:val="22"/>
          <w:lang w:val="en-GB"/>
        </w:rPr>
        <w:t xml:space="preserve">cost off-sets in principle, but not necessarily the </w:t>
      </w:r>
      <w:r w:rsidR="007057DC">
        <w:rPr>
          <w:rFonts w:ascii="Arial" w:hAnsi="Arial" w:cs="Arial"/>
          <w:bCs/>
          <w:snapToGrid w:val="0"/>
          <w:sz w:val="22"/>
          <w:szCs w:val="22"/>
          <w:lang w:val="en-GB"/>
        </w:rPr>
        <w:t>all the assumptions behind</w:t>
      </w:r>
      <w:r w:rsidR="007E18D1">
        <w:rPr>
          <w:rFonts w:ascii="Arial" w:hAnsi="Arial" w:cs="Arial"/>
          <w:bCs/>
          <w:snapToGrid w:val="0"/>
          <w:sz w:val="22"/>
          <w:szCs w:val="22"/>
          <w:lang w:val="en-GB"/>
        </w:rPr>
        <w:t xml:space="preserve"> </w:t>
      </w:r>
      <w:r w:rsidR="007057DC">
        <w:rPr>
          <w:rFonts w:ascii="Arial" w:hAnsi="Arial" w:cs="Arial"/>
          <w:bCs/>
          <w:snapToGrid w:val="0"/>
          <w:sz w:val="22"/>
          <w:szCs w:val="22"/>
          <w:lang w:val="en-GB"/>
        </w:rPr>
        <w:t xml:space="preserve">their </w:t>
      </w:r>
      <w:r w:rsidR="007E18D1">
        <w:rPr>
          <w:rFonts w:ascii="Arial" w:hAnsi="Arial" w:cs="Arial"/>
          <w:bCs/>
          <w:snapToGrid w:val="0"/>
          <w:sz w:val="22"/>
          <w:szCs w:val="22"/>
          <w:lang w:val="en-GB"/>
        </w:rPr>
        <w:t>calculation.</w:t>
      </w:r>
      <w:r w:rsidR="007057DC">
        <w:rPr>
          <w:rFonts w:ascii="Arial" w:hAnsi="Arial" w:cs="Arial"/>
          <w:bCs/>
          <w:snapToGrid w:val="0"/>
          <w:sz w:val="22"/>
          <w:szCs w:val="22"/>
          <w:lang w:val="en-GB"/>
        </w:rPr>
        <w:t xml:space="preserve"> The PBAC also noted that the ICER/QALY for the base case across the three iterations was consistently between </w:t>
      </w:r>
      <w:r w:rsidR="0065198D">
        <w:rPr>
          <w:rFonts w:ascii="Arial" w:hAnsi="Arial" w:cs="Arial"/>
          <w:bCs/>
          <w:snapToGrid w:val="0"/>
          <w:sz w:val="22"/>
          <w:szCs w:val="22"/>
          <w:lang w:val="en-GB"/>
        </w:rPr>
        <w:t>$45,000/QALY - $75,000/QALY</w:t>
      </w:r>
      <w:r w:rsidR="007057DC">
        <w:rPr>
          <w:rFonts w:ascii="Arial" w:hAnsi="Arial" w:cs="Arial"/>
          <w:bCs/>
          <w:snapToGrid w:val="0"/>
          <w:sz w:val="22"/>
          <w:szCs w:val="22"/>
          <w:lang w:val="en-GB"/>
        </w:rPr>
        <w:t xml:space="preserve"> and</w:t>
      </w:r>
      <w:r w:rsidR="0065198D">
        <w:rPr>
          <w:rFonts w:ascii="Arial" w:hAnsi="Arial" w:cs="Arial"/>
          <w:bCs/>
          <w:snapToGrid w:val="0"/>
          <w:sz w:val="22"/>
          <w:szCs w:val="22"/>
          <w:lang w:val="en-GB"/>
        </w:rPr>
        <w:t>$75,000/QALY - $105,000/QALY</w:t>
      </w:r>
      <w:r w:rsidR="007057DC">
        <w:rPr>
          <w:rFonts w:ascii="Arial" w:hAnsi="Arial" w:cs="Arial"/>
          <w:bCs/>
          <w:snapToGrid w:val="0"/>
          <w:sz w:val="22"/>
          <w:szCs w:val="22"/>
          <w:lang w:val="en-GB"/>
        </w:rPr>
        <w:t xml:space="preserve">, well above the </w:t>
      </w:r>
      <w:r w:rsidR="0065198D">
        <w:rPr>
          <w:rFonts w:ascii="Arial" w:hAnsi="Arial" w:cs="Arial"/>
          <w:bCs/>
          <w:snapToGrid w:val="0"/>
          <w:sz w:val="22"/>
          <w:szCs w:val="22"/>
          <w:lang w:val="en-GB"/>
        </w:rPr>
        <w:t>$45,000/QALY - $75,000/QALY</w:t>
      </w:r>
      <w:r w:rsidR="007057DC">
        <w:rPr>
          <w:rFonts w:ascii="Arial" w:hAnsi="Arial" w:cs="Arial"/>
          <w:bCs/>
          <w:snapToGrid w:val="0"/>
          <w:sz w:val="22"/>
          <w:szCs w:val="22"/>
          <w:lang w:val="en-GB"/>
        </w:rPr>
        <w:t xml:space="preserve"> which it had previously advised was unfavourable in the context of the previous pembrolizumab submission for second-line listing in NSCLC.</w:t>
      </w:r>
    </w:p>
    <w:p w:rsidR="00846153" w:rsidRPr="00547C7A" w:rsidRDefault="00846153" w:rsidP="00846153">
      <w:pPr>
        <w:widowControl w:val="0"/>
        <w:rPr>
          <w:rFonts w:ascii="Arial" w:hAnsi="Arial" w:cs="Arial"/>
          <w:bCs/>
          <w:snapToGrid w:val="0"/>
          <w:sz w:val="22"/>
          <w:szCs w:val="22"/>
          <w:lang w:val="en-GB"/>
        </w:rPr>
      </w:pPr>
    </w:p>
    <w:p w:rsidR="00846153" w:rsidRPr="00547C7A" w:rsidRDefault="007057DC" w:rsidP="00846153">
      <w:pPr>
        <w:widowControl w:val="0"/>
        <w:numPr>
          <w:ilvl w:val="1"/>
          <w:numId w:val="4"/>
        </w:numPr>
        <w:ind w:left="720"/>
        <w:rPr>
          <w:rFonts w:ascii="Arial" w:hAnsi="Arial" w:cs="Arial"/>
          <w:bCs/>
          <w:snapToGrid w:val="0"/>
          <w:sz w:val="22"/>
          <w:szCs w:val="20"/>
          <w:lang w:val="en-GB"/>
        </w:rPr>
      </w:pPr>
      <w:r w:rsidRPr="00547C7A">
        <w:rPr>
          <w:rFonts w:ascii="Arial" w:hAnsi="Arial" w:cs="Arial"/>
          <w:bCs/>
          <w:snapToGrid w:val="0"/>
          <w:sz w:val="22"/>
          <w:szCs w:val="20"/>
          <w:lang w:val="en-GB"/>
        </w:rPr>
        <w:t xml:space="preserve">Overall, the PBAC advised that, with the high medicine cost at the requested price, incremental cost-effectiveness of pembrolizumab, was unfavourable and uncertain. The PBAC considered that MSAC advice would be informative on one aspect of uncertainty, namely whether identifying the eligible population for PBS subsidy on the basis of </w:t>
      </w:r>
      <w:r w:rsidR="00547C7A" w:rsidRPr="00547C7A">
        <w:rPr>
          <w:rFonts w:ascii="Arial" w:hAnsi="Arial" w:cs="Arial"/>
          <w:bCs/>
          <w:snapToGrid w:val="0"/>
          <w:sz w:val="22"/>
          <w:szCs w:val="20"/>
          <w:lang w:val="en-GB"/>
        </w:rPr>
        <w:t xml:space="preserve">the expression of the programmed death-ligand </w:t>
      </w:r>
      <w:r w:rsidR="001734D2">
        <w:rPr>
          <w:rFonts w:ascii="Arial" w:hAnsi="Arial" w:cs="Arial"/>
          <w:bCs/>
          <w:snapToGrid w:val="0"/>
          <w:sz w:val="22"/>
          <w:szCs w:val="20"/>
          <w:lang w:val="en-GB"/>
        </w:rPr>
        <w:t>1 (PD-</w:t>
      </w:r>
      <w:r w:rsidR="00547C7A" w:rsidRPr="00547C7A">
        <w:rPr>
          <w:rFonts w:ascii="Arial" w:hAnsi="Arial" w:cs="Arial"/>
          <w:bCs/>
          <w:snapToGrid w:val="0"/>
          <w:sz w:val="22"/>
          <w:szCs w:val="20"/>
          <w:lang w:val="en-GB"/>
        </w:rPr>
        <w:t>L1) was appropriate. T</w:t>
      </w:r>
      <w:r w:rsidRPr="00547C7A">
        <w:rPr>
          <w:rFonts w:ascii="Arial" w:hAnsi="Arial" w:cs="Arial"/>
          <w:bCs/>
          <w:snapToGrid w:val="0"/>
          <w:sz w:val="22"/>
          <w:szCs w:val="20"/>
          <w:lang w:val="en-GB"/>
        </w:rPr>
        <w:t xml:space="preserve">he </w:t>
      </w:r>
      <w:r w:rsidR="00547C7A" w:rsidRPr="00547C7A">
        <w:rPr>
          <w:rFonts w:ascii="Arial" w:hAnsi="Arial" w:cs="Arial"/>
          <w:bCs/>
          <w:snapToGrid w:val="0"/>
          <w:sz w:val="22"/>
          <w:szCs w:val="20"/>
          <w:lang w:val="en-GB"/>
        </w:rPr>
        <w:t>rationale is that the test helps exclude patients who benefit less from treatment with pembrolizumab. In the context of concerns that testing of patients for PD-L1 expression in regular practice is unlikely to identify similarly eligible patients as were identified in the evidence provided to the PBAC, the clinical benefit of the medicine may be reduced, and thus its cost-effectiveness may become even less favourable.</w:t>
      </w:r>
    </w:p>
    <w:p w:rsidR="00846153" w:rsidRPr="00547C7A" w:rsidRDefault="00846153" w:rsidP="00846153">
      <w:pPr>
        <w:widowControl w:val="0"/>
        <w:rPr>
          <w:rFonts w:ascii="Arial" w:hAnsi="Arial" w:cs="Arial"/>
          <w:bCs/>
          <w:snapToGrid w:val="0"/>
          <w:sz w:val="22"/>
          <w:szCs w:val="20"/>
          <w:lang w:val="en-GB"/>
        </w:rPr>
      </w:pPr>
    </w:p>
    <w:p w:rsidR="00846153" w:rsidRPr="00C74B04" w:rsidRDefault="00073275" w:rsidP="00846153">
      <w:pPr>
        <w:widowControl w:val="0"/>
        <w:numPr>
          <w:ilvl w:val="1"/>
          <w:numId w:val="4"/>
        </w:numPr>
        <w:ind w:left="720"/>
        <w:rPr>
          <w:rFonts w:ascii="Arial" w:hAnsi="Arial" w:cs="Arial"/>
          <w:bCs/>
          <w:snapToGrid w:val="0"/>
          <w:sz w:val="22"/>
          <w:szCs w:val="20"/>
          <w:lang w:val="en-GB"/>
        </w:rPr>
      </w:pPr>
      <w:r w:rsidRPr="00C74B04">
        <w:rPr>
          <w:rFonts w:ascii="Arial" w:hAnsi="Arial" w:cs="Arial"/>
          <w:bCs/>
          <w:snapToGrid w:val="0"/>
          <w:sz w:val="22"/>
          <w:szCs w:val="20"/>
          <w:lang w:val="en-GB"/>
        </w:rPr>
        <w:t xml:space="preserve">The PBAC considered that the estimated financial implications were also high with some residual uncertainties </w:t>
      </w:r>
      <w:r w:rsidR="002D65B9">
        <w:rPr>
          <w:rFonts w:ascii="Arial" w:hAnsi="Arial" w:cs="Arial"/>
          <w:bCs/>
          <w:snapToGrid w:val="0"/>
          <w:sz w:val="22"/>
          <w:szCs w:val="20"/>
          <w:lang w:val="en-GB"/>
        </w:rPr>
        <w:t>bec</w:t>
      </w:r>
      <w:r w:rsidRPr="00C74B04">
        <w:rPr>
          <w:rFonts w:ascii="Arial" w:hAnsi="Arial" w:cs="Arial"/>
          <w:bCs/>
          <w:snapToGrid w:val="0"/>
          <w:sz w:val="22"/>
          <w:szCs w:val="20"/>
          <w:lang w:val="en-GB"/>
        </w:rPr>
        <w:t>a</w:t>
      </w:r>
      <w:r w:rsidR="002D65B9">
        <w:rPr>
          <w:rFonts w:ascii="Arial" w:hAnsi="Arial" w:cs="Arial"/>
          <w:bCs/>
          <w:snapToGrid w:val="0"/>
          <w:sz w:val="22"/>
          <w:szCs w:val="20"/>
          <w:lang w:val="en-GB"/>
        </w:rPr>
        <w:t>u</w:t>
      </w:r>
      <w:r w:rsidRPr="00C74B04">
        <w:rPr>
          <w:rFonts w:ascii="Arial" w:hAnsi="Arial" w:cs="Arial"/>
          <w:bCs/>
          <w:snapToGrid w:val="0"/>
          <w:sz w:val="22"/>
          <w:szCs w:val="20"/>
          <w:lang w:val="en-GB"/>
        </w:rPr>
        <w:t>s</w:t>
      </w:r>
      <w:r w:rsidR="002D65B9">
        <w:rPr>
          <w:rFonts w:ascii="Arial" w:hAnsi="Arial" w:cs="Arial"/>
          <w:bCs/>
          <w:snapToGrid w:val="0"/>
          <w:sz w:val="22"/>
          <w:szCs w:val="20"/>
          <w:lang w:val="en-GB"/>
        </w:rPr>
        <w:t>e</w:t>
      </w:r>
      <w:r w:rsidRPr="00C74B04">
        <w:rPr>
          <w:rFonts w:ascii="Arial" w:hAnsi="Arial" w:cs="Arial"/>
          <w:bCs/>
          <w:snapToGrid w:val="0"/>
          <w:sz w:val="22"/>
          <w:szCs w:val="20"/>
          <w:lang w:val="en-GB"/>
        </w:rPr>
        <w:t xml:space="preserve"> the revised estimates </w:t>
      </w:r>
      <w:r w:rsidR="00E20AAB">
        <w:rPr>
          <w:rFonts w:ascii="Arial" w:hAnsi="Arial" w:cs="Arial"/>
          <w:bCs/>
          <w:snapToGrid w:val="0"/>
          <w:sz w:val="22"/>
          <w:szCs w:val="20"/>
          <w:lang w:val="en-GB"/>
        </w:rPr>
        <w:t xml:space="preserve">provided </w:t>
      </w:r>
      <w:r w:rsidRPr="00C74B04">
        <w:rPr>
          <w:rFonts w:ascii="Arial" w:hAnsi="Arial" w:cs="Arial"/>
          <w:bCs/>
          <w:snapToGrid w:val="0"/>
          <w:sz w:val="22"/>
          <w:szCs w:val="20"/>
          <w:lang w:val="en-GB"/>
        </w:rPr>
        <w:t>with the pre-PBAC response had not been independently verified.</w:t>
      </w:r>
    </w:p>
    <w:p w:rsidR="00846153" w:rsidRPr="00C74B04" w:rsidRDefault="00846153" w:rsidP="00846153">
      <w:pPr>
        <w:widowControl w:val="0"/>
        <w:rPr>
          <w:rFonts w:ascii="Arial" w:hAnsi="Arial" w:cs="Arial"/>
          <w:bCs/>
          <w:snapToGrid w:val="0"/>
          <w:sz w:val="22"/>
          <w:szCs w:val="20"/>
          <w:lang w:val="en-GB"/>
        </w:rPr>
      </w:pPr>
    </w:p>
    <w:p w:rsidR="00846153" w:rsidRPr="00C74B04" w:rsidRDefault="00073275" w:rsidP="00846153">
      <w:pPr>
        <w:widowControl w:val="0"/>
        <w:numPr>
          <w:ilvl w:val="1"/>
          <w:numId w:val="4"/>
        </w:numPr>
        <w:ind w:left="720"/>
        <w:rPr>
          <w:rFonts w:ascii="Arial" w:hAnsi="Arial" w:cs="Arial"/>
          <w:bCs/>
          <w:snapToGrid w:val="0"/>
          <w:sz w:val="22"/>
          <w:szCs w:val="20"/>
          <w:lang w:val="en-GB"/>
        </w:rPr>
      </w:pPr>
      <w:r w:rsidRPr="00C74B04">
        <w:rPr>
          <w:rFonts w:ascii="Arial" w:hAnsi="Arial" w:cs="Arial"/>
          <w:bCs/>
          <w:snapToGrid w:val="0"/>
          <w:sz w:val="22"/>
          <w:szCs w:val="20"/>
          <w:lang w:val="en-GB"/>
        </w:rPr>
        <w:t>The</w:t>
      </w:r>
      <w:r w:rsidR="00846153" w:rsidRPr="00C74B04">
        <w:rPr>
          <w:rFonts w:ascii="Arial" w:hAnsi="Arial" w:cs="Arial"/>
          <w:bCs/>
          <w:snapToGrid w:val="0"/>
          <w:sz w:val="22"/>
          <w:szCs w:val="20"/>
          <w:lang w:val="en-GB"/>
        </w:rPr>
        <w:t xml:space="preserve"> PBAC </w:t>
      </w:r>
      <w:r w:rsidRPr="00C74B04">
        <w:rPr>
          <w:rFonts w:ascii="Arial" w:hAnsi="Arial" w:cs="Arial"/>
          <w:bCs/>
          <w:snapToGrid w:val="0"/>
          <w:sz w:val="22"/>
          <w:szCs w:val="20"/>
          <w:lang w:val="en-GB"/>
        </w:rPr>
        <w:t xml:space="preserve">considered that the nature of </w:t>
      </w:r>
      <w:r w:rsidR="00846153" w:rsidRPr="00C74B04">
        <w:rPr>
          <w:rFonts w:ascii="Arial" w:hAnsi="Arial" w:cs="Arial"/>
          <w:bCs/>
          <w:snapToGrid w:val="0"/>
          <w:sz w:val="22"/>
          <w:szCs w:val="20"/>
          <w:lang w:val="en-GB"/>
        </w:rPr>
        <w:t>any resubmission</w:t>
      </w:r>
      <w:r w:rsidRPr="00C74B04">
        <w:rPr>
          <w:rFonts w:ascii="Arial" w:hAnsi="Arial" w:cs="Arial"/>
          <w:bCs/>
          <w:snapToGrid w:val="0"/>
          <w:sz w:val="22"/>
          <w:szCs w:val="20"/>
          <w:lang w:val="en-GB"/>
        </w:rPr>
        <w:t xml:space="preserve"> would be influenced by the outcomes of the MSAC consideration of the codependent PD-L1 expression test. However, it would also need to justify the </w:t>
      </w:r>
      <w:r w:rsidR="00E20AAB" w:rsidRPr="00C74B04">
        <w:rPr>
          <w:rFonts w:ascii="Arial" w:hAnsi="Arial" w:cs="Arial"/>
          <w:bCs/>
          <w:snapToGrid w:val="0"/>
          <w:sz w:val="22"/>
          <w:szCs w:val="20"/>
          <w:lang w:val="en-GB"/>
        </w:rPr>
        <w:t>nominat</w:t>
      </w:r>
      <w:r w:rsidR="00E20AAB">
        <w:rPr>
          <w:rFonts w:ascii="Arial" w:hAnsi="Arial" w:cs="Arial"/>
          <w:bCs/>
          <w:snapToGrid w:val="0"/>
          <w:sz w:val="22"/>
          <w:szCs w:val="20"/>
          <w:lang w:val="en-GB"/>
        </w:rPr>
        <w:t>ion</w:t>
      </w:r>
      <w:r w:rsidRPr="00C74B04">
        <w:rPr>
          <w:rFonts w:ascii="Arial" w:hAnsi="Arial" w:cs="Arial"/>
          <w:bCs/>
          <w:snapToGrid w:val="0"/>
          <w:sz w:val="22"/>
          <w:szCs w:val="20"/>
          <w:lang w:val="en-GB"/>
        </w:rPr>
        <w:t xml:space="preserve"> of any TPS threshold for eligibility to use pembrolizumab, provide longer and more extensively documented overall survival data from KN-024, </w:t>
      </w:r>
      <w:r w:rsidR="00C74B04" w:rsidRPr="00C74B04">
        <w:rPr>
          <w:rFonts w:ascii="Arial" w:hAnsi="Arial" w:cs="Arial"/>
          <w:bCs/>
          <w:snapToGrid w:val="0"/>
          <w:sz w:val="22"/>
          <w:szCs w:val="20"/>
          <w:lang w:val="en-GB"/>
        </w:rPr>
        <w:t xml:space="preserve">and </w:t>
      </w:r>
      <w:r w:rsidRPr="00C74B04">
        <w:rPr>
          <w:rFonts w:ascii="Arial" w:hAnsi="Arial" w:cs="Arial"/>
          <w:bCs/>
          <w:snapToGrid w:val="0"/>
          <w:sz w:val="22"/>
          <w:szCs w:val="20"/>
          <w:lang w:val="en-GB"/>
        </w:rPr>
        <w:t>any interim results from KN-042</w:t>
      </w:r>
      <w:r w:rsidR="00846153" w:rsidRPr="00C74B04">
        <w:rPr>
          <w:rFonts w:ascii="Arial" w:hAnsi="Arial" w:cs="Arial"/>
          <w:bCs/>
          <w:snapToGrid w:val="0"/>
          <w:sz w:val="22"/>
          <w:szCs w:val="20"/>
          <w:lang w:val="en-GB"/>
        </w:rPr>
        <w:t xml:space="preserve">. </w:t>
      </w:r>
      <w:r w:rsidR="00C74B04" w:rsidRPr="00C74B04">
        <w:rPr>
          <w:rFonts w:ascii="Arial" w:hAnsi="Arial" w:cs="Arial"/>
          <w:bCs/>
          <w:snapToGrid w:val="0"/>
          <w:sz w:val="22"/>
          <w:szCs w:val="20"/>
          <w:lang w:val="en-GB"/>
        </w:rPr>
        <w:t>In relation to the economic evaluation, any future revised base case would need to (a) address the residual concerns of the most recent iteration already outlined, (b) be presented in the usual way to enable full independent verification, (c) generate a more favourable ICER/QALY than the results presented for NSCLC as either first-line or second-line pembrolizumab therapy</w:t>
      </w:r>
      <w:r w:rsidR="00F01F77">
        <w:rPr>
          <w:rFonts w:ascii="Arial" w:hAnsi="Arial" w:cs="Arial"/>
          <w:bCs/>
          <w:snapToGrid w:val="0"/>
          <w:sz w:val="22"/>
          <w:szCs w:val="20"/>
          <w:lang w:val="en-GB"/>
        </w:rPr>
        <w:t>,</w:t>
      </w:r>
      <w:r w:rsidR="00E11AC8">
        <w:rPr>
          <w:rFonts w:ascii="Arial" w:hAnsi="Arial" w:cs="Arial"/>
          <w:bCs/>
          <w:snapToGrid w:val="0"/>
          <w:sz w:val="22"/>
          <w:szCs w:val="20"/>
          <w:lang w:val="en-GB"/>
        </w:rPr>
        <w:t xml:space="preserve"> and (d) account for </w:t>
      </w:r>
      <w:r w:rsidR="00F01F77">
        <w:rPr>
          <w:rFonts w:ascii="Arial" w:hAnsi="Arial" w:cs="Arial"/>
          <w:bCs/>
          <w:snapToGrid w:val="0"/>
          <w:sz w:val="22"/>
          <w:szCs w:val="20"/>
          <w:lang w:val="en-GB"/>
        </w:rPr>
        <w:t xml:space="preserve">any </w:t>
      </w:r>
      <w:r w:rsidR="00F03136">
        <w:rPr>
          <w:rFonts w:ascii="Arial" w:hAnsi="Arial" w:cs="Arial"/>
          <w:bCs/>
          <w:snapToGrid w:val="0"/>
          <w:sz w:val="22"/>
          <w:szCs w:val="20"/>
          <w:lang w:val="en-GB"/>
        </w:rPr>
        <w:t xml:space="preserve">requested </w:t>
      </w:r>
      <w:r w:rsidR="00E11AC8">
        <w:rPr>
          <w:rFonts w:ascii="Arial" w:hAnsi="Arial" w:cs="Arial"/>
          <w:bCs/>
          <w:snapToGrid w:val="0"/>
          <w:sz w:val="22"/>
          <w:szCs w:val="20"/>
          <w:lang w:val="en-GB"/>
        </w:rPr>
        <w:t>retreatment scenarios</w:t>
      </w:r>
      <w:r w:rsidR="00C74B04" w:rsidRPr="00C74B04">
        <w:rPr>
          <w:rFonts w:ascii="Arial" w:hAnsi="Arial" w:cs="Arial"/>
          <w:bCs/>
          <w:snapToGrid w:val="0"/>
          <w:sz w:val="22"/>
          <w:szCs w:val="20"/>
          <w:lang w:val="en-GB"/>
        </w:rPr>
        <w:t>.</w:t>
      </w:r>
      <w:r w:rsidR="00846153" w:rsidRPr="00C74B04">
        <w:rPr>
          <w:rFonts w:ascii="Arial" w:hAnsi="Arial" w:cs="Arial"/>
          <w:bCs/>
          <w:snapToGrid w:val="0"/>
          <w:sz w:val="22"/>
          <w:szCs w:val="20"/>
          <w:lang w:val="en-GB"/>
        </w:rPr>
        <w:t xml:space="preserve"> S</w:t>
      </w:r>
      <w:r w:rsidR="00C74B04" w:rsidRPr="00C74B04">
        <w:rPr>
          <w:rFonts w:ascii="Arial" w:hAnsi="Arial" w:cs="Arial"/>
          <w:bCs/>
          <w:snapToGrid w:val="0"/>
          <w:sz w:val="22"/>
          <w:szCs w:val="20"/>
          <w:lang w:val="en-GB"/>
        </w:rPr>
        <w:t>imilarly, the estimates of utilisation and financial implications should address the residual concerns of the most recent iteration already outlined, and be presented in the usual way to enable full independent verification.</w:t>
      </w:r>
    </w:p>
    <w:p w:rsidR="00846153" w:rsidRPr="00C74B04" w:rsidRDefault="00846153" w:rsidP="00846153">
      <w:pPr>
        <w:widowControl w:val="0"/>
        <w:rPr>
          <w:rFonts w:ascii="Arial" w:hAnsi="Arial" w:cs="Arial"/>
          <w:bCs/>
          <w:snapToGrid w:val="0"/>
          <w:sz w:val="22"/>
          <w:szCs w:val="20"/>
          <w:lang w:val="en-GB"/>
        </w:rPr>
      </w:pPr>
    </w:p>
    <w:p w:rsidR="00846153" w:rsidRPr="00C74B04" w:rsidRDefault="00846153" w:rsidP="00846153">
      <w:pPr>
        <w:widowControl w:val="0"/>
        <w:numPr>
          <w:ilvl w:val="1"/>
          <w:numId w:val="4"/>
        </w:numPr>
        <w:ind w:left="720"/>
        <w:rPr>
          <w:rFonts w:ascii="Arial" w:hAnsi="Arial" w:cs="Arial"/>
          <w:bCs/>
          <w:snapToGrid w:val="0"/>
          <w:sz w:val="22"/>
          <w:szCs w:val="20"/>
          <w:lang w:val="en-GB"/>
        </w:rPr>
      </w:pPr>
      <w:r w:rsidRPr="00C74B04">
        <w:rPr>
          <w:rFonts w:ascii="Arial" w:hAnsi="Arial" w:cs="Arial"/>
          <w:bCs/>
          <w:snapToGrid w:val="0"/>
          <w:sz w:val="22"/>
          <w:szCs w:val="20"/>
          <w:lang w:val="en-GB"/>
        </w:rPr>
        <w:t>The PBAC noted that this submission is eligible for an Independent Review.</w:t>
      </w:r>
    </w:p>
    <w:p w:rsidR="00846153" w:rsidRPr="00C74B04" w:rsidRDefault="00846153" w:rsidP="00846153">
      <w:pPr>
        <w:widowControl w:val="0"/>
        <w:rPr>
          <w:rFonts w:ascii="Arial" w:hAnsi="Arial" w:cs="Arial"/>
          <w:bCs/>
          <w:snapToGrid w:val="0"/>
          <w:sz w:val="22"/>
          <w:szCs w:val="20"/>
          <w:lang w:val="en-GB"/>
        </w:rPr>
      </w:pPr>
    </w:p>
    <w:p w:rsidR="00C74B04" w:rsidRPr="00C74B04" w:rsidRDefault="00C74B04" w:rsidP="00846153">
      <w:pPr>
        <w:widowControl w:val="0"/>
        <w:rPr>
          <w:rFonts w:ascii="Arial" w:hAnsi="Arial" w:cs="Arial"/>
          <w:bCs/>
          <w:snapToGrid w:val="0"/>
          <w:sz w:val="22"/>
          <w:szCs w:val="20"/>
          <w:lang w:val="en-GB"/>
        </w:rPr>
      </w:pPr>
    </w:p>
    <w:p w:rsidR="00846153" w:rsidRPr="00C74B04" w:rsidRDefault="00846153" w:rsidP="00846153">
      <w:pPr>
        <w:widowControl w:val="0"/>
        <w:rPr>
          <w:rFonts w:ascii="Arial" w:hAnsi="Arial" w:cs="Arial"/>
          <w:b/>
          <w:bCs/>
          <w:snapToGrid w:val="0"/>
          <w:sz w:val="22"/>
          <w:szCs w:val="20"/>
          <w:lang w:val="en-GB"/>
        </w:rPr>
      </w:pPr>
      <w:r w:rsidRPr="00C74B04">
        <w:rPr>
          <w:rFonts w:ascii="Arial" w:hAnsi="Arial" w:cs="Arial"/>
          <w:b/>
          <w:bCs/>
          <w:snapToGrid w:val="0"/>
          <w:sz w:val="22"/>
          <w:szCs w:val="20"/>
          <w:lang w:val="en-GB"/>
        </w:rPr>
        <w:t>Outcome:</w:t>
      </w:r>
    </w:p>
    <w:p w:rsidR="00846153" w:rsidRDefault="00846153" w:rsidP="00846153">
      <w:pPr>
        <w:widowControl w:val="0"/>
        <w:rPr>
          <w:rFonts w:ascii="Arial" w:hAnsi="Arial" w:cs="Arial"/>
          <w:bCs/>
          <w:snapToGrid w:val="0"/>
          <w:sz w:val="22"/>
          <w:szCs w:val="20"/>
          <w:lang w:val="en-GB"/>
        </w:rPr>
      </w:pPr>
      <w:r w:rsidRPr="00C74B04">
        <w:rPr>
          <w:rFonts w:ascii="Arial" w:hAnsi="Arial" w:cs="Arial"/>
          <w:bCs/>
          <w:snapToGrid w:val="0"/>
          <w:sz w:val="22"/>
          <w:szCs w:val="20"/>
          <w:lang w:val="en-GB"/>
        </w:rPr>
        <w:t>Rejected</w:t>
      </w:r>
      <w:bookmarkEnd w:id="5"/>
      <w:bookmarkEnd w:id="6"/>
      <w:bookmarkEnd w:id="7"/>
      <w:bookmarkEnd w:id="8"/>
      <w:bookmarkEnd w:id="9"/>
      <w:bookmarkEnd w:id="10"/>
    </w:p>
    <w:p w:rsidR="00462D5A" w:rsidRDefault="00462D5A" w:rsidP="00846153">
      <w:pPr>
        <w:widowControl w:val="0"/>
        <w:rPr>
          <w:rFonts w:ascii="Arial" w:hAnsi="Arial" w:cs="Arial"/>
          <w:bCs/>
          <w:snapToGrid w:val="0"/>
          <w:sz w:val="22"/>
          <w:szCs w:val="20"/>
          <w:lang w:val="en-GB"/>
        </w:rPr>
      </w:pPr>
    </w:p>
    <w:p w:rsidR="00462D5A" w:rsidRDefault="00462D5A" w:rsidP="00846153">
      <w:pPr>
        <w:widowControl w:val="0"/>
        <w:rPr>
          <w:rFonts w:ascii="Arial" w:hAnsi="Arial" w:cs="Arial"/>
          <w:bCs/>
          <w:snapToGrid w:val="0"/>
          <w:sz w:val="22"/>
          <w:szCs w:val="20"/>
          <w:lang w:val="en-GB"/>
        </w:rPr>
      </w:pPr>
    </w:p>
    <w:p w:rsidR="00462D5A" w:rsidRDefault="00462D5A" w:rsidP="00462D5A">
      <w:pPr>
        <w:pStyle w:val="PBACHeading10"/>
        <w:numPr>
          <w:ilvl w:val="0"/>
          <w:numId w:val="4"/>
        </w:numPr>
        <w:ind w:left="709" w:hanging="709"/>
        <w:outlineLvl w:val="0"/>
      </w:pPr>
      <w:r w:rsidRPr="00485DD3">
        <w:t>Context for Decision</w:t>
      </w:r>
    </w:p>
    <w:p w:rsidR="00462D5A" w:rsidRDefault="00462D5A" w:rsidP="00462D5A">
      <w:pPr>
        <w:ind w:left="709"/>
        <w:rPr>
          <w:rFonts w:ascii="Arial" w:hAnsi="Arial" w:cs="Arial"/>
          <w:sz w:val="22"/>
        </w:rPr>
      </w:pPr>
    </w:p>
    <w:p w:rsidR="00462D5A" w:rsidRDefault="00462D5A" w:rsidP="00462D5A">
      <w:pPr>
        <w:ind w:left="709"/>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62D5A" w:rsidRDefault="00462D5A" w:rsidP="00462D5A">
      <w:pPr>
        <w:ind w:left="709"/>
        <w:rPr>
          <w:rFonts w:ascii="Arial" w:hAnsi="Arial" w:cs="Arial"/>
          <w:sz w:val="22"/>
        </w:rPr>
      </w:pPr>
    </w:p>
    <w:p w:rsidR="00462D5A" w:rsidRDefault="00462D5A" w:rsidP="00462D5A">
      <w:pPr>
        <w:ind w:left="709"/>
        <w:rPr>
          <w:rFonts w:ascii="Arial" w:hAnsi="Arial" w:cs="Arial"/>
          <w:sz w:val="22"/>
        </w:rPr>
      </w:pPr>
    </w:p>
    <w:p w:rsidR="00462D5A" w:rsidRPr="00B0280B" w:rsidRDefault="00462D5A" w:rsidP="00462D5A">
      <w:pPr>
        <w:pStyle w:val="PBACHeading10"/>
        <w:numPr>
          <w:ilvl w:val="0"/>
          <w:numId w:val="4"/>
        </w:numPr>
        <w:ind w:left="709" w:hanging="709"/>
        <w:outlineLvl w:val="0"/>
      </w:pPr>
      <w:r w:rsidRPr="00485DD3">
        <w:t>Sponsor’s Comment</w:t>
      </w:r>
    </w:p>
    <w:p w:rsidR="00462D5A" w:rsidRDefault="00462D5A" w:rsidP="00462D5A">
      <w:pPr>
        <w:ind w:left="709"/>
        <w:rPr>
          <w:rFonts w:ascii="Arial" w:hAnsi="Arial" w:cs="Arial"/>
          <w:bCs/>
          <w:sz w:val="22"/>
          <w:highlight w:val="yellow"/>
          <w:lang w:val="en-GB"/>
        </w:rPr>
      </w:pPr>
    </w:p>
    <w:p w:rsidR="0030439B" w:rsidRPr="0030439B" w:rsidRDefault="0030439B" w:rsidP="0030439B">
      <w:pPr>
        <w:spacing w:after="120"/>
        <w:ind w:left="709"/>
        <w:rPr>
          <w:rFonts w:ascii="Arial" w:hAnsi="Arial" w:cs="Arial"/>
          <w:bCs/>
          <w:sz w:val="22"/>
          <w:lang w:val="en-GB"/>
        </w:rPr>
      </w:pPr>
      <w:r w:rsidRPr="0030439B">
        <w:rPr>
          <w:rFonts w:ascii="Arial" w:hAnsi="Arial" w:cs="Arial"/>
          <w:bCs/>
          <w:sz w:val="22"/>
          <w:lang w:val="en-GB"/>
        </w:rPr>
        <w:t>The sponsor is disappointed with this outcome and will continue to work with government to bring KEYTRUDA to 1st line non-small cell lung cancer patients as soon as possible.</w:t>
      </w:r>
    </w:p>
    <w:p w:rsidR="00462D5A" w:rsidRPr="002B7593" w:rsidRDefault="00462D5A" w:rsidP="00846153">
      <w:pPr>
        <w:widowControl w:val="0"/>
        <w:rPr>
          <w:rFonts w:ascii="Arial" w:hAnsi="Arial" w:cs="Arial"/>
          <w:bCs/>
          <w:snapToGrid w:val="0"/>
          <w:sz w:val="22"/>
          <w:szCs w:val="20"/>
          <w:lang w:val="en-GB"/>
        </w:rPr>
      </w:pPr>
    </w:p>
    <w:sectPr w:rsidR="00462D5A" w:rsidRPr="002B7593" w:rsidSect="0043379D">
      <w:headerReference w:type="even" r:id="rId17"/>
      <w:headerReference w:type="default" r:id="rId18"/>
      <w:footerReference w:type="even" r:id="rId19"/>
      <w:footerReference w:type="default" r:id="rId20"/>
      <w:headerReference w:type="first" r:id="rId21"/>
      <w:footerReference w:type="first" r:id="rId22"/>
      <w:footnotePr>
        <w:numFmt w:val="lowerLetter"/>
      </w:footnotePr>
      <w:pgSz w:w="11907" w:h="16840" w:code="9"/>
      <w:pgMar w:top="1440" w:right="1440" w:bottom="1440" w:left="1440" w:header="1440" w:footer="144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04E7A0" w15:done="0"/>
  <w15:commentEx w15:paraId="56272FD6" w15:done="0"/>
  <w15:commentEx w15:paraId="24571551" w15:done="0"/>
  <w15:commentEx w15:paraId="7DF57455" w15:done="0"/>
  <w15:commentEx w15:paraId="159FA3F3" w15:done="0"/>
  <w15:commentEx w15:paraId="75670C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DBC" w:rsidRDefault="00DF3DBC" w:rsidP="0095055D">
      <w:r>
        <w:separator/>
      </w:r>
    </w:p>
  </w:endnote>
  <w:endnote w:type="continuationSeparator" w:id="0">
    <w:p w:rsidR="00DF3DBC" w:rsidRDefault="00DF3DBC" w:rsidP="00950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DBC" w:rsidRDefault="00DF3D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D0" w:rsidRDefault="00AA2FD0" w:rsidP="00885737">
    <w:pPr>
      <w:pStyle w:val="Footer"/>
      <w:tabs>
        <w:tab w:val="clear" w:pos="4513"/>
        <w:tab w:val="clear" w:pos="9026"/>
        <w:tab w:val="center" w:pos="4156"/>
        <w:tab w:val="right" w:pos="8222"/>
      </w:tabs>
      <w:rPr>
        <w:sz w:val="20"/>
        <w:szCs w:val="20"/>
      </w:rPr>
    </w:pPr>
  </w:p>
  <w:p w:rsidR="00AA2FD0" w:rsidRPr="0043379D" w:rsidRDefault="00AA2FD0" w:rsidP="000553F1">
    <w:pPr>
      <w:pStyle w:val="Footer"/>
      <w:tabs>
        <w:tab w:val="clear" w:pos="4513"/>
        <w:tab w:val="clear" w:pos="9026"/>
        <w:tab w:val="center" w:pos="4156"/>
        <w:tab w:val="right" w:pos="9072"/>
      </w:tabs>
      <w:jc w:val="center"/>
      <w:rPr>
        <w:rFonts w:ascii="Arial" w:hAnsi="Arial" w:cs="Arial"/>
        <w:b/>
        <w:sz w:val="22"/>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DF3DBC">
      <w:rPr>
        <w:rFonts w:ascii="Arial" w:hAnsi="Arial" w:cs="Arial"/>
        <w:noProof/>
        <w:sz w:val="20"/>
        <w:szCs w:val="20"/>
      </w:rPr>
      <w:t>38</w:t>
    </w:r>
    <w:r w:rsidRPr="00651169">
      <w:rPr>
        <w:rFonts w:ascii="Arial" w:hAnsi="Arial" w:cs="Arial"/>
        <w:noProof/>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DBC" w:rsidRDefault="00DF3D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DBC" w:rsidRDefault="00DF3DBC" w:rsidP="0095055D">
      <w:r>
        <w:separator/>
      </w:r>
    </w:p>
  </w:footnote>
  <w:footnote w:type="continuationSeparator" w:id="0">
    <w:p w:rsidR="00DF3DBC" w:rsidRDefault="00DF3DBC" w:rsidP="0095055D">
      <w:r>
        <w:continuationSeparator/>
      </w:r>
    </w:p>
  </w:footnote>
  <w:footnote w:id="1">
    <w:p w:rsidR="00AA2FD0" w:rsidRPr="00832F58" w:rsidRDefault="00AA2FD0">
      <w:pPr>
        <w:pStyle w:val="FootnoteText"/>
        <w:rPr>
          <w:rFonts w:ascii="Arial Narrow" w:hAnsi="Arial Narrow" w:cs="Arial"/>
        </w:rPr>
      </w:pPr>
      <w:r w:rsidRPr="00832F58">
        <w:rPr>
          <w:rStyle w:val="FootnoteReference"/>
          <w:rFonts w:ascii="Arial Narrow" w:hAnsi="Arial Narrow" w:cs="Arial"/>
        </w:rPr>
        <w:footnoteRef/>
      </w:r>
      <w:r w:rsidRPr="00832F58">
        <w:rPr>
          <w:rFonts w:ascii="Arial Narrow" w:hAnsi="Arial Narrow" w:cs="Arial"/>
        </w:rPr>
        <w:t xml:space="preserve"> Herbst et al, 2016 Keynote 010: Durable Clinical Benefit in Patients with Previously Treated, PD-L1 expression NSCLC who have completed pembrolizumab presented at WCLC Dec 4-7 2016</w:t>
      </w:r>
    </w:p>
  </w:footnote>
  <w:footnote w:id="2">
    <w:p w:rsidR="00AA2FD0" w:rsidRPr="00832F58" w:rsidRDefault="00AA2FD0">
      <w:pPr>
        <w:pStyle w:val="FootnoteText"/>
        <w:rPr>
          <w:rFonts w:ascii="Arial Narrow" w:hAnsi="Arial Narrow" w:cs="Arial"/>
        </w:rPr>
      </w:pPr>
      <w:r w:rsidRPr="00832F58">
        <w:rPr>
          <w:rStyle w:val="FootnoteReference"/>
          <w:rFonts w:ascii="Arial Narrow" w:hAnsi="Arial Narrow" w:cs="Arial"/>
        </w:rPr>
        <w:footnoteRef/>
      </w:r>
      <w:r w:rsidRPr="00832F58">
        <w:rPr>
          <w:rFonts w:ascii="Arial Narrow" w:hAnsi="Arial Narrow" w:cs="Arial"/>
        </w:rPr>
        <w:t xml:space="preserve"> Ladwa et al, 2016, Pembrolizumab For Metastatic Melanoma: Results Of The Complete Responders On The Named Patient Access Program, Asia-Pac J Clin Oncol 12(S4):48 2016</w:t>
      </w:r>
    </w:p>
  </w:footnote>
  <w:footnote w:id="3">
    <w:p w:rsidR="00AA2FD0" w:rsidRPr="00832F58" w:rsidRDefault="00AA2FD0">
      <w:pPr>
        <w:pStyle w:val="FootnoteText"/>
        <w:rPr>
          <w:rFonts w:ascii="Arial Narrow" w:hAnsi="Arial Narrow" w:cs="Arial"/>
        </w:rPr>
      </w:pPr>
      <w:r w:rsidRPr="00832F58">
        <w:rPr>
          <w:rStyle w:val="FootnoteReference"/>
          <w:rFonts w:ascii="Arial Narrow" w:hAnsi="Arial Narrow" w:cs="Arial"/>
        </w:rPr>
        <w:footnoteRef/>
      </w:r>
      <w:r w:rsidRPr="00832F58">
        <w:rPr>
          <w:rFonts w:ascii="Arial Narrow" w:hAnsi="Arial Narrow" w:cs="Arial"/>
        </w:rPr>
        <w:t xml:space="preserve"> Robert C, et al. 3-Year Overall Survival for Patients with Advanced Melanoma Treated with Pembrolizumab in KEYNOTE-001. Presentation at the American Society for Clinical Oncology Conference in Chicago, USA from 3-7 June 2016.</w:t>
      </w:r>
    </w:p>
  </w:footnote>
  <w:footnote w:id="4">
    <w:p w:rsidR="00AA2FD0" w:rsidRPr="00832F58" w:rsidRDefault="00AA2FD0" w:rsidP="00E95CF9">
      <w:pPr>
        <w:pStyle w:val="FootnoteText"/>
        <w:rPr>
          <w:rFonts w:ascii="Arial Narrow" w:hAnsi="Arial Narrow" w:cs="Arial"/>
        </w:rPr>
      </w:pPr>
      <w:r w:rsidRPr="00832F58">
        <w:rPr>
          <w:rStyle w:val="FootnoteReference"/>
          <w:rFonts w:ascii="Arial Narrow" w:hAnsi="Arial Narrow" w:cs="Arial"/>
        </w:rPr>
        <w:footnoteRef/>
      </w:r>
      <w:r w:rsidRPr="00832F58">
        <w:rPr>
          <w:rFonts w:ascii="Arial Narrow" w:hAnsi="Arial Narrow" w:cs="Arial"/>
        </w:rPr>
        <w:t xml:space="preserve"> Bagley SJ, Bauml JM, Langer CJ. </w:t>
      </w:r>
      <w:proofErr w:type="gramStart"/>
      <w:r w:rsidRPr="00832F58">
        <w:rPr>
          <w:rFonts w:ascii="Arial Narrow" w:hAnsi="Arial Narrow" w:cs="Arial"/>
        </w:rPr>
        <w:t>PD-1/PD-l1 immune checkpoint blockade in non–small cell lung cancer.</w:t>
      </w:r>
      <w:proofErr w:type="gramEnd"/>
      <w:r w:rsidRPr="00832F58">
        <w:rPr>
          <w:rFonts w:ascii="Arial Narrow" w:hAnsi="Arial Narrow" w:cs="Arial"/>
        </w:rPr>
        <w:t xml:space="preserve"> </w:t>
      </w:r>
      <w:proofErr w:type="gramStart"/>
      <w:r w:rsidRPr="00832F58">
        <w:rPr>
          <w:rFonts w:ascii="Arial Narrow" w:hAnsi="Arial Narrow" w:cs="Arial"/>
        </w:rPr>
        <w:t>Clinical Advances in Hematology and Oncology.</w:t>
      </w:r>
      <w:proofErr w:type="gramEnd"/>
      <w:r w:rsidRPr="00832F58">
        <w:rPr>
          <w:rFonts w:ascii="Arial Narrow" w:hAnsi="Arial Narrow" w:cs="Arial"/>
        </w:rPr>
        <w:t xml:space="preserve"> 2015</w:t>
      </w:r>
      <w:proofErr w:type="gramStart"/>
      <w:r w:rsidRPr="00832F58">
        <w:rPr>
          <w:rFonts w:ascii="Arial Narrow" w:hAnsi="Arial Narrow" w:cs="Arial"/>
        </w:rPr>
        <w:t>;13</w:t>
      </w:r>
      <w:proofErr w:type="gramEnd"/>
      <w:r w:rsidRPr="00832F58">
        <w:rPr>
          <w:rFonts w:ascii="Arial Narrow" w:hAnsi="Arial Narrow" w:cs="Arial"/>
        </w:rPr>
        <w:t>(10):676-83.</w:t>
      </w:r>
    </w:p>
    <w:p w:rsidR="00AA2FD0" w:rsidRPr="00832F58" w:rsidRDefault="00AA2FD0" w:rsidP="00E95CF9">
      <w:pPr>
        <w:pStyle w:val="FootnoteText"/>
        <w:rPr>
          <w:rFonts w:ascii="Arial Narrow" w:hAnsi="Arial Narrow"/>
        </w:rPr>
      </w:pPr>
      <w:r w:rsidRPr="00832F58">
        <w:rPr>
          <w:rFonts w:ascii="Arial Narrow" w:hAnsi="Arial Narrow" w:cs="Arial"/>
        </w:rPr>
        <w:t>Ettinger DS, Wood DE, Akerley W, Bazhenova LA, Borghaei H, Camidge DR, et al. NCCN Guidelines Insights: Non-Small Cell Lung Cancer, Version 4.</w:t>
      </w:r>
      <w:r>
        <w:rPr>
          <w:rFonts w:ascii="Arial Narrow" w:hAnsi="Arial Narrow" w:cs="Arial"/>
        </w:rPr>
        <w:t xml:space="preserve"> </w:t>
      </w:r>
      <w:r w:rsidRPr="00832F58">
        <w:rPr>
          <w:rFonts w:ascii="Arial Narrow" w:hAnsi="Arial Narrow" w:cs="Arial"/>
        </w:rPr>
        <w:t>2016. J Natl Compr Canc Netw. 2016</w:t>
      </w:r>
      <w:proofErr w:type="gramStart"/>
      <w:r w:rsidRPr="00832F58">
        <w:rPr>
          <w:rFonts w:ascii="Arial Narrow" w:hAnsi="Arial Narrow" w:cs="Arial"/>
        </w:rPr>
        <w:t>;14</w:t>
      </w:r>
      <w:proofErr w:type="gramEnd"/>
      <w:r w:rsidRPr="00832F58">
        <w:rPr>
          <w:rFonts w:ascii="Arial Narrow" w:hAnsi="Arial Narrow" w:cs="Arial"/>
        </w:rPr>
        <w:t>(3):255-64.</w:t>
      </w:r>
    </w:p>
  </w:footnote>
  <w:footnote w:id="5">
    <w:p w:rsidR="00AA2FD0" w:rsidRPr="00832F58" w:rsidRDefault="00AA2FD0" w:rsidP="006643B3">
      <w:pPr>
        <w:pStyle w:val="FootnoteText"/>
        <w:rPr>
          <w:rFonts w:ascii="Arial Narrow" w:hAnsi="Arial Narrow"/>
        </w:rPr>
      </w:pPr>
      <w:r w:rsidRPr="00832F58">
        <w:rPr>
          <w:rStyle w:val="FootnoteReference"/>
          <w:rFonts w:ascii="Arial Narrow" w:hAnsi="Arial Narrow"/>
        </w:rPr>
        <w:footnoteRef/>
      </w:r>
      <w:r w:rsidRPr="00832F58">
        <w:rPr>
          <w:rFonts w:ascii="Arial Narrow" w:hAnsi="Arial Narrow"/>
        </w:rPr>
        <w:t xml:space="preserve"> </w:t>
      </w:r>
      <w:proofErr w:type="gramStart"/>
      <w:r w:rsidRPr="00832F58">
        <w:rPr>
          <w:rFonts w:ascii="Arial Narrow" w:hAnsi="Arial Narrow"/>
        </w:rPr>
        <w:t>Cancer Council Australia.</w:t>
      </w:r>
      <w:proofErr w:type="gramEnd"/>
      <w:r w:rsidRPr="00832F58">
        <w:rPr>
          <w:rFonts w:ascii="Arial Narrow" w:hAnsi="Arial Narrow"/>
        </w:rPr>
        <w:t xml:space="preserve"> </w:t>
      </w:r>
      <w:proofErr w:type="gramStart"/>
      <w:r w:rsidRPr="00832F58">
        <w:rPr>
          <w:rFonts w:ascii="Arial Narrow" w:hAnsi="Arial Narrow"/>
        </w:rPr>
        <w:t>Clinical practice guidelines for the treatment of lung cancer.</w:t>
      </w:r>
      <w:proofErr w:type="gramEnd"/>
      <w:r w:rsidRPr="00832F58">
        <w:rPr>
          <w:rFonts w:ascii="Arial Narrow" w:hAnsi="Arial Narrow"/>
        </w:rPr>
        <w:t xml:space="preserve"> 2015 [updated 26 November 2015]; Available from: </w:t>
      </w:r>
      <w:r w:rsidRPr="000052EA">
        <w:rPr>
          <w:rFonts w:ascii="Arial Narrow" w:hAnsi="Arial Narrow"/>
        </w:rPr>
        <w:t>http://wiki.cancer.org.au/australia/Guidelines:Lung_cancer</w:t>
      </w:r>
    </w:p>
  </w:footnote>
  <w:footnote w:id="6">
    <w:p w:rsidR="00AA2FD0" w:rsidRPr="00E8221E" w:rsidRDefault="00AA2FD0" w:rsidP="008672B4">
      <w:pPr>
        <w:pStyle w:val="ListParagraph"/>
        <w:ind w:left="709" w:firstLine="0"/>
        <w:rPr>
          <w:rFonts w:ascii="Arial Narrow" w:hAnsi="Arial Narrow" w:cs="Arial"/>
          <w:sz w:val="20"/>
          <w:szCs w:val="20"/>
        </w:rPr>
      </w:pPr>
      <w:r w:rsidRPr="00E8221E">
        <w:rPr>
          <w:rStyle w:val="FootnoteReference"/>
          <w:rFonts w:ascii="Arial Narrow" w:hAnsi="Arial Narrow"/>
          <w:sz w:val="20"/>
          <w:szCs w:val="20"/>
        </w:rPr>
        <w:footnoteRef/>
      </w:r>
      <w:r w:rsidRPr="00E8221E">
        <w:rPr>
          <w:rFonts w:ascii="Arial Narrow" w:hAnsi="Arial Narrow"/>
          <w:sz w:val="20"/>
          <w:szCs w:val="20"/>
        </w:rPr>
        <w:t xml:space="preserve"> </w:t>
      </w:r>
      <w:r w:rsidRPr="00E8221E">
        <w:rPr>
          <w:rFonts w:ascii="Arial Narrow" w:hAnsi="Arial Narrow" w:cs="Arial"/>
          <w:sz w:val="20"/>
          <w:szCs w:val="20"/>
        </w:rPr>
        <w:t>Cherny NI, Sullivan R, Dafni U, et al: A standardised, generic, validated approach to stratify the magnitude of clinical benefit that can be anticipated from anti-cancer therapies: the European Society for Medical Oncology Magnitude of Clinical Benefit Scale (ESMO-MCBS). Ann Oncol 2015; 26:1547-73.</w:t>
      </w:r>
    </w:p>
  </w:footnote>
  <w:footnote w:id="7">
    <w:p w:rsidR="00AA2FD0" w:rsidRPr="00832F58" w:rsidRDefault="00AA2FD0" w:rsidP="00572D70">
      <w:pPr>
        <w:pStyle w:val="FootnoteText"/>
        <w:rPr>
          <w:rFonts w:ascii="Arial Narrow" w:hAnsi="Arial Narrow"/>
        </w:rPr>
      </w:pPr>
      <w:r w:rsidRPr="00832F58">
        <w:rPr>
          <w:rStyle w:val="FootnoteReference"/>
          <w:rFonts w:ascii="Arial Narrow" w:hAnsi="Arial Narrow"/>
        </w:rPr>
        <w:footnoteRef/>
      </w:r>
      <w:r w:rsidRPr="00832F58">
        <w:rPr>
          <w:rFonts w:ascii="Arial Narrow" w:hAnsi="Arial Narrow"/>
        </w:rPr>
        <w:t xml:space="preserve"> Socinski M. CheckMate 026: A Phase 3 Trial of Nivolumab vs Investigator's Choice (IC) of Platinum-Based Doublet Chemotherapy (PT-DC) as First-Line Therapy for Stage IV/Recurrent Programmed Death Ligand 1 (PD-L1) − Positive NSCLC. Sunday, 9 October</w:t>
      </w:r>
      <w:r>
        <w:rPr>
          <w:rFonts w:ascii="Arial Narrow" w:hAnsi="Arial Narrow"/>
        </w:rPr>
        <w:t xml:space="preserve"> 2</w:t>
      </w:r>
      <w:r w:rsidRPr="00832F58">
        <w:rPr>
          <w:rFonts w:ascii="Arial Narrow" w:hAnsi="Arial Narrow"/>
        </w:rPr>
        <w:t>016. p. Abstract LBA7_PR.</w:t>
      </w:r>
    </w:p>
  </w:footnote>
  <w:footnote w:id="8">
    <w:p w:rsidR="00AA2FD0" w:rsidRPr="00832F58" w:rsidRDefault="00AA2FD0">
      <w:pPr>
        <w:pStyle w:val="FootnoteText"/>
        <w:rPr>
          <w:rFonts w:ascii="Arial Narrow" w:hAnsi="Arial Narrow"/>
        </w:rPr>
      </w:pPr>
      <w:r>
        <w:rPr>
          <w:rStyle w:val="FootnoteReference"/>
        </w:rPr>
        <w:footnoteRef/>
      </w:r>
      <w:r>
        <w:t xml:space="preserve"> </w:t>
      </w:r>
      <w:r w:rsidRPr="00832F58">
        <w:rPr>
          <w:rFonts w:ascii="Arial Narrow" w:hAnsi="Arial Narrow"/>
        </w:rPr>
        <w:t xml:space="preserve">Cooper WA, Tran T, Vilain RE, Madore J, Selinger CI, Kohonen-Corish M, et al. PD-L1 expression is a favorable prognostic factor in early stage non-small cell carcinoma. </w:t>
      </w:r>
      <w:proofErr w:type="gramStart"/>
      <w:r w:rsidRPr="00832F58">
        <w:rPr>
          <w:rFonts w:ascii="Arial Narrow" w:hAnsi="Arial Narrow"/>
        </w:rPr>
        <w:t>Lung Cancer.</w:t>
      </w:r>
      <w:proofErr w:type="gramEnd"/>
      <w:r w:rsidRPr="00832F58">
        <w:rPr>
          <w:rFonts w:ascii="Arial Narrow" w:hAnsi="Arial Narrow"/>
        </w:rPr>
        <w:t xml:space="preserve"> 2015</w:t>
      </w:r>
      <w:proofErr w:type="gramStart"/>
      <w:r w:rsidRPr="00832F58">
        <w:rPr>
          <w:rFonts w:ascii="Arial Narrow" w:hAnsi="Arial Narrow"/>
        </w:rPr>
        <w:t>;89</w:t>
      </w:r>
      <w:proofErr w:type="gramEnd"/>
      <w:r w:rsidRPr="00832F58">
        <w:rPr>
          <w:rFonts w:ascii="Arial Narrow" w:hAnsi="Arial Narrow"/>
        </w:rPr>
        <w:t>(2):181-8.</w:t>
      </w:r>
    </w:p>
  </w:footnote>
  <w:footnote w:id="9">
    <w:p w:rsidR="00AA2FD0" w:rsidRDefault="00AA2FD0">
      <w:pPr>
        <w:pStyle w:val="FootnoteText"/>
      </w:pPr>
      <w:r w:rsidRPr="00832F58">
        <w:rPr>
          <w:rStyle w:val="FootnoteReference"/>
          <w:rFonts w:ascii="Arial Narrow" w:hAnsi="Arial Narrow"/>
        </w:rPr>
        <w:footnoteRef/>
      </w:r>
      <w:r w:rsidRPr="00832F58">
        <w:rPr>
          <w:rFonts w:ascii="Arial Narrow" w:hAnsi="Arial Narrow"/>
        </w:rPr>
        <w:t xml:space="preserve"> Sorensen SF, Zhou W, Dolled-Filhart M, Georgsen JB, Wang Z, Emancipator K, et al. PD-L1 Expression and Survival among Patients with Advanced Non-Small Cell Lung Cancer Treated with Chemotherapy. Transl Oncol. 2016</w:t>
      </w:r>
      <w:proofErr w:type="gramStart"/>
      <w:r w:rsidRPr="00832F58">
        <w:rPr>
          <w:rFonts w:ascii="Arial Narrow" w:hAnsi="Arial Narrow"/>
        </w:rPr>
        <w:t>;9</w:t>
      </w:r>
      <w:proofErr w:type="gramEnd"/>
      <w:r w:rsidRPr="00832F58">
        <w:rPr>
          <w:rFonts w:ascii="Arial Narrow" w:hAnsi="Arial Narrow"/>
        </w:rPr>
        <w:t>(1):64-9.</w:t>
      </w:r>
    </w:p>
  </w:footnote>
  <w:footnote w:id="10">
    <w:p w:rsidR="00AA2FD0" w:rsidRPr="00F01F77" w:rsidRDefault="00AA2FD0" w:rsidP="00A36DD4">
      <w:pPr>
        <w:pStyle w:val="FootnoteText"/>
      </w:pPr>
      <w:r>
        <w:rPr>
          <w:rStyle w:val="FootnoteReference"/>
        </w:rPr>
        <w:footnoteRef/>
      </w:r>
      <w:r>
        <w:t xml:space="preserve"> </w:t>
      </w:r>
      <w:proofErr w:type="gramStart"/>
      <w:r w:rsidRPr="00F01F77">
        <w:t>Revised to take into account the efficient combination of vials and the maximum doses allowed on the PBS.</w:t>
      </w:r>
      <w:proofErr w:type="gramEnd"/>
    </w:p>
  </w:footnote>
  <w:footnote w:id="11">
    <w:p w:rsidR="00AA2FD0" w:rsidRPr="00F01F77" w:rsidRDefault="00AA2FD0">
      <w:pPr>
        <w:pStyle w:val="FootnoteText"/>
      </w:pPr>
      <w:r w:rsidRPr="00F01F77">
        <w:rPr>
          <w:rStyle w:val="FootnoteReference"/>
        </w:rPr>
        <w:footnoteRef/>
      </w:r>
      <w:r w:rsidRPr="00F01F77">
        <w:t xml:space="preserve"> Revised to take into account the maximum dose of pemetrexed allowed on the PBS.</w:t>
      </w:r>
    </w:p>
  </w:footnote>
  <w:footnote w:id="12">
    <w:p w:rsidR="00AA2FD0" w:rsidRDefault="00AA2FD0">
      <w:pPr>
        <w:pStyle w:val="FootnoteText"/>
      </w:pPr>
      <w:r>
        <w:rPr>
          <w:rStyle w:val="FootnoteReference"/>
        </w:rPr>
        <w:footnoteRef/>
      </w:r>
      <w:r>
        <w:t xml:space="preserve"> Hiley CT, et al. Challenges in molecular testing in non-small-cell lung cancer patients with advanced disease. Lancet 2016</w:t>
      </w:r>
      <w:proofErr w:type="gramStart"/>
      <w:r>
        <w:t>;388:1002</w:t>
      </w:r>
      <w:proofErr w:type="gramEnd"/>
      <w:r>
        <w:t>-11.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DBC" w:rsidRDefault="00DF3D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FD0" w:rsidRPr="00DF217D" w:rsidRDefault="00AA2FD0" w:rsidP="00462D5A">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March 2017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AA2FD0" w:rsidRPr="000F15C1" w:rsidRDefault="00AA2FD0" w:rsidP="00A36DD4">
    <w:pPr>
      <w:pStyle w:val="Header"/>
      <w:tabs>
        <w:tab w:val="clear" w:pos="9026"/>
        <w:tab w:val="right" w:pos="8364"/>
      </w:tabs>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3DBC" w:rsidRDefault="00DF3D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130FA1"/>
    <w:multiLevelType w:val="hybridMultilevel"/>
    <w:tmpl w:val="98DE089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nsid w:val="07684E3D"/>
    <w:multiLevelType w:val="hybridMultilevel"/>
    <w:tmpl w:val="7EC83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334A4F"/>
    <w:multiLevelType w:val="hybridMultilevel"/>
    <w:tmpl w:val="9880F6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5B3868"/>
    <w:multiLevelType w:val="hybridMultilevel"/>
    <w:tmpl w:val="7A36C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9B17973"/>
    <w:multiLevelType w:val="hybridMultilevel"/>
    <w:tmpl w:val="11FC7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C166B84"/>
    <w:multiLevelType w:val="hybridMultilevel"/>
    <w:tmpl w:val="E37833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0CCD436A"/>
    <w:multiLevelType w:val="hybridMultilevel"/>
    <w:tmpl w:val="DC02E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13A0F35"/>
    <w:multiLevelType w:val="hybridMultilevel"/>
    <w:tmpl w:val="4B020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410688F"/>
    <w:multiLevelType w:val="hybridMultilevel"/>
    <w:tmpl w:val="037AAA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6AC7B30"/>
    <w:multiLevelType w:val="hybridMultilevel"/>
    <w:tmpl w:val="E7F2D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EA2809"/>
    <w:multiLevelType w:val="hybridMultilevel"/>
    <w:tmpl w:val="F2F2E38C"/>
    <w:lvl w:ilvl="0" w:tplc="FB06DE0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CA40690"/>
    <w:multiLevelType w:val="singleLevel"/>
    <w:tmpl w:val="E5988BCE"/>
    <w:lvl w:ilvl="0">
      <w:start w:val="1"/>
      <w:numFmt w:val="bullet"/>
      <w:lvlText w:val=""/>
      <w:lvlJc w:val="left"/>
      <w:pPr>
        <w:tabs>
          <w:tab w:val="num" w:pos="360"/>
        </w:tabs>
        <w:ind w:left="216" w:hanging="216"/>
      </w:pPr>
      <w:rPr>
        <w:rFonts w:ascii="Symbol" w:hAnsi="Symbol" w:cs="Symbol" w:hint="default"/>
        <w:sz w:val="16"/>
        <w:szCs w:val="16"/>
      </w:rPr>
    </w:lvl>
  </w:abstractNum>
  <w:abstractNum w:abstractNumId="14">
    <w:nsid w:val="1D81225F"/>
    <w:multiLevelType w:val="hybridMultilevel"/>
    <w:tmpl w:val="9880F6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E474578"/>
    <w:multiLevelType w:val="multilevel"/>
    <w:tmpl w:val="901603CE"/>
    <w:lvl w:ilvl="0">
      <w:start w:val="1"/>
      <w:numFmt w:val="decimal"/>
      <w:pStyle w:val="FigureA"/>
      <w:lvlText w:val="Figure A.%1"/>
      <w:lvlJc w:val="left"/>
      <w:pPr>
        <w:ind w:left="360" w:hanging="360"/>
      </w:pPr>
      <w:rPr>
        <w:rFonts w:ascii="Arial Bold" w:hAnsi="Arial Bold"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F1C2212"/>
    <w:multiLevelType w:val="hybridMultilevel"/>
    <w:tmpl w:val="88129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86B4956"/>
    <w:multiLevelType w:val="hybridMultilevel"/>
    <w:tmpl w:val="2526A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B650263"/>
    <w:multiLevelType w:val="hybridMultilevel"/>
    <w:tmpl w:val="0136C51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2DF43677"/>
    <w:multiLevelType w:val="hybridMultilevel"/>
    <w:tmpl w:val="68FAC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E327DB7"/>
    <w:multiLevelType w:val="hybridMultilevel"/>
    <w:tmpl w:val="B5D653A2"/>
    <w:lvl w:ilvl="0" w:tplc="6238855A">
      <w:start w:val="1"/>
      <w:numFmt w:val="bullet"/>
      <w:pStyle w:val="Bodytext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F576AA9"/>
    <w:multiLevelType w:val="hybridMultilevel"/>
    <w:tmpl w:val="9880F6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4F60473"/>
    <w:multiLevelType w:val="hybridMultilevel"/>
    <w:tmpl w:val="DB8C02F8"/>
    <w:lvl w:ilvl="0" w:tplc="0C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6436E1A"/>
    <w:multiLevelType w:val="hybridMultilevel"/>
    <w:tmpl w:val="E1007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E6A2E49"/>
    <w:multiLevelType w:val="hybridMultilevel"/>
    <w:tmpl w:val="4F249630"/>
    <w:lvl w:ilvl="0" w:tplc="0C09001B">
      <w:start w:val="1"/>
      <w:numFmt w:val="lowerRoman"/>
      <w:lvlText w:val="%1."/>
      <w:lvlJc w:val="right"/>
      <w:pPr>
        <w:ind w:left="720" w:hanging="360"/>
      </w:pPr>
      <w:rPr>
        <w:rFonts w:hint="default"/>
      </w:rPr>
    </w:lvl>
    <w:lvl w:ilvl="1" w:tplc="0C09001B">
      <w:start w:val="1"/>
      <w:numFmt w:val="lowerRoman"/>
      <w:lvlText w:val="%2."/>
      <w:lvlJc w:val="righ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150568B"/>
    <w:multiLevelType w:val="hybridMultilevel"/>
    <w:tmpl w:val="BAD071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1E06BDC"/>
    <w:multiLevelType w:val="hybridMultilevel"/>
    <w:tmpl w:val="AF0294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47CC1DA9"/>
    <w:multiLevelType w:val="hybridMultilevel"/>
    <w:tmpl w:val="73C2535A"/>
    <w:lvl w:ilvl="0" w:tplc="7D8E1BC6">
      <w:start w:val="1"/>
      <w:numFmt w:val="decimal"/>
      <w:lvlText w:val="%1."/>
      <w:lvlJc w:val="left"/>
      <w:pPr>
        <w:ind w:left="360" w:hanging="360"/>
      </w:pPr>
      <w:rPr>
        <w:b/>
      </w:rPr>
    </w:lvl>
    <w:lvl w:ilvl="1" w:tplc="16180C0A">
      <w:start w:val="1"/>
      <w:numFmt w:val="lowerLetter"/>
      <w:lvlText w:val="%2."/>
      <w:lvlJc w:val="left"/>
      <w:pPr>
        <w:ind w:left="1080" w:hanging="360"/>
      </w:pPr>
      <w:rPr>
        <w:b/>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nsid w:val="48E5465F"/>
    <w:multiLevelType w:val="hybridMultilevel"/>
    <w:tmpl w:val="7FF200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1">
    <w:nsid w:val="4D4E64FC"/>
    <w:multiLevelType w:val="hybridMultilevel"/>
    <w:tmpl w:val="4F249630"/>
    <w:lvl w:ilvl="0" w:tplc="0C09001B">
      <w:start w:val="1"/>
      <w:numFmt w:val="lowerRoman"/>
      <w:lvlText w:val="%1."/>
      <w:lvlJc w:val="right"/>
      <w:pPr>
        <w:ind w:left="720" w:hanging="360"/>
      </w:pPr>
      <w:rPr>
        <w:rFonts w:hint="default"/>
      </w:rPr>
    </w:lvl>
    <w:lvl w:ilvl="1" w:tplc="0C09001B">
      <w:start w:val="1"/>
      <w:numFmt w:val="lowerRoman"/>
      <w:lvlText w:val="%2."/>
      <w:lvlJc w:val="righ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4F2E67CB"/>
    <w:multiLevelType w:val="hybridMultilevel"/>
    <w:tmpl w:val="4588D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4FDA1B77"/>
    <w:multiLevelType w:val="hybridMultilevel"/>
    <w:tmpl w:val="4F249630"/>
    <w:lvl w:ilvl="0" w:tplc="0C09001B">
      <w:start w:val="1"/>
      <w:numFmt w:val="lowerRoman"/>
      <w:lvlText w:val="%1."/>
      <w:lvlJc w:val="right"/>
      <w:pPr>
        <w:ind w:left="720" w:hanging="360"/>
      </w:pPr>
      <w:rPr>
        <w:rFonts w:hint="default"/>
      </w:rPr>
    </w:lvl>
    <w:lvl w:ilvl="1" w:tplc="0C09001B">
      <w:start w:val="1"/>
      <w:numFmt w:val="lowerRoman"/>
      <w:lvlText w:val="%2."/>
      <w:lvlJc w:val="righ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00E7467"/>
    <w:multiLevelType w:val="hybridMultilevel"/>
    <w:tmpl w:val="E7CC107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nsid w:val="50977E88"/>
    <w:multiLevelType w:val="hybridMultilevel"/>
    <w:tmpl w:val="114008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1102580"/>
    <w:multiLevelType w:val="hybridMultilevel"/>
    <w:tmpl w:val="B43E2528"/>
    <w:lvl w:ilvl="0" w:tplc="03B224F8">
      <w:start w:val="1"/>
      <w:numFmt w:val="decimal"/>
      <w:lvlText w:val="%1."/>
      <w:lvlJc w:val="left"/>
      <w:pPr>
        <w:ind w:left="36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A6B0C2C"/>
    <w:multiLevelType w:val="hybridMultilevel"/>
    <w:tmpl w:val="6F56B24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nsid w:val="5C3B06A4"/>
    <w:multiLevelType w:val="hybridMultilevel"/>
    <w:tmpl w:val="8AB0E5E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nsid w:val="5D666045"/>
    <w:multiLevelType w:val="hybridMultilevel"/>
    <w:tmpl w:val="22B0351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F702188"/>
    <w:multiLevelType w:val="hybridMultilevel"/>
    <w:tmpl w:val="376C8F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641F5076"/>
    <w:multiLevelType w:val="hybridMultilevel"/>
    <w:tmpl w:val="58ECD44A"/>
    <w:lvl w:ilvl="0" w:tplc="0C090001">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nsid w:val="645853F9"/>
    <w:multiLevelType w:val="hybridMultilevel"/>
    <w:tmpl w:val="FD0C64FC"/>
    <w:lvl w:ilvl="0" w:tplc="FB06DE06">
      <w:start w:val="3"/>
      <w:numFmt w:val="decimal"/>
      <w:lvlText w:val="%1."/>
      <w:lvlJc w:val="left"/>
      <w:pPr>
        <w:tabs>
          <w:tab w:val="num" w:pos="1080"/>
        </w:tabs>
        <w:ind w:left="1080" w:hanging="720"/>
      </w:pPr>
      <w:rPr>
        <w:rFonts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4597FA0"/>
    <w:multiLevelType w:val="hybridMultilevel"/>
    <w:tmpl w:val="D7740F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664A5FDA"/>
    <w:multiLevelType w:val="hybridMultilevel"/>
    <w:tmpl w:val="0EDC7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nsid w:val="690A765A"/>
    <w:multiLevelType w:val="hybridMultilevel"/>
    <w:tmpl w:val="EACADD2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B585611"/>
    <w:multiLevelType w:val="hybridMultilevel"/>
    <w:tmpl w:val="0F98B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nsid w:val="70B05DA8"/>
    <w:multiLevelType w:val="hybridMultilevel"/>
    <w:tmpl w:val="0BCA819A"/>
    <w:lvl w:ilvl="0" w:tplc="C6AEA2E0">
      <w:start w:val="1"/>
      <w:numFmt w:val="lowerRoman"/>
      <w:pStyle w:val="Heading9"/>
      <w:lvlText w:val="COM.%1"/>
      <w:lvlJc w:val="right"/>
      <w:pPr>
        <w:ind w:left="720" w:hanging="360"/>
      </w:pPr>
      <w:rPr>
        <w:rFonts w:ascii="Calibri" w:hAnsi="Calibr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716F7254"/>
    <w:multiLevelType w:val="hybridMultilevel"/>
    <w:tmpl w:val="81C282AE"/>
    <w:lvl w:ilvl="0" w:tplc="FFFFFFFF">
      <w:start w:val="1"/>
      <w:numFmt w:val="bullet"/>
      <w:pStyle w:val="Tabletext9ptbulleted"/>
      <w:lvlText w:val=""/>
      <w:lvlJc w:val="left"/>
      <w:pPr>
        <w:ind w:left="479" w:hanging="360"/>
      </w:pPr>
      <w:rPr>
        <w:rFonts w:ascii="Symbol" w:hAnsi="Symbol" w:hint="default"/>
        <w:color w:val="auto"/>
        <w:sz w:val="18"/>
      </w:rPr>
    </w:lvl>
    <w:lvl w:ilvl="1" w:tplc="FFFFFFFF">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50">
    <w:nsid w:val="764224E7"/>
    <w:multiLevelType w:val="hybridMultilevel"/>
    <w:tmpl w:val="F8F8F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nsid w:val="784D033C"/>
    <w:multiLevelType w:val="multilevel"/>
    <w:tmpl w:val="CB841CC4"/>
    <w:lvl w:ilvl="0">
      <w:start w:val="1"/>
      <w:numFmt w:val="decimal"/>
      <w:lvlText w:val="%1"/>
      <w:lvlJc w:val="left"/>
      <w:pPr>
        <w:ind w:left="720" w:hanging="720"/>
      </w:pPr>
      <w:rPr>
        <w:rFonts w:hint="default"/>
        <w:b/>
        <w:i w:val="0"/>
      </w:rPr>
    </w:lvl>
    <w:lvl w:ilvl="1">
      <w:start w:val="1"/>
      <w:numFmt w:val="decimal"/>
      <w:lvlText w:val="%1.%2"/>
      <w:lvlJc w:val="left"/>
      <w:pPr>
        <w:ind w:left="1004" w:hanging="720"/>
      </w:pPr>
      <w:rPr>
        <w:rFonts w:ascii="Arial" w:hAnsi="Arial" w:cs="Arial" w:hint="default"/>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nsid w:val="7E222524"/>
    <w:multiLevelType w:val="hybridMultilevel"/>
    <w:tmpl w:val="4F249630"/>
    <w:lvl w:ilvl="0" w:tplc="0C09001B">
      <w:start w:val="1"/>
      <w:numFmt w:val="lowerRoman"/>
      <w:lvlText w:val="%1."/>
      <w:lvlJc w:val="right"/>
      <w:pPr>
        <w:ind w:left="720" w:hanging="360"/>
      </w:pPr>
      <w:rPr>
        <w:rFonts w:hint="default"/>
      </w:rPr>
    </w:lvl>
    <w:lvl w:ilvl="1" w:tplc="0C09001B">
      <w:start w:val="1"/>
      <w:numFmt w:val="lowerRoman"/>
      <w:lvlText w:val="%2."/>
      <w:lvlJc w:val="righ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nsid w:val="7FE30A7E"/>
    <w:multiLevelType w:val="hybridMultilevel"/>
    <w:tmpl w:val="60261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8"/>
  </w:num>
  <w:num w:numId="2">
    <w:abstractNumId w:val="19"/>
  </w:num>
  <w:num w:numId="3">
    <w:abstractNumId w:val="23"/>
  </w:num>
  <w:num w:numId="4">
    <w:abstractNumId w:val="51"/>
  </w:num>
  <w:num w:numId="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15"/>
  </w:num>
  <w:num w:numId="8">
    <w:abstractNumId w:val="49"/>
  </w:num>
  <w:num w:numId="9">
    <w:abstractNumId w:val="28"/>
  </w:num>
  <w:num w:numId="10">
    <w:abstractNumId w:val="36"/>
  </w:num>
  <w:num w:numId="11">
    <w:abstractNumId w:val="5"/>
  </w:num>
  <w:num w:numId="12">
    <w:abstractNumId w:val="45"/>
  </w:num>
  <w:num w:numId="13">
    <w:abstractNumId w:val="29"/>
  </w:num>
  <w:num w:numId="14">
    <w:abstractNumId w:val="14"/>
  </w:num>
  <w:num w:numId="15">
    <w:abstractNumId w:val="3"/>
  </w:num>
  <w:num w:numId="16">
    <w:abstractNumId w:val="22"/>
  </w:num>
  <w:num w:numId="17">
    <w:abstractNumId w:val="44"/>
  </w:num>
  <w:num w:numId="18">
    <w:abstractNumId w:val="33"/>
  </w:num>
  <w:num w:numId="19">
    <w:abstractNumId w:val="46"/>
  </w:num>
  <w:num w:numId="20">
    <w:abstractNumId w:val="47"/>
  </w:num>
  <w:num w:numId="21">
    <w:abstractNumId w:val="20"/>
  </w:num>
  <w:num w:numId="22">
    <w:abstractNumId w:val="25"/>
  </w:num>
  <w:num w:numId="23">
    <w:abstractNumId w:val="1"/>
  </w:num>
  <w:num w:numId="24">
    <w:abstractNumId w:val="7"/>
  </w:num>
  <w:num w:numId="25">
    <w:abstractNumId w:val="2"/>
  </w:num>
  <w:num w:numId="26">
    <w:abstractNumId w:val="24"/>
  </w:num>
  <w:num w:numId="27">
    <w:abstractNumId w:val="9"/>
  </w:num>
  <w:num w:numId="28">
    <w:abstractNumId w:val="13"/>
  </w:num>
  <w:num w:numId="29">
    <w:abstractNumId w:val="27"/>
  </w:num>
  <w:num w:numId="30">
    <w:abstractNumId w:val="21"/>
  </w:num>
  <w:num w:numId="31">
    <w:abstractNumId w:val="26"/>
  </w:num>
  <w:num w:numId="32">
    <w:abstractNumId w:val="8"/>
  </w:num>
  <w:num w:numId="33">
    <w:abstractNumId w:val="53"/>
  </w:num>
  <w:num w:numId="34">
    <w:abstractNumId w:val="10"/>
  </w:num>
  <w:num w:numId="35">
    <w:abstractNumId w:val="32"/>
  </w:num>
  <w:num w:numId="36">
    <w:abstractNumId w:val="11"/>
  </w:num>
  <w:num w:numId="37">
    <w:abstractNumId w:val="35"/>
  </w:num>
  <w:num w:numId="38">
    <w:abstractNumId w:val="50"/>
  </w:num>
  <w:num w:numId="39">
    <w:abstractNumId w:val="16"/>
  </w:num>
  <w:num w:numId="40">
    <w:abstractNumId w:val="18"/>
  </w:num>
  <w:num w:numId="41">
    <w:abstractNumId w:val="41"/>
  </w:num>
  <w:num w:numId="42">
    <w:abstractNumId w:val="31"/>
  </w:num>
  <w:num w:numId="43">
    <w:abstractNumId w:val="34"/>
  </w:num>
  <w:num w:numId="44">
    <w:abstractNumId w:val="38"/>
  </w:num>
  <w:num w:numId="45">
    <w:abstractNumId w:val="52"/>
  </w:num>
  <w:num w:numId="46">
    <w:abstractNumId w:val="39"/>
  </w:num>
  <w:num w:numId="47">
    <w:abstractNumId w:val="4"/>
  </w:num>
  <w:num w:numId="48">
    <w:abstractNumId w:val="43"/>
  </w:num>
  <w:num w:numId="49">
    <w:abstractNumId w:val="12"/>
  </w:num>
  <w:num w:numId="50">
    <w:abstractNumId w:val="40"/>
  </w:num>
  <w:num w:numId="51">
    <w:abstractNumId w:val="42"/>
  </w:num>
  <w:num w:numId="52">
    <w:abstractNumId w:val="37"/>
  </w:num>
  <w:num w:numId="53">
    <w:abstractNumId w:val="6"/>
  </w:num>
  <w:num w:numId="54">
    <w:abstractNumId w:val="0"/>
  </w:num>
  <w:num w:numId="55">
    <w:abstractNumId w:val="17"/>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grammar="clean"/>
  <w:doNotTrackFormatting/>
  <w:defaultTabStop w:val="851"/>
  <w:characterSpacingControl w:val="doNotCompress"/>
  <w:hdrShapeDefaults>
    <o:shapedefaults v:ext="edit" spidmax="2049"/>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95055D"/>
    <w:rsid w:val="000006C6"/>
    <w:rsid w:val="000019F2"/>
    <w:rsid w:val="00001C40"/>
    <w:rsid w:val="00002D4B"/>
    <w:rsid w:val="00002DD9"/>
    <w:rsid w:val="00003C86"/>
    <w:rsid w:val="000052EA"/>
    <w:rsid w:val="00005DC3"/>
    <w:rsid w:val="00006018"/>
    <w:rsid w:val="00006114"/>
    <w:rsid w:val="00007F8D"/>
    <w:rsid w:val="00010FB0"/>
    <w:rsid w:val="000114D2"/>
    <w:rsid w:val="000118B1"/>
    <w:rsid w:val="0001376B"/>
    <w:rsid w:val="000146AD"/>
    <w:rsid w:val="00015F97"/>
    <w:rsid w:val="000162FA"/>
    <w:rsid w:val="00016788"/>
    <w:rsid w:val="00016DC0"/>
    <w:rsid w:val="00020E3C"/>
    <w:rsid w:val="00021380"/>
    <w:rsid w:val="00022E79"/>
    <w:rsid w:val="0002441B"/>
    <w:rsid w:val="0002497D"/>
    <w:rsid w:val="000258A7"/>
    <w:rsid w:val="00025906"/>
    <w:rsid w:val="0002607A"/>
    <w:rsid w:val="00027636"/>
    <w:rsid w:val="00030303"/>
    <w:rsid w:val="0003063E"/>
    <w:rsid w:val="00033FAA"/>
    <w:rsid w:val="00035688"/>
    <w:rsid w:val="00035C4F"/>
    <w:rsid w:val="00037261"/>
    <w:rsid w:val="00037800"/>
    <w:rsid w:val="0004513B"/>
    <w:rsid w:val="0004609C"/>
    <w:rsid w:val="00046518"/>
    <w:rsid w:val="00052799"/>
    <w:rsid w:val="00052801"/>
    <w:rsid w:val="00053171"/>
    <w:rsid w:val="00053A90"/>
    <w:rsid w:val="000549A1"/>
    <w:rsid w:val="000550F5"/>
    <w:rsid w:val="000553F1"/>
    <w:rsid w:val="00055775"/>
    <w:rsid w:val="000577D9"/>
    <w:rsid w:val="000600D8"/>
    <w:rsid w:val="00060825"/>
    <w:rsid w:val="0006090E"/>
    <w:rsid w:val="00060B51"/>
    <w:rsid w:val="00060FF0"/>
    <w:rsid w:val="00061161"/>
    <w:rsid w:val="0006137D"/>
    <w:rsid w:val="000620EA"/>
    <w:rsid w:val="00063A99"/>
    <w:rsid w:val="00063A9B"/>
    <w:rsid w:val="00063D8B"/>
    <w:rsid w:val="000646A5"/>
    <w:rsid w:val="000653F5"/>
    <w:rsid w:val="00065769"/>
    <w:rsid w:val="0006599E"/>
    <w:rsid w:val="00065C0F"/>
    <w:rsid w:val="0006604F"/>
    <w:rsid w:val="00067009"/>
    <w:rsid w:val="00070611"/>
    <w:rsid w:val="00072472"/>
    <w:rsid w:val="00072D48"/>
    <w:rsid w:val="00073275"/>
    <w:rsid w:val="00073335"/>
    <w:rsid w:val="000770D1"/>
    <w:rsid w:val="00077259"/>
    <w:rsid w:val="0007727B"/>
    <w:rsid w:val="000773F6"/>
    <w:rsid w:val="00077820"/>
    <w:rsid w:val="00082575"/>
    <w:rsid w:val="0008265A"/>
    <w:rsid w:val="0009001A"/>
    <w:rsid w:val="00090695"/>
    <w:rsid w:val="00091536"/>
    <w:rsid w:val="0009256F"/>
    <w:rsid w:val="00092AB8"/>
    <w:rsid w:val="00093317"/>
    <w:rsid w:val="00093EDB"/>
    <w:rsid w:val="000959B2"/>
    <w:rsid w:val="000A0204"/>
    <w:rsid w:val="000A15C3"/>
    <w:rsid w:val="000A18AE"/>
    <w:rsid w:val="000A193A"/>
    <w:rsid w:val="000A2877"/>
    <w:rsid w:val="000A3B65"/>
    <w:rsid w:val="000A6549"/>
    <w:rsid w:val="000A6B78"/>
    <w:rsid w:val="000A6BF9"/>
    <w:rsid w:val="000A7F6C"/>
    <w:rsid w:val="000B26E0"/>
    <w:rsid w:val="000B2BFC"/>
    <w:rsid w:val="000B5BF1"/>
    <w:rsid w:val="000B7548"/>
    <w:rsid w:val="000C02C3"/>
    <w:rsid w:val="000C17ED"/>
    <w:rsid w:val="000C325C"/>
    <w:rsid w:val="000C4413"/>
    <w:rsid w:val="000C5E58"/>
    <w:rsid w:val="000C5FCF"/>
    <w:rsid w:val="000C6F2A"/>
    <w:rsid w:val="000C75A5"/>
    <w:rsid w:val="000D1136"/>
    <w:rsid w:val="000D1E1F"/>
    <w:rsid w:val="000D3710"/>
    <w:rsid w:val="000D3EC3"/>
    <w:rsid w:val="000D4656"/>
    <w:rsid w:val="000D578E"/>
    <w:rsid w:val="000D5A73"/>
    <w:rsid w:val="000D611B"/>
    <w:rsid w:val="000D6711"/>
    <w:rsid w:val="000D6F4A"/>
    <w:rsid w:val="000D7616"/>
    <w:rsid w:val="000E008A"/>
    <w:rsid w:val="000E315C"/>
    <w:rsid w:val="000E4C6F"/>
    <w:rsid w:val="000E5364"/>
    <w:rsid w:val="000E6BA5"/>
    <w:rsid w:val="000E7C89"/>
    <w:rsid w:val="000F0603"/>
    <w:rsid w:val="000F15C1"/>
    <w:rsid w:val="000F1EEE"/>
    <w:rsid w:val="000F1F78"/>
    <w:rsid w:val="000F2EA1"/>
    <w:rsid w:val="000F3200"/>
    <w:rsid w:val="000F4679"/>
    <w:rsid w:val="000F6E52"/>
    <w:rsid w:val="000F7FDA"/>
    <w:rsid w:val="00100B72"/>
    <w:rsid w:val="00100B90"/>
    <w:rsid w:val="00101342"/>
    <w:rsid w:val="001020A0"/>
    <w:rsid w:val="00102373"/>
    <w:rsid w:val="001029F6"/>
    <w:rsid w:val="00102EAF"/>
    <w:rsid w:val="00103CAC"/>
    <w:rsid w:val="0010625A"/>
    <w:rsid w:val="001063B8"/>
    <w:rsid w:val="00106564"/>
    <w:rsid w:val="001102B0"/>
    <w:rsid w:val="001112E9"/>
    <w:rsid w:val="00111794"/>
    <w:rsid w:val="00112AAD"/>
    <w:rsid w:val="001131E1"/>
    <w:rsid w:val="00115822"/>
    <w:rsid w:val="00116B06"/>
    <w:rsid w:val="00116C6B"/>
    <w:rsid w:val="00117926"/>
    <w:rsid w:val="00117C14"/>
    <w:rsid w:val="00120BC9"/>
    <w:rsid w:val="00121839"/>
    <w:rsid w:val="00123938"/>
    <w:rsid w:val="00124D02"/>
    <w:rsid w:val="00125457"/>
    <w:rsid w:val="001267C9"/>
    <w:rsid w:val="001323A4"/>
    <w:rsid w:val="00134313"/>
    <w:rsid w:val="00134488"/>
    <w:rsid w:val="0013477B"/>
    <w:rsid w:val="0013547E"/>
    <w:rsid w:val="0013588D"/>
    <w:rsid w:val="0013713A"/>
    <w:rsid w:val="001373BD"/>
    <w:rsid w:val="00137E02"/>
    <w:rsid w:val="00141DCD"/>
    <w:rsid w:val="00143186"/>
    <w:rsid w:val="001437D9"/>
    <w:rsid w:val="00144BDA"/>
    <w:rsid w:val="0014755E"/>
    <w:rsid w:val="00147A17"/>
    <w:rsid w:val="00147D6A"/>
    <w:rsid w:val="00150C7E"/>
    <w:rsid w:val="001513F8"/>
    <w:rsid w:val="0015171D"/>
    <w:rsid w:val="0015262F"/>
    <w:rsid w:val="00152B53"/>
    <w:rsid w:val="00153D7B"/>
    <w:rsid w:val="00155622"/>
    <w:rsid w:val="00155840"/>
    <w:rsid w:val="00156986"/>
    <w:rsid w:val="0015765F"/>
    <w:rsid w:val="0015786D"/>
    <w:rsid w:val="00160E15"/>
    <w:rsid w:val="001623B2"/>
    <w:rsid w:val="00163782"/>
    <w:rsid w:val="00163EC9"/>
    <w:rsid w:val="00163EDC"/>
    <w:rsid w:val="00165314"/>
    <w:rsid w:val="00167632"/>
    <w:rsid w:val="001704F5"/>
    <w:rsid w:val="0017078C"/>
    <w:rsid w:val="00171AF7"/>
    <w:rsid w:val="001734D2"/>
    <w:rsid w:val="00173E7A"/>
    <w:rsid w:val="001741A8"/>
    <w:rsid w:val="00176256"/>
    <w:rsid w:val="0017670E"/>
    <w:rsid w:val="00180C5A"/>
    <w:rsid w:val="00181213"/>
    <w:rsid w:val="00181CAF"/>
    <w:rsid w:val="0018263E"/>
    <w:rsid w:val="00182653"/>
    <w:rsid w:val="001858E1"/>
    <w:rsid w:val="00185C25"/>
    <w:rsid w:val="0019043F"/>
    <w:rsid w:val="0019226B"/>
    <w:rsid w:val="00192AF8"/>
    <w:rsid w:val="00192C01"/>
    <w:rsid w:val="00192CE0"/>
    <w:rsid w:val="00193C59"/>
    <w:rsid w:val="00195D48"/>
    <w:rsid w:val="0019696A"/>
    <w:rsid w:val="00196B77"/>
    <w:rsid w:val="001974C1"/>
    <w:rsid w:val="00197DBE"/>
    <w:rsid w:val="001A0F2F"/>
    <w:rsid w:val="001A26C7"/>
    <w:rsid w:val="001A3931"/>
    <w:rsid w:val="001A49C1"/>
    <w:rsid w:val="001A5F9E"/>
    <w:rsid w:val="001A6568"/>
    <w:rsid w:val="001A670A"/>
    <w:rsid w:val="001A6817"/>
    <w:rsid w:val="001B170A"/>
    <w:rsid w:val="001B38D4"/>
    <w:rsid w:val="001B55BD"/>
    <w:rsid w:val="001B7B5C"/>
    <w:rsid w:val="001C0CD4"/>
    <w:rsid w:val="001C0F8D"/>
    <w:rsid w:val="001C1E2F"/>
    <w:rsid w:val="001C1E53"/>
    <w:rsid w:val="001C1FCB"/>
    <w:rsid w:val="001C2A4C"/>
    <w:rsid w:val="001C2CFB"/>
    <w:rsid w:val="001C35AE"/>
    <w:rsid w:val="001C41A5"/>
    <w:rsid w:val="001C4F60"/>
    <w:rsid w:val="001C69EC"/>
    <w:rsid w:val="001C74CD"/>
    <w:rsid w:val="001C768D"/>
    <w:rsid w:val="001C7A30"/>
    <w:rsid w:val="001D1841"/>
    <w:rsid w:val="001D29B1"/>
    <w:rsid w:val="001D3E37"/>
    <w:rsid w:val="001D500E"/>
    <w:rsid w:val="001D54C9"/>
    <w:rsid w:val="001D5742"/>
    <w:rsid w:val="001D6A18"/>
    <w:rsid w:val="001D7736"/>
    <w:rsid w:val="001E0916"/>
    <w:rsid w:val="001E1CEF"/>
    <w:rsid w:val="001E2084"/>
    <w:rsid w:val="001E2F83"/>
    <w:rsid w:val="001E3321"/>
    <w:rsid w:val="001E3B89"/>
    <w:rsid w:val="001E4A8C"/>
    <w:rsid w:val="001E735C"/>
    <w:rsid w:val="001E7FD6"/>
    <w:rsid w:val="001F022D"/>
    <w:rsid w:val="001F15C3"/>
    <w:rsid w:val="001F2B11"/>
    <w:rsid w:val="001F408A"/>
    <w:rsid w:val="001F4ADD"/>
    <w:rsid w:val="001F554E"/>
    <w:rsid w:val="001F5D83"/>
    <w:rsid w:val="001F6209"/>
    <w:rsid w:val="001F6E27"/>
    <w:rsid w:val="001F78CC"/>
    <w:rsid w:val="0020016B"/>
    <w:rsid w:val="0020067E"/>
    <w:rsid w:val="0020287A"/>
    <w:rsid w:val="002031E6"/>
    <w:rsid w:val="002032BE"/>
    <w:rsid w:val="00204630"/>
    <w:rsid w:val="00204C66"/>
    <w:rsid w:val="00205ECE"/>
    <w:rsid w:val="002120CC"/>
    <w:rsid w:val="00212DAC"/>
    <w:rsid w:val="0021505B"/>
    <w:rsid w:val="00215FB6"/>
    <w:rsid w:val="002167C2"/>
    <w:rsid w:val="00217726"/>
    <w:rsid w:val="00217EDB"/>
    <w:rsid w:val="00221589"/>
    <w:rsid w:val="0022160A"/>
    <w:rsid w:val="00221779"/>
    <w:rsid w:val="00221B8D"/>
    <w:rsid w:val="00224C15"/>
    <w:rsid w:val="00225D26"/>
    <w:rsid w:val="00230086"/>
    <w:rsid w:val="00231961"/>
    <w:rsid w:val="00231C20"/>
    <w:rsid w:val="002324B7"/>
    <w:rsid w:val="00234274"/>
    <w:rsid w:val="002358B8"/>
    <w:rsid w:val="00236513"/>
    <w:rsid w:val="00237760"/>
    <w:rsid w:val="002415EA"/>
    <w:rsid w:val="0024283D"/>
    <w:rsid w:val="00243563"/>
    <w:rsid w:val="00243757"/>
    <w:rsid w:val="00244B59"/>
    <w:rsid w:val="00244DD4"/>
    <w:rsid w:val="00245CBD"/>
    <w:rsid w:val="002478FF"/>
    <w:rsid w:val="002509DD"/>
    <w:rsid w:val="00250FC2"/>
    <w:rsid w:val="002518DB"/>
    <w:rsid w:val="0025203B"/>
    <w:rsid w:val="00252366"/>
    <w:rsid w:val="002524F1"/>
    <w:rsid w:val="00252CD8"/>
    <w:rsid w:val="002547F9"/>
    <w:rsid w:val="002569C8"/>
    <w:rsid w:val="00257C1E"/>
    <w:rsid w:val="00257F3C"/>
    <w:rsid w:val="00260080"/>
    <w:rsid w:val="0026011D"/>
    <w:rsid w:val="00260BEB"/>
    <w:rsid w:val="00260E9E"/>
    <w:rsid w:val="0026320B"/>
    <w:rsid w:val="00264452"/>
    <w:rsid w:val="00265590"/>
    <w:rsid w:val="00265DF3"/>
    <w:rsid w:val="0027095C"/>
    <w:rsid w:val="0027247F"/>
    <w:rsid w:val="00272B9B"/>
    <w:rsid w:val="00273ABE"/>
    <w:rsid w:val="00273DAD"/>
    <w:rsid w:val="00274890"/>
    <w:rsid w:val="00275DAF"/>
    <w:rsid w:val="002809D2"/>
    <w:rsid w:val="002821A6"/>
    <w:rsid w:val="002824FB"/>
    <w:rsid w:val="002829DB"/>
    <w:rsid w:val="0028505A"/>
    <w:rsid w:val="002851A5"/>
    <w:rsid w:val="00285334"/>
    <w:rsid w:val="00285CA1"/>
    <w:rsid w:val="00286204"/>
    <w:rsid w:val="00286984"/>
    <w:rsid w:val="00287D15"/>
    <w:rsid w:val="002905E3"/>
    <w:rsid w:val="002906F5"/>
    <w:rsid w:val="002911FC"/>
    <w:rsid w:val="00291363"/>
    <w:rsid w:val="0029273F"/>
    <w:rsid w:val="00292FF4"/>
    <w:rsid w:val="002935F2"/>
    <w:rsid w:val="00293E3B"/>
    <w:rsid w:val="0029440C"/>
    <w:rsid w:val="002947D4"/>
    <w:rsid w:val="00294A10"/>
    <w:rsid w:val="00295422"/>
    <w:rsid w:val="00296D28"/>
    <w:rsid w:val="002A2983"/>
    <w:rsid w:val="002A2D10"/>
    <w:rsid w:val="002A2F2A"/>
    <w:rsid w:val="002A4B17"/>
    <w:rsid w:val="002A4CFF"/>
    <w:rsid w:val="002A5AFB"/>
    <w:rsid w:val="002A6824"/>
    <w:rsid w:val="002A6CCA"/>
    <w:rsid w:val="002A7B6A"/>
    <w:rsid w:val="002B0480"/>
    <w:rsid w:val="002B24ED"/>
    <w:rsid w:val="002B3B90"/>
    <w:rsid w:val="002B4A98"/>
    <w:rsid w:val="002B6177"/>
    <w:rsid w:val="002B6D94"/>
    <w:rsid w:val="002B7593"/>
    <w:rsid w:val="002B7E2B"/>
    <w:rsid w:val="002C19CA"/>
    <w:rsid w:val="002C1FF9"/>
    <w:rsid w:val="002C2905"/>
    <w:rsid w:val="002C5602"/>
    <w:rsid w:val="002C562F"/>
    <w:rsid w:val="002C5FF4"/>
    <w:rsid w:val="002C61DE"/>
    <w:rsid w:val="002C6390"/>
    <w:rsid w:val="002C66E7"/>
    <w:rsid w:val="002D048D"/>
    <w:rsid w:val="002D0BA1"/>
    <w:rsid w:val="002D1F17"/>
    <w:rsid w:val="002D36BA"/>
    <w:rsid w:val="002D375B"/>
    <w:rsid w:val="002D3862"/>
    <w:rsid w:val="002D63F2"/>
    <w:rsid w:val="002D65B9"/>
    <w:rsid w:val="002D778B"/>
    <w:rsid w:val="002E0B43"/>
    <w:rsid w:val="002E3FA5"/>
    <w:rsid w:val="002E4764"/>
    <w:rsid w:val="002E5FB0"/>
    <w:rsid w:val="002E65E0"/>
    <w:rsid w:val="002E70C9"/>
    <w:rsid w:val="002E75DB"/>
    <w:rsid w:val="002F0388"/>
    <w:rsid w:val="002F0DF3"/>
    <w:rsid w:val="002F1049"/>
    <w:rsid w:val="002F1154"/>
    <w:rsid w:val="002F133D"/>
    <w:rsid w:val="002F1706"/>
    <w:rsid w:val="002F1DE3"/>
    <w:rsid w:val="002F2904"/>
    <w:rsid w:val="002F2AA5"/>
    <w:rsid w:val="002F3528"/>
    <w:rsid w:val="002F36E6"/>
    <w:rsid w:val="002F37BF"/>
    <w:rsid w:val="002F4466"/>
    <w:rsid w:val="002F7D3F"/>
    <w:rsid w:val="002F7E97"/>
    <w:rsid w:val="00302572"/>
    <w:rsid w:val="00302F1E"/>
    <w:rsid w:val="0030439B"/>
    <w:rsid w:val="0030491C"/>
    <w:rsid w:val="00304BB1"/>
    <w:rsid w:val="00305E5E"/>
    <w:rsid w:val="00305F5D"/>
    <w:rsid w:val="00307A2B"/>
    <w:rsid w:val="00307EE1"/>
    <w:rsid w:val="00307FE4"/>
    <w:rsid w:val="003102E0"/>
    <w:rsid w:val="00310E4D"/>
    <w:rsid w:val="00312428"/>
    <w:rsid w:val="003146B2"/>
    <w:rsid w:val="00315D74"/>
    <w:rsid w:val="00317073"/>
    <w:rsid w:val="003209AB"/>
    <w:rsid w:val="003216DB"/>
    <w:rsid w:val="0032228C"/>
    <w:rsid w:val="003223D6"/>
    <w:rsid w:val="00322974"/>
    <w:rsid w:val="003233A7"/>
    <w:rsid w:val="003276A8"/>
    <w:rsid w:val="003327C2"/>
    <w:rsid w:val="00334119"/>
    <w:rsid w:val="00334421"/>
    <w:rsid w:val="00334BBB"/>
    <w:rsid w:val="0033582B"/>
    <w:rsid w:val="00335FBC"/>
    <w:rsid w:val="003371D2"/>
    <w:rsid w:val="0034008E"/>
    <w:rsid w:val="003405F7"/>
    <w:rsid w:val="00340974"/>
    <w:rsid w:val="00340D59"/>
    <w:rsid w:val="00342218"/>
    <w:rsid w:val="0034684A"/>
    <w:rsid w:val="00346F54"/>
    <w:rsid w:val="003472B7"/>
    <w:rsid w:val="00347F99"/>
    <w:rsid w:val="00351321"/>
    <w:rsid w:val="0035158A"/>
    <w:rsid w:val="00351C1F"/>
    <w:rsid w:val="0035385E"/>
    <w:rsid w:val="003543B8"/>
    <w:rsid w:val="00354414"/>
    <w:rsid w:val="00354768"/>
    <w:rsid w:val="00354EB4"/>
    <w:rsid w:val="00354FA3"/>
    <w:rsid w:val="00362A48"/>
    <w:rsid w:val="00363325"/>
    <w:rsid w:val="003636DC"/>
    <w:rsid w:val="003637B2"/>
    <w:rsid w:val="00364E5F"/>
    <w:rsid w:val="00365257"/>
    <w:rsid w:val="0036599F"/>
    <w:rsid w:val="003664C7"/>
    <w:rsid w:val="00370713"/>
    <w:rsid w:val="00372185"/>
    <w:rsid w:val="003742C0"/>
    <w:rsid w:val="00375041"/>
    <w:rsid w:val="00375232"/>
    <w:rsid w:val="00376C15"/>
    <w:rsid w:val="00376FA0"/>
    <w:rsid w:val="003771D5"/>
    <w:rsid w:val="0037749E"/>
    <w:rsid w:val="003779B2"/>
    <w:rsid w:val="00377F29"/>
    <w:rsid w:val="00380475"/>
    <w:rsid w:val="00382A9D"/>
    <w:rsid w:val="00384C7C"/>
    <w:rsid w:val="003864EF"/>
    <w:rsid w:val="00387F29"/>
    <w:rsid w:val="003908DC"/>
    <w:rsid w:val="00391515"/>
    <w:rsid w:val="00391BA7"/>
    <w:rsid w:val="0039204F"/>
    <w:rsid w:val="00392A33"/>
    <w:rsid w:val="00393CE3"/>
    <w:rsid w:val="00395A43"/>
    <w:rsid w:val="00397E30"/>
    <w:rsid w:val="003A000A"/>
    <w:rsid w:val="003A01DF"/>
    <w:rsid w:val="003A0895"/>
    <w:rsid w:val="003A0E3C"/>
    <w:rsid w:val="003A136B"/>
    <w:rsid w:val="003A263E"/>
    <w:rsid w:val="003A55E8"/>
    <w:rsid w:val="003A5DB3"/>
    <w:rsid w:val="003A753A"/>
    <w:rsid w:val="003B0AEB"/>
    <w:rsid w:val="003B1D2A"/>
    <w:rsid w:val="003B2DCB"/>
    <w:rsid w:val="003B3306"/>
    <w:rsid w:val="003B498C"/>
    <w:rsid w:val="003B5C1C"/>
    <w:rsid w:val="003B5EF5"/>
    <w:rsid w:val="003C035D"/>
    <w:rsid w:val="003C3474"/>
    <w:rsid w:val="003C77A0"/>
    <w:rsid w:val="003C7E7A"/>
    <w:rsid w:val="003D120A"/>
    <w:rsid w:val="003D29BF"/>
    <w:rsid w:val="003D3024"/>
    <w:rsid w:val="003D3153"/>
    <w:rsid w:val="003D5304"/>
    <w:rsid w:val="003D542F"/>
    <w:rsid w:val="003D6EC7"/>
    <w:rsid w:val="003D6EF8"/>
    <w:rsid w:val="003D7146"/>
    <w:rsid w:val="003E037B"/>
    <w:rsid w:val="003E0F07"/>
    <w:rsid w:val="003E22A9"/>
    <w:rsid w:val="003E2881"/>
    <w:rsid w:val="003E31CB"/>
    <w:rsid w:val="003E4560"/>
    <w:rsid w:val="003E5639"/>
    <w:rsid w:val="003E5BB2"/>
    <w:rsid w:val="003E5BE0"/>
    <w:rsid w:val="003E7A16"/>
    <w:rsid w:val="003F152E"/>
    <w:rsid w:val="003F56AF"/>
    <w:rsid w:val="003F5A85"/>
    <w:rsid w:val="003F72A9"/>
    <w:rsid w:val="003F79E2"/>
    <w:rsid w:val="00400261"/>
    <w:rsid w:val="00402430"/>
    <w:rsid w:val="00403B32"/>
    <w:rsid w:val="004040D4"/>
    <w:rsid w:val="0040420F"/>
    <w:rsid w:val="0040544B"/>
    <w:rsid w:val="00410BD6"/>
    <w:rsid w:val="00410CB0"/>
    <w:rsid w:val="0041106B"/>
    <w:rsid w:val="00412A33"/>
    <w:rsid w:val="00413A35"/>
    <w:rsid w:val="00413A98"/>
    <w:rsid w:val="00416666"/>
    <w:rsid w:val="0041741E"/>
    <w:rsid w:val="00417D1A"/>
    <w:rsid w:val="00417DA1"/>
    <w:rsid w:val="0042212E"/>
    <w:rsid w:val="00422E2D"/>
    <w:rsid w:val="00424028"/>
    <w:rsid w:val="00424438"/>
    <w:rsid w:val="00425197"/>
    <w:rsid w:val="004256AA"/>
    <w:rsid w:val="00426146"/>
    <w:rsid w:val="00426517"/>
    <w:rsid w:val="00427B6B"/>
    <w:rsid w:val="004302E9"/>
    <w:rsid w:val="00430302"/>
    <w:rsid w:val="004324B4"/>
    <w:rsid w:val="0043251F"/>
    <w:rsid w:val="00433669"/>
    <w:rsid w:val="00433731"/>
    <w:rsid w:val="0043379D"/>
    <w:rsid w:val="00434518"/>
    <w:rsid w:val="004353D5"/>
    <w:rsid w:val="00435AB8"/>
    <w:rsid w:val="00435B08"/>
    <w:rsid w:val="00435DE8"/>
    <w:rsid w:val="004377AE"/>
    <w:rsid w:val="00440AD0"/>
    <w:rsid w:val="004417EC"/>
    <w:rsid w:val="00443842"/>
    <w:rsid w:val="00444341"/>
    <w:rsid w:val="00444A4C"/>
    <w:rsid w:val="00444B93"/>
    <w:rsid w:val="00444BCA"/>
    <w:rsid w:val="00445CE9"/>
    <w:rsid w:val="004503FB"/>
    <w:rsid w:val="004506A3"/>
    <w:rsid w:val="00451349"/>
    <w:rsid w:val="004513E9"/>
    <w:rsid w:val="00451F5E"/>
    <w:rsid w:val="004527D4"/>
    <w:rsid w:val="00457D26"/>
    <w:rsid w:val="004615FD"/>
    <w:rsid w:val="00462D5A"/>
    <w:rsid w:val="0046354E"/>
    <w:rsid w:val="00465043"/>
    <w:rsid w:val="0046517A"/>
    <w:rsid w:val="004663CA"/>
    <w:rsid w:val="00466880"/>
    <w:rsid w:val="00466AC2"/>
    <w:rsid w:val="00467103"/>
    <w:rsid w:val="00473AE7"/>
    <w:rsid w:val="00475023"/>
    <w:rsid w:val="00475459"/>
    <w:rsid w:val="00475FE0"/>
    <w:rsid w:val="0047627B"/>
    <w:rsid w:val="00477D36"/>
    <w:rsid w:val="004810CC"/>
    <w:rsid w:val="00481120"/>
    <w:rsid w:val="00481458"/>
    <w:rsid w:val="004817C8"/>
    <w:rsid w:val="00481A1A"/>
    <w:rsid w:val="004820FE"/>
    <w:rsid w:val="004826B7"/>
    <w:rsid w:val="0048361F"/>
    <w:rsid w:val="004837CB"/>
    <w:rsid w:val="0048673E"/>
    <w:rsid w:val="0048749C"/>
    <w:rsid w:val="00490DDC"/>
    <w:rsid w:val="00492CD0"/>
    <w:rsid w:val="0049325F"/>
    <w:rsid w:val="00497D12"/>
    <w:rsid w:val="004A0539"/>
    <w:rsid w:val="004A0AEB"/>
    <w:rsid w:val="004A1C20"/>
    <w:rsid w:val="004A2BA2"/>
    <w:rsid w:val="004A3093"/>
    <w:rsid w:val="004A3292"/>
    <w:rsid w:val="004A3872"/>
    <w:rsid w:val="004A41F4"/>
    <w:rsid w:val="004A5991"/>
    <w:rsid w:val="004A6B6D"/>
    <w:rsid w:val="004B1439"/>
    <w:rsid w:val="004B1BC8"/>
    <w:rsid w:val="004B3530"/>
    <w:rsid w:val="004B4255"/>
    <w:rsid w:val="004B5DF7"/>
    <w:rsid w:val="004C0C7C"/>
    <w:rsid w:val="004C0D92"/>
    <w:rsid w:val="004C0ED3"/>
    <w:rsid w:val="004C17DF"/>
    <w:rsid w:val="004C1A9C"/>
    <w:rsid w:val="004C5438"/>
    <w:rsid w:val="004C5721"/>
    <w:rsid w:val="004C5975"/>
    <w:rsid w:val="004C68B2"/>
    <w:rsid w:val="004C6ADC"/>
    <w:rsid w:val="004D11BC"/>
    <w:rsid w:val="004D1802"/>
    <w:rsid w:val="004D2085"/>
    <w:rsid w:val="004D20CF"/>
    <w:rsid w:val="004D2741"/>
    <w:rsid w:val="004D41B2"/>
    <w:rsid w:val="004D58DC"/>
    <w:rsid w:val="004D5E5D"/>
    <w:rsid w:val="004D674E"/>
    <w:rsid w:val="004D6E55"/>
    <w:rsid w:val="004E1249"/>
    <w:rsid w:val="004E19E2"/>
    <w:rsid w:val="004E2CD4"/>
    <w:rsid w:val="004E3D11"/>
    <w:rsid w:val="004E59F9"/>
    <w:rsid w:val="004E5EC9"/>
    <w:rsid w:val="004E61BE"/>
    <w:rsid w:val="004F190E"/>
    <w:rsid w:val="004F1B73"/>
    <w:rsid w:val="004F1E52"/>
    <w:rsid w:val="004F277C"/>
    <w:rsid w:val="004F30FB"/>
    <w:rsid w:val="004F4039"/>
    <w:rsid w:val="004F5871"/>
    <w:rsid w:val="0050024F"/>
    <w:rsid w:val="005002A8"/>
    <w:rsid w:val="00500975"/>
    <w:rsid w:val="00503FC1"/>
    <w:rsid w:val="00504EE3"/>
    <w:rsid w:val="00507181"/>
    <w:rsid w:val="00507607"/>
    <w:rsid w:val="0051107C"/>
    <w:rsid w:val="005118C3"/>
    <w:rsid w:val="00512DC8"/>
    <w:rsid w:val="0052011D"/>
    <w:rsid w:val="00520138"/>
    <w:rsid w:val="00521D3D"/>
    <w:rsid w:val="00522C65"/>
    <w:rsid w:val="0052504F"/>
    <w:rsid w:val="00526026"/>
    <w:rsid w:val="00527130"/>
    <w:rsid w:val="00530511"/>
    <w:rsid w:val="0053081F"/>
    <w:rsid w:val="005317F2"/>
    <w:rsid w:val="005338DC"/>
    <w:rsid w:val="005348CB"/>
    <w:rsid w:val="00536E1C"/>
    <w:rsid w:val="00537996"/>
    <w:rsid w:val="00537FBD"/>
    <w:rsid w:val="00540D1A"/>
    <w:rsid w:val="00541072"/>
    <w:rsid w:val="00541608"/>
    <w:rsid w:val="0054177C"/>
    <w:rsid w:val="00542905"/>
    <w:rsid w:val="0054337E"/>
    <w:rsid w:val="005448CA"/>
    <w:rsid w:val="00545FC4"/>
    <w:rsid w:val="005470B0"/>
    <w:rsid w:val="00547C7A"/>
    <w:rsid w:val="00552F0B"/>
    <w:rsid w:val="0055315D"/>
    <w:rsid w:val="00553764"/>
    <w:rsid w:val="005550C4"/>
    <w:rsid w:val="00555FB5"/>
    <w:rsid w:val="00556DED"/>
    <w:rsid w:val="0056071E"/>
    <w:rsid w:val="00561F41"/>
    <w:rsid w:val="0056279C"/>
    <w:rsid w:val="00564068"/>
    <w:rsid w:val="0056434A"/>
    <w:rsid w:val="00566CB6"/>
    <w:rsid w:val="005675B6"/>
    <w:rsid w:val="0056761D"/>
    <w:rsid w:val="00567D08"/>
    <w:rsid w:val="0057151F"/>
    <w:rsid w:val="00571966"/>
    <w:rsid w:val="00572D70"/>
    <w:rsid w:val="0057389A"/>
    <w:rsid w:val="0057398C"/>
    <w:rsid w:val="00574AA0"/>
    <w:rsid w:val="005750F0"/>
    <w:rsid w:val="005806DD"/>
    <w:rsid w:val="00581DED"/>
    <w:rsid w:val="00582D69"/>
    <w:rsid w:val="00583C40"/>
    <w:rsid w:val="00584AC4"/>
    <w:rsid w:val="00585E1E"/>
    <w:rsid w:val="005861D6"/>
    <w:rsid w:val="00586EE5"/>
    <w:rsid w:val="005878E2"/>
    <w:rsid w:val="00593122"/>
    <w:rsid w:val="00597E7E"/>
    <w:rsid w:val="005A04DF"/>
    <w:rsid w:val="005A0575"/>
    <w:rsid w:val="005A165A"/>
    <w:rsid w:val="005A1FBD"/>
    <w:rsid w:val="005A3391"/>
    <w:rsid w:val="005A64D9"/>
    <w:rsid w:val="005A66D6"/>
    <w:rsid w:val="005A6CC9"/>
    <w:rsid w:val="005A72AE"/>
    <w:rsid w:val="005A7F5C"/>
    <w:rsid w:val="005B05D5"/>
    <w:rsid w:val="005B21A1"/>
    <w:rsid w:val="005B227E"/>
    <w:rsid w:val="005B4819"/>
    <w:rsid w:val="005B48B8"/>
    <w:rsid w:val="005B6288"/>
    <w:rsid w:val="005B643A"/>
    <w:rsid w:val="005B6CAB"/>
    <w:rsid w:val="005B6F31"/>
    <w:rsid w:val="005B7374"/>
    <w:rsid w:val="005C13D7"/>
    <w:rsid w:val="005C1BA2"/>
    <w:rsid w:val="005C1D4E"/>
    <w:rsid w:val="005C3C86"/>
    <w:rsid w:val="005C6E2D"/>
    <w:rsid w:val="005C7122"/>
    <w:rsid w:val="005D0BCF"/>
    <w:rsid w:val="005D1D5D"/>
    <w:rsid w:val="005D21E3"/>
    <w:rsid w:val="005D282E"/>
    <w:rsid w:val="005D2891"/>
    <w:rsid w:val="005D4DF8"/>
    <w:rsid w:val="005D57F4"/>
    <w:rsid w:val="005D6F41"/>
    <w:rsid w:val="005E1801"/>
    <w:rsid w:val="005E1DF9"/>
    <w:rsid w:val="005E2524"/>
    <w:rsid w:val="005E3D4A"/>
    <w:rsid w:val="005E3DB1"/>
    <w:rsid w:val="005E6CCE"/>
    <w:rsid w:val="005F35EF"/>
    <w:rsid w:val="005F3793"/>
    <w:rsid w:val="005F3F6F"/>
    <w:rsid w:val="005F53BD"/>
    <w:rsid w:val="005F6806"/>
    <w:rsid w:val="005F6D57"/>
    <w:rsid w:val="005F6D97"/>
    <w:rsid w:val="00600FBA"/>
    <w:rsid w:val="006014EA"/>
    <w:rsid w:val="00603E4B"/>
    <w:rsid w:val="00607749"/>
    <w:rsid w:val="00611F49"/>
    <w:rsid w:val="0061340B"/>
    <w:rsid w:val="00613CE7"/>
    <w:rsid w:val="006148C3"/>
    <w:rsid w:val="0061503D"/>
    <w:rsid w:val="0061572C"/>
    <w:rsid w:val="00615A07"/>
    <w:rsid w:val="00616073"/>
    <w:rsid w:val="00616C05"/>
    <w:rsid w:val="006173E4"/>
    <w:rsid w:val="0061744D"/>
    <w:rsid w:val="006178FB"/>
    <w:rsid w:val="00620A53"/>
    <w:rsid w:val="00623486"/>
    <w:rsid w:val="0062383A"/>
    <w:rsid w:val="00626B50"/>
    <w:rsid w:val="00630256"/>
    <w:rsid w:val="006307B6"/>
    <w:rsid w:val="00630FA3"/>
    <w:rsid w:val="006343E3"/>
    <w:rsid w:val="00634482"/>
    <w:rsid w:val="00635354"/>
    <w:rsid w:val="00636F7D"/>
    <w:rsid w:val="00641060"/>
    <w:rsid w:val="006411D8"/>
    <w:rsid w:val="00641F50"/>
    <w:rsid w:val="006422E4"/>
    <w:rsid w:val="00642BA9"/>
    <w:rsid w:val="006433BE"/>
    <w:rsid w:val="00645412"/>
    <w:rsid w:val="0064753B"/>
    <w:rsid w:val="0064796C"/>
    <w:rsid w:val="0065020A"/>
    <w:rsid w:val="0065068C"/>
    <w:rsid w:val="0065198D"/>
    <w:rsid w:val="006519D0"/>
    <w:rsid w:val="0065373E"/>
    <w:rsid w:val="00654CC9"/>
    <w:rsid w:val="006558AF"/>
    <w:rsid w:val="00656C9E"/>
    <w:rsid w:val="00657221"/>
    <w:rsid w:val="00662092"/>
    <w:rsid w:val="006630EC"/>
    <w:rsid w:val="006643B3"/>
    <w:rsid w:val="00664F7A"/>
    <w:rsid w:val="006650B0"/>
    <w:rsid w:val="00665211"/>
    <w:rsid w:val="006653CB"/>
    <w:rsid w:val="00666A2E"/>
    <w:rsid w:val="006725E6"/>
    <w:rsid w:val="00672696"/>
    <w:rsid w:val="00673309"/>
    <w:rsid w:val="00677F78"/>
    <w:rsid w:val="0068035F"/>
    <w:rsid w:val="00680C35"/>
    <w:rsid w:val="00681292"/>
    <w:rsid w:val="00682D70"/>
    <w:rsid w:val="006841F1"/>
    <w:rsid w:val="00686B9B"/>
    <w:rsid w:val="00687A10"/>
    <w:rsid w:val="0069204D"/>
    <w:rsid w:val="00692B3C"/>
    <w:rsid w:val="00692FE4"/>
    <w:rsid w:val="00693739"/>
    <w:rsid w:val="00693FEA"/>
    <w:rsid w:val="00695595"/>
    <w:rsid w:val="006961A9"/>
    <w:rsid w:val="006A061B"/>
    <w:rsid w:val="006A06EC"/>
    <w:rsid w:val="006A1202"/>
    <w:rsid w:val="006A2396"/>
    <w:rsid w:val="006A2C58"/>
    <w:rsid w:val="006A2CFF"/>
    <w:rsid w:val="006A3903"/>
    <w:rsid w:val="006A4600"/>
    <w:rsid w:val="006B0545"/>
    <w:rsid w:val="006B09C8"/>
    <w:rsid w:val="006B0C95"/>
    <w:rsid w:val="006B16B3"/>
    <w:rsid w:val="006B5F1D"/>
    <w:rsid w:val="006B6D53"/>
    <w:rsid w:val="006B7127"/>
    <w:rsid w:val="006C54DF"/>
    <w:rsid w:val="006C686A"/>
    <w:rsid w:val="006C72C7"/>
    <w:rsid w:val="006D1265"/>
    <w:rsid w:val="006D4D76"/>
    <w:rsid w:val="006E0288"/>
    <w:rsid w:val="006E0BC3"/>
    <w:rsid w:val="006E1643"/>
    <w:rsid w:val="006E25D0"/>
    <w:rsid w:val="006E2A79"/>
    <w:rsid w:val="006E2D9E"/>
    <w:rsid w:val="006E6043"/>
    <w:rsid w:val="006E67BD"/>
    <w:rsid w:val="006E6B3A"/>
    <w:rsid w:val="006E759D"/>
    <w:rsid w:val="006E7939"/>
    <w:rsid w:val="006F02A2"/>
    <w:rsid w:val="006F046F"/>
    <w:rsid w:val="006F047B"/>
    <w:rsid w:val="006F0D04"/>
    <w:rsid w:val="006F11F3"/>
    <w:rsid w:val="006F1A39"/>
    <w:rsid w:val="006F42AE"/>
    <w:rsid w:val="006F6008"/>
    <w:rsid w:val="006F6161"/>
    <w:rsid w:val="006F644A"/>
    <w:rsid w:val="006F6808"/>
    <w:rsid w:val="006F720C"/>
    <w:rsid w:val="006F767A"/>
    <w:rsid w:val="0070028E"/>
    <w:rsid w:val="00702058"/>
    <w:rsid w:val="007023A1"/>
    <w:rsid w:val="0070262B"/>
    <w:rsid w:val="00702F2F"/>
    <w:rsid w:val="0070338B"/>
    <w:rsid w:val="007040C9"/>
    <w:rsid w:val="00705242"/>
    <w:rsid w:val="007057DC"/>
    <w:rsid w:val="00705FD0"/>
    <w:rsid w:val="0070760B"/>
    <w:rsid w:val="00707A96"/>
    <w:rsid w:val="0071033E"/>
    <w:rsid w:val="00713029"/>
    <w:rsid w:val="00714155"/>
    <w:rsid w:val="0071551F"/>
    <w:rsid w:val="007157E4"/>
    <w:rsid w:val="00715F30"/>
    <w:rsid w:val="00716E75"/>
    <w:rsid w:val="00717EB9"/>
    <w:rsid w:val="00722A5C"/>
    <w:rsid w:val="0072395F"/>
    <w:rsid w:val="00724061"/>
    <w:rsid w:val="00724EE3"/>
    <w:rsid w:val="00733818"/>
    <w:rsid w:val="00734E57"/>
    <w:rsid w:val="0073713D"/>
    <w:rsid w:val="00737192"/>
    <w:rsid w:val="007371E4"/>
    <w:rsid w:val="00737830"/>
    <w:rsid w:val="0074091F"/>
    <w:rsid w:val="00742006"/>
    <w:rsid w:val="00742F0F"/>
    <w:rsid w:val="0074458B"/>
    <w:rsid w:val="00744B6E"/>
    <w:rsid w:val="00744D73"/>
    <w:rsid w:val="00745654"/>
    <w:rsid w:val="00745BEC"/>
    <w:rsid w:val="00745D39"/>
    <w:rsid w:val="00746371"/>
    <w:rsid w:val="007464EF"/>
    <w:rsid w:val="007478DF"/>
    <w:rsid w:val="007521E2"/>
    <w:rsid w:val="0075285D"/>
    <w:rsid w:val="00752E0F"/>
    <w:rsid w:val="0075348F"/>
    <w:rsid w:val="00756043"/>
    <w:rsid w:val="00756E6B"/>
    <w:rsid w:val="00757105"/>
    <w:rsid w:val="00761639"/>
    <w:rsid w:val="0076226D"/>
    <w:rsid w:val="00763A6F"/>
    <w:rsid w:val="007646B3"/>
    <w:rsid w:val="007652E5"/>
    <w:rsid w:val="0076573A"/>
    <w:rsid w:val="007660F7"/>
    <w:rsid w:val="00766FF0"/>
    <w:rsid w:val="007705D1"/>
    <w:rsid w:val="007705DE"/>
    <w:rsid w:val="00770884"/>
    <w:rsid w:val="00772B1B"/>
    <w:rsid w:val="0077428C"/>
    <w:rsid w:val="00774982"/>
    <w:rsid w:val="00774D43"/>
    <w:rsid w:val="00774DA1"/>
    <w:rsid w:val="007750B9"/>
    <w:rsid w:val="00775DE5"/>
    <w:rsid w:val="007769E2"/>
    <w:rsid w:val="007770A1"/>
    <w:rsid w:val="007771DD"/>
    <w:rsid w:val="007778B1"/>
    <w:rsid w:val="007803B4"/>
    <w:rsid w:val="00780F08"/>
    <w:rsid w:val="00781989"/>
    <w:rsid w:val="00782FC4"/>
    <w:rsid w:val="007839F5"/>
    <w:rsid w:val="00785183"/>
    <w:rsid w:val="00785245"/>
    <w:rsid w:val="00786DBC"/>
    <w:rsid w:val="007874F5"/>
    <w:rsid w:val="007902A8"/>
    <w:rsid w:val="00793594"/>
    <w:rsid w:val="00793F73"/>
    <w:rsid w:val="007971C0"/>
    <w:rsid w:val="007A059D"/>
    <w:rsid w:val="007A0F2A"/>
    <w:rsid w:val="007A17CC"/>
    <w:rsid w:val="007A1C5A"/>
    <w:rsid w:val="007A265A"/>
    <w:rsid w:val="007A3197"/>
    <w:rsid w:val="007A3B3C"/>
    <w:rsid w:val="007A56F5"/>
    <w:rsid w:val="007A5C98"/>
    <w:rsid w:val="007A5D4D"/>
    <w:rsid w:val="007A69D6"/>
    <w:rsid w:val="007A71EB"/>
    <w:rsid w:val="007A75CC"/>
    <w:rsid w:val="007B0378"/>
    <w:rsid w:val="007B0FCF"/>
    <w:rsid w:val="007B1278"/>
    <w:rsid w:val="007B14F5"/>
    <w:rsid w:val="007B1D74"/>
    <w:rsid w:val="007B49C4"/>
    <w:rsid w:val="007B4B82"/>
    <w:rsid w:val="007B4D42"/>
    <w:rsid w:val="007B7B8B"/>
    <w:rsid w:val="007C0B76"/>
    <w:rsid w:val="007C2BD7"/>
    <w:rsid w:val="007C34B0"/>
    <w:rsid w:val="007C377D"/>
    <w:rsid w:val="007C44EF"/>
    <w:rsid w:val="007C451F"/>
    <w:rsid w:val="007C53B5"/>
    <w:rsid w:val="007C58D1"/>
    <w:rsid w:val="007C704B"/>
    <w:rsid w:val="007C7525"/>
    <w:rsid w:val="007D0035"/>
    <w:rsid w:val="007D058E"/>
    <w:rsid w:val="007D069B"/>
    <w:rsid w:val="007D1A5C"/>
    <w:rsid w:val="007D45A4"/>
    <w:rsid w:val="007D4700"/>
    <w:rsid w:val="007D5385"/>
    <w:rsid w:val="007D6A04"/>
    <w:rsid w:val="007D6C97"/>
    <w:rsid w:val="007D7759"/>
    <w:rsid w:val="007D7C18"/>
    <w:rsid w:val="007E060E"/>
    <w:rsid w:val="007E1405"/>
    <w:rsid w:val="007E18D1"/>
    <w:rsid w:val="007E3132"/>
    <w:rsid w:val="007E3D6D"/>
    <w:rsid w:val="007E47D1"/>
    <w:rsid w:val="007E6F81"/>
    <w:rsid w:val="007E73DE"/>
    <w:rsid w:val="007E7E0D"/>
    <w:rsid w:val="007F15ED"/>
    <w:rsid w:val="007F21B7"/>
    <w:rsid w:val="007F6F17"/>
    <w:rsid w:val="007F71E1"/>
    <w:rsid w:val="007F7E81"/>
    <w:rsid w:val="0080125F"/>
    <w:rsid w:val="008028B5"/>
    <w:rsid w:val="00804F40"/>
    <w:rsid w:val="00805F47"/>
    <w:rsid w:val="00806E85"/>
    <w:rsid w:val="008073B8"/>
    <w:rsid w:val="00807A62"/>
    <w:rsid w:val="00807B1F"/>
    <w:rsid w:val="00810A05"/>
    <w:rsid w:val="008128DE"/>
    <w:rsid w:val="00812D48"/>
    <w:rsid w:val="0081408B"/>
    <w:rsid w:val="00814D59"/>
    <w:rsid w:val="00821CC5"/>
    <w:rsid w:val="008241D4"/>
    <w:rsid w:val="00825FBA"/>
    <w:rsid w:val="00825FC5"/>
    <w:rsid w:val="00826906"/>
    <w:rsid w:val="00826BFD"/>
    <w:rsid w:val="00827C28"/>
    <w:rsid w:val="008300CC"/>
    <w:rsid w:val="00830E40"/>
    <w:rsid w:val="00831F37"/>
    <w:rsid w:val="00832E39"/>
    <w:rsid w:val="00832F58"/>
    <w:rsid w:val="008335DB"/>
    <w:rsid w:val="0083410F"/>
    <w:rsid w:val="00834C86"/>
    <w:rsid w:val="00835782"/>
    <w:rsid w:val="008368F1"/>
    <w:rsid w:val="0083696A"/>
    <w:rsid w:val="00837824"/>
    <w:rsid w:val="008401A0"/>
    <w:rsid w:val="00841E21"/>
    <w:rsid w:val="00842E94"/>
    <w:rsid w:val="008431C0"/>
    <w:rsid w:val="00846153"/>
    <w:rsid w:val="00846268"/>
    <w:rsid w:val="008510B7"/>
    <w:rsid w:val="008519F7"/>
    <w:rsid w:val="0085319B"/>
    <w:rsid w:val="0085347B"/>
    <w:rsid w:val="00853B4A"/>
    <w:rsid w:val="00854410"/>
    <w:rsid w:val="0085472C"/>
    <w:rsid w:val="0085620F"/>
    <w:rsid w:val="0085676C"/>
    <w:rsid w:val="00861B78"/>
    <w:rsid w:val="00862259"/>
    <w:rsid w:val="008622BE"/>
    <w:rsid w:val="0086251D"/>
    <w:rsid w:val="008641CB"/>
    <w:rsid w:val="00865079"/>
    <w:rsid w:val="0086616E"/>
    <w:rsid w:val="008672B4"/>
    <w:rsid w:val="00872022"/>
    <w:rsid w:val="0087400A"/>
    <w:rsid w:val="008756FD"/>
    <w:rsid w:val="008760BB"/>
    <w:rsid w:val="00876C95"/>
    <w:rsid w:val="00877BAD"/>
    <w:rsid w:val="00881540"/>
    <w:rsid w:val="008818FD"/>
    <w:rsid w:val="0088245C"/>
    <w:rsid w:val="008827ED"/>
    <w:rsid w:val="00883CF9"/>
    <w:rsid w:val="00884026"/>
    <w:rsid w:val="0088437A"/>
    <w:rsid w:val="008850D7"/>
    <w:rsid w:val="00885737"/>
    <w:rsid w:val="0088677D"/>
    <w:rsid w:val="00886E2D"/>
    <w:rsid w:val="00886FCE"/>
    <w:rsid w:val="00887FA6"/>
    <w:rsid w:val="00890726"/>
    <w:rsid w:val="00895073"/>
    <w:rsid w:val="008958B6"/>
    <w:rsid w:val="00895DE4"/>
    <w:rsid w:val="00896359"/>
    <w:rsid w:val="00896607"/>
    <w:rsid w:val="00897538"/>
    <w:rsid w:val="008978D1"/>
    <w:rsid w:val="008A011F"/>
    <w:rsid w:val="008A0BD9"/>
    <w:rsid w:val="008A3DC7"/>
    <w:rsid w:val="008A479C"/>
    <w:rsid w:val="008A5696"/>
    <w:rsid w:val="008A68B2"/>
    <w:rsid w:val="008A78BE"/>
    <w:rsid w:val="008A7B13"/>
    <w:rsid w:val="008B0A78"/>
    <w:rsid w:val="008B1601"/>
    <w:rsid w:val="008B2A00"/>
    <w:rsid w:val="008B67BF"/>
    <w:rsid w:val="008B6BF2"/>
    <w:rsid w:val="008B7DD3"/>
    <w:rsid w:val="008C07CE"/>
    <w:rsid w:val="008C1C62"/>
    <w:rsid w:val="008C5C8A"/>
    <w:rsid w:val="008C7970"/>
    <w:rsid w:val="008C7D2E"/>
    <w:rsid w:val="008D10CE"/>
    <w:rsid w:val="008D1699"/>
    <w:rsid w:val="008D1962"/>
    <w:rsid w:val="008D2274"/>
    <w:rsid w:val="008D30A7"/>
    <w:rsid w:val="008D54C5"/>
    <w:rsid w:val="008D6753"/>
    <w:rsid w:val="008D71F4"/>
    <w:rsid w:val="008E00FC"/>
    <w:rsid w:val="008E06A5"/>
    <w:rsid w:val="008E0CDB"/>
    <w:rsid w:val="008E5A77"/>
    <w:rsid w:val="008F0400"/>
    <w:rsid w:val="008F2F4A"/>
    <w:rsid w:val="008F36FA"/>
    <w:rsid w:val="008F3C7A"/>
    <w:rsid w:val="008F3E04"/>
    <w:rsid w:val="008F40C8"/>
    <w:rsid w:val="008F4488"/>
    <w:rsid w:val="008F47D4"/>
    <w:rsid w:val="008F4CA8"/>
    <w:rsid w:val="008F5463"/>
    <w:rsid w:val="008F5643"/>
    <w:rsid w:val="008F7E19"/>
    <w:rsid w:val="008F7FD4"/>
    <w:rsid w:val="0090069C"/>
    <w:rsid w:val="00903DEF"/>
    <w:rsid w:val="00904A6A"/>
    <w:rsid w:val="00905425"/>
    <w:rsid w:val="00906748"/>
    <w:rsid w:val="00906DFE"/>
    <w:rsid w:val="0090709F"/>
    <w:rsid w:val="00910105"/>
    <w:rsid w:val="00911F3C"/>
    <w:rsid w:val="00912AD9"/>
    <w:rsid w:val="009145FE"/>
    <w:rsid w:val="0091553A"/>
    <w:rsid w:val="0091567A"/>
    <w:rsid w:val="00915C06"/>
    <w:rsid w:val="00916677"/>
    <w:rsid w:val="009166E4"/>
    <w:rsid w:val="00920C96"/>
    <w:rsid w:val="0092338F"/>
    <w:rsid w:val="00924CB2"/>
    <w:rsid w:val="00924E2A"/>
    <w:rsid w:val="00925528"/>
    <w:rsid w:val="0092673B"/>
    <w:rsid w:val="0092762F"/>
    <w:rsid w:val="00927972"/>
    <w:rsid w:val="00927EFD"/>
    <w:rsid w:val="00931CCD"/>
    <w:rsid w:val="0093293F"/>
    <w:rsid w:val="00932972"/>
    <w:rsid w:val="00933018"/>
    <w:rsid w:val="0093454A"/>
    <w:rsid w:val="00934589"/>
    <w:rsid w:val="00934D48"/>
    <w:rsid w:val="00935C0A"/>
    <w:rsid w:val="00936426"/>
    <w:rsid w:val="009426B3"/>
    <w:rsid w:val="0094285A"/>
    <w:rsid w:val="0094503C"/>
    <w:rsid w:val="00946091"/>
    <w:rsid w:val="00947504"/>
    <w:rsid w:val="0095055D"/>
    <w:rsid w:val="00951DCA"/>
    <w:rsid w:val="00951FFA"/>
    <w:rsid w:val="009527B5"/>
    <w:rsid w:val="00953AEC"/>
    <w:rsid w:val="00956035"/>
    <w:rsid w:val="00956B85"/>
    <w:rsid w:val="009573FA"/>
    <w:rsid w:val="00957517"/>
    <w:rsid w:val="00960EAE"/>
    <w:rsid w:val="00961423"/>
    <w:rsid w:val="0096355E"/>
    <w:rsid w:val="00965490"/>
    <w:rsid w:val="00966BD4"/>
    <w:rsid w:val="00967C96"/>
    <w:rsid w:val="00970B1B"/>
    <w:rsid w:val="009727B9"/>
    <w:rsid w:val="00972D95"/>
    <w:rsid w:val="00973193"/>
    <w:rsid w:val="00974B8B"/>
    <w:rsid w:val="009752F4"/>
    <w:rsid w:val="0098056B"/>
    <w:rsid w:val="0098438E"/>
    <w:rsid w:val="009848B9"/>
    <w:rsid w:val="00984DB9"/>
    <w:rsid w:val="00987C7A"/>
    <w:rsid w:val="00990BC4"/>
    <w:rsid w:val="00991243"/>
    <w:rsid w:val="0099158F"/>
    <w:rsid w:val="00992C79"/>
    <w:rsid w:val="009942E8"/>
    <w:rsid w:val="009943C9"/>
    <w:rsid w:val="009951D3"/>
    <w:rsid w:val="0099570E"/>
    <w:rsid w:val="009A121B"/>
    <w:rsid w:val="009A2365"/>
    <w:rsid w:val="009A275F"/>
    <w:rsid w:val="009A2775"/>
    <w:rsid w:val="009A2AB8"/>
    <w:rsid w:val="009A46EA"/>
    <w:rsid w:val="009A6FD5"/>
    <w:rsid w:val="009A77BA"/>
    <w:rsid w:val="009B07B2"/>
    <w:rsid w:val="009B07ED"/>
    <w:rsid w:val="009B1DA4"/>
    <w:rsid w:val="009B1EBC"/>
    <w:rsid w:val="009B1EF1"/>
    <w:rsid w:val="009B4681"/>
    <w:rsid w:val="009B4F70"/>
    <w:rsid w:val="009B554A"/>
    <w:rsid w:val="009B5848"/>
    <w:rsid w:val="009B5E25"/>
    <w:rsid w:val="009B78EE"/>
    <w:rsid w:val="009C34DF"/>
    <w:rsid w:val="009C4A0C"/>
    <w:rsid w:val="009C4BF9"/>
    <w:rsid w:val="009D220F"/>
    <w:rsid w:val="009D240B"/>
    <w:rsid w:val="009D30A5"/>
    <w:rsid w:val="009D3908"/>
    <w:rsid w:val="009D3DB1"/>
    <w:rsid w:val="009D61C8"/>
    <w:rsid w:val="009D70EE"/>
    <w:rsid w:val="009D7547"/>
    <w:rsid w:val="009D7BE4"/>
    <w:rsid w:val="009E25F8"/>
    <w:rsid w:val="009E29C3"/>
    <w:rsid w:val="009E5816"/>
    <w:rsid w:val="009E6C6D"/>
    <w:rsid w:val="009F0441"/>
    <w:rsid w:val="009F0706"/>
    <w:rsid w:val="009F089E"/>
    <w:rsid w:val="009F101E"/>
    <w:rsid w:val="009F1763"/>
    <w:rsid w:val="009F2660"/>
    <w:rsid w:val="009F3452"/>
    <w:rsid w:val="009F3D35"/>
    <w:rsid w:val="009F447E"/>
    <w:rsid w:val="009F5752"/>
    <w:rsid w:val="009F6A1C"/>
    <w:rsid w:val="009F7018"/>
    <w:rsid w:val="00A00054"/>
    <w:rsid w:val="00A008A0"/>
    <w:rsid w:val="00A00C1C"/>
    <w:rsid w:val="00A01967"/>
    <w:rsid w:val="00A024BF"/>
    <w:rsid w:val="00A03A4A"/>
    <w:rsid w:val="00A03CA3"/>
    <w:rsid w:val="00A04B28"/>
    <w:rsid w:val="00A04C60"/>
    <w:rsid w:val="00A052CA"/>
    <w:rsid w:val="00A05DEC"/>
    <w:rsid w:val="00A1270A"/>
    <w:rsid w:val="00A1278E"/>
    <w:rsid w:val="00A12A06"/>
    <w:rsid w:val="00A13BF5"/>
    <w:rsid w:val="00A15678"/>
    <w:rsid w:val="00A15A9B"/>
    <w:rsid w:val="00A1763F"/>
    <w:rsid w:val="00A2023B"/>
    <w:rsid w:val="00A20B3E"/>
    <w:rsid w:val="00A21C17"/>
    <w:rsid w:val="00A220A1"/>
    <w:rsid w:val="00A26238"/>
    <w:rsid w:val="00A271C2"/>
    <w:rsid w:val="00A27388"/>
    <w:rsid w:val="00A27618"/>
    <w:rsid w:val="00A301ED"/>
    <w:rsid w:val="00A31754"/>
    <w:rsid w:val="00A317FC"/>
    <w:rsid w:val="00A31DDF"/>
    <w:rsid w:val="00A31E5D"/>
    <w:rsid w:val="00A32AF1"/>
    <w:rsid w:val="00A33D93"/>
    <w:rsid w:val="00A33E71"/>
    <w:rsid w:val="00A3410B"/>
    <w:rsid w:val="00A34EA3"/>
    <w:rsid w:val="00A3626B"/>
    <w:rsid w:val="00A36277"/>
    <w:rsid w:val="00A36DD4"/>
    <w:rsid w:val="00A3726F"/>
    <w:rsid w:val="00A40C30"/>
    <w:rsid w:val="00A41526"/>
    <w:rsid w:val="00A41FD7"/>
    <w:rsid w:val="00A430A7"/>
    <w:rsid w:val="00A444CC"/>
    <w:rsid w:val="00A459D4"/>
    <w:rsid w:val="00A462EF"/>
    <w:rsid w:val="00A46534"/>
    <w:rsid w:val="00A47812"/>
    <w:rsid w:val="00A479C4"/>
    <w:rsid w:val="00A50433"/>
    <w:rsid w:val="00A518DC"/>
    <w:rsid w:val="00A545F0"/>
    <w:rsid w:val="00A5574B"/>
    <w:rsid w:val="00A61FC8"/>
    <w:rsid w:val="00A62380"/>
    <w:rsid w:val="00A64517"/>
    <w:rsid w:val="00A654DD"/>
    <w:rsid w:val="00A666D9"/>
    <w:rsid w:val="00A66FD1"/>
    <w:rsid w:val="00A7013F"/>
    <w:rsid w:val="00A71DFC"/>
    <w:rsid w:val="00A736C2"/>
    <w:rsid w:val="00A75C19"/>
    <w:rsid w:val="00A76050"/>
    <w:rsid w:val="00A76494"/>
    <w:rsid w:val="00A774DD"/>
    <w:rsid w:val="00A77D93"/>
    <w:rsid w:val="00A802BF"/>
    <w:rsid w:val="00A808FD"/>
    <w:rsid w:val="00A812B5"/>
    <w:rsid w:val="00A814D8"/>
    <w:rsid w:val="00A81CCA"/>
    <w:rsid w:val="00A831CE"/>
    <w:rsid w:val="00A83B87"/>
    <w:rsid w:val="00A8644F"/>
    <w:rsid w:val="00A86DB0"/>
    <w:rsid w:val="00A90DE2"/>
    <w:rsid w:val="00A94A15"/>
    <w:rsid w:val="00A9524F"/>
    <w:rsid w:val="00A960EC"/>
    <w:rsid w:val="00A964FC"/>
    <w:rsid w:val="00A96535"/>
    <w:rsid w:val="00A9762C"/>
    <w:rsid w:val="00A977F9"/>
    <w:rsid w:val="00AA0008"/>
    <w:rsid w:val="00AA0145"/>
    <w:rsid w:val="00AA0CE0"/>
    <w:rsid w:val="00AA132A"/>
    <w:rsid w:val="00AA297F"/>
    <w:rsid w:val="00AA2FD0"/>
    <w:rsid w:val="00AA3D88"/>
    <w:rsid w:val="00AA40DC"/>
    <w:rsid w:val="00AA41FE"/>
    <w:rsid w:val="00AA6036"/>
    <w:rsid w:val="00AA6BB2"/>
    <w:rsid w:val="00AB0BFB"/>
    <w:rsid w:val="00AB1AAE"/>
    <w:rsid w:val="00AB2F4E"/>
    <w:rsid w:val="00AB47DE"/>
    <w:rsid w:val="00AB4C32"/>
    <w:rsid w:val="00AB590E"/>
    <w:rsid w:val="00AB59EA"/>
    <w:rsid w:val="00AB6BDB"/>
    <w:rsid w:val="00AB6F05"/>
    <w:rsid w:val="00AB7921"/>
    <w:rsid w:val="00AB7AF2"/>
    <w:rsid w:val="00AC2AE0"/>
    <w:rsid w:val="00AC2B72"/>
    <w:rsid w:val="00AC385C"/>
    <w:rsid w:val="00AC4886"/>
    <w:rsid w:val="00AC4B35"/>
    <w:rsid w:val="00AC4BC7"/>
    <w:rsid w:val="00AC69F2"/>
    <w:rsid w:val="00AC6A24"/>
    <w:rsid w:val="00AC6EF6"/>
    <w:rsid w:val="00AC718F"/>
    <w:rsid w:val="00AD057A"/>
    <w:rsid w:val="00AD0AF2"/>
    <w:rsid w:val="00AD22C0"/>
    <w:rsid w:val="00AD2C75"/>
    <w:rsid w:val="00AD3624"/>
    <w:rsid w:val="00AD3857"/>
    <w:rsid w:val="00AD4011"/>
    <w:rsid w:val="00AD47BC"/>
    <w:rsid w:val="00AD47D9"/>
    <w:rsid w:val="00AD68E1"/>
    <w:rsid w:val="00AE1789"/>
    <w:rsid w:val="00AE2730"/>
    <w:rsid w:val="00AE2EEA"/>
    <w:rsid w:val="00AE3410"/>
    <w:rsid w:val="00AE4DDC"/>
    <w:rsid w:val="00AE65D2"/>
    <w:rsid w:val="00AE65E8"/>
    <w:rsid w:val="00AE6924"/>
    <w:rsid w:val="00AE7BF6"/>
    <w:rsid w:val="00AF21DE"/>
    <w:rsid w:val="00AF2669"/>
    <w:rsid w:val="00AF525E"/>
    <w:rsid w:val="00AF6AFA"/>
    <w:rsid w:val="00B0118C"/>
    <w:rsid w:val="00B0132C"/>
    <w:rsid w:val="00B018EA"/>
    <w:rsid w:val="00B0221D"/>
    <w:rsid w:val="00B032EF"/>
    <w:rsid w:val="00B0727F"/>
    <w:rsid w:val="00B10D05"/>
    <w:rsid w:val="00B113A1"/>
    <w:rsid w:val="00B11D40"/>
    <w:rsid w:val="00B130A6"/>
    <w:rsid w:val="00B138E5"/>
    <w:rsid w:val="00B145DB"/>
    <w:rsid w:val="00B14D9C"/>
    <w:rsid w:val="00B1633E"/>
    <w:rsid w:val="00B16FC1"/>
    <w:rsid w:val="00B22BDC"/>
    <w:rsid w:val="00B22CCE"/>
    <w:rsid w:val="00B23E59"/>
    <w:rsid w:val="00B24EF6"/>
    <w:rsid w:val="00B255C7"/>
    <w:rsid w:val="00B25798"/>
    <w:rsid w:val="00B27F20"/>
    <w:rsid w:val="00B30787"/>
    <w:rsid w:val="00B30DB6"/>
    <w:rsid w:val="00B31A35"/>
    <w:rsid w:val="00B326F8"/>
    <w:rsid w:val="00B33BF1"/>
    <w:rsid w:val="00B35B7C"/>
    <w:rsid w:val="00B35D3A"/>
    <w:rsid w:val="00B36434"/>
    <w:rsid w:val="00B367D3"/>
    <w:rsid w:val="00B36F43"/>
    <w:rsid w:val="00B37B73"/>
    <w:rsid w:val="00B43E5F"/>
    <w:rsid w:val="00B43E70"/>
    <w:rsid w:val="00B443C5"/>
    <w:rsid w:val="00B44581"/>
    <w:rsid w:val="00B44D50"/>
    <w:rsid w:val="00B455D7"/>
    <w:rsid w:val="00B45DE6"/>
    <w:rsid w:val="00B47515"/>
    <w:rsid w:val="00B47EB4"/>
    <w:rsid w:val="00B51CE8"/>
    <w:rsid w:val="00B53D35"/>
    <w:rsid w:val="00B53FA4"/>
    <w:rsid w:val="00B56E33"/>
    <w:rsid w:val="00B56FF1"/>
    <w:rsid w:val="00B57201"/>
    <w:rsid w:val="00B57580"/>
    <w:rsid w:val="00B57667"/>
    <w:rsid w:val="00B57972"/>
    <w:rsid w:val="00B605A8"/>
    <w:rsid w:val="00B63E47"/>
    <w:rsid w:val="00B644F1"/>
    <w:rsid w:val="00B64C00"/>
    <w:rsid w:val="00B67A64"/>
    <w:rsid w:val="00B70CF8"/>
    <w:rsid w:val="00B71466"/>
    <w:rsid w:val="00B72332"/>
    <w:rsid w:val="00B724EB"/>
    <w:rsid w:val="00B72B9D"/>
    <w:rsid w:val="00B72DAA"/>
    <w:rsid w:val="00B74228"/>
    <w:rsid w:val="00B74D8B"/>
    <w:rsid w:val="00B76173"/>
    <w:rsid w:val="00B762E1"/>
    <w:rsid w:val="00B7722D"/>
    <w:rsid w:val="00B77387"/>
    <w:rsid w:val="00B804CE"/>
    <w:rsid w:val="00B80C40"/>
    <w:rsid w:val="00B80EE5"/>
    <w:rsid w:val="00B81B97"/>
    <w:rsid w:val="00B82133"/>
    <w:rsid w:val="00B8214A"/>
    <w:rsid w:val="00B8547B"/>
    <w:rsid w:val="00B85C85"/>
    <w:rsid w:val="00B86FAB"/>
    <w:rsid w:val="00B87389"/>
    <w:rsid w:val="00B87947"/>
    <w:rsid w:val="00B908F4"/>
    <w:rsid w:val="00B91721"/>
    <w:rsid w:val="00B91CE1"/>
    <w:rsid w:val="00B9209A"/>
    <w:rsid w:val="00B92AF2"/>
    <w:rsid w:val="00B94B33"/>
    <w:rsid w:val="00B9527B"/>
    <w:rsid w:val="00B96830"/>
    <w:rsid w:val="00B97426"/>
    <w:rsid w:val="00B97D36"/>
    <w:rsid w:val="00BA003D"/>
    <w:rsid w:val="00BA165E"/>
    <w:rsid w:val="00BA1D86"/>
    <w:rsid w:val="00BA1EA2"/>
    <w:rsid w:val="00BA29EC"/>
    <w:rsid w:val="00BA2EE9"/>
    <w:rsid w:val="00BA3FC8"/>
    <w:rsid w:val="00BA52DA"/>
    <w:rsid w:val="00BA557E"/>
    <w:rsid w:val="00BA5739"/>
    <w:rsid w:val="00BA650B"/>
    <w:rsid w:val="00BA6E04"/>
    <w:rsid w:val="00BA6F56"/>
    <w:rsid w:val="00BA704F"/>
    <w:rsid w:val="00BA7894"/>
    <w:rsid w:val="00BB0C03"/>
    <w:rsid w:val="00BB10E0"/>
    <w:rsid w:val="00BB16F7"/>
    <w:rsid w:val="00BB1A58"/>
    <w:rsid w:val="00BB3088"/>
    <w:rsid w:val="00BB3F46"/>
    <w:rsid w:val="00BB43F0"/>
    <w:rsid w:val="00BB4D78"/>
    <w:rsid w:val="00BB539C"/>
    <w:rsid w:val="00BB60A3"/>
    <w:rsid w:val="00BB7235"/>
    <w:rsid w:val="00BC0637"/>
    <w:rsid w:val="00BC0C9C"/>
    <w:rsid w:val="00BC10C9"/>
    <w:rsid w:val="00BC1201"/>
    <w:rsid w:val="00BC43DD"/>
    <w:rsid w:val="00BC45D1"/>
    <w:rsid w:val="00BC4B53"/>
    <w:rsid w:val="00BC60BA"/>
    <w:rsid w:val="00BC7948"/>
    <w:rsid w:val="00BD3D3A"/>
    <w:rsid w:val="00BD4F40"/>
    <w:rsid w:val="00BD67D0"/>
    <w:rsid w:val="00BD77CF"/>
    <w:rsid w:val="00BE0A10"/>
    <w:rsid w:val="00BE7657"/>
    <w:rsid w:val="00BF0A1B"/>
    <w:rsid w:val="00BF148B"/>
    <w:rsid w:val="00BF4259"/>
    <w:rsid w:val="00BF4959"/>
    <w:rsid w:val="00BF56CE"/>
    <w:rsid w:val="00BF587E"/>
    <w:rsid w:val="00BF6090"/>
    <w:rsid w:val="00BF6261"/>
    <w:rsid w:val="00BF698C"/>
    <w:rsid w:val="00C00504"/>
    <w:rsid w:val="00C0117E"/>
    <w:rsid w:val="00C026A2"/>
    <w:rsid w:val="00C0365F"/>
    <w:rsid w:val="00C03731"/>
    <w:rsid w:val="00C03B62"/>
    <w:rsid w:val="00C03ECE"/>
    <w:rsid w:val="00C05373"/>
    <w:rsid w:val="00C0550B"/>
    <w:rsid w:val="00C06E6F"/>
    <w:rsid w:val="00C1022E"/>
    <w:rsid w:val="00C10835"/>
    <w:rsid w:val="00C120BD"/>
    <w:rsid w:val="00C12871"/>
    <w:rsid w:val="00C13E9B"/>
    <w:rsid w:val="00C14058"/>
    <w:rsid w:val="00C1459E"/>
    <w:rsid w:val="00C149CD"/>
    <w:rsid w:val="00C15D3B"/>
    <w:rsid w:val="00C17689"/>
    <w:rsid w:val="00C1793F"/>
    <w:rsid w:val="00C20312"/>
    <w:rsid w:val="00C2051F"/>
    <w:rsid w:val="00C205C8"/>
    <w:rsid w:val="00C20AC2"/>
    <w:rsid w:val="00C220ED"/>
    <w:rsid w:val="00C2311C"/>
    <w:rsid w:val="00C23625"/>
    <w:rsid w:val="00C27534"/>
    <w:rsid w:val="00C3019B"/>
    <w:rsid w:val="00C30238"/>
    <w:rsid w:val="00C31A4A"/>
    <w:rsid w:val="00C339C1"/>
    <w:rsid w:val="00C344B1"/>
    <w:rsid w:val="00C34AC9"/>
    <w:rsid w:val="00C41902"/>
    <w:rsid w:val="00C42417"/>
    <w:rsid w:val="00C42B9C"/>
    <w:rsid w:val="00C434A0"/>
    <w:rsid w:val="00C44EF8"/>
    <w:rsid w:val="00C46957"/>
    <w:rsid w:val="00C4735E"/>
    <w:rsid w:val="00C511A0"/>
    <w:rsid w:val="00C51EC8"/>
    <w:rsid w:val="00C523C1"/>
    <w:rsid w:val="00C53F30"/>
    <w:rsid w:val="00C54450"/>
    <w:rsid w:val="00C5642F"/>
    <w:rsid w:val="00C565A6"/>
    <w:rsid w:val="00C56E2F"/>
    <w:rsid w:val="00C56F52"/>
    <w:rsid w:val="00C57FA1"/>
    <w:rsid w:val="00C60A87"/>
    <w:rsid w:val="00C6228E"/>
    <w:rsid w:val="00C6405C"/>
    <w:rsid w:val="00C645F3"/>
    <w:rsid w:val="00C65789"/>
    <w:rsid w:val="00C66163"/>
    <w:rsid w:val="00C66A5C"/>
    <w:rsid w:val="00C674BE"/>
    <w:rsid w:val="00C678CD"/>
    <w:rsid w:val="00C70139"/>
    <w:rsid w:val="00C70904"/>
    <w:rsid w:val="00C711B0"/>
    <w:rsid w:val="00C71CDD"/>
    <w:rsid w:val="00C72179"/>
    <w:rsid w:val="00C725C2"/>
    <w:rsid w:val="00C73073"/>
    <w:rsid w:val="00C73573"/>
    <w:rsid w:val="00C73D0C"/>
    <w:rsid w:val="00C74B04"/>
    <w:rsid w:val="00C74E99"/>
    <w:rsid w:val="00C75E57"/>
    <w:rsid w:val="00C760DD"/>
    <w:rsid w:val="00C82406"/>
    <w:rsid w:val="00C836A2"/>
    <w:rsid w:val="00C85412"/>
    <w:rsid w:val="00C86353"/>
    <w:rsid w:val="00C86C7C"/>
    <w:rsid w:val="00C90F15"/>
    <w:rsid w:val="00C916F5"/>
    <w:rsid w:val="00C92722"/>
    <w:rsid w:val="00C959FC"/>
    <w:rsid w:val="00C9641F"/>
    <w:rsid w:val="00CA0F6D"/>
    <w:rsid w:val="00CA4CAD"/>
    <w:rsid w:val="00CA4E8D"/>
    <w:rsid w:val="00CA6661"/>
    <w:rsid w:val="00CA7004"/>
    <w:rsid w:val="00CA7336"/>
    <w:rsid w:val="00CA7FD0"/>
    <w:rsid w:val="00CB00BF"/>
    <w:rsid w:val="00CB00C6"/>
    <w:rsid w:val="00CB03DC"/>
    <w:rsid w:val="00CB0E93"/>
    <w:rsid w:val="00CB17E4"/>
    <w:rsid w:val="00CB1A88"/>
    <w:rsid w:val="00CB1DCF"/>
    <w:rsid w:val="00CB2635"/>
    <w:rsid w:val="00CB3B57"/>
    <w:rsid w:val="00CB573A"/>
    <w:rsid w:val="00CB6923"/>
    <w:rsid w:val="00CC0F48"/>
    <w:rsid w:val="00CC1632"/>
    <w:rsid w:val="00CC1DBD"/>
    <w:rsid w:val="00CC22B1"/>
    <w:rsid w:val="00CC2E6C"/>
    <w:rsid w:val="00CC2EC2"/>
    <w:rsid w:val="00CC35D2"/>
    <w:rsid w:val="00CC54C2"/>
    <w:rsid w:val="00CC5FC0"/>
    <w:rsid w:val="00CC6E2E"/>
    <w:rsid w:val="00CD002F"/>
    <w:rsid w:val="00CD03B0"/>
    <w:rsid w:val="00CD2670"/>
    <w:rsid w:val="00CD3276"/>
    <w:rsid w:val="00CD6607"/>
    <w:rsid w:val="00CD6792"/>
    <w:rsid w:val="00CD7A9A"/>
    <w:rsid w:val="00CE0114"/>
    <w:rsid w:val="00CE061A"/>
    <w:rsid w:val="00CE0674"/>
    <w:rsid w:val="00CE123C"/>
    <w:rsid w:val="00CE2512"/>
    <w:rsid w:val="00CE33FE"/>
    <w:rsid w:val="00CE43B1"/>
    <w:rsid w:val="00CE478E"/>
    <w:rsid w:val="00CE599C"/>
    <w:rsid w:val="00CE5EBF"/>
    <w:rsid w:val="00CE6239"/>
    <w:rsid w:val="00CE66EE"/>
    <w:rsid w:val="00CE74D0"/>
    <w:rsid w:val="00CE7857"/>
    <w:rsid w:val="00CE7B02"/>
    <w:rsid w:val="00CF11C8"/>
    <w:rsid w:val="00CF259F"/>
    <w:rsid w:val="00CF53E4"/>
    <w:rsid w:val="00CF56E2"/>
    <w:rsid w:val="00D0023A"/>
    <w:rsid w:val="00D010CA"/>
    <w:rsid w:val="00D011C6"/>
    <w:rsid w:val="00D021FA"/>
    <w:rsid w:val="00D025B5"/>
    <w:rsid w:val="00D02F01"/>
    <w:rsid w:val="00D06615"/>
    <w:rsid w:val="00D103FA"/>
    <w:rsid w:val="00D119A9"/>
    <w:rsid w:val="00D119DB"/>
    <w:rsid w:val="00D11D6C"/>
    <w:rsid w:val="00D129EF"/>
    <w:rsid w:val="00D12C20"/>
    <w:rsid w:val="00D12CEC"/>
    <w:rsid w:val="00D152B8"/>
    <w:rsid w:val="00D164F0"/>
    <w:rsid w:val="00D16D46"/>
    <w:rsid w:val="00D20597"/>
    <w:rsid w:val="00D20862"/>
    <w:rsid w:val="00D21B52"/>
    <w:rsid w:val="00D21E68"/>
    <w:rsid w:val="00D22307"/>
    <w:rsid w:val="00D2282C"/>
    <w:rsid w:val="00D22857"/>
    <w:rsid w:val="00D2361E"/>
    <w:rsid w:val="00D237AF"/>
    <w:rsid w:val="00D24346"/>
    <w:rsid w:val="00D24DB4"/>
    <w:rsid w:val="00D25F70"/>
    <w:rsid w:val="00D25FDF"/>
    <w:rsid w:val="00D260F6"/>
    <w:rsid w:val="00D2739D"/>
    <w:rsid w:val="00D33B7B"/>
    <w:rsid w:val="00D34D93"/>
    <w:rsid w:val="00D36DCB"/>
    <w:rsid w:val="00D371B6"/>
    <w:rsid w:val="00D40076"/>
    <w:rsid w:val="00D40719"/>
    <w:rsid w:val="00D41180"/>
    <w:rsid w:val="00D42DEE"/>
    <w:rsid w:val="00D44618"/>
    <w:rsid w:val="00D45805"/>
    <w:rsid w:val="00D46BD7"/>
    <w:rsid w:val="00D47B21"/>
    <w:rsid w:val="00D47D44"/>
    <w:rsid w:val="00D500B9"/>
    <w:rsid w:val="00D50151"/>
    <w:rsid w:val="00D53AC8"/>
    <w:rsid w:val="00D54574"/>
    <w:rsid w:val="00D547EA"/>
    <w:rsid w:val="00D559E5"/>
    <w:rsid w:val="00D55BB2"/>
    <w:rsid w:val="00D569E0"/>
    <w:rsid w:val="00D609AF"/>
    <w:rsid w:val="00D60C4D"/>
    <w:rsid w:val="00D6141A"/>
    <w:rsid w:val="00D61EAB"/>
    <w:rsid w:val="00D62973"/>
    <w:rsid w:val="00D63752"/>
    <w:rsid w:val="00D6409D"/>
    <w:rsid w:val="00D64B98"/>
    <w:rsid w:val="00D66D08"/>
    <w:rsid w:val="00D6711A"/>
    <w:rsid w:val="00D703CD"/>
    <w:rsid w:val="00D70616"/>
    <w:rsid w:val="00D71D9E"/>
    <w:rsid w:val="00D71EDF"/>
    <w:rsid w:val="00D75897"/>
    <w:rsid w:val="00D765A2"/>
    <w:rsid w:val="00D76C56"/>
    <w:rsid w:val="00D77C13"/>
    <w:rsid w:val="00D807B0"/>
    <w:rsid w:val="00D80C18"/>
    <w:rsid w:val="00D811C6"/>
    <w:rsid w:val="00D825A6"/>
    <w:rsid w:val="00D82AD3"/>
    <w:rsid w:val="00D8364E"/>
    <w:rsid w:val="00D83C36"/>
    <w:rsid w:val="00D84399"/>
    <w:rsid w:val="00D844C3"/>
    <w:rsid w:val="00D85D7D"/>
    <w:rsid w:val="00D86D7F"/>
    <w:rsid w:val="00D86E1D"/>
    <w:rsid w:val="00D90251"/>
    <w:rsid w:val="00D905C0"/>
    <w:rsid w:val="00D913B6"/>
    <w:rsid w:val="00D91E46"/>
    <w:rsid w:val="00D9254D"/>
    <w:rsid w:val="00D92642"/>
    <w:rsid w:val="00D9293C"/>
    <w:rsid w:val="00D9459D"/>
    <w:rsid w:val="00D95146"/>
    <w:rsid w:val="00D9605C"/>
    <w:rsid w:val="00D960FC"/>
    <w:rsid w:val="00D9639C"/>
    <w:rsid w:val="00D975B9"/>
    <w:rsid w:val="00D9783F"/>
    <w:rsid w:val="00D97A87"/>
    <w:rsid w:val="00DA2754"/>
    <w:rsid w:val="00DA2EBB"/>
    <w:rsid w:val="00DA3403"/>
    <w:rsid w:val="00DA45FD"/>
    <w:rsid w:val="00DA46C8"/>
    <w:rsid w:val="00DA7605"/>
    <w:rsid w:val="00DB0499"/>
    <w:rsid w:val="00DB304C"/>
    <w:rsid w:val="00DB31FB"/>
    <w:rsid w:val="00DB4362"/>
    <w:rsid w:val="00DB48B0"/>
    <w:rsid w:val="00DB5C0C"/>
    <w:rsid w:val="00DC2B7F"/>
    <w:rsid w:val="00DC2E06"/>
    <w:rsid w:val="00DC5468"/>
    <w:rsid w:val="00DC54A3"/>
    <w:rsid w:val="00DC6979"/>
    <w:rsid w:val="00DC7587"/>
    <w:rsid w:val="00DD0C54"/>
    <w:rsid w:val="00DD33D4"/>
    <w:rsid w:val="00DD34A7"/>
    <w:rsid w:val="00DD4F5A"/>
    <w:rsid w:val="00DE0C52"/>
    <w:rsid w:val="00DE2DF6"/>
    <w:rsid w:val="00DE30C8"/>
    <w:rsid w:val="00DE3CAB"/>
    <w:rsid w:val="00DE50E3"/>
    <w:rsid w:val="00DE51EF"/>
    <w:rsid w:val="00DE5480"/>
    <w:rsid w:val="00DE63A0"/>
    <w:rsid w:val="00DE78C3"/>
    <w:rsid w:val="00DF0030"/>
    <w:rsid w:val="00DF06F8"/>
    <w:rsid w:val="00DF0773"/>
    <w:rsid w:val="00DF207F"/>
    <w:rsid w:val="00DF2158"/>
    <w:rsid w:val="00DF3148"/>
    <w:rsid w:val="00DF3DBC"/>
    <w:rsid w:val="00DF4488"/>
    <w:rsid w:val="00DF5025"/>
    <w:rsid w:val="00DF60FD"/>
    <w:rsid w:val="00DF61ED"/>
    <w:rsid w:val="00DF6FF1"/>
    <w:rsid w:val="00E012F0"/>
    <w:rsid w:val="00E01C3C"/>
    <w:rsid w:val="00E01DB2"/>
    <w:rsid w:val="00E01F7E"/>
    <w:rsid w:val="00E03996"/>
    <w:rsid w:val="00E03F18"/>
    <w:rsid w:val="00E047E0"/>
    <w:rsid w:val="00E049FA"/>
    <w:rsid w:val="00E04BDE"/>
    <w:rsid w:val="00E051DB"/>
    <w:rsid w:val="00E051DF"/>
    <w:rsid w:val="00E05B23"/>
    <w:rsid w:val="00E107D7"/>
    <w:rsid w:val="00E114CB"/>
    <w:rsid w:val="00E117D4"/>
    <w:rsid w:val="00E11AC8"/>
    <w:rsid w:val="00E1293A"/>
    <w:rsid w:val="00E129CD"/>
    <w:rsid w:val="00E12B32"/>
    <w:rsid w:val="00E132A5"/>
    <w:rsid w:val="00E153F9"/>
    <w:rsid w:val="00E16D04"/>
    <w:rsid w:val="00E1703D"/>
    <w:rsid w:val="00E20AAB"/>
    <w:rsid w:val="00E21592"/>
    <w:rsid w:val="00E215CA"/>
    <w:rsid w:val="00E223D5"/>
    <w:rsid w:val="00E232EF"/>
    <w:rsid w:val="00E243CC"/>
    <w:rsid w:val="00E252DC"/>
    <w:rsid w:val="00E25A5A"/>
    <w:rsid w:val="00E262BB"/>
    <w:rsid w:val="00E27847"/>
    <w:rsid w:val="00E30B67"/>
    <w:rsid w:val="00E320BE"/>
    <w:rsid w:val="00E339DA"/>
    <w:rsid w:val="00E33A1D"/>
    <w:rsid w:val="00E33AB0"/>
    <w:rsid w:val="00E33B5F"/>
    <w:rsid w:val="00E34563"/>
    <w:rsid w:val="00E34581"/>
    <w:rsid w:val="00E34699"/>
    <w:rsid w:val="00E34922"/>
    <w:rsid w:val="00E34B1A"/>
    <w:rsid w:val="00E363A0"/>
    <w:rsid w:val="00E3751A"/>
    <w:rsid w:val="00E46A3A"/>
    <w:rsid w:val="00E53C24"/>
    <w:rsid w:val="00E543B1"/>
    <w:rsid w:val="00E56425"/>
    <w:rsid w:val="00E565A5"/>
    <w:rsid w:val="00E60B59"/>
    <w:rsid w:val="00E61527"/>
    <w:rsid w:val="00E61AAA"/>
    <w:rsid w:val="00E61B1F"/>
    <w:rsid w:val="00E620C5"/>
    <w:rsid w:val="00E62469"/>
    <w:rsid w:val="00E62DD5"/>
    <w:rsid w:val="00E63F42"/>
    <w:rsid w:val="00E650BC"/>
    <w:rsid w:val="00E65E93"/>
    <w:rsid w:val="00E66E35"/>
    <w:rsid w:val="00E67CE9"/>
    <w:rsid w:val="00E72B9F"/>
    <w:rsid w:val="00E73032"/>
    <w:rsid w:val="00E74C89"/>
    <w:rsid w:val="00E75079"/>
    <w:rsid w:val="00E7547D"/>
    <w:rsid w:val="00E76242"/>
    <w:rsid w:val="00E7632D"/>
    <w:rsid w:val="00E773A4"/>
    <w:rsid w:val="00E810BD"/>
    <w:rsid w:val="00E81CE1"/>
    <w:rsid w:val="00E8221E"/>
    <w:rsid w:val="00E8263F"/>
    <w:rsid w:val="00E82D0A"/>
    <w:rsid w:val="00E83FB8"/>
    <w:rsid w:val="00E84519"/>
    <w:rsid w:val="00E846E7"/>
    <w:rsid w:val="00E84C2D"/>
    <w:rsid w:val="00E84DBD"/>
    <w:rsid w:val="00E85BE7"/>
    <w:rsid w:val="00E87B57"/>
    <w:rsid w:val="00E87F73"/>
    <w:rsid w:val="00E90138"/>
    <w:rsid w:val="00E90A87"/>
    <w:rsid w:val="00E90E46"/>
    <w:rsid w:val="00E93A61"/>
    <w:rsid w:val="00E93EC3"/>
    <w:rsid w:val="00E93F30"/>
    <w:rsid w:val="00E94901"/>
    <w:rsid w:val="00E95CF9"/>
    <w:rsid w:val="00E972C4"/>
    <w:rsid w:val="00EA01F1"/>
    <w:rsid w:val="00EA05AE"/>
    <w:rsid w:val="00EA34F4"/>
    <w:rsid w:val="00EA37C0"/>
    <w:rsid w:val="00EA3999"/>
    <w:rsid w:val="00EA3A35"/>
    <w:rsid w:val="00EA3BB9"/>
    <w:rsid w:val="00EA4B35"/>
    <w:rsid w:val="00EA527E"/>
    <w:rsid w:val="00EA556B"/>
    <w:rsid w:val="00EA6547"/>
    <w:rsid w:val="00EA6597"/>
    <w:rsid w:val="00EA6F57"/>
    <w:rsid w:val="00EA70F4"/>
    <w:rsid w:val="00EA779B"/>
    <w:rsid w:val="00EB2257"/>
    <w:rsid w:val="00EB3029"/>
    <w:rsid w:val="00EB387A"/>
    <w:rsid w:val="00EB3ACE"/>
    <w:rsid w:val="00EB4209"/>
    <w:rsid w:val="00EB4C50"/>
    <w:rsid w:val="00EB6B8B"/>
    <w:rsid w:val="00EB7CF9"/>
    <w:rsid w:val="00EC2BA9"/>
    <w:rsid w:val="00EC3841"/>
    <w:rsid w:val="00EC6985"/>
    <w:rsid w:val="00EC6999"/>
    <w:rsid w:val="00EC7EE1"/>
    <w:rsid w:val="00ED1DAA"/>
    <w:rsid w:val="00ED3001"/>
    <w:rsid w:val="00ED340D"/>
    <w:rsid w:val="00ED6D87"/>
    <w:rsid w:val="00ED734C"/>
    <w:rsid w:val="00EE0405"/>
    <w:rsid w:val="00EE17AF"/>
    <w:rsid w:val="00EE4829"/>
    <w:rsid w:val="00EE53CA"/>
    <w:rsid w:val="00EE54E9"/>
    <w:rsid w:val="00EE6CB7"/>
    <w:rsid w:val="00EE7756"/>
    <w:rsid w:val="00EF010C"/>
    <w:rsid w:val="00EF0447"/>
    <w:rsid w:val="00EF25F2"/>
    <w:rsid w:val="00EF2936"/>
    <w:rsid w:val="00EF29E7"/>
    <w:rsid w:val="00EF2A9A"/>
    <w:rsid w:val="00EF3A39"/>
    <w:rsid w:val="00EF4B93"/>
    <w:rsid w:val="00EF4DC6"/>
    <w:rsid w:val="00EF4EFE"/>
    <w:rsid w:val="00EF5294"/>
    <w:rsid w:val="00EF5B41"/>
    <w:rsid w:val="00EF5EBF"/>
    <w:rsid w:val="00EF6169"/>
    <w:rsid w:val="00EF6191"/>
    <w:rsid w:val="00EF642B"/>
    <w:rsid w:val="00EF6B58"/>
    <w:rsid w:val="00F000F6"/>
    <w:rsid w:val="00F001ED"/>
    <w:rsid w:val="00F00838"/>
    <w:rsid w:val="00F01F77"/>
    <w:rsid w:val="00F02E6F"/>
    <w:rsid w:val="00F030BD"/>
    <w:rsid w:val="00F03136"/>
    <w:rsid w:val="00F03EE5"/>
    <w:rsid w:val="00F0652F"/>
    <w:rsid w:val="00F068BD"/>
    <w:rsid w:val="00F10080"/>
    <w:rsid w:val="00F10607"/>
    <w:rsid w:val="00F135CD"/>
    <w:rsid w:val="00F14D84"/>
    <w:rsid w:val="00F1506D"/>
    <w:rsid w:val="00F15231"/>
    <w:rsid w:val="00F2368E"/>
    <w:rsid w:val="00F239B4"/>
    <w:rsid w:val="00F24143"/>
    <w:rsid w:val="00F26F20"/>
    <w:rsid w:val="00F301A7"/>
    <w:rsid w:val="00F30646"/>
    <w:rsid w:val="00F35319"/>
    <w:rsid w:val="00F35508"/>
    <w:rsid w:val="00F3732E"/>
    <w:rsid w:val="00F401C4"/>
    <w:rsid w:val="00F406D0"/>
    <w:rsid w:val="00F4285A"/>
    <w:rsid w:val="00F43F8C"/>
    <w:rsid w:val="00F44CB0"/>
    <w:rsid w:val="00F46566"/>
    <w:rsid w:val="00F4740C"/>
    <w:rsid w:val="00F47D75"/>
    <w:rsid w:val="00F530D8"/>
    <w:rsid w:val="00F53250"/>
    <w:rsid w:val="00F5452A"/>
    <w:rsid w:val="00F559CD"/>
    <w:rsid w:val="00F6207C"/>
    <w:rsid w:val="00F623E6"/>
    <w:rsid w:val="00F629B1"/>
    <w:rsid w:val="00F62A83"/>
    <w:rsid w:val="00F6313B"/>
    <w:rsid w:val="00F64AFF"/>
    <w:rsid w:val="00F6647A"/>
    <w:rsid w:val="00F674E1"/>
    <w:rsid w:val="00F6752C"/>
    <w:rsid w:val="00F6757B"/>
    <w:rsid w:val="00F70573"/>
    <w:rsid w:val="00F71249"/>
    <w:rsid w:val="00F721FE"/>
    <w:rsid w:val="00F72446"/>
    <w:rsid w:val="00F73C3C"/>
    <w:rsid w:val="00F751D2"/>
    <w:rsid w:val="00F754F9"/>
    <w:rsid w:val="00F7765B"/>
    <w:rsid w:val="00F77E46"/>
    <w:rsid w:val="00F80F27"/>
    <w:rsid w:val="00F81C55"/>
    <w:rsid w:val="00F8236E"/>
    <w:rsid w:val="00F832DC"/>
    <w:rsid w:val="00F835F1"/>
    <w:rsid w:val="00F86150"/>
    <w:rsid w:val="00F8679C"/>
    <w:rsid w:val="00F8683D"/>
    <w:rsid w:val="00F9180A"/>
    <w:rsid w:val="00F91A7E"/>
    <w:rsid w:val="00F93959"/>
    <w:rsid w:val="00F94987"/>
    <w:rsid w:val="00F9529B"/>
    <w:rsid w:val="00F955F0"/>
    <w:rsid w:val="00F957D0"/>
    <w:rsid w:val="00F97B20"/>
    <w:rsid w:val="00FA0FFC"/>
    <w:rsid w:val="00FA116D"/>
    <w:rsid w:val="00FA1336"/>
    <w:rsid w:val="00FA1798"/>
    <w:rsid w:val="00FA1920"/>
    <w:rsid w:val="00FA1B94"/>
    <w:rsid w:val="00FA3265"/>
    <w:rsid w:val="00FA3A64"/>
    <w:rsid w:val="00FA3BFA"/>
    <w:rsid w:val="00FA523B"/>
    <w:rsid w:val="00FA5FC5"/>
    <w:rsid w:val="00FA71E5"/>
    <w:rsid w:val="00FB0954"/>
    <w:rsid w:val="00FB0F1E"/>
    <w:rsid w:val="00FB1809"/>
    <w:rsid w:val="00FB6F36"/>
    <w:rsid w:val="00FC0AB9"/>
    <w:rsid w:val="00FC0BE7"/>
    <w:rsid w:val="00FC0F53"/>
    <w:rsid w:val="00FC176E"/>
    <w:rsid w:val="00FC1A98"/>
    <w:rsid w:val="00FC1BA1"/>
    <w:rsid w:val="00FC1EF6"/>
    <w:rsid w:val="00FC2162"/>
    <w:rsid w:val="00FC3792"/>
    <w:rsid w:val="00FC4EFA"/>
    <w:rsid w:val="00FC6E54"/>
    <w:rsid w:val="00FC794D"/>
    <w:rsid w:val="00FD082B"/>
    <w:rsid w:val="00FD0859"/>
    <w:rsid w:val="00FD1F8C"/>
    <w:rsid w:val="00FD2790"/>
    <w:rsid w:val="00FD3DBE"/>
    <w:rsid w:val="00FD4880"/>
    <w:rsid w:val="00FD5E82"/>
    <w:rsid w:val="00FE1FE0"/>
    <w:rsid w:val="00FE25A1"/>
    <w:rsid w:val="00FE384F"/>
    <w:rsid w:val="00FE4B0D"/>
    <w:rsid w:val="00FE6397"/>
    <w:rsid w:val="00FE6F45"/>
    <w:rsid w:val="00FF08E2"/>
    <w:rsid w:val="00FF0F45"/>
    <w:rsid w:val="00FF27EF"/>
    <w:rsid w:val="00FF2859"/>
    <w:rsid w:val="00FF2DA4"/>
    <w:rsid w:val="00FF3B28"/>
    <w:rsid w:val="00FF4A4A"/>
    <w:rsid w:val="00FF4F1E"/>
    <w:rsid w:val="00FF59ED"/>
    <w:rsid w:val="00FF6B7B"/>
    <w:rsid w:val="00FF6DC8"/>
    <w:rsid w:val="00FF7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C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7" w:qFormat="1"/>
    <w:lsdException w:name="annotation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Web 1"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89"/>
    <w:pPr>
      <w:jc w:val="both"/>
    </w:pPr>
    <w:rPr>
      <w:rFonts w:eastAsia="Times New Roman"/>
      <w:sz w:val="24"/>
      <w:szCs w:val="24"/>
      <w:lang w:eastAsia="en-US"/>
    </w:rPr>
  </w:style>
  <w:style w:type="paragraph" w:styleId="Heading1">
    <w:name w:val="heading 1"/>
    <w:basedOn w:val="Normal"/>
    <w:next w:val="Normal"/>
    <w:link w:val="Heading1Char"/>
    <w:qFormat/>
    <w:rsid w:val="0095055D"/>
    <w:pPr>
      <w:keepNext/>
      <w:spacing w:before="240" w:after="60"/>
      <w:outlineLvl w:val="0"/>
    </w:pPr>
    <w:rPr>
      <w:rFonts w:ascii="Cambria" w:hAnsi="Cambria"/>
      <w:b/>
      <w:bCs/>
      <w:i/>
      <w:caps/>
      <w:kern w:val="32"/>
      <w:sz w:val="32"/>
      <w:szCs w:val="32"/>
    </w:rPr>
  </w:style>
  <w:style w:type="paragraph" w:styleId="Heading2">
    <w:name w:val="heading 2"/>
    <w:basedOn w:val="Normal"/>
    <w:link w:val="Heading2Char"/>
    <w:uiPriority w:val="9"/>
    <w:qFormat/>
    <w:rsid w:val="00F6757B"/>
    <w:pPr>
      <w:keepNext/>
      <w:spacing w:before="100" w:beforeAutospacing="1" w:after="100" w:afterAutospacing="1"/>
      <w:ind w:left="992" w:hanging="992"/>
      <w:outlineLvl w:val="1"/>
    </w:pPr>
    <w:rPr>
      <w:rFonts w:ascii="Arial" w:eastAsia="SimSun" w:hAnsi="Arial" w:cs="Arial"/>
      <w:b/>
      <w:bCs/>
      <w:i/>
      <w:sz w:val="22"/>
      <w:szCs w:val="22"/>
      <w:lang w:eastAsia="en-AU"/>
    </w:rPr>
  </w:style>
  <w:style w:type="paragraph" w:styleId="Heading3">
    <w:name w:val="heading 3"/>
    <w:basedOn w:val="Heading6"/>
    <w:link w:val="Heading3Char"/>
    <w:uiPriority w:val="9"/>
    <w:qFormat/>
    <w:rsid w:val="00F6757B"/>
    <w:pPr>
      <w:spacing w:after="120"/>
      <w:outlineLvl w:val="2"/>
    </w:pPr>
    <w:rPr>
      <w:rFonts w:ascii="Arial Bold" w:hAnsi="Arial Bold" w:cs="Arial"/>
      <w:b w:val="0"/>
      <w:u w:val="single"/>
    </w:rPr>
  </w:style>
  <w:style w:type="paragraph" w:styleId="Heading4">
    <w:name w:val="heading 4"/>
    <w:basedOn w:val="Normal"/>
    <w:next w:val="Normal"/>
    <w:link w:val="Heading4Char"/>
    <w:unhideWhenUsed/>
    <w:qFormat/>
    <w:rsid w:val="0095055D"/>
    <w:pPr>
      <w:keepNext/>
      <w:keepLines/>
      <w:spacing w:before="240" w:after="120"/>
      <w:outlineLvl w:val="3"/>
    </w:pPr>
    <w:rPr>
      <w:b/>
      <w:i/>
      <w:iCs/>
    </w:rPr>
  </w:style>
  <w:style w:type="paragraph" w:styleId="Heading5">
    <w:name w:val="heading 5"/>
    <w:basedOn w:val="Normal"/>
    <w:next w:val="Normal"/>
    <w:link w:val="Heading5Char"/>
    <w:qFormat/>
    <w:rsid w:val="0095055D"/>
    <w:pPr>
      <w:keepNext/>
      <w:spacing w:before="240" w:after="60"/>
      <w:outlineLvl w:val="4"/>
    </w:pPr>
    <w:rPr>
      <w:b/>
      <w:bCs/>
      <w:i/>
      <w:iCs/>
      <w:szCs w:val="26"/>
    </w:rPr>
  </w:style>
  <w:style w:type="paragraph" w:styleId="Heading6">
    <w:name w:val="heading 6"/>
    <w:basedOn w:val="Normal"/>
    <w:next w:val="Normal"/>
    <w:link w:val="Heading6Char"/>
    <w:rsid w:val="0095055D"/>
    <w:pPr>
      <w:keepNext/>
      <w:spacing w:before="240"/>
      <w:outlineLvl w:val="5"/>
    </w:pPr>
    <w:rPr>
      <w:b/>
      <w:bCs/>
      <w:sz w:val="22"/>
      <w:szCs w:val="22"/>
    </w:rPr>
  </w:style>
  <w:style w:type="paragraph" w:styleId="Heading9">
    <w:name w:val="heading 9"/>
    <w:aliases w:val="Page number"/>
    <w:basedOn w:val="Normal"/>
    <w:next w:val="Normal"/>
    <w:link w:val="Heading9Char"/>
    <w:rsid w:val="0095055D"/>
    <w:pPr>
      <w:numPr>
        <w:numId w:val="1"/>
      </w:numPr>
      <w:spacing w:before="240" w:after="60"/>
      <w:jc w:val="righ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055D"/>
    <w:rPr>
      <w:rFonts w:ascii="Cambria" w:eastAsia="Times New Roman" w:hAnsi="Cambria" w:cs="Times New Roman"/>
      <w:b/>
      <w:bCs/>
      <w:i/>
      <w:caps/>
      <w:kern w:val="32"/>
      <w:sz w:val="32"/>
      <w:szCs w:val="32"/>
    </w:rPr>
  </w:style>
  <w:style w:type="character" w:customStyle="1" w:styleId="Heading2Char">
    <w:name w:val="Heading 2 Char"/>
    <w:link w:val="Heading2"/>
    <w:uiPriority w:val="9"/>
    <w:rsid w:val="00F6757B"/>
    <w:rPr>
      <w:rFonts w:ascii="Arial" w:eastAsia="SimSun" w:hAnsi="Arial" w:cs="Arial"/>
      <w:b/>
      <w:bCs/>
      <w:i/>
      <w:sz w:val="22"/>
      <w:szCs w:val="22"/>
    </w:rPr>
  </w:style>
  <w:style w:type="character" w:customStyle="1" w:styleId="Heading3Char">
    <w:name w:val="Heading 3 Char"/>
    <w:link w:val="Heading3"/>
    <w:uiPriority w:val="9"/>
    <w:rsid w:val="00F6757B"/>
    <w:rPr>
      <w:rFonts w:ascii="Arial Bold" w:eastAsia="Times New Roman" w:hAnsi="Arial Bold" w:cs="Arial"/>
      <w:bCs/>
      <w:sz w:val="22"/>
      <w:szCs w:val="22"/>
      <w:u w:val="single"/>
      <w:lang w:eastAsia="en-US"/>
    </w:rPr>
  </w:style>
  <w:style w:type="character" w:customStyle="1" w:styleId="Heading4Char">
    <w:name w:val="Heading 4 Char"/>
    <w:link w:val="Heading4"/>
    <w:rsid w:val="0095055D"/>
    <w:rPr>
      <w:rFonts w:ascii="Calibri" w:eastAsia="Times New Roman" w:hAnsi="Calibri" w:cs="Times New Roman"/>
      <w:b/>
      <w:i/>
      <w:iCs/>
      <w:sz w:val="24"/>
      <w:szCs w:val="24"/>
    </w:rPr>
  </w:style>
  <w:style w:type="character" w:customStyle="1" w:styleId="Heading5Char">
    <w:name w:val="Heading 5 Char"/>
    <w:link w:val="Heading5"/>
    <w:rsid w:val="0095055D"/>
    <w:rPr>
      <w:rFonts w:ascii="Calibri" w:eastAsia="Times New Roman" w:hAnsi="Calibri" w:cs="Times New Roman"/>
      <w:b/>
      <w:bCs/>
      <w:i/>
      <w:iCs/>
      <w:sz w:val="24"/>
      <w:szCs w:val="26"/>
    </w:rPr>
  </w:style>
  <w:style w:type="character" w:customStyle="1" w:styleId="Heading6Char">
    <w:name w:val="Heading 6 Char"/>
    <w:link w:val="Heading6"/>
    <w:rsid w:val="0095055D"/>
    <w:rPr>
      <w:rFonts w:ascii="Calibri" w:eastAsia="Times New Roman" w:hAnsi="Calibri" w:cs="Times New Roman"/>
      <w:b/>
      <w:bCs/>
    </w:rPr>
  </w:style>
  <w:style w:type="character" w:customStyle="1" w:styleId="Heading9Char">
    <w:name w:val="Heading 9 Char"/>
    <w:aliases w:val="Page number Char"/>
    <w:link w:val="Heading9"/>
    <w:rsid w:val="0095055D"/>
    <w:rPr>
      <w:rFonts w:ascii="Cambria" w:eastAsia="Times New Roman" w:hAnsi="Cambria"/>
      <w:sz w:val="22"/>
      <w:szCs w:val="22"/>
      <w:lang w:eastAsia="en-US"/>
    </w:rPr>
  </w:style>
  <w:style w:type="paragraph" w:styleId="ListParagraph">
    <w:name w:val="List Paragraph"/>
    <w:aliases w:val="BulletPoints,List Paragraph1"/>
    <w:basedOn w:val="Normal"/>
    <w:link w:val="ListParagraphChar"/>
    <w:uiPriority w:val="72"/>
    <w:qFormat/>
    <w:rsid w:val="0095055D"/>
    <w:pPr>
      <w:ind w:left="1004" w:hanging="720"/>
      <w:contextualSpacing/>
    </w:pPr>
  </w:style>
  <w:style w:type="character" w:customStyle="1" w:styleId="ListParagraphChar">
    <w:name w:val="List Paragraph Char"/>
    <w:aliases w:val="BulletPoints Char,List Paragraph1 Char"/>
    <w:link w:val="ListParagraph"/>
    <w:uiPriority w:val="72"/>
    <w:locked/>
    <w:rsid w:val="0095055D"/>
    <w:rPr>
      <w:rFonts w:ascii="Calibri" w:eastAsia="Times New Roman" w:hAnsi="Calibri" w:cs="Times New Roman"/>
      <w:sz w:val="24"/>
      <w:szCs w:val="24"/>
    </w:rPr>
  </w:style>
  <w:style w:type="paragraph" w:styleId="FootnoteText">
    <w:name w:val="footnote text"/>
    <w:aliases w:val="Footnote Text Char1,Footnote Text Char Char,Footnote Text Char2,Footnote Text Char Char1"/>
    <w:basedOn w:val="Normal"/>
    <w:link w:val="FootnoteTextChar"/>
    <w:rsid w:val="0095055D"/>
    <w:rPr>
      <w:sz w:val="20"/>
      <w:szCs w:val="20"/>
    </w:rPr>
  </w:style>
  <w:style w:type="character" w:customStyle="1" w:styleId="FootnoteTextChar">
    <w:name w:val="Footnote Text Char"/>
    <w:aliases w:val="Footnote Text Char1 Char,Footnote Text Char Char Char,Footnote Text Char2 Char,Footnote Text Char Char1 Char"/>
    <w:link w:val="FootnoteText"/>
    <w:rsid w:val="0095055D"/>
    <w:rPr>
      <w:rFonts w:ascii="Calibri" w:eastAsia="Times New Roman" w:hAnsi="Calibri" w:cs="Times New Roman"/>
      <w:sz w:val="20"/>
      <w:szCs w:val="20"/>
    </w:rPr>
  </w:style>
  <w:style w:type="character" w:styleId="FootnoteReference">
    <w:name w:val="footnote reference"/>
    <w:uiPriority w:val="99"/>
    <w:rsid w:val="0095055D"/>
    <w:rPr>
      <w:vertAlign w:val="superscript"/>
    </w:rPr>
  </w:style>
  <w:style w:type="character" w:styleId="CommentReference">
    <w:name w:val="annotation reference"/>
    <w:aliases w:val="Table Title,-H18"/>
    <w:qFormat/>
    <w:rsid w:val="0095055D"/>
    <w:rPr>
      <w:rFonts w:ascii="Arial Narrow" w:hAnsi="Arial Narrow"/>
      <w:b/>
      <w:sz w:val="20"/>
      <w:szCs w:val="16"/>
    </w:rPr>
  </w:style>
  <w:style w:type="paragraph" w:styleId="CommentText">
    <w:name w:val="annotation text"/>
    <w:aliases w:val="- H19"/>
    <w:basedOn w:val="Normal"/>
    <w:link w:val="CommentTextChar"/>
    <w:rsid w:val="0095055D"/>
    <w:rPr>
      <w:sz w:val="20"/>
      <w:szCs w:val="20"/>
    </w:rPr>
  </w:style>
  <w:style w:type="character" w:customStyle="1" w:styleId="CommentTextChar">
    <w:name w:val="Comment Text Char"/>
    <w:aliases w:val="- H19 Char"/>
    <w:link w:val="CommentText"/>
    <w:rsid w:val="0095055D"/>
    <w:rPr>
      <w:rFonts w:ascii="Calibri" w:eastAsia="Times New Roman" w:hAnsi="Calibri" w:cs="Times New Roman"/>
      <w:sz w:val="20"/>
      <w:szCs w:val="20"/>
    </w:rPr>
  </w:style>
  <w:style w:type="paragraph" w:styleId="CommentSubject">
    <w:name w:val="annotation subject"/>
    <w:basedOn w:val="CommentText"/>
    <w:next w:val="CommentText"/>
    <w:link w:val="CommentSubjectChar"/>
    <w:rsid w:val="0095055D"/>
    <w:rPr>
      <w:b/>
      <w:bCs/>
    </w:rPr>
  </w:style>
  <w:style w:type="character" w:customStyle="1" w:styleId="CommentSubjectChar">
    <w:name w:val="Comment Subject Char"/>
    <w:link w:val="CommentSubject"/>
    <w:rsid w:val="0095055D"/>
    <w:rPr>
      <w:rFonts w:ascii="Calibri" w:eastAsia="Times New Roman" w:hAnsi="Calibri" w:cs="Times New Roman"/>
      <w:b/>
      <w:bCs/>
      <w:sz w:val="20"/>
      <w:szCs w:val="20"/>
    </w:rPr>
  </w:style>
  <w:style w:type="paragraph" w:styleId="BalloonText">
    <w:name w:val="Balloon Text"/>
    <w:basedOn w:val="Normal"/>
    <w:link w:val="BalloonTextChar"/>
    <w:rsid w:val="0095055D"/>
    <w:rPr>
      <w:rFonts w:ascii="Tahoma" w:hAnsi="Tahoma" w:cs="Tahoma"/>
      <w:sz w:val="16"/>
      <w:szCs w:val="16"/>
    </w:rPr>
  </w:style>
  <w:style w:type="character" w:customStyle="1" w:styleId="BalloonTextChar">
    <w:name w:val="Balloon Text Char"/>
    <w:link w:val="BalloonText"/>
    <w:rsid w:val="0095055D"/>
    <w:rPr>
      <w:rFonts w:ascii="Tahoma" w:eastAsia="Times New Roman" w:hAnsi="Tahoma" w:cs="Tahoma"/>
      <w:sz w:val="16"/>
      <w:szCs w:val="16"/>
    </w:rPr>
  </w:style>
  <w:style w:type="paragraph" w:customStyle="1" w:styleId="Default">
    <w:name w:val="Default"/>
    <w:rsid w:val="0095055D"/>
    <w:pPr>
      <w:autoSpaceDE w:val="0"/>
      <w:autoSpaceDN w:val="0"/>
      <w:adjustRightInd w:val="0"/>
    </w:pPr>
    <w:rPr>
      <w:rFonts w:eastAsia="Times New Roman" w:cs="Calibri"/>
      <w:color w:val="000000"/>
      <w:sz w:val="24"/>
      <w:szCs w:val="24"/>
    </w:rPr>
  </w:style>
  <w:style w:type="paragraph" w:customStyle="1" w:styleId="CM18">
    <w:name w:val="CM18"/>
    <w:basedOn w:val="Default"/>
    <w:next w:val="Default"/>
    <w:uiPriority w:val="99"/>
    <w:rsid w:val="0095055D"/>
    <w:pPr>
      <w:widowControl w:val="0"/>
    </w:pPr>
    <w:rPr>
      <w:rFonts w:ascii="Arial" w:hAnsi="Arial" w:cs="Arial"/>
      <w:color w:val="auto"/>
    </w:rPr>
  </w:style>
  <w:style w:type="paragraph" w:styleId="Header">
    <w:name w:val="header"/>
    <w:aliases w:val="Page Header,Header title,he=header,cntr/bld"/>
    <w:basedOn w:val="Normal"/>
    <w:link w:val="HeaderChar"/>
    <w:uiPriority w:val="99"/>
    <w:rsid w:val="0095055D"/>
    <w:pPr>
      <w:tabs>
        <w:tab w:val="center" w:pos="4513"/>
        <w:tab w:val="right" w:pos="9026"/>
      </w:tabs>
    </w:pPr>
  </w:style>
  <w:style w:type="character" w:customStyle="1" w:styleId="HeaderChar">
    <w:name w:val="Header Char"/>
    <w:aliases w:val="Page Header Char,Header title Char,he=header Char,cntr/bld Char"/>
    <w:link w:val="Header"/>
    <w:uiPriority w:val="99"/>
    <w:rsid w:val="0095055D"/>
    <w:rPr>
      <w:rFonts w:ascii="Calibri" w:eastAsia="Times New Roman" w:hAnsi="Calibri" w:cs="Times New Roman"/>
      <w:sz w:val="24"/>
      <w:szCs w:val="24"/>
    </w:rPr>
  </w:style>
  <w:style w:type="paragraph" w:styleId="Footer">
    <w:name w:val="footer"/>
    <w:aliases w:val="Page Footer"/>
    <w:basedOn w:val="Normal"/>
    <w:link w:val="FooterChar"/>
    <w:uiPriority w:val="99"/>
    <w:rsid w:val="0095055D"/>
    <w:pPr>
      <w:tabs>
        <w:tab w:val="center" w:pos="4513"/>
        <w:tab w:val="right" w:pos="9026"/>
      </w:tabs>
    </w:pPr>
  </w:style>
  <w:style w:type="character" w:customStyle="1" w:styleId="FooterChar">
    <w:name w:val="Footer Char"/>
    <w:aliases w:val="Page Footer Char"/>
    <w:link w:val="Footer"/>
    <w:uiPriority w:val="99"/>
    <w:rsid w:val="0095055D"/>
    <w:rPr>
      <w:rFonts w:ascii="Calibri" w:eastAsia="Times New Roman" w:hAnsi="Calibri" w:cs="Times New Roman"/>
      <w:sz w:val="24"/>
      <w:szCs w:val="24"/>
    </w:rPr>
  </w:style>
  <w:style w:type="paragraph" w:customStyle="1" w:styleId="Tabletext">
    <w:name w:val="Table text"/>
    <w:basedOn w:val="Normal"/>
    <w:link w:val="TabletextChar1"/>
    <w:qFormat/>
    <w:rsid w:val="0095055D"/>
    <w:pPr>
      <w:spacing w:after="120"/>
    </w:pPr>
    <w:rPr>
      <w:rFonts w:ascii="Arial" w:hAnsi="Arial"/>
      <w:sz w:val="20"/>
      <w:szCs w:val="20"/>
    </w:rPr>
  </w:style>
  <w:style w:type="character" w:customStyle="1" w:styleId="TabletextChar1">
    <w:name w:val="Table text Char1"/>
    <w:link w:val="Tabletext"/>
    <w:rsid w:val="0095055D"/>
    <w:rPr>
      <w:rFonts w:ascii="Arial" w:eastAsia="Times New Roman" w:hAnsi="Arial" w:cs="Times New Roman"/>
      <w:sz w:val="20"/>
      <w:szCs w:val="20"/>
    </w:rPr>
  </w:style>
  <w:style w:type="paragraph" w:styleId="BodyText3">
    <w:name w:val="Body Text 3"/>
    <w:basedOn w:val="Normal"/>
    <w:link w:val="BodyText3Char"/>
    <w:rsid w:val="0095055D"/>
    <w:pPr>
      <w:widowControl w:val="0"/>
    </w:pPr>
    <w:rPr>
      <w:snapToGrid w:val="0"/>
      <w:color w:val="0000FF"/>
      <w:szCs w:val="20"/>
    </w:rPr>
  </w:style>
  <w:style w:type="character" w:customStyle="1" w:styleId="BodyText3Char">
    <w:name w:val="Body Text 3 Char"/>
    <w:link w:val="BodyText3"/>
    <w:rsid w:val="0095055D"/>
    <w:rPr>
      <w:rFonts w:ascii="Calibri" w:eastAsia="Times New Roman" w:hAnsi="Calibri" w:cs="Times New Roman"/>
      <w:snapToGrid w:val="0"/>
      <w:color w:val="0000FF"/>
      <w:sz w:val="24"/>
      <w:szCs w:val="20"/>
    </w:rPr>
  </w:style>
  <w:style w:type="paragraph" w:customStyle="1" w:styleId="TableNotes">
    <w:name w:val="Table Notes"/>
    <w:basedOn w:val="Normal"/>
    <w:next w:val="Normal"/>
    <w:link w:val="TableNotesChar"/>
    <w:rsid w:val="0095055D"/>
    <w:pPr>
      <w:tabs>
        <w:tab w:val="left" w:pos="1134"/>
      </w:tabs>
      <w:ind w:left="1134" w:hanging="1134"/>
    </w:pPr>
    <w:rPr>
      <w:rFonts w:ascii="Verdana" w:eastAsia="SimSun" w:hAnsi="Verdana" w:cs="Arial"/>
      <w:sz w:val="16"/>
      <w:szCs w:val="16"/>
      <w:lang w:val="fi-FI" w:eastAsia="zh-CN"/>
    </w:rPr>
  </w:style>
  <w:style w:type="character" w:customStyle="1" w:styleId="TableNotesChar">
    <w:name w:val="Table Notes Char"/>
    <w:link w:val="TableNotes"/>
    <w:rsid w:val="0095055D"/>
    <w:rPr>
      <w:rFonts w:ascii="Verdana" w:eastAsia="SimSun" w:hAnsi="Verdana" w:cs="Arial"/>
      <w:sz w:val="16"/>
      <w:szCs w:val="16"/>
      <w:lang w:val="fi-FI" w:eastAsia="zh-CN"/>
    </w:rPr>
  </w:style>
  <w:style w:type="paragraph" w:customStyle="1" w:styleId="Tablecaption">
    <w:name w:val="Table caption"/>
    <w:basedOn w:val="Caption"/>
    <w:link w:val="TablecaptionChar"/>
    <w:rsid w:val="0095055D"/>
    <w:pPr>
      <w:keepNext/>
      <w:keepLines/>
      <w:widowControl w:val="0"/>
      <w:tabs>
        <w:tab w:val="left" w:pos="1700"/>
      </w:tabs>
      <w:adjustRightInd w:val="0"/>
      <w:spacing w:before="240"/>
      <w:textAlignment w:val="baseline"/>
    </w:pPr>
    <w:rPr>
      <w:rFonts w:ascii="Verdana" w:eastAsia="SimSun" w:hAnsi="Verdana"/>
      <w:lang w:eastAsia="zh-CN"/>
    </w:rPr>
  </w:style>
  <w:style w:type="paragraph" w:styleId="Caption">
    <w:name w:val="caption"/>
    <w:aliases w:val="Caption Char1 Char,Caption Char Char Char,Caption Char1 Char Char Char,Caption Char Char Char Char Char,Caption Char Char1 Char,Caption Char1 Char1,Caption Char Char Char1,Caption Char Char,Caption Char2 Char,Caption Char1 Char Char Char1,12,- H"/>
    <w:basedOn w:val="Normal"/>
    <w:next w:val="Normal"/>
    <w:link w:val="CaptionChar"/>
    <w:uiPriority w:val="7"/>
    <w:qFormat/>
    <w:rsid w:val="0095055D"/>
    <w:rPr>
      <w:b/>
      <w:bCs/>
      <w:sz w:val="20"/>
      <w:szCs w:val="20"/>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12 Char"/>
    <w:link w:val="Caption"/>
    <w:uiPriority w:val="7"/>
    <w:rsid w:val="0095055D"/>
    <w:rPr>
      <w:rFonts w:ascii="Calibri" w:eastAsia="Times New Roman" w:hAnsi="Calibri" w:cs="Times New Roman"/>
      <w:b/>
      <w:bCs/>
      <w:sz w:val="20"/>
      <w:szCs w:val="20"/>
    </w:rPr>
  </w:style>
  <w:style w:type="character" w:customStyle="1" w:styleId="TablecaptionChar">
    <w:name w:val="Table caption Char"/>
    <w:link w:val="Tablecaption"/>
    <w:rsid w:val="0095055D"/>
    <w:rPr>
      <w:rFonts w:ascii="Verdana" w:eastAsia="SimSun" w:hAnsi="Verdana" w:cs="Times New Roman"/>
      <w:b/>
      <w:bCs/>
      <w:sz w:val="20"/>
      <w:szCs w:val="20"/>
      <w:lang w:eastAsia="zh-CN"/>
    </w:rPr>
  </w:style>
  <w:style w:type="character" w:styleId="Hyperlink">
    <w:name w:val="Hyperlink"/>
    <w:uiPriority w:val="99"/>
    <w:rsid w:val="0095055D"/>
    <w:rPr>
      <w:color w:val="0000FF"/>
      <w:u w:val="single"/>
    </w:rPr>
  </w:style>
  <w:style w:type="character" w:styleId="FollowedHyperlink">
    <w:name w:val="FollowedHyperlink"/>
    <w:rsid w:val="0095055D"/>
    <w:rPr>
      <w:color w:val="800080"/>
      <w:u w:val="single"/>
    </w:rPr>
  </w:style>
  <w:style w:type="table" w:styleId="TableGrid">
    <w:name w:val="Table Grid"/>
    <w:aliases w:val="Table Gridbeth,Summary box"/>
    <w:basedOn w:val="TableNormal"/>
    <w:uiPriority w:val="39"/>
    <w:rsid w:val="0095055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rsid w:val="0095055D"/>
    <w:rPr>
      <w:rFonts w:ascii="Cambria" w:hAnsi="Cambria"/>
      <w:i/>
      <w:iCs/>
      <w:sz w:val="28"/>
      <w:szCs w:val="28"/>
    </w:rPr>
  </w:style>
  <w:style w:type="paragraph" w:customStyle="1" w:styleId="TableText0">
    <w:name w:val="Table Text"/>
    <w:basedOn w:val="Normal"/>
    <w:link w:val="TableTextChar"/>
    <w:qFormat/>
    <w:rsid w:val="0095055D"/>
    <w:pPr>
      <w:keepNext/>
    </w:pPr>
    <w:rPr>
      <w:rFonts w:ascii="Arial Narrow" w:hAnsi="Arial Narrow"/>
      <w:sz w:val="20"/>
      <w:szCs w:val="20"/>
    </w:rPr>
  </w:style>
  <w:style w:type="character" w:customStyle="1" w:styleId="TableTextChar">
    <w:name w:val="Table Text Char"/>
    <w:link w:val="TableText0"/>
    <w:rsid w:val="0095055D"/>
    <w:rPr>
      <w:rFonts w:ascii="Arial Narrow" w:eastAsia="Times New Roman" w:hAnsi="Arial Narrow" w:cs="Times New Roman"/>
      <w:sz w:val="20"/>
      <w:szCs w:val="20"/>
    </w:rPr>
  </w:style>
  <w:style w:type="character" w:styleId="IntenseReference">
    <w:name w:val="Intense Reference"/>
    <w:uiPriority w:val="32"/>
    <w:rsid w:val="0095055D"/>
    <w:rPr>
      <w:b/>
      <w:bCs/>
      <w:smallCaps/>
      <w:color w:val="C0504D"/>
      <w:spacing w:val="5"/>
      <w:u w:val="single"/>
    </w:rPr>
  </w:style>
  <w:style w:type="paragraph" w:styleId="TOCHeading">
    <w:name w:val="TOC Heading"/>
    <w:basedOn w:val="Heading1"/>
    <w:next w:val="Normal"/>
    <w:uiPriority w:val="39"/>
    <w:qFormat/>
    <w:rsid w:val="0095055D"/>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qFormat/>
    <w:rsid w:val="006A1202"/>
    <w:pPr>
      <w:tabs>
        <w:tab w:val="right" w:leader="dot" w:pos="8303"/>
      </w:tabs>
    </w:pPr>
    <w:rPr>
      <w:b/>
      <w:noProof/>
    </w:rPr>
  </w:style>
  <w:style w:type="paragraph" w:styleId="TOC2">
    <w:name w:val="toc 2"/>
    <w:basedOn w:val="Normal"/>
    <w:next w:val="Normal"/>
    <w:autoRedefine/>
    <w:uiPriority w:val="39"/>
    <w:qFormat/>
    <w:rsid w:val="0095055D"/>
    <w:pPr>
      <w:tabs>
        <w:tab w:val="left" w:pos="873"/>
        <w:tab w:val="left" w:pos="1100"/>
        <w:tab w:val="right" w:leader="dot" w:pos="8303"/>
      </w:tabs>
      <w:ind w:left="873" w:hanging="635"/>
    </w:pPr>
  </w:style>
  <w:style w:type="paragraph" w:styleId="TOC3">
    <w:name w:val="toc 3"/>
    <w:basedOn w:val="Normal"/>
    <w:next w:val="Normal"/>
    <w:autoRedefine/>
    <w:uiPriority w:val="39"/>
    <w:unhideWhenUsed/>
    <w:qFormat/>
    <w:rsid w:val="0095055D"/>
    <w:pPr>
      <w:tabs>
        <w:tab w:val="left" w:pos="1320"/>
        <w:tab w:val="right" w:leader="dot" w:pos="8303"/>
      </w:tabs>
      <w:ind w:left="873"/>
      <w:contextualSpacing/>
    </w:pPr>
    <w:rPr>
      <w:sz w:val="22"/>
      <w:szCs w:val="22"/>
      <w:lang w:val="en-US"/>
    </w:rPr>
  </w:style>
  <w:style w:type="paragraph" w:customStyle="1" w:styleId="Style1">
    <w:name w:val="Style1"/>
    <w:basedOn w:val="Heading2"/>
    <w:link w:val="Style1Char"/>
    <w:qFormat/>
    <w:rsid w:val="0095055D"/>
    <w:rPr>
      <w:color w:val="000000"/>
      <w:sz w:val="40"/>
      <w:szCs w:val="40"/>
    </w:rPr>
  </w:style>
  <w:style w:type="character" w:customStyle="1" w:styleId="Style1Char">
    <w:name w:val="Style1 Char"/>
    <w:link w:val="Style1"/>
    <w:rsid w:val="0095055D"/>
    <w:rPr>
      <w:rFonts w:ascii="Cambria" w:eastAsia="Times New Roman" w:hAnsi="Cambria" w:cs="Times New Roman"/>
      <w:bCs/>
      <w:i/>
      <w:color w:val="000000"/>
      <w:sz w:val="40"/>
      <w:szCs w:val="40"/>
      <w:lang w:eastAsia="en-AU"/>
    </w:rPr>
  </w:style>
  <w:style w:type="paragraph" w:styleId="BodyText">
    <w:name w:val="Body Text"/>
    <w:basedOn w:val="Normal"/>
    <w:link w:val="BodyTextChar"/>
    <w:rsid w:val="0095055D"/>
    <w:pPr>
      <w:spacing w:after="120"/>
    </w:pPr>
  </w:style>
  <w:style w:type="character" w:customStyle="1" w:styleId="BodyTextChar">
    <w:name w:val="Body Text Char"/>
    <w:link w:val="BodyText"/>
    <w:rsid w:val="0095055D"/>
    <w:rPr>
      <w:rFonts w:ascii="Calibri" w:eastAsia="Times New Roman" w:hAnsi="Calibri" w:cs="Times New Roman"/>
      <w:sz w:val="24"/>
      <w:szCs w:val="24"/>
    </w:rPr>
  </w:style>
  <w:style w:type="paragraph" w:styleId="BodyText2">
    <w:name w:val="Body Text 2"/>
    <w:basedOn w:val="Normal"/>
    <w:link w:val="BodyText2Char"/>
    <w:rsid w:val="0095055D"/>
    <w:pPr>
      <w:spacing w:after="120" w:line="480" w:lineRule="auto"/>
    </w:pPr>
  </w:style>
  <w:style w:type="character" w:customStyle="1" w:styleId="BodyText2Char">
    <w:name w:val="Body Text 2 Char"/>
    <w:link w:val="BodyText2"/>
    <w:rsid w:val="0095055D"/>
    <w:rPr>
      <w:rFonts w:ascii="Calibri" w:eastAsia="Times New Roman" w:hAnsi="Calibri" w:cs="Times New Roman"/>
      <w:sz w:val="24"/>
      <w:szCs w:val="24"/>
    </w:rPr>
  </w:style>
  <w:style w:type="paragraph" w:styleId="BodyTextIndent">
    <w:name w:val="Body Text Indent"/>
    <w:basedOn w:val="Normal"/>
    <w:link w:val="BodyTextIndentChar"/>
    <w:rsid w:val="0095055D"/>
    <w:pPr>
      <w:spacing w:after="120"/>
      <w:ind w:left="283"/>
    </w:pPr>
  </w:style>
  <w:style w:type="character" w:customStyle="1" w:styleId="BodyTextIndentChar">
    <w:name w:val="Body Text Indent Char"/>
    <w:link w:val="BodyTextIndent"/>
    <w:rsid w:val="0095055D"/>
    <w:rPr>
      <w:rFonts w:ascii="Calibri" w:eastAsia="Times New Roman" w:hAnsi="Calibri" w:cs="Times New Roman"/>
      <w:sz w:val="24"/>
      <w:szCs w:val="24"/>
    </w:rPr>
  </w:style>
  <w:style w:type="paragraph" w:styleId="NormalWeb">
    <w:name w:val="Normal (Web)"/>
    <w:basedOn w:val="Normal"/>
    <w:uiPriority w:val="99"/>
    <w:rsid w:val="0095055D"/>
    <w:pPr>
      <w:spacing w:line="360" w:lineRule="auto"/>
    </w:pPr>
    <w:rPr>
      <w:rFonts w:ascii="Times New Roman" w:hAnsi="Times New Roman"/>
    </w:rPr>
  </w:style>
  <w:style w:type="paragraph" w:customStyle="1" w:styleId="TableText1">
    <w:name w:val="TableText"/>
    <w:basedOn w:val="Normal"/>
    <w:link w:val="TableTextChar0"/>
    <w:rsid w:val="0095055D"/>
    <w:pPr>
      <w:keepNext/>
      <w:spacing w:before="40" w:after="40"/>
    </w:pPr>
    <w:rPr>
      <w:rFonts w:ascii="Arial Narrow" w:hAnsi="Arial Narrow" w:cs="Arial Narrow"/>
      <w:sz w:val="20"/>
      <w:szCs w:val="20"/>
    </w:rPr>
  </w:style>
  <w:style w:type="character" w:customStyle="1" w:styleId="TableTextChar0">
    <w:name w:val="TableText Char"/>
    <w:link w:val="TableText1"/>
    <w:uiPriority w:val="99"/>
    <w:rsid w:val="0095055D"/>
    <w:rPr>
      <w:rFonts w:ascii="Arial Narrow" w:eastAsia="Times New Roman" w:hAnsi="Arial Narrow" w:cs="Arial Narrow"/>
      <w:sz w:val="20"/>
      <w:szCs w:val="20"/>
    </w:rPr>
  </w:style>
  <w:style w:type="paragraph" w:styleId="Date">
    <w:name w:val="Date"/>
    <w:basedOn w:val="Normal"/>
    <w:next w:val="Normal"/>
    <w:link w:val="DateChar"/>
    <w:rsid w:val="0095055D"/>
    <w:pPr>
      <w:spacing w:line="360" w:lineRule="auto"/>
    </w:pPr>
    <w:rPr>
      <w:rFonts w:ascii="Times New Roman" w:hAnsi="Times New Roman"/>
      <w:sz w:val="22"/>
      <w:szCs w:val="23"/>
    </w:rPr>
  </w:style>
  <w:style w:type="character" w:customStyle="1" w:styleId="DateChar">
    <w:name w:val="Date Char"/>
    <w:link w:val="Date"/>
    <w:rsid w:val="0095055D"/>
    <w:rPr>
      <w:rFonts w:ascii="Times New Roman" w:eastAsia="Times New Roman" w:hAnsi="Times New Roman" w:cs="Times New Roman"/>
      <w:szCs w:val="23"/>
    </w:rPr>
  </w:style>
  <w:style w:type="paragraph" w:customStyle="1" w:styleId="Table">
    <w:name w:val="Table"/>
    <w:basedOn w:val="Normal"/>
    <w:link w:val="TableChar"/>
    <w:rsid w:val="0095055D"/>
    <w:pPr>
      <w:widowControl w:val="0"/>
      <w:suppressAutoHyphens/>
      <w:overflowPunct w:val="0"/>
      <w:autoSpaceDE w:val="0"/>
      <w:autoSpaceDN w:val="0"/>
      <w:adjustRightInd w:val="0"/>
      <w:spacing w:before="60" w:after="60" w:line="360" w:lineRule="auto"/>
    </w:pPr>
    <w:rPr>
      <w:rFonts w:ascii="Arial" w:hAnsi="Arial"/>
      <w:sz w:val="22"/>
      <w:szCs w:val="20"/>
      <w:lang w:val="en-US"/>
    </w:rPr>
  </w:style>
  <w:style w:type="character" w:customStyle="1" w:styleId="TableChar">
    <w:name w:val="Table Char"/>
    <w:link w:val="Table"/>
    <w:locked/>
    <w:rsid w:val="0095055D"/>
    <w:rPr>
      <w:rFonts w:ascii="Arial" w:eastAsia="Times New Roman" w:hAnsi="Arial" w:cs="Times New Roman"/>
      <w:szCs w:val="20"/>
      <w:lang w:val="en-US"/>
    </w:rPr>
  </w:style>
  <w:style w:type="table" w:styleId="LightList-Accent3">
    <w:name w:val="Light List Accent 3"/>
    <w:basedOn w:val="TableNormal"/>
    <w:uiPriority w:val="61"/>
    <w:rsid w:val="0095055D"/>
    <w:rPr>
      <w:rFonts w:eastAsia="Times New Roman"/>
      <w:lang w:val="en-US"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eWeb1">
    <w:name w:val="Table Web 1"/>
    <w:basedOn w:val="TableNormal"/>
    <w:rsid w:val="0095055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Heading">
    <w:name w:val="TableHeading"/>
    <w:basedOn w:val="TableText1"/>
    <w:rsid w:val="0095055D"/>
    <w:rPr>
      <w:b/>
      <w:bCs/>
    </w:rPr>
  </w:style>
  <w:style w:type="paragraph" w:styleId="TOC4">
    <w:name w:val="toc 4"/>
    <w:basedOn w:val="Normal"/>
    <w:next w:val="Normal"/>
    <w:autoRedefine/>
    <w:uiPriority w:val="39"/>
    <w:rsid w:val="0095055D"/>
    <w:pPr>
      <w:tabs>
        <w:tab w:val="right" w:leader="dot" w:pos="8303"/>
      </w:tabs>
      <w:ind w:left="720"/>
    </w:pPr>
  </w:style>
  <w:style w:type="paragraph" w:styleId="TOC5">
    <w:name w:val="toc 5"/>
    <w:basedOn w:val="Normal"/>
    <w:next w:val="Normal"/>
    <w:autoRedefine/>
    <w:uiPriority w:val="39"/>
    <w:unhideWhenUsed/>
    <w:rsid w:val="0095055D"/>
    <w:pPr>
      <w:spacing w:after="100" w:line="276" w:lineRule="auto"/>
      <w:ind w:left="880"/>
    </w:pPr>
    <w:rPr>
      <w:sz w:val="22"/>
      <w:szCs w:val="22"/>
      <w:lang w:eastAsia="en-AU"/>
    </w:rPr>
  </w:style>
  <w:style w:type="paragraph" w:styleId="TOC6">
    <w:name w:val="toc 6"/>
    <w:basedOn w:val="Normal"/>
    <w:next w:val="Normal"/>
    <w:autoRedefine/>
    <w:uiPriority w:val="39"/>
    <w:unhideWhenUsed/>
    <w:rsid w:val="0095055D"/>
    <w:pPr>
      <w:spacing w:after="100" w:line="276" w:lineRule="auto"/>
      <w:ind w:left="1100"/>
    </w:pPr>
    <w:rPr>
      <w:sz w:val="22"/>
      <w:szCs w:val="22"/>
      <w:lang w:eastAsia="en-AU"/>
    </w:rPr>
  </w:style>
  <w:style w:type="paragraph" w:styleId="TOC7">
    <w:name w:val="toc 7"/>
    <w:basedOn w:val="Normal"/>
    <w:next w:val="Normal"/>
    <w:autoRedefine/>
    <w:uiPriority w:val="39"/>
    <w:unhideWhenUsed/>
    <w:rsid w:val="0095055D"/>
    <w:pPr>
      <w:spacing w:after="100" w:line="276" w:lineRule="auto"/>
      <w:ind w:left="1320"/>
    </w:pPr>
    <w:rPr>
      <w:sz w:val="22"/>
      <w:szCs w:val="22"/>
      <w:lang w:eastAsia="en-AU"/>
    </w:rPr>
  </w:style>
  <w:style w:type="paragraph" w:styleId="TOC8">
    <w:name w:val="toc 8"/>
    <w:basedOn w:val="Normal"/>
    <w:next w:val="Normal"/>
    <w:autoRedefine/>
    <w:uiPriority w:val="39"/>
    <w:unhideWhenUsed/>
    <w:rsid w:val="0095055D"/>
    <w:pPr>
      <w:spacing w:after="100" w:line="276" w:lineRule="auto"/>
      <w:ind w:left="1540"/>
    </w:pPr>
    <w:rPr>
      <w:sz w:val="22"/>
      <w:szCs w:val="22"/>
      <w:lang w:eastAsia="en-AU"/>
    </w:rPr>
  </w:style>
  <w:style w:type="paragraph" w:styleId="TOC9">
    <w:name w:val="toc 9"/>
    <w:basedOn w:val="Normal"/>
    <w:next w:val="Normal"/>
    <w:autoRedefine/>
    <w:uiPriority w:val="39"/>
    <w:unhideWhenUsed/>
    <w:rsid w:val="0095055D"/>
    <w:pPr>
      <w:spacing w:after="100" w:line="276" w:lineRule="auto"/>
      <w:ind w:left="1760"/>
    </w:pPr>
    <w:rPr>
      <w:sz w:val="22"/>
      <w:szCs w:val="22"/>
      <w:lang w:eastAsia="en-AU"/>
    </w:rPr>
  </w:style>
  <w:style w:type="paragraph" w:styleId="Subtitle">
    <w:name w:val="Subtitle"/>
    <w:aliases w:val="PBAC Paragraph"/>
    <w:basedOn w:val="Normal"/>
    <w:next w:val="Normal"/>
    <w:link w:val="SubtitleChar"/>
    <w:uiPriority w:val="11"/>
    <w:qFormat/>
    <w:rsid w:val="0095055D"/>
    <w:pPr>
      <w:spacing w:after="60"/>
      <w:jc w:val="center"/>
      <w:outlineLvl w:val="1"/>
    </w:pPr>
    <w:rPr>
      <w:rFonts w:ascii="Cambria" w:hAnsi="Cambria"/>
    </w:rPr>
  </w:style>
  <w:style w:type="character" w:customStyle="1" w:styleId="SubtitleChar">
    <w:name w:val="Subtitle Char"/>
    <w:aliases w:val="PBAC Paragraph Char"/>
    <w:link w:val="Subtitle"/>
    <w:rsid w:val="0095055D"/>
    <w:rPr>
      <w:rFonts w:ascii="Cambria" w:eastAsia="Times New Roman" w:hAnsi="Cambria" w:cs="Times New Roman"/>
      <w:sz w:val="24"/>
      <w:szCs w:val="24"/>
    </w:rPr>
  </w:style>
  <w:style w:type="paragraph" w:customStyle="1" w:styleId="TableFooter">
    <w:name w:val="Table Footer"/>
    <w:basedOn w:val="Normal"/>
    <w:uiPriority w:val="4"/>
    <w:qFormat/>
    <w:rsid w:val="0095055D"/>
    <w:pPr>
      <w:widowControl w:val="0"/>
      <w:spacing w:before="20"/>
    </w:pPr>
    <w:rPr>
      <w:rFonts w:ascii="Arial Narrow" w:eastAsia="TimesNewRoman" w:hAnsi="Arial Narrow" w:cs="Arial"/>
      <w:snapToGrid w:val="0"/>
      <w:sz w:val="18"/>
      <w:szCs w:val="18"/>
      <w:lang w:eastAsia="en-GB"/>
    </w:rPr>
  </w:style>
  <w:style w:type="paragraph" w:customStyle="1" w:styleId="Paragraphheading1">
    <w:name w:val="Paragraph heading 1"/>
    <w:qFormat/>
    <w:rsid w:val="005F6D97"/>
    <w:pPr>
      <w:ind w:left="720" w:hanging="720"/>
      <w:outlineLvl w:val="0"/>
    </w:pPr>
    <w:rPr>
      <w:rFonts w:ascii="Calibri Light" w:eastAsia="Times New Roman" w:hAnsi="Calibri Light" w:cs="Arial"/>
      <w:i/>
      <w:snapToGrid w:val="0"/>
      <w:sz w:val="32"/>
      <w:szCs w:val="32"/>
      <w:lang w:eastAsia="en-US"/>
    </w:rPr>
  </w:style>
  <w:style w:type="paragraph" w:styleId="Quote">
    <w:name w:val="Quote"/>
    <w:basedOn w:val="Normal"/>
    <w:next w:val="Normal"/>
    <w:link w:val="QuoteChar"/>
    <w:uiPriority w:val="29"/>
    <w:rsid w:val="0095055D"/>
    <w:rPr>
      <w:i/>
      <w:iCs/>
      <w:color w:val="000000"/>
    </w:rPr>
  </w:style>
  <w:style w:type="character" w:customStyle="1" w:styleId="QuoteChar">
    <w:name w:val="Quote Char"/>
    <w:link w:val="Quote"/>
    <w:uiPriority w:val="29"/>
    <w:rsid w:val="0095055D"/>
    <w:rPr>
      <w:rFonts w:ascii="Calibri" w:eastAsia="Times New Roman" w:hAnsi="Calibri" w:cs="Times New Roman"/>
      <w:i/>
      <w:iCs/>
      <w:color w:val="000000"/>
      <w:sz w:val="24"/>
      <w:szCs w:val="24"/>
    </w:rPr>
  </w:style>
  <w:style w:type="paragraph" w:customStyle="1" w:styleId="unboldsubheading">
    <w:name w:val="unbold subheading"/>
    <w:basedOn w:val="Heading3"/>
    <w:next w:val="Heading3"/>
    <w:link w:val="unboldsubheadingChar"/>
    <w:rsid w:val="0095055D"/>
    <w:rPr>
      <w:sz w:val="24"/>
    </w:rPr>
  </w:style>
  <w:style w:type="character" w:customStyle="1" w:styleId="unboldsubheadingChar">
    <w:name w:val="unbold subheading Char"/>
    <w:link w:val="unboldsubheading"/>
    <w:rsid w:val="0095055D"/>
    <w:rPr>
      <w:rFonts w:ascii="Calibri" w:eastAsia="Times New Roman" w:hAnsi="Calibri" w:cs="Times New Roman"/>
      <w:b/>
      <w:bCs/>
      <w:smallCaps/>
      <w:sz w:val="24"/>
    </w:rPr>
  </w:style>
  <w:style w:type="paragraph" w:customStyle="1" w:styleId="PBACheading1">
    <w:name w:val="PBAC heading 1"/>
    <w:qFormat/>
    <w:rsid w:val="0095055D"/>
    <w:pPr>
      <w:ind w:left="720" w:hanging="720"/>
    </w:pPr>
    <w:rPr>
      <w:rFonts w:ascii="Arial" w:eastAsia="Times New Roman" w:hAnsi="Arial" w:cs="Arial"/>
      <w:snapToGrid w:val="0"/>
      <w:sz w:val="22"/>
      <w:szCs w:val="22"/>
      <w:lang w:eastAsia="en-US"/>
    </w:rPr>
  </w:style>
  <w:style w:type="paragraph" w:customStyle="1" w:styleId="TableHeading0">
    <w:name w:val="Table Heading"/>
    <w:basedOn w:val="TableText0"/>
    <w:link w:val="TableHeadingChar"/>
    <w:qFormat/>
    <w:rsid w:val="0095055D"/>
    <w:rPr>
      <w:rFonts w:eastAsia="SimSun" w:cs="Arial"/>
      <w:b/>
      <w:lang w:eastAsia="en-AU" w:bidi="en-US"/>
    </w:rPr>
  </w:style>
  <w:style w:type="character" w:customStyle="1" w:styleId="TableHeadingChar">
    <w:name w:val="Table Heading Char"/>
    <w:link w:val="TableHeading0"/>
    <w:locked/>
    <w:rsid w:val="0095055D"/>
    <w:rPr>
      <w:rFonts w:ascii="Arial Narrow" w:eastAsia="SimSun" w:hAnsi="Arial Narrow" w:cs="Arial"/>
      <w:b/>
      <w:sz w:val="20"/>
      <w:szCs w:val="20"/>
      <w:lang w:eastAsia="en-AU" w:bidi="en-US"/>
    </w:rPr>
  </w:style>
  <w:style w:type="paragraph" w:customStyle="1" w:styleId="Sources">
    <w:name w:val="Sources"/>
    <w:basedOn w:val="Normal"/>
    <w:rsid w:val="0095055D"/>
    <w:pPr>
      <w:spacing w:before="120" w:after="120"/>
    </w:pPr>
    <w:rPr>
      <w:rFonts w:ascii="Arial" w:eastAsia="Calibri" w:hAnsi="Arial"/>
      <w:sz w:val="16"/>
      <w:szCs w:val="22"/>
    </w:rPr>
  </w:style>
  <w:style w:type="paragraph" w:customStyle="1" w:styleId="FigureA">
    <w:name w:val="Figure A"/>
    <w:basedOn w:val="Normal"/>
    <w:next w:val="Normal"/>
    <w:rsid w:val="0095055D"/>
    <w:pPr>
      <w:numPr>
        <w:numId w:val="7"/>
      </w:numPr>
      <w:tabs>
        <w:tab w:val="left" w:pos="1134"/>
      </w:tabs>
      <w:spacing w:after="120"/>
      <w:ind w:left="1134" w:hanging="1134"/>
    </w:pPr>
    <w:rPr>
      <w:rFonts w:ascii="Arial Bold" w:hAnsi="Arial Bold"/>
      <w:b/>
      <w:sz w:val="20"/>
    </w:rPr>
  </w:style>
  <w:style w:type="paragraph" w:customStyle="1" w:styleId="PBACHeading10">
    <w:name w:val="PBAC Heading 1"/>
    <w:qFormat/>
    <w:rsid w:val="0095055D"/>
    <w:pPr>
      <w:ind w:left="720" w:hanging="720"/>
    </w:pPr>
    <w:rPr>
      <w:rFonts w:ascii="Arial" w:eastAsia="Times New Roman" w:hAnsi="Arial" w:cs="Arial"/>
      <w:b/>
      <w:snapToGrid w:val="0"/>
      <w:sz w:val="22"/>
      <w:szCs w:val="22"/>
      <w:lang w:eastAsia="en-US"/>
    </w:rPr>
  </w:style>
  <w:style w:type="paragraph" w:customStyle="1" w:styleId="Tabletitle">
    <w:name w:val="Table title"/>
    <w:basedOn w:val="Normal"/>
    <w:next w:val="Normal"/>
    <w:link w:val="TabletitleChar"/>
    <w:rsid w:val="0095055D"/>
    <w:pPr>
      <w:tabs>
        <w:tab w:val="num" w:pos="720"/>
      </w:tabs>
      <w:spacing w:before="240" w:after="120"/>
    </w:pPr>
    <w:rPr>
      <w:rFonts w:ascii="Arial" w:hAnsi="Arial" w:cs="Arial"/>
      <w:b/>
      <w:sz w:val="20"/>
      <w:szCs w:val="22"/>
      <w:lang w:val="en-GB" w:eastAsia="en-GB"/>
    </w:rPr>
  </w:style>
  <w:style w:type="character" w:customStyle="1" w:styleId="TabletitleChar">
    <w:name w:val="Table title Char"/>
    <w:link w:val="Tabletitle"/>
    <w:rsid w:val="0095055D"/>
    <w:rPr>
      <w:rFonts w:ascii="Arial" w:eastAsia="Times New Roman" w:hAnsi="Arial" w:cs="Arial"/>
      <w:b/>
      <w:sz w:val="20"/>
      <w:lang w:val="en-GB" w:eastAsia="en-GB"/>
    </w:rPr>
  </w:style>
  <w:style w:type="paragraph" w:customStyle="1" w:styleId="Guidelines">
    <w:name w:val="Guidelines"/>
    <w:basedOn w:val="Normal"/>
    <w:link w:val="GuidelinesChar"/>
    <w:rsid w:val="0095055D"/>
    <w:pPr>
      <w:tabs>
        <w:tab w:val="num" w:pos="1080"/>
      </w:tabs>
      <w:ind w:left="720" w:hanging="360"/>
    </w:pPr>
    <w:rPr>
      <w:rFonts w:ascii="Garamond" w:hAnsi="Garamond"/>
      <w:color w:val="8496B0"/>
    </w:rPr>
  </w:style>
  <w:style w:type="character" w:customStyle="1" w:styleId="GuidelinesChar">
    <w:name w:val="Guidelines Char"/>
    <w:link w:val="Guidelines"/>
    <w:rsid w:val="0095055D"/>
    <w:rPr>
      <w:rFonts w:ascii="Garamond" w:eastAsia="Times New Roman" w:hAnsi="Garamond" w:cs="Times New Roman"/>
      <w:color w:val="8496B0"/>
      <w:sz w:val="24"/>
      <w:szCs w:val="24"/>
    </w:rPr>
  </w:style>
  <w:style w:type="paragraph" w:customStyle="1" w:styleId="Tabletextbold">
    <w:name w:val="Table text bold"/>
    <w:basedOn w:val="Normal"/>
    <w:link w:val="TabletextboldChar"/>
    <w:rsid w:val="0095055D"/>
    <w:pPr>
      <w:keepNext/>
      <w:jc w:val="center"/>
    </w:pPr>
    <w:rPr>
      <w:rFonts w:ascii="Arial Narrow" w:hAnsi="Arial Narrow" w:cs="Arial"/>
      <w:b/>
      <w:sz w:val="20"/>
      <w:szCs w:val="20"/>
    </w:rPr>
  </w:style>
  <w:style w:type="character" w:customStyle="1" w:styleId="TabletextboldChar">
    <w:name w:val="Table text bold Char"/>
    <w:link w:val="Tabletextbold"/>
    <w:rsid w:val="0095055D"/>
    <w:rPr>
      <w:rFonts w:ascii="Arial Narrow" w:eastAsia="Times New Roman" w:hAnsi="Arial Narrow" w:cs="Arial"/>
      <w:b/>
      <w:sz w:val="20"/>
      <w:szCs w:val="20"/>
    </w:rPr>
  </w:style>
  <w:style w:type="character" w:customStyle="1" w:styleId="TabletextChar2">
    <w:name w:val="Table text Char"/>
    <w:rsid w:val="0095055D"/>
    <w:rPr>
      <w:rFonts w:ascii="Arial Narrow" w:eastAsia="Times New Roman" w:hAnsi="Arial Narrow" w:cs="Times New Roman"/>
      <w:sz w:val="20"/>
      <w:szCs w:val="24"/>
    </w:rPr>
  </w:style>
  <w:style w:type="paragraph" w:customStyle="1" w:styleId="Tabletextboldleft">
    <w:name w:val="Table text bold left"/>
    <w:basedOn w:val="Tabletextbold"/>
    <w:link w:val="TabletextboldleftChar"/>
    <w:rsid w:val="0095055D"/>
    <w:pPr>
      <w:jc w:val="left"/>
    </w:pPr>
  </w:style>
  <w:style w:type="character" w:customStyle="1" w:styleId="TabletextboldleftChar">
    <w:name w:val="Table text bold left Char"/>
    <w:link w:val="Tabletextboldleft"/>
    <w:rsid w:val="0095055D"/>
    <w:rPr>
      <w:rFonts w:ascii="Arial Narrow" w:eastAsia="Times New Roman" w:hAnsi="Arial Narrow" w:cs="Arial"/>
      <w:b/>
      <w:sz w:val="20"/>
      <w:szCs w:val="20"/>
    </w:rPr>
  </w:style>
  <w:style w:type="paragraph" w:styleId="Revision">
    <w:name w:val="Revision"/>
    <w:hidden/>
    <w:uiPriority w:val="99"/>
    <w:semiHidden/>
    <w:rsid w:val="0095055D"/>
    <w:rPr>
      <w:rFonts w:eastAsia="Times New Roman"/>
      <w:sz w:val="24"/>
      <w:szCs w:val="24"/>
      <w:lang w:eastAsia="en-US"/>
    </w:rPr>
  </w:style>
  <w:style w:type="table" w:customStyle="1" w:styleId="Table-HERONplain">
    <w:name w:val="Table - HERON plain"/>
    <w:basedOn w:val="TableNormal"/>
    <w:uiPriority w:val="99"/>
    <w:qFormat/>
    <w:rsid w:val="0095055D"/>
    <w:rPr>
      <w:rFonts w:ascii="Tahoma" w:eastAsia="Tahoma" w:hAnsi="Tahoma"/>
      <w:sz w:val="16"/>
      <w:lang w:val="en-GB" w:eastAsia="en-GB"/>
    </w:rPr>
    <w:tblPr>
      <w:tblStyleRowBandSize w:val="1"/>
      <w:tblInd w:w="113" w:type="dxa"/>
      <w:tblBorders>
        <w:top w:val="single" w:sz="8" w:space="0" w:color="002C77"/>
        <w:left w:val="single" w:sz="8" w:space="0" w:color="002C77"/>
        <w:bottom w:val="single" w:sz="8" w:space="0" w:color="002C77"/>
        <w:right w:val="single" w:sz="8" w:space="0" w:color="002C77"/>
        <w:insideH w:val="single" w:sz="8" w:space="0" w:color="002C77"/>
        <w:insideV w:val="single" w:sz="8" w:space="0" w:color="002C77"/>
      </w:tblBorders>
    </w:tblPr>
    <w:trPr>
      <w:cantSplit/>
    </w:trPr>
    <w:tcPr>
      <w:shd w:val="clear" w:color="auto" w:fill="auto"/>
      <w:vAlign w:val="center"/>
    </w:tcPr>
    <w:tblStylePr w:type="firstRow">
      <w:rPr>
        <w:rFonts w:ascii="MS PGothic" w:hAnsi="MS PGothic"/>
        <w:b w:val="0"/>
        <w:sz w:val="16"/>
      </w:rPr>
      <w:tblPr/>
      <w:trPr>
        <w:cantSplit w:val="0"/>
        <w:tblHeader/>
      </w:trPr>
      <w:tcPr>
        <w:shd w:val="clear" w:color="auto" w:fill="C7C7C7"/>
      </w:tcPr>
    </w:tblStylePr>
    <w:tblStylePr w:type="lastRow">
      <w:rPr>
        <w:rFonts w:ascii="MS PGothic" w:hAnsi="MS PGothic"/>
        <w:sz w:val="16"/>
      </w:rPr>
      <w:tblPr/>
      <w:tcPr>
        <w:shd w:val="clear" w:color="auto" w:fill="DEDEDE"/>
      </w:tcPr>
    </w:tblStylePr>
    <w:tblStylePr w:type="firstCol">
      <w:rPr>
        <w:b/>
      </w:rPr>
      <w:tblPr/>
      <w:tcPr>
        <w:shd w:val="clear" w:color="auto" w:fill="BFBFBF"/>
      </w:tcPr>
    </w:tblStylePr>
    <w:tblStylePr w:type="band2Horz">
      <w:rPr>
        <w:rFonts w:ascii="MS PGothic" w:hAnsi="MS PGothic"/>
        <w:sz w:val="16"/>
      </w:rPr>
    </w:tblStylePr>
  </w:style>
  <w:style w:type="character" w:styleId="PlaceholderText">
    <w:name w:val="Placeholder Text"/>
    <w:uiPriority w:val="99"/>
    <w:semiHidden/>
    <w:rsid w:val="0095055D"/>
    <w:rPr>
      <w:color w:val="808080"/>
    </w:rPr>
  </w:style>
  <w:style w:type="character" w:customStyle="1" w:styleId="apple-converted-space">
    <w:name w:val="apple-converted-space"/>
    <w:basedOn w:val="DefaultParagraphFont"/>
    <w:rsid w:val="0095055D"/>
  </w:style>
  <w:style w:type="paragraph" w:customStyle="1" w:styleId="Equation-H22">
    <w:name w:val="Equation - H22"/>
    <w:basedOn w:val="BodyText"/>
    <w:next w:val="Normal"/>
    <w:autoRedefine/>
    <w:uiPriority w:val="1"/>
    <w:rsid w:val="0095055D"/>
    <w:pPr>
      <w:keepLines/>
      <w:widowControl w:val="0"/>
      <w:spacing w:before="240"/>
      <w:jc w:val="center"/>
    </w:pPr>
    <w:rPr>
      <w:rFonts w:ascii="Book Antiqua" w:hAnsi="Book Antiqua"/>
      <w:i/>
      <w:color w:val="000000"/>
      <w:sz w:val="22"/>
      <w:lang w:val="en-GB"/>
    </w:rPr>
  </w:style>
  <w:style w:type="paragraph" w:customStyle="1" w:styleId="Tableheadertwo">
    <w:name w:val="Table header two"/>
    <w:basedOn w:val="BodyText"/>
    <w:next w:val="BodyText"/>
    <w:uiPriority w:val="99"/>
    <w:rsid w:val="0095055D"/>
    <w:pPr>
      <w:tabs>
        <w:tab w:val="left" w:pos="1134"/>
      </w:tabs>
      <w:spacing w:before="20" w:after="40"/>
      <w:jc w:val="left"/>
    </w:pPr>
    <w:rPr>
      <w:rFonts w:ascii="Arial" w:hAnsi="Arial"/>
      <w:b/>
      <w:sz w:val="18"/>
      <w:szCs w:val="20"/>
      <w:lang w:val="en-US"/>
    </w:rPr>
  </w:style>
  <w:style w:type="paragraph" w:customStyle="1" w:styleId="TableHeader">
    <w:name w:val="Table Header"/>
    <w:basedOn w:val="Normal"/>
    <w:next w:val="Normal"/>
    <w:uiPriority w:val="3"/>
    <w:rsid w:val="0095055D"/>
    <w:pPr>
      <w:widowControl w:val="0"/>
    </w:pPr>
    <w:rPr>
      <w:rFonts w:ascii="Arial Narrow" w:hAnsi="Arial Narrow" w:cs="Arial"/>
      <w:b/>
      <w:snapToGrid w:val="0"/>
      <w:sz w:val="20"/>
      <w:szCs w:val="20"/>
    </w:rPr>
  </w:style>
  <w:style w:type="paragraph" w:customStyle="1" w:styleId="Tableheader1">
    <w:name w:val="Table header 1"/>
    <w:basedOn w:val="Normal"/>
    <w:link w:val="Tableheader1Char"/>
    <w:uiPriority w:val="99"/>
    <w:qFormat/>
    <w:rsid w:val="0095055D"/>
    <w:pPr>
      <w:spacing w:after="120"/>
      <w:jc w:val="center"/>
    </w:pPr>
    <w:rPr>
      <w:rFonts w:ascii="Arial" w:hAnsi="Arial"/>
      <w:b/>
      <w:sz w:val="18"/>
      <w:szCs w:val="22"/>
      <w:lang w:val="en-US"/>
    </w:rPr>
  </w:style>
  <w:style w:type="character" w:customStyle="1" w:styleId="Tableheader1Char">
    <w:name w:val="Table header 1 Char"/>
    <w:link w:val="Tableheader1"/>
    <w:uiPriority w:val="99"/>
    <w:rsid w:val="0095055D"/>
    <w:rPr>
      <w:rFonts w:ascii="Arial" w:eastAsia="Times New Roman" w:hAnsi="Arial" w:cs="Times New Roman"/>
      <w:b/>
      <w:sz w:val="18"/>
      <w:lang w:val="en-US"/>
    </w:rPr>
  </w:style>
  <w:style w:type="paragraph" w:customStyle="1" w:styleId="Footnote">
    <w:name w:val="Footnote"/>
    <w:basedOn w:val="Normal"/>
    <w:rsid w:val="0095055D"/>
    <w:pPr>
      <w:spacing w:before="40"/>
      <w:jc w:val="left"/>
    </w:pPr>
    <w:rPr>
      <w:rFonts w:ascii="Arial" w:hAnsi="Arial"/>
      <w:sz w:val="18"/>
      <w:szCs w:val="18"/>
      <w:lang w:val="en-US"/>
    </w:rPr>
  </w:style>
  <w:style w:type="paragraph" w:customStyle="1" w:styleId="Tabletext9ptbulleted">
    <w:name w:val="Table text +9pt bulleted"/>
    <w:basedOn w:val="Normal"/>
    <w:rsid w:val="0095055D"/>
    <w:pPr>
      <w:keepNext/>
      <w:numPr>
        <w:numId w:val="8"/>
      </w:numPr>
      <w:autoSpaceDE w:val="0"/>
      <w:autoSpaceDN w:val="0"/>
      <w:adjustRightInd w:val="0"/>
      <w:spacing w:before="80" w:after="120" w:line="240" w:lineRule="exact"/>
      <w:jc w:val="left"/>
    </w:pPr>
    <w:rPr>
      <w:rFonts w:ascii="Arial" w:hAnsi="Arial" w:cs="Arial"/>
      <w:sz w:val="18"/>
      <w:szCs w:val="18"/>
      <w:lang w:val="en-US"/>
    </w:rPr>
  </w:style>
  <w:style w:type="character" w:customStyle="1" w:styleId="SmallBold">
    <w:name w:val="Small Bold"/>
    <w:uiPriority w:val="4"/>
    <w:rsid w:val="0095055D"/>
    <w:rPr>
      <w:rFonts w:ascii="Candara" w:hAnsi="Candara"/>
      <w:b/>
      <w:sz w:val="20"/>
      <w:lang w:val="en-AU"/>
    </w:rPr>
  </w:style>
  <w:style w:type="paragraph" w:customStyle="1" w:styleId="Tableorfigurefootnoteindent">
    <w:name w:val="Table or figure footnote indent"/>
    <w:basedOn w:val="Normal"/>
    <w:qFormat/>
    <w:rsid w:val="0095055D"/>
    <w:pPr>
      <w:spacing w:before="40"/>
      <w:ind w:left="360" w:hanging="360"/>
      <w:jc w:val="left"/>
    </w:pPr>
    <w:rPr>
      <w:rFonts w:ascii="Arial" w:hAnsi="Arial"/>
      <w:sz w:val="16"/>
      <w:szCs w:val="20"/>
      <w:lang w:val="en-US"/>
    </w:rPr>
  </w:style>
  <w:style w:type="paragraph" w:customStyle="1" w:styleId="TextUnderTable">
    <w:name w:val="Text Under Table"/>
    <w:basedOn w:val="Normal"/>
    <w:rsid w:val="0095055D"/>
    <w:pPr>
      <w:spacing w:after="160" w:line="259" w:lineRule="auto"/>
      <w:jc w:val="left"/>
    </w:pPr>
    <w:rPr>
      <w:rFonts w:eastAsia="Calibri"/>
      <w:i/>
      <w:sz w:val="16"/>
      <w:szCs w:val="22"/>
      <w:lang w:val="en-US"/>
    </w:rPr>
  </w:style>
  <w:style w:type="paragraph" w:customStyle="1" w:styleId="Tableorfigurefootnote">
    <w:name w:val="Table or figure footnote"/>
    <w:next w:val="BodyText"/>
    <w:link w:val="TableorfigurefootnoteChar"/>
    <w:qFormat/>
    <w:rsid w:val="0095055D"/>
    <w:rPr>
      <w:rFonts w:ascii="Arial" w:eastAsia="Times New Roman" w:hAnsi="Arial"/>
      <w:sz w:val="16"/>
      <w:szCs w:val="22"/>
      <w:lang w:val="en-GB" w:eastAsia="en-GB"/>
    </w:rPr>
  </w:style>
  <w:style w:type="character" w:customStyle="1" w:styleId="TableorfigurefootnoteChar">
    <w:name w:val="Table or figure footnote Char"/>
    <w:link w:val="Tableorfigurefootnote"/>
    <w:rsid w:val="0095055D"/>
    <w:rPr>
      <w:rFonts w:ascii="Arial" w:eastAsia="Times New Roman" w:hAnsi="Arial" w:cs="Times New Roman"/>
      <w:sz w:val="16"/>
      <w:lang w:val="en-GB" w:eastAsia="en-GB"/>
    </w:rPr>
  </w:style>
  <w:style w:type="paragraph" w:customStyle="1" w:styleId="TableCentre">
    <w:name w:val="Table Centre"/>
    <w:basedOn w:val="Table"/>
    <w:link w:val="TableCentreChar"/>
    <w:rsid w:val="0095055D"/>
    <w:pPr>
      <w:widowControl/>
      <w:suppressAutoHyphens w:val="0"/>
      <w:overflowPunct/>
      <w:autoSpaceDE/>
      <w:autoSpaceDN/>
      <w:adjustRightInd/>
      <w:spacing w:before="0" w:after="0" w:line="240" w:lineRule="auto"/>
      <w:jc w:val="center"/>
    </w:pPr>
    <w:rPr>
      <w:rFonts w:ascii="Candara" w:hAnsi="Candara"/>
      <w:sz w:val="20"/>
      <w:szCs w:val="22"/>
      <w:lang w:bidi="en-US"/>
    </w:rPr>
  </w:style>
  <w:style w:type="character" w:customStyle="1" w:styleId="TableCentreChar">
    <w:name w:val="Table Centre Char"/>
    <w:link w:val="TableCentre"/>
    <w:rsid w:val="0095055D"/>
    <w:rPr>
      <w:rFonts w:ascii="Candara" w:eastAsia="Times New Roman" w:hAnsi="Candara" w:cs="Times New Roman"/>
      <w:sz w:val="20"/>
      <w:lang w:val="en-US" w:bidi="en-US"/>
    </w:rPr>
  </w:style>
  <w:style w:type="paragraph" w:customStyle="1" w:styleId="CaptionFootnote">
    <w:name w:val="Caption Footnote"/>
    <w:basedOn w:val="Caption"/>
    <w:uiPriority w:val="99"/>
    <w:rsid w:val="0095055D"/>
    <w:pPr>
      <w:widowControl w:val="0"/>
      <w:jc w:val="left"/>
    </w:pPr>
    <w:rPr>
      <w:rFonts w:ascii="Candara" w:hAnsi="Candara"/>
      <w:b w:val="0"/>
      <w:sz w:val="16"/>
      <w:szCs w:val="18"/>
      <w:lang w:val="en-US" w:bidi="en-US"/>
    </w:rPr>
  </w:style>
  <w:style w:type="paragraph" w:customStyle="1" w:styleId="Tablefooter0">
    <w:name w:val="Table footer"/>
    <w:basedOn w:val="Normal"/>
    <w:link w:val="TablefooterChar"/>
    <w:rsid w:val="0095055D"/>
    <w:pPr>
      <w:spacing w:line="276" w:lineRule="auto"/>
      <w:jc w:val="left"/>
    </w:pPr>
    <w:rPr>
      <w:rFonts w:eastAsia="Calibri" w:cs="Arial"/>
      <w:sz w:val="16"/>
      <w:szCs w:val="16"/>
      <w:lang w:val="en-US"/>
    </w:rPr>
  </w:style>
  <w:style w:type="character" w:customStyle="1" w:styleId="TablefooterChar">
    <w:name w:val="Table footer Char"/>
    <w:link w:val="Tablefooter0"/>
    <w:rsid w:val="0095055D"/>
    <w:rPr>
      <w:rFonts w:ascii="Calibri" w:eastAsia="Calibri" w:hAnsi="Calibri" w:cs="Arial"/>
      <w:sz w:val="16"/>
      <w:szCs w:val="16"/>
      <w:lang w:val="en-US"/>
    </w:rPr>
  </w:style>
  <w:style w:type="paragraph" w:customStyle="1" w:styleId="V50Instructions">
    <w:name w:val="V5.0 Instructions"/>
    <w:basedOn w:val="Normal"/>
    <w:link w:val="V50InstructionsChar"/>
    <w:rsid w:val="0095055D"/>
    <w:pPr>
      <w:spacing w:before="120" w:after="160"/>
      <w:jc w:val="left"/>
    </w:pPr>
    <w:rPr>
      <w:rFonts w:eastAsia="Calibri"/>
      <w:color w:val="4BACC6"/>
      <w:szCs w:val="22"/>
    </w:rPr>
  </w:style>
  <w:style w:type="character" w:customStyle="1" w:styleId="V50InstructionsChar">
    <w:name w:val="V5.0 Instructions Char"/>
    <w:link w:val="V50Instructions"/>
    <w:rsid w:val="0095055D"/>
    <w:rPr>
      <w:rFonts w:ascii="Calibri" w:eastAsia="Calibri" w:hAnsi="Calibri" w:cs="Times New Roman"/>
      <w:color w:val="4BACC6"/>
      <w:sz w:val="24"/>
    </w:rPr>
  </w:style>
  <w:style w:type="paragraph" w:customStyle="1" w:styleId="ES-text">
    <w:name w:val="ES - text"/>
    <w:basedOn w:val="BodyText"/>
    <w:rsid w:val="0095055D"/>
    <w:pPr>
      <w:spacing w:after="0" w:line="276" w:lineRule="auto"/>
      <w:jc w:val="left"/>
    </w:pPr>
    <w:rPr>
      <w:rFonts w:ascii="Arial" w:hAnsi="Arial"/>
      <w:sz w:val="20"/>
      <w:lang w:val="en-US"/>
    </w:rPr>
  </w:style>
  <w:style w:type="character" w:customStyle="1" w:styleId="A1">
    <w:name w:val="A1"/>
    <w:uiPriority w:val="99"/>
    <w:rsid w:val="0095055D"/>
    <w:rPr>
      <w:color w:val="000000"/>
      <w:sz w:val="16"/>
      <w:szCs w:val="16"/>
    </w:rPr>
  </w:style>
  <w:style w:type="paragraph" w:customStyle="1" w:styleId="EndNoteBibliographyTitle">
    <w:name w:val="EndNote Bibliography Title"/>
    <w:basedOn w:val="Normal"/>
    <w:link w:val="EndNoteBibliographyTitleChar"/>
    <w:rsid w:val="0095055D"/>
    <w:pPr>
      <w:jc w:val="center"/>
    </w:pPr>
    <w:rPr>
      <w:noProof/>
      <w:lang w:val="en-US"/>
    </w:rPr>
  </w:style>
  <w:style w:type="character" w:customStyle="1" w:styleId="EndNoteBibliographyTitleChar">
    <w:name w:val="EndNote Bibliography Title Char"/>
    <w:link w:val="EndNoteBibliographyTitle"/>
    <w:rsid w:val="0095055D"/>
    <w:rPr>
      <w:rFonts w:eastAsia="Times New Roman"/>
      <w:noProof/>
      <w:sz w:val="24"/>
      <w:szCs w:val="24"/>
      <w:lang w:val="en-US" w:eastAsia="en-US"/>
    </w:rPr>
  </w:style>
  <w:style w:type="paragraph" w:customStyle="1" w:styleId="EndNoteBibliography">
    <w:name w:val="EndNote Bibliography"/>
    <w:basedOn w:val="Normal"/>
    <w:link w:val="EndNoteBibliographyChar"/>
    <w:rsid w:val="0095055D"/>
    <w:rPr>
      <w:noProof/>
      <w:lang w:val="en-US"/>
    </w:rPr>
  </w:style>
  <w:style w:type="character" w:customStyle="1" w:styleId="EndNoteBibliographyChar">
    <w:name w:val="EndNote Bibliography Char"/>
    <w:link w:val="EndNoteBibliography"/>
    <w:rsid w:val="0095055D"/>
    <w:rPr>
      <w:rFonts w:eastAsia="Times New Roman"/>
      <w:noProof/>
      <w:sz w:val="24"/>
      <w:szCs w:val="24"/>
      <w:lang w:val="en-US" w:eastAsia="en-US"/>
    </w:rPr>
  </w:style>
  <w:style w:type="paragraph" w:customStyle="1" w:styleId="Tablenotes0">
    <w:name w:val="Table notes"/>
    <w:basedOn w:val="Normal"/>
    <w:rsid w:val="0095055D"/>
    <w:pPr>
      <w:spacing w:before="60"/>
      <w:jc w:val="left"/>
    </w:pPr>
    <w:rPr>
      <w:rFonts w:ascii="Arial" w:hAnsi="Arial"/>
      <w:sz w:val="14"/>
      <w:szCs w:val="14"/>
      <w:lang w:val="en-US" w:eastAsia="en-GB"/>
    </w:rPr>
  </w:style>
  <w:style w:type="table" w:customStyle="1" w:styleId="Summarybox1">
    <w:name w:val="Summary box1"/>
    <w:basedOn w:val="TableNormal"/>
    <w:next w:val="TableGrid"/>
    <w:rsid w:val="0095055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ummarybox2">
    <w:name w:val="Summary box2"/>
    <w:basedOn w:val="TableNormal"/>
    <w:next w:val="TableGrid"/>
    <w:rsid w:val="0095055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9505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0"/>
    <w:uiPriority w:val="99"/>
    <w:rsid w:val="0095055D"/>
    <w:pPr>
      <w:spacing w:after="240" w:line="360" w:lineRule="auto"/>
      <w:jc w:val="left"/>
    </w:pPr>
    <w:rPr>
      <w:rFonts w:ascii="Arial" w:hAnsi="Arial"/>
      <w:sz w:val="22"/>
      <w:szCs w:val="20"/>
    </w:rPr>
  </w:style>
  <w:style w:type="character" w:customStyle="1" w:styleId="BodytextChar0">
    <w:name w:val="Body text Char"/>
    <w:link w:val="BodyText1"/>
    <w:uiPriority w:val="99"/>
    <w:locked/>
    <w:rsid w:val="0095055D"/>
    <w:rPr>
      <w:rFonts w:ascii="Arial" w:eastAsia="Times New Roman" w:hAnsi="Arial" w:cs="Times New Roman"/>
      <w:szCs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94987"/>
    <w:pPr>
      <w:spacing w:after="160" w:line="240" w:lineRule="exact"/>
      <w:jc w:val="left"/>
    </w:pPr>
    <w:rPr>
      <w:rFonts w:ascii="Verdana" w:eastAsia="MS Mincho" w:hAnsi="Verdana" w:cs="Verdana"/>
      <w:sz w:val="20"/>
      <w:szCs w:val="20"/>
      <w:lang w:val="en-US"/>
    </w:rPr>
  </w:style>
  <w:style w:type="paragraph" w:customStyle="1" w:styleId="TableBullet">
    <w:name w:val="TableBullet"/>
    <w:qFormat/>
    <w:rsid w:val="00886E2D"/>
    <w:pPr>
      <w:keepNext/>
      <w:tabs>
        <w:tab w:val="left" w:pos="216"/>
        <w:tab w:val="num" w:pos="360"/>
      </w:tabs>
      <w:spacing w:before="40" w:after="40"/>
      <w:ind w:left="216" w:hanging="216"/>
    </w:pPr>
    <w:rPr>
      <w:rFonts w:ascii="Arial" w:eastAsia="Times New Roman" w:hAnsi="Arial" w:cs="Arial Narrow"/>
      <w:sz w:val="18"/>
      <w:lang w:eastAsia="en-US"/>
    </w:rPr>
  </w:style>
  <w:style w:type="paragraph" w:customStyle="1" w:styleId="Bulletedbodytext">
    <w:name w:val="Bulleted body text"/>
    <w:basedOn w:val="BodyText"/>
    <w:link w:val="BulletedbodytextChar"/>
    <w:uiPriority w:val="99"/>
    <w:qFormat/>
    <w:rsid w:val="0009001A"/>
    <w:pPr>
      <w:spacing w:line="360" w:lineRule="auto"/>
      <w:ind w:left="470" w:hanging="357"/>
      <w:jc w:val="left"/>
    </w:pPr>
    <w:rPr>
      <w:rFonts w:ascii="Arial" w:hAnsi="Arial" w:cs="Arial"/>
      <w:sz w:val="20"/>
      <w:lang w:val="en-US"/>
    </w:rPr>
  </w:style>
  <w:style w:type="character" w:customStyle="1" w:styleId="BulletedbodytextChar">
    <w:name w:val="Bulleted body text Char"/>
    <w:link w:val="Bulletedbodytext"/>
    <w:uiPriority w:val="99"/>
    <w:rsid w:val="0009001A"/>
    <w:rPr>
      <w:rFonts w:ascii="Arial" w:eastAsia="Times New Roman" w:hAnsi="Arial" w:cs="Arial"/>
      <w:szCs w:val="24"/>
      <w:lang w:val="en-US" w:eastAsia="en-US"/>
    </w:rPr>
  </w:style>
  <w:style w:type="paragraph" w:customStyle="1" w:styleId="BodytextBullet">
    <w:name w:val="Body text Bullet"/>
    <w:basedOn w:val="BodyText"/>
    <w:qFormat/>
    <w:rsid w:val="0009001A"/>
    <w:pPr>
      <w:numPr>
        <w:numId w:val="30"/>
      </w:numPr>
      <w:spacing w:line="360" w:lineRule="auto"/>
      <w:jc w:val="left"/>
    </w:pPr>
    <w:rPr>
      <w:rFonts w:ascii="Arial" w:hAnsi="Arial" w:cs="Arial"/>
      <w:sz w:val="20"/>
      <w:lang w:val="en-US"/>
    </w:rPr>
  </w:style>
  <w:style w:type="paragraph" w:customStyle="1" w:styleId="AllText">
    <w:name w:val="AllText"/>
    <w:basedOn w:val="Normal"/>
    <w:link w:val="AllTextChar"/>
    <w:rsid w:val="00E7632D"/>
    <w:pPr>
      <w:spacing w:after="240"/>
    </w:pPr>
    <w:rPr>
      <w:rFonts w:ascii="Times New Roman" w:eastAsia="SimSun" w:hAnsi="Times New Roman"/>
      <w:szCs w:val="20"/>
      <w:lang w:val="en-US"/>
    </w:rPr>
  </w:style>
  <w:style w:type="character" w:customStyle="1" w:styleId="AllTextChar">
    <w:name w:val="AllText Char"/>
    <w:basedOn w:val="DefaultParagraphFont"/>
    <w:link w:val="AllText"/>
    <w:rsid w:val="00E7632D"/>
    <w:rPr>
      <w:rFonts w:ascii="Times New Roman" w:eastAsia="SimSun" w:hAnsi="Times New Roman"/>
      <w:sz w:val="24"/>
      <w:lang w:val="en-US" w:eastAsia="en-US"/>
    </w:rPr>
  </w:style>
  <w:style w:type="paragraph" w:customStyle="1" w:styleId="Bulletlevel2">
    <w:name w:val="Bullet level 2"/>
    <w:basedOn w:val="ListParagraph"/>
    <w:qFormat/>
    <w:rsid w:val="005338DC"/>
    <w:pPr>
      <w:autoSpaceDE w:val="0"/>
      <w:autoSpaceDN w:val="0"/>
      <w:adjustRightInd w:val="0"/>
      <w:spacing w:after="240" w:line="276" w:lineRule="auto"/>
      <w:ind w:left="1260" w:hanging="360"/>
      <w:contextualSpacing w:val="0"/>
    </w:pPr>
    <w:rPr>
      <w:rFonts w:ascii="Times New Roman" w:hAnsi="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7" w:qFormat="1"/>
    <w:lsdException w:name="annotation reference"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Web 1" w:uiPriority="0"/>
    <w:lsdException w:name="Balloon Text"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989"/>
    <w:pPr>
      <w:jc w:val="both"/>
    </w:pPr>
    <w:rPr>
      <w:rFonts w:eastAsia="Times New Roman"/>
      <w:sz w:val="24"/>
      <w:szCs w:val="24"/>
      <w:lang w:eastAsia="en-US"/>
    </w:rPr>
  </w:style>
  <w:style w:type="paragraph" w:styleId="Heading1">
    <w:name w:val="heading 1"/>
    <w:basedOn w:val="Normal"/>
    <w:next w:val="Normal"/>
    <w:link w:val="Heading1Char"/>
    <w:qFormat/>
    <w:rsid w:val="0095055D"/>
    <w:pPr>
      <w:keepNext/>
      <w:spacing w:before="240" w:after="60"/>
      <w:outlineLvl w:val="0"/>
    </w:pPr>
    <w:rPr>
      <w:rFonts w:ascii="Cambria" w:hAnsi="Cambria"/>
      <w:b/>
      <w:bCs/>
      <w:i/>
      <w:caps/>
      <w:kern w:val="32"/>
      <w:sz w:val="32"/>
      <w:szCs w:val="32"/>
    </w:rPr>
  </w:style>
  <w:style w:type="paragraph" w:styleId="Heading2">
    <w:name w:val="heading 2"/>
    <w:basedOn w:val="Normal"/>
    <w:link w:val="Heading2Char"/>
    <w:uiPriority w:val="9"/>
    <w:qFormat/>
    <w:rsid w:val="00F6757B"/>
    <w:pPr>
      <w:keepNext/>
      <w:spacing w:before="100" w:beforeAutospacing="1" w:after="100" w:afterAutospacing="1"/>
      <w:ind w:left="992" w:hanging="992"/>
      <w:outlineLvl w:val="1"/>
    </w:pPr>
    <w:rPr>
      <w:rFonts w:ascii="Arial" w:eastAsia="SimSun" w:hAnsi="Arial" w:cs="Arial"/>
      <w:b/>
      <w:bCs/>
      <w:i/>
      <w:sz w:val="22"/>
      <w:szCs w:val="22"/>
      <w:lang w:eastAsia="en-AU"/>
    </w:rPr>
  </w:style>
  <w:style w:type="paragraph" w:styleId="Heading3">
    <w:name w:val="heading 3"/>
    <w:basedOn w:val="Heading6"/>
    <w:link w:val="Heading3Char"/>
    <w:uiPriority w:val="9"/>
    <w:qFormat/>
    <w:rsid w:val="00F6757B"/>
    <w:pPr>
      <w:spacing w:after="120"/>
      <w:outlineLvl w:val="2"/>
    </w:pPr>
    <w:rPr>
      <w:rFonts w:ascii="Arial Bold" w:hAnsi="Arial Bold" w:cs="Arial"/>
      <w:b w:val="0"/>
      <w:u w:val="single"/>
    </w:rPr>
  </w:style>
  <w:style w:type="paragraph" w:styleId="Heading4">
    <w:name w:val="heading 4"/>
    <w:basedOn w:val="Normal"/>
    <w:next w:val="Normal"/>
    <w:link w:val="Heading4Char"/>
    <w:unhideWhenUsed/>
    <w:qFormat/>
    <w:rsid w:val="0095055D"/>
    <w:pPr>
      <w:keepNext/>
      <w:keepLines/>
      <w:spacing w:before="240" w:after="120"/>
      <w:outlineLvl w:val="3"/>
    </w:pPr>
    <w:rPr>
      <w:b/>
      <w:i/>
      <w:iCs/>
    </w:rPr>
  </w:style>
  <w:style w:type="paragraph" w:styleId="Heading5">
    <w:name w:val="heading 5"/>
    <w:basedOn w:val="Normal"/>
    <w:next w:val="Normal"/>
    <w:link w:val="Heading5Char"/>
    <w:qFormat/>
    <w:rsid w:val="0095055D"/>
    <w:pPr>
      <w:keepNext/>
      <w:spacing w:before="240" w:after="60"/>
      <w:outlineLvl w:val="4"/>
    </w:pPr>
    <w:rPr>
      <w:b/>
      <w:bCs/>
      <w:i/>
      <w:iCs/>
      <w:szCs w:val="26"/>
    </w:rPr>
  </w:style>
  <w:style w:type="paragraph" w:styleId="Heading6">
    <w:name w:val="heading 6"/>
    <w:basedOn w:val="Normal"/>
    <w:next w:val="Normal"/>
    <w:link w:val="Heading6Char"/>
    <w:rsid w:val="0095055D"/>
    <w:pPr>
      <w:keepNext/>
      <w:spacing w:before="240"/>
      <w:outlineLvl w:val="5"/>
    </w:pPr>
    <w:rPr>
      <w:b/>
      <w:bCs/>
      <w:sz w:val="22"/>
      <w:szCs w:val="22"/>
    </w:rPr>
  </w:style>
  <w:style w:type="paragraph" w:styleId="Heading9">
    <w:name w:val="heading 9"/>
    <w:aliases w:val="Page number"/>
    <w:basedOn w:val="Normal"/>
    <w:next w:val="Normal"/>
    <w:link w:val="Heading9Char"/>
    <w:rsid w:val="0095055D"/>
    <w:pPr>
      <w:numPr>
        <w:numId w:val="1"/>
      </w:numPr>
      <w:spacing w:before="240" w:after="60"/>
      <w:jc w:val="right"/>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5055D"/>
    <w:rPr>
      <w:rFonts w:ascii="Cambria" w:eastAsia="Times New Roman" w:hAnsi="Cambria" w:cs="Times New Roman"/>
      <w:b/>
      <w:bCs/>
      <w:i/>
      <w:caps/>
      <w:kern w:val="32"/>
      <w:sz w:val="32"/>
      <w:szCs w:val="32"/>
    </w:rPr>
  </w:style>
  <w:style w:type="character" w:customStyle="1" w:styleId="Heading2Char">
    <w:name w:val="Heading 2 Char"/>
    <w:link w:val="Heading2"/>
    <w:uiPriority w:val="9"/>
    <w:rsid w:val="00F6757B"/>
    <w:rPr>
      <w:rFonts w:ascii="Arial" w:eastAsia="SimSun" w:hAnsi="Arial" w:cs="Arial"/>
      <w:b/>
      <w:bCs/>
      <w:i/>
      <w:sz w:val="22"/>
      <w:szCs w:val="22"/>
    </w:rPr>
  </w:style>
  <w:style w:type="character" w:customStyle="1" w:styleId="Heading3Char">
    <w:name w:val="Heading 3 Char"/>
    <w:link w:val="Heading3"/>
    <w:uiPriority w:val="9"/>
    <w:rsid w:val="00F6757B"/>
    <w:rPr>
      <w:rFonts w:ascii="Arial Bold" w:eastAsia="Times New Roman" w:hAnsi="Arial Bold" w:cs="Arial"/>
      <w:bCs/>
      <w:sz w:val="22"/>
      <w:szCs w:val="22"/>
      <w:u w:val="single"/>
      <w:lang w:eastAsia="en-US"/>
    </w:rPr>
  </w:style>
  <w:style w:type="character" w:customStyle="1" w:styleId="Heading4Char">
    <w:name w:val="Heading 4 Char"/>
    <w:link w:val="Heading4"/>
    <w:rsid w:val="0095055D"/>
    <w:rPr>
      <w:rFonts w:ascii="Calibri" w:eastAsia="Times New Roman" w:hAnsi="Calibri" w:cs="Times New Roman"/>
      <w:b/>
      <w:i/>
      <w:iCs/>
      <w:sz w:val="24"/>
      <w:szCs w:val="24"/>
    </w:rPr>
  </w:style>
  <w:style w:type="character" w:customStyle="1" w:styleId="Heading5Char">
    <w:name w:val="Heading 5 Char"/>
    <w:link w:val="Heading5"/>
    <w:rsid w:val="0095055D"/>
    <w:rPr>
      <w:rFonts w:ascii="Calibri" w:eastAsia="Times New Roman" w:hAnsi="Calibri" w:cs="Times New Roman"/>
      <w:b/>
      <w:bCs/>
      <w:i/>
      <w:iCs/>
      <w:sz w:val="24"/>
      <w:szCs w:val="26"/>
    </w:rPr>
  </w:style>
  <w:style w:type="character" w:customStyle="1" w:styleId="Heading6Char">
    <w:name w:val="Heading 6 Char"/>
    <w:link w:val="Heading6"/>
    <w:rsid w:val="0095055D"/>
    <w:rPr>
      <w:rFonts w:ascii="Calibri" w:eastAsia="Times New Roman" w:hAnsi="Calibri" w:cs="Times New Roman"/>
      <w:b/>
      <w:bCs/>
    </w:rPr>
  </w:style>
  <w:style w:type="character" w:customStyle="1" w:styleId="Heading9Char">
    <w:name w:val="Heading 9 Char"/>
    <w:aliases w:val="Page number Char"/>
    <w:link w:val="Heading9"/>
    <w:rsid w:val="0095055D"/>
    <w:rPr>
      <w:rFonts w:ascii="Cambria" w:eastAsia="Times New Roman" w:hAnsi="Cambria"/>
      <w:sz w:val="22"/>
      <w:szCs w:val="22"/>
      <w:lang w:eastAsia="en-US"/>
    </w:rPr>
  </w:style>
  <w:style w:type="paragraph" w:styleId="ListParagraph">
    <w:name w:val="List Paragraph"/>
    <w:aliases w:val="BulletPoints,List Paragraph1"/>
    <w:basedOn w:val="Normal"/>
    <w:link w:val="ListParagraphChar"/>
    <w:uiPriority w:val="72"/>
    <w:qFormat/>
    <w:rsid w:val="0095055D"/>
    <w:pPr>
      <w:ind w:left="1004" w:hanging="720"/>
      <w:contextualSpacing/>
    </w:pPr>
  </w:style>
  <w:style w:type="character" w:customStyle="1" w:styleId="ListParagraphChar">
    <w:name w:val="List Paragraph Char"/>
    <w:aliases w:val="BulletPoints Char,List Paragraph1 Char"/>
    <w:link w:val="ListParagraph"/>
    <w:uiPriority w:val="72"/>
    <w:locked/>
    <w:rsid w:val="0095055D"/>
    <w:rPr>
      <w:rFonts w:ascii="Calibri" w:eastAsia="Times New Roman" w:hAnsi="Calibri" w:cs="Times New Roman"/>
      <w:sz w:val="24"/>
      <w:szCs w:val="24"/>
    </w:rPr>
  </w:style>
  <w:style w:type="paragraph" w:styleId="FootnoteText">
    <w:name w:val="footnote text"/>
    <w:aliases w:val="Footnote Text Char1,Footnote Text Char Char,Footnote Text Char2,Footnote Text Char Char1"/>
    <w:basedOn w:val="Normal"/>
    <w:link w:val="FootnoteTextChar"/>
    <w:rsid w:val="0095055D"/>
    <w:rPr>
      <w:sz w:val="20"/>
      <w:szCs w:val="20"/>
    </w:rPr>
  </w:style>
  <w:style w:type="character" w:customStyle="1" w:styleId="FootnoteTextChar">
    <w:name w:val="Footnote Text Char"/>
    <w:aliases w:val="Footnote Text Char1 Char,Footnote Text Char Char Char,Footnote Text Char2 Char,Footnote Text Char Char1 Char"/>
    <w:link w:val="FootnoteText"/>
    <w:rsid w:val="0095055D"/>
    <w:rPr>
      <w:rFonts w:ascii="Calibri" w:eastAsia="Times New Roman" w:hAnsi="Calibri" w:cs="Times New Roman"/>
      <w:sz w:val="20"/>
      <w:szCs w:val="20"/>
    </w:rPr>
  </w:style>
  <w:style w:type="character" w:styleId="FootnoteReference">
    <w:name w:val="footnote reference"/>
    <w:uiPriority w:val="99"/>
    <w:rsid w:val="0095055D"/>
    <w:rPr>
      <w:vertAlign w:val="superscript"/>
    </w:rPr>
  </w:style>
  <w:style w:type="character" w:styleId="CommentReference">
    <w:name w:val="annotation reference"/>
    <w:aliases w:val="Table Title,-H18"/>
    <w:qFormat/>
    <w:rsid w:val="0095055D"/>
    <w:rPr>
      <w:rFonts w:ascii="Arial Narrow" w:hAnsi="Arial Narrow"/>
      <w:b/>
      <w:sz w:val="20"/>
      <w:szCs w:val="16"/>
    </w:rPr>
  </w:style>
  <w:style w:type="paragraph" w:styleId="CommentText">
    <w:name w:val="annotation text"/>
    <w:aliases w:val="- H19"/>
    <w:basedOn w:val="Normal"/>
    <w:link w:val="CommentTextChar"/>
    <w:rsid w:val="0095055D"/>
    <w:rPr>
      <w:sz w:val="20"/>
      <w:szCs w:val="20"/>
    </w:rPr>
  </w:style>
  <w:style w:type="character" w:customStyle="1" w:styleId="CommentTextChar">
    <w:name w:val="Comment Text Char"/>
    <w:aliases w:val="- H19 Char"/>
    <w:link w:val="CommentText"/>
    <w:rsid w:val="0095055D"/>
    <w:rPr>
      <w:rFonts w:ascii="Calibri" w:eastAsia="Times New Roman" w:hAnsi="Calibri" w:cs="Times New Roman"/>
      <w:sz w:val="20"/>
      <w:szCs w:val="20"/>
    </w:rPr>
  </w:style>
  <w:style w:type="paragraph" w:styleId="CommentSubject">
    <w:name w:val="annotation subject"/>
    <w:basedOn w:val="CommentText"/>
    <w:next w:val="CommentText"/>
    <w:link w:val="CommentSubjectChar"/>
    <w:rsid w:val="0095055D"/>
    <w:rPr>
      <w:b/>
      <w:bCs/>
    </w:rPr>
  </w:style>
  <w:style w:type="character" w:customStyle="1" w:styleId="CommentSubjectChar">
    <w:name w:val="Comment Subject Char"/>
    <w:link w:val="CommentSubject"/>
    <w:rsid w:val="0095055D"/>
    <w:rPr>
      <w:rFonts w:ascii="Calibri" w:eastAsia="Times New Roman" w:hAnsi="Calibri" w:cs="Times New Roman"/>
      <w:b/>
      <w:bCs/>
      <w:sz w:val="20"/>
      <w:szCs w:val="20"/>
    </w:rPr>
  </w:style>
  <w:style w:type="paragraph" w:styleId="BalloonText">
    <w:name w:val="Balloon Text"/>
    <w:basedOn w:val="Normal"/>
    <w:link w:val="BalloonTextChar"/>
    <w:rsid w:val="0095055D"/>
    <w:rPr>
      <w:rFonts w:ascii="Tahoma" w:hAnsi="Tahoma" w:cs="Tahoma"/>
      <w:sz w:val="16"/>
      <w:szCs w:val="16"/>
    </w:rPr>
  </w:style>
  <w:style w:type="character" w:customStyle="1" w:styleId="BalloonTextChar">
    <w:name w:val="Balloon Text Char"/>
    <w:link w:val="BalloonText"/>
    <w:rsid w:val="0095055D"/>
    <w:rPr>
      <w:rFonts w:ascii="Tahoma" w:eastAsia="Times New Roman" w:hAnsi="Tahoma" w:cs="Tahoma"/>
      <w:sz w:val="16"/>
      <w:szCs w:val="16"/>
    </w:rPr>
  </w:style>
  <w:style w:type="paragraph" w:customStyle="1" w:styleId="Default">
    <w:name w:val="Default"/>
    <w:rsid w:val="0095055D"/>
    <w:pPr>
      <w:autoSpaceDE w:val="0"/>
      <w:autoSpaceDN w:val="0"/>
      <w:adjustRightInd w:val="0"/>
    </w:pPr>
    <w:rPr>
      <w:rFonts w:eastAsia="Times New Roman" w:cs="Calibri"/>
      <w:color w:val="000000"/>
      <w:sz w:val="24"/>
      <w:szCs w:val="24"/>
    </w:rPr>
  </w:style>
  <w:style w:type="paragraph" w:customStyle="1" w:styleId="CM18">
    <w:name w:val="CM18"/>
    <w:basedOn w:val="Default"/>
    <w:next w:val="Default"/>
    <w:uiPriority w:val="99"/>
    <w:rsid w:val="0095055D"/>
    <w:pPr>
      <w:widowControl w:val="0"/>
    </w:pPr>
    <w:rPr>
      <w:rFonts w:ascii="Arial" w:hAnsi="Arial" w:cs="Arial"/>
      <w:color w:val="auto"/>
    </w:rPr>
  </w:style>
  <w:style w:type="paragraph" w:styleId="Header">
    <w:name w:val="header"/>
    <w:aliases w:val="Page Header,Header title,he=header,cntr/bld"/>
    <w:basedOn w:val="Normal"/>
    <w:link w:val="HeaderChar"/>
    <w:uiPriority w:val="99"/>
    <w:rsid w:val="0095055D"/>
    <w:pPr>
      <w:tabs>
        <w:tab w:val="center" w:pos="4513"/>
        <w:tab w:val="right" w:pos="9026"/>
      </w:tabs>
    </w:pPr>
  </w:style>
  <w:style w:type="character" w:customStyle="1" w:styleId="HeaderChar">
    <w:name w:val="Header Char"/>
    <w:aliases w:val="Page Header Char,Header title Char,he=header Char,cntr/bld Char"/>
    <w:link w:val="Header"/>
    <w:uiPriority w:val="99"/>
    <w:rsid w:val="0095055D"/>
    <w:rPr>
      <w:rFonts w:ascii="Calibri" w:eastAsia="Times New Roman" w:hAnsi="Calibri" w:cs="Times New Roman"/>
      <w:sz w:val="24"/>
      <w:szCs w:val="24"/>
    </w:rPr>
  </w:style>
  <w:style w:type="paragraph" w:styleId="Footer">
    <w:name w:val="footer"/>
    <w:aliases w:val="Page Footer"/>
    <w:basedOn w:val="Normal"/>
    <w:link w:val="FooterChar"/>
    <w:uiPriority w:val="99"/>
    <w:rsid w:val="0095055D"/>
    <w:pPr>
      <w:tabs>
        <w:tab w:val="center" w:pos="4513"/>
        <w:tab w:val="right" w:pos="9026"/>
      </w:tabs>
    </w:pPr>
  </w:style>
  <w:style w:type="character" w:customStyle="1" w:styleId="FooterChar">
    <w:name w:val="Footer Char"/>
    <w:aliases w:val="Page Footer Char"/>
    <w:link w:val="Footer"/>
    <w:uiPriority w:val="99"/>
    <w:rsid w:val="0095055D"/>
    <w:rPr>
      <w:rFonts w:ascii="Calibri" w:eastAsia="Times New Roman" w:hAnsi="Calibri" w:cs="Times New Roman"/>
      <w:sz w:val="24"/>
      <w:szCs w:val="24"/>
    </w:rPr>
  </w:style>
  <w:style w:type="paragraph" w:customStyle="1" w:styleId="Tabletext">
    <w:name w:val="Table text"/>
    <w:basedOn w:val="Normal"/>
    <w:link w:val="TabletextChar1"/>
    <w:qFormat/>
    <w:rsid w:val="0095055D"/>
    <w:pPr>
      <w:spacing w:after="120"/>
    </w:pPr>
    <w:rPr>
      <w:rFonts w:ascii="Arial" w:hAnsi="Arial"/>
      <w:sz w:val="20"/>
      <w:szCs w:val="20"/>
    </w:rPr>
  </w:style>
  <w:style w:type="character" w:customStyle="1" w:styleId="TabletextChar1">
    <w:name w:val="Table text Char1"/>
    <w:link w:val="Tabletext"/>
    <w:rsid w:val="0095055D"/>
    <w:rPr>
      <w:rFonts w:ascii="Arial" w:eastAsia="Times New Roman" w:hAnsi="Arial" w:cs="Times New Roman"/>
      <w:sz w:val="20"/>
      <w:szCs w:val="20"/>
    </w:rPr>
  </w:style>
  <w:style w:type="paragraph" w:styleId="BodyText3">
    <w:name w:val="Body Text 3"/>
    <w:basedOn w:val="Normal"/>
    <w:link w:val="BodyText3Char"/>
    <w:rsid w:val="0095055D"/>
    <w:pPr>
      <w:widowControl w:val="0"/>
    </w:pPr>
    <w:rPr>
      <w:snapToGrid w:val="0"/>
      <w:color w:val="0000FF"/>
      <w:szCs w:val="20"/>
    </w:rPr>
  </w:style>
  <w:style w:type="character" w:customStyle="1" w:styleId="BodyText3Char">
    <w:name w:val="Body Text 3 Char"/>
    <w:link w:val="BodyText3"/>
    <w:rsid w:val="0095055D"/>
    <w:rPr>
      <w:rFonts w:ascii="Calibri" w:eastAsia="Times New Roman" w:hAnsi="Calibri" w:cs="Times New Roman"/>
      <w:snapToGrid w:val="0"/>
      <w:color w:val="0000FF"/>
      <w:sz w:val="24"/>
      <w:szCs w:val="20"/>
    </w:rPr>
  </w:style>
  <w:style w:type="paragraph" w:customStyle="1" w:styleId="TableNotes">
    <w:name w:val="Table Notes"/>
    <w:basedOn w:val="Normal"/>
    <w:next w:val="Normal"/>
    <w:link w:val="TableNotesChar"/>
    <w:rsid w:val="0095055D"/>
    <w:pPr>
      <w:tabs>
        <w:tab w:val="left" w:pos="1134"/>
      </w:tabs>
      <w:ind w:left="1134" w:hanging="1134"/>
    </w:pPr>
    <w:rPr>
      <w:rFonts w:ascii="Verdana" w:eastAsia="SimSun" w:hAnsi="Verdana" w:cs="Arial"/>
      <w:sz w:val="16"/>
      <w:szCs w:val="16"/>
      <w:lang w:val="fi-FI" w:eastAsia="zh-CN"/>
    </w:rPr>
  </w:style>
  <w:style w:type="character" w:customStyle="1" w:styleId="TableNotesChar">
    <w:name w:val="Table Notes Char"/>
    <w:link w:val="TableNotes"/>
    <w:rsid w:val="0095055D"/>
    <w:rPr>
      <w:rFonts w:ascii="Verdana" w:eastAsia="SimSun" w:hAnsi="Verdana" w:cs="Arial"/>
      <w:sz w:val="16"/>
      <w:szCs w:val="16"/>
      <w:lang w:val="fi-FI" w:eastAsia="zh-CN"/>
    </w:rPr>
  </w:style>
  <w:style w:type="paragraph" w:customStyle="1" w:styleId="Tablecaption">
    <w:name w:val="Table caption"/>
    <w:basedOn w:val="Caption"/>
    <w:link w:val="TablecaptionChar"/>
    <w:rsid w:val="0095055D"/>
    <w:pPr>
      <w:keepNext/>
      <w:keepLines/>
      <w:widowControl w:val="0"/>
      <w:tabs>
        <w:tab w:val="left" w:pos="1700"/>
      </w:tabs>
      <w:adjustRightInd w:val="0"/>
      <w:spacing w:before="240"/>
      <w:textAlignment w:val="baseline"/>
    </w:pPr>
    <w:rPr>
      <w:rFonts w:ascii="Verdana" w:eastAsia="SimSun" w:hAnsi="Verdana"/>
      <w:lang w:eastAsia="zh-CN"/>
    </w:rPr>
  </w:style>
  <w:style w:type="paragraph" w:styleId="Caption">
    <w:name w:val="caption"/>
    <w:aliases w:val="Caption Char1 Char,Caption Char Char Char,Caption Char1 Char Char Char,Caption Char Char Char Char Char,Caption Char Char1 Char,Caption Char1 Char1,Caption Char Char Char1,Caption Char Char,Caption Char2 Char,Caption Char1 Char Char Char1,12,- H"/>
    <w:basedOn w:val="Normal"/>
    <w:next w:val="Normal"/>
    <w:link w:val="CaptionChar"/>
    <w:uiPriority w:val="7"/>
    <w:qFormat/>
    <w:rsid w:val="0095055D"/>
    <w:rPr>
      <w:b/>
      <w:bCs/>
      <w:sz w:val="20"/>
      <w:szCs w:val="20"/>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12 Char"/>
    <w:link w:val="Caption"/>
    <w:uiPriority w:val="7"/>
    <w:rsid w:val="0095055D"/>
    <w:rPr>
      <w:rFonts w:ascii="Calibri" w:eastAsia="Times New Roman" w:hAnsi="Calibri" w:cs="Times New Roman"/>
      <w:b/>
      <w:bCs/>
      <w:sz w:val="20"/>
      <w:szCs w:val="20"/>
    </w:rPr>
  </w:style>
  <w:style w:type="character" w:customStyle="1" w:styleId="TablecaptionChar">
    <w:name w:val="Table caption Char"/>
    <w:link w:val="Tablecaption"/>
    <w:rsid w:val="0095055D"/>
    <w:rPr>
      <w:rFonts w:ascii="Verdana" w:eastAsia="SimSun" w:hAnsi="Verdana" w:cs="Times New Roman"/>
      <w:b/>
      <w:bCs/>
      <w:sz w:val="20"/>
      <w:szCs w:val="20"/>
      <w:lang w:eastAsia="zh-CN"/>
    </w:rPr>
  </w:style>
  <w:style w:type="character" w:styleId="Hyperlink">
    <w:name w:val="Hyperlink"/>
    <w:uiPriority w:val="99"/>
    <w:rsid w:val="0095055D"/>
    <w:rPr>
      <w:color w:val="0000FF"/>
      <w:u w:val="single"/>
    </w:rPr>
  </w:style>
  <w:style w:type="character" w:styleId="FollowedHyperlink">
    <w:name w:val="FollowedHyperlink"/>
    <w:rsid w:val="0095055D"/>
    <w:rPr>
      <w:color w:val="800080"/>
      <w:u w:val="single"/>
    </w:rPr>
  </w:style>
  <w:style w:type="table" w:styleId="TableGrid">
    <w:name w:val="Table Grid"/>
    <w:aliases w:val="Table Gridbeth,Summary box"/>
    <w:basedOn w:val="TableNormal"/>
    <w:uiPriority w:val="39"/>
    <w:rsid w:val="0095055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uiPriority w:val="20"/>
    <w:rsid w:val="0095055D"/>
    <w:rPr>
      <w:rFonts w:ascii="Cambria" w:hAnsi="Cambria"/>
      <w:i/>
      <w:iCs/>
      <w:sz w:val="28"/>
      <w:szCs w:val="28"/>
    </w:rPr>
  </w:style>
  <w:style w:type="paragraph" w:customStyle="1" w:styleId="TableText0">
    <w:name w:val="Table Text"/>
    <w:basedOn w:val="Normal"/>
    <w:link w:val="TableTextChar"/>
    <w:qFormat/>
    <w:rsid w:val="0095055D"/>
    <w:pPr>
      <w:keepNext/>
    </w:pPr>
    <w:rPr>
      <w:rFonts w:ascii="Arial Narrow" w:hAnsi="Arial Narrow"/>
      <w:sz w:val="20"/>
      <w:szCs w:val="20"/>
    </w:rPr>
  </w:style>
  <w:style w:type="character" w:customStyle="1" w:styleId="TableTextChar">
    <w:name w:val="Table Text Char"/>
    <w:link w:val="TableText0"/>
    <w:rsid w:val="0095055D"/>
    <w:rPr>
      <w:rFonts w:ascii="Arial Narrow" w:eastAsia="Times New Roman" w:hAnsi="Arial Narrow" w:cs="Times New Roman"/>
      <w:sz w:val="20"/>
      <w:szCs w:val="20"/>
    </w:rPr>
  </w:style>
  <w:style w:type="character" w:styleId="IntenseReference">
    <w:name w:val="Intense Reference"/>
    <w:uiPriority w:val="32"/>
    <w:rsid w:val="0095055D"/>
    <w:rPr>
      <w:b/>
      <w:bCs/>
      <w:smallCaps/>
      <w:color w:val="C0504D"/>
      <w:spacing w:val="5"/>
      <w:u w:val="single"/>
    </w:rPr>
  </w:style>
  <w:style w:type="paragraph" w:styleId="TOCHeading">
    <w:name w:val="TOC Heading"/>
    <w:basedOn w:val="Heading1"/>
    <w:next w:val="Normal"/>
    <w:uiPriority w:val="39"/>
    <w:qFormat/>
    <w:rsid w:val="0095055D"/>
    <w:pPr>
      <w:keepLines/>
      <w:spacing w:before="480" w:after="0" w:line="276" w:lineRule="auto"/>
      <w:outlineLvl w:val="9"/>
    </w:pPr>
    <w:rPr>
      <w:color w:val="365F91"/>
      <w:kern w:val="0"/>
      <w:sz w:val="28"/>
      <w:szCs w:val="28"/>
      <w:lang w:val="en-US"/>
    </w:rPr>
  </w:style>
  <w:style w:type="paragraph" w:styleId="TOC1">
    <w:name w:val="toc 1"/>
    <w:basedOn w:val="Normal"/>
    <w:next w:val="Normal"/>
    <w:autoRedefine/>
    <w:uiPriority w:val="39"/>
    <w:qFormat/>
    <w:rsid w:val="006A1202"/>
    <w:pPr>
      <w:tabs>
        <w:tab w:val="right" w:leader="dot" w:pos="8303"/>
      </w:tabs>
    </w:pPr>
    <w:rPr>
      <w:b/>
      <w:noProof/>
    </w:rPr>
  </w:style>
  <w:style w:type="paragraph" w:styleId="TOC2">
    <w:name w:val="toc 2"/>
    <w:basedOn w:val="Normal"/>
    <w:next w:val="Normal"/>
    <w:autoRedefine/>
    <w:uiPriority w:val="39"/>
    <w:qFormat/>
    <w:rsid w:val="0095055D"/>
    <w:pPr>
      <w:tabs>
        <w:tab w:val="left" w:pos="873"/>
        <w:tab w:val="left" w:pos="1100"/>
        <w:tab w:val="right" w:leader="dot" w:pos="8303"/>
      </w:tabs>
      <w:ind w:left="873" w:hanging="635"/>
    </w:pPr>
  </w:style>
  <w:style w:type="paragraph" w:styleId="TOC3">
    <w:name w:val="toc 3"/>
    <w:basedOn w:val="Normal"/>
    <w:next w:val="Normal"/>
    <w:autoRedefine/>
    <w:uiPriority w:val="39"/>
    <w:unhideWhenUsed/>
    <w:qFormat/>
    <w:rsid w:val="0095055D"/>
    <w:pPr>
      <w:tabs>
        <w:tab w:val="left" w:pos="1320"/>
        <w:tab w:val="right" w:leader="dot" w:pos="8303"/>
      </w:tabs>
      <w:ind w:left="873"/>
      <w:contextualSpacing/>
    </w:pPr>
    <w:rPr>
      <w:sz w:val="22"/>
      <w:szCs w:val="22"/>
      <w:lang w:val="en-US"/>
    </w:rPr>
  </w:style>
  <w:style w:type="paragraph" w:customStyle="1" w:styleId="Style1">
    <w:name w:val="Style1"/>
    <w:basedOn w:val="Heading2"/>
    <w:link w:val="Style1Char"/>
    <w:qFormat/>
    <w:rsid w:val="0095055D"/>
    <w:rPr>
      <w:color w:val="000000"/>
      <w:sz w:val="40"/>
      <w:szCs w:val="40"/>
    </w:rPr>
  </w:style>
  <w:style w:type="character" w:customStyle="1" w:styleId="Style1Char">
    <w:name w:val="Style1 Char"/>
    <w:link w:val="Style1"/>
    <w:rsid w:val="0095055D"/>
    <w:rPr>
      <w:rFonts w:ascii="Cambria" w:eastAsia="Times New Roman" w:hAnsi="Cambria" w:cs="Times New Roman"/>
      <w:bCs/>
      <w:i/>
      <w:color w:val="000000"/>
      <w:sz w:val="40"/>
      <w:szCs w:val="40"/>
      <w:lang w:eastAsia="en-AU"/>
    </w:rPr>
  </w:style>
  <w:style w:type="paragraph" w:styleId="BodyText">
    <w:name w:val="Body Text"/>
    <w:basedOn w:val="Normal"/>
    <w:link w:val="BodyTextChar"/>
    <w:rsid w:val="0095055D"/>
    <w:pPr>
      <w:spacing w:after="120"/>
    </w:pPr>
  </w:style>
  <w:style w:type="character" w:customStyle="1" w:styleId="BodyTextChar">
    <w:name w:val="Body Text Char"/>
    <w:link w:val="BodyText"/>
    <w:rsid w:val="0095055D"/>
    <w:rPr>
      <w:rFonts w:ascii="Calibri" w:eastAsia="Times New Roman" w:hAnsi="Calibri" w:cs="Times New Roman"/>
      <w:sz w:val="24"/>
      <w:szCs w:val="24"/>
    </w:rPr>
  </w:style>
  <w:style w:type="paragraph" w:styleId="BodyText2">
    <w:name w:val="Body Text 2"/>
    <w:basedOn w:val="Normal"/>
    <w:link w:val="BodyText2Char"/>
    <w:rsid w:val="0095055D"/>
    <w:pPr>
      <w:spacing w:after="120" w:line="480" w:lineRule="auto"/>
    </w:pPr>
  </w:style>
  <w:style w:type="character" w:customStyle="1" w:styleId="BodyText2Char">
    <w:name w:val="Body Text 2 Char"/>
    <w:link w:val="BodyText2"/>
    <w:rsid w:val="0095055D"/>
    <w:rPr>
      <w:rFonts w:ascii="Calibri" w:eastAsia="Times New Roman" w:hAnsi="Calibri" w:cs="Times New Roman"/>
      <w:sz w:val="24"/>
      <w:szCs w:val="24"/>
    </w:rPr>
  </w:style>
  <w:style w:type="paragraph" w:styleId="BodyTextIndent">
    <w:name w:val="Body Text Indent"/>
    <w:basedOn w:val="Normal"/>
    <w:link w:val="BodyTextIndentChar"/>
    <w:rsid w:val="0095055D"/>
    <w:pPr>
      <w:spacing w:after="120"/>
      <w:ind w:left="283"/>
    </w:pPr>
  </w:style>
  <w:style w:type="character" w:customStyle="1" w:styleId="BodyTextIndentChar">
    <w:name w:val="Body Text Indent Char"/>
    <w:link w:val="BodyTextIndent"/>
    <w:rsid w:val="0095055D"/>
    <w:rPr>
      <w:rFonts w:ascii="Calibri" w:eastAsia="Times New Roman" w:hAnsi="Calibri" w:cs="Times New Roman"/>
      <w:sz w:val="24"/>
      <w:szCs w:val="24"/>
    </w:rPr>
  </w:style>
  <w:style w:type="paragraph" w:styleId="NormalWeb">
    <w:name w:val="Normal (Web)"/>
    <w:basedOn w:val="Normal"/>
    <w:uiPriority w:val="99"/>
    <w:rsid w:val="0095055D"/>
    <w:pPr>
      <w:spacing w:line="360" w:lineRule="auto"/>
    </w:pPr>
    <w:rPr>
      <w:rFonts w:ascii="Times New Roman" w:hAnsi="Times New Roman"/>
    </w:rPr>
  </w:style>
  <w:style w:type="paragraph" w:customStyle="1" w:styleId="TableText1">
    <w:name w:val="TableText"/>
    <w:basedOn w:val="Normal"/>
    <w:link w:val="TableTextChar0"/>
    <w:rsid w:val="0095055D"/>
    <w:pPr>
      <w:keepNext/>
      <w:spacing w:before="40" w:after="40"/>
    </w:pPr>
    <w:rPr>
      <w:rFonts w:ascii="Arial Narrow" w:hAnsi="Arial Narrow" w:cs="Arial Narrow"/>
      <w:sz w:val="20"/>
      <w:szCs w:val="20"/>
    </w:rPr>
  </w:style>
  <w:style w:type="character" w:customStyle="1" w:styleId="TableTextChar0">
    <w:name w:val="TableText Char"/>
    <w:link w:val="TableText1"/>
    <w:uiPriority w:val="99"/>
    <w:rsid w:val="0095055D"/>
    <w:rPr>
      <w:rFonts w:ascii="Arial Narrow" w:eastAsia="Times New Roman" w:hAnsi="Arial Narrow" w:cs="Arial Narrow"/>
      <w:sz w:val="20"/>
      <w:szCs w:val="20"/>
    </w:rPr>
  </w:style>
  <w:style w:type="paragraph" w:styleId="Date">
    <w:name w:val="Date"/>
    <w:basedOn w:val="Normal"/>
    <w:next w:val="Normal"/>
    <w:link w:val="DateChar"/>
    <w:rsid w:val="0095055D"/>
    <w:pPr>
      <w:spacing w:line="360" w:lineRule="auto"/>
    </w:pPr>
    <w:rPr>
      <w:rFonts w:ascii="Times New Roman" w:hAnsi="Times New Roman"/>
      <w:sz w:val="22"/>
      <w:szCs w:val="23"/>
    </w:rPr>
  </w:style>
  <w:style w:type="character" w:customStyle="1" w:styleId="DateChar">
    <w:name w:val="Date Char"/>
    <w:link w:val="Date"/>
    <w:rsid w:val="0095055D"/>
    <w:rPr>
      <w:rFonts w:ascii="Times New Roman" w:eastAsia="Times New Roman" w:hAnsi="Times New Roman" w:cs="Times New Roman"/>
      <w:szCs w:val="23"/>
    </w:rPr>
  </w:style>
  <w:style w:type="paragraph" w:customStyle="1" w:styleId="Table">
    <w:name w:val="Table"/>
    <w:basedOn w:val="Normal"/>
    <w:link w:val="TableChar"/>
    <w:rsid w:val="0095055D"/>
    <w:pPr>
      <w:widowControl w:val="0"/>
      <w:suppressAutoHyphens/>
      <w:overflowPunct w:val="0"/>
      <w:autoSpaceDE w:val="0"/>
      <w:autoSpaceDN w:val="0"/>
      <w:adjustRightInd w:val="0"/>
      <w:spacing w:before="60" w:after="60" w:line="360" w:lineRule="auto"/>
    </w:pPr>
    <w:rPr>
      <w:rFonts w:ascii="Arial" w:hAnsi="Arial"/>
      <w:sz w:val="22"/>
      <w:szCs w:val="20"/>
      <w:lang w:val="en-US"/>
    </w:rPr>
  </w:style>
  <w:style w:type="character" w:customStyle="1" w:styleId="TableChar">
    <w:name w:val="Table Char"/>
    <w:link w:val="Table"/>
    <w:locked/>
    <w:rsid w:val="0095055D"/>
    <w:rPr>
      <w:rFonts w:ascii="Arial" w:eastAsia="Times New Roman" w:hAnsi="Arial" w:cs="Times New Roman"/>
      <w:szCs w:val="20"/>
      <w:lang w:val="en-US"/>
    </w:rPr>
  </w:style>
  <w:style w:type="table" w:styleId="LightList-Accent3">
    <w:name w:val="Light List Accent 3"/>
    <w:basedOn w:val="TableNormal"/>
    <w:uiPriority w:val="61"/>
    <w:rsid w:val="0095055D"/>
    <w:rPr>
      <w:rFonts w:eastAsia="Times New Roman"/>
      <w:lang w:val="en-US" w:bidi="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TableWeb1">
    <w:name w:val="Table Web 1"/>
    <w:basedOn w:val="TableNormal"/>
    <w:rsid w:val="0095055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Heading">
    <w:name w:val="TableHeading"/>
    <w:basedOn w:val="TableText1"/>
    <w:rsid w:val="0095055D"/>
    <w:rPr>
      <w:b/>
      <w:bCs/>
    </w:rPr>
  </w:style>
  <w:style w:type="paragraph" w:styleId="TOC4">
    <w:name w:val="toc 4"/>
    <w:basedOn w:val="Normal"/>
    <w:next w:val="Normal"/>
    <w:autoRedefine/>
    <w:uiPriority w:val="39"/>
    <w:rsid w:val="0095055D"/>
    <w:pPr>
      <w:tabs>
        <w:tab w:val="right" w:leader="dot" w:pos="8303"/>
      </w:tabs>
      <w:ind w:left="720"/>
    </w:pPr>
  </w:style>
  <w:style w:type="paragraph" w:styleId="TOC5">
    <w:name w:val="toc 5"/>
    <w:basedOn w:val="Normal"/>
    <w:next w:val="Normal"/>
    <w:autoRedefine/>
    <w:uiPriority w:val="39"/>
    <w:unhideWhenUsed/>
    <w:rsid w:val="0095055D"/>
    <w:pPr>
      <w:spacing w:after="100" w:line="276" w:lineRule="auto"/>
      <w:ind w:left="880"/>
    </w:pPr>
    <w:rPr>
      <w:sz w:val="22"/>
      <w:szCs w:val="22"/>
      <w:lang w:eastAsia="en-AU"/>
    </w:rPr>
  </w:style>
  <w:style w:type="paragraph" w:styleId="TOC6">
    <w:name w:val="toc 6"/>
    <w:basedOn w:val="Normal"/>
    <w:next w:val="Normal"/>
    <w:autoRedefine/>
    <w:uiPriority w:val="39"/>
    <w:unhideWhenUsed/>
    <w:rsid w:val="0095055D"/>
    <w:pPr>
      <w:spacing w:after="100" w:line="276" w:lineRule="auto"/>
      <w:ind w:left="1100"/>
    </w:pPr>
    <w:rPr>
      <w:sz w:val="22"/>
      <w:szCs w:val="22"/>
      <w:lang w:eastAsia="en-AU"/>
    </w:rPr>
  </w:style>
  <w:style w:type="paragraph" w:styleId="TOC7">
    <w:name w:val="toc 7"/>
    <w:basedOn w:val="Normal"/>
    <w:next w:val="Normal"/>
    <w:autoRedefine/>
    <w:uiPriority w:val="39"/>
    <w:unhideWhenUsed/>
    <w:rsid w:val="0095055D"/>
    <w:pPr>
      <w:spacing w:after="100" w:line="276" w:lineRule="auto"/>
      <w:ind w:left="1320"/>
    </w:pPr>
    <w:rPr>
      <w:sz w:val="22"/>
      <w:szCs w:val="22"/>
      <w:lang w:eastAsia="en-AU"/>
    </w:rPr>
  </w:style>
  <w:style w:type="paragraph" w:styleId="TOC8">
    <w:name w:val="toc 8"/>
    <w:basedOn w:val="Normal"/>
    <w:next w:val="Normal"/>
    <w:autoRedefine/>
    <w:uiPriority w:val="39"/>
    <w:unhideWhenUsed/>
    <w:rsid w:val="0095055D"/>
    <w:pPr>
      <w:spacing w:after="100" w:line="276" w:lineRule="auto"/>
      <w:ind w:left="1540"/>
    </w:pPr>
    <w:rPr>
      <w:sz w:val="22"/>
      <w:szCs w:val="22"/>
      <w:lang w:eastAsia="en-AU"/>
    </w:rPr>
  </w:style>
  <w:style w:type="paragraph" w:styleId="TOC9">
    <w:name w:val="toc 9"/>
    <w:basedOn w:val="Normal"/>
    <w:next w:val="Normal"/>
    <w:autoRedefine/>
    <w:uiPriority w:val="39"/>
    <w:unhideWhenUsed/>
    <w:rsid w:val="0095055D"/>
    <w:pPr>
      <w:spacing w:after="100" w:line="276" w:lineRule="auto"/>
      <w:ind w:left="1760"/>
    </w:pPr>
    <w:rPr>
      <w:sz w:val="22"/>
      <w:szCs w:val="22"/>
      <w:lang w:eastAsia="en-AU"/>
    </w:rPr>
  </w:style>
  <w:style w:type="paragraph" w:styleId="Subtitle">
    <w:name w:val="Subtitle"/>
    <w:aliases w:val="PBAC Paragraph"/>
    <w:basedOn w:val="Normal"/>
    <w:next w:val="Normal"/>
    <w:link w:val="SubtitleChar"/>
    <w:uiPriority w:val="11"/>
    <w:qFormat/>
    <w:rsid w:val="0095055D"/>
    <w:pPr>
      <w:spacing w:after="60"/>
      <w:jc w:val="center"/>
      <w:outlineLvl w:val="1"/>
    </w:pPr>
    <w:rPr>
      <w:rFonts w:ascii="Cambria" w:hAnsi="Cambria"/>
    </w:rPr>
  </w:style>
  <w:style w:type="character" w:customStyle="1" w:styleId="SubtitleChar">
    <w:name w:val="Subtitle Char"/>
    <w:aliases w:val="PBAC Paragraph Char"/>
    <w:link w:val="Subtitle"/>
    <w:rsid w:val="0095055D"/>
    <w:rPr>
      <w:rFonts w:ascii="Cambria" w:eastAsia="Times New Roman" w:hAnsi="Cambria" w:cs="Times New Roman"/>
      <w:sz w:val="24"/>
      <w:szCs w:val="24"/>
    </w:rPr>
  </w:style>
  <w:style w:type="paragraph" w:customStyle="1" w:styleId="TableFooter">
    <w:name w:val="Table Footer"/>
    <w:basedOn w:val="Normal"/>
    <w:uiPriority w:val="4"/>
    <w:qFormat/>
    <w:rsid w:val="0095055D"/>
    <w:pPr>
      <w:widowControl w:val="0"/>
      <w:spacing w:before="20"/>
    </w:pPr>
    <w:rPr>
      <w:rFonts w:ascii="Arial Narrow" w:eastAsia="TimesNewRoman" w:hAnsi="Arial Narrow" w:cs="Arial"/>
      <w:snapToGrid w:val="0"/>
      <w:sz w:val="18"/>
      <w:szCs w:val="18"/>
      <w:lang w:eastAsia="en-GB"/>
    </w:rPr>
  </w:style>
  <w:style w:type="paragraph" w:customStyle="1" w:styleId="Paragraphheading1">
    <w:name w:val="Paragraph heading 1"/>
    <w:qFormat/>
    <w:rsid w:val="005F6D97"/>
    <w:pPr>
      <w:ind w:left="720" w:hanging="720"/>
      <w:outlineLvl w:val="0"/>
    </w:pPr>
    <w:rPr>
      <w:rFonts w:ascii="Calibri Light" w:eastAsia="Times New Roman" w:hAnsi="Calibri Light" w:cs="Arial"/>
      <w:i/>
      <w:snapToGrid w:val="0"/>
      <w:sz w:val="32"/>
      <w:szCs w:val="32"/>
      <w:lang w:eastAsia="en-US"/>
    </w:rPr>
  </w:style>
  <w:style w:type="paragraph" w:styleId="Quote">
    <w:name w:val="Quote"/>
    <w:basedOn w:val="Normal"/>
    <w:next w:val="Normal"/>
    <w:link w:val="QuoteChar"/>
    <w:uiPriority w:val="29"/>
    <w:rsid w:val="0095055D"/>
    <w:rPr>
      <w:i/>
      <w:iCs/>
      <w:color w:val="000000"/>
    </w:rPr>
  </w:style>
  <w:style w:type="character" w:customStyle="1" w:styleId="QuoteChar">
    <w:name w:val="Quote Char"/>
    <w:link w:val="Quote"/>
    <w:uiPriority w:val="29"/>
    <w:rsid w:val="0095055D"/>
    <w:rPr>
      <w:rFonts w:ascii="Calibri" w:eastAsia="Times New Roman" w:hAnsi="Calibri" w:cs="Times New Roman"/>
      <w:i/>
      <w:iCs/>
      <w:color w:val="000000"/>
      <w:sz w:val="24"/>
      <w:szCs w:val="24"/>
    </w:rPr>
  </w:style>
  <w:style w:type="paragraph" w:customStyle="1" w:styleId="unboldsubheading">
    <w:name w:val="unbold subheading"/>
    <w:basedOn w:val="Heading3"/>
    <w:next w:val="Heading3"/>
    <w:link w:val="unboldsubheadingChar"/>
    <w:rsid w:val="0095055D"/>
    <w:rPr>
      <w:sz w:val="24"/>
    </w:rPr>
  </w:style>
  <w:style w:type="character" w:customStyle="1" w:styleId="unboldsubheadingChar">
    <w:name w:val="unbold subheading Char"/>
    <w:link w:val="unboldsubheading"/>
    <w:rsid w:val="0095055D"/>
    <w:rPr>
      <w:rFonts w:ascii="Calibri" w:eastAsia="Times New Roman" w:hAnsi="Calibri" w:cs="Times New Roman"/>
      <w:b/>
      <w:bCs/>
      <w:smallCaps/>
      <w:sz w:val="24"/>
    </w:rPr>
  </w:style>
  <w:style w:type="paragraph" w:customStyle="1" w:styleId="PBACheading1">
    <w:name w:val="PBAC heading 1"/>
    <w:qFormat/>
    <w:rsid w:val="0095055D"/>
    <w:pPr>
      <w:ind w:left="720" w:hanging="720"/>
    </w:pPr>
    <w:rPr>
      <w:rFonts w:ascii="Arial" w:eastAsia="Times New Roman" w:hAnsi="Arial" w:cs="Arial"/>
      <w:snapToGrid w:val="0"/>
      <w:sz w:val="22"/>
      <w:szCs w:val="22"/>
      <w:lang w:eastAsia="en-US"/>
    </w:rPr>
  </w:style>
  <w:style w:type="paragraph" w:customStyle="1" w:styleId="TableHeading0">
    <w:name w:val="Table Heading"/>
    <w:basedOn w:val="TableText0"/>
    <w:link w:val="TableHeadingChar"/>
    <w:qFormat/>
    <w:rsid w:val="0095055D"/>
    <w:rPr>
      <w:rFonts w:eastAsia="SimSun" w:cs="Arial"/>
      <w:b/>
      <w:lang w:eastAsia="en-AU" w:bidi="en-US"/>
    </w:rPr>
  </w:style>
  <w:style w:type="character" w:customStyle="1" w:styleId="TableHeadingChar">
    <w:name w:val="Table Heading Char"/>
    <w:link w:val="TableHeading0"/>
    <w:locked/>
    <w:rsid w:val="0095055D"/>
    <w:rPr>
      <w:rFonts w:ascii="Arial Narrow" w:eastAsia="SimSun" w:hAnsi="Arial Narrow" w:cs="Arial"/>
      <w:b/>
      <w:sz w:val="20"/>
      <w:szCs w:val="20"/>
      <w:lang w:eastAsia="en-AU" w:bidi="en-US"/>
    </w:rPr>
  </w:style>
  <w:style w:type="paragraph" w:customStyle="1" w:styleId="Sources">
    <w:name w:val="Sources"/>
    <w:basedOn w:val="Normal"/>
    <w:rsid w:val="0095055D"/>
    <w:pPr>
      <w:spacing w:before="120" w:after="120"/>
    </w:pPr>
    <w:rPr>
      <w:rFonts w:ascii="Arial" w:eastAsia="Calibri" w:hAnsi="Arial"/>
      <w:sz w:val="16"/>
      <w:szCs w:val="22"/>
    </w:rPr>
  </w:style>
  <w:style w:type="paragraph" w:customStyle="1" w:styleId="FigureA">
    <w:name w:val="Figure A"/>
    <w:basedOn w:val="Normal"/>
    <w:next w:val="Normal"/>
    <w:rsid w:val="0095055D"/>
    <w:pPr>
      <w:numPr>
        <w:numId w:val="7"/>
      </w:numPr>
      <w:tabs>
        <w:tab w:val="left" w:pos="1134"/>
      </w:tabs>
      <w:spacing w:after="120"/>
      <w:ind w:left="1134" w:hanging="1134"/>
    </w:pPr>
    <w:rPr>
      <w:rFonts w:ascii="Arial Bold" w:hAnsi="Arial Bold"/>
      <w:b/>
      <w:sz w:val="20"/>
    </w:rPr>
  </w:style>
  <w:style w:type="paragraph" w:customStyle="1" w:styleId="PBACHeading10">
    <w:name w:val="PBAC Heading 1"/>
    <w:qFormat/>
    <w:rsid w:val="0095055D"/>
    <w:pPr>
      <w:ind w:left="720" w:hanging="720"/>
    </w:pPr>
    <w:rPr>
      <w:rFonts w:ascii="Arial" w:eastAsia="Times New Roman" w:hAnsi="Arial" w:cs="Arial"/>
      <w:b/>
      <w:snapToGrid w:val="0"/>
      <w:sz w:val="22"/>
      <w:szCs w:val="22"/>
      <w:lang w:eastAsia="en-US"/>
    </w:rPr>
  </w:style>
  <w:style w:type="paragraph" w:customStyle="1" w:styleId="Tabletitle">
    <w:name w:val="Table title"/>
    <w:basedOn w:val="Normal"/>
    <w:next w:val="Normal"/>
    <w:link w:val="TabletitleChar"/>
    <w:rsid w:val="0095055D"/>
    <w:pPr>
      <w:tabs>
        <w:tab w:val="num" w:pos="720"/>
      </w:tabs>
      <w:spacing w:before="240" w:after="120"/>
    </w:pPr>
    <w:rPr>
      <w:rFonts w:ascii="Arial" w:hAnsi="Arial" w:cs="Arial"/>
      <w:b/>
      <w:sz w:val="20"/>
      <w:szCs w:val="22"/>
      <w:lang w:val="en-GB" w:eastAsia="en-GB"/>
    </w:rPr>
  </w:style>
  <w:style w:type="character" w:customStyle="1" w:styleId="TabletitleChar">
    <w:name w:val="Table title Char"/>
    <w:link w:val="Tabletitle"/>
    <w:rsid w:val="0095055D"/>
    <w:rPr>
      <w:rFonts w:ascii="Arial" w:eastAsia="Times New Roman" w:hAnsi="Arial" w:cs="Arial"/>
      <w:b/>
      <w:sz w:val="20"/>
      <w:lang w:val="en-GB" w:eastAsia="en-GB"/>
    </w:rPr>
  </w:style>
  <w:style w:type="paragraph" w:customStyle="1" w:styleId="Guidelines">
    <w:name w:val="Guidelines"/>
    <w:basedOn w:val="Normal"/>
    <w:link w:val="GuidelinesChar"/>
    <w:rsid w:val="0095055D"/>
    <w:pPr>
      <w:tabs>
        <w:tab w:val="num" w:pos="1080"/>
      </w:tabs>
      <w:ind w:left="720" w:hanging="360"/>
    </w:pPr>
    <w:rPr>
      <w:rFonts w:ascii="Garamond" w:hAnsi="Garamond"/>
      <w:color w:val="8496B0"/>
    </w:rPr>
  </w:style>
  <w:style w:type="character" w:customStyle="1" w:styleId="GuidelinesChar">
    <w:name w:val="Guidelines Char"/>
    <w:link w:val="Guidelines"/>
    <w:rsid w:val="0095055D"/>
    <w:rPr>
      <w:rFonts w:ascii="Garamond" w:eastAsia="Times New Roman" w:hAnsi="Garamond" w:cs="Times New Roman"/>
      <w:color w:val="8496B0"/>
      <w:sz w:val="24"/>
      <w:szCs w:val="24"/>
    </w:rPr>
  </w:style>
  <w:style w:type="paragraph" w:customStyle="1" w:styleId="Tabletextbold">
    <w:name w:val="Table text bold"/>
    <w:basedOn w:val="Normal"/>
    <w:link w:val="TabletextboldChar"/>
    <w:rsid w:val="0095055D"/>
    <w:pPr>
      <w:keepNext/>
      <w:jc w:val="center"/>
    </w:pPr>
    <w:rPr>
      <w:rFonts w:ascii="Arial Narrow" w:hAnsi="Arial Narrow" w:cs="Arial"/>
      <w:b/>
      <w:sz w:val="20"/>
      <w:szCs w:val="20"/>
    </w:rPr>
  </w:style>
  <w:style w:type="character" w:customStyle="1" w:styleId="TabletextboldChar">
    <w:name w:val="Table text bold Char"/>
    <w:link w:val="Tabletextbold"/>
    <w:rsid w:val="0095055D"/>
    <w:rPr>
      <w:rFonts w:ascii="Arial Narrow" w:eastAsia="Times New Roman" w:hAnsi="Arial Narrow" w:cs="Arial"/>
      <w:b/>
      <w:sz w:val="20"/>
      <w:szCs w:val="20"/>
    </w:rPr>
  </w:style>
  <w:style w:type="character" w:customStyle="1" w:styleId="TabletextChar2">
    <w:name w:val="Table text Char"/>
    <w:rsid w:val="0095055D"/>
    <w:rPr>
      <w:rFonts w:ascii="Arial Narrow" w:eastAsia="Times New Roman" w:hAnsi="Arial Narrow" w:cs="Times New Roman"/>
      <w:sz w:val="20"/>
      <w:szCs w:val="24"/>
    </w:rPr>
  </w:style>
  <w:style w:type="paragraph" w:customStyle="1" w:styleId="Tabletextboldleft">
    <w:name w:val="Table text bold left"/>
    <w:basedOn w:val="Tabletextbold"/>
    <w:link w:val="TabletextboldleftChar"/>
    <w:rsid w:val="0095055D"/>
    <w:pPr>
      <w:jc w:val="left"/>
    </w:pPr>
  </w:style>
  <w:style w:type="character" w:customStyle="1" w:styleId="TabletextboldleftChar">
    <w:name w:val="Table text bold left Char"/>
    <w:link w:val="Tabletextboldleft"/>
    <w:rsid w:val="0095055D"/>
    <w:rPr>
      <w:rFonts w:ascii="Arial Narrow" w:eastAsia="Times New Roman" w:hAnsi="Arial Narrow" w:cs="Arial"/>
      <w:b/>
      <w:sz w:val="20"/>
      <w:szCs w:val="20"/>
    </w:rPr>
  </w:style>
  <w:style w:type="paragraph" w:styleId="Revision">
    <w:name w:val="Revision"/>
    <w:hidden/>
    <w:uiPriority w:val="99"/>
    <w:semiHidden/>
    <w:rsid w:val="0095055D"/>
    <w:rPr>
      <w:rFonts w:eastAsia="Times New Roman"/>
      <w:sz w:val="24"/>
      <w:szCs w:val="24"/>
      <w:lang w:eastAsia="en-US"/>
    </w:rPr>
  </w:style>
  <w:style w:type="table" w:customStyle="1" w:styleId="Table-HERONplain">
    <w:name w:val="Table - HERON plain"/>
    <w:basedOn w:val="TableNormal"/>
    <w:uiPriority w:val="99"/>
    <w:qFormat/>
    <w:rsid w:val="0095055D"/>
    <w:rPr>
      <w:rFonts w:ascii="Tahoma" w:eastAsia="Tahoma" w:hAnsi="Tahoma"/>
      <w:sz w:val="16"/>
      <w:lang w:val="en-GB" w:eastAsia="en-GB"/>
    </w:rPr>
    <w:tblPr>
      <w:tblStyleRowBandSize w:val="1"/>
      <w:tblInd w:w="113" w:type="dxa"/>
      <w:tblBorders>
        <w:top w:val="single" w:sz="8" w:space="0" w:color="002C77"/>
        <w:left w:val="single" w:sz="8" w:space="0" w:color="002C77"/>
        <w:bottom w:val="single" w:sz="8" w:space="0" w:color="002C77"/>
        <w:right w:val="single" w:sz="8" w:space="0" w:color="002C77"/>
        <w:insideH w:val="single" w:sz="8" w:space="0" w:color="002C77"/>
        <w:insideV w:val="single" w:sz="8" w:space="0" w:color="002C77"/>
      </w:tblBorders>
    </w:tblPr>
    <w:trPr>
      <w:cantSplit/>
    </w:trPr>
    <w:tcPr>
      <w:shd w:val="clear" w:color="auto" w:fill="auto"/>
      <w:vAlign w:val="center"/>
    </w:tcPr>
    <w:tblStylePr w:type="firstRow">
      <w:rPr>
        <w:rFonts w:ascii="MS PGothic" w:hAnsi="MS PGothic"/>
        <w:b w:val="0"/>
        <w:sz w:val="16"/>
      </w:rPr>
      <w:tblPr/>
      <w:trPr>
        <w:cantSplit w:val="0"/>
        <w:tblHeader/>
      </w:trPr>
      <w:tcPr>
        <w:shd w:val="clear" w:color="auto" w:fill="C7C7C7"/>
      </w:tcPr>
    </w:tblStylePr>
    <w:tblStylePr w:type="lastRow">
      <w:rPr>
        <w:rFonts w:ascii="MS PGothic" w:hAnsi="MS PGothic"/>
        <w:sz w:val="16"/>
      </w:rPr>
      <w:tblPr/>
      <w:tcPr>
        <w:shd w:val="clear" w:color="auto" w:fill="DEDEDE"/>
      </w:tcPr>
    </w:tblStylePr>
    <w:tblStylePr w:type="firstCol">
      <w:rPr>
        <w:b/>
      </w:rPr>
      <w:tblPr/>
      <w:tcPr>
        <w:shd w:val="clear" w:color="auto" w:fill="BFBFBF"/>
      </w:tcPr>
    </w:tblStylePr>
    <w:tblStylePr w:type="band2Horz">
      <w:rPr>
        <w:rFonts w:ascii="MS PGothic" w:hAnsi="MS PGothic"/>
        <w:sz w:val="16"/>
      </w:rPr>
    </w:tblStylePr>
  </w:style>
  <w:style w:type="character" w:styleId="PlaceholderText">
    <w:name w:val="Placeholder Text"/>
    <w:uiPriority w:val="99"/>
    <w:semiHidden/>
    <w:rsid w:val="0095055D"/>
    <w:rPr>
      <w:color w:val="808080"/>
    </w:rPr>
  </w:style>
  <w:style w:type="character" w:customStyle="1" w:styleId="apple-converted-space">
    <w:name w:val="apple-converted-space"/>
    <w:basedOn w:val="DefaultParagraphFont"/>
    <w:rsid w:val="0095055D"/>
  </w:style>
  <w:style w:type="paragraph" w:customStyle="1" w:styleId="Equation-H22">
    <w:name w:val="Equation - H22"/>
    <w:basedOn w:val="BodyText"/>
    <w:next w:val="Normal"/>
    <w:autoRedefine/>
    <w:uiPriority w:val="1"/>
    <w:rsid w:val="0095055D"/>
    <w:pPr>
      <w:keepLines/>
      <w:widowControl w:val="0"/>
      <w:spacing w:before="240"/>
      <w:jc w:val="center"/>
    </w:pPr>
    <w:rPr>
      <w:rFonts w:ascii="Book Antiqua" w:hAnsi="Book Antiqua"/>
      <w:i/>
      <w:color w:val="000000"/>
      <w:sz w:val="22"/>
      <w:lang w:val="en-GB"/>
    </w:rPr>
  </w:style>
  <w:style w:type="paragraph" w:customStyle="1" w:styleId="Tableheadertwo">
    <w:name w:val="Table header two"/>
    <w:basedOn w:val="BodyText"/>
    <w:next w:val="BodyText"/>
    <w:uiPriority w:val="99"/>
    <w:rsid w:val="0095055D"/>
    <w:pPr>
      <w:tabs>
        <w:tab w:val="left" w:pos="1134"/>
      </w:tabs>
      <w:spacing w:before="20" w:after="40"/>
      <w:jc w:val="left"/>
    </w:pPr>
    <w:rPr>
      <w:rFonts w:ascii="Arial" w:hAnsi="Arial"/>
      <w:b/>
      <w:sz w:val="18"/>
      <w:szCs w:val="20"/>
      <w:lang w:val="en-US"/>
    </w:rPr>
  </w:style>
  <w:style w:type="paragraph" w:customStyle="1" w:styleId="TableHeader">
    <w:name w:val="Table Header"/>
    <w:basedOn w:val="Normal"/>
    <w:next w:val="Normal"/>
    <w:uiPriority w:val="3"/>
    <w:rsid w:val="0095055D"/>
    <w:pPr>
      <w:widowControl w:val="0"/>
    </w:pPr>
    <w:rPr>
      <w:rFonts w:ascii="Arial Narrow" w:hAnsi="Arial Narrow" w:cs="Arial"/>
      <w:b/>
      <w:snapToGrid w:val="0"/>
      <w:sz w:val="20"/>
      <w:szCs w:val="20"/>
    </w:rPr>
  </w:style>
  <w:style w:type="paragraph" w:customStyle="1" w:styleId="Tableheader1">
    <w:name w:val="Table header 1"/>
    <w:basedOn w:val="Normal"/>
    <w:link w:val="Tableheader1Char"/>
    <w:uiPriority w:val="99"/>
    <w:qFormat/>
    <w:rsid w:val="0095055D"/>
    <w:pPr>
      <w:spacing w:after="120"/>
      <w:jc w:val="center"/>
    </w:pPr>
    <w:rPr>
      <w:rFonts w:ascii="Arial" w:hAnsi="Arial"/>
      <w:b/>
      <w:sz w:val="18"/>
      <w:szCs w:val="22"/>
      <w:lang w:val="en-US"/>
    </w:rPr>
  </w:style>
  <w:style w:type="character" w:customStyle="1" w:styleId="Tableheader1Char">
    <w:name w:val="Table header 1 Char"/>
    <w:link w:val="Tableheader1"/>
    <w:uiPriority w:val="99"/>
    <w:rsid w:val="0095055D"/>
    <w:rPr>
      <w:rFonts w:ascii="Arial" w:eastAsia="Times New Roman" w:hAnsi="Arial" w:cs="Times New Roman"/>
      <w:b/>
      <w:sz w:val="18"/>
      <w:lang w:val="en-US"/>
    </w:rPr>
  </w:style>
  <w:style w:type="paragraph" w:customStyle="1" w:styleId="Footnote">
    <w:name w:val="Footnote"/>
    <w:basedOn w:val="Normal"/>
    <w:rsid w:val="0095055D"/>
    <w:pPr>
      <w:spacing w:before="40"/>
      <w:jc w:val="left"/>
    </w:pPr>
    <w:rPr>
      <w:rFonts w:ascii="Arial" w:hAnsi="Arial"/>
      <w:sz w:val="18"/>
      <w:szCs w:val="18"/>
      <w:lang w:val="en-US"/>
    </w:rPr>
  </w:style>
  <w:style w:type="paragraph" w:customStyle="1" w:styleId="Tabletext9ptbulleted">
    <w:name w:val="Table text +9pt bulleted"/>
    <w:basedOn w:val="Normal"/>
    <w:rsid w:val="0095055D"/>
    <w:pPr>
      <w:keepNext/>
      <w:numPr>
        <w:numId w:val="8"/>
      </w:numPr>
      <w:autoSpaceDE w:val="0"/>
      <w:autoSpaceDN w:val="0"/>
      <w:adjustRightInd w:val="0"/>
      <w:spacing w:before="80" w:after="120" w:line="240" w:lineRule="exact"/>
      <w:jc w:val="left"/>
    </w:pPr>
    <w:rPr>
      <w:rFonts w:ascii="Arial" w:hAnsi="Arial" w:cs="Arial"/>
      <w:sz w:val="18"/>
      <w:szCs w:val="18"/>
      <w:lang w:val="en-US"/>
    </w:rPr>
  </w:style>
  <w:style w:type="character" w:customStyle="1" w:styleId="SmallBold">
    <w:name w:val="Small Bold"/>
    <w:uiPriority w:val="4"/>
    <w:rsid w:val="0095055D"/>
    <w:rPr>
      <w:rFonts w:ascii="Candara" w:hAnsi="Candara"/>
      <w:b/>
      <w:sz w:val="20"/>
      <w:lang w:val="en-AU"/>
    </w:rPr>
  </w:style>
  <w:style w:type="paragraph" w:customStyle="1" w:styleId="Tableorfigurefootnoteindent">
    <w:name w:val="Table or figure footnote indent"/>
    <w:basedOn w:val="Normal"/>
    <w:qFormat/>
    <w:rsid w:val="0095055D"/>
    <w:pPr>
      <w:spacing w:before="40"/>
      <w:ind w:left="360" w:hanging="360"/>
      <w:jc w:val="left"/>
    </w:pPr>
    <w:rPr>
      <w:rFonts w:ascii="Arial" w:hAnsi="Arial"/>
      <w:sz w:val="16"/>
      <w:szCs w:val="20"/>
      <w:lang w:val="en-US"/>
    </w:rPr>
  </w:style>
  <w:style w:type="paragraph" w:customStyle="1" w:styleId="TextUnderTable">
    <w:name w:val="Text Under Table"/>
    <w:basedOn w:val="Normal"/>
    <w:rsid w:val="0095055D"/>
    <w:pPr>
      <w:spacing w:after="160" w:line="259" w:lineRule="auto"/>
      <w:jc w:val="left"/>
    </w:pPr>
    <w:rPr>
      <w:rFonts w:eastAsia="Calibri"/>
      <w:i/>
      <w:sz w:val="16"/>
      <w:szCs w:val="22"/>
      <w:lang w:val="en-US"/>
    </w:rPr>
  </w:style>
  <w:style w:type="paragraph" w:customStyle="1" w:styleId="Tableorfigurefootnote">
    <w:name w:val="Table or figure footnote"/>
    <w:next w:val="BodyText"/>
    <w:link w:val="TableorfigurefootnoteChar"/>
    <w:qFormat/>
    <w:rsid w:val="0095055D"/>
    <w:rPr>
      <w:rFonts w:ascii="Arial" w:eastAsia="Times New Roman" w:hAnsi="Arial"/>
      <w:sz w:val="16"/>
      <w:szCs w:val="22"/>
      <w:lang w:val="en-GB" w:eastAsia="en-GB"/>
    </w:rPr>
  </w:style>
  <w:style w:type="character" w:customStyle="1" w:styleId="TableorfigurefootnoteChar">
    <w:name w:val="Table or figure footnote Char"/>
    <w:link w:val="Tableorfigurefootnote"/>
    <w:rsid w:val="0095055D"/>
    <w:rPr>
      <w:rFonts w:ascii="Arial" w:eastAsia="Times New Roman" w:hAnsi="Arial" w:cs="Times New Roman"/>
      <w:sz w:val="16"/>
      <w:lang w:val="en-GB" w:eastAsia="en-GB"/>
    </w:rPr>
  </w:style>
  <w:style w:type="paragraph" w:customStyle="1" w:styleId="TableCentre">
    <w:name w:val="Table Centre"/>
    <w:basedOn w:val="Table"/>
    <w:link w:val="TableCentreChar"/>
    <w:rsid w:val="0095055D"/>
    <w:pPr>
      <w:widowControl/>
      <w:suppressAutoHyphens w:val="0"/>
      <w:overflowPunct/>
      <w:autoSpaceDE/>
      <w:autoSpaceDN/>
      <w:adjustRightInd/>
      <w:spacing w:before="0" w:after="0" w:line="240" w:lineRule="auto"/>
      <w:jc w:val="center"/>
    </w:pPr>
    <w:rPr>
      <w:rFonts w:ascii="Candara" w:hAnsi="Candara"/>
      <w:sz w:val="20"/>
      <w:szCs w:val="22"/>
      <w:lang w:bidi="en-US"/>
    </w:rPr>
  </w:style>
  <w:style w:type="character" w:customStyle="1" w:styleId="TableCentreChar">
    <w:name w:val="Table Centre Char"/>
    <w:link w:val="TableCentre"/>
    <w:rsid w:val="0095055D"/>
    <w:rPr>
      <w:rFonts w:ascii="Candara" w:eastAsia="Times New Roman" w:hAnsi="Candara" w:cs="Times New Roman"/>
      <w:sz w:val="20"/>
      <w:lang w:val="en-US" w:bidi="en-US"/>
    </w:rPr>
  </w:style>
  <w:style w:type="paragraph" w:customStyle="1" w:styleId="CaptionFootnote">
    <w:name w:val="Caption Footnote"/>
    <w:basedOn w:val="Caption"/>
    <w:uiPriority w:val="99"/>
    <w:rsid w:val="0095055D"/>
    <w:pPr>
      <w:widowControl w:val="0"/>
      <w:jc w:val="left"/>
    </w:pPr>
    <w:rPr>
      <w:rFonts w:ascii="Candara" w:hAnsi="Candara"/>
      <w:b w:val="0"/>
      <w:sz w:val="16"/>
      <w:szCs w:val="18"/>
      <w:lang w:val="en-US" w:bidi="en-US"/>
    </w:rPr>
  </w:style>
  <w:style w:type="paragraph" w:customStyle="1" w:styleId="Tablefooter0">
    <w:name w:val="Table footer"/>
    <w:basedOn w:val="Normal"/>
    <w:link w:val="TablefooterChar"/>
    <w:rsid w:val="0095055D"/>
    <w:pPr>
      <w:spacing w:line="276" w:lineRule="auto"/>
      <w:jc w:val="left"/>
    </w:pPr>
    <w:rPr>
      <w:rFonts w:eastAsia="Calibri" w:cs="Arial"/>
      <w:sz w:val="16"/>
      <w:szCs w:val="16"/>
      <w:lang w:val="en-US"/>
    </w:rPr>
  </w:style>
  <w:style w:type="character" w:customStyle="1" w:styleId="TablefooterChar">
    <w:name w:val="Table footer Char"/>
    <w:link w:val="Tablefooter0"/>
    <w:rsid w:val="0095055D"/>
    <w:rPr>
      <w:rFonts w:ascii="Calibri" w:eastAsia="Calibri" w:hAnsi="Calibri" w:cs="Arial"/>
      <w:sz w:val="16"/>
      <w:szCs w:val="16"/>
      <w:lang w:val="en-US"/>
    </w:rPr>
  </w:style>
  <w:style w:type="paragraph" w:customStyle="1" w:styleId="V50Instructions">
    <w:name w:val="V5.0 Instructions"/>
    <w:basedOn w:val="Normal"/>
    <w:link w:val="V50InstructionsChar"/>
    <w:rsid w:val="0095055D"/>
    <w:pPr>
      <w:spacing w:before="120" w:after="160"/>
      <w:jc w:val="left"/>
    </w:pPr>
    <w:rPr>
      <w:rFonts w:eastAsia="Calibri"/>
      <w:color w:val="4BACC6"/>
      <w:szCs w:val="22"/>
    </w:rPr>
  </w:style>
  <w:style w:type="character" w:customStyle="1" w:styleId="V50InstructionsChar">
    <w:name w:val="V5.0 Instructions Char"/>
    <w:link w:val="V50Instructions"/>
    <w:rsid w:val="0095055D"/>
    <w:rPr>
      <w:rFonts w:ascii="Calibri" w:eastAsia="Calibri" w:hAnsi="Calibri" w:cs="Times New Roman"/>
      <w:color w:val="4BACC6"/>
      <w:sz w:val="24"/>
    </w:rPr>
  </w:style>
  <w:style w:type="paragraph" w:customStyle="1" w:styleId="ES-text">
    <w:name w:val="ES - text"/>
    <w:basedOn w:val="BodyText"/>
    <w:rsid w:val="0095055D"/>
    <w:pPr>
      <w:spacing w:after="0" w:line="276" w:lineRule="auto"/>
      <w:jc w:val="left"/>
    </w:pPr>
    <w:rPr>
      <w:rFonts w:ascii="Arial" w:hAnsi="Arial"/>
      <w:sz w:val="20"/>
      <w:lang w:val="en-US"/>
    </w:rPr>
  </w:style>
  <w:style w:type="character" w:customStyle="1" w:styleId="A1">
    <w:name w:val="A1"/>
    <w:uiPriority w:val="99"/>
    <w:rsid w:val="0095055D"/>
    <w:rPr>
      <w:color w:val="000000"/>
      <w:sz w:val="16"/>
      <w:szCs w:val="16"/>
    </w:rPr>
  </w:style>
  <w:style w:type="paragraph" w:customStyle="1" w:styleId="EndNoteBibliographyTitle">
    <w:name w:val="EndNote Bibliography Title"/>
    <w:basedOn w:val="Normal"/>
    <w:link w:val="EndNoteBibliographyTitleChar"/>
    <w:rsid w:val="0095055D"/>
    <w:pPr>
      <w:jc w:val="center"/>
    </w:pPr>
    <w:rPr>
      <w:noProof/>
      <w:lang w:val="en-US"/>
    </w:rPr>
  </w:style>
  <w:style w:type="character" w:customStyle="1" w:styleId="EndNoteBibliographyTitleChar">
    <w:name w:val="EndNote Bibliography Title Char"/>
    <w:link w:val="EndNoteBibliographyTitle"/>
    <w:rsid w:val="0095055D"/>
    <w:rPr>
      <w:rFonts w:eastAsia="Times New Roman"/>
      <w:noProof/>
      <w:sz w:val="24"/>
      <w:szCs w:val="24"/>
      <w:lang w:val="en-US" w:eastAsia="en-US"/>
    </w:rPr>
  </w:style>
  <w:style w:type="paragraph" w:customStyle="1" w:styleId="EndNoteBibliography">
    <w:name w:val="EndNote Bibliography"/>
    <w:basedOn w:val="Normal"/>
    <w:link w:val="EndNoteBibliographyChar"/>
    <w:rsid w:val="0095055D"/>
    <w:rPr>
      <w:noProof/>
      <w:lang w:val="en-US"/>
    </w:rPr>
  </w:style>
  <w:style w:type="character" w:customStyle="1" w:styleId="EndNoteBibliographyChar">
    <w:name w:val="EndNote Bibliography Char"/>
    <w:link w:val="EndNoteBibliography"/>
    <w:rsid w:val="0095055D"/>
    <w:rPr>
      <w:rFonts w:eastAsia="Times New Roman"/>
      <w:noProof/>
      <w:sz w:val="24"/>
      <w:szCs w:val="24"/>
      <w:lang w:val="en-US" w:eastAsia="en-US"/>
    </w:rPr>
  </w:style>
  <w:style w:type="paragraph" w:customStyle="1" w:styleId="Tablenotes0">
    <w:name w:val="Table notes"/>
    <w:basedOn w:val="Normal"/>
    <w:rsid w:val="0095055D"/>
    <w:pPr>
      <w:spacing w:before="60"/>
      <w:jc w:val="left"/>
    </w:pPr>
    <w:rPr>
      <w:rFonts w:ascii="Arial" w:hAnsi="Arial"/>
      <w:sz w:val="14"/>
      <w:szCs w:val="14"/>
      <w:lang w:val="en-US" w:eastAsia="en-GB"/>
    </w:rPr>
  </w:style>
  <w:style w:type="table" w:customStyle="1" w:styleId="Summarybox1">
    <w:name w:val="Summary box1"/>
    <w:basedOn w:val="TableNormal"/>
    <w:next w:val="TableGrid"/>
    <w:rsid w:val="0095055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ummarybox2">
    <w:name w:val="Summary box2"/>
    <w:basedOn w:val="TableNormal"/>
    <w:next w:val="TableGrid"/>
    <w:rsid w:val="0095055D"/>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9505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link w:val="BodytextChar0"/>
    <w:uiPriority w:val="99"/>
    <w:rsid w:val="0095055D"/>
    <w:pPr>
      <w:spacing w:after="240" w:line="360" w:lineRule="auto"/>
      <w:jc w:val="left"/>
    </w:pPr>
    <w:rPr>
      <w:rFonts w:ascii="Arial" w:hAnsi="Arial"/>
      <w:sz w:val="22"/>
      <w:szCs w:val="20"/>
    </w:rPr>
  </w:style>
  <w:style w:type="character" w:customStyle="1" w:styleId="BodytextChar0">
    <w:name w:val="Body text Char"/>
    <w:link w:val="BodyText1"/>
    <w:uiPriority w:val="99"/>
    <w:locked/>
    <w:rsid w:val="0095055D"/>
    <w:rPr>
      <w:rFonts w:ascii="Arial" w:eastAsia="Times New Roman" w:hAnsi="Arial" w:cs="Times New Roman"/>
      <w:szCs w:val="20"/>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F94987"/>
    <w:pPr>
      <w:spacing w:after="160" w:line="240" w:lineRule="exact"/>
      <w:jc w:val="left"/>
    </w:pPr>
    <w:rPr>
      <w:rFonts w:ascii="Verdana" w:eastAsia="MS Mincho" w:hAnsi="Verdana" w:cs="Verdana"/>
      <w:sz w:val="20"/>
      <w:szCs w:val="20"/>
      <w:lang w:val="en-US"/>
    </w:rPr>
  </w:style>
  <w:style w:type="paragraph" w:customStyle="1" w:styleId="TableBullet">
    <w:name w:val="TableBullet"/>
    <w:qFormat/>
    <w:rsid w:val="00886E2D"/>
    <w:pPr>
      <w:keepNext/>
      <w:tabs>
        <w:tab w:val="left" w:pos="216"/>
        <w:tab w:val="num" w:pos="360"/>
      </w:tabs>
      <w:spacing w:before="40" w:after="40"/>
      <w:ind w:left="216" w:hanging="216"/>
    </w:pPr>
    <w:rPr>
      <w:rFonts w:ascii="Arial" w:eastAsia="Times New Roman" w:hAnsi="Arial" w:cs="Arial Narrow"/>
      <w:sz w:val="18"/>
      <w:lang w:eastAsia="en-US"/>
    </w:rPr>
  </w:style>
  <w:style w:type="paragraph" w:customStyle="1" w:styleId="Bulletedbodytext">
    <w:name w:val="Bulleted body text"/>
    <w:basedOn w:val="BodyText"/>
    <w:link w:val="BulletedbodytextChar"/>
    <w:uiPriority w:val="99"/>
    <w:qFormat/>
    <w:rsid w:val="0009001A"/>
    <w:pPr>
      <w:spacing w:line="360" w:lineRule="auto"/>
      <w:ind w:left="470" w:hanging="357"/>
      <w:jc w:val="left"/>
    </w:pPr>
    <w:rPr>
      <w:rFonts w:ascii="Arial" w:hAnsi="Arial" w:cs="Arial"/>
      <w:sz w:val="20"/>
      <w:lang w:val="en-US"/>
    </w:rPr>
  </w:style>
  <w:style w:type="character" w:customStyle="1" w:styleId="BulletedbodytextChar">
    <w:name w:val="Bulleted body text Char"/>
    <w:link w:val="Bulletedbodytext"/>
    <w:uiPriority w:val="99"/>
    <w:rsid w:val="0009001A"/>
    <w:rPr>
      <w:rFonts w:ascii="Arial" w:eastAsia="Times New Roman" w:hAnsi="Arial" w:cs="Arial"/>
      <w:szCs w:val="24"/>
      <w:lang w:val="en-US" w:eastAsia="en-US"/>
    </w:rPr>
  </w:style>
  <w:style w:type="paragraph" w:customStyle="1" w:styleId="BodytextBullet">
    <w:name w:val="Body text Bullet"/>
    <w:basedOn w:val="BodyText"/>
    <w:qFormat/>
    <w:rsid w:val="0009001A"/>
    <w:pPr>
      <w:numPr>
        <w:numId w:val="30"/>
      </w:numPr>
      <w:spacing w:line="360" w:lineRule="auto"/>
      <w:jc w:val="left"/>
    </w:pPr>
    <w:rPr>
      <w:rFonts w:ascii="Arial" w:hAnsi="Arial" w:cs="Arial"/>
      <w:sz w:val="20"/>
      <w:lang w:val="en-US"/>
    </w:rPr>
  </w:style>
  <w:style w:type="paragraph" w:customStyle="1" w:styleId="AllText">
    <w:name w:val="AllText"/>
    <w:basedOn w:val="Normal"/>
    <w:link w:val="AllTextChar"/>
    <w:rsid w:val="00E7632D"/>
    <w:pPr>
      <w:spacing w:after="240"/>
    </w:pPr>
    <w:rPr>
      <w:rFonts w:ascii="Times New Roman" w:eastAsia="SimSun" w:hAnsi="Times New Roman"/>
      <w:szCs w:val="20"/>
      <w:lang w:val="en-US"/>
    </w:rPr>
  </w:style>
  <w:style w:type="character" w:customStyle="1" w:styleId="AllTextChar">
    <w:name w:val="AllText Char"/>
    <w:basedOn w:val="DefaultParagraphFont"/>
    <w:link w:val="AllText"/>
    <w:rsid w:val="00E7632D"/>
    <w:rPr>
      <w:rFonts w:ascii="Times New Roman" w:eastAsia="SimSun" w:hAnsi="Times New Roman"/>
      <w:sz w:val="24"/>
      <w:lang w:val="en-US" w:eastAsia="en-US"/>
    </w:rPr>
  </w:style>
  <w:style w:type="paragraph" w:customStyle="1" w:styleId="Bulletlevel2">
    <w:name w:val="Bullet level 2"/>
    <w:basedOn w:val="ListParagraph"/>
    <w:qFormat/>
    <w:rsid w:val="005338DC"/>
    <w:pPr>
      <w:autoSpaceDE w:val="0"/>
      <w:autoSpaceDN w:val="0"/>
      <w:adjustRightInd w:val="0"/>
      <w:spacing w:after="240" w:line="276" w:lineRule="auto"/>
      <w:ind w:left="1260" w:hanging="360"/>
      <w:contextualSpacing w:val="0"/>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510277">
      <w:bodyDiv w:val="1"/>
      <w:marLeft w:val="0"/>
      <w:marRight w:val="0"/>
      <w:marTop w:val="0"/>
      <w:marBottom w:val="0"/>
      <w:divBdr>
        <w:top w:val="none" w:sz="0" w:space="0" w:color="auto"/>
        <w:left w:val="none" w:sz="0" w:space="0" w:color="auto"/>
        <w:bottom w:val="none" w:sz="0" w:space="0" w:color="auto"/>
        <w:right w:val="none" w:sz="0" w:space="0" w:color="auto"/>
      </w:divBdr>
    </w:div>
    <w:div w:id="475997320">
      <w:bodyDiv w:val="1"/>
      <w:marLeft w:val="0"/>
      <w:marRight w:val="0"/>
      <w:marTop w:val="0"/>
      <w:marBottom w:val="0"/>
      <w:divBdr>
        <w:top w:val="none" w:sz="0" w:space="0" w:color="auto"/>
        <w:left w:val="none" w:sz="0" w:space="0" w:color="auto"/>
        <w:bottom w:val="none" w:sz="0" w:space="0" w:color="auto"/>
        <w:right w:val="none" w:sz="0" w:space="0" w:color="auto"/>
      </w:divBdr>
    </w:div>
    <w:div w:id="487750274">
      <w:bodyDiv w:val="1"/>
      <w:marLeft w:val="0"/>
      <w:marRight w:val="0"/>
      <w:marTop w:val="0"/>
      <w:marBottom w:val="0"/>
      <w:divBdr>
        <w:top w:val="none" w:sz="0" w:space="0" w:color="auto"/>
        <w:left w:val="none" w:sz="0" w:space="0" w:color="auto"/>
        <w:bottom w:val="none" w:sz="0" w:space="0" w:color="auto"/>
        <w:right w:val="none" w:sz="0" w:space="0" w:color="auto"/>
      </w:divBdr>
    </w:div>
    <w:div w:id="203719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2.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tmp"/><Relationship Id="rId17" Type="http://schemas.openxmlformats.org/officeDocument/2006/relationships/header" Target="header1.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35DE7-AAC7-48F9-A358-1D84FD86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13876</Words>
  <Characters>79095</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92786</CharactersWithSpaces>
  <SharedDoc>false</SharedDoc>
  <HLinks>
    <vt:vector size="924" baseType="variant">
      <vt:variant>
        <vt:i4>2097214</vt:i4>
      </vt:variant>
      <vt:variant>
        <vt:i4>1170</vt:i4>
      </vt:variant>
      <vt:variant>
        <vt:i4>0</vt:i4>
      </vt:variant>
      <vt:variant>
        <vt:i4>5</vt:i4>
      </vt:variant>
      <vt:variant>
        <vt:lpwstr>http://www.eviq.org.au/</vt:lpwstr>
      </vt:variant>
      <vt:variant>
        <vt:lpwstr/>
      </vt:variant>
      <vt:variant>
        <vt:i4>1179701</vt:i4>
      </vt:variant>
      <vt:variant>
        <vt:i4>920</vt:i4>
      </vt:variant>
      <vt:variant>
        <vt:i4>0</vt:i4>
      </vt:variant>
      <vt:variant>
        <vt:i4>5</vt:i4>
      </vt:variant>
      <vt:variant>
        <vt:lpwstr/>
      </vt:variant>
      <vt:variant>
        <vt:lpwstr>_Toc461627225</vt:lpwstr>
      </vt:variant>
      <vt:variant>
        <vt:i4>1179701</vt:i4>
      </vt:variant>
      <vt:variant>
        <vt:i4>914</vt:i4>
      </vt:variant>
      <vt:variant>
        <vt:i4>0</vt:i4>
      </vt:variant>
      <vt:variant>
        <vt:i4>5</vt:i4>
      </vt:variant>
      <vt:variant>
        <vt:lpwstr/>
      </vt:variant>
      <vt:variant>
        <vt:lpwstr>_Toc461627224</vt:lpwstr>
      </vt:variant>
      <vt:variant>
        <vt:i4>1179701</vt:i4>
      </vt:variant>
      <vt:variant>
        <vt:i4>908</vt:i4>
      </vt:variant>
      <vt:variant>
        <vt:i4>0</vt:i4>
      </vt:variant>
      <vt:variant>
        <vt:i4>5</vt:i4>
      </vt:variant>
      <vt:variant>
        <vt:lpwstr/>
      </vt:variant>
      <vt:variant>
        <vt:lpwstr>_Toc461627223</vt:lpwstr>
      </vt:variant>
      <vt:variant>
        <vt:i4>1179701</vt:i4>
      </vt:variant>
      <vt:variant>
        <vt:i4>902</vt:i4>
      </vt:variant>
      <vt:variant>
        <vt:i4>0</vt:i4>
      </vt:variant>
      <vt:variant>
        <vt:i4>5</vt:i4>
      </vt:variant>
      <vt:variant>
        <vt:lpwstr/>
      </vt:variant>
      <vt:variant>
        <vt:lpwstr>_Toc461627222</vt:lpwstr>
      </vt:variant>
      <vt:variant>
        <vt:i4>1179701</vt:i4>
      </vt:variant>
      <vt:variant>
        <vt:i4>896</vt:i4>
      </vt:variant>
      <vt:variant>
        <vt:i4>0</vt:i4>
      </vt:variant>
      <vt:variant>
        <vt:i4>5</vt:i4>
      </vt:variant>
      <vt:variant>
        <vt:lpwstr/>
      </vt:variant>
      <vt:variant>
        <vt:lpwstr>_Toc461627221</vt:lpwstr>
      </vt:variant>
      <vt:variant>
        <vt:i4>1179701</vt:i4>
      </vt:variant>
      <vt:variant>
        <vt:i4>890</vt:i4>
      </vt:variant>
      <vt:variant>
        <vt:i4>0</vt:i4>
      </vt:variant>
      <vt:variant>
        <vt:i4>5</vt:i4>
      </vt:variant>
      <vt:variant>
        <vt:lpwstr/>
      </vt:variant>
      <vt:variant>
        <vt:lpwstr>_Toc461627220</vt:lpwstr>
      </vt:variant>
      <vt:variant>
        <vt:i4>1114165</vt:i4>
      </vt:variant>
      <vt:variant>
        <vt:i4>884</vt:i4>
      </vt:variant>
      <vt:variant>
        <vt:i4>0</vt:i4>
      </vt:variant>
      <vt:variant>
        <vt:i4>5</vt:i4>
      </vt:variant>
      <vt:variant>
        <vt:lpwstr/>
      </vt:variant>
      <vt:variant>
        <vt:lpwstr>_Toc461627219</vt:lpwstr>
      </vt:variant>
      <vt:variant>
        <vt:i4>1114165</vt:i4>
      </vt:variant>
      <vt:variant>
        <vt:i4>878</vt:i4>
      </vt:variant>
      <vt:variant>
        <vt:i4>0</vt:i4>
      </vt:variant>
      <vt:variant>
        <vt:i4>5</vt:i4>
      </vt:variant>
      <vt:variant>
        <vt:lpwstr/>
      </vt:variant>
      <vt:variant>
        <vt:lpwstr>_Toc461627218</vt:lpwstr>
      </vt:variant>
      <vt:variant>
        <vt:i4>1114165</vt:i4>
      </vt:variant>
      <vt:variant>
        <vt:i4>872</vt:i4>
      </vt:variant>
      <vt:variant>
        <vt:i4>0</vt:i4>
      </vt:variant>
      <vt:variant>
        <vt:i4>5</vt:i4>
      </vt:variant>
      <vt:variant>
        <vt:lpwstr/>
      </vt:variant>
      <vt:variant>
        <vt:lpwstr>_Toc461627217</vt:lpwstr>
      </vt:variant>
      <vt:variant>
        <vt:i4>1114165</vt:i4>
      </vt:variant>
      <vt:variant>
        <vt:i4>866</vt:i4>
      </vt:variant>
      <vt:variant>
        <vt:i4>0</vt:i4>
      </vt:variant>
      <vt:variant>
        <vt:i4>5</vt:i4>
      </vt:variant>
      <vt:variant>
        <vt:lpwstr/>
      </vt:variant>
      <vt:variant>
        <vt:lpwstr>_Toc461627216</vt:lpwstr>
      </vt:variant>
      <vt:variant>
        <vt:i4>1114165</vt:i4>
      </vt:variant>
      <vt:variant>
        <vt:i4>860</vt:i4>
      </vt:variant>
      <vt:variant>
        <vt:i4>0</vt:i4>
      </vt:variant>
      <vt:variant>
        <vt:i4>5</vt:i4>
      </vt:variant>
      <vt:variant>
        <vt:lpwstr/>
      </vt:variant>
      <vt:variant>
        <vt:lpwstr>_Toc461627215</vt:lpwstr>
      </vt:variant>
      <vt:variant>
        <vt:i4>1114165</vt:i4>
      </vt:variant>
      <vt:variant>
        <vt:i4>854</vt:i4>
      </vt:variant>
      <vt:variant>
        <vt:i4>0</vt:i4>
      </vt:variant>
      <vt:variant>
        <vt:i4>5</vt:i4>
      </vt:variant>
      <vt:variant>
        <vt:lpwstr/>
      </vt:variant>
      <vt:variant>
        <vt:lpwstr>_Toc461627214</vt:lpwstr>
      </vt:variant>
      <vt:variant>
        <vt:i4>1114165</vt:i4>
      </vt:variant>
      <vt:variant>
        <vt:i4>848</vt:i4>
      </vt:variant>
      <vt:variant>
        <vt:i4>0</vt:i4>
      </vt:variant>
      <vt:variant>
        <vt:i4>5</vt:i4>
      </vt:variant>
      <vt:variant>
        <vt:lpwstr/>
      </vt:variant>
      <vt:variant>
        <vt:lpwstr>_Toc461627213</vt:lpwstr>
      </vt:variant>
      <vt:variant>
        <vt:i4>1114165</vt:i4>
      </vt:variant>
      <vt:variant>
        <vt:i4>842</vt:i4>
      </vt:variant>
      <vt:variant>
        <vt:i4>0</vt:i4>
      </vt:variant>
      <vt:variant>
        <vt:i4>5</vt:i4>
      </vt:variant>
      <vt:variant>
        <vt:lpwstr/>
      </vt:variant>
      <vt:variant>
        <vt:lpwstr>_Toc461627212</vt:lpwstr>
      </vt:variant>
      <vt:variant>
        <vt:i4>1114165</vt:i4>
      </vt:variant>
      <vt:variant>
        <vt:i4>836</vt:i4>
      </vt:variant>
      <vt:variant>
        <vt:i4>0</vt:i4>
      </vt:variant>
      <vt:variant>
        <vt:i4>5</vt:i4>
      </vt:variant>
      <vt:variant>
        <vt:lpwstr/>
      </vt:variant>
      <vt:variant>
        <vt:lpwstr>_Toc461627211</vt:lpwstr>
      </vt:variant>
      <vt:variant>
        <vt:i4>1114165</vt:i4>
      </vt:variant>
      <vt:variant>
        <vt:i4>830</vt:i4>
      </vt:variant>
      <vt:variant>
        <vt:i4>0</vt:i4>
      </vt:variant>
      <vt:variant>
        <vt:i4>5</vt:i4>
      </vt:variant>
      <vt:variant>
        <vt:lpwstr/>
      </vt:variant>
      <vt:variant>
        <vt:lpwstr>_Toc461627210</vt:lpwstr>
      </vt:variant>
      <vt:variant>
        <vt:i4>1048629</vt:i4>
      </vt:variant>
      <vt:variant>
        <vt:i4>824</vt:i4>
      </vt:variant>
      <vt:variant>
        <vt:i4>0</vt:i4>
      </vt:variant>
      <vt:variant>
        <vt:i4>5</vt:i4>
      </vt:variant>
      <vt:variant>
        <vt:lpwstr/>
      </vt:variant>
      <vt:variant>
        <vt:lpwstr>_Toc461627209</vt:lpwstr>
      </vt:variant>
      <vt:variant>
        <vt:i4>1048629</vt:i4>
      </vt:variant>
      <vt:variant>
        <vt:i4>818</vt:i4>
      </vt:variant>
      <vt:variant>
        <vt:i4>0</vt:i4>
      </vt:variant>
      <vt:variant>
        <vt:i4>5</vt:i4>
      </vt:variant>
      <vt:variant>
        <vt:lpwstr/>
      </vt:variant>
      <vt:variant>
        <vt:lpwstr>_Toc461627208</vt:lpwstr>
      </vt:variant>
      <vt:variant>
        <vt:i4>1048629</vt:i4>
      </vt:variant>
      <vt:variant>
        <vt:i4>812</vt:i4>
      </vt:variant>
      <vt:variant>
        <vt:i4>0</vt:i4>
      </vt:variant>
      <vt:variant>
        <vt:i4>5</vt:i4>
      </vt:variant>
      <vt:variant>
        <vt:lpwstr/>
      </vt:variant>
      <vt:variant>
        <vt:lpwstr>_Toc461627207</vt:lpwstr>
      </vt:variant>
      <vt:variant>
        <vt:i4>1048629</vt:i4>
      </vt:variant>
      <vt:variant>
        <vt:i4>806</vt:i4>
      </vt:variant>
      <vt:variant>
        <vt:i4>0</vt:i4>
      </vt:variant>
      <vt:variant>
        <vt:i4>5</vt:i4>
      </vt:variant>
      <vt:variant>
        <vt:lpwstr/>
      </vt:variant>
      <vt:variant>
        <vt:lpwstr>_Toc461627206</vt:lpwstr>
      </vt:variant>
      <vt:variant>
        <vt:i4>1048629</vt:i4>
      </vt:variant>
      <vt:variant>
        <vt:i4>800</vt:i4>
      </vt:variant>
      <vt:variant>
        <vt:i4>0</vt:i4>
      </vt:variant>
      <vt:variant>
        <vt:i4>5</vt:i4>
      </vt:variant>
      <vt:variant>
        <vt:lpwstr/>
      </vt:variant>
      <vt:variant>
        <vt:lpwstr>_Toc461627205</vt:lpwstr>
      </vt:variant>
      <vt:variant>
        <vt:i4>1048629</vt:i4>
      </vt:variant>
      <vt:variant>
        <vt:i4>794</vt:i4>
      </vt:variant>
      <vt:variant>
        <vt:i4>0</vt:i4>
      </vt:variant>
      <vt:variant>
        <vt:i4>5</vt:i4>
      </vt:variant>
      <vt:variant>
        <vt:lpwstr/>
      </vt:variant>
      <vt:variant>
        <vt:lpwstr>_Toc461627204</vt:lpwstr>
      </vt:variant>
      <vt:variant>
        <vt:i4>1048629</vt:i4>
      </vt:variant>
      <vt:variant>
        <vt:i4>788</vt:i4>
      </vt:variant>
      <vt:variant>
        <vt:i4>0</vt:i4>
      </vt:variant>
      <vt:variant>
        <vt:i4>5</vt:i4>
      </vt:variant>
      <vt:variant>
        <vt:lpwstr/>
      </vt:variant>
      <vt:variant>
        <vt:lpwstr>_Toc461627203</vt:lpwstr>
      </vt:variant>
      <vt:variant>
        <vt:i4>1048629</vt:i4>
      </vt:variant>
      <vt:variant>
        <vt:i4>782</vt:i4>
      </vt:variant>
      <vt:variant>
        <vt:i4>0</vt:i4>
      </vt:variant>
      <vt:variant>
        <vt:i4>5</vt:i4>
      </vt:variant>
      <vt:variant>
        <vt:lpwstr/>
      </vt:variant>
      <vt:variant>
        <vt:lpwstr>_Toc461627202</vt:lpwstr>
      </vt:variant>
      <vt:variant>
        <vt:i4>1048629</vt:i4>
      </vt:variant>
      <vt:variant>
        <vt:i4>776</vt:i4>
      </vt:variant>
      <vt:variant>
        <vt:i4>0</vt:i4>
      </vt:variant>
      <vt:variant>
        <vt:i4>5</vt:i4>
      </vt:variant>
      <vt:variant>
        <vt:lpwstr/>
      </vt:variant>
      <vt:variant>
        <vt:lpwstr>_Toc461627201</vt:lpwstr>
      </vt:variant>
      <vt:variant>
        <vt:i4>1048629</vt:i4>
      </vt:variant>
      <vt:variant>
        <vt:i4>770</vt:i4>
      </vt:variant>
      <vt:variant>
        <vt:i4>0</vt:i4>
      </vt:variant>
      <vt:variant>
        <vt:i4>5</vt:i4>
      </vt:variant>
      <vt:variant>
        <vt:lpwstr/>
      </vt:variant>
      <vt:variant>
        <vt:lpwstr>_Toc461627200</vt:lpwstr>
      </vt:variant>
      <vt:variant>
        <vt:i4>1638454</vt:i4>
      </vt:variant>
      <vt:variant>
        <vt:i4>764</vt:i4>
      </vt:variant>
      <vt:variant>
        <vt:i4>0</vt:i4>
      </vt:variant>
      <vt:variant>
        <vt:i4>5</vt:i4>
      </vt:variant>
      <vt:variant>
        <vt:lpwstr/>
      </vt:variant>
      <vt:variant>
        <vt:lpwstr>_Toc461627199</vt:lpwstr>
      </vt:variant>
      <vt:variant>
        <vt:i4>1638454</vt:i4>
      </vt:variant>
      <vt:variant>
        <vt:i4>758</vt:i4>
      </vt:variant>
      <vt:variant>
        <vt:i4>0</vt:i4>
      </vt:variant>
      <vt:variant>
        <vt:i4>5</vt:i4>
      </vt:variant>
      <vt:variant>
        <vt:lpwstr/>
      </vt:variant>
      <vt:variant>
        <vt:lpwstr>_Toc461627198</vt:lpwstr>
      </vt:variant>
      <vt:variant>
        <vt:i4>1638454</vt:i4>
      </vt:variant>
      <vt:variant>
        <vt:i4>752</vt:i4>
      </vt:variant>
      <vt:variant>
        <vt:i4>0</vt:i4>
      </vt:variant>
      <vt:variant>
        <vt:i4>5</vt:i4>
      </vt:variant>
      <vt:variant>
        <vt:lpwstr/>
      </vt:variant>
      <vt:variant>
        <vt:lpwstr>_Toc461627197</vt:lpwstr>
      </vt:variant>
      <vt:variant>
        <vt:i4>1638454</vt:i4>
      </vt:variant>
      <vt:variant>
        <vt:i4>746</vt:i4>
      </vt:variant>
      <vt:variant>
        <vt:i4>0</vt:i4>
      </vt:variant>
      <vt:variant>
        <vt:i4>5</vt:i4>
      </vt:variant>
      <vt:variant>
        <vt:lpwstr/>
      </vt:variant>
      <vt:variant>
        <vt:lpwstr>_Toc461627196</vt:lpwstr>
      </vt:variant>
      <vt:variant>
        <vt:i4>1638454</vt:i4>
      </vt:variant>
      <vt:variant>
        <vt:i4>740</vt:i4>
      </vt:variant>
      <vt:variant>
        <vt:i4>0</vt:i4>
      </vt:variant>
      <vt:variant>
        <vt:i4>5</vt:i4>
      </vt:variant>
      <vt:variant>
        <vt:lpwstr/>
      </vt:variant>
      <vt:variant>
        <vt:lpwstr>_Toc461627195</vt:lpwstr>
      </vt:variant>
      <vt:variant>
        <vt:i4>1638454</vt:i4>
      </vt:variant>
      <vt:variant>
        <vt:i4>734</vt:i4>
      </vt:variant>
      <vt:variant>
        <vt:i4>0</vt:i4>
      </vt:variant>
      <vt:variant>
        <vt:i4>5</vt:i4>
      </vt:variant>
      <vt:variant>
        <vt:lpwstr/>
      </vt:variant>
      <vt:variant>
        <vt:lpwstr>_Toc461627194</vt:lpwstr>
      </vt:variant>
      <vt:variant>
        <vt:i4>1638454</vt:i4>
      </vt:variant>
      <vt:variant>
        <vt:i4>728</vt:i4>
      </vt:variant>
      <vt:variant>
        <vt:i4>0</vt:i4>
      </vt:variant>
      <vt:variant>
        <vt:i4>5</vt:i4>
      </vt:variant>
      <vt:variant>
        <vt:lpwstr/>
      </vt:variant>
      <vt:variant>
        <vt:lpwstr>_Toc461627193</vt:lpwstr>
      </vt:variant>
      <vt:variant>
        <vt:i4>1638454</vt:i4>
      </vt:variant>
      <vt:variant>
        <vt:i4>722</vt:i4>
      </vt:variant>
      <vt:variant>
        <vt:i4>0</vt:i4>
      </vt:variant>
      <vt:variant>
        <vt:i4>5</vt:i4>
      </vt:variant>
      <vt:variant>
        <vt:lpwstr/>
      </vt:variant>
      <vt:variant>
        <vt:lpwstr>_Toc461627192</vt:lpwstr>
      </vt:variant>
      <vt:variant>
        <vt:i4>1638454</vt:i4>
      </vt:variant>
      <vt:variant>
        <vt:i4>716</vt:i4>
      </vt:variant>
      <vt:variant>
        <vt:i4>0</vt:i4>
      </vt:variant>
      <vt:variant>
        <vt:i4>5</vt:i4>
      </vt:variant>
      <vt:variant>
        <vt:lpwstr/>
      </vt:variant>
      <vt:variant>
        <vt:lpwstr>_Toc461627191</vt:lpwstr>
      </vt:variant>
      <vt:variant>
        <vt:i4>1638454</vt:i4>
      </vt:variant>
      <vt:variant>
        <vt:i4>710</vt:i4>
      </vt:variant>
      <vt:variant>
        <vt:i4>0</vt:i4>
      </vt:variant>
      <vt:variant>
        <vt:i4>5</vt:i4>
      </vt:variant>
      <vt:variant>
        <vt:lpwstr/>
      </vt:variant>
      <vt:variant>
        <vt:lpwstr>_Toc461627190</vt:lpwstr>
      </vt:variant>
      <vt:variant>
        <vt:i4>1572918</vt:i4>
      </vt:variant>
      <vt:variant>
        <vt:i4>704</vt:i4>
      </vt:variant>
      <vt:variant>
        <vt:i4>0</vt:i4>
      </vt:variant>
      <vt:variant>
        <vt:i4>5</vt:i4>
      </vt:variant>
      <vt:variant>
        <vt:lpwstr/>
      </vt:variant>
      <vt:variant>
        <vt:lpwstr>_Toc461627189</vt:lpwstr>
      </vt:variant>
      <vt:variant>
        <vt:i4>1572918</vt:i4>
      </vt:variant>
      <vt:variant>
        <vt:i4>698</vt:i4>
      </vt:variant>
      <vt:variant>
        <vt:i4>0</vt:i4>
      </vt:variant>
      <vt:variant>
        <vt:i4>5</vt:i4>
      </vt:variant>
      <vt:variant>
        <vt:lpwstr/>
      </vt:variant>
      <vt:variant>
        <vt:lpwstr>_Toc461627188</vt:lpwstr>
      </vt:variant>
      <vt:variant>
        <vt:i4>1572918</vt:i4>
      </vt:variant>
      <vt:variant>
        <vt:i4>692</vt:i4>
      </vt:variant>
      <vt:variant>
        <vt:i4>0</vt:i4>
      </vt:variant>
      <vt:variant>
        <vt:i4>5</vt:i4>
      </vt:variant>
      <vt:variant>
        <vt:lpwstr/>
      </vt:variant>
      <vt:variant>
        <vt:lpwstr>_Toc461627187</vt:lpwstr>
      </vt:variant>
      <vt:variant>
        <vt:i4>1572918</vt:i4>
      </vt:variant>
      <vt:variant>
        <vt:i4>686</vt:i4>
      </vt:variant>
      <vt:variant>
        <vt:i4>0</vt:i4>
      </vt:variant>
      <vt:variant>
        <vt:i4>5</vt:i4>
      </vt:variant>
      <vt:variant>
        <vt:lpwstr/>
      </vt:variant>
      <vt:variant>
        <vt:lpwstr>_Toc461627186</vt:lpwstr>
      </vt:variant>
      <vt:variant>
        <vt:i4>1572918</vt:i4>
      </vt:variant>
      <vt:variant>
        <vt:i4>680</vt:i4>
      </vt:variant>
      <vt:variant>
        <vt:i4>0</vt:i4>
      </vt:variant>
      <vt:variant>
        <vt:i4>5</vt:i4>
      </vt:variant>
      <vt:variant>
        <vt:lpwstr/>
      </vt:variant>
      <vt:variant>
        <vt:lpwstr>_Toc461627185</vt:lpwstr>
      </vt:variant>
      <vt:variant>
        <vt:i4>1572918</vt:i4>
      </vt:variant>
      <vt:variant>
        <vt:i4>674</vt:i4>
      </vt:variant>
      <vt:variant>
        <vt:i4>0</vt:i4>
      </vt:variant>
      <vt:variant>
        <vt:i4>5</vt:i4>
      </vt:variant>
      <vt:variant>
        <vt:lpwstr/>
      </vt:variant>
      <vt:variant>
        <vt:lpwstr>_Toc461627184</vt:lpwstr>
      </vt:variant>
      <vt:variant>
        <vt:i4>1572918</vt:i4>
      </vt:variant>
      <vt:variant>
        <vt:i4>668</vt:i4>
      </vt:variant>
      <vt:variant>
        <vt:i4>0</vt:i4>
      </vt:variant>
      <vt:variant>
        <vt:i4>5</vt:i4>
      </vt:variant>
      <vt:variant>
        <vt:lpwstr/>
      </vt:variant>
      <vt:variant>
        <vt:lpwstr>_Toc461627183</vt:lpwstr>
      </vt:variant>
      <vt:variant>
        <vt:i4>1572918</vt:i4>
      </vt:variant>
      <vt:variant>
        <vt:i4>662</vt:i4>
      </vt:variant>
      <vt:variant>
        <vt:i4>0</vt:i4>
      </vt:variant>
      <vt:variant>
        <vt:i4>5</vt:i4>
      </vt:variant>
      <vt:variant>
        <vt:lpwstr/>
      </vt:variant>
      <vt:variant>
        <vt:lpwstr>_Toc461627182</vt:lpwstr>
      </vt:variant>
      <vt:variant>
        <vt:i4>1572918</vt:i4>
      </vt:variant>
      <vt:variant>
        <vt:i4>656</vt:i4>
      </vt:variant>
      <vt:variant>
        <vt:i4>0</vt:i4>
      </vt:variant>
      <vt:variant>
        <vt:i4>5</vt:i4>
      </vt:variant>
      <vt:variant>
        <vt:lpwstr/>
      </vt:variant>
      <vt:variant>
        <vt:lpwstr>_Toc461627181</vt:lpwstr>
      </vt:variant>
      <vt:variant>
        <vt:i4>1572918</vt:i4>
      </vt:variant>
      <vt:variant>
        <vt:i4>650</vt:i4>
      </vt:variant>
      <vt:variant>
        <vt:i4>0</vt:i4>
      </vt:variant>
      <vt:variant>
        <vt:i4>5</vt:i4>
      </vt:variant>
      <vt:variant>
        <vt:lpwstr/>
      </vt:variant>
      <vt:variant>
        <vt:lpwstr>_Toc461627180</vt:lpwstr>
      </vt:variant>
      <vt:variant>
        <vt:i4>1507382</vt:i4>
      </vt:variant>
      <vt:variant>
        <vt:i4>644</vt:i4>
      </vt:variant>
      <vt:variant>
        <vt:i4>0</vt:i4>
      </vt:variant>
      <vt:variant>
        <vt:i4>5</vt:i4>
      </vt:variant>
      <vt:variant>
        <vt:lpwstr/>
      </vt:variant>
      <vt:variant>
        <vt:lpwstr>_Toc461627179</vt:lpwstr>
      </vt:variant>
      <vt:variant>
        <vt:i4>1507382</vt:i4>
      </vt:variant>
      <vt:variant>
        <vt:i4>638</vt:i4>
      </vt:variant>
      <vt:variant>
        <vt:i4>0</vt:i4>
      </vt:variant>
      <vt:variant>
        <vt:i4>5</vt:i4>
      </vt:variant>
      <vt:variant>
        <vt:lpwstr/>
      </vt:variant>
      <vt:variant>
        <vt:lpwstr>_Toc461627178</vt:lpwstr>
      </vt:variant>
      <vt:variant>
        <vt:i4>1507382</vt:i4>
      </vt:variant>
      <vt:variant>
        <vt:i4>632</vt:i4>
      </vt:variant>
      <vt:variant>
        <vt:i4>0</vt:i4>
      </vt:variant>
      <vt:variant>
        <vt:i4>5</vt:i4>
      </vt:variant>
      <vt:variant>
        <vt:lpwstr/>
      </vt:variant>
      <vt:variant>
        <vt:lpwstr>_Toc461627177</vt:lpwstr>
      </vt:variant>
      <vt:variant>
        <vt:i4>1507382</vt:i4>
      </vt:variant>
      <vt:variant>
        <vt:i4>626</vt:i4>
      </vt:variant>
      <vt:variant>
        <vt:i4>0</vt:i4>
      </vt:variant>
      <vt:variant>
        <vt:i4>5</vt:i4>
      </vt:variant>
      <vt:variant>
        <vt:lpwstr/>
      </vt:variant>
      <vt:variant>
        <vt:lpwstr>_Toc461627176</vt:lpwstr>
      </vt:variant>
      <vt:variant>
        <vt:i4>1507382</vt:i4>
      </vt:variant>
      <vt:variant>
        <vt:i4>620</vt:i4>
      </vt:variant>
      <vt:variant>
        <vt:i4>0</vt:i4>
      </vt:variant>
      <vt:variant>
        <vt:i4>5</vt:i4>
      </vt:variant>
      <vt:variant>
        <vt:lpwstr/>
      </vt:variant>
      <vt:variant>
        <vt:lpwstr>_Toc461627175</vt:lpwstr>
      </vt:variant>
      <vt:variant>
        <vt:i4>1507382</vt:i4>
      </vt:variant>
      <vt:variant>
        <vt:i4>614</vt:i4>
      </vt:variant>
      <vt:variant>
        <vt:i4>0</vt:i4>
      </vt:variant>
      <vt:variant>
        <vt:i4>5</vt:i4>
      </vt:variant>
      <vt:variant>
        <vt:lpwstr/>
      </vt:variant>
      <vt:variant>
        <vt:lpwstr>_Toc461627174</vt:lpwstr>
      </vt:variant>
      <vt:variant>
        <vt:i4>1507382</vt:i4>
      </vt:variant>
      <vt:variant>
        <vt:i4>608</vt:i4>
      </vt:variant>
      <vt:variant>
        <vt:i4>0</vt:i4>
      </vt:variant>
      <vt:variant>
        <vt:i4>5</vt:i4>
      </vt:variant>
      <vt:variant>
        <vt:lpwstr/>
      </vt:variant>
      <vt:variant>
        <vt:lpwstr>_Toc461627173</vt:lpwstr>
      </vt:variant>
      <vt:variant>
        <vt:i4>1507382</vt:i4>
      </vt:variant>
      <vt:variant>
        <vt:i4>602</vt:i4>
      </vt:variant>
      <vt:variant>
        <vt:i4>0</vt:i4>
      </vt:variant>
      <vt:variant>
        <vt:i4>5</vt:i4>
      </vt:variant>
      <vt:variant>
        <vt:lpwstr/>
      </vt:variant>
      <vt:variant>
        <vt:lpwstr>_Toc461627172</vt:lpwstr>
      </vt:variant>
      <vt:variant>
        <vt:i4>1507382</vt:i4>
      </vt:variant>
      <vt:variant>
        <vt:i4>596</vt:i4>
      </vt:variant>
      <vt:variant>
        <vt:i4>0</vt:i4>
      </vt:variant>
      <vt:variant>
        <vt:i4>5</vt:i4>
      </vt:variant>
      <vt:variant>
        <vt:lpwstr/>
      </vt:variant>
      <vt:variant>
        <vt:lpwstr>_Toc461627171</vt:lpwstr>
      </vt:variant>
      <vt:variant>
        <vt:i4>1507382</vt:i4>
      </vt:variant>
      <vt:variant>
        <vt:i4>590</vt:i4>
      </vt:variant>
      <vt:variant>
        <vt:i4>0</vt:i4>
      </vt:variant>
      <vt:variant>
        <vt:i4>5</vt:i4>
      </vt:variant>
      <vt:variant>
        <vt:lpwstr/>
      </vt:variant>
      <vt:variant>
        <vt:lpwstr>_Toc461627170</vt:lpwstr>
      </vt:variant>
      <vt:variant>
        <vt:i4>1441846</vt:i4>
      </vt:variant>
      <vt:variant>
        <vt:i4>584</vt:i4>
      </vt:variant>
      <vt:variant>
        <vt:i4>0</vt:i4>
      </vt:variant>
      <vt:variant>
        <vt:i4>5</vt:i4>
      </vt:variant>
      <vt:variant>
        <vt:lpwstr/>
      </vt:variant>
      <vt:variant>
        <vt:lpwstr>_Toc461627169</vt:lpwstr>
      </vt:variant>
      <vt:variant>
        <vt:i4>1441846</vt:i4>
      </vt:variant>
      <vt:variant>
        <vt:i4>578</vt:i4>
      </vt:variant>
      <vt:variant>
        <vt:i4>0</vt:i4>
      </vt:variant>
      <vt:variant>
        <vt:i4>5</vt:i4>
      </vt:variant>
      <vt:variant>
        <vt:lpwstr/>
      </vt:variant>
      <vt:variant>
        <vt:lpwstr>_Toc461627168</vt:lpwstr>
      </vt:variant>
      <vt:variant>
        <vt:i4>1441846</vt:i4>
      </vt:variant>
      <vt:variant>
        <vt:i4>572</vt:i4>
      </vt:variant>
      <vt:variant>
        <vt:i4>0</vt:i4>
      </vt:variant>
      <vt:variant>
        <vt:i4>5</vt:i4>
      </vt:variant>
      <vt:variant>
        <vt:lpwstr/>
      </vt:variant>
      <vt:variant>
        <vt:lpwstr>_Toc461627167</vt:lpwstr>
      </vt:variant>
      <vt:variant>
        <vt:i4>1441846</vt:i4>
      </vt:variant>
      <vt:variant>
        <vt:i4>566</vt:i4>
      </vt:variant>
      <vt:variant>
        <vt:i4>0</vt:i4>
      </vt:variant>
      <vt:variant>
        <vt:i4>5</vt:i4>
      </vt:variant>
      <vt:variant>
        <vt:lpwstr/>
      </vt:variant>
      <vt:variant>
        <vt:lpwstr>_Toc461627166</vt:lpwstr>
      </vt:variant>
      <vt:variant>
        <vt:i4>1441846</vt:i4>
      </vt:variant>
      <vt:variant>
        <vt:i4>560</vt:i4>
      </vt:variant>
      <vt:variant>
        <vt:i4>0</vt:i4>
      </vt:variant>
      <vt:variant>
        <vt:i4>5</vt:i4>
      </vt:variant>
      <vt:variant>
        <vt:lpwstr/>
      </vt:variant>
      <vt:variant>
        <vt:lpwstr>_Toc461627165</vt:lpwstr>
      </vt:variant>
      <vt:variant>
        <vt:i4>1441846</vt:i4>
      </vt:variant>
      <vt:variant>
        <vt:i4>554</vt:i4>
      </vt:variant>
      <vt:variant>
        <vt:i4>0</vt:i4>
      </vt:variant>
      <vt:variant>
        <vt:i4>5</vt:i4>
      </vt:variant>
      <vt:variant>
        <vt:lpwstr/>
      </vt:variant>
      <vt:variant>
        <vt:lpwstr>_Toc461627164</vt:lpwstr>
      </vt:variant>
      <vt:variant>
        <vt:i4>1441846</vt:i4>
      </vt:variant>
      <vt:variant>
        <vt:i4>548</vt:i4>
      </vt:variant>
      <vt:variant>
        <vt:i4>0</vt:i4>
      </vt:variant>
      <vt:variant>
        <vt:i4>5</vt:i4>
      </vt:variant>
      <vt:variant>
        <vt:lpwstr/>
      </vt:variant>
      <vt:variant>
        <vt:lpwstr>_Toc461627163</vt:lpwstr>
      </vt:variant>
      <vt:variant>
        <vt:i4>1441846</vt:i4>
      </vt:variant>
      <vt:variant>
        <vt:i4>542</vt:i4>
      </vt:variant>
      <vt:variant>
        <vt:i4>0</vt:i4>
      </vt:variant>
      <vt:variant>
        <vt:i4>5</vt:i4>
      </vt:variant>
      <vt:variant>
        <vt:lpwstr/>
      </vt:variant>
      <vt:variant>
        <vt:lpwstr>_Toc461627162</vt:lpwstr>
      </vt:variant>
      <vt:variant>
        <vt:i4>1441846</vt:i4>
      </vt:variant>
      <vt:variant>
        <vt:i4>536</vt:i4>
      </vt:variant>
      <vt:variant>
        <vt:i4>0</vt:i4>
      </vt:variant>
      <vt:variant>
        <vt:i4>5</vt:i4>
      </vt:variant>
      <vt:variant>
        <vt:lpwstr/>
      </vt:variant>
      <vt:variant>
        <vt:lpwstr>_Toc461627161</vt:lpwstr>
      </vt:variant>
      <vt:variant>
        <vt:i4>1441846</vt:i4>
      </vt:variant>
      <vt:variant>
        <vt:i4>530</vt:i4>
      </vt:variant>
      <vt:variant>
        <vt:i4>0</vt:i4>
      </vt:variant>
      <vt:variant>
        <vt:i4>5</vt:i4>
      </vt:variant>
      <vt:variant>
        <vt:lpwstr/>
      </vt:variant>
      <vt:variant>
        <vt:lpwstr>_Toc461627160</vt:lpwstr>
      </vt:variant>
      <vt:variant>
        <vt:i4>1376310</vt:i4>
      </vt:variant>
      <vt:variant>
        <vt:i4>524</vt:i4>
      </vt:variant>
      <vt:variant>
        <vt:i4>0</vt:i4>
      </vt:variant>
      <vt:variant>
        <vt:i4>5</vt:i4>
      </vt:variant>
      <vt:variant>
        <vt:lpwstr/>
      </vt:variant>
      <vt:variant>
        <vt:lpwstr>_Toc461627159</vt:lpwstr>
      </vt:variant>
      <vt:variant>
        <vt:i4>1376310</vt:i4>
      </vt:variant>
      <vt:variant>
        <vt:i4>518</vt:i4>
      </vt:variant>
      <vt:variant>
        <vt:i4>0</vt:i4>
      </vt:variant>
      <vt:variant>
        <vt:i4>5</vt:i4>
      </vt:variant>
      <vt:variant>
        <vt:lpwstr/>
      </vt:variant>
      <vt:variant>
        <vt:lpwstr>_Toc461627158</vt:lpwstr>
      </vt:variant>
      <vt:variant>
        <vt:i4>1376310</vt:i4>
      </vt:variant>
      <vt:variant>
        <vt:i4>512</vt:i4>
      </vt:variant>
      <vt:variant>
        <vt:i4>0</vt:i4>
      </vt:variant>
      <vt:variant>
        <vt:i4>5</vt:i4>
      </vt:variant>
      <vt:variant>
        <vt:lpwstr/>
      </vt:variant>
      <vt:variant>
        <vt:lpwstr>_Toc461627157</vt:lpwstr>
      </vt:variant>
      <vt:variant>
        <vt:i4>1376310</vt:i4>
      </vt:variant>
      <vt:variant>
        <vt:i4>506</vt:i4>
      </vt:variant>
      <vt:variant>
        <vt:i4>0</vt:i4>
      </vt:variant>
      <vt:variant>
        <vt:i4>5</vt:i4>
      </vt:variant>
      <vt:variant>
        <vt:lpwstr/>
      </vt:variant>
      <vt:variant>
        <vt:lpwstr>_Toc461627156</vt:lpwstr>
      </vt:variant>
      <vt:variant>
        <vt:i4>1376310</vt:i4>
      </vt:variant>
      <vt:variant>
        <vt:i4>500</vt:i4>
      </vt:variant>
      <vt:variant>
        <vt:i4>0</vt:i4>
      </vt:variant>
      <vt:variant>
        <vt:i4>5</vt:i4>
      </vt:variant>
      <vt:variant>
        <vt:lpwstr/>
      </vt:variant>
      <vt:variant>
        <vt:lpwstr>_Toc461627155</vt:lpwstr>
      </vt:variant>
      <vt:variant>
        <vt:i4>1376310</vt:i4>
      </vt:variant>
      <vt:variant>
        <vt:i4>494</vt:i4>
      </vt:variant>
      <vt:variant>
        <vt:i4>0</vt:i4>
      </vt:variant>
      <vt:variant>
        <vt:i4>5</vt:i4>
      </vt:variant>
      <vt:variant>
        <vt:lpwstr/>
      </vt:variant>
      <vt:variant>
        <vt:lpwstr>_Toc461627154</vt:lpwstr>
      </vt:variant>
      <vt:variant>
        <vt:i4>1376310</vt:i4>
      </vt:variant>
      <vt:variant>
        <vt:i4>488</vt:i4>
      </vt:variant>
      <vt:variant>
        <vt:i4>0</vt:i4>
      </vt:variant>
      <vt:variant>
        <vt:i4>5</vt:i4>
      </vt:variant>
      <vt:variant>
        <vt:lpwstr/>
      </vt:variant>
      <vt:variant>
        <vt:lpwstr>_Toc461627153</vt:lpwstr>
      </vt:variant>
      <vt:variant>
        <vt:i4>1376310</vt:i4>
      </vt:variant>
      <vt:variant>
        <vt:i4>482</vt:i4>
      </vt:variant>
      <vt:variant>
        <vt:i4>0</vt:i4>
      </vt:variant>
      <vt:variant>
        <vt:i4>5</vt:i4>
      </vt:variant>
      <vt:variant>
        <vt:lpwstr/>
      </vt:variant>
      <vt:variant>
        <vt:lpwstr>_Toc461627152</vt:lpwstr>
      </vt:variant>
      <vt:variant>
        <vt:i4>1376310</vt:i4>
      </vt:variant>
      <vt:variant>
        <vt:i4>476</vt:i4>
      </vt:variant>
      <vt:variant>
        <vt:i4>0</vt:i4>
      </vt:variant>
      <vt:variant>
        <vt:i4>5</vt:i4>
      </vt:variant>
      <vt:variant>
        <vt:lpwstr/>
      </vt:variant>
      <vt:variant>
        <vt:lpwstr>_Toc461627151</vt:lpwstr>
      </vt:variant>
      <vt:variant>
        <vt:i4>1376310</vt:i4>
      </vt:variant>
      <vt:variant>
        <vt:i4>470</vt:i4>
      </vt:variant>
      <vt:variant>
        <vt:i4>0</vt:i4>
      </vt:variant>
      <vt:variant>
        <vt:i4>5</vt:i4>
      </vt:variant>
      <vt:variant>
        <vt:lpwstr/>
      </vt:variant>
      <vt:variant>
        <vt:lpwstr>_Toc461627150</vt:lpwstr>
      </vt:variant>
      <vt:variant>
        <vt:i4>1310774</vt:i4>
      </vt:variant>
      <vt:variant>
        <vt:i4>464</vt:i4>
      </vt:variant>
      <vt:variant>
        <vt:i4>0</vt:i4>
      </vt:variant>
      <vt:variant>
        <vt:i4>5</vt:i4>
      </vt:variant>
      <vt:variant>
        <vt:lpwstr/>
      </vt:variant>
      <vt:variant>
        <vt:lpwstr>_Toc461627149</vt:lpwstr>
      </vt:variant>
      <vt:variant>
        <vt:i4>1310774</vt:i4>
      </vt:variant>
      <vt:variant>
        <vt:i4>458</vt:i4>
      </vt:variant>
      <vt:variant>
        <vt:i4>0</vt:i4>
      </vt:variant>
      <vt:variant>
        <vt:i4>5</vt:i4>
      </vt:variant>
      <vt:variant>
        <vt:lpwstr/>
      </vt:variant>
      <vt:variant>
        <vt:lpwstr>_Toc461627148</vt:lpwstr>
      </vt:variant>
      <vt:variant>
        <vt:i4>1310774</vt:i4>
      </vt:variant>
      <vt:variant>
        <vt:i4>452</vt:i4>
      </vt:variant>
      <vt:variant>
        <vt:i4>0</vt:i4>
      </vt:variant>
      <vt:variant>
        <vt:i4>5</vt:i4>
      </vt:variant>
      <vt:variant>
        <vt:lpwstr/>
      </vt:variant>
      <vt:variant>
        <vt:lpwstr>_Toc461627147</vt:lpwstr>
      </vt:variant>
      <vt:variant>
        <vt:i4>1310774</vt:i4>
      </vt:variant>
      <vt:variant>
        <vt:i4>446</vt:i4>
      </vt:variant>
      <vt:variant>
        <vt:i4>0</vt:i4>
      </vt:variant>
      <vt:variant>
        <vt:i4>5</vt:i4>
      </vt:variant>
      <vt:variant>
        <vt:lpwstr/>
      </vt:variant>
      <vt:variant>
        <vt:lpwstr>_Toc461627146</vt:lpwstr>
      </vt:variant>
      <vt:variant>
        <vt:i4>1310774</vt:i4>
      </vt:variant>
      <vt:variant>
        <vt:i4>440</vt:i4>
      </vt:variant>
      <vt:variant>
        <vt:i4>0</vt:i4>
      </vt:variant>
      <vt:variant>
        <vt:i4>5</vt:i4>
      </vt:variant>
      <vt:variant>
        <vt:lpwstr/>
      </vt:variant>
      <vt:variant>
        <vt:lpwstr>_Toc461627145</vt:lpwstr>
      </vt:variant>
      <vt:variant>
        <vt:i4>1310774</vt:i4>
      </vt:variant>
      <vt:variant>
        <vt:i4>434</vt:i4>
      </vt:variant>
      <vt:variant>
        <vt:i4>0</vt:i4>
      </vt:variant>
      <vt:variant>
        <vt:i4>5</vt:i4>
      </vt:variant>
      <vt:variant>
        <vt:lpwstr/>
      </vt:variant>
      <vt:variant>
        <vt:lpwstr>_Toc461627144</vt:lpwstr>
      </vt:variant>
      <vt:variant>
        <vt:i4>1310774</vt:i4>
      </vt:variant>
      <vt:variant>
        <vt:i4>428</vt:i4>
      </vt:variant>
      <vt:variant>
        <vt:i4>0</vt:i4>
      </vt:variant>
      <vt:variant>
        <vt:i4>5</vt:i4>
      </vt:variant>
      <vt:variant>
        <vt:lpwstr/>
      </vt:variant>
      <vt:variant>
        <vt:lpwstr>_Toc461627143</vt:lpwstr>
      </vt:variant>
      <vt:variant>
        <vt:i4>1310774</vt:i4>
      </vt:variant>
      <vt:variant>
        <vt:i4>422</vt:i4>
      </vt:variant>
      <vt:variant>
        <vt:i4>0</vt:i4>
      </vt:variant>
      <vt:variant>
        <vt:i4>5</vt:i4>
      </vt:variant>
      <vt:variant>
        <vt:lpwstr/>
      </vt:variant>
      <vt:variant>
        <vt:lpwstr>_Toc461627142</vt:lpwstr>
      </vt:variant>
      <vt:variant>
        <vt:i4>1310774</vt:i4>
      </vt:variant>
      <vt:variant>
        <vt:i4>416</vt:i4>
      </vt:variant>
      <vt:variant>
        <vt:i4>0</vt:i4>
      </vt:variant>
      <vt:variant>
        <vt:i4>5</vt:i4>
      </vt:variant>
      <vt:variant>
        <vt:lpwstr/>
      </vt:variant>
      <vt:variant>
        <vt:lpwstr>_Toc461627141</vt:lpwstr>
      </vt:variant>
      <vt:variant>
        <vt:i4>1310774</vt:i4>
      </vt:variant>
      <vt:variant>
        <vt:i4>410</vt:i4>
      </vt:variant>
      <vt:variant>
        <vt:i4>0</vt:i4>
      </vt:variant>
      <vt:variant>
        <vt:i4>5</vt:i4>
      </vt:variant>
      <vt:variant>
        <vt:lpwstr/>
      </vt:variant>
      <vt:variant>
        <vt:lpwstr>_Toc461627140</vt:lpwstr>
      </vt:variant>
      <vt:variant>
        <vt:i4>1245238</vt:i4>
      </vt:variant>
      <vt:variant>
        <vt:i4>404</vt:i4>
      </vt:variant>
      <vt:variant>
        <vt:i4>0</vt:i4>
      </vt:variant>
      <vt:variant>
        <vt:i4>5</vt:i4>
      </vt:variant>
      <vt:variant>
        <vt:lpwstr/>
      </vt:variant>
      <vt:variant>
        <vt:lpwstr>_Toc461627139</vt:lpwstr>
      </vt:variant>
      <vt:variant>
        <vt:i4>1245238</vt:i4>
      </vt:variant>
      <vt:variant>
        <vt:i4>398</vt:i4>
      </vt:variant>
      <vt:variant>
        <vt:i4>0</vt:i4>
      </vt:variant>
      <vt:variant>
        <vt:i4>5</vt:i4>
      </vt:variant>
      <vt:variant>
        <vt:lpwstr/>
      </vt:variant>
      <vt:variant>
        <vt:lpwstr>_Toc461627138</vt:lpwstr>
      </vt:variant>
      <vt:variant>
        <vt:i4>1245238</vt:i4>
      </vt:variant>
      <vt:variant>
        <vt:i4>392</vt:i4>
      </vt:variant>
      <vt:variant>
        <vt:i4>0</vt:i4>
      </vt:variant>
      <vt:variant>
        <vt:i4>5</vt:i4>
      </vt:variant>
      <vt:variant>
        <vt:lpwstr/>
      </vt:variant>
      <vt:variant>
        <vt:lpwstr>_Toc461627137</vt:lpwstr>
      </vt:variant>
      <vt:variant>
        <vt:i4>1245238</vt:i4>
      </vt:variant>
      <vt:variant>
        <vt:i4>386</vt:i4>
      </vt:variant>
      <vt:variant>
        <vt:i4>0</vt:i4>
      </vt:variant>
      <vt:variant>
        <vt:i4>5</vt:i4>
      </vt:variant>
      <vt:variant>
        <vt:lpwstr/>
      </vt:variant>
      <vt:variant>
        <vt:lpwstr>_Toc461627136</vt:lpwstr>
      </vt:variant>
      <vt:variant>
        <vt:i4>1245238</vt:i4>
      </vt:variant>
      <vt:variant>
        <vt:i4>380</vt:i4>
      </vt:variant>
      <vt:variant>
        <vt:i4>0</vt:i4>
      </vt:variant>
      <vt:variant>
        <vt:i4>5</vt:i4>
      </vt:variant>
      <vt:variant>
        <vt:lpwstr/>
      </vt:variant>
      <vt:variant>
        <vt:lpwstr>_Toc461627135</vt:lpwstr>
      </vt:variant>
      <vt:variant>
        <vt:i4>1245238</vt:i4>
      </vt:variant>
      <vt:variant>
        <vt:i4>374</vt:i4>
      </vt:variant>
      <vt:variant>
        <vt:i4>0</vt:i4>
      </vt:variant>
      <vt:variant>
        <vt:i4>5</vt:i4>
      </vt:variant>
      <vt:variant>
        <vt:lpwstr/>
      </vt:variant>
      <vt:variant>
        <vt:lpwstr>_Toc461627134</vt:lpwstr>
      </vt:variant>
      <vt:variant>
        <vt:i4>1245238</vt:i4>
      </vt:variant>
      <vt:variant>
        <vt:i4>368</vt:i4>
      </vt:variant>
      <vt:variant>
        <vt:i4>0</vt:i4>
      </vt:variant>
      <vt:variant>
        <vt:i4>5</vt:i4>
      </vt:variant>
      <vt:variant>
        <vt:lpwstr/>
      </vt:variant>
      <vt:variant>
        <vt:lpwstr>_Toc461627133</vt:lpwstr>
      </vt:variant>
      <vt:variant>
        <vt:i4>1245238</vt:i4>
      </vt:variant>
      <vt:variant>
        <vt:i4>362</vt:i4>
      </vt:variant>
      <vt:variant>
        <vt:i4>0</vt:i4>
      </vt:variant>
      <vt:variant>
        <vt:i4>5</vt:i4>
      </vt:variant>
      <vt:variant>
        <vt:lpwstr/>
      </vt:variant>
      <vt:variant>
        <vt:lpwstr>_Toc461627132</vt:lpwstr>
      </vt:variant>
      <vt:variant>
        <vt:i4>1245238</vt:i4>
      </vt:variant>
      <vt:variant>
        <vt:i4>356</vt:i4>
      </vt:variant>
      <vt:variant>
        <vt:i4>0</vt:i4>
      </vt:variant>
      <vt:variant>
        <vt:i4>5</vt:i4>
      </vt:variant>
      <vt:variant>
        <vt:lpwstr/>
      </vt:variant>
      <vt:variant>
        <vt:lpwstr>_Toc461627131</vt:lpwstr>
      </vt:variant>
      <vt:variant>
        <vt:i4>1245238</vt:i4>
      </vt:variant>
      <vt:variant>
        <vt:i4>350</vt:i4>
      </vt:variant>
      <vt:variant>
        <vt:i4>0</vt:i4>
      </vt:variant>
      <vt:variant>
        <vt:i4>5</vt:i4>
      </vt:variant>
      <vt:variant>
        <vt:lpwstr/>
      </vt:variant>
      <vt:variant>
        <vt:lpwstr>_Toc461627130</vt:lpwstr>
      </vt:variant>
      <vt:variant>
        <vt:i4>1179702</vt:i4>
      </vt:variant>
      <vt:variant>
        <vt:i4>344</vt:i4>
      </vt:variant>
      <vt:variant>
        <vt:i4>0</vt:i4>
      </vt:variant>
      <vt:variant>
        <vt:i4>5</vt:i4>
      </vt:variant>
      <vt:variant>
        <vt:lpwstr/>
      </vt:variant>
      <vt:variant>
        <vt:lpwstr>_Toc461627129</vt:lpwstr>
      </vt:variant>
      <vt:variant>
        <vt:i4>1179702</vt:i4>
      </vt:variant>
      <vt:variant>
        <vt:i4>338</vt:i4>
      </vt:variant>
      <vt:variant>
        <vt:i4>0</vt:i4>
      </vt:variant>
      <vt:variant>
        <vt:i4>5</vt:i4>
      </vt:variant>
      <vt:variant>
        <vt:lpwstr/>
      </vt:variant>
      <vt:variant>
        <vt:lpwstr>_Toc461627128</vt:lpwstr>
      </vt:variant>
      <vt:variant>
        <vt:i4>1179702</vt:i4>
      </vt:variant>
      <vt:variant>
        <vt:i4>332</vt:i4>
      </vt:variant>
      <vt:variant>
        <vt:i4>0</vt:i4>
      </vt:variant>
      <vt:variant>
        <vt:i4>5</vt:i4>
      </vt:variant>
      <vt:variant>
        <vt:lpwstr/>
      </vt:variant>
      <vt:variant>
        <vt:lpwstr>_Toc461627127</vt:lpwstr>
      </vt:variant>
      <vt:variant>
        <vt:i4>1179702</vt:i4>
      </vt:variant>
      <vt:variant>
        <vt:i4>326</vt:i4>
      </vt:variant>
      <vt:variant>
        <vt:i4>0</vt:i4>
      </vt:variant>
      <vt:variant>
        <vt:i4>5</vt:i4>
      </vt:variant>
      <vt:variant>
        <vt:lpwstr/>
      </vt:variant>
      <vt:variant>
        <vt:lpwstr>_Toc461627126</vt:lpwstr>
      </vt:variant>
      <vt:variant>
        <vt:i4>1179702</vt:i4>
      </vt:variant>
      <vt:variant>
        <vt:i4>320</vt:i4>
      </vt:variant>
      <vt:variant>
        <vt:i4>0</vt:i4>
      </vt:variant>
      <vt:variant>
        <vt:i4>5</vt:i4>
      </vt:variant>
      <vt:variant>
        <vt:lpwstr/>
      </vt:variant>
      <vt:variant>
        <vt:lpwstr>_Toc461627125</vt:lpwstr>
      </vt:variant>
      <vt:variant>
        <vt:i4>1179702</vt:i4>
      </vt:variant>
      <vt:variant>
        <vt:i4>314</vt:i4>
      </vt:variant>
      <vt:variant>
        <vt:i4>0</vt:i4>
      </vt:variant>
      <vt:variant>
        <vt:i4>5</vt:i4>
      </vt:variant>
      <vt:variant>
        <vt:lpwstr/>
      </vt:variant>
      <vt:variant>
        <vt:lpwstr>_Toc461627124</vt:lpwstr>
      </vt:variant>
      <vt:variant>
        <vt:i4>1179702</vt:i4>
      </vt:variant>
      <vt:variant>
        <vt:i4>308</vt:i4>
      </vt:variant>
      <vt:variant>
        <vt:i4>0</vt:i4>
      </vt:variant>
      <vt:variant>
        <vt:i4>5</vt:i4>
      </vt:variant>
      <vt:variant>
        <vt:lpwstr/>
      </vt:variant>
      <vt:variant>
        <vt:lpwstr>_Toc461627123</vt:lpwstr>
      </vt:variant>
      <vt:variant>
        <vt:i4>1179702</vt:i4>
      </vt:variant>
      <vt:variant>
        <vt:i4>302</vt:i4>
      </vt:variant>
      <vt:variant>
        <vt:i4>0</vt:i4>
      </vt:variant>
      <vt:variant>
        <vt:i4>5</vt:i4>
      </vt:variant>
      <vt:variant>
        <vt:lpwstr/>
      </vt:variant>
      <vt:variant>
        <vt:lpwstr>_Toc461627122</vt:lpwstr>
      </vt:variant>
      <vt:variant>
        <vt:i4>1179702</vt:i4>
      </vt:variant>
      <vt:variant>
        <vt:i4>296</vt:i4>
      </vt:variant>
      <vt:variant>
        <vt:i4>0</vt:i4>
      </vt:variant>
      <vt:variant>
        <vt:i4>5</vt:i4>
      </vt:variant>
      <vt:variant>
        <vt:lpwstr/>
      </vt:variant>
      <vt:variant>
        <vt:lpwstr>_Toc461627121</vt:lpwstr>
      </vt:variant>
      <vt:variant>
        <vt:i4>1179702</vt:i4>
      </vt:variant>
      <vt:variant>
        <vt:i4>290</vt:i4>
      </vt:variant>
      <vt:variant>
        <vt:i4>0</vt:i4>
      </vt:variant>
      <vt:variant>
        <vt:i4>5</vt:i4>
      </vt:variant>
      <vt:variant>
        <vt:lpwstr/>
      </vt:variant>
      <vt:variant>
        <vt:lpwstr>_Toc461627120</vt:lpwstr>
      </vt:variant>
      <vt:variant>
        <vt:i4>1114166</vt:i4>
      </vt:variant>
      <vt:variant>
        <vt:i4>284</vt:i4>
      </vt:variant>
      <vt:variant>
        <vt:i4>0</vt:i4>
      </vt:variant>
      <vt:variant>
        <vt:i4>5</vt:i4>
      </vt:variant>
      <vt:variant>
        <vt:lpwstr/>
      </vt:variant>
      <vt:variant>
        <vt:lpwstr>_Toc461627119</vt:lpwstr>
      </vt:variant>
      <vt:variant>
        <vt:i4>1114166</vt:i4>
      </vt:variant>
      <vt:variant>
        <vt:i4>278</vt:i4>
      </vt:variant>
      <vt:variant>
        <vt:i4>0</vt:i4>
      </vt:variant>
      <vt:variant>
        <vt:i4>5</vt:i4>
      </vt:variant>
      <vt:variant>
        <vt:lpwstr/>
      </vt:variant>
      <vt:variant>
        <vt:lpwstr>_Toc461627118</vt:lpwstr>
      </vt:variant>
      <vt:variant>
        <vt:i4>1114166</vt:i4>
      </vt:variant>
      <vt:variant>
        <vt:i4>272</vt:i4>
      </vt:variant>
      <vt:variant>
        <vt:i4>0</vt:i4>
      </vt:variant>
      <vt:variant>
        <vt:i4>5</vt:i4>
      </vt:variant>
      <vt:variant>
        <vt:lpwstr/>
      </vt:variant>
      <vt:variant>
        <vt:lpwstr>_Toc461627117</vt:lpwstr>
      </vt:variant>
      <vt:variant>
        <vt:i4>1114166</vt:i4>
      </vt:variant>
      <vt:variant>
        <vt:i4>266</vt:i4>
      </vt:variant>
      <vt:variant>
        <vt:i4>0</vt:i4>
      </vt:variant>
      <vt:variant>
        <vt:i4>5</vt:i4>
      </vt:variant>
      <vt:variant>
        <vt:lpwstr/>
      </vt:variant>
      <vt:variant>
        <vt:lpwstr>_Toc461627116</vt:lpwstr>
      </vt:variant>
      <vt:variant>
        <vt:i4>1114166</vt:i4>
      </vt:variant>
      <vt:variant>
        <vt:i4>260</vt:i4>
      </vt:variant>
      <vt:variant>
        <vt:i4>0</vt:i4>
      </vt:variant>
      <vt:variant>
        <vt:i4>5</vt:i4>
      </vt:variant>
      <vt:variant>
        <vt:lpwstr/>
      </vt:variant>
      <vt:variant>
        <vt:lpwstr>_Toc461627115</vt:lpwstr>
      </vt:variant>
      <vt:variant>
        <vt:i4>1114166</vt:i4>
      </vt:variant>
      <vt:variant>
        <vt:i4>254</vt:i4>
      </vt:variant>
      <vt:variant>
        <vt:i4>0</vt:i4>
      </vt:variant>
      <vt:variant>
        <vt:i4>5</vt:i4>
      </vt:variant>
      <vt:variant>
        <vt:lpwstr/>
      </vt:variant>
      <vt:variant>
        <vt:lpwstr>_Toc461627114</vt:lpwstr>
      </vt:variant>
      <vt:variant>
        <vt:i4>1114166</vt:i4>
      </vt:variant>
      <vt:variant>
        <vt:i4>248</vt:i4>
      </vt:variant>
      <vt:variant>
        <vt:i4>0</vt:i4>
      </vt:variant>
      <vt:variant>
        <vt:i4>5</vt:i4>
      </vt:variant>
      <vt:variant>
        <vt:lpwstr/>
      </vt:variant>
      <vt:variant>
        <vt:lpwstr>_Toc461627113</vt:lpwstr>
      </vt:variant>
      <vt:variant>
        <vt:i4>1114166</vt:i4>
      </vt:variant>
      <vt:variant>
        <vt:i4>242</vt:i4>
      </vt:variant>
      <vt:variant>
        <vt:i4>0</vt:i4>
      </vt:variant>
      <vt:variant>
        <vt:i4>5</vt:i4>
      </vt:variant>
      <vt:variant>
        <vt:lpwstr/>
      </vt:variant>
      <vt:variant>
        <vt:lpwstr>_Toc461627112</vt:lpwstr>
      </vt:variant>
      <vt:variant>
        <vt:i4>1114166</vt:i4>
      </vt:variant>
      <vt:variant>
        <vt:i4>236</vt:i4>
      </vt:variant>
      <vt:variant>
        <vt:i4>0</vt:i4>
      </vt:variant>
      <vt:variant>
        <vt:i4>5</vt:i4>
      </vt:variant>
      <vt:variant>
        <vt:lpwstr/>
      </vt:variant>
      <vt:variant>
        <vt:lpwstr>_Toc461627111</vt:lpwstr>
      </vt:variant>
      <vt:variant>
        <vt:i4>1114166</vt:i4>
      </vt:variant>
      <vt:variant>
        <vt:i4>230</vt:i4>
      </vt:variant>
      <vt:variant>
        <vt:i4>0</vt:i4>
      </vt:variant>
      <vt:variant>
        <vt:i4>5</vt:i4>
      </vt:variant>
      <vt:variant>
        <vt:lpwstr/>
      </vt:variant>
      <vt:variant>
        <vt:lpwstr>_Toc461627110</vt:lpwstr>
      </vt:variant>
      <vt:variant>
        <vt:i4>1048630</vt:i4>
      </vt:variant>
      <vt:variant>
        <vt:i4>224</vt:i4>
      </vt:variant>
      <vt:variant>
        <vt:i4>0</vt:i4>
      </vt:variant>
      <vt:variant>
        <vt:i4>5</vt:i4>
      </vt:variant>
      <vt:variant>
        <vt:lpwstr/>
      </vt:variant>
      <vt:variant>
        <vt:lpwstr>_Toc461627109</vt:lpwstr>
      </vt:variant>
      <vt:variant>
        <vt:i4>1048630</vt:i4>
      </vt:variant>
      <vt:variant>
        <vt:i4>218</vt:i4>
      </vt:variant>
      <vt:variant>
        <vt:i4>0</vt:i4>
      </vt:variant>
      <vt:variant>
        <vt:i4>5</vt:i4>
      </vt:variant>
      <vt:variant>
        <vt:lpwstr/>
      </vt:variant>
      <vt:variant>
        <vt:lpwstr>_Toc461627108</vt:lpwstr>
      </vt:variant>
      <vt:variant>
        <vt:i4>1048630</vt:i4>
      </vt:variant>
      <vt:variant>
        <vt:i4>212</vt:i4>
      </vt:variant>
      <vt:variant>
        <vt:i4>0</vt:i4>
      </vt:variant>
      <vt:variant>
        <vt:i4>5</vt:i4>
      </vt:variant>
      <vt:variant>
        <vt:lpwstr/>
      </vt:variant>
      <vt:variant>
        <vt:lpwstr>_Toc461627107</vt:lpwstr>
      </vt:variant>
      <vt:variant>
        <vt:i4>1048630</vt:i4>
      </vt:variant>
      <vt:variant>
        <vt:i4>206</vt:i4>
      </vt:variant>
      <vt:variant>
        <vt:i4>0</vt:i4>
      </vt:variant>
      <vt:variant>
        <vt:i4>5</vt:i4>
      </vt:variant>
      <vt:variant>
        <vt:lpwstr/>
      </vt:variant>
      <vt:variant>
        <vt:lpwstr>_Toc461627106</vt:lpwstr>
      </vt:variant>
      <vt:variant>
        <vt:i4>1048630</vt:i4>
      </vt:variant>
      <vt:variant>
        <vt:i4>200</vt:i4>
      </vt:variant>
      <vt:variant>
        <vt:i4>0</vt:i4>
      </vt:variant>
      <vt:variant>
        <vt:i4>5</vt:i4>
      </vt:variant>
      <vt:variant>
        <vt:lpwstr/>
      </vt:variant>
      <vt:variant>
        <vt:lpwstr>_Toc461627105</vt:lpwstr>
      </vt:variant>
      <vt:variant>
        <vt:i4>1048630</vt:i4>
      </vt:variant>
      <vt:variant>
        <vt:i4>194</vt:i4>
      </vt:variant>
      <vt:variant>
        <vt:i4>0</vt:i4>
      </vt:variant>
      <vt:variant>
        <vt:i4>5</vt:i4>
      </vt:variant>
      <vt:variant>
        <vt:lpwstr/>
      </vt:variant>
      <vt:variant>
        <vt:lpwstr>_Toc461627104</vt:lpwstr>
      </vt:variant>
      <vt:variant>
        <vt:i4>1048630</vt:i4>
      </vt:variant>
      <vt:variant>
        <vt:i4>188</vt:i4>
      </vt:variant>
      <vt:variant>
        <vt:i4>0</vt:i4>
      </vt:variant>
      <vt:variant>
        <vt:i4>5</vt:i4>
      </vt:variant>
      <vt:variant>
        <vt:lpwstr/>
      </vt:variant>
      <vt:variant>
        <vt:lpwstr>_Toc461627103</vt:lpwstr>
      </vt:variant>
      <vt:variant>
        <vt:i4>1048630</vt:i4>
      </vt:variant>
      <vt:variant>
        <vt:i4>182</vt:i4>
      </vt:variant>
      <vt:variant>
        <vt:i4>0</vt:i4>
      </vt:variant>
      <vt:variant>
        <vt:i4>5</vt:i4>
      </vt:variant>
      <vt:variant>
        <vt:lpwstr/>
      </vt:variant>
      <vt:variant>
        <vt:lpwstr>_Toc461627102</vt:lpwstr>
      </vt:variant>
      <vt:variant>
        <vt:i4>1048630</vt:i4>
      </vt:variant>
      <vt:variant>
        <vt:i4>176</vt:i4>
      </vt:variant>
      <vt:variant>
        <vt:i4>0</vt:i4>
      </vt:variant>
      <vt:variant>
        <vt:i4>5</vt:i4>
      </vt:variant>
      <vt:variant>
        <vt:lpwstr/>
      </vt:variant>
      <vt:variant>
        <vt:lpwstr>_Toc461627101</vt:lpwstr>
      </vt:variant>
      <vt:variant>
        <vt:i4>1048630</vt:i4>
      </vt:variant>
      <vt:variant>
        <vt:i4>170</vt:i4>
      </vt:variant>
      <vt:variant>
        <vt:i4>0</vt:i4>
      </vt:variant>
      <vt:variant>
        <vt:i4>5</vt:i4>
      </vt:variant>
      <vt:variant>
        <vt:lpwstr/>
      </vt:variant>
      <vt:variant>
        <vt:lpwstr>_Toc461627100</vt:lpwstr>
      </vt:variant>
      <vt:variant>
        <vt:i4>1638455</vt:i4>
      </vt:variant>
      <vt:variant>
        <vt:i4>164</vt:i4>
      </vt:variant>
      <vt:variant>
        <vt:i4>0</vt:i4>
      </vt:variant>
      <vt:variant>
        <vt:i4>5</vt:i4>
      </vt:variant>
      <vt:variant>
        <vt:lpwstr/>
      </vt:variant>
      <vt:variant>
        <vt:lpwstr>_Toc461627099</vt:lpwstr>
      </vt:variant>
      <vt:variant>
        <vt:i4>1638455</vt:i4>
      </vt:variant>
      <vt:variant>
        <vt:i4>158</vt:i4>
      </vt:variant>
      <vt:variant>
        <vt:i4>0</vt:i4>
      </vt:variant>
      <vt:variant>
        <vt:i4>5</vt:i4>
      </vt:variant>
      <vt:variant>
        <vt:lpwstr/>
      </vt:variant>
      <vt:variant>
        <vt:lpwstr>_Toc461627098</vt:lpwstr>
      </vt:variant>
      <vt:variant>
        <vt:i4>1638455</vt:i4>
      </vt:variant>
      <vt:variant>
        <vt:i4>152</vt:i4>
      </vt:variant>
      <vt:variant>
        <vt:i4>0</vt:i4>
      </vt:variant>
      <vt:variant>
        <vt:i4>5</vt:i4>
      </vt:variant>
      <vt:variant>
        <vt:lpwstr/>
      </vt:variant>
      <vt:variant>
        <vt:lpwstr>_Toc461627097</vt:lpwstr>
      </vt:variant>
      <vt:variant>
        <vt:i4>1638455</vt:i4>
      </vt:variant>
      <vt:variant>
        <vt:i4>146</vt:i4>
      </vt:variant>
      <vt:variant>
        <vt:i4>0</vt:i4>
      </vt:variant>
      <vt:variant>
        <vt:i4>5</vt:i4>
      </vt:variant>
      <vt:variant>
        <vt:lpwstr/>
      </vt:variant>
      <vt:variant>
        <vt:lpwstr>_Toc461627096</vt:lpwstr>
      </vt:variant>
      <vt:variant>
        <vt:i4>1638455</vt:i4>
      </vt:variant>
      <vt:variant>
        <vt:i4>140</vt:i4>
      </vt:variant>
      <vt:variant>
        <vt:i4>0</vt:i4>
      </vt:variant>
      <vt:variant>
        <vt:i4>5</vt:i4>
      </vt:variant>
      <vt:variant>
        <vt:lpwstr/>
      </vt:variant>
      <vt:variant>
        <vt:lpwstr>_Toc461627095</vt:lpwstr>
      </vt:variant>
      <vt:variant>
        <vt:i4>1638455</vt:i4>
      </vt:variant>
      <vt:variant>
        <vt:i4>134</vt:i4>
      </vt:variant>
      <vt:variant>
        <vt:i4>0</vt:i4>
      </vt:variant>
      <vt:variant>
        <vt:i4>5</vt:i4>
      </vt:variant>
      <vt:variant>
        <vt:lpwstr/>
      </vt:variant>
      <vt:variant>
        <vt:lpwstr>_Toc461627094</vt:lpwstr>
      </vt:variant>
      <vt:variant>
        <vt:i4>1638455</vt:i4>
      </vt:variant>
      <vt:variant>
        <vt:i4>128</vt:i4>
      </vt:variant>
      <vt:variant>
        <vt:i4>0</vt:i4>
      </vt:variant>
      <vt:variant>
        <vt:i4>5</vt:i4>
      </vt:variant>
      <vt:variant>
        <vt:lpwstr/>
      </vt:variant>
      <vt:variant>
        <vt:lpwstr>_Toc461627093</vt:lpwstr>
      </vt:variant>
      <vt:variant>
        <vt:i4>1638455</vt:i4>
      </vt:variant>
      <vt:variant>
        <vt:i4>122</vt:i4>
      </vt:variant>
      <vt:variant>
        <vt:i4>0</vt:i4>
      </vt:variant>
      <vt:variant>
        <vt:i4>5</vt:i4>
      </vt:variant>
      <vt:variant>
        <vt:lpwstr/>
      </vt:variant>
      <vt:variant>
        <vt:lpwstr>_Toc461627092</vt:lpwstr>
      </vt:variant>
      <vt:variant>
        <vt:i4>1638455</vt:i4>
      </vt:variant>
      <vt:variant>
        <vt:i4>116</vt:i4>
      </vt:variant>
      <vt:variant>
        <vt:i4>0</vt:i4>
      </vt:variant>
      <vt:variant>
        <vt:i4>5</vt:i4>
      </vt:variant>
      <vt:variant>
        <vt:lpwstr/>
      </vt:variant>
      <vt:variant>
        <vt:lpwstr>_Toc461627091</vt:lpwstr>
      </vt:variant>
      <vt:variant>
        <vt:i4>1638455</vt:i4>
      </vt:variant>
      <vt:variant>
        <vt:i4>110</vt:i4>
      </vt:variant>
      <vt:variant>
        <vt:i4>0</vt:i4>
      </vt:variant>
      <vt:variant>
        <vt:i4>5</vt:i4>
      </vt:variant>
      <vt:variant>
        <vt:lpwstr/>
      </vt:variant>
      <vt:variant>
        <vt:lpwstr>_Toc461627090</vt:lpwstr>
      </vt:variant>
      <vt:variant>
        <vt:i4>1572919</vt:i4>
      </vt:variant>
      <vt:variant>
        <vt:i4>104</vt:i4>
      </vt:variant>
      <vt:variant>
        <vt:i4>0</vt:i4>
      </vt:variant>
      <vt:variant>
        <vt:i4>5</vt:i4>
      </vt:variant>
      <vt:variant>
        <vt:lpwstr/>
      </vt:variant>
      <vt:variant>
        <vt:lpwstr>_Toc461627089</vt:lpwstr>
      </vt:variant>
      <vt:variant>
        <vt:i4>1572919</vt:i4>
      </vt:variant>
      <vt:variant>
        <vt:i4>98</vt:i4>
      </vt:variant>
      <vt:variant>
        <vt:i4>0</vt:i4>
      </vt:variant>
      <vt:variant>
        <vt:i4>5</vt:i4>
      </vt:variant>
      <vt:variant>
        <vt:lpwstr/>
      </vt:variant>
      <vt:variant>
        <vt:lpwstr>_Toc461627088</vt:lpwstr>
      </vt:variant>
      <vt:variant>
        <vt:i4>1572919</vt:i4>
      </vt:variant>
      <vt:variant>
        <vt:i4>92</vt:i4>
      </vt:variant>
      <vt:variant>
        <vt:i4>0</vt:i4>
      </vt:variant>
      <vt:variant>
        <vt:i4>5</vt:i4>
      </vt:variant>
      <vt:variant>
        <vt:lpwstr/>
      </vt:variant>
      <vt:variant>
        <vt:lpwstr>_Toc461627087</vt:lpwstr>
      </vt:variant>
      <vt:variant>
        <vt:i4>1572919</vt:i4>
      </vt:variant>
      <vt:variant>
        <vt:i4>86</vt:i4>
      </vt:variant>
      <vt:variant>
        <vt:i4>0</vt:i4>
      </vt:variant>
      <vt:variant>
        <vt:i4>5</vt:i4>
      </vt:variant>
      <vt:variant>
        <vt:lpwstr/>
      </vt:variant>
      <vt:variant>
        <vt:lpwstr>_Toc461627086</vt:lpwstr>
      </vt:variant>
      <vt:variant>
        <vt:i4>1572919</vt:i4>
      </vt:variant>
      <vt:variant>
        <vt:i4>80</vt:i4>
      </vt:variant>
      <vt:variant>
        <vt:i4>0</vt:i4>
      </vt:variant>
      <vt:variant>
        <vt:i4>5</vt:i4>
      </vt:variant>
      <vt:variant>
        <vt:lpwstr/>
      </vt:variant>
      <vt:variant>
        <vt:lpwstr>_Toc461627085</vt:lpwstr>
      </vt:variant>
      <vt:variant>
        <vt:i4>1572919</vt:i4>
      </vt:variant>
      <vt:variant>
        <vt:i4>74</vt:i4>
      </vt:variant>
      <vt:variant>
        <vt:i4>0</vt:i4>
      </vt:variant>
      <vt:variant>
        <vt:i4>5</vt:i4>
      </vt:variant>
      <vt:variant>
        <vt:lpwstr/>
      </vt:variant>
      <vt:variant>
        <vt:lpwstr>_Toc461627084</vt:lpwstr>
      </vt:variant>
      <vt:variant>
        <vt:i4>1572919</vt:i4>
      </vt:variant>
      <vt:variant>
        <vt:i4>68</vt:i4>
      </vt:variant>
      <vt:variant>
        <vt:i4>0</vt:i4>
      </vt:variant>
      <vt:variant>
        <vt:i4>5</vt:i4>
      </vt:variant>
      <vt:variant>
        <vt:lpwstr/>
      </vt:variant>
      <vt:variant>
        <vt:lpwstr>_Toc461627083</vt:lpwstr>
      </vt:variant>
      <vt:variant>
        <vt:i4>1572919</vt:i4>
      </vt:variant>
      <vt:variant>
        <vt:i4>62</vt:i4>
      </vt:variant>
      <vt:variant>
        <vt:i4>0</vt:i4>
      </vt:variant>
      <vt:variant>
        <vt:i4>5</vt:i4>
      </vt:variant>
      <vt:variant>
        <vt:lpwstr/>
      </vt:variant>
      <vt:variant>
        <vt:lpwstr>_Toc461627082</vt:lpwstr>
      </vt:variant>
      <vt:variant>
        <vt:i4>1572919</vt:i4>
      </vt:variant>
      <vt:variant>
        <vt:i4>56</vt:i4>
      </vt:variant>
      <vt:variant>
        <vt:i4>0</vt:i4>
      </vt:variant>
      <vt:variant>
        <vt:i4>5</vt:i4>
      </vt:variant>
      <vt:variant>
        <vt:lpwstr/>
      </vt:variant>
      <vt:variant>
        <vt:lpwstr>_Toc461627081</vt:lpwstr>
      </vt:variant>
      <vt:variant>
        <vt:i4>1572919</vt:i4>
      </vt:variant>
      <vt:variant>
        <vt:i4>50</vt:i4>
      </vt:variant>
      <vt:variant>
        <vt:i4>0</vt:i4>
      </vt:variant>
      <vt:variant>
        <vt:i4>5</vt:i4>
      </vt:variant>
      <vt:variant>
        <vt:lpwstr/>
      </vt:variant>
      <vt:variant>
        <vt:lpwstr>_Toc461627080</vt:lpwstr>
      </vt:variant>
      <vt:variant>
        <vt:i4>1507383</vt:i4>
      </vt:variant>
      <vt:variant>
        <vt:i4>44</vt:i4>
      </vt:variant>
      <vt:variant>
        <vt:i4>0</vt:i4>
      </vt:variant>
      <vt:variant>
        <vt:i4>5</vt:i4>
      </vt:variant>
      <vt:variant>
        <vt:lpwstr/>
      </vt:variant>
      <vt:variant>
        <vt:lpwstr>_Toc461627079</vt:lpwstr>
      </vt:variant>
      <vt:variant>
        <vt:i4>1507383</vt:i4>
      </vt:variant>
      <vt:variant>
        <vt:i4>38</vt:i4>
      </vt:variant>
      <vt:variant>
        <vt:i4>0</vt:i4>
      </vt:variant>
      <vt:variant>
        <vt:i4>5</vt:i4>
      </vt:variant>
      <vt:variant>
        <vt:lpwstr/>
      </vt:variant>
      <vt:variant>
        <vt:lpwstr>_Toc461627078</vt:lpwstr>
      </vt:variant>
      <vt:variant>
        <vt:i4>1507383</vt:i4>
      </vt:variant>
      <vt:variant>
        <vt:i4>32</vt:i4>
      </vt:variant>
      <vt:variant>
        <vt:i4>0</vt:i4>
      </vt:variant>
      <vt:variant>
        <vt:i4>5</vt:i4>
      </vt:variant>
      <vt:variant>
        <vt:lpwstr/>
      </vt:variant>
      <vt:variant>
        <vt:lpwstr>_Toc461627077</vt:lpwstr>
      </vt:variant>
      <vt:variant>
        <vt:i4>1507383</vt:i4>
      </vt:variant>
      <vt:variant>
        <vt:i4>26</vt:i4>
      </vt:variant>
      <vt:variant>
        <vt:i4>0</vt:i4>
      </vt:variant>
      <vt:variant>
        <vt:i4>5</vt:i4>
      </vt:variant>
      <vt:variant>
        <vt:lpwstr/>
      </vt:variant>
      <vt:variant>
        <vt:lpwstr>_Toc461627076</vt:lpwstr>
      </vt:variant>
      <vt:variant>
        <vt:i4>2687101</vt:i4>
      </vt:variant>
      <vt:variant>
        <vt:i4>6</vt:i4>
      </vt:variant>
      <vt:variant>
        <vt:i4>0</vt:i4>
      </vt:variant>
      <vt:variant>
        <vt:i4>5</vt:i4>
      </vt:variant>
      <vt:variant>
        <vt:lpwstr>http://www.pbs.gov.au/info/industry/pricing/price-disclosure-spd/drugs-subject-to-price-disclosure</vt:lpwstr>
      </vt:variant>
      <vt:variant>
        <vt:lpwstr/>
      </vt:variant>
      <vt:variant>
        <vt:i4>6422560</vt:i4>
      </vt:variant>
      <vt:variant>
        <vt:i4>3</vt:i4>
      </vt:variant>
      <vt:variant>
        <vt:i4>0</vt:i4>
      </vt:variant>
      <vt:variant>
        <vt:i4>5</vt:i4>
      </vt:variant>
      <vt:variant>
        <vt:lpwstr>http://www.aacr.org/Newsroom/Pages/News-Release-Detail.aspx?ItemID=872</vt:lpwstr>
      </vt:variant>
      <vt:variant>
        <vt:lpwstr>.V4bzGHqLR0c</vt:lpwstr>
      </vt:variant>
      <vt:variant>
        <vt:i4>6422560</vt:i4>
      </vt:variant>
      <vt:variant>
        <vt:i4>0</vt:i4>
      </vt:variant>
      <vt:variant>
        <vt:i4>0</vt:i4>
      </vt:variant>
      <vt:variant>
        <vt:i4>5</vt:i4>
      </vt:variant>
      <vt:variant>
        <vt:lpwstr>http://www.aacr.org/Newsroom/Pages/News-Release-Detail.aspx?ItemID=872</vt:lpwstr>
      </vt:variant>
      <vt:variant>
        <vt:lpwstr>.V4bzGHqLR0c</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2017-06-15T05:09:00Z</dcterms:created>
  <dcterms:modified xsi:type="dcterms:W3CDTF">2017-06-15T05:10:00Z</dcterms:modified>
</cp:coreProperties>
</file>