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2220DF" w:rsidRDefault="00BF48D5" w:rsidP="00142D19">
      <w:pPr>
        <w:pStyle w:val="Heading1"/>
        <w:widowControl/>
        <w:rPr>
          <w:sz w:val="28"/>
          <w:lang w:val="fr-FR"/>
        </w:rPr>
      </w:pPr>
      <w:bookmarkStart w:id="0" w:name="_Toc472515478"/>
      <w:bookmarkStart w:id="1" w:name="_GoBack"/>
      <w:bookmarkEnd w:id="1"/>
      <w:r w:rsidRPr="002220DF">
        <w:rPr>
          <w:sz w:val="28"/>
          <w:lang w:val="fr-FR"/>
        </w:rPr>
        <w:t>5</w:t>
      </w:r>
      <w:r w:rsidR="00433044" w:rsidRPr="002220DF">
        <w:rPr>
          <w:sz w:val="28"/>
          <w:lang w:val="fr-FR"/>
        </w:rPr>
        <w:t>.</w:t>
      </w:r>
      <w:r w:rsidR="00E01448">
        <w:rPr>
          <w:sz w:val="28"/>
          <w:lang w:val="fr-FR"/>
        </w:rPr>
        <w:t>0</w:t>
      </w:r>
      <w:r w:rsidRPr="002220DF">
        <w:rPr>
          <w:sz w:val="28"/>
          <w:lang w:val="fr-FR"/>
        </w:rPr>
        <w:t>6</w:t>
      </w:r>
      <w:r w:rsidR="00B60939" w:rsidRPr="002220DF">
        <w:rPr>
          <w:sz w:val="28"/>
          <w:lang w:val="fr-FR"/>
        </w:rPr>
        <w:tab/>
      </w:r>
      <w:r w:rsidR="00DA5001" w:rsidRPr="002220DF">
        <w:rPr>
          <w:sz w:val="28"/>
          <w:lang w:val="fr-FR"/>
        </w:rPr>
        <w:t>RANOLAZINE</w:t>
      </w:r>
      <w:r w:rsidR="00B60939" w:rsidRPr="002220DF">
        <w:rPr>
          <w:sz w:val="28"/>
          <w:lang w:val="fr-FR"/>
        </w:rPr>
        <w:t>,</w:t>
      </w:r>
      <w:r w:rsidR="008C3F38">
        <w:rPr>
          <w:sz w:val="28"/>
          <w:lang w:val="fr-FR"/>
        </w:rPr>
        <w:t xml:space="preserve"> </w:t>
      </w:r>
      <w:r w:rsidR="008C3F38">
        <w:rPr>
          <w:sz w:val="28"/>
          <w:lang w:val="fr-FR"/>
        </w:rPr>
        <w:br/>
      </w:r>
      <w:r w:rsidR="008C3F38">
        <w:rPr>
          <w:caps w:val="0"/>
          <w:sz w:val="28"/>
          <w:lang w:val="fr-FR"/>
        </w:rPr>
        <w:t>T</w:t>
      </w:r>
      <w:r w:rsidR="00DA5001" w:rsidRPr="002220DF">
        <w:rPr>
          <w:caps w:val="0"/>
          <w:sz w:val="28"/>
          <w:lang w:val="fr-FR"/>
        </w:rPr>
        <w:t>ablet</w:t>
      </w:r>
      <w:r w:rsidR="001B15C6">
        <w:rPr>
          <w:caps w:val="0"/>
          <w:sz w:val="28"/>
          <w:lang w:val="fr-FR"/>
        </w:rPr>
        <w:t xml:space="preserve"> (modified release)</w:t>
      </w:r>
      <w:r w:rsidR="00B60939" w:rsidRPr="002220DF">
        <w:rPr>
          <w:sz w:val="28"/>
          <w:lang w:val="fr-FR"/>
        </w:rPr>
        <w:t xml:space="preserve">, </w:t>
      </w:r>
      <w:r w:rsidR="00DA5001" w:rsidRPr="002220DF">
        <w:rPr>
          <w:caps w:val="0"/>
          <w:sz w:val="28"/>
          <w:lang w:val="fr-FR"/>
        </w:rPr>
        <w:t>375</w:t>
      </w:r>
      <w:r w:rsidR="00DA5001" w:rsidRPr="002220DF">
        <w:rPr>
          <w:rFonts w:hint="eastAsia"/>
          <w:caps w:val="0"/>
          <w:sz w:val="28"/>
          <w:lang w:val="fr-FR"/>
        </w:rPr>
        <w:t xml:space="preserve"> mg, </w:t>
      </w:r>
      <w:r w:rsidR="00DA5001" w:rsidRPr="002220DF">
        <w:rPr>
          <w:caps w:val="0"/>
          <w:sz w:val="28"/>
          <w:lang w:val="fr-FR"/>
        </w:rPr>
        <w:t xml:space="preserve">500 mg, </w:t>
      </w:r>
      <w:r w:rsidR="00DA5001" w:rsidRPr="002220DF">
        <w:rPr>
          <w:rFonts w:hint="eastAsia"/>
          <w:caps w:val="0"/>
          <w:sz w:val="28"/>
          <w:lang w:val="fr-FR"/>
        </w:rPr>
        <w:t>750 mg</w:t>
      </w:r>
      <w:r w:rsidR="00B60939" w:rsidRPr="002220DF">
        <w:rPr>
          <w:sz w:val="28"/>
          <w:lang w:val="fr-FR"/>
        </w:rPr>
        <w:t xml:space="preserve">, </w:t>
      </w:r>
      <w:r w:rsidR="008C3F38">
        <w:rPr>
          <w:sz w:val="28"/>
          <w:lang w:val="fr-FR"/>
        </w:rPr>
        <w:br/>
      </w:r>
      <w:r w:rsidR="00DA5001" w:rsidRPr="002220DF">
        <w:rPr>
          <w:caps w:val="0"/>
          <w:sz w:val="28"/>
          <w:lang w:val="fr-FR"/>
        </w:rPr>
        <w:t>Ranexa</w:t>
      </w:r>
      <w:r w:rsidR="00B60939" w:rsidRPr="002220DF">
        <w:rPr>
          <w:sz w:val="28"/>
          <w:vertAlign w:val="superscript"/>
          <w:lang w:val="fr-FR"/>
        </w:rPr>
        <w:t>®</w:t>
      </w:r>
      <w:r w:rsidR="00B60939" w:rsidRPr="002220DF">
        <w:rPr>
          <w:sz w:val="28"/>
          <w:lang w:val="fr-FR"/>
        </w:rPr>
        <w:t xml:space="preserve">, </w:t>
      </w:r>
      <w:r w:rsidR="002C1498">
        <w:rPr>
          <w:sz w:val="28"/>
          <w:lang w:val="fr-FR"/>
        </w:rPr>
        <w:t xml:space="preserve">A. </w:t>
      </w:r>
      <w:r w:rsidR="00DA5001" w:rsidRPr="002220DF">
        <w:rPr>
          <w:caps w:val="0"/>
          <w:sz w:val="28"/>
          <w:lang w:val="fr-FR"/>
        </w:rPr>
        <w:t>Menarini</w:t>
      </w:r>
      <w:r w:rsidR="002C1498">
        <w:rPr>
          <w:caps w:val="0"/>
          <w:sz w:val="28"/>
          <w:lang w:val="fr-FR"/>
        </w:rPr>
        <w:t xml:space="preserve"> Australia Pty L</w:t>
      </w:r>
      <w:r w:rsidR="005136A4">
        <w:rPr>
          <w:caps w:val="0"/>
          <w:sz w:val="28"/>
          <w:lang w:val="fr-FR"/>
        </w:rPr>
        <w:t>td</w:t>
      </w:r>
      <w:r w:rsidR="00B60939" w:rsidRPr="002220DF">
        <w:rPr>
          <w:sz w:val="28"/>
          <w:lang w:val="fr-FR"/>
        </w:rPr>
        <w:t>.</w:t>
      </w:r>
      <w:bookmarkEnd w:id="0"/>
    </w:p>
    <w:p w:rsidR="00770661" w:rsidRPr="002220DF" w:rsidRDefault="00770661" w:rsidP="00142D19">
      <w:pPr>
        <w:widowControl/>
      </w:pPr>
    </w:p>
    <w:p w:rsidR="001255F7" w:rsidRPr="002220DF" w:rsidRDefault="001255F7" w:rsidP="00142D19">
      <w:pPr>
        <w:widowControl/>
      </w:pPr>
    </w:p>
    <w:p w:rsidR="00AA652A" w:rsidRPr="002220DF" w:rsidRDefault="00AA652A" w:rsidP="00142D19">
      <w:pPr>
        <w:pStyle w:val="PBACHeading1"/>
      </w:pPr>
      <w:bookmarkStart w:id="2" w:name="_Toc392858189"/>
      <w:bookmarkStart w:id="3" w:name="_Toc472515480"/>
      <w:r w:rsidRPr="002220DF">
        <w:t>Purpose of Application</w:t>
      </w:r>
      <w:bookmarkEnd w:id="2"/>
      <w:bookmarkEnd w:id="3"/>
    </w:p>
    <w:p w:rsidR="00AA652A" w:rsidRPr="002220DF" w:rsidRDefault="00AA652A" w:rsidP="00142D19">
      <w:pPr>
        <w:widowControl/>
        <w:rPr>
          <w:szCs w:val="22"/>
        </w:rPr>
      </w:pPr>
    </w:p>
    <w:p w:rsidR="00AA652A" w:rsidRDefault="00AA652A" w:rsidP="00142D19">
      <w:pPr>
        <w:pStyle w:val="ListParagraph"/>
        <w:widowControl/>
        <w:numPr>
          <w:ilvl w:val="1"/>
          <w:numId w:val="2"/>
        </w:numPr>
        <w:ind w:left="720" w:hanging="720"/>
      </w:pPr>
      <w:r w:rsidRPr="001255F7">
        <w:t>Section 85, Authority Required (Streamlined) listing for ranolazine for add-on symptomatic treatment of stable angina pectoris in patients with inadequate symptom control despite taking the maximum tolerated dose of a beta-blocker or a calcium channel blocker.</w:t>
      </w:r>
      <w:r w:rsidR="00993707" w:rsidRPr="001255F7">
        <w:t xml:space="preserve"> </w:t>
      </w:r>
    </w:p>
    <w:p w:rsidR="00F93E08" w:rsidRPr="002220DF" w:rsidRDefault="00F93E08" w:rsidP="00142D19">
      <w:pPr>
        <w:widowControl/>
      </w:pPr>
    </w:p>
    <w:p w:rsidR="00AA652A" w:rsidRPr="002220DF" w:rsidRDefault="00AA652A" w:rsidP="00142D19">
      <w:pPr>
        <w:pStyle w:val="PBACHeading1"/>
      </w:pPr>
      <w:bookmarkStart w:id="4" w:name="_Toc392858190"/>
      <w:bookmarkStart w:id="5" w:name="_Toc472515481"/>
      <w:r w:rsidRPr="002220DF">
        <w:t>Requested listing</w:t>
      </w:r>
      <w:bookmarkEnd w:id="4"/>
      <w:bookmarkEnd w:id="5"/>
    </w:p>
    <w:p w:rsidR="00AA652A" w:rsidRPr="001255F7" w:rsidRDefault="00AA652A" w:rsidP="00142D19">
      <w:pPr>
        <w:widowControl/>
      </w:pPr>
    </w:p>
    <w:p w:rsidR="00AA652A" w:rsidRPr="001255F7" w:rsidRDefault="00AA652A" w:rsidP="00142D19">
      <w:pPr>
        <w:pStyle w:val="ListParagraph"/>
        <w:widowControl/>
        <w:numPr>
          <w:ilvl w:val="1"/>
          <w:numId w:val="11"/>
        </w:numPr>
      </w:pPr>
      <w:r w:rsidRPr="001255F7">
        <w:t xml:space="preserve">The </w:t>
      </w:r>
      <w:r w:rsidR="004322EE" w:rsidRPr="001255F7">
        <w:t xml:space="preserve">proposed </w:t>
      </w:r>
      <w:r w:rsidRPr="001255F7">
        <w:t>restriction for ranolazine is provided below.</w:t>
      </w:r>
      <w:r w:rsidR="004322EE" w:rsidRPr="001255F7">
        <w:t xml:space="preserve"> The ESC considered that it would be appropriate to include wording in the restriction to specify that use of ranolazine should be as add on, rather than as monotherapy.</w:t>
      </w:r>
    </w:p>
    <w:p w:rsidR="007D6807" w:rsidRPr="001255F7" w:rsidRDefault="007D6807" w:rsidP="00142D19">
      <w:pPr>
        <w:widowControl/>
        <w:jc w:val="left"/>
        <w:rPr>
          <w:rStyle w:val="CommentReference"/>
        </w:rPr>
      </w:pPr>
    </w:p>
    <w:p w:rsidR="004322EE" w:rsidRPr="001255F7" w:rsidRDefault="004322EE" w:rsidP="00142D19">
      <w:pPr>
        <w:pStyle w:val="ListParagraph"/>
        <w:widowControl/>
        <w:numPr>
          <w:ilvl w:val="1"/>
          <w:numId w:val="11"/>
        </w:numPr>
        <w:rPr>
          <w:szCs w:val="22"/>
        </w:rPr>
      </w:pPr>
      <w:r w:rsidRPr="001255F7">
        <w:rPr>
          <w:szCs w:val="22"/>
        </w:rPr>
        <w:t>Suggestions and additions proposed by the Secretariat to the requested listing are added in italics and suggested deletions are crossed out with strikethrough.</w:t>
      </w:r>
    </w:p>
    <w:p w:rsidR="004E1B7F" w:rsidRDefault="004E1B7F">
      <w:pPr>
        <w:widowControl/>
        <w:jc w:val="left"/>
      </w:pPr>
      <w:r>
        <w:br w:type="page"/>
      </w:r>
    </w:p>
    <w:p w:rsidR="004322EE" w:rsidRDefault="004322EE" w:rsidP="00142D19">
      <w:pPr>
        <w:widowControl/>
      </w:pPr>
    </w:p>
    <w:tbl>
      <w:tblPr>
        <w:tblW w:w="8505" w:type="dxa"/>
        <w:tblInd w:w="817" w:type="dxa"/>
        <w:tblLayout w:type="fixed"/>
        <w:tblLook w:val="0000" w:firstRow="0" w:lastRow="0" w:firstColumn="0" w:lastColumn="0" w:noHBand="0" w:noVBand="0"/>
      </w:tblPr>
      <w:tblGrid>
        <w:gridCol w:w="2126"/>
        <w:gridCol w:w="426"/>
        <w:gridCol w:w="567"/>
        <w:gridCol w:w="850"/>
        <w:gridCol w:w="1701"/>
        <w:gridCol w:w="1559"/>
        <w:gridCol w:w="1276"/>
      </w:tblGrid>
      <w:tr w:rsidR="004322EE" w:rsidRPr="00142D19" w:rsidTr="005C3495">
        <w:trPr>
          <w:cantSplit/>
          <w:trHeight w:val="471"/>
        </w:trPr>
        <w:tc>
          <w:tcPr>
            <w:tcW w:w="2552" w:type="dxa"/>
            <w:gridSpan w:val="2"/>
            <w:tcBorders>
              <w:bottom w:val="single" w:sz="4" w:space="0" w:color="auto"/>
            </w:tcBorders>
          </w:tcPr>
          <w:p w:rsidR="004322EE" w:rsidRPr="00142D19" w:rsidRDefault="004322EE" w:rsidP="00142D19">
            <w:pPr>
              <w:keepNext/>
              <w:widowControl/>
              <w:ind w:left="-108"/>
              <w:rPr>
                <w:rFonts w:ascii="Arial Narrow" w:hAnsi="Arial Narrow"/>
                <w:b/>
                <w:sz w:val="20"/>
              </w:rPr>
            </w:pPr>
            <w:r w:rsidRPr="00142D19">
              <w:rPr>
                <w:rFonts w:ascii="Arial Narrow" w:hAnsi="Arial Narrow"/>
                <w:b/>
                <w:sz w:val="20"/>
              </w:rPr>
              <w:t>Name, Restriction,</w:t>
            </w:r>
          </w:p>
          <w:p w:rsidR="004322EE" w:rsidRPr="00142D19" w:rsidRDefault="004322EE" w:rsidP="00142D19">
            <w:pPr>
              <w:keepNext/>
              <w:widowControl/>
              <w:ind w:left="-108"/>
              <w:rPr>
                <w:rFonts w:ascii="Arial Narrow" w:hAnsi="Arial Narrow"/>
                <w:b/>
                <w:sz w:val="20"/>
              </w:rPr>
            </w:pPr>
            <w:r w:rsidRPr="00142D19">
              <w:rPr>
                <w:rFonts w:ascii="Arial Narrow" w:hAnsi="Arial Narrow"/>
                <w:b/>
                <w:sz w:val="20"/>
              </w:rPr>
              <w:t>Manner of administration and form</w:t>
            </w:r>
          </w:p>
        </w:tc>
        <w:tc>
          <w:tcPr>
            <w:tcW w:w="567" w:type="dxa"/>
            <w:tcBorders>
              <w:bottom w:val="single" w:sz="4" w:space="0" w:color="auto"/>
            </w:tcBorders>
          </w:tcPr>
          <w:p w:rsidR="004322EE" w:rsidRPr="00142D19" w:rsidRDefault="004322EE" w:rsidP="00142D19">
            <w:pPr>
              <w:keepNext/>
              <w:widowControl/>
              <w:ind w:left="-108"/>
              <w:jc w:val="center"/>
              <w:rPr>
                <w:rFonts w:ascii="Arial Narrow" w:hAnsi="Arial Narrow"/>
                <w:b/>
                <w:sz w:val="20"/>
              </w:rPr>
            </w:pPr>
            <w:r w:rsidRPr="00142D19">
              <w:rPr>
                <w:rFonts w:ascii="Arial Narrow" w:hAnsi="Arial Narrow"/>
                <w:b/>
                <w:sz w:val="20"/>
              </w:rPr>
              <w:t>Max.</w:t>
            </w:r>
          </w:p>
          <w:p w:rsidR="004322EE" w:rsidRPr="00142D19" w:rsidRDefault="004322EE" w:rsidP="00142D19">
            <w:pPr>
              <w:keepNext/>
              <w:widowControl/>
              <w:ind w:left="-108"/>
              <w:jc w:val="center"/>
              <w:rPr>
                <w:rFonts w:ascii="Arial Narrow" w:hAnsi="Arial Narrow"/>
                <w:b/>
                <w:sz w:val="20"/>
              </w:rPr>
            </w:pPr>
            <w:r w:rsidRPr="00142D19">
              <w:rPr>
                <w:rFonts w:ascii="Arial Narrow" w:hAnsi="Arial Narrow"/>
                <w:b/>
                <w:sz w:val="20"/>
              </w:rPr>
              <w:t>Qty</w:t>
            </w:r>
          </w:p>
        </w:tc>
        <w:tc>
          <w:tcPr>
            <w:tcW w:w="850" w:type="dxa"/>
            <w:tcBorders>
              <w:bottom w:val="single" w:sz="4" w:space="0" w:color="auto"/>
            </w:tcBorders>
          </w:tcPr>
          <w:p w:rsidR="004322EE" w:rsidRPr="00142D19" w:rsidRDefault="004322EE" w:rsidP="00142D19">
            <w:pPr>
              <w:keepNext/>
              <w:widowControl/>
              <w:ind w:left="-108"/>
              <w:jc w:val="center"/>
              <w:rPr>
                <w:rFonts w:ascii="Arial Narrow" w:hAnsi="Arial Narrow"/>
                <w:b/>
                <w:sz w:val="20"/>
              </w:rPr>
            </w:pPr>
            <w:r w:rsidRPr="00142D19">
              <w:rPr>
                <w:rFonts w:ascii="Arial Narrow" w:hAnsi="Arial Narrow"/>
                <w:b/>
                <w:sz w:val="20"/>
              </w:rPr>
              <w:t>№.of</w:t>
            </w:r>
          </w:p>
          <w:p w:rsidR="004322EE" w:rsidRPr="00142D19" w:rsidRDefault="004322EE" w:rsidP="00142D19">
            <w:pPr>
              <w:keepNext/>
              <w:widowControl/>
              <w:ind w:left="-108"/>
              <w:jc w:val="center"/>
              <w:rPr>
                <w:rFonts w:ascii="Arial Narrow" w:hAnsi="Arial Narrow"/>
                <w:b/>
                <w:sz w:val="20"/>
              </w:rPr>
            </w:pPr>
            <w:r w:rsidRPr="00142D19">
              <w:rPr>
                <w:rFonts w:ascii="Arial Narrow" w:hAnsi="Arial Narrow"/>
                <w:b/>
                <w:sz w:val="20"/>
              </w:rPr>
              <w:t>Rpts</w:t>
            </w:r>
          </w:p>
        </w:tc>
        <w:tc>
          <w:tcPr>
            <w:tcW w:w="1701" w:type="dxa"/>
            <w:tcBorders>
              <w:bottom w:val="single" w:sz="4" w:space="0" w:color="auto"/>
            </w:tcBorders>
          </w:tcPr>
          <w:p w:rsidR="004322EE" w:rsidRPr="00142D19" w:rsidRDefault="004322EE" w:rsidP="00142D19">
            <w:pPr>
              <w:keepNext/>
              <w:widowControl/>
              <w:ind w:left="-108"/>
              <w:jc w:val="center"/>
              <w:rPr>
                <w:rFonts w:ascii="Arial Narrow" w:hAnsi="Arial Narrow"/>
                <w:b/>
                <w:sz w:val="20"/>
              </w:rPr>
            </w:pPr>
            <w:r w:rsidRPr="00142D19">
              <w:rPr>
                <w:rFonts w:ascii="Arial Narrow" w:hAnsi="Arial Narrow"/>
                <w:b/>
                <w:sz w:val="20"/>
              </w:rPr>
              <w:t>Dispensed Price for Max. Qty</w:t>
            </w:r>
          </w:p>
        </w:tc>
        <w:tc>
          <w:tcPr>
            <w:tcW w:w="2835" w:type="dxa"/>
            <w:gridSpan w:val="2"/>
            <w:tcBorders>
              <w:bottom w:val="single" w:sz="4" w:space="0" w:color="auto"/>
            </w:tcBorders>
          </w:tcPr>
          <w:p w:rsidR="004322EE" w:rsidRPr="00142D19" w:rsidRDefault="004322EE" w:rsidP="00142D19">
            <w:pPr>
              <w:keepNext/>
              <w:widowControl/>
              <w:jc w:val="center"/>
              <w:rPr>
                <w:rFonts w:ascii="Arial Narrow" w:hAnsi="Arial Narrow"/>
                <w:b/>
                <w:sz w:val="20"/>
                <w:lang w:val="fr-FR"/>
              </w:rPr>
            </w:pPr>
            <w:r w:rsidRPr="00142D19">
              <w:rPr>
                <w:rFonts w:ascii="Arial Narrow" w:hAnsi="Arial Narrow"/>
                <w:b/>
                <w:sz w:val="20"/>
              </w:rPr>
              <w:t>Proprietary Name and Manufacturer</w:t>
            </w:r>
          </w:p>
        </w:tc>
      </w:tr>
      <w:tr w:rsidR="004322EE" w:rsidRPr="00260CE3" w:rsidTr="005C3495">
        <w:trPr>
          <w:cantSplit/>
          <w:trHeight w:val="577"/>
        </w:trPr>
        <w:tc>
          <w:tcPr>
            <w:tcW w:w="2552" w:type="dxa"/>
            <w:gridSpan w:val="2"/>
          </w:tcPr>
          <w:p w:rsidR="004322EE" w:rsidRPr="00260CE3" w:rsidRDefault="004322EE" w:rsidP="00142D19">
            <w:pPr>
              <w:keepNext/>
              <w:widowControl/>
              <w:ind w:left="-108"/>
              <w:rPr>
                <w:rFonts w:ascii="Arial Narrow" w:hAnsi="Arial Narrow"/>
                <w:sz w:val="20"/>
              </w:rPr>
            </w:pPr>
            <w:r>
              <w:rPr>
                <w:rFonts w:ascii="Arial Narrow" w:hAnsi="Arial Narrow"/>
                <w:smallCaps/>
                <w:sz w:val="20"/>
              </w:rPr>
              <w:t>RANOLAZINE</w:t>
            </w:r>
          </w:p>
          <w:p w:rsidR="004322EE" w:rsidRPr="00260CE3" w:rsidRDefault="004322EE" w:rsidP="00142D19">
            <w:pPr>
              <w:keepNext/>
              <w:widowControl/>
              <w:ind w:left="-108"/>
              <w:rPr>
                <w:rFonts w:ascii="Arial Narrow" w:hAnsi="Arial Narrow"/>
                <w:sz w:val="20"/>
              </w:rPr>
            </w:pPr>
            <w:r>
              <w:rPr>
                <w:rFonts w:ascii="Arial Narrow" w:hAnsi="Arial Narrow"/>
                <w:sz w:val="20"/>
              </w:rPr>
              <w:t>Tablet 375 mg, 500 mg, 750 mg, 60</w:t>
            </w:r>
          </w:p>
        </w:tc>
        <w:tc>
          <w:tcPr>
            <w:tcW w:w="567" w:type="dxa"/>
          </w:tcPr>
          <w:p w:rsidR="004322EE" w:rsidRPr="00260CE3" w:rsidRDefault="004322EE" w:rsidP="00142D19">
            <w:pPr>
              <w:keepNext/>
              <w:widowControl/>
              <w:ind w:left="-108"/>
              <w:jc w:val="center"/>
              <w:rPr>
                <w:rFonts w:ascii="Arial Narrow" w:hAnsi="Arial Narrow"/>
                <w:sz w:val="20"/>
              </w:rPr>
            </w:pPr>
          </w:p>
          <w:p w:rsidR="004322EE" w:rsidRPr="00260CE3" w:rsidRDefault="004322EE" w:rsidP="00142D19">
            <w:pPr>
              <w:keepNext/>
              <w:widowControl/>
              <w:ind w:left="-108"/>
              <w:jc w:val="center"/>
              <w:rPr>
                <w:rFonts w:ascii="Arial Narrow" w:hAnsi="Arial Narrow"/>
                <w:sz w:val="20"/>
              </w:rPr>
            </w:pPr>
            <w:r>
              <w:rPr>
                <w:rFonts w:ascii="Arial Narrow" w:hAnsi="Arial Narrow"/>
                <w:sz w:val="20"/>
              </w:rPr>
              <w:t>1</w:t>
            </w:r>
          </w:p>
        </w:tc>
        <w:tc>
          <w:tcPr>
            <w:tcW w:w="850" w:type="dxa"/>
          </w:tcPr>
          <w:p w:rsidR="004322EE" w:rsidRPr="00260CE3" w:rsidRDefault="004322EE" w:rsidP="00142D19">
            <w:pPr>
              <w:keepNext/>
              <w:widowControl/>
              <w:ind w:left="-108"/>
              <w:jc w:val="center"/>
              <w:rPr>
                <w:rFonts w:ascii="Arial Narrow" w:hAnsi="Arial Narrow"/>
                <w:sz w:val="20"/>
              </w:rPr>
            </w:pPr>
          </w:p>
          <w:p w:rsidR="004322EE" w:rsidRPr="00260CE3" w:rsidRDefault="004322EE" w:rsidP="00142D19">
            <w:pPr>
              <w:keepNext/>
              <w:widowControl/>
              <w:ind w:left="-108"/>
              <w:jc w:val="center"/>
              <w:rPr>
                <w:rFonts w:ascii="Arial Narrow" w:hAnsi="Arial Narrow"/>
                <w:sz w:val="20"/>
              </w:rPr>
            </w:pPr>
            <w:r>
              <w:rPr>
                <w:rFonts w:ascii="Arial Narrow" w:hAnsi="Arial Narrow"/>
                <w:sz w:val="20"/>
              </w:rPr>
              <w:t>5</w:t>
            </w:r>
          </w:p>
        </w:tc>
        <w:tc>
          <w:tcPr>
            <w:tcW w:w="1701" w:type="dxa"/>
          </w:tcPr>
          <w:p w:rsidR="004322EE" w:rsidRPr="00260CE3" w:rsidRDefault="004322EE" w:rsidP="00142D19">
            <w:pPr>
              <w:keepNext/>
              <w:widowControl/>
              <w:ind w:left="-108"/>
              <w:jc w:val="center"/>
              <w:rPr>
                <w:rFonts w:ascii="Arial Narrow" w:hAnsi="Arial Narrow"/>
                <w:sz w:val="20"/>
              </w:rPr>
            </w:pPr>
          </w:p>
          <w:p w:rsidR="004322EE" w:rsidRPr="00260CE3" w:rsidRDefault="004322EE" w:rsidP="00142D19">
            <w:pPr>
              <w:keepNext/>
              <w:widowControl/>
              <w:ind w:left="-108"/>
              <w:jc w:val="center"/>
              <w:rPr>
                <w:rFonts w:ascii="Arial Narrow" w:hAnsi="Arial Narrow"/>
                <w:sz w:val="20"/>
              </w:rPr>
            </w:pPr>
            <w:r w:rsidRPr="00260CE3">
              <w:rPr>
                <w:rFonts w:ascii="Arial Narrow" w:hAnsi="Arial Narrow"/>
                <w:sz w:val="20"/>
              </w:rPr>
              <w:t>$</w:t>
            </w:r>
            <w:r w:rsidR="005E1EC5">
              <w:rPr>
                <w:rFonts w:ascii="Arial Narrow" w:hAnsi="Arial Narrow"/>
                <w:noProof/>
                <w:color w:val="000000"/>
                <w:sz w:val="20"/>
                <w:highlight w:val="black"/>
              </w:rPr>
              <w:t>'''''''''''''</w:t>
            </w:r>
          </w:p>
        </w:tc>
        <w:tc>
          <w:tcPr>
            <w:tcW w:w="1559" w:type="dxa"/>
          </w:tcPr>
          <w:p w:rsidR="00142D19" w:rsidRDefault="00142D19" w:rsidP="00142D19">
            <w:pPr>
              <w:keepNext/>
              <w:widowControl/>
              <w:ind w:left="-108"/>
              <w:jc w:val="center"/>
              <w:rPr>
                <w:rFonts w:ascii="Arial Narrow" w:hAnsi="Arial Narrow"/>
                <w:sz w:val="20"/>
              </w:rPr>
            </w:pPr>
          </w:p>
          <w:p w:rsidR="004322EE" w:rsidRPr="008356E1" w:rsidRDefault="004322EE" w:rsidP="00142D19">
            <w:pPr>
              <w:keepNext/>
              <w:widowControl/>
              <w:ind w:left="-108"/>
              <w:jc w:val="center"/>
              <w:rPr>
                <w:rFonts w:ascii="Arial Narrow" w:hAnsi="Arial Narrow"/>
                <w:sz w:val="20"/>
              </w:rPr>
            </w:pPr>
            <w:r w:rsidRPr="008356E1">
              <w:rPr>
                <w:rFonts w:ascii="Arial Narrow" w:hAnsi="Arial Narrow"/>
                <w:sz w:val="20"/>
              </w:rPr>
              <w:t>Ranexa®</w:t>
            </w:r>
          </w:p>
        </w:tc>
        <w:tc>
          <w:tcPr>
            <w:tcW w:w="1276" w:type="dxa"/>
          </w:tcPr>
          <w:p w:rsidR="00142D19" w:rsidRDefault="00142D19" w:rsidP="00142D19">
            <w:pPr>
              <w:keepNext/>
              <w:widowControl/>
              <w:ind w:left="-108"/>
              <w:jc w:val="center"/>
              <w:rPr>
                <w:rFonts w:ascii="Arial Narrow" w:hAnsi="Arial Narrow"/>
                <w:sz w:val="20"/>
              </w:rPr>
            </w:pPr>
          </w:p>
          <w:p w:rsidR="004322EE" w:rsidRPr="008356E1" w:rsidRDefault="004322EE" w:rsidP="00142D19">
            <w:pPr>
              <w:keepNext/>
              <w:widowControl/>
              <w:ind w:left="-108"/>
              <w:jc w:val="center"/>
              <w:rPr>
                <w:rFonts w:ascii="Arial Narrow" w:hAnsi="Arial Narrow"/>
                <w:sz w:val="20"/>
              </w:rPr>
            </w:pPr>
            <w:r w:rsidRPr="008356E1">
              <w:rPr>
                <w:rFonts w:ascii="Arial Narrow" w:hAnsi="Arial Narrow"/>
                <w:sz w:val="20"/>
              </w:rPr>
              <w:t>Menarini</w:t>
            </w:r>
          </w:p>
        </w:tc>
      </w:tr>
      <w:tr w:rsidR="004322EE" w:rsidRPr="00260CE3" w:rsidTr="005C3495">
        <w:trPr>
          <w:cantSplit/>
          <w:trHeight w:val="360"/>
        </w:trPr>
        <w:tc>
          <w:tcPr>
            <w:tcW w:w="2126" w:type="dxa"/>
            <w:tcBorders>
              <w:top w:val="single" w:sz="4" w:space="0" w:color="auto"/>
              <w:left w:val="single" w:sz="4" w:space="0" w:color="auto"/>
              <w:bottom w:val="single" w:sz="4" w:space="0" w:color="auto"/>
              <w:right w:val="single" w:sz="4" w:space="0" w:color="auto"/>
            </w:tcBorders>
          </w:tcPr>
          <w:p w:rsidR="004322EE" w:rsidRPr="00260CE3" w:rsidRDefault="004322EE" w:rsidP="00142D19">
            <w:pPr>
              <w:widowControl/>
              <w:rPr>
                <w:rFonts w:ascii="Arial Narrow" w:hAnsi="Arial Narrow"/>
                <w:b/>
                <w:sz w:val="20"/>
              </w:rPr>
            </w:pPr>
            <w:r w:rsidRPr="00260CE3">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4322EE" w:rsidRPr="00260CE3" w:rsidRDefault="004322EE" w:rsidP="00142D19">
            <w:pPr>
              <w:widowControl/>
              <w:rPr>
                <w:rFonts w:ascii="Arial Narrow" w:hAnsi="Arial Narrow"/>
                <w:sz w:val="20"/>
              </w:rPr>
            </w:pPr>
            <w:r w:rsidRPr="00260CE3">
              <w:rPr>
                <w:rFonts w:ascii="Arial Narrow" w:hAnsi="Arial Narrow"/>
                <w:sz w:val="20"/>
              </w:rPr>
              <w:t>GENERAL – General Schedule (Code GE)</w:t>
            </w:r>
          </w:p>
        </w:tc>
      </w:tr>
      <w:tr w:rsidR="004322EE" w:rsidRPr="00260CE3" w:rsidTr="005C3495">
        <w:trPr>
          <w:cantSplit/>
          <w:trHeight w:val="360"/>
        </w:trPr>
        <w:tc>
          <w:tcPr>
            <w:tcW w:w="2126" w:type="dxa"/>
            <w:tcBorders>
              <w:top w:val="single" w:sz="4" w:space="0" w:color="auto"/>
              <w:left w:val="single" w:sz="4" w:space="0" w:color="auto"/>
              <w:bottom w:val="single" w:sz="4" w:space="0" w:color="auto"/>
              <w:right w:val="single" w:sz="4" w:space="0" w:color="auto"/>
            </w:tcBorders>
          </w:tcPr>
          <w:p w:rsidR="004322EE" w:rsidRPr="00260CE3" w:rsidRDefault="004322EE" w:rsidP="00142D19">
            <w:pPr>
              <w:widowControl/>
              <w:rPr>
                <w:rFonts w:ascii="Arial Narrow" w:hAnsi="Arial Narrow"/>
                <w:b/>
                <w:sz w:val="20"/>
              </w:rPr>
            </w:pPr>
            <w:r w:rsidRPr="00260CE3">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4322EE" w:rsidRPr="00260CE3" w:rsidRDefault="004322EE" w:rsidP="00142D19">
            <w:pPr>
              <w:widowControl/>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5E1EC5">
              <w:rPr>
                <w:rFonts w:ascii="Arial Narrow" w:hAnsi="Arial Narrow"/>
                <w:sz w:val="20"/>
              </w:rPr>
            </w:r>
            <w:r w:rsidR="005E1EC5">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5E1EC5">
              <w:rPr>
                <w:rFonts w:ascii="Arial Narrow" w:hAnsi="Arial Narrow"/>
                <w:sz w:val="20"/>
              </w:rPr>
            </w:r>
            <w:r w:rsidR="005E1EC5">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Pr>
                <w:rFonts w:ascii="Arial Narrow" w:hAnsi="Arial Narrow"/>
                <w:sz w:val="20"/>
              </w:rPr>
              <w:fldChar w:fldCharType="begin">
                <w:ffData>
                  <w:name w:val="Check3"/>
                  <w:enabled/>
                  <w:calcOnExit w:val="0"/>
                  <w:checkBox>
                    <w:sizeAuto/>
                    <w:default w:val="1"/>
                  </w:checkBox>
                </w:ffData>
              </w:fldChar>
            </w:r>
            <w:bookmarkStart w:id="6" w:name="Check3"/>
            <w:r>
              <w:rPr>
                <w:rFonts w:ascii="Arial Narrow" w:hAnsi="Arial Narrow"/>
                <w:sz w:val="20"/>
              </w:rPr>
              <w:instrText xml:space="preserve"> FORMCHECKBOX </w:instrText>
            </w:r>
            <w:r w:rsidR="005E1EC5">
              <w:rPr>
                <w:rFonts w:ascii="Arial Narrow" w:hAnsi="Arial Narrow"/>
                <w:sz w:val="20"/>
              </w:rPr>
            </w:r>
            <w:r w:rsidR="005E1EC5">
              <w:rPr>
                <w:rFonts w:ascii="Arial Narrow" w:hAnsi="Arial Narrow"/>
                <w:sz w:val="20"/>
              </w:rPr>
              <w:fldChar w:fldCharType="separate"/>
            </w:r>
            <w:r>
              <w:rPr>
                <w:rFonts w:ascii="Arial Narrow" w:hAnsi="Arial Narrow"/>
                <w:sz w:val="20"/>
              </w:rPr>
              <w:fldChar w:fldCharType="end"/>
            </w:r>
            <w:bookmarkEnd w:id="6"/>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5E1EC5">
              <w:rPr>
                <w:rFonts w:ascii="Arial Narrow" w:hAnsi="Arial Narrow"/>
                <w:sz w:val="20"/>
              </w:rPr>
            </w:r>
            <w:r w:rsidR="005E1EC5">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4322EE" w:rsidRPr="00260CE3" w:rsidRDefault="004322EE" w:rsidP="00142D19">
            <w:pPr>
              <w:widowControl/>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5E1EC5">
              <w:rPr>
                <w:rFonts w:ascii="Arial Narrow" w:hAnsi="Arial Narrow"/>
                <w:sz w:val="20"/>
              </w:rPr>
            </w:r>
            <w:r w:rsidR="005E1EC5">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4322EE" w:rsidRPr="00260CE3" w:rsidTr="005C3495">
        <w:trPr>
          <w:cantSplit/>
          <w:trHeight w:val="360"/>
        </w:trPr>
        <w:tc>
          <w:tcPr>
            <w:tcW w:w="2126" w:type="dxa"/>
            <w:tcBorders>
              <w:top w:val="single" w:sz="4" w:space="0" w:color="auto"/>
              <w:left w:val="single" w:sz="4" w:space="0" w:color="auto"/>
              <w:bottom w:val="single" w:sz="4" w:space="0" w:color="auto"/>
              <w:right w:val="single" w:sz="4" w:space="0" w:color="auto"/>
            </w:tcBorders>
          </w:tcPr>
          <w:p w:rsidR="004322EE" w:rsidRPr="00260CE3" w:rsidRDefault="004322EE" w:rsidP="00142D19">
            <w:pPr>
              <w:widowControl/>
              <w:rPr>
                <w:rFonts w:ascii="Arial Narrow" w:hAnsi="Arial Narrow"/>
                <w:b/>
                <w:sz w:val="20"/>
              </w:rPr>
            </w:pPr>
            <w:r w:rsidRPr="00260CE3">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4322EE" w:rsidRPr="00260CE3" w:rsidRDefault="004322EE" w:rsidP="00142D19">
            <w:pPr>
              <w:widowControl/>
              <w:rPr>
                <w:rFonts w:ascii="Arial Narrow" w:hAnsi="Arial Narrow"/>
                <w:sz w:val="20"/>
              </w:rPr>
            </w:pPr>
            <w:r w:rsidRPr="004F457C">
              <w:rPr>
                <w:rFonts w:ascii="Arial Narrow" w:hAnsi="Arial Narrow"/>
                <w:sz w:val="20"/>
              </w:rPr>
              <w:t>Stable angina pectoris</w:t>
            </w:r>
          </w:p>
        </w:tc>
      </w:tr>
      <w:tr w:rsidR="004322EE" w:rsidRPr="00260CE3" w:rsidTr="005C3495">
        <w:trPr>
          <w:cantSplit/>
          <w:trHeight w:val="360"/>
        </w:trPr>
        <w:tc>
          <w:tcPr>
            <w:tcW w:w="2126" w:type="dxa"/>
            <w:tcBorders>
              <w:top w:val="single" w:sz="4" w:space="0" w:color="auto"/>
              <w:left w:val="single" w:sz="4" w:space="0" w:color="auto"/>
              <w:bottom w:val="single" w:sz="4" w:space="0" w:color="auto"/>
              <w:right w:val="single" w:sz="4" w:space="0" w:color="auto"/>
            </w:tcBorders>
          </w:tcPr>
          <w:p w:rsidR="004322EE" w:rsidRDefault="004322EE" w:rsidP="00142D19">
            <w:pPr>
              <w:widowControl/>
              <w:rPr>
                <w:rFonts w:ascii="Arial Narrow" w:hAnsi="Arial Narrow"/>
                <w:b/>
                <w:sz w:val="20"/>
              </w:rPr>
            </w:pPr>
            <w:r w:rsidRPr="00260CE3">
              <w:rPr>
                <w:rFonts w:ascii="Arial Narrow" w:hAnsi="Arial Narrow"/>
                <w:b/>
                <w:sz w:val="20"/>
              </w:rPr>
              <w:t>PBS Indication:</w:t>
            </w:r>
          </w:p>
          <w:p w:rsidR="004322EE" w:rsidRPr="00AE058A" w:rsidRDefault="004322EE" w:rsidP="00142D19">
            <w:pPr>
              <w:widowControl/>
              <w:rPr>
                <w:rFonts w:ascii="Arial Narrow" w:hAnsi="Arial Narrow"/>
                <w:i/>
                <w:sz w:val="20"/>
              </w:rPr>
            </w:pPr>
            <w:r w:rsidRPr="00AE058A">
              <w:rPr>
                <w:rFonts w:ascii="Arial Narrow" w:hAnsi="Arial Narrow"/>
                <w:i/>
                <w:sz w:val="20"/>
              </w:rPr>
              <w:t xml:space="preserve"> </w:t>
            </w:r>
          </w:p>
        </w:tc>
        <w:tc>
          <w:tcPr>
            <w:tcW w:w="6379" w:type="dxa"/>
            <w:gridSpan w:val="6"/>
            <w:tcBorders>
              <w:top w:val="single" w:sz="4" w:space="0" w:color="auto"/>
              <w:left w:val="single" w:sz="4" w:space="0" w:color="auto"/>
              <w:bottom w:val="single" w:sz="4" w:space="0" w:color="auto"/>
              <w:right w:val="single" w:sz="4" w:space="0" w:color="auto"/>
            </w:tcBorders>
          </w:tcPr>
          <w:p w:rsidR="004322EE" w:rsidRPr="00260CE3" w:rsidRDefault="004322EE" w:rsidP="00142D19">
            <w:pPr>
              <w:widowControl/>
              <w:rPr>
                <w:rFonts w:ascii="Arial Narrow" w:hAnsi="Arial Narrow"/>
                <w:sz w:val="20"/>
              </w:rPr>
            </w:pPr>
            <w:r w:rsidRPr="00E65B09">
              <w:rPr>
                <w:rFonts w:ascii="Arial Narrow" w:hAnsi="Arial Narrow"/>
                <w:strike/>
                <w:sz w:val="20"/>
              </w:rPr>
              <w:t>In adults as</w:t>
            </w:r>
            <w:r w:rsidRPr="00012E3A">
              <w:rPr>
                <w:rFonts w:ascii="Arial Narrow" w:hAnsi="Arial Narrow"/>
                <w:strike/>
                <w:sz w:val="20"/>
              </w:rPr>
              <w:t xml:space="preserve"> add-on therapy for the symptomatic treatment of </w:t>
            </w:r>
            <w:r w:rsidRPr="00012E3A">
              <w:rPr>
                <w:rFonts w:ascii="Arial Narrow" w:hAnsi="Arial Narrow"/>
                <w:i/>
                <w:strike/>
                <w:sz w:val="20"/>
              </w:rPr>
              <w:t>s</w:t>
            </w:r>
            <w:r>
              <w:rPr>
                <w:rFonts w:ascii="Arial Narrow" w:hAnsi="Arial Narrow"/>
                <w:i/>
                <w:sz w:val="20"/>
              </w:rPr>
              <w:t>S</w:t>
            </w:r>
            <w:r w:rsidRPr="00012E3A">
              <w:rPr>
                <w:rFonts w:ascii="Arial Narrow" w:hAnsi="Arial Narrow"/>
                <w:i/>
                <w:sz w:val="20"/>
              </w:rPr>
              <w:t>table</w:t>
            </w:r>
            <w:r w:rsidRPr="004F457C">
              <w:rPr>
                <w:rFonts w:ascii="Arial Narrow" w:hAnsi="Arial Narrow"/>
                <w:sz w:val="20"/>
              </w:rPr>
              <w:t xml:space="preserve"> angina pectoris </w:t>
            </w:r>
            <w:r w:rsidRPr="00E65B09">
              <w:rPr>
                <w:rFonts w:ascii="Arial Narrow" w:hAnsi="Arial Narrow"/>
                <w:strike/>
                <w:sz w:val="20"/>
              </w:rPr>
              <w:t>in patients taking maximum tolerated doses of a beta-blocker or a calcium channel blocker and have inadequate symptom control</w:t>
            </w:r>
          </w:p>
        </w:tc>
      </w:tr>
      <w:tr w:rsidR="004322EE" w:rsidRPr="00260CE3" w:rsidTr="005C3495">
        <w:trPr>
          <w:cantSplit/>
          <w:trHeight w:val="360"/>
        </w:trPr>
        <w:tc>
          <w:tcPr>
            <w:tcW w:w="2126" w:type="dxa"/>
            <w:tcBorders>
              <w:top w:val="single" w:sz="4" w:space="0" w:color="auto"/>
              <w:left w:val="single" w:sz="4" w:space="0" w:color="auto"/>
              <w:bottom w:val="single" w:sz="4" w:space="0" w:color="auto"/>
              <w:right w:val="single" w:sz="4" w:space="0" w:color="auto"/>
            </w:tcBorders>
          </w:tcPr>
          <w:p w:rsidR="004322EE" w:rsidRPr="00CD28F3" w:rsidRDefault="004322EE" w:rsidP="00142D19">
            <w:pPr>
              <w:widowControl/>
              <w:rPr>
                <w:rFonts w:ascii="Arial Narrow" w:hAnsi="Arial Narrow"/>
                <w:i/>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6379" w:type="dxa"/>
            <w:gridSpan w:val="6"/>
            <w:tcBorders>
              <w:top w:val="single" w:sz="4" w:space="0" w:color="auto"/>
              <w:left w:val="single" w:sz="4" w:space="0" w:color="auto"/>
              <w:bottom w:val="single" w:sz="4" w:space="0" w:color="auto"/>
              <w:right w:val="single" w:sz="4" w:space="0" w:color="auto"/>
            </w:tcBorders>
          </w:tcPr>
          <w:p w:rsidR="004322EE" w:rsidRPr="00260CE3" w:rsidRDefault="004322EE" w:rsidP="00142D19">
            <w:pPr>
              <w:widowControl/>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5E1EC5">
              <w:rPr>
                <w:rFonts w:ascii="Arial Narrow" w:hAnsi="Arial Narrow"/>
                <w:sz w:val="20"/>
              </w:rPr>
            </w:r>
            <w:r w:rsidR="005E1EC5">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Authority Required (</w:t>
            </w:r>
            <w:r w:rsidRPr="00106BCF">
              <w:rPr>
                <w:rFonts w:ascii="Arial Narrow" w:hAnsi="Arial Narrow"/>
                <w:sz w:val="20"/>
              </w:rPr>
              <w:t>STREAMLINED</w:t>
            </w:r>
            <w:r>
              <w:rPr>
                <w:rFonts w:ascii="Arial Narrow" w:hAnsi="Arial Narrow"/>
                <w:sz w:val="20"/>
              </w:rPr>
              <w:t xml:space="preserve">) </w:t>
            </w:r>
            <w:r>
              <w:rPr>
                <w:rFonts w:ascii="Arial Narrow" w:hAnsi="Arial Narrow"/>
                <w:i/>
                <w:sz w:val="20"/>
              </w:rPr>
              <w:t xml:space="preserve">or </w:t>
            </w: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5E1EC5">
              <w:rPr>
                <w:rFonts w:ascii="Arial Narrow" w:hAnsi="Arial Narrow"/>
                <w:sz w:val="20"/>
              </w:rPr>
            </w:r>
            <w:r w:rsidR="005E1EC5">
              <w:rPr>
                <w:rFonts w:ascii="Arial Narrow" w:hAnsi="Arial Narrow"/>
                <w:sz w:val="20"/>
              </w:rPr>
              <w:fldChar w:fldCharType="separate"/>
            </w:r>
            <w:r w:rsidRPr="00106BCF">
              <w:rPr>
                <w:rFonts w:ascii="Arial Narrow" w:hAnsi="Arial Narrow"/>
                <w:sz w:val="20"/>
              </w:rPr>
              <w:fldChar w:fldCharType="end"/>
            </w:r>
            <w:r w:rsidRPr="002126D1">
              <w:rPr>
                <w:rFonts w:ascii="Arial Narrow" w:hAnsi="Arial Narrow"/>
                <w:i/>
                <w:sz w:val="20"/>
              </w:rPr>
              <w:t>Authority Required?</w:t>
            </w:r>
          </w:p>
        </w:tc>
      </w:tr>
      <w:tr w:rsidR="004322EE" w:rsidRPr="00260CE3" w:rsidTr="005C3495">
        <w:trPr>
          <w:cantSplit/>
          <w:trHeight w:val="360"/>
        </w:trPr>
        <w:tc>
          <w:tcPr>
            <w:tcW w:w="2126" w:type="dxa"/>
            <w:tcBorders>
              <w:top w:val="single" w:sz="4" w:space="0" w:color="auto"/>
              <w:left w:val="single" w:sz="4" w:space="0" w:color="auto"/>
              <w:bottom w:val="single" w:sz="4" w:space="0" w:color="auto"/>
              <w:right w:val="single" w:sz="4" w:space="0" w:color="auto"/>
            </w:tcBorders>
          </w:tcPr>
          <w:p w:rsidR="004322EE" w:rsidRPr="00260CE3" w:rsidRDefault="004322EE" w:rsidP="00142D19">
            <w:pPr>
              <w:widowControl/>
              <w:rPr>
                <w:rFonts w:ascii="Arial Narrow" w:hAnsi="Arial Narrow"/>
                <w:sz w:val="20"/>
              </w:rPr>
            </w:pPr>
            <w:r w:rsidRPr="00260CE3">
              <w:rPr>
                <w:rFonts w:ascii="Arial Narrow" w:hAnsi="Arial Narrow"/>
                <w:b/>
                <w:sz w:val="20"/>
              </w:rPr>
              <w:t>Clinical criteria:</w:t>
            </w:r>
            <w:r w:rsidRPr="00260CE3">
              <w:rPr>
                <w:rFonts w:ascii="Arial Narrow" w:hAnsi="Arial Narrow"/>
                <w:sz w:val="20"/>
              </w:rPr>
              <w:t xml:space="preserve"> </w:t>
            </w:r>
          </w:p>
        </w:tc>
        <w:tc>
          <w:tcPr>
            <w:tcW w:w="6379" w:type="dxa"/>
            <w:gridSpan w:val="6"/>
            <w:tcBorders>
              <w:top w:val="single" w:sz="4" w:space="0" w:color="auto"/>
              <w:left w:val="single" w:sz="4" w:space="0" w:color="auto"/>
              <w:bottom w:val="single" w:sz="4" w:space="0" w:color="auto"/>
              <w:right w:val="single" w:sz="4" w:space="0" w:color="auto"/>
            </w:tcBorders>
          </w:tcPr>
          <w:p w:rsidR="004322EE" w:rsidRPr="00E65B09" w:rsidRDefault="004322EE" w:rsidP="00142D19">
            <w:pPr>
              <w:widowControl/>
              <w:rPr>
                <w:rFonts w:ascii="Arial Narrow" w:hAnsi="Arial Narrow"/>
                <w:i/>
                <w:strike/>
                <w:sz w:val="20"/>
              </w:rPr>
            </w:pPr>
            <w:r w:rsidRPr="00E65B09">
              <w:rPr>
                <w:rFonts w:ascii="Arial Narrow" w:hAnsi="Arial Narrow"/>
                <w:i/>
                <w:strike/>
                <w:sz w:val="20"/>
              </w:rPr>
              <w:t>in patients taking maximum tolerated doses of a beta-blocker or a calcium channel blocker and have inadequate symptom control</w:t>
            </w:r>
          </w:p>
          <w:p w:rsidR="004322EE" w:rsidRDefault="004322EE" w:rsidP="00142D19">
            <w:pPr>
              <w:widowControl/>
              <w:rPr>
                <w:rFonts w:ascii="Arial Narrow" w:hAnsi="Arial Narrow"/>
                <w:i/>
                <w:sz w:val="20"/>
              </w:rPr>
            </w:pPr>
            <w:r>
              <w:rPr>
                <w:rFonts w:ascii="Arial Narrow" w:hAnsi="Arial Narrow"/>
                <w:i/>
                <w:sz w:val="20"/>
              </w:rPr>
              <w:t xml:space="preserve">Patient must have failed to achieve adequate symptom control with </w:t>
            </w:r>
            <w:r w:rsidRPr="00E65B09">
              <w:rPr>
                <w:rFonts w:ascii="Arial Narrow" w:hAnsi="Arial Narrow"/>
                <w:i/>
                <w:sz w:val="20"/>
              </w:rPr>
              <w:t>maximum tolerated doses of a beta-block</w:t>
            </w:r>
            <w:r>
              <w:rPr>
                <w:rFonts w:ascii="Arial Narrow" w:hAnsi="Arial Narrow"/>
                <w:i/>
                <w:sz w:val="20"/>
              </w:rPr>
              <w:t>er or a calcium channel blocker</w:t>
            </w:r>
          </w:p>
          <w:p w:rsidR="004322EE" w:rsidRDefault="004322EE" w:rsidP="00142D19">
            <w:pPr>
              <w:widowControl/>
              <w:rPr>
                <w:rFonts w:ascii="Arial Narrow" w:hAnsi="Arial Narrow"/>
                <w:i/>
                <w:sz w:val="20"/>
              </w:rPr>
            </w:pPr>
          </w:p>
          <w:p w:rsidR="004322EE" w:rsidRDefault="004322EE" w:rsidP="00142D19">
            <w:pPr>
              <w:widowControl/>
              <w:rPr>
                <w:rFonts w:ascii="Arial Narrow" w:hAnsi="Arial Narrow"/>
                <w:i/>
                <w:sz w:val="20"/>
              </w:rPr>
            </w:pPr>
            <w:r>
              <w:rPr>
                <w:rFonts w:ascii="Arial Narrow" w:hAnsi="Arial Narrow"/>
                <w:i/>
                <w:sz w:val="20"/>
              </w:rPr>
              <w:t>AND</w:t>
            </w:r>
          </w:p>
          <w:p w:rsidR="004322EE" w:rsidRDefault="004322EE" w:rsidP="00142D19">
            <w:pPr>
              <w:widowControl/>
              <w:rPr>
                <w:rFonts w:ascii="Arial Narrow" w:hAnsi="Arial Narrow"/>
                <w:i/>
                <w:sz w:val="20"/>
              </w:rPr>
            </w:pPr>
          </w:p>
          <w:p w:rsidR="004322EE" w:rsidRPr="005B4876" w:rsidRDefault="004322EE" w:rsidP="00142D19">
            <w:pPr>
              <w:widowControl/>
              <w:rPr>
                <w:rFonts w:ascii="Arial Narrow" w:hAnsi="Arial Narrow"/>
                <w:i/>
                <w:sz w:val="20"/>
              </w:rPr>
            </w:pPr>
            <w:r>
              <w:rPr>
                <w:rFonts w:ascii="Arial Narrow" w:hAnsi="Arial Narrow"/>
                <w:i/>
                <w:sz w:val="20"/>
              </w:rPr>
              <w:t>Treatment must be used in combination with other medicines for angina.</w:t>
            </w:r>
          </w:p>
        </w:tc>
      </w:tr>
      <w:tr w:rsidR="004322EE" w:rsidRPr="00260CE3" w:rsidTr="005C3495">
        <w:trPr>
          <w:cantSplit/>
          <w:trHeight w:val="360"/>
        </w:trPr>
        <w:tc>
          <w:tcPr>
            <w:tcW w:w="2126" w:type="dxa"/>
            <w:tcBorders>
              <w:top w:val="single" w:sz="4" w:space="0" w:color="auto"/>
              <w:left w:val="single" w:sz="4" w:space="0" w:color="auto"/>
              <w:bottom w:val="single" w:sz="4" w:space="0" w:color="auto"/>
              <w:right w:val="single" w:sz="4" w:space="0" w:color="auto"/>
            </w:tcBorders>
          </w:tcPr>
          <w:p w:rsidR="004322EE" w:rsidRPr="00260CE3" w:rsidRDefault="004322EE" w:rsidP="00142D19">
            <w:pPr>
              <w:widowControl/>
              <w:rPr>
                <w:rFonts w:ascii="Arial Narrow" w:hAnsi="Arial Narrow"/>
                <w:i/>
                <w:sz w:val="20"/>
              </w:rPr>
            </w:pPr>
            <w:r>
              <w:rPr>
                <w:rFonts w:ascii="Arial Narrow" w:hAnsi="Arial Narrow"/>
                <w:b/>
                <w:sz w:val="20"/>
              </w:rPr>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4322EE" w:rsidRPr="002F6078" w:rsidRDefault="004322EE" w:rsidP="00142D19">
            <w:pPr>
              <w:widowControl/>
              <w:rPr>
                <w:rFonts w:ascii="Arial Narrow" w:hAnsi="Arial Narrow"/>
                <w:strike/>
                <w:sz w:val="20"/>
              </w:rPr>
            </w:pPr>
            <w:r w:rsidRPr="002F6078">
              <w:rPr>
                <w:rFonts w:ascii="Arial Narrow" w:hAnsi="Arial Narrow"/>
                <w:strike/>
                <w:sz w:val="20"/>
              </w:rPr>
              <w:t>The recommended initial dose of RANEXA is 375 mg twice daily.  After 2-4 weeks, the dose should be titrated to 500 mg twice daily and, according to the patient’s response, further titrated to a recommended maximum dose of 750 mg twice daily.</w:t>
            </w:r>
          </w:p>
          <w:p w:rsidR="004322EE" w:rsidRPr="002F6078" w:rsidRDefault="004322EE" w:rsidP="00142D19">
            <w:pPr>
              <w:widowControl/>
              <w:rPr>
                <w:rFonts w:ascii="Arial Narrow" w:hAnsi="Arial Narrow"/>
                <w:sz w:val="20"/>
              </w:rPr>
            </w:pPr>
          </w:p>
          <w:p w:rsidR="004322EE" w:rsidRPr="002F6078" w:rsidRDefault="004322EE" w:rsidP="00142D19">
            <w:pPr>
              <w:widowControl/>
              <w:rPr>
                <w:rFonts w:ascii="Arial Narrow" w:hAnsi="Arial Narrow"/>
                <w:sz w:val="20"/>
              </w:rPr>
            </w:pPr>
            <w:r w:rsidRPr="002F6078">
              <w:rPr>
                <w:rFonts w:ascii="Arial Narrow" w:hAnsi="Arial Narrow"/>
                <w:sz w:val="20"/>
              </w:rPr>
              <w:t>Shared Care Model:</w:t>
            </w:r>
          </w:p>
          <w:p w:rsidR="004322EE" w:rsidRPr="00260CE3" w:rsidRDefault="004322EE" w:rsidP="00142D19">
            <w:pPr>
              <w:widowControl/>
              <w:rPr>
                <w:rFonts w:ascii="Arial Narrow" w:hAnsi="Arial Narrow"/>
                <w:sz w:val="20"/>
              </w:rPr>
            </w:pPr>
            <w:r w:rsidRPr="002F6078">
              <w:rPr>
                <w:rFonts w:ascii="Arial Narrow" w:hAnsi="Arial Narrow"/>
                <w:sz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rsidR="00AA652A" w:rsidRPr="002220DF" w:rsidRDefault="00AA652A" w:rsidP="00142D19">
      <w:pPr>
        <w:widowControl/>
        <w:ind w:left="709"/>
      </w:pPr>
    </w:p>
    <w:p w:rsidR="00105CB2" w:rsidRDefault="00AA652A" w:rsidP="00105CB2">
      <w:pPr>
        <w:pStyle w:val="ListParagraph"/>
        <w:widowControl/>
        <w:numPr>
          <w:ilvl w:val="1"/>
          <w:numId w:val="11"/>
        </w:numPr>
      </w:pPr>
      <w:r w:rsidRPr="001255F7">
        <w:t xml:space="preserve">The submission presented a cost-effectiveness analysis of ranolazine compared with placebo as add-on therapy to beta-blockers and calcium channel blockers in symptomatic stable angina. The </w:t>
      </w:r>
      <w:r w:rsidR="009C141F" w:rsidRPr="001255F7">
        <w:t>proposed price for ranolazine was</w:t>
      </w:r>
      <w:r w:rsidRPr="001255F7">
        <w:t xml:space="preserve"> based on a weighted comparison with placebo, nicorandil and perhexiline.</w:t>
      </w:r>
      <w:r w:rsidR="00C41B60" w:rsidRPr="001255F7">
        <w:t xml:space="preserve">  The ESC considered that many of the patients considered in the placebo group would actually be</w:t>
      </w:r>
      <w:r w:rsidR="00C31D71" w:rsidRPr="001255F7">
        <w:t xml:space="preserve"> receiving long acting nitrates, and that long-acting nitrates were a relevant comparator.</w:t>
      </w:r>
      <w:r w:rsidR="00C41B60" w:rsidRPr="001255F7">
        <w:t xml:space="preserve"> </w:t>
      </w:r>
    </w:p>
    <w:p w:rsidR="00105CB2" w:rsidRDefault="00105CB2" w:rsidP="00105CB2">
      <w:pPr>
        <w:pStyle w:val="ListParagraph"/>
        <w:widowControl/>
      </w:pPr>
    </w:p>
    <w:p w:rsidR="001255F7" w:rsidRPr="00105CB2" w:rsidRDefault="001255F7" w:rsidP="00F93E08">
      <w:pPr>
        <w:pStyle w:val="ListParagraph"/>
        <w:widowControl/>
      </w:pPr>
      <w:r w:rsidRPr="00105CB2">
        <w:rPr>
          <w:bCs/>
          <w:i/>
          <w:szCs w:val="22"/>
        </w:rPr>
        <w:t>For more detail on PBAC’s view, see section 7 “PBAC outcome”</w:t>
      </w:r>
    </w:p>
    <w:p w:rsidR="00923DB3" w:rsidRDefault="00923DB3" w:rsidP="00142D19">
      <w:pPr>
        <w:widowControl/>
      </w:pPr>
    </w:p>
    <w:p w:rsidR="00F93E08" w:rsidRDefault="00F93E08" w:rsidP="00142D19">
      <w:pPr>
        <w:widowControl/>
      </w:pPr>
    </w:p>
    <w:p w:rsidR="00AA652A" w:rsidRPr="002220DF" w:rsidRDefault="00AA652A" w:rsidP="00142D19">
      <w:pPr>
        <w:pStyle w:val="PBACHeading1"/>
      </w:pPr>
      <w:bookmarkStart w:id="7" w:name="_Toc392858191"/>
      <w:bookmarkStart w:id="8" w:name="_Toc472515482"/>
      <w:r w:rsidRPr="002220DF">
        <w:t>Background</w:t>
      </w:r>
      <w:bookmarkEnd w:id="7"/>
      <w:bookmarkEnd w:id="8"/>
    </w:p>
    <w:p w:rsidR="00AA652A" w:rsidRPr="002220DF" w:rsidRDefault="00AA652A" w:rsidP="00142D19">
      <w:pPr>
        <w:widowControl/>
        <w:rPr>
          <w:szCs w:val="22"/>
        </w:rPr>
      </w:pPr>
    </w:p>
    <w:p w:rsidR="00094117" w:rsidRPr="001255F7" w:rsidRDefault="005C3495" w:rsidP="00142D19">
      <w:pPr>
        <w:pStyle w:val="ListParagraph"/>
        <w:widowControl/>
        <w:numPr>
          <w:ilvl w:val="1"/>
          <w:numId w:val="11"/>
        </w:numPr>
        <w:rPr>
          <w:szCs w:val="22"/>
        </w:rPr>
      </w:pPr>
      <w:r w:rsidRPr="00C11F0D">
        <w:rPr>
          <w:b/>
          <w:bCs/>
          <w:szCs w:val="22"/>
        </w:rPr>
        <w:t xml:space="preserve">TGA status at time of </w:t>
      </w:r>
      <w:r w:rsidR="00C11F0D" w:rsidRPr="00C11F0D">
        <w:rPr>
          <w:b/>
          <w:bCs/>
          <w:szCs w:val="22"/>
        </w:rPr>
        <w:t>PBAC consideration</w:t>
      </w:r>
      <w:r w:rsidRPr="00C11F0D">
        <w:rPr>
          <w:b/>
          <w:bCs/>
          <w:szCs w:val="22"/>
        </w:rPr>
        <w:t xml:space="preserve">: </w:t>
      </w:r>
      <w:r w:rsidR="00AA652A" w:rsidRPr="00C11F0D">
        <w:rPr>
          <w:szCs w:val="22"/>
        </w:rPr>
        <w:t>Ranolazine</w:t>
      </w:r>
      <w:r w:rsidR="00AA652A" w:rsidRPr="001255F7">
        <w:rPr>
          <w:szCs w:val="22"/>
        </w:rPr>
        <w:t xml:space="preserve"> was </w:t>
      </w:r>
      <w:r w:rsidR="008D6BFC" w:rsidRPr="001255F7">
        <w:rPr>
          <w:szCs w:val="22"/>
        </w:rPr>
        <w:t>approved for registration</w:t>
      </w:r>
      <w:r w:rsidR="00AA652A" w:rsidRPr="001255F7">
        <w:rPr>
          <w:szCs w:val="22"/>
        </w:rPr>
        <w:t xml:space="preserve"> by the TGA </w:t>
      </w:r>
      <w:r w:rsidR="008D6BFC" w:rsidRPr="001255F7">
        <w:rPr>
          <w:szCs w:val="22"/>
        </w:rPr>
        <w:t>delegate on 12 May 2016</w:t>
      </w:r>
      <w:r w:rsidR="00AA652A" w:rsidRPr="001255F7">
        <w:rPr>
          <w:szCs w:val="22"/>
        </w:rPr>
        <w:t xml:space="preserve">. The </w:t>
      </w:r>
      <w:r w:rsidR="007F0653" w:rsidRPr="001255F7">
        <w:rPr>
          <w:szCs w:val="22"/>
        </w:rPr>
        <w:t xml:space="preserve">approved </w:t>
      </w:r>
      <w:r w:rsidR="00AA652A" w:rsidRPr="001255F7">
        <w:rPr>
          <w:szCs w:val="22"/>
        </w:rPr>
        <w:t xml:space="preserve">indication </w:t>
      </w:r>
      <w:r w:rsidR="004322EE" w:rsidRPr="001255F7">
        <w:rPr>
          <w:szCs w:val="22"/>
        </w:rPr>
        <w:t>wa</w:t>
      </w:r>
      <w:r w:rsidR="00AA652A" w:rsidRPr="001255F7">
        <w:rPr>
          <w:szCs w:val="22"/>
        </w:rPr>
        <w:t xml:space="preserve">s: “in adults as add-on therapy for the symptomatic treatment of stable angina pectoris in patients taking maximum tolerated doses of a beta-blocker or a calcium channel blocker and have inadequate symptom control.’’ </w:t>
      </w:r>
      <w:r w:rsidR="009C141F" w:rsidRPr="001255F7">
        <w:rPr>
          <w:szCs w:val="22"/>
        </w:rPr>
        <w:t xml:space="preserve"> </w:t>
      </w:r>
      <w:r w:rsidR="00094117" w:rsidRPr="001255F7">
        <w:rPr>
          <w:szCs w:val="22"/>
        </w:rPr>
        <w:t>At the time of the ESC advice, ranolazine had not yet been added to the ARTG.</w:t>
      </w:r>
    </w:p>
    <w:p w:rsidR="00791001" w:rsidRPr="001255F7" w:rsidRDefault="00791001" w:rsidP="00142D19">
      <w:pPr>
        <w:pStyle w:val="ListParagraph"/>
        <w:widowControl/>
        <w:rPr>
          <w:szCs w:val="22"/>
        </w:rPr>
      </w:pPr>
    </w:p>
    <w:p w:rsidR="00AA652A" w:rsidRPr="001255F7" w:rsidRDefault="005E1EC5" w:rsidP="00142D19">
      <w:pPr>
        <w:pStyle w:val="ListParagraph"/>
        <w:widowControl/>
        <w:numPr>
          <w:ilvl w:val="1"/>
          <w:numId w:val="11"/>
        </w:numPr>
        <w:rPr>
          <w:szCs w:val="22"/>
        </w:rPr>
      </w:pPr>
      <w:r>
        <w:rPr>
          <w:noProof/>
          <w:color w:val="000000"/>
          <w:szCs w:val="22"/>
          <w:highlight w:val="black"/>
        </w:rPr>
        <w:t>'''''''''''''''''''''' '''''''''''''''''''''''' '''''''''''''''''''' '''''' ''''''' ''''''''''' ''' '''''''''''''''''''' ''''' '''''''''''''''' ''''''''' ''''''' '''''''''''''' '''''''' '''''''''''''''''''' ''''' ''''''''''''''''''''''''' ''''''''''' ''''''''''''''' ''''' ''''''' '''''''''''''''''''''' '''''''''''''''''''''''' ''''''' ''''''''''''''''''''''''' '''''''''''''''''''''' '''''''''''''''''' '''''''''''''''' ''''''' '''''''''''''''''''''''''''' '''''''''''''''''''</w:t>
      </w:r>
      <w:r w:rsidR="00BA2DDE" w:rsidRPr="001255F7">
        <w:rPr>
          <w:szCs w:val="22"/>
        </w:rPr>
        <w:t xml:space="preserve"> </w:t>
      </w:r>
      <w:r w:rsidR="00C41B60" w:rsidRPr="001255F7">
        <w:rPr>
          <w:szCs w:val="22"/>
        </w:rPr>
        <w:t xml:space="preserve">The ESC also noted that the pharmacokinetic profile of ranolazine </w:t>
      </w:r>
      <w:r w:rsidR="00A84E75">
        <w:rPr>
          <w:szCs w:val="22"/>
        </w:rPr>
        <w:t>c</w:t>
      </w:r>
      <w:r w:rsidR="00A84E75" w:rsidRPr="001255F7">
        <w:rPr>
          <w:szCs w:val="22"/>
        </w:rPr>
        <w:t xml:space="preserve">ould </w:t>
      </w:r>
      <w:r w:rsidR="00C41B60" w:rsidRPr="001255F7">
        <w:rPr>
          <w:szCs w:val="22"/>
        </w:rPr>
        <w:t>lead to some potential drug interactions and complexities in management of patients with coronary artery disease.</w:t>
      </w:r>
      <w:r w:rsidR="00151748">
        <w:rPr>
          <w:szCs w:val="22"/>
        </w:rPr>
        <w:t xml:space="preserve"> The pre-PBAC response noted that an ARTG listing for ranolazine </w:t>
      </w:r>
      <w:r w:rsidR="00105CB2">
        <w:rPr>
          <w:szCs w:val="22"/>
        </w:rPr>
        <w:t>would</w:t>
      </w:r>
      <w:r w:rsidR="00151748">
        <w:rPr>
          <w:szCs w:val="22"/>
        </w:rPr>
        <w:t xml:space="preserve"> occur if a positive PBAC recommendation is received. </w:t>
      </w:r>
    </w:p>
    <w:p w:rsidR="00923DB3" w:rsidRPr="001255F7" w:rsidRDefault="00923DB3" w:rsidP="00142D19">
      <w:pPr>
        <w:widowControl/>
        <w:rPr>
          <w:szCs w:val="22"/>
        </w:rPr>
      </w:pPr>
    </w:p>
    <w:p w:rsidR="00AA652A" w:rsidRPr="00C11F0D" w:rsidRDefault="00C8378D" w:rsidP="00142D19">
      <w:pPr>
        <w:pStyle w:val="ListParagraph"/>
        <w:widowControl/>
        <w:numPr>
          <w:ilvl w:val="1"/>
          <w:numId w:val="11"/>
        </w:numPr>
        <w:rPr>
          <w:szCs w:val="22"/>
        </w:rPr>
      </w:pPr>
      <w:r w:rsidRPr="00C11F0D">
        <w:rPr>
          <w:szCs w:val="22"/>
        </w:rPr>
        <w:t>This was the PBAC’s first consideration of r</w:t>
      </w:r>
      <w:r w:rsidR="00AA652A" w:rsidRPr="00C11F0D">
        <w:rPr>
          <w:szCs w:val="22"/>
        </w:rPr>
        <w:t xml:space="preserve">anolazine </w:t>
      </w:r>
      <w:r w:rsidRPr="00C11F0D">
        <w:rPr>
          <w:szCs w:val="22"/>
        </w:rPr>
        <w:t>for PBS listing.</w:t>
      </w:r>
      <w:r w:rsidR="00AA652A" w:rsidRPr="00C11F0D">
        <w:rPr>
          <w:szCs w:val="22"/>
        </w:rPr>
        <w:t xml:space="preserve"> </w:t>
      </w:r>
    </w:p>
    <w:p w:rsidR="001255F7" w:rsidRPr="00C11F0D" w:rsidRDefault="001255F7" w:rsidP="001255F7">
      <w:pPr>
        <w:pStyle w:val="ListParagraph"/>
        <w:rPr>
          <w:szCs w:val="22"/>
        </w:rPr>
      </w:pPr>
    </w:p>
    <w:p w:rsidR="001255F7" w:rsidRPr="0005234D" w:rsidRDefault="001255F7" w:rsidP="001255F7">
      <w:pPr>
        <w:ind w:firstLine="720"/>
        <w:rPr>
          <w:bCs/>
          <w:szCs w:val="22"/>
        </w:rPr>
      </w:pPr>
      <w:r w:rsidRPr="00C11F0D">
        <w:rPr>
          <w:bCs/>
          <w:i/>
          <w:szCs w:val="22"/>
        </w:rPr>
        <w:t>For more detail on PBAC’s view, see section 7 “PBAC outcome”</w:t>
      </w:r>
      <w:r w:rsidR="00151748">
        <w:rPr>
          <w:bCs/>
          <w:i/>
          <w:szCs w:val="22"/>
        </w:rPr>
        <w:t>.</w:t>
      </w:r>
    </w:p>
    <w:p w:rsidR="00923DB3" w:rsidRDefault="00923DB3" w:rsidP="00142D19">
      <w:pPr>
        <w:widowControl/>
      </w:pPr>
    </w:p>
    <w:p w:rsidR="00FF5F86" w:rsidRPr="002220DF" w:rsidRDefault="00FF5F86" w:rsidP="00142D19">
      <w:pPr>
        <w:widowControl/>
      </w:pPr>
    </w:p>
    <w:p w:rsidR="00AA652A" w:rsidRPr="002220DF" w:rsidRDefault="00AA652A" w:rsidP="00142D19">
      <w:pPr>
        <w:pStyle w:val="PBACHeading1"/>
      </w:pPr>
      <w:bookmarkStart w:id="9" w:name="_Toc392858192"/>
      <w:bookmarkStart w:id="10" w:name="_Toc472515483"/>
      <w:r w:rsidRPr="002220DF">
        <w:t>Clinical place for the proposed therapy</w:t>
      </w:r>
      <w:bookmarkEnd w:id="9"/>
      <w:bookmarkEnd w:id="10"/>
    </w:p>
    <w:p w:rsidR="00AA652A" w:rsidRPr="002220DF" w:rsidRDefault="00AA652A" w:rsidP="00142D19">
      <w:pPr>
        <w:widowControl/>
        <w:rPr>
          <w:szCs w:val="22"/>
        </w:rPr>
      </w:pPr>
    </w:p>
    <w:p w:rsidR="00EA591A" w:rsidRPr="001255F7" w:rsidRDefault="00AA652A" w:rsidP="00142D19">
      <w:pPr>
        <w:pStyle w:val="ListParagraph"/>
        <w:widowControl/>
        <w:numPr>
          <w:ilvl w:val="1"/>
          <w:numId w:val="11"/>
        </w:numPr>
        <w:rPr>
          <w:szCs w:val="22"/>
        </w:rPr>
      </w:pPr>
      <w:r w:rsidRPr="001255F7">
        <w:rPr>
          <w:szCs w:val="22"/>
        </w:rPr>
        <w:t>Angina pectoris, or stable angina, is a form of coronary heart disease resulting from coronary artery obstruction by a stable atherosclerotic plaque. An angina attack is usually triggered by exertion or other stresses, and is characterised by chest pain or discomfort</w:t>
      </w:r>
      <w:r w:rsidR="00214AED" w:rsidRPr="001255F7">
        <w:rPr>
          <w:szCs w:val="22"/>
        </w:rPr>
        <w:t>,</w:t>
      </w:r>
      <w:r w:rsidRPr="001255F7">
        <w:rPr>
          <w:szCs w:val="22"/>
        </w:rPr>
        <w:t xml:space="preserve"> which may radiate to other areas of the body. Patients may also experience gastrointestinal discomfort, shortness of breath and nausea. Patients with stable angina are at a</w:t>
      </w:r>
      <w:r w:rsidR="00214AED" w:rsidRPr="001255F7">
        <w:rPr>
          <w:szCs w:val="22"/>
        </w:rPr>
        <w:t>n increased</w:t>
      </w:r>
      <w:r w:rsidRPr="001255F7">
        <w:rPr>
          <w:szCs w:val="22"/>
        </w:rPr>
        <w:t xml:space="preserve"> risk of acute coronary events.</w:t>
      </w:r>
    </w:p>
    <w:p w:rsidR="00EA591A" w:rsidRPr="001255F7" w:rsidRDefault="00AA652A" w:rsidP="00142D19">
      <w:pPr>
        <w:widowControl/>
        <w:rPr>
          <w:szCs w:val="22"/>
        </w:rPr>
      </w:pPr>
      <w:r w:rsidRPr="001255F7">
        <w:rPr>
          <w:szCs w:val="22"/>
        </w:rPr>
        <w:t xml:space="preserve"> </w:t>
      </w:r>
    </w:p>
    <w:p w:rsidR="00AA652A" w:rsidRPr="001255F7" w:rsidRDefault="00AA652A" w:rsidP="00142D19">
      <w:pPr>
        <w:pStyle w:val="ListParagraph"/>
        <w:widowControl/>
        <w:numPr>
          <w:ilvl w:val="1"/>
          <w:numId w:val="11"/>
        </w:numPr>
        <w:rPr>
          <w:szCs w:val="22"/>
        </w:rPr>
      </w:pPr>
      <w:r w:rsidRPr="001255F7">
        <w:rPr>
          <w:szCs w:val="22"/>
        </w:rPr>
        <w:t>Current first-line treatment options include drug therapy with beta-blockers and calcium channel blockers, the management of reversible risk factors such as hypertension</w:t>
      </w:r>
      <w:r w:rsidR="00C41B60" w:rsidRPr="001255F7">
        <w:rPr>
          <w:szCs w:val="22"/>
        </w:rPr>
        <w:t xml:space="preserve"> and dyslipidaemia</w:t>
      </w:r>
      <w:r w:rsidRPr="001255F7">
        <w:rPr>
          <w:szCs w:val="22"/>
        </w:rPr>
        <w:t>, and lifestyle modifications</w:t>
      </w:r>
      <w:r w:rsidR="00EF260C" w:rsidRPr="001255F7">
        <w:rPr>
          <w:szCs w:val="22"/>
        </w:rPr>
        <w:t xml:space="preserve">. </w:t>
      </w:r>
      <w:r w:rsidR="00E954E2" w:rsidRPr="001255F7">
        <w:rPr>
          <w:szCs w:val="22"/>
        </w:rPr>
        <w:t>G</w:t>
      </w:r>
      <w:r w:rsidR="0096787C" w:rsidRPr="001255F7">
        <w:rPr>
          <w:szCs w:val="22"/>
        </w:rPr>
        <w:t>uidelines from the American College of Cardiology Foundation (US), and</w:t>
      </w:r>
      <w:r w:rsidR="00C97458" w:rsidRPr="001255F7">
        <w:rPr>
          <w:szCs w:val="22"/>
        </w:rPr>
        <w:t xml:space="preserve"> European </w:t>
      </w:r>
      <w:r w:rsidR="0096787C" w:rsidRPr="001255F7">
        <w:rPr>
          <w:szCs w:val="22"/>
        </w:rPr>
        <w:t xml:space="preserve">Society of Cardiology </w:t>
      </w:r>
      <w:r w:rsidR="007F0653" w:rsidRPr="001255F7">
        <w:rPr>
          <w:szCs w:val="22"/>
        </w:rPr>
        <w:t xml:space="preserve">recommend </w:t>
      </w:r>
      <w:r w:rsidR="00E954E2" w:rsidRPr="001255F7">
        <w:rPr>
          <w:szCs w:val="22"/>
        </w:rPr>
        <w:t xml:space="preserve">ranolazine </w:t>
      </w:r>
      <w:r w:rsidR="00ED57A4" w:rsidRPr="001255F7">
        <w:rPr>
          <w:szCs w:val="22"/>
        </w:rPr>
        <w:t xml:space="preserve">as </w:t>
      </w:r>
      <w:r w:rsidR="00F55F6A">
        <w:t>second-line treatment of chronic stable angina in some clinical situations</w:t>
      </w:r>
      <w:r w:rsidRPr="001255F7">
        <w:rPr>
          <w:szCs w:val="22"/>
        </w:rPr>
        <w:t>; long acting nitrates, nicorandil and perhexi</w:t>
      </w:r>
      <w:r w:rsidR="00ED57A4" w:rsidRPr="001255F7">
        <w:rPr>
          <w:szCs w:val="22"/>
        </w:rPr>
        <w:t xml:space="preserve">line </w:t>
      </w:r>
      <w:r w:rsidR="007F0653" w:rsidRPr="001255F7">
        <w:rPr>
          <w:szCs w:val="22"/>
        </w:rPr>
        <w:t>are also recommended</w:t>
      </w:r>
      <w:r w:rsidR="00ED57A4" w:rsidRPr="001255F7">
        <w:rPr>
          <w:szCs w:val="22"/>
        </w:rPr>
        <w:t xml:space="preserve"> as second-</w:t>
      </w:r>
      <w:r w:rsidRPr="001255F7">
        <w:rPr>
          <w:szCs w:val="22"/>
        </w:rPr>
        <w:t>line therapy.</w:t>
      </w:r>
      <w:r w:rsidR="00CE2F9E" w:rsidRPr="001255F7">
        <w:rPr>
          <w:szCs w:val="22"/>
        </w:rPr>
        <w:t xml:space="preserve"> The ESC </w:t>
      </w:r>
      <w:r w:rsidR="00EF260C" w:rsidRPr="001255F7">
        <w:rPr>
          <w:szCs w:val="22"/>
        </w:rPr>
        <w:t>noted that n</w:t>
      </w:r>
      <w:r w:rsidR="00EF260C" w:rsidRPr="001255F7">
        <w:t>itrates, both oral and cutaneous, are often used as second line therapy</w:t>
      </w:r>
      <w:r w:rsidR="00FF0DEB" w:rsidRPr="001255F7">
        <w:t>, as shown in the Australian treatment guideli</w:t>
      </w:r>
      <w:r w:rsidR="001C5F82" w:rsidRPr="001255F7">
        <w:t>nes for chronic stable angina (F</w:t>
      </w:r>
      <w:r w:rsidR="00FF0DEB" w:rsidRPr="001255F7">
        <w:t>ig</w:t>
      </w:r>
      <w:r w:rsidR="001C5F82" w:rsidRPr="001255F7">
        <w:t>ure</w:t>
      </w:r>
      <w:r w:rsidR="00FF0DEB" w:rsidRPr="001255F7">
        <w:t xml:space="preserve"> 1)</w:t>
      </w:r>
      <w:r w:rsidR="00EF260C" w:rsidRPr="001255F7">
        <w:t>.</w:t>
      </w:r>
      <w:r w:rsidR="00EF260C" w:rsidRPr="001255F7">
        <w:rPr>
          <w:szCs w:val="22"/>
        </w:rPr>
        <w:t xml:space="preserve"> </w:t>
      </w:r>
    </w:p>
    <w:p w:rsidR="0079327C" w:rsidRDefault="0079327C" w:rsidP="00142D19">
      <w:pPr>
        <w:widowControl/>
        <w:jc w:val="left"/>
        <w:rPr>
          <w:rStyle w:val="CommentReference"/>
        </w:rPr>
      </w:pPr>
    </w:p>
    <w:p w:rsidR="007F50FF" w:rsidRPr="007F50FF" w:rsidRDefault="007F50FF" w:rsidP="00142D19">
      <w:pPr>
        <w:keepNext/>
        <w:widowControl/>
        <w:rPr>
          <w:rStyle w:val="CommentReference"/>
        </w:rPr>
      </w:pPr>
      <w:r w:rsidRPr="007F50FF">
        <w:rPr>
          <w:rStyle w:val="CommentReference"/>
        </w:rPr>
        <w:t>Figure 1: Australian treatment guidelines for chronic stable angina</w:t>
      </w:r>
    </w:p>
    <w:p w:rsidR="007F50FF" w:rsidRPr="002220DF" w:rsidRDefault="0079327C" w:rsidP="00A76902">
      <w:r>
        <w:rPr>
          <w:noProof/>
          <w:lang w:eastAsia="en-AU"/>
        </w:rPr>
        <w:drawing>
          <wp:inline distT="0" distB="0" distL="0" distR="0" wp14:anchorId="046E5CA6" wp14:editId="18E5124A">
            <wp:extent cx="5731510" cy="3786270"/>
            <wp:effectExtent l="0" t="0" r="2540" b="5080"/>
            <wp:docPr id="6" name="Picture 6" title="Figure 1: Australian treatment guidelines for chronic stable an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786270"/>
                    </a:xfrm>
                    <a:prstGeom prst="rect">
                      <a:avLst/>
                    </a:prstGeom>
                  </pic:spPr>
                </pic:pic>
              </a:graphicData>
            </a:graphic>
          </wp:inline>
        </w:drawing>
      </w:r>
    </w:p>
    <w:p w:rsidR="00AA652A" w:rsidRDefault="007F50FF" w:rsidP="004E1B7F">
      <w:pPr>
        <w:pStyle w:val="TableFooter"/>
        <w:keepNext/>
        <w:widowControl/>
        <w:jc w:val="left"/>
        <w:rPr>
          <w:szCs w:val="22"/>
        </w:rPr>
      </w:pPr>
      <w:r w:rsidRPr="00B46EBA">
        <w:t>Source: Wee et al (2015), Australian Prescriber “Medical management of chronic stable angina”, Aug 2015</w:t>
      </w:r>
      <w:r w:rsidRPr="00B46EBA">
        <w:br/>
        <w:t xml:space="preserve"> https://www.nps.org.au/australian-prescriber/articles/medical-management-of-chronic-stable-angina </w:t>
      </w:r>
    </w:p>
    <w:p w:rsidR="007F50FF" w:rsidRPr="002220DF" w:rsidRDefault="007F50FF" w:rsidP="00142D19">
      <w:pPr>
        <w:widowControl/>
        <w:rPr>
          <w:szCs w:val="22"/>
        </w:rPr>
      </w:pPr>
    </w:p>
    <w:p w:rsidR="00EA591A" w:rsidRDefault="00C97458" w:rsidP="00142D19">
      <w:pPr>
        <w:pStyle w:val="ListParagraph"/>
        <w:widowControl/>
        <w:numPr>
          <w:ilvl w:val="1"/>
          <w:numId w:val="11"/>
        </w:numPr>
        <w:rPr>
          <w:szCs w:val="22"/>
        </w:rPr>
      </w:pPr>
      <w:r w:rsidRPr="001255F7">
        <w:rPr>
          <w:szCs w:val="22"/>
        </w:rPr>
        <w:t xml:space="preserve">The submission </w:t>
      </w:r>
      <w:r w:rsidR="007F0653" w:rsidRPr="001255F7">
        <w:rPr>
          <w:szCs w:val="22"/>
        </w:rPr>
        <w:t xml:space="preserve">stated </w:t>
      </w:r>
      <w:r w:rsidRPr="001255F7">
        <w:rPr>
          <w:szCs w:val="22"/>
        </w:rPr>
        <w:t xml:space="preserve">that, based on the current clinical management algorithm for angina management in Australia, </w:t>
      </w:r>
      <w:r w:rsidR="00AA652A" w:rsidRPr="001255F7">
        <w:rPr>
          <w:szCs w:val="22"/>
        </w:rPr>
        <w:t>ranolazine is to be used as add-on therapy for patients with stable angina pectoris who remain symptomatic despite being on the maximum tolerated dose of a beta-blocker and/or calcium channel blocker</w:t>
      </w:r>
      <w:r w:rsidR="000D0344" w:rsidRPr="001255F7">
        <w:rPr>
          <w:szCs w:val="22"/>
        </w:rPr>
        <w:t>.</w:t>
      </w:r>
      <w:r w:rsidRPr="001255F7">
        <w:rPr>
          <w:szCs w:val="22"/>
        </w:rPr>
        <w:t xml:space="preserve"> </w:t>
      </w:r>
      <w:r w:rsidR="00151748">
        <w:rPr>
          <w:szCs w:val="22"/>
        </w:rPr>
        <w:t>T</w:t>
      </w:r>
      <w:r w:rsidR="004D2AC7" w:rsidRPr="001255F7">
        <w:rPr>
          <w:szCs w:val="22"/>
        </w:rPr>
        <w:t xml:space="preserve">his is in line with the TGA approved indication. </w:t>
      </w:r>
    </w:p>
    <w:p w:rsidR="001255F7" w:rsidRDefault="001255F7" w:rsidP="001255F7">
      <w:pPr>
        <w:pStyle w:val="ListParagraph"/>
        <w:widowControl/>
        <w:rPr>
          <w:szCs w:val="22"/>
        </w:rPr>
      </w:pPr>
    </w:p>
    <w:p w:rsidR="001255F7" w:rsidRPr="0005234D" w:rsidRDefault="001255F7" w:rsidP="001255F7">
      <w:pPr>
        <w:ind w:firstLine="720"/>
        <w:rPr>
          <w:bCs/>
          <w:szCs w:val="22"/>
        </w:rPr>
      </w:pPr>
      <w:r w:rsidRPr="00B22F6A">
        <w:rPr>
          <w:bCs/>
          <w:i/>
          <w:szCs w:val="22"/>
        </w:rPr>
        <w:t>For more detail on PBAC’s view, see section 7 “PBAC outcome”</w:t>
      </w:r>
      <w:r w:rsidR="00BF29A2">
        <w:rPr>
          <w:bCs/>
          <w:i/>
          <w:szCs w:val="22"/>
        </w:rPr>
        <w:t>.</w:t>
      </w:r>
    </w:p>
    <w:p w:rsidR="00CC0AC1" w:rsidRPr="001255F7" w:rsidRDefault="00CC0AC1" w:rsidP="00142D19">
      <w:pPr>
        <w:pStyle w:val="ListParagraph"/>
        <w:widowControl/>
        <w:rPr>
          <w:szCs w:val="22"/>
        </w:rPr>
      </w:pPr>
    </w:p>
    <w:p w:rsidR="00CC0AC1" w:rsidRPr="001255F7" w:rsidRDefault="00CC0AC1" w:rsidP="00142D19">
      <w:pPr>
        <w:widowControl/>
        <w:rPr>
          <w:szCs w:val="22"/>
        </w:rPr>
      </w:pPr>
    </w:p>
    <w:p w:rsidR="00D232CE" w:rsidRPr="001255F7" w:rsidRDefault="00D232CE" w:rsidP="00D232CE">
      <w:pPr>
        <w:pStyle w:val="PBACHeading1"/>
        <w:numPr>
          <w:ilvl w:val="0"/>
          <w:numId w:val="4"/>
        </w:numPr>
        <w:rPr>
          <w:b w:val="0"/>
        </w:rPr>
      </w:pPr>
      <w:bookmarkStart w:id="11" w:name="_Toc472515484"/>
      <w:r w:rsidRPr="001255F7">
        <w:t>Comparator</w:t>
      </w:r>
      <w:bookmarkEnd w:id="11"/>
    </w:p>
    <w:p w:rsidR="00AA652A" w:rsidRPr="001255F7" w:rsidRDefault="00AA652A" w:rsidP="00142D19">
      <w:pPr>
        <w:widowControl/>
      </w:pPr>
    </w:p>
    <w:p w:rsidR="006718A6" w:rsidRDefault="009F4032" w:rsidP="00142D19">
      <w:pPr>
        <w:pStyle w:val="ListParagraph"/>
        <w:widowControl/>
        <w:numPr>
          <w:ilvl w:val="1"/>
          <w:numId w:val="11"/>
        </w:numPr>
        <w:rPr>
          <w:szCs w:val="22"/>
        </w:rPr>
      </w:pPr>
      <w:r w:rsidRPr="001255F7">
        <w:t>The submission nominated placebo as the main comparator</w:t>
      </w:r>
      <w:r w:rsidRPr="00105CB2">
        <w:rPr>
          <w:szCs w:val="22"/>
        </w:rPr>
        <w:t xml:space="preserve">, and nicorandil and perhexiline as secondary comparators. </w:t>
      </w:r>
    </w:p>
    <w:p w:rsidR="00105CB2" w:rsidRPr="00105CB2" w:rsidRDefault="00105CB2" w:rsidP="00105CB2">
      <w:pPr>
        <w:pStyle w:val="ListParagraph"/>
        <w:widowControl/>
        <w:rPr>
          <w:szCs w:val="22"/>
        </w:rPr>
      </w:pPr>
    </w:p>
    <w:p w:rsidR="00105CB2" w:rsidRPr="00105CB2" w:rsidRDefault="00105CB2" w:rsidP="0078263F">
      <w:pPr>
        <w:pStyle w:val="ListParagraph"/>
        <w:widowControl/>
        <w:numPr>
          <w:ilvl w:val="1"/>
          <w:numId w:val="11"/>
        </w:numPr>
        <w:rPr>
          <w:szCs w:val="22"/>
        </w:rPr>
      </w:pPr>
      <w:r w:rsidRPr="001255F7">
        <w:t xml:space="preserve">The submission did not </w:t>
      </w:r>
      <w:r>
        <w:t>consider</w:t>
      </w:r>
      <w:r w:rsidRPr="001255F7">
        <w:t xml:space="preserve"> long-acting nitrates as a comparator. This was inappropriate. </w:t>
      </w:r>
      <w:r>
        <w:t>L</w:t>
      </w:r>
      <w:r w:rsidRPr="001255F7">
        <w:t>ong-acting nitrates</w:t>
      </w:r>
      <w:r>
        <w:t>,</w:t>
      </w:r>
      <w:r w:rsidRPr="001255F7">
        <w:t xml:space="preserve"> </w:t>
      </w:r>
      <w:r>
        <w:t>n</w:t>
      </w:r>
      <w:r w:rsidRPr="001255F7">
        <w:t>icorandil</w:t>
      </w:r>
      <w:r>
        <w:t xml:space="preserve"> and</w:t>
      </w:r>
      <w:r w:rsidRPr="001255F7">
        <w:t xml:space="preserve"> perhexiline are </w:t>
      </w:r>
      <w:r>
        <w:t xml:space="preserve">all </w:t>
      </w:r>
      <w:r w:rsidRPr="001255F7">
        <w:t>PBS-listed for the management of angina amongst patients who are symptomatic despite therapy with the maximum tolerated dose of beta-blockers or calcium channel blockers</w:t>
      </w:r>
      <w:r>
        <w:t xml:space="preserve">, though it was </w:t>
      </w:r>
      <w:r w:rsidRPr="001255F7">
        <w:t xml:space="preserve">acknowledged </w:t>
      </w:r>
      <w:r>
        <w:t xml:space="preserve">by the ESC and PBAC </w:t>
      </w:r>
      <w:r w:rsidRPr="001255F7">
        <w:t xml:space="preserve">that perhexiline has very limited use in clinical practice. </w:t>
      </w:r>
    </w:p>
    <w:p w:rsidR="00105CB2" w:rsidRPr="00105CB2" w:rsidRDefault="00105CB2" w:rsidP="00105CB2">
      <w:pPr>
        <w:widowControl/>
        <w:rPr>
          <w:szCs w:val="22"/>
        </w:rPr>
      </w:pPr>
    </w:p>
    <w:p w:rsidR="001E5F58" w:rsidRDefault="001E5F58" w:rsidP="0078263F">
      <w:pPr>
        <w:pStyle w:val="ListParagraph"/>
        <w:widowControl/>
        <w:numPr>
          <w:ilvl w:val="1"/>
          <w:numId w:val="11"/>
        </w:numPr>
        <w:rPr>
          <w:szCs w:val="22"/>
        </w:rPr>
      </w:pPr>
      <w:r w:rsidRPr="001255F7">
        <w:t>The submission’s nomination of placebo as the main comparator was</w:t>
      </w:r>
      <w:r w:rsidR="006718A6" w:rsidRPr="001255F7">
        <w:t xml:space="preserve"> </w:t>
      </w:r>
      <w:r w:rsidRPr="001255F7">
        <w:t>inappropriate</w:t>
      </w:r>
      <w:r w:rsidR="004720E6" w:rsidRPr="001255F7">
        <w:t>.</w:t>
      </w:r>
      <w:r w:rsidRPr="001255F7">
        <w:rPr>
          <w:szCs w:val="22"/>
        </w:rPr>
        <w:t xml:space="preserve"> The submission contended that placebo was the appropriate main comparator based on an analysis of a</w:t>
      </w:r>
      <w:r w:rsidR="001B02C5" w:rsidRPr="001255F7">
        <w:rPr>
          <w:szCs w:val="22"/>
        </w:rPr>
        <w:t xml:space="preserve"> </w:t>
      </w:r>
      <w:r w:rsidRPr="001255F7">
        <w:rPr>
          <w:szCs w:val="22"/>
        </w:rPr>
        <w:t>10% sample</w:t>
      </w:r>
      <w:r w:rsidR="00312BE4" w:rsidRPr="001255F7">
        <w:rPr>
          <w:szCs w:val="22"/>
        </w:rPr>
        <w:t xml:space="preserve"> of PBS prescriptions</w:t>
      </w:r>
      <w:r w:rsidR="006718A6" w:rsidRPr="001255F7">
        <w:rPr>
          <w:szCs w:val="22"/>
        </w:rPr>
        <w:t>, whereby</w:t>
      </w:r>
      <w:r w:rsidRPr="001255F7">
        <w:rPr>
          <w:szCs w:val="22"/>
        </w:rPr>
        <w:t xml:space="preserve"> patients prescribed a nitrate </w:t>
      </w:r>
      <w:r w:rsidR="006718A6" w:rsidRPr="001255F7">
        <w:rPr>
          <w:szCs w:val="22"/>
        </w:rPr>
        <w:t xml:space="preserve">were </w:t>
      </w:r>
      <w:r w:rsidR="004720E6" w:rsidRPr="001255F7">
        <w:rPr>
          <w:szCs w:val="22"/>
        </w:rPr>
        <w:t>assumed to</w:t>
      </w:r>
      <w:r w:rsidRPr="001255F7">
        <w:rPr>
          <w:szCs w:val="22"/>
        </w:rPr>
        <w:t xml:space="preserve"> represent patients with angina</w:t>
      </w:r>
      <w:r w:rsidR="006718A6" w:rsidRPr="001255F7">
        <w:rPr>
          <w:szCs w:val="22"/>
        </w:rPr>
        <w:t xml:space="preserve">. </w:t>
      </w:r>
      <w:r w:rsidR="0062784A">
        <w:t>For patients not receiving either nicorandil or perhexiline</w:t>
      </w:r>
      <w:r w:rsidR="00B050F5">
        <w:t xml:space="preserve">, </w:t>
      </w:r>
      <w:r w:rsidR="00B050F5" w:rsidRPr="00B050F5">
        <w:rPr>
          <w:rStyle w:val="CommentReference"/>
          <w:rFonts w:ascii="Arial" w:hAnsi="Arial"/>
          <w:b w:val="0"/>
          <w:sz w:val="22"/>
        </w:rPr>
        <w:t>uncontrolled</w:t>
      </w:r>
      <w:r w:rsidR="0062784A" w:rsidRPr="00B050F5">
        <w:rPr>
          <w:sz w:val="24"/>
        </w:rPr>
        <w:t xml:space="preserve"> </w:t>
      </w:r>
      <w:r w:rsidR="0062784A">
        <w:t>angina was considered to be present in patients who had reduced their treatment dose or increased their utilisation of short-acting nitrates</w:t>
      </w:r>
      <w:r w:rsidR="00B050F5">
        <w:t>.</w:t>
      </w:r>
      <w:r w:rsidRPr="001255F7">
        <w:rPr>
          <w:szCs w:val="22"/>
        </w:rPr>
        <w:t xml:space="preserve"> </w:t>
      </w:r>
      <w:r w:rsidR="00105CB2">
        <w:rPr>
          <w:szCs w:val="22"/>
        </w:rPr>
        <w:t>Of</w:t>
      </w:r>
      <w:r w:rsidRPr="001255F7">
        <w:rPr>
          <w:szCs w:val="22"/>
        </w:rPr>
        <w:t xml:space="preserve"> the identified patients, approximately </w:t>
      </w:r>
      <w:r w:rsidR="005E1EC5">
        <w:rPr>
          <w:noProof/>
          <w:color w:val="000000"/>
          <w:szCs w:val="22"/>
          <w:highlight w:val="black"/>
        </w:rPr>
        <w:t>'''''''</w:t>
      </w:r>
      <w:r w:rsidRPr="001255F7">
        <w:rPr>
          <w:szCs w:val="22"/>
        </w:rPr>
        <w:t>% were considered</w:t>
      </w:r>
      <w:r w:rsidR="00105CB2">
        <w:rPr>
          <w:szCs w:val="22"/>
        </w:rPr>
        <w:t xml:space="preserve"> by the submission</w:t>
      </w:r>
      <w:r w:rsidRPr="001255F7">
        <w:rPr>
          <w:szCs w:val="22"/>
        </w:rPr>
        <w:t xml:space="preserve"> to be uncontrolled on a beta-blocker and/or a calcium channel blocker and either naïve or refractory to add-on treatment, with </w:t>
      </w:r>
      <w:r w:rsidR="005E1EC5">
        <w:rPr>
          <w:noProof/>
          <w:color w:val="000000"/>
          <w:szCs w:val="22"/>
          <w:highlight w:val="black"/>
        </w:rPr>
        <w:t>''''''</w:t>
      </w:r>
      <w:r w:rsidRPr="001255F7">
        <w:rPr>
          <w:szCs w:val="22"/>
        </w:rPr>
        <w:t xml:space="preserve">% of patients treated with nicorandil and </w:t>
      </w:r>
      <w:r w:rsidR="005E1EC5">
        <w:rPr>
          <w:noProof/>
          <w:color w:val="000000"/>
          <w:szCs w:val="22"/>
          <w:highlight w:val="black"/>
        </w:rPr>
        <w:t>'''</w:t>
      </w:r>
      <w:r w:rsidRPr="001255F7">
        <w:rPr>
          <w:szCs w:val="22"/>
        </w:rPr>
        <w:t xml:space="preserve">% treated with perhexiline. </w:t>
      </w:r>
      <w:r w:rsidR="00105CB2">
        <w:rPr>
          <w:szCs w:val="22"/>
        </w:rPr>
        <w:t>I</w:t>
      </w:r>
      <w:r w:rsidRPr="001255F7">
        <w:rPr>
          <w:szCs w:val="22"/>
        </w:rPr>
        <w:t xml:space="preserve">nsufficient information was presented in the submission for the results from the analysis of the 10% PBS sample to be verified. </w:t>
      </w:r>
      <w:r w:rsidR="00C41B60" w:rsidRPr="001255F7">
        <w:rPr>
          <w:szCs w:val="22"/>
        </w:rPr>
        <w:t xml:space="preserve">No information was provided on long acting nitrate use in the </w:t>
      </w:r>
      <w:r w:rsidR="005E1EC5">
        <w:rPr>
          <w:noProof/>
          <w:color w:val="000000"/>
          <w:szCs w:val="22"/>
          <w:highlight w:val="black"/>
        </w:rPr>
        <w:t>''''''</w:t>
      </w:r>
      <w:r w:rsidR="00C41B60" w:rsidRPr="001255F7">
        <w:rPr>
          <w:szCs w:val="22"/>
        </w:rPr>
        <w:t>% of the PBS sample th</w:t>
      </w:r>
      <w:r w:rsidR="005C4691" w:rsidRPr="001255F7">
        <w:rPr>
          <w:szCs w:val="22"/>
        </w:rPr>
        <w:t>at were not prescribed perhexili</w:t>
      </w:r>
      <w:r w:rsidR="00C41B60" w:rsidRPr="001255F7">
        <w:rPr>
          <w:szCs w:val="22"/>
        </w:rPr>
        <w:t xml:space="preserve">ne or nicorandil. </w:t>
      </w:r>
      <w:r w:rsidR="00105CB2">
        <w:t xml:space="preserve">The </w:t>
      </w:r>
      <w:r w:rsidR="006718A6" w:rsidRPr="001255F7">
        <w:t xml:space="preserve">criteria used to define the patient population with uncontrolled angina and the population refractory to nicorandil or perhexiline, in the PBS sample were likely to overestimate the uncontrolled angina population and underestimated the population suitable for treatment with nicorandil or perhexiline. </w:t>
      </w:r>
      <w:r w:rsidRPr="001255F7">
        <w:rPr>
          <w:szCs w:val="22"/>
        </w:rPr>
        <w:t xml:space="preserve">The </w:t>
      </w:r>
      <w:r w:rsidR="00105CB2">
        <w:rPr>
          <w:szCs w:val="22"/>
        </w:rPr>
        <w:t xml:space="preserve">ESC </w:t>
      </w:r>
      <w:r w:rsidRPr="001255F7">
        <w:rPr>
          <w:szCs w:val="22"/>
        </w:rPr>
        <w:t xml:space="preserve">did not consider it was plausible that </w:t>
      </w:r>
      <w:r w:rsidR="005E1EC5">
        <w:rPr>
          <w:noProof/>
          <w:color w:val="000000"/>
          <w:szCs w:val="22"/>
          <w:highlight w:val="black"/>
        </w:rPr>
        <w:t>'''''</w:t>
      </w:r>
      <w:r w:rsidRPr="001255F7">
        <w:rPr>
          <w:szCs w:val="22"/>
        </w:rPr>
        <w:t xml:space="preserve">% of patients eligible for second-line therapy </w:t>
      </w:r>
      <w:r w:rsidR="00E97D65">
        <w:rPr>
          <w:szCs w:val="22"/>
        </w:rPr>
        <w:t xml:space="preserve">had no current alternative therapy </w:t>
      </w:r>
      <w:r w:rsidR="000B459B">
        <w:rPr>
          <w:szCs w:val="22"/>
        </w:rPr>
        <w:t xml:space="preserve">on the PBS </w:t>
      </w:r>
      <w:r w:rsidR="00E97D65">
        <w:rPr>
          <w:szCs w:val="22"/>
        </w:rPr>
        <w:t>for stable angina</w:t>
      </w:r>
      <w:r w:rsidR="000B459B">
        <w:rPr>
          <w:szCs w:val="22"/>
        </w:rPr>
        <w:t xml:space="preserve"> as long acting nitrates could </w:t>
      </w:r>
      <w:r w:rsidR="0077026B">
        <w:rPr>
          <w:szCs w:val="22"/>
        </w:rPr>
        <w:t xml:space="preserve">be </w:t>
      </w:r>
      <w:r w:rsidR="000B459B">
        <w:rPr>
          <w:szCs w:val="22"/>
        </w:rPr>
        <w:t>used</w:t>
      </w:r>
      <w:r w:rsidRPr="001255F7">
        <w:rPr>
          <w:szCs w:val="22"/>
        </w:rPr>
        <w:t xml:space="preserve">. </w:t>
      </w:r>
    </w:p>
    <w:p w:rsidR="001255F7" w:rsidRDefault="001255F7" w:rsidP="001255F7">
      <w:pPr>
        <w:pStyle w:val="ListParagraph"/>
        <w:widowControl/>
        <w:rPr>
          <w:szCs w:val="22"/>
        </w:rPr>
      </w:pPr>
    </w:p>
    <w:p w:rsidR="001255F7" w:rsidRPr="0005234D" w:rsidRDefault="001255F7" w:rsidP="001255F7">
      <w:pPr>
        <w:ind w:firstLine="720"/>
        <w:rPr>
          <w:bCs/>
          <w:szCs w:val="22"/>
        </w:rPr>
      </w:pPr>
      <w:r w:rsidRPr="00E155DF">
        <w:rPr>
          <w:bCs/>
          <w:i/>
          <w:szCs w:val="22"/>
        </w:rPr>
        <w:t>For more detail on PBAC’s view, see section 7 “PBAC outcome”</w:t>
      </w:r>
    </w:p>
    <w:p w:rsidR="0036750F" w:rsidRPr="001255F7" w:rsidRDefault="0036750F" w:rsidP="00142D19">
      <w:pPr>
        <w:widowControl/>
        <w:jc w:val="left"/>
        <w:rPr>
          <w:b/>
          <w:szCs w:val="22"/>
        </w:rPr>
      </w:pPr>
      <w:bookmarkStart w:id="12" w:name="_Toc392858193"/>
    </w:p>
    <w:p w:rsidR="00234B79" w:rsidRDefault="00234B79" w:rsidP="00142D19">
      <w:pPr>
        <w:widowControl/>
        <w:jc w:val="left"/>
        <w:rPr>
          <w:b/>
          <w:szCs w:val="22"/>
        </w:rPr>
      </w:pPr>
    </w:p>
    <w:p w:rsidR="00AA652A" w:rsidRDefault="00AA652A" w:rsidP="00142D19">
      <w:pPr>
        <w:pStyle w:val="PBACHeading1"/>
      </w:pPr>
      <w:bookmarkStart w:id="13" w:name="_Toc472515485"/>
      <w:r w:rsidRPr="002220DF">
        <w:t>Consideration of the evidence</w:t>
      </w:r>
      <w:bookmarkEnd w:id="12"/>
      <w:bookmarkEnd w:id="13"/>
    </w:p>
    <w:p w:rsidR="001255F7" w:rsidRDefault="001255F7" w:rsidP="000A5020"/>
    <w:p w:rsidR="001255F7" w:rsidRPr="000A5020" w:rsidRDefault="001255F7" w:rsidP="000A5020">
      <w:pPr>
        <w:pStyle w:val="Heading2"/>
        <w:widowControl/>
        <w:rPr>
          <w:i/>
        </w:rPr>
      </w:pPr>
      <w:r w:rsidRPr="000A5020">
        <w:rPr>
          <w:i/>
        </w:rPr>
        <w:t>Sponsor hearing</w:t>
      </w:r>
    </w:p>
    <w:p w:rsidR="001255F7" w:rsidRPr="00E155DF" w:rsidRDefault="001255F7" w:rsidP="001255F7">
      <w:pPr>
        <w:rPr>
          <w:b/>
          <w:bCs/>
          <w:szCs w:val="22"/>
        </w:rPr>
      </w:pPr>
    </w:p>
    <w:p w:rsidR="001255F7" w:rsidRPr="00E155DF" w:rsidRDefault="001255F7" w:rsidP="001255F7">
      <w:pPr>
        <w:widowControl/>
        <w:numPr>
          <w:ilvl w:val="1"/>
          <w:numId w:val="4"/>
        </w:numPr>
        <w:jc w:val="left"/>
        <w:rPr>
          <w:bCs/>
          <w:szCs w:val="22"/>
        </w:rPr>
      </w:pPr>
      <w:r w:rsidRPr="00E155DF">
        <w:rPr>
          <w:bCs/>
          <w:szCs w:val="22"/>
        </w:rPr>
        <w:t>There was no hearing for this item.</w:t>
      </w:r>
    </w:p>
    <w:p w:rsidR="001255F7" w:rsidRPr="00E155DF" w:rsidRDefault="001255F7" w:rsidP="001255F7">
      <w:pPr>
        <w:rPr>
          <w:bCs/>
          <w:szCs w:val="22"/>
        </w:rPr>
      </w:pPr>
    </w:p>
    <w:p w:rsidR="001255F7" w:rsidRPr="000A5020" w:rsidRDefault="001255F7" w:rsidP="000A5020">
      <w:pPr>
        <w:pStyle w:val="Heading2"/>
        <w:widowControl/>
        <w:rPr>
          <w:i/>
        </w:rPr>
      </w:pPr>
      <w:r w:rsidRPr="000A5020">
        <w:rPr>
          <w:i/>
        </w:rPr>
        <w:t>Consumer comments</w:t>
      </w:r>
    </w:p>
    <w:p w:rsidR="001255F7" w:rsidRPr="00E155DF" w:rsidRDefault="001255F7" w:rsidP="001255F7">
      <w:pPr>
        <w:rPr>
          <w:b/>
          <w:bCs/>
          <w:szCs w:val="22"/>
        </w:rPr>
      </w:pPr>
    </w:p>
    <w:p w:rsidR="001255F7" w:rsidRPr="00E155DF" w:rsidRDefault="001255F7" w:rsidP="001255F7">
      <w:pPr>
        <w:widowControl/>
        <w:numPr>
          <w:ilvl w:val="1"/>
          <w:numId w:val="4"/>
        </w:numPr>
        <w:jc w:val="left"/>
        <w:rPr>
          <w:bCs/>
          <w:szCs w:val="22"/>
        </w:rPr>
      </w:pPr>
      <w:r w:rsidRPr="00E155DF">
        <w:rPr>
          <w:bCs/>
          <w:szCs w:val="22"/>
        </w:rPr>
        <w:t>The PBAC noted that no consumer comments were received for this item.</w:t>
      </w:r>
    </w:p>
    <w:p w:rsidR="00AA652A" w:rsidRPr="002220DF" w:rsidRDefault="00AA652A" w:rsidP="00142D19">
      <w:pPr>
        <w:widowControl/>
      </w:pPr>
    </w:p>
    <w:p w:rsidR="00AA652A" w:rsidRPr="002220DF" w:rsidRDefault="00AA652A" w:rsidP="00142D19">
      <w:pPr>
        <w:pStyle w:val="Heading2"/>
        <w:widowControl/>
        <w:rPr>
          <w:i/>
        </w:rPr>
      </w:pPr>
      <w:bookmarkStart w:id="14" w:name="_Toc392858194"/>
      <w:bookmarkStart w:id="15" w:name="_Toc472515486"/>
      <w:r w:rsidRPr="002220DF">
        <w:rPr>
          <w:i/>
        </w:rPr>
        <w:t>Clinical trials</w:t>
      </w:r>
      <w:bookmarkEnd w:id="14"/>
      <w:bookmarkEnd w:id="15"/>
    </w:p>
    <w:p w:rsidR="00AA652A" w:rsidRPr="002220DF" w:rsidRDefault="00AA652A" w:rsidP="00142D19">
      <w:pPr>
        <w:widowControl/>
        <w:rPr>
          <w:szCs w:val="22"/>
        </w:rPr>
      </w:pPr>
    </w:p>
    <w:p w:rsidR="00AA652A" w:rsidRPr="001255F7" w:rsidRDefault="00AA652A" w:rsidP="00142D19">
      <w:pPr>
        <w:pStyle w:val="ListParagraph"/>
        <w:widowControl/>
        <w:numPr>
          <w:ilvl w:val="1"/>
          <w:numId w:val="11"/>
        </w:numPr>
        <w:rPr>
          <w:szCs w:val="22"/>
        </w:rPr>
      </w:pPr>
      <w:r w:rsidRPr="001255F7">
        <w:t xml:space="preserve">The submission </w:t>
      </w:r>
      <w:r w:rsidR="00714F09" w:rsidRPr="001255F7">
        <w:t>wa</w:t>
      </w:r>
      <w:r w:rsidRPr="001255F7">
        <w:t>s based on the CARISA trial, a randomised, double-blinded head-to-head trial comparing ranolazine</w:t>
      </w:r>
      <w:r w:rsidR="00EB28AC" w:rsidRPr="001255F7">
        <w:t xml:space="preserve"> 750mg, ranolazine 1000mg, and</w:t>
      </w:r>
      <w:r w:rsidR="00714F09" w:rsidRPr="001255F7">
        <w:t xml:space="preserve"> </w:t>
      </w:r>
      <w:r w:rsidRPr="001255F7">
        <w:t>placebo (n=823).</w:t>
      </w:r>
      <w:r w:rsidRPr="001255F7">
        <w:rPr>
          <w:color w:val="3366FF"/>
        </w:rPr>
        <w:t xml:space="preserve"> </w:t>
      </w:r>
      <w:r w:rsidRPr="001255F7">
        <w:t xml:space="preserve">The submission also presented the ROLE single arm open-label extension study, and the ARETHA single arm open-label study in support of long-term ranolazine safety and efficacy. The IONA and COLE (1990) randomised trials were presented as evidence for the safety and efficacy of nicorandil and perhexiline, respectively. </w:t>
      </w:r>
    </w:p>
    <w:p w:rsidR="00791001" w:rsidRPr="001255F7" w:rsidRDefault="00791001" w:rsidP="00142D19">
      <w:pPr>
        <w:widowControl/>
        <w:jc w:val="left"/>
        <w:rPr>
          <w:szCs w:val="22"/>
        </w:rPr>
      </w:pPr>
    </w:p>
    <w:p w:rsidR="00AA652A" w:rsidRPr="001255F7" w:rsidRDefault="00AA652A" w:rsidP="00142D19">
      <w:pPr>
        <w:pStyle w:val="ListParagraph"/>
        <w:widowControl/>
        <w:numPr>
          <w:ilvl w:val="1"/>
          <w:numId w:val="11"/>
        </w:numPr>
        <w:rPr>
          <w:szCs w:val="22"/>
        </w:rPr>
      </w:pPr>
      <w:r w:rsidRPr="001255F7">
        <w:rPr>
          <w:szCs w:val="22"/>
        </w:rPr>
        <w:t>Details of the trials presented in the submission are provided in the table below.</w:t>
      </w:r>
    </w:p>
    <w:p w:rsidR="00AA652A" w:rsidRPr="001255F7" w:rsidRDefault="00AA652A" w:rsidP="00142D19">
      <w:pPr>
        <w:widowControl/>
        <w:rPr>
          <w:szCs w:val="22"/>
        </w:rPr>
      </w:pPr>
    </w:p>
    <w:p w:rsidR="004E1B7F" w:rsidRDefault="004E1B7F">
      <w:pPr>
        <w:widowControl/>
        <w:jc w:val="left"/>
        <w:rPr>
          <w:rStyle w:val="CommentReference"/>
        </w:rPr>
      </w:pPr>
      <w:r>
        <w:rPr>
          <w:rStyle w:val="CommentReference"/>
        </w:rPr>
        <w:br w:type="page"/>
      </w:r>
    </w:p>
    <w:p w:rsidR="00AA652A" w:rsidRPr="002220DF" w:rsidRDefault="00AA652A" w:rsidP="00514E40">
      <w:pPr>
        <w:widowControl/>
        <w:ind w:firstLine="720"/>
        <w:jc w:val="left"/>
        <w:rPr>
          <w:rStyle w:val="CommentReference"/>
        </w:rPr>
      </w:pPr>
      <w:r w:rsidRPr="002220DF">
        <w:rPr>
          <w:rStyle w:val="CommentReference"/>
        </w:rPr>
        <w:t>Table 1: 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01"/>
        <w:gridCol w:w="4680"/>
        <w:gridCol w:w="1964"/>
      </w:tblGrid>
      <w:tr w:rsidR="00AA652A" w:rsidRPr="002220DF" w:rsidTr="00DB4710">
        <w:trPr>
          <w:tblHeader/>
        </w:trPr>
        <w:tc>
          <w:tcPr>
            <w:tcW w:w="1019" w:type="pct"/>
          </w:tcPr>
          <w:p w:rsidR="00AA652A" w:rsidRPr="002220DF" w:rsidRDefault="00AA652A" w:rsidP="00142D19">
            <w:pPr>
              <w:pStyle w:val="Tabletext"/>
              <w:rPr>
                <w:rStyle w:val="CommentReference"/>
              </w:rPr>
            </w:pPr>
            <w:r w:rsidRPr="002220DF">
              <w:rPr>
                <w:rStyle w:val="CommentReference"/>
              </w:rPr>
              <w:t>Trial ID/First Author</w:t>
            </w:r>
          </w:p>
        </w:tc>
        <w:tc>
          <w:tcPr>
            <w:tcW w:w="2804" w:type="pct"/>
          </w:tcPr>
          <w:p w:rsidR="00AA652A" w:rsidRPr="002220DF" w:rsidRDefault="00AA652A" w:rsidP="00142D19">
            <w:pPr>
              <w:pStyle w:val="Tabletext"/>
              <w:rPr>
                <w:rStyle w:val="CommentReference"/>
              </w:rPr>
            </w:pPr>
            <w:r w:rsidRPr="002220DF">
              <w:rPr>
                <w:rStyle w:val="CommentReference"/>
              </w:rPr>
              <w:t>Protocol title/ Publication title</w:t>
            </w:r>
          </w:p>
        </w:tc>
        <w:tc>
          <w:tcPr>
            <w:tcW w:w="1177" w:type="pct"/>
          </w:tcPr>
          <w:p w:rsidR="00AA652A" w:rsidRPr="002220DF" w:rsidRDefault="00AA652A" w:rsidP="00142D19">
            <w:pPr>
              <w:pStyle w:val="Tabletext"/>
              <w:rPr>
                <w:rStyle w:val="CommentReference"/>
              </w:rPr>
            </w:pPr>
            <w:r w:rsidRPr="002220DF">
              <w:rPr>
                <w:rStyle w:val="CommentReference"/>
              </w:rPr>
              <w:t>Publication citation</w:t>
            </w:r>
          </w:p>
        </w:tc>
      </w:tr>
      <w:tr w:rsidR="00AA652A" w:rsidRPr="002220DF" w:rsidTr="00DB4710">
        <w:tc>
          <w:tcPr>
            <w:tcW w:w="5000" w:type="pct"/>
            <w:gridSpan w:val="3"/>
          </w:tcPr>
          <w:p w:rsidR="00AA652A" w:rsidRPr="002220DF" w:rsidRDefault="00AA652A" w:rsidP="00142D19">
            <w:pPr>
              <w:pStyle w:val="Tabletext"/>
              <w:rPr>
                <w:rStyle w:val="CommentReference"/>
              </w:rPr>
            </w:pPr>
            <w:r w:rsidRPr="002220DF">
              <w:rPr>
                <w:rStyle w:val="CommentReference"/>
              </w:rPr>
              <w:t>Direct randomised trial</w:t>
            </w:r>
          </w:p>
        </w:tc>
      </w:tr>
      <w:tr w:rsidR="00796AA1" w:rsidRPr="002220DF" w:rsidTr="003728CD">
        <w:trPr>
          <w:trHeight w:val="809"/>
        </w:trPr>
        <w:tc>
          <w:tcPr>
            <w:tcW w:w="1019" w:type="pct"/>
          </w:tcPr>
          <w:p w:rsidR="00796AA1" w:rsidRPr="002220DF" w:rsidRDefault="00796AA1" w:rsidP="00142D19">
            <w:pPr>
              <w:pStyle w:val="Tabletext"/>
            </w:pPr>
            <w:r w:rsidRPr="002220DF">
              <w:t xml:space="preserve">CARISA </w:t>
            </w:r>
          </w:p>
          <w:p w:rsidR="00796AA1" w:rsidRPr="002220DF" w:rsidRDefault="00796AA1" w:rsidP="00142D19">
            <w:pPr>
              <w:pStyle w:val="Tabletext"/>
            </w:pPr>
          </w:p>
          <w:p w:rsidR="00796AA1" w:rsidRPr="002220DF" w:rsidRDefault="00796AA1" w:rsidP="00142D19">
            <w:pPr>
              <w:pStyle w:val="Tabletext"/>
            </w:pPr>
          </w:p>
          <w:p w:rsidR="00796AA1" w:rsidRPr="002220DF" w:rsidRDefault="00796AA1" w:rsidP="00142D19">
            <w:pPr>
              <w:pStyle w:val="Tabletext"/>
            </w:pPr>
          </w:p>
          <w:p w:rsidR="00796AA1" w:rsidRPr="002220DF" w:rsidRDefault="00796AA1" w:rsidP="00142D19">
            <w:pPr>
              <w:pStyle w:val="Tabletext"/>
            </w:pPr>
          </w:p>
          <w:p w:rsidR="00796AA1" w:rsidRPr="002220DF" w:rsidRDefault="00796AA1" w:rsidP="00142D19">
            <w:pPr>
              <w:pStyle w:val="Tabletext"/>
            </w:pPr>
          </w:p>
          <w:p w:rsidR="00796AA1" w:rsidRPr="002220DF" w:rsidRDefault="00796AA1" w:rsidP="00142D19">
            <w:pPr>
              <w:pStyle w:val="Tabletext"/>
            </w:pPr>
          </w:p>
          <w:p w:rsidR="00796AA1" w:rsidRDefault="00796AA1" w:rsidP="00142D19">
            <w:pPr>
              <w:pStyle w:val="Tabletext"/>
            </w:pPr>
            <w:r w:rsidRPr="002220DF">
              <w:t>Chaitman</w:t>
            </w:r>
          </w:p>
          <w:p w:rsidR="00796AA1" w:rsidRDefault="00796AA1" w:rsidP="00142D19">
            <w:pPr>
              <w:pStyle w:val="Tabletext"/>
            </w:pPr>
          </w:p>
          <w:p w:rsidR="00796AA1" w:rsidRDefault="00796AA1" w:rsidP="00142D19">
            <w:pPr>
              <w:pStyle w:val="Tabletext"/>
            </w:pPr>
          </w:p>
          <w:p w:rsidR="00796AA1" w:rsidRDefault="00796AA1" w:rsidP="00142D19">
            <w:pPr>
              <w:pStyle w:val="Tabletext"/>
            </w:pPr>
          </w:p>
          <w:p w:rsidR="00796AA1" w:rsidRDefault="00796AA1" w:rsidP="00142D19">
            <w:pPr>
              <w:pStyle w:val="Tabletext"/>
            </w:pPr>
          </w:p>
          <w:p w:rsidR="00796AA1" w:rsidRDefault="00796AA1" w:rsidP="00142D19">
            <w:pPr>
              <w:pStyle w:val="Tabletext"/>
            </w:pPr>
          </w:p>
          <w:p w:rsidR="00796AA1" w:rsidRDefault="00796AA1" w:rsidP="00142D19">
            <w:pPr>
              <w:pStyle w:val="Tabletext"/>
            </w:pPr>
          </w:p>
          <w:p w:rsidR="00796AA1" w:rsidRPr="002220DF" w:rsidRDefault="00796AA1" w:rsidP="00142D19">
            <w:pPr>
              <w:pStyle w:val="Tabletext"/>
            </w:pPr>
          </w:p>
          <w:p w:rsidR="00796AA1" w:rsidRDefault="00796AA1" w:rsidP="00142D19">
            <w:pPr>
              <w:pStyle w:val="Tabletext"/>
              <w:rPr>
                <w:lang w:val="en-US"/>
              </w:rPr>
            </w:pPr>
            <w:r>
              <w:rPr>
                <w:lang w:val="en-US"/>
              </w:rPr>
              <w:t>Subgroup analysis of CARISA:</w:t>
            </w:r>
          </w:p>
          <w:p w:rsidR="00796AA1" w:rsidRPr="002220DF" w:rsidRDefault="00796AA1" w:rsidP="00142D19">
            <w:pPr>
              <w:pStyle w:val="Tabletext"/>
            </w:pPr>
            <w:r w:rsidRPr="002220DF">
              <w:rPr>
                <w:lang w:val="en-US"/>
              </w:rPr>
              <w:t>Lopez-Sendon</w:t>
            </w:r>
          </w:p>
        </w:tc>
        <w:tc>
          <w:tcPr>
            <w:tcW w:w="2804" w:type="pct"/>
          </w:tcPr>
          <w:p w:rsidR="00796AA1" w:rsidRPr="002220DF" w:rsidRDefault="00796AA1" w:rsidP="00142D19">
            <w:pPr>
              <w:pStyle w:val="Tabletext"/>
            </w:pPr>
            <w:r w:rsidRPr="002220DF">
              <w:t>Primary Clinical Study Report – CVT 3033 – A Double-Blind, Randomized, Stratified, Placebo-Controlled, Parallel Study of Ranolazine SR at Doses of 750 mg Twice a Day and 1000 mg Twice a Day in Combination with Other Anti-Anginal Medications in Patients with Chronic Stable Angina Pectoris. CV Therapeutics, Incorporated.</w:t>
            </w:r>
          </w:p>
          <w:p w:rsidR="00796AA1" w:rsidRPr="002220DF" w:rsidRDefault="00796AA1" w:rsidP="00142D19">
            <w:pPr>
              <w:pStyle w:val="Tabletext"/>
            </w:pPr>
          </w:p>
          <w:p w:rsidR="00796AA1" w:rsidRDefault="00796AA1" w:rsidP="00142D19">
            <w:pPr>
              <w:pStyle w:val="Tabletext"/>
            </w:pPr>
            <w:r w:rsidRPr="002220DF">
              <w:t>Chaitman</w:t>
            </w:r>
            <w:r w:rsidRPr="002220DF" w:rsidDel="00204BE0">
              <w:t xml:space="preserve"> </w:t>
            </w:r>
            <w:r w:rsidRPr="002220DF">
              <w:t>BR, Pepine CJ, Parker JO, Skopal J, Chumakova G, Kuch J, Wang W, Skettino SL, Wolff, MD for the Combination Assessment of Ranolazine In Stable Angina (CARISA) Investigators. Effects of ranolazine with atenolol, amlodipine, or diltiazem on exercise tolerance and angina frequency in patients with severe chronic angina: a randomized controlled trial.</w:t>
            </w:r>
          </w:p>
          <w:p w:rsidR="00796AA1" w:rsidRDefault="00796AA1" w:rsidP="00142D19">
            <w:pPr>
              <w:pStyle w:val="Tabletext"/>
            </w:pPr>
          </w:p>
          <w:p w:rsidR="00796AA1" w:rsidRPr="002220DF" w:rsidRDefault="00796AA1" w:rsidP="00142D19">
            <w:pPr>
              <w:pStyle w:val="Tabletext"/>
            </w:pPr>
            <w:r w:rsidRPr="00796AA1">
              <w:t>Lopez-Sendon J, Lee S, Cheng ML, Ben-Yehuda O. Effects of ranolazine on exercise tolerance and angina frequency in patients with severe chronic angina receiving maximally-tolerated background therapy: analysis from the Combination Assessment of Ranolazine In Stable Angina (CARISA) randomized trial.</w:t>
            </w:r>
          </w:p>
        </w:tc>
        <w:tc>
          <w:tcPr>
            <w:tcW w:w="1177" w:type="pct"/>
          </w:tcPr>
          <w:p w:rsidR="00796AA1" w:rsidRPr="002220DF" w:rsidRDefault="00796AA1" w:rsidP="00142D19">
            <w:pPr>
              <w:pStyle w:val="Tabletext"/>
            </w:pPr>
            <w:r w:rsidRPr="002220DF">
              <w:t>30 July 2002</w:t>
            </w:r>
          </w:p>
          <w:p w:rsidR="00796AA1" w:rsidRPr="002220DF" w:rsidRDefault="00796AA1" w:rsidP="00142D19">
            <w:pPr>
              <w:pStyle w:val="Tabletext"/>
            </w:pPr>
          </w:p>
          <w:p w:rsidR="00796AA1" w:rsidRPr="002220DF" w:rsidRDefault="00796AA1" w:rsidP="00142D19">
            <w:pPr>
              <w:pStyle w:val="Tabletext"/>
            </w:pPr>
          </w:p>
          <w:p w:rsidR="00796AA1" w:rsidRPr="002220DF" w:rsidRDefault="00796AA1" w:rsidP="00142D19">
            <w:pPr>
              <w:pStyle w:val="Tabletext"/>
            </w:pPr>
          </w:p>
          <w:p w:rsidR="00796AA1" w:rsidRPr="002220DF" w:rsidRDefault="00796AA1" w:rsidP="00142D19">
            <w:pPr>
              <w:pStyle w:val="Tabletext"/>
            </w:pPr>
          </w:p>
          <w:p w:rsidR="00796AA1" w:rsidRPr="002220DF" w:rsidRDefault="00796AA1" w:rsidP="00142D19">
            <w:pPr>
              <w:pStyle w:val="Tabletext"/>
            </w:pPr>
          </w:p>
          <w:p w:rsidR="00796AA1" w:rsidRPr="002220DF" w:rsidRDefault="00796AA1" w:rsidP="00142D19">
            <w:pPr>
              <w:pStyle w:val="Tabletext"/>
            </w:pPr>
          </w:p>
          <w:p w:rsidR="00796AA1" w:rsidRDefault="00796AA1" w:rsidP="00142D19">
            <w:pPr>
              <w:pStyle w:val="Tabletext"/>
            </w:pPr>
            <w:r w:rsidRPr="002220DF">
              <w:rPr>
                <w:i/>
              </w:rPr>
              <w:t>JAMA</w:t>
            </w:r>
            <w:r w:rsidRPr="002220DF">
              <w:t xml:space="preserve"> 2004; 291 (3):309-316</w:t>
            </w:r>
          </w:p>
          <w:p w:rsidR="00796AA1" w:rsidRDefault="00796AA1" w:rsidP="00142D19">
            <w:pPr>
              <w:pStyle w:val="Tabletext"/>
            </w:pPr>
          </w:p>
          <w:p w:rsidR="00796AA1" w:rsidRDefault="00796AA1" w:rsidP="00142D19">
            <w:pPr>
              <w:pStyle w:val="Tabletext"/>
            </w:pPr>
          </w:p>
          <w:p w:rsidR="00796AA1" w:rsidRDefault="00796AA1" w:rsidP="00142D19">
            <w:pPr>
              <w:pStyle w:val="Tabletext"/>
            </w:pPr>
          </w:p>
          <w:p w:rsidR="00796AA1" w:rsidRDefault="00796AA1" w:rsidP="00142D19">
            <w:pPr>
              <w:pStyle w:val="Tabletext"/>
            </w:pPr>
          </w:p>
          <w:p w:rsidR="00796AA1" w:rsidRDefault="00796AA1" w:rsidP="00142D19">
            <w:pPr>
              <w:pStyle w:val="Tabletext"/>
            </w:pPr>
          </w:p>
          <w:p w:rsidR="00796AA1" w:rsidRDefault="00796AA1" w:rsidP="00142D19">
            <w:pPr>
              <w:pStyle w:val="Tabletext"/>
            </w:pPr>
          </w:p>
          <w:p w:rsidR="00796AA1" w:rsidRPr="002220DF" w:rsidRDefault="00796AA1" w:rsidP="00142D19">
            <w:pPr>
              <w:pStyle w:val="Tabletext"/>
            </w:pPr>
            <w:r w:rsidRPr="005C4691">
              <w:rPr>
                <w:i/>
              </w:rPr>
              <w:t>Eur J Prev Cardiol</w:t>
            </w:r>
            <w:r>
              <w:t xml:space="preserve"> 2012; 19(5): 952-959</w:t>
            </w:r>
          </w:p>
        </w:tc>
      </w:tr>
      <w:tr w:rsidR="00AA652A" w:rsidRPr="002220DF" w:rsidTr="00DB4710">
        <w:tc>
          <w:tcPr>
            <w:tcW w:w="5000" w:type="pct"/>
            <w:gridSpan w:val="3"/>
          </w:tcPr>
          <w:p w:rsidR="00AA652A" w:rsidRPr="002220DF" w:rsidRDefault="00AA652A" w:rsidP="00142D19">
            <w:pPr>
              <w:pStyle w:val="Tabletext"/>
              <w:rPr>
                <w:rStyle w:val="CommentReference"/>
              </w:rPr>
            </w:pPr>
            <w:r w:rsidRPr="002220DF">
              <w:rPr>
                <w:rStyle w:val="CommentReference"/>
              </w:rPr>
              <w:t>Supplementary non-randomised trials</w:t>
            </w:r>
          </w:p>
        </w:tc>
      </w:tr>
      <w:tr w:rsidR="00AA652A" w:rsidRPr="002220DF" w:rsidTr="00DB4710">
        <w:tc>
          <w:tcPr>
            <w:tcW w:w="1019" w:type="pct"/>
          </w:tcPr>
          <w:p w:rsidR="00AA652A" w:rsidRPr="002220DF" w:rsidRDefault="00AA652A" w:rsidP="00142D19">
            <w:pPr>
              <w:pStyle w:val="Tabletext"/>
            </w:pPr>
            <w:r w:rsidRPr="002220DF">
              <w:t>ARETHA (Diedrichs)</w:t>
            </w:r>
          </w:p>
        </w:tc>
        <w:tc>
          <w:tcPr>
            <w:tcW w:w="2804" w:type="pct"/>
          </w:tcPr>
          <w:p w:rsidR="00AA652A" w:rsidRPr="002220DF" w:rsidRDefault="00AA652A" w:rsidP="00142D19">
            <w:pPr>
              <w:pStyle w:val="Tabletext"/>
            </w:pPr>
            <w:r w:rsidRPr="002220DF">
              <w:t>Diedrichs H, Wollenberg U, Schmerbach K, Limberg R, Schiffhorst G, Zeiher AM. Application of Ranolazine in Stable Angina Pectoris Therapy (ARETHA): Real-World Data from an Observational Study.</w:t>
            </w:r>
          </w:p>
        </w:tc>
        <w:tc>
          <w:tcPr>
            <w:tcW w:w="1177" w:type="pct"/>
          </w:tcPr>
          <w:p w:rsidR="00AA652A" w:rsidRPr="002220DF" w:rsidRDefault="00AA652A" w:rsidP="00142D19">
            <w:pPr>
              <w:pStyle w:val="Tabletext"/>
            </w:pPr>
            <w:r w:rsidRPr="005C4691">
              <w:rPr>
                <w:i/>
              </w:rPr>
              <w:t>Journal of Clinical &amp; Experimental Cardiology</w:t>
            </w:r>
            <w:r w:rsidRPr="002220DF">
              <w:t xml:space="preserve"> (online) 2015; 6 (12):412</w:t>
            </w:r>
          </w:p>
        </w:tc>
      </w:tr>
      <w:tr w:rsidR="00AA652A" w:rsidRPr="002220DF" w:rsidTr="00DB4710">
        <w:tc>
          <w:tcPr>
            <w:tcW w:w="5000" w:type="pct"/>
            <w:gridSpan w:val="3"/>
          </w:tcPr>
          <w:p w:rsidR="00AA652A" w:rsidRPr="002220DF" w:rsidRDefault="00AA652A" w:rsidP="00142D19">
            <w:pPr>
              <w:pStyle w:val="Tabletext"/>
              <w:rPr>
                <w:rStyle w:val="CommentReference"/>
              </w:rPr>
            </w:pPr>
            <w:r w:rsidRPr="002220DF">
              <w:rPr>
                <w:rStyle w:val="CommentReference"/>
              </w:rPr>
              <w:t>Studies used in the indirect comparison with nicorandil</w:t>
            </w:r>
          </w:p>
        </w:tc>
      </w:tr>
      <w:tr w:rsidR="00AA652A" w:rsidRPr="002220DF" w:rsidTr="00DB4710">
        <w:tc>
          <w:tcPr>
            <w:tcW w:w="1019" w:type="pct"/>
          </w:tcPr>
          <w:p w:rsidR="00AA652A" w:rsidRPr="002220DF" w:rsidRDefault="00AA652A" w:rsidP="00142D19">
            <w:pPr>
              <w:pStyle w:val="Tabletext"/>
            </w:pPr>
            <w:r w:rsidRPr="002220DF">
              <w:t>ROLE</w:t>
            </w:r>
            <w:r w:rsidR="00585B95" w:rsidRPr="00585B95">
              <w:rPr>
                <w:vertAlign w:val="superscript"/>
              </w:rPr>
              <w:t>a</w:t>
            </w:r>
          </w:p>
          <w:p w:rsidR="00AA652A" w:rsidRPr="002220DF" w:rsidRDefault="00AA652A" w:rsidP="00142D19">
            <w:pPr>
              <w:pStyle w:val="Tabletext"/>
            </w:pPr>
          </w:p>
          <w:p w:rsidR="00AA652A" w:rsidRPr="002220DF" w:rsidRDefault="00AA652A" w:rsidP="00142D19">
            <w:pPr>
              <w:pStyle w:val="Tabletext"/>
            </w:pPr>
          </w:p>
          <w:p w:rsidR="00AA652A" w:rsidRPr="002220DF" w:rsidRDefault="00AA652A" w:rsidP="00142D19">
            <w:pPr>
              <w:pStyle w:val="Tabletext"/>
            </w:pPr>
          </w:p>
          <w:p w:rsidR="00AA652A" w:rsidRPr="002220DF" w:rsidRDefault="00AA652A" w:rsidP="00142D19">
            <w:pPr>
              <w:pStyle w:val="Tabletext"/>
            </w:pPr>
          </w:p>
          <w:p w:rsidR="00AA652A" w:rsidRPr="002220DF" w:rsidRDefault="00AA652A" w:rsidP="00142D19">
            <w:pPr>
              <w:pStyle w:val="Tabletext"/>
            </w:pPr>
          </w:p>
          <w:p w:rsidR="00AA652A" w:rsidRPr="002220DF" w:rsidRDefault="00AA652A" w:rsidP="00142D19">
            <w:pPr>
              <w:pStyle w:val="Tabletext"/>
            </w:pPr>
            <w:r w:rsidRPr="002220DF">
              <w:t>Koren</w:t>
            </w:r>
            <w:r w:rsidR="00585B95" w:rsidRPr="00585B95">
              <w:rPr>
                <w:vertAlign w:val="superscript"/>
              </w:rPr>
              <w:t>b</w:t>
            </w:r>
          </w:p>
        </w:tc>
        <w:tc>
          <w:tcPr>
            <w:tcW w:w="2804" w:type="pct"/>
          </w:tcPr>
          <w:p w:rsidR="00AA652A" w:rsidRPr="002220DF" w:rsidRDefault="00AA652A" w:rsidP="00142D19">
            <w:pPr>
              <w:pStyle w:val="Tabletext"/>
            </w:pPr>
            <w:r w:rsidRPr="002220DF">
              <w:t>Primary Clinical Study Report – CVT 3034 – A Phase 3, Open-Label, Long-Term, Safety Study of Ranolazine SR for Chronic Stable Angina Pectoris at Doses of 500 mg, 750 mg and 1000 mg Twice a Day Administered in Combination with Background Anti-anginal Therapy.</w:t>
            </w:r>
          </w:p>
          <w:p w:rsidR="00AA652A" w:rsidRPr="002220DF" w:rsidRDefault="00AA652A" w:rsidP="00142D19">
            <w:pPr>
              <w:pStyle w:val="Tabletext"/>
            </w:pPr>
          </w:p>
          <w:p w:rsidR="00AA652A" w:rsidRPr="002220DF" w:rsidRDefault="00AA652A" w:rsidP="00142D19">
            <w:pPr>
              <w:pStyle w:val="Tabletext"/>
            </w:pPr>
            <w:r w:rsidRPr="002220DF">
              <w:t>Koren MJ, Crager MR, Sweeney M. Long-term Safety of a Novel Anti-anginal Agent in Patients With Severe Chronic Stable Angina: The Ranolazine Open Label Experience (ROLE)</w:t>
            </w:r>
          </w:p>
        </w:tc>
        <w:tc>
          <w:tcPr>
            <w:tcW w:w="1177" w:type="pct"/>
          </w:tcPr>
          <w:p w:rsidR="00AA652A" w:rsidRPr="002220DF" w:rsidRDefault="00AA652A" w:rsidP="00142D19">
            <w:pPr>
              <w:pStyle w:val="Tabletext"/>
            </w:pPr>
            <w:r w:rsidRPr="002220DF">
              <w:t>24 January 2007</w:t>
            </w:r>
          </w:p>
          <w:p w:rsidR="00AA652A" w:rsidRPr="002220DF" w:rsidRDefault="00AA652A" w:rsidP="00142D19">
            <w:pPr>
              <w:pStyle w:val="Tabletext"/>
            </w:pPr>
          </w:p>
          <w:p w:rsidR="00AA652A" w:rsidRPr="002220DF" w:rsidRDefault="00AA652A" w:rsidP="00142D19">
            <w:pPr>
              <w:pStyle w:val="Tabletext"/>
            </w:pPr>
          </w:p>
          <w:p w:rsidR="00AA652A" w:rsidRPr="002220DF" w:rsidRDefault="00AA652A" w:rsidP="00142D19">
            <w:pPr>
              <w:pStyle w:val="Tabletext"/>
            </w:pPr>
          </w:p>
          <w:p w:rsidR="00AA652A" w:rsidRPr="002220DF" w:rsidRDefault="00AA652A" w:rsidP="00142D19">
            <w:pPr>
              <w:pStyle w:val="Tabletext"/>
            </w:pPr>
          </w:p>
          <w:p w:rsidR="00AA652A" w:rsidRPr="002220DF" w:rsidRDefault="00AA652A" w:rsidP="00142D19">
            <w:pPr>
              <w:pStyle w:val="Tabletext"/>
            </w:pPr>
          </w:p>
          <w:p w:rsidR="00AA652A" w:rsidRPr="002220DF" w:rsidRDefault="00AA652A" w:rsidP="00142D19">
            <w:pPr>
              <w:pStyle w:val="Tabletext"/>
            </w:pPr>
            <w:r w:rsidRPr="002220DF">
              <w:rPr>
                <w:i/>
              </w:rPr>
              <w:t xml:space="preserve">J Am Coll Cardiol </w:t>
            </w:r>
            <w:r w:rsidRPr="002220DF">
              <w:t>2007; 49 (10):1027-1034</w:t>
            </w:r>
          </w:p>
        </w:tc>
      </w:tr>
      <w:tr w:rsidR="00AA652A" w:rsidRPr="002220DF" w:rsidTr="00DB4710">
        <w:tc>
          <w:tcPr>
            <w:tcW w:w="1019" w:type="pct"/>
          </w:tcPr>
          <w:p w:rsidR="00AA652A" w:rsidRPr="002220DF" w:rsidRDefault="00AA652A" w:rsidP="00142D19">
            <w:pPr>
              <w:pStyle w:val="Tabletext"/>
            </w:pPr>
            <w:r w:rsidRPr="002220DF">
              <w:t>IONA</w:t>
            </w:r>
          </w:p>
        </w:tc>
        <w:tc>
          <w:tcPr>
            <w:tcW w:w="2804" w:type="pct"/>
          </w:tcPr>
          <w:p w:rsidR="00AA652A" w:rsidRPr="002220DF" w:rsidRDefault="00AA652A" w:rsidP="00142D19">
            <w:pPr>
              <w:pStyle w:val="Tabletext"/>
            </w:pPr>
            <w:r w:rsidRPr="002220DF">
              <w:t xml:space="preserve">IONA Study Group. Effect of </w:t>
            </w:r>
            <w:r w:rsidR="00F12413" w:rsidRPr="002220DF">
              <w:t>nicorandil</w:t>
            </w:r>
            <w:r w:rsidRPr="002220DF">
              <w:t xml:space="preserve"> on coronary events in patients with stable angina: the Impact Of Nicorandil in Angina (IONA) randomised trial.</w:t>
            </w:r>
          </w:p>
        </w:tc>
        <w:tc>
          <w:tcPr>
            <w:tcW w:w="1177" w:type="pct"/>
          </w:tcPr>
          <w:p w:rsidR="00AA652A" w:rsidRPr="002220DF" w:rsidRDefault="00AA652A" w:rsidP="00142D19">
            <w:pPr>
              <w:pStyle w:val="Tabletext"/>
            </w:pPr>
            <w:r w:rsidRPr="002220DF">
              <w:rPr>
                <w:i/>
              </w:rPr>
              <w:t>Lancet</w:t>
            </w:r>
            <w:r w:rsidRPr="002220DF">
              <w:t xml:space="preserve"> 2002; 359 (9314):1269-1275</w:t>
            </w:r>
          </w:p>
          <w:p w:rsidR="00AA652A" w:rsidRPr="002220DF" w:rsidRDefault="00AA652A" w:rsidP="00142D19">
            <w:pPr>
              <w:pStyle w:val="Tabletext"/>
            </w:pPr>
          </w:p>
        </w:tc>
      </w:tr>
      <w:tr w:rsidR="00AA652A" w:rsidRPr="002220DF" w:rsidTr="00DB4710">
        <w:tc>
          <w:tcPr>
            <w:tcW w:w="5000" w:type="pct"/>
            <w:gridSpan w:val="3"/>
          </w:tcPr>
          <w:p w:rsidR="00AA652A" w:rsidRPr="002220DF" w:rsidRDefault="00AA652A" w:rsidP="00142D19">
            <w:pPr>
              <w:pStyle w:val="Tabletext"/>
              <w:rPr>
                <w:rStyle w:val="CommentReference"/>
              </w:rPr>
            </w:pPr>
            <w:r w:rsidRPr="002220DF">
              <w:rPr>
                <w:rStyle w:val="CommentReference"/>
              </w:rPr>
              <w:t>Studies used in the indirect comparison with perhexiline</w:t>
            </w:r>
          </w:p>
        </w:tc>
      </w:tr>
      <w:tr w:rsidR="00AA652A" w:rsidRPr="002220DF" w:rsidTr="00DB4710">
        <w:tc>
          <w:tcPr>
            <w:tcW w:w="1019" w:type="pct"/>
          </w:tcPr>
          <w:p w:rsidR="00AA652A" w:rsidRPr="002220DF" w:rsidRDefault="00AA652A" w:rsidP="00142D19">
            <w:pPr>
              <w:pStyle w:val="Tabletext"/>
            </w:pPr>
            <w:r w:rsidRPr="002220DF">
              <w:t xml:space="preserve">Cole </w:t>
            </w:r>
          </w:p>
        </w:tc>
        <w:tc>
          <w:tcPr>
            <w:tcW w:w="2804" w:type="pct"/>
          </w:tcPr>
          <w:p w:rsidR="00AA652A" w:rsidRPr="002220DF" w:rsidRDefault="00AA652A" w:rsidP="00142D19">
            <w:pPr>
              <w:pStyle w:val="Tabletext"/>
            </w:pPr>
            <w:r w:rsidRPr="002220DF">
              <w:t>Cole PL, Beamer AD, McGowan N, Cantillon CO, Benfell K, Kelly RA, Hartley LH, Smith TW, Antman EM. Efficacy and safety of perhexiline maleate in refractory angina. A double-blind placebo-controlled clinical trial of a novel anti-anginal agent.</w:t>
            </w:r>
          </w:p>
        </w:tc>
        <w:tc>
          <w:tcPr>
            <w:tcW w:w="1177" w:type="pct"/>
          </w:tcPr>
          <w:p w:rsidR="00AA652A" w:rsidRPr="002220DF" w:rsidRDefault="00AA652A" w:rsidP="00142D19">
            <w:pPr>
              <w:pStyle w:val="Tabletext"/>
              <w:rPr>
                <w:i/>
              </w:rPr>
            </w:pPr>
            <w:r w:rsidRPr="002220DF">
              <w:rPr>
                <w:i/>
              </w:rPr>
              <w:t>Circulation</w:t>
            </w:r>
            <w:r w:rsidRPr="002220DF">
              <w:t xml:space="preserve"> 1990; 81 (4):1260-1270</w:t>
            </w:r>
          </w:p>
        </w:tc>
      </w:tr>
      <w:tr w:rsidR="00AA652A" w:rsidRPr="002220DF" w:rsidTr="003728CD">
        <w:trPr>
          <w:trHeight w:val="71"/>
        </w:trPr>
        <w:tc>
          <w:tcPr>
            <w:tcW w:w="1019" w:type="pct"/>
          </w:tcPr>
          <w:p w:rsidR="00AA652A" w:rsidRPr="002220DF" w:rsidRDefault="00AA652A" w:rsidP="00142D19">
            <w:pPr>
              <w:pStyle w:val="Tabletext"/>
            </w:pPr>
            <w:r w:rsidRPr="002220DF">
              <w:t>CARISA</w:t>
            </w:r>
          </w:p>
        </w:tc>
        <w:tc>
          <w:tcPr>
            <w:tcW w:w="3981" w:type="pct"/>
            <w:gridSpan w:val="2"/>
          </w:tcPr>
          <w:p w:rsidR="00AA652A" w:rsidRPr="002220DF" w:rsidRDefault="00AA652A" w:rsidP="00142D19">
            <w:pPr>
              <w:pStyle w:val="Tabletext"/>
              <w:rPr>
                <w:i/>
              </w:rPr>
            </w:pPr>
            <w:r w:rsidRPr="002220DF">
              <w:t>SEE ABOVE</w:t>
            </w:r>
          </w:p>
        </w:tc>
      </w:tr>
    </w:tbl>
    <w:p w:rsidR="00AA652A" w:rsidRDefault="00AA652A" w:rsidP="00142D19">
      <w:pPr>
        <w:pStyle w:val="TableFooter"/>
        <w:widowControl/>
        <w:ind w:firstLine="720"/>
      </w:pPr>
      <w:r w:rsidRPr="002220DF">
        <w:t>Source: pp49-55 of the submission</w:t>
      </w:r>
    </w:p>
    <w:p w:rsidR="00585B95" w:rsidRPr="00585B95" w:rsidRDefault="00585B95" w:rsidP="00142D19">
      <w:pPr>
        <w:pStyle w:val="TableFooter"/>
        <w:widowControl/>
        <w:ind w:left="360" w:firstLine="360"/>
        <w:rPr>
          <w:szCs w:val="22"/>
        </w:rPr>
      </w:pPr>
      <w:r>
        <w:t>The ROLE study is based on the CARISA and ERICA populations</w:t>
      </w:r>
    </w:p>
    <w:p w:rsidR="00585B95" w:rsidRPr="002220DF" w:rsidRDefault="00585B95" w:rsidP="00142D19">
      <w:pPr>
        <w:pStyle w:val="TableFooter"/>
        <w:widowControl/>
        <w:ind w:left="360" w:firstLine="360"/>
        <w:rPr>
          <w:szCs w:val="22"/>
        </w:rPr>
      </w:pPr>
      <w:r>
        <w:t>The Koren (2007) study, also called ROLE, was based on the CARISA and MARISA populations</w:t>
      </w:r>
    </w:p>
    <w:p w:rsidR="00AA652A" w:rsidRPr="00E954E2" w:rsidRDefault="00AA652A" w:rsidP="00142D19">
      <w:pPr>
        <w:widowControl/>
        <w:rPr>
          <w:szCs w:val="22"/>
        </w:rPr>
      </w:pPr>
    </w:p>
    <w:p w:rsidR="0096787C" w:rsidRPr="001255F7" w:rsidRDefault="0096787C" w:rsidP="00142D19">
      <w:pPr>
        <w:pStyle w:val="ListParagraph"/>
        <w:widowControl/>
        <w:numPr>
          <w:ilvl w:val="1"/>
          <w:numId w:val="11"/>
        </w:numPr>
        <w:rPr>
          <w:szCs w:val="22"/>
        </w:rPr>
      </w:pPr>
      <w:r w:rsidRPr="001255F7">
        <w:rPr>
          <w:szCs w:val="22"/>
        </w:rPr>
        <w:t xml:space="preserve">The primary efficacy outcome for the CARISA trial was change from baseline in exercise treadmill test (ETT) duration. The ETT was conducted on a treadmill and the duration was the exercise time required to reach symptoms, which would normally cause cessation of exercise. </w:t>
      </w:r>
      <w:r w:rsidR="006718A6" w:rsidRPr="001255F7">
        <w:rPr>
          <w:szCs w:val="22"/>
        </w:rPr>
        <w:t xml:space="preserve">The ESC considered that the clinical importance of ETT was unclear. </w:t>
      </w:r>
      <w:r w:rsidRPr="001255F7">
        <w:rPr>
          <w:szCs w:val="22"/>
        </w:rPr>
        <w:t>ETT was not used in the economic model; the reduction in weekly angina episodes based on a post</w:t>
      </w:r>
      <w:r w:rsidR="00D256A4" w:rsidRPr="001255F7">
        <w:rPr>
          <w:szCs w:val="22"/>
        </w:rPr>
        <w:t>-</w:t>
      </w:r>
      <w:r w:rsidRPr="001255F7">
        <w:rPr>
          <w:szCs w:val="22"/>
        </w:rPr>
        <w:t xml:space="preserve">hoc </w:t>
      </w:r>
      <w:r w:rsidR="00312BE4" w:rsidRPr="001255F7">
        <w:rPr>
          <w:szCs w:val="22"/>
        </w:rPr>
        <w:t xml:space="preserve">analysis </w:t>
      </w:r>
      <w:r w:rsidRPr="001255F7">
        <w:rPr>
          <w:szCs w:val="22"/>
        </w:rPr>
        <w:t xml:space="preserve">of the CARISA trial by Lopez-Sendon (2012) was used to inform the economic model. </w:t>
      </w:r>
      <w:r w:rsidR="003C2778">
        <w:t>The PBAC also noted that the CARISA trial was an older publication</w:t>
      </w:r>
      <w:r w:rsidR="00AD0B69">
        <w:t xml:space="preserve"> and may not be reflective of current practice</w:t>
      </w:r>
      <w:r w:rsidR="003C2778">
        <w:t xml:space="preserve">. </w:t>
      </w:r>
    </w:p>
    <w:p w:rsidR="00CC0AC1" w:rsidRPr="001255F7" w:rsidRDefault="00CC0AC1" w:rsidP="00142D19">
      <w:pPr>
        <w:pStyle w:val="ListParagraph"/>
        <w:widowControl/>
        <w:rPr>
          <w:szCs w:val="22"/>
        </w:rPr>
      </w:pPr>
    </w:p>
    <w:p w:rsidR="00AA652A" w:rsidRPr="001255F7" w:rsidRDefault="00AA652A" w:rsidP="00142D19">
      <w:pPr>
        <w:pStyle w:val="ListParagraph"/>
        <w:widowControl/>
        <w:numPr>
          <w:ilvl w:val="1"/>
          <w:numId w:val="11"/>
        </w:numPr>
        <w:rPr>
          <w:szCs w:val="22"/>
        </w:rPr>
      </w:pPr>
      <w:r w:rsidRPr="001255F7">
        <w:rPr>
          <w:szCs w:val="22"/>
        </w:rPr>
        <w:t>The key features of the pivotal CARISA trial, and other trials presented by the submission, are summarised in Tables 2 and 3 below.</w:t>
      </w:r>
    </w:p>
    <w:p w:rsidR="00CC0AC1" w:rsidRDefault="00CC0AC1" w:rsidP="00142D19">
      <w:pPr>
        <w:pStyle w:val="Tabletext"/>
        <w:ind w:left="709"/>
        <w:rPr>
          <w:rStyle w:val="CommentReference"/>
        </w:rPr>
      </w:pPr>
    </w:p>
    <w:p w:rsidR="00AA652A" w:rsidRPr="002220DF" w:rsidRDefault="00AA652A" w:rsidP="00142D19">
      <w:pPr>
        <w:pStyle w:val="Tabletext"/>
        <w:ind w:left="709"/>
        <w:rPr>
          <w:rStyle w:val="CommentReference"/>
        </w:rPr>
      </w:pPr>
      <w:r w:rsidRPr="002220DF">
        <w:rPr>
          <w:rStyle w:val="CommentReference"/>
        </w:rPr>
        <w:t>Table 2: Key features of the included evidence of the direct comparison of ranolazine vs placebo</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54"/>
        <w:gridCol w:w="679"/>
        <w:gridCol w:w="1747"/>
        <w:gridCol w:w="1056"/>
        <w:gridCol w:w="1404"/>
        <w:gridCol w:w="1105"/>
        <w:gridCol w:w="1100"/>
      </w:tblGrid>
      <w:tr w:rsidR="00AA652A" w:rsidRPr="002220DF" w:rsidTr="00DB4710">
        <w:trPr>
          <w:tblHeader/>
        </w:trPr>
        <w:tc>
          <w:tcPr>
            <w:tcW w:w="751" w:type="pct"/>
            <w:shd w:val="clear" w:color="auto" w:fill="auto"/>
            <w:vAlign w:val="center"/>
          </w:tcPr>
          <w:p w:rsidR="00AA652A" w:rsidRPr="002220DF" w:rsidRDefault="00AA652A" w:rsidP="00142D19">
            <w:pPr>
              <w:pStyle w:val="Tabletext"/>
              <w:rPr>
                <w:b/>
                <w:lang w:val="en-US"/>
              </w:rPr>
            </w:pPr>
            <w:r w:rsidRPr="002220DF">
              <w:rPr>
                <w:b/>
                <w:lang w:val="en-US"/>
              </w:rPr>
              <w:t>Trial</w:t>
            </w:r>
          </w:p>
        </w:tc>
        <w:tc>
          <w:tcPr>
            <w:tcW w:w="407" w:type="pct"/>
            <w:shd w:val="clear" w:color="auto" w:fill="auto"/>
            <w:vAlign w:val="center"/>
          </w:tcPr>
          <w:p w:rsidR="00AA652A" w:rsidRPr="002220DF" w:rsidRDefault="00AA652A" w:rsidP="00A921AA">
            <w:pPr>
              <w:pStyle w:val="Tabletext"/>
              <w:jc w:val="center"/>
              <w:rPr>
                <w:b/>
                <w:lang w:val="en-US"/>
              </w:rPr>
            </w:pPr>
            <w:r w:rsidRPr="002220DF">
              <w:rPr>
                <w:b/>
                <w:lang w:val="en-US"/>
              </w:rPr>
              <w:t>N</w:t>
            </w:r>
          </w:p>
        </w:tc>
        <w:tc>
          <w:tcPr>
            <w:tcW w:w="1047" w:type="pct"/>
            <w:shd w:val="clear" w:color="auto" w:fill="auto"/>
            <w:vAlign w:val="center"/>
          </w:tcPr>
          <w:p w:rsidR="00AA652A" w:rsidRPr="002220DF" w:rsidRDefault="00AA652A" w:rsidP="00A921AA">
            <w:pPr>
              <w:pStyle w:val="Tabletext"/>
              <w:jc w:val="center"/>
              <w:rPr>
                <w:b/>
                <w:lang w:val="en-US"/>
              </w:rPr>
            </w:pPr>
            <w:r w:rsidRPr="002220DF">
              <w:rPr>
                <w:b/>
                <w:lang w:val="en-US"/>
              </w:rPr>
              <w:t>Design/ duration</w:t>
            </w:r>
          </w:p>
        </w:tc>
        <w:tc>
          <w:tcPr>
            <w:tcW w:w="633" w:type="pct"/>
            <w:shd w:val="clear" w:color="auto" w:fill="auto"/>
            <w:vAlign w:val="center"/>
          </w:tcPr>
          <w:p w:rsidR="00AA652A" w:rsidRPr="002220DF" w:rsidRDefault="00AA652A" w:rsidP="00A921AA">
            <w:pPr>
              <w:pStyle w:val="Tabletext"/>
              <w:jc w:val="center"/>
              <w:rPr>
                <w:b/>
                <w:lang w:val="en-US"/>
              </w:rPr>
            </w:pPr>
            <w:r w:rsidRPr="002220DF">
              <w:rPr>
                <w:b/>
                <w:lang w:val="en-US"/>
              </w:rPr>
              <w:t>Risk of bias</w:t>
            </w:r>
          </w:p>
        </w:tc>
        <w:tc>
          <w:tcPr>
            <w:tcW w:w="841" w:type="pct"/>
            <w:shd w:val="clear" w:color="auto" w:fill="auto"/>
            <w:vAlign w:val="center"/>
          </w:tcPr>
          <w:p w:rsidR="00AA652A" w:rsidRPr="002220DF" w:rsidRDefault="00AA652A" w:rsidP="00A921AA">
            <w:pPr>
              <w:pStyle w:val="Tabletext"/>
              <w:jc w:val="center"/>
              <w:rPr>
                <w:b/>
                <w:lang w:val="en-US"/>
              </w:rPr>
            </w:pPr>
            <w:r w:rsidRPr="002220DF">
              <w:rPr>
                <w:b/>
                <w:lang w:val="en-US"/>
              </w:rPr>
              <w:t>Patient population</w:t>
            </w:r>
          </w:p>
        </w:tc>
        <w:tc>
          <w:tcPr>
            <w:tcW w:w="662" w:type="pct"/>
            <w:shd w:val="clear" w:color="auto" w:fill="auto"/>
            <w:vAlign w:val="center"/>
          </w:tcPr>
          <w:p w:rsidR="00AA652A" w:rsidRPr="002220DF" w:rsidRDefault="00AA652A" w:rsidP="00A921AA">
            <w:pPr>
              <w:pStyle w:val="Tabletext"/>
              <w:jc w:val="center"/>
              <w:rPr>
                <w:b/>
                <w:lang w:val="en-US"/>
              </w:rPr>
            </w:pPr>
            <w:r w:rsidRPr="002220DF">
              <w:rPr>
                <w:b/>
                <w:lang w:val="en-US"/>
              </w:rPr>
              <w:t>Outcome(s)</w:t>
            </w:r>
          </w:p>
        </w:tc>
        <w:tc>
          <w:tcPr>
            <w:tcW w:w="659" w:type="pct"/>
            <w:shd w:val="clear" w:color="auto" w:fill="auto"/>
            <w:vAlign w:val="center"/>
          </w:tcPr>
          <w:p w:rsidR="00AA652A" w:rsidRPr="002220DF" w:rsidRDefault="00AA652A" w:rsidP="00A921AA">
            <w:pPr>
              <w:pStyle w:val="Tabletext"/>
              <w:jc w:val="center"/>
              <w:rPr>
                <w:b/>
                <w:lang w:val="en-US"/>
              </w:rPr>
            </w:pPr>
            <w:r w:rsidRPr="002220DF">
              <w:rPr>
                <w:b/>
                <w:lang w:val="en-US"/>
              </w:rPr>
              <w:t>Use in modelled evaluation</w:t>
            </w:r>
          </w:p>
        </w:tc>
      </w:tr>
      <w:tr w:rsidR="00AA652A" w:rsidRPr="002220DF" w:rsidTr="00DB4710">
        <w:tc>
          <w:tcPr>
            <w:tcW w:w="5000" w:type="pct"/>
            <w:gridSpan w:val="7"/>
            <w:shd w:val="clear" w:color="auto" w:fill="auto"/>
            <w:vAlign w:val="center"/>
          </w:tcPr>
          <w:p w:rsidR="00AA652A" w:rsidRPr="002220DF" w:rsidRDefault="00AA652A" w:rsidP="00142D19">
            <w:pPr>
              <w:pStyle w:val="Tabletext"/>
              <w:rPr>
                <w:b/>
                <w:lang w:val="en-US"/>
              </w:rPr>
            </w:pPr>
            <w:r w:rsidRPr="002220DF">
              <w:rPr>
                <w:b/>
                <w:lang w:val="en-US"/>
              </w:rPr>
              <w:t>Ranolazine vs Placebo</w:t>
            </w:r>
          </w:p>
        </w:tc>
      </w:tr>
      <w:tr w:rsidR="00AA652A" w:rsidRPr="002220DF" w:rsidTr="00DB4710">
        <w:tc>
          <w:tcPr>
            <w:tcW w:w="751" w:type="pct"/>
            <w:shd w:val="clear" w:color="auto" w:fill="auto"/>
            <w:vAlign w:val="center"/>
          </w:tcPr>
          <w:p w:rsidR="00AA652A" w:rsidRPr="002220DF" w:rsidRDefault="00AA652A" w:rsidP="00142D19">
            <w:pPr>
              <w:pStyle w:val="Tabletext"/>
              <w:rPr>
                <w:lang w:val="en-US"/>
              </w:rPr>
            </w:pPr>
            <w:r w:rsidRPr="002220DF">
              <w:rPr>
                <w:lang w:val="en-US"/>
              </w:rPr>
              <w:t>CARISA</w:t>
            </w:r>
          </w:p>
        </w:tc>
        <w:tc>
          <w:tcPr>
            <w:tcW w:w="407" w:type="pct"/>
            <w:shd w:val="clear" w:color="auto" w:fill="auto"/>
            <w:vAlign w:val="center"/>
          </w:tcPr>
          <w:p w:rsidR="00AA652A" w:rsidRPr="002220DF" w:rsidRDefault="00AA652A" w:rsidP="00A921AA">
            <w:pPr>
              <w:pStyle w:val="Tabletext"/>
              <w:jc w:val="center"/>
              <w:rPr>
                <w:lang w:val="en-US"/>
              </w:rPr>
            </w:pPr>
            <w:r w:rsidRPr="002220DF">
              <w:rPr>
                <w:lang w:val="en-US"/>
              </w:rPr>
              <w:t>823</w:t>
            </w:r>
          </w:p>
        </w:tc>
        <w:tc>
          <w:tcPr>
            <w:tcW w:w="1047" w:type="pct"/>
            <w:shd w:val="clear" w:color="auto" w:fill="auto"/>
            <w:vAlign w:val="center"/>
          </w:tcPr>
          <w:p w:rsidR="00AA652A" w:rsidRPr="002220DF" w:rsidRDefault="00AA652A" w:rsidP="00A921AA">
            <w:pPr>
              <w:pStyle w:val="Tabletext"/>
              <w:jc w:val="center"/>
              <w:rPr>
                <w:lang w:val="en-US"/>
              </w:rPr>
            </w:pPr>
            <w:r w:rsidRPr="002220DF">
              <w:rPr>
                <w:lang w:val="en-US"/>
              </w:rPr>
              <w:t>R, DB, MC</w:t>
            </w:r>
          </w:p>
          <w:p w:rsidR="00AA652A" w:rsidRPr="002220DF" w:rsidRDefault="00AA652A" w:rsidP="00A921AA">
            <w:pPr>
              <w:pStyle w:val="Tabletext"/>
              <w:jc w:val="center"/>
              <w:rPr>
                <w:lang w:val="en-US"/>
              </w:rPr>
            </w:pPr>
            <w:r w:rsidRPr="002220DF">
              <w:rPr>
                <w:lang w:val="en-US"/>
              </w:rPr>
              <w:t>12 wks</w:t>
            </w:r>
          </w:p>
        </w:tc>
        <w:tc>
          <w:tcPr>
            <w:tcW w:w="633" w:type="pct"/>
            <w:shd w:val="clear" w:color="auto" w:fill="auto"/>
            <w:vAlign w:val="center"/>
          </w:tcPr>
          <w:p w:rsidR="00AA652A" w:rsidRPr="002220DF" w:rsidRDefault="00AA652A" w:rsidP="00A921AA">
            <w:pPr>
              <w:pStyle w:val="Tabletext"/>
              <w:jc w:val="center"/>
              <w:rPr>
                <w:lang w:val="en-US"/>
              </w:rPr>
            </w:pPr>
            <w:r w:rsidRPr="002220DF">
              <w:rPr>
                <w:lang w:val="en-US"/>
              </w:rPr>
              <w:t>Low</w:t>
            </w:r>
          </w:p>
        </w:tc>
        <w:tc>
          <w:tcPr>
            <w:tcW w:w="841" w:type="pct"/>
            <w:vMerge w:val="restart"/>
            <w:shd w:val="clear" w:color="auto" w:fill="auto"/>
            <w:vAlign w:val="center"/>
          </w:tcPr>
          <w:p w:rsidR="00AA652A" w:rsidRPr="002220DF" w:rsidRDefault="00AA652A" w:rsidP="00A921AA">
            <w:pPr>
              <w:pStyle w:val="Tabletext"/>
              <w:jc w:val="center"/>
              <w:rPr>
                <w:lang w:val="en-US"/>
              </w:rPr>
            </w:pPr>
            <w:r w:rsidRPr="002220DF">
              <w:rPr>
                <w:lang w:val="en-US"/>
              </w:rPr>
              <w:t>Refractory stable angina</w:t>
            </w:r>
          </w:p>
        </w:tc>
        <w:tc>
          <w:tcPr>
            <w:tcW w:w="662" w:type="pct"/>
            <w:vMerge w:val="restart"/>
            <w:shd w:val="clear" w:color="auto" w:fill="auto"/>
            <w:vAlign w:val="center"/>
          </w:tcPr>
          <w:p w:rsidR="00AA652A" w:rsidRPr="002220DF" w:rsidRDefault="00AA652A" w:rsidP="00A921AA">
            <w:pPr>
              <w:pStyle w:val="Tabletext"/>
              <w:jc w:val="center"/>
              <w:rPr>
                <w:lang w:val="en-US"/>
              </w:rPr>
            </w:pPr>
            <w:r w:rsidRPr="002220DF">
              <w:rPr>
                <w:lang w:val="en-US"/>
              </w:rPr>
              <w:t>Improvements to ETT</w:t>
            </w:r>
          </w:p>
        </w:tc>
        <w:tc>
          <w:tcPr>
            <w:tcW w:w="659" w:type="pct"/>
            <w:vMerge w:val="restart"/>
            <w:shd w:val="clear" w:color="auto" w:fill="auto"/>
            <w:vAlign w:val="center"/>
          </w:tcPr>
          <w:p w:rsidR="00AA652A" w:rsidRPr="002220DF" w:rsidRDefault="00226042" w:rsidP="00A921AA">
            <w:pPr>
              <w:pStyle w:val="Tabletext"/>
              <w:jc w:val="center"/>
              <w:rPr>
                <w:lang w:val="en-US"/>
              </w:rPr>
            </w:pPr>
            <w:r>
              <w:rPr>
                <w:lang w:val="en-US"/>
              </w:rPr>
              <w:t>Weekly angina episodes u</w:t>
            </w:r>
            <w:r w:rsidR="00AA652A" w:rsidRPr="002220DF">
              <w:rPr>
                <w:lang w:val="en-US"/>
              </w:rPr>
              <w:t>sed in CUA</w:t>
            </w:r>
          </w:p>
        </w:tc>
      </w:tr>
      <w:tr w:rsidR="00AA652A" w:rsidRPr="002220DF" w:rsidTr="00DB4710">
        <w:tc>
          <w:tcPr>
            <w:tcW w:w="751" w:type="pct"/>
            <w:shd w:val="clear" w:color="auto" w:fill="auto"/>
            <w:vAlign w:val="center"/>
          </w:tcPr>
          <w:p w:rsidR="00AA652A" w:rsidRPr="002220DF" w:rsidRDefault="002B1F67" w:rsidP="00142D19">
            <w:pPr>
              <w:pStyle w:val="Tabletext"/>
              <w:rPr>
                <w:lang w:val="en-US"/>
              </w:rPr>
            </w:pPr>
            <w:r w:rsidRPr="002220DF">
              <w:rPr>
                <w:lang w:val="en-US"/>
              </w:rPr>
              <w:t>Lopez-Sendon</w:t>
            </w:r>
            <w:r w:rsidR="00AA652A" w:rsidRPr="002220DF">
              <w:rPr>
                <w:lang w:val="en-US"/>
              </w:rPr>
              <w:t xml:space="preserve"> (2012)</w:t>
            </w:r>
          </w:p>
        </w:tc>
        <w:tc>
          <w:tcPr>
            <w:tcW w:w="407" w:type="pct"/>
            <w:shd w:val="clear" w:color="auto" w:fill="auto"/>
            <w:vAlign w:val="center"/>
          </w:tcPr>
          <w:p w:rsidR="00AA652A" w:rsidRPr="002220DF" w:rsidRDefault="00AA652A" w:rsidP="00A921AA">
            <w:pPr>
              <w:pStyle w:val="Tabletext"/>
              <w:jc w:val="center"/>
              <w:rPr>
                <w:lang w:val="en-US"/>
              </w:rPr>
            </w:pPr>
            <w:r w:rsidRPr="002220DF">
              <w:rPr>
                <w:lang w:val="en-US"/>
              </w:rPr>
              <w:t>258</w:t>
            </w:r>
          </w:p>
        </w:tc>
        <w:tc>
          <w:tcPr>
            <w:tcW w:w="1047" w:type="pct"/>
            <w:shd w:val="clear" w:color="auto" w:fill="auto"/>
            <w:vAlign w:val="center"/>
          </w:tcPr>
          <w:p w:rsidR="00AA652A" w:rsidRPr="002220DF" w:rsidRDefault="00AA652A" w:rsidP="00A921AA">
            <w:pPr>
              <w:pStyle w:val="Tabletext"/>
              <w:jc w:val="center"/>
              <w:rPr>
                <w:lang w:val="en-US"/>
              </w:rPr>
            </w:pPr>
            <w:r w:rsidRPr="002220DF">
              <w:rPr>
                <w:lang w:val="en-US"/>
              </w:rPr>
              <w:t>Subgroup analysis of CARISA</w:t>
            </w:r>
          </w:p>
        </w:tc>
        <w:tc>
          <w:tcPr>
            <w:tcW w:w="633" w:type="pct"/>
            <w:shd w:val="clear" w:color="auto" w:fill="auto"/>
            <w:vAlign w:val="center"/>
          </w:tcPr>
          <w:p w:rsidR="00AA652A" w:rsidRPr="002220DF" w:rsidRDefault="00AA652A" w:rsidP="00A921AA">
            <w:pPr>
              <w:pStyle w:val="Tabletext"/>
              <w:jc w:val="center"/>
              <w:rPr>
                <w:lang w:val="en-US"/>
              </w:rPr>
            </w:pPr>
            <w:r w:rsidRPr="002220DF">
              <w:rPr>
                <w:lang w:val="en-US"/>
              </w:rPr>
              <w:t>Unclear</w:t>
            </w:r>
          </w:p>
        </w:tc>
        <w:tc>
          <w:tcPr>
            <w:tcW w:w="841" w:type="pct"/>
            <w:vMerge/>
            <w:shd w:val="clear" w:color="auto" w:fill="auto"/>
            <w:vAlign w:val="center"/>
          </w:tcPr>
          <w:p w:rsidR="00AA652A" w:rsidRPr="002220DF" w:rsidRDefault="00AA652A" w:rsidP="00142D19">
            <w:pPr>
              <w:pStyle w:val="Tabletext"/>
              <w:jc w:val="center"/>
              <w:rPr>
                <w:lang w:val="en-US"/>
              </w:rPr>
            </w:pPr>
          </w:p>
        </w:tc>
        <w:tc>
          <w:tcPr>
            <w:tcW w:w="662" w:type="pct"/>
            <w:vMerge/>
            <w:shd w:val="clear" w:color="auto" w:fill="auto"/>
            <w:vAlign w:val="center"/>
          </w:tcPr>
          <w:p w:rsidR="00AA652A" w:rsidRPr="002220DF" w:rsidRDefault="00AA652A" w:rsidP="00142D19">
            <w:pPr>
              <w:pStyle w:val="Tabletext"/>
              <w:jc w:val="center"/>
              <w:rPr>
                <w:lang w:val="en-US"/>
              </w:rPr>
            </w:pPr>
          </w:p>
        </w:tc>
        <w:tc>
          <w:tcPr>
            <w:tcW w:w="659" w:type="pct"/>
            <w:vMerge/>
            <w:shd w:val="clear" w:color="auto" w:fill="auto"/>
            <w:vAlign w:val="center"/>
          </w:tcPr>
          <w:p w:rsidR="00AA652A" w:rsidRPr="002220DF" w:rsidRDefault="00AA652A" w:rsidP="00142D19">
            <w:pPr>
              <w:pStyle w:val="Tabletext"/>
              <w:jc w:val="center"/>
              <w:rPr>
                <w:lang w:val="en-US"/>
              </w:rPr>
            </w:pPr>
          </w:p>
        </w:tc>
      </w:tr>
    </w:tbl>
    <w:p w:rsidR="00AA652A" w:rsidRPr="002220DF" w:rsidRDefault="00AA652A" w:rsidP="00142D19">
      <w:pPr>
        <w:pStyle w:val="Tabletext"/>
        <w:ind w:left="709"/>
      </w:pPr>
      <w:r w:rsidRPr="002220DF">
        <w:t xml:space="preserve">CUA = cost-utility analysis; DB=double blind; </w:t>
      </w:r>
      <w:r w:rsidR="00714F09" w:rsidRPr="002220DF">
        <w:t xml:space="preserve">ETT = </w:t>
      </w:r>
      <w:r w:rsidR="00F12413" w:rsidRPr="002220DF">
        <w:t>exercise tolerance test</w:t>
      </w:r>
      <w:r w:rsidR="00714F09" w:rsidRPr="002220DF">
        <w:t xml:space="preserve">; </w:t>
      </w:r>
      <w:r w:rsidRPr="002220DF">
        <w:t>MC=multi-centre; R=randomised; wks = weeks.</w:t>
      </w:r>
    </w:p>
    <w:p w:rsidR="00AA652A" w:rsidRDefault="00AA652A" w:rsidP="00142D19">
      <w:pPr>
        <w:pStyle w:val="Tabletext"/>
        <w:ind w:left="709"/>
      </w:pPr>
      <w:r w:rsidRPr="002220DF">
        <w:t xml:space="preserve">Source: </w:t>
      </w:r>
      <w:r w:rsidR="00A14B6D">
        <w:t>Table B-5 and Table B-9 of the submission</w:t>
      </w:r>
    </w:p>
    <w:p w:rsidR="00796AA1" w:rsidRPr="002220DF" w:rsidRDefault="00796AA1" w:rsidP="00142D19">
      <w:pPr>
        <w:pStyle w:val="Tabletext"/>
        <w:ind w:left="709"/>
      </w:pPr>
    </w:p>
    <w:p w:rsidR="00AA652A" w:rsidRPr="002220DF" w:rsidRDefault="00AA652A" w:rsidP="00142D19">
      <w:pPr>
        <w:pStyle w:val="Tabletext"/>
        <w:ind w:left="709"/>
        <w:rPr>
          <w:rStyle w:val="CommentReference"/>
        </w:rPr>
      </w:pPr>
      <w:r w:rsidRPr="002220DF">
        <w:rPr>
          <w:rStyle w:val="CommentReference"/>
        </w:rPr>
        <w:t>Table 3: Key features of the included evidence – indirect comparison</w:t>
      </w:r>
    </w:p>
    <w:tbl>
      <w:tblPr>
        <w:tblW w:w="4620"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470"/>
        <w:gridCol w:w="1843"/>
        <w:gridCol w:w="626"/>
        <w:gridCol w:w="1220"/>
        <w:gridCol w:w="2096"/>
        <w:gridCol w:w="1428"/>
      </w:tblGrid>
      <w:tr w:rsidR="00714F09" w:rsidRPr="002220DF" w:rsidTr="00BB1206">
        <w:trPr>
          <w:tblHeader/>
        </w:trPr>
        <w:tc>
          <w:tcPr>
            <w:tcW w:w="422" w:type="pct"/>
            <w:shd w:val="clear" w:color="auto" w:fill="auto"/>
            <w:vAlign w:val="center"/>
          </w:tcPr>
          <w:p w:rsidR="00AA652A" w:rsidRPr="002220DF" w:rsidRDefault="00AA652A" w:rsidP="00142D19">
            <w:pPr>
              <w:pStyle w:val="Tabletext"/>
              <w:rPr>
                <w:b/>
                <w:lang w:val="en-US"/>
              </w:rPr>
            </w:pPr>
            <w:r w:rsidRPr="002220DF">
              <w:rPr>
                <w:b/>
                <w:lang w:val="en-US"/>
              </w:rPr>
              <w:t>Trial</w:t>
            </w:r>
          </w:p>
        </w:tc>
        <w:tc>
          <w:tcPr>
            <w:tcW w:w="280" w:type="pct"/>
            <w:shd w:val="clear" w:color="auto" w:fill="auto"/>
            <w:vAlign w:val="center"/>
          </w:tcPr>
          <w:p w:rsidR="00AA652A" w:rsidRPr="002220DF" w:rsidRDefault="00AA652A" w:rsidP="00A921AA">
            <w:pPr>
              <w:pStyle w:val="Tabletext"/>
              <w:jc w:val="center"/>
              <w:rPr>
                <w:b/>
                <w:lang w:val="en-US"/>
              </w:rPr>
            </w:pPr>
            <w:r w:rsidRPr="002220DF">
              <w:rPr>
                <w:b/>
                <w:lang w:val="en-US"/>
              </w:rPr>
              <w:t>N</w:t>
            </w:r>
          </w:p>
        </w:tc>
        <w:tc>
          <w:tcPr>
            <w:tcW w:w="1098" w:type="pct"/>
            <w:shd w:val="clear" w:color="auto" w:fill="auto"/>
            <w:vAlign w:val="center"/>
          </w:tcPr>
          <w:p w:rsidR="00AA652A" w:rsidRPr="002220DF" w:rsidRDefault="00AA652A" w:rsidP="00A921AA">
            <w:pPr>
              <w:pStyle w:val="Tabletext"/>
              <w:jc w:val="center"/>
              <w:rPr>
                <w:b/>
                <w:lang w:val="en-US"/>
              </w:rPr>
            </w:pPr>
            <w:r w:rsidRPr="002220DF">
              <w:rPr>
                <w:b/>
                <w:lang w:val="en-US"/>
              </w:rPr>
              <w:t>Design/ duration</w:t>
            </w:r>
          </w:p>
        </w:tc>
        <w:tc>
          <w:tcPr>
            <w:tcW w:w="373" w:type="pct"/>
            <w:shd w:val="clear" w:color="auto" w:fill="auto"/>
            <w:vAlign w:val="center"/>
          </w:tcPr>
          <w:p w:rsidR="00AA652A" w:rsidRPr="002220DF" w:rsidRDefault="00AA652A" w:rsidP="00A921AA">
            <w:pPr>
              <w:pStyle w:val="Tabletext"/>
              <w:jc w:val="center"/>
              <w:rPr>
                <w:b/>
                <w:lang w:val="en-US"/>
              </w:rPr>
            </w:pPr>
            <w:r w:rsidRPr="002220DF">
              <w:rPr>
                <w:b/>
                <w:lang w:val="en-US"/>
              </w:rPr>
              <w:t>Risk of bias</w:t>
            </w:r>
          </w:p>
        </w:tc>
        <w:tc>
          <w:tcPr>
            <w:tcW w:w="727" w:type="pct"/>
            <w:shd w:val="clear" w:color="auto" w:fill="auto"/>
            <w:vAlign w:val="center"/>
          </w:tcPr>
          <w:p w:rsidR="00AA652A" w:rsidRPr="002220DF" w:rsidRDefault="00AA652A" w:rsidP="00A921AA">
            <w:pPr>
              <w:pStyle w:val="Tabletext"/>
              <w:jc w:val="center"/>
              <w:rPr>
                <w:b/>
                <w:lang w:val="en-US"/>
              </w:rPr>
            </w:pPr>
            <w:r w:rsidRPr="002220DF">
              <w:rPr>
                <w:b/>
                <w:lang w:val="en-US"/>
              </w:rPr>
              <w:t>Patient population</w:t>
            </w:r>
          </w:p>
        </w:tc>
        <w:tc>
          <w:tcPr>
            <w:tcW w:w="1249" w:type="pct"/>
            <w:shd w:val="clear" w:color="auto" w:fill="auto"/>
            <w:vAlign w:val="center"/>
          </w:tcPr>
          <w:p w:rsidR="00AA652A" w:rsidRPr="002220DF" w:rsidRDefault="00AA652A" w:rsidP="00A921AA">
            <w:pPr>
              <w:pStyle w:val="Tabletext"/>
              <w:jc w:val="center"/>
              <w:rPr>
                <w:b/>
                <w:lang w:val="en-US"/>
              </w:rPr>
            </w:pPr>
            <w:r w:rsidRPr="002220DF">
              <w:rPr>
                <w:b/>
                <w:lang w:val="en-US"/>
              </w:rPr>
              <w:t>Outcome(s)</w:t>
            </w:r>
          </w:p>
        </w:tc>
        <w:tc>
          <w:tcPr>
            <w:tcW w:w="851" w:type="pct"/>
            <w:shd w:val="clear" w:color="auto" w:fill="auto"/>
            <w:vAlign w:val="center"/>
          </w:tcPr>
          <w:p w:rsidR="00AA652A" w:rsidRPr="002220DF" w:rsidRDefault="00AA652A" w:rsidP="00A921AA">
            <w:pPr>
              <w:pStyle w:val="Tabletext"/>
              <w:jc w:val="center"/>
              <w:rPr>
                <w:b/>
                <w:lang w:val="en-US"/>
              </w:rPr>
            </w:pPr>
            <w:r w:rsidRPr="002220DF">
              <w:rPr>
                <w:b/>
                <w:lang w:val="en-US"/>
              </w:rPr>
              <w:t>Use in modelled evaluation</w:t>
            </w:r>
          </w:p>
        </w:tc>
      </w:tr>
      <w:tr w:rsidR="00714F09" w:rsidRPr="002220DF" w:rsidTr="00BB1206">
        <w:tc>
          <w:tcPr>
            <w:tcW w:w="5000" w:type="pct"/>
            <w:gridSpan w:val="7"/>
            <w:shd w:val="clear" w:color="auto" w:fill="auto"/>
            <w:vAlign w:val="center"/>
          </w:tcPr>
          <w:p w:rsidR="00714F09" w:rsidRPr="002220DF" w:rsidRDefault="00714F09" w:rsidP="00142D19">
            <w:pPr>
              <w:pStyle w:val="Tabletext"/>
              <w:rPr>
                <w:b/>
                <w:lang w:val="en-US"/>
              </w:rPr>
            </w:pPr>
            <w:r w:rsidRPr="002220DF">
              <w:rPr>
                <w:b/>
                <w:lang w:val="en-US"/>
              </w:rPr>
              <w:t>Indirect comparison with nicorandil</w:t>
            </w:r>
          </w:p>
        </w:tc>
      </w:tr>
      <w:tr w:rsidR="00714F09" w:rsidRPr="002220DF" w:rsidTr="00BB1206">
        <w:tc>
          <w:tcPr>
            <w:tcW w:w="5000" w:type="pct"/>
            <w:gridSpan w:val="7"/>
            <w:shd w:val="clear" w:color="auto" w:fill="auto"/>
            <w:vAlign w:val="center"/>
          </w:tcPr>
          <w:p w:rsidR="00AA652A" w:rsidRPr="002220DF" w:rsidRDefault="00AA652A" w:rsidP="00142D19">
            <w:pPr>
              <w:pStyle w:val="Tabletext"/>
              <w:rPr>
                <w:b/>
                <w:lang w:val="en-US"/>
              </w:rPr>
            </w:pPr>
            <w:r w:rsidRPr="002220DF">
              <w:rPr>
                <w:b/>
                <w:lang w:val="en-US"/>
              </w:rPr>
              <w:t xml:space="preserve">Ranolazine </w:t>
            </w:r>
          </w:p>
        </w:tc>
      </w:tr>
      <w:tr w:rsidR="00714F09" w:rsidRPr="002220DF" w:rsidTr="00BB1206">
        <w:tc>
          <w:tcPr>
            <w:tcW w:w="422" w:type="pct"/>
            <w:shd w:val="clear" w:color="auto" w:fill="auto"/>
            <w:vAlign w:val="center"/>
          </w:tcPr>
          <w:p w:rsidR="00AA652A" w:rsidRPr="002220DF" w:rsidRDefault="006C6052" w:rsidP="00142D19">
            <w:pPr>
              <w:pStyle w:val="Tabletext"/>
              <w:rPr>
                <w:lang w:val="en-US"/>
              </w:rPr>
            </w:pPr>
            <w:r>
              <w:rPr>
                <w:lang w:val="en-US"/>
              </w:rPr>
              <w:t>Koren (2007)</w:t>
            </w:r>
          </w:p>
        </w:tc>
        <w:tc>
          <w:tcPr>
            <w:tcW w:w="280" w:type="pct"/>
            <w:shd w:val="clear" w:color="auto" w:fill="auto"/>
            <w:vAlign w:val="center"/>
          </w:tcPr>
          <w:p w:rsidR="00AA652A" w:rsidRPr="002220DF" w:rsidRDefault="00AA652A" w:rsidP="00A921AA">
            <w:pPr>
              <w:pStyle w:val="Tabletext"/>
              <w:jc w:val="center"/>
              <w:rPr>
                <w:lang w:val="en-US"/>
              </w:rPr>
            </w:pPr>
            <w:r w:rsidRPr="002220DF">
              <w:rPr>
                <w:lang w:val="en-US"/>
              </w:rPr>
              <w:t>746</w:t>
            </w:r>
          </w:p>
        </w:tc>
        <w:tc>
          <w:tcPr>
            <w:tcW w:w="1098" w:type="pct"/>
            <w:shd w:val="clear" w:color="auto" w:fill="auto"/>
            <w:vAlign w:val="center"/>
          </w:tcPr>
          <w:p w:rsidR="00AA652A" w:rsidRPr="002220DF" w:rsidRDefault="00AA652A" w:rsidP="00A921AA">
            <w:pPr>
              <w:pStyle w:val="Tabletext"/>
              <w:jc w:val="center"/>
              <w:rPr>
                <w:lang w:val="en-US"/>
              </w:rPr>
            </w:pPr>
            <w:r w:rsidRPr="002220DF">
              <w:rPr>
                <w:lang w:val="en-US"/>
              </w:rPr>
              <w:t>OL, prospective single-arm (mixed dosage) observational study</w:t>
            </w:r>
          </w:p>
        </w:tc>
        <w:tc>
          <w:tcPr>
            <w:tcW w:w="373" w:type="pct"/>
            <w:shd w:val="clear" w:color="auto" w:fill="auto"/>
            <w:vAlign w:val="center"/>
          </w:tcPr>
          <w:p w:rsidR="00AA652A" w:rsidRPr="002220DF" w:rsidRDefault="00AA652A" w:rsidP="00A921AA">
            <w:pPr>
              <w:pStyle w:val="Tabletext"/>
              <w:jc w:val="center"/>
              <w:rPr>
                <w:lang w:val="en-US"/>
              </w:rPr>
            </w:pPr>
            <w:r w:rsidRPr="002220DF">
              <w:rPr>
                <w:lang w:val="en-US"/>
              </w:rPr>
              <w:t>High</w:t>
            </w:r>
          </w:p>
        </w:tc>
        <w:tc>
          <w:tcPr>
            <w:tcW w:w="727" w:type="pct"/>
            <w:shd w:val="clear" w:color="auto" w:fill="auto"/>
            <w:vAlign w:val="center"/>
          </w:tcPr>
          <w:p w:rsidR="00AA652A" w:rsidRPr="002220DF" w:rsidRDefault="00AA652A" w:rsidP="00A921AA">
            <w:pPr>
              <w:pStyle w:val="Tabletext"/>
              <w:jc w:val="center"/>
              <w:rPr>
                <w:lang w:val="en-US"/>
              </w:rPr>
            </w:pPr>
            <w:r w:rsidRPr="002220DF">
              <w:rPr>
                <w:lang w:val="en-US"/>
              </w:rPr>
              <w:t>Symptomatic angina</w:t>
            </w:r>
          </w:p>
        </w:tc>
        <w:tc>
          <w:tcPr>
            <w:tcW w:w="1249" w:type="pct"/>
            <w:shd w:val="clear" w:color="auto" w:fill="auto"/>
            <w:vAlign w:val="center"/>
          </w:tcPr>
          <w:p w:rsidR="00AA652A" w:rsidRPr="002220DF" w:rsidRDefault="00AA652A" w:rsidP="00A921AA">
            <w:pPr>
              <w:pStyle w:val="Tabletext"/>
              <w:jc w:val="center"/>
              <w:rPr>
                <w:lang w:val="en-US"/>
              </w:rPr>
            </w:pPr>
            <w:r w:rsidRPr="002220DF">
              <w:rPr>
                <w:lang w:val="en-US"/>
              </w:rPr>
              <w:t>Safety and tolerability assessments</w:t>
            </w:r>
          </w:p>
        </w:tc>
        <w:tc>
          <w:tcPr>
            <w:tcW w:w="851" w:type="pct"/>
            <w:shd w:val="clear" w:color="auto" w:fill="auto"/>
            <w:vAlign w:val="center"/>
          </w:tcPr>
          <w:p w:rsidR="00AA652A" w:rsidRPr="002220DF" w:rsidRDefault="00D43A6E" w:rsidP="00A921AA">
            <w:pPr>
              <w:pStyle w:val="Tabletext"/>
              <w:jc w:val="center"/>
              <w:rPr>
                <w:lang w:val="en-US"/>
              </w:rPr>
            </w:pPr>
            <w:r>
              <w:rPr>
                <w:lang w:val="en-US"/>
              </w:rPr>
              <w:t>CMA</w:t>
            </w:r>
          </w:p>
        </w:tc>
      </w:tr>
      <w:tr w:rsidR="00714F09" w:rsidRPr="002220DF" w:rsidTr="00BB1206">
        <w:tc>
          <w:tcPr>
            <w:tcW w:w="5000" w:type="pct"/>
            <w:gridSpan w:val="7"/>
            <w:shd w:val="clear" w:color="auto" w:fill="auto"/>
            <w:vAlign w:val="center"/>
          </w:tcPr>
          <w:p w:rsidR="00AA652A" w:rsidRPr="002220DF" w:rsidRDefault="00AA652A" w:rsidP="00142D19">
            <w:pPr>
              <w:pStyle w:val="Tabletext"/>
              <w:rPr>
                <w:b/>
                <w:lang w:val="en-US"/>
              </w:rPr>
            </w:pPr>
            <w:r w:rsidRPr="002220DF">
              <w:rPr>
                <w:b/>
                <w:lang w:val="en-US"/>
              </w:rPr>
              <w:t>Nicorandil vs Placebo</w:t>
            </w:r>
          </w:p>
        </w:tc>
      </w:tr>
      <w:tr w:rsidR="00714F09" w:rsidRPr="002220DF" w:rsidTr="00BB1206">
        <w:tc>
          <w:tcPr>
            <w:tcW w:w="422" w:type="pct"/>
            <w:shd w:val="clear" w:color="auto" w:fill="auto"/>
            <w:vAlign w:val="center"/>
          </w:tcPr>
          <w:p w:rsidR="00AA652A" w:rsidRPr="002220DF" w:rsidRDefault="00AA652A" w:rsidP="00142D19">
            <w:pPr>
              <w:pStyle w:val="Tabletext"/>
              <w:rPr>
                <w:lang w:val="en-US"/>
              </w:rPr>
            </w:pPr>
            <w:r w:rsidRPr="002220DF">
              <w:rPr>
                <w:lang w:val="en-US"/>
              </w:rPr>
              <w:t>IONA (2002)</w:t>
            </w:r>
          </w:p>
        </w:tc>
        <w:tc>
          <w:tcPr>
            <w:tcW w:w="280" w:type="pct"/>
            <w:shd w:val="clear" w:color="auto" w:fill="auto"/>
            <w:vAlign w:val="center"/>
          </w:tcPr>
          <w:p w:rsidR="00AA652A" w:rsidRPr="002220DF" w:rsidRDefault="00AA652A" w:rsidP="00A921AA">
            <w:pPr>
              <w:pStyle w:val="Tabletext"/>
              <w:jc w:val="center"/>
              <w:rPr>
                <w:lang w:val="en-US"/>
              </w:rPr>
            </w:pPr>
            <w:r w:rsidRPr="002220DF">
              <w:rPr>
                <w:lang w:val="en-US"/>
              </w:rPr>
              <w:t>5,126</w:t>
            </w:r>
          </w:p>
        </w:tc>
        <w:tc>
          <w:tcPr>
            <w:tcW w:w="1098" w:type="pct"/>
            <w:shd w:val="clear" w:color="auto" w:fill="auto"/>
            <w:vAlign w:val="center"/>
          </w:tcPr>
          <w:p w:rsidR="00AA652A" w:rsidRPr="002220DF" w:rsidRDefault="00AA652A" w:rsidP="00A921AA">
            <w:pPr>
              <w:pStyle w:val="Tabletext"/>
              <w:jc w:val="center"/>
              <w:rPr>
                <w:lang w:val="en-US"/>
              </w:rPr>
            </w:pPr>
            <w:r w:rsidRPr="002220DF">
              <w:rPr>
                <w:lang w:val="en-US"/>
              </w:rPr>
              <w:t>R, DB, 1.6 yrs</w:t>
            </w:r>
          </w:p>
        </w:tc>
        <w:tc>
          <w:tcPr>
            <w:tcW w:w="373" w:type="pct"/>
            <w:shd w:val="clear" w:color="auto" w:fill="auto"/>
            <w:vAlign w:val="center"/>
          </w:tcPr>
          <w:p w:rsidR="00AA652A" w:rsidRPr="002220DF" w:rsidRDefault="00AA652A" w:rsidP="00A921AA">
            <w:pPr>
              <w:pStyle w:val="Tabletext"/>
              <w:jc w:val="center"/>
              <w:rPr>
                <w:lang w:val="en-US"/>
              </w:rPr>
            </w:pPr>
            <w:r w:rsidRPr="002220DF">
              <w:rPr>
                <w:lang w:val="en-US"/>
              </w:rPr>
              <w:t>Low</w:t>
            </w:r>
          </w:p>
        </w:tc>
        <w:tc>
          <w:tcPr>
            <w:tcW w:w="727" w:type="pct"/>
            <w:shd w:val="clear" w:color="auto" w:fill="auto"/>
            <w:vAlign w:val="center"/>
          </w:tcPr>
          <w:p w:rsidR="00AA652A" w:rsidRPr="002220DF" w:rsidRDefault="00AA652A" w:rsidP="00A921AA">
            <w:pPr>
              <w:pStyle w:val="Tabletext"/>
              <w:jc w:val="center"/>
              <w:rPr>
                <w:lang w:val="en-US"/>
              </w:rPr>
            </w:pPr>
            <w:r w:rsidRPr="002220DF">
              <w:rPr>
                <w:lang w:val="en-US"/>
              </w:rPr>
              <w:t>Angina patients refractory to optimum background angina therapy</w:t>
            </w:r>
          </w:p>
        </w:tc>
        <w:tc>
          <w:tcPr>
            <w:tcW w:w="1249" w:type="pct"/>
            <w:shd w:val="clear" w:color="auto" w:fill="auto"/>
            <w:vAlign w:val="center"/>
          </w:tcPr>
          <w:p w:rsidR="00AA652A" w:rsidRPr="002220DF" w:rsidRDefault="00AA652A" w:rsidP="00A921AA">
            <w:pPr>
              <w:pStyle w:val="Tabletext"/>
              <w:jc w:val="center"/>
              <w:rPr>
                <w:lang w:val="en-US"/>
              </w:rPr>
            </w:pPr>
            <w:r w:rsidRPr="002220DF">
              <w:rPr>
                <w:lang w:val="en-US"/>
              </w:rPr>
              <w:t>Composite of Coronary heart disease death, or non-fatal myocardial infarction, or unplanned hospital admission for cardiac chest pain</w:t>
            </w:r>
          </w:p>
        </w:tc>
        <w:tc>
          <w:tcPr>
            <w:tcW w:w="851" w:type="pct"/>
            <w:shd w:val="clear" w:color="auto" w:fill="auto"/>
            <w:vAlign w:val="center"/>
          </w:tcPr>
          <w:p w:rsidR="00AA652A" w:rsidRPr="002220DF" w:rsidRDefault="00AA652A" w:rsidP="00A921AA">
            <w:pPr>
              <w:pStyle w:val="Tabletext"/>
              <w:jc w:val="center"/>
              <w:rPr>
                <w:lang w:val="en-US"/>
              </w:rPr>
            </w:pPr>
            <w:r w:rsidRPr="002220DF">
              <w:rPr>
                <w:lang w:val="en-US"/>
              </w:rPr>
              <w:t>CMA</w:t>
            </w:r>
          </w:p>
        </w:tc>
      </w:tr>
      <w:tr w:rsidR="00714F09" w:rsidRPr="002220DF" w:rsidTr="00BB1206">
        <w:tc>
          <w:tcPr>
            <w:tcW w:w="5000" w:type="pct"/>
            <w:gridSpan w:val="7"/>
            <w:shd w:val="clear" w:color="auto" w:fill="auto"/>
            <w:vAlign w:val="center"/>
          </w:tcPr>
          <w:p w:rsidR="00714F09" w:rsidRPr="002220DF" w:rsidRDefault="00714F09" w:rsidP="00142D19">
            <w:pPr>
              <w:pStyle w:val="Tabletext"/>
              <w:rPr>
                <w:b/>
                <w:lang w:val="en-US"/>
              </w:rPr>
            </w:pPr>
            <w:r w:rsidRPr="002220DF">
              <w:rPr>
                <w:b/>
                <w:lang w:val="en-US"/>
              </w:rPr>
              <w:t>Indirect comparison vs. perhexiline</w:t>
            </w:r>
          </w:p>
        </w:tc>
      </w:tr>
      <w:tr w:rsidR="00714F09" w:rsidRPr="002220DF" w:rsidTr="00BB1206">
        <w:tc>
          <w:tcPr>
            <w:tcW w:w="5000" w:type="pct"/>
            <w:gridSpan w:val="7"/>
            <w:shd w:val="clear" w:color="auto" w:fill="auto"/>
            <w:vAlign w:val="center"/>
          </w:tcPr>
          <w:p w:rsidR="00AA652A" w:rsidRPr="002220DF" w:rsidRDefault="00AA652A" w:rsidP="00142D19">
            <w:pPr>
              <w:pStyle w:val="Tabletext"/>
              <w:rPr>
                <w:b/>
                <w:lang w:val="en-US"/>
              </w:rPr>
            </w:pPr>
            <w:r w:rsidRPr="002220DF">
              <w:rPr>
                <w:b/>
                <w:lang w:val="en-US"/>
              </w:rPr>
              <w:t xml:space="preserve">Ranolazine </w:t>
            </w:r>
            <w:r w:rsidR="00714F09" w:rsidRPr="002220DF">
              <w:rPr>
                <w:b/>
                <w:lang w:val="en-US"/>
              </w:rPr>
              <w:t>vs</w:t>
            </w:r>
            <w:r w:rsidRPr="002220DF">
              <w:rPr>
                <w:b/>
                <w:lang w:val="en-US"/>
              </w:rPr>
              <w:t xml:space="preserve"> </w:t>
            </w:r>
            <w:r w:rsidR="00D0411F">
              <w:rPr>
                <w:b/>
                <w:lang w:val="en-US"/>
              </w:rPr>
              <w:t>placebo</w:t>
            </w:r>
          </w:p>
        </w:tc>
      </w:tr>
      <w:tr w:rsidR="00714F09" w:rsidRPr="002220DF" w:rsidTr="00BB1206">
        <w:tc>
          <w:tcPr>
            <w:tcW w:w="422" w:type="pct"/>
            <w:shd w:val="clear" w:color="auto" w:fill="auto"/>
            <w:vAlign w:val="center"/>
          </w:tcPr>
          <w:p w:rsidR="00AA652A" w:rsidRPr="002220DF" w:rsidRDefault="00AA652A" w:rsidP="00142D19">
            <w:pPr>
              <w:pStyle w:val="Tabletext"/>
              <w:rPr>
                <w:lang w:val="en-US"/>
              </w:rPr>
            </w:pPr>
            <w:r w:rsidRPr="002220DF">
              <w:rPr>
                <w:lang w:val="en-US"/>
              </w:rPr>
              <w:t>CARISA</w:t>
            </w:r>
          </w:p>
        </w:tc>
        <w:tc>
          <w:tcPr>
            <w:tcW w:w="4578" w:type="pct"/>
            <w:gridSpan w:val="6"/>
            <w:shd w:val="clear" w:color="auto" w:fill="auto"/>
            <w:vAlign w:val="center"/>
          </w:tcPr>
          <w:p w:rsidR="00AA652A" w:rsidRPr="002220DF" w:rsidRDefault="00AA652A" w:rsidP="00142D19">
            <w:pPr>
              <w:pStyle w:val="Tabletext"/>
              <w:jc w:val="center"/>
              <w:rPr>
                <w:lang w:val="en-US"/>
              </w:rPr>
            </w:pPr>
            <w:r w:rsidRPr="002220DF">
              <w:rPr>
                <w:lang w:val="en-US"/>
              </w:rPr>
              <w:t>See Table 2</w:t>
            </w:r>
          </w:p>
        </w:tc>
      </w:tr>
      <w:tr w:rsidR="00714F09" w:rsidRPr="002220DF" w:rsidTr="00BB1206">
        <w:tc>
          <w:tcPr>
            <w:tcW w:w="5000" w:type="pct"/>
            <w:gridSpan w:val="7"/>
            <w:shd w:val="clear" w:color="auto" w:fill="auto"/>
            <w:vAlign w:val="center"/>
          </w:tcPr>
          <w:p w:rsidR="00AA652A" w:rsidRPr="002220DF" w:rsidRDefault="00AA652A" w:rsidP="00142D19">
            <w:pPr>
              <w:pStyle w:val="Tabletext"/>
              <w:rPr>
                <w:b/>
                <w:lang w:val="en-US"/>
              </w:rPr>
            </w:pPr>
            <w:r w:rsidRPr="002220DF">
              <w:rPr>
                <w:b/>
                <w:lang w:val="en-US"/>
              </w:rPr>
              <w:t>Perhexiline vs Placebo</w:t>
            </w:r>
          </w:p>
        </w:tc>
      </w:tr>
      <w:tr w:rsidR="00714F09" w:rsidRPr="002220DF" w:rsidTr="00BB1206">
        <w:tc>
          <w:tcPr>
            <w:tcW w:w="422" w:type="pct"/>
            <w:shd w:val="clear" w:color="auto" w:fill="auto"/>
            <w:vAlign w:val="center"/>
          </w:tcPr>
          <w:p w:rsidR="00AA652A" w:rsidRPr="002220DF" w:rsidRDefault="00AA652A" w:rsidP="00142D19">
            <w:pPr>
              <w:pStyle w:val="Tabletext"/>
              <w:rPr>
                <w:lang w:val="en-US"/>
              </w:rPr>
            </w:pPr>
            <w:r w:rsidRPr="002220DF">
              <w:rPr>
                <w:lang w:val="en-US"/>
              </w:rPr>
              <w:t>Cole (1990)</w:t>
            </w:r>
          </w:p>
        </w:tc>
        <w:tc>
          <w:tcPr>
            <w:tcW w:w="280" w:type="pct"/>
            <w:shd w:val="clear" w:color="auto" w:fill="auto"/>
            <w:vAlign w:val="center"/>
          </w:tcPr>
          <w:p w:rsidR="00AA652A" w:rsidRPr="002220DF" w:rsidRDefault="00AA652A" w:rsidP="00A921AA">
            <w:pPr>
              <w:pStyle w:val="Tabletext"/>
              <w:jc w:val="center"/>
              <w:rPr>
                <w:lang w:val="en-US"/>
              </w:rPr>
            </w:pPr>
            <w:r w:rsidRPr="002220DF">
              <w:rPr>
                <w:lang w:val="en-US"/>
              </w:rPr>
              <w:t>19</w:t>
            </w:r>
          </w:p>
        </w:tc>
        <w:tc>
          <w:tcPr>
            <w:tcW w:w="1098" w:type="pct"/>
            <w:shd w:val="clear" w:color="auto" w:fill="auto"/>
            <w:vAlign w:val="center"/>
          </w:tcPr>
          <w:p w:rsidR="00AA652A" w:rsidRPr="002220DF" w:rsidRDefault="00AA652A" w:rsidP="00A921AA">
            <w:pPr>
              <w:pStyle w:val="Tabletext"/>
              <w:jc w:val="center"/>
              <w:rPr>
                <w:lang w:val="en-US"/>
              </w:rPr>
            </w:pPr>
            <w:r w:rsidRPr="002220DF">
              <w:rPr>
                <w:lang w:val="en-US"/>
              </w:rPr>
              <w:t>R, DB crossover trial, 6 mths</w:t>
            </w:r>
          </w:p>
        </w:tc>
        <w:tc>
          <w:tcPr>
            <w:tcW w:w="373" w:type="pct"/>
            <w:shd w:val="clear" w:color="auto" w:fill="auto"/>
            <w:vAlign w:val="center"/>
          </w:tcPr>
          <w:p w:rsidR="00AA652A" w:rsidRPr="002220DF" w:rsidRDefault="00AA652A" w:rsidP="00A921AA">
            <w:pPr>
              <w:pStyle w:val="Tabletext"/>
              <w:jc w:val="center"/>
              <w:rPr>
                <w:lang w:val="en-US"/>
              </w:rPr>
            </w:pPr>
            <w:r w:rsidRPr="002220DF">
              <w:rPr>
                <w:lang w:val="en-US"/>
              </w:rPr>
              <w:t>Unclear</w:t>
            </w:r>
          </w:p>
        </w:tc>
        <w:tc>
          <w:tcPr>
            <w:tcW w:w="727" w:type="pct"/>
            <w:shd w:val="clear" w:color="auto" w:fill="auto"/>
            <w:vAlign w:val="center"/>
          </w:tcPr>
          <w:p w:rsidR="00AA652A" w:rsidRPr="002220DF" w:rsidRDefault="00AA652A" w:rsidP="00A921AA">
            <w:pPr>
              <w:pStyle w:val="Tabletext"/>
              <w:jc w:val="center"/>
              <w:rPr>
                <w:lang w:val="en-US"/>
              </w:rPr>
            </w:pPr>
            <w:r w:rsidRPr="002220DF">
              <w:rPr>
                <w:lang w:val="en-US"/>
              </w:rPr>
              <w:t>Angina patients refractory</w:t>
            </w:r>
          </w:p>
        </w:tc>
        <w:tc>
          <w:tcPr>
            <w:tcW w:w="1249" w:type="pct"/>
            <w:shd w:val="clear" w:color="auto" w:fill="auto"/>
            <w:vAlign w:val="center"/>
          </w:tcPr>
          <w:p w:rsidR="00AA652A" w:rsidRPr="002220DF" w:rsidRDefault="00AA652A" w:rsidP="00A921AA">
            <w:pPr>
              <w:pStyle w:val="Tabletext"/>
              <w:jc w:val="center"/>
              <w:rPr>
                <w:lang w:val="en-US"/>
              </w:rPr>
            </w:pPr>
            <w:r w:rsidRPr="002220DF">
              <w:rPr>
                <w:lang w:val="en-US"/>
              </w:rPr>
              <w:t>Change in ETT</w:t>
            </w:r>
            <w:r w:rsidR="00E07C1D" w:rsidRPr="002220DF">
              <w:rPr>
                <w:lang w:val="en-US"/>
              </w:rPr>
              <w:t xml:space="preserve"> (s)</w:t>
            </w:r>
          </w:p>
        </w:tc>
        <w:tc>
          <w:tcPr>
            <w:tcW w:w="851" w:type="pct"/>
            <w:shd w:val="clear" w:color="auto" w:fill="auto"/>
            <w:vAlign w:val="center"/>
          </w:tcPr>
          <w:p w:rsidR="00AA652A" w:rsidRPr="002220DF" w:rsidRDefault="00AA652A" w:rsidP="00A921AA">
            <w:pPr>
              <w:pStyle w:val="Tabletext"/>
              <w:jc w:val="center"/>
              <w:rPr>
                <w:lang w:val="en-US"/>
              </w:rPr>
            </w:pPr>
            <w:r w:rsidRPr="002220DF">
              <w:rPr>
                <w:lang w:val="en-US"/>
              </w:rPr>
              <w:t>CMA</w:t>
            </w:r>
          </w:p>
        </w:tc>
      </w:tr>
    </w:tbl>
    <w:p w:rsidR="00AA652A" w:rsidRPr="002220DF" w:rsidRDefault="00AA652A" w:rsidP="00142D19">
      <w:pPr>
        <w:pStyle w:val="Tabletext"/>
        <w:ind w:left="709"/>
      </w:pPr>
      <w:r w:rsidRPr="002220DF">
        <w:t xml:space="preserve">CMA = cost-minimisation analysis; CUA = cost-utility analysis; DB=double blind; ETT = exercise tolerance test; </w:t>
      </w:r>
      <w:r w:rsidR="00714F09" w:rsidRPr="002220DF">
        <w:t>mt</w:t>
      </w:r>
      <w:r w:rsidR="001508E0">
        <w:t>h</w:t>
      </w:r>
      <w:r w:rsidR="00714F09" w:rsidRPr="002220DF">
        <w:t xml:space="preserve">s = months; </w:t>
      </w:r>
      <w:r w:rsidRPr="002220DF">
        <w:t xml:space="preserve">OL=open label; R=randomised; </w:t>
      </w:r>
      <w:r w:rsidR="00E07C1D" w:rsidRPr="002220DF">
        <w:t xml:space="preserve">s = seconds; </w:t>
      </w:r>
      <w:r w:rsidRPr="002220DF">
        <w:t>yrs = years</w:t>
      </w:r>
    </w:p>
    <w:p w:rsidR="00AA652A" w:rsidRPr="002220DF" w:rsidRDefault="00AA652A" w:rsidP="00142D19">
      <w:pPr>
        <w:pStyle w:val="Tabletext"/>
        <w:ind w:left="709"/>
      </w:pPr>
      <w:r w:rsidRPr="002220DF">
        <w:t>Source: compiled during the evaluation</w:t>
      </w:r>
    </w:p>
    <w:p w:rsidR="00AA652A" w:rsidRPr="002220DF" w:rsidRDefault="00AA652A" w:rsidP="00142D19">
      <w:pPr>
        <w:widowControl/>
      </w:pPr>
    </w:p>
    <w:p w:rsidR="002B72F2" w:rsidRPr="001255F7" w:rsidRDefault="00AA652A" w:rsidP="00142D19">
      <w:pPr>
        <w:pStyle w:val="ListParagraph"/>
        <w:widowControl/>
        <w:numPr>
          <w:ilvl w:val="1"/>
          <w:numId w:val="11"/>
        </w:numPr>
        <w:rPr>
          <w:szCs w:val="22"/>
        </w:rPr>
      </w:pPr>
      <w:r w:rsidRPr="001255F7">
        <w:rPr>
          <w:szCs w:val="22"/>
        </w:rPr>
        <w:t>The submission</w:t>
      </w:r>
      <w:r w:rsidR="002C02AA" w:rsidRPr="001255F7">
        <w:rPr>
          <w:szCs w:val="22"/>
        </w:rPr>
        <w:t>’s</w:t>
      </w:r>
      <w:r w:rsidRPr="001255F7">
        <w:rPr>
          <w:szCs w:val="22"/>
        </w:rPr>
        <w:t xml:space="preserve"> </w:t>
      </w:r>
      <w:r w:rsidR="00EB28AC" w:rsidRPr="001255F7">
        <w:rPr>
          <w:szCs w:val="22"/>
        </w:rPr>
        <w:t xml:space="preserve">clinical </w:t>
      </w:r>
      <w:r w:rsidR="00BD1D99" w:rsidRPr="001255F7">
        <w:rPr>
          <w:szCs w:val="22"/>
        </w:rPr>
        <w:t>claim</w:t>
      </w:r>
      <w:r w:rsidR="00EB28AC" w:rsidRPr="001255F7">
        <w:rPr>
          <w:szCs w:val="22"/>
        </w:rPr>
        <w:t xml:space="preserve"> </w:t>
      </w:r>
      <w:r w:rsidR="002C02AA" w:rsidRPr="001255F7">
        <w:rPr>
          <w:szCs w:val="22"/>
        </w:rPr>
        <w:t xml:space="preserve">was based </w:t>
      </w:r>
      <w:r w:rsidR="00EB28AC" w:rsidRPr="001255F7">
        <w:rPr>
          <w:szCs w:val="22"/>
        </w:rPr>
        <w:t xml:space="preserve">on </w:t>
      </w:r>
      <w:r w:rsidR="00BD1D99" w:rsidRPr="001255F7">
        <w:rPr>
          <w:szCs w:val="22"/>
        </w:rPr>
        <w:t xml:space="preserve">evidence from two of </w:t>
      </w:r>
      <w:r w:rsidR="00EB28AC" w:rsidRPr="001255F7">
        <w:rPr>
          <w:szCs w:val="22"/>
        </w:rPr>
        <w:t>the</w:t>
      </w:r>
      <w:r w:rsidR="002B72F2" w:rsidRPr="001255F7">
        <w:rPr>
          <w:szCs w:val="22"/>
        </w:rPr>
        <w:t xml:space="preserve"> three arm</w:t>
      </w:r>
      <w:r w:rsidR="00214AED" w:rsidRPr="001255F7">
        <w:rPr>
          <w:szCs w:val="22"/>
        </w:rPr>
        <w:t>s</w:t>
      </w:r>
      <w:r w:rsidR="00EB28AC" w:rsidRPr="001255F7">
        <w:rPr>
          <w:szCs w:val="22"/>
        </w:rPr>
        <w:t xml:space="preserve"> </w:t>
      </w:r>
      <w:r w:rsidR="00BD1D99" w:rsidRPr="001255F7">
        <w:rPr>
          <w:szCs w:val="22"/>
        </w:rPr>
        <w:t xml:space="preserve">included in the </w:t>
      </w:r>
      <w:r w:rsidR="00EB28AC" w:rsidRPr="001255F7">
        <w:rPr>
          <w:szCs w:val="22"/>
        </w:rPr>
        <w:t>CARISA trial</w:t>
      </w:r>
      <w:r w:rsidR="00214AED" w:rsidRPr="001255F7">
        <w:rPr>
          <w:szCs w:val="22"/>
        </w:rPr>
        <w:t xml:space="preserve"> </w:t>
      </w:r>
      <w:r w:rsidR="00EB28AC" w:rsidRPr="001255F7">
        <w:rPr>
          <w:szCs w:val="22"/>
        </w:rPr>
        <w:t>(750mg</w:t>
      </w:r>
      <w:r w:rsidR="00214AED" w:rsidRPr="001255F7">
        <w:rPr>
          <w:szCs w:val="22"/>
        </w:rPr>
        <w:t xml:space="preserve"> ranolazine</w:t>
      </w:r>
      <w:r w:rsidR="00EB28AC" w:rsidRPr="001255F7">
        <w:rPr>
          <w:szCs w:val="22"/>
        </w:rPr>
        <w:t xml:space="preserve"> and placebo)</w:t>
      </w:r>
      <w:r w:rsidR="00E954E2" w:rsidRPr="001255F7">
        <w:rPr>
          <w:szCs w:val="22"/>
        </w:rPr>
        <w:t>, while</w:t>
      </w:r>
      <w:r w:rsidR="006E7C0D" w:rsidRPr="001255F7">
        <w:rPr>
          <w:szCs w:val="22"/>
        </w:rPr>
        <w:t xml:space="preserve"> the clinical efficacy used in the cost-utility </w:t>
      </w:r>
      <w:r w:rsidR="00214AED" w:rsidRPr="001255F7">
        <w:rPr>
          <w:szCs w:val="22"/>
        </w:rPr>
        <w:t>model</w:t>
      </w:r>
      <w:r w:rsidR="006E7C0D" w:rsidRPr="001255F7">
        <w:rPr>
          <w:szCs w:val="22"/>
        </w:rPr>
        <w:t xml:space="preserve"> was based on </w:t>
      </w:r>
      <w:r w:rsidR="002C02AA" w:rsidRPr="001255F7">
        <w:rPr>
          <w:szCs w:val="22"/>
        </w:rPr>
        <w:t xml:space="preserve">results reported in </w:t>
      </w:r>
      <w:r w:rsidR="006E7C0D" w:rsidRPr="001255F7">
        <w:rPr>
          <w:szCs w:val="22"/>
        </w:rPr>
        <w:t xml:space="preserve">a </w:t>
      </w:r>
      <w:r w:rsidR="00BC6949" w:rsidRPr="001255F7">
        <w:rPr>
          <w:szCs w:val="22"/>
        </w:rPr>
        <w:t>post</w:t>
      </w:r>
      <w:r w:rsidR="00D934C1" w:rsidRPr="001255F7">
        <w:rPr>
          <w:szCs w:val="22"/>
        </w:rPr>
        <w:t>-</w:t>
      </w:r>
      <w:r w:rsidR="00BC6949" w:rsidRPr="001255F7">
        <w:rPr>
          <w:szCs w:val="22"/>
        </w:rPr>
        <w:t>hoc</w:t>
      </w:r>
      <w:r w:rsidR="006E7C0D" w:rsidRPr="001255F7">
        <w:rPr>
          <w:szCs w:val="22"/>
        </w:rPr>
        <w:t xml:space="preserve"> </w:t>
      </w:r>
      <w:r w:rsidR="00214AED" w:rsidRPr="001255F7">
        <w:rPr>
          <w:szCs w:val="22"/>
        </w:rPr>
        <w:t xml:space="preserve">published </w:t>
      </w:r>
      <w:r w:rsidR="006E7C0D" w:rsidRPr="001255F7">
        <w:rPr>
          <w:szCs w:val="22"/>
        </w:rPr>
        <w:t>subgroup</w:t>
      </w:r>
      <w:r w:rsidR="002B72F2" w:rsidRPr="001255F7">
        <w:rPr>
          <w:szCs w:val="22"/>
        </w:rPr>
        <w:t xml:space="preserve"> analysis</w:t>
      </w:r>
      <w:r w:rsidR="006E7C0D" w:rsidRPr="001255F7">
        <w:rPr>
          <w:szCs w:val="22"/>
        </w:rPr>
        <w:t xml:space="preserve"> of the CARISA trial (Lopez</w:t>
      </w:r>
      <w:r w:rsidR="009E0DCA" w:rsidRPr="001255F7">
        <w:rPr>
          <w:szCs w:val="22"/>
        </w:rPr>
        <w:t>-</w:t>
      </w:r>
      <w:r w:rsidR="006E7C0D" w:rsidRPr="001255F7">
        <w:rPr>
          <w:szCs w:val="22"/>
        </w:rPr>
        <w:t>Se</w:t>
      </w:r>
      <w:r w:rsidR="009E0DCA" w:rsidRPr="001255F7">
        <w:rPr>
          <w:szCs w:val="22"/>
        </w:rPr>
        <w:t>n</w:t>
      </w:r>
      <w:r w:rsidR="006E7C0D" w:rsidRPr="001255F7">
        <w:rPr>
          <w:szCs w:val="22"/>
        </w:rPr>
        <w:t xml:space="preserve">don </w:t>
      </w:r>
      <w:r w:rsidR="00BC6949" w:rsidRPr="001255F7">
        <w:rPr>
          <w:szCs w:val="22"/>
        </w:rPr>
        <w:t>(</w:t>
      </w:r>
      <w:r w:rsidR="006E7C0D" w:rsidRPr="001255F7">
        <w:rPr>
          <w:szCs w:val="22"/>
        </w:rPr>
        <w:t>2012)</w:t>
      </w:r>
      <w:r w:rsidR="002B72F2" w:rsidRPr="001255F7">
        <w:rPr>
          <w:szCs w:val="22"/>
        </w:rPr>
        <w:t>)</w:t>
      </w:r>
      <w:r w:rsidR="006E7C0D" w:rsidRPr="001255F7">
        <w:rPr>
          <w:szCs w:val="22"/>
        </w:rPr>
        <w:t>.</w:t>
      </w:r>
      <w:r w:rsidR="0095234D" w:rsidRPr="001255F7">
        <w:t xml:space="preserve"> </w:t>
      </w:r>
      <w:r w:rsidR="0095234D" w:rsidRPr="001255F7">
        <w:rPr>
          <w:szCs w:val="22"/>
        </w:rPr>
        <w:t>This subgroup analysis was based on patients who were assumed to be treated on maximally-tolerated doses of first-line anti</w:t>
      </w:r>
      <w:r w:rsidR="00B7039E" w:rsidRPr="001255F7">
        <w:rPr>
          <w:szCs w:val="22"/>
        </w:rPr>
        <w:t>-</w:t>
      </w:r>
      <w:r w:rsidR="0095234D" w:rsidRPr="001255F7">
        <w:rPr>
          <w:szCs w:val="22"/>
        </w:rPr>
        <w:t>anginal therapies based on clinical parameters, and was selected on the basis that the population was more reflective of the proposed PBS-population.</w:t>
      </w:r>
    </w:p>
    <w:p w:rsidR="006E7C0D" w:rsidRPr="001255F7" w:rsidRDefault="006E7C0D" w:rsidP="00142D19">
      <w:pPr>
        <w:pStyle w:val="ListParagraph"/>
        <w:widowControl/>
        <w:rPr>
          <w:szCs w:val="22"/>
        </w:rPr>
      </w:pPr>
    </w:p>
    <w:p w:rsidR="002C02AA" w:rsidRPr="001255F7" w:rsidRDefault="002C02AA" w:rsidP="00142D19">
      <w:pPr>
        <w:pStyle w:val="ListParagraph"/>
        <w:widowControl/>
        <w:numPr>
          <w:ilvl w:val="1"/>
          <w:numId w:val="11"/>
        </w:numPr>
      </w:pPr>
      <w:r w:rsidRPr="001255F7">
        <w:rPr>
          <w:szCs w:val="22"/>
        </w:rPr>
        <w:t xml:space="preserve">There were a number of issues with the applicability of the </w:t>
      </w:r>
      <w:r w:rsidR="00D11B5C" w:rsidRPr="001255F7">
        <w:rPr>
          <w:szCs w:val="22"/>
        </w:rPr>
        <w:t xml:space="preserve">CARISA </w:t>
      </w:r>
      <w:r w:rsidRPr="001255F7">
        <w:rPr>
          <w:szCs w:val="22"/>
        </w:rPr>
        <w:t>trial results to the proposed PBS population:</w:t>
      </w:r>
    </w:p>
    <w:p w:rsidR="002C02AA" w:rsidRPr="001255F7" w:rsidRDefault="0095234D" w:rsidP="00142D19">
      <w:pPr>
        <w:pStyle w:val="ListParagraph"/>
        <w:widowControl/>
        <w:numPr>
          <w:ilvl w:val="0"/>
          <w:numId w:val="8"/>
        </w:numPr>
        <w:ind w:left="1077" w:hanging="357"/>
      </w:pPr>
      <w:r w:rsidRPr="001255F7">
        <w:t>Patients</w:t>
      </w:r>
      <w:r w:rsidR="00AA652A" w:rsidRPr="001255F7">
        <w:t xml:space="preserve"> </w:t>
      </w:r>
      <w:r w:rsidR="002C02AA" w:rsidRPr="001255F7">
        <w:t>were not required to be</w:t>
      </w:r>
      <w:r w:rsidR="00AA652A" w:rsidRPr="001255F7">
        <w:t xml:space="preserve"> taking maximum tolerated doses of a beta-blocker or a calcium channel blocker </w:t>
      </w:r>
      <w:r w:rsidR="006E7C0D" w:rsidRPr="001255F7">
        <w:t xml:space="preserve">nor </w:t>
      </w:r>
      <w:r w:rsidR="00AA652A" w:rsidRPr="001255F7">
        <w:t>have inadequate symptom control.</w:t>
      </w:r>
      <w:r w:rsidR="006E7C0D" w:rsidRPr="001255F7">
        <w:t xml:space="preserve"> </w:t>
      </w:r>
    </w:p>
    <w:p w:rsidR="0095234D" w:rsidRPr="001255F7" w:rsidRDefault="0095234D" w:rsidP="00142D19">
      <w:pPr>
        <w:pStyle w:val="ListParagraph"/>
        <w:widowControl/>
        <w:numPr>
          <w:ilvl w:val="0"/>
          <w:numId w:val="8"/>
        </w:numPr>
        <w:ind w:left="1077" w:hanging="357"/>
      </w:pPr>
      <w:r w:rsidRPr="001255F7">
        <w:t>Patients</w:t>
      </w:r>
      <w:r w:rsidR="002C02AA" w:rsidRPr="001255F7">
        <w:t xml:space="preserve"> were treated with either 750 mg or 1,000 mg twice daily ranolazine rather than 375 mg twice daily to be titrated upwards</w:t>
      </w:r>
      <w:r w:rsidR="00D0411F" w:rsidRPr="001255F7">
        <w:t xml:space="preserve"> to a maximum dose of 750</w:t>
      </w:r>
      <w:r w:rsidR="00D11B5C" w:rsidRPr="001255F7">
        <w:t> </w:t>
      </w:r>
      <w:r w:rsidR="00D0411F" w:rsidRPr="001255F7">
        <w:t>mg twice daily</w:t>
      </w:r>
      <w:r w:rsidR="002C02AA" w:rsidRPr="001255F7">
        <w:t xml:space="preserve"> </w:t>
      </w:r>
      <w:r w:rsidR="00962BA3" w:rsidRPr="001255F7">
        <w:t xml:space="preserve">based on patient tolerance </w:t>
      </w:r>
      <w:r w:rsidR="002C02AA" w:rsidRPr="001255F7">
        <w:t xml:space="preserve">(as </w:t>
      </w:r>
      <w:r w:rsidR="00D0411F" w:rsidRPr="001255F7">
        <w:t xml:space="preserve">recommended </w:t>
      </w:r>
      <w:r w:rsidR="002C02AA" w:rsidRPr="001255F7">
        <w:t xml:space="preserve">in the </w:t>
      </w:r>
      <w:r w:rsidR="00D0411F" w:rsidRPr="001255F7">
        <w:t>PI</w:t>
      </w:r>
      <w:r w:rsidR="002C02AA" w:rsidRPr="001255F7">
        <w:t>)</w:t>
      </w:r>
      <w:r w:rsidRPr="001255F7">
        <w:t xml:space="preserve">. </w:t>
      </w:r>
    </w:p>
    <w:p w:rsidR="00724ED2" w:rsidRPr="001255F7" w:rsidRDefault="00724ED2" w:rsidP="00142D19">
      <w:pPr>
        <w:widowControl/>
        <w:ind w:left="720"/>
      </w:pPr>
      <w:r w:rsidRPr="001255F7">
        <w:t>The</w:t>
      </w:r>
      <w:r w:rsidR="00105CB2">
        <w:t xml:space="preserve"> </w:t>
      </w:r>
      <w:r w:rsidRPr="001255F7">
        <w:t xml:space="preserve">population </w:t>
      </w:r>
      <w:r w:rsidR="00652C92" w:rsidRPr="001255F7">
        <w:t>had a high rate of angina attacks</w:t>
      </w:r>
      <w:r w:rsidRPr="001255F7">
        <w:t xml:space="preserve"> </w:t>
      </w:r>
      <w:r w:rsidR="006718A6" w:rsidRPr="001255F7">
        <w:t xml:space="preserve">at the start of the trial </w:t>
      </w:r>
      <w:r w:rsidRPr="001255F7">
        <w:t xml:space="preserve">and </w:t>
      </w:r>
      <w:r w:rsidR="000073CF" w:rsidRPr="001255F7">
        <w:t>there</w:t>
      </w:r>
      <w:r w:rsidR="006718A6" w:rsidRPr="001255F7">
        <w:t>fore it was unclear whether</w:t>
      </w:r>
      <w:r w:rsidR="000073CF" w:rsidRPr="001255F7">
        <w:t xml:space="preserve"> the population was </w:t>
      </w:r>
      <w:r w:rsidRPr="001255F7">
        <w:t xml:space="preserve">adequately treated with </w:t>
      </w:r>
      <w:r w:rsidR="000073CF" w:rsidRPr="001255F7">
        <w:t xml:space="preserve">first </w:t>
      </w:r>
      <w:r w:rsidRPr="001255F7">
        <w:t>line agents</w:t>
      </w:r>
      <w:r w:rsidR="003B388B" w:rsidRPr="001255F7">
        <w:t xml:space="preserve">. </w:t>
      </w:r>
      <w:r w:rsidR="006718A6" w:rsidRPr="001255F7">
        <w:t xml:space="preserve">If </w:t>
      </w:r>
      <w:r w:rsidR="003B388B" w:rsidRPr="001255F7">
        <w:t xml:space="preserve">the population </w:t>
      </w:r>
      <w:r w:rsidR="006718A6" w:rsidRPr="001255F7">
        <w:t>was</w:t>
      </w:r>
      <w:r w:rsidRPr="001255F7">
        <w:t xml:space="preserve"> under-treated at baseline</w:t>
      </w:r>
      <w:r w:rsidR="006718A6" w:rsidRPr="001255F7">
        <w:t>,</w:t>
      </w:r>
      <w:r w:rsidRPr="001255F7">
        <w:t xml:space="preserve"> and hence more receptive to active therapy</w:t>
      </w:r>
      <w:r w:rsidR="003B388B" w:rsidRPr="001255F7">
        <w:t>, the effect of ranolazine</w:t>
      </w:r>
      <w:r w:rsidR="006718A6" w:rsidRPr="001255F7">
        <w:t xml:space="preserve"> may have been overestimated in the trial compared to what would be </w:t>
      </w:r>
      <w:r w:rsidR="00944A9B" w:rsidRPr="001255F7">
        <w:t xml:space="preserve">achieved </w:t>
      </w:r>
      <w:r w:rsidR="006718A6" w:rsidRPr="001255F7">
        <w:t>in clinical practice</w:t>
      </w:r>
      <w:r w:rsidRPr="001255F7">
        <w:t>.</w:t>
      </w:r>
    </w:p>
    <w:p w:rsidR="00CC0AC1" w:rsidRPr="001255F7" w:rsidRDefault="00CC0AC1" w:rsidP="00142D19">
      <w:pPr>
        <w:widowControl/>
      </w:pPr>
    </w:p>
    <w:p w:rsidR="002C02AA" w:rsidRPr="001255F7" w:rsidRDefault="00D11B5C" w:rsidP="00142D19">
      <w:pPr>
        <w:pStyle w:val="ListParagraph"/>
        <w:widowControl/>
        <w:numPr>
          <w:ilvl w:val="1"/>
          <w:numId w:val="11"/>
        </w:numPr>
        <w:rPr>
          <w:szCs w:val="22"/>
        </w:rPr>
      </w:pPr>
      <w:r w:rsidRPr="001255F7">
        <w:rPr>
          <w:szCs w:val="22"/>
        </w:rPr>
        <w:t>Additional applicability issues i</w:t>
      </w:r>
      <w:r w:rsidR="002C02AA" w:rsidRPr="001255F7">
        <w:rPr>
          <w:szCs w:val="22"/>
        </w:rPr>
        <w:t>n t</w:t>
      </w:r>
      <w:r w:rsidR="002B72F2" w:rsidRPr="001255F7">
        <w:rPr>
          <w:szCs w:val="22"/>
        </w:rPr>
        <w:t>he post</w:t>
      </w:r>
      <w:r w:rsidR="00B940F1" w:rsidRPr="001255F7">
        <w:rPr>
          <w:szCs w:val="22"/>
        </w:rPr>
        <w:t>-</w:t>
      </w:r>
      <w:r w:rsidR="002B72F2" w:rsidRPr="001255F7">
        <w:rPr>
          <w:szCs w:val="22"/>
        </w:rPr>
        <w:t>hoc subgroup analysis of the CARISA trial (Lopez</w:t>
      </w:r>
      <w:r w:rsidR="009E0DCA" w:rsidRPr="001255F7">
        <w:rPr>
          <w:szCs w:val="22"/>
        </w:rPr>
        <w:t>-</w:t>
      </w:r>
      <w:r w:rsidR="002B72F2" w:rsidRPr="001255F7">
        <w:rPr>
          <w:szCs w:val="22"/>
        </w:rPr>
        <w:t>Se</w:t>
      </w:r>
      <w:r w:rsidR="009E0DCA" w:rsidRPr="001255F7">
        <w:rPr>
          <w:szCs w:val="22"/>
        </w:rPr>
        <w:t>n</w:t>
      </w:r>
      <w:r w:rsidR="002B72F2" w:rsidRPr="001255F7">
        <w:rPr>
          <w:szCs w:val="22"/>
        </w:rPr>
        <w:t>don (2012))</w:t>
      </w:r>
      <w:r w:rsidRPr="001255F7">
        <w:rPr>
          <w:szCs w:val="22"/>
        </w:rPr>
        <w:t xml:space="preserve"> include</w:t>
      </w:r>
      <w:r w:rsidR="002C02AA" w:rsidRPr="001255F7">
        <w:rPr>
          <w:szCs w:val="22"/>
        </w:rPr>
        <w:t>:</w:t>
      </w:r>
    </w:p>
    <w:p w:rsidR="0095234D" w:rsidRPr="001255F7" w:rsidRDefault="002C02AA" w:rsidP="00142D19">
      <w:pPr>
        <w:pStyle w:val="ListParagraph"/>
        <w:widowControl/>
        <w:numPr>
          <w:ilvl w:val="0"/>
          <w:numId w:val="9"/>
        </w:numPr>
        <w:ind w:left="1077" w:hanging="357"/>
        <w:rPr>
          <w:szCs w:val="22"/>
        </w:rPr>
      </w:pPr>
      <w:r w:rsidRPr="001255F7">
        <w:rPr>
          <w:szCs w:val="22"/>
        </w:rPr>
        <w:t>the characteristics</w:t>
      </w:r>
      <w:r w:rsidR="002B72F2" w:rsidRPr="001255F7">
        <w:rPr>
          <w:szCs w:val="22"/>
        </w:rPr>
        <w:t xml:space="preserve"> used </w:t>
      </w:r>
      <w:r w:rsidRPr="001255F7">
        <w:rPr>
          <w:szCs w:val="22"/>
        </w:rPr>
        <w:t>to identify patients being treated with maximum tolerated doses of background anti-anginal therapy were</w:t>
      </w:r>
      <w:r w:rsidR="002B72F2" w:rsidRPr="001255F7">
        <w:rPr>
          <w:szCs w:val="22"/>
        </w:rPr>
        <w:t xml:space="preserve"> not necessarily </w:t>
      </w:r>
      <w:r w:rsidRPr="001255F7">
        <w:rPr>
          <w:szCs w:val="22"/>
        </w:rPr>
        <w:t xml:space="preserve">consistent with those used in </w:t>
      </w:r>
      <w:r w:rsidR="00AA652A" w:rsidRPr="001255F7">
        <w:rPr>
          <w:szCs w:val="22"/>
        </w:rPr>
        <w:t>clinical practice</w:t>
      </w:r>
      <w:r w:rsidR="0095234D" w:rsidRPr="001255F7">
        <w:rPr>
          <w:szCs w:val="22"/>
        </w:rPr>
        <w:t>; and</w:t>
      </w:r>
    </w:p>
    <w:p w:rsidR="00AA652A" w:rsidRPr="001255F7" w:rsidRDefault="0095234D" w:rsidP="00142D19">
      <w:pPr>
        <w:pStyle w:val="ListParagraph"/>
        <w:widowControl/>
        <w:numPr>
          <w:ilvl w:val="0"/>
          <w:numId w:val="9"/>
        </w:numPr>
        <w:ind w:left="1077" w:hanging="357"/>
        <w:rPr>
          <w:szCs w:val="22"/>
        </w:rPr>
      </w:pPr>
      <w:r w:rsidRPr="001255F7">
        <w:rPr>
          <w:szCs w:val="22"/>
        </w:rPr>
        <w:t xml:space="preserve">the subgroup analyses were not pre-specified, and not adjusted for multiplicity. </w:t>
      </w:r>
    </w:p>
    <w:p w:rsidR="00AA652A" w:rsidRPr="002220DF" w:rsidRDefault="00AA652A" w:rsidP="00142D19">
      <w:pPr>
        <w:widowControl/>
        <w:rPr>
          <w:szCs w:val="22"/>
        </w:rPr>
      </w:pPr>
    </w:p>
    <w:p w:rsidR="00AA652A" w:rsidRPr="002220DF" w:rsidRDefault="00AA652A" w:rsidP="00142D19">
      <w:pPr>
        <w:pStyle w:val="Heading2"/>
        <w:widowControl/>
        <w:rPr>
          <w:i/>
        </w:rPr>
      </w:pPr>
      <w:bookmarkStart w:id="16" w:name="_Toc392858195"/>
      <w:bookmarkStart w:id="17" w:name="_Toc472515487"/>
      <w:r w:rsidRPr="002220DF">
        <w:rPr>
          <w:i/>
        </w:rPr>
        <w:t>Comparative effectiveness</w:t>
      </w:r>
      <w:bookmarkEnd w:id="16"/>
      <w:bookmarkEnd w:id="17"/>
    </w:p>
    <w:p w:rsidR="00AA652A" w:rsidRDefault="00AA652A" w:rsidP="00142D19">
      <w:pPr>
        <w:widowControl/>
        <w:rPr>
          <w:szCs w:val="22"/>
        </w:rPr>
      </w:pPr>
    </w:p>
    <w:p w:rsidR="004379C1" w:rsidRPr="001255F7" w:rsidRDefault="004379C1" w:rsidP="00FF5F86">
      <w:pPr>
        <w:pStyle w:val="Heading3"/>
      </w:pPr>
      <w:r w:rsidRPr="001255F7">
        <w:t>Direct comparison with placebo</w:t>
      </w:r>
    </w:p>
    <w:p w:rsidR="004379C1" w:rsidRPr="001255F7" w:rsidRDefault="004379C1" w:rsidP="00142D19">
      <w:pPr>
        <w:widowControl/>
        <w:rPr>
          <w:szCs w:val="22"/>
          <w:u w:val="single"/>
        </w:rPr>
      </w:pPr>
    </w:p>
    <w:p w:rsidR="00AA652A" w:rsidRPr="001255F7" w:rsidRDefault="00AA652A" w:rsidP="00142D19">
      <w:pPr>
        <w:pStyle w:val="ListParagraph"/>
        <w:widowControl/>
        <w:numPr>
          <w:ilvl w:val="1"/>
          <w:numId w:val="11"/>
        </w:numPr>
        <w:rPr>
          <w:szCs w:val="22"/>
        </w:rPr>
      </w:pPr>
      <w:r w:rsidRPr="001255F7">
        <w:rPr>
          <w:szCs w:val="22"/>
        </w:rPr>
        <w:t>The submission provided the results of the intent-to-treat population for the CARISA trial.</w:t>
      </w:r>
      <w:r w:rsidR="00C04EEE" w:rsidRPr="001255F7">
        <w:rPr>
          <w:szCs w:val="22"/>
        </w:rPr>
        <w:t xml:space="preserve"> S</w:t>
      </w:r>
      <w:r w:rsidRPr="001255F7">
        <w:rPr>
          <w:szCs w:val="22"/>
        </w:rPr>
        <w:t xml:space="preserve">upportive safety and efficacy data from the </w:t>
      </w:r>
      <w:r w:rsidR="00600999" w:rsidRPr="001255F7">
        <w:rPr>
          <w:szCs w:val="22"/>
        </w:rPr>
        <w:t xml:space="preserve">Koren (2007) </w:t>
      </w:r>
      <w:r w:rsidRPr="001255F7">
        <w:rPr>
          <w:szCs w:val="22"/>
        </w:rPr>
        <w:t>and ARETHA studies</w:t>
      </w:r>
      <w:r w:rsidR="00C04EEE" w:rsidRPr="001255F7">
        <w:rPr>
          <w:szCs w:val="22"/>
        </w:rPr>
        <w:t xml:space="preserve"> were provided</w:t>
      </w:r>
      <w:r w:rsidRPr="001255F7">
        <w:rPr>
          <w:szCs w:val="22"/>
        </w:rPr>
        <w:t xml:space="preserve">. </w:t>
      </w:r>
    </w:p>
    <w:p w:rsidR="00F5493C" w:rsidRPr="001255F7" w:rsidRDefault="00F5493C" w:rsidP="00142D19">
      <w:pPr>
        <w:widowControl/>
      </w:pPr>
    </w:p>
    <w:p w:rsidR="00AA652A" w:rsidRPr="001255F7" w:rsidRDefault="00AA652A" w:rsidP="00142D19">
      <w:pPr>
        <w:pStyle w:val="ListParagraph"/>
        <w:widowControl/>
        <w:numPr>
          <w:ilvl w:val="1"/>
          <w:numId w:val="11"/>
        </w:numPr>
        <w:rPr>
          <w:szCs w:val="22"/>
        </w:rPr>
      </w:pPr>
      <w:r w:rsidRPr="001255F7">
        <w:rPr>
          <w:szCs w:val="22"/>
        </w:rPr>
        <w:t xml:space="preserve">Table 4 summarises the primary efficacy outcome of change from baseline in </w:t>
      </w:r>
      <w:r w:rsidR="00EA460F" w:rsidRPr="001255F7">
        <w:rPr>
          <w:szCs w:val="22"/>
        </w:rPr>
        <w:t>ETT</w:t>
      </w:r>
      <w:r w:rsidRPr="001255F7">
        <w:rPr>
          <w:szCs w:val="22"/>
        </w:rPr>
        <w:t xml:space="preserve"> duration for ranolazine 750 mg twice daily, compared with placebo from the CARISA trial.</w:t>
      </w:r>
    </w:p>
    <w:p w:rsidR="00AA652A" w:rsidRPr="002220DF" w:rsidRDefault="00AA652A" w:rsidP="00142D19">
      <w:pPr>
        <w:widowControl/>
        <w:rPr>
          <w:szCs w:val="22"/>
        </w:rPr>
      </w:pPr>
    </w:p>
    <w:p w:rsidR="008F3AEE" w:rsidRPr="002220DF" w:rsidRDefault="00AA652A" w:rsidP="00142D19">
      <w:pPr>
        <w:keepNext/>
        <w:widowControl/>
        <w:ind w:firstLine="720"/>
        <w:rPr>
          <w:rStyle w:val="CommentReference"/>
        </w:rPr>
      </w:pPr>
      <w:r w:rsidRPr="002220DF">
        <w:rPr>
          <w:rStyle w:val="CommentReference"/>
        </w:rPr>
        <w:t xml:space="preserve">Table 4: Results of increase in ETT duration from baseline </w:t>
      </w:r>
      <w:r w:rsidR="0095234D">
        <w:rPr>
          <w:rStyle w:val="CommentReference"/>
        </w:rPr>
        <w:t>in</w:t>
      </w:r>
      <w:r w:rsidR="0095234D" w:rsidRPr="002220DF">
        <w:rPr>
          <w:rStyle w:val="CommentReference"/>
        </w:rPr>
        <w:t xml:space="preserve"> </w:t>
      </w:r>
      <w:r w:rsidRPr="002220DF">
        <w:rPr>
          <w:rStyle w:val="CommentReference"/>
        </w:rPr>
        <w:t xml:space="preserve">the direct randomised trial </w:t>
      </w:r>
      <w:r w:rsidR="008F3AEE" w:rsidRPr="002220DF">
        <w:rPr>
          <w:rStyle w:val="CommentReference"/>
        </w:rPr>
        <w:t xml:space="preserve"> </w:t>
      </w:r>
    </w:p>
    <w:tbl>
      <w:tblPr>
        <w:tblW w:w="461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42"/>
        <w:gridCol w:w="1469"/>
        <w:gridCol w:w="1924"/>
        <w:gridCol w:w="1921"/>
        <w:gridCol w:w="1918"/>
      </w:tblGrid>
      <w:tr w:rsidR="008F3AEE" w:rsidRPr="002220DF" w:rsidTr="00044665">
        <w:trPr>
          <w:tblHeader/>
        </w:trPr>
        <w:tc>
          <w:tcPr>
            <w:tcW w:w="682" w:type="pct"/>
            <w:shd w:val="clear" w:color="auto" w:fill="auto"/>
            <w:vAlign w:val="center"/>
          </w:tcPr>
          <w:p w:rsidR="008F3AEE" w:rsidRPr="002220DF" w:rsidRDefault="008F3AEE" w:rsidP="00142D19">
            <w:pPr>
              <w:keepNext/>
              <w:widowControl/>
              <w:jc w:val="left"/>
              <w:rPr>
                <w:rFonts w:ascii="Arial Narrow" w:hAnsi="Arial Narrow"/>
                <w:b/>
                <w:sz w:val="20"/>
                <w:lang w:val="en-US"/>
              </w:rPr>
            </w:pPr>
            <w:r w:rsidRPr="002220DF">
              <w:rPr>
                <w:rFonts w:ascii="Arial Narrow" w:hAnsi="Arial Narrow"/>
                <w:b/>
                <w:sz w:val="20"/>
                <w:lang w:val="en-US"/>
              </w:rPr>
              <w:t>Trial ID</w:t>
            </w:r>
          </w:p>
        </w:tc>
        <w:tc>
          <w:tcPr>
            <w:tcW w:w="877" w:type="pct"/>
            <w:vAlign w:val="center"/>
          </w:tcPr>
          <w:p w:rsidR="00BE461A" w:rsidRPr="002220DF" w:rsidRDefault="00BE461A" w:rsidP="00142D19">
            <w:pPr>
              <w:pStyle w:val="Tabletext"/>
              <w:keepNext/>
              <w:jc w:val="center"/>
              <w:rPr>
                <w:b/>
              </w:rPr>
            </w:pPr>
            <w:r w:rsidRPr="002220DF">
              <w:rPr>
                <w:b/>
              </w:rPr>
              <w:t>Ranolazine</w:t>
            </w:r>
          </w:p>
          <w:p w:rsidR="00BE461A" w:rsidRPr="002220DF" w:rsidRDefault="00BE461A" w:rsidP="00142D19">
            <w:pPr>
              <w:pStyle w:val="Tabletext"/>
              <w:keepNext/>
              <w:jc w:val="center"/>
              <w:rPr>
                <w:b/>
              </w:rPr>
            </w:pPr>
            <w:r w:rsidRPr="002220DF">
              <w:rPr>
                <w:b/>
              </w:rPr>
              <w:t>750 mg BID</w:t>
            </w:r>
          </w:p>
          <w:p w:rsidR="008F3AEE" w:rsidRPr="002220DF" w:rsidRDefault="000A334E" w:rsidP="00142D19">
            <w:pPr>
              <w:pStyle w:val="Tabletext"/>
              <w:keepNext/>
              <w:jc w:val="center"/>
              <w:rPr>
                <w:b/>
              </w:rPr>
            </w:pPr>
            <w:r w:rsidRPr="002220DF">
              <w:rPr>
                <w:b/>
              </w:rPr>
              <w:t xml:space="preserve">LS </w:t>
            </w:r>
            <w:r w:rsidR="00BE461A" w:rsidRPr="002220DF">
              <w:rPr>
                <w:b/>
              </w:rPr>
              <w:t>mean (SE)</w:t>
            </w:r>
            <w:r w:rsidRPr="002220DF">
              <w:rPr>
                <w:b/>
              </w:rPr>
              <w:t xml:space="preserve"> </w:t>
            </w:r>
            <w:r w:rsidRPr="002220DF">
              <w:rPr>
                <w:b/>
                <w:vertAlign w:val="superscript"/>
              </w:rPr>
              <w:t>a</w:t>
            </w:r>
          </w:p>
        </w:tc>
        <w:tc>
          <w:tcPr>
            <w:tcW w:w="1149" w:type="pct"/>
            <w:vAlign w:val="center"/>
          </w:tcPr>
          <w:p w:rsidR="00BE461A" w:rsidRPr="002220DF" w:rsidRDefault="00BE461A" w:rsidP="00142D19">
            <w:pPr>
              <w:pStyle w:val="Tabletext"/>
              <w:keepNext/>
              <w:jc w:val="center"/>
              <w:rPr>
                <w:b/>
              </w:rPr>
            </w:pPr>
            <w:r w:rsidRPr="002220DF">
              <w:rPr>
                <w:b/>
              </w:rPr>
              <w:t>Placebo</w:t>
            </w:r>
          </w:p>
          <w:p w:rsidR="008F3AEE" w:rsidRPr="002220DF" w:rsidRDefault="000A334E" w:rsidP="00142D19">
            <w:pPr>
              <w:pStyle w:val="Tabletext"/>
              <w:keepNext/>
              <w:jc w:val="center"/>
              <w:rPr>
                <w:b/>
              </w:rPr>
            </w:pPr>
            <w:r w:rsidRPr="002220DF">
              <w:rPr>
                <w:b/>
              </w:rPr>
              <w:t>LS mean</w:t>
            </w:r>
            <w:r w:rsidR="00BE461A" w:rsidRPr="002220DF">
              <w:rPr>
                <w:b/>
              </w:rPr>
              <w:t xml:space="preserve"> (SE)</w:t>
            </w:r>
            <w:r w:rsidRPr="002220DF">
              <w:rPr>
                <w:b/>
              </w:rPr>
              <w:t xml:space="preserve"> </w:t>
            </w:r>
            <w:r w:rsidRPr="002220DF">
              <w:rPr>
                <w:b/>
                <w:vertAlign w:val="superscript"/>
              </w:rPr>
              <w:t>a</w:t>
            </w:r>
          </w:p>
        </w:tc>
        <w:tc>
          <w:tcPr>
            <w:tcW w:w="1147" w:type="pct"/>
            <w:vAlign w:val="center"/>
          </w:tcPr>
          <w:p w:rsidR="008F3AEE" w:rsidRPr="002220DF" w:rsidRDefault="008F3AEE" w:rsidP="00142D19">
            <w:pPr>
              <w:pStyle w:val="Tabletext"/>
              <w:keepNext/>
              <w:jc w:val="center"/>
              <w:rPr>
                <w:b/>
              </w:rPr>
            </w:pPr>
            <w:r w:rsidRPr="002220DF">
              <w:rPr>
                <w:b/>
              </w:rPr>
              <w:t>Mean difference</w:t>
            </w:r>
            <w:r w:rsidR="003719B9" w:rsidRPr="002220DF">
              <w:rPr>
                <w:b/>
              </w:rPr>
              <w:t xml:space="preserve"> (s)</w:t>
            </w:r>
          </w:p>
          <w:p w:rsidR="008F3AEE" w:rsidRPr="002220DF" w:rsidRDefault="008F3AEE" w:rsidP="00142D19">
            <w:pPr>
              <w:keepNext/>
              <w:widowControl/>
              <w:jc w:val="center"/>
              <w:rPr>
                <w:rFonts w:ascii="Arial Narrow" w:hAnsi="Arial Narrow"/>
                <w:b/>
                <w:sz w:val="20"/>
                <w:lang w:val="en-US"/>
              </w:rPr>
            </w:pPr>
            <w:r w:rsidRPr="002220DF">
              <w:rPr>
                <w:rFonts w:ascii="Arial Narrow" w:hAnsi="Arial Narrow"/>
                <w:b/>
                <w:sz w:val="20"/>
              </w:rPr>
              <w:t>(95% CI)</w:t>
            </w:r>
          </w:p>
        </w:tc>
        <w:tc>
          <w:tcPr>
            <w:tcW w:w="1145" w:type="pct"/>
            <w:vAlign w:val="center"/>
          </w:tcPr>
          <w:p w:rsidR="008F3AEE" w:rsidRPr="002220DF" w:rsidRDefault="008F3AEE" w:rsidP="00142D19">
            <w:pPr>
              <w:keepNext/>
              <w:widowControl/>
              <w:jc w:val="center"/>
              <w:rPr>
                <w:rFonts w:ascii="Arial Narrow" w:hAnsi="Arial Narrow"/>
                <w:b/>
                <w:sz w:val="20"/>
                <w:lang w:val="en-US"/>
              </w:rPr>
            </w:pPr>
            <w:r w:rsidRPr="002220DF">
              <w:rPr>
                <w:rFonts w:ascii="Arial Narrow" w:hAnsi="Arial Narrow"/>
                <w:b/>
                <w:sz w:val="20"/>
              </w:rPr>
              <w:t>P-</w:t>
            </w:r>
            <w:r w:rsidR="000A334E" w:rsidRPr="002220DF">
              <w:rPr>
                <w:rFonts w:ascii="Arial Narrow" w:hAnsi="Arial Narrow"/>
                <w:b/>
                <w:sz w:val="20"/>
              </w:rPr>
              <w:t>value</w:t>
            </w:r>
            <w:r w:rsidR="000A334E" w:rsidRPr="002220DF">
              <w:rPr>
                <w:rFonts w:ascii="Arial Narrow" w:hAnsi="Arial Narrow"/>
                <w:b/>
                <w:sz w:val="20"/>
                <w:vertAlign w:val="superscript"/>
              </w:rPr>
              <w:t>b</w:t>
            </w:r>
          </w:p>
        </w:tc>
      </w:tr>
      <w:tr w:rsidR="008F3AEE" w:rsidRPr="002220DF" w:rsidTr="008F3AEE">
        <w:tc>
          <w:tcPr>
            <w:tcW w:w="682" w:type="pct"/>
            <w:shd w:val="clear" w:color="auto" w:fill="auto"/>
            <w:vAlign w:val="center"/>
          </w:tcPr>
          <w:p w:rsidR="008F3AEE" w:rsidRPr="002220DF" w:rsidRDefault="008F3AEE" w:rsidP="00142D19">
            <w:pPr>
              <w:keepNext/>
              <w:widowControl/>
              <w:jc w:val="left"/>
              <w:rPr>
                <w:rFonts w:ascii="Arial Narrow" w:hAnsi="Arial Narrow"/>
                <w:sz w:val="20"/>
                <w:lang w:val="en-US"/>
              </w:rPr>
            </w:pPr>
            <w:r w:rsidRPr="002220DF">
              <w:rPr>
                <w:rFonts w:ascii="Arial Narrow" w:hAnsi="Arial Narrow"/>
                <w:sz w:val="20"/>
                <w:lang w:val="en-US"/>
              </w:rPr>
              <w:t>CARISA</w:t>
            </w:r>
          </w:p>
        </w:tc>
        <w:tc>
          <w:tcPr>
            <w:tcW w:w="877" w:type="pct"/>
            <w:vAlign w:val="center"/>
          </w:tcPr>
          <w:p w:rsidR="008F3AEE" w:rsidRPr="002220DF" w:rsidRDefault="008F3AEE" w:rsidP="00142D19">
            <w:pPr>
              <w:keepNext/>
              <w:widowControl/>
              <w:jc w:val="center"/>
              <w:rPr>
                <w:rFonts w:ascii="Arial Narrow" w:hAnsi="Arial Narrow"/>
                <w:sz w:val="20"/>
                <w:lang w:val="en-US"/>
              </w:rPr>
            </w:pPr>
            <w:r w:rsidRPr="002220DF">
              <w:rPr>
                <w:rFonts w:ascii="Arial Narrow" w:hAnsi="Arial Narrow"/>
                <w:sz w:val="20"/>
              </w:rPr>
              <w:t>115.4 (8.0)</w:t>
            </w:r>
          </w:p>
        </w:tc>
        <w:tc>
          <w:tcPr>
            <w:tcW w:w="1149" w:type="pct"/>
            <w:vAlign w:val="center"/>
          </w:tcPr>
          <w:p w:rsidR="008F3AEE" w:rsidRPr="002220DF" w:rsidRDefault="008F3AEE" w:rsidP="00142D19">
            <w:pPr>
              <w:keepNext/>
              <w:widowControl/>
              <w:jc w:val="center"/>
              <w:rPr>
                <w:rFonts w:ascii="Arial Narrow" w:hAnsi="Arial Narrow"/>
                <w:sz w:val="20"/>
                <w:lang w:val="en-US"/>
              </w:rPr>
            </w:pPr>
            <w:r w:rsidRPr="002220DF">
              <w:rPr>
                <w:rFonts w:ascii="Arial Narrow" w:hAnsi="Arial Narrow"/>
                <w:sz w:val="20"/>
              </w:rPr>
              <w:t>91.</w:t>
            </w:r>
            <w:r w:rsidR="005E419C" w:rsidRPr="002220DF">
              <w:rPr>
                <w:rFonts w:ascii="Arial Narrow" w:hAnsi="Arial Narrow"/>
                <w:sz w:val="20"/>
              </w:rPr>
              <w:t>7</w:t>
            </w:r>
            <w:r w:rsidR="000A334E" w:rsidRPr="002220DF">
              <w:rPr>
                <w:rFonts w:ascii="Arial Narrow" w:hAnsi="Arial Narrow"/>
                <w:sz w:val="20"/>
              </w:rPr>
              <w:t xml:space="preserve"> </w:t>
            </w:r>
            <w:r w:rsidRPr="002220DF">
              <w:rPr>
                <w:rFonts w:ascii="Arial Narrow" w:hAnsi="Arial Narrow"/>
                <w:sz w:val="20"/>
              </w:rPr>
              <w:t>(8.3)</w:t>
            </w:r>
          </w:p>
        </w:tc>
        <w:tc>
          <w:tcPr>
            <w:tcW w:w="1147" w:type="pct"/>
            <w:vAlign w:val="center"/>
          </w:tcPr>
          <w:p w:rsidR="008F3AEE" w:rsidRPr="002220DF" w:rsidRDefault="008F3AEE" w:rsidP="00142D19">
            <w:pPr>
              <w:keepNext/>
              <w:widowControl/>
              <w:jc w:val="center"/>
              <w:rPr>
                <w:rFonts w:ascii="Arial Narrow" w:hAnsi="Arial Narrow"/>
                <w:sz w:val="20"/>
                <w:lang w:val="en-US"/>
              </w:rPr>
            </w:pPr>
            <w:r w:rsidRPr="002220DF">
              <w:rPr>
                <w:rFonts w:ascii="Arial Narrow" w:hAnsi="Arial Narrow"/>
                <w:sz w:val="20"/>
              </w:rPr>
              <w:t>23.7 (2.3, 45.1)</w:t>
            </w:r>
          </w:p>
        </w:tc>
        <w:tc>
          <w:tcPr>
            <w:tcW w:w="1145" w:type="pct"/>
            <w:vAlign w:val="center"/>
          </w:tcPr>
          <w:p w:rsidR="008F3AEE" w:rsidRPr="002220DF" w:rsidRDefault="008F3AEE" w:rsidP="00142D19">
            <w:pPr>
              <w:keepNext/>
              <w:widowControl/>
              <w:jc w:val="center"/>
              <w:rPr>
                <w:rFonts w:ascii="Arial Narrow" w:hAnsi="Arial Narrow"/>
                <w:sz w:val="20"/>
                <w:lang w:val="en-US"/>
              </w:rPr>
            </w:pPr>
            <w:r w:rsidRPr="002220DF">
              <w:rPr>
                <w:rFonts w:ascii="Arial Narrow" w:hAnsi="Arial Narrow"/>
                <w:b/>
                <w:sz w:val="20"/>
              </w:rPr>
              <w:t>0.030</w:t>
            </w:r>
          </w:p>
        </w:tc>
      </w:tr>
    </w:tbl>
    <w:p w:rsidR="00AA652A" w:rsidRPr="002220DF" w:rsidRDefault="00AA652A" w:rsidP="00142D19">
      <w:pPr>
        <w:pStyle w:val="TableFooter"/>
        <w:widowControl/>
        <w:ind w:left="709"/>
      </w:pPr>
      <w:r w:rsidRPr="002220DF">
        <w:t xml:space="preserve">Source: Table B-31, p83 of the submission and 2.0.0.1, p383 of the </w:t>
      </w:r>
      <w:r w:rsidR="009165A7" w:rsidRPr="002220DF">
        <w:t>clinical study report</w:t>
      </w:r>
      <w:r w:rsidRPr="002220DF">
        <w:t xml:space="preserve">. </w:t>
      </w:r>
    </w:p>
    <w:p w:rsidR="00AA652A" w:rsidRPr="002220DF" w:rsidRDefault="00AA652A" w:rsidP="00142D19">
      <w:pPr>
        <w:pStyle w:val="TableFooter"/>
        <w:widowControl/>
        <w:ind w:left="709"/>
      </w:pPr>
      <w:r w:rsidRPr="002220DF">
        <w:t xml:space="preserve">BID = </w:t>
      </w:r>
      <w:r w:rsidR="003E16C9">
        <w:t>twice daily</w:t>
      </w:r>
      <w:r w:rsidRPr="002220DF">
        <w:t xml:space="preserve">; ETT = exercise tolerance test; s = seconds; </w:t>
      </w:r>
      <w:r w:rsidR="003719B9" w:rsidRPr="002220DF">
        <w:t>CI = confidence interval; standard error</w:t>
      </w:r>
      <w:r w:rsidR="00EB7CA7" w:rsidRPr="002220DF">
        <w:t xml:space="preserve"> = SE</w:t>
      </w:r>
    </w:p>
    <w:p w:rsidR="001C3F90" w:rsidRPr="002220DF" w:rsidRDefault="001C3F90" w:rsidP="00142D19">
      <w:pPr>
        <w:pStyle w:val="TableFooter"/>
        <w:widowControl/>
        <w:ind w:left="709"/>
        <w:rPr>
          <w:b/>
        </w:rPr>
      </w:pPr>
      <w:r w:rsidRPr="002220DF">
        <w:rPr>
          <w:b/>
        </w:rPr>
        <w:t>Bold = statistically significant</w:t>
      </w:r>
    </w:p>
    <w:p w:rsidR="00AA652A" w:rsidRPr="002220DF" w:rsidRDefault="00AA652A" w:rsidP="00142D19">
      <w:pPr>
        <w:pStyle w:val="TableFooter"/>
        <w:widowControl/>
        <w:ind w:left="709"/>
      </w:pPr>
      <w:r w:rsidRPr="002220DF">
        <w:rPr>
          <w:vertAlign w:val="superscript"/>
        </w:rPr>
        <w:t>a</w:t>
      </w:r>
      <w:r w:rsidR="008A0B19" w:rsidRPr="002220DF">
        <w:rPr>
          <w:vertAlign w:val="superscript"/>
        </w:rPr>
        <w:t xml:space="preserve"> </w:t>
      </w:r>
      <w:r w:rsidR="00EB7CA7" w:rsidRPr="002220DF">
        <w:rPr>
          <w:vertAlign w:val="superscript"/>
        </w:rPr>
        <w:t xml:space="preserve"> </w:t>
      </w:r>
      <w:r w:rsidRPr="002220DF">
        <w:t>Mean and corresponding standard error are least-square mean estimates from the analysis of covariance model</w:t>
      </w:r>
    </w:p>
    <w:p w:rsidR="00AA652A" w:rsidRPr="002220DF" w:rsidRDefault="00AA652A" w:rsidP="00142D19">
      <w:pPr>
        <w:pStyle w:val="TableFooter"/>
        <w:widowControl/>
        <w:ind w:left="709"/>
      </w:pPr>
      <w:r w:rsidRPr="002220DF">
        <w:rPr>
          <w:vertAlign w:val="superscript"/>
        </w:rPr>
        <w:t>b</w:t>
      </w:r>
      <w:r w:rsidR="00EB7CA7" w:rsidRPr="002220DF">
        <w:rPr>
          <w:vertAlign w:val="superscript"/>
        </w:rPr>
        <w:t xml:space="preserve"> </w:t>
      </w:r>
      <w:r w:rsidR="008A0B19" w:rsidRPr="002220DF">
        <w:rPr>
          <w:vertAlign w:val="superscript"/>
        </w:rPr>
        <w:t xml:space="preserve"> </w:t>
      </w:r>
      <w:r w:rsidRPr="002220DF">
        <w:t>P-values obtained from analysis of covariance model adjusted for stated effects</w:t>
      </w:r>
    </w:p>
    <w:p w:rsidR="003762A1" w:rsidRPr="002220DF" w:rsidRDefault="003762A1" w:rsidP="00142D19">
      <w:pPr>
        <w:pStyle w:val="TableFooter"/>
        <w:widowControl/>
        <w:ind w:left="709"/>
        <w:rPr>
          <w:b/>
        </w:rPr>
      </w:pPr>
    </w:p>
    <w:p w:rsidR="000358DD" w:rsidRPr="001255F7" w:rsidRDefault="00C04EEE" w:rsidP="00142D19">
      <w:pPr>
        <w:pStyle w:val="ListParagraph"/>
        <w:widowControl/>
        <w:numPr>
          <w:ilvl w:val="1"/>
          <w:numId w:val="11"/>
        </w:numPr>
      </w:pPr>
      <w:r w:rsidRPr="001255F7">
        <w:t>The mean increase in ETT for p</w:t>
      </w:r>
      <w:r w:rsidR="003762A1" w:rsidRPr="001255F7">
        <w:t xml:space="preserve">atients treated with twice daily ranolazine at a dose of 750 mg </w:t>
      </w:r>
      <w:r w:rsidRPr="001255F7">
        <w:t>was</w:t>
      </w:r>
      <w:r w:rsidR="003762A1" w:rsidRPr="001255F7">
        <w:t xml:space="preserve"> approximately 24 seconds </w:t>
      </w:r>
      <w:r w:rsidR="00D934C1" w:rsidRPr="001255F7">
        <w:t xml:space="preserve">longer </w:t>
      </w:r>
      <w:r w:rsidR="003762A1" w:rsidRPr="001255F7">
        <w:t>compared with patients in the placebo comparator arm</w:t>
      </w:r>
      <w:r w:rsidR="00E07C1D" w:rsidRPr="001255F7">
        <w:t>.</w:t>
      </w:r>
      <w:r w:rsidR="000358DD" w:rsidRPr="001255F7">
        <w:t xml:space="preserve"> </w:t>
      </w:r>
      <w:r w:rsidR="00EA460F" w:rsidRPr="001255F7">
        <w:t>These ETT results were used in the submission to support the clinical claim of superior efficacy over placebo. The clinical relevance of ETT as an outcome</w:t>
      </w:r>
      <w:r w:rsidR="00105CB2">
        <w:t>,</w:t>
      </w:r>
      <w:r w:rsidR="00EA460F" w:rsidRPr="001255F7">
        <w:t xml:space="preserve"> and whether </w:t>
      </w:r>
      <w:r w:rsidR="00BB1206" w:rsidRPr="001255F7">
        <w:t>an</w:t>
      </w:r>
      <w:r w:rsidR="00DD6C35" w:rsidRPr="001255F7">
        <w:t xml:space="preserve"> improvement</w:t>
      </w:r>
      <w:r w:rsidR="00BB1206" w:rsidRPr="001255F7">
        <w:t xml:space="preserve"> of </w:t>
      </w:r>
      <w:r w:rsidR="00B177A0" w:rsidRPr="001255F7">
        <w:t xml:space="preserve">approximately </w:t>
      </w:r>
      <w:r w:rsidR="00BB1206" w:rsidRPr="001255F7">
        <w:t>24 seconds</w:t>
      </w:r>
      <w:r w:rsidR="000358DD" w:rsidRPr="001255F7">
        <w:t xml:space="preserve"> would represent a clinically significant patient outcome in the management of chronic, symptomatic stable </w:t>
      </w:r>
      <w:r w:rsidR="001508E0" w:rsidRPr="001255F7">
        <w:t>angina</w:t>
      </w:r>
      <w:r w:rsidR="00105CB2">
        <w:t>,</w:t>
      </w:r>
      <w:r w:rsidR="00EA460F" w:rsidRPr="001255F7">
        <w:t xml:space="preserve"> is unclear</w:t>
      </w:r>
      <w:r w:rsidR="000358DD" w:rsidRPr="001255F7">
        <w:t>.</w:t>
      </w:r>
      <w:r w:rsidR="00E569CF" w:rsidRPr="001255F7">
        <w:t xml:space="preserve"> The ESC</w:t>
      </w:r>
      <w:r w:rsidR="00006757" w:rsidRPr="001255F7">
        <w:t xml:space="preserve"> </w:t>
      </w:r>
      <w:r w:rsidR="00944A9B" w:rsidRPr="001255F7">
        <w:t>considered that</w:t>
      </w:r>
      <w:r w:rsidR="00E569CF" w:rsidRPr="001255F7">
        <w:t xml:space="preserve"> the clinical significance of</w:t>
      </w:r>
      <w:r w:rsidR="00006757" w:rsidRPr="001255F7">
        <w:t xml:space="preserve"> an improvement in</w:t>
      </w:r>
      <w:r w:rsidR="00E569CF" w:rsidRPr="001255F7">
        <w:t xml:space="preserve"> ETT</w:t>
      </w:r>
      <w:r w:rsidR="00006757" w:rsidRPr="001255F7">
        <w:t xml:space="preserve"> by 24 seconds</w:t>
      </w:r>
      <w:r w:rsidR="00E569CF" w:rsidRPr="001255F7">
        <w:t xml:space="preserve"> was </w:t>
      </w:r>
      <w:r w:rsidR="00CF5A36" w:rsidRPr="001255F7">
        <w:t>questionable</w:t>
      </w:r>
      <w:r w:rsidR="00E569CF" w:rsidRPr="001255F7">
        <w:t>.</w:t>
      </w:r>
    </w:p>
    <w:p w:rsidR="003762A1" w:rsidRPr="001255F7" w:rsidRDefault="003762A1" w:rsidP="00142D19">
      <w:pPr>
        <w:widowControl/>
        <w:rPr>
          <w:szCs w:val="22"/>
        </w:rPr>
      </w:pPr>
    </w:p>
    <w:p w:rsidR="00B177A0" w:rsidRPr="001255F7" w:rsidRDefault="00B177A0" w:rsidP="00142D19">
      <w:pPr>
        <w:pStyle w:val="ListParagraph"/>
        <w:widowControl/>
        <w:numPr>
          <w:ilvl w:val="1"/>
          <w:numId w:val="11"/>
        </w:numPr>
        <w:rPr>
          <w:szCs w:val="22"/>
        </w:rPr>
      </w:pPr>
      <w:r w:rsidRPr="001255F7">
        <w:rPr>
          <w:szCs w:val="22"/>
        </w:rPr>
        <w:t xml:space="preserve">In the economic evaluation, the submission modelled improvements in angina frequency and nitroglycerin frequency as reported in Lopez-Sendon (2012). </w:t>
      </w:r>
      <w:r w:rsidR="001E40FA" w:rsidRPr="001255F7">
        <w:rPr>
          <w:szCs w:val="22"/>
        </w:rPr>
        <w:t xml:space="preserve">As with ETT, the clinical </w:t>
      </w:r>
      <w:r w:rsidR="001E40FA" w:rsidRPr="001255F7">
        <w:t>relevance of these outcomes, and whether the reported improvements would represent clinically significant patient outcomes in the management of chronic, symptomatic stable angina, is unclear.</w:t>
      </w:r>
    </w:p>
    <w:p w:rsidR="00B177A0" w:rsidRPr="001255F7" w:rsidRDefault="00B177A0" w:rsidP="00142D19">
      <w:pPr>
        <w:pStyle w:val="ListParagraph"/>
        <w:widowControl/>
        <w:rPr>
          <w:szCs w:val="22"/>
        </w:rPr>
      </w:pPr>
    </w:p>
    <w:p w:rsidR="009C0FDB" w:rsidRPr="001255F7" w:rsidRDefault="009C0FDB" w:rsidP="00142D19">
      <w:pPr>
        <w:pStyle w:val="ListParagraph"/>
        <w:widowControl/>
        <w:numPr>
          <w:ilvl w:val="1"/>
          <w:numId w:val="11"/>
        </w:numPr>
        <w:rPr>
          <w:szCs w:val="22"/>
        </w:rPr>
      </w:pPr>
      <w:r w:rsidRPr="001255F7">
        <w:rPr>
          <w:szCs w:val="22"/>
        </w:rPr>
        <w:t xml:space="preserve">Table </w:t>
      </w:r>
      <w:r w:rsidR="00063A84" w:rsidRPr="001255F7">
        <w:rPr>
          <w:szCs w:val="22"/>
        </w:rPr>
        <w:t xml:space="preserve">5 </w:t>
      </w:r>
      <w:r w:rsidRPr="001255F7">
        <w:rPr>
          <w:szCs w:val="22"/>
        </w:rPr>
        <w:t>s</w:t>
      </w:r>
      <w:r w:rsidR="003E16C9" w:rsidRPr="001255F7">
        <w:rPr>
          <w:szCs w:val="22"/>
        </w:rPr>
        <w:t xml:space="preserve">ummarises </w:t>
      </w:r>
      <w:r w:rsidRPr="001255F7">
        <w:rPr>
          <w:szCs w:val="22"/>
        </w:rPr>
        <w:t xml:space="preserve">the change from baseline in normalised angina frequency over 12 weeks. </w:t>
      </w:r>
    </w:p>
    <w:p w:rsidR="00576F4D" w:rsidRPr="002220DF" w:rsidRDefault="00576F4D" w:rsidP="00142D19">
      <w:pPr>
        <w:keepNext/>
        <w:widowControl/>
        <w:ind w:left="709"/>
        <w:rPr>
          <w:rStyle w:val="CommentReference"/>
        </w:rPr>
      </w:pPr>
    </w:p>
    <w:p w:rsidR="009C0FDB" w:rsidRPr="002220DF" w:rsidRDefault="009C0FDB" w:rsidP="00142D19">
      <w:pPr>
        <w:keepNext/>
        <w:widowControl/>
        <w:ind w:left="709"/>
        <w:rPr>
          <w:rStyle w:val="CommentReference"/>
        </w:rPr>
      </w:pPr>
      <w:r w:rsidRPr="002220DF">
        <w:rPr>
          <w:rStyle w:val="CommentReference"/>
        </w:rPr>
        <w:t xml:space="preserve">Table </w:t>
      </w:r>
      <w:r w:rsidR="00063A84" w:rsidRPr="002220DF">
        <w:rPr>
          <w:rStyle w:val="CommentReference"/>
        </w:rPr>
        <w:t>5</w:t>
      </w:r>
      <w:r w:rsidRPr="002220DF">
        <w:rPr>
          <w:rStyle w:val="CommentReference"/>
        </w:rPr>
        <w:t xml:space="preserve">: Change from baseline in normalised angina frequency </w:t>
      </w:r>
      <w:r w:rsidR="00D72108">
        <w:rPr>
          <w:rStyle w:val="CommentReference"/>
        </w:rPr>
        <w:t xml:space="preserve">(per week) </w:t>
      </w:r>
      <w:r w:rsidRPr="002220DF">
        <w:rPr>
          <w:rStyle w:val="CommentReference"/>
        </w:rPr>
        <w:t xml:space="preserve">over 12 weeks </w:t>
      </w:r>
    </w:p>
    <w:tbl>
      <w:tblPr>
        <w:tblW w:w="4501"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36"/>
        <w:gridCol w:w="1926"/>
        <w:gridCol w:w="1221"/>
        <w:gridCol w:w="1923"/>
        <w:gridCol w:w="1370"/>
      </w:tblGrid>
      <w:tr w:rsidR="00BE461A" w:rsidRPr="002220DF" w:rsidTr="00897FD6">
        <w:trPr>
          <w:tblHeader/>
        </w:trPr>
        <w:tc>
          <w:tcPr>
            <w:tcW w:w="1061" w:type="pct"/>
            <w:shd w:val="clear" w:color="auto" w:fill="auto"/>
            <w:vAlign w:val="center"/>
          </w:tcPr>
          <w:p w:rsidR="00BE461A" w:rsidRPr="002220DF" w:rsidRDefault="00BE461A" w:rsidP="00142D19">
            <w:pPr>
              <w:pStyle w:val="Tabletext"/>
              <w:rPr>
                <w:b/>
                <w:lang w:val="en-US"/>
              </w:rPr>
            </w:pPr>
            <w:r w:rsidRPr="002220DF">
              <w:rPr>
                <w:b/>
                <w:lang w:val="en-US"/>
              </w:rPr>
              <w:t>Trial ID</w:t>
            </w:r>
          </w:p>
        </w:tc>
        <w:tc>
          <w:tcPr>
            <w:tcW w:w="1178" w:type="pct"/>
            <w:vAlign w:val="center"/>
          </w:tcPr>
          <w:p w:rsidR="00BE461A" w:rsidRPr="002220DF" w:rsidRDefault="00BE461A" w:rsidP="00A921AA">
            <w:pPr>
              <w:pStyle w:val="Tabletext"/>
              <w:jc w:val="center"/>
              <w:rPr>
                <w:b/>
              </w:rPr>
            </w:pPr>
            <w:r w:rsidRPr="002220DF">
              <w:rPr>
                <w:b/>
              </w:rPr>
              <w:t>Ranolazine</w:t>
            </w:r>
            <w:r w:rsidR="007A1349" w:rsidRPr="002220DF">
              <w:rPr>
                <w:b/>
              </w:rPr>
              <w:t xml:space="preserve"> </w:t>
            </w:r>
            <w:r w:rsidRPr="002220DF">
              <w:rPr>
                <w:b/>
              </w:rPr>
              <w:t>750 mg BID</w:t>
            </w:r>
          </w:p>
          <w:p w:rsidR="00BE461A" w:rsidRPr="002220DF" w:rsidRDefault="00BE461A" w:rsidP="00A921AA">
            <w:pPr>
              <w:pStyle w:val="Tabletext"/>
              <w:jc w:val="center"/>
              <w:rPr>
                <w:b/>
              </w:rPr>
            </w:pPr>
            <w:r w:rsidRPr="002220DF">
              <w:rPr>
                <w:b/>
              </w:rPr>
              <w:t>mean (S</w:t>
            </w:r>
            <w:r w:rsidR="0083787F" w:rsidRPr="002220DF">
              <w:rPr>
                <w:b/>
              </w:rPr>
              <w:t>E</w:t>
            </w:r>
            <w:r w:rsidRPr="002220DF">
              <w:rPr>
                <w:b/>
              </w:rPr>
              <w:t>)</w:t>
            </w:r>
          </w:p>
        </w:tc>
        <w:tc>
          <w:tcPr>
            <w:tcW w:w="747" w:type="pct"/>
            <w:vAlign w:val="center"/>
          </w:tcPr>
          <w:p w:rsidR="00BE461A" w:rsidRPr="002220DF" w:rsidRDefault="00BE461A" w:rsidP="00A921AA">
            <w:pPr>
              <w:pStyle w:val="Tabletext"/>
              <w:jc w:val="center"/>
              <w:rPr>
                <w:b/>
              </w:rPr>
            </w:pPr>
            <w:r w:rsidRPr="002220DF">
              <w:rPr>
                <w:b/>
              </w:rPr>
              <w:t>Placebo</w:t>
            </w:r>
          </w:p>
          <w:p w:rsidR="00BE461A" w:rsidRPr="002220DF" w:rsidRDefault="00BE461A" w:rsidP="00A921AA">
            <w:pPr>
              <w:pStyle w:val="Tabletext"/>
              <w:jc w:val="center"/>
              <w:rPr>
                <w:b/>
              </w:rPr>
            </w:pPr>
            <w:r w:rsidRPr="002220DF">
              <w:rPr>
                <w:b/>
              </w:rPr>
              <w:t>mean (S</w:t>
            </w:r>
            <w:r w:rsidR="0083787F" w:rsidRPr="002220DF">
              <w:rPr>
                <w:b/>
              </w:rPr>
              <w:t>E</w:t>
            </w:r>
            <w:r w:rsidRPr="002220DF">
              <w:rPr>
                <w:b/>
              </w:rPr>
              <w:t>)</w:t>
            </w:r>
          </w:p>
        </w:tc>
        <w:tc>
          <w:tcPr>
            <w:tcW w:w="1176" w:type="pct"/>
            <w:vAlign w:val="center"/>
          </w:tcPr>
          <w:p w:rsidR="00BE461A" w:rsidRPr="002220DF" w:rsidRDefault="00BE461A" w:rsidP="00A921AA">
            <w:pPr>
              <w:pStyle w:val="Tabletext"/>
              <w:jc w:val="center"/>
              <w:rPr>
                <w:b/>
              </w:rPr>
            </w:pPr>
            <w:r w:rsidRPr="002220DF">
              <w:rPr>
                <w:b/>
              </w:rPr>
              <w:t>Mean difference</w:t>
            </w:r>
          </w:p>
          <w:p w:rsidR="00BE461A" w:rsidRPr="002220DF" w:rsidRDefault="00BE461A" w:rsidP="00A921AA">
            <w:pPr>
              <w:pStyle w:val="Tabletext"/>
              <w:jc w:val="center"/>
              <w:rPr>
                <w:b/>
                <w:lang w:val="en-US"/>
              </w:rPr>
            </w:pPr>
            <w:r w:rsidRPr="002220DF">
              <w:rPr>
                <w:b/>
              </w:rPr>
              <w:t>(95% CI)</w:t>
            </w:r>
          </w:p>
        </w:tc>
        <w:tc>
          <w:tcPr>
            <w:tcW w:w="839" w:type="pct"/>
            <w:vAlign w:val="center"/>
          </w:tcPr>
          <w:p w:rsidR="00BE461A" w:rsidRPr="002220DF" w:rsidRDefault="00BE461A" w:rsidP="00A921AA">
            <w:pPr>
              <w:pStyle w:val="Tabletext"/>
              <w:jc w:val="center"/>
              <w:rPr>
                <w:b/>
                <w:lang w:val="en-US"/>
              </w:rPr>
            </w:pPr>
            <w:r w:rsidRPr="002220DF">
              <w:rPr>
                <w:b/>
              </w:rPr>
              <w:t>P-value</w:t>
            </w:r>
          </w:p>
        </w:tc>
      </w:tr>
      <w:tr w:rsidR="00BE461A" w:rsidRPr="002220DF" w:rsidTr="00897FD6">
        <w:tc>
          <w:tcPr>
            <w:tcW w:w="1061" w:type="pct"/>
            <w:shd w:val="clear" w:color="auto" w:fill="auto"/>
            <w:vAlign w:val="center"/>
          </w:tcPr>
          <w:p w:rsidR="00BE461A" w:rsidRPr="002220DF" w:rsidRDefault="00BE461A" w:rsidP="00142D19">
            <w:pPr>
              <w:pStyle w:val="Tabletext"/>
              <w:rPr>
                <w:lang w:val="en-US"/>
              </w:rPr>
            </w:pPr>
            <w:r w:rsidRPr="002220DF">
              <w:rPr>
                <w:lang w:val="en-US"/>
              </w:rPr>
              <w:t>CARISA</w:t>
            </w:r>
          </w:p>
        </w:tc>
        <w:tc>
          <w:tcPr>
            <w:tcW w:w="1178" w:type="pct"/>
            <w:vAlign w:val="center"/>
          </w:tcPr>
          <w:p w:rsidR="00BE461A" w:rsidRPr="001E40FA" w:rsidRDefault="00BE461A" w:rsidP="00A921AA">
            <w:pPr>
              <w:pStyle w:val="Tabletext"/>
              <w:jc w:val="center"/>
              <w:rPr>
                <w:lang w:val="en-US"/>
              </w:rPr>
            </w:pPr>
            <w:r w:rsidRPr="001E40FA">
              <w:t>-1.8 (0.</w:t>
            </w:r>
            <w:r w:rsidR="00A32652" w:rsidRPr="001E40FA">
              <w:t>03</w:t>
            </w:r>
            <w:r w:rsidRPr="001E40FA">
              <w:t>)</w:t>
            </w:r>
          </w:p>
        </w:tc>
        <w:tc>
          <w:tcPr>
            <w:tcW w:w="747" w:type="pct"/>
            <w:vAlign w:val="center"/>
          </w:tcPr>
          <w:p w:rsidR="00BE461A" w:rsidRPr="001E40FA" w:rsidRDefault="00BE461A" w:rsidP="00A921AA">
            <w:pPr>
              <w:pStyle w:val="Tabletext"/>
              <w:jc w:val="center"/>
            </w:pPr>
            <w:r w:rsidRPr="001E40FA">
              <w:t>-</w:t>
            </w:r>
            <w:r w:rsidR="00A32652" w:rsidRPr="001E40FA">
              <w:t>1.3 (0.02</w:t>
            </w:r>
            <w:r w:rsidRPr="001E40FA">
              <w:t>)</w:t>
            </w:r>
          </w:p>
        </w:tc>
        <w:tc>
          <w:tcPr>
            <w:tcW w:w="1176" w:type="pct"/>
            <w:vAlign w:val="center"/>
          </w:tcPr>
          <w:p w:rsidR="00BE461A" w:rsidRPr="001E40FA" w:rsidRDefault="00BE461A" w:rsidP="00A921AA">
            <w:pPr>
              <w:pStyle w:val="Tabletext"/>
              <w:jc w:val="center"/>
              <w:rPr>
                <w:lang w:val="en-US"/>
              </w:rPr>
            </w:pPr>
            <w:r w:rsidRPr="001E40FA">
              <w:t>-0.54 (-0.61, -0.47)</w:t>
            </w:r>
          </w:p>
        </w:tc>
        <w:tc>
          <w:tcPr>
            <w:tcW w:w="839" w:type="pct"/>
            <w:vAlign w:val="center"/>
          </w:tcPr>
          <w:p w:rsidR="00BE461A" w:rsidRPr="002220DF" w:rsidRDefault="00BE461A" w:rsidP="00A921AA">
            <w:pPr>
              <w:pStyle w:val="Tabletext"/>
              <w:jc w:val="center"/>
              <w:rPr>
                <w:lang w:val="en-US"/>
              </w:rPr>
            </w:pPr>
            <w:r w:rsidRPr="002220DF">
              <w:rPr>
                <w:i/>
              </w:rPr>
              <w:t>NE</w:t>
            </w:r>
          </w:p>
        </w:tc>
      </w:tr>
      <w:tr w:rsidR="00BE461A" w:rsidRPr="002220DF" w:rsidTr="00897FD6">
        <w:tc>
          <w:tcPr>
            <w:tcW w:w="1061" w:type="pct"/>
            <w:shd w:val="clear" w:color="auto" w:fill="auto"/>
            <w:vAlign w:val="center"/>
          </w:tcPr>
          <w:p w:rsidR="00BE461A" w:rsidRPr="002220DF" w:rsidRDefault="00BE461A" w:rsidP="00142D19">
            <w:pPr>
              <w:pStyle w:val="Tabletext"/>
              <w:rPr>
                <w:lang w:val="en-US"/>
              </w:rPr>
            </w:pPr>
            <w:r w:rsidRPr="002220DF">
              <w:rPr>
                <w:lang w:val="en-US"/>
              </w:rPr>
              <w:t>Lopez</w:t>
            </w:r>
            <w:r w:rsidR="009E0DCA">
              <w:rPr>
                <w:lang w:val="en-US"/>
              </w:rPr>
              <w:t>-</w:t>
            </w:r>
            <w:r w:rsidRPr="002220DF">
              <w:rPr>
                <w:lang w:val="en-US"/>
              </w:rPr>
              <w:t>Se</w:t>
            </w:r>
            <w:r w:rsidR="009E0DCA">
              <w:rPr>
                <w:lang w:val="en-US"/>
              </w:rPr>
              <w:t>n</w:t>
            </w:r>
            <w:r w:rsidRPr="002220DF">
              <w:rPr>
                <w:lang w:val="en-US"/>
              </w:rPr>
              <w:t>don (2012)</w:t>
            </w:r>
            <w:r w:rsidR="004C2E70" w:rsidRPr="002220DF">
              <w:rPr>
                <w:vertAlign w:val="superscript"/>
                <w:lang w:val="en-US"/>
              </w:rPr>
              <w:t>a</w:t>
            </w:r>
          </w:p>
        </w:tc>
        <w:tc>
          <w:tcPr>
            <w:tcW w:w="1178" w:type="pct"/>
            <w:vAlign w:val="center"/>
          </w:tcPr>
          <w:p w:rsidR="00BE461A" w:rsidRPr="002220DF" w:rsidRDefault="00BE461A" w:rsidP="00A921AA">
            <w:pPr>
              <w:pStyle w:val="Tabletext"/>
              <w:jc w:val="center"/>
              <w:rPr>
                <w:i/>
              </w:rPr>
            </w:pPr>
            <w:r w:rsidRPr="002220DF">
              <w:t xml:space="preserve">-2.3 </w:t>
            </w:r>
            <w:r w:rsidR="0083787F" w:rsidRPr="002220DF">
              <w:t>(0.3)</w:t>
            </w:r>
          </w:p>
        </w:tc>
        <w:tc>
          <w:tcPr>
            <w:tcW w:w="747" w:type="pct"/>
            <w:vAlign w:val="center"/>
          </w:tcPr>
          <w:p w:rsidR="00BE461A" w:rsidRPr="002220DF" w:rsidRDefault="00BE461A" w:rsidP="00A921AA">
            <w:pPr>
              <w:pStyle w:val="Tabletext"/>
              <w:jc w:val="center"/>
              <w:rPr>
                <w:i/>
              </w:rPr>
            </w:pPr>
            <w:r w:rsidRPr="002220DF">
              <w:t xml:space="preserve">-0.9 </w:t>
            </w:r>
            <w:r w:rsidR="0083787F" w:rsidRPr="002220DF">
              <w:t>(0.6)</w:t>
            </w:r>
          </w:p>
        </w:tc>
        <w:tc>
          <w:tcPr>
            <w:tcW w:w="1176" w:type="pct"/>
            <w:vAlign w:val="center"/>
          </w:tcPr>
          <w:p w:rsidR="00BE461A" w:rsidRPr="00CD7D85" w:rsidRDefault="00BE461A" w:rsidP="00A921AA">
            <w:pPr>
              <w:pStyle w:val="Tabletext"/>
              <w:jc w:val="center"/>
            </w:pPr>
            <w:r w:rsidRPr="00CD7D85">
              <w:t>-1.4 (-1.54, -1.26)</w:t>
            </w:r>
          </w:p>
        </w:tc>
        <w:tc>
          <w:tcPr>
            <w:tcW w:w="839" w:type="pct"/>
            <w:vAlign w:val="center"/>
          </w:tcPr>
          <w:p w:rsidR="00BE461A" w:rsidRPr="00574F5B" w:rsidRDefault="00BE461A" w:rsidP="00A921AA">
            <w:pPr>
              <w:pStyle w:val="Tabletext"/>
              <w:jc w:val="center"/>
              <w:rPr>
                <w:i/>
              </w:rPr>
            </w:pPr>
            <w:r w:rsidRPr="00574F5B">
              <w:t>&lt;0.001</w:t>
            </w:r>
          </w:p>
        </w:tc>
      </w:tr>
    </w:tbl>
    <w:p w:rsidR="001E40FA" w:rsidRDefault="00AA652A" w:rsidP="00142D19">
      <w:pPr>
        <w:pStyle w:val="TableFooter"/>
        <w:keepNext/>
        <w:widowControl/>
        <w:ind w:left="709"/>
      </w:pPr>
      <w:r w:rsidRPr="002220DF">
        <w:t>Source: Table B-32, pp84-85 of the submission</w:t>
      </w:r>
      <w:r w:rsidR="009C0FDB" w:rsidRPr="002220DF">
        <w:t>,</w:t>
      </w:r>
      <w:r w:rsidR="002B1F67" w:rsidRPr="002220DF">
        <w:t xml:space="preserve"> Lopez-Sendon (2012) text pp</w:t>
      </w:r>
      <w:r w:rsidR="009C0FDB" w:rsidRPr="002220DF">
        <w:t>196-197</w:t>
      </w:r>
      <w:r w:rsidRPr="002220DF">
        <w:t xml:space="preserve"> </w:t>
      </w:r>
    </w:p>
    <w:p w:rsidR="00AA652A" w:rsidRPr="001E40FA" w:rsidRDefault="001508E0" w:rsidP="00142D19">
      <w:pPr>
        <w:pStyle w:val="TableFooter"/>
        <w:keepNext/>
        <w:widowControl/>
        <w:ind w:left="709"/>
      </w:pPr>
      <w:r>
        <w:t>F</w:t>
      </w:r>
      <w:r w:rsidR="00897FD6" w:rsidRPr="001E40FA">
        <w:t>or the change from baseline CARISA analysis baseline d</w:t>
      </w:r>
      <w:r w:rsidR="00BC6949" w:rsidRPr="001E40FA">
        <w:t>ata was extracted from Chaitman</w:t>
      </w:r>
      <w:r w:rsidR="00897FD6" w:rsidRPr="001E40FA">
        <w:t xml:space="preserve"> (2004).</w:t>
      </w:r>
    </w:p>
    <w:p w:rsidR="00AA652A" w:rsidRPr="002220DF" w:rsidRDefault="00AA652A" w:rsidP="00142D19">
      <w:pPr>
        <w:pStyle w:val="TableFooter"/>
        <w:keepNext/>
        <w:widowControl/>
        <w:ind w:left="709"/>
      </w:pPr>
      <w:r w:rsidRPr="002220DF">
        <w:t xml:space="preserve">BID = </w:t>
      </w:r>
      <w:r w:rsidR="003E16C9">
        <w:t>twice daily</w:t>
      </w:r>
      <w:r w:rsidRPr="002220DF">
        <w:t xml:space="preserve">; NE = not estimated; </w:t>
      </w:r>
      <w:r w:rsidR="0083787F" w:rsidRPr="002220DF">
        <w:t>SE = standard error</w:t>
      </w:r>
      <w:r w:rsidR="003719B9" w:rsidRPr="002220DF">
        <w:t>; CI = confidence interval.</w:t>
      </w:r>
    </w:p>
    <w:p w:rsidR="008A0B19" w:rsidRPr="002220DF" w:rsidRDefault="00AA652A" w:rsidP="00142D19">
      <w:pPr>
        <w:pStyle w:val="TableFooter"/>
        <w:keepNext/>
        <w:widowControl/>
        <w:ind w:left="709"/>
      </w:pPr>
      <w:r w:rsidRPr="002220DF">
        <w:rPr>
          <w:vertAlign w:val="superscript"/>
        </w:rPr>
        <w:t>a</w:t>
      </w:r>
      <w:r w:rsidR="00EB7CA7" w:rsidRPr="002220DF">
        <w:rPr>
          <w:vertAlign w:val="superscript"/>
        </w:rPr>
        <w:t xml:space="preserve"> </w:t>
      </w:r>
      <w:r w:rsidR="008A0B19" w:rsidRPr="002220DF">
        <w:rPr>
          <w:vertAlign w:val="superscript"/>
        </w:rPr>
        <w:t xml:space="preserve"> </w:t>
      </w:r>
      <w:r w:rsidR="002B1F67" w:rsidRPr="002220DF">
        <w:t>Subgroup</w:t>
      </w:r>
      <w:r w:rsidR="008A0B19" w:rsidRPr="002220DF">
        <w:t xml:space="preserve"> analysis of the CARISA trial</w:t>
      </w:r>
    </w:p>
    <w:p w:rsidR="00AA652A" w:rsidRPr="002220DF" w:rsidRDefault="00AA652A" w:rsidP="00142D19">
      <w:pPr>
        <w:widowControl/>
        <w:rPr>
          <w:rStyle w:val="CommentReference"/>
        </w:rPr>
      </w:pPr>
    </w:p>
    <w:p w:rsidR="00063A84" w:rsidRPr="001255F7" w:rsidRDefault="00FB7A28" w:rsidP="00142D19">
      <w:pPr>
        <w:pStyle w:val="ListParagraph"/>
        <w:widowControl/>
        <w:numPr>
          <w:ilvl w:val="1"/>
          <w:numId w:val="11"/>
        </w:numPr>
        <w:rPr>
          <w:rStyle w:val="CommentReference"/>
          <w:rFonts w:ascii="Arial" w:hAnsi="Arial"/>
          <w:b w:val="0"/>
          <w:sz w:val="22"/>
          <w:szCs w:val="20"/>
        </w:rPr>
      </w:pPr>
      <w:r w:rsidRPr="001255F7">
        <w:t xml:space="preserve">In the ITT population of the CARISA trial, the mean reduction in the number of angina episodes per week was approximately 0.5 greater in the </w:t>
      </w:r>
      <w:r w:rsidR="00063A84" w:rsidRPr="001255F7">
        <w:t xml:space="preserve">ranolazine </w:t>
      </w:r>
      <w:r w:rsidRPr="001255F7">
        <w:t>group compared with the placebo group</w:t>
      </w:r>
      <w:r w:rsidR="00B940F1" w:rsidRPr="001255F7">
        <w:t>.</w:t>
      </w:r>
      <w:r w:rsidR="00063A84" w:rsidRPr="001255F7">
        <w:t xml:space="preserve"> </w:t>
      </w:r>
      <w:r w:rsidR="00B940F1" w:rsidRPr="001255F7">
        <w:t>T</w:t>
      </w:r>
      <w:r w:rsidR="00063A84" w:rsidRPr="001255F7">
        <w:t>h</w:t>
      </w:r>
      <w:r w:rsidRPr="001255F7">
        <w:t xml:space="preserve">e difference </w:t>
      </w:r>
      <w:r w:rsidR="00063A84" w:rsidRPr="001255F7">
        <w:t xml:space="preserve">was greater in the subgroup </w:t>
      </w:r>
      <w:r w:rsidR="003E16C9" w:rsidRPr="001255F7">
        <w:t>population</w:t>
      </w:r>
      <w:r w:rsidR="00063A84" w:rsidRPr="001255F7">
        <w:t xml:space="preserve"> (1.4</w:t>
      </w:r>
      <w:r w:rsidR="009A77B9" w:rsidRPr="001255F7">
        <w:t xml:space="preserve"> episodes per week</w:t>
      </w:r>
      <w:r w:rsidR="00063A84" w:rsidRPr="001255F7">
        <w:t>)</w:t>
      </w:r>
      <w:r w:rsidR="00944A9B" w:rsidRPr="001255F7">
        <w:t>, which ESC noted was the basis of the cost-effectiveness modelling</w:t>
      </w:r>
      <w:r w:rsidR="00063A84" w:rsidRPr="001255F7">
        <w:t>.</w:t>
      </w:r>
      <w:r w:rsidR="00D72108" w:rsidRPr="001255F7">
        <w:t xml:space="preserve"> </w:t>
      </w:r>
    </w:p>
    <w:p w:rsidR="008A0B19" w:rsidRPr="001255F7" w:rsidRDefault="008A0B19" w:rsidP="00142D19">
      <w:pPr>
        <w:keepNext/>
        <w:widowControl/>
        <w:ind w:left="709"/>
        <w:rPr>
          <w:rStyle w:val="CommentReference"/>
        </w:rPr>
      </w:pPr>
    </w:p>
    <w:p w:rsidR="008A0B19" w:rsidRPr="001255F7" w:rsidRDefault="008A0B19" w:rsidP="00142D19">
      <w:pPr>
        <w:pStyle w:val="ListParagraph"/>
        <w:widowControl/>
        <w:numPr>
          <w:ilvl w:val="1"/>
          <w:numId w:val="11"/>
        </w:numPr>
        <w:rPr>
          <w:szCs w:val="22"/>
        </w:rPr>
      </w:pPr>
      <w:r w:rsidRPr="001255F7">
        <w:rPr>
          <w:szCs w:val="22"/>
        </w:rPr>
        <w:t xml:space="preserve">Table </w:t>
      </w:r>
      <w:r w:rsidR="00063A84" w:rsidRPr="001255F7">
        <w:rPr>
          <w:szCs w:val="22"/>
        </w:rPr>
        <w:t xml:space="preserve">6 </w:t>
      </w:r>
      <w:r w:rsidRPr="001255F7">
        <w:rPr>
          <w:szCs w:val="22"/>
        </w:rPr>
        <w:t xml:space="preserve">summarises the change from baseline in normalised nitroglycerin </w:t>
      </w:r>
      <w:r w:rsidR="00654F48" w:rsidRPr="001255F7">
        <w:rPr>
          <w:szCs w:val="22"/>
        </w:rPr>
        <w:t xml:space="preserve">consumption </w:t>
      </w:r>
      <w:r w:rsidR="00D72108" w:rsidRPr="001255F7">
        <w:rPr>
          <w:szCs w:val="22"/>
        </w:rPr>
        <w:t xml:space="preserve">(per week) </w:t>
      </w:r>
      <w:r w:rsidRPr="001255F7">
        <w:rPr>
          <w:szCs w:val="22"/>
        </w:rPr>
        <w:t xml:space="preserve">over 12 weeks. </w:t>
      </w:r>
    </w:p>
    <w:p w:rsidR="008A0B19" w:rsidRPr="002220DF" w:rsidRDefault="008A0B19" w:rsidP="00142D19">
      <w:pPr>
        <w:keepNext/>
        <w:widowControl/>
        <w:ind w:left="709"/>
        <w:rPr>
          <w:rStyle w:val="CommentReference"/>
        </w:rPr>
      </w:pPr>
    </w:p>
    <w:p w:rsidR="008A0B19" w:rsidRPr="002220DF" w:rsidRDefault="008A0B19" w:rsidP="00142D19">
      <w:pPr>
        <w:keepNext/>
        <w:widowControl/>
        <w:ind w:left="709"/>
        <w:rPr>
          <w:rStyle w:val="CommentReference"/>
        </w:rPr>
      </w:pPr>
      <w:r w:rsidRPr="002220DF">
        <w:rPr>
          <w:rStyle w:val="CommentReference"/>
        </w:rPr>
        <w:t xml:space="preserve">Table </w:t>
      </w:r>
      <w:r w:rsidR="00063A84" w:rsidRPr="002220DF">
        <w:rPr>
          <w:rStyle w:val="CommentReference"/>
        </w:rPr>
        <w:t>6</w:t>
      </w:r>
      <w:r w:rsidRPr="002220DF">
        <w:rPr>
          <w:rStyle w:val="CommentReference"/>
        </w:rPr>
        <w:t xml:space="preserve">: Change from baseline in normalised nitroglycerin frequency </w:t>
      </w:r>
      <w:r w:rsidR="00D72108">
        <w:rPr>
          <w:rStyle w:val="CommentReference"/>
        </w:rPr>
        <w:t xml:space="preserve">(per week) </w:t>
      </w:r>
      <w:r w:rsidRPr="002220DF">
        <w:rPr>
          <w:rStyle w:val="CommentReference"/>
        </w:rPr>
        <w:t xml:space="preserve">over 12 weeks </w:t>
      </w:r>
    </w:p>
    <w:tbl>
      <w:tblPr>
        <w:tblW w:w="4568"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14"/>
        <w:gridCol w:w="1864"/>
        <w:gridCol w:w="1284"/>
        <w:gridCol w:w="1922"/>
        <w:gridCol w:w="1513"/>
      </w:tblGrid>
      <w:tr w:rsidR="004C2E70" w:rsidRPr="002220DF" w:rsidTr="00897FD6">
        <w:trPr>
          <w:tblHeader/>
        </w:trPr>
        <w:tc>
          <w:tcPr>
            <w:tcW w:w="1033" w:type="pct"/>
            <w:shd w:val="clear" w:color="auto" w:fill="auto"/>
            <w:vAlign w:val="center"/>
          </w:tcPr>
          <w:p w:rsidR="004C2E70" w:rsidRPr="002220DF" w:rsidRDefault="004C2E70" w:rsidP="00142D19">
            <w:pPr>
              <w:pStyle w:val="Tabletext"/>
              <w:jc w:val="both"/>
              <w:rPr>
                <w:b/>
                <w:lang w:val="en-US"/>
              </w:rPr>
            </w:pPr>
            <w:r w:rsidRPr="002220DF">
              <w:rPr>
                <w:b/>
                <w:lang w:val="en-US"/>
              </w:rPr>
              <w:t>Trial ID</w:t>
            </w:r>
          </w:p>
        </w:tc>
        <w:tc>
          <w:tcPr>
            <w:tcW w:w="1123" w:type="pct"/>
            <w:vAlign w:val="center"/>
          </w:tcPr>
          <w:p w:rsidR="004C2E70" w:rsidRPr="002220DF" w:rsidRDefault="004C2E70" w:rsidP="00142D19">
            <w:pPr>
              <w:pStyle w:val="Tabletext"/>
              <w:jc w:val="center"/>
              <w:rPr>
                <w:b/>
              </w:rPr>
            </w:pPr>
            <w:r w:rsidRPr="002220DF">
              <w:rPr>
                <w:b/>
              </w:rPr>
              <w:t>Ranolazine</w:t>
            </w:r>
            <w:r w:rsidR="007A1349" w:rsidRPr="002220DF">
              <w:rPr>
                <w:b/>
              </w:rPr>
              <w:t xml:space="preserve"> </w:t>
            </w:r>
            <w:r w:rsidRPr="002220DF">
              <w:rPr>
                <w:b/>
              </w:rPr>
              <w:t>750 mg BID</w:t>
            </w:r>
          </w:p>
          <w:p w:rsidR="004C2E70" w:rsidRPr="002220DF" w:rsidRDefault="004C2E70" w:rsidP="00142D19">
            <w:pPr>
              <w:pStyle w:val="Tabletext"/>
              <w:jc w:val="center"/>
              <w:rPr>
                <w:b/>
              </w:rPr>
            </w:pPr>
            <w:r w:rsidRPr="002220DF">
              <w:rPr>
                <w:b/>
              </w:rPr>
              <w:t>mean (S</w:t>
            </w:r>
            <w:r w:rsidR="00D1432B" w:rsidRPr="002220DF">
              <w:rPr>
                <w:b/>
              </w:rPr>
              <w:t>E</w:t>
            </w:r>
            <w:r w:rsidRPr="002220DF">
              <w:rPr>
                <w:b/>
              </w:rPr>
              <w:t>)</w:t>
            </w:r>
          </w:p>
        </w:tc>
        <w:tc>
          <w:tcPr>
            <w:tcW w:w="774" w:type="pct"/>
            <w:vAlign w:val="center"/>
          </w:tcPr>
          <w:p w:rsidR="004C2E70" w:rsidRPr="002220DF" w:rsidRDefault="004C2E70" w:rsidP="00142D19">
            <w:pPr>
              <w:pStyle w:val="Tabletext"/>
              <w:jc w:val="center"/>
              <w:rPr>
                <w:b/>
              </w:rPr>
            </w:pPr>
            <w:r w:rsidRPr="002220DF">
              <w:rPr>
                <w:b/>
              </w:rPr>
              <w:t>Placebo</w:t>
            </w:r>
          </w:p>
          <w:p w:rsidR="004C2E70" w:rsidRPr="002220DF" w:rsidRDefault="004C2E70" w:rsidP="00142D19">
            <w:pPr>
              <w:pStyle w:val="Tabletext"/>
              <w:jc w:val="center"/>
              <w:rPr>
                <w:b/>
              </w:rPr>
            </w:pPr>
            <w:r w:rsidRPr="002220DF">
              <w:rPr>
                <w:b/>
              </w:rPr>
              <w:t>mean (S</w:t>
            </w:r>
            <w:r w:rsidR="00D1432B" w:rsidRPr="002220DF">
              <w:rPr>
                <w:b/>
              </w:rPr>
              <w:t>E</w:t>
            </w:r>
            <w:r w:rsidRPr="002220DF">
              <w:rPr>
                <w:b/>
              </w:rPr>
              <w:t>)</w:t>
            </w:r>
          </w:p>
        </w:tc>
        <w:tc>
          <w:tcPr>
            <w:tcW w:w="1158" w:type="pct"/>
            <w:vAlign w:val="center"/>
          </w:tcPr>
          <w:p w:rsidR="004C2E70" w:rsidRPr="002220DF" w:rsidRDefault="004C2E70" w:rsidP="00142D19">
            <w:pPr>
              <w:pStyle w:val="Tabletext"/>
              <w:jc w:val="center"/>
              <w:rPr>
                <w:b/>
              </w:rPr>
            </w:pPr>
            <w:r w:rsidRPr="002220DF">
              <w:rPr>
                <w:b/>
              </w:rPr>
              <w:t>Mean difference</w:t>
            </w:r>
          </w:p>
          <w:p w:rsidR="004C2E70" w:rsidRPr="002220DF" w:rsidRDefault="004C2E70" w:rsidP="00142D19">
            <w:pPr>
              <w:pStyle w:val="Tabletext"/>
              <w:jc w:val="center"/>
              <w:rPr>
                <w:b/>
                <w:lang w:val="en-US"/>
              </w:rPr>
            </w:pPr>
            <w:r w:rsidRPr="002220DF">
              <w:rPr>
                <w:b/>
              </w:rPr>
              <w:t>(95% CI)</w:t>
            </w:r>
          </w:p>
        </w:tc>
        <w:tc>
          <w:tcPr>
            <w:tcW w:w="913" w:type="pct"/>
            <w:vAlign w:val="center"/>
          </w:tcPr>
          <w:p w:rsidR="004C2E70" w:rsidRPr="002220DF" w:rsidRDefault="004C2E70" w:rsidP="00142D19">
            <w:pPr>
              <w:pStyle w:val="Tabletext"/>
              <w:jc w:val="center"/>
              <w:rPr>
                <w:b/>
                <w:lang w:val="en-US"/>
              </w:rPr>
            </w:pPr>
            <w:r w:rsidRPr="002220DF">
              <w:rPr>
                <w:b/>
              </w:rPr>
              <w:t>P-value</w:t>
            </w:r>
          </w:p>
        </w:tc>
      </w:tr>
      <w:tr w:rsidR="004C2E70" w:rsidRPr="002220DF" w:rsidTr="00897FD6">
        <w:tc>
          <w:tcPr>
            <w:tcW w:w="1033" w:type="pct"/>
            <w:shd w:val="clear" w:color="auto" w:fill="auto"/>
            <w:vAlign w:val="center"/>
          </w:tcPr>
          <w:p w:rsidR="004C2E70" w:rsidRPr="002220DF" w:rsidRDefault="004C2E70" w:rsidP="00142D19">
            <w:pPr>
              <w:pStyle w:val="Tabletext"/>
              <w:rPr>
                <w:lang w:val="en-US"/>
              </w:rPr>
            </w:pPr>
            <w:r w:rsidRPr="002220DF">
              <w:rPr>
                <w:lang w:val="en-US"/>
              </w:rPr>
              <w:t>CARISA</w:t>
            </w:r>
          </w:p>
        </w:tc>
        <w:tc>
          <w:tcPr>
            <w:tcW w:w="1123" w:type="pct"/>
            <w:shd w:val="clear" w:color="auto" w:fill="auto"/>
            <w:vAlign w:val="center"/>
          </w:tcPr>
          <w:p w:rsidR="004C2E70" w:rsidRPr="00CD7D85" w:rsidRDefault="004C2E70" w:rsidP="00142D19">
            <w:pPr>
              <w:pStyle w:val="Tabletext"/>
              <w:jc w:val="center"/>
              <w:rPr>
                <w:lang w:val="en-US"/>
              </w:rPr>
            </w:pPr>
            <w:r w:rsidRPr="00CD7D85">
              <w:t xml:space="preserve">-1.89 </w:t>
            </w:r>
            <w:r w:rsidR="003719B9" w:rsidRPr="00CD7D85">
              <w:t>(0.53)</w:t>
            </w:r>
          </w:p>
        </w:tc>
        <w:tc>
          <w:tcPr>
            <w:tcW w:w="774" w:type="pct"/>
            <w:shd w:val="clear" w:color="auto" w:fill="auto"/>
            <w:vAlign w:val="center"/>
          </w:tcPr>
          <w:p w:rsidR="004C2E70" w:rsidRPr="00CD7D85" w:rsidRDefault="004C2E70" w:rsidP="00142D19">
            <w:pPr>
              <w:pStyle w:val="Tabletext"/>
              <w:jc w:val="center"/>
            </w:pPr>
            <w:r w:rsidRPr="00CD7D85">
              <w:t xml:space="preserve">-0.86 </w:t>
            </w:r>
            <w:r w:rsidR="003719B9" w:rsidRPr="00CD7D85">
              <w:t>(0.56)</w:t>
            </w:r>
          </w:p>
        </w:tc>
        <w:tc>
          <w:tcPr>
            <w:tcW w:w="1158" w:type="pct"/>
            <w:shd w:val="clear" w:color="auto" w:fill="auto"/>
            <w:vAlign w:val="center"/>
          </w:tcPr>
          <w:p w:rsidR="004C2E70" w:rsidRPr="00CD7D85" w:rsidRDefault="004C2E70" w:rsidP="00142D19">
            <w:pPr>
              <w:pStyle w:val="Tabletext"/>
              <w:jc w:val="center"/>
              <w:rPr>
                <w:lang w:val="en-US"/>
              </w:rPr>
            </w:pPr>
            <w:r w:rsidRPr="00CD7D85">
              <w:t>-1.03 (-1.12, -0.94)</w:t>
            </w:r>
          </w:p>
        </w:tc>
        <w:tc>
          <w:tcPr>
            <w:tcW w:w="913" w:type="pct"/>
            <w:vAlign w:val="center"/>
          </w:tcPr>
          <w:p w:rsidR="004C2E70" w:rsidRPr="002220DF" w:rsidRDefault="004C2E70" w:rsidP="00142D19">
            <w:pPr>
              <w:pStyle w:val="Tabletext"/>
              <w:jc w:val="center"/>
              <w:rPr>
                <w:lang w:val="en-US"/>
              </w:rPr>
            </w:pPr>
            <w:r w:rsidRPr="002220DF">
              <w:t>Not estimated</w:t>
            </w:r>
          </w:p>
        </w:tc>
      </w:tr>
      <w:tr w:rsidR="004C2E70" w:rsidRPr="002220DF" w:rsidTr="00897FD6">
        <w:tc>
          <w:tcPr>
            <w:tcW w:w="1033" w:type="pct"/>
            <w:shd w:val="clear" w:color="auto" w:fill="auto"/>
            <w:vAlign w:val="center"/>
          </w:tcPr>
          <w:p w:rsidR="004C2E70" w:rsidRPr="002220DF" w:rsidRDefault="004C2E70" w:rsidP="00142D19">
            <w:pPr>
              <w:pStyle w:val="Tabletext"/>
              <w:rPr>
                <w:lang w:val="en-US"/>
              </w:rPr>
            </w:pPr>
            <w:r w:rsidRPr="002220DF">
              <w:rPr>
                <w:lang w:val="en-US"/>
              </w:rPr>
              <w:t>Lopez</w:t>
            </w:r>
            <w:r w:rsidR="009E0DCA">
              <w:rPr>
                <w:lang w:val="en-US"/>
              </w:rPr>
              <w:t>-</w:t>
            </w:r>
            <w:r w:rsidRPr="002220DF">
              <w:rPr>
                <w:lang w:val="en-US"/>
              </w:rPr>
              <w:t>Se</w:t>
            </w:r>
            <w:r w:rsidR="009E0DCA">
              <w:rPr>
                <w:lang w:val="en-US"/>
              </w:rPr>
              <w:t>n</w:t>
            </w:r>
            <w:r w:rsidRPr="002220DF">
              <w:rPr>
                <w:lang w:val="en-US"/>
              </w:rPr>
              <w:t>don (2012)</w:t>
            </w:r>
            <w:r w:rsidRPr="002220DF">
              <w:rPr>
                <w:vertAlign w:val="superscript"/>
                <w:lang w:val="en-US"/>
              </w:rPr>
              <w:t>a</w:t>
            </w:r>
          </w:p>
        </w:tc>
        <w:tc>
          <w:tcPr>
            <w:tcW w:w="1123" w:type="pct"/>
            <w:vAlign w:val="center"/>
          </w:tcPr>
          <w:p w:rsidR="004C2E70" w:rsidRPr="00CD7D85" w:rsidRDefault="004C2E70" w:rsidP="00142D19">
            <w:pPr>
              <w:pStyle w:val="Tabletext"/>
              <w:jc w:val="center"/>
            </w:pPr>
            <w:r w:rsidRPr="00CD7D85">
              <w:t>-2.5 (</w:t>
            </w:r>
            <w:r w:rsidR="00D1432B" w:rsidRPr="00CD7D85">
              <w:t>0.5</w:t>
            </w:r>
            <w:r w:rsidRPr="00CD7D85">
              <w:t>)</w:t>
            </w:r>
          </w:p>
        </w:tc>
        <w:tc>
          <w:tcPr>
            <w:tcW w:w="774" w:type="pct"/>
            <w:vAlign w:val="center"/>
          </w:tcPr>
          <w:p w:rsidR="004C2E70" w:rsidRPr="00CD7D85" w:rsidRDefault="004C2E70" w:rsidP="00142D19">
            <w:pPr>
              <w:pStyle w:val="Tabletext"/>
              <w:jc w:val="center"/>
            </w:pPr>
            <w:r w:rsidRPr="00CD7D85">
              <w:t>-0.4 (</w:t>
            </w:r>
            <w:r w:rsidR="00D1432B" w:rsidRPr="00CD7D85">
              <w:t>0.9</w:t>
            </w:r>
            <w:r w:rsidRPr="00CD7D85">
              <w:t>)</w:t>
            </w:r>
          </w:p>
        </w:tc>
        <w:tc>
          <w:tcPr>
            <w:tcW w:w="1158" w:type="pct"/>
            <w:vAlign w:val="center"/>
          </w:tcPr>
          <w:p w:rsidR="004C2E70" w:rsidRPr="00CD7D85" w:rsidRDefault="004C2E70" w:rsidP="00142D19">
            <w:pPr>
              <w:pStyle w:val="Tabletext"/>
              <w:jc w:val="center"/>
            </w:pPr>
            <w:r w:rsidRPr="00CD7D85">
              <w:t>-2.1 (-2.24, -1.96)</w:t>
            </w:r>
          </w:p>
        </w:tc>
        <w:tc>
          <w:tcPr>
            <w:tcW w:w="913" w:type="pct"/>
            <w:vAlign w:val="center"/>
          </w:tcPr>
          <w:p w:rsidR="004C2E70" w:rsidRPr="00FB7A28" w:rsidRDefault="004C2E70" w:rsidP="00142D19">
            <w:pPr>
              <w:pStyle w:val="Tabletext"/>
              <w:jc w:val="center"/>
              <w:rPr>
                <w:i/>
              </w:rPr>
            </w:pPr>
            <w:r w:rsidRPr="00FB7A28">
              <w:t>0.009</w:t>
            </w:r>
          </w:p>
        </w:tc>
      </w:tr>
    </w:tbl>
    <w:p w:rsidR="003E16C9" w:rsidRDefault="008A0B19" w:rsidP="00142D19">
      <w:pPr>
        <w:pStyle w:val="TableFooter"/>
        <w:keepNext/>
        <w:widowControl/>
        <w:ind w:left="709"/>
        <w:rPr>
          <w:i/>
        </w:rPr>
      </w:pPr>
      <w:r w:rsidRPr="002220DF">
        <w:t>Source: Table B-32, pp84-85 of the submission, Lopez-Sendon (2012) text pp196-197</w:t>
      </w:r>
      <w:r w:rsidR="00897FD6" w:rsidRPr="002220DF">
        <w:rPr>
          <w:i/>
        </w:rPr>
        <w:t xml:space="preserve"> </w:t>
      </w:r>
    </w:p>
    <w:p w:rsidR="008A0B19" w:rsidRPr="003E16C9" w:rsidRDefault="001508E0" w:rsidP="00142D19">
      <w:pPr>
        <w:pStyle w:val="TableFooter"/>
        <w:keepNext/>
        <w:widowControl/>
        <w:ind w:left="709"/>
      </w:pPr>
      <w:r w:rsidRPr="003E16C9">
        <w:t>For</w:t>
      </w:r>
      <w:r w:rsidR="00897FD6" w:rsidRPr="003E16C9">
        <w:t xml:space="preserve"> the change from baseline CARISA analysis baseline d</w:t>
      </w:r>
      <w:r w:rsidR="00BC6949" w:rsidRPr="003E16C9">
        <w:t>ata was extracted from Chaitman</w:t>
      </w:r>
      <w:r w:rsidR="00897FD6" w:rsidRPr="003E16C9">
        <w:t xml:space="preserve"> (2004).</w:t>
      </w:r>
    </w:p>
    <w:p w:rsidR="008A0B19" w:rsidRPr="002220DF" w:rsidRDefault="003E16C9" w:rsidP="00142D19">
      <w:pPr>
        <w:pStyle w:val="TableFooter"/>
        <w:keepNext/>
        <w:widowControl/>
        <w:ind w:left="709"/>
      </w:pPr>
      <w:r>
        <w:t>BID = twice daily</w:t>
      </w:r>
      <w:r w:rsidR="008A0B19" w:rsidRPr="002220DF">
        <w:t xml:space="preserve">; NE = not estimated; </w:t>
      </w:r>
      <w:r w:rsidR="003719B9" w:rsidRPr="002220DF">
        <w:t xml:space="preserve">CI = confidence interval; </w:t>
      </w:r>
      <w:r w:rsidR="008A0B19" w:rsidRPr="002220DF">
        <w:t>SD = standard deviation</w:t>
      </w:r>
    </w:p>
    <w:p w:rsidR="008A0B19" w:rsidRPr="002220DF" w:rsidRDefault="008A0B19" w:rsidP="00142D19">
      <w:pPr>
        <w:pStyle w:val="TableFooter"/>
        <w:keepNext/>
        <w:widowControl/>
        <w:ind w:left="709"/>
      </w:pPr>
      <w:r w:rsidRPr="002220DF">
        <w:rPr>
          <w:vertAlign w:val="superscript"/>
        </w:rPr>
        <w:t xml:space="preserve">a </w:t>
      </w:r>
      <w:r w:rsidR="002B1F67" w:rsidRPr="002220DF">
        <w:t>Subgroup</w:t>
      </w:r>
      <w:r w:rsidRPr="002220DF">
        <w:t xml:space="preserve"> analysis of the CARISA trial</w:t>
      </w:r>
    </w:p>
    <w:p w:rsidR="008F3AEE" w:rsidRPr="002220DF" w:rsidRDefault="008F3AEE" w:rsidP="00142D19">
      <w:pPr>
        <w:widowControl/>
      </w:pPr>
    </w:p>
    <w:p w:rsidR="00063A84" w:rsidRPr="001255F7" w:rsidRDefault="00FB7A28" w:rsidP="00142D19">
      <w:pPr>
        <w:pStyle w:val="ListParagraph"/>
        <w:widowControl/>
        <w:numPr>
          <w:ilvl w:val="1"/>
          <w:numId w:val="11"/>
        </w:numPr>
      </w:pPr>
      <w:r w:rsidRPr="001255F7">
        <w:t>I</w:t>
      </w:r>
      <w:r w:rsidR="00063A84" w:rsidRPr="001255F7">
        <w:t xml:space="preserve">n the </w:t>
      </w:r>
      <w:r w:rsidR="00B940F1" w:rsidRPr="001255F7">
        <w:t xml:space="preserve">ITT population of the </w:t>
      </w:r>
      <w:r w:rsidR="00063A84" w:rsidRPr="001255F7">
        <w:t>CARISA trial</w:t>
      </w:r>
      <w:r w:rsidRPr="001255F7">
        <w:t>, the</w:t>
      </w:r>
      <w:r w:rsidR="00063A84" w:rsidRPr="001255F7">
        <w:t xml:space="preserve"> </w:t>
      </w:r>
      <w:r w:rsidR="003A6361" w:rsidRPr="001255F7">
        <w:t xml:space="preserve">mean </w:t>
      </w:r>
      <w:r w:rsidR="00654F48" w:rsidRPr="001255F7">
        <w:t xml:space="preserve">reduction in the </w:t>
      </w:r>
      <w:r w:rsidR="00063A84" w:rsidRPr="001255F7">
        <w:t xml:space="preserve">nitroglycerin </w:t>
      </w:r>
      <w:r w:rsidR="00654F48" w:rsidRPr="001255F7">
        <w:t>consumption over 12 weeks was greater in the ranolazine group compared with the placebo group (difference of approximately 1.0</w:t>
      </w:r>
      <w:r w:rsidR="00D72108" w:rsidRPr="001255F7">
        <w:t xml:space="preserve"> per week</w:t>
      </w:r>
      <w:r w:rsidR="00654F48" w:rsidRPr="001255F7">
        <w:t>)</w:t>
      </w:r>
      <w:r w:rsidR="00B940F1" w:rsidRPr="001255F7">
        <w:t>.</w:t>
      </w:r>
      <w:r w:rsidR="00F5493C" w:rsidRPr="001255F7">
        <w:t xml:space="preserve"> </w:t>
      </w:r>
      <w:r w:rsidR="00B940F1" w:rsidRPr="001255F7">
        <w:t>Th</w:t>
      </w:r>
      <w:r w:rsidR="00654F48" w:rsidRPr="001255F7">
        <w:t>e</w:t>
      </w:r>
      <w:r w:rsidR="00B940F1" w:rsidRPr="001255F7">
        <w:t xml:space="preserve"> </w:t>
      </w:r>
      <w:r w:rsidR="00654F48" w:rsidRPr="001255F7">
        <w:t xml:space="preserve">difference </w:t>
      </w:r>
      <w:r w:rsidR="00063A84" w:rsidRPr="001255F7">
        <w:t xml:space="preserve">was greater in the subgroup </w:t>
      </w:r>
      <w:r w:rsidR="00B940F1" w:rsidRPr="001255F7">
        <w:t>population</w:t>
      </w:r>
      <w:r w:rsidR="00063A84" w:rsidRPr="001255F7">
        <w:t xml:space="preserve"> (</w:t>
      </w:r>
      <w:r w:rsidR="00F5493C" w:rsidRPr="001255F7">
        <w:t xml:space="preserve">reduction of </w:t>
      </w:r>
      <w:r w:rsidR="006E3CF3" w:rsidRPr="001255F7">
        <w:t>2.1</w:t>
      </w:r>
      <w:r w:rsidR="00F5493C" w:rsidRPr="001255F7">
        <w:t xml:space="preserve"> applications</w:t>
      </w:r>
      <w:r w:rsidR="00D72108" w:rsidRPr="001255F7">
        <w:t xml:space="preserve"> per week</w:t>
      </w:r>
      <w:r w:rsidR="00B940F1" w:rsidRPr="001255F7">
        <w:t>).</w:t>
      </w:r>
    </w:p>
    <w:p w:rsidR="00AA652A" w:rsidRPr="001255F7" w:rsidRDefault="00AA652A" w:rsidP="00142D19">
      <w:pPr>
        <w:pStyle w:val="ListParagraph"/>
        <w:widowControl/>
      </w:pPr>
    </w:p>
    <w:p w:rsidR="00B940F1" w:rsidRPr="001255F7" w:rsidRDefault="00B940F1" w:rsidP="00FF5F86">
      <w:pPr>
        <w:pStyle w:val="Heading3"/>
      </w:pPr>
      <w:r w:rsidRPr="001255F7">
        <w:t>Indirect comparison</w:t>
      </w:r>
      <w:r w:rsidR="007E3CA9" w:rsidRPr="001255F7">
        <w:t>s</w:t>
      </w:r>
      <w:r w:rsidRPr="001255F7">
        <w:t xml:space="preserve"> vs nicorandil</w:t>
      </w:r>
      <w:r w:rsidR="007E3CA9" w:rsidRPr="001255F7">
        <w:t xml:space="preserve"> and perhexiline</w:t>
      </w:r>
    </w:p>
    <w:p w:rsidR="00B940F1" w:rsidRPr="001255F7" w:rsidRDefault="00B940F1" w:rsidP="00142D19">
      <w:pPr>
        <w:pStyle w:val="ListParagraph"/>
        <w:widowControl/>
      </w:pPr>
    </w:p>
    <w:p w:rsidR="00570542" w:rsidRDefault="00B940F1" w:rsidP="00142D19">
      <w:pPr>
        <w:pStyle w:val="ListParagraph"/>
        <w:widowControl/>
        <w:numPr>
          <w:ilvl w:val="1"/>
          <w:numId w:val="11"/>
        </w:numPr>
      </w:pPr>
      <w:r w:rsidRPr="001255F7">
        <w:t>Table</w:t>
      </w:r>
      <w:r w:rsidR="00570542" w:rsidRPr="001255F7">
        <w:t xml:space="preserve"> </w:t>
      </w:r>
      <w:r w:rsidR="006E3CF3" w:rsidRPr="001255F7">
        <w:t xml:space="preserve">7 </w:t>
      </w:r>
      <w:r w:rsidR="00570542" w:rsidRPr="001255F7">
        <w:t>summarise</w:t>
      </w:r>
      <w:r w:rsidR="003762A1" w:rsidRPr="001255F7">
        <w:t>s</w:t>
      </w:r>
      <w:r w:rsidR="00570542" w:rsidRPr="001255F7">
        <w:t xml:space="preserve"> the </w:t>
      </w:r>
      <w:r w:rsidR="00EF2214" w:rsidRPr="001255F7">
        <w:t xml:space="preserve">naïve </w:t>
      </w:r>
      <w:r w:rsidR="00570542" w:rsidRPr="001255F7">
        <w:t>indirect comparison between ranolazine and nicorandil.</w:t>
      </w:r>
    </w:p>
    <w:p w:rsidR="006D7AE9" w:rsidRPr="001255F7" w:rsidRDefault="006D7AE9" w:rsidP="006D7AE9">
      <w:pPr>
        <w:pStyle w:val="ListParagraph"/>
        <w:widowControl/>
      </w:pPr>
    </w:p>
    <w:p w:rsidR="004E1B7F" w:rsidRDefault="004E1B7F">
      <w:pPr>
        <w:widowControl/>
        <w:jc w:val="left"/>
        <w:rPr>
          <w:rFonts w:ascii="Arial Narrow" w:hAnsi="Arial Narrow"/>
          <w:b/>
          <w:sz w:val="20"/>
          <w:szCs w:val="16"/>
        </w:rPr>
      </w:pPr>
      <w:r>
        <w:rPr>
          <w:rFonts w:ascii="Arial Narrow" w:hAnsi="Arial Narrow"/>
          <w:b/>
          <w:sz w:val="20"/>
          <w:szCs w:val="16"/>
        </w:rPr>
        <w:br w:type="page"/>
      </w:r>
    </w:p>
    <w:p w:rsidR="00570542" w:rsidRPr="002220DF" w:rsidRDefault="00570542" w:rsidP="00142D19">
      <w:pPr>
        <w:keepNext/>
        <w:widowControl/>
        <w:ind w:left="709"/>
        <w:rPr>
          <w:rFonts w:ascii="Arial Narrow" w:hAnsi="Arial Narrow"/>
          <w:b/>
          <w:sz w:val="20"/>
          <w:szCs w:val="16"/>
        </w:rPr>
      </w:pPr>
      <w:r w:rsidRPr="001255F7">
        <w:rPr>
          <w:rFonts w:ascii="Arial Narrow" w:hAnsi="Arial Narrow"/>
          <w:b/>
          <w:sz w:val="20"/>
          <w:szCs w:val="16"/>
        </w:rPr>
        <w:t>Table</w:t>
      </w:r>
      <w:r w:rsidR="001462E6" w:rsidRPr="001255F7">
        <w:rPr>
          <w:rFonts w:ascii="Arial Narrow" w:hAnsi="Arial Narrow"/>
          <w:b/>
          <w:sz w:val="20"/>
          <w:szCs w:val="16"/>
        </w:rPr>
        <w:t xml:space="preserve"> </w:t>
      </w:r>
      <w:r w:rsidR="006E3CF3" w:rsidRPr="001255F7">
        <w:rPr>
          <w:rFonts w:ascii="Arial Narrow" w:hAnsi="Arial Narrow"/>
          <w:b/>
          <w:sz w:val="20"/>
          <w:szCs w:val="16"/>
        </w:rPr>
        <w:t>7</w:t>
      </w:r>
      <w:r w:rsidRPr="001255F7">
        <w:rPr>
          <w:rFonts w:ascii="Arial Narrow" w:hAnsi="Arial Narrow"/>
          <w:b/>
          <w:sz w:val="20"/>
          <w:szCs w:val="16"/>
        </w:rPr>
        <w:t>: Naïve comparison of annualised m</w:t>
      </w:r>
      <w:r w:rsidRPr="002220DF">
        <w:rPr>
          <w:rFonts w:ascii="Arial Narrow" w:hAnsi="Arial Narrow"/>
          <w:b/>
          <w:sz w:val="20"/>
          <w:szCs w:val="16"/>
        </w:rPr>
        <w:t>ortality rates from the ROLE</w:t>
      </w:r>
      <w:r w:rsidR="00654F48">
        <w:rPr>
          <w:rFonts w:ascii="Arial Narrow" w:hAnsi="Arial Narrow"/>
          <w:b/>
          <w:sz w:val="20"/>
          <w:szCs w:val="16"/>
        </w:rPr>
        <w:t xml:space="preserve"> (Koren 2007)</w:t>
      </w:r>
      <w:r w:rsidRPr="002220DF">
        <w:rPr>
          <w:rFonts w:ascii="Arial Narrow" w:hAnsi="Arial Narrow"/>
          <w:b/>
          <w:sz w:val="20"/>
          <w:szCs w:val="16"/>
        </w:rPr>
        <w:t xml:space="preserve"> and IONA studies</w:t>
      </w:r>
    </w:p>
    <w:tbl>
      <w:tblPr>
        <w:tblStyle w:val="TableGrid"/>
        <w:tblW w:w="4549" w:type="pct"/>
        <w:tblInd w:w="817" w:type="dxa"/>
        <w:tblLook w:val="04A0" w:firstRow="1" w:lastRow="0" w:firstColumn="1" w:lastColumn="0" w:noHBand="0" w:noVBand="1"/>
        <w:tblCaption w:val="Table 7: Naïve comparison of annualised mortality rates from the ROLE (Koren 2007) and IONA studies"/>
      </w:tblPr>
      <w:tblGrid>
        <w:gridCol w:w="1924"/>
        <w:gridCol w:w="3405"/>
        <w:gridCol w:w="3079"/>
      </w:tblGrid>
      <w:tr w:rsidR="00570542" w:rsidRPr="002220DF" w:rsidTr="00993707">
        <w:trPr>
          <w:trHeight w:val="85"/>
          <w:tblHeader/>
        </w:trPr>
        <w:tc>
          <w:tcPr>
            <w:tcW w:w="1144" w:type="pct"/>
            <w:tcBorders>
              <w:bottom w:val="single" w:sz="4" w:space="0" w:color="auto"/>
            </w:tcBorders>
            <w:shd w:val="clear" w:color="auto" w:fill="auto"/>
          </w:tcPr>
          <w:p w:rsidR="00570542" w:rsidRPr="002220DF" w:rsidRDefault="00570542" w:rsidP="00142D19">
            <w:pPr>
              <w:pStyle w:val="Tabletext"/>
              <w:rPr>
                <w:b/>
              </w:rPr>
            </w:pPr>
            <w:r w:rsidRPr="002220DF">
              <w:rPr>
                <w:b/>
              </w:rPr>
              <w:t>Cause of mortality</w:t>
            </w:r>
          </w:p>
        </w:tc>
        <w:tc>
          <w:tcPr>
            <w:tcW w:w="2025" w:type="pct"/>
            <w:tcBorders>
              <w:bottom w:val="single" w:sz="4" w:space="0" w:color="auto"/>
            </w:tcBorders>
          </w:tcPr>
          <w:p w:rsidR="00570542" w:rsidRPr="002220DF" w:rsidRDefault="00570542" w:rsidP="00142D19">
            <w:pPr>
              <w:pStyle w:val="Tabletext"/>
              <w:jc w:val="center"/>
              <w:rPr>
                <w:b/>
              </w:rPr>
            </w:pPr>
            <w:r w:rsidRPr="002220DF">
              <w:rPr>
                <w:b/>
              </w:rPr>
              <w:t>Study</w:t>
            </w:r>
          </w:p>
        </w:tc>
        <w:tc>
          <w:tcPr>
            <w:tcW w:w="1831" w:type="pct"/>
            <w:tcBorders>
              <w:bottom w:val="single" w:sz="4" w:space="0" w:color="auto"/>
            </w:tcBorders>
            <w:shd w:val="clear" w:color="auto" w:fill="auto"/>
          </w:tcPr>
          <w:p w:rsidR="00570542" w:rsidRPr="002220DF" w:rsidRDefault="00570542" w:rsidP="00142D19">
            <w:pPr>
              <w:pStyle w:val="Tabletext"/>
              <w:jc w:val="center"/>
              <w:rPr>
                <w:b/>
              </w:rPr>
            </w:pPr>
            <w:r w:rsidRPr="002220DF">
              <w:rPr>
                <w:b/>
              </w:rPr>
              <w:t>Annualised mortality rate (95% CI)</w:t>
            </w:r>
          </w:p>
        </w:tc>
      </w:tr>
      <w:tr w:rsidR="00570542" w:rsidRPr="002220DF" w:rsidTr="008203DE">
        <w:trPr>
          <w:trHeight w:val="56"/>
        </w:trPr>
        <w:tc>
          <w:tcPr>
            <w:tcW w:w="1144" w:type="pct"/>
            <w:vMerge w:val="restart"/>
            <w:shd w:val="clear" w:color="auto" w:fill="auto"/>
            <w:vAlign w:val="center"/>
          </w:tcPr>
          <w:p w:rsidR="00570542" w:rsidRPr="002220DF" w:rsidRDefault="00570542" w:rsidP="00142D19">
            <w:pPr>
              <w:pStyle w:val="Tabletext"/>
            </w:pPr>
            <w:r w:rsidRPr="002220DF">
              <w:t>All-cause mortality</w:t>
            </w:r>
          </w:p>
        </w:tc>
        <w:tc>
          <w:tcPr>
            <w:tcW w:w="2025" w:type="pct"/>
            <w:tcBorders>
              <w:bottom w:val="single" w:sz="4" w:space="0" w:color="auto"/>
            </w:tcBorders>
          </w:tcPr>
          <w:p w:rsidR="00570542" w:rsidRPr="002220DF" w:rsidRDefault="00600999" w:rsidP="00142D19">
            <w:pPr>
              <w:pStyle w:val="Tabletext"/>
              <w:jc w:val="center"/>
              <w:rPr>
                <w:vertAlign w:val="superscript"/>
              </w:rPr>
            </w:pPr>
            <w:r>
              <w:rPr>
                <w:szCs w:val="22"/>
              </w:rPr>
              <w:t>Koren (2007)</w:t>
            </w:r>
            <w:r w:rsidR="003A6361">
              <w:rPr>
                <w:szCs w:val="22"/>
              </w:rPr>
              <w:t xml:space="preserve"> – ranolazine</w:t>
            </w:r>
          </w:p>
        </w:tc>
        <w:tc>
          <w:tcPr>
            <w:tcW w:w="1831" w:type="pct"/>
            <w:tcBorders>
              <w:bottom w:val="single" w:sz="4" w:space="0" w:color="auto"/>
            </w:tcBorders>
            <w:shd w:val="clear" w:color="auto" w:fill="auto"/>
            <w:vAlign w:val="center"/>
          </w:tcPr>
          <w:p w:rsidR="00570542" w:rsidRPr="002220DF" w:rsidRDefault="00570542" w:rsidP="00142D19">
            <w:pPr>
              <w:pStyle w:val="Tabletext"/>
              <w:jc w:val="center"/>
            </w:pPr>
            <w:r w:rsidRPr="002220DF">
              <w:t>2.87% (2.27% to 3.62%)</w:t>
            </w:r>
          </w:p>
        </w:tc>
      </w:tr>
      <w:tr w:rsidR="00570542" w:rsidRPr="002220DF" w:rsidTr="008203DE">
        <w:trPr>
          <w:trHeight w:val="56"/>
        </w:trPr>
        <w:tc>
          <w:tcPr>
            <w:tcW w:w="1144" w:type="pct"/>
            <w:vMerge/>
            <w:tcBorders>
              <w:bottom w:val="single" w:sz="4" w:space="0" w:color="auto"/>
            </w:tcBorders>
            <w:shd w:val="clear" w:color="auto" w:fill="auto"/>
            <w:vAlign w:val="center"/>
          </w:tcPr>
          <w:p w:rsidR="00570542" w:rsidRPr="002220DF" w:rsidRDefault="00570542" w:rsidP="00142D19">
            <w:pPr>
              <w:pStyle w:val="Tabletext"/>
            </w:pPr>
          </w:p>
        </w:tc>
        <w:tc>
          <w:tcPr>
            <w:tcW w:w="2025" w:type="pct"/>
            <w:tcBorders>
              <w:top w:val="single" w:sz="4" w:space="0" w:color="auto"/>
              <w:bottom w:val="single" w:sz="4" w:space="0" w:color="auto"/>
            </w:tcBorders>
          </w:tcPr>
          <w:p w:rsidR="00570542" w:rsidRPr="002220DF" w:rsidRDefault="00570542" w:rsidP="00142D19">
            <w:pPr>
              <w:pStyle w:val="Tabletext"/>
              <w:jc w:val="center"/>
            </w:pPr>
            <w:r w:rsidRPr="002220DF">
              <w:t>IONA</w:t>
            </w:r>
            <w:r w:rsidR="003A6361">
              <w:t xml:space="preserve"> – nicorandil</w:t>
            </w:r>
          </w:p>
        </w:tc>
        <w:tc>
          <w:tcPr>
            <w:tcW w:w="1831" w:type="pct"/>
            <w:tcBorders>
              <w:top w:val="single" w:sz="4" w:space="0" w:color="auto"/>
              <w:bottom w:val="single" w:sz="4" w:space="0" w:color="auto"/>
            </w:tcBorders>
            <w:shd w:val="clear" w:color="auto" w:fill="auto"/>
            <w:vAlign w:val="center"/>
          </w:tcPr>
          <w:p w:rsidR="00570542" w:rsidRPr="002220DF" w:rsidRDefault="00570542" w:rsidP="00142D19">
            <w:pPr>
              <w:pStyle w:val="Tabletext"/>
              <w:jc w:val="center"/>
            </w:pPr>
            <w:r w:rsidRPr="002220DF">
              <w:t>2.70% (2.25% to 3.25%)</w:t>
            </w:r>
          </w:p>
        </w:tc>
      </w:tr>
      <w:tr w:rsidR="00570542" w:rsidRPr="002220DF" w:rsidTr="008203DE">
        <w:tc>
          <w:tcPr>
            <w:tcW w:w="1144" w:type="pct"/>
            <w:vMerge w:val="restart"/>
            <w:tcBorders>
              <w:bottom w:val="single" w:sz="4" w:space="0" w:color="auto"/>
            </w:tcBorders>
            <w:shd w:val="clear" w:color="auto" w:fill="auto"/>
            <w:vAlign w:val="center"/>
          </w:tcPr>
          <w:p w:rsidR="00570542" w:rsidRPr="002220DF" w:rsidRDefault="00570542" w:rsidP="00142D19">
            <w:pPr>
              <w:pStyle w:val="Tabletext"/>
            </w:pPr>
            <w:r w:rsidRPr="002220DF">
              <w:t>CV-related mortality</w:t>
            </w:r>
          </w:p>
        </w:tc>
        <w:tc>
          <w:tcPr>
            <w:tcW w:w="2025" w:type="pct"/>
            <w:tcBorders>
              <w:top w:val="single" w:sz="4" w:space="0" w:color="auto"/>
              <w:bottom w:val="single" w:sz="4" w:space="0" w:color="auto"/>
            </w:tcBorders>
          </w:tcPr>
          <w:p w:rsidR="00570542" w:rsidRPr="002220DF" w:rsidRDefault="00600999" w:rsidP="00142D19">
            <w:pPr>
              <w:pStyle w:val="Tabletext"/>
              <w:jc w:val="center"/>
            </w:pPr>
            <w:r>
              <w:rPr>
                <w:szCs w:val="22"/>
              </w:rPr>
              <w:t>Koren (2007)</w:t>
            </w:r>
            <w:r w:rsidR="003A6361">
              <w:rPr>
                <w:szCs w:val="22"/>
              </w:rPr>
              <w:t xml:space="preserve"> – ranolazine</w:t>
            </w:r>
          </w:p>
        </w:tc>
        <w:tc>
          <w:tcPr>
            <w:tcW w:w="1831" w:type="pct"/>
            <w:tcBorders>
              <w:top w:val="single" w:sz="4" w:space="0" w:color="auto"/>
              <w:bottom w:val="single" w:sz="4" w:space="0" w:color="auto"/>
            </w:tcBorders>
            <w:shd w:val="clear" w:color="auto" w:fill="auto"/>
            <w:vAlign w:val="center"/>
          </w:tcPr>
          <w:p w:rsidR="00570542" w:rsidRPr="002220DF" w:rsidRDefault="00570542" w:rsidP="00142D19">
            <w:pPr>
              <w:pStyle w:val="Tabletext"/>
              <w:jc w:val="center"/>
            </w:pPr>
            <w:r w:rsidRPr="002220DF">
              <w:t>2.28% (1.75% to 2.96%)</w:t>
            </w:r>
          </w:p>
        </w:tc>
      </w:tr>
      <w:tr w:rsidR="00570542" w:rsidRPr="002220DF" w:rsidTr="008203DE">
        <w:tc>
          <w:tcPr>
            <w:tcW w:w="1144" w:type="pct"/>
            <w:vMerge/>
            <w:tcBorders>
              <w:top w:val="single" w:sz="4" w:space="0" w:color="auto"/>
              <w:bottom w:val="single" w:sz="4" w:space="0" w:color="auto"/>
            </w:tcBorders>
            <w:shd w:val="clear" w:color="auto" w:fill="auto"/>
          </w:tcPr>
          <w:p w:rsidR="00570542" w:rsidRPr="002220DF" w:rsidRDefault="00570542" w:rsidP="00142D19">
            <w:pPr>
              <w:pStyle w:val="Tabletext"/>
            </w:pPr>
          </w:p>
        </w:tc>
        <w:tc>
          <w:tcPr>
            <w:tcW w:w="2025" w:type="pct"/>
            <w:tcBorders>
              <w:top w:val="single" w:sz="4" w:space="0" w:color="auto"/>
              <w:bottom w:val="single" w:sz="4" w:space="0" w:color="auto"/>
            </w:tcBorders>
          </w:tcPr>
          <w:p w:rsidR="00570542" w:rsidRPr="002220DF" w:rsidRDefault="00570542" w:rsidP="00142D19">
            <w:pPr>
              <w:pStyle w:val="Tabletext"/>
              <w:jc w:val="center"/>
            </w:pPr>
            <w:r w:rsidRPr="002220DF">
              <w:t>IONA</w:t>
            </w:r>
            <w:r w:rsidR="003A6361">
              <w:t xml:space="preserve"> – nicorandil</w:t>
            </w:r>
          </w:p>
        </w:tc>
        <w:tc>
          <w:tcPr>
            <w:tcW w:w="1831" w:type="pct"/>
            <w:tcBorders>
              <w:top w:val="single" w:sz="4" w:space="0" w:color="auto"/>
              <w:bottom w:val="single" w:sz="4" w:space="0" w:color="auto"/>
            </w:tcBorders>
            <w:shd w:val="clear" w:color="auto" w:fill="auto"/>
            <w:vAlign w:val="center"/>
          </w:tcPr>
          <w:p w:rsidR="00570542" w:rsidRPr="002220DF" w:rsidRDefault="00570542" w:rsidP="00142D19">
            <w:pPr>
              <w:pStyle w:val="Tabletext"/>
              <w:jc w:val="center"/>
            </w:pPr>
            <w:r w:rsidRPr="002220DF">
              <w:t>1.46% (1.14% to 1.88%)</w:t>
            </w:r>
          </w:p>
        </w:tc>
      </w:tr>
    </w:tbl>
    <w:p w:rsidR="00570542" w:rsidRPr="002220DF" w:rsidRDefault="00570542" w:rsidP="00142D19">
      <w:pPr>
        <w:keepNext/>
        <w:widowControl/>
        <w:ind w:left="709"/>
        <w:rPr>
          <w:rFonts w:ascii="Arial Narrow" w:hAnsi="Arial Narrow"/>
          <w:sz w:val="18"/>
        </w:rPr>
      </w:pPr>
      <w:r w:rsidRPr="002220DF">
        <w:rPr>
          <w:rFonts w:ascii="Arial Narrow" w:hAnsi="Arial Narrow"/>
          <w:sz w:val="18"/>
        </w:rPr>
        <w:t>Source: Table B-33, p86 of the submissio</w:t>
      </w:r>
      <w:r w:rsidR="00186CE2" w:rsidRPr="002220DF">
        <w:rPr>
          <w:rFonts w:ascii="Arial Narrow" w:hAnsi="Arial Narrow"/>
          <w:sz w:val="18"/>
        </w:rPr>
        <w:t>n</w:t>
      </w:r>
      <w:r w:rsidRPr="002220DF">
        <w:rPr>
          <w:rFonts w:ascii="Arial Narrow" w:hAnsi="Arial Narrow"/>
          <w:sz w:val="18"/>
        </w:rPr>
        <w:t xml:space="preserve">. </w:t>
      </w:r>
    </w:p>
    <w:p w:rsidR="00570542" w:rsidRPr="002220DF" w:rsidRDefault="00656B8D" w:rsidP="00142D19">
      <w:pPr>
        <w:keepNext/>
        <w:widowControl/>
        <w:ind w:left="709"/>
        <w:rPr>
          <w:rFonts w:ascii="Arial Narrow" w:hAnsi="Arial Narrow"/>
          <w:sz w:val="18"/>
        </w:rPr>
      </w:pPr>
      <w:r w:rsidRPr="002220DF">
        <w:rPr>
          <w:rFonts w:ascii="Arial Narrow" w:hAnsi="Arial Narrow"/>
          <w:sz w:val="18"/>
        </w:rPr>
        <w:t xml:space="preserve">CI = confidence interval; </w:t>
      </w:r>
      <w:r w:rsidR="00570542" w:rsidRPr="002220DF">
        <w:rPr>
          <w:rFonts w:ascii="Arial Narrow" w:hAnsi="Arial Narrow"/>
          <w:sz w:val="18"/>
        </w:rPr>
        <w:t>CV = cardiovascular; RR = relative risk</w:t>
      </w:r>
    </w:p>
    <w:p w:rsidR="00570542" w:rsidRPr="002220DF" w:rsidRDefault="00570542" w:rsidP="00142D19">
      <w:pPr>
        <w:widowControl/>
      </w:pPr>
    </w:p>
    <w:p w:rsidR="0002448A" w:rsidRPr="001255F7" w:rsidRDefault="00570542" w:rsidP="00142D19">
      <w:pPr>
        <w:pStyle w:val="ListParagraph"/>
        <w:widowControl/>
        <w:numPr>
          <w:ilvl w:val="1"/>
          <w:numId w:val="11"/>
        </w:numPr>
      </w:pPr>
      <w:r w:rsidRPr="001255F7">
        <w:t>The submission contended that the overall mortality associated with treatment with ranolazine was similar to patients treated with nicorandil</w:t>
      </w:r>
      <w:r w:rsidR="0002448A" w:rsidRPr="001255F7">
        <w:t xml:space="preserve"> based on an indirect, naïve comparison</w:t>
      </w:r>
      <w:r w:rsidRPr="001255F7">
        <w:t xml:space="preserve">. This </w:t>
      </w:r>
      <w:r w:rsidR="00D30A56" w:rsidRPr="001255F7">
        <w:t xml:space="preserve">claim </w:t>
      </w:r>
      <w:r w:rsidR="00105CB2">
        <w:t>wa</w:t>
      </w:r>
      <w:r w:rsidR="00D30A56" w:rsidRPr="001255F7">
        <w:t>s not well supported because</w:t>
      </w:r>
      <w:r w:rsidR="0002448A" w:rsidRPr="001255F7">
        <w:t>:</w:t>
      </w:r>
    </w:p>
    <w:p w:rsidR="00040C00" w:rsidRPr="001255F7" w:rsidRDefault="000E3997" w:rsidP="00142D19">
      <w:pPr>
        <w:pStyle w:val="ListParagraph"/>
        <w:widowControl/>
        <w:numPr>
          <w:ilvl w:val="0"/>
          <w:numId w:val="6"/>
        </w:numPr>
        <w:ind w:left="1134" w:hanging="357"/>
      </w:pPr>
      <w:r w:rsidRPr="001255F7">
        <w:t>T</w:t>
      </w:r>
      <w:r w:rsidR="00040C00" w:rsidRPr="001255F7">
        <w:t xml:space="preserve">he majority of the </w:t>
      </w:r>
      <w:r w:rsidR="00600999" w:rsidRPr="001255F7">
        <w:rPr>
          <w:szCs w:val="22"/>
        </w:rPr>
        <w:t>Koren (2007)</w:t>
      </w:r>
      <w:r w:rsidR="00040C00" w:rsidRPr="001255F7">
        <w:t xml:space="preserve"> population (58%) were treated with a higher dose </w:t>
      </w:r>
      <w:r w:rsidR="003A6361" w:rsidRPr="001255F7">
        <w:t xml:space="preserve">of ranolazine </w:t>
      </w:r>
      <w:r w:rsidR="00040C00" w:rsidRPr="001255F7">
        <w:t xml:space="preserve">than the maximum dose </w:t>
      </w:r>
      <w:r w:rsidR="00654F48" w:rsidRPr="001255F7">
        <w:t xml:space="preserve">recommended </w:t>
      </w:r>
      <w:r w:rsidR="00040C00" w:rsidRPr="001255F7">
        <w:t xml:space="preserve">by the TGA; </w:t>
      </w:r>
    </w:p>
    <w:p w:rsidR="00040C00" w:rsidRPr="001255F7" w:rsidRDefault="00585B95" w:rsidP="00142D19">
      <w:pPr>
        <w:pStyle w:val="ListParagraph"/>
        <w:widowControl/>
        <w:numPr>
          <w:ilvl w:val="0"/>
          <w:numId w:val="6"/>
        </w:numPr>
        <w:ind w:left="1134" w:hanging="357"/>
      </w:pPr>
      <w:r w:rsidRPr="001255F7">
        <w:t xml:space="preserve">Koren (2007) </w:t>
      </w:r>
      <w:r w:rsidR="00845C46" w:rsidRPr="001255F7">
        <w:t xml:space="preserve">was a single-arm, open-label </w:t>
      </w:r>
      <w:r w:rsidR="00D256A4" w:rsidRPr="001255F7">
        <w:t>extension study o</w:t>
      </w:r>
      <w:r w:rsidR="002E1763" w:rsidRPr="001255F7">
        <w:t>f</w:t>
      </w:r>
      <w:r w:rsidR="00D256A4" w:rsidRPr="001255F7">
        <w:t xml:space="preserve"> the CARISA and </w:t>
      </w:r>
      <w:r w:rsidRPr="001255F7">
        <w:t>MARISA</w:t>
      </w:r>
      <w:r w:rsidR="00D256A4" w:rsidRPr="001255F7">
        <w:t xml:space="preserve"> populations</w:t>
      </w:r>
      <w:r w:rsidR="00040C00" w:rsidRPr="001255F7">
        <w:t>;</w:t>
      </w:r>
    </w:p>
    <w:p w:rsidR="00040C00" w:rsidRPr="001255F7" w:rsidRDefault="00D256A4" w:rsidP="00142D19">
      <w:pPr>
        <w:pStyle w:val="ListParagraph"/>
        <w:widowControl/>
        <w:numPr>
          <w:ilvl w:val="0"/>
          <w:numId w:val="6"/>
        </w:numPr>
        <w:ind w:left="1134" w:hanging="357"/>
      </w:pPr>
      <w:r w:rsidRPr="001255F7">
        <w:t>T</w:t>
      </w:r>
      <w:r w:rsidR="00040C00" w:rsidRPr="001255F7">
        <w:t xml:space="preserve">here was a large number of patients that discontinued (almost 40%) in the </w:t>
      </w:r>
      <w:r w:rsidR="00600999" w:rsidRPr="001255F7">
        <w:rPr>
          <w:szCs w:val="22"/>
        </w:rPr>
        <w:t xml:space="preserve">Koren (2007) </w:t>
      </w:r>
      <w:r w:rsidR="00040C00" w:rsidRPr="001255F7">
        <w:t>study; and,</w:t>
      </w:r>
    </w:p>
    <w:p w:rsidR="00040C00" w:rsidRPr="001255F7" w:rsidRDefault="000E3997" w:rsidP="00142D19">
      <w:pPr>
        <w:pStyle w:val="ListParagraph"/>
        <w:widowControl/>
        <w:numPr>
          <w:ilvl w:val="0"/>
          <w:numId w:val="6"/>
        </w:numPr>
        <w:ind w:left="1134" w:hanging="357"/>
      </w:pPr>
      <w:r w:rsidRPr="001255F7">
        <w:t>T</w:t>
      </w:r>
      <w:r w:rsidR="00040C00" w:rsidRPr="001255F7">
        <w:t>here may have been considerable heterogeneity between the two study populations.</w:t>
      </w:r>
    </w:p>
    <w:p w:rsidR="001A786B" w:rsidRPr="001255F7" w:rsidRDefault="00FC5961" w:rsidP="00142D19">
      <w:pPr>
        <w:widowControl/>
        <w:ind w:left="709"/>
      </w:pPr>
      <w:r w:rsidRPr="001255F7">
        <w:t xml:space="preserve">The ESC </w:t>
      </w:r>
      <w:r w:rsidR="00944A9B" w:rsidRPr="001255F7">
        <w:t xml:space="preserve">considered that it was not possible to make a reliable estimate of comparative risks and benefits </w:t>
      </w:r>
      <w:r w:rsidR="00D30A56" w:rsidRPr="001255F7">
        <w:t xml:space="preserve">of ranolazine versus nicorandil </w:t>
      </w:r>
      <w:r w:rsidR="00550F7B" w:rsidRPr="001255F7">
        <w:t>based on</w:t>
      </w:r>
      <w:r w:rsidR="00944A9B" w:rsidRPr="001255F7">
        <w:t xml:space="preserve"> the available data. </w:t>
      </w:r>
    </w:p>
    <w:p w:rsidR="00FC5961" w:rsidRPr="001255F7" w:rsidRDefault="00FC5961" w:rsidP="00142D19">
      <w:pPr>
        <w:widowControl/>
      </w:pPr>
    </w:p>
    <w:p w:rsidR="001A786B" w:rsidRPr="001255F7" w:rsidRDefault="001A786B" w:rsidP="00142D19">
      <w:pPr>
        <w:pStyle w:val="ListParagraph"/>
        <w:widowControl/>
        <w:numPr>
          <w:ilvl w:val="1"/>
          <w:numId w:val="11"/>
        </w:numPr>
      </w:pPr>
      <w:r w:rsidRPr="001255F7">
        <w:t xml:space="preserve">Table </w:t>
      </w:r>
      <w:r w:rsidR="00290CB3" w:rsidRPr="001255F7">
        <w:t xml:space="preserve">8 </w:t>
      </w:r>
      <w:r w:rsidRPr="001255F7">
        <w:t>summarise</w:t>
      </w:r>
      <w:r w:rsidR="00160F06" w:rsidRPr="001255F7">
        <w:t>s</w:t>
      </w:r>
      <w:r w:rsidRPr="001255F7">
        <w:t xml:space="preserve"> the indirect comparison between ranolazine and perhexiline.</w:t>
      </w:r>
    </w:p>
    <w:p w:rsidR="001A786B" w:rsidRPr="002220DF" w:rsidRDefault="001A786B" w:rsidP="00142D19">
      <w:pPr>
        <w:widowControl/>
        <w:rPr>
          <w:rStyle w:val="CommentReference"/>
        </w:rPr>
      </w:pPr>
    </w:p>
    <w:p w:rsidR="001A786B" w:rsidRPr="002220DF" w:rsidRDefault="001A786B" w:rsidP="00142D19">
      <w:pPr>
        <w:pStyle w:val="ListParagraph"/>
        <w:widowControl/>
        <w:rPr>
          <w:rStyle w:val="CommentReference"/>
        </w:rPr>
      </w:pPr>
      <w:r w:rsidRPr="002220DF">
        <w:rPr>
          <w:rStyle w:val="CommentReference"/>
        </w:rPr>
        <w:t xml:space="preserve">Table </w:t>
      </w:r>
      <w:r w:rsidR="00290CB3" w:rsidRPr="002220DF">
        <w:rPr>
          <w:rStyle w:val="CommentReference"/>
        </w:rPr>
        <w:t>8</w:t>
      </w:r>
      <w:r w:rsidRPr="002220DF">
        <w:rPr>
          <w:rStyle w:val="CommentReference"/>
        </w:rPr>
        <w:t>: Indirect comparison of change in exercise duration at peak between C</w:t>
      </w:r>
      <w:r w:rsidR="00BC6949" w:rsidRPr="002220DF">
        <w:rPr>
          <w:rStyle w:val="CommentReference"/>
        </w:rPr>
        <w:t>ARISA and Cole</w:t>
      </w:r>
      <w:r w:rsidRPr="002220DF">
        <w:rPr>
          <w:rStyle w:val="CommentReference"/>
        </w:rPr>
        <w:t xml:space="preserve"> (1990)</w:t>
      </w:r>
    </w:p>
    <w:tbl>
      <w:tblPr>
        <w:tblW w:w="461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2"/>
        <w:gridCol w:w="1105"/>
        <w:gridCol w:w="1104"/>
        <w:gridCol w:w="1105"/>
        <w:gridCol w:w="1104"/>
        <w:gridCol w:w="1104"/>
        <w:gridCol w:w="1105"/>
        <w:gridCol w:w="1015"/>
      </w:tblGrid>
      <w:tr w:rsidR="001A786B" w:rsidRPr="002220DF" w:rsidTr="00044665">
        <w:trPr>
          <w:tblHeader/>
        </w:trPr>
        <w:tc>
          <w:tcPr>
            <w:tcW w:w="437" w:type="pct"/>
            <w:vMerge w:val="restart"/>
            <w:tcBorders>
              <w:top w:val="single" w:sz="4" w:space="0" w:color="auto"/>
              <w:left w:val="single" w:sz="4" w:space="0" w:color="auto"/>
              <w:bottom w:val="single" w:sz="4" w:space="0" w:color="auto"/>
              <w:right w:val="single" w:sz="4" w:space="0" w:color="auto"/>
            </w:tcBorders>
            <w:tcMar>
              <w:right w:w="28" w:type="dxa"/>
            </w:tcMar>
            <w:vAlign w:val="center"/>
          </w:tcPr>
          <w:p w:rsidR="001A786B" w:rsidRPr="002220DF" w:rsidRDefault="001A786B" w:rsidP="00142D19">
            <w:pPr>
              <w:pStyle w:val="Tabletext"/>
              <w:rPr>
                <w:b/>
              </w:rPr>
            </w:pPr>
            <w:r w:rsidRPr="002220DF">
              <w:rPr>
                <w:b/>
              </w:rPr>
              <w:t>Trial ID</w:t>
            </w:r>
          </w:p>
        </w:tc>
        <w:tc>
          <w:tcPr>
            <w:tcW w:w="1979" w:type="pct"/>
            <w:gridSpan w:val="3"/>
            <w:tcBorders>
              <w:top w:val="single" w:sz="4" w:space="0" w:color="auto"/>
              <w:left w:val="nil"/>
              <w:bottom w:val="single" w:sz="4" w:space="0" w:color="auto"/>
              <w:right w:val="double" w:sz="4" w:space="0" w:color="auto"/>
            </w:tcBorders>
            <w:vAlign w:val="center"/>
          </w:tcPr>
          <w:p w:rsidR="001A786B" w:rsidRPr="002220DF" w:rsidRDefault="001A786B" w:rsidP="00142D19">
            <w:pPr>
              <w:pStyle w:val="Tabletext"/>
              <w:jc w:val="center"/>
              <w:rPr>
                <w:b/>
              </w:rPr>
            </w:pPr>
            <w:r w:rsidRPr="002220DF">
              <w:rPr>
                <w:b/>
              </w:rPr>
              <w:t>Trial(s) of proposed drug</w:t>
            </w:r>
          </w:p>
        </w:tc>
        <w:tc>
          <w:tcPr>
            <w:tcW w:w="1978" w:type="pct"/>
            <w:gridSpan w:val="3"/>
            <w:tcBorders>
              <w:top w:val="single" w:sz="4" w:space="0" w:color="auto"/>
              <w:left w:val="nil"/>
              <w:bottom w:val="single" w:sz="4" w:space="0" w:color="auto"/>
              <w:right w:val="single" w:sz="4" w:space="0" w:color="auto"/>
            </w:tcBorders>
            <w:vAlign w:val="center"/>
          </w:tcPr>
          <w:p w:rsidR="001A786B" w:rsidRPr="002220DF" w:rsidRDefault="001A786B" w:rsidP="00142D19">
            <w:pPr>
              <w:pStyle w:val="Tabletext"/>
              <w:jc w:val="center"/>
              <w:rPr>
                <w:b/>
              </w:rPr>
            </w:pPr>
            <w:r w:rsidRPr="002220DF">
              <w:rPr>
                <w:b/>
              </w:rPr>
              <w:t>Trial(s) of main comparator</w:t>
            </w:r>
          </w:p>
        </w:tc>
        <w:tc>
          <w:tcPr>
            <w:tcW w:w="606" w:type="pct"/>
            <w:vMerge w:val="restart"/>
            <w:tcBorders>
              <w:top w:val="single" w:sz="4" w:space="0" w:color="auto"/>
              <w:left w:val="single" w:sz="4" w:space="0" w:color="auto"/>
              <w:bottom w:val="single" w:sz="4" w:space="0" w:color="auto"/>
              <w:right w:val="single" w:sz="4" w:space="0" w:color="auto"/>
            </w:tcBorders>
            <w:vAlign w:val="center"/>
          </w:tcPr>
          <w:p w:rsidR="001A786B" w:rsidRPr="002220DF" w:rsidRDefault="001A786B" w:rsidP="00142D19">
            <w:pPr>
              <w:pStyle w:val="Tabletext"/>
              <w:rPr>
                <w:b/>
              </w:rPr>
            </w:pPr>
            <w:r w:rsidRPr="002220DF">
              <w:rPr>
                <w:b/>
              </w:rPr>
              <w:t xml:space="preserve">Indirect change in Exercise duration </w:t>
            </w:r>
            <w:r w:rsidR="00EF2214" w:rsidRPr="002220DF">
              <w:rPr>
                <w:b/>
                <w:snapToGrid w:val="0"/>
              </w:rPr>
              <w:t>(s)</w:t>
            </w:r>
            <w:r w:rsidRPr="002220DF">
              <w:rPr>
                <w:b/>
              </w:rPr>
              <w:br/>
              <w:t>(95% CI)</w:t>
            </w:r>
          </w:p>
        </w:tc>
      </w:tr>
      <w:tr w:rsidR="001A786B" w:rsidRPr="002220DF" w:rsidTr="00044665">
        <w:trPr>
          <w:tblHeader/>
        </w:trPr>
        <w:tc>
          <w:tcPr>
            <w:tcW w:w="437" w:type="pct"/>
            <w:vMerge/>
            <w:tcBorders>
              <w:top w:val="single" w:sz="4" w:space="0" w:color="auto"/>
              <w:left w:val="single" w:sz="4" w:space="0" w:color="auto"/>
              <w:bottom w:val="single" w:sz="4" w:space="0" w:color="auto"/>
              <w:right w:val="single" w:sz="4" w:space="0" w:color="auto"/>
            </w:tcBorders>
            <w:tcMar>
              <w:right w:w="28" w:type="dxa"/>
            </w:tcMar>
            <w:vAlign w:val="center"/>
          </w:tcPr>
          <w:p w:rsidR="001A786B" w:rsidRPr="002220DF" w:rsidRDefault="001A786B" w:rsidP="00142D19">
            <w:pPr>
              <w:pStyle w:val="Tabletext"/>
            </w:pPr>
          </w:p>
        </w:tc>
        <w:tc>
          <w:tcPr>
            <w:tcW w:w="660" w:type="pct"/>
            <w:tcBorders>
              <w:top w:val="single" w:sz="4" w:space="0" w:color="auto"/>
              <w:left w:val="single" w:sz="4" w:space="0" w:color="auto"/>
              <w:bottom w:val="single" w:sz="4" w:space="0" w:color="auto"/>
              <w:right w:val="single" w:sz="4" w:space="0" w:color="auto"/>
            </w:tcBorders>
            <w:vAlign w:val="center"/>
          </w:tcPr>
          <w:p w:rsidR="001A786B" w:rsidRPr="002220DF" w:rsidRDefault="009E56EF" w:rsidP="00142D19">
            <w:pPr>
              <w:pStyle w:val="Tabletext"/>
              <w:jc w:val="center"/>
              <w:rPr>
                <w:b/>
              </w:rPr>
            </w:pPr>
            <w:r w:rsidRPr="002220DF">
              <w:rPr>
                <w:b/>
              </w:rPr>
              <w:t xml:space="preserve">Mean difference in change in exercise duration </w:t>
            </w:r>
            <w:r w:rsidRPr="002220DF">
              <w:rPr>
                <w:b/>
                <w:snapToGrid w:val="0"/>
              </w:rPr>
              <w:t>(s)</w:t>
            </w:r>
            <w:r w:rsidRPr="002220DF">
              <w:rPr>
                <w:b/>
              </w:rPr>
              <w:t xml:space="preserve"> </w:t>
            </w:r>
            <w:r w:rsidRPr="002220DF">
              <w:rPr>
                <w:b/>
                <w:snapToGrid w:val="0"/>
              </w:rPr>
              <w:t>(95% CI)</w:t>
            </w:r>
          </w:p>
        </w:tc>
        <w:tc>
          <w:tcPr>
            <w:tcW w:w="659" w:type="pct"/>
            <w:tcBorders>
              <w:top w:val="single" w:sz="4" w:space="0" w:color="auto"/>
              <w:left w:val="single" w:sz="4" w:space="0" w:color="auto"/>
              <w:bottom w:val="single" w:sz="4" w:space="0" w:color="auto"/>
              <w:right w:val="single" w:sz="4" w:space="0" w:color="auto"/>
            </w:tcBorders>
            <w:vAlign w:val="center"/>
          </w:tcPr>
          <w:p w:rsidR="001A786B" w:rsidRPr="002220DF" w:rsidRDefault="001A786B" w:rsidP="00142D19">
            <w:pPr>
              <w:pStyle w:val="Tabletext"/>
              <w:jc w:val="center"/>
              <w:rPr>
                <w:b/>
                <w:lang w:val="fr-FR"/>
              </w:rPr>
            </w:pPr>
            <w:r w:rsidRPr="002220DF">
              <w:rPr>
                <w:b/>
                <w:snapToGrid w:val="0"/>
                <w:lang w:val="fr-FR"/>
              </w:rPr>
              <w:t>Ranolazine mean Exercise duration (s)</w:t>
            </w:r>
            <w:r w:rsidRPr="002220DF">
              <w:rPr>
                <w:b/>
                <w:lang w:val="fr-FR"/>
              </w:rPr>
              <w:t xml:space="preserve"> </w:t>
            </w:r>
            <w:r w:rsidRPr="002220DF">
              <w:rPr>
                <w:b/>
                <w:snapToGrid w:val="0"/>
                <w:lang w:val="fr-FR"/>
              </w:rPr>
              <w:t>(SE)</w:t>
            </w:r>
          </w:p>
        </w:tc>
        <w:tc>
          <w:tcPr>
            <w:tcW w:w="660" w:type="pct"/>
            <w:tcBorders>
              <w:top w:val="single" w:sz="4" w:space="0" w:color="auto"/>
              <w:left w:val="single" w:sz="4" w:space="0" w:color="auto"/>
              <w:bottom w:val="single" w:sz="4" w:space="0" w:color="auto"/>
              <w:right w:val="double" w:sz="4" w:space="0" w:color="auto"/>
            </w:tcBorders>
            <w:vAlign w:val="center"/>
          </w:tcPr>
          <w:p w:rsidR="001A786B" w:rsidRPr="002220DF" w:rsidRDefault="001A786B" w:rsidP="00142D19">
            <w:pPr>
              <w:pStyle w:val="Tabletext"/>
              <w:jc w:val="center"/>
              <w:rPr>
                <w:b/>
              </w:rPr>
            </w:pPr>
            <w:r w:rsidRPr="002220DF">
              <w:rPr>
                <w:b/>
                <w:snapToGrid w:val="0"/>
              </w:rPr>
              <w:t>Placebo mean Exercise duration (s)</w:t>
            </w:r>
            <w:r w:rsidRPr="002220DF">
              <w:rPr>
                <w:b/>
              </w:rPr>
              <w:t xml:space="preserve"> </w:t>
            </w:r>
            <w:r w:rsidRPr="002220DF">
              <w:rPr>
                <w:b/>
                <w:snapToGrid w:val="0"/>
              </w:rPr>
              <w:t>(SE)</w:t>
            </w:r>
          </w:p>
        </w:tc>
        <w:tc>
          <w:tcPr>
            <w:tcW w:w="659" w:type="pct"/>
            <w:tcBorders>
              <w:top w:val="single" w:sz="4" w:space="0" w:color="auto"/>
              <w:left w:val="double" w:sz="4" w:space="0" w:color="auto"/>
              <w:bottom w:val="single" w:sz="4" w:space="0" w:color="auto"/>
              <w:right w:val="single" w:sz="4" w:space="0" w:color="auto"/>
            </w:tcBorders>
            <w:vAlign w:val="center"/>
          </w:tcPr>
          <w:p w:rsidR="001A786B" w:rsidRPr="002220DF" w:rsidRDefault="001A786B" w:rsidP="00142D19">
            <w:pPr>
              <w:pStyle w:val="Tabletext"/>
              <w:jc w:val="center"/>
              <w:rPr>
                <w:b/>
              </w:rPr>
            </w:pPr>
            <w:r w:rsidRPr="002220DF">
              <w:rPr>
                <w:b/>
                <w:snapToGrid w:val="0"/>
              </w:rPr>
              <w:t>Plac</w:t>
            </w:r>
            <w:r w:rsidR="00BC6949" w:rsidRPr="002220DF">
              <w:rPr>
                <w:b/>
                <w:snapToGrid w:val="0"/>
              </w:rPr>
              <w:t>ebo Change in Exercise duration</w:t>
            </w:r>
            <w:r w:rsidRPr="002220DF">
              <w:rPr>
                <w:b/>
                <w:snapToGrid w:val="0"/>
              </w:rPr>
              <w:t xml:space="preserve"> (s)</w:t>
            </w:r>
            <w:r w:rsidRPr="002220DF">
              <w:rPr>
                <w:b/>
              </w:rPr>
              <w:t xml:space="preserve"> </w:t>
            </w:r>
            <w:r w:rsidRPr="002220DF">
              <w:rPr>
                <w:b/>
                <w:snapToGrid w:val="0"/>
              </w:rPr>
              <w:t>(SE)</w:t>
            </w:r>
          </w:p>
        </w:tc>
        <w:tc>
          <w:tcPr>
            <w:tcW w:w="659" w:type="pct"/>
            <w:tcBorders>
              <w:top w:val="single" w:sz="4" w:space="0" w:color="auto"/>
              <w:left w:val="single" w:sz="4" w:space="0" w:color="auto"/>
              <w:bottom w:val="single" w:sz="4" w:space="0" w:color="auto"/>
              <w:right w:val="single" w:sz="4" w:space="0" w:color="auto"/>
            </w:tcBorders>
            <w:vAlign w:val="center"/>
          </w:tcPr>
          <w:p w:rsidR="001A786B" w:rsidRPr="002220DF" w:rsidRDefault="001A786B" w:rsidP="00142D19">
            <w:pPr>
              <w:pStyle w:val="Tabletext"/>
              <w:jc w:val="center"/>
              <w:rPr>
                <w:b/>
              </w:rPr>
            </w:pPr>
            <w:r w:rsidRPr="002220DF">
              <w:rPr>
                <w:b/>
              </w:rPr>
              <w:t xml:space="preserve">Perhexiline Change in Exercise duration </w:t>
            </w:r>
            <w:r w:rsidRPr="002220DF">
              <w:rPr>
                <w:b/>
                <w:snapToGrid w:val="0"/>
              </w:rPr>
              <w:t>(s)</w:t>
            </w:r>
            <w:r w:rsidRPr="002220DF">
              <w:rPr>
                <w:b/>
              </w:rPr>
              <w:t xml:space="preserve"> </w:t>
            </w:r>
            <w:r w:rsidRPr="002220DF">
              <w:rPr>
                <w:b/>
                <w:snapToGrid w:val="0"/>
              </w:rPr>
              <w:t>(SE)</w:t>
            </w:r>
          </w:p>
        </w:tc>
        <w:tc>
          <w:tcPr>
            <w:tcW w:w="660" w:type="pct"/>
            <w:tcBorders>
              <w:top w:val="single" w:sz="4" w:space="0" w:color="auto"/>
              <w:left w:val="single" w:sz="4" w:space="0" w:color="auto"/>
              <w:bottom w:val="single" w:sz="4" w:space="0" w:color="auto"/>
              <w:right w:val="single" w:sz="4" w:space="0" w:color="auto"/>
            </w:tcBorders>
            <w:vAlign w:val="center"/>
          </w:tcPr>
          <w:p w:rsidR="001A786B" w:rsidRPr="002220DF" w:rsidRDefault="001A786B" w:rsidP="00142D19">
            <w:pPr>
              <w:pStyle w:val="Tabletext"/>
              <w:jc w:val="center"/>
              <w:rPr>
                <w:b/>
              </w:rPr>
            </w:pPr>
            <w:r w:rsidRPr="002220DF">
              <w:rPr>
                <w:b/>
              </w:rPr>
              <w:t xml:space="preserve">Mean </w:t>
            </w:r>
            <w:r w:rsidR="009E56EF" w:rsidRPr="002220DF">
              <w:rPr>
                <w:b/>
              </w:rPr>
              <w:t xml:space="preserve">difference in change </w:t>
            </w:r>
            <w:r w:rsidRPr="002220DF">
              <w:rPr>
                <w:b/>
              </w:rPr>
              <w:t xml:space="preserve">in exercise duration </w:t>
            </w:r>
            <w:r w:rsidRPr="002220DF">
              <w:rPr>
                <w:b/>
                <w:snapToGrid w:val="0"/>
              </w:rPr>
              <w:t>(s)</w:t>
            </w:r>
            <w:r w:rsidRPr="002220DF">
              <w:rPr>
                <w:b/>
              </w:rPr>
              <w:t xml:space="preserve"> </w:t>
            </w:r>
            <w:r w:rsidRPr="002220DF">
              <w:rPr>
                <w:b/>
                <w:snapToGrid w:val="0"/>
              </w:rPr>
              <w:t>(95% CI)</w:t>
            </w:r>
          </w:p>
        </w:tc>
        <w:tc>
          <w:tcPr>
            <w:tcW w:w="606" w:type="pct"/>
            <w:vMerge/>
            <w:tcBorders>
              <w:top w:val="single" w:sz="4" w:space="0" w:color="auto"/>
              <w:left w:val="single" w:sz="4" w:space="0" w:color="auto"/>
              <w:bottom w:val="single" w:sz="4" w:space="0" w:color="auto"/>
              <w:right w:val="single" w:sz="4" w:space="0" w:color="auto"/>
            </w:tcBorders>
            <w:vAlign w:val="center"/>
          </w:tcPr>
          <w:p w:rsidR="001A786B" w:rsidRPr="002220DF" w:rsidRDefault="001A786B" w:rsidP="00142D19">
            <w:pPr>
              <w:pStyle w:val="Tabletext"/>
            </w:pPr>
          </w:p>
        </w:tc>
      </w:tr>
      <w:tr w:rsidR="001A786B" w:rsidRPr="002220DF" w:rsidTr="00044665">
        <w:tc>
          <w:tcPr>
            <w:tcW w:w="437" w:type="pct"/>
            <w:tcBorders>
              <w:top w:val="single" w:sz="4" w:space="0" w:color="auto"/>
              <w:left w:val="single" w:sz="4" w:space="0" w:color="auto"/>
              <w:bottom w:val="single" w:sz="4" w:space="0" w:color="auto"/>
              <w:right w:val="single" w:sz="4" w:space="0" w:color="auto"/>
            </w:tcBorders>
            <w:tcMar>
              <w:right w:w="28" w:type="dxa"/>
            </w:tcMar>
            <w:vAlign w:val="center"/>
          </w:tcPr>
          <w:p w:rsidR="001A786B" w:rsidRPr="002220DF" w:rsidRDefault="001A786B" w:rsidP="00142D19">
            <w:pPr>
              <w:pStyle w:val="Tabletext"/>
              <w:rPr>
                <w:b/>
                <w:vertAlign w:val="superscript"/>
              </w:rPr>
            </w:pPr>
            <w:r w:rsidRPr="002220DF">
              <w:rPr>
                <w:rStyle w:val="CommentReference"/>
                <w:b w:val="0"/>
              </w:rPr>
              <w:t>CARISA</w:t>
            </w:r>
          </w:p>
        </w:tc>
        <w:tc>
          <w:tcPr>
            <w:tcW w:w="660" w:type="pct"/>
            <w:tcBorders>
              <w:top w:val="single" w:sz="4" w:space="0" w:color="auto"/>
              <w:left w:val="single" w:sz="4" w:space="0" w:color="auto"/>
              <w:bottom w:val="single" w:sz="4" w:space="0" w:color="auto"/>
              <w:right w:val="single" w:sz="4" w:space="0" w:color="auto"/>
            </w:tcBorders>
            <w:vAlign w:val="center"/>
          </w:tcPr>
          <w:p w:rsidR="00B71C20" w:rsidRPr="002220DF" w:rsidRDefault="001A786B" w:rsidP="00A921AA">
            <w:pPr>
              <w:pStyle w:val="Tabletext"/>
              <w:jc w:val="center"/>
              <w:rPr>
                <w:b/>
                <w:snapToGrid w:val="0"/>
              </w:rPr>
            </w:pPr>
            <w:r w:rsidRPr="002220DF">
              <w:rPr>
                <w:b/>
                <w:snapToGrid w:val="0"/>
              </w:rPr>
              <w:t>34.0</w:t>
            </w:r>
          </w:p>
          <w:p w:rsidR="001A786B" w:rsidRPr="002220DF" w:rsidRDefault="001A786B" w:rsidP="00A921AA">
            <w:pPr>
              <w:pStyle w:val="Tabletext"/>
              <w:jc w:val="center"/>
              <w:rPr>
                <w:b/>
              </w:rPr>
            </w:pPr>
            <w:r w:rsidRPr="002220DF">
              <w:rPr>
                <w:b/>
                <w:snapToGrid w:val="0"/>
              </w:rPr>
              <w:t>(13.1, 55.0)</w:t>
            </w:r>
          </w:p>
        </w:tc>
        <w:tc>
          <w:tcPr>
            <w:tcW w:w="659" w:type="pct"/>
            <w:tcBorders>
              <w:top w:val="single" w:sz="4" w:space="0" w:color="auto"/>
              <w:left w:val="single" w:sz="4" w:space="0" w:color="auto"/>
              <w:bottom w:val="single" w:sz="4" w:space="0" w:color="auto"/>
              <w:right w:val="single" w:sz="4" w:space="0" w:color="auto"/>
            </w:tcBorders>
            <w:vAlign w:val="center"/>
          </w:tcPr>
          <w:p w:rsidR="001A786B" w:rsidRPr="002220DF" w:rsidRDefault="001A786B" w:rsidP="00A921AA">
            <w:pPr>
              <w:pStyle w:val="Tabletext"/>
              <w:jc w:val="center"/>
            </w:pPr>
            <w:r w:rsidRPr="002220DF">
              <w:t>99.4 (7.8)</w:t>
            </w:r>
          </w:p>
        </w:tc>
        <w:tc>
          <w:tcPr>
            <w:tcW w:w="660" w:type="pct"/>
            <w:tcBorders>
              <w:top w:val="single" w:sz="4" w:space="0" w:color="auto"/>
              <w:left w:val="single" w:sz="4" w:space="0" w:color="auto"/>
              <w:bottom w:val="single" w:sz="4" w:space="0" w:color="auto"/>
              <w:right w:val="double" w:sz="4" w:space="0" w:color="auto"/>
            </w:tcBorders>
            <w:vAlign w:val="center"/>
          </w:tcPr>
          <w:p w:rsidR="001A786B" w:rsidRPr="002220DF" w:rsidRDefault="001A786B" w:rsidP="00A921AA">
            <w:pPr>
              <w:pStyle w:val="Tabletext"/>
              <w:jc w:val="center"/>
            </w:pPr>
            <w:r w:rsidRPr="002220DF">
              <w:t>65.4 (8.1)</w:t>
            </w:r>
          </w:p>
        </w:tc>
        <w:tc>
          <w:tcPr>
            <w:tcW w:w="659" w:type="pct"/>
            <w:tcBorders>
              <w:top w:val="single" w:sz="4" w:space="0" w:color="auto"/>
              <w:left w:val="double" w:sz="4" w:space="0" w:color="auto"/>
              <w:bottom w:val="single" w:sz="4" w:space="0" w:color="auto"/>
              <w:right w:val="single" w:sz="4" w:space="0" w:color="auto"/>
            </w:tcBorders>
            <w:vAlign w:val="center"/>
          </w:tcPr>
          <w:p w:rsidR="001A786B" w:rsidRPr="002220DF" w:rsidRDefault="001A786B" w:rsidP="00A921AA">
            <w:pPr>
              <w:pStyle w:val="Tabletext"/>
              <w:jc w:val="center"/>
            </w:pPr>
            <w:r w:rsidRPr="002220DF">
              <w:t>-</w:t>
            </w:r>
          </w:p>
        </w:tc>
        <w:tc>
          <w:tcPr>
            <w:tcW w:w="659" w:type="pct"/>
            <w:tcBorders>
              <w:top w:val="single" w:sz="4" w:space="0" w:color="auto"/>
              <w:left w:val="single" w:sz="4" w:space="0" w:color="auto"/>
              <w:bottom w:val="single" w:sz="4" w:space="0" w:color="auto"/>
              <w:right w:val="single" w:sz="4" w:space="0" w:color="auto"/>
            </w:tcBorders>
            <w:vAlign w:val="center"/>
          </w:tcPr>
          <w:p w:rsidR="001A786B" w:rsidRPr="002220DF" w:rsidRDefault="001A786B" w:rsidP="00A921AA">
            <w:pPr>
              <w:pStyle w:val="Tabletext"/>
              <w:jc w:val="center"/>
            </w:pPr>
            <w:r w:rsidRPr="002220DF">
              <w:t>-</w:t>
            </w:r>
          </w:p>
        </w:tc>
        <w:tc>
          <w:tcPr>
            <w:tcW w:w="660" w:type="pct"/>
            <w:tcBorders>
              <w:top w:val="single" w:sz="4" w:space="0" w:color="auto"/>
              <w:left w:val="single" w:sz="4" w:space="0" w:color="auto"/>
              <w:bottom w:val="single" w:sz="4" w:space="0" w:color="auto"/>
              <w:right w:val="single" w:sz="4" w:space="0" w:color="auto"/>
            </w:tcBorders>
            <w:vAlign w:val="center"/>
          </w:tcPr>
          <w:p w:rsidR="001A786B" w:rsidRPr="002220DF" w:rsidRDefault="001A786B" w:rsidP="00A921AA">
            <w:pPr>
              <w:pStyle w:val="Tabletext"/>
              <w:jc w:val="center"/>
              <w:rPr>
                <w:b/>
              </w:rPr>
            </w:pPr>
            <w:r w:rsidRPr="002220DF">
              <w:rPr>
                <w:b/>
              </w:rPr>
              <w:t>-</w:t>
            </w:r>
          </w:p>
        </w:tc>
        <w:tc>
          <w:tcPr>
            <w:tcW w:w="606" w:type="pct"/>
            <w:tcBorders>
              <w:top w:val="single" w:sz="4" w:space="0" w:color="auto"/>
              <w:left w:val="single" w:sz="4" w:space="0" w:color="auto"/>
              <w:bottom w:val="single" w:sz="4" w:space="0" w:color="auto"/>
              <w:right w:val="single" w:sz="4" w:space="0" w:color="auto"/>
            </w:tcBorders>
            <w:vAlign w:val="center"/>
          </w:tcPr>
          <w:p w:rsidR="001A786B" w:rsidRPr="002220DF" w:rsidRDefault="00A921AA" w:rsidP="00A921AA">
            <w:pPr>
              <w:pStyle w:val="Tabletext"/>
              <w:jc w:val="center"/>
            </w:pPr>
            <w:r>
              <w:t>-</w:t>
            </w:r>
          </w:p>
        </w:tc>
      </w:tr>
      <w:tr w:rsidR="001A786B" w:rsidRPr="002220DF" w:rsidTr="00044665">
        <w:tc>
          <w:tcPr>
            <w:tcW w:w="437" w:type="pct"/>
            <w:tcBorders>
              <w:top w:val="single" w:sz="4" w:space="0" w:color="auto"/>
              <w:left w:val="single" w:sz="4" w:space="0" w:color="auto"/>
              <w:bottom w:val="single" w:sz="4" w:space="0" w:color="auto"/>
              <w:right w:val="single" w:sz="4" w:space="0" w:color="auto"/>
            </w:tcBorders>
            <w:tcMar>
              <w:right w:w="28" w:type="dxa"/>
            </w:tcMar>
            <w:vAlign w:val="center"/>
          </w:tcPr>
          <w:p w:rsidR="001A786B" w:rsidRPr="002220DF" w:rsidRDefault="001A786B" w:rsidP="00142D19">
            <w:pPr>
              <w:pStyle w:val="Tabletext"/>
            </w:pPr>
            <w:r w:rsidRPr="002220DF">
              <w:t>Cole (1990)</w:t>
            </w:r>
          </w:p>
        </w:tc>
        <w:tc>
          <w:tcPr>
            <w:tcW w:w="660" w:type="pct"/>
            <w:tcBorders>
              <w:top w:val="single" w:sz="4" w:space="0" w:color="auto"/>
              <w:left w:val="single" w:sz="4" w:space="0" w:color="auto"/>
              <w:bottom w:val="single" w:sz="4" w:space="0" w:color="auto"/>
              <w:right w:val="single" w:sz="4" w:space="0" w:color="auto"/>
            </w:tcBorders>
            <w:vAlign w:val="center"/>
          </w:tcPr>
          <w:p w:rsidR="001A786B" w:rsidRPr="002220DF" w:rsidRDefault="001A786B" w:rsidP="00A921AA">
            <w:pPr>
              <w:pStyle w:val="Tabletext"/>
              <w:jc w:val="center"/>
            </w:pPr>
            <w:r w:rsidRPr="002220DF">
              <w:t>-</w:t>
            </w:r>
          </w:p>
        </w:tc>
        <w:tc>
          <w:tcPr>
            <w:tcW w:w="659" w:type="pct"/>
            <w:tcBorders>
              <w:top w:val="single" w:sz="4" w:space="0" w:color="auto"/>
              <w:left w:val="single" w:sz="4" w:space="0" w:color="auto"/>
              <w:bottom w:val="single" w:sz="4" w:space="0" w:color="auto"/>
              <w:right w:val="single" w:sz="4" w:space="0" w:color="auto"/>
            </w:tcBorders>
            <w:vAlign w:val="center"/>
          </w:tcPr>
          <w:p w:rsidR="001A786B" w:rsidRPr="002220DF" w:rsidRDefault="001A786B" w:rsidP="00A921AA">
            <w:pPr>
              <w:pStyle w:val="Tabletext"/>
              <w:jc w:val="center"/>
            </w:pPr>
            <w:r w:rsidRPr="002220DF">
              <w:t>-</w:t>
            </w:r>
          </w:p>
        </w:tc>
        <w:tc>
          <w:tcPr>
            <w:tcW w:w="660" w:type="pct"/>
            <w:tcBorders>
              <w:top w:val="single" w:sz="4" w:space="0" w:color="auto"/>
              <w:left w:val="single" w:sz="4" w:space="0" w:color="auto"/>
              <w:bottom w:val="single" w:sz="4" w:space="0" w:color="auto"/>
              <w:right w:val="double" w:sz="4" w:space="0" w:color="auto"/>
            </w:tcBorders>
            <w:vAlign w:val="center"/>
          </w:tcPr>
          <w:p w:rsidR="001A786B" w:rsidRPr="002220DF" w:rsidRDefault="001A786B" w:rsidP="00A921AA">
            <w:pPr>
              <w:pStyle w:val="Tabletext"/>
              <w:jc w:val="center"/>
            </w:pPr>
            <w:r w:rsidRPr="002220DF">
              <w:t>-</w:t>
            </w:r>
          </w:p>
        </w:tc>
        <w:tc>
          <w:tcPr>
            <w:tcW w:w="659" w:type="pct"/>
            <w:tcBorders>
              <w:top w:val="single" w:sz="4" w:space="0" w:color="auto"/>
              <w:left w:val="double" w:sz="4" w:space="0" w:color="auto"/>
              <w:bottom w:val="single" w:sz="4" w:space="0" w:color="auto"/>
              <w:right w:val="single" w:sz="4" w:space="0" w:color="auto"/>
            </w:tcBorders>
            <w:vAlign w:val="center"/>
          </w:tcPr>
          <w:p w:rsidR="001A786B" w:rsidRPr="002220DF" w:rsidRDefault="00F86602" w:rsidP="00A921AA">
            <w:pPr>
              <w:pStyle w:val="Tabletext"/>
              <w:jc w:val="center"/>
            </w:pPr>
            <w:r>
              <w:t>-</w:t>
            </w:r>
            <w:r w:rsidR="001A786B" w:rsidRPr="002220DF">
              <w:t>84.7 ( 63.1)</w:t>
            </w:r>
          </w:p>
        </w:tc>
        <w:tc>
          <w:tcPr>
            <w:tcW w:w="659" w:type="pct"/>
            <w:tcBorders>
              <w:top w:val="single" w:sz="4" w:space="0" w:color="auto"/>
              <w:left w:val="single" w:sz="4" w:space="0" w:color="auto"/>
              <w:bottom w:val="single" w:sz="4" w:space="0" w:color="auto"/>
              <w:right w:val="single" w:sz="4" w:space="0" w:color="auto"/>
            </w:tcBorders>
            <w:vAlign w:val="center"/>
          </w:tcPr>
          <w:p w:rsidR="001A786B" w:rsidRPr="002220DF" w:rsidRDefault="00F86602" w:rsidP="00A921AA">
            <w:pPr>
              <w:pStyle w:val="Tabletext"/>
              <w:jc w:val="center"/>
            </w:pPr>
            <w:r>
              <w:t>-</w:t>
            </w:r>
            <w:r w:rsidR="001A786B" w:rsidRPr="002220DF">
              <w:t>5.5 (61.8)</w:t>
            </w:r>
          </w:p>
        </w:tc>
        <w:tc>
          <w:tcPr>
            <w:tcW w:w="660" w:type="pct"/>
            <w:tcBorders>
              <w:top w:val="single" w:sz="4" w:space="0" w:color="auto"/>
              <w:left w:val="single" w:sz="4" w:space="0" w:color="auto"/>
              <w:bottom w:val="single" w:sz="4" w:space="0" w:color="auto"/>
              <w:right w:val="single" w:sz="4" w:space="0" w:color="auto"/>
            </w:tcBorders>
            <w:vAlign w:val="center"/>
          </w:tcPr>
          <w:p w:rsidR="001A786B" w:rsidRPr="002220DF" w:rsidRDefault="001A786B" w:rsidP="00A921AA">
            <w:pPr>
              <w:pStyle w:val="Tabletext"/>
              <w:jc w:val="center"/>
              <w:rPr>
                <w:snapToGrid w:val="0"/>
              </w:rPr>
            </w:pPr>
            <w:r w:rsidRPr="002220DF">
              <w:rPr>
                <w:snapToGrid w:val="0"/>
              </w:rPr>
              <w:t>79.3</w:t>
            </w:r>
          </w:p>
          <w:p w:rsidR="001A786B" w:rsidRPr="002220DF" w:rsidRDefault="001A786B" w:rsidP="00A921AA">
            <w:pPr>
              <w:pStyle w:val="Tabletext"/>
              <w:jc w:val="center"/>
            </w:pPr>
            <w:r w:rsidRPr="002220DF">
              <w:rPr>
                <w:snapToGrid w:val="0"/>
              </w:rPr>
              <w:t>(-29.2, 187.7)</w:t>
            </w:r>
          </w:p>
        </w:tc>
        <w:tc>
          <w:tcPr>
            <w:tcW w:w="606" w:type="pct"/>
            <w:tcBorders>
              <w:top w:val="single" w:sz="4" w:space="0" w:color="auto"/>
              <w:left w:val="single" w:sz="4" w:space="0" w:color="auto"/>
              <w:bottom w:val="single" w:sz="4" w:space="0" w:color="auto"/>
              <w:right w:val="single" w:sz="4" w:space="0" w:color="auto"/>
            </w:tcBorders>
            <w:vAlign w:val="center"/>
          </w:tcPr>
          <w:p w:rsidR="001A786B" w:rsidRPr="002220DF" w:rsidRDefault="00A921AA" w:rsidP="00A921AA">
            <w:pPr>
              <w:pStyle w:val="Tabletext"/>
              <w:jc w:val="center"/>
            </w:pPr>
            <w:r>
              <w:t>-</w:t>
            </w:r>
          </w:p>
        </w:tc>
      </w:tr>
      <w:tr w:rsidR="001A786B" w:rsidRPr="002220DF" w:rsidTr="00044665">
        <w:tc>
          <w:tcPr>
            <w:tcW w:w="4394" w:type="pct"/>
            <w:gridSpan w:val="7"/>
            <w:tcBorders>
              <w:top w:val="single" w:sz="4" w:space="0" w:color="auto"/>
              <w:left w:val="single" w:sz="4" w:space="0" w:color="auto"/>
              <w:bottom w:val="single" w:sz="4" w:space="0" w:color="auto"/>
              <w:right w:val="single" w:sz="4" w:space="0" w:color="auto"/>
            </w:tcBorders>
            <w:tcMar>
              <w:right w:w="28" w:type="dxa"/>
            </w:tcMar>
            <w:vAlign w:val="center"/>
          </w:tcPr>
          <w:p w:rsidR="001A786B" w:rsidRPr="002220DF" w:rsidRDefault="001A786B" w:rsidP="00142D19">
            <w:pPr>
              <w:pStyle w:val="Tabletext"/>
            </w:pPr>
            <w:r w:rsidRPr="002220DF">
              <w:t>Pooled</w:t>
            </w:r>
          </w:p>
        </w:tc>
        <w:tc>
          <w:tcPr>
            <w:tcW w:w="606" w:type="pct"/>
            <w:tcBorders>
              <w:top w:val="single" w:sz="4" w:space="0" w:color="auto"/>
              <w:left w:val="single" w:sz="4" w:space="0" w:color="auto"/>
              <w:bottom w:val="single" w:sz="4" w:space="0" w:color="auto"/>
              <w:right w:val="single" w:sz="4" w:space="0" w:color="auto"/>
            </w:tcBorders>
            <w:vAlign w:val="center"/>
          </w:tcPr>
          <w:p w:rsidR="001A786B" w:rsidRPr="002220DF" w:rsidRDefault="001A786B" w:rsidP="00142D19">
            <w:pPr>
              <w:pStyle w:val="Tabletext"/>
              <w:jc w:val="center"/>
              <w:rPr>
                <w:snapToGrid w:val="0"/>
              </w:rPr>
            </w:pPr>
            <w:r w:rsidRPr="002220DF">
              <w:rPr>
                <w:snapToGrid w:val="0"/>
              </w:rPr>
              <w:t>-45.3</w:t>
            </w:r>
          </w:p>
          <w:p w:rsidR="001A786B" w:rsidRPr="002220DF" w:rsidRDefault="001A786B" w:rsidP="00142D19">
            <w:pPr>
              <w:pStyle w:val="Tabletext"/>
              <w:jc w:val="center"/>
            </w:pPr>
            <w:r w:rsidRPr="002220DF">
              <w:rPr>
                <w:snapToGrid w:val="0"/>
              </w:rPr>
              <w:t>(-155.7, 65.2)</w:t>
            </w:r>
          </w:p>
        </w:tc>
      </w:tr>
    </w:tbl>
    <w:p w:rsidR="001A786B" w:rsidRPr="002220DF" w:rsidRDefault="001A786B" w:rsidP="00142D19">
      <w:pPr>
        <w:pStyle w:val="TableFooter"/>
        <w:widowControl/>
        <w:ind w:left="709"/>
        <w:rPr>
          <w:b/>
        </w:rPr>
      </w:pPr>
      <w:r w:rsidRPr="002220DF">
        <w:t xml:space="preserve">Source: Tables B-32, p84; B-39, p94; and B-42, p96 of the submission and Table 2.1.0.1, p461 of the CARISA </w:t>
      </w:r>
      <w:r w:rsidR="00EB7CA7" w:rsidRPr="002220DF">
        <w:t>clinical study report</w:t>
      </w:r>
    </w:p>
    <w:p w:rsidR="001A786B" w:rsidRPr="002220DF" w:rsidRDefault="001A786B" w:rsidP="00142D19">
      <w:pPr>
        <w:pStyle w:val="TableFooter"/>
        <w:widowControl/>
        <w:ind w:left="709"/>
        <w:rPr>
          <w:b/>
        </w:rPr>
      </w:pPr>
      <w:r w:rsidRPr="002220DF">
        <w:t>CI = confidence interval</w:t>
      </w:r>
    </w:p>
    <w:p w:rsidR="001A786B" w:rsidRDefault="001A786B" w:rsidP="00142D19">
      <w:pPr>
        <w:pStyle w:val="TableFooter"/>
        <w:widowControl/>
        <w:ind w:left="709"/>
        <w:rPr>
          <w:b/>
        </w:rPr>
      </w:pPr>
      <w:r w:rsidRPr="002220DF">
        <w:rPr>
          <w:b/>
        </w:rPr>
        <w:t>Bold = statistically significant</w:t>
      </w:r>
    </w:p>
    <w:p w:rsidR="00CC0AC1" w:rsidRPr="002220DF" w:rsidRDefault="00CC0AC1" w:rsidP="00142D19">
      <w:pPr>
        <w:pStyle w:val="TableFooter"/>
        <w:widowControl/>
        <w:rPr>
          <w:b/>
        </w:rPr>
      </w:pPr>
    </w:p>
    <w:p w:rsidR="00324ABD" w:rsidRPr="001255F7" w:rsidRDefault="00EF2214" w:rsidP="00142D19">
      <w:pPr>
        <w:pStyle w:val="ListParagraph"/>
        <w:widowControl/>
        <w:numPr>
          <w:ilvl w:val="1"/>
          <w:numId w:val="11"/>
        </w:numPr>
      </w:pPr>
      <w:r w:rsidRPr="001255F7">
        <w:t>The submission</w:t>
      </w:r>
      <w:r w:rsidR="00324ABD" w:rsidRPr="001255F7">
        <w:t xml:space="preserve"> concluded that ranolazine had a similar level of efficacy to perhexiline.</w:t>
      </w:r>
      <w:r w:rsidRPr="001255F7">
        <w:t xml:space="preserve"> </w:t>
      </w:r>
      <w:r w:rsidR="00324ABD" w:rsidRPr="001255F7">
        <w:t xml:space="preserve">The evidence supporting the submission’s claim that ranolazine was associated with a similar level of efficacy to perhexiline </w:t>
      </w:r>
      <w:r w:rsidR="00D30A56" w:rsidRPr="001255F7">
        <w:t>was not well supported because</w:t>
      </w:r>
      <w:r w:rsidR="00324ABD" w:rsidRPr="001255F7">
        <w:t xml:space="preserve">: </w:t>
      </w:r>
    </w:p>
    <w:p w:rsidR="00F86602" w:rsidRPr="001255F7" w:rsidRDefault="00324ABD" w:rsidP="00142D19">
      <w:pPr>
        <w:pStyle w:val="ListParagraph"/>
        <w:widowControl/>
        <w:numPr>
          <w:ilvl w:val="0"/>
          <w:numId w:val="3"/>
        </w:numPr>
        <w:ind w:left="1134"/>
      </w:pPr>
      <w:r w:rsidRPr="001255F7">
        <w:t>The popul</w:t>
      </w:r>
      <w:r w:rsidR="00BC6949" w:rsidRPr="001255F7">
        <w:t>ation included in Cole</w:t>
      </w:r>
      <w:r w:rsidRPr="001255F7">
        <w:t xml:space="preserve"> (1990) had more severe disease</w:t>
      </w:r>
      <w:r w:rsidR="00D30A56" w:rsidRPr="001255F7">
        <w:t>. T</w:t>
      </w:r>
      <w:r w:rsidR="00F86602" w:rsidRPr="001255F7">
        <w:t xml:space="preserve">he placebo population in the ranolazine trial showed an improvement in </w:t>
      </w:r>
      <w:r w:rsidR="003A6361" w:rsidRPr="001255F7">
        <w:t xml:space="preserve">exercise duration </w:t>
      </w:r>
      <w:r w:rsidR="00F86602" w:rsidRPr="001255F7">
        <w:t xml:space="preserve">whereas the </w:t>
      </w:r>
      <w:r w:rsidR="00F55F6A">
        <w:t xml:space="preserve">placebo population </w:t>
      </w:r>
      <w:r w:rsidR="00F86602" w:rsidRPr="001255F7">
        <w:t xml:space="preserve">in the perhexiline trial showed a worsening of their </w:t>
      </w:r>
      <w:r w:rsidR="003A6361" w:rsidRPr="001255F7">
        <w:t>duration</w:t>
      </w:r>
      <w:r w:rsidR="00F86602" w:rsidRPr="001255F7">
        <w:t xml:space="preserve"> at peak exercise</w:t>
      </w:r>
      <w:r w:rsidR="00D30A56" w:rsidRPr="001255F7">
        <w:t>.</w:t>
      </w:r>
      <w:r w:rsidR="00FC5961" w:rsidRPr="001255F7">
        <w:t xml:space="preserve"> </w:t>
      </w:r>
    </w:p>
    <w:p w:rsidR="00F86602" w:rsidRPr="001255F7" w:rsidRDefault="00F86602" w:rsidP="00142D19">
      <w:pPr>
        <w:pStyle w:val="ListParagraph"/>
        <w:widowControl/>
        <w:numPr>
          <w:ilvl w:val="0"/>
          <w:numId w:val="3"/>
        </w:numPr>
        <w:ind w:left="1134"/>
      </w:pPr>
      <w:r w:rsidRPr="001255F7">
        <w:t xml:space="preserve">The population included in Cole (1990) matched the </w:t>
      </w:r>
      <w:r w:rsidR="00C302B9" w:rsidRPr="001255F7">
        <w:t xml:space="preserve">proposed ranolazine </w:t>
      </w:r>
      <w:r w:rsidRPr="001255F7">
        <w:t>PBS population, whereas the population in CARISA did not;</w:t>
      </w:r>
    </w:p>
    <w:p w:rsidR="00F86602" w:rsidRPr="001255F7" w:rsidRDefault="00F86602" w:rsidP="00142D19">
      <w:pPr>
        <w:pStyle w:val="ListParagraph"/>
        <w:widowControl/>
        <w:numPr>
          <w:ilvl w:val="0"/>
          <w:numId w:val="3"/>
        </w:numPr>
        <w:ind w:left="1134"/>
      </w:pPr>
      <w:r w:rsidRPr="001255F7">
        <w:t>Cole (1990) was conducted more than 10 years prior to the CARISA trial; and,</w:t>
      </w:r>
    </w:p>
    <w:p w:rsidR="00F86602" w:rsidRPr="001255F7" w:rsidRDefault="00F86602" w:rsidP="00142D19">
      <w:pPr>
        <w:pStyle w:val="ListParagraph"/>
        <w:widowControl/>
        <w:numPr>
          <w:ilvl w:val="0"/>
          <w:numId w:val="3"/>
        </w:numPr>
        <w:ind w:left="1134"/>
      </w:pPr>
      <w:r w:rsidRPr="001255F7">
        <w:t xml:space="preserve">The submission used results at the time of peak plasma ranolazine concentration (secondary outcome) rather than the primary outcome time, which favoured ranolazine. </w:t>
      </w:r>
    </w:p>
    <w:p w:rsidR="00D30A56" w:rsidRPr="001255F7" w:rsidRDefault="00D30A56" w:rsidP="00142D19">
      <w:pPr>
        <w:pStyle w:val="ListParagraph"/>
        <w:widowControl/>
        <w:numPr>
          <w:ilvl w:val="0"/>
          <w:numId w:val="3"/>
        </w:numPr>
        <w:ind w:left="1134"/>
      </w:pPr>
      <w:r w:rsidRPr="001255F7">
        <w:t>The ESC noted for the indirect comparison for the mean change in ETT, the 95% confidence intervals were wide and hence the claim of similar efficacy was inadequately supported.</w:t>
      </w:r>
      <w:r w:rsidR="00D328FA" w:rsidRPr="001255F7">
        <w:t xml:space="preserve"> </w:t>
      </w:r>
    </w:p>
    <w:p w:rsidR="0099558F" w:rsidRPr="001255F7" w:rsidRDefault="0099558F" w:rsidP="00142D19">
      <w:pPr>
        <w:widowControl/>
      </w:pPr>
    </w:p>
    <w:p w:rsidR="007D6814" w:rsidRPr="00105CB2" w:rsidRDefault="00105CB2" w:rsidP="00105CB2">
      <w:pPr>
        <w:pStyle w:val="ListParagraph"/>
        <w:widowControl/>
        <w:numPr>
          <w:ilvl w:val="1"/>
          <w:numId w:val="11"/>
        </w:numPr>
        <w:rPr>
          <w:szCs w:val="22"/>
        </w:rPr>
      </w:pPr>
      <w:r>
        <w:rPr>
          <w:szCs w:val="22"/>
        </w:rPr>
        <w:t xml:space="preserve">The </w:t>
      </w:r>
      <w:r w:rsidR="009B7430" w:rsidRPr="001255F7">
        <w:rPr>
          <w:szCs w:val="22"/>
        </w:rPr>
        <w:t xml:space="preserve">indirect comparisons with alternative agents were flawed. Overall, the </w:t>
      </w:r>
      <w:r w:rsidR="00031E40" w:rsidRPr="001255F7">
        <w:rPr>
          <w:szCs w:val="22"/>
        </w:rPr>
        <w:t xml:space="preserve">data presented were </w:t>
      </w:r>
      <w:r w:rsidR="00355A12" w:rsidRPr="001255F7">
        <w:rPr>
          <w:szCs w:val="22"/>
        </w:rPr>
        <w:t xml:space="preserve">not reliable </w:t>
      </w:r>
      <w:r w:rsidR="0061575F" w:rsidRPr="001255F7">
        <w:rPr>
          <w:szCs w:val="22"/>
        </w:rPr>
        <w:t>a</w:t>
      </w:r>
      <w:r w:rsidR="00031E40" w:rsidRPr="001255F7">
        <w:rPr>
          <w:szCs w:val="22"/>
        </w:rPr>
        <w:t xml:space="preserve">s only one study </w:t>
      </w:r>
      <w:r w:rsidR="00D86B16" w:rsidRPr="001255F7">
        <w:rPr>
          <w:szCs w:val="22"/>
        </w:rPr>
        <w:t xml:space="preserve">(CARISA) </w:t>
      </w:r>
      <w:r w:rsidR="00031E40" w:rsidRPr="001255F7">
        <w:rPr>
          <w:szCs w:val="22"/>
        </w:rPr>
        <w:t xml:space="preserve">had </w:t>
      </w:r>
      <w:r w:rsidR="006061AD" w:rsidRPr="001255F7">
        <w:rPr>
          <w:szCs w:val="22"/>
        </w:rPr>
        <w:t>partial relevance to the proposed PBS population. T</w:t>
      </w:r>
      <w:r w:rsidR="00AB737E" w:rsidRPr="001255F7">
        <w:rPr>
          <w:szCs w:val="22"/>
        </w:rPr>
        <w:t xml:space="preserve">he </w:t>
      </w:r>
      <w:r w:rsidR="007D6814" w:rsidRPr="001255F7">
        <w:rPr>
          <w:szCs w:val="22"/>
        </w:rPr>
        <w:t>indirect comparison of perhexiline and ranolazine</w:t>
      </w:r>
      <w:r w:rsidR="00AB737E" w:rsidRPr="001255F7">
        <w:rPr>
          <w:szCs w:val="22"/>
        </w:rPr>
        <w:t xml:space="preserve"> </w:t>
      </w:r>
      <w:r w:rsidR="006061AD" w:rsidRPr="001255F7">
        <w:rPr>
          <w:szCs w:val="22"/>
        </w:rPr>
        <w:t>w</w:t>
      </w:r>
      <w:r w:rsidR="003E14A8" w:rsidRPr="001255F7">
        <w:rPr>
          <w:szCs w:val="22"/>
        </w:rPr>
        <w:t>as</w:t>
      </w:r>
      <w:r w:rsidR="007D6814" w:rsidRPr="001255F7">
        <w:rPr>
          <w:szCs w:val="22"/>
        </w:rPr>
        <w:t xml:space="preserve"> not appropriate as</w:t>
      </w:r>
      <w:r w:rsidR="003E14A8" w:rsidRPr="001255F7">
        <w:rPr>
          <w:szCs w:val="22"/>
        </w:rPr>
        <w:t xml:space="preserve"> the </w:t>
      </w:r>
      <w:r w:rsidR="00D328FA" w:rsidRPr="001255F7">
        <w:rPr>
          <w:szCs w:val="22"/>
        </w:rPr>
        <w:t xml:space="preserve">perhexiline </w:t>
      </w:r>
      <w:r w:rsidR="0061575F" w:rsidRPr="001255F7">
        <w:rPr>
          <w:szCs w:val="22"/>
        </w:rPr>
        <w:t>stud</w:t>
      </w:r>
      <w:r w:rsidR="00D328FA" w:rsidRPr="001255F7">
        <w:rPr>
          <w:szCs w:val="22"/>
        </w:rPr>
        <w:t>y</w:t>
      </w:r>
      <w:r w:rsidR="0061575F" w:rsidRPr="001255F7">
        <w:rPr>
          <w:szCs w:val="22"/>
        </w:rPr>
        <w:t xml:space="preserve"> w</w:t>
      </w:r>
      <w:r w:rsidR="00D328FA" w:rsidRPr="001255F7">
        <w:rPr>
          <w:szCs w:val="22"/>
        </w:rPr>
        <w:t>as</w:t>
      </w:r>
      <w:r w:rsidR="0061575F" w:rsidRPr="001255F7">
        <w:rPr>
          <w:szCs w:val="22"/>
        </w:rPr>
        <w:t xml:space="preserve"> </w:t>
      </w:r>
      <w:r w:rsidR="006061AD" w:rsidRPr="001255F7">
        <w:rPr>
          <w:szCs w:val="22"/>
        </w:rPr>
        <w:t>no longer</w:t>
      </w:r>
      <w:r w:rsidR="00AB737E" w:rsidRPr="001255F7">
        <w:rPr>
          <w:szCs w:val="22"/>
        </w:rPr>
        <w:t xml:space="preserve"> consistent with current </w:t>
      </w:r>
      <w:r w:rsidR="00F55FA2" w:rsidRPr="001255F7">
        <w:rPr>
          <w:szCs w:val="22"/>
        </w:rPr>
        <w:t xml:space="preserve">clinical practice </w:t>
      </w:r>
      <w:r w:rsidR="003E14A8" w:rsidRPr="001255F7">
        <w:rPr>
          <w:szCs w:val="22"/>
        </w:rPr>
        <w:t>and the management strategy of uncontrolled angina has changed significantly since the study was conducted.</w:t>
      </w:r>
      <w:r w:rsidR="00DB5A84" w:rsidRPr="001255F7">
        <w:rPr>
          <w:szCs w:val="22"/>
        </w:rPr>
        <w:t xml:space="preserve"> </w:t>
      </w:r>
      <w:r w:rsidR="003E14A8" w:rsidRPr="001255F7">
        <w:rPr>
          <w:szCs w:val="22"/>
        </w:rPr>
        <w:t xml:space="preserve">While the treatment algorithms utilised in the submission are valid and appropriate for medically treated patients with angina, most patients would </w:t>
      </w:r>
      <w:r w:rsidR="00186CB1">
        <w:t>undergo evaluation with coronary angiography and implementation of a revascularisation strategy with continuing angina symptoms</w:t>
      </w:r>
      <w:r w:rsidR="003E14A8" w:rsidRPr="001255F7">
        <w:rPr>
          <w:szCs w:val="22"/>
        </w:rPr>
        <w:t>.</w:t>
      </w:r>
      <w:r w:rsidR="007D6814" w:rsidRPr="001255F7">
        <w:rPr>
          <w:szCs w:val="22"/>
        </w:rPr>
        <w:t xml:space="preserve"> </w:t>
      </w:r>
      <w:r>
        <w:rPr>
          <w:szCs w:val="22"/>
        </w:rPr>
        <w:t>The sponsor’s PSCR noted</w:t>
      </w:r>
      <w:r w:rsidR="001A3DC1" w:rsidRPr="00105CB2">
        <w:rPr>
          <w:szCs w:val="22"/>
        </w:rPr>
        <w:t xml:space="preserve"> that further randomised evidence is not planned and that clinical evidence has not been generated with the sole intention of replacing nicorandil or perhexiline. </w:t>
      </w:r>
    </w:p>
    <w:p w:rsidR="00324ABD" w:rsidRPr="001255F7" w:rsidRDefault="00324ABD" w:rsidP="00142D19">
      <w:pPr>
        <w:pStyle w:val="ListParagraph"/>
        <w:widowControl/>
        <w:ind w:left="1134"/>
      </w:pPr>
    </w:p>
    <w:p w:rsidR="00B60939" w:rsidRPr="002220DF" w:rsidRDefault="00B60939" w:rsidP="00142D19">
      <w:pPr>
        <w:pStyle w:val="Heading2"/>
        <w:widowControl/>
        <w:rPr>
          <w:i/>
        </w:rPr>
      </w:pPr>
      <w:bookmarkStart w:id="18" w:name="_Toc472515488"/>
      <w:r w:rsidRPr="002220DF">
        <w:rPr>
          <w:i/>
        </w:rPr>
        <w:t>Comparative harms</w:t>
      </w:r>
      <w:bookmarkEnd w:id="18"/>
    </w:p>
    <w:p w:rsidR="00B60939" w:rsidRPr="002220DF" w:rsidRDefault="00B60939" w:rsidP="00142D19">
      <w:pPr>
        <w:widowControl/>
        <w:ind w:left="720" w:hanging="720"/>
        <w:rPr>
          <w:szCs w:val="22"/>
        </w:rPr>
      </w:pPr>
    </w:p>
    <w:p w:rsidR="00044665" w:rsidRDefault="00E06B7B" w:rsidP="00142D19">
      <w:pPr>
        <w:pStyle w:val="ListParagraph"/>
        <w:widowControl/>
        <w:numPr>
          <w:ilvl w:val="1"/>
          <w:numId w:val="11"/>
        </w:numPr>
        <w:rPr>
          <w:szCs w:val="22"/>
        </w:rPr>
      </w:pPr>
      <w:r w:rsidRPr="001255F7">
        <w:rPr>
          <w:szCs w:val="22"/>
        </w:rPr>
        <w:t>Based on the CARISA trial, the most common adverse events occurring amongst patients treated with ranolazine were constipation (6.5%), dizziness (3.6%), headaches (2.5%), nausea (3.2%) and asthenia (1.8%). For patients in the placebo comparator arm, the most common adverse events were angina pectoris (4.5%), asthenia (2.2%), and dizziness (1.9%).</w:t>
      </w:r>
      <w:r w:rsidR="00EF2214" w:rsidRPr="001255F7">
        <w:rPr>
          <w:szCs w:val="22"/>
        </w:rPr>
        <w:t xml:space="preserve"> </w:t>
      </w:r>
      <w:r w:rsidRPr="001255F7">
        <w:rPr>
          <w:szCs w:val="22"/>
        </w:rPr>
        <w:t xml:space="preserve">There were no </w:t>
      </w:r>
      <w:r w:rsidR="00A3298B" w:rsidRPr="001255F7">
        <w:rPr>
          <w:szCs w:val="22"/>
        </w:rPr>
        <w:t xml:space="preserve">statistically </w:t>
      </w:r>
      <w:r w:rsidRPr="001255F7">
        <w:rPr>
          <w:szCs w:val="22"/>
        </w:rPr>
        <w:t xml:space="preserve">significant differences in the rate of adverse events between the placebo and ranolazine treatment groups in the CARISA trial. The adverse events occurring </w:t>
      </w:r>
      <w:r w:rsidR="00187A4E" w:rsidRPr="001255F7">
        <w:rPr>
          <w:szCs w:val="22"/>
        </w:rPr>
        <w:t xml:space="preserve">in </w:t>
      </w:r>
      <w:r w:rsidRPr="001255F7">
        <w:rPr>
          <w:szCs w:val="22"/>
        </w:rPr>
        <w:t>patients treated with ranolazine were consistent with those described in the ranolazine Product Information.</w:t>
      </w:r>
    </w:p>
    <w:p w:rsidR="00AA484A" w:rsidRDefault="00AA484A" w:rsidP="00AA484A">
      <w:pPr>
        <w:pStyle w:val="ListParagraph"/>
        <w:widowControl/>
        <w:rPr>
          <w:szCs w:val="22"/>
        </w:rPr>
      </w:pPr>
    </w:p>
    <w:p w:rsidR="00044665" w:rsidRPr="000B18AD" w:rsidRDefault="00044665" w:rsidP="00142D19">
      <w:pPr>
        <w:pStyle w:val="ListParagraph"/>
        <w:widowControl/>
        <w:numPr>
          <w:ilvl w:val="1"/>
          <w:numId w:val="11"/>
        </w:numPr>
        <w:rPr>
          <w:szCs w:val="22"/>
        </w:rPr>
      </w:pPr>
      <w:r w:rsidRPr="001255F7">
        <w:t>The submission also presented long-term safety data from the ROLE study, based on the CARISA and ERICA population</w:t>
      </w:r>
      <w:r w:rsidR="00D256A4" w:rsidRPr="001255F7">
        <w:t>s</w:t>
      </w:r>
      <w:r w:rsidRPr="001255F7">
        <w:t xml:space="preserve">. Overall, the most common adverse events reported in the total study population were constipation (9.0%), angina pectoris (7.4%), dizziness (7.1%), peripheral oedema (5.7%), unstable angina (4.7%) and hypertension (4.3%). The study population for ROLE was different </w:t>
      </w:r>
      <w:r w:rsidR="00656B8D" w:rsidRPr="001255F7">
        <w:t>to the intended PBS population. H</w:t>
      </w:r>
      <w:r w:rsidRPr="001255F7">
        <w:t>owever, it was an appropriate source for the extended assessment of the safety of ranolazine, given the large patient population drawn from both the CARISA and ERICA trials.</w:t>
      </w:r>
    </w:p>
    <w:p w:rsidR="00044665" w:rsidRPr="001255F7" w:rsidRDefault="00044665" w:rsidP="00142D19">
      <w:pPr>
        <w:pStyle w:val="ListParagraph"/>
        <w:widowControl/>
        <w:rPr>
          <w:szCs w:val="22"/>
        </w:rPr>
      </w:pPr>
    </w:p>
    <w:p w:rsidR="003E6B04" w:rsidRPr="001255F7" w:rsidRDefault="003E6B04" w:rsidP="00142D19">
      <w:pPr>
        <w:pStyle w:val="ListParagraph"/>
        <w:widowControl/>
        <w:numPr>
          <w:ilvl w:val="1"/>
          <w:numId w:val="11"/>
        </w:numPr>
        <w:rPr>
          <w:szCs w:val="22"/>
        </w:rPr>
      </w:pPr>
      <w:r w:rsidRPr="001255F7">
        <w:rPr>
          <w:szCs w:val="22"/>
        </w:rPr>
        <w:t xml:space="preserve">The submission did not attempt an indirect comparison </w:t>
      </w:r>
      <w:r w:rsidR="00090537" w:rsidRPr="001255F7">
        <w:rPr>
          <w:szCs w:val="22"/>
        </w:rPr>
        <w:t xml:space="preserve">of safety </w:t>
      </w:r>
      <w:r w:rsidRPr="001255F7">
        <w:rPr>
          <w:szCs w:val="22"/>
        </w:rPr>
        <w:t>between ranolazine and nicorandil or perhexiline. This was appropriate due to the heterogeneity between the studies.</w:t>
      </w:r>
    </w:p>
    <w:p w:rsidR="003E6B04" w:rsidRPr="001255F7" w:rsidRDefault="003E6B04" w:rsidP="00142D19">
      <w:pPr>
        <w:widowControl/>
        <w:rPr>
          <w:szCs w:val="22"/>
        </w:rPr>
      </w:pPr>
    </w:p>
    <w:p w:rsidR="003E6B04" w:rsidRPr="001255F7" w:rsidRDefault="003E6B04" w:rsidP="00142D19">
      <w:pPr>
        <w:pStyle w:val="ListParagraph"/>
        <w:widowControl/>
        <w:numPr>
          <w:ilvl w:val="1"/>
          <w:numId w:val="11"/>
        </w:numPr>
        <w:rPr>
          <w:szCs w:val="22"/>
        </w:rPr>
      </w:pPr>
      <w:r w:rsidRPr="001255F7">
        <w:rPr>
          <w:szCs w:val="22"/>
        </w:rPr>
        <w:t xml:space="preserve">The submission presented a number of studies to identify the adverse events that are associated with nicorandil. </w:t>
      </w:r>
      <w:r w:rsidR="00922592" w:rsidRPr="001255F7">
        <w:rPr>
          <w:szCs w:val="22"/>
        </w:rPr>
        <w:t xml:space="preserve">The ESC considered that the submission significantly overstated the potential harms of nicorandil. </w:t>
      </w:r>
      <w:r w:rsidR="0035603A" w:rsidRPr="00AA484A">
        <w:rPr>
          <w:szCs w:val="22"/>
        </w:rPr>
        <w:t xml:space="preserve">Although the ESC noted that </w:t>
      </w:r>
      <w:r w:rsidR="0035603A" w:rsidRPr="001255F7">
        <w:t>ranolazine has few side effects and appears to be generally well tolerated, there was a high withdrawal rate (40%) in the Koren (2007) study.</w:t>
      </w:r>
      <w:r w:rsidR="0035603A">
        <w:t xml:space="preserve"> </w:t>
      </w:r>
      <w:r w:rsidRPr="001255F7">
        <w:rPr>
          <w:szCs w:val="22"/>
        </w:rPr>
        <w:t xml:space="preserve">The </w:t>
      </w:r>
      <w:r w:rsidR="009561F9" w:rsidRPr="001255F7">
        <w:rPr>
          <w:szCs w:val="22"/>
        </w:rPr>
        <w:t xml:space="preserve">conclusions about safety </w:t>
      </w:r>
      <w:r w:rsidR="001E64B1" w:rsidRPr="001255F7">
        <w:rPr>
          <w:szCs w:val="22"/>
        </w:rPr>
        <w:t xml:space="preserve">in these studies </w:t>
      </w:r>
      <w:r w:rsidR="009561F9" w:rsidRPr="001255F7">
        <w:rPr>
          <w:szCs w:val="22"/>
        </w:rPr>
        <w:t>were based on non-comparative observational studies and narrative reviews of the literature</w:t>
      </w:r>
      <w:r w:rsidR="001E64B1" w:rsidRPr="001255F7">
        <w:rPr>
          <w:szCs w:val="22"/>
        </w:rPr>
        <w:t>, and</w:t>
      </w:r>
      <w:r w:rsidRPr="001255F7">
        <w:rPr>
          <w:szCs w:val="22"/>
        </w:rPr>
        <w:t xml:space="preserve"> did not add to the comparative safety of ranolazine compared with nicorandil. </w:t>
      </w:r>
    </w:p>
    <w:p w:rsidR="00B60939" w:rsidRPr="002220DF" w:rsidRDefault="00B60939" w:rsidP="00142D19">
      <w:pPr>
        <w:widowControl/>
        <w:rPr>
          <w:szCs w:val="22"/>
        </w:rPr>
      </w:pPr>
    </w:p>
    <w:p w:rsidR="007F1017" w:rsidRPr="002220DF" w:rsidRDefault="007F1017" w:rsidP="00142D19">
      <w:pPr>
        <w:pStyle w:val="Heading2"/>
        <w:widowControl/>
        <w:rPr>
          <w:i/>
          <w:szCs w:val="22"/>
        </w:rPr>
      </w:pPr>
      <w:bookmarkStart w:id="19" w:name="_Toc472515489"/>
      <w:r w:rsidRPr="002220DF">
        <w:rPr>
          <w:i/>
        </w:rPr>
        <w:t>Benefits/harms</w:t>
      </w:r>
      <w:bookmarkEnd w:id="19"/>
    </w:p>
    <w:p w:rsidR="007F1017" w:rsidRPr="002220DF" w:rsidRDefault="007F1017" w:rsidP="00142D19">
      <w:pPr>
        <w:widowControl/>
      </w:pPr>
    </w:p>
    <w:p w:rsidR="00EC00C9" w:rsidRPr="002220DF" w:rsidRDefault="00EC00C9" w:rsidP="00142D19">
      <w:pPr>
        <w:pStyle w:val="ListParagraph"/>
        <w:widowControl/>
        <w:numPr>
          <w:ilvl w:val="1"/>
          <w:numId w:val="11"/>
        </w:numPr>
        <w:rPr>
          <w:szCs w:val="22"/>
        </w:rPr>
      </w:pPr>
      <w:r w:rsidRPr="002220DF">
        <w:rPr>
          <w:szCs w:val="22"/>
        </w:rPr>
        <w:t xml:space="preserve">A summary of the comparative benefits and harms for </w:t>
      </w:r>
      <w:r w:rsidR="002A7B9A" w:rsidRPr="002220DF">
        <w:rPr>
          <w:szCs w:val="22"/>
        </w:rPr>
        <w:t>ranolazine</w:t>
      </w:r>
      <w:r w:rsidRPr="002220DF">
        <w:rPr>
          <w:szCs w:val="22"/>
        </w:rPr>
        <w:t xml:space="preserve"> versus </w:t>
      </w:r>
      <w:r w:rsidR="002A7B9A" w:rsidRPr="002220DF">
        <w:rPr>
          <w:szCs w:val="22"/>
        </w:rPr>
        <w:t>placebo</w:t>
      </w:r>
      <w:r w:rsidR="001E64B1">
        <w:rPr>
          <w:szCs w:val="22"/>
        </w:rPr>
        <w:t xml:space="preserve"> is </w:t>
      </w:r>
      <w:r w:rsidRPr="002220DF">
        <w:rPr>
          <w:szCs w:val="22"/>
        </w:rPr>
        <w:t xml:space="preserve">presented in </w:t>
      </w:r>
      <w:r w:rsidR="001462E6" w:rsidRPr="002220DF">
        <w:rPr>
          <w:szCs w:val="22"/>
        </w:rPr>
        <w:t xml:space="preserve">Table </w:t>
      </w:r>
      <w:r w:rsidR="00290CB3" w:rsidRPr="002220DF">
        <w:rPr>
          <w:szCs w:val="22"/>
        </w:rPr>
        <w:t>9</w:t>
      </w:r>
      <w:r w:rsidRPr="002220DF">
        <w:rPr>
          <w:szCs w:val="22"/>
        </w:rPr>
        <w:t xml:space="preserve"> below.</w:t>
      </w:r>
      <w:r w:rsidR="00410708" w:rsidRPr="002220DF">
        <w:rPr>
          <w:szCs w:val="22"/>
        </w:rPr>
        <w:t xml:space="preserve"> </w:t>
      </w:r>
    </w:p>
    <w:p w:rsidR="00162913" w:rsidRPr="002220DF" w:rsidRDefault="00162913" w:rsidP="00142D19">
      <w:pPr>
        <w:widowControl/>
      </w:pPr>
    </w:p>
    <w:p w:rsidR="00044665" w:rsidRPr="002220DF" w:rsidRDefault="00044665" w:rsidP="00142D19">
      <w:pPr>
        <w:widowControl/>
        <w:ind w:firstLine="720"/>
        <w:rPr>
          <w:rStyle w:val="CommentReference"/>
        </w:rPr>
      </w:pPr>
      <w:r w:rsidRPr="002220DF">
        <w:rPr>
          <w:rStyle w:val="CommentReference"/>
        </w:rPr>
        <w:t xml:space="preserve">Table </w:t>
      </w:r>
      <w:r w:rsidR="00290CB3" w:rsidRPr="002220DF">
        <w:rPr>
          <w:rStyle w:val="CommentReference"/>
        </w:rPr>
        <w:t>9</w:t>
      </w:r>
      <w:r w:rsidRPr="002220DF">
        <w:rPr>
          <w:rStyle w:val="CommentReference"/>
        </w:rPr>
        <w:t xml:space="preserve">: Summary of comparative benefits and harms for ranolazine and </w:t>
      </w:r>
      <w:r w:rsidR="008873C5">
        <w:rPr>
          <w:rStyle w:val="CommentReference"/>
        </w:rPr>
        <w:t>placebo</w:t>
      </w:r>
    </w:p>
    <w:tbl>
      <w:tblPr>
        <w:tblStyle w:val="TableGrid"/>
        <w:tblW w:w="4700" w:type="pct"/>
        <w:tblInd w:w="698" w:type="dxa"/>
        <w:tblLayout w:type="fixed"/>
        <w:tblCellMar>
          <w:left w:w="28" w:type="dxa"/>
          <w:right w:w="28" w:type="dxa"/>
        </w:tblCellMar>
        <w:tblLook w:val="04A0" w:firstRow="1" w:lastRow="0" w:firstColumn="1" w:lastColumn="0" w:noHBand="0" w:noVBand="1"/>
        <w:tblCaption w:val="Table 9: Summary of comparative benefits and harms for ranolazine and PBO"/>
      </w:tblPr>
      <w:tblGrid>
        <w:gridCol w:w="1152"/>
        <w:gridCol w:w="12"/>
        <w:gridCol w:w="10"/>
        <w:gridCol w:w="690"/>
        <w:gridCol w:w="439"/>
        <w:gridCol w:w="10"/>
        <w:gridCol w:w="545"/>
        <w:gridCol w:w="741"/>
        <w:gridCol w:w="266"/>
        <w:gridCol w:w="850"/>
        <w:gridCol w:w="451"/>
        <w:gridCol w:w="550"/>
        <w:gridCol w:w="591"/>
        <w:gridCol w:w="405"/>
        <w:gridCol w:w="681"/>
        <w:gridCol w:w="1144"/>
      </w:tblGrid>
      <w:tr w:rsidR="00044665" w:rsidRPr="002220DF" w:rsidTr="004E1B7F">
        <w:trPr>
          <w:trHeight w:val="225"/>
          <w:tblHeader/>
        </w:trPr>
        <w:tc>
          <w:tcPr>
            <w:tcW w:w="675" w:type="pct"/>
            <w:vMerge w:val="restart"/>
            <w:shd w:val="clear" w:color="auto" w:fill="auto"/>
            <w:vAlign w:val="center"/>
          </w:tcPr>
          <w:p w:rsidR="00044665" w:rsidRPr="002220DF" w:rsidRDefault="00044665" w:rsidP="00142D19">
            <w:pPr>
              <w:pStyle w:val="Tabletext"/>
              <w:rPr>
                <w:b/>
              </w:rPr>
            </w:pPr>
            <w:r w:rsidRPr="002220DF">
              <w:rPr>
                <w:b/>
              </w:rPr>
              <w:t>Trial</w:t>
            </w:r>
          </w:p>
        </w:tc>
        <w:tc>
          <w:tcPr>
            <w:tcW w:w="1589" w:type="pct"/>
            <w:gridSpan w:val="8"/>
            <w:vAlign w:val="center"/>
          </w:tcPr>
          <w:p w:rsidR="00044665" w:rsidRPr="002220DF" w:rsidRDefault="00044665" w:rsidP="00142D19">
            <w:pPr>
              <w:pStyle w:val="Tabletext"/>
              <w:jc w:val="center"/>
              <w:rPr>
                <w:b/>
              </w:rPr>
            </w:pPr>
            <w:r w:rsidRPr="002220DF">
              <w:rPr>
                <w:b/>
              </w:rPr>
              <w:t>Ranolazine 750 mg BID</w:t>
            </w:r>
          </w:p>
        </w:tc>
        <w:tc>
          <w:tcPr>
            <w:tcW w:w="1667" w:type="pct"/>
            <w:gridSpan w:val="5"/>
            <w:vAlign w:val="center"/>
          </w:tcPr>
          <w:p w:rsidR="00044665" w:rsidRPr="002220DF" w:rsidRDefault="00044665" w:rsidP="00142D19">
            <w:pPr>
              <w:pStyle w:val="Tabletext"/>
              <w:jc w:val="center"/>
              <w:rPr>
                <w:b/>
              </w:rPr>
            </w:pPr>
            <w:r w:rsidRPr="002220DF">
              <w:rPr>
                <w:b/>
              </w:rPr>
              <w:t>Placebo</w:t>
            </w:r>
          </w:p>
        </w:tc>
        <w:tc>
          <w:tcPr>
            <w:tcW w:w="1069" w:type="pct"/>
            <w:gridSpan w:val="2"/>
            <w:vMerge w:val="restart"/>
            <w:vAlign w:val="center"/>
          </w:tcPr>
          <w:p w:rsidR="00044665" w:rsidRPr="002220DF" w:rsidRDefault="00656B8D" w:rsidP="00142D19">
            <w:pPr>
              <w:pStyle w:val="Tabletext"/>
              <w:jc w:val="center"/>
              <w:rPr>
                <w:b/>
                <w:szCs w:val="18"/>
              </w:rPr>
            </w:pPr>
            <w:r w:rsidRPr="002220DF">
              <w:rPr>
                <w:b/>
                <w:szCs w:val="18"/>
              </w:rPr>
              <w:t>Mean difference</w:t>
            </w:r>
            <w:r w:rsidRPr="002220DF">
              <w:rPr>
                <w:b/>
                <w:szCs w:val="18"/>
                <w:vertAlign w:val="superscript"/>
              </w:rPr>
              <w:t>a</w:t>
            </w:r>
            <w:r w:rsidR="00044665" w:rsidRPr="002220DF">
              <w:rPr>
                <w:b/>
                <w:szCs w:val="18"/>
              </w:rPr>
              <w:t>:</w:t>
            </w:r>
          </w:p>
          <w:p w:rsidR="00044665" w:rsidRPr="002220DF" w:rsidRDefault="00044665" w:rsidP="00142D19">
            <w:pPr>
              <w:pStyle w:val="Tabletext"/>
              <w:jc w:val="center"/>
              <w:rPr>
                <w:b/>
                <w:szCs w:val="18"/>
              </w:rPr>
            </w:pPr>
            <w:r w:rsidRPr="002220DF">
              <w:rPr>
                <w:b/>
                <w:szCs w:val="18"/>
              </w:rPr>
              <w:t>Ranolazine vs. Placebo</w:t>
            </w:r>
          </w:p>
          <w:p w:rsidR="00044665" w:rsidRPr="002220DF" w:rsidRDefault="00044665" w:rsidP="00142D19">
            <w:pPr>
              <w:pStyle w:val="Tabletext"/>
              <w:jc w:val="center"/>
              <w:rPr>
                <w:b/>
                <w:szCs w:val="18"/>
              </w:rPr>
            </w:pPr>
            <w:r w:rsidRPr="002220DF">
              <w:rPr>
                <w:b/>
                <w:szCs w:val="18"/>
              </w:rPr>
              <w:t>(95% CI)</w:t>
            </w:r>
          </w:p>
        </w:tc>
      </w:tr>
      <w:tr w:rsidR="00044665" w:rsidRPr="002220DF" w:rsidTr="004E1B7F">
        <w:trPr>
          <w:trHeight w:val="559"/>
          <w:tblHeader/>
        </w:trPr>
        <w:tc>
          <w:tcPr>
            <w:tcW w:w="675" w:type="pct"/>
            <w:vMerge/>
            <w:shd w:val="clear" w:color="auto" w:fill="auto"/>
            <w:vAlign w:val="center"/>
          </w:tcPr>
          <w:p w:rsidR="00044665" w:rsidRPr="002220DF" w:rsidRDefault="00044665" w:rsidP="00142D19">
            <w:pPr>
              <w:widowControl/>
              <w:rPr>
                <w:rFonts w:ascii="Arial Narrow" w:hAnsi="Arial Narrow"/>
                <w:color w:val="000000"/>
                <w:sz w:val="20"/>
                <w:szCs w:val="18"/>
              </w:rPr>
            </w:pPr>
          </w:p>
        </w:tc>
        <w:tc>
          <w:tcPr>
            <w:tcW w:w="417" w:type="pct"/>
            <w:gridSpan w:val="3"/>
            <w:vAlign w:val="center"/>
          </w:tcPr>
          <w:p w:rsidR="00044665" w:rsidRPr="002220DF" w:rsidRDefault="00044665" w:rsidP="00142D19">
            <w:pPr>
              <w:pStyle w:val="Tabletext"/>
              <w:jc w:val="center"/>
              <w:rPr>
                <w:b/>
                <w:color w:val="000000"/>
                <w:szCs w:val="18"/>
              </w:rPr>
            </w:pPr>
            <w:r w:rsidRPr="002220DF">
              <w:rPr>
                <w:b/>
                <w:color w:val="000000"/>
                <w:szCs w:val="18"/>
              </w:rPr>
              <w:t>n</w:t>
            </w:r>
          </w:p>
        </w:tc>
        <w:tc>
          <w:tcPr>
            <w:tcW w:w="582" w:type="pct"/>
            <w:gridSpan w:val="3"/>
            <w:vAlign w:val="center"/>
          </w:tcPr>
          <w:p w:rsidR="00044665" w:rsidRPr="002220DF" w:rsidRDefault="00044665" w:rsidP="00142D19">
            <w:pPr>
              <w:pStyle w:val="Tabletext"/>
              <w:jc w:val="center"/>
              <w:rPr>
                <w:b/>
                <w:szCs w:val="18"/>
              </w:rPr>
            </w:pPr>
            <w:r w:rsidRPr="002220DF">
              <w:rPr>
                <w:b/>
                <w:szCs w:val="18"/>
              </w:rPr>
              <w:t>Mean ∆ baseline (s)</w:t>
            </w:r>
          </w:p>
        </w:tc>
        <w:tc>
          <w:tcPr>
            <w:tcW w:w="590" w:type="pct"/>
            <w:gridSpan w:val="2"/>
            <w:vAlign w:val="center"/>
          </w:tcPr>
          <w:p w:rsidR="00044665" w:rsidRPr="002220DF" w:rsidRDefault="00044665" w:rsidP="00142D19">
            <w:pPr>
              <w:pStyle w:val="Tabletext"/>
              <w:jc w:val="center"/>
              <w:rPr>
                <w:b/>
                <w:szCs w:val="18"/>
              </w:rPr>
            </w:pPr>
            <w:r w:rsidRPr="002220DF">
              <w:rPr>
                <w:b/>
                <w:szCs w:val="18"/>
              </w:rPr>
              <w:t>SD</w:t>
            </w:r>
          </w:p>
        </w:tc>
        <w:tc>
          <w:tcPr>
            <w:tcW w:w="498" w:type="pct"/>
            <w:vAlign w:val="center"/>
          </w:tcPr>
          <w:p w:rsidR="00044665" w:rsidRPr="002220DF" w:rsidRDefault="00044665" w:rsidP="00142D19">
            <w:pPr>
              <w:pStyle w:val="Tabletext"/>
              <w:jc w:val="center"/>
              <w:rPr>
                <w:b/>
                <w:color w:val="000000"/>
                <w:szCs w:val="18"/>
              </w:rPr>
            </w:pPr>
            <w:r w:rsidRPr="002220DF">
              <w:rPr>
                <w:b/>
                <w:color w:val="000000"/>
                <w:szCs w:val="18"/>
              </w:rPr>
              <w:t>n</w:t>
            </w:r>
          </w:p>
        </w:tc>
        <w:tc>
          <w:tcPr>
            <w:tcW w:w="586" w:type="pct"/>
            <w:gridSpan w:val="2"/>
            <w:vAlign w:val="center"/>
          </w:tcPr>
          <w:p w:rsidR="00044665" w:rsidRPr="002220DF" w:rsidRDefault="00044665" w:rsidP="00142D19">
            <w:pPr>
              <w:pStyle w:val="Tabletext"/>
              <w:jc w:val="center"/>
              <w:rPr>
                <w:b/>
                <w:szCs w:val="18"/>
              </w:rPr>
            </w:pPr>
            <w:r w:rsidRPr="002220DF">
              <w:rPr>
                <w:b/>
                <w:szCs w:val="18"/>
              </w:rPr>
              <w:t>Mean ∆ baseline (s)</w:t>
            </w:r>
          </w:p>
        </w:tc>
        <w:tc>
          <w:tcPr>
            <w:tcW w:w="583" w:type="pct"/>
            <w:gridSpan w:val="2"/>
            <w:vAlign w:val="center"/>
          </w:tcPr>
          <w:p w:rsidR="00044665" w:rsidRPr="002220DF" w:rsidRDefault="00044665" w:rsidP="00142D19">
            <w:pPr>
              <w:pStyle w:val="Tabletext"/>
              <w:jc w:val="center"/>
              <w:rPr>
                <w:b/>
                <w:szCs w:val="18"/>
              </w:rPr>
            </w:pPr>
            <w:r w:rsidRPr="002220DF">
              <w:rPr>
                <w:b/>
                <w:szCs w:val="18"/>
              </w:rPr>
              <w:t>SD</w:t>
            </w:r>
          </w:p>
        </w:tc>
        <w:tc>
          <w:tcPr>
            <w:tcW w:w="1069" w:type="pct"/>
            <w:gridSpan w:val="2"/>
            <w:vMerge/>
            <w:vAlign w:val="center"/>
          </w:tcPr>
          <w:p w:rsidR="00044665" w:rsidRPr="002220DF" w:rsidRDefault="00044665" w:rsidP="00142D19">
            <w:pPr>
              <w:pStyle w:val="Tabletext"/>
              <w:jc w:val="center"/>
              <w:rPr>
                <w:b/>
                <w:szCs w:val="18"/>
              </w:rPr>
            </w:pPr>
          </w:p>
        </w:tc>
      </w:tr>
      <w:tr w:rsidR="003960FE" w:rsidRPr="002220DF" w:rsidTr="00200C9F">
        <w:trPr>
          <w:tblHeader/>
        </w:trPr>
        <w:tc>
          <w:tcPr>
            <w:tcW w:w="5000" w:type="pct"/>
            <w:gridSpan w:val="16"/>
            <w:tcBorders>
              <w:top w:val="single" w:sz="4" w:space="0" w:color="auto"/>
              <w:bottom w:val="single" w:sz="4" w:space="0" w:color="auto"/>
            </w:tcBorders>
            <w:shd w:val="clear" w:color="auto" w:fill="auto"/>
            <w:vAlign w:val="center"/>
          </w:tcPr>
          <w:p w:rsidR="003960FE" w:rsidRPr="002220DF" w:rsidRDefault="003960FE" w:rsidP="00E05431">
            <w:pPr>
              <w:pStyle w:val="Tabletext"/>
              <w:rPr>
                <w:b/>
              </w:rPr>
            </w:pPr>
            <w:r w:rsidRPr="002220DF">
              <w:rPr>
                <w:b/>
              </w:rPr>
              <w:t xml:space="preserve">Continuous Outcome I: change from baseline ETT duration </w:t>
            </w:r>
          </w:p>
        </w:tc>
      </w:tr>
      <w:tr w:rsidR="00044665" w:rsidRPr="002220DF" w:rsidTr="003960FE">
        <w:tc>
          <w:tcPr>
            <w:tcW w:w="675" w:type="pct"/>
            <w:shd w:val="clear" w:color="auto" w:fill="auto"/>
            <w:vAlign w:val="center"/>
          </w:tcPr>
          <w:p w:rsidR="00044665" w:rsidRPr="002220DF" w:rsidRDefault="00044665" w:rsidP="00142D19">
            <w:pPr>
              <w:widowControl/>
              <w:rPr>
                <w:rFonts w:ascii="Arial Narrow" w:hAnsi="Arial Narrow"/>
                <w:color w:val="000000"/>
                <w:sz w:val="20"/>
                <w:szCs w:val="18"/>
              </w:rPr>
            </w:pPr>
            <w:r w:rsidRPr="002220DF">
              <w:rPr>
                <w:rFonts w:ascii="Arial Narrow" w:hAnsi="Arial Narrow"/>
                <w:color w:val="000000"/>
                <w:sz w:val="20"/>
                <w:szCs w:val="18"/>
              </w:rPr>
              <w:t>CARISA</w:t>
            </w:r>
          </w:p>
        </w:tc>
        <w:tc>
          <w:tcPr>
            <w:tcW w:w="417" w:type="pct"/>
            <w:gridSpan w:val="3"/>
            <w:vAlign w:val="center"/>
          </w:tcPr>
          <w:p w:rsidR="00044665" w:rsidRPr="002220DF" w:rsidRDefault="00044665" w:rsidP="00142D19">
            <w:pPr>
              <w:pStyle w:val="Tabletext"/>
              <w:jc w:val="center"/>
            </w:pPr>
            <w:r w:rsidRPr="002220DF">
              <w:t>279</w:t>
            </w:r>
          </w:p>
        </w:tc>
        <w:tc>
          <w:tcPr>
            <w:tcW w:w="582" w:type="pct"/>
            <w:gridSpan w:val="3"/>
            <w:vAlign w:val="center"/>
          </w:tcPr>
          <w:p w:rsidR="00044665" w:rsidRPr="002220DF" w:rsidRDefault="00044665" w:rsidP="00142D19">
            <w:pPr>
              <w:pStyle w:val="Tabletext"/>
              <w:jc w:val="center"/>
            </w:pPr>
            <w:r w:rsidRPr="002220DF">
              <w:t>115.4</w:t>
            </w:r>
          </w:p>
        </w:tc>
        <w:tc>
          <w:tcPr>
            <w:tcW w:w="590" w:type="pct"/>
            <w:gridSpan w:val="2"/>
            <w:vAlign w:val="center"/>
          </w:tcPr>
          <w:p w:rsidR="00044665" w:rsidRPr="002220DF" w:rsidRDefault="00160F06" w:rsidP="00142D19">
            <w:pPr>
              <w:pStyle w:val="Tabletext"/>
              <w:jc w:val="center"/>
            </w:pPr>
            <w:r w:rsidRPr="002220DF">
              <w:t>8</w:t>
            </w:r>
          </w:p>
        </w:tc>
        <w:tc>
          <w:tcPr>
            <w:tcW w:w="498" w:type="pct"/>
            <w:vAlign w:val="center"/>
          </w:tcPr>
          <w:p w:rsidR="00044665" w:rsidRPr="002220DF" w:rsidRDefault="00044665" w:rsidP="00142D19">
            <w:pPr>
              <w:pStyle w:val="Tabletext"/>
              <w:jc w:val="center"/>
            </w:pPr>
            <w:r w:rsidRPr="002220DF">
              <w:t>269</w:t>
            </w:r>
          </w:p>
        </w:tc>
        <w:tc>
          <w:tcPr>
            <w:tcW w:w="586" w:type="pct"/>
            <w:gridSpan w:val="2"/>
            <w:vAlign w:val="center"/>
          </w:tcPr>
          <w:p w:rsidR="00044665" w:rsidRPr="002220DF" w:rsidRDefault="00044665" w:rsidP="00142D19">
            <w:pPr>
              <w:pStyle w:val="Tabletext"/>
              <w:jc w:val="center"/>
            </w:pPr>
            <w:r w:rsidRPr="002220DF">
              <w:t>91.</w:t>
            </w:r>
            <w:r w:rsidR="005E419C" w:rsidRPr="002220DF">
              <w:t>7</w:t>
            </w:r>
          </w:p>
        </w:tc>
        <w:tc>
          <w:tcPr>
            <w:tcW w:w="583" w:type="pct"/>
            <w:gridSpan w:val="2"/>
            <w:vAlign w:val="center"/>
          </w:tcPr>
          <w:p w:rsidR="00044665" w:rsidRPr="002220DF" w:rsidRDefault="00160F06" w:rsidP="00142D19">
            <w:pPr>
              <w:pStyle w:val="Tabletext"/>
              <w:jc w:val="center"/>
            </w:pPr>
            <w:r w:rsidRPr="002220DF">
              <w:t>8.3</w:t>
            </w:r>
          </w:p>
        </w:tc>
        <w:tc>
          <w:tcPr>
            <w:tcW w:w="1069" w:type="pct"/>
            <w:gridSpan w:val="2"/>
            <w:vAlign w:val="center"/>
          </w:tcPr>
          <w:p w:rsidR="00044665" w:rsidRPr="002220DF" w:rsidRDefault="00044665" w:rsidP="00142D19">
            <w:pPr>
              <w:pStyle w:val="Tabletext"/>
              <w:jc w:val="center"/>
            </w:pPr>
            <w:r w:rsidRPr="002220DF">
              <w:t>23.7 (2.3, 45.1)</w:t>
            </w:r>
          </w:p>
        </w:tc>
      </w:tr>
      <w:tr w:rsidR="00044665" w:rsidRPr="002220DF" w:rsidTr="00200C9F">
        <w:tc>
          <w:tcPr>
            <w:tcW w:w="5000" w:type="pct"/>
            <w:gridSpan w:val="16"/>
            <w:tcBorders>
              <w:bottom w:val="single" w:sz="4" w:space="0" w:color="auto"/>
            </w:tcBorders>
            <w:shd w:val="clear" w:color="auto" w:fill="auto"/>
            <w:vAlign w:val="center"/>
          </w:tcPr>
          <w:p w:rsidR="00044665" w:rsidRPr="002220DF" w:rsidRDefault="00044665" w:rsidP="00142D19">
            <w:pPr>
              <w:pStyle w:val="Tabletext"/>
              <w:rPr>
                <w:b/>
              </w:rPr>
            </w:pPr>
            <w:r w:rsidRPr="002220DF">
              <w:rPr>
                <w:b/>
              </w:rPr>
              <w:t>Continuous Outcome II: change from baseline weekly angina frequency</w:t>
            </w:r>
          </w:p>
        </w:tc>
      </w:tr>
      <w:tr w:rsidR="00044665" w:rsidRPr="002220DF" w:rsidTr="00200C9F">
        <w:trPr>
          <w:trHeight w:val="353"/>
        </w:trPr>
        <w:tc>
          <w:tcPr>
            <w:tcW w:w="675" w:type="pct"/>
            <w:tcBorders>
              <w:bottom w:val="single" w:sz="4" w:space="0" w:color="auto"/>
            </w:tcBorders>
            <w:shd w:val="clear" w:color="auto" w:fill="auto"/>
            <w:vAlign w:val="center"/>
          </w:tcPr>
          <w:p w:rsidR="00044665" w:rsidRPr="002220DF" w:rsidRDefault="00044665" w:rsidP="00142D19">
            <w:pPr>
              <w:widowControl/>
              <w:rPr>
                <w:rFonts w:ascii="Arial Narrow" w:hAnsi="Arial Narrow"/>
                <w:color w:val="000000"/>
                <w:sz w:val="20"/>
                <w:szCs w:val="18"/>
              </w:rPr>
            </w:pPr>
            <w:r w:rsidRPr="002220DF">
              <w:rPr>
                <w:rFonts w:ascii="Arial Narrow" w:hAnsi="Arial Narrow"/>
                <w:color w:val="000000"/>
                <w:sz w:val="20"/>
                <w:szCs w:val="18"/>
              </w:rPr>
              <w:t>CARISA</w:t>
            </w:r>
          </w:p>
        </w:tc>
        <w:tc>
          <w:tcPr>
            <w:tcW w:w="417" w:type="pct"/>
            <w:gridSpan w:val="3"/>
            <w:tcBorders>
              <w:bottom w:val="single" w:sz="4" w:space="0" w:color="auto"/>
            </w:tcBorders>
            <w:vAlign w:val="center"/>
          </w:tcPr>
          <w:p w:rsidR="00044665" w:rsidRPr="002220DF" w:rsidRDefault="00044665" w:rsidP="00142D19">
            <w:pPr>
              <w:pStyle w:val="Tabletext"/>
              <w:jc w:val="center"/>
            </w:pPr>
            <w:r w:rsidRPr="002220DF">
              <w:t>279</w:t>
            </w:r>
          </w:p>
        </w:tc>
        <w:tc>
          <w:tcPr>
            <w:tcW w:w="582" w:type="pct"/>
            <w:gridSpan w:val="3"/>
            <w:tcBorders>
              <w:bottom w:val="single" w:sz="4" w:space="0" w:color="auto"/>
            </w:tcBorders>
            <w:vAlign w:val="center"/>
          </w:tcPr>
          <w:p w:rsidR="00044665" w:rsidRPr="002220DF" w:rsidRDefault="00044665" w:rsidP="00142D19">
            <w:pPr>
              <w:pStyle w:val="Tabletext"/>
              <w:jc w:val="center"/>
            </w:pPr>
            <w:r w:rsidRPr="002220DF">
              <w:t>-1.8</w:t>
            </w:r>
          </w:p>
        </w:tc>
        <w:tc>
          <w:tcPr>
            <w:tcW w:w="590" w:type="pct"/>
            <w:gridSpan w:val="2"/>
            <w:tcBorders>
              <w:bottom w:val="single" w:sz="4" w:space="0" w:color="auto"/>
            </w:tcBorders>
            <w:vAlign w:val="center"/>
          </w:tcPr>
          <w:p w:rsidR="00044665" w:rsidRPr="002220DF" w:rsidRDefault="00044665" w:rsidP="00142D19">
            <w:pPr>
              <w:pStyle w:val="Tabletext"/>
              <w:jc w:val="center"/>
            </w:pPr>
            <w:r w:rsidRPr="002220DF">
              <w:t>0.4</w:t>
            </w:r>
          </w:p>
        </w:tc>
        <w:tc>
          <w:tcPr>
            <w:tcW w:w="498" w:type="pct"/>
            <w:tcBorders>
              <w:bottom w:val="single" w:sz="4" w:space="0" w:color="auto"/>
            </w:tcBorders>
            <w:vAlign w:val="center"/>
          </w:tcPr>
          <w:p w:rsidR="00044665" w:rsidRPr="002220DF" w:rsidRDefault="00044665" w:rsidP="00142D19">
            <w:pPr>
              <w:pStyle w:val="Tabletext"/>
              <w:jc w:val="center"/>
            </w:pPr>
            <w:r w:rsidRPr="002220DF">
              <w:t>269</w:t>
            </w:r>
          </w:p>
        </w:tc>
        <w:tc>
          <w:tcPr>
            <w:tcW w:w="586" w:type="pct"/>
            <w:gridSpan w:val="2"/>
            <w:tcBorders>
              <w:bottom w:val="single" w:sz="4" w:space="0" w:color="auto"/>
            </w:tcBorders>
            <w:vAlign w:val="center"/>
          </w:tcPr>
          <w:p w:rsidR="00044665" w:rsidRPr="002220DF" w:rsidRDefault="00044665" w:rsidP="00142D19">
            <w:pPr>
              <w:pStyle w:val="Tabletext"/>
              <w:jc w:val="center"/>
            </w:pPr>
            <w:r w:rsidRPr="002220DF">
              <w:t>-1.3</w:t>
            </w:r>
          </w:p>
        </w:tc>
        <w:tc>
          <w:tcPr>
            <w:tcW w:w="583" w:type="pct"/>
            <w:gridSpan w:val="2"/>
            <w:tcBorders>
              <w:bottom w:val="single" w:sz="4" w:space="0" w:color="auto"/>
            </w:tcBorders>
            <w:vAlign w:val="center"/>
          </w:tcPr>
          <w:p w:rsidR="00044665" w:rsidRPr="002220DF" w:rsidRDefault="00044665" w:rsidP="00142D19">
            <w:pPr>
              <w:pStyle w:val="Tabletext"/>
              <w:jc w:val="center"/>
            </w:pPr>
            <w:r w:rsidRPr="002220DF">
              <w:t>0.5</w:t>
            </w:r>
          </w:p>
        </w:tc>
        <w:tc>
          <w:tcPr>
            <w:tcW w:w="1069" w:type="pct"/>
            <w:gridSpan w:val="2"/>
            <w:tcBorders>
              <w:bottom w:val="single" w:sz="4" w:space="0" w:color="auto"/>
            </w:tcBorders>
            <w:vAlign w:val="center"/>
          </w:tcPr>
          <w:p w:rsidR="00044665" w:rsidRPr="00415355" w:rsidRDefault="00044665" w:rsidP="00142D19">
            <w:pPr>
              <w:pStyle w:val="Tabletext"/>
              <w:jc w:val="center"/>
            </w:pPr>
            <w:r w:rsidRPr="00415355">
              <w:t>-0.54 (-0.61, -0.47)</w:t>
            </w:r>
          </w:p>
        </w:tc>
      </w:tr>
      <w:tr w:rsidR="00044665" w:rsidRPr="002220DF" w:rsidTr="00805103">
        <w:tc>
          <w:tcPr>
            <w:tcW w:w="675" w:type="pct"/>
            <w:tcBorders>
              <w:bottom w:val="single" w:sz="4" w:space="0" w:color="auto"/>
            </w:tcBorders>
            <w:shd w:val="clear" w:color="auto" w:fill="auto"/>
            <w:vAlign w:val="center"/>
          </w:tcPr>
          <w:p w:rsidR="00044665" w:rsidRPr="002220DF" w:rsidRDefault="002B1F67" w:rsidP="00142D19">
            <w:pPr>
              <w:widowControl/>
              <w:rPr>
                <w:rFonts w:ascii="Arial Narrow" w:hAnsi="Arial Narrow"/>
                <w:color w:val="000000"/>
                <w:sz w:val="20"/>
                <w:szCs w:val="18"/>
              </w:rPr>
            </w:pPr>
            <w:r w:rsidRPr="002220DF">
              <w:rPr>
                <w:rFonts w:ascii="Arial Narrow" w:hAnsi="Arial Narrow"/>
                <w:color w:val="000000"/>
                <w:sz w:val="20"/>
                <w:szCs w:val="18"/>
              </w:rPr>
              <w:t>Lopez-</w:t>
            </w:r>
            <w:r w:rsidR="00044665" w:rsidRPr="002220DF">
              <w:rPr>
                <w:rFonts w:ascii="Arial Narrow" w:hAnsi="Arial Narrow"/>
                <w:color w:val="000000"/>
                <w:sz w:val="20"/>
                <w:szCs w:val="18"/>
              </w:rPr>
              <w:t>Sendon (2012)</w:t>
            </w:r>
          </w:p>
        </w:tc>
        <w:tc>
          <w:tcPr>
            <w:tcW w:w="417" w:type="pct"/>
            <w:gridSpan w:val="3"/>
            <w:tcBorders>
              <w:bottom w:val="single" w:sz="4" w:space="0" w:color="auto"/>
            </w:tcBorders>
            <w:vAlign w:val="center"/>
          </w:tcPr>
          <w:p w:rsidR="00044665" w:rsidRPr="002220DF" w:rsidRDefault="00044665" w:rsidP="00142D19">
            <w:pPr>
              <w:pStyle w:val="Tabletext"/>
              <w:jc w:val="center"/>
            </w:pPr>
            <w:r w:rsidRPr="002220DF">
              <w:t>89</w:t>
            </w:r>
          </w:p>
        </w:tc>
        <w:tc>
          <w:tcPr>
            <w:tcW w:w="582" w:type="pct"/>
            <w:gridSpan w:val="3"/>
            <w:tcBorders>
              <w:bottom w:val="single" w:sz="4" w:space="0" w:color="auto"/>
            </w:tcBorders>
            <w:vAlign w:val="center"/>
          </w:tcPr>
          <w:p w:rsidR="00044665" w:rsidRPr="002220DF" w:rsidRDefault="00044665" w:rsidP="00142D19">
            <w:pPr>
              <w:pStyle w:val="Tabletext"/>
              <w:jc w:val="center"/>
            </w:pPr>
            <w:r w:rsidRPr="002220DF">
              <w:t>-2.3</w:t>
            </w:r>
          </w:p>
        </w:tc>
        <w:tc>
          <w:tcPr>
            <w:tcW w:w="590" w:type="pct"/>
            <w:gridSpan w:val="2"/>
            <w:tcBorders>
              <w:bottom w:val="single" w:sz="4" w:space="0" w:color="auto"/>
            </w:tcBorders>
            <w:vAlign w:val="center"/>
          </w:tcPr>
          <w:p w:rsidR="00044665" w:rsidRPr="002220DF" w:rsidRDefault="00160F06" w:rsidP="00142D19">
            <w:pPr>
              <w:pStyle w:val="Tabletext"/>
              <w:jc w:val="center"/>
            </w:pPr>
            <w:r w:rsidRPr="002220DF">
              <w:t>0.6</w:t>
            </w:r>
          </w:p>
        </w:tc>
        <w:tc>
          <w:tcPr>
            <w:tcW w:w="498" w:type="pct"/>
            <w:tcBorders>
              <w:bottom w:val="single" w:sz="4" w:space="0" w:color="auto"/>
            </w:tcBorders>
            <w:vAlign w:val="center"/>
          </w:tcPr>
          <w:p w:rsidR="00044665" w:rsidRPr="002220DF" w:rsidRDefault="00044665" w:rsidP="00142D19">
            <w:pPr>
              <w:pStyle w:val="Tabletext"/>
              <w:jc w:val="center"/>
            </w:pPr>
            <w:r w:rsidRPr="002220DF">
              <w:t>84</w:t>
            </w:r>
          </w:p>
        </w:tc>
        <w:tc>
          <w:tcPr>
            <w:tcW w:w="586" w:type="pct"/>
            <w:gridSpan w:val="2"/>
            <w:tcBorders>
              <w:bottom w:val="single" w:sz="4" w:space="0" w:color="auto"/>
            </w:tcBorders>
            <w:vAlign w:val="center"/>
          </w:tcPr>
          <w:p w:rsidR="00044665" w:rsidRPr="002220DF" w:rsidRDefault="00044665" w:rsidP="00142D19">
            <w:pPr>
              <w:pStyle w:val="Tabletext"/>
              <w:jc w:val="center"/>
            </w:pPr>
            <w:r w:rsidRPr="002220DF">
              <w:t>-0.9</w:t>
            </w:r>
          </w:p>
        </w:tc>
        <w:tc>
          <w:tcPr>
            <w:tcW w:w="583" w:type="pct"/>
            <w:gridSpan w:val="2"/>
            <w:tcBorders>
              <w:bottom w:val="single" w:sz="4" w:space="0" w:color="auto"/>
            </w:tcBorders>
            <w:vAlign w:val="center"/>
          </w:tcPr>
          <w:p w:rsidR="00044665" w:rsidRPr="002220DF" w:rsidRDefault="00160F06" w:rsidP="00142D19">
            <w:pPr>
              <w:pStyle w:val="Tabletext"/>
              <w:jc w:val="center"/>
            </w:pPr>
            <w:r w:rsidRPr="002220DF">
              <w:t>0.6</w:t>
            </w:r>
          </w:p>
        </w:tc>
        <w:tc>
          <w:tcPr>
            <w:tcW w:w="1069" w:type="pct"/>
            <w:gridSpan w:val="2"/>
            <w:tcBorders>
              <w:bottom w:val="single" w:sz="4" w:space="0" w:color="auto"/>
            </w:tcBorders>
            <w:vAlign w:val="center"/>
          </w:tcPr>
          <w:p w:rsidR="00044665" w:rsidRPr="00415355" w:rsidRDefault="00044665" w:rsidP="00142D19">
            <w:pPr>
              <w:pStyle w:val="Tabletext"/>
              <w:jc w:val="center"/>
            </w:pPr>
            <w:r w:rsidRPr="00415355">
              <w:t>-1.4 (-1.54, -1.26)</w:t>
            </w:r>
          </w:p>
        </w:tc>
      </w:tr>
      <w:tr w:rsidR="00044665" w:rsidRPr="002220DF" w:rsidTr="00805103">
        <w:trPr>
          <w:trHeight w:val="352"/>
        </w:trPr>
        <w:tc>
          <w:tcPr>
            <w:tcW w:w="5000" w:type="pct"/>
            <w:gridSpan w:val="16"/>
            <w:tcBorders>
              <w:top w:val="single" w:sz="4" w:space="0" w:color="auto"/>
              <w:bottom w:val="single" w:sz="4" w:space="0" w:color="auto"/>
            </w:tcBorders>
            <w:shd w:val="clear" w:color="auto" w:fill="auto"/>
            <w:vAlign w:val="center"/>
          </w:tcPr>
          <w:p w:rsidR="00044665" w:rsidRPr="00415355" w:rsidRDefault="00044665" w:rsidP="00142D19">
            <w:pPr>
              <w:pStyle w:val="Tabletext"/>
              <w:rPr>
                <w:szCs w:val="18"/>
              </w:rPr>
            </w:pPr>
            <w:r w:rsidRPr="00415355">
              <w:rPr>
                <w:b/>
                <w:color w:val="000000"/>
                <w:szCs w:val="18"/>
              </w:rPr>
              <w:t>Continuous Outcome III:</w:t>
            </w:r>
            <w:r w:rsidRPr="00415355">
              <w:rPr>
                <w:color w:val="000000"/>
                <w:szCs w:val="18"/>
              </w:rPr>
              <w:t xml:space="preserve"> </w:t>
            </w:r>
            <w:r w:rsidRPr="00415355">
              <w:rPr>
                <w:rStyle w:val="CommentReference"/>
              </w:rPr>
              <w:t>Change from baseline in normalised nitroglycerin frequency</w:t>
            </w:r>
          </w:p>
        </w:tc>
      </w:tr>
      <w:tr w:rsidR="00044665" w:rsidRPr="002220DF" w:rsidTr="00200C9F">
        <w:trPr>
          <w:trHeight w:val="244"/>
        </w:trPr>
        <w:tc>
          <w:tcPr>
            <w:tcW w:w="675" w:type="pct"/>
            <w:tcBorders>
              <w:bottom w:val="single" w:sz="4" w:space="0" w:color="auto"/>
            </w:tcBorders>
            <w:shd w:val="clear" w:color="auto" w:fill="auto"/>
            <w:vAlign w:val="center"/>
          </w:tcPr>
          <w:p w:rsidR="00044665" w:rsidRPr="002220DF" w:rsidRDefault="00044665" w:rsidP="00142D19">
            <w:pPr>
              <w:pStyle w:val="Tabletext"/>
            </w:pPr>
            <w:r w:rsidRPr="002220DF">
              <w:t>CARISA</w:t>
            </w:r>
          </w:p>
        </w:tc>
        <w:tc>
          <w:tcPr>
            <w:tcW w:w="417" w:type="pct"/>
            <w:gridSpan w:val="3"/>
            <w:tcBorders>
              <w:bottom w:val="single" w:sz="4" w:space="0" w:color="auto"/>
            </w:tcBorders>
            <w:vAlign w:val="center"/>
          </w:tcPr>
          <w:p w:rsidR="00044665" w:rsidRPr="002220DF" w:rsidRDefault="00044665" w:rsidP="00142D19">
            <w:pPr>
              <w:pStyle w:val="Tabletext"/>
              <w:jc w:val="center"/>
            </w:pPr>
            <w:r w:rsidRPr="002220DF">
              <w:t>262</w:t>
            </w:r>
          </w:p>
        </w:tc>
        <w:tc>
          <w:tcPr>
            <w:tcW w:w="582" w:type="pct"/>
            <w:gridSpan w:val="3"/>
            <w:tcBorders>
              <w:bottom w:val="single" w:sz="4" w:space="0" w:color="auto"/>
            </w:tcBorders>
            <w:vAlign w:val="center"/>
          </w:tcPr>
          <w:p w:rsidR="00044665" w:rsidRPr="002220DF" w:rsidRDefault="00044665" w:rsidP="00142D19">
            <w:pPr>
              <w:pStyle w:val="Tabletext"/>
              <w:jc w:val="center"/>
            </w:pPr>
            <w:r w:rsidRPr="002220DF">
              <w:t>-1.89</w:t>
            </w:r>
          </w:p>
        </w:tc>
        <w:tc>
          <w:tcPr>
            <w:tcW w:w="590" w:type="pct"/>
            <w:gridSpan w:val="2"/>
            <w:tcBorders>
              <w:bottom w:val="single" w:sz="4" w:space="0" w:color="auto"/>
            </w:tcBorders>
            <w:vAlign w:val="center"/>
          </w:tcPr>
          <w:p w:rsidR="00044665" w:rsidRPr="002220DF" w:rsidRDefault="00044665" w:rsidP="00142D19">
            <w:pPr>
              <w:pStyle w:val="Tabletext"/>
              <w:jc w:val="center"/>
            </w:pPr>
            <w:r w:rsidRPr="002220DF">
              <w:t>0.53</w:t>
            </w:r>
          </w:p>
        </w:tc>
        <w:tc>
          <w:tcPr>
            <w:tcW w:w="498" w:type="pct"/>
            <w:tcBorders>
              <w:bottom w:val="single" w:sz="4" w:space="0" w:color="auto"/>
            </w:tcBorders>
            <w:vAlign w:val="center"/>
          </w:tcPr>
          <w:p w:rsidR="00044665" w:rsidRPr="002220DF" w:rsidRDefault="00044665" w:rsidP="00142D19">
            <w:pPr>
              <w:pStyle w:val="Tabletext"/>
              <w:jc w:val="center"/>
            </w:pPr>
            <w:r w:rsidRPr="002220DF">
              <w:t>252</w:t>
            </w:r>
          </w:p>
        </w:tc>
        <w:tc>
          <w:tcPr>
            <w:tcW w:w="586" w:type="pct"/>
            <w:gridSpan w:val="2"/>
            <w:tcBorders>
              <w:bottom w:val="single" w:sz="4" w:space="0" w:color="auto"/>
            </w:tcBorders>
            <w:vAlign w:val="center"/>
          </w:tcPr>
          <w:p w:rsidR="00044665" w:rsidRPr="002220DF" w:rsidRDefault="00044665" w:rsidP="00142D19">
            <w:pPr>
              <w:pStyle w:val="Tabletext"/>
              <w:jc w:val="center"/>
            </w:pPr>
            <w:r w:rsidRPr="002220DF">
              <w:t>-0.86</w:t>
            </w:r>
          </w:p>
        </w:tc>
        <w:tc>
          <w:tcPr>
            <w:tcW w:w="583" w:type="pct"/>
            <w:gridSpan w:val="2"/>
            <w:tcBorders>
              <w:bottom w:val="single" w:sz="4" w:space="0" w:color="auto"/>
            </w:tcBorders>
            <w:vAlign w:val="center"/>
          </w:tcPr>
          <w:p w:rsidR="00044665" w:rsidRPr="002220DF" w:rsidRDefault="00044665" w:rsidP="00142D19">
            <w:pPr>
              <w:pStyle w:val="Tabletext"/>
              <w:jc w:val="center"/>
            </w:pPr>
            <w:r w:rsidRPr="002220DF">
              <w:t>0.56</w:t>
            </w:r>
          </w:p>
        </w:tc>
        <w:tc>
          <w:tcPr>
            <w:tcW w:w="1069" w:type="pct"/>
            <w:gridSpan w:val="2"/>
            <w:tcBorders>
              <w:bottom w:val="single" w:sz="4" w:space="0" w:color="auto"/>
            </w:tcBorders>
            <w:vAlign w:val="center"/>
          </w:tcPr>
          <w:p w:rsidR="00044665" w:rsidRPr="00415355" w:rsidRDefault="00044665" w:rsidP="00142D19">
            <w:pPr>
              <w:pStyle w:val="Tabletext"/>
              <w:jc w:val="center"/>
            </w:pPr>
            <w:r w:rsidRPr="00415355">
              <w:t>-1.03 (-1.12, -0.94)</w:t>
            </w:r>
          </w:p>
        </w:tc>
      </w:tr>
      <w:tr w:rsidR="00044665" w:rsidRPr="002220DF" w:rsidTr="00200C9F">
        <w:tc>
          <w:tcPr>
            <w:tcW w:w="675" w:type="pct"/>
            <w:tcBorders>
              <w:top w:val="single" w:sz="4" w:space="0" w:color="auto"/>
              <w:bottom w:val="double" w:sz="4" w:space="0" w:color="auto"/>
            </w:tcBorders>
            <w:shd w:val="clear" w:color="auto" w:fill="auto"/>
            <w:vAlign w:val="center"/>
          </w:tcPr>
          <w:p w:rsidR="00044665" w:rsidRPr="002220DF" w:rsidRDefault="002B1F67" w:rsidP="00142D19">
            <w:pPr>
              <w:pStyle w:val="Tabletext"/>
            </w:pPr>
            <w:r w:rsidRPr="002220DF">
              <w:t>Lopez-Sendon</w:t>
            </w:r>
            <w:r w:rsidR="00044665" w:rsidRPr="002220DF">
              <w:t xml:space="preserve"> (2012)</w:t>
            </w:r>
          </w:p>
        </w:tc>
        <w:tc>
          <w:tcPr>
            <w:tcW w:w="417" w:type="pct"/>
            <w:gridSpan w:val="3"/>
            <w:tcBorders>
              <w:top w:val="single" w:sz="4" w:space="0" w:color="auto"/>
              <w:bottom w:val="double" w:sz="4" w:space="0" w:color="auto"/>
            </w:tcBorders>
            <w:vAlign w:val="center"/>
          </w:tcPr>
          <w:p w:rsidR="00044665" w:rsidRPr="002220DF" w:rsidRDefault="00044665" w:rsidP="00142D19">
            <w:pPr>
              <w:pStyle w:val="Tabletext"/>
              <w:jc w:val="center"/>
            </w:pPr>
            <w:r w:rsidRPr="002220DF">
              <w:t>89</w:t>
            </w:r>
          </w:p>
        </w:tc>
        <w:tc>
          <w:tcPr>
            <w:tcW w:w="582" w:type="pct"/>
            <w:gridSpan w:val="3"/>
            <w:tcBorders>
              <w:top w:val="single" w:sz="4" w:space="0" w:color="auto"/>
              <w:bottom w:val="double" w:sz="4" w:space="0" w:color="auto"/>
            </w:tcBorders>
            <w:vAlign w:val="center"/>
          </w:tcPr>
          <w:p w:rsidR="00044665" w:rsidRPr="002220DF" w:rsidRDefault="004F43ED" w:rsidP="00142D19">
            <w:pPr>
              <w:pStyle w:val="Tabletext"/>
              <w:jc w:val="center"/>
            </w:pPr>
            <w:r w:rsidRPr="002220DF">
              <w:t>-2.5</w:t>
            </w:r>
          </w:p>
        </w:tc>
        <w:tc>
          <w:tcPr>
            <w:tcW w:w="590" w:type="pct"/>
            <w:gridSpan w:val="2"/>
            <w:tcBorders>
              <w:top w:val="single" w:sz="4" w:space="0" w:color="auto"/>
              <w:bottom w:val="double" w:sz="4" w:space="0" w:color="auto"/>
            </w:tcBorders>
            <w:vAlign w:val="center"/>
          </w:tcPr>
          <w:p w:rsidR="00044665" w:rsidRPr="002220DF" w:rsidRDefault="004F43ED" w:rsidP="00142D19">
            <w:pPr>
              <w:pStyle w:val="Tabletext"/>
              <w:jc w:val="center"/>
            </w:pPr>
            <w:r w:rsidRPr="002220DF">
              <w:t>0.5</w:t>
            </w:r>
          </w:p>
        </w:tc>
        <w:tc>
          <w:tcPr>
            <w:tcW w:w="498" w:type="pct"/>
            <w:tcBorders>
              <w:top w:val="single" w:sz="4" w:space="0" w:color="auto"/>
              <w:bottom w:val="double" w:sz="4" w:space="0" w:color="auto"/>
            </w:tcBorders>
            <w:vAlign w:val="center"/>
          </w:tcPr>
          <w:p w:rsidR="00044665" w:rsidRPr="002220DF" w:rsidRDefault="00044665" w:rsidP="00142D19">
            <w:pPr>
              <w:pStyle w:val="Tabletext"/>
              <w:jc w:val="center"/>
            </w:pPr>
            <w:r w:rsidRPr="002220DF">
              <w:t>84</w:t>
            </w:r>
          </w:p>
        </w:tc>
        <w:tc>
          <w:tcPr>
            <w:tcW w:w="586" w:type="pct"/>
            <w:gridSpan w:val="2"/>
            <w:tcBorders>
              <w:top w:val="single" w:sz="4" w:space="0" w:color="auto"/>
              <w:bottom w:val="double" w:sz="4" w:space="0" w:color="auto"/>
            </w:tcBorders>
            <w:vAlign w:val="center"/>
          </w:tcPr>
          <w:p w:rsidR="00044665" w:rsidRPr="002220DF" w:rsidRDefault="004F43ED" w:rsidP="00142D19">
            <w:pPr>
              <w:pStyle w:val="Tabletext"/>
              <w:jc w:val="center"/>
            </w:pPr>
            <w:r w:rsidRPr="002220DF">
              <w:t>-0.4</w:t>
            </w:r>
          </w:p>
        </w:tc>
        <w:tc>
          <w:tcPr>
            <w:tcW w:w="583" w:type="pct"/>
            <w:gridSpan w:val="2"/>
            <w:tcBorders>
              <w:top w:val="single" w:sz="4" w:space="0" w:color="auto"/>
              <w:bottom w:val="double" w:sz="4" w:space="0" w:color="auto"/>
            </w:tcBorders>
            <w:vAlign w:val="center"/>
          </w:tcPr>
          <w:p w:rsidR="00044665" w:rsidRPr="002220DF" w:rsidRDefault="004F43ED" w:rsidP="00142D19">
            <w:pPr>
              <w:pStyle w:val="Tabletext"/>
              <w:jc w:val="center"/>
            </w:pPr>
            <w:r w:rsidRPr="002220DF">
              <w:t>0.9</w:t>
            </w:r>
          </w:p>
        </w:tc>
        <w:tc>
          <w:tcPr>
            <w:tcW w:w="1069" w:type="pct"/>
            <w:gridSpan w:val="2"/>
            <w:tcBorders>
              <w:top w:val="single" w:sz="4" w:space="0" w:color="auto"/>
              <w:bottom w:val="double" w:sz="4" w:space="0" w:color="auto"/>
            </w:tcBorders>
            <w:vAlign w:val="center"/>
          </w:tcPr>
          <w:p w:rsidR="00044665" w:rsidRPr="00415355" w:rsidRDefault="00044665" w:rsidP="00142D19">
            <w:pPr>
              <w:pStyle w:val="Tabletext"/>
              <w:jc w:val="center"/>
            </w:pPr>
            <w:r w:rsidRPr="00415355">
              <w:t>-2.1 (-2.24, -1.96)</w:t>
            </w:r>
          </w:p>
        </w:tc>
      </w:tr>
      <w:tr w:rsidR="00044665" w:rsidRPr="002220DF" w:rsidTr="00044665">
        <w:tc>
          <w:tcPr>
            <w:tcW w:w="5000" w:type="pct"/>
            <w:gridSpan w:val="16"/>
            <w:tcBorders>
              <w:top w:val="double" w:sz="4" w:space="0" w:color="auto"/>
            </w:tcBorders>
            <w:shd w:val="clear" w:color="auto" w:fill="auto"/>
            <w:vAlign w:val="center"/>
          </w:tcPr>
          <w:p w:rsidR="00044665" w:rsidRPr="002220DF" w:rsidRDefault="00044665" w:rsidP="00142D19">
            <w:pPr>
              <w:pStyle w:val="Tabletext"/>
            </w:pPr>
            <w:r w:rsidRPr="002220DF">
              <w:t xml:space="preserve">Harms </w:t>
            </w:r>
          </w:p>
        </w:tc>
      </w:tr>
      <w:tr w:rsidR="00044665" w:rsidRPr="002220DF" w:rsidTr="003960FE">
        <w:trPr>
          <w:trHeight w:val="70"/>
        </w:trPr>
        <w:tc>
          <w:tcPr>
            <w:tcW w:w="682" w:type="pct"/>
            <w:gridSpan w:val="2"/>
            <w:vMerge w:val="restart"/>
            <w:shd w:val="clear" w:color="auto" w:fill="auto"/>
            <w:vAlign w:val="center"/>
          </w:tcPr>
          <w:p w:rsidR="00044665" w:rsidRPr="002220DF" w:rsidRDefault="00044665" w:rsidP="00142D19">
            <w:pPr>
              <w:pStyle w:val="Tabletext"/>
              <w:jc w:val="center"/>
              <w:rPr>
                <w:b/>
              </w:rPr>
            </w:pPr>
          </w:p>
        </w:tc>
        <w:tc>
          <w:tcPr>
            <w:tcW w:w="667" w:type="pct"/>
            <w:gridSpan w:val="3"/>
            <w:vMerge w:val="restart"/>
            <w:vAlign w:val="center"/>
          </w:tcPr>
          <w:p w:rsidR="00044665" w:rsidRPr="002220DF" w:rsidRDefault="003A609E" w:rsidP="00142D19">
            <w:pPr>
              <w:pStyle w:val="Tabletext"/>
              <w:jc w:val="center"/>
              <w:rPr>
                <w:b/>
              </w:rPr>
            </w:pPr>
            <w:r w:rsidRPr="002220DF">
              <w:rPr>
                <w:b/>
              </w:rPr>
              <w:t>Ranolazine 750 mg BID</w:t>
            </w:r>
          </w:p>
        </w:tc>
        <w:tc>
          <w:tcPr>
            <w:tcW w:w="759" w:type="pct"/>
            <w:gridSpan w:val="3"/>
            <w:vMerge w:val="restart"/>
            <w:vAlign w:val="center"/>
          </w:tcPr>
          <w:p w:rsidR="00044665" w:rsidRPr="002220DF" w:rsidRDefault="00044665" w:rsidP="00142D19">
            <w:pPr>
              <w:pStyle w:val="Tabletext"/>
              <w:jc w:val="center"/>
              <w:rPr>
                <w:b/>
              </w:rPr>
            </w:pPr>
            <w:r w:rsidRPr="002220DF">
              <w:rPr>
                <w:b/>
              </w:rPr>
              <w:t>Comparator/</w:t>
            </w:r>
          </w:p>
          <w:p w:rsidR="00044665" w:rsidRPr="002220DF" w:rsidRDefault="008873C5" w:rsidP="00142D19">
            <w:pPr>
              <w:pStyle w:val="Tabletext"/>
              <w:jc w:val="center"/>
              <w:rPr>
                <w:b/>
              </w:rPr>
            </w:pPr>
            <w:r>
              <w:rPr>
                <w:b/>
              </w:rPr>
              <w:t>Placebo</w:t>
            </w:r>
          </w:p>
        </w:tc>
        <w:tc>
          <w:tcPr>
            <w:tcW w:w="918" w:type="pct"/>
            <w:gridSpan w:val="3"/>
            <w:vMerge w:val="restart"/>
            <w:vAlign w:val="center"/>
          </w:tcPr>
          <w:p w:rsidR="00044665" w:rsidRPr="002220DF" w:rsidRDefault="00044665" w:rsidP="00142D19">
            <w:pPr>
              <w:pStyle w:val="Tabletext"/>
              <w:jc w:val="center"/>
              <w:rPr>
                <w:b/>
              </w:rPr>
            </w:pPr>
            <w:r w:rsidRPr="002220DF">
              <w:rPr>
                <w:b/>
              </w:rPr>
              <w:t>RR</w:t>
            </w:r>
          </w:p>
          <w:p w:rsidR="00044665" w:rsidRPr="002220DF" w:rsidRDefault="00044665" w:rsidP="00142D19">
            <w:pPr>
              <w:pStyle w:val="Tabletext"/>
              <w:jc w:val="center"/>
              <w:rPr>
                <w:b/>
              </w:rPr>
            </w:pPr>
            <w:r w:rsidRPr="002220DF">
              <w:rPr>
                <w:b/>
              </w:rPr>
              <w:t>(95% CI)</w:t>
            </w:r>
          </w:p>
        </w:tc>
        <w:tc>
          <w:tcPr>
            <w:tcW w:w="1304" w:type="pct"/>
            <w:gridSpan w:val="4"/>
            <w:vAlign w:val="center"/>
          </w:tcPr>
          <w:p w:rsidR="00044665" w:rsidRPr="002220DF" w:rsidRDefault="00656B8D" w:rsidP="00142D19">
            <w:pPr>
              <w:pStyle w:val="Tabletext"/>
              <w:jc w:val="center"/>
              <w:rPr>
                <w:b/>
                <w:vertAlign w:val="superscript"/>
              </w:rPr>
            </w:pPr>
            <w:r w:rsidRPr="002220DF">
              <w:rPr>
                <w:b/>
              </w:rPr>
              <w:t>Event rate/100 patients</w:t>
            </w:r>
            <w:r w:rsidRPr="002220DF">
              <w:rPr>
                <w:b/>
                <w:vertAlign w:val="superscript"/>
              </w:rPr>
              <w:t>a</w:t>
            </w:r>
          </w:p>
        </w:tc>
        <w:tc>
          <w:tcPr>
            <w:tcW w:w="670" w:type="pct"/>
            <w:vMerge w:val="restart"/>
            <w:vAlign w:val="center"/>
          </w:tcPr>
          <w:p w:rsidR="00044665" w:rsidRPr="002220DF" w:rsidRDefault="00044665" w:rsidP="00142D19">
            <w:pPr>
              <w:pStyle w:val="Tabletext"/>
              <w:jc w:val="center"/>
              <w:rPr>
                <w:b/>
              </w:rPr>
            </w:pPr>
            <w:r w:rsidRPr="002220DF">
              <w:rPr>
                <w:b/>
              </w:rPr>
              <w:t>RD</w:t>
            </w:r>
          </w:p>
          <w:p w:rsidR="00044665" w:rsidRPr="002220DF" w:rsidRDefault="00044665" w:rsidP="00142D19">
            <w:pPr>
              <w:pStyle w:val="Tabletext"/>
              <w:jc w:val="center"/>
              <w:rPr>
                <w:b/>
              </w:rPr>
            </w:pPr>
            <w:r w:rsidRPr="002220DF">
              <w:rPr>
                <w:b/>
              </w:rPr>
              <w:t>(95% CI)</w:t>
            </w:r>
          </w:p>
        </w:tc>
      </w:tr>
      <w:tr w:rsidR="00044665" w:rsidRPr="002220DF" w:rsidTr="003960FE">
        <w:trPr>
          <w:trHeight w:val="390"/>
        </w:trPr>
        <w:tc>
          <w:tcPr>
            <w:tcW w:w="682" w:type="pct"/>
            <w:gridSpan w:val="2"/>
            <w:vMerge/>
            <w:shd w:val="clear" w:color="auto" w:fill="auto"/>
            <w:vAlign w:val="center"/>
          </w:tcPr>
          <w:p w:rsidR="00044665" w:rsidRPr="002220DF" w:rsidRDefault="00044665" w:rsidP="00142D19">
            <w:pPr>
              <w:pStyle w:val="Tabletext"/>
              <w:rPr>
                <w:b/>
              </w:rPr>
            </w:pPr>
          </w:p>
        </w:tc>
        <w:tc>
          <w:tcPr>
            <w:tcW w:w="667" w:type="pct"/>
            <w:gridSpan w:val="3"/>
            <w:vMerge/>
            <w:vAlign w:val="center"/>
          </w:tcPr>
          <w:p w:rsidR="00044665" w:rsidRPr="002220DF" w:rsidRDefault="00044665" w:rsidP="00142D19">
            <w:pPr>
              <w:pStyle w:val="Tabletext"/>
              <w:rPr>
                <w:b/>
              </w:rPr>
            </w:pPr>
          </w:p>
        </w:tc>
        <w:tc>
          <w:tcPr>
            <w:tcW w:w="759" w:type="pct"/>
            <w:gridSpan w:val="3"/>
            <w:vMerge/>
            <w:vAlign w:val="center"/>
          </w:tcPr>
          <w:p w:rsidR="00044665" w:rsidRPr="002220DF" w:rsidRDefault="00044665" w:rsidP="00142D19">
            <w:pPr>
              <w:pStyle w:val="Tabletext"/>
              <w:rPr>
                <w:b/>
              </w:rPr>
            </w:pPr>
          </w:p>
        </w:tc>
        <w:tc>
          <w:tcPr>
            <w:tcW w:w="918" w:type="pct"/>
            <w:gridSpan w:val="3"/>
            <w:vMerge/>
            <w:vAlign w:val="center"/>
          </w:tcPr>
          <w:p w:rsidR="00044665" w:rsidRPr="002220DF" w:rsidRDefault="00044665" w:rsidP="00142D19">
            <w:pPr>
              <w:pStyle w:val="Tabletext"/>
              <w:rPr>
                <w:b/>
              </w:rPr>
            </w:pPr>
          </w:p>
        </w:tc>
        <w:tc>
          <w:tcPr>
            <w:tcW w:w="668" w:type="pct"/>
            <w:gridSpan w:val="2"/>
            <w:vAlign w:val="center"/>
          </w:tcPr>
          <w:p w:rsidR="00044665" w:rsidRPr="002220DF" w:rsidRDefault="003A609E" w:rsidP="00142D19">
            <w:pPr>
              <w:pStyle w:val="Tabletext"/>
              <w:jc w:val="center"/>
              <w:rPr>
                <w:b/>
              </w:rPr>
            </w:pPr>
            <w:r w:rsidRPr="002220DF">
              <w:rPr>
                <w:b/>
              </w:rPr>
              <w:t>Ranolazine 750 mg BID</w:t>
            </w:r>
          </w:p>
        </w:tc>
        <w:tc>
          <w:tcPr>
            <w:tcW w:w="636" w:type="pct"/>
            <w:gridSpan w:val="2"/>
            <w:vAlign w:val="center"/>
          </w:tcPr>
          <w:p w:rsidR="00044665" w:rsidRPr="002220DF" w:rsidRDefault="00044665" w:rsidP="00142D19">
            <w:pPr>
              <w:pStyle w:val="Tabletext"/>
              <w:jc w:val="center"/>
              <w:rPr>
                <w:b/>
              </w:rPr>
            </w:pPr>
            <w:r w:rsidRPr="002220DF">
              <w:rPr>
                <w:b/>
              </w:rPr>
              <w:t>Comparator/</w:t>
            </w:r>
          </w:p>
          <w:p w:rsidR="00044665" w:rsidRPr="002220DF" w:rsidRDefault="008873C5" w:rsidP="00142D19">
            <w:pPr>
              <w:pStyle w:val="Tabletext"/>
              <w:jc w:val="center"/>
              <w:rPr>
                <w:b/>
              </w:rPr>
            </w:pPr>
            <w:r>
              <w:rPr>
                <w:b/>
              </w:rPr>
              <w:t>Placebo</w:t>
            </w:r>
          </w:p>
        </w:tc>
        <w:tc>
          <w:tcPr>
            <w:tcW w:w="670" w:type="pct"/>
            <w:vMerge/>
            <w:vAlign w:val="center"/>
          </w:tcPr>
          <w:p w:rsidR="00044665" w:rsidRPr="002220DF" w:rsidRDefault="00044665" w:rsidP="00142D19">
            <w:pPr>
              <w:pStyle w:val="Tabletext"/>
              <w:rPr>
                <w:b/>
              </w:rPr>
            </w:pPr>
          </w:p>
        </w:tc>
      </w:tr>
      <w:tr w:rsidR="00044665" w:rsidRPr="002220DF" w:rsidTr="00044665">
        <w:tc>
          <w:tcPr>
            <w:tcW w:w="5000" w:type="pct"/>
            <w:gridSpan w:val="16"/>
            <w:shd w:val="clear" w:color="auto" w:fill="auto"/>
            <w:vAlign w:val="center"/>
          </w:tcPr>
          <w:p w:rsidR="00044665" w:rsidRPr="002220DF" w:rsidRDefault="00044665" w:rsidP="00142D19">
            <w:pPr>
              <w:pStyle w:val="Tabletext"/>
              <w:rPr>
                <w:b/>
              </w:rPr>
            </w:pPr>
            <w:r w:rsidRPr="002220DF">
              <w:rPr>
                <w:b/>
              </w:rPr>
              <w:t>Adverse event I: Patient with severe adverse event</w:t>
            </w:r>
          </w:p>
        </w:tc>
      </w:tr>
      <w:tr w:rsidR="00044665" w:rsidRPr="002220DF" w:rsidTr="003960FE">
        <w:tc>
          <w:tcPr>
            <w:tcW w:w="688" w:type="pct"/>
            <w:gridSpan w:val="3"/>
            <w:shd w:val="clear" w:color="auto" w:fill="auto"/>
            <w:vAlign w:val="center"/>
          </w:tcPr>
          <w:p w:rsidR="00044665" w:rsidRPr="002220DF" w:rsidRDefault="00044665" w:rsidP="00142D19">
            <w:pPr>
              <w:widowControl/>
              <w:rPr>
                <w:rFonts w:ascii="Arial Narrow" w:hAnsi="Arial Narrow"/>
                <w:color w:val="000000"/>
                <w:sz w:val="20"/>
                <w:szCs w:val="18"/>
              </w:rPr>
            </w:pPr>
            <w:r w:rsidRPr="002220DF">
              <w:rPr>
                <w:rFonts w:ascii="Arial Narrow" w:hAnsi="Arial Narrow"/>
                <w:color w:val="000000"/>
                <w:sz w:val="20"/>
                <w:szCs w:val="18"/>
              </w:rPr>
              <w:t>CARISA</w:t>
            </w:r>
          </w:p>
        </w:tc>
        <w:tc>
          <w:tcPr>
            <w:tcW w:w="667" w:type="pct"/>
            <w:gridSpan w:val="3"/>
            <w:vAlign w:val="center"/>
          </w:tcPr>
          <w:p w:rsidR="00044665" w:rsidRPr="002220DF" w:rsidRDefault="00044665" w:rsidP="00142D19">
            <w:pPr>
              <w:pStyle w:val="Tabletext"/>
              <w:jc w:val="center"/>
            </w:pPr>
            <w:r w:rsidRPr="002220DF">
              <w:t>21/279</w:t>
            </w:r>
          </w:p>
        </w:tc>
        <w:tc>
          <w:tcPr>
            <w:tcW w:w="753" w:type="pct"/>
            <w:gridSpan w:val="2"/>
            <w:vAlign w:val="center"/>
          </w:tcPr>
          <w:p w:rsidR="00044665" w:rsidRPr="002220DF" w:rsidRDefault="00044665" w:rsidP="00142D19">
            <w:pPr>
              <w:pStyle w:val="Tabletext"/>
              <w:jc w:val="center"/>
            </w:pPr>
            <w:r w:rsidRPr="002220DF">
              <w:t>13/269</w:t>
            </w:r>
          </w:p>
        </w:tc>
        <w:tc>
          <w:tcPr>
            <w:tcW w:w="918" w:type="pct"/>
            <w:gridSpan w:val="3"/>
            <w:vAlign w:val="bottom"/>
          </w:tcPr>
          <w:p w:rsidR="00044665" w:rsidRPr="002220DF" w:rsidRDefault="00044665" w:rsidP="00142D19">
            <w:pPr>
              <w:pStyle w:val="Tabletext"/>
              <w:jc w:val="center"/>
            </w:pPr>
            <w:r w:rsidRPr="002220DF">
              <w:t>1.56 (0.8, 3.05)</w:t>
            </w:r>
          </w:p>
        </w:tc>
        <w:tc>
          <w:tcPr>
            <w:tcW w:w="668" w:type="pct"/>
            <w:gridSpan w:val="2"/>
            <w:vAlign w:val="bottom"/>
          </w:tcPr>
          <w:p w:rsidR="00044665" w:rsidRPr="002220DF" w:rsidRDefault="00044665" w:rsidP="00142D19">
            <w:pPr>
              <w:pStyle w:val="Tabletext"/>
              <w:jc w:val="center"/>
            </w:pPr>
            <w:r w:rsidRPr="002220DF">
              <w:t>7</w:t>
            </w:r>
          </w:p>
        </w:tc>
        <w:tc>
          <w:tcPr>
            <w:tcW w:w="636" w:type="pct"/>
            <w:gridSpan w:val="2"/>
            <w:vAlign w:val="bottom"/>
          </w:tcPr>
          <w:p w:rsidR="00044665" w:rsidRPr="002220DF" w:rsidRDefault="00044665" w:rsidP="00142D19">
            <w:pPr>
              <w:pStyle w:val="Tabletext"/>
              <w:jc w:val="center"/>
            </w:pPr>
            <w:r w:rsidRPr="002220DF">
              <w:t>5</w:t>
            </w:r>
          </w:p>
        </w:tc>
        <w:tc>
          <w:tcPr>
            <w:tcW w:w="670" w:type="pct"/>
            <w:vAlign w:val="bottom"/>
          </w:tcPr>
          <w:p w:rsidR="00044665" w:rsidRPr="002220DF" w:rsidRDefault="00044665" w:rsidP="00142D19">
            <w:pPr>
              <w:pStyle w:val="Tabletext"/>
              <w:jc w:val="center"/>
            </w:pPr>
            <w:r w:rsidRPr="002220DF">
              <w:t>2.7 (-1.3, 6.7)</w:t>
            </w:r>
          </w:p>
        </w:tc>
      </w:tr>
    </w:tbl>
    <w:p w:rsidR="00656B8D" w:rsidRPr="002220DF" w:rsidRDefault="00A67048" w:rsidP="00142D19">
      <w:pPr>
        <w:pStyle w:val="TableFooter"/>
        <w:widowControl/>
        <w:ind w:left="709"/>
        <w:rPr>
          <w:rStyle w:val="CommentReference"/>
        </w:rPr>
      </w:pPr>
      <w:r w:rsidRPr="002220DF">
        <w:t>Source: c</w:t>
      </w:r>
      <w:r w:rsidR="00656B8D" w:rsidRPr="002220DF">
        <w:t xml:space="preserve">ompiled from Tables B-31, p83; B-32, pp84-85; B-45, p99 of the submission and Tables 12E, p131; 2.0.0.1, p383 of the </w:t>
      </w:r>
      <w:r w:rsidR="00656B8D" w:rsidRPr="00415355">
        <w:t>clinical study report.</w:t>
      </w:r>
    </w:p>
    <w:p w:rsidR="00656B8D" w:rsidRPr="002220DF" w:rsidRDefault="00656B8D" w:rsidP="00142D19">
      <w:pPr>
        <w:pStyle w:val="TableFooter"/>
        <w:widowControl/>
        <w:ind w:firstLine="720"/>
      </w:pPr>
      <w:r w:rsidRPr="002220DF">
        <w:t>RD = risk difference; CI = confidence interval; SD = standard deviation.</w:t>
      </w:r>
    </w:p>
    <w:p w:rsidR="00044665" w:rsidRPr="002220DF" w:rsidRDefault="00656B8D" w:rsidP="00142D19">
      <w:pPr>
        <w:pStyle w:val="TableFooter"/>
        <w:widowControl/>
        <w:ind w:left="720"/>
      </w:pPr>
      <w:r w:rsidRPr="002220DF">
        <w:rPr>
          <w:vertAlign w:val="superscript"/>
        </w:rPr>
        <w:t xml:space="preserve">a </w:t>
      </w:r>
      <w:r w:rsidR="00044665" w:rsidRPr="002220DF">
        <w:t>Maximum duration of exposure: CARISA/</w:t>
      </w:r>
      <w:r w:rsidR="002B1F67" w:rsidRPr="002220DF">
        <w:t>Lopez-Sendon</w:t>
      </w:r>
      <w:r w:rsidR="00044665" w:rsidRPr="002220DF">
        <w:t xml:space="preserve"> (2012) = 12 weeks.</w:t>
      </w:r>
    </w:p>
    <w:p w:rsidR="00B60939" w:rsidRPr="002220DF" w:rsidRDefault="00B60939" w:rsidP="00142D19">
      <w:pPr>
        <w:widowControl/>
      </w:pPr>
    </w:p>
    <w:p w:rsidR="00EA7D69" w:rsidRPr="001255F7" w:rsidRDefault="00EA7D69" w:rsidP="00142D19">
      <w:pPr>
        <w:pStyle w:val="ListParagraph"/>
        <w:widowControl/>
        <w:numPr>
          <w:ilvl w:val="1"/>
          <w:numId w:val="11"/>
        </w:numPr>
        <w:rPr>
          <w:szCs w:val="22"/>
        </w:rPr>
      </w:pPr>
      <w:r w:rsidRPr="001255F7">
        <w:t>On the basis of the head-to-head direct trial, the comparison of rano</w:t>
      </w:r>
      <w:r w:rsidR="00D37DA7" w:rsidRPr="001255F7">
        <w:t>lazine with placebo resulted in a</w:t>
      </w:r>
      <w:r w:rsidRPr="001255F7">
        <w:t>pproximately 0.</w:t>
      </w:r>
      <w:r w:rsidR="00CE6DED" w:rsidRPr="001255F7">
        <w:t>5</w:t>
      </w:r>
      <w:r w:rsidRPr="001255F7">
        <w:t>4 fewer angina attacks per week for patients treated with ranolazine compared with patients in the placebo arm</w:t>
      </w:r>
      <w:r w:rsidR="004808E2" w:rsidRPr="001255F7">
        <w:t>.</w:t>
      </w:r>
      <w:r w:rsidR="007E544D" w:rsidRPr="001255F7">
        <w:t xml:space="preserve"> The ESC note</w:t>
      </w:r>
      <w:r w:rsidR="00865F38" w:rsidRPr="001255F7">
        <w:t>d</w:t>
      </w:r>
      <w:r w:rsidR="007E544D" w:rsidRPr="001255F7">
        <w:t xml:space="preserve"> the reduction in angina frequency is a relevant measure, however the magnitude of the reduction presented here may not be</w:t>
      </w:r>
      <w:r w:rsidR="00186CB1">
        <w:t xml:space="preserve"> clinically</w:t>
      </w:r>
      <w:r w:rsidR="007E544D" w:rsidRPr="001255F7">
        <w:t xml:space="preserve"> meaningful. </w:t>
      </w:r>
    </w:p>
    <w:p w:rsidR="00D579DB" w:rsidRPr="001255F7" w:rsidRDefault="00D579DB" w:rsidP="00142D19">
      <w:pPr>
        <w:widowControl/>
      </w:pPr>
    </w:p>
    <w:p w:rsidR="005163E6" w:rsidRDefault="005163E6" w:rsidP="00142D19">
      <w:pPr>
        <w:pStyle w:val="Heading2"/>
        <w:widowControl/>
        <w:rPr>
          <w:i/>
        </w:rPr>
      </w:pPr>
      <w:bookmarkStart w:id="20" w:name="_Toc471737904"/>
      <w:r>
        <w:rPr>
          <w:i/>
        </w:rPr>
        <w:t>Clinical claim</w:t>
      </w:r>
      <w:bookmarkEnd w:id="20"/>
    </w:p>
    <w:p w:rsidR="005163E6" w:rsidRPr="001255F7" w:rsidRDefault="005163E6" w:rsidP="00142D19">
      <w:pPr>
        <w:widowControl/>
        <w:ind w:left="720" w:hanging="720"/>
        <w:rPr>
          <w:szCs w:val="22"/>
        </w:rPr>
      </w:pPr>
    </w:p>
    <w:p w:rsidR="005163E6" w:rsidRPr="001255F7" w:rsidRDefault="005163E6" w:rsidP="00142D19">
      <w:pPr>
        <w:pStyle w:val="ListParagraph"/>
        <w:widowControl/>
        <w:numPr>
          <w:ilvl w:val="1"/>
          <w:numId w:val="11"/>
        </w:numPr>
        <w:rPr>
          <w:szCs w:val="22"/>
        </w:rPr>
      </w:pPr>
      <w:r w:rsidRPr="001255F7">
        <w:rPr>
          <w:szCs w:val="22"/>
        </w:rPr>
        <w:t xml:space="preserve">The submission described ranolazine as superior in terms of comparative effectiveness and slightly inferior in terms of comparative safety over placebo. </w:t>
      </w:r>
    </w:p>
    <w:p w:rsidR="005163E6" w:rsidRPr="001255F7" w:rsidRDefault="005163E6" w:rsidP="00142D19">
      <w:pPr>
        <w:widowControl/>
        <w:rPr>
          <w:szCs w:val="22"/>
        </w:rPr>
      </w:pPr>
    </w:p>
    <w:p w:rsidR="00E55A1C" w:rsidRDefault="005163E6" w:rsidP="00142D19">
      <w:pPr>
        <w:pStyle w:val="ListParagraph"/>
        <w:widowControl/>
        <w:numPr>
          <w:ilvl w:val="1"/>
          <w:numId w:val="11"/>
        </w:numPr>
        <w:rPr>
          <w:szCs w:val="22"/>
        </w:rPr>
      </w:pPr>
      <w:r w:rsidRPr="001255F7">
        <w:rPr>
          <w:szCs w:val="22"/>
        </w:rPr>
        <w:t xml:space="preserve">The claim of superior efficacy of ranolazine compared with placebo was not </w:t>
      </w:r>
      <w:r w:rsidR="00E55A1C">
        <w:rPr>
          <w:szCs w:val="22"/>
        </w:rPr>
        <w:t>well</w:t>
      </w:r>
      <w:r w:rsidRPr="001255F7">
        <w:rPr>
          <w:szCs w:val="22"/>
        </w:rPr>
        <w:t xml:space="preserve"> supported for the requested PBS </w:t>
      </w:r>
      <w:r w:rsidR="0075089D" w:rsidRPr="001255F7">
        <w:rPr>
          <w:szCs w:val="22"/>
        </w:rPr>
        <w:t>population,</w:t>
      </w:r>
      <w:r w:rsidRPr="001255F7">
        <w:rPr>
          <w:szCs w:val="22"/>
        </w:rPr>
        <w:t xml:space="preserve"> as the population in the pivotal trial (CARISA) was different to the requested PBS restriction. The submission provided </w:t>
      </w:r>
      <w:r w:rsidR="00FE3BF8" w:rsidRPr="001255F7">
        <w:rPr>
          <w:szCs w:val="22"/>
        </w:rPr>
        <w:t xml:space="preserve">a </w:t>
      </w:r>
      <w:r w:rsidRPr="001255F7">
        <w:rPr>
          <w:szCs w:val="22"/>
        </w:rPr>
        <w:t xml:space="preserve">subgroup analysis from Lopez-Sendon (2012) </w:t>
      </w:r>
      <w:r w:rsidR="00FE3BF8" w:rsidRPr="001255F7">
        <w:rPr>
          <w:szCs w:val="22"/>
        </w:rPr>
        <w:t>for</w:t>
      </w:r>
      <w:r w:rsidRPr="001255F7">
        <w:rPr>
          <w:szCs w:val="22"/>
        </w:rPr>
        <w:t xml:space="preserve"> patients </w:t>
      </w:r>
      <w:r w:rsidR="00FE3BF8" w:rsidRPr="001255F7">
        <w:rPr>
          <w:szCs w:val="22"/>
        </w:rPr>
        <w:t>who</w:t>
      </w:r>
      <w:r w:rsidRPr="001255F7">
        <w:rPr>
          <w:szCs w:val="22"/>
        </w:rPr>
        <w:t xml:space="preserve"> may be </w:t>
      </w:r>
      <w:r w:rsidR="00FE3BF8" w:rsidRPr="001255F7">
        <w:rPr>
          <w:szCs w:val="22"/>
        </w:rPr>
        <w:t xml:space="preserve">more </w:t>
      </w:r>
      <w:r w:rsidRPr="001255F7">
        <w:rPr>
          <w:szCs w:val="22"/>
        </w:rPr>
        <w:t xml:space="preserve">similar to the </w:t>
      </w:r>
      <w:r w:rsidR="00FE3BF8" w:rsidRPr="001255F7">
        <w:rPr>
          <w:szCs w:val="22"/>
        </w:rPr>
        <w:t xml:space="preserve">proposed </w:t>
      </w:r>
      <w:r w:rsidRPr="001255F7">
        <w:rPr>
          <w:szCs w:val="22"/>
        </w:rPr>
        <w:t xml:space="preserve">PBS population; however, </w:t>
      </w:r>
      <w:r w:rsidR="00FE3BF8" w:rsidRPr="001255F7">
        <w:rPr>
          <w:szCs w:val="22"/>
        </w:rPr>
        <w:t xml:space="preserve">differences between </w:t>
      </w:r>
      <w:r w:rsidRPr="001255F7">
        <w:rPr>
          <w:szCs w:val="22"/>
        </w:rPr>
        <w:t xml:space="preserve">the sub group </w:t>
      </w:r>
      <w:r w:rsidR="00FE3BF8" w:rsidRPr="001255F7">
        <w:rPr>
          <w:szCs w:val="22"/>
        </w:rPr>
        <w:t>and</w:t>
      </w:r>
      <w:r w:rsidRPr="001255F7">
        <w:rPr>
          <w:szCs w:val="22"/>
        </w:rPr>
        <w:t xml:space="preserve"> PBS population</w:t>
      </w:r>
      <w:r w:rsidR="00FE3BF8" w:rsidRPr="001255F7">
        <w:rPr>
          <w:szCs w:val="22"/>
        </w:rPr>
        <w:t>s remained</w:t>
      </w:r>
      <w:r w:rsidRPr="001255F7">
        <w:rPr>
          <w:szCs w:val="22"/>
        </w:rPr>
        <w:t xml:space="preserve">, and the analysis was post hoc. </w:t>
      </w:r>
    </w:p>
    <w:p w:rsidR="00E55A1C" w:rsidRPr="00E55A1C" w:rsidRDefault="00E55A1C" w:rsidP="00E55A1C">
      <w:pPr>
        <w:pStyle w:val="ListParagraph"/>
        <w:rPr>
          <w:szCs w:val="22"/>
        </w:rPr>
      </w:pPr>
    </w:p>
    <w:p w:rsidR="005163E6" w:rsidRPr="001255F7" w:rsidRDefault="00E05431" w:rsidP="00142D19">
      <w:pPr>
        <w:pStyle w:val="ListParagraph"/>
        <w:widowControl/>
        <w:numPr>
          <w:ilvl w:val="1"/>
          <w:numId w:val="11"/>
        </w:numPr>
        <w:rPr>
          <w:szCs w:val="22"/>
        </w:rPr>
      </w:pPr>
      <w:r>
        <w:rPr>
          <w:szCs w:val="22"/>
        </w:rPr>
        <w:t>W</w:t>
      </w:r>
      <w:r w:rsidR="00FD3939" w:rsidRPr="001255F7">
        <w:rPr>
          <w:szCs w:val="22"/>
        </w:rPr>
        <w:t>hile the data presented in the submission suggested an effect compared to placebo, the magnitude of any benefit remained unclear.</w:t>
      </w:r>
    </w:p>
    <w:p w:rsidR="005163E6" w:rsidRPr="001255F7" w:rsidRDefault="005163E6" w:rsidP="00142D19">
      <w:pPr>
        <w:widowControl/>
        <w:rPr>
          <w:szCs w:val="22"/>
        </w:rPr>
      </w:pPr>
    </w:p>
    <w:p w:rsidR="005163E6" w:rsidRPr="001255F7" w:rsidRDefault="005163E6" w:rsidP="00142D19">
      <w:pPr>
        <w:pStyle w:val="ListParagraph"/>
        <w:widowControl/>
        <w:numPr>
          <w:ilvl w:val="1"/>
          <w:numId w:val="11"/>
        </w:numPr>
        <w:rPr>
          <w:szCs w:val="22"/>
        </w:rPr>
      </w:pPr>
      <w:r w:rsidRPr="001255F7">
        <w:rPr>
          <w:szCs w:val="22"/>
        </w:rPr>
        <w:t>The claim that ranolazine was inferior to placebo in terms of comparative safety was reasonable</w:t>
      </w:r>
      <w:r w:rsidR="00FE3BF8" w:rsidRPr="001255F7">
        <w:rPr>
          <w:szCs w:val="22"/>
        </w:rPr>
        <w:t>.</w:t>
      </w:r>
    </w:p>
    <w:p w:rsidR="005163E6" w:rsidRPr="001255F7" w:rsidRDefault="005163E6" w:rsidP="00142D19">
      <w:pPr>
        <w:widowControl/>
        <w:rPr>
          <w:szCs w:val="22"/>
        </w:rPr>
      </w:pPr>
    </w:p>
    <w:p w:rsidR="005163E6" w:rsidRPr="001255F7" w:rsidRDefault="005163E6" w:rsidP="00142D19">
      <w:pPr>
        <w:pStyle w:val="ListParagraph"/>
        <w:widowControl/>
        <w:numPr>
          <w:ilvl w:val="1"/>
          <w:numId w:val="11"/>
        </w:numPr>
        <w:rPr>
          <w:szCs w:val="22"/>
        </w:rPr>
      </w:pPr>
      <w:r w:rsidRPr="001255F7">
        <w:rPr>
          <w:szCs w:val="22"/>
        </w:rPr>
        <w:t xml:space="preserve">The submission </w:t>
      </w:r>
      <w:r w:rsidR="00FE3BF8" w:rsidRPr="001255F7">
        <w:rPr>
          <w:szCs w:val="22"/>
        </w:rPr>
        <w:t>described</w:t>
      </w:r>
      <w:r w:rsidRPr="001255F7">
        <w:rPr>
          <w:szCs w:val="22"/>
        </w:rPr>
        <w:t xml:space="preserve"> ranolazine </w:t>
      </w:r>
      <w:r w:rsidR="00FE3BF8" w:rsidRPr="001255F7">
        <w:rPr>
          <w:szCs w:val="22"/>
        </w:rPr>
        <w:t>as</w:t>
      </w:r>
      <w:r w:rsidRPr="001255F7">
        <w:rPr>
          <w:szCs w:val="22"/>
        </w:rPr>
        <w:t xml:space="preserve"> </w:t>
      </w:r>
      <w:r w:rsidR="00D86B16" w:rsidRPr="001255F7">
        <w:rPr>
          <w:szCs w:val="22"/>
        </w:rPr>
        <w:t xml:space="preserve">being similar to </w:t>
      </w:r>
      <w:r w:rsidRPr="001255F7">
        <w:rPr>
          <w:szCs w:val="22"/>
        </w:rPr>
        <w:t>nicorandil and perhexiline in terms of comparative effectiveness and safety</w:t>
      </w:r>
      <w:r w:rsidR="00EE36C0" w:rsidRPr="001255F7">
        <w:rPr>
          <w:szCs w:val="22"/>
        </w:rPr>
        <w:t>.</w:t>
      </w:r>
      <w:r w:rsidR="00D86B16" w:rsidRPr="001255F7">
        <w:rPr>
          <w:szCs w:val="22"/>
        </w:rPr>
        <w:t xml:space="preserve"> </w:t>
      </w:r>
      <w:r w:rsidR="00EE36C0" w:rsidRPr="001255F7">
        <w:rPr>
          <w:szCs w:val="22"/>
        </w:rPr>
        <w:t>The ESC considered this claim was inadequately supported based on the data presented in the submission.</w:t>
      </w:r>
    </w:p>
    <w:p w:rsidR="00143D51" w:rsidRPr="001255F7" w:rsidRDefault="00143D51" w:rsidP="00142D19">
      <w:pPr>
        <w:pStyle w:val="ListParagraph"/>
        <w:widowControl/>
        <w:rPr>
          <w:szCs w:val="22"/>
        </w:rPr>
      </w:pPr>
    </w:p>
    <w:p w:rsidR="00143D51" w:rsidRDefault="00803C7D" w:rsidP="00142D19">
      <w:pPr>
        <w:pStyle w:val="ListParagraph"/>
        <w:widowControl/>
        <w:numPr>
          <w:ilvl w:val="1"/>
          <w:numId w:val="11"/>
        </w:numPr>
        <w:rPr>
          <w:szCs w:val="22"/>
        </w:rPr>
      </w:pPr>
      <w:r>
        <w:rPr>
          <w:szCs w:val="22"/>
        </w:rPr>
        <w:t>Overall, t</w:t>
      </w:r>
      <w:r w:rsidR="00143D51" w:rsidRPr="001255F7">
        <w:rPr>
          <w:szCs w:val="22"/>
        </w:rPr>
        <w:t xml:space="preserve">he </w:t>
      </w:r>
      <w:r w:rsidR="0046322F">
        <w:rPr>
          <w:szCs w:val="22"/>
        </w:rPr>
        <w:t>PBAC</w:t>
      </w:r>
      <w:r w:rsidR="0046322F" w:rsidRPr="001255F7">
        <w:rPr>
          <w:szCs w:val="22"/>
        </w:rPr>
        <w:t xml:space="preserve"> </w:t>
      </w:r>
      <w:r w:rsidR="00143D51" w:rsidRPr="001255F7">
        <w:rPr>
          <w:szCs w:val="22"/>
        </w:rPr>
        <w:t xml:space="preserve">did not </w:t>
      </w:r>
      <w:r w:rsidR="003A609E" w:rsidRPr="001255F7">
        <w:rPr>
          <w:szCs w:val="22"/>
        </w:rPr>
        <w:t xml:space="preserve">consider </w:t>
      </w:r>
      <w:r w:rsidR="00143D51" w:rsidRPr="001255F7">
        <w:rPr>
          <w:szCs w:val="22"/>
        </w:rPr>
        <w:t>placebo an appropriate primary comparator</w:t>
      </w:r>
      <w:r w:rsidR="00787E28">
        <w:rPr>
          <w:szCs w:val="22"/>
        </w:rPr>
        <w:t>, and that</w:t>
      </w:r>
      <w:r w:rsidR="00FA081A" w:rsidRPr="001255F7">
        <w:rPr>
          <w:szCs w:val="22"/>
        </w:rPr>
        <w:t xml:space="preserve"> the </w:t>
      </w:r>
      <w:r w:rsidR="007A2212" w:rsidRPr="001255F7">
        <w:rPr>
          <w:szCs w:val="22"/>
        </w:rPr>
        <w:t xml:space="preserve">evidence presented for the </w:t>
      </w:r>
      <w:r w:rsidR="00FA081A" w:rsidRPr="001255F7">
        <w:rPr>
          <w:szCs w:val="22"/>
        </w:rPr>
        <w:t xml:space="preserve">indirect comparison of ranolazine to nicorandil and perhexiline </w:t>
      </w:r>
      <w:r w:rsidR="007A2212" w:rsidRPr="001255F7">
        <w:rPr>
          <w:szCs w:val="22"/>
        </w:rPr>
        <w:t xml:space="preserve">was not </w:t>
      </w:r>
      <w:r w:rsidR="008B50B1" w:rsidRPr="001255F7">
        <w:rPr>
          <w:szCs w:val="22"/>
        </w:rPr>
        <w:t>sufficient</w:t>
      </w:r>
      <w:r w:rsidR="007A2212" w:rsidRPr="001255F7">
        <w:rPr>
          <w:szCs w:val="22"/>
        </w:rPr>
        <w:t xml:space="preserve"> </w:t>
      </w:r>
      <w:r w:rsidR="00143D51" w:rsidRPr="001255F7">
        <w:rPr>
          <w:szCs w:val="22"/>
        </w:rPr>
        <w:t xml:space="preserve">to </w:t>
      </w:r>
      <w:r w:rsidR="00EE36C0" w:rsidRPr="001255F7">
        <w:rPr>
          <w:szCs w:val="22"/>
        </w:rPr>
        <w:t>support</w:t>
      </w:r>
      <w:r w:rsidR="004E180F" w:rsidRPr="001255F7">
        <w:rPr>
          <w:szCs w:val="22"/>
        </w:rPr>
        <w:t xml:space="preserve"> </w:t>
      </w:r>
      <w:r w:rsidR="00143D51" w:rsidRPr="001255F7">
        <w:rPr>
          <w:szCs w:val="22"/>
        </w:rPr>
        <w:t>the clinical claim</w:t>
      </w:r>
      <w:r w:rsidR="00FA081A" w:rsidRPr="001255F7">
        <w:rPr>
          <w:szCs w:val="22"/>
        </w:rPr>
        <w:t>s</w:t>
      </w:r>
      <w:r w:rsidR="00143D51" w:rsidRPr="001255F7">
        <w:rPr>
          <w:szCs w:val="22"/>
        </w:rPr>
        <w:t>.</w:t>
      </w:r>
    </w:p>
    <w:p w:rsidR="008775EA" w:rsidRPr="008775EA" w:rsidRDefault="008775EA" w:rsidP="00142D19">
      <w:pPr>
        <w:widowControl/>
      </w:pPr>
    </w:p>
    <w:p w:rsidR="009C4C87" w:rsidRDefault="001E24B7" w:rsidP="00142D19">
      <w:pPr>
        <w:pStyle w:val="Heading2"/>
        <w:widowControl/>
        <w:rPr>
          <w:i/>
        </w:rPr>
      </w:pPr>
      <w:bookmarkStart w:id="21" w:name="_Toc472515490"/>
      <w:r w:rsidRPr="002220DF">
        <w:rPr>
          <w:i/>
        </w:rPr>
        <w:t>Economic analysis</w:t>
      </w:r>
      <w:bookmarkEnd w:id="21"/>
    </w:p>
    <w:p w:rsidR="00993707" w:rsidRPr="00993707" w:rsidRDefault="00993707" w:rsidP="00142D19">
      <w:pPr>
        <w:widowControl/>
      </w:pPr>
    </w:p>
    <w:p w:rsidR="005B47A6" w:rsidRPr="001255F7" w:rsidRDefault="00D93D8C" w:rsidP="00142D19">
      <w:pPr>
        <w:pStyle w:val="ListParagraph"/>
        <w:widowControl/>
        <w:numPr>
          <w:ilvl w:val="1"/>
          <w:numId w:val="11"/>
        </w:numPr>
        <w:rPr>
          <w:szCs w:val="22"/>
        </w:rPr>
      </w:pPr>
      <w:r w:rsidRPr="001255F7">
        <w:rPr>
          <w:szCs w:val="22"/>
        </w:rPr>
        <w:t>The submission presented</w:t>
      </w:r>
      <w:r w:rsidR="005B47A6" w:rsidRPr="001255F7">
        <w:rPr>
          <w:szCs w:val="22"/>
        </w:rPr>
        <w:t>:</w:t>
      </w:r>
    </w:p>
    <w:p w:rsidR="005B47A6" w:rsidRPr="001255F7" w:rsidRDefault="00D93D8C" w:rsidP="00142D19">
      <w:pPr>
        <w:pStyle w:val="ListParagraph"/>
        <w:widowControl/>
        <w:numPr>
          <w:ilvl w:val="0"/>
          <w:numId w:val="7"/>
        </w:numPr>
        <w:ind w:left="993" w:hanging="283"/>
        <w:rPr>
          <w:szCs w:val="22"/>
        </w:rPr>
      </w:pPr>
      <w:r w:rsidRPr="001255F7">
        <w:rPr>
          <w:szCs w:val="22"/>
        </w:rPr>
        <w:t>a stepped, modelled</w:t>
      </w:r>
      <w:r w:rsidR="00290CB3" w:rsidRPr="001255F7">
        <w:rPr>
          <w:szCs w:val="22"/>
        </w:rPr>
        <w:t xml:space="preserve"> cost utility</w:t>
      </w:r>
      <w:r w:rsidRPr="001255F7">
        <w:rPr>
          <w:szCs w:val="22"/>
        </w:rPr>
        <w:t xml:space="preserve"> economic evaluation</w:t>
      </w:r>
      <w:r w:rsidR="005B47A6" w:rsidRPr="001255F7">
        <w:rPr>
          <w:szCs w:val="22"/>
        </w:rPr>
        <w:t xml:space="preserve"> versus placebo </w:t>
      </w:r>
      <w:r w:rsidR="004F4E20" w:rsidRPr="001255F7">
        <w:rPr>
          <w:szCs w:val="22"/>
        </w:rPr>
        <w:t xml:space="preserve">for patients assumed </w:t>
      </w:r>
      <w:r w:rsidR="00F456A8" w:rsidRPr="001255F7">
        <w:rPr>
          <w:szCs w:val="22"/>
        </w:rPr>
        <w:t xml:space="preserve">to be </w:t>
      </w:r>
      <w:r w:rsidR="004F4E20" w:rsidRPr="001255F7">
        <w:rPr>
          <w:szCs w:val="22"/>
        </w:rPr>
        <w:t xml:space="preserve">naïve </w:t>
      </w:r>
      <w:r w:rsidR="003A6361" w:rsidRPr="001255F7">
        <w:rPr>
          <w:szCs w:val="22"/>
        </w:rPr>
        <w:t xml:space="preserve">or refractory </w:t>
      </w:r>
      <w:r w:rsidR="004F4E20" w:rsidRPr="001255F7">
        <w:rPr>
          <w:szCs w:val="22"/>
        </w:rPr>
        <w:t>to second-line therapy</w:t>
      </w:r>
      <w:r w:rsidR="005B47A6" w:rsidRPr="001255F7">
        <w:rPr>
          <w:szCs w:val="22"/>
        </w:rPr>
        <w:t>;</w:t>
      </w:r>
    </w:p>
    <w:p w:rsidR="00E161AC" w:rsidRPr="001255F7" w:rsidRDefault="009C4C87" w:rsidP="00142D19">
      <w:pPr>
        <w:pStyle w:val="ListParagraph"/>
        <w:widowControl/>
        <w:numPr>
          <w:ilvl w:val="0"/>
          <w:numId w:val="7"/>
        </w:numPr>
        <w:ind w:left="993" w:hanging="283"/>
        <w:rPr>
          <w:szCs w:val="22"/>
        </w:rPr>
      </w:pPr>
      <w:r w:rsidRPr="001255F7">
        <w:rPr>
          <w:szCs w:val="22"/>
        </w:rPr>
        <w:t xml:space="preserve">a cost </w:t>
      </w:r>
      <w:r w:rsidR="00290CB3" w:rsidRPr="001255F7">
        <w:rPr>
          <w:szCs w:val="22"/>
        </w:rPr>
        <w:t>analysis</w:t>
      </w:r>
      <w:r w:rsidR="005B47A6" w:rsidRPr="001255F7">
        <w:rPr>
          <w:szCs w:val="22"/>
        </w:rPr>
        <w:t xml:space="preserve"> </w:t>
      </w:r>
      <w:r w:rsidR="00E161AC" w:rsidRPr="001255F7">
        <w:rPr>
          <w:szCs w:val="22"/>
        </w:rPr>
        <w:t>versus</w:t>
      </w:r>
      <w:r w:rsidR="004F4E20" w:rsidRPr="001255F7">
        <w:rPr>
          <w:szCs w:val="22"/>
        </w:rPr>
        <w:t xml:space="preserve"> </w:t>
      </w:r>
      <w:r w:rsidR="005B47A6" w:rsidRPr="001255F7">
        <w:rPr>
          <w:szCs w:val="22"/>
        </w:rPr>
        <w:t>nicorandil</w:t>
      </w:r>
      <w:r w:rsidR="00E161AC" w:rsidRPr="001255F7">
        <w:rPr>
          <w:szCs w:val="22"/>
        </w:rPr>
        <w:t>; and</w:t>
      </w:r>
    </w:p>
    <w:p w:rsidR="00D93D8C" w:rsidRDefault="00E161AC" w:rsidP="00142D19">
      <w:pPr>
        <w:pStyle w:val="ListParagraph"/>
        <w:widowControl/>
        <w:numPr>
          <w:ilvl w:val="0"/>
          <w:numId w:val="7"/>
        </w:numPr>
        <w:ind w:left="993" w:hanging="283"/>
        <w:rPr>
          <w:szCs w:val="22"/>
        </w:rPr>
      </w:pPr>
      <w:r w:rsidRPr="001255F7">
        <w:rPr>
          <w:szCs w:val="22"/>
        </w:rPr>
        <w:t xml:space="preserve">a cost analysis versus </w:t>
      </w:r>
      <w:r w:rsidR="005B47A6" w:rsidRPr="001255F7">
        <w:rPr>
          <w:szCs w:val="22"/>
        </w:rPr>
        <w:t>perhexiline</w:t>
      </w:r>
      <w:r w:rsidRPr="001255F7">
        <w:rPr>
          <w:szCs w:val="22"/>
        </w:rPr>
        <w:t>.</w:t>
      </w:r>
    </w:p>
    <w:p w:rsidR="007C3F99" w:rsidRPr="007C3F99" w:rsidRDefault="007C3F99" w:rsidP="007C3F99">
      <w:pPr>
        <w:pStyle w:val="ListParagraph"/>
        <w:widowControl/>
        <w:rPr>
          <w:bCs/>
          <w:lang w:val="en-GB"/>
        </w:rPr>
      </w:pPr>
    </w:p>
    <w:p w:rsidR="00D93D8C" w:rsidRDefault="001D6E98" w:rsidP="00142D19">
      <w:pPr>
        <w:widowControl/>
        <w:numPr>
          <w:ilvl w:val="1"/>
          <w:numId w:val="11"/>
        </w:numPr>
      </w:pPr>
      <w:r>
        <w:t xml:space="preserve">The PBAC </w:t>
      </w:r>
      <w:r w:rsidRPr="001D4DEE">
        <w:t xml:space="preserve">did not agree </w:t>
      </w:r>
      <w:r>
        <w:t>that</w:t>
      </w:r>
      <w:r w:rsidRPr="001D4DEE">
        <w:t xml:space="preserve"> </w:t>
      </w:r>
      <w:r>
        <w:t xml:space="preserve">placebo was an appropriate comparator. </w:t>
      </w:r>
      <w:r w:rsidR="00787E28">
        <w:t>This</w:t>
      </w:r>
      <w:r>
        <w:t xml:space="preserve"> meant </w:t>
      </w:r>
      <w:r w:rsidR="00787E28">
        <w:t xml:space="preserve">that </w:t>
      </w:r>
      <w:r>
        <w:t xml:space="preserve">the model did not reflect current clinical practice, making the cost analysis presented unreliable. </w:t>
      </w:r>
    </w:p>
    <w:p w:rsidR="00B97694" w:rsidRPr="001255F7" w:rsidRDefault="00B97694" w:rsidP="00B97694">
      <w:pPr>
        <w:widowControl/>
        <w:ind w:left="720"/>
      </w:pPr>
    </w:p>
    <w:p w:rsidR="00290CB3" w:rsidRPr="001255F7" w:rsidRDefault="00290CB3" w:rsidP="00FF5F86">
      <w:pPr>
        <w:pStyle w:val="Heading3"/>
      </w:pPr>
      <w:r w:rsidRPr="001255F7">
        <w:t>Cost utility</w:t>
      </w:r>
      <w:r w:rsidR="00146C17" w:rsidRPr="001255F7">
        <w:t xml:space="preserve"> vs placebo</w:t>
      </w:r>
      <w:r w:rsidRPr="001255F7">
        <w:t xml:space="preserve"> </w:t>
      </w:r>
    </w:p>
    <w:p w:rsidR="00290CB3" w:rsidRPr="001255F7" w:rsidRDefault="00290CB3" w:rsidP="00142D19">
      <w:pPr>
        <w:pStyle w:val="ListParagraph"/>
        <w:widowControl/>
        <w:rPr>
          <w:szCs w:val="22"/>
        </w:rPr>
      </w:pPr>
    </w:p>
    <w:p w:rsidR="00773099" w:rsidRPr="001255F7" w:rsidRDefault="00EE36C0" w:rsidP="00142D19">
      <w:pPr>
        <w:pStyle w:val="ListParagraph"/>
        <w:widowControl/>
        <w:numPr>
          <w:ilvl w:val="1"/>
          <w:numId w:val="11"/>
        </w:numPr>
      </w:pPr>
      <w:r w:rsidRPr="001255F7">
        <w:t>A Markov model using micro-simulation methods was used to model</w:t>
      </w:r>
      <w:r w:rsidR="00550F7B" w:rsidRPr="001255F7">
        <w:t xml:space="preserve"> the cost-effectiveness of ranolaz</w:t>
      </w:r>
      <w:r w:rsidRPr="001255F7">
        <w:t>ine versus placebo.</w:t>
      </w:r>
      <w:r w:rsidR="00773099" w:rsidRPr="001255F7">
        <w:rPr>
          <w:szCs w:val="22"/>
        </w:rPr>
        <w:t xml:space="preserve"> The economic evaluation was based on the CARISA trial of ranolazine versus placebo. A stepped analysis was presented. </w:t>
      </w:r>
      <w:r w:rsidR="00773099" w:rsidRPr="001255F7">
        <w:t xml:space="preserve">Step 1 incorporated patient withdrawal from placebo or ranolazine treatment, and extrapolated the trial-based data to the one-year time horizon. Subsequently, Step 2 </w:t>
      </w:r>
      <w:r w:rsidR="0075089D" w:rsidRPr="001255F7">
        <w:t>incorporated</w:t>
      </w:r>
      <w:r w:rsidR="00773099" w:rsidRPr="001255F7">
        <w:t xml:space="preserve"> background death and </w:t>
      </w:r>
      <w:r w:rsidR="0075089D" w:rsidRPr="001255F7">
        <w:t>Step 3 incorporated</w:t>
      </w:r>
      <w:r w:rsidR="00773099" w:rsidRPr="001255F7">
        <w:t xml:space="preserve"> hospitalisations to the model. Step 4, whereby revascularisations were incorporated in the model, was included as a sensitivity analysis by the submission.</w:t>
      </w:r>
    </w:p>
    <w:p w:rsidR="00773099" w:rsidRPr="001255F7" w:rsidRDefault="00773099" w:rsidP="00142D19">
      <w:pPr>
        <w:pStyle w:val="ListParagraph"/>
        <w:widowControl/>
      </w:pPr>
    </w:p>
    <w:p w:rsidR="00D93D8C" w:rsidRPr="001255F7" w:rsidRDefault="00D93D8C" w:rsidP="00142D19">
      <w:pPr>
        <w:pStyle w:val="ListParagraph"/>
        <w:widowControl/>
        <w:numPr>
          <w:ilvl w:val="1"/>
          <w:numId w:val="11"/>
        </w:numPr>
        <w:rPr>
          <w:szCs w:val="22"/>
        </w:rPr>
      </w:pPr>
      <w:r w:rsidRPr="001255F7">
        <w:t xml:space="preserve">Table </w:t>
      </w:r>
      <w:r w:rsidR="00290CB3" w:rsidRPr="001255F7">
        <w:t>1</w:t>
      </w:r>
      <w:r w:rsidR="0075715F" w:rsidRPr="001255F7">
        <w:t>0</w:t>
      </w:r>
      <w:r w:rsidRPr="001255F7">
        <w:t xml:space="preserve"> summarises the </w:t>
      </w:r>
      <w:r w:rsidR="00886F74" w:rsidRPr="001255F7">
        <w:t xml:space="preserve">inputs and assumptions used in the </w:t>
      </w:r>
      <w:r w:rsidR="00301732" w:rsidRPr="001255F7">
        <w:t>economic evaluation</w:t>
      </w:r>
      <w:r w:rsidRPr="001255F7">
        <w:t>.</w:t>
      </w:r>
      <w:r w:rsidR="00EE36C0" w:rsidRPr="001255F7">
        <w:t xml:space="preserve"> </w:t>
      </w:r>
    </w:p>
    <w:p w:rsidR="008203DE" w:rsidRDefault="008203DE" w:rsidP="00142D19">
      <w:pPr>
        <w:widowControl/>
        <w:jc w:val="left"/>
        <w:rPr>
          <w:rStyle w:val="CommentReference"/>
        </w:rPr>
      </w:pPr>
    </w:p>
    <w:p w:rsidR="00FF5F86" w:rsidRDefault="00FF5F86">
      <w:pPr>
        <w:widowControl/>
        <w:jc w:val="left"/>
        <w:rPr>
          <w:rStyle w:val="CommentReference"/>
        </w:rPr>
      </w:pPr>
      <w:r>
        <w:rPr>
          <w:rStyle w:val="CommentReference"/>
        </w:rPr>
        <w:br w:type="page"/>
      </w:r>
    </w:p>
    <w:p w:rsidR="002127B3" w:rsidRPr="002220DF" w:rsidRDefault="00D93D8C" w:rsidP="00142D19">
      <w:pPr>
        <w:widowControl/>
        <w:ind w:left="709"/>
      </w:pPr>
      <w:r w:rsidRPr="002220DF">
        <w:rPr>
          <w:rStyle w:val="CommentReference"/>
        </w:rPr>
        <w:t>Table 1</w:t>
      </w:r>
      <w:r w:rsidR="0075715F">
        <w:rPr>
          <w:rStyle w:val="CommentReference"/>
        </w:rPr>
        <w:t>0</w:t>
      </w:r>
      <w:r w:rsidRPr="002220DF">
        <w:rPr>
          <w:rStyle w:val="CommentReference"/>
        </w:rPr>
        <w:t xml:space="preserve">: Summary of </w:t>
      </w:r>
      <w:r w:rsidR="00886F74">
        <w:rPr>
          <w:rStyle w:val="CommentReference"/>
        </w:rPr>
        <w:t>inputs and assumptions used in the economic evaluation</w:t>
      </w:r>
    </w:p>
    <w:tbl>
      <w:tblPr>
        <w:tblStyle w:val="TableGrid"/>
        <w:tblW w:w="8505" w:type="dxa"/>
        <w:tblInd w:w="817" w:type="dxa"/>
        <w:tblLook w:val="04A0" w:firstRow="1" w:lastRow="0" w:firstColumn="1" w:lastColumn="0" w:noHBand="0" w:noVBand="1"/>
        <w:tblCaption w:val="Table 10: Summary of inputs and assumptions used in the economic evaluation"/>
      </w:tblPr>
      <w:tblGrid>
        <w:gridCol w:w="2817"/>
        <w:gridCol w:w="1294"/>
        <w:gridCol w:w="992"/>
        <w:gridCol w:w="3402"/>
      </w:tblGrid>
      <w:tr w:rsidR="00886F74" w:rsidRPr="00886F74" w:rsidTr="004E1B7F">
        <w:trPr>
          <w:tblHeader/>
        </w:trPr>
        <w:tc>
          <w:tcPr>
            <w:tcW w:w="2817" w:type="dxa"/>
            <w:shd w:val="clear" w:color="auto" w:fill="FFFFFF" w:themeFill="background1"/>
          </w:tcPr>
          <w:p w:rsidR="00886F74" w:rsidRPr="00886F74" w:rsidRDefault="00886F74" w:rsidP="00142D19">
            <w:pPr>
              <w:keepNext/>
              <w:widowControl/>
              <w:rPr>
                <w:rFonts w:ascii="Arial Narrow" w:hAnsi="Arial Narrow"/>
                <w:b/>
                <w:sz w:val="20"/>
              </w:rPr>
            </w:pPr>
            <w:r w:rsidRPr="00886F74">
              <w:rPr>
                <w:rFonts w:ascii="Arial Narrow" w:hAnsi="Arial Narrow"/>
                <w:b/>
                <w:sz w:val="20"/>
              </w:rPr>
              <w:t>Input Description</w:t>
            </w:r>
          </w:p>
        </w:tc>
        <w:tc>
          <w:tcPr>
            <w:tcW w:w="2286" w:type="dxa"/>
            <w:gridSpan w:val="2"/>
            <w:shd w:val="clear" w:color="auto" w:fill="FFFFFF" w:themeFill="background1"/>
          </w:tcPr>
          <w:p w:rsidR="00886F74" w:rsidRPr="00886F74" w:rsidRDefault="00886F74" w:rsidP="00142D19">
            <w:pPr>
              <w:keepNext/>
              <w:widowControl/>
              <w:jc w:val="center"/>
              <w:rPr>
                <w:rFonts w:ascii="Arial Narrow" w:hAnsi="Arial Narrow"/>
                <w:b/>
                <w:sz w:val="20"/>
              </w:rPr>
            </w:pPr>
            <w:r w:rsidRPr="00886F74">
              <w:rPr>
                <w:rFonts w:ascii="Arial Narrow" w:hAnsi="Arial Narrow"/>
                <w:b/>
                <w:sz w:val="20"/>
              </w:rPr>
              <w:t>Value</w:t>
            </w:r>
          </w:p>
        </w:tc>
        <w:tc>
          <w:tcPr>
            <w:tcW w:w="3402" w:type="dxa"/>
            <w:shd w:val="clear" w:color="auto" w:fill="FFFFFF" w:themeFill="background1"/>
          </w:tcPr>
          <w:p w:rsidR="00886F74" w:rsidRPr="00886F74" w:rsidRDefault="00886F74" w:rsidP="00142D19">
            <w:pPr>
              <w:keepNext/>
              <w:widowControl/>
              <w:rPr>
                <w:rFonts w:ascii="Arial Narrow" w:hAnsi="Arial Narrow"/>
                <w:b/>
                <w:sz w:val="20"/>
              </w:rPr>
            </w:pPr>
            <w:r w:rsidRPr="00886F74">
              <w:rPr>
                <w:rFonts w:ascii="Arial Narrow" w:hAnsi="Arial Narrow"/>
                <w:b/>
                <w:sz w:val="20"/>
              </w:rPr>
              <w:t>Source and Notes</w:t>
            </w:r>
          </w:p>
        </w:tc>
      </w:tr>
      <w:tr w:rsidR="00886F74" w:rsidRPr="00886F74" w:rsidTr="00301732">
        <w:tc>
          <w:tcPr>
            <w:tcW w:w="2817" w:type="dxa"/>
          </w:tcPr>
          <w:p w:rsidR="00886F74" w:rsidRPr="00886F74" w:rsidRDefault="00886F74" w:rsidP="00142D19">
            <w:pPr>
              <w:widowControl/>
              <w:rPr>
                <w:rFonts w:ascii="Arial Narrow" w:hAnsi="Arial Narrow"/>
                <w:sz w:val="20"/>
              </w:rPr>
            </w:pPr>
            <w:r w:rsidRPr="00886F74">
              <w:rPr>
                <w:rFonts w:ascii="Arial Narrow" w:hAnsi="Arial Narrow"/>
                <w:sz w:val="20"/>
              </w:rPr>
              <w:t>Model duration</w:t>
            </w:r>
          </w:p>
        </w:tc>
        <w:tc>
          <w:tcPr>
            <w:tcW w:w="2286" w:type="dxa"/>
            <w:gridSpan w:val="2"/>
          </w:tcPr>
          <w:p w:rsidR="00886F74" w:rsidRPr="00886F74" w:rsidRDefault="00886F74" w:rsidP="00142D19">
            <w:pPr>
              <w:widowControl/>
              <w:jc w:val="center"/>
              <w:rPr>
                <w:rFonts w:ascii="Arial Narrow" w:hAnsi="Arial Narrow"/>
                <w:sz w:val="20"/>
              </w:rPr>
            </w:pPr>
            <w:r w:rsidRPr="00886F74">
              <w:rPr>
                <w:rFonts w:ascii="Arial Narrow" w:hAnsi="Arial Narrow"/>
                <w:sz w:val="20"/>
              </w:rPr>
              <w:t>1 year</w:t>
            </w:r>
          </w:p>
        </w:tc>
        <w:tc>
          <w:tcPr>
            <w:tcW w:w="3402" w:type="dxa"/>
          </w:tcPr>
          <w:p w:rsidR="00886F74" w:rsidRPr="00886F74" w:rsidRDefault="00886F74" w:rsidP="00142D19">
            <w:pPr>
              <w:widowControl/>
              <w:rPr>
                <w:rFonts w:ascii="Arial Narrow" w:hAnsi="Arial Narrow"/>
                <w:sz w:val="20"/>
              </w:rPr>
            </w:pPr>
          </w:p>
        </w:tc>
      </w:tr>
      <w:tr w:rsidR="00886F74" w:rsidRPr="00886F74" w:rsidTr="00301732">
        <w:tc>
          <w:tcPr>
            <w:tcW w:w="2817" w:type="dxa"/>
          </w:tcPr>
          <w:p w:rsidR="00886F74" w:rsidRPr="00886F74" w:rsidRDefault="00886F74" w:rsidP="00142D19">
            <w:pPr>
              <w:widowControl/>
              <w:rPr>
                <w:rFonts w:ascii="Arial Narrow" w:hAnsi="Arial Narrow"/>
                <w:sz w:val="20"/>
              </w:rPr>
            </w:pPr>
            <w:r w:rsidRPr="00886F74">
              <w:rPr>
                <w:rFonts w:ascii="Arial Narrow" w:hAnsi="Arial Narrow"/>
                <w:sz w:val="20"/>
              </w:rPr>
              <w:t>Discounting (costs and outcomes)</w:t>
            </w:r>
          </w:p>
        </w:tc>
        <w:tc>
          <w:tcPr>
            <w:tcW w:w="2286" w:type="dxa"/>
            <w:gridSpan w:val="2"/>
          </w:tcPr>
          <w:p w:rsidR="00886F74" w:rsidRPr="00886F74" w:rsidRDefault="00886F74" w:rsidP="00142D19">
            <w:pPr>
              <w:widowControl/>
              <w:jc w:val="center"/>
              <w:rPr>
                <w:rFonts w:ascii="Arial Narrow" w:hAnsi="Arial Narrow"/>
                <w:sz w:val="20"/>
              </w:rPr>
            </w:pPr>
            <w:r w:rsidRPr="00886F74">
              <w:rPr>
                <w:rFonts w:ascii="Arial Narrow" w:hAnsi="Arial Narrow"/>
                <w:sz w:val="20"/>
              </w:rPr>
              <w:t>NA</w:t>
            </w:r>
          </w:p>
        </w:tc>
        <w:tc>
          <w:tcPr>
            <w:tcW w:w="3402" w:type="dxa"/>
          </w:tcPr>
          <w:p w:rsidR="00886F74" w:rsidRPr="00886F74" w:rsidRDefault="00886F74" w:rsidP="00142D19">
            <w:pPr>
              <w:widowControl/>
              <w:rPr>
                <w:rFonts w:ascii="Arial Narrow" w:hAnsi="Arial Narrow"/>
                <w:sz w:val="20"/>
              </w:rPr>
            </w:pPr>
            <w:r w:rsidRPr="00886F74">
              <w:rPr>
                <w:rFonts w:ascii="Arial Narrow" w:hAnsi="Arial Narrow"/>
                <w:sz w:val="20"/>
              </w:rPr>
              <w:t>Not applicable as model is 1 year</w:t>
            </w:r>
          </w:p>
        </w:tc>
      </w:tr>
      <w:tr w:rsidR="00886F74" w:rsidRPr="00886F74" w:rsidTr="00301732">
        <w:tc>
          <w:tcPr>
            <w:tcW w:w="2817" w:type="dxa"/>
          </w:tcPr>
          <w:p w:rsidR="00886F74" w:rsidRPr="00886F74" w:rsidRDefault="00886F74" w:rsidP="00142D19">
            <w:pPr>
              <w:widowControl/>
              <w:rPr>
                <w:rFonts w:ascii="Arial Narrow" w:hAnsi="Arial Narrow"/>
                <w:sz w:val="20"/>
              </w:rPr>
            </w:pPr>
            <w:r w:rsidRPr="00886F74">
              <w:rPr>
                <w:rFonts w:ascii="Arial Narrow" w:hAnsi="Arial Narrow"/>
                <w:sz w:val="20"/>
              </w:rPr>
              <w:t>Cycle length</w:t>
            </w:r>
          </w:p>
        </w:tc>
        <w:tc>
          <w:tcPr>
            <w:tcW w:w="2286" w:type="dxa"/>
            <w:gridSpan w:val="2"/>
          </w:tcPr>
          <w:p w:rsidR="00886F74" w:rsidRPr="00886F74" w:rsidRDefault="00886F74" w:rsidP="00142D19">
            <w:pPr>
              <w:widowControl/>
              <w:jc w:val="center"/>
              <w:rPr>
                <w:rFonts w:ascii="Arial Narrow" w:hAnsi="Arial Narrow"/>
                <w:sz w:val="20"/>
              </w:rPr>
            </w:pPr>
            <w:r w:rsidRPr="00886F74">
              <w:rPr>
                <w:rFonts w:ascii="Arial Narrow" w:hAnsi="Arial Narrow"/>
                <w:sz w:val="20"/>
              </w:rPr>
              <w:t>1 month (12 cycles)</w:t>
            </w:r>
          </w:p>
        </w:tc>
        <w:tc>
          <w:tcPr>
            <w:tcW w:w="3402" w:type="dxa"/>
          </w:tcPr>
          <w:p w:rsidR="00886F74" w:rsidRPr="00886F74" w:rsidRDefault="00886F74" w:rsidP="00142D19">
            <w:pPr>
              <w:widowControl/>
              <w:rPr>
                <w:rFonts w:ascii="Arial Narrow" w:hAnsi="Arial Narrow"/>
                <w:sz w:val="20"/>
              </w:rPr>
            </w:pPr>
            <w:r w:rsidRPr="00886F74">
              <w:rPr>
                <w:rFonts w:ascii="Arial Narrow" w:hAnsi="Arial Narrow"/>
                <w:sz w:val="20"/>
              </w:rPr>
              <w:t>-</w:t>
            </w:r>
          </w:p>
        </w:tc>
      </w:tr>
      <w:tr w:rsidR="00301732" w:rsidRPr="00886F74" w:rsidTr="00301732">
        <w:tc>
          <w:tcPr>
            <w:tcW w:w="2817" w:type="dxa"/>
            <w:vAlign w:val="center"/>
          </w:tcPr>
          <w:p w:rsidR="00301732" w:rsidRPr="00886F74" w:rsidRDefault="00301732" w:rsidP="00142D19">
            <w:pPr>
              <w:widowControl/>
              <w:jc w:val="left"/>
              <w:rPr>
                <w:rFonts w:ascii="Arial Narrow" w:hAnsi="Arial Narrow"/>
                <w:sz w:val="20"/>
              </w:rPr>
            </w:pPr>
            <w:r>
              <w:rPr>
                <w:rFonts w:ascii="Arial Narrow" w:hAnsi="Arial Narrow"/>
                <w:sz w:val="20"/>
              </w:rPr>
              <w:t>Compliance to ranolazine</w:t>
            </w:r>
          </w:p>
        </w:tc>
        <w:tc>
          <w:tcPr>
            <w:tcW w:w="2286" w:type="dxa"/>
            <w:gridSpan w:val="2"/>
          </w:tcPr>
          <w:p w:rsidR="00301732" w:rsidRPr="00886F74" w:rsidRDefault="00301732" w:rsidP="00142D19">
            <w:pPr>
              <w:widowControl/>
              <w:jc w:val="center"/>
              <w:rPr>
                <w:rFonts w:ascii="Arial Narrow" w:hAnsi="Arial Narrow"/>
                <w:sz w:val="20"/>
              </w:rPr>
            </w:pPr>
            <w:r>
              <w:rPr>
                <w:rFonts w:ascii="Arial Narrow" w:hAnsi="Arial Narrow"/>
                <w:sz w:val="20"/>
              </w:rPr>
              <w:t>80%</w:t>
            </w:r>
          </w:p>
        </w:tc>
        <w:tc>
          <w:tcPr>
            <w:tcW w:w="3402" w:type="dxa"/>
          </w:tcPr>
          <w:p w:rsidR="00301732" w:rsidRPr="00886F74" w:rsidRDefault="00301732" w:rsidP="00142D19">
            <w:pPr>
              <w:widowControl/>
              <w:rPr>
                <w:rFonts w:ascii="Arial Narrow" w:hAnsi="Arial Narrow"/>
                <w:sz w:val="20"/>
              </w:rPr>
            </w:pPr>
            <w:r>
              <w:rPr>
                <w:rFonts w:ascii="Arial Narrow" w:hAnsi="Arial Narrow"/>
                <w:sz w:val="20"/>
              </w:rPr>
              <w:t>Published literature</w:t>
            </w:r>
          </w:p>
        </w:tc>
      </w:tr>
      <w:tr w:rsidR="00301732" w:rsidRPr="00886F74" w:rsidTr="00202246">
        <w:tc>
          <w:tcPr>
            <w:tcW w:w="8505" w:type="dxa"/>
            <w:gridSpan w:val="4"/>
          </w:tcPr>
          <w:p w:rsidR="00301732" w:rsidRPr="00886F74" w:rsidRDefault="00301732" w:rsidP="00142D19">
            <w:pPr>
              <w:widowControl/>
              <w:rPr>
                <w:rFonts w:ascii="Arial Narrow" w:hAnsi="Arial Narrow"/>
                <w:sz w:val="20"/>
              </w:rPr>
            </w:pPr>
            <w:r w:rsidRPr="00886F74">
              <w:rPr>
                <w:rFonts w:ascii="Arial Narrow" w:hAnsi="Arial Narrow"/>
                <w:b/>
                <w:sz w:val="20"/>
              </w:rPr>
              <w:t>Demographics</w:t>
            </w:r>
          </w:p>
        </w:tc>
      </w:tr>
      <w:tr w:rsidR="00886F74" w:rsidRPr="00886F74" w:rsidTr="00301732">
        <w:tc>
          <w:tcPr>
            <w:tcW w:w="2817" w:type="dxa"/>
          </w:tcPr>
          <w:p w:rsidR="00886F74" w:rsidRPr="00886F74" w:rsidRDefault="00886F74" w:rsidP="00142D19">
            <w:pPr>
              <w:widowControl/>
              <w:rPr>
                <w:rFonts w:ascii="Arial Narrow" w:hAnsi="Arial Narrow"/>
                <w:sz w:val="20"/>
              </w:rPr>
            </w:pPr>
            <w:r w:rsidRPr="00886F74">
              <w:rPr>
                <w:rFonts w:ascii="Arial Narrow" w:hAnsi="Arial Narrow"/>
                <w:sz w:val="20"/>
              </w:rPr>
              <w:t>Age</w:t>
            </w:r>
          </w:p>
        </w:tc>
        <w:tc>
          <w:tcPr>
            <w:tcW w:w="2286" w:type="dxa"/>
            <w:gridSpan w:val="2"/>
          </w:tcPr>
          <w:p w:rsidR="00886F74" w:rsidRPr="00886F74" w:rsidRDefault="00886F74" w:rsidP="00142D19">
            <w:pPr>
              <w:widowControl/>
              <w:jc w:val="center"/>
              <w:rPr>
                <w:rFonts w:ascii="Arial Narrow" w:hAnsi="Arial Narrow"/>
                <w:sz w:val="20"/>
              </w:rPr>
            </w:pPr>
            <w:r w:rsidRPr="00886F74">
              <w:rPr>
                <w:rFonts w:ascii="Arial Narrow" w:hAnsi="Arial Narrow"/>
                <w:sz w:val="20"/>
              </w:rPr>
              <w:t>Mean 64</w:t>
            </w:r>
          </w:p>
        </w:tc>
        <w:tc>
          <w:tcPr>
            <w:tcW w:w="3402" w:type="dxa"/>
          </w:tcPr>
          <w:p w:rsidR="00886F74" w:rsidRPr="00886F74" w:rsidRDefault="00886F74" w:rsidP="00142D19">
            <w:pPr>
              <w:widowControl/>
              <w:rPr>
                <w:rFonts w:ascii="Arial Narrow" w:hAnsi="Arial Narrow"/>
                <w:sz w:val="20"/>
              </w:rPr>
            </w:pPr>
            <w:r w:rsidRPr="00886F74">
              <w:rPr>
                <w:rFonts w:ascii="Arial Narrow" w:hAnsi="Arial Narrow"/>
                <w:sz w:val="20"/>
              </w:rPr>
              <w:t>CARISA</w:t>
            </w:r>
          </w:p>
        </w:tc>
      </w:tr>
      <w:tr w:rsidR="00886F74" w:rsidRPr="00886F74" w:rsidTr="00301732">
        <w:tc>
          <w:tcPr>
            <w:tcW w:w="2817" w:type="dxa"/>
          </w:tcPr>
          <w:p w:rsidR="00886F74" w:rsidRPr="00886F74" w:rsidRDefault="00886F74" w:rsidP="00142D19">
            <w:pPr>
              <w:widowControl/>
              <w:rPr>
                <w:rFonts w:ascii="Arial Narrow" w:hAnsi="Arial Narrow"/>
                <w:sz w:val="20"/>
              </w:rPr>
            </w:pPr>
            <w:r w:rsidRPr="00886F74">
              <w:rPr>
                <w:rFonts w:ascii="Arial Narrow" w:hAnsi="Arial Narrow"/>
                <w:sz w:val="20"/>
              </w:rPr>
              <w:t>Gender (% male)</w:t>
            </w:r>
          </w:p>
        </w:tc>
        <w:tc>
          <w:tcPr>
            <w:tcW w:w="2286" w:type="dxa"/>
            <w:gridSpan w:val="2"/>
          </w:tcPr>
          <w:p w:rsidR="00886F74" w:rsidRPr="00886F74" w:rsidRDefault="00886F74" w:rsidP="00142D19">
            <w:pPr>
              <w:widowControl/>
              <w:jc w:val="center"/>
              <w:rPr>
                <w:rFonts w:ascii="Arial Narrow" w:hAnsi="Arial Narrow"/>
                <w:sz w:val="20"/>
              </w:rPr>
            </w:pPr>
            <w:r w:rsidRPr="00886F74">
              <w:rPr>
                <w:rFonts w:ascii="Arial Narrow" w:hAnsi="Arial Narrow"/>
                <w:sz w:val="20"/>
              </w:rPr>
              <w:t>77.5%</w:t>
            </w:r>
          </w:p>
        </w:tc>
        <w:tc>
          <w:tcPr>
            <w:tcW w:w="3402" w:type="dxa"/>
          </w:tcPr>
          <w:p w:rsidR="00886F74" w:rsidRPr="00886F74" w:rsidRDefault="00886F74" w:rsidP="00142D19">
            <w:pPr>
              <w:widowControl/>
              <w:rPr>
                <w:rFonts w:ascii="Arial Narrow" w:hAnsi="Arial Narrow"/>
                <w:sz w:val="20"/>
              </w:rPr>
            </w:pPr>
            <w:r w:rsidRPr="00886F74">
              <w:rPr>
                <w:rFonts w:ascii="Arial Narrow" w:hAnsi="Arial Narrow"/>
                <w:sz w:val="20"/>
              </w:rPr>
              <w:t>CARISA</w:t>
            </w:r>
          </w:p>
        </w:tc>
      </w:tr>
      <w:tr w:rsidR="00886F74" w:rsidRPr="00886F74" w:rsidTr="00301732">
        <w:tc>
          <w:tcPr>
            <w:tcW w:w="2817" w:type="dxa"/>
          </w:tcPr>
          <w:p w:rsidR="00886F74" w:rsidRPr="00886F74" w:rsidRDefault="00886F74" w:rsidP="00142D19">
            <w:pPr>
              <w:widowControl/>
              <w:rPr>
                <w:rFonts w:ascii="Arial Narrow" w:hAnsi="Arial Narrow"/>
                <w:b/>
                <w:sz w:val="20"/>
              </w:rPr>
            </w:pPr>
            <w:r w:rsidRPr="00886F74">
              <w:rPr>
                <w:rFonts w:ascii="Arial Narrow" w:hAnsi="Arial Narrow"/>
                <w:b/>
                <w:sz w:val="20"/>
              </w:rPr>
              <w:t>Efficacy</w:t>
            </w:r>
          </w:p>
        </w:tc>
        <w:tc>
          <w:tcPr>
            <w:tcW w:w="1294" w:type="dxa"/>
          </w:tcPr>
          <w:p w:rsidR="00886F74" w:rsidRPr="00886F74" w:rsidRDefault="00886F74" w:rsidP="00142D19">
            <w:pPr>
              <w:widowControl/>
              <w:jc w:val="center"/>
              <w:rPr>
                <w:rFonts w:ascii="Arial Narrow" w:hAnsi="Arial Narrow"/>
                <w:b/>
                <w:sz w:val="20"/>
              </w:rPr>
            </w:pPr>
            <w:r w:rsidRPr="00886F74">
              <w:rPr>
                <w:rFonts w:ascii="Arial Narrow" w:hAnsi="Arial Narrow"/>
                <w:b/>
                <w:sz w:val="20"/>
              </w:rPr>
              <w:t>Ranolazine</w:t>
            </w:r>
          </w:p>
        </w:tc>
        <w:tc>
          <w:tcPr>
            <w:tcW w:w="992" w:type="dxa"/>
          </w:tcPr>
          <w:p w:rsidR="00886F74" w:rsidRPr="00886F74" w:rsidRDefault="00886F74" w:rsidP="00142D19">
            <w:pPr>
              <w:widowControl/>
              <w:jc w:val="center"/>
              <w:rPr>
                <w:rFonts w:ascii="Arial Narrow" w:hAnsi="Arial Narrow"/>
                <w:b/>
                <w:sz w:val="20"/>
              </w:rPr>
            </w:pPr>
            <w:r w:rsidRPr="00886F74">
              <w:rPr>
                <w:rFonts w:ascii="Arial Narrow" w:hAnsi="Arial Narrow"/>
                <w:b/>
                <w:sz w:val="20"/>
              </w:rPr>
              <w:t>Placebo</w:t>
            </w:r>
          </w:p>
        </w:tc>
        <w:tc>
          <w:tcPr>
            <w:tcW w:w="3402" w:type="dxa"/>
          </w:tcPr>
          <w:p w:rsidR="00886F74" w:rsidRPr="00886F74" w:rsidRDefault="00886F74" w:rsidP="00142D19">
            <w:pPr>
              <w:widowControl/>
              <w:rPr>
                <w:rFonts w:ascii="Arial Narrow" w:hAnsi="Arial Narrow"/>
                <w:sz w:val="20"/>
              </w:rPr>
            </w:pPr>
          </w:p>
        </w:tc>
      </w:tr>
      <w:tr w:rsidR="00886F74" w:rsidRPr="00886F74" w:rsidTr="00301732">
        <w:tc>
          <w:tcPr>
            <w:tcW w:w="2817" w:type="dxa"/>
          </w:tcPr>
          <w:p w:rsidR="00886F74" w:rsidRPr="00886F74" w:rsidRDefault="00886F74" w:rsidP="00142D19">
            <w:pPr>
              <w:widowControl/>
              <w:rPr>
                <w:rFonts w:ascii="Arial Narrow" w:hAnsi="Arial Narrow"/>
                <w:sz w:val="20"/>
              </w:rPr>
            </w:pPr>
            <w:r w:rsidRPr="00886F74">
              <w:rPr>
                <w:rFonts w:ascii="Arial Narrow" w:hAnsi="Arial Narrow"/>
                <w:sz w:val="20"/>
              </w:rPr>
              <w:t>Angina episodes per week</w:t>
            </w:r>
          </w:p>
        </w:tc>
        <w:tc>
          <w:tcPr>
            <w:tcW w:w="1294" w:type="dxa"/>
          </w:tcPr>
          <w:p w:rsidR="00886F74" w:rsidRPr="00886F74" w:rsidRDefault="00886F74" w:rsidP="00142D19">
            <w:pPr>
              <w:widowControl/>
              <w:jc w:val="center"/>
              <w:rPr>
                <w:rFonts w:ascii="Arial Narrow" w:hAnsi="Arial Narrow"/>
                <w:sz w:val="20"/>
              </w:rPr>
            </w:pPr>
            <w:r w:rsidRPr="00886F74">
              <w:rPr>
                <w:rFonts w:ascii="Arial Narrow" w:hAnsi="Arial Narrow"/>
                <w:sz w:val="20"/>
              </w:rPr>
              <w:t>-2.3</w:t>
            </w:r>
          </w:p>
        </w:tc>
        <w:tc>
          <w:tcPr>
            <w:tcW w:w="992" w:type="dxa"/>
          </w:tcPr>
          <w:p w:rsidR="00886F74" w:rsidRPr="00886F74" w:rsidRDefault="00886F74" w:rsidP="00142D19">
            <w:pPr>
              <w:widowControl/>
              <w:jc w:val="center"/>
              <w:rPr>
                <w:rFonts w:ascii="Arial Narrow" w:hAnsi="Arial Narrow"/>
                <w:sz w:val="20"/>
              </w:rPr>
            </w:pPr>
            <w:r w:rsidRPr="00886F74">
              <w:rPr>
                <w:rFonts w:ascii="Arial Narrow" w:hAnsi="Arial Narrow"/>
                <w:sz w:val="20"/>
              </w:rPr>
              <w:t>-0.9</w:t>
            </w:r>
          </w:p>
        </w:tc>
        <w:tc>
          <w:tcPr>
            <w:tcW w:w="3402" w:type="dxa"/>
          </w:tcPr>
          <w:p w:rsidR="00886F74" w:rsidRPr="00886F74" w:rsidRDefault="00886F74" w:rsidP="00142D19">
            <w:pPr>
              <w:widowControl/>
              <w:rPr>
                <w:rFonts w:ascii="Arial Narrow" w:hAnsi="Arial Narrow"/>
                <w:sz w:val="20"/>
              </w:rPr>
            </w:pPr>
            <w:r w:rsidRPr="00886F74">
              <w:rPr>
                <w:rFonts w:ascii="Arial Narrow" w:hAnsi="Arial Narrow"/>
                <w:sz w:val="20"/>
              </w:rPr>
              <w:t>Lopez Sendon et al 2012</w:t>
            </w:r>
          </w:p>
        </w:tc>
      </w:tr>
      <w:tr w:rsidR="00886F74" w:rsidRPr="00886F74" w:rsidTr="00301732">
        <w:tc>
          <w:tcPr>
            <w:tcW w:w="2817" w:type="dxa"/>
          </w:tcPr>
          <w:p w:rsidR="00886F74" w:rsidRPr="00886F74" w:rsidRDefault="00886F74" w:rsidP="00142D19">
            <w:pPr>
              <w:widowControl/>
              <w:rPr>
                <w:rFonts w:ascii="Arial Narrow" w:hAnsi="Arial Narrow"/>
                <w:sz w:val="20"/>
              </w:rPr>
            </w:pPr>
            <w:r w:rsidRPr="00886F74">
              <w:rPr>
                <w:rFonts w:ascii="Arial Narrow" w:hAnsi="Arial Narrow"/>
                <w:sz w:val="20"/>
              </w:rPr>
              <w:t>Nitroglycerin use per week</w:t>
            </w:r>
          </w:p>
        </w:tc>
        <w:tc>
          <w:tcPr>
            <w:tcW w:w="1294" w:type="dxa"/>
          </w:tcPr>
          <w:p w:rsidR="00886F74" w:rsidRPr="00886F74" w:rsidRDefault="00886F74" w:rsidP="00142D19">
            <w:pPr>
              <w:widowControl/>
              <w:jc w:val="center"/>
              <w:rPr>
                <w:rFonts w:ascii="Arial Narrow" w:hAnsi="Arial Narrow"/>
                <w:sz w:val="20"/>
              </w:rPr>
            </w:pPr>
            <w:r w:rsidRPr="00886F74">
              <w:rPr>
                <w:rFonts w:ascii="Arial Narrow" w:hAnsi="Arial Narrow"/>
                <w:sz w:val="20"/>
              </w:rPr>
              <w:t>-2.5</w:t>
            </w:r>
          </w:p>
        </w:tc>
        <w:tc>
          <w:tcPr>
            <w:tcW w:w="992" w:type="dxa"/>
          </w:tcPr>
          <w:p w:rsidR="00886F74" w:rsidRPr="00886F74" w:rsidRDefault="00886F74" w:rsidP="00142D19">
            <w:pPr>
              <w:widowControl/>
              <w:jc w:val="center"/>
              <w:rPr>
                <w:rFonts w:ascii="Arial Narrow" w:hAnsi="Arial Narrow"/>
                <w:sz w:val="20"/>
              </w:rPr>
            </w:pPr>
            <w:r w:rsidRPr="00886F74">
              <w:rPr>
                <w:rFonts w:ascii="Arial Narrow" w:hAnsi="Arial Narrow"/>
                <w:sz w:val="20"/>
              </w:rPr>
              <w:t>-0.4</w:t>
            </w:r>
          </w:p>
        </w:tc>
        <w:tc>
          <w:tcPr>
            <w:tcW w:w="3402" w:type="dxa"/>
          </w:tcPr>
          <w:p w:rsidR="00886F74" w:rsidRPr="00886F74" w:rsidRDefault="00886F74" w:rsidP="00142D19">
            <w:pPr>
              <w:widowControl/>
              <w:rPr>
                <w:rFonts w:ascii="Arial Narrow" w:hAnsi="Arial Narrow"/>
                <w:sz w:val="20"/>
              </w:rPr>
            </w:pPr>
            <w:r w:rsidRPr="00886F74">
              <w:rPr>
                <w:rFonts w:ascii="Arial Narrow" w:hAnsi="Arial Narrow"/>
                <w:sz w:val="20"/>
              </w:rPr>
              <w:t>Lopez Sendon et al 2012</w:t>
            </w:r>
          </w:p>
        </w:tc>
      </w:tr>
      <w:tr w:rsidR="00301732" w:rsidRPr="00886F74" w:rsidTr="00202246">
        <w:tc>
          <w:tcPr>
            <w:tcW w:w="8505" w:type="dxa"/>
            <w:gridSpan w:val="4"/>
          </w:tcPr>
          <w:p w:rsidR="00301732" w:rsidRPr="00886F74" w:rsidRDefault="00301732" w:rsidP="00142D19">
            <w:pPr>
              <w:widowControl/>
              <w:rPr>
                <w:rFonts w:ascii="Arial Narrow" w:hAnsi="Arial Narrow"/>
                <w:sz w:val="20"/>
              </w:rPr>
            </w:pPr>
            <w:r w:rsidRPr="00886F74">
              <w:rPr>
                <w:rFonts w:ascii="Arial Narrow" w:hAnsi="Arial Narrow"/>
                <w:b/>
                <w:sz w:val="20"/>
              </w:rPr>
              <w:t>Adverse Events (rate/month)</w:t>
            </w:r>
          </w:p>
        </w:tc>
      </w:tr>
      <w:tr w:rsidR="00886F74" w:rsidRPr="00886F74" w:rsidTr="00301732">
        <w:tc>
          <w:tcPr>
            <w:tcW w:w="2817" w:type="dxa"/>
          </w:tcPr>
          <w:p w:rsidR="00886F74" w:rsidRPr="00886F74" w:rsidRDefault="00886F74" w:rsidP="00142D19">
            <w:pPr>
              <w:widowControl/>
              <w:rPr>
                <w:rFonts w:ascii="Arial Narrow" w:hAnsi="Arial Narrow"/>
                <w:sz w:val="20"/>
              </w:rPr>
            </w:pPr>
            <w:r w:rsidRPr="00886F74">
              <w:rPr>
                <w:rFonts w:ascii="Arial Narrow" w:hAnsi="Arial Narrow"/>
                <w:sz w:val="20"/>
              </w:rPr>
              <w:t>Months 1 to 3</w:t>
            </w:r>
          </w:p>
        </w:tc>
        <w:tc>
          <w:tcPr>
            <w:tcW w:w="1294" w:type="dxa"/>
          </w:tcPr>
          <w:p w:rsidR="00886F74" w:rsidRPr="00886F74" w:rsidRDefault="00886F74" w:rsidP="00142D19">
            <w:pPr>
              <w:widowControl/>
              <w:jc w:val="center"/>
              <w:rPr>
                <w:rFonts w:ascii="Arial Narrow" w:hAnsi="Arial Narrow"/>
                <w:sz w:val="20"/>
              </w:rPr>
            </w:pPr>
            <w:r w:rsidRPr="00886F74">
              <w:rPr>
                <w:rFonts w:ascii="Arial Narrow" w:hAnsi="Arial Narrow"/>
                <w:sz w:val="20"/>
              </w:rPr>
              <w:t>12.5%</w:t>
            </w:r>
          </w:p>
        </w:tc>
        <w:tc>
          <w:tcPr>
            <w:tcW w:w="992" w:type="dxa"/>
          </w:tcPr>
          <w:p w:rsidR="00886F74" w:rsidRPr="00886F74" w:rsidRDefault="00886F74" w:rsidP="00142D19">
            <w:pPr>
              <w:widowControl/>
              <w:jc w:val="center"/>
              <w:rPr>
                <w:rFonts w:ascii="Arial Narrow" w:hAnsi="Arial Narrow"/>
                <w:sz w:val="20"/>
              </w:rPr>
            </w:pPr>
            <w:r w:rsidRPr="00886F74">
              <w:rPr>
                <w:rFonts w:ascii="Arial Narrow" w:hAnsi="Arial Narrow"/>
                <w:sz w:val="20"/>
              </w:rPr>
              <w:t>2.9%</w:t>
            </w:r>
          </w:p>
        </w:tc>
        <w:tc>
          <w:tcPr>
            <w:tcW w:w="3402" w:type="dxa"/>
          </w:tcPr>
          <w:p w:rsidR="00886F74" w:rsidRPr="00886F74" w:rsidRDefault="00886F74" w:rsidP="00142D19">
            <w:pPr>
              <w:widowControl/>
              <w:rPr>
                <w:rFonts w:ascii="Arial Narrow" w:hAnsi="Arial Narrow"/>
                <w:sz w:val="20"/>
              </w:rPr>
            </w:pPr>
            <w:r w:rsidRPr="00886F74">
              <w:rPr>
                <w:rFonts w:ascii="Arial Narrow" w:hAnsi="Arial Narrow"/>
                <w:sz w:val="20"/>
              </w:rPr>
              <w:t>CARISA</w:t>
            </w:r>
          </w:p>
        </w:tc>
      </w:tr>
      <w:tr w:rsidR="00886F74" w:rsidRPr="00886F74" w:rsidTr="00301732">
        <w:tc>
          <w:tcPr>
            <w:tcW w:w="2817" w:type="dxa"/>
          </w:tcPr>
          <w:p w:rsidR="00886F74" w:rsidRPr="00886F74" w:rsidRDefault="00886F74" w:rsidP="00142D19">
            <w:pPr>
              <w:widowControl/>
              <w:rPr>
                <w:rFonts w:ascii="Arial Narrow" w:hAnsi="Arial Narrow"/>
                <w:sz w:val="20"/>
              </w:rPr>
            </w:pPr>
            <w:r w:rsidRPr="00886F74">
              <w:rPr>
                <w:rFonts w:ascii="Arial Narrow" w:hAnsi="Arial Narrow"/>
                <w:sz w:val="20"/>
              </w:rPr>
              <w:t>Months 4 to 12</w:t>
            </w:r>
          </w:p>
        </w:tc>
        <w:tc>
          <w:tcPr>
            <w:tcW w:w="1294" w:type="dxa"/>
          </w:tcPr>
          <w:p w:rsidR="00886F74" w:rsidRPr="00886F74" w:rsidRDefault="00886F74" w:rsidP="00142D19">
            <w:pPr>
              <w:widowControl/>
              <w:jc w:val="center"/>
              <w:rPr>
                <w:rFonts w:ascii="Arial Narrow" w:hAnsi="Arial Narrow"/>
                <w:sz w:val="20"/>
              </w:rPr>
            </w:pPr>
            <w:r w:rsidRPr="00886F74">
              <w:rPr>
                <w:rFonts w:ascii="Arial Narrow" w:hAnsi="Arial Narrow"/>
                <w:sz w:val="20"/>
              </w:rPr>
              <w:t>1.2%</w:t>
            </w:r>
          </w:p>
        </w:tc>
        <w:tc>
          <w:tcPr>
            <w:tcW w:w="992" w:type="dxa"/>
          </w:tcPr>
          <w:p w:rsidR="00886F74" w:rsidRPr="00886F74" w:rsidRDefault="00886F74" w:rsidP="00142D19">
            <w:pPr>
              <w:widowControl/>
              <w:jc w:val="center"/>
              <w:rPr>
                <w:rFonts w:ascii="Arial Narrow" w:hAnsi="Arial Narrow"/>
                <w:sz w:val="20"/>
              </w:rPr>
            </w:pPr>
            <w:r w:rsidRPr="00886F74">
              <w:rPr>
                <w:rFonts w:ascii="Arial Narrow" w:hAnsi="Arial Narrow"/>
                <w:sz w:val="20"/>
              </w:rPr>
              <w:t>0.5%</w:t>
            </w:r>
          </w:p>
        </w:tc>
        <w:tc>
          <w:tcPr>
            <w:tcW w:w="3402" w:type="dxa"/>
          </w:tcPr>
          <w:p w:rsidR="00886F74" w:rsidRDefault="00886F74" w:rsidP="00142D19">
            <w:pPr>
              <w:widowControl/>
              <w:rPr>
                <w:rFonts w:ascii="Arial Narrow" w:hAnsi="Arial Narrow"/>
                <w:sz w:val="20"/>
              </w:rPr>
            </w:pPr>
            <w:r w:rsidRPr="00886F74">
              <w:rPr>
                <w:rFonts w:ascii="Arial Narrow" w:hAnsi="Arial Narrow"/>
                <w:sz w:val="20"/>
              </w:rPr>
              <w:t xml:space="preserve">CARISA + open label follow-up. </w:t>
            </w:r>
          </w:p>
          <w:p w:rsidR="00886F74" w:rsidRPr="00886F74" w:rsidRDefault="00886F74" w:rsidP="00142D19">
            <w:pPr>
              <w:widowControl/>
              <w:rPr>
                <w:rFonts w:ascii="Arial Narrow" w:hAnsi="Arial Narrow"/>
                <w:sz w:val="20"/>
              </w:rPr>
            </w:pPr>
            <w:r w:rsidRPr="00886F74">
              <w:rPr>
                <w:rFonts w:ascii="Arial Narrow" w:hAnsi="Arial Narrow"/>
                <w:sz w:val="20"/>
              </w:rPr>
              <w:t>Placebo rate extrapolated</w:t>
            </w:r>
          </w:p>
        </w:tc>
      </w:tr>
      <w:tr w:rsidR="00301732" w:rsidRPr="00886F74" w:rsidTr="00202246">
        <w:tc>
          <w:tcPr>
            <w:tcW w:w="8505" w:type="dxa"/>
            <w:gridSpan w:val="4"/>
          </w:tcPr>
          <w:p w:rsidR="00301732" w:rsidRPr="00886F74" w:rsidRDefault="00301732" w:rsidP="00142D19">
            <w:pPr>
              <w:widowControl/>
              <w:rPr>
                <w:rFonts w:ascii="Arial Narrow" w:hAnsi="Arial Narrow"/>
                <w:sz w:val="20"/>
              </w:rPr>
            </w:pPr>
            <w:r w:rsidRPr="00886F74">
              <w:rPr>
                <w:rFonts w:ascii="Arial Narrow" w:hAnsi="Arial Narrow"/>
                <w:b/>
                <w:sz w:val="20"/>
              </w:rPr>
              <w:t>Withdrawals due to AEs</w:t>
            </w:r>
          </w:p>
        </w:tc>
      </w:tr>
      <w:tr w:rsidR="00886F74" w:rsidRPr="00886F74" w:rsidTr="00301732">
        <w:tc>
          <w:tcPr>
            <w:tcW w:w="2817" w:type="dxa"/>
          </w:tcPr>
          <w:p w:rsidR="00886F74" w:rsidRPr="00886F74" w:rsidRDefault="00886F74" w:rsidP="00142D19">
            <w:pPr>
              <w:widowControl/>
              <w:rPr>
                <w:rFonts w:ascii="Arial Narrow" w:hAnsi="Arial Narrow"/>
                <w:sz w:val="20"/>
              </w:rPr>
            </w:pPr>
            <w:r w:rsidRPr="00886F74">
              <w:rPr>
                <w:rFonts w:ascii="Arial Narrow" w:hAnsi="Arial Narrow"/>
                <w:sz w:val="20"/>
              </w:rPr>
              <w:t>Months 1 to 3</w:t>
            </w:r>
          </w:p>
        </w:tc>
        <w:tc>
          <w:tcPr>
            <w:tcW w:w="1294" w:type="dxa"/>
          </w:tcPr>
          <w:p w:rsidR="00886F74" w:rsidRPr="00886F74" w:rsidRDefault="00886F74" w:rsidP="00142D19">
            <w:pPr>
              <w:widowControl/>
              <w:jc w:val="center"/>
              <w:rPr>
                <w:rFonts w:ascii="Arial Narrow" w:hAnsi="Arial Narrow"/>
                <w:sz w:val="20"/>
              </w:rPr>
            </w:pPr>
            <w:r w:rsidRPr="00886F74">
              <w:rPr>
                <w:rFonts w:ascii="Arial Narrow" w:hAnsi="Arial Narrow"/>
                <w:sz w:val="20"/>
              </w:rPr>
              <w:t>54%</w:t>
            </w:r>
          </w:p>
        </w:tc>
        <w:tc>
          <w:tcPr>
            <w:tcW w:w="992" w:type="dxa"/>
          </w:tcPr>
          <w:p w:rsidR="00886F74" w:rsidRPr="00886F74" w:rsidRDefault="00886F74" w:rsidP="00142D19">
            <w:pPr>
              <w:widowControl/>
              <w:jc w:val="center"/>
              <w:rPr>
                <w:rFonts w:ascii="Arial Narrow" w:hAnsi="Arial Narrow"/>
                <w:sz w:val="20"/>
              </w:rPr>
            </w:pPr>
            <w:r w:rsidRPr="00886F74">
              <w:rPr>
                <w:rFonts w:ascii="Arial Narrow" w:hAnsi="Arial Narrow"/>
                <w:sz w:val="20"/>
              </w:rPr>
              <w:t>94%</w:t>
            </w:r>
          </w:p>
        </w:tc>
        <w:tc>
          <w:tcPr>
            <w:tcW w:w="3402" w:type="dxa"/>
          </w:tcPr>
          <w:p w:rsidR="00886F74" w:rsidRPr="00886F74" w:rsidRDefault="00886F74" w:rsidP="00142D19">
            <w:pPr>
              <w:widowControl/>
              <w:rPr>
                <w:rFonts w:ascii="Arial Narrow" w:hAnsi="Arial Narrow"/>
                <w:sz w:val="20"/>
              </w:rPr>
            </w:pPr>
            <w:r w:rsidRPr="00886F74">
              <w:rPr>
                <w:rFonts w:ascii="Arial Narrow" w:hAnsi="Arial Narrow"/>
                <w:sz w:val="20"/>
              </w:rPr>
              <w:t>CARISA</w:t>
            </w:r>
          </w:p>
        </w:tc>
      </w:tr>
      <w:tr w:rsidR="00886F74" w:rsidRPr="00886F74" w:rsidTr="00301732">
        <w:tc>
          <w:tcPr>
            <w:tcW w:w="2817" w:type="dxa"/>
          </w:tcPr>
          <w:p w:rsidR="00886F74" w:rsidRPr="00886F74" w:rsidRDefault="00886F74" w:rsidP="00142D19">
            <w:pPr>
              <w:widowControl/>
              <w:rPr>
                <w:rFonts w:ascii="Arial Narrow" w:hAnsi="Arial Narrow"/>
                <w:sz w:val="20"/>
              </w:rPr>
            </w:pPr>
            <w:r w:rsidRPr="00886F74">
              <w:rPr>
                <w:rFonts w:ascii="Arial Narrow" w:hAnsi="Arial Narrow"/>
                <w:sz w:val="20"/>
              </w:rPr>
              <w:t>Months 4 to 12</w:t>
            </w:r>
          </w:p>
        </w:tc>
        <w:tc>
          <w:tcPr>
            <w:tcW w:w="1294" w:type="dxa"/>
          </w:tcPr>
          <w:p w:rsidR="00886F74" w:rsidRPr="00886F74" w:rsidRDefault="00886F74" w:rsidP="00142D19">
            <w:pPr>
              <w:widowControl/>
              <w:jc w:val="center"/>
              <w:rPr>
                <w:rFonts w:ascii="Arial Narrow" w:hAnsi="Arial Narrow"/>
                <w:sz w:val="20"/>
              </w:rPr>
            </w:pPr>
            <w:r w:rsidRPr="00886F74">
              <w:rPr>
                <w:rFonts w:ascii="Arial Narrow" w:hAnsi="Arial Narrow"/>
                <w:sz w:val="20"/>
              </w:rPr>
              <w:t>54%</w:t>
            </w:r>
          </w:p>
        </w:tc>
        <w:tc>
          <w:tcPr>
            <w:tcW w:w="992" w:type="dxa"/>
          </w:tcPr>
          <w:p w:rsidR="00886F74" w:rsidRPr="00886F74" w:rsidRDefault="00886F74" w:rsidP="00142D19">
            <w:pPr>
              <w:widowControl/>
              <w:jc w:val="center"/>
              <w:rPr>
                <w:rFonts w:ascii="Arial Narrow" w:hAnsi="Arial Narrow"/>
                <w:sz w:val="20"/>
              </w:rPr>
            </w:pPr>
            <w:r w:rsidRPr="00886F74">
              <w:rPr>
                <w:rFonts w:ascii="Arial Narrow" w:hAnsi="Arial Narrow"/>
                <w:sz w:val="20"/>
              </w:rPr>
              <w:t>54%</w:t>
            </w:r>
          </w:p>
        </w:tc>
        <w:tc>
          <w:tcPr>
            <w:tcW w:w="3402" w:type="dxa"/>
          </w:tcPr>
          <w:p w:rsidR="00886F74" w:rsidRDefault="00886F74" w:rsidP="00142D19">
            <w:pPr>
              <w:widowControl/>
              <w:rPr>
                <w:rFonts w:ascii="Arial Narrow" w:hAnsi="Arial Narrow"/>
                <w:sz w:val="20"/>
              </w:rPr>
            </w:pPr>
            <w:r w:rsidRPr="00886F74">
              <w:rPr>
                <w:rFonts w:ascii="Arial Narrow" w:hAnsi="Arial Narrow"/>
                <w:sz w:val="20"/>
              </w:rPr>
              <w:t xml:space="preserve">CARISA + open label follow-up. </w:t>
            </w:r>
          </w:p>
          <w:p w:rsidR="00886F74" w:rsidRPr="00886F74" w:rsidRDefault="00886F74" w:rsidP="00142D19">
            <w:pPr>
              <w:widowControl/>
              <w:rPr>
                <w:rFonts w:ascii="Arial Narrow" w:hAnsi="Arial Narrow"/>
                <w:sz w:val="20"/>
              </w:rPr>
            </w:pPr>
            <w:r w:rsidRPr="00886F74">
              <w:rPr>
                <w:rFonts w:ascii="Arial Narrow" w:hAnsi="Arial Narrow"/>
                <w:sz w:val="20"/>
              </w:rPr>
              <w:t>Placebo rate extrapolated</w:t>
            </w:r>
          </w:p>
        </w:tc>
      </w:tr>
      <w:tr w:rsidR="00886F74" w:rsidRPr="00886F74" w:rsidTr="00301732">
        <w:tc>
          <w:tcPr>
            <w:tcW w:w="2817" w:type="dxa"/>
          </w:tcPr>
          <w:p w:rsidR="00886F74" w:rsidRPr="00886F74" w:rsidRDefault="00886F74" w:rsidP="00142D19">
            <w:pPr>
              <w:widowControl/>
              <w:rPr>
                <w:rFonts w:ascii="Arial Narrow" w:hAnsi="Arial Narrow"/>
                <w:sz w:val="20"/>
              </w:rPr>
            </w:pPr>
            <w:r w:rsidRPr="00886F74">
              <w:rPr>
                <w:rFonts w:ascii="Arial Narrow" w:hAnsi="Arial Narrow"/>
                <w:sz w:val="20"/>
              </w:rPr>
              <w:t>Hospitalisations</w:t>
            </w:r>
          </w:p>
        </w:tc>
        <w:tc>
          <w:tcPr>
            <w:tcW w:w="1294" w:type="dxa"/>
          </w:tcPr>
          <w:p w:rsidR="00886F74" w:rsidRPr="00886F74" w:rsidRDefault="00886F74" w:rsidP="00142D19">
            <w:pPr>
              <w:widowControl/>
              <w:jc w:val="center"/>
              <w:rPr>
                <w:rFonts w:ascii="Arial Narrow" w:hAnsi="Arial Narrow"/>
                <w:sz w:val="20"/>
              </w:rPr>
            </w:pPr>
            <w:r w:rsidRPr="00886F74">
              <w:rPr>
                <w:rFonts w:ascii="Arial Narrow" w:hAnsi="Arial Narrow"/>
                <w:sz w:val="20"/>
              </w:rPr>
              <w:t>5.2%</w:t>
            </w:r>
          </w:p>
        </w:tc>
        <w:tc>
          <w:tcPr>
            <w:tcW w:w="992" w:type="dxa"/>
          </w:tcPr>
          <w:p w:rsidR="00886F74" w:rsidRPr="00886F74" w:rsidRDefault="00886F74" w:rsidP="00142D19">
            <w:pPr>
              <w:widowControl/>
              <w:jc w:val="center"/>
              <w:rPr>
                <w:rFonts w:ascii="Arial Narrow" w:hAnsi="Arial Narrow"/>
                <w:sz w:val="20"/>
              </w:rPr>
            </w:pPr>
            <w:r w:rsidRPr="00886F74">
              <w:rPr>
                <w:rFonts w:ascii="Arial Narrow" w:hAnsi="Arial Narrow"/>
                <w:sz w:val="20"/>
              </w:rPr>
              <w:t>6.6%</w:t>
            </w:r>
          </w:p>
        </w:tc>
        <w:tc>
          <w:tcPr>
            <w:tcW w:w="3402" w:type="dxa"/>
          </w:tcPr>
          <w:p w:rsidR="00886F74" w:rsidRPr="00886F74" w:rsidRDefault="00886F74" w:rsidP="00142D19">
            <w:pPr>
              <w:widowControl/>
              <w:rPr>
                <w:rFonts w:ascii="Arial Narrow" w:hAnsi="Arial Narrow"/>
                <w:sz w:val="20"/>
              </w:rPr>
            </w:pPr>
            <w:r w:rsidRPr="00886F74">
              <w:rPr>
                <w:rFonts w:ascii="Arial Narrow" w:hAnsi="Arial Narrow"/>
                <w:sz w:val="20"/>
              </w:rPr>
              <w:t>Phelps et al 2012</w:t>
            </w:r>
          </w:p>
        </w:tc>
      </w:tr>
      <w:tr w:rsidR="00886F74" w:rsidRPr="00886F74" w:rsidTr="00301732">
        <w:tc>
          <w:tcPr>
            <w:tcW w:w="2817" w:type="dxa"/>
          </w:tcPr>
          <w:p w:rsidR="00886F74" w:rsidRPr="00886F74" w:rsidRDefault="00886F74" w:rsidP="00142D19">
            <w:pPr>
              <w:widowControl/>
              <w:rPr>
                <w:rFonts w:ascii="Arial Narrow" w:hAnsi="Arial Narrow"/>
                <w:sz w:val="20"/>
              </w:rPr>
            </w:pPr>
            <w:r w:rsidRPr="00886F74">
              <w:rPr>
                <w:rFonts w:ascii="Arial Narrow" w:hAnsi="Arial Narrow"/>
                <w:sz w:val="20"/>
              </w:rPr>
              <w:t>Revascularisation</w:t>
            </w:r>
          </w:p>
        </w:tc>
        <w:tc>
          <w:tcPr>
            <w:tcW w:w="1294" w:type="dxa"/>
          </w:tcPr>
          <w:p w:rsidR="00886F74" w:rsidRPr="00886F74" w:rsidRDefault="00886F74" w:rsidP="00142D19">
            <w:pPr>
              <w:widowControl/>
              <w:jc w:val="center"/>
              <w:rPr>
                <w:rFonts w:ascii="Arial Narrow" w:hAnsi="Arial Narrow"/>
                <w:sz w:val="20"/>
              </w:rPr>
            </w:pPr>
            <w:r w:rsidRPr="00886F74">
              <w:rPr>
                <w:rFonts w:ascii="Arial Narrow" w:hAnsi="Arial Narrow"/>
                <w:sz w:val="20"/>
              </w:rPr>
              <w:t>1.7%</w:t>
            </w:r>
          </w:p>
        </w:tc>
        <w:tc>
          <w:tcPr>
            <w:tcW w:w="992" w:type="dxa"/>
          </w:tcPr>
          <w:p w:rsidR="00886F74" w:rsidRPr="00886F74" w:rsidRDefault="00886F74" w:rsidP="00142D19">
            <w:pPr>
              <w:widowControl/>
              <w:jc w:val="center"/>
              <w:rPr>
                <w:rFonts w:ascii="Arial Narrow" w:hAnsi="Arial Narrow"/>
                <w:sz w:val="20"/>
              </w:rPr>
            </w:pPr>
            <w:r w:rsidRPr="00886F74">
              <w:rPr>
                <w:rFonts w:ascii="Arial Narrow" w:hAnsi="Arial Narrow"/>
                <w:sz w:val="20"/>
              </w:rPr>
              <w:t>2.8%</w:t>
            </w:r>
          </w:p>
        </w:tc>
        <w:tc>
          <w:tcPr>
            <w:tcW w:w="3402" w:type="dxa"/>
          </w:tcPr>
          <w:p w:rsidR="00886F74" w:rsidRPr="00886F74" w:rsidRDefault="00886F74" w:rsidP="00142D19">
            <w:pPr>
              <w:widowControl/>
              <w:rPr>
                <w:rFonts w:ascii="Arial Narrow" w:hAnsi="Arial Narrow"/>
                <w:sz w:val="20"/>
              </w:rPr>
            </w:pPr>
            <w:r w:rsidRPr="00886F74">
              <w:rPr>
                <w:rFonts w:ascii="Arial Narrow" w:hAnsi="Arial Narrow"/>
                <w:sz w:val="20"/>
              </w:rPr>
              <w:t>Phelps et al 2012 – sensitivity only</w:t>
            </w:r>
          </w:p>
        </w:tc>
      </w:tr>
      <w:tr w:rsidR="00886F74" w:rsidRPr="00886F74" w:rsidTr="00301732">
        <w:tc>
          <w:tcPr>
            <w:tcW w:w="2817" w:type="dxa"/>
          </w:tcPr>
          <w:p w:rsidR="00886F74" w:rsidRPr="00886F74" w:rsidRDefault="00886F74" w:rsidP="00142D19">
            <w:pPr>
              <w:widowControl/>
              <w:rPr>
                <w:rFonts w:ascii="Arial Narrow" w:hAnsi="Arial Narrow"/>
                <w:sz w:val="20"/>
              </w:rPr>
            </w:pPr>
            <w:r w:rsidRPr="00886F74">
              <w:rPr>
                <w:rFonts w:ascii="Arial Narrow" w:hAnsi="Arial Narrow"/>
                <w:sz w:val="20"/>
              </w:rPr>
              <w:t>Proportion of revascularisations that are PCI</w:t>
            </w:r>
          </w:p>
        </w:tc>
        <w:tc>
          <w:tcPr>
            <w:tcW w:w="1294" w:type="dxa"/>
          </w:tcPr>
          <w:p w:rsidR="00886F74" w:rsidRPr="00886F74" w:rsidRDefault="00886F74" w:rsidP="00142D19">
            <w:pPr>
              <w:widowControl/>
              <w:jc w:val="center"/>
              <w:rPr>
                <w:rFonts w:ascii="Arial Narrow" w:hAnsi="Arial Narrow"/>
                <w:sz w:val="20"/>
              </w:rPr>
            </w:pPr>
            <w:r w:rsidRPr="00886F74">
              <w:rPr>
                <w:rFonts w:ascii="Arial Narrow" w:hAnsi="Arial Narrow"/>
                <w:sz w:val="20"/>
              </w:rPr>
              <w:t>80.2%</w:t>
            </w:r>
          </w:p>
        </w:tc>
        <w:tc>
          <w:tcPr>
            <w:tcW w:w="992" w:type="dxa"/>
          </w:tcPr>
          <w:p w:rsidR="00886F74" w:rsidRPr="00886F74" w:rsidRDefault="00886F74" w:rsidP="00142D19">
            <w:pPr>
              <w:widowControl/>
              <w:jc w:val="center"/>
              <w:rPr>
                <w:rFonts w:ascii="Arial Narrow" w:hAnsi="Arial Narrow"/>
                <w:sz w:val="20"/>
              </w:rPr>
            </w:pPr>
            <w:r w:rsidRPr="00886F74">
              <w:rPr>
                <w:rFonts w:ascii="Arial Narrow" w:hAnsi="Arial Narrow"/>
                <w:sz w:val="20"/>
              </w:rPr>
              <w:t>74.8%</w:t>
            </w:r>
          </w:p>
        </w:tc>
        <w:tc>
          <w:tcPr>
            <w:tcW w:w="3402" w:type="dxa"/>
          </w:tcPr>
          <w:p w:rsidR="00886F74" w:rsidRPr="00886F74" w:rsidRDefault="00886F74" w:rsidP="00142D19">
            <w:pPr>
              <w:widowControl/>
              <w:rPr>
                <w:rFonts w:ascii="Arial Narrow" w:hAnsi="Arial Narrow"/>
                <w:sz w:val="20"/>
              </w:rPr>
            </w:pPr>
            <w:r w:rsidRPr="00886F74">
              <w:rPr>
                <w:rFonts w:ascii="Arial Narrow" w:hAnsi="Arial Narrow"/>
                <w:sz w:val="20"/>
              </w:rPr>
              <w:t>Phelps et al 2012 – sensitivity only</w:t>
            </w:r>
          </w:p>
        </w:tc>
      </w:tr>
      <w:tr w:rsidR="00886F74" w:rsidRPr="00886F74" w:rsidTr="00301732">
        <w:tc>
          <w:tcPr>
            <w:tcW w:w="2817" w:type="dxa"/>
          </w:tcPr>
          <w:p w:rsidR="00886F74" w:rsidRPr="00886F74" w:rsidRDefault="00886F74" w:rsidP="00142D19">
            <w:pPr>
              <w:widowControl/>
              <w:rPr>
                <w:rFonts w:ascii="Arial Narrow" w:hAnsi="Arial Narrow"/>
                <w:sz w:val="20"/>
              </w:rPr>
            </w:pPr>
            <w:r w:rsidRPr="00886F74">
              <w:rPr>
                <w:rFonts w:ascii="Arial Narrow" w:hAnsi="Arial Narrow"/>
                <w:sz w:val="20"/>
              </w:rPr>
              <w:t>Background Death</w:t>
            </w:r>
          </w:p>
        </w:tc>
        <w:tc>
          <w:tcPr>
            <w:tcW w:w="5688" w:type="dxa"/>
            <w:gridSpan w:val="3"/>
          </w:tcPr>
          <w:p w:rsidR="00886F74" w:rsidRPr="00886F74" w:rsidRDefault="00886F74" w:rsidP="00142D19">
            <w:pPr>
              <w:widowControl/>
              <w:rPr>
                <w:rFonts w:ascii="Arial Narrow" w:hAnsi="Arial Narrow"/>
                <w:sz w:val="20"/>
              </w:rPr>
            </w:pPr>
            <w:r w:rsidRPr="00886F74">
              <w:rPr>
                <w:rFonts w:ascii="Arial Narrow" w:hAnsi="Arial Narrow"/>
                <w:sz w:val="20"/>
              </w:rPr>
              <w:t>As per ABS life tables by age and gender</w:t>
            </w:r>
          </w:p>
        </w:tc>
      </w:tr>
      <w:tr w:rsidR="00301732" w:rsidRPr="00886F74" w:rsidTr="00202246">
        <w:tc>
          <w:tcPr>
            <w:tcW w:w="8505" w:type="dxa"/>
            <w:gridSpan w:val="4"/>
          </w:tcPr>
          <w:p w:rsidR="00301732" w:rsidRPr="00886F74" w:rsidRDefault="00301732" w:rsidP="00142D19">
            <w:pPr>
              <w:widowControl/>
              <w:rPr>
                <w:rFonts w:ascii="Arial Narrow" w:hAnsi="Arial Narrow"/>
                <w:sz w:val="20"/>
              </w:rPr>
            </w:pPr>
            <w:r w:rsidRPr="00886F74">
              <w:rPr>
                <w:rFonts w:ascii="Arial Narrow" w:hAnsi="Arial Narrow"/>
                <w:b/>
                <w:sz w:val="20"/>
              </w:rPr>
              <w:t>Quality of life</w:t>
            </w:r>
          </w:p>
        </w:tc>
      </w:tr>
      <w:tr w:rsidR="00886F74" w:rsidRPr="00886F74" w:rsidTr="00301732">
        <w:tc>
          <w:tcPr>
            <w:tcW w:w="2817" w:type="dxa"/>
          </w:tcPr>
          <w:p w:rsidR="00886F74" w:rsidRPr="00886F74" w:rsidRDefault="00886F74" w:rsidP="00142D19">
            <w:pPr>
              <w:widowControl/>
              <w:rPr>
                <w:rFonts w:ascii="Arial Narrow" w:hAnsi="Arial Narrow"/>
                <w:sz w:val="20"/>
              </w:rPr>
            </w:pPr>
            <w:r w:rsidRPr="00886F74">
              <w:rPr>
                <w:rFonts w:ascii="Arial Narrow" w:hAnsi="Arial Narrow"/>
                <w:sz w:val="20"/>
              </w:rPr>
              <w:t>Symptomatic stable angina</w:t>
            </w:r>
          </w:p>
        </w:tc>
        <w:tc>
          <w:tcPr>
            <w:tcW w:w="1294" w:type="dxa"/>
          </w:tcPr>
          <w:p w:rsidR="00886F74" w:rsidRPr="00886F74" w:rsidRDefault="00886F74" w:rsidP="00142D19">
            <w:pPr>
              <w:widowControl/>
              <w:jc w:val="center"/>
              <w:rPr>
                <w:rFonts w:ascii="Arial Narrow" w:hAnsi="Arial Narrow"/>
                <w:sz w:val="20"/>
              </w:rPr>
            </w:pPr>
            <w:r w:rsidRPr="00886F74">
              <w:rPr>
                <w:rFonts w:ascii="Arial Narrow" w:hAnsi="Arial Narrow"/>
                <w:sz w:val="20"/>
              </w:rPr>
              <w:t>0.60</w:t>
            </w:r>
          </w:p>
        </w:tc>
        <w:tc>
          <w:tcPr>
            <w:tcW w:w="992" w:type="dxa"/>
          </w:tcPr>
          <w:p w:rsidR="00886F74" w:rsidRPr="00886F74" w:rsidRDefault="00886F74" w:rsidP="00142D19">
            <w:pPr>
              <w:widowControl/>
              <w:jc w:val="center"/>
              <w:rPr>
                <w:rFonts w:ascii="Arial Narrow" w:hAnsi="Arial Narrow"/>
                <w:sz w:val="20"/>
              </w:rPr>
            </w:pPr>
            <w:r w:rsidRPr="00886F74">
              <w:rPr>
                <w:rFonts w:ascii="Arial Narrow" w:hAnsi="Arial Narrow"/>
                <w:sz w:val="20"/>
              </w:rPr>
              <w:t>0.60</w:t>
            </w:r>
          </w:p>
        </w:tc>
        <w:tc>
          <w:tcPr>
            <w:tcW w:w="3402" w:type="dxa"/>
          </w:tcPr>
          <w:p w:rsidR="00886F74" w:rsidRPr="00886F74" w:rsidRDefault="00886F74" w:rsidP="00142D19">
            <w:pPr>
              <w:widowControl/>
              <w:rPr>
                <w:rFonts w:ascii="Arial Narrow" w:hAnsi="Arial Narrow"/>
                <w:sz w:val="20"/>
              </w:rPr>
            </w:pPr>
            <w:r w:rsidRPr="00886F74">
              <w:rPr>
                <w:rFonts w:ascii="Arial Narrow" w:hAnsi="Arial Narrow"/>
                <w:sz w:val="20"/>
              </w:rPr>
              <w:t>Longworth et al 2005</w:t>
            </w:r>
          </w:p>
        </w:tc>
      </w:tr>
      <w:tr w:rsidR="00886F74" w:rsidRPr="00886F74" w:rsidTr="00301732">
        <w:tc>
          <w:tcPr>
            <w:tcW w:w="2817" w:type="dxa"/>
          </w:tcPr>
          <w:p w:rsidR="00886F74" w:rsidRPr="00886F74" w:rsidRDefault="00886F74" w:rsidP="00142D19">
            <w:pPr>
              <w:widowControl/>
              <w:rPr>
                <w:rFonts w:ascii="Arial Narrow" w:hAnsi="Arial Narrow"/>
                <w:sz w:val="20"/>
              </w:rPr>
            </w:pPr>
            <w:r w:rsidRPr="00886F74">
              <w:rPr>
                <w:rFonts w:ascii="Arial Narrow" w:hAnsi="Arial Narrow"/>
                <w:sz w:val="20"/>
              </w:rPr>
              <w:t>Death</w:t>
            </w:r>
          </w:p>
        </w:tc>
        <w:tc>
          <w:tcPr>
            <w:tcW w:w="1294" w:type="dxa"/>
          </w:tcPr>
          <w:p w:rsidR="00886F74" w:rsidRPr="00886F74" w:rsidRDefault="00886F74" w:rsidP="00142D19">
            <w:pPr>
              <w:widowControl/>
              <w:jc w:val="center"/>
              <w:rPr>
                <w:rFonts w:ascii="Arial Narrow" w:hAnsi="Arial Narrow"/>
                <w:sz w:val="20"/>
              </w:rPr>
            </w:pPr>
            <w:r w:rsidRPr="00886F74">
              <w:rPr>
                <w:rFonts w:ascii="Arial Narrow" w:hAnsi="Arial Narrow"/>
                <w:sz w:val="20"/>
              </w:rPr>
              <w:t>0.00</w:t>
            </w:r>
          </w:p>
        </w:tc>
        <w:tc>
          <w:tcPr>
            <w:tcW w:w="992" w:type="dxa"/>
          </w:tcPr>
          <w:p w:rsidR="00886F74" w:rsidRPr="00886F74" w:rsidRDefault="00886F74" w:rsidP="00142D19">
            <w:pPr>
              <w:widowControl/>
              <w:jc w:val="center"/>
              <w:rPr>
                <w:rFonts w:ascii="Arial Narrow" w:hAnsi="Arial Narrow"/>
                <w:sz w:val="20"/>
              </w:rPr>
            </w:pPr>
            <w:r w:rsidRPr="00886F74">
              <w:rPr>
                <w:rFonts w:ascii="Arial Narrow" w:hAnsi="Arial Narrow"/>
                <w:sz w:val="20"/>
              </w:rPr>
              <w:t>0.00</w:t>
            </w:r>
          </w:p>
        </w:tc>
        <w:tc>
          <w:tcPr>
            <w:tcW w:w="3402" w:type="dxa"/>
          </w:tcPr>
          <w:p w:rsidR="00886F74" w:rsidRPr="00886F74" w:rsidRDefault="00886F74" w:rsidP="00142D19">
            <w:pPr>
              <w:widowControl/>
              <w:rPr>
                <w:rFonts w:ascii="Arial Narrow" w:hAnsi="Arial Narrow"/>
                <w:sz w:val="20"/>
              </w:rPr>
            </w:pPr>
            <w:r w:rsidRPr="00886F74">
              <w:rPr>
                <w:rFonts w:ascii="Arial Narrow" w:hAnsi="Arial Narrow"/>
                <w:sz w:val="20"/>
              </w:rPr>
              <w:t>-</w:t>
            </w:r>
          </w:p>
        </w:tc>
      </w:tr>
      <w:tr w:rsidR="00886F74" w:rsidRPr="00886F74" w:rsidTr="00301732">
        <w:tc>
          <w:tcPr>
            <w:tcW w:w="2817" w:type="dxa"/>
          </w:tcPr>
          <w:p w:rsidR="00886F74" w:rsidRPr="00886F74" w:rsidRDefault="00886F74" w:rsidP="00142D19">
            <w:pPr>
              <w:widowControl/>
              <w:rPr>
                <w:rFonts w:ascii="Arial Narrow" w:hAnsi="Arial Narrow"/>
                <w:i/>
                <w:sz w:val="20"/>
              </w:rPr>
            </w:pPr>
            <w:r w:rsidRPr="00886F74">
              <w:rPr>
                <w:rFonts w:ascii="Arial Narrow" w:hAnsi="Arial Narrow"/>
                <w:i/>
                <w:sz w:val="20"/>
              </w:rPr>
              <w:t>Change in utility</w:t>
            </w:r>
          </w:p>
        </w:tc>
        <w:tc>
          <w:tcPr>
            <w:tcW w:w="1294" w:type="dxa"/>
          </w:tcPr>
          <w:p w:rsidR="00886F74" w:rsidRPr="00886F74" w:rsidRDefault="00886F74" w:rsidP="00142D19">
            <w:pPr>
              <w:widowControl/>
              <w:jc w:val="center"/>
              <w:rPr>
                <w:rFonts w:ascii="Arial Narrow" w:hAnsi="Arial Narrow"/>
                <w:sz w:val="20"/>
              </w:rPr>
            </w:pPr>
          </w:p>
        </w:tc>
        <w:tc>
          <w:tcPr>
            <w:tcW w:w="992" w:type="dxa"/>
          </w:tcPr>
          <w:p w:rsidR="00886F74" w:rsidRPr="00886F74" w:rsidRDefault="00886F74" w:rsidP="00142D19">
            <w:pPr>
              <w:widowControl/>
              <w:jc w:val="center"/>
              <w:rPr>
                <w:rFonts w:ascii="Arial Narrow" w:hAnsi="Arial Narrow"/>
                <w:sz w:val="20"/>
              </w:rPr>
            </w:pPr>
          </w:p>
        </w:tc>
        <w:tc>
          <w:tcPr>
            <w:tcW w:w="3402" w:type="dxa"/>
          </w:tcPr>
          <w:p w:rsidR="00886F74" w:rsidRPr="00886F74" w:rsidRDefault="00886F74" w:rsidP="00142D19">
            <w:pPr>
              <w:widowControl/>
              <w:rPr>
                <w:rFonts w:ascii="Arial Narrow" w:hAnsi="Arial Narrow"/>
                <w:sz w:val="20"/>
              </w:rPr>
            </w:pPr>
          </w:p>
        </w:tc>
      </w:tr>
      <w:tr w:rsidR="00886F74" w:rsidRPr="00886F74" w:rsidTr="00301732">
        <w:tc>
          <w:tcPr>
            <w:tcW w:w="2817" w:type="dxa"/>
          </w:tcPr>
          <w:p w:rsidR="00886F74" w:rsidRPr="00886F74" w:rsidRDefault="00886F74" w:rsidP="00142D19">
            <w:pPr>
              <w:widowControl/>
              <w:rPr>
                <w:rFonts w:ascii="Arial Narrow" w:hAnsi="Arial Narrow"/>
                <w:sz w:val="20"/>
              </w:rPr>
            </w:pPr>
            <w:r w:rsidRPr="00886F74">
              <w:rPr>
                <w:rFonts w:ascii="Arial Narrow" w:hAnsi="Arial Narrow"/>
                <w:sz w:val="20"/>
              </w:rPr>
              <w:t>Per angina event avoided</w:t>
            </w:r>
          </w:p>
        </w:tc>
        <w:tc>
          <w:tcPr>
            <w:tcW w:w="1294" w:type="dxa"/>
          </w:tcPr>
          <w:p w:rsidR="00886F74" w:rsidRPr="00886F74" w:rsidRDefault="00886F74" w:rsidP="00142D19">
            <w:pPr>
              <w:widowControl/>
              <w:jc w:val="center"/>
              <w:rPr>
                <w:rFonts w:ascii="Arial Narrow" w:hAnsi="Arial Narrow"/>
                <w:sz w:val="20"/>
              </w:rPr>
            </w:pPr>
            <w:r w:rsidRPr="00886F74">
              <w:rPr>
                <w:rFonts w:ascii="Arial Narrow" w:hAnsi="Arial Narrow"/>
                <w:sz w:val="20"/>
              </w:rPr>
              <w:t>0.035</w:t>
            </w:r>
          </w:p>
        </w:tc>
        <w:tc>
          <w:tcPr>
            <w:tcW w:w="992" w:type="dxa"/>
          </w:tcPr>
          <w:p w:rsidR="00886F74" w:rsidRPr="00886F74" w:rsidRDefault="00886F74" w:rsidP="00142D19">
            <w:pPr>
              <w:widowControl/>
              <w:jc w:val="center"/>
              <w:rPr>
                <w:rFonts w:ascii="Arial Narrow" w:hAnsi="Arial Narrow"/>
                <w:sz w:val="20"/>
              </w:rPr>
            </w:pPr>
            <w:r w:rsidRPr="00886F74">
              <w:rPr>
                <w:rFonts w:ascii="Arial Narrow" w:hAnsi="Arial Narrow"/>
                <w:sz w:val="20"/>
              </w:rPr>
              <w:t>0.035</w:t>
            </w:r>
          </w:p>
        </w:tc>
        <w:tc>
          <w:tcPr>
            <w:tcW w:w="3402" w:type="dxa"/>
          </w:tcPr>
          <w:p w:rsidR="00886F74" w:rsidRPr="00886F74" w:rsidRDefault="00886F74" w:rsidP="00142D19">
            <w:pPr>
              <w:widowControl/>
              <w:rPr>
                <w:rFonts w:ascii="Arial Narrow" w:hAnsi="Arial Narrow"/>
                <w:sz w:val="20"/>
              </w:rPr>
            </w:pPr>
            <w:r w:rsidRPr="00886F74">
              <w:rPr>
                <w:rFonts w:ascii="Arial Narrow" w:hAnsi="Arial Narrow"/>
                <w:sz w:val="20"/>
              </w:rPr>
              <w:t>Wijeysundera et al 2011 and ERICA</w:t>
            </w:r>
          </w:p>
        </w:tc>
      </w:tr>
      <w:tr w:rsidR="00886F74" w:rsidRPr="00886F74" w:rsidTr="00301732">
        <w:tc>
          <w:tcPr>
            <w:tcW w:w="2817" w:type="dxa"/>
          </w:tcPr>
          <w:p w:rsidR="00886F74" w:rsidRPr="00886F74" w:rsidRDefault="00886F74" w:rsidP="00142D19">
            <w:pPr>
              <w:widowControl/>
              <w:rPr>
                <w:rFonts w:ascii="Arial Narrow" w:hAnsi="Arial Narrow"/>
                <w:sz w:val="20"/>
              </w:rPr>
            </w:pPr>
            <w:r w:rsidRPr="00886F74">
              <w:rPr>
                <w:rFonts w:ascii="Arial Narrow" w:hAnsi="Arial Narrow"/>
                <w:sz w:val="20"/>
              </w:rPr>
              <w:t>Adverse event (cycle of)</w:t>
            </w:r>
          </w:p>
        </w:tc>
        <w:tc>
          <w:tcPr>
            <w:tcW w:w="1294" w:type="dxa"/>
          </w:tcPr>
          <w:p w:rsidR="00886F74" w:rsidRPr="00886F74" w:rsidRDefault="00886F74" w:rsidP="00142D19">
            <w:pPr>
              <w:widowControl/>
              <w:jc w:val="center"/>
              <w:rPr>
                <w:rFonts w:ascii="Arial Narrow" w:hAnsi="Arial Narrow"/>
                <w:sz w:val="20"/>
              </w:rPr>
            </w:pPr>
            <w:r w:rsidRPr="00886F74">
              <w:rPr>
                <w:rFonts w:ascii="Arial Narrow" w:hAnsi="Arial Narrow"/>
                <w:sz w:val="20"/>
              </w:rPr>
              <w:t>-0.01</w:t>
            </w:r>
          </w:p>
        </w:tc>
        <w:tc>
          <w:tcPr>
            <w:tcW w:w="992" w:type="dxa"/>
          </w:tcPr>
          <w:p w:rsidR="00886F74" w:rsidRPr="00886F74" w:rsidRDefault="00886F74" w:rsidP="00142D19">
            <w:pPr>
              <w:widowControl/>
              <w:jc w:val="center"/>
              <w:rPr>
                <w:rFonts w:ascii="Arial Narrow" w:hAnsi="Arial Narrow"/>
                <w:sz w:val="20"/>
              </w:rPr>
            </w:pPr>
            <w:r w:rsidRPr="00886F74">
              <w:rPr>
                <w:rFonts w:ascii="Arial Narrow" w:hAnsi="Arial Narrow"/>
                <w:sz w:val="20"/>
              </w:rPr>
              <w:t>-0.01</w:t>
            </w:r>
          </w:p>
        </w:tc>
        <w:tc>
          <w:tcPr>
            <w:tcW w:w="3402" w:type="dxa"/>
          </w:tcPr>
          <w:p w:rsidR="00886F74" w:rsidRPr="00886F74" w:rsidRDefault="00886F74" w:rsidP="00142D19">
            <w:pPr>
              <w:widowControl/>
              <w:rPr>
                <w:rFonts w:ascii="Arial Narrow" w:hAnsi="Arial Narrow"/>
                <w:sz w:val="20"/>
              </w:rPr>
            </w:pPr>
            <w:r w:rsidRPr="00886F74">
              <w:rPr>
                <w:rFonts w:ascii="Arial Narrow" w:hAnsi="Arial Narrow"/>
                <w:sz w:val="20"/>
              </w:rPr>
              <w:t>Estimate – explored in sensitivity analysis</w:t>
            </w:r>
          </w:p>
        </w:tc>
      </w:tr>
      <w:tr w:rsidR="00886F74" w:rsidRPr="00886F74" w:rsidTr="00301732">
        <w:tc>
          <w:tcPr>
            <w:tcW w:w="2817" w:type="dxa"/>
          </w:tcPr>
          <w:p w:rsidR="00886F74" w:rsidRPr="00886F74" w:rsidRDefault="00886F74" w:rsidP="00142D19">
            <w:pPr>
              <w:widowControl/>
              <w:rPr>
                <w:rFonts w:ascii="Arial Narrow" w:hAnsi="Arial Narrow"/>
                <w:sz w:val="20"/>
              </w:rPr>
            </w:pPr>
            <w:r w:rsidRPr="00886F74">
              <w:rPr>
                <w:rFonts w:ascii="Arial Narrow" w:hAnsi="Arial Narrow"/>
                <w:sz w:val="20"/>
              </w:rPr>
              <w:t>Hospitalisation (cycle of)</w:t>
            </w:r>
          </w:p>
        </w:tc>
        <w:tc>
          <w:tcPr>
            <w:tcW w:w="1294" w:type="dxa"/>
          </w:tcPr>
          <w:p w:rsidR="00886F74" w:rsidRPr="00886F74" w:rsidRDefault="00886F74" w:rsidP="00142D19">
            <w:pPr>
              <w:widowControl/>
              <w:jc w:val="center"/>
              <w:rPr>
                <w:rFonts w:ascii="Arial Narrow" w:hAnsi="Arial Narrow"/>
                <w:sz w:val="20"/>
              </w:rPr>
            </w:pPr>
            <w:r w:rsidRPr="00886F74">
              <w:rPr>
                <w:rFonts w:ascii="Arial Narrow" w:hAnsi="Arial Narrow"/>
                <w:sz w:val="20"/>
              </w:rPr>
              <w:t>-0.01</w:t>
            </w:r>
          </w:p>
        </w:tc>
        <w:tc>
          <w:tcPr>
            <w:tcW w:w="992" w:type="dxa"/>
          </w:tcPr>
          <w:p w:rsidR="00886F74" w:rsidRPr="00886F74" w:rsidRDefault="00886F74" w:rsidP="00142D19">
            <w:pPr>
              <w:widowControl/>
              <w:jc w:val="center"/>
              <w:rPr>
                <w:rFonts w:ascii="Arial Narrow" w:hAnsi="Arial Narrow"/>
                <w:sz w:val="20"/>
              </w:rPr>
            </w:pPr>
            <w:r w:rsidRPr="00886F74">
              <w:rPr>
                <w:rFonts w:ascii="Arial Narrow" w:hAnsi="Arial Narrow"/>
                <w:sz w:val="20"/>
              </w:rPr>
              <w:t>-0.01</w:t>
            </w:r>
          </w:p>
        </w:tc>
        <w:tc>
          <w:tcPr>
            <w:tcW w:w="3402" w:type="dxa"/>
          </w:tcPr>
          <w:p w:rsidR="00886F74" w:rsidRPr="00886F74" w:rsidRDefault="00886F74" w:rsidP="00142D19">
            <w:pPr>
              <w:widowControl/>
              <w:rPr>
                <w:rFonts w:ascii="Arial Narrow" w:hAnsi="Arial Narrow"/>
                <w:sz w:val="20"/>
              </w:rPr>
            </w:pPr>
            <w:r w:rsidRPr="00886F74">
              <w:rPr>
                <w:rFonts w:ascii="Arial Narrow" w:hAnsi="Arial Narrow"/>
                <w:sz w:val="20"/>
              </w:rPr>
              <w:t>Estimate – explored in sensitivity analysis</w:t>
            </w:r>
          </w:p>
        </w:tc>
      </w:tr>
      <w:tr w:rsidR="00886F74" w:rsidRPr="00886F74" w:rsidTr="00301732">
        <w:tc>
          <w:tcPr>
            <w:tcW w:w="2817" w:type="dxa"/>
          </w:tcPr>
          <w:p w:rsidR="00886F74" w:rsidRPr="00886F74" w:rsidRDefault="00886F74" w:rsidP="00142D19">
            <w:pPr>
              <w:widowControl/>
              <w:rPr>
                <w:rFonts w:ascii="Arial Narrow" w:hAnsi="Arial Narrow"/>
                <w:sz w:val="20"/>
              </w:rPr>
            </w:pPr>
            <w:r w:rsidRPr="00886F74">
              <w:rPr>
                <w:rFonts w:ascii="Arial Narrow" w:hAnsi="Arial Narrow"/>
                <w:sz w:val="20"/>
              </w:rPr>
              <w:t>Revascularisation (cycle of)</w:t>
            </w:r>
          </w:p>
        </w:tc>
        <w:tc>
          <w:tcPr>
            <w:tcW w:w="1294" w:type="dxa"/>
          </w:tcPr>
          <w:p w:rsidR="00886F74" w:rsidRPr="00886F74" w:rsidRDefault="00886F74" w:rsidP="00142D19">
            <w:pPr>
              <w:widowControl/>
              <w:jc w:val="center"/>
              <w:rPr>
                <w:rFonts w:ascii="Arial Narrow" w:hAnsi="Arial Narrow"/>
                <w:sz w:val="20"/>
              </w:rPr>
            </w:pPr>
            <w:r w:rsidRPr="00886F74">
              <w:rPr>
                <w:rFonts w:ascii="Arial Narrow" w:hAnsi="Arial Narrow"/>
                <w:sz w:val="20"/>
              </w:rPr>
              <w:t>-0.01</w:t>
            </w:r>
          </w:p>
        </w:tc>
        <w:tc>
          <w:tcPr>
            <w:tcW w:w="992" w:type="dxa"/>
          </w:tcPr>
          <w:p w:rsidR="00886F74" w:rsidRPr="00886F74" w:rsidRDefault="00886F74" w:rsidP="00142D19">
            <w:pPr>
              <w:widowControl/>
              <w:jc w:val="center"/>
              <w:rPr>
                <w:rFonts w:ascii="Arial Narrow" w:hAnsi="Arial Narrow"/>
                <w:sz w:val="20"/>
              </w:rPr>
            </w:pPr>
            <w:r w:rsidRPr="00886F74">
              <w:rPr>
                <w:rFonts w:ascii="Arial Narrow" w:hAnsi="Arial Narrow"/>
                <w:sz w:val="20"/>
              </w:rPr>
              <w:t>-0.01</w:t>
            </w:r>
          </w:p>
        </w:tc>
        <w:tc>
          <w:tcPr>
            <w:tcW w:w="3402" w:type="dxa"/>
          </w:tcPr>
          <w:p w:rsidR="00886F74" w:rsidRPr="00886F74" w:rsidRDefault="00886F74" w:rsidP="00142D19">
            <w:pPr>
              <w:widowControl/>
              <w:rPr>
                <w:rFonts w:ascii="Arial Narrow" w:hAnsi="Arial Narrow"/>
                <w:sz w:val="20"/>
              </w:rPr>
            </w:pPr>
            <w:r w:rsidRPr="00886F74">
              <w:rPr>
                <w:rFonts w:ascii="Arial Narrow" w:hAnsi="Arial Narrow"/>
                <w:sz w:val="20"/>
              </w:rPr>
              <w:t>Estimate – explored in sensitivity analysis</w:t>
            </w:r>
          </w:p>
        </w:tc>
      </w:tr>
      <w:tr w:rsidR="00886F74" w:rsidRPr="00886F74" w:rsidTr="00301732">
        <w:tc>
          <w:tcPr>
            <w:tcW w:w="2817" w:type="dxa"/>
          </w:tcPr>
          <w:p w:rsidR="00886F74" w:rsidRPr="00886F74" w:rsidRDefault="00886F74" w:rsidP="00142D19">
            <w:pPr>
              <w:widowControl/>
              <w:rPr>
                <w:rFonts w:ascii="Arial Narrow" w:hAnsi="Arial Narrow"/>
                <w:sz w:val="20"/>
              </w:rPr>
            </w:pPr>
            <w:r w:rsidRPr="00886F74">
              <w:rPr>
                <w:rFonts w:ascii="Arial Narrow" w:hAnsi="Arial Narrow"/>
                <w:sz w:val="20"/>
              </w:rPr>
              <w:t>Post revascularisation</w:t>
            </w:r>
          </w:p>
        </w:tc>
        <w:tc>
          <w:tcPr>
            <w:tcW w:w="1294" w:type="dxa"/>
          </w:tcPr>
          <w:p w:rsidR="00886F74" w:rsidRPr="00886F74" w:rsidRDefault="00886F74" w:rsidP="00142D19">
            <w:pPr>
              <w:widowControl/>
              <w:jc w:val="center"/>
              <w:rPr>
                <w:rFonts w:ascii="Arial Narrow" w:hAnsi="Arial Narrow"/>
                <w:sz w:val="20"/>
              </w:rPr>
            </w:pPr>
            <w:r w:rsidRPr="00886F74">
              <w:rPr>
                <w:rFonts w:ascii="Arial Narrow" w:hAnsi="Arial Narrow"/>
                <w:sz w:val="20"/>
              </w:rPr>
              <w:t>+0.1</w:t>
            </w:r>
          </w:p>
        </w:tc>
        <w:tc>
          <w:tcPr>
            <w:tcW w:w="992" w:type="dxa"/>
          </w:tcPr>
          <w:p w:rsidR="00886F74" w:rsidRPr="00886F74" w:rsidRDefault="00886F74" w:rsidP="00142D19">
            <w:pPr>
              <w:widowControl/>
              <w:jc w:val="center"/>
              <w:rPr>
                <w:rFonts w:ascii="Arial Narrow" w:hAnsi="Arial Narrow"/>
                <w:sz w:val="20"/>
              </w:rPr>
            </w:pPr>
            <w:r w:rsidRPr="00886F74">
              <w:rPr>
                <w:rFonts w:ascii="Arial Narrow" w:hAnsi="Arial Narrow"/>
                <w:sz w:val="20"/>
              </w:rPr>
              <w:t>+0.1</w:t>
            </w:r>
          </w:p>
        </w:tc>
        <w:tc>
          <w:tcPr>
            <w:tcW w:w="3402" w:type="dxa"/>
          </w:tcPr>
          <w:p w:rsidR="00886F74" w:rsidRPr="00886F74" w:rsidRDefault="00886F74" w:rsidP="00142D19">
            <w:pPr>
              <w:widowControl/>
              <w:rPr>
                <w:rFonts w:ascii="Arial Narrow" w:hAnsi="Arial Narrow"/>
                <w:sz w:val="20"/>
              </w:rPr>
            </w:pPr>
            <w:r w:rsidRPr="00886F74">
              <w:rPr>
                <w:rFonts w:ascii="Arial Narrow" w:hAnsi="Arial Narrow"/>
                <w:sz w:val="20"/>
              </w:rPr>
              <w:t>Cohen et al 2011</w:t>
            </w:r>
          </w:p>
        </w:tc>
      </w:tr>
    </w:tbl>
    <w:p w:rsidR="002127B3" w:rsidRPr="00886F74" w:rsidRDefault="00886F74" w:rsidP="00142D19">
      <w:pPr>
        <w:widowControl/>
        <w:ind w:left="709"/>
        <w:rPr>
          <w:rFonts w:ascii="Arial Narrow" w:hAnsi="Arial Narrow"/>
          <w:sz w:val="20"/>
        </w:rPr>
      </w:pPr>
      <w:r w:rsidRPr="00886F74">
        <w:rPr>
          <w:rFonts w:ascii="Arial Narrow" w:hAnsi="Arial Narrow"/>
          <w:sz w:val="20"/>
        </w:rPr>
        <w:t>Source: Table D-3, p158 of the submission</w:t>
      </w:r>
    </w:p>
    <w:p w:rsidR="00CC0AC1" w:rsidRDefault="00CC0AC1" w:rsidP="00142D19">
      <w:pPr>
        <w:pStyle w:val="ListParagraph"/>
        <w:widowControl/>
        <w:rPr>
          <w:szCs w:val="22"/>
        </w:rPr>
      </w:pPr>
    </w:p>
    <w:p w:rsidR="00083FFE" w:rsidRPr="001255F7" w:rsidRDefault="002972B1" w:rsidP="00142D19">
      <w:pPr>
        <w:pStyle w:val="ListParagraph"/>
        <w:widowControl/>
        <w:numPr>
          <w:ilvl w:val="1"/>
          <w:numId w:val="11"/>
        </w:numPr>
        <w:rPr>
          <w:color w:val="FF0000"/>
          <w:szCs w:val="22"/>
        </w:rPr>
      </w:pPr>
      <w:r w:rsidRPr="001255F7">
        <w:t>The ESC questioned whether the utility decrement</w:t>
      </w:r>
      <w:r w:rsidR="00773099" w:rsidRPr="001255F7">
        <w:t>s</w:t>
      </w:r>
      <w:r w:rsidRPr="001255F7">
        <w:t xml:space="preserve"> applied </w:t>
      </w:r>
      <w:r w:rsidR="00195C24" w:rsidRPr="001255F7">
        <w:t xml:space="preserve">in the model </w:t>
      </w:r>
      <w:r w:rsidRPr="001255F7">
        <w:t xml:space="preserve">were </w:t>
      </w:r>
      <w:r w:rsidR="00340BD0" w:rsidRPr="001255F7">
        <w:t>plausible</w:t>
      </w:r>
      <w:r w:rsidRPr="001255F7">
        <w:t xml:space="preserve">. For example, </w:t>
      </w:r>
      <w:r w:rsidR="00195C24" w:rsidRPr="001255F7">
        <w:t xml:space="preserve">the utility decrement of 0.035 per angina event avoided is equivalent to an absolute utility decrement of 0.5 for 12 hours per angina attack, </w:t>
      </w:r>
      <w:r w:rsidR="00167867" w:rsidRPr="001255F7">
        <w:t>e</w:t>
      </w:r>
      <w:r w:rsidR="00C41B60" w:rsidRPr="001255F7">
        <w:t>g</w:t>
      </w:r>
      <w:r w:rsidR="00195C24" w:rsidRPr="001255F7">
        <w:t>. a drop in utility from 0.8 to 0.3 for 12 hours, which appear</w:t>
      </w:r>
      <w:r w:rsidR="00083FFE" w:rsidRPr="001255F7">
        <w:t>ed</w:t>
      </w:r>
      <w:r w:rsidR="00195C24" w:rsidRPr="001255F7">
        <w:t xml:space="preserve"> to be a large change</w:t>
      </w:r>
      <w:r w:rsidR="007C26AD" w:rsidRPr="001255F7">
        <w:t>, and may therefore overestimate the benefit of ranolazine</w:t>
      </w:r>
      <w:r w:rsidR="00195C24" w:rsidRPr="001255F7">
        <w:t>. Furthermore</w:t>
      </w:r>
      <w:r w:rsidR="001D50F0" w:rsidRPr="001255F7">
        <w:t>,</w:t>
      </w:r>
      <w:r w:rsidR="00195C24" w:rsidRPr="001255F7">
        <w:t xml:space="preserve"> a utility decrement of 0.01 </w:t>
      </w:r>
      <w:r w:rsidR="00167867" w:rsidRPr="001255F7">
        <w:t xml:space="preserve">was applied </w:t>
      </w:r>
      <w:r w:rsidR="00195C24" w:rsidRPr="001255F7">
        <w:t>for each month in which an adverse event</w:t>
      </w:r>
      <w:r w:rsidR="00340BD0" w:rsidRPr="001255F7">
        <w:t xml:space="preserve"> or</w:t>
      </w:r>
      <w:r w:rsidR="00195C24" w:rsidRPr="001255F7">
        <w:t xml:space="preserve"> hospitalisation </w:t>
      </w:r>
      <w:r w:rsidR="00340BD0" w:rsidRPr="001255F7">
        <w:t>(</w:t>
      </w:r>
      <w:r w:rsidR="00195C24" w:rsidRPr="001255F7">
        <w:t>or revascularisation</w:t>
      </w:r>
      <w:r w:rsidR="00340BD0" w:rsidRPr="001255F7">
        <w:t>, in sensitivity analyses)</w:t>
      </w:r>
      <w:r w:rsidR="00195C24" w:rsidRPr="001255F7">
        <w:t xml:space="preserve"> occur</w:t>
      </w:r>
      <w:r w:rsidR="004C092C" w:rsidRPr="001255F7">
        <w:t>r</w:t>
      </w:r>
      <w:r w:rsidR="00083FFE" w:rsidRPr="001255F7">
        <w:t>ed</w:t>
      </w:r>
      <w:r w:rsidR="00195C24" w:rsidRPr="001255F7">
        <w:t xml:space="preserve">. Hospitalisation and revascularisation effects </w:t>
      </w:r>
      <w:r w:rsidR="00167867" w:rsidRPr="001255F7">
        <w:t xml:space="preserve">were </w:t>
      </w:r>
      <w:r w:rsidR="00C41B60" w:rsidRPr="001255F7">
        <w:t>already</w:t>
      </w:r>
      <w:r w:rsidR="00340BD0" w:rsidRPr="001255F7">
        <w:t xml:space="preserve"> </w:t>
      </w:r>
      <w:r w:rsidR="00195C24" w:rsidRPr="001255F7">
        <w:t>captured in the estimated angin</w:t>
      </w:r>
      <w:r w:rsidR="00167867" w:rsidRPr="001255F7">
        <w:t xml:space="preserve">a event utility decrement. </w:t>
      </w:r>
    </w:p>
    <w:p w:rsidR="00083FFE" w:rsidRPr="001255F7" w:rsidRDefault="00083FFE" w:rsidP="00142D19">
      <w:pPr>
        <w:pStyle w:val="ListParagraph"/>
        <w:widowControl/>
        <w:rPr>
          <w:color w:val="FF0000"/>
          <w:szCs w:val="22"/>
        </w:rPr>
      </w:pPr>
    </w:p>
    <w:p w:rsidR="00083FFE" w:rsidRPr="001255F7" w:rsidRDefault="00083FFE" w:rsidP="00142D19">
      <w:pPr>
        <w:pStyle w:val="ListParagraph"/>
        <w:widowControl/>
        <w:numPr>
          <w:ilvl w:val="1"/>
          <w:numId w:val="11"/>
        </w:numPr>
        <w:rPr>
          <w:color w:val="FF0000"/>
          <w:szCs w:val="22"/>
        </w:rPr>
      </w:pPr>
      <w:r w:rsidRPr="001255F7">
        <w:rPr>
          <w:szCs w:val="22"/>
        </w:rPr>
        <w:t>The approach used to estimate the utility decrement per angina event assigned all utility effects to angina frequency and so may overestimate utility gains</w:t>
      </w:r>
      <w:r w:rsidRPr="001255F7">
        <w:rPr>
          <w:color w:val="FF0000"/>
          <w:szCs w:val="22"/>
        </w:rPr>
        <w:t xml:space="preserve">. </w:t>
      </w:r>
    </w:p>
    <w:p w:rsidR="000D6285" w:rsidRPr="001255F7" w:rsidRDefault="000D6285" w:rsidP="00142D19">
      <w:pPr>
        <w:pStyle w:val="ListParagraph"/>
        <w:widowControl/>
      </w:pPr>
    </w:p>
    <w:p w:rsidR="000D6285" w:rsidRPr="001255F7" w:rsidRDefault="00301732" w:rsidP="00142D19">
      <w:pPr>
        <w:pStyle w:val="PBACHeading1"/>
        <w:numPr>
          <w:ilvl w:val="1"/>
          <w:numId w:val="11"/>
        </w:numPr>
        <w:jc w:val="both"/>
        <w:outlineLvl w:val="9"/>
        <w:rPr>
          <w:b w:val="0"/>
          <w:szCs w:val="20"/>
        </w:rPr>
      </w:pPr>
      <w:r w:rsidRPr="001255F7">
        <w:rPr>
          <w:b w:val="0"/>
          <w:szCs w:val="20"/>
        </w:rPr>
        <w:t>The ESC considered that the submission’s assumption of 80% compliance to ranolazine was inappropriate in the base</w:t>
      </w:r>
      <w:r w:rsidR="004C092C" w:rsidRPr="001255F7">
        <w:rPr>
          <w:b w:val="0"/>
          <w:szCs w:val="20"/>
        </w:rPr>
        <w:t xml:space="preserve"> </w:t>
      </w:r>
      <w:r w:rsidRPr="001255F7">
        <w:rPr>
          <w:b w:val="0"/>
          <w:szCs w:val="20"/>
        </w:rPr>
        <w:t>case, given that this was not reported in the CARISA tria</w:t>
      </w:r>
      <w:r w:rsidR="00FD3939" w:rsidRPr="001255F7">
        <w:rPr>
          <w:b w:val="0"/>
          <w:szCs w:val="20"/>
        </w:rPr>
        <w:t xml:space="preserve">l. This assumption reduced the cost of ranolazine in the model without considering any effect of compliance on the benefit. </w:t>
      </w:r>
    </w:p>
    <w:p w:rsidR="00340BD0" w:rsidRPr="001255F7" w:rsidRDefault="00340BD0" w:rsidP="00142D19">
      <w:pPr>
        <w:pStyle w:val="ListParagraph"/>
        <w:widowControl/>
        <w:rPr>
          <w:b/>
        </w:rPr>
      </w:pPr>
    </w:p>
    <w:p w:rsidR="00340BD0" w:rsidRPr="001255F7" w:rsidRDefault="00340BD0" w:rsidP="00142D19">
      <w:pPr>
        <w:pStyle w:val="PBACHeading1"/>
        <w:numPr>
          <w:ilvl w:val="1"/>
          <w:numId w:val="11"/>
        </w:numPr>
        <w:jc w:val="both"/>
        <w:outlineLvl w:val="9"/>
        <w:rPr>
          <w:b w:val="0"/>
          <w:szCs w:val="20"/>
        </w:rPr>
      </w:pPr>
      <w:r w:rsidRPr="001255F7">
        <w:rPr>
          <w:b w:val="0"/>
          <w:szCs w:val="20"/>
        </w:rPr>
        <w:t xml:space="preserve">The angina frequency </w:t>
      </w:r>
      <w:r w:rsidR="00083FFE" w:rsidRPr="001255F7">
        <w:rPr>
          <w:b w:val="0"/>
          <w:szCs w:val="20"/>
        </w:rPr>
        <w:t>estimates</w:t>
      </w:r>
      <w:r w:rsidRPr="001255F7">
        <w:rPr>
          <w:b w:val="0"/>
          <w:szCs w:val="20"/>
        </w:rPr>
        <w:t xml:space="preserve"> were derived from a post-hoc analysis of the CARISA trial and </w:t>
      </w:r>
      <w:r w:rsidR="00083FFE" w:rsidRPr="001255F7">
        <w:rPr>
          <w:b w:val="0"/>
          <w:szCs w:val="20"/>
        </w:rPr>
        <w:t>we</w:t>
      </w:r>
      <w:r w:rsidRPr="001255F7">
        <w:rPr>
          <w:b w:val="0"/>
          <w:szCs w:val="20"/>
        </w:rPr>
        <w:t>re subject to the clinical relevance and statistical validity of that analysis.</w:t>
      </w:r>
    </w:p>
    <w:p w:rsidR="006242AE" w:rsidRPr="001255F7" w:rsidRDefault="006242AE" w:rsidP="00142D19">
      <w:pPr>
        <w:pStyle w:val="PBACHeading1"/>
        <w:numPr>
          <w:ilvl w:val="0"/>
          <w:numId w:val="0"/>
        </w:numPr>
        <w:outlineLvl w:val="9"/>
        <w:rPr>
          <w:b w:val="0"/>
          <w:szCs w:val="20"/>
        </w:rPr>
      </w:pPr>
    </w:p>
    <w:p w:rsidR="00B03BD1" w:rsidRPr="001255F7" w:rsidRDefault="006242AE" w:rsidP="00142D19">
      <w:pPr>
        <w:pStyle w:val="ListParagraph"/>
        <w:widowControl/>
        <w:numPr>
          <w:ilvl w:val="1"/>
          <w:numId w:val="11"/>
        </w:numPr>
        <w:rPr>
          <w:szCs w:val="22"/>
        </w:rPr>
      </w:pPr>
      <w:r w:rsidRPr="001255F7">
        <w:t xml:space="preserve">Hospitalisation rates (and revascularisation rates in the sensitivity analysis) were based on observational data from </w:t>
      </w:r>
      <w:r w:rsidR="00613B37" w:rsidRPr="001255F7">
        <w:t xml:space="preserve">a </w:t>
      </w:r>
      <w:r w:rsidRPr="001255F7">
        <w:t>large managed care organisation in the US</w:t>
      </w:r>
      <w:r w:rsidR="00613B37" w:rsidRPr="001255F7">
        <w:t xml:space="preserve"> </w:t>
      </w:r>
      <w:r w:rsidR="00613B37" w:rsidRPr="001255F7">
        <w:rPr>
          <w:szCs w:val="22"/>
        </w:rPr>
        <w:t>in a population that did not match the target population</w:t>
      </w:r>
      <w:r w:rsidR="00613B37" w:rsidRPr="001255F7">
        <w:t>.</w:t>
      </w:r>
      <w:r w:rsidRPr="001255F7">
        <w:t xml:space="preserve"> The</w:t>
      </w:r>
      <w:r w:rsidRPr="001255F7">
        <w:rPr>
          <w:szCs w:val="22"/>
        </w:rPr>
        <w:t xml:space="preserve"> values used in the model were based on the unadjusted comparison of the percentage of patients having an inpatient stay in the ranolazine and beta blocker/calcium channel blocker groups.</w:t>
      </w:r>
      <w:r w:rsidR="0042069E" w:rsidRPr="001255F7">
        <w:rPr>
          <w:szCs w:val="22"/>
        </w:rPr>
        <w:t xml:space="preserve"> The ESC proposed that i</w:t>
      </w:r>
      <w:r w:rsidRPr="001255F7">
        <w:rPr>
          <w:szCs w:val="22"/>
        </w:rPr>
        <w:t xml:space="preserve">t would have been more meaningful to compare the mean number of inpatient stays rather than the percentage of patients having an inpatient stay. This </w:t>
      </w:r>
      <w:r w:rsidR="0042069E" w:rsidRPr="001255F7">
        <w:rPr>
          <w:szCs w:val="22"/>
        </w:rPr>
        <w:t xml:space="preserve">would </w:t>
      </w:r>
      <w:r w:rsidRPr="001255F7">
        <w:rPr>
          <w:szCs w:val="22"/>
        </w:rPr>
        <w:t xml:space="preserve">reduce the monthly absolute difference from 1.4% to 1%. </w:t>
      </w:r>
    </w:p>
    <w:p w:rsidR="00613B37" w:rsidRPr="001255F7" w:rsidRDefault="00613B37" w:rsidP="00142D19">
      <w:pPr>
        <w:pStyle w:val="ListParagraph"/>
        <w:widowControl/>
        <w:rPr>
          <w:szCs w:val="22"/>
        </w:rPr>
      </w:pPr>
    </w:p>
    <w:p w:rsidR="00613B37" w:rsidRPr="001255F7" w:rsidRDefault="00613B37" w:rsidP="00142D19">
      <w:pPr>
        <w:pStyle w:val="ListParagraph"/>
        <w:widowControl/>
        <w:numPr>
          <w:ilvl w:val="1"/>
          <w:numId w:val="4"/>
        </w:numPr>
        <w:rPr>
          <w:szCs w:val="22"/>
        </w:rPr>
      </w:pPr>
      <w:r w:rsidRPr="001255F7">
        <w:rPr>
          <w:szCs w:val="22"/>
        </w:rPr>
        <w:t xml:space="preserve">However, the unadjusted results are not valid due to significant differences in baseline age, gender, </w:t>
      </w:r>
      <w:r w:rsidR="0075089D" w:rsidRPr="001255F7">
        <w:rPr>
          <w:szCs w:val="22"/>
        </w:rPr>
        <w:t>dyslipidaemia</w:t>
      </w:r>
      <w:r w:rsidRPr="001255F7">
        <w:rPr>
          <w:szCs w:val="22"/>
        </w:rPr>
        <w:t xml:space="preserve"> and diabetes between the groups and pre-index use of short-acting nitrate and number of medications (higher in the ranolazine group). Pre-index resource use profiles also differ.</w:t>
      </w:r>
    </w:p>
    <w:p w:rsidR="00613B37" w:rsidRPr="001255F7" w:rsidRDefault="00613B37" w:rsidP="00142D19">
      <w:pPr>
        <w:widowControl/>
        <w:rPr>
          <w:szCs w:val="22"/>
        </w:rPr>
      </w:pPr>
    </w:p>
    <w:p w:rsidR="00613B37" w:rsidRPr="001255F7" w:rsidRDefault="00613B37" w:rsidP="00142D19">
      <w:pPr>
        <w:pStyle w:val="ListParagraph"/>
        <w:widowControl/>
        <w:numPr>
          <w:ilvl w:val="1"/>
          <w:numId w:val="4"/>
        </w:numPr>
        <w:rPr>
          <w:szCs w:val="22"/>
        </w:rPr>
      </w:pPr>
      <w:r w:rsidRPr="001255F7">
        <w:rPr>
          <w:szCs w:val="22"/>
        </w:rPr>
        <w:t>Adjusted analyses are presented in the paper for revascularisation rates, showing a significant increase in the BB/CCB group, but the adjusted results are subject to significant uncertainty due to the potential for unobserved confounding.</w:t>
      </w:r>
    </w:p>
    <w:p w:rsidR="00B03BD1" w:rsidRPr="001255F7" w:rsidRDefault="00B03BD1" w:rsidP="00142D19">
      <w:pPr>
        <w:pStyle w:val="ListParagraph"/>
        <w:widowControl/>
        <w:rPr>
          <w:szCs w:val="22"/>
        </w:rPr>
      </w:pPr>
    </w:p>
    <w:p w:rsidR="00E1286E" w:rsidRPr="001255F7" w:rsidRDefault="00E1286E" w:rsidP="00142D19">
      <w:pPr>
        <w:pStyle w:val="ListParagraph"/>
        <w:widowControl/>
        <w:numPr>
          <w:ilvl w:val="1"/>
          <w:numId w:val="11"/>
        </w:numPr>
        <w:rPr>
          <w:szCs w:val="22"/>
        </w:rPr>
      </w:pPr>
      <w:r w:rsidRPr="001255F7">
        <w:t xml:space="preserve">Key drivers of the economic model are presented in Table </w:t>
      </w:r>
      <w:r w:rsidR="001462E6" w:rsidRPr="001255F7">
        <w:t>1</w:t>
      </w:r>
      <w:r w:rsidR="0075715F" w:rsidRPr="001255F7">
        <w:t>1</w:t>
      </w:r>
      <w:r w:rsidRPr="001255F7">
        <w:t xml:space="preserve"> below. </w:t>
      </w:r>
    </w:p>
    <w:p w:rsidR="00E1286E" w:rsidRPr="002220DF" w:rsidRDefault="00E1286E" w:rsidP="00142D19">
      <w:pPr>
        <w:widowControl/>
        <w:rPr>
          <w:szCs w:val="22"/>
        </w:rPr>
      </w:pPr>
    </w:p>
    <w:p w:rsidR="00E1286E" w:rsidRPr="002220DF" w:rsidRDefault="00E1286E" w:rsidP="00142D19">
      <w:pPr>
        <w:widowControl/>
        <w:ind w:firstLine="720"/>
        <w:rPr>
          <w:rStyle w:val="CommentReference"/>
        </w:rPr>
      </w:pPr>
      <w:r w:rsidRPr="002220DF">
        <w:rPr>
          <w:rStyle w:val="CommentReference"/>
        </w:rPr>
        <w:t xml:space="preserve">Table </w:t>
      </w:r>
      <w:r w:rsidR="001462E6" w:rsidRPr="002220DF">
        <w:rPr>
          <w:rStyle w:val="CommentReference"/>
        </w:rPr>
        <w:t>1</w:t>
      </w:r>
      <w:r w:rsidR="0075715F">
        <w:rPr>
          <w:rStyle w:val="CommentReference"/>
        </w:rPr>
        <w:t>1</w:t>
      </w:r>
      <w:r w:rsidRPr="002220DF">
        <w:rPr>
          <w:rStyle w:val="CommentReference"/>
        </w:rPr>
        <w:t>: Key drivers of the model</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60"/>
        <w:gridCol w:w="4112"/>
        <w:gridCol w:w="2691"/>
      </w:tblGrid>
      <w:tr w:rsidR="00E1286E" w:rsidRPr="002220DF" w:rsidTr="00772B90">
        <w:trPr>
          <w:tblHeader/>
        </w:trPr>
        <w:tc>
          <w:tcPr>
            <w:tcW w:w="932" w:type="pct"/>
            <w:shd w:val="clear" w:color="auto" w:fill="auto"/>
            <w:vAlign w:val="center"/>
          </w:tcPr>
          <w:p w:rsidR="00E1286E" w:rsidRPr="002220DF" w:rsidRDefault="00E1286E" w:rsidP="00142D19">
            <w:pPr>
              <w:widowControl/>
              <w:jc w:val="left"/>
              <w:rPr>
                <w:rFonts w:ascii="Arial Narrow" w:hAnsi="Arial Narrow"/>
                <w:b/>
                <w:sz w:val="20"/>
                <w:lang w:val="en-US"/>
              </w:rPr>
            </w:pPr>
            <w:r w:rsidRPr="002220DF">
              <w:rPr>
                <w:rFonts w:ascii="Arial Narrow" w:hAnsi="Arial Narrow"/>
                <w:b/>
                <w:sz w:val="20"/>
                <w:lang w:val="en-US"/>
              </w:rPr>
              <w:t>Description</w:t>
            </w:r>
          </w:p>
        </w:tc>
        <w:tc>
          <w:tcPr>
            <w:tcW w:w="2458" w:type="pct"/>
            <w:shd w:val="clear" w:color="auto" w:fill="auto"/>
            <w:vAlign w:val="center"/>
          </w:tcPr>
          <w:p w:rsidR="00E1286E" w:rsidRPr="002220DF" w:rsidRDefault="00E1286E" w:rsidP="00142D19">
            <w:pPr>
              <w:widowControl/>
              <w:jc w:val="center"/>
              <w:rPr>
                <w:rFonts w:ascii="Arial Narrow" w:hAnsi="Arial Narrow"/>
                <w:b/>
                <w:sz w:val="20"/>
                <w:lang w:val="en-US"/>
              </w:rPr>
            </w:pPr>
            <w:r w:rsidRPr="002220DF">
              <w:rPr>
                <w:rFonts w:ascii="Arial Narrow" w:hAnsi="Arial Narrow"/>
                <w:b/>
                <w:sz w:val="20"/>
                <w:lang w:val="en-US"/>
              </w:rPr>
              <w:t>Method/Value</w:t>
            </w:r>
          </w:p>
        </w:tc>
        <w:tc>
          <w:tcPr>
            <w:tcW w:w="1609" w:type="pct"/>
            <w:shd w:val="clear" w:color="auto" w:fill="auto"/>
            <w:vAlign w:val="center"/>
          </w:tcPr>
          <w:p w:rsidR="00E1286E" w:rsidRPr="002220DF" w:rsidRDefault="00E1286E" w:rsidP="00142D19">
            <w:pPr>
              <w:widowControl/>
              <w:jc w:val="center"/>
              <w:rPr>
                <w:rFonts w:ascii="Arial Narrow" w:hAnsi="Arial Narrow"/>
                <w:b/>
                <w:sz w:val="20"/>
                <w:lang w:val="en-US"/>
              </w:rPr>
            </w:pPr>
            <w:r w:rsidRPr="002220DF">
              <w:rPr>
                <w:rFonts w:ascii="Arial Narrow" w:hAnsi="Arial Narrow"/>
                <w:b/>
                <w:sz w:val="20"/>
                <w:lang w:val="en-US"/>
              </w:rPr>
              <w:t>Impact</w:t>
            </w:r>
          </w:p>
        </w:tc>
      </w:tr>
      <w:tr w:rsidR="00FC48B4" w:rsidRPr="002220DF" w:rsidTr="00772B90">
        <w:tc>
          <w:tcPr>
            <w:tcW w:w="932" w:type="pct"/>
            <w:shd w:val="clear" w:color="auto" w:fill="auto"/>
            <w:vAlign w:val="center"/>
          </w:tcPr>
          <w:p w:rsidR="00FC48B4" w:rsidRPr="002220DF" w:rsidRDefault="00FC48B4" w:rsidP="00142D19">
            <w:pPr>
              <w:pStyle w:val="Tabletext"/>
              <w:rPr>
                <w:lang w:val="en-US"/>
              </w:rPr>
            </w:pPr>
            <w:r w:rsidRPr="002220DF">
              <w:rPr>
                <w:lang w:val="en-US"/>
              </w:rPr>
              <w:t>Compliance</w:t>
            </w:r>
          </w:p>
        </w:tc>
        <w:tc>
          <w:tcPr>
            <w:tcW w:w="2458" w:type="pct"/>
            <w:shd w:val="clear" w:color="auto" w:fill="auto"/>
            <w:vAlign w:val="center"/>
          </w:tcPr>
          <w:p w:rsidR="00FC48B4" w:rsidRPr="002220DF" w:rsidRDefault="00FC48B4" w:rsidP="008F5F04">
            <w:pPr>
              <w:pStyle w:val="Tabletext"/>
              <w:jc w:val="center"/>
              <w:rPr>
                <w:lang w:val="en-US"/>
              </w:rPr>
            </w:pPr>
            <w:r w:rsidRPr="002220DF">
              <w:rPr>
                <w:lang w:val="en-US"/>
              </w:rPr>
              <w:t>Assumed compliance rate of 80% based on literature review.</w:t>
            </w:r>
          </w:p>
        </w:tc>
        <w:tc>
          <w:tcPr>
            <w:tcW w:w="1609" w:type="pct"/>
            <w:shd w:val="clear" w:color="auto" w:fill="auto"/>
            <w:vAlign w:val="center"/>
          </w:tcPr>
          <w:p w:rsidR="00FC48B4" w:rsidRPr="002220DF" w:rsidRDefault="00FC48B4" w:rsidP="008F5F04">
            <w:pPr>
              <w:pStyle w:val="Tabletext"/>
              <w:jc w:val="center"/>
              <w:rPr>
                <w:lang w:val="en-US"/>
              </w:rPr>
            </w:pPr>
            <w:r w:rsidRPr="002220DF">
              <w:rPr>
                <w:lang w:val="en-US"/>
              </w:rPr>
              <w:t xml:space="preserve">Moderate, </w:t>
            </w:r>
            <w:r w:rsidRPr="002220DF">
              <w:t>favours</w:t>
            </w:r>
            <w:r w:rsidRPr="002220DF">
              <w:rPr>
                <w:lang w:val="en-US"/>
              </w:rPr>
              <w:t xml:space="preserve"> </w:t>
            </w:r>
            <w:r w:rsidR="00B23F2F">
              <w:rPr>
                <w:lang w:val="en-US"/>
              </w:rPr>
              <w:t>ranolazine</w:t>
            </w:r>
          </w:p>
        </w:tc>
      </w:tr>
      <w:tr w:rsidR="004F4E20" w:rsidRPr="002220DF" w:rsidTr="00772B90">
        <w:trPr>
          <w:trHeight w:val="688"/>
        </w:trPr>
        <w:tc>
          <w:tcPr>
            <w:tcW w:w="932" w:type="pct"/>
            <w:shd w:val="clear" w:color="auto" w:fill="auto"/>
            <w:vAlign w:val="center"/>
          </w:tcPr>
          <w:p w:rsidR="004F4E20" w:rsidRPr="002220DF" w:rsidRDefault="004F4E20" w:rsidP="00142D19">
            <w:pPr>
              <w:pStyle w:val="Tabletext"/>
              <w:rPr>
                <w:lang w:val="en-US"/>
              </w:rPr>
            </w:pPr>
            <w:r w:rsidRPr="002220DF">
              <w:rPr>
                <w:lang w:val="en-US"/>
              </w:rPr>
              <w:t>Hospitalisations rate</w:t>
            </w:r>
          </w:p>
        </w:tc>
        <w:tc>
          <w:tcPr>
            <w:tcW w:w="2458" w:type="pct"/>
            <w:shd w:val="clear" w:color="auto" w:fill="auto"/>
            <w:vAlign w:val="center"/>
          </w:tcPr>
          <w:p w:rsidR="004F4E20" w:rsidRPr="002220DF" w:rsidDel="00D14181" w:rsidRDefault="004F4E20" w:rsidP="008F5F04">
            <w:pPr>
              <w:pStyle w:val="Tabletext"/>
              <w:jc w:val="center"/>
              <w:rPr>
                <w:lang w:val="en-US"/>
              </w:rPr>
            </w:pPr>
            <w:r w:rsidRPr="002220DF">
              <w:rPr>
                <w:lang w:val="en-US"/>
              </w:rPr>
              <w:t>5.2% for ranolazine and 6.6% for placebo, sourced from Phelps (2012).</w:t>
            </w:r>
          </w:p>
        </w:tc>
        <w:tc>
          <w:tcPr>
            <w:tcW w:w="1609" w:type="pct"/>
            <w:shd w:val="clear" w:color="auto" w:fill="auto"/>
            <w:vAlign w:val="center"/>
          </w:tcPr>
          <w:p w:rsidR="004F4E20" w:rsidRPr="002220DF" w:rsidRDefault="004F4E20" w:rsidP="008F5F04">
            <w:pPr>
              <w:pStyle w:val="Tabletext"/>
              <w:jc w:val="center"/>
              <w:rPr>
                <w:lang w:val="en-US"/>
              </w:rPr>
            </w:pPr>
            <w:r w:rsidRPr="002220DF">
              <w:rPr>
                <w:lang w:val="en-US"/>
              </w:rPr>
              <w:t xml:space="preserve">Moderate, favours </w:t>
            </w:r>
            <w:r w:rsidR="00B23F2F">
              <w:rPr>
                <w:lang w:val="en-US"/>
              </w:rPr>
              <w:t>ranolazine</w:t>
            </w:r>
          </w:p>
        </w:tc>
      </w:tr>
      <w:tr w:rsidR="00FC48B4" w:rsidRPr="002220DF" w:rsidTr="00772B90">
        <w:tc>
          <w:tcPr>
            <w:tcW w:w="932" w:type="pct"/>
            <w:shd w:val="clear" w:color="auto" w:fill="auto"/>
            <w:vAlign w:val="center"/>
          </w:tcPr>
          <w:p w:rsidR="00FC48B4" w:rsidRPr="002220DF" w:rsidRDefault="00146C17" w:rsidP="00142D19">
            <w:pPr>
              <w:pStyle w:val="Tabletext"/>
              <w:rPr>
                <w:lang w:val="en-US"/>
              </w:rPr>
            </w:pPr>
            <w:r w:rsidRPr="002220DF">
              <w:rPr>
                <w:lang w:val="en-US"/>
              </w:rPr>
              <w:t>Utility gain</w:t>
            </w:r>
          </w:p>
        </w:tc>
        <w:tc>
          <w:tcPr>
            <w:tcW w:w="2458" w:type="pct"/>
            <w:shd w:val="clear" w:color="auto" w:fill="auto"/>
            <w:vAlign w:val="center"/>
          </w:tcPr>
          <w:p w:rsidR="00FC48B4" w:rsidRPr="002220DF" w:rsidRDefault="00FC48B4" w:rsidP="008F5F04">
            <w:pPr>
              <w:pStyle w:val="Tabletext"/>
              <w:jc w:val="center"/>
              <w:rPr>
                <w:lang w:val="en-US"/>
              </w:rPr>
            </w:pPr>
            <w:r w:rsidRPr="002220DF">
              <w:rPr>
                <w:lang w:val="en-US"/>
              </w:rPr>
              <w:t>Gain in utility of 0.035 for each angina attack avoided per week based on literature review.</w:t>
            </w:r>
          </w:p>
        </w:tc>
        <w:tc>
          <w:tcPr>
            <w:tcW w:w="1609" w:type="pct"/>
            <w:shd w:val="clear" w:color="auto" w:fill="auto"/>
            <w:vAlign w:val="center"/>
          </w:tcPr>
          <w:p w:rsidR="00FC48B4" w:rsidRPr="002220DF" w:rsidRDefault="004F4E20" w:rsidP="008F5F04">
            <w:pPr>
              <w:pStyle w:val="Tabletext"/>
              <w:jc w:val="center"/>
              <w:rPr>
                <w:lang w:val="en-US"/>
              </w:rPr>
            </w:pPr>
            <w:r w:rsidRPr="002220DF">
              <w:rPr>
                <w:lang w:val="en-US"/>
              </w:rPr>
              <w:t>Moderate</w:t>
            </w:r>
          </w:p>
        </w:tc>
      </w:tr>
    </w:tbl>
    <w:p w:rsidR="00E1286E" w:rsidRPr="002220DF" w:rsidRDefault="00E1286E" w:rsidP="00142D19">
      <w:pPr>
        <w:pStyle w:val="TableFooter"/>
        <w:widowControl/>
        <w:ind w:firstLine="720"/>
      </w:pPr>
      <w:r w:rsidRPr="002220DF">
        <w:t>Source: compiled during the evaluation</w:t>
      </w:r>
    </w:p>
    <w:p w:rsidR="00B97B1D" w:rsidRPr="002220DF" w:rsidRDefault="00B97B1D" w:rsidP="00142D19">
      <w:pPr>
        <w:pStyle w:val="TableFooter"/>
        <w:widowControl/>
        <w:ind w:firstLine="720"/>
      </w:pPr>
      <w:r w:rsidRPr="002220DF">
        <w:t>DPMQ = dispensed price for maximum quantity; ICER = incremental cost-effectiveness ratio; QALY = quality-adjusted life year</w:t>
      </w:r>
    </w:p>
    <w:p w:rsidR="008F5F04" w:rsidRDefault="008F5F04">
      <w:pPr>
        <w:widowControl/>
        <w:jc w:val="left"/>
        <w:rPr>
          <w:lang w:val="en-GB"/>
        </w:rPr>
      </w:pPr>
    </w:p>
    <w:p w:rsidR="008C499D" w:rsidRPr="002220DF" w:rsidRDefault="001462E6" w:rsidP="00142D19">
      <w:pPr>
        <w:pStyle w:val="ListParagraph"/>
        <w:widowControl/>
        <w:numPr>
          <w:ilvl w:val="1"/>
          <w:numId w:val="11"/>
        </w:numPr>
        <w:rPr>
          <w:szCs w:val="22"/>
        </w:rPr>
      </w:pPr>
      <w:r w:rsidRPr="002220DF">
        <w:t>Table 1</w:t>
      </w:r>
      <w:r w:rsidR="0075715F">
        <w:t>2</w:t>
      </w:r>
      <w:r w:rsidR="008C499D" w:rsidRPr="002220DF">
        <w:t xml:space="preserve"> summarises the results of the stepped economic evaluation. </w:t>
      </w:r>
    </w:p>
    <w:p w:rsidR="008203DE" w:rsidRDefault="008203DE" w:rsidP="00142D19">
      <w:pPr>
        <w:widowControl/>
        <w:jc w:val="left"/>
        <w:rPr>
          <w:rStyle w:val="CommentReference"/>
        </w:rPr>
      </w:pPr>
    </w:p>
    <w:p w:rsidR="00FF5F86" w:rsidRDefault="00FF5F86">
      <w:pPr>
        <w:widowControl/>
        <w:jc w:val="left"/>
        <w:rPr>
          <w:rStyle w:val="CommentReference"/>
        </w:rPr>
      </w:pPr>
      <w:r>
        <w:rPr>
          <w:rStyle w:val="CommentReference"/>
        </w:rPr>
        <w:br w:type="page"/>
      </w:r>
    </w:p>
    <w:p w:rsidR="001462E6" w:rsidRPr="002220DF" w:rsidRDefault="001462E6" w:rsidP="00142D19">
      <w:pPr>
        <w:widowControl/>
        <w:ind w:left="709"/>
        <w:rPr>
          <w:rStyle w:val="CommentReference"/>
        </w:rPr>
      </w:pPr>
      <w:r w:rsidRPr="002220DF">
        <w:rPr>
          <w:rStyle w:val="CommentReference"/>
        </w:rPr>
        <w:t>Table 1</w:t>
      </w:r>
      <w:r w:rsidR="0075715F">
        <w:rPr>
          <w:rStyle w:val="CommentReference"/>
        </w:rPr>
        <w:t>2</w:t>
      </w:r>
      <w:r w:rsidRPr="002220DF">
        <w:rPr>
          <w:rStyle w:val="CommentReference"/>
        </w:rPr>
        <w:t xml:space="preserve">: </w:t>
      </w:r>
      <w:r w:rsidR="00083FFE">
        <w:rPr>
          <w:rStyle w:val="CommentReference"/>
        </w:rPr>
        <w:t>Modelled</w:t>
      </w:r>
      <w:r w:rsidRPr="002220DF">
        <w:rPr>
          <w:rStyle w:val="CommentReference"/>
        </w:rPr>
        <w:t xml:space="preserve"> economic evaluation</w:t>
      </w:r>
    </w:p>
    <w:tbl>
      <w:tblPr>
        <w:tblW w:w="462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62"/>
        <w:gridCol w:w="2866"/>
        <w:gridCol w:w="1892"/>
        <w:gridCol w:w="2075"/>
      </w:tblGrid>
      <w:tr w:rsidR="008C499D" w:rsidRPr="008F5F04" w:rsidTr="00772B90">
        <w:trPr>
          <w:tblHeader/>
        </w:trPr>
        <w:tc>
          <w:tcPr>
            <w:tcW w:w="930" w:type="pct"/>
            <w:vAlign w:val="center"/>
          </w:tcPr>
          <w:p w:rsidR="008C499D" w:rsidRPr="008F5F04" w:rsidRDefault="008C499D" w:rsidP="00142D19">
            <w:pPr>
              <w:pStyle w:val="Tabletext"/>
              <w:rPr>
                <w:b/>
              </w:rPr>
            </w:pPr>
            <w:r w:rsidRPr="008F5F04">
              <w:rPr>
                <w:b/>
              </w:rPr>
              <w:t>Step and component</w:t>
            </w:r>
          </w:p>
        </w:tc>
        <w:tc>
          <w:tcPr>
            <w:tcW w:w="1707" w:type="pct"/>
            <w:vAlign w:val="center"/>
          </w:tcPr>
          <w:p w:rsidR="008C499D" w:rsidRPr="008F5F04" w:rsidRDefault="008C499D" w:rsidP="008F5F04">
            <w:pPr>
              <w:pStyle w:val="Tabletext"/>
              <w:jc w:val="center"/>
              <w:rPr>
                <w:b/>
              </w:rPr>
            </w:pPr>
            <w:r w:rsidRPr="008F5F04">
              <w:rPr>
                <w:b/>
              </w:rPr>
              <w:t>Ranolazine</w:t>
            </w:r>
          </w:p>
        </w:tc>
        <w:tc>
          <w:tcPr>
            <w:tcW w:w="1127" w:type="pct"/>
            <w:vAlign w:val="center"/>
          </w:tcPr>
          <w:p w:rsidR="008C499D" w:rsidRPr="008F5F04" w:rsidRDefault="008C499D" w:rsidP="008F5F04">
            <w:pPr>
              <w:pStyle w:val="Tabletext"/>
              <w:jc w:val="center"/>
              <w:rPr>
                <w:b/>
              </w:rPr>
            </w:pPr>
            <w:r w:rsidRPr="008F5F04">
              <w:rPr>
                <w:b/>
              </w:rPr>
              <w:t>Placebo</w:t>
            </w:r>
          </w:p>
        </w:tc>
        <w:tc>
          <w:tcPr>
            <w:tcW w:w="1236" w:type="pct"/>
            <w:vAlign w:val="center"/>
          </w:tcPr>
          <w:p w:rsidR="008C499D" w:rsidRPr="008F5F04" w:rsidRDefault="008C499D" w:rsidP="008F5F04">
            <w:pPr>
              <w:pStyle w:val="Tabletext"/>
              <w:jc w:val="center"/>
              <w:rPr>
                <w:b/>
              </w:rPr>
            </w:pPr>
            <w:r w:rsidRPr="008F5F04">
              <w:rPr>
                <w:b/>
              </w:rPr>
              <w:t>Increment</w:t>
            </w:r>
          </w:p>
        </w:tc>
      </w:tr>
      <w:tr w:rsidR="00083FFE" w:rsidRPr="008F5F04" w:rsidTr="00083FFE">
        <w:trPr>
          <w:tblHeader/>
        </w:trPr>
        <w:tc>
          <w:tcPr>
            <w:tcW w:w="5000" w:type="pct"/>
            <w:gridSpan w:val="4"/>
            <w:vAlign w:val="center"/>
          </w:tcPr>
          <w:p w:rsidR="00083FFE" w:rsidRPr="008F5F04" w:rsidRDefault="00083FFE" w:rsidP="00142D19">
            <w:pPr>
              <w:pStyle w:val="Tabletext"/>
              <w:rPr>
                <w:b/>
              </w:rPr>
            </w:pPr>
            <w:r w:rsidRPr="008F5F04">
              <w:rPr>
                <w:b/>
              </w:rPr>
              <w:t>Trial based economic evaluation</w:t>
            </w:r>
          </w:p>
        </w:tc>
      </w:tr>
      <w:tr w:rsidR="00E77FAC" w:rsidRPr="008F5F04" w:rsidTr="00772B90">
        <w:trPr>
          <w:tblHeader/>
        </w:trPr>
        <w:tc>
          <w:tcPr>
            <w:tcW w:w="930" w:type="pct"/>
            <w:vAlign w:val="center"/>
          </w:tcPr>
          <w:p w:rsidR="00E77FAC" w:rsidRPr="008F5F04" w:rsidRDefault="00E77FAC" w:rsidP="00142D19">
            <w:pPr>
              <w:pStyle w:val="Tabletext"/>
            </w:pPr>
            <w:r w:rsidRPr="008F5F04">
              <w:t>Costs</w:t>
            </w:r>
          </w:p>
        </w:tc>
        <w:tc>
          <w:tcPr>
            <w:tcW w:w="1707" w:type="pct"/>
            <w:vAlign w:val="center"/>
          </w:tcPr>
          <w:p w:rsidR="00E77FAC" w:rsidRPr="008F5F04" w:rsidRDefault="00E77FAC" w:rsidP="008F5F04">
            <w:pPr>
              <w:pStyle w:val="Tabletext"/>
              <w:jc w:val="right"/>
            </w:pPr>
            <w:r w:rsidRPr="008F5F04">
              <w:rPr>
                <w:bCs/>
                <w:color w:val="000000"/>
              </w:rPr>
              <w:t>$</w:t>
            </w:r>
            <w:r w:rsidR="005E1EC5">
              <w:rPr>
                <w:bCs/>
                <w:noProof/>
                <w:color w:val="000000"/>
                <w:highlight w:val="black"/>
              </w:rPr>
              <w:t>''''''''''''''''</w:t>
            </w:r>
          </w:p>
        </w:tc>
        <w:tc>
          <w:tcPr>
            <w:tcW w:w="1127" w:type="pct"/>
            <w:vAlign w:val="center"/>
          </w:tcPr>
          <w:p w:rsidR="00E77FAC" w:rsidRPr="008F5F04" w:rsidRDefault="00E77FAC" w:rsidP="008F5F04">
            <w:pPr>
              <w:pStyle w:val="Tabletext"/>
              <w:jc w:val="right"/>
            </w:pPr>
            <w:r w:rsidRPr="008F5F04">
              <w:rPr>
                <w:bCs/>
                <w:color w:val="000000"/>
              </w:rPr>
              <w:t>$</w:t>
            </w:r>
            <w:r w:rsidR="005E1EC5">
              <w:rPr>
                <w:bCs/>
                <w:noProof/>
                <w:color w:val="000000"/>
                <w:highlight w:val="black"/>
              </w:rPr>
              <w:t>'''''''''''''</w:t>
            </w:r>
          </w:p>
        </w:tc>
        <w:tc>
          <w:tcPr>
            <w:tcW w:w="1236" w:type="pct"/>
            <w:vAlign w:val="center"/>
          </w:tcPr>
          <w:p w:rsidR="00E77FAC" w:rsidRPr="008F5F04" w:rsidRDefault="00E77FAC" w:rsidP="008F5F04">
            <w:pPr>
              <w:pStyle w:val="Tabletext"/>
              <w:jc w:val="right"/>
            </w:pPr>
            <w:r w:rsidRPr="008F5F04">
              <w:rPr>
                <w:bCs/>
                <w:color w:val="000000"/>
              </w:rPr>
              <w:t>$</w:t>
            </w:r>
            <w:r w:rsidR="005E1EC5">
              <w:rPr>
                <w:bCs/>
                <w:noProof/>
                <w:color w:val="000000"/>
                <w:highlight w:val="black"/>
              </w:rPr>
              <w:t>'''''''''''''''</w:t>
            </w:r>
          </w:p>
        </w:tc>
      </w:tr>
      <w:tr w:rsidR="00E77FAC" w:rsidRPr="008F5F04" w:rsidTr="00202246">
        <w:trPr>
          <w:tblHeader/>
        </w:trPr>
        <w:tc>
          <w:tcPr>
            <w:tcW w:w="930" w:type="pct"/>
          </w:tcPr>
          <w:p w:rsidR="00E77FAC" w:rsidRPr="008F5F04" w:rsidRDefault="00E77FAC" w:rsidP="00142D19">
            <w:pPr>
              <w:pStyle w:val="Tabletext"/>
            </w:pPr>
            <w:r w:rsidRPr="008F5F04">
              <w:t xml:space="preserve">Angina events </w:t>
            </w:r>
          </w:p>
        </w:tc>
        <w:tc>
          <w:tcPr>
            <w:tcW w:w="1707" w:type="pct"/>
            <w:vAlign w:val="center"/>
          </w:tcPr>
          <w:p w:rsidR="00E77FAC" w:rsidRPr="008F5F04" w:rsidRDefault="00E77FAC" w:rsidP="008F5F04">
            <w:pPr>
              <w:pStyle w:val="Tabletext"/>
              <w:jc w:val="center"/>
            </w:pPr>
            <w:r w:rsidRPr="008F5F04">
              <w:rPr>
                <w:color w:val="000000"/>
              </w:rPr>
              <w:t>24</w:t>
            </w:r>
          </w:p>
        </w:tc>
        <w:tc>
          <w:tcPr>
            <w:tcW w:w="1127" w:type="pct"/>
            <w:vAlign w:val="center"/>
          </w:tcPr>
          <w:p w:rsidR="00E77FAC" w:rsidRPr="008F5F04" w:rsidRDefault="00E77FAC" w:rsidP="008F5F04">
            <w:pPr>
              <w:pStyle w:val="Tabletext"/>
              <w:jc w:val="center"/>
            </w:pPr>
            <w:r w:rsidRPr="008F5F04">
              <w:rPr>
                <w:color w:val="000000"/>
              </w:rPr>
              <w:t>41</w:t>
            </w:r>
          </w:p>
        </w:tc>
        <w:tc>
          <w:tcPr>
            <w:tcW w:w="1236" w:type="pct"/>
            <w:vAlign w:val="center"/>
          </w:tcPr>
          <w:p w:rsidR="00E77FAC" w:rsidRPr="008F5F04" w:rsidRDefault="00E77FAC" w:rsidP="008F5F04">
            <w:pPr>
              <w:pStyle w:val="Tabletext"/>
              <w:jc w:val="center"/>
            </w:pPr>
            <w:r w:rsidRPr="008F5F04">
              <w:rPr>
                <w:color w:val="000000"/>
              </w:rPr>
              <w:t>-17</w:t>
            </w:r>
          </w:p>
        </w:tc>
      </w:tr>
      <w:tr w:rsidR="00E77FAC" w:rsidRPr="008F5F04" w:rsidTr="00E77FAC">
        <w:trPr>
          <w:tblHeader/>
        </w:trPr>
        <w:tc>
          <w:tcPr>
            <w:tcW w:w="3764" w:type="pct"/>
            <w:gridSpan w:val="3"/>
          </w:tcPr>
          <w:p w:rsidR="00E77FAC" w:rsidRPr="008F5F04" w:rsidRDefault="00E77FAC" w:rsidP="00142D19">
            <w:pPr>
              <w:pStyle w:val="Tabletext"/>
              <w:rPr>
                <w:color w:val="000000"/>
              </w:rPr>
            </w:pPr>
            <w:r w:rsidRPr="008F5F04">
              <w:rPr>
                <w:b/>
                <w:szCs w:val="22"/>
                <w:lang w:bidi="en-US"/>
              </w:rPr>
              <w:t>Incremental cost per angina event avoided</w:t>
            </w:r>
          </w:p>
        </w:tc>
        <w:tc>
          <w:tcPr>
            <w:tcW w:w="1236" w:type="pct"/>
            <w:vAlign w:val="center"/>
          </w:tcPr>
          <w:p w:rsidR="00E77FAC" w:rsidRPr="008F5F04" w:rsidRDefault="00E77FAC" w:rsidP="00142D19">
            <w:pPr>
              <w:pStyle w:val="Tabletext"/>
              <w:jc w:val="right"/>
              <w:rPr>
                <w:b/>
                <w:color w:val="000000"/>
              </w:rPr>
            </w:pPr>
            <w:r w:rsidRPr="008F5F04">
              <w:rPr>
                <w:b/>
                <w:color w:val="000000"/>
              </w:rPr>
              <w:t>$</w:t>
            </w:r>
            <w:r w:rsidR="005E1EC5">
              <w:rPr>
                <w:b/>
                <w:noProof/>
                <w:color w:val="000000"/>
                <w:highlight w:val="black"/>
              </w:rPr>
              <w:t>''''''''''''</w:t>
            </w:r>
          </w:p>
        </w:tc>
      </w:tr>
      <w:tr w:rsidR="00E77FAC" w:rsidRPr="008F5F04" w:rsidTr="00772B90">
        <w:tc>
          <w:tcPr>
            <w:tcW w:w="5000" w:type="pct"/>
            <w:gridSpan w:val="4"/>
            <w:vAlign w:val="center"/>
          </w:tcPr>
          <w:p w:rsidR="00E77FAC" w:rsidRPr="008F5F04" w:rsidRDefault="00E77FAC" w:rsidP="00142D19">
            <w:pPr>
              <w:pStyle w:val="Tabletext"/>
              <w:rPr>
                <w:rFonts w:cs="Arial Narrow"/>
                <w:b/>
                <w:bCs/>
              </w:rPr>
            </w:pPr>
            <w:r w:rsidRPr="008F5F04">
              <w:rPr>
                <w:rFonts w:cs="Arial Narrow"/>
                <w:b/>
                <w:bCs/>
              </w:rPr>
              <w:t xml:space="preserve">Step 1: Preliminary economic evaluation plus withdrawals, full time horizon </w:t>
            </w:r>
          </w:p>
        </w:tc>
      </w:tr>
      <w:tr w:rsidR="00E77FAC" w:rsidRPr="008F5F04" w:rsidTr="00772B90">
        <w:tc>
          <w:tcPr>
            <w:tcW w:w="930" w:type="pct"/>
            <w:vAlign w:val="center"/>
          </w:tcPr>
          <w:p w:rsidR="00E77FAC" w:rsidRPr="008F5F04" w:rsidRDefault="00E77FAC" w:rsidP="00142D19">
            <w:pPr>
              <w:pStyle w:val="Tabletext"/>
            </w:pPr>
            <w:r w:rsidRPr="008F5F04">
              <w:t>Costs</w:t>
            </w:r>
          </w:p>
        </w:tc>
        <w:tc>
          <w:tcPr>
            <w:tcW w:w="1707" w:type="pct"/>
          </w:tcPr>
          <w:p w:rsidR="00E77FAC" w:rsidRPr="008F5F04" w:rsidRDefault="00E77FAC" w:rsidP="00142D19">
            <w:pPr>
              <w:pStyle w:val="Tabletext"/>
              <w:jc w:val="right"/>
            </w:pPr>
            <w:r w:rsidRPr="008F5F04">
              <w:t>$</w:t>
            </w:r>
            <w:r w:rsidR="005E1EC5">
              <w:rPr>
                <w:noProof/>
                <w:color w:val="000000"/>
                <w:highlight w:val="black"/>
              </w:rPr>
              <w:t>'''''''''</w:t>
            </w:r>
          </w:p>
        </w:tc>
        <w:tc>
          <w:tcPr>
            <w:tcW w:w="1127" w:type="pct"/>
            <w:vAlign w:val="center"/>
          </w:tcPr>
          <w:p w:rsidR="00E77FAC" w:rsidRPr="008F5F04" w:rsidRDefault="00E77FAC" w:rsidP="00142D19">
            <w:pPr>
              <w:pStyle w:val="Tabletext"/>
              <w:jc w:val="right"/>
            </w:pPr>
            <w:r w:rsidRPr="008F5F04">
              <w:t>$</w:t>
            </w:r>
            <w:r w:rsidR="005E1EC5">
              <w:rPr>
                <w:noProof/>
                <w:color w:val="000000"/>
                <w:highlight w:val="black"/>
              </w:rPr>
              <w:t>''''''</w:t>
            </w:r>
          </w:p>
        </w:tc>
        <w:tc>
          <w:tcPr>
            <w:tcW w:w="1236" w:type="pct"/>
          </w:tcPr>
          <w:p w:rsidR="00E77FAC" w:rsidRPr="008F5F04" w:rsidRDefault="00E77FAC" w:rsidP="00142D19">
            <w:pPr>
              <w:pStyle w:val="Tabletext"/>
              <w:jc w:val="right"/>
            </w:pPr>
            <w:r w:rsidRPr="008F5F04">
              <w:t>$</w:t>
            </w:r>
            <w:r w:rsidR="005E1EC5">
              <w:rPr>
                <w:noProof/>
                <w:color w:val="000000"/>
                <w:highlight w:val="black"/>
              </w:rPr>
              <w:t>'''''''''</w:t>
            </w:r>
          </w:p>
        </w:tc>
      </w:tr>
      <w:tr w:rsidR="00E77FAC" w:rsidRPr="008F5F04" w:rsidTr="00772B90">
        <w:tc>
          <w:tcPr>
            <w:tcW w:w="930" w:type="pct"/>
            <w:vAlign w:val="center"/>
          </w:tcPr>
          <w:p w:rsidR="00E77FAC" w:rsidRPr="008F5F04" w:rsidRDefault="00E77FAC" w:rsidP="00142D19">
            <w:pPr>
              <w:pStyle w:val="Tabletext"/>
            </w:pPr>
            <w:r w:rsidRPr="008F5F04">
              <w:t>QALYs</w:t>
            </w:r>
          </w:p>
        </w:tc>
        <w:tc>
          <w:tcPr>
            <w:tcW w:w="1707" w:type="pct"/>
          </w:tcPr>
          <w:p w:rsidR="00E77FAC" w:rsidRPr="008F5F04" w:rsidRDefault="00E77FAC" w:rsidP="00142D19">
            <w:pPr>
              <w:pStyle w:val="Tabletext"/>
              <w:jc w:val="center"/>
            </w:pPr>
            <w:r w:rsidRPr="008F5F04">
              <w:t>0.663</w:t>
            </w:r>
          </w:p>
        </w:tc>
        <w:tc>
          <w:tcPr>
            <w:tcW w:w="1127" w:type="pct"/>
            <w:vAlign w:val="center"/>
          </w:tcPr>
          <w:p w:rsidR="00E77FAC" w:rsidRPr="008F5F04" w:rsidRDefault="00E77FAC" w:rsidP="00142D19">
            <w:pPr>
              <w:pStyle w:val="Tabletext"/>
              <w:jc w:val="center"/>
            </w:pPr>
            <w:r w:rsidRPr="008F5F04">
              <w:t>0.627</w:t>
            </w:r>
          </w:p>
        </w:tc>
        <w:tc>
          <w:tcPr>
            <w:tcW w:w="1236" w:type="pct"/>
          </w:tcPr>
          <w:p w:rsidR="00E77FAC" w:rsidRPr="008F5F04" w:rsidRDefault="00E77FAC" w:rsidP="00142D19">
            <w:pPr>
              <w:pStyle w:val="Tabletext"/>
              <w:jc w:val="center"/>
            </w:pPr>
            <w:r w:rsidRPr="008F5F04">
              <w:t>0.036</w:t>
            </w:r>
          </w:p>
        </w:tc>
      </w:tr>
      <w:tr w:rsidR="00E77FAC" w:rsidRPr="008F5F04" w:rsidTr="00772B90">
        <w:tc>
          <w:tcPr>
            <w:tcW w:w="3764" w:type="pct"/>
            <w:gridSpan w:val="3"/>
            <w:vAlign w:val="center"/>
          </w:tcPr>
          <w:p w:rsidR="00E77FAC" w:rsidRPr="008F5F04" w:rsidRDefault="00E77FAC" w:rsidP="00142D19">
            <w:pPr>
              <w:pStyle w:val="Tabletext"/>
              <w:rPr>
                <w:b/>
              </w:rPr>
            </w:pPr>
            <w:r w:rsidRPr="008F5F04">
              <w:rPr>
                <w:b/>
              </w:rPr>
              <w:t>Incremental cost/extra QALY gained</w:t>
            </w:r>
          </w:p>
        </w:tc>
        <w:tc>
          <w:tcPr>
            <w:tcW w:w="1236" w:type="pct"/>
          </w:tcPr>
          <w:p w:rsidR="00E77FAC" w:rsidRPr="008F5F04" w:rsidRDefault="00E77FAC" w:rsidP="00142D19">
            <w:pPr>
              <w:pStyle w:val="Tabletext"/>
              <w:jc w:val="right"/>
              <w:rPr>
                <w:b/>
              </w:rPr>
            </w:pPr>
            <w:r w:rsidRPr="008F5F04">
              <w:rPr>
                <w:b/>
              </w:rPr>
              <w:t>$</w:t>
            </w:r>
            <w:r w:rsidR="005E1EC5">
              <w:rPr>
                <w:b/>
                <w:noProof/>
                <w:color w:val="000000"/>
                <w:highlight w:val="black"/>
              </w:rPr>
              <w:t>''''''''''''</w:t>
            </w:r>
          </w:p>
        </w:tc>
      </w:tr>
      <w:tr w:rsidR="00E77FAC" w:rsidRPr="008F5F04" w:rsidTr="00772B90">
        <w:tc>
          <w:tcPr>
            <w:tcW w:w="5000" w:type="pct"/>
            <w:gridSpan w:val="4"/>
            <w:vAlign w:val="center"/>
          </w:tcPr>
          <w:p w:rsidR="00E77FAC" w:rsidRPr="008F5F04" w:rsidRDefault="00E77FAC" w:rsidP="00142D19">
            <w:pPr>
              <w:pStyle w:val="Tabletext"/>
              <w:rPr>
                <w:rFonts w:cs="Arial Narrow"/>
                <w:b/>
                <w:bCs/>
              </w:rPr>
            </w:pPr>
            <w:r w:rsidRPr="008F5F04">
              <w:rPr>
                <w:rFonts w:cs="Arial Narrow"/>
                <w:b/>
                <w:bCs/>
              </w:rPr>
              <w:t>Step 2: Added background death</w:t>
            </w:r>
          </w:p>
        </w:tc>
      </w:tr>
      <w:tr w:rsidR="00E77FAC" w:rsidRPr="008F5F04" w:rsidTr="00772B90">
        <w:tc>
          <w:tcPr>
            <w:tcW w:w="930" w:type="pct"/>
            <w:vAlign w:val="center"/>
          </w:tcPr>
          <w:p w:rsidR="00E77FAC" w:rsidRPr="008F5F04" w:rsidRDefault="00E77FAC" w:rsidP="00142D19">
            <w:pPr>
              <w:pStyle w:val="Tabletext"/>
            </w:pPr>
            <w:r w:rsidRPr="008F5F04">
              <w:t>Costs</w:t>
            </w:r>
          </w:p>
        </w:tc>
        <w:tc>
          <w:tcPr>
            <w:tcW w:w="1707" w:type="pct"/>
          </w:tcPr>
          <w:p w:rsidR="00E77FAC" w:rsidRPr="008F5F04" w:rsidRDefault="00E77FAC" w:rsidP="00142D19">
            <w:pPr>
              <w:pStyle w:val="Tabletext"/>
              <w:jc w:val="right"/>
            </w:pPr>
            <w:r w:rsidRPr="008F5F04">
              <w:tab/>
              <w:t>$</w:t>
            </w:r>
            <w:r w:rsidR="005E1EC5">
              <w:rPr>
                <w:noProof/>
                <w:color w:val="000000"/>
                <w:highlight w:val="black"/>
              </w:rPr>
              <w:t>''''''''''</w:t>
            </w:r>
          </w:p>
        </w:tc>
        <w:tc>
          <w:tcPr>
            <w:tcW w:w="1127" w:type="pct"/>
            <w:vAlign w:val="center"/>
          </w:tcPr>
          <w:p w:rsidR="00E77FAC" w:rsidRPr="008F5F04" w:rsidRDefault="00E77FAC" w:rsidP="00142D19">
            <w:pPr>
              <w:pStyle w:val="Tabletext"/>
              <w:jc w:val="right"/>
            </w:pPr>
            <w:r w:rsidRPr="008F5F04">
              <w:t>$</w:t>
            </w:r>
            <w:r w:rsidR="005E1EC5">
              <w:rPr>
                <w:noProof/>
                <w:color w:val="000000"/>
                <w:highlight w:val="black"/>
              </w:rPr>
              <w:t>'''''''</w:t>
            </w:r>
          </w:p>
        </w:tc>
        <w:tc>
          <w:tcPr>
            <w:tcW w:w="1236" w:type="pct"/>
          </w:tcPr>
          <w:p w:rsidR="00E77FAC" w:rsidRPr="008F5F04" w:rsidRDefault="00E77FAC" w:rsidP="00142D19">
            <w:pPr>
              <w:pStyle w:val="Tabletext"/>
              <w:jc w:val="right"/>
            </w:pPr>
            <w:r w:rsidRPr="008F5F04">
              <w:t>$</w:t>
            </w:r>
            <w:r w:rsidR="005E1EC5">
              <w:rPr>
                <w:noProof/>
                <w:color w:val="000000"/>
                <w:highlight w:val="black"/>
              </w:rPr>
              <w:t>''''''''''</w:t>
            </w:r>
          </w:p>
        </w:tc>
      </w:tr>
      <w:tr w:rsidR="00E77FAC" w:rsidRPr="008F5F04" w:rsidTr="00772B90">
        <w:tc>
          <w:tcPr>
            <w:tcW w:w="930" w:type="pct"/>
            <w:vAlign w:val="center"/>
          </w:tcPr>
          <w:p w:rsidR="00E77FAC" w:rsidRPr="008F5F04" w:rsidRDefault="00E77FAC" w:rsidP="00142D19">
            <w:pPr>
              <w:pStyle w:val="Tabletext"/>
            </w:pPr>
            <w:r w:rsidRPr="008F5F04">
              <w:t>QALYs</w:t>
            </w:r>
          </w:p>
        </w:tc>
        <w:tc>
          <w:tcPr>
            <w:tcW w:w="1707" w:type="pct"/>
          </w:tcPr>
          <w:p w:rsidR="00E77FAC" w:rsidRPr="008F5F04" w:rsidRDefault="00E77FAC" w:rsidP="00142D19">
            <w:pPr>
              <w:pStyle w:val="Tabletext"/>
              <w:jc w:val="center"/>
            </w:pPr>
            <w:r w:rsidRPr="008F5F04">
              <w:t>0.658</w:t>
            </w:r>
          </w:p>
        </w:tc>
        <w:tc>
          <w:tcPr>
            <w:tcW w:w="1127" w:type="pct"/>
            <w:vAlign w:val="center"/>
          </w:tcPr>
          <w:p w:rsidR="00E77FAC" w:rsidRPr="008F5F04" w:rsidRDefault="00E77FAC" w:rsidP="00142D19">
            <w:pPr>
              <w:pStyle w:val="Tabletext"/>
              <w:jc w:val="center"/>
            </w:pPr>
            <w:r w:rsidRPr="008F5F04">
              <w:t>0.622</w:t>
            </w:r>
          </w:p>
        </w:tc>
        <w:tc>
          <w:tcPr>
            <w:tcW w:w="1236" w:type="pct"/>
          </w:tcPr>
          <w:p w:rsidR="00E77FAC" w:rsidRPr="008F5F04" w:rsidRDefault="00E77FAC" w:rsidP="00142D19">
            <w:pPr>
              <w:pStyle w:val="Tabletext"/>
              <w:jc w:val="center"/>
            </w:pPr>
            <w:r w:rsidRPr="008F5F04">
              <w:t>0.036</w:t>
            </w:r>
          </w:p>
        </w:tc>
      </w:tr>
      <w:tr w:rsidR="00E77FAC" w:rsidRPr="008F5F04" w:rsidTr="00772B90">
        <w:trPr>
          <w:trHeight w:val="70"/>
        </w:trPr>
        <w:tc>
          <w:tcPr>
            <w:tcW w:w="3764" w:type="pct"/>
            <w:gridSpan w:val="3"/>
            <w:vAlign w:val="center"/>
          </w:tcPr>
          <w:p w:rsidR="00E77FAC" w:rsidRPr="008F5F04" w:rsidRDefault="00E77FAC" w:rsidP="00142D19">
            <w:pPr>
              <w:pStyle w:val="Tabletext"/>
              <w:rPr>
                <w:b/>
              </w:rPr>
            </w:pPr>
            <w:r w:rsidRPr="008F5F04">
              <w:rPr>
                <w:b/>
              </w:rPr>
              <w:t>Incremental cost/extra QALY gained</w:t>
            </w:r>
          </w:p>
        </w:tc>
        <w:tc>
          <w:tcPr>
            <w:tcW w:w="1236" w:type="pct"/>
          </w:tcPr>
          <w:p w:rsidR="00E77FAC" w:rsidRPr="008F5F04" w:rsidRDefault="00E77FAC" w:rsidP="00142D19">
            <w:pPr>
              <w:pStyle w:val="Tabletext"/>
              <w:jc w:val="right"/>
              <w:rPr>
                <w:b/>
              </w:rPr>
            </w:pPr>
            <w:r w:rsidRPr="008F5F04">
              <w:rPr>
                <w:b/>
              </w:rPr>
              <w:t>$</w:t>
            </w:r>
            <w:r w:rsidR="005E1EC5">
              <w:rPr>
                <w:b/>
                <w:noProof/>
                <w:color w:val="000000"/>
                <w:highlight w:val="black"/>
              </w:rPr>
              <w:t>'''''''''''''</w:t>
            </w:r>
          </w:p>
        </w:tc>
      </w:tr>
      <w:tr w:rsidR="00E77FAC" w:rsidRPr="008F5F04" w:rsidTr="00772B90">
        <w:tc>
          <w:tcPr>
            <w:tcW w:w="5000" w:type="pct"/>
            <w:gridSpan w:val="4"/>
            <w:vAlign w:val="center"/>
          </w:tcPr>
          <w:p w:rsidR="00E77FAC" w:rsidRPr="008F5F04" w:rsidRDefault="00E77FAC" w:rsidP="00142D19">
            <w:pPr>
              <w:pStyle w:val="Tabletext"/>
              <w:rPr>
                <w:rFonts w:cs="Arial Narrow"/>
                <w:b/>
                <w:bCs/>
              </w:rPr>
            </w:pPr>
            <w:r w:rsidRPr="008F5F04">
              <w:rPr>
                <w:rFonts w:cs="Arial Narrow"/>
                <w:b/>
                <w:bCs/>
              </w:rPr>
              <w:t>Step 3: Base case evaluation (hospitalisations added)</w:t>
            </w:r>
          </w:p>
        </w:tc>
      </w:tr>
      <w:tr w:rsidR="00E77FAC" w:rsidRPr="008F5F04" w:rsidTr="00772B90">
        <w:tc>
          <w:tcPr>
            <w:tcW w:w="930" w:type="pct"/>
            <w:vAlign w:val="center"/>
          </w:tcPr>
          <w:p w:rsidR="00E77FAC" w:rsidRPr="008F5F04" w:rsidRDefault="00E77FAC" w:rsidP="00142D19">
            <w:pPr>
              <w:pStyle w:val="Tabletext"/>
            </w:pPr>
            <w:r w:rsidRPr="008F5F04">
              <w:t>Costs</w:t>
            </w:r>
          </w:p>
        </w:tc>
        <w:tc>
          <w:tcPr>
            <w:tcW w:w="1707" w:type="pct"/>
          </w:tcPr>
          <w:p w:rsidR="00E77FAC" w:rsidRPr="008F5F04" w:rsidRDefault="00E77FAC" w:rsidP="00142D19">
            <w:pPr>
              <w:pStyle w:val="Tabletext"/>
              <w:jc w:val="right"/>
            </w:pPr>
            <w:r w:rsidRPr="008F5F04">
              <w:t>$</w:t>
            </w:r>
            <w:r w:rsidR="005E1EC5">
              <w:rPr>
                <w:noProof/>
                <w:color w:val="000000"/>
                <w:highlight w:val="black"/>
              </w:rPr>
              <w:t>''''''''''''</w:t>
            </w:r>
          </w:p>
        </w:tc>
        <w:tc>
          <w:tcPr>
            <w:tcW w:w="1127" w:type="pct"/>
          </w:tcPr>
          <w:p w:rsidR="00E77FAC" w:rsidRPr="008F5F04" w:rsidRDefault="00E77FAC" w:rsidP="00142D19">
            <w:pPr>
              <w:pStyle w:val="Tabletext"/>
              <w:jc w:val="right"/>
            </w:pPr>
            <w:r w:rsidRPr="008F5F04">
              <w:t>$</w:t>
            </w:r>
            <w:r w:rsidR="005E1EC5">
              <w:rPr>
                <w:noProof/>
                <w:color w:val="000000"/>
                <w:highlight w:val="black"/>
              </w:rPr>
              <w:t>''''''''''''</w:t>
            </w:r>
          </w:p>
        </w:tc>
        <w:tc>
          <w:tcPr>
            <w:tcW w:w="1236" w:type="pct"/>
          </w:tcPr>
          <w:p w:rsidR="00E77FAC" w:rsidRPr="008F5F04" w:rsidRDefault="00E77FAC" w:rsidP="00142D19">
            <w:pPr>
              <w:pStyle w:val="Tabletext"/>
              <w:jc w:val="right"/>
            </w:pPr>
            <w:r w:rsidRPr="008F5F04">
              <w:t>$</w:t>
            </w:r>
            <w:r w:rsidR="005E1EC5">
              <w:rPr>
                <w:noProof/>
                <w:color w:val="000000"/>
                <w:highlight w:val="black"/>
              </w:rPr>
              <w:t>''''''''''</w:t>
            </w:r>
          </w:p>
        </w:tc>
      </w:tr>
      <w:tr w:rsidR="00E77FAC" w:rsidRPr="008F5F04" w:rsidTr="00772B90">
        <w:tc>
          <w:tcPr>
            <w:tcW w:w="930" w:type="pct"/>
            <w:vAlign w:val="center"/>
          </w:tcPr>
          <w:p w:rsidR="00E77FAC" w:rsidRPr="008F5F04" w:rsidRDefault="00E77FAC" w:rsidP="00142D19">
            <w:pPr>
              <w:pStyle w:val="Tabletext"/>
            </w:pPr>
            <w:r w:rsidRPr="008F5F04">
              <w:t>QALYs</w:t>
            </w:r>
          </w:p>
        </w:tc>
        <w:tc>
          <w:tcPr>
            <w:tcW w:w="1707" w:type="pct"/>
          </w:tcPr>
          <w:p w:rsidR="00E77FAC" w:rsidRPr="008F5F04" w:rsidRDefault="00E77FAC" w:rsidP="00142D19">
            <w:pPr>
              <w:pStyle w:val="Tabletext"/>
              <w:jc w:val="center"/>
            </w:pPr>
            <w:r w:rsidRPr="008F5F04">
              <w:t>0.657</w:t>
            </w:r>
          </w:p>
        </w:tc>
        <w:tc>
          <w:tcPr>
            <w:tcW w:w="1127" w:type="pct"/>
            <w:vAlign w:val="center"/>
          </w:tcPr>
          <w:p w:rsidR="00E77FAC" w:rsidRPr="008F5F04" w:rsidRDefault="00E77FAC" w:rsidP="00142D19">
            <w:pPr>
              <w:pStyle w:val="Tabletext"/>
              <w:jc w:val="center"/>
            </w:pPr>
            <w:r w:rsidRPr="008F5F04">
              <w:t>0.622</w:t>
            </w:r>
          </w:p>
        </w:tc>
        <w:tc>
          <w:tcPr>
            <w:tcW w:w="1236" w:type="pct"/>
          </w:tcPr>
          <w:p w:rsidR="00E77FAC" w:rsidRPr="008F5F04" w:rsidRDefault="00E77FAC" w:rsidP="00142D19">
            <w:pPr>
              <w:pStyle w:val="Tabletext"/>
              <w:jc w:val="center"/>
            </w:pPr>
            <w:r w:rsidRPr="008F5F04">
              <w:t>0.036</w:t>
            </w:r>
          </w:p>
        </w:tc>
      </w:tr>
      <w:tr w:rsidR="00E77FAC" w:rsidRPr="008F5F04" w:rsidTr="00772B90">
        <w:tc>
          <w:tcPr>
            <w:tcW w:w="3764" w:type="pct"/>
            <w:gridSpan w:val="3"/>
            <w:vAlign w:val="center"/>
          </w:tcPr>
          <w:p w:rsidR="00E77FAC" w:rsidRPr="008F5F04" w:rsidRDefault="00E77FAC" w:rsidP="00142D19">
            <w:pPr>
              <w:pStyle w:val="Tabletext"/>
              <w:rPr>
                <w:b/>
              </w:rPr>
            </w:pPr>
            <w:r w:rsidRPr="008F5F04">
              <w:rPr>
                <w:b/>
              </w:rPr>
              <w:t>Incremental cost/extra QALY gained</w:t>
            </w:r>
          </w:p>
        </w:tc>
        <w:tc>
          <w:tcPr>
            <w:tcW w:w="1236" w:type="pct"/>
          </w:tcPr>
          <w:p w:rsidR="00E77FAC" w:rsidRPr="008F5F04" w:rsidRDefault="00E77FAC" w:rsidP="00142D19">
            <w:pPr>
              <w:pStyle w:val="Tabletext"/>
              <w:jc w:val="right"/>
              <w:rPr>
                <w:b/>
              </w:rPr>
            </w:pPr>
            <w:r w:rsidRPr="008F5F04">
              <w:rPr>
                <w:b/>
              </w:rPr>
              <w:t>$</w:t>
            </w:r>
            <w:r w:rsidR="005E1EC5">
              <w:rPr>
                <w:b/>
                <w:noProof/>
                <w:color w:val="000000"/>
                <w:highlight w:val="black"/>
              </w:rPr>
              <w:t>'''''''''''''</w:t>
            </w:r>
          </w:p>
        </w:tc>
      </w:tr>
    </w:tbl>
    <w:p w:rsidR="008C499D" w:rsidRPr="002220DF" w:rsidRDefault="001462E6" w:rsidP="00142D19">
      <w:pPr>
        <w:pStyle w:val="TableFooter"/>
        <w:widowControl/>
        <w:ind w:left="709"/>
      </w:pPr>
      <w:r w:rsidRPr="002220DF">
        <w:t xml:space="preserve">Source: </w:t>
      </w:r>
      <w:r w:rsidR="00003A03" w:rsidRPr="002220DF">
        <w:t xml:space="preserve">Ranexa, </w:t>
      </w:r>
      <w:r w:rsidR="00003A03" w:rsidRPr="00C8378D">
        <w:t>Section D workbook.xlsx</w:t>
      </w:r>
    </w:p>
    <w:p w:rsidR="001462E6" w:rsidRDefault="001462E6" w:rsidP="00142D19">
      <w:pPr>
        <w:pStyle w:val="TableFooter"/>
        <w:widowControl/>
        <w:ind w:left="709"/>
      </w:pPr>
      <w:r w:rsidRPr="002220DF">
        <w:t>QALY = quality-adjusted life year</w:t>
      </w:r>
    </w:p>
    <w:p w:rsidR="00CC0AC1" w:rsidRPr="002220DF" w:rsidRDefault="00CC0AC1" w:rsidP="00142D19">
      <w:pPr>
        <w:pStyle w:val="TableFooter"/>
        <w:widowControl/>
      </w:pPr>
    </w:p>
    <w:p w:rsidR="009D1B9D" w:rsidRPr="001255F7" w:rsidRDefault="009D1B9D" w:rsidP="00142D19">
      <w:pPr>
        <w:pStyle w:val="ListParagraph"/>
        <w:widowControl/>
        <w:numPr>
          <w:ilvl w:val="1"/>
          <w:numId w:val="11"/>
        </w:numPr>
        <w:rPr>
          <w:szCs w:val="22"/>
        </w:rPr>
      </w:pPr>
      <w:r w:rsidRPr="001255F7">
        <w:rPr>
          <w:szCs w:val="22"/>
        </w:rPr>
        <w:t xml:space="preserve">The submission estimated that ranolazine would result in an incremental cost of </w:t>
      </w:r>
      <w:r w:rsidR="00914243">
        <w:rPr>
          <w:szCs w:val="22"/>
        </w:rPr>
        <w:t xml:space="preserve">less than </w:t>
      </w:r>
      <w:r w:rsidRPr="001255F7">
        <w:rPr>
          <w:szCs w:val="22"/>
        </w:rPr>
        <w:t>$</w:t>
      </w:r>
      <w:r w:rsidR="00914243">
        <w:rPr>
          <w:szCs w:val="22"/>
        </w:rPr>
        <w:t>15,000</w:t>
      </w:r>
      <w:r w:rsidRPr="001255F7">
        <w:rPr>
          <w:szCs w:val="22"/>
        </w:rPr>
        <w:t xml:space="preserve"> per quality-adjusted life year gained.</w:t>
      </w:r>
    </w:p>
    <w:p w:rsidR="00CC0AC1" w:rsidRPr="001255F7" w:rsidRDefault="00CC0AC1" w:rsidP="00142D19">
      <w:pPr>
        <w:pStyle w:val="ListParagraph"/>
        <w:widowControl/>
        <w:rPr>
          <w:szCs w:val="22"/>
        </w:rPr>
      </w:pPr>
    </w:p>
    <w:p w:rsidR="00484B87" w:rsidRPr="001255F7" w:rsidRDefault="009D1B9D" w:rsidP="00142D19">
      <w:pPr>
        <w:pStyle w:val="ListParagraph"/>
        <w:widowControl/>
        <w:numPr>
          <w:ilvl w:val="1"/>
          <w:numId w:val="11"/>
        </w:numPr>
        <w:rPr>
          <w:szCs w:val="22"/>
        </w:rPr>
      </w:pPr>
      <w:r w:rsidRPr="001255F7">
        <w:rPr>
          <w:szCs w:val="22"/>
        </w:rPr>
        <w:t>Table 1</w:t>
      </w:r>
      <w:r w:rsidR="0075715F" w:rsidRPr="001255F7">
        <w:rPr>
          <w:szCs w:val="22"/>
        </w:rPr>
        <w:t>3</w:t>
      </w:r>
      <w:r w:rsidRPr="001255F7">
        <w:rPr>
          <w:szCs w:val="22"/>
        </w:rPr>
        <w:t xml:space="preserve"> summarises the key sensitivity analyses conducted by the submission and </w:t>
      </w:r>
      <w:r w:rsidR="00340BD0" w:rsidRPr="001255F7">
        <w:rPr>
          <w:szCs w:val="22"/>
        </w:rPr>
        <w:t>evaluators</w:t>
      </w:r>
      <w:r w:rsidRPr="001255F7">
        <w:rPr>
          <w:szCs w:val="22"/>
        </w:rPr>
        <w:t>.</w:t>
      </w:r>
      <w:r w:rsidR="00340BD0" w:rsidRPr="001255F7">
        <w:rPr>
          <w:szCs w:val="22"/>
        </w:rPr>
        <w:t xml:space="preserve"> Two additional sensitivity analyses were performed by the ESC, as indicated by the italic font in the table below. </w:t>
      </w:r>
    </w:p>
    <w:p w:rsidR="008F5F04" w:rsidRDefault="008F5F04">
      <w:pPr>
        <w:widowControl/>
        <w:jc w:val="left"/>
        <w:rPr>
          <w:rStyle w:val="CommentReference"/>
        </w:rPr>
      </w:pPr>
    </w:p>
    <w:p w:rsidR="00FF5F86" w:rsidRDefault="00FF5F86">
      <w:pPr>
        <w:widowControl/>
        <w:jc w:val="left"/>
        <w:rPr>
          <w:rStyle w:val="CommentReference"/>
        </w:rPr>
      </w:pPr>
      <w:r>
        <w:rPr>
          <w:rStyle w:val="CommentReference"/>
        </w:rPr>
        <w:br w:type="page"/>
      </w:r>
    </w:p>
    <w:p w:rsidR="00A530E9" w:rsidRPr="002220DF" w:rsidRDefault="00A530E9" w:rsidP="00142D19">
      <w:pPr>
        <w:pStyle w:val="ListParagraph"/>
        <w:widowControl/>
        <w:ind w:left="709"/>
      </w:pPr>
      <w:r w:rsidRPr="002220DF">
        <w:rPr>
          <w:rStyle w:val="CommentReference"/>
        </w:rPr>
        <w:t>Table 1</w:t>
      </w:r>
      <w:r>
        <w:rPr>
          <w:rStyle w:val="CommentReference"/>
        </w:rPr>
        <w:t>3</w:t>
      </w:r>
      <w:r w:rsidRPr="002220DF">
        <w:rPr>
          <w:rStyle w:val="CommentReference"/>
        </w:rPr>
        <w:t>: Results of univariate and multivariate sensitivity analyses</w:t>
      </w:r>
    </w:p>
    <w:tbl>
      <w:tblPr>
        <w:tblW w:w="462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61"/>
        <w:gridCol w:w="1363"/>
        <w:gridCol w:w="1849"/>
        <w:gridCol w:w="2122"/>
      </w:tblGrid>
      <w:tr w:rsidR="00A530E9" w:rsidRPr="002220DF" w:rsidTr="00772B90">
        <w:trPr>
          <w:trHeight w:val="20"/>
          <w:tblHeader/>
        </w:trPr>
        <w:tc>
          <w:tcPr>
            <w:tcW w:w="1823" w:type="pct"/>
            <w:tcBorders>
              <w:top w:val="single" w:sz="4" w:space="0" w:color="auto"/>
              <w:left w:val="single" w:sz="4" w:space="0" w:color="auto"/>
              <w:bottom w:val="single" w:sz="4" w:space="0" w:color="auto"/>
              <w:right w:val="single" w:sz="4" w:space="0" w:color="auto"/>
            </w:tcBorders>
            <w:vAlign w:val="center"/>
          </w:tcPr>
          <w:p w:rsidR="00A530E9" w:rsidRPr="002220DF" w:rsidRDefault="00A530E9" w:rsidP="00142D19">
            <w:pPr>
              <w:pStyle w:val="Tabletext"/>
              <w:rPr>
                <w:b/>
              </w:rPr>
            </w:pPr>
          </w:p>
        </w:tc>
        <w:tc>
          <w:tcPr>
            <w:tcW w:w="812" w:type="pct"/>
            <w:tcBorders>
              <w:top w:val="single" w:sz="4" w:space="0" w:color="auto"/>
              <w:left w:val="single" w:sz="4" w:space="0" w:color="auto"/>
              <w:bottom w:val="single" w:sz="4" w:space="0" w:color="auto"/>
              <w:right w:val="single" w:sz="4" w:space="0" w:color="auto"/>
            </w:tcBorders>
            <w:vAlign w:val="center"/>
          </w:tcPr>
          <w:p w:rsidR="00A530E9" w:rsidRPr="002220DF" w:rsidRDefault="00A530E9" w:rsidP="00142D19">
            <w:pPr>
              <w:pStyle w:val="Tabletext"/>
              <w:jc w:val="center"/>
              <w:rPr>
                <w:b/>
              </w:rPr>
            </w:pPr>
            <w:r w:rsidRPr="002220DF">
              <w:rPr>
                <w:b/>
              </w:rPr>
              <w:t>Δ costs</w:t>
            </w:r>
          </w:p>
        </w:tc>
        <w:tc>
          <w:tcPr>
            <w:tcW w:w="1101" w:type="pct"/>
            <w:tcBorders>
              <w:top w:val="single" w:sz="4" w:space="0" w:color="auto"/>
              <w:left w:val="single" w:sz="4" w:space="0" w:color="auto"/>
              <w:bottom w:val="single" w:sz="4" w:space="0" w:color="auto"/>
              <w:right w:val="single" w:sz="4" w:space="0" w:color="auto"/>
            </w:tcBorders>
            <w:vAlign w:val="center"/>
          </w:tcPr>
          <w:p w:rsidR="00A530E9" w:rsidRPr="002220DF" w:rsidRDefault="00A530E9" w:rsidP="00142D19">
            <w:pPr>
              <w:pStyle w:val="Tabletext"/>
              <w:jc w:val="center"/>
              <w:rPr>
                <w:b/>
              </w:rPr>
            </w:pPr>
            <w:r w:rsidRPr="002220DF">
              <w:rPr>
                <w:b/>
              </w:rPr>
              <w:t>Δ QALYs</w:t>
            </w:r>
          </w:p>
        </w:tc>
        <w:tc>
          <w:tcPr>
            <w:tcW w:w="1264" w:type="pct"/>
            <w:tcBorders>
              <w:top w:val="single" w:sz="4" w:space="0" w:color="auto"/>
              <w:left w:val="single" w:sz="4" w:space="0" w:color="auto"/>
              <w:bottom w:val="single" w:sz="4" w:space="0" w:color="auto"/>
              <w:right w:val="single" w:sz="4" w:space="0" w:color="auto"/>
            </w:tcBorders>
            <w:vAlign w:val="center"/>
          </w:tcPr>
          <w:p w:rsidR="00A530E9" w:rsidRPr="002220DF" w:rsidRDefault="00A530E9" w:rsidP="00142D19">
            <w:pPr>
              <w:pStyle w:val="Tabletext"/>
              <w:jc w:val="center"/>
              <w:rPr>
                <w:b/>
              </w:rPr>
            </w:pPr>
            <w:r w:rsidRPr="002220DF">
              <w:rPr>
                <w:b/>
              </w:rPr>
              <w:t>ICER</w:t>
            </w:r>
          </w:p>
        </w:tc>
      </w:tr>
      <w:tr w:rsidR="00A530E9" w:rsidRPr="002220DF" w:rsidTr="00772B90">
        <w:trPr>
          <w:trHeight w:val="195"/>
        </w:trPr>
        <w:tc>
          <w:tcPr>
            <w:tcW w:w="1823" w:type="pct"/>
            <w:tcBorders>
              <w:top w:val="single" w:sz="4" w:space="0" w:color="auto"/>
              <w:left w:val="single" w:sz="4" w:space="0" w:color="auto"/>
              <w:bottom w:val="single" w:sz="4" w:space="0" w:color="auto"/>
              <w:right w:val="single" w:sz="4" w:space="0" w:color="auto"/>
            </w:tcBorders>
            <w:vAlign w:val="center"/>
          </w:tcPr>
          <w:p w:rsidR="00A530E9" w:rsidRPr="002220DF" w:rsidRDefault="00A530E9" w:rsidP="00142D19">
            <w:pPr>
              <w:pStyle w:val="Tabletext"/>
              <w:rPr>
                <w:b/>
                <w:i/>
                <w:vertAlign w:val="superscript"/>
              </w:rPr>
            </w:pPr>
            <w:r w:rsidRPr="002220DF">
              <w:rPr>
                <w:b/>
              </w:rPr>
              <w:t>Base case</w:t>
            </w:r>
          </w:p>
        </w:tc>
        <w:tc>
          <w:tcPr>
            <w:tcW w:w="812" w:type="pct"/>
            <w:tcBorders>
              <w:top w:val="single" w:sz="4" w:space="0" w:color="auto"/>
              <w:left w:val="single" w:sz="4" w:space="0" w:color="auto"/>
              <w:bottom w:val="single" w:sz="4" w:space="0" w:color="auto"/>
              <w:right w:val="single" w:sz="4" w:space="0" w:color="auto"/>
            </w:tcBorders>
            <w:vAlign w:val="center"/>
          </w:tcPr>
          <w:p w:rsidR="00A530E9" w:rsidRPr="002220DF" w:rsidRDefault="00A530E9" w:rsidP="00142D19">
            <w:pPr>
              <w:pStyle w:val="Tabletext"/>
              <w:jc w:val="right"/>
              <w:rPr>
                <w:b/>
              </w:rPr>
            </w:pPr>
            <w:r w:rsidRPr="002220DF">
              <w:rPr>
                <w:b/>
              </w:rPr>
              <w:t>$</w:t>
            </w:r>
            <w:r w:rsidR="005E1EC5">
              <w:rPr>
                <w:b/>
                <w:noProof/>
                <w:color w:val="000000"/>
                <w:highlight w:val="black"/>
              </w:rPr>
              <w:t>'''''''</w:t>
            </w:r>
          </w:p>
        </w:tc>
        <w:tc>
          <w:tcPr>
            <w:tcW w:w="1101" w:type="pct"/>
            <w:tcBorders>
              <w:top w:val="single" w:sz="4" w:space="0" w:color="auto"/>
              <w:left w:val="single" w:sz="4" w:space="0" w:color="auto"/>
              <w:bottom w:val="single" w:sz="4" w:space="0" w:color="auto"/>
              <w:right w:val="single" w:sz="4" w:space="0" w:color="auto"/>
            </w:tcBorders>
            <w:vAlign w:val="bottom"/>
          </w:tcPr>
          <w:p w:rsidR="00A530E9" w:rsidRPr="002220DF" w:rsidRDefault="00A530E9" w:rsidP="00142D19">
            <w:pPr>
              <w:pStyle w:val="Tabletext"/>
              <w:jc w:val="center"/>
              <w:rPr>
                <w:b/>
              </w:rPr>
            </w:pPr>
            <w:r w:rsidRPr="002220DF">
              <w:rPr>
                <w:b/>
              </w:rPr>
              <w:t>0.036</w:t>
            </w:r>
          </w:p>
        </w:tc>
        <w:tc>
          <w:tcPr>
            <w:tcW w:w="1264" w:type="pct"/>
            <w:tcBorders>
              <w:top w:val="single" w:sz="4" w:space="0" w:color="auto"/>
              <w:left w:val="single" w:sz="4" w:space="0" w:color="auto"/>
              <w:bottom w:val="single" w:sz="4" w:space="0" w:color="auto"/>
              <w:right w:val="single" w:sz="4" w:space="0" w:color="auto"/>
            </w:tcBorders>
            <w:vAlign w:val="center"/>
          </w:tcPr>
          <w:p w:rsidR="00A530E9" w:rsidRPr="002220DF" w:rsidRDefault="00A530E9" w:rsidP="00142D19">
            <w:pPr>
              <w:pStyle w:val="Tabletext"/>
              <w:jc w:val="right"/>
              <w:rPr>
                <w:b/>
              </w:rPr>
            </w:pPr>
            <w:r w:rsidRPr="002220DF">
              <w:rPr>
                <w:b/>
              </w:rPr>
              <w:t>$</w:t>
            </w:r>
            <w:r w:rsidR="005E1EC5">
              <w:rPr>
                <w:b/>
                <w:noProof/>
                <w:color w:val="000000"/>
                <w:highlight w:val="black"/>
              </w:rPr>
              <w:t>''''''''''''</w:t>
            </w:r>
          </w:p>
        </w:tc>
      </w:tr>
      <w:tr w:rsidR="00A530E9" w:rsidRPr="002220DF" w:rsidTr="00772B90">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tcPr>
          <w:p w:rsidR="00A530E9" w:rsidRPr="002220DF" w:rsidRDefault="00340BD0" w:rsidP="00142D19">
            <w:pPr>
              <w:pStyle w:val="Tabletext"/>
              <w:rPr>
                <w:b/>
              </w:rPr>
            </w:pPr>
            <w:r>
              <w:rPr>
                <w:b/>
              </w:rPr>
              <w:t>Univariate</w:t>
            </w:r>
            <w:r w:rsidR="00A530E9" w:rsidRPr="002220DF">
              <w:rPr>
                <w:b/>
              </w:rPr>
              <w:t xml:space="preserve"> sensitivity analyses</w:t>
            </w:r>
          </w:p>
        </w:tc>
      </w:tr>
      <w:tr w:rsidR="00A530E9" w:rsidRPr="002220DF" w:rsidTr="00772B90">
        <w:trPr>
          <w:trHeight w:val="20"/>
        </w:trPr>
        <w:tc>
          <w:tcPr>
            <w:tcW w:w="1823" w:type="pct"/>
            <w:tcBorders>
              <w:top w:val="single" w:sz="4" w:space="0" w:color="auto"/>
              <w:left w:val="single" w:sz="4" w:space="0" w:color="auto"/>
              <w:bottom w:val="single" w:sz="4" w:space="0" w:color="auto"/>
              <w:right w:val="single" w:sz="4" w:space="0" w:color="auto"/>
            </w:tcBorders>
            <w:vAlign w:val="center"/>
          </w:tcPr>
          <w:p w:rsidR="00A530E9" w:rsidRPr="002220DF" w:rsidRDefault="00A530E9" w:rsidP="00142D19">
            <w:pPr>
              <w:pStyle w:val="Tabletext"/>
            </w:pPr>
            <w:r w:rsidRPr="002220DF">
              <w:t>Addition of revascularisations (Step 4)</w:t>
            </w:r>
          </w:p>
        </w:tc>
        <w:tc>
          <w:tcPr>
            <w:tcW w:w="812" w:type="pct"/>
            <w:tcBorders>
              <w:top w:val="single" w:sz="4" w:space="0" w:color="auto"/>
              <w:left w:val="single" w:sz="4" w:space="0" w:color="auto"/>
              <w:bottom w:val="single" w:sz="4" w:space="0" w:color="auto"/>
              <w:right w:val="single" w:sz="4" w:space="0" w:color="auto"/>
            </w:tcBorders>
            <w:vAlign w:val="center"/>
          </w:tcPr>
          <w:p w:rsidR="00A530E9" w:rsidRPr="002220DF" w:rsidRDefault="00A530E9" w:rsidP="00142D19">
            <w:pPr>
              <w:pStyle w:val="Tabletext"/>
              <w:jc w:val="right"/>
            </w:pPr>
            <w:r w:rsidRPr="002220DF">
              <w:t>-</w:t>
            </w:r>
            <w:r>
              <w:t>$</w:t>
            </w:r>
            <w:r w:rsidR="005E1EC5">
              <w:rPr>
                <w:noProof/>
                <w:color w:val="000000"/>
                <w:highlight w:val="black"/>
              </w:rPr>
              <w:t>'''''''''''''''</w:t>
            </w:r>
          </w:p>
        </w:tc>
        <w:tc>
          <w:tcPr>
            <w:tcW w:w="1101" w:type="pct"/>
            <w:tcBorders>
              <w:top w:val="single" w:sz="4" w:space="0" w:color="auto"/>
              <w:left w:val="single" w:sz="4" w:space="0" w:color="auto"/>
              <w:bottom w:val="single" w:sz="4" w:space="0" w:color="auto"/>
              <w:right w:val="single" w:sz="4" w:space="0" w:color="auto"/>
            </w:tcBorders>
            <w:vAlign w:val="bottom"/>
          </w:tcPr>
          <w:p w:rsidR="00A530E9" w:rsidRPr="002220DF" w:rsidRDefault="00A530E9" w:rsidP="00142D19">
            <w:pPr>
              <w:pStyle w:val="Tabletext"/>
              <w:jc w:val="center"/>
            </w:pPr>
            <w:r w:rsidRPr="002220DF">
              <w:t>0.030</w:t>
            </w:r>
          </w:p>
        </w:tc>
        <w:tc>
          <w:tcPr>
            <w:tcW w:w="1264" w:type="pct"/>
            <w:tcBorders>
              <w:top w:val="single" w:sz="4" w:space="0" w:color="auto"/>
              <w:left w:val="single" w:sz="4" w:space="0" w:color="auto"/>
              <w:bottom w:val="single" w:sz="4" w:space="0" w:color="auto"/>
              <w:right w:val="single" w:sz="4" w:space="0" w:color="auto"/>
            </w:tcBorders>
            <w:vAlign w:val="center"/>
          </w:tcPr>
          <w:p w:rsidR="00A530E9" w:rsidRPr="002220DF" w:rsidRDefault="00A530E9" w:rsidP="00142D19">
            <w:pPr>
              <w:pStyle w:val="Tabletext"/>
              <w:jc w:val="right"/>
            </w:pPr>
            <w:r w:rsidRPr="002220DF">
              <w:t>Dominant</w:t>
            </w:r>
          </w:p>
        </w:tc>
      </w:tr>
      <w:tr w:rsidR="00A530E9" w:rsidRPr="002220DF" w:rsidTr="00772B90">
        <w:trPr>
          <w:trHeight w:val="20"/>
        </w:trPr>
        <w:tc>
          <w:tcPr>
            <w:tcW w:w="1823" w:type="pct"/>
            <w:tcBorders>
              <w:top w:val="single" w:sz="4" w:space="0" w:color="auto"/>
              <w:left w:val="single" w:sz="4" w:space="0" w:color="auto"/>
              <w:bottom w:val="single" w:sz="4" w:space="0" w:color="auto"/>
              <w:right w:val="single" w:sz="4" w:space="0" w:color="auto"/>
            </w:tcBorders>
            <w:vAlign w:val="center"/>
          </w:tcPr>
          <w:p w:rsidR="00A530E9" w:rsidRDefault="00A530E9" w:rsidP="00142D19">
            <w:pPr>
              <w:pStyle w:val="Tabletext"/>
            </w:pPr>
            <w:r w:rsidRPr="002220DF">
              <w:t xml:space="preserve">Compliance to 100% </w:t>
            </w:r>
          </w:p>
          <w:p w:rsidR="00A530E9" w:rsidRPr="002220DF" w:rsidRDefault="00A530E9" w:rsidP="00142D19">
            <w:pPr>
              <w:pStyle w:val="Tabletext"/>
            </w:pPr>
            <w:r w:rsidRPr="002220DF">
              <w:t>(base case 80% compliance)</w:t>
            </w:r>
          </w:p>
        </w:tc>
        <w:tc>
          <w:tcPr>
            <w:tcW w:w="812" w:type="pct"/>
            <w:tcBorders>
              <w:top w:val="single" w:sz="4" w:space="0" w:color="auto"/>
              <w:left w:val="single" w:sz="4" w:space="0" w:color="auto"/>
              <w:bottom w:val="single" w:sz="4" w:space="0" w:color="auto"/>
              <w:right w:val="single" w:sz="4" w:space="0" w:color="auto"/>
            </w:tcBorders>
            <w:vAlign w:val="bottom"/>
          </w:tcPr>
          <w:p w:rsidR="00A530E9" w:rsidRPr="002220DF" w:rsidRDefault="00A530E9" w:rsidP="00142D19">
            <w:pPr>
              <w:pStyle w:val="Tabletext"/>
              <w:jc w:val="right"/>
            </w:pPr>
            <w:r w:rsidRPr="002220DF">
              <w:t>$</w:t>
            </w:r>
            <w:r w:rsidR="005E1EC5">
              <w:rPr>
                <w:noProof/>
                <w:color w:val="000000"/>
                <w:highlight w:val="black"/>
              </w:rPr>
              <w:t>'''''''''</w:t>
            </w:r>
          </w:p>
        </w:tc>
        <w:tc>
          <w:tcPr>
            <w:tcW w:w="1101" w:type="pct"/>
            <w:tcBorders>
              <w:top w:val="single" w:sz="4" w:space="0" w:color="auto"/>
              <w:left w:val="single" w:sz="4" w:space="0" w:color="auto"/>
              <w:bottom w:val="single" w:sz="4" w:space="0" w:color="auto"/>
              <w:right w:val="single" w:sz="4" w:space="0" w:color="auto"/>
            </w:tcBorders>
            <w:vAlign w:val="bottom"/>
          </w:tcPr>
          <w:p w:rsidR="00A530E9" w:rsidRPr="002220DF" w:rsidRDefault="00A530E9" w:rsidP="00142D19">
            <w:pPr>
              <w:pStyle w:val="Tabletext"/>
              <w:jc w:val="center"/>
            </w:pPr>
            <w:r w:rsidRPr="002220DF">
              <w:t>0.036</w:t>
            </w:r>
          </w:p>
        </w:tc>
        <w:tc>
          <w:tcPr>
            <w:tcW w:w="1264" w:type="pct"/>
            <w:tcBorders>
              <w:top w:val="single" w:sz="4" w:space="0" w:color="auto"/>
              <w:left w:val="single" w:sz="4" w:space="0" w:color="auto"/>
              <w:bottom w:val="single" w:sz="4" w:space="0" w:color="auto"/>
              <w:right w:val="single" w:sz="4" w:space="0" w:color="auto"/>
            </w:tcBorders>
            <w:vAlign w:val="bottom"/>
          </w:tcPr>
          <w:p w:rsidR="00A530E9" w:rsidRPr="002220DF" w:rsidRDefault="00A530E9" w:rsidP="00142D19">
            <w:pPr>
              <w:pStyle w:val="Tabletext"/>
              <w:jc w:val="right"/>
            </w:pPr>
            <w:r w:rsidRPr="002220DF">
              <w:t>$</w:t>
            </w:r>
            <w:r w:rsidR="005E1EC5">
              <w:rPr>
                <w:noProof/>
                <w:color w:val="000000"/>
                <w:highlight w:val="black"/>
              </w:rPr>
              <w:t>'''''''''''''''''</w:t>
            </w:r>
          </w:p>
        </w:tc>
      </w:tr>
      <w:tr w:rsidR="00A530E9" w:rsidRPr="002220DF" w:rsidTr="00772B90">
        <w:trPr>
          <w:trHeight w:val="20"/>
        </w:trPr>
        <w:tc>
          <w:tcPr>
            <w:tcW w:w="1823" w:type="pct"/>
            <w:tcBorders>
              <w:top w:val="single" w:sz="4" w:space="0" w:color="auto"/>
              <w:left w:val="single" w:sz="4" w:space="0" w:color="auto"/>
              <w:bottom w:val="single" w:sz="4" w:space="0" w:color="auto"/>
              <w:right w:val="single" w:sz="4" w:space="0" w:color="auto"/>
            </w:tcBorders>
            <w:vAlign w:val="center"/>
          </w:tcPr>
          <w:p w:rsidR="00A530E9" w:rsidRDefault="00A530E9" w:rsidP="00142D19">
            <w:pPr>
              <w:pStyle w:val="Tabletext"/>
            </w:pPr>
            <w:r w:rsidRPr="002220DF">
              <w:t xml:space="preserve">Halved rate of hospitalisations </w:t>
            </w:r>
          </w:p>
          <w:p w:rsidR="00A530E9" w:rsidRPr="002220DF" w:rsidRDefault="00A530E9" w:rsidP="00142D19">
            <w:pPr>
              <w:pStyle w:val="Tabletext"/>
            </w:pPr>
            <w:r w:rsidRPr="002220DF">
              <w:t>(base case: 5.2% in treatment arm)</w:t>
            </w:r>
          </w:p>
        </w:tc>
        <w:tc>
          <w:tcPr>
            <w:tcW w:w="812" w:type="pct"/>
            <w:tcBorders>
              <w:top w:val="single" w:sz="4" w:space="0" w:color="auto"/>
              <w:left w:val="single" w:sz="4" w:space="0" w:color="auto"/>
              <w:bottom w:val="single" w:sz="4" w:space="0" w:color="auto"/>
              <w:right w:val="single" w:sz="4" w:space="0" w:color="auto"/>
            </w:tcBorders>
            <w:vAlign w:val="bottom"/>
          </w:tcPr>
          <w:p w:rsidR="00A530E9" w:rsidRPr="002220DF" w:rsidRDefault="00A530E9" w:rsidP="00142D19">
            <w:pPr>
              <w:pStyle w:val="Tabletext"/>
              <w:jc w:val="right"/>
            </w:pPr>
            <w:r w:rsidRPr="002220DF">
              <w:t>$</w:t>
            </w:r>
            <w:r w:rsidR="005E1EC5">
              <w:rPr>
                <w:noProof/>
                <w:color w:val="000000"/>
                <w:highlight w:val="black"/>
              </w:rPr>
              <w:t>'''''''''</w:t>
            </w:r>
          </w:p>
        </w:tc>
        <w:tc>
          <w:tcPr>
            <w:tcW w:w="1101" w:type="pct"/>
            <w:tcBorders>
              <w:top w:val="single" w:sz="4" w:space="0" w:color="auto"/>
              <w:left w:val="single" w:sz="4" w:space="0" w:color="auto"/>
              <w:bottom w:val="single" w:sz="4" w:space="0" w:color="auto"/>
              <w:right w:val="single" w:sz="4" w:space="0" w:color="auto"/>
            </w:tcBorders>
            <w:vAlign w:val="bottom"/>
          </w:tcPr>
          <w:p w:rsidR="00A530E9" w:rsidRPr="002220DF" w:rsidRDefault="00A530E9" w:rsidP="00142D19">
            <w:pPr>
              <w:pStyle w:val="Tabletext"/>
              <w:jc w:val="center"/>
            </w:pPr>
            <w:r w:rsidRPr="002220DF">
              <w:t>0.036</w:t>
            </w:r>
          </w:p>
        </w:tc>
        <w:tc>
          <w:tcPr>
            <w:tcW w:w="1264" w:type="pct"/>
            <w:tcBorders>
              <w:top w:val="single" w:sz="4" w:space="0" w:color="auto"/>
              <w:left w:val="single" w:sz="4" w:space="0" w:color="auto"/>
              <w:bottom w:val="single" w:sz="4" w:space="0" w:color="auto"/>
              <w:right w:val="single" w:sz="4" w:space="0" w:color="auto"/>
            </w:tcBorders>
            <w:vAlign w:val="bottom"/>
          </w:tcPr>
          <w:p w:rsidR="00A530E9" w:rsidRPr="002220DF" w:rsidRDefault="00A530E9" w:rsidP="00142D19">
            <w:pPr>
              <w:pStyle w:val="Tabletext"/>
              <w:jc w:val="right"/>
            </w:pPr>
            <w:r w:rsidRPr="002220DF">
              <w:t>$</w:t>
            </w:r>
            <w:r w:rsidR="005E1EC5">
              <w:rPr>
                <w:noProof/>
                <w:color w:val="000000"/>
                <w:highlight w:val="black"/>
              </w:rPr>
              <w:t>''''''''''''''''''</w:t>
            </w:r>
          </w:p>
        </w:tc>
      </w:tr>
      <w:tr w:rsidR="00A530E9" w:rsidRPr="002220DF" w:rsidTr="00772B90">
        <w:trPr>
          <w:trHeight w:val="20"/>
        </w:trPr>
        <w:tc>
          <w:tcPr>
            <w:tcW w:w="1823" w:type="pct"/>
            <w:tcBorders>
              <w:top w:val="single" w:sz="4" w:space="0" w:color="auto"/>
              <w:left w:val="single" w:sz="4" w:space="0" w:color="auto"/>
              <w:bottom w:val="single" w:sz="4" w:space="0" w:color="auto"/>
              <w:right w:val="single" w:sz="4" w:space="0" w:color="auto"/>
            </w:tcBorders>
            <w:vAlign w:val="center"/>
          </w:tcPr>
          <w:p w:rsidR="00A530E9" w:rsidRDefault="00A530E9" w:rsidP="00142D19">
            <w:pPr>
              <w:pStyle w:val="Tabletext"/>
            </w:pPr>
            <w:r w:rsidRPr="002220DF">
              <w:t xml:space="preserve">Reduction in utility gain from angina avoidance by 25% </w:t>
            </w:r>
          </w:p>
          <w:p w:rsidR="00A530E9" w:rsidRPr="002220DF" w:rsidRDefault="00A530E9" w:rsidP="00142D19">
            <w:pPr>
              <w:pStyle w:val="Tabletext"/>
            </w:pPr>
            <w:r w:rsidRPr="002220DF">
              <w:t>(base case: +0.035 gain in utility)</w:t>
            </w:r>
          </w:p>
        </w:tc>
        <w:tc>
          <w:tcPr>
            <w:tcW w:w="812" w:type="pct"/>
            <w:tcBorders>
              <w:top w:val="single" w:sz="4" w:space="0" w:color="auto"/>
              <w:left w:val="single" w:sz="4" w:space="0" w:color="auto"/>
              <w:bottom w:val="single" w:sz="4" w:space="0" w:color="auto"/>
              <w:right w:val="single" w:sz="4" w:space="0" w:color="auto"/>
            </w:tcBorders>
            <w:vAlign w:val="bottom"/>
          </w:tcPr>
          <w:p w:rsidR="00A530E9" w:rsidRPr="002220DF" w:rsidRDefault="00A530E9" w:rsidP="00142D19">
            <w:pPr>
              <w:pStyle w:val="Tabletext"/>
              <w:jc w:val="right"/>
            </w:pPr>
            <w:r w:rsidRPr="002220DF">
              <w:t>$</w:t>
            </w:r>
            <w:r w:rsidR="005E1EC5">
              <w:rPr>
                <w:noProof/>
                <w:color w:val="000000"/>
                <w:highlight w:val="black"/>
              </w:rPr>
              <w:t>''''''''''</w:t>
            </w:r>
          </w:p>
        </w:tc>
        <w:tc>
          <w:tcPr>
            <w:tcW w:w="1101" w:type="pct"/>
            <w:tcBorders>
              <w:top w:val="single" w:sz="4" w:space="0" w:color="auto"/>
              <w:left w:val="single" w:sz="4" w:space="0" w:color="auto"/>
              <w:bottom w:val="single" w:sz="4" w:space="0" w:color="auto"/>
              <w:right w:val="single" w:sz="4" w:space="0" w:color="auto"/>
            </w:tcBorders>
            <w:vAlign w:val="bottom"/>
          </w:tcPr>
          <w:p w:rsidR="00A530E9" w:rsidRPr="002220DF" w:rsidRDefault="00A530E9" w:rsidP="00142D19">
            <w:pPr>
              <w:pStyle w:val="Tabletext"/>
              <w:jc w:val="center"/>
            </w:pPr>
            <w:r w:rsidRPr="002220DF">
              <w:t>0.027</w:t>
            </w:r>
          </w:p>
        </w:tc>
        <w:tc>
          <w:tcPr>
            <w:tcW w:w="1264" w:type="pct"/>
            <w:tcBorders>
              <w:top w:val="single" w:sz="4" w:space="0" w:color="auto"/>
              <w:left w:val="single" w:sz="4" w:space="0" w:color="auto"/>
              <w:bottom w:val="single" w:sz="4" w:space="0" w:color="auto"/>
              <w:right w:val="single" w:sz="4" w:space="0" w:color="auto"/>
            </w:tcBorders>
            <w:vAlign w:val="bottom"/>
          </w:tcPr>
          <w:p w:rsidR="00A530E9" w:rsidRPr="002220DF" w:rsidRDefault="00A530E9" w:rsidP="00142D19">
            <w:pPr>
              <w:pStyle w:val="Tabletext"/>
              <w:jc w:val="right"/>
            </w:pPr>
            <w:r w:rsidRPr="002220DF">
              <w:t>$</w:t>
            </w:r>
            <w:r w:rsidR="005E1EC5">
              <w:rPr>
                <w:noProof/>
                <w:color w:val="000000"/>
                <w:highlight w:val="black"/>
              </w:rPr>
              <w:t>''''''''''''''''''</w:t>
            </w:r>
          </w:p>
        </w:tc>
      </w:tr>
      <w:tr w:rsidR="00A530E9" w:rsidRPr="002220DF" w:rsidTr="00772B90">
        <w:trPr>
          <w:trHeight w:val="20"/>
        </w:trPr>
        <w:tc>
          <w:tcPr>
            <w:tcW w:w="1823" w:type="pct"/>
            <w:tcBorders>
              <w:top w:val="single" w:sz="4" w:space="0" w:color="auto"/>
              <w:left w:val="single" w:sz="4" w:space="0" w:color="auto"/>
              <w:bottom w:val="single" w:sz="4" w:space="0" w:color="auto"/>
              <w:right w:val="single" w:sz="4" w:space="0" w:color="auto"/>
            </w:tcBorders>
            <w:vAlign w:val="center"/>
          </w:tcPr>
          <w:p w:rsidR="00A530E9" w:rsidRPr="00340BD0" w:rsidRDefault="00A530E9" w:rsidP="00142D19">
            <w:pPr>
              <w:pStyle w:val="Tabletext"/>
            </w:pPr>
            <w:r w:rsidRPr="00340BD0">
              <w:t>Adverse events utility decrement of -0.05 (base case: -0.01)</w:t>
            </w:r>
          </w:p>
        </w:tc>
        <w:tc>
          <w:tcPr>
            <w:tcW w:w="812" w:type="pct"/>
            <w:tcBorders>
              <w:top w:val="single" w:sz="4" w:space="0" w:color="auto"/>
              <w:left w:val="single" w:sz="4" w:space="0" w:color="auto"/>
              <w:bottom w:val="single" w:sz="4" w:space="0" w:color="auto"/>
              <w:right w:val="single" w:sz="4" w:space="0" w:color="auto"/>
            </w:tcBorders>
            <w:vAlign w:val="bottom"/>
          </w:tcPr>
          <w:p w:rsidR="00A530E9" w:rsidRPr="00340BD0" w:rsidRDefault="00A530E9" w:rsidP="00142D19">
            <w:pPr>
              <w:pStyle w:val="Tabletext"/>
              <w:jc w:val="right"/>
            </w:pPr>
            <w:r w:rsidRPr="00340BD0">
              <w:t>$</w:t>
            </w:r>
            <w:r w:rsidR="005E1EC5">
              <w:rPr>
                <w:noProof/>
                <w:color w:val="000000"/>
                <w:highlight w:val="black"/>
              </w:rPr>
              <w:t>''''''''''</w:t>
            </w:r>
          </w:p>
        </w:tc>
        <w:tc>
          <w:tcPr>
            <w:tcW w:w="1101" w:type="pct"/>
            <w:tcBorders>
              <w:top w:val="single" w:sz="4" w:space="0" w:color="auto"/>
              <w:left w:val="single" w:sz="4" w:space="0" w:color="auto"/>
              <w:bottom w:val="single" w:sz="4" w:space="0" w:color="auto"/>
              <w:right w:val="single" w:sz="4" w:space="0" w:color="auto"/>
            </w:tcBorders>
            <w:vAlign w:val="bottom"/>
          </w:tcPr>
          <w:p w:rsidR="00A530E9" w:rsidRPr="00340BD0" w:rsidRDefault="00A530E9" w:rsidP="00142D19">
            <w:pPr>
              <w:pStyle w:val="Tabletext"/>
              <w:jc w:val="center"/>
            </w:pPr>
            <w:r w:rsidRPr="00340BD0">
              <w:t>0.035</w:t>
            </w:r>
          </w:p>
        </w:tc>
        <w:tc>
          <w:tcPr>
            <w:tcW w:w="1264" w:type="pct"/>
            <w:tcBorders>
              <w:top w:val="single" w:sz="4" w:space="0" w:color="auto"/>
              <w:left w:val="single" w:sz="4" w:space="0" w:color="auto"/>
              <w:bottom w:val="single" w:sz="4" w:space="0" w:color="auto"/>
              <w:right w:val="single" w:sz="4" w:space="0" w:color="auto"/>
            </w:tcBorders>
            <w:vAlign w:val="bottom"/>
          </w:tcPr>
          <w:p w:rsidR="00A530E9" w:rsidRPr="00340BD0" w:rsidRDefault="00A530E9" w:rsidP="00142D19">
            <w:pPr>
              <w:pStyle w:val="Tabletext"/>
              <w:jc w:val="right"/>
            </w:pPr>
            <w:r w:rsidRPr="00340BD0">
              <w:t>$</w:t>
            </w:r>
            <w:r w:rsidR="005E1EC5">
              <w:rPr>
                <w:noProof/>
                <w:color w:val="000000"/>
                <w:highlight w:val="black"/>
              </w:rPr>
              <w:t>'''''''''''''''</w:t>
            </w:r>
          </w:p>
        </w:tc>
      </w:tr>
      <w:tr w:rsidR="00340BD0" w:rsidRPr="003E1DDA" w:rsidTr="00772B90">
        <w:trPr>
          <w:trHeight w:val="20"/>
        </w:trPr>
        <w:tc>
          <w:tcPr>
            <w:tcW w:w="1823" w:type="pct"/>
            <w:tcBorders>
              <w:top w:val="single" w:sz="4" w:space="0" w:color="auto"/>
              <w:left w:val="single" w:sz="4" w:space="0" w:color="auto"/>
              <w:bottom w:val="single" w:sz="4" w:space="0" w:color="auto"/>
              <w:right w:val="single" w:sz="4" w:space="0" w:color="auto"/>
            </w:tcBorders>
            <w:vAlign w:val="center"/>
          </w:tcPr>
          <w:p w:rsidR="00340BD0" w:rsidRPr="00340BD0" w:rsidRDefault="00340BD0" w:rsidP="00142D19">
            <w:pPr>
              <w:pStyle w:val="Tabletext"/>
              <w:rPr>
                <w:i/>
              </w:rPr>
            </w:pPr>
            <w:r w:rsidRPr="00340BD0">
              <w:rPr>
                <w:i/>
              </w:rPr>
              <w:t>Difference in weekly angina frequency halved</w:t>
            </w:r>
          </w:p>
        </w:tc>
        <w:tc>
          <w:tcPr>
            <w:tcW w:w="812" w:type="pct"/>
            <w:tcBorders>
              <w:top w:val="single" w:sz="4" w:space="0" w:color="auto"/>
              <w:left w:val="single" w:sz="4" w:space="0" w:color="auto"/>
              <w:bottom w:val="single" w:sz="4" w:space="0" w:color="auto"/>
              <w:right w:val="single" w:sz="4" w:space="0" w:color="auto"/>
            </w:tcBorders>
            <w:vAlign w:val="bottom"/>
          </w:tcPr>
          <w:p w:rsidR="00340BD0" w:rsidRPr="00340BD0" w:rsidRDefault="00340BD0" w:rsidP="00142D19">
            <w:pPr>
              <w:pStyle w:val="Tabletext"/>
              <w:jc w:val="right"/>
              <w:rPr>
                <w:i/>
              </w:rPr>
            </w:pPr>
            <w:r w:rsidRPr="00340BD0">
              <w:rPr>
                <w:i/>
              </w:rPr>
              <w:t>$</w:t>
            </w:r>
            <w:r w:rsidR="005E1EC5">
              <w:rPr>
                <w:i/>
                <w:noProof/>
                <w:color w:val="000000"/>
                <w:highlight w:val="black"/>
              </w:rPr>
              <w:t>''''''''</w:t>
            </w:r>
          </w:p>
        </w:tc>
        <w:tc>
          <w:tcPr>
            <w:tcW w:w="1101" w:type="pct"/>
            <w:tcBorders>
              <w:top w:val="single" w:sz="4" w:space="0" w:color="auto"/>
              <w:left w:val="single" w:sz="4" w:space="0" w:color="auto"/>
              <w:bottom w:val="single" w:sz="4" w:space="0" w:color="auto"/>
              <w:right w:val="single" w:sz="4" w:space="0" w:color="auto"/>
            </w:tcBorders>
            <w:vAlign w:val="bottom"/>
          </w:tcPr>
          <w:p w:rsidR="00340BD0" w:rsidRPr="00340BD0" w:rsidRDefault="00340BD0" w:rsidP="00142D19">
            <w:pPr>
              <w:pStyle w:val="Tabletext"/>
              <w:jc w:val="center"/>
              <w:rPr>
                <w:i/>
              </w:rPr>
            </w:pPr>
            <w:r w:rsidRPr="00340BD0">
              <w:rPr>
                <w:i/>
              </w:rPr>
              <w:t>0.017</w:t>
            </w:r>
          </w:p>
        </w:tc>
        <w:tc>
          <w:tcPr>
            <w:tcW w:w="1264" w:type="pct"/>
            <w:tcBorders>
              <w:top w:val="single" w:sz="4" w:space="0" w:color="auto"/>
              <w:left w:val="single" w:sz="4" w:space="0" w:color="auto"/>
              <w:bottom w:val="single" w:sz="4" w:space="0" w:color="auto"/>
              <w:right w:val="single" w:sz="4" w:space="0" w:color="auto"/>
            </w:tcBorders>
            <w:vAlign w:val="bottom"/>
          </w:tcPr>
          <w:p w:rsidR="00340BD0" w:rsidRPr="00340BD0" w:rsidRDefault="00340BD0" w:rsidP="00142D19">
            <w:pPr>
              <w:pStyle w:val="Tabletext"/>
              <w:jc w:val="right"/>
              <w:rPr>
                <w:i/>
              </w:rPr>
            </w:pPr>
            <w:r w:rsidRPr="00340BD0">
              <w:rPr>
                <w:i/>
              </w:rPr>
              <w:t>$</w:t>
            </w:r>
            <w:r w:rsidR="005E1EC5">
              <w:rPr>
                <w:i/>
                <w:noProof/>
                <w:color w:val="000000"/>
                <w:highlight w:val="black"/>
              </w:rPr>
              <w:t>'''''''''''''''</w:t>
            </w:r>
          </w:p>
        </w:tc>
      </w:tr>
      <w:tr w:rsidR="00340BD0" w:rsidRPr="002220DF" w:rsidTr="00772B90">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tcPr>
          <w:p w:rsidR="00340BD0" w:rsidRPr="002220DF" w:rsidRDefault="00340BD0" w:rsidP="00142D19">
            <w:pPr>
              <w:pStyle w:val="Tabletext"/>
              <w:rPr>
                <w:b/>
              </w:rPr>
            </w:pPr>
            <w:r w:rsidRPr="002220DF">
              <w:rPr>
                <w:b/>
              </w:rPr>
              <w:t>Multivariate sensitivity analysis</w:t>
            </w:r>
          </w:p>
        </w:tc>
      </w:tr>
      <w:tr w:rsidR="00340BD0" w:rsidRPr="002220DF" w:rsidTr="00772B90">
        <w:trPr>
          <w:trHeight w:val="20"/>
        </w:trPr>
        <w:tc>
          <w:tcPr>
            <w:tcW w:w="1823" w:type="pct"/>
            <w:tcBorders>
              <w:top w:val="single" w:sz="4" w:space="0" w:color="auto"/>
              <w:left w:val="single" w:sz="4" w:space="0" w:color="auto"/>
              <w:bottom w:val="single" w:sz="4" w:space="0" w:color="auto"/>
              <w:right w:val="single" w:sz="4" w:space="0" w:color="auto"/>
            </w:tcBorders>
            <w:vAlign w:val="center"/>
          </w:tcPr>
          <w:p w:rsidR="00340BD0" w:rsidRPr="002220DF" w:rsidRDefault="00340BD0" w:rsidP="00142D19">
            <w:pPr>
              <w:pStyle w:val="Tabletext"/>
            </w:pPr>
            <w:r w:rsidRPr="002220DF">
              <w:t>Compliance to 100% and no hospitalisations</w:t>
            </w:r>
          </w:p>
        </w:tc>
        <w:tc>
          <w:tcPr>
            <w:tcW w:w="812" w:type="pct"/>
            <w:tcBorders>
              <w:top w:val="single" w:sz="4" w:space="0" w:color="auto"/>
              <w:left w:val="single" w:sz="4" w:space="0" w:color="auto"/>
              <w:bottom w:val="single" w:sz="4" w:space="0" w:color="auto"/>
              <w:right w:val="single" w:sz="4" w:space="0" w:color="auto"/>
            </w:tcBorders>
            <w:vAlign w:val="bottom"/>
          </w:tcPr>
          <w:p w:rsidR="00340BD0" w:rsidRPr="002220DF" w:rsidRDefault="00340BD0" w:rsidP="00142D19">
            <w:pPr>
              <w:pStyle w:val="Tabletext"/>
              <w:jc w:val="right"/>
            </w:pPr>
            <w:r w:rsidRPr="002220DF">
              <w:t>$</w:t>
            </w:r>
            <w:r w:rsidR="005E1EC5">
              <w:rPr>
                <w:noProof/>
                <w:color w:val="000000"/>
                <w:highlight w:val="black"/>
              </w:rPr>
              <w:t>''''''''''</w:t>
            </w:r>
          </w:p>
        </w:tc>
        <w:tc>
          <w:tcPr>
            <w:tcW w:w="1101" w:type="pct"/>
            <w:tcBorders>
              <w:top w:val="single" w:sz="4" w:space="0" w:color="auto"/>
              <w:left w:val="single" w:sz="4" w:space="0" w:color="auto"/>
              <w:bottom w:val="single" w:sz="4" w:space="0" w:color="auto"/>
              <w:right w:val="single" w:sz="4" w:space="0" w:color="auto"/>
            </w:tcBorders>
            <w:vAlign w:val="bottom"/>
          </w:tcPr>
          <w:p w:rsidR="00340BD0" w:rsidRPr="002220DF" w:rsidRDefault="00340BD0" w:rsidP="00142D19">
            <w:pPr>
              <w:pStyle w:val="Tabletext"/>
              <w:jc w:val="center"/>
            </w:pPr>
            <w:r w:rsidRPr="002220DF">
              <w:t>0.036</w:t>
            </w:r>
          </w:p>
        </w:tc>
        <w:tc>
          <w:tcPr>
            <w:tcW w:w="1264" w:type="pct"/>
            <w:tcBorders>
              <w:top w:val="single" w:sz="4" w:space="0" w:color="auto"/>
              <w:left w:val="single" w:sz="4" w:space="0" w:color="auto"/>
              <w:bottom w:val="single" w:sz="4" w:space="0" w:color="auto"/>
              <w:right w:val="single" w:sz="4" w:space="0" w:color="auto"/>
            </w:tcBorders>
            <w:vAlign w:val="bottom"/>
          </w:tcPr>
          <w:p w:rsidR="00340BD0" w:rsidRPr="002220DF" w:rsidRDefault="00340BD0" w:rsidP="00142D19">
            <w:pPr>
              <w:pStyle w:val="Tabletext"/>
              <w:jc w:val="right"/>
            </w:pPr>
            <w:r w:rsidRPr="002220DF">
              <w:t>$</w:t>
            </w:r>
            <w:r w:rsidR="005E1EC5">
              <w:rPr>
                <w:noProof/>
                <w:color w:val="000000"/>
                <w:highlight w:val="black"/>
              </w:rPr>
              <w:t>''''''''''''''''</w:t>
            </w:r>
          </w:p>
        </w:tc>
      </w:tr>
      <w:tr w:rsidR="00340BD0" w:rsidRPr="002220DF" w:rsidTr="00772B90">
        <w:trPr>
          <w:trHeight w:val="20"/>
        </w:trPr>
        <w:tc>
          <w:tcPr>
            <w:tcW w:w="1823" w:type="pct"/>
            <w:tcBorders>
              <w:top w:val="single" w:sz="4" w:space="0" w:color="auto"/>
              <w:left w:val="single" w:sz="4" w:space="0" w:color="auto"/>
              <w:bottom w:val="single" w:sz="4" w:space="0" w:color="auto"/>
              <w:right w:val="single" w:sz="4" w:space="0" w:color="auto"/>
            </w:tcBorders>
            <w:vAlign w:val="center"/>
          </w:tcPr>
          <w:p w:rsidR="00340BD0" w:rsidRPr="002220DF" w:rsidRDefault="00340BD0" w:rsidP="00142D19">
            <w:pPr>
              <w:pStyle w:val="Tabletext"/>
            </w:pPr>
            <w:r w:rsidRPr="002220DF">
              <w:t>Compliance to 100% halve rate of hospitalisations, reduce utility by 25%</w:t>
            </w:r>
          </w:p>
        </w:tc>
        <w:tc>
          <w:tcPr>
            <w:tcW w:w="812" w:type="pct"/>
            <w:tcBorders>
              <w:top w:val="single" w:sz="4" w:space="0" w:color="auto"/>
              <w:left w:val="single" w:sz="4" w:space="0" w:color="auto"/>
              <w:bottom w:val="single" w:sz="4" w:space="0" w:color="auto"/>
              <w:right w:val="single" w:sz="4" w:space="0" w:color="auto"/>
            </w:tcBorders>
            <w:vAlign w:val="bottom"/>
          </w:tcPr>
          <w:p w:rsidR="00340BD0" w:rsidRPr="002220DF" w:rsidRDefault="00340BD0" w:rsidP="00142D19">
            <w:pPr>
              <w:pStyle w:val="Tabletext"/>
              <w:jc w:val="right"/>
            </w:pPr>
            <w:r w:rsidRPr="002220DF">
              <w:t>$</w:t>
            </w:r>
            <w:r w:rsidR="005E1EC5">
              <w:rPr>
                <w:noProof/>
                <w:color w:val="000000"/>
                <w:highlight w:val="black"/>
              </w:rPr>
              <w:t>''''''''''</w:t>
            </w:r>
          </w:p>
        </w:tc>
        <w:tc>
          <w:tcPr>
            <w:tcW w:w="1101" w:type="pct"/>
            <w:tcBorders>
              <w:top w:val="single" w:sz="4" w:space="0" w:color="auto"/>
              <w:left w:val="single" w:sz="4" w:space="0" w:color="auto"/>
              <w:bottom w:val="single" w:sz="4" w:space="0" w:color="auto"/>
              <w:right w:val="single" w:sz="4" w:space="0" w:color="auto"/>
            </w:tcBorders>
            <w:vAlign w:val="bottom"/>
          </w:tcPr>
          <w:p w:rsidR="00340BD0" w:rsidRPr="002220DF" w:rsidRDefault="00340BD0" w:rsidP="00142D19">
            <w:pPr>
              <w:pStyle w:val="Tabletext"/>
              <w:jc w:val="center"/>
            </w:pPr>
            <w:r w:rsidRPr="002220DF">
              <w:t>0.027</w:t>
            </w:r>
          </w:p>
        </w:tc>
        <w:tc>
          <w:tcPr>
            <w:tcW w:w="1264" w:type="pct"/>
            <w:tcBorders>
              <w:top w:val="single" w:sz="4" w:space="0" w:color="auto"/>
              <w:left w:val="single" w:sz="4" w:space="0" w:color="auto"/>
              <w:bottom w:val="single" w:sz="4" w:space="0" w:color="auto"/>
              <w:right w:val="single" w:sz="4" w:space="0" w:color="auto"/>
            </w:tcBorders>
            <w:vAlign w:val="bottom"/>
          </w:tcPr>
          <w:p w:rsidR="00340BD0" w:rsidRPr="002220DF" w:rsidRDefault="00340BD0" w:rsidP="00142D19">
            <w:pPr>
              <w:pStyle w:val="Tabletext"/>
              <w:jc w:val="right"/>
            </w:pPr>
            <w:r w:rsidRPr="002220DF">
              <w:t>$</w:t>
            </w:r>
            <w:r w:rsidR="005E1EC5">
              <w:rPr>
                <w:noProof/>
                <w:color w:val="000000"/>
                <w:highlight w:val="black"/>
              </w:rPr>
              <w:t>''''''''''''''''</w:t>
            </w:r>
          </w:p>
        </w:tc>
      </w:tr>
      <w:tr w:rsidR="00340BD0" w:rsidRPr="003E1DDA" w:rsidTr="00772B90">
        <w:trPr>
          <w:trHeight w:val="20"/>
        </w:trPr>
        <w:tc>
          <w:tcPr>
            <w:tcW w:w="1823" w:type="pct"/>
            <w:tcBorders>
              <w:top w:val="single" w:sz="4" w:space="0" w:color="auto"/>
              <w:left w:val="single" w:sz="4" w:space="0" w:color="auto"/>
              <w:bottom w:val="single" w:sz="4" w:space="0" w:color="auto"/>
              <w:right w:val="single" w:sz="4" w:space="0" w:color="auto"/>
            </w:tcBorders>
            <w:vAlign w:val="center"/>
          </w:tcPr>
          <w:p w:rsidR="00340BD0" w:rsidRPr="003E1DDA" w:rsidRDefault="00340BD0" w:rsidP="00142D19">
            <w:pPr>
              <w:pStyle w:val="Tabletext"/>
              <w:rPr>
                <w:i/>
                <w:color w:val="FF0000"/>
              </w:rPr>
            </w:pPr>
            <w:r>
              <w:rPr>
                <w:i/>
              </w:rPr>
              <w:t>Compliance to 100%, difference in hospitalisations reduced to 0.5% per month, reduce angina utility effect by 50%, hospitalisations disutility removed</w:t>
            </w:r>
          </w:p>
        </w:tc>
        <w:tc>
          <w:tcPr>
            <w:tcW w:w="812" w:type="pct"/>
            <w:tcBorders>
              <w:top w:val="single" w:sz="4" w:space="0" w:color="auto"/>
              <w:left w:val="single" w:sz="4" w:space="0" w:color="auto"/>
              <w:bottom w:val="single" w:sz="4" w:space="0" w:color="auto"/>
              <w:right w:val="single" w:sz="4" w:space="0" w:color="auto"/>
            </w:tcBorders>
            <w:vAlign w:val="bottom"/>
          </w:tcPr>
          <w:p w:rsidR="00340BD0" w:rsidRPr="003E1DDA" w:rsidRDefault="00340BD0" w:rsidP="00142D19">
            <w:pPr>
              <w:pStyle w:val="Tabletext"/>
              <w:jc w:val="right"/>
              <w:rPr>
                <w:i/>
                <w:color w:val="FF0000"/>
              </w:rPr>
            </w:pPr>
            <w:r>
              <w:rPr>
                <w:i/>
              </w:rPr>
              <w:t>$</w:t>
            </w:r>
            <w:r w:rsidR="005E1EC5">
              <w:rPr>
                <w:i/>
                <w:noProof/>
                <w:color w:val="000000"/>
                <w:highlight w:val="black"/>
              </w:rPr>
              <w:t>''''''''</w:t>
            </w:r>
          </w:p>
        </w:tc>
        <w:tc>
          <w:tcPr>
            <w:tcW w:w="1101" w:type="pct"/>
            <w:tcBorders>
              <w:top w:val="single" w:sz="4" w:space="0" w:color="auto"/>
              <w:left w:val="single" w:sz="4" w:space="0" w:color="auto"/>
              <w:bottom w:val="single" w:sz="4" w:space="0" w:color="auto"/>
              <w:right w:val="single" w:sz="4" w:space="0" w:color="auto"/>
            </w:tcBorders>
            <w:vAlign w:val="bottom"/>
          </w:tcPr>
          <w:p w:rsidR="00340BD0" w:rsidRPr="003E1DDA" w:rsidRDefault="00340BD0" w:rsidP="00142D19">
            <w:pPr>
              <w:pStyle w:val="Tabletext"/>
              <w:jc w:val="center"/>
              <w:rPr>
                <w:i/>
                <w:color w:val="FF0000"/>
              </w:rPr>
            </w:pPr>
            <w:r>
              <w:rPr>
                <w:i/>
              </w:rPr>
              <w:t>0.018</w:t>
            </w:r>
          </w:p>
        </w:tc>
        <w:tc>
          <w:tcPr>
            <w:tcW w:w="1264" w:type="pct"/>
            <w:tcBorders>
              <w:top w:val="single" w:sz="4" w:space="0" w:color="auto"/>
              <w:left w:val="single" w:sz="4" w:space="0" w:color="auto"/>
              <w:bottom w:val="single" w:sz="4" w:space="0" w:color="auto"/>
              <w:right w:val="single" w:sz="4" w:space="0" w:color="auto"/>
            </w:tcBorders>
            <w:vAlign w:val="bottom"/>
          </w:tcPr>
          <w:p w:rsidR="00340BD0" w:rsidRPr="003E1DDA" w:rsidRDefault="00340BD0" w:rsidP="00142D19">
            <w:pPr>
              <w:pStyle w:val="Tabletext"/>
              <w:jc w:val="right"/>
              <w:rPr>
                <w:i/>
                <w:color w:val="FF0000"/>
              </w:rPr>
            </w:pPr>
            <w:r>
              <w:rPr>
                <w:i/>
              </w:rPr>
              <w:t>$</w:t>
            </w:r>
            <w:r w:rsidR="005E1EC5">
              <w:rPr>
                <w:i/>
                <w:noProof/>
                <w:color w:val="000000"/>
                <w:highlight w:val="black"/>
              </w:rPr>
              <w:t>'''''''''''''''''</w:t>
            </w:r>
          </w:p>
        </w:tc>
      </w:tr>
    </w:tbl>
    <w:p w:rsidR="00A530E9" w:rsidRPr="00340BD0" w:rsidRDefault="00A530E9" w:rsidP="00142D19">
      <w:pPr>
        <w:pStyle w:val="TableFooter"/>
        <w:keepNext/>
        <w:widowControl/>
        <w:ind w:left="709"/>
      </w:pPr>
      <w:r w:rsidRPr="002220DF">
        <w:t xml:space="preserve">Source: Ranexa, </w:t>
      </w:r>
      <w:r w:rsidRPr="00340BD0">
        <w:t xml:space="preserve">Section D workbook and </w:t>
      </w:r>
      <w:r w:rsidRPr="00340BD0">
        <w:rPr>
          <w:i/>
        </w:rPr>
        <w:t>calculated or corrected during the evaluation</w:t>
      </w:r>
      <w:r w:rsidR="00EF5D1B">
        <w:rPr>
          <w:i/>
        </w:rPr>
        <w:t xml:space="preserve"> and by </w:t>
      </w:r>
      <w:r w:rsidR="009877E5">
        <w:rPr>
          <w:i/>
        </w:rPr>
        <w:t xml:space="preserve">the </w:t>
      </w:r>
      <w:r w:rsidR="00EF5D1B">
        <w:rPr>
          <w:i/>
        </w:rPr>
        <w:t>ESC</w:t>
      </w:r>
      <w:r w:rsidRPr="00340BD0">
        <w:rPr>
          <w:i/>
        </w:rPr>
        <w:t>.</w:t>
      </w:r>
    </w:p>
    <w:p w:rsidR="00A530E9" w:rsidRPr="002220DF" w:rsidRDefault="00A530E9" w:rsidP="00142D19">
      <w:pPr>
        <w:pStyle w:val="TableFooter"/>
        <w:keepNext/>
        <w:widowControl/>
        <w:ind w:left="709"/>
      </w:pPr>
      <w:r w:rsidRPr="00340BD0">
        <w:t>QALY = quality-adjusted life year</w:t>
      </w:r>
    </w:p>
    <w:p w:rsidR="00A530E9" w:rsidRPr="008B024F" w:rsidRDefault="00A530E9" w:rsidP="00142D19">
      <w:pPr>
        <w:widowControl/>
      </w:pPr>
    </w:p>
    <w:p w:rsidR="00850D64" w:rsidRPr="001255F7" w:rsidRDefault="00850D64" w:rsidP="00142D19">
      <w:pPr>
        <w:pStyle w:val="ListParagraph"/>
        <w:widowControl/>
        <w:numPr>
          <w:ilvl w:val="1"/>
          <w:numId w:val="11"/>
        </w:numPr>
        <w:rPr>
          <w:szCs w:val="22"/>
        </w:rPr>
      </w:pPr>
      <w:r w:rsidRPr="001255F7">
        <w:rPr>
          <w:szCs w:val="22"/>
        </w:rPr>
        <w:t>The model was most sensitive to patient compliance, hospitalisation rates</w:t>
      </w:r>
      <w:r w:rsidR="008B024F" w:rsidRPr="001255F7">
        <w:rPr>
          <w:szCs w:val="22"/>
        </w:rPr>
        <w:t xml:space="preserve"> frequency of angina attacks</w:t>
      </w:r>
      <w:r w:rsidRPr="001255F7">
        <w:rPr>
          <w:szCs w:val="22"/>
        </w:rPr>
        <w:t xml:space="preserve"> and the assumed gain in utility from avoiding an angina attack. </w:t>
      </w:r>
    </w:p>
    <w:p w:rsidR="0038677C" w:rsidRPr="001255F7" w:rsidRDefault="0038677C" w:rsidP="00142D19">
      <w:pPr>
        <w:pStyle w:val="ListParagraph"/>
        <w:widowControl/>
      </w:pPr>
    </w:p>
    <w:p w:rsidR="00290CB3" w:rsidRPr="001255F7" w:rsidRDefault="00146C17" w:rsidP="00FF5F86">
      <w:pPr>
        <w:pStyle w:val="Heading3"/>
      </w:pPr>
      <w:r w:rsidRPr="001255F7">
        <w:t>C</w:t>
      </w:r>
      <w:r w:rsidR="00007761" w:rsidRPr="001255F7">
        <w:t>ost-minimisation analyse</w:t>
      </w:r>
      <w:r w:rsidR="00290CB3" w:rsidRPr="001255F7">
        <w:t xml:space="preserve">s </w:t>
      </w:r>
      <w:r w:rsidRPr="001255F7">
        <w:t>vs nicorandil and perhexiline</w:t>
      </w:r>
    </w:p>
    <w:p w:rsidR="004C0F28" w:rsidRPr="001255F7" w:rsidRDefault="004C0F28" w:rsidP="00142D19">
      <w:pPr>
        <w:widowControl/>
        <w:ind w:left="709"/>
        <w:rPr>
          <w:rStyle w:val="CommentReference"/>
          <w:b w:val="0"/>
          <w:sz w:val="18"/>
          <w:szCs w:val="18"/>
        </w:rPr>
      </w:pPr>
    </w:p>
    <w:p w:rsidR="0017239C" w:rsidRPr="001255F7" w:rsidRDefault="00343646" w:rsidP="00142D19">
      <w:pPr>
        <w:pStyle w:val="ListParagraph"/>
        <w:widowControl/>
        <w:numPr>
          <w:ilvl w:val="1"/>
          <w:numId w:val="11"/>
        </w:numPr>
        <w:rPr>
          <w:szCs w:val="22"/>
        </w:rPr>
      </w:pPr>
      <w:r w:rsidRPr="001255F7">
        <w:t>T</w:t>
      </w:r>
      <w:r w:rsidR="00D93D8C" w:rsidRPr="001255F7">
        <w:t xml:space="preserve">he equi-effective doses were estimated as ranolazine 750 mg twice </w:t>
      </w:r>
      <w:r w:rsidR="001508E0" w:rsidRPr="001255F7">
        <w:t>daily and</w:t>
      </w:r>
      <w:r w:rsidR="00D93D8C" w:rsidRPr="001255F7">
        <w:t xml:space="preserve"> nicorandil 20 mg twice daily</w:t>
      </w:r>
      <w:r w:rsidRPr="001255F7">
        <w:t>,</w:t>
      </w:r>
      <w:r w:rsidR="004429BC" w:rsidRPr="001255F7">
        <w:t xml:space="preserve"> or</w:t>
      </w:r>
      <w:r w:rsidR="00D93D8C" w:rsidRPr="001255F7">
        <w:t xml:space="preserve"> perhexiline 100 mg twice daily</w:t>
      </w:r>
      <w:r w:rsidR="00C2501B" w:rsidRPr="001255F7">
        <w:t xml:space="preserve"> based on the doses used in the clinical trials</w:t>
      </w:r>
      <w:r w:rsidR="00D93D8C" w:rsidRPr="001255F7">
        <w:t>.</w:t>
      </w:r>
      <w:r w:rsidR="00B52E7F" w:rsidRPr="001255F7">
        <w:t xml:space="preserve"> </w:t>
      </w:r>
      <w:r w:rsidR="008B024F" w:rsidRPr="001255F7">
        <w:t xml:space="preserve">Whether these </w:t>
      </w:r>
      <w:r w:rsidR="00F56DD3" w:rsidRPr="001255F7">
        <w:t xml:space="preserve">doses </w:t>
      </w:r>
      <w:r w:rsidR="008B024F" w:rsidRPr="001255F7">
        <w:t xml:space="preserve">were equi-effective </w:t>
      </w:r>
      <w:r w:rsidR="00F56DD3" w:rsidRPr="001255F7">
        <w:t>could not be determined based on the evidence provided in the submission</w:t>
      </w:r>
      <w:r w:rsidR="00C2501B" w:rsidRPr="001255F7">
        <w:t xml:space="preserve"> and</w:t>
      </w:r>
      <w:r w:rsidR="00F56DD3" w:rsidRPr="001255F7">
        <w:t xml:space="preserve"> this affects the robustness of a cost minimisation approach. </w:t>
      </w:r>
      <w:r w:rsidR="00B52E7F" w:rsidRPr="001255F7">
        <w:t xml:space="preserve">The cost minimisation approach was </w:t>
      </w:r>
      <w:r w:rsidR="008B024F" w:rsidRPr="001255F7">
        <w:t>not well justified</w:t>
      </w:r>
      <w:r w:rsidR="00773099" w:rsidRPr="001255F7">
        <w:t>.</w:t>
      </w:r>
    </w:p>
    <w:p w:rsidR="0017239C" w:rsidRPr="001255F7" w:rsidRDefault="0017239C" w:rsidP="00142D19">
      <w:pPr>
        <w:widowControl/>
        <w:rPr>
          <w:szCs w:val="22"/>
        </w:rPr>
      </w:pPr>
    </w:p>
    <w:p w:rsidR="00343646" w:rsidRPr="001255F7" w:rsidRDefault="00343646" w:rsidP="00142D19">
      <w:pPr>
        <w:pStyle w:val="ListParagraph"/>
        <w:widowControl/>
        <w:numPr>
          <w:ilvl w:val="1"/>
          <w:numId w:val="11"/>
        </w:numPr>
        <w:rPr>
          <w:szCs w:val="22"/>
        </w:rPr>
      </w:pPr>
      <w:r w:rsidRPr="001255F7">
        <w:rPr>
          <w:szCs w:val="22"/>
        </w:rPr>
        <w:t>The submission calculated the AEMP/day for nicorandil as $</w:t>
      </w:r>
      <w:r w:rsidR="005E1EC5">
        <w:rPr>
          <w:noProof/>
          <w:color w:val="000000"/>
          <w:szCs w:val="22"/>
          <w:highlight w:val="black"/>
        </w:rPr>
        <w:t>''''''''''''</w:t>
      </w:r>
      <w:r w:rsidRPr="001255F7">
        <w:rPr>
          <w:szCs w:val="22"/>
        </w:rPr>
        <w:t xml:space="preserve"> based on the price of nicorandil and the costs associated with ulceration events due to nicorandil treatment. </w:t>
      </w:r>
      <w:r w:rsidR="00E77FAC" w:rsidRPr="001255F7">
        <w:rPr>
          <w:szCs w:val="22"/>
        </w:rPr>
        <w:t xml:space="preserve">The </w:t>
      </w:r>
      <w:r w:rsidR="00787E28">
        <w:rPr>
          <w:szCs w:val="22"/>
        </w:rPr>
        <w:t xml:space="preserve">PBAC </w:t>
      </w:r>
      <w:r w:rsidR="00E77FAC" w:rsidRPr="001255F7">
        <w:rPr>
          <w:szCs w:val="22"/>
        </w:rPr>
        <w:t>considered that the submission had overstated the adverse events associated with nicorandil</w:t>
      </w:r>
      <w:r w:rsidRPr="001255F7">
        <w:rPr>
          <w:szCs w:val="22"/>
        </w:rPr>
        <w:t>.</w:t>
      </w:r>
      <w:r w:rsidR="00DD385D" w:rsidRPr="001255F7">
        <w:rPr>
          <w:szCs w:val="22"/>
        </w:rPr>
        <w:t xml:space="preserve"> </w:t>
      </w:r>
      <w:r w:rsidR="00954EBD" w:rsidRPr="001255F7">
        <w:rPr>
          <w:szCs w:val="22"/>
        </w:rPr>
        <w:t xml:space="preserve">Table 14 </w:t>
      </w:r>
      <w:r w:rsidR="00AD0605" w:rsidRPr="001255F7">
        <w:rPr>
          <w:szCs w:val="22"/>
        </w:rPr>
        <w:t xml:space="preserve">summarises </w:t>
      </w:r>
      <w:r w:rsidR="00DD385D" w:rsidRPr="001255F7">
        <w:rPr>
          <w:szCs w:val="22"/>
        </w:rPr>
        <w:t>the costs of nicorandil related ulceration (per year)</w:t>
      </w:r>
      <w:r w:rsidR="00E77FAC" w:rsidRPr="001255F7">
        <w:rPr>
          <w:szCs w:val="22"/>
        </w:rPr>
        <w:t xml:space="preserve"> which were included in the submission’s calculation of the cost/day of nicorandil.</w:t>
      </w:r>
      <w:r w:rsidR="00DD385D" w:rsidRPr="001255F7">
        <w:rPr>
          <w:szCs w:val="22"/>
        </w:rPr>
        <w:t xml:space="preserve"> </w:t>
      </w:r>
    </w:p>
    <w:p w:rsidR="00F06C9A" w:rsidRPr="001255F7" w:rsidRDefault="00F06C9A" w:rsidP="00142D19">
      <w:pPr>
        <w:widowControl/>
        <w:rPr>
          <w:szCs w:val="22"/>
        </w:rPr>
      </w:pPr>
    </w:p>
    <w:p w:rsidR="00FF5F86" w:rsidRDefault="00FF5F86">
      <w:pPr>
        <w:widowControl/>
        <w:jc w:val="left"/>
        <w:rPr>
          <w:rStyle w:val="CommentReference"/>
        </w:rPr>
      </w:pPr>
      <w:r>
        <w:rPr>
          <w:rStyle w:val="CommentReference"/>
        </w:rPr>
        <w:br w:type="page"/>
      </w:r>
    </w:p>
    <w:p w:rsidR="00335036" w:rsidRPr="002220DF" w:rsidRDefault="00335036" w:rsidP="008F5F04">
      <w:pPr>
        <w:keepNext/>
        <w:widowControl/>
        <w:ind w:firstLine="720"/>
        <w:rPr>
          <w:rStyle w:val="CommentReference"/>
        </w:rPr>
      </w:pPr>
      <w:r w:rsidRPr="002220DF">
        <w:rPr>
          <w:rStyle w:val="CommentReference"/>
        </w:rPr>
        <w:t xml:space="preserve">Table </w:t>
      </w:r>
      <w:r w:rsidR="009D39E5">
        <w:rPr>
          <w:rStyle w:val="CommentReference"/>
        </w:rPr>
        <w:t>14</w:t>
      </w:r>
      <w:r w:rsidRPr="002220DF">
        <w:rPr>
          <w:rStyle w:val="CommentReference"/>
        </w:rPr>
        <w:t>: Summary of costs for ulceration events relating to nicorandil</w:t>
      </w:r>
    </w:p>
    <w:tbl>
      <w:tblPr>
        <w:tblW w:w="4682"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77"/>
        <w:gridCol w:w="992"/>
        <w:gridCol w:w="993"/>
        <w:gridCol w:w="993"/>
        <w:gridCol w:w="1350"/>
        <w:gridCol w:w="1199"/>
      </w:tblGrid>
      <w:tr w:rsidR="00084692" w:rsidRPr="002220DF" w:rsidTr="00207F9C">
        <w:trPr>
          <w:tblHeader/>
        </w:trPr>
        <w:tc>
          <w:tcPr>
            <w:tcW w:w="1750" w:type="pct"/>
            <w:vMerge w:val="restart"/>
            <w:vAlign w:val="center"/>
          </w:tcPr>
          <w:p w:rsidR="00084692" w:rsidRPr="002220DF" w:rsidRDefault="00084692" w:rsidP="00142D19">
            <w:pPr>
              <w:pStyle w:val="Tabletext"/>
              <w:rPr>
                <w:b/>
              </w:rPr>
            </w:pPr>
            <w:r w:rsidRPr="002220DF">
              <w:rPr>
                <w:b/>
              </w:rPr>
              <w:t>Resource</w:t>
            </w:r>
          </w:p>
        </w:tc>
        <w:tc>
          <w:tcPr>
            <w:tcW w:w="583" w:type="pct"/>
          </w:tcPr>
          <w:p w:rsidR="00084692" w:rsidRPr="002220DF" w:rsidRDefault="00084692" w:rsidP="00142D19">
            <w:pPr>
              <w:pStyle w:val="Tabletext"/>
              <w:jc w:val="center"/>
              <w:rPr>
                <w:b/>
              </w:rPr>
            </w:pPr>
            <w:r w:rsidRPr="002220DF">
              <w:rPr>
                <w:b/>
              </w:rPr>
              <w:t>Skin</w:t>
            </w:r>
          </w:p>
        </w:tc>
        <w:tc>
          <w:tcPr>
            <w:tcW w:w="584" w:type="pct"/>
            <w:vAlign w:val="center"/>
          </w:tcPr>
          <w:p w:rsidR="00084692" w:rsidRPr="002220DF" w:rsidRDefault="00084692" w:rsidP="00142D19">
            <w:pPr>
              <w:pStyle w:val="Tabletext"/>
              <w:jc w:val="center"/>
              <w:rPr>
                <w:b/>
              </w:rPr>
            </w:pPr>
            <w:r w:rsidRPr="002220DF">
              <w:rPr>
                <w:b/>
              </w:rPr>
              <w:t>Anal</w:t>
            </w:r>
          </w:p>
        </w:tc>
        <w:tc>
          <w:tcPr>
            <w:tcW w:w="584" w:type="pct"/>
          </w:tcPr>
          <w:p w:rsidR="00084692" w:rsidRPr="002220DF" w:rsidRDefault="00084692" w:rsidP="00142D19">
            <w:pPr>
              <w:pStyle w:val="Tabletext"/>
              <w:jc w:val="center"/>
              <w:rPr>
                <w:b/>
              </w:rPr>
            </w:pPr>
            <w:r w:rsidRPr="002220DF">
              <w:rPr>
                <w:b/>
              </w:rPr>
              <w:t>GI</w:t>
            </w:r>
          </w:p>
        </w:tc>
        <w:tc>
          <w:tcPr>
            <w:tcW w:w="794" w:type="pct"/>
          </w:tcPr>
          <w:p w:rsidR="00084692" w:rsidRPr="002220DF" w:rsidRDefault="00084692" w:rsidP="00142D19">
            <w:pPr>
              <w:pStyle w:val="Tabletext"/>
              <w:jc w:val="center"/>
              <w:rPr>
                <w:b/>
              </w:rPr>
            </w:pPr>
            <w:r w:rsidRPr="002220DF">
              <w:rPr>
                <w:b/>
              </w:rPr>
              <w:t>GI + perforation</w:t>
            </w:r>
          </w:p>
        </w:tc>
        <w:tc>
          <w:tcPr>
            <w:tcW w:w="705" w:type="pct"/>
            <w:vMerge w:val="restart"/>
          </w:tcPr>
          <w:p w:rsidR="00084692" w:rsidRPr="002220DF" w:rsidRDefault="00084692" w:rsidP="00207F9C">
            <w:pPr>
              <w:pStyle w:val="Tabletext"/>
              <w:jc w:val="center"/>
              <w:rPr>
                <w:b/>
              </w:rPr>
            </w:pPr>
            <w:r w:rsidRPr="002220DF">
              <w:rPr>
                <w:b/>
              </w:rPr>
              <w:t>Cost</w:t>
            </w:r>
          </w:p>
        </w:tc>
      </w:tr>
      <w:tr w:rsidR="00084692" w:rsidRPr="002220DF" w:rsidTr="00207F9C">
        <w:trPr>
          <w:tblHeader/>
        </w:trPr>
        <w:tc>
          <w:tcPr>
            <w:tcW w:w="1750" w:type="pct"/>
            <w:vMerge/>
            <w:vAlign w:val="center"/>
          </w:tcPr>
          <w:p w:rsidR="00084692" w:rsidRPr="002220DF" w:rsidRDefault="00084692" w:rsidP="00142D19">
            <w:pPr>
              <w:pStyle w:val="Tabletext"/>
              <w:rPr>
                <w:b/>
              </w:rPr>
            </w:pPr>
          </w:p>
        </w:tc>
        <w:tc>
          <w:tcPr>
            <w:tcW w:w="2545" w:type="pct"/>
            <w:gridSpan w:val="4"/>
          </w:tcPr>
          <w:p w:rsidR="00084692" w:rsidRPr="002220DF" w:rsidRDefault="00084692" w:rsidP="00142D19">
            <w:pPr>
              <w:pStyle w:val="Tabletext"/>
              <w:jc w:val="center"/>
              <w:rPr>
                <w:b/>
              </w:rPr>
            </w:pPr>
            <w:r>
              <w:rPr>
                <w:b/>
              </w:rPr>
              <w:t>Assumed number of events (per year)</w:t>
            </w:r>
          </w:p>
        </w:tc>
        <w:tc>
          <w:tcPr>
            <w:tcW w:w="705" w:type="pct"/>
            <w:vMerge/>
          </w:tcPr>
          <w:p w:rsidR="00084692" w:rsidRPr="002220DF" w:rsidRDefault="00084692" w:rsidP="00207F9C">
            <w:pPr>
              <w:pStyle w:val="Tabletext"/>
              <w:jc w:val="center"/>
              <w:rPr>
                <w:b/>
              </w:rPr>
            </w:pPr>
          </w:p>
        </w:tc>
      </w:tr>
      <w:tr w:rsidR="00335036" w:rsidRPr="002220DF" w:rsidTr="00207F9C">
        <w:tc>
          <w:tcPr>
            <w:tcW w:w="1750" w:type="pct"/>
            <w:vAlign w:val="center"/>
          </w:tcPr>
          <w:p w:rsidR="00335036" w:rsidRPr="002220DF" w:rsidRDefault="00335036" w:rsidP="00142D19">
            <w:pPr>
              <w:pStyle w:val="Tabletext"/>
            </w:pPr>
            <w:r w:rsidRPr="002220DF">
              <w:t>GP visit</w:t>
            </w:r>
          </w:p>
        </w:tc>
        <w:tc>
          <w:tcPr>
            <w:tcW w:w="583" w:type="pct"/>
          </w:tcPr>
          <w:p w:rsidR="00335036" w:rsidRPr="005E1EC5" w:rsidRDefault="005E1EC5" w:rsidP="00142D19">
            <w:pPr>
              <w:pStyle w:val="Tabletext"/>
              <w:jc w:val="center"/>
              <w:rPr>
                <w:highlight w:val="black"/>
              </w:rPr>
            </w:pPr>
            <w:r>
              <w:rPr>
                <w:noProof/>
                <w:color w:val="000000"/>
                <w:highlight w:val="black"/>
              </w:rPr>
              <w:t>'''</w:t>
            </w:r>
          </w:p>
        </w:tc>
        <w:tc>
          <w:tcPr>
            <w:tcW w:w="584" w:type="pct"/>
            <w:vAlign w:val="center"/>
          </w:tcPr>
          <w:p w:rsidR="00335036" w:rsidRPr="005E1EC5" w:rsidRDefault="005E1EC5" w:rsidP="00142D19">
            <w:pPr>
              <w:pStyle w:val="Tabletext"/>
              <w:jc w:val="center"/>
              <w:rPr>
                <w:highlight w:val="black"/>
              </w:rPr>
            </w:pPr>
            <w:r>
              <w:rPr>
                <w:noProof/>
                <w:color w:val="000000"/>
                <w:highlight w:val="black"/>
              </w:rPr>
              <w:t>''''</w:t>
            </w:r>
          </w:p>
        </w:tc>
        <w:tc>
          <w:tcPr>
            <w:tcW w:w="584" w:type="pct"/>
          </w:tcPr>
          <w:p w:rsidR="00335036" w:rsidRPr="005E1EC5" w:rsidRDefault="005E1EC5" w:rsidP="00142D19">
            <w:pPr>
              <w:pStyle w:val="Tabletext"/>
              <w:jc w:val="center"/>
              <w:rPr>
                <w:highlight w:val="black"/>
              </w:rPr>
            </w:pPr>
            <w:r>
              <w:rPr>
                <w:noProof/>
                <w:color w:val="000000"/>
                <w:highlight w:val="black"/>
              </w:rPr>
              <w:t>'''</w:t>
            </w:r>
          </w:p>
        </w:tc>
        <w:tc>
          <w:tcPr>
            <w:tcW w:w="794" w:type="pct"/>
          </w:tcPr>
          <w:p w:rsidR="00335036" w:rsidRPr="005E1EC5" w:rsidRDefault="005E1EC5" w:rsidP="00142D19">
            <w:pPr>
              <w:pStyle w:val="Tabletext"/>
              <w:jc w:val="center"/>
              <w:rPr>
                <w:highlight w:val="black"/>
              </w:rPr>
            </w:pPr>
            <w:r>
              <w:rPr>
                <w:noProof/>
                <w:color w:val="000000"/>
                <w:highlight w:val="black"/>
              </w:rPr>
              <w:t>''''</w:t>
            </w:r>
          </w:p>
        </w:tc>
        <w:tc>
          <w:tcPr>
            <w:tcW w:w="705" w:type="pct"/>
            <w:vAlign w:val="center"/>
          </w:tcPr>
          <w:p w:rsidR="00335036" w:rsidRPr="002220DF" w:rsidRDefault="00335036" w:rsidP="00207F9C">
            <w:pPr>
              <w:pStyle w:val="Tabletext"/>
              <w:jc w:val="center"/>
            </w:pPr>
            <w:r w:rsidRPr="002220DF">
              <w:t>$37.05</w:t>
            </w:r>
          </w:p>
        </w:tc>
      </w:tr>
      <w:tr w:rsidR="00335036" w:rsidRPr="002220DF" w:rsidTr="00207F9C">
        <w:tc>
          <w:tcPr>
            <w:tcW w:w="1750" w:type="pct"/>
            <w:vAlign w:val="center"/>
          </w:tcPr>
          <w:p w:rsidR="00335036" w:rsidRPr="002220DF" w:rsidRDefault="00335036" w:rsidP="00142D19">
            <w:pPr>
              <w:pStyle w:val="Tabletext"/>
            </w:pPr>
            <w:r w:rsidRPr="002220DF">
              <w:t>Specialist visit (initial)</w:t>
            </w:r>
          </w:p>
        </w:tc>
        <w:tc>
          <w:tcPr>
            <w:tcW w:w="583" w:type="pct"/>
          </w:tcPr>
          <w:p w:rsidR="00335036" w:rsidRPr="005E1EC5" w:rsidRDefault="005E1EC5" w:rsidP="00142D19">
            <w:pPr>
              <w:pStyle w:val="Tabletext"/>
              <w:jc w:val="center"/>
              <w:rPr>
                <w:highlight w:val="black"/>
              </w:rPr>
            </w:pPr>
            <w:r>
              <w:rPr>
                <w:noProof/>
                <w:color w:val="000000"/>
                <w:highlight w:val="black"/>
              </w:rPr>
              <w:t>''''</w:t>
            </w:r>
          </w:p>
        </w:tc>
        <w:tc>
          <w:tcPr>
            <w:tcW w:w="584" w:type="pct"/>
            <w:vAlign w:val="center"/>
          </w:tcPr>
          <w:p w:rsidR="00335036" w:rsidRPr="005E1EC5" w:rsidRDefault="005E1EC5" w:rsidP="00142D19">
            <w:pPr>
              <w:pStyle w:val="Tabletext"/>
              <w:jc w:val="center"/>
              <w:rPr>
                <w:highlight w:val="black"/>
              </w:rPr>
            </w:pPr>
            <w:r>
              <w:rPr>
                <w:noProof/>
                <w:color w:val="000000"/>
                <w:highlight w:val="black"/>
              </w:rPr>
              <w:t>'''</w:t>
            </w:r>
          </w:p>
        </w:tc>
        <w:tc>
          <w:tcPr>
            <w:tcW w:w="584" w:type="pct"/>
          </w:tcPr>
          <w:p w:rsidR="00335036" w:rsidRPr="005E1EC5" w:rsidRDefault="005E1EC5" w:rsidP="00142D19">
            <w:pPr>
              <w:pStyle w:val="Tabletext"/>
              <w:jc w:val="center"/>
              <w:rPr>
                <w:highlight w:val="black"/>
              </w:rPr>
            </w:pPr>
            <w:r>
              <w:rPr>
                <w:noProof/>
                <w:color w:val="000000"/>
                <w:highlight w:val="black"/>
              </w:rPr>
              <w:t>'''</w:t>
            </w:r>
          </w:p>
        </w:tc>
        <w:tc>
          <w:tcPr>
            <w:tcW w:w="794" w:type="pct"/>
          </w:tcPr>
          <w:p w:rsidR="00335036" w:rsidRPr="005E1EC5" w:rsidRDefault="005E1EC5" w:rsidP="00142D19">
            <w:pPr>
              <w:pStyle w:val="Tabletext"/>
              <w:jc w:val="center"/>
              <w:rPr>
                <w:highlight w:val="black"/>
              </w:rPr>
            </w:pPr>
            <w:r>
              <w:rPr>
                <w:noProof/>
                <w:color w:val="000000"/>
                <w:highlight w:val="black"/>
              </w:rPr>
              <w:t>'''</w:t>
            </w:r>
          </w:p>
        </w:tc>
        <w:tc>
          <w:tcPr>
            <w:tcW w:w="705" w:type="pct"/>
            <w:vAlign w:val="center"/>
          </w:tcPr>
          <w:p w:rsidR="00335036" w:rsidRPr="002220DF" w:rsidRDefault="00335036" w:rsidP="00207F9C">
            <w:pPr>
              <w:pStyle w:val="Tabletext"/>
              <w:jc w:val="center"/>
            </w:pPr>
            <w:r w:rsidRPr="002220DF">
              <w:t>$85.55</w:t>
            </w:r>
          </w:p>
        </w:tc>
      </w:tr>
      <w:tr w:rsidR="00335036" w:rsidRPr="002220DF" w:rsidTr="00207F9C">
        <w:tc>
          <w:tcPr>
            <w:tcW w:w="1750" w:type="pct"/>
            <w:vAlign w:val="center"/>
          </w:tcPr>
          <w:p w:rsidR="00335036" w:rsidRPr="002220DF" w:rsidRDefault="00335036" w:rsidP="00142D19">
            <w:pPr>
              <w:pStyle w:val="Tabletext"/>
            </w:pPr>
            <w:r w:rsidRPr="002220DF">
              <w:t>Specialist visit (follow-up)</w:t>
            </w:r>
          </w:p>
        </w:tc>
        <w:tc>
          <w:tcPr>
            <w:tcW w:w="583" w:type="pct"/>
          </w:tcPr>
          <w:p w:rsidR="00335036" w:rsidRPr="005E1EC5" w:rsidRDefault="005E1EC5" w:rsidP="00142D19">
            <w:pPr>
              <w:pStyle w:val="Tabletext"/>
              <w:jc w:val="center"/>
              <w:rPr>
                <w:highlight w:val="black"/>
              </w:rPr>
            </w:pPr>
            <w:r>
              <w:rPr>
                <w:noProof/>
                <w:color w:val="000000"/>
                <w:highlight w:val="black"/>
              </w:rPr>
              <w:t>''''</w:t>
            </w:r>
          </w:p>
        </w:tc>
        <w:tc>
          <w:tcPr>
            <w:tcW w:w="584" w:type="pct"/>
            <w:vAlign w:val="center"/>
          </w:tcPr>
          <w:p w:rsidR="00335036" w:rsidRPr="005E1EC5" w:rsidRDefault="005E1EC5" w:rsidP="00142D19">
            <w:pPr>
              <w:pStyle w:val="Tabletext"/>
              <w:jc w:val="center"/>
              <w:rPr>
                <w:highlight w:val="black"/>
              </w:rPr>
            </w:pPr>
            <w:r>
              <w:rPr>
                <w:noProof/>
                <w:color w:val="000000"/>
                <w:highlight w:val="black"/>
              </w:rPr>
              <w:t>'''</w:t>
            </w:r>
          </w:p>
        </w:tc>
        <w:tc>
          <w:tcPr>
            <w:tcW w:w="584" w:type="pct"/>
          </w:tcPr>
          <w:p w:rsidR="00335036" w:rsidRPr="005E1EC5" w:rsidRDefault="005E1EC5" w:rsidP="00142D19">
            <w:pPr>
              <w:pStyle w:val="Tabletext"/>
              <w:jc w:val="center"/>
              <w:rPr>
                <w:highlight w:val="black"/>
              </w:rPr>
            </w:pPr>
            <w:r>
              <w:rPr>
                <w:noProof/>
                <w:color w:val="000000"/>
                <w:highlight w:val="black"/>
              </w:rPr>
              <w:t>''''</w:t>
            </w:r>
          </w:p>
        </w:tc>
        <w:tc>
          <w:tcPr>
            <w:tcW w:w="794" w:type="pct"/>
          </w:tcPr>
          <w:p w:rsidR="00335036" w:rsidRPr="005E1EC5" w:rsidRDefault="005E1EC5" w:rsidP="00142D19">
            <w:pPr>
              <w:pStyle w:val="Tabletext"/>
              <w:jc w:val="center"/>
              <w:rPr>
                <w:highlight w:val="black"/>
              </w:rPr>
            </w:pPr>
            <w:r>
              <w:rPr>
                <w:noProof/>
                <w:color w:val="000000"/>
                <w:highlight w:val="black"/>
              </w:rPr>
              <w:t>'''</w:t>
            </w:r>
          </w:p>
        </w:tc>
        <w:tc>
          <w:tcPr>
            <w:tcW w:w="705" w:type="pct"/>
            <w:vAlign w:val="center"/>
          </w:tcPr>
          <w:p w:rsidR="00335036" w:rsidRPr="002220DF" w:rsidRDefault="00335036" w:rsidP="00207F9C">
            <w:pPr>
              <w:pStyle w:val="Tabletext"/>
              <w:jc w:val="center"/>
            </w:pPr>
            <w:r w:rsidRPr="002220DF">
              <w:t>$43.00</w:t>
            </w:r>
          </w:p>
        </w:tc>
      </w:tr>
      <w:tr w:rsidR="00335036" w:rsidRPr="002220DF" w:rsidTr="00207F9C">
        <w:tc>
          <w:tcPr>
            <w:tcW w:w="1750" w:type="pct"/>
            <w:vAlign w:val="center"/>
          </w:tcPr>
          <w:p w:rsidR="00335036" w:rsidRPr="002220DF" w:rsidRDefault="00335036" w:rsidP="00142D19">
            <w:pPr>
              <w:pStyle w:val="Tabletext"/>
            </w:pPr>
            <w:r w:rsidRPr="002220DF">
              <w:t>Rectogesic</w:t>
            </w:r>
          </w:p>
        </w:tc>
        <w:tc>
          <w:tcPr>
            <w:tcW w:w="583" w:type="pct"/>
          </w:tcPr>
          <w:p w:rsidR="00335036" w:rsidRPr="005E1EC5" w:rsidRDefault="005E1EC5" w:rsidP="00142D19">
            <w:pPr>
              <w:pStyle w:val="Tabletext"/>
              <w:jc w:val="center"/>
              <w:rPr>
                <w:highlight w:val="black"/>
              </w:rPr>
            </w:pPr>
            <w:r>
              <w:rPr>
                <w:noProof/>
                <w:color w:val="000000"/>
                <w:highlight w:val="black"/>
              </w:rPr>
              <w:t>'''</w:t>
            </w:r>
          </w:p>
        </w:tc>
        <w:tc>
          <w:tcPr>
            <w:tcW w:w="584" w:type="pct"/>
            <w:vAlign w:val="center"/>
          </w:tcPr>
          <w:p w:rsidR="00335036" w:rsidRPr="005E1EC5" w:rsidRDefault="005E1EC5" w:rsidP="00142D19">
            <w:pPr>
              <w:pStyle w:val="Tabletext"/>
              <w:jc w:val="center"/>
              <w:rPr>
                <w:highlight w:val="black"/>
              </w:rPr>
            </w:pPr>
            <w:r>
              <w:rPr>
                <w:noProof/>
                <w:color w:val="000000"/>
                <w:highlight w:val="black"/>
              </w:rPr>
              <w:t>''''</w:t>
            </w:r>
          </w:p>
        </w:tc>
        <w:tc>
          <w:tcPr>
            <w:tcW w:w="584" w:type="pct"/>
          </w:tcPr>
          <w:p w:rsidR="00335036" w:rsidRPr="005E1EC5" w:rsidRDefault="005E1EC5" w:rsidP="00142D19">
            <w:pPr>
              <w:pStyle w:val="Tabletext"/>
              <w:jc w:val="center"/>
              <w:rPr>
                <w:highlight w:val="black"/>
              </w:rPr>
            </w:pPr>
            <w:r>
              <w:rPr>
                <w:noProof/>
                <w:color w:val="000000"/>
                <w:highlight w:val="black"/>
              </w:rPr>
              <w:t>''''</w:t>
            </w:r>
          </w:p>
        </w:tc>
        <w:tc>
          <w:tcPr>
            <w:tcW w:w="794" w:type="pct"/>
          </w:tcPr>
          <w:p w:rsidR="00335036" w:rsidRPr="005E1EC5" w:rsidRDefault="005E1EC5" w:rsidP="00142D19">
            <w:pPr>
              <w:pStyle w:val="Tabletext"/>
              <w:jc w:val="center"/>
              <w:rPr>
                <w:highlight w:val="black"/>
              </w:rPr>
            </w:pPr>
            <w:r>
              <w:rPr>
                <w:noProof/>
                <w:color w:val="000000"/>
                <w:highlight w:val="black"/>
              </w:rPr>
              <w:t>'''</w:t>
            </w:r>
          </w:p>
        </w:tc>
        <w:tc>
          <w:tcPr>
            <w:tcW w:w="705" w:type="pct"/>
            <w:vAlign w:val="center"/>
          </w:tcPr>
          <w:p w:rsidR="00335036" w:rsidRPr="002220DF" w:rsidRDefault="00335036" w:rsidP="00207F9C">
            <w:pPr>
              <w:pStyle w:val="Tabletext"/>
              <w:jc w:val="center"/>
            </w:pPr>
            <w:r w:rsidRPr="002220DF">
              <w:t>$29.99</w:t>
            </w:r>
          </w:p>
        </w:tc>
      </w:tr>
      <w:tr w:rsidR="00335036" w:rsidRPr="002220DF" w:rsidTr="00207F9C">
        <w:tc>
          <w:tcPr>
            <w:tcW w:w="1750" w:type="pct"/>
            <w:vAlign w:val="center"/>
          </w:tcPr>
          <w:p w:rsidR="00335036" w:rsidRPr="002220DF" w:rsidRDefault="00335036" w:rsidP="00142D19">
            <w:pPr>
              <w:pStyle w:val="Tabletext"/>
            </w:pPr>
            <w:r w:rsidRPr="002220DF">
              <w:t>Antibiotics</w:t>
            </w:r>
          </w:p>
        </w:tc>
        <w:tc>
          <w:tcPr>
            <w:tcW w:w="583" w:type="pct"/>
          </w:tcPr>
          <w:p w:rsidR="00335036" w:rsidRPr="005E1EC5" w:rsidRDefault="005E1EC5" w:rsidP="00142D19">
            <w:pPr>
              <w:pStyle w:val="Tabletext"/>
              <w:jc w:val="center"/>
              <w:rPr>
                <w:highlight w:val="black"/>
              </w:rPr>
            </w:pPr>
            <w:r>
              <w:rPr>
                <w:noProof/>
                <w:color w:val="000000"/>
                <w:highlight w:val="black"/>
              </w:rPr>
              <w:t>''''</w:t>
            </w:r>
          </w:p>
        </w:tc>
        <w:tc>
          <w:tcPr>
            <w:tcW w:w="584" w:type="pct"/>
            <w:vAlign w:val="center"/>
          </w:tcPr>
          <w:p w:rsidR="00335036" w:rsidRPr="005E1EC5" w:rsidRDefault="005E1EC5" w:rsidP="00142D19">
            <w:pPr>
              <w:pStyle w:val="Tabletext"/>
              <w:jc w:val="center"/>
              <w:rPr>
                <w:highlight w:val="black"/>
              </w:rPr>
            </w:pPr>
            <w:r>
              <w:rPr>
                <w:noProof/>
                <w:color w:val="000000"/>
                <w:highlight w:val="black"/>
              </w:rPr>
              <w:t>''''</w:t>
            </w:r>
          </w:p>
        </w:tc>
        <w:tc>
          <w:tcPr>
            <w:tcW w:w="584" w:type="pct"/>
          </w:tcPr>
          <w:p w:rsidR="00335036" w:rsidRPr="005E1EC5" w:rsidRDefault="005E1EC5" w:rsidP="00142D19">
            <w:pPr>
              <w:pStyle w:val="Tabletext"/>
              <w:jc w:val="center"/>
              <w:rPr>
                <w:highlight w:val="black"/>
              </w:rPr>
            </w:pPr>
            <w:r>
              <w:rPr>
                <w:noProof/>
                <w:color w:val="000000"/>
                <w:highlight w:val="black"/>
              </w:rPr>
              <w:t>'''</w:t>
            </w:r>
          </w:p>
        </w:tc>
        <w:tc>
          <w:tcPr>
            <w:tcW w:w="794" w:type="pct"/>
          </w:tcPr>
          <w:p w:rsidR="00335036" w:rsidRPr="005E1EC5" w:rsidRDefault="005E1EC5" w:rsidP="00142D19">
            <w:pPr>
              <w:pStyle w:val="Tabletext"/>
              <w:jc w:val="center"/>
              <w:rPr>
                <w:highlight w:val="black"/>
              </w:rPr>
            </w:pPr>
            <w:r>
              <w:rPr>
                <w:noProof/>
                <w:color w:val="000000"/>
                <w:highlight w:val="black"/>
              </w:rPr>
              <w:t>''''</w:t>
            </w:r>
          </w:p>
        </w:tc>
        <w:tc>
          <w:tcPr>
            <w:tcW w:w="705" w:type="pct"/>
            <w:vAlign w:val="center"/>
          </w:tcPr>
          <w:p w:rsidR="00335036" w:rsidRPr="002220DF" w:rsidRDefault="00335036" w:rsidP="00207F9C">
            <w:pPr>
              <w:pStyle w:val="Tabletext"/>
              <w:jc w:val="center"/>
            </w:pPr>
            <w:r w:rsidRPr="002220DF">
              <w:t>$44.61</w:t>
            </w:r>
          </w:p>
        </w:tc>
      </w:tr>
      <w:tr w:rsidR="00335036" w:rsidRPr="002220DF" w:rsidTr="00207F9C">
        <w:tc>
          <w:tcPr>
            <w:tcW w:w="1750" w:type="pct"/>
            <w:vAlign w:val="center"/>
          </w:tcPr>
          <w:p w:rsidR="00335036" w:rsidRPr="002220DF" w:rsidRDefault="00335036" w:rsidP="00142D19">
            <w:pPr>
              <w:pStyle w:val="Tabletext"/>
            </w:pPr>
            <w:r w:rsidRPr="002220DF">
              <w:t>Dressing (daily)</w:t>
            </w:r>
          </w:p>
        </w:tc>
        <w:tc>
          <w:tcPr>
            <w:tcW w:w="583" w:type="pct"/>
          </w:tcPr>
          <w:p w:rsidR="00335036" w:rsidRPr="005E1EC5" w:rsidRDefault="005E1EC5" w:rsidP="00142D19">
            <w:pPr>
              <w:pStyle w:val="Tabletext"/>
              <w:jc w:val="center"/>
              <w:rPr>
                <w:highlight w:val="black"/>
              </w:rPr>
            </w:pPr>
            <w:r>
              <w:rPr>
                <w:noProof/>
                <w:color w:val="000000"/>
                <w:highlight w:val="black"/>
              </w:rPr>
              <w:t>''''''</w:t>
            </w:r>
          </w:p>
        </w:tc>
        <w:tc>
          <w:tcPr>
            <w:tcW w:w="584" w:type="pct"/>
            <w:vAlign w:val="center"/>
          </w:tcPr>
          <w:p w:rsidR="00335036" w:rsidRPr="005E1EC5" w:rsidRDefault="005E1EC5" w:rsidP="00142D19">
            <w:pPr>
              <w:pStyle w:val="Tabletext"/>
              <w:jc w:val="center"/>
              <w:rPr>
                <w:highlight w:val="black"/>
              </w:rPr>
            </w:pPr>
            <w:r>
              <w:rPr>
                <w:noProof/>
                <w:color w:val="000000"/>
                <w:highlight w:val="black"/>
              </w:rPr>
              <w:t>'''</w:t>
            </w:r>
          </w:p>
        </w:tc>
        <w:tc>
          <w:tcPr>
            <w:tcW w:w="584" w:type="pct"/>
          </w:tcPr>
          <w:p w:rsidR="00335036" w:rsidRPr="005E1EC5" w:rsidRDefault="005E1EC5" w:rsidP="00142D19">
            <w:pPr>
              <w:pStyle w:val="Tabletext"/>
              <w:jc w:val="center"/>
              <w:rPr>
                <w:highlight w:val="black"/>
              </w:rPr>
            </w:pPr>
            <w:r>
              <w:rPr>
                <w:noProof/>
                <w:color w:val="000000"/>
                <w:highlight w:val="black"/>
              </w:rPr>
              <w:t>'''</w:t>
            </w:r>
          </w:p>
        </w:tc>
        <w:tc>
          <w:tcPr>
            <w:tcW w:w="794" w:type="pct"/>
          </w:tcPr>
          <w:p w:rsidR="00335036" w:rsidRPr="005E1EC5" w:rsidRDefault="005E1EC5" w:rsidP="00142D19">
            <w:pPr>
              <w:pStyle w:val="Tabletext"/>
              <w:jc w:val="center"/>
              <w:rPr>
                <w:highlight w:val="black"/>
              </w:rPr>
            </w:pPr>
            <w:r>
              <w:rPr>
                <w:noProof/>
                <w:color w:val="000000"/>
                <w:highlight w:val="black"/>
              </w:rPr>
              <w:t>'''</w:t>
            </w:r>
          </w:p>
        </w:tc>
        <w:tc>
          <w:tcPr>
            <w:tcW w:w="705" w:type="pct"/>
            <w:vAlign w:val="center"/>
          </w:tcPr>
          <w:p w:rsidR="00335036" w:rsidRPr="002220DF" w:rsidRDefault="00335036" w:rsidP="00207F9C">
            <w:pPr>
              <w:pStyle w:val="Tabletext"/>
              <w:jc w:val="center"/>
            </w:pPr>
            <w:r w:rsidRPr="002220DF">
              <w:t>$2.19</w:t>
            </w:r>
          </w:p>
        </w:tc>
      </w:tr>
      <w:tr w:rsidR="00335036" w:rsidRPr="002220DF" w:rsidTr="00207F9C">
        <w:tc>
          <w:tcPr>
            <w:tcW w:w="1750" w:type="pct"/>
            <w:vAlign w:val="center"/>
          </w:tcPr>
          <w:p w:rsidR="00335036" w:rsidRPr="002220DF" w:rsidRDefault="00335036" w:rsidP="00142D19">
            <w:pPr>
              <w:pStyle w:val="Tabletext"/>
            </w:pPr>
            <w:r w:rsidRPr="002220DF">
              <w:t>Endoscopy ± biopsy</w:t>
            </w:r>
          </w:p>
        </w:tc>
        <w:tc>
          <w:tcPr>
            <w:tcW w:w="583" w:type="pct"/>
          </w:tcPr>
          <w:p w:rsidR="00335036" w:rsidRPr="005E1EC5" w:rsidRDefault="005E1EC5" w:rsidP="00142D19">
            <w:pPr>
              <w:pStyle w:val="Tabletext"/>
              <w:jc w:val="center"/>
              <w:rPr>
                <w:highlight w:val="black"/>
              </w:rPr>
            </w:pPr>
            <w:r>
              <w:rPr>
                <w:noProof/>
                <w:color w:val="000000"/>
                <w:highlight w:val="black"/>
              </w:rPr>
              <w:t>'''</w:t>
            </w:r>
          </w:p>
        </w:tc>
        <w:tc>
          <w:tcPr>
            <w:tcW w:w="584" w:type="pct"/>
            <w:vAlign w:val="center"/>
          </w:tcPr>
          <w:p w:rsidR="00335036" w:rsidRPr="005E1EC5" w:rsidRDefault="005E1EC5" w:rsidP="00142D19">
            <w:pPr>
              <w:pStyle w:val="Tabletext"/>
              <w:jc w:val="center"/>
              <w:rPr>
                <w:highlight w:val="black"/>
              </w:rPr>
            </w:pPr>
            <w:r>
              <w:rPr>
                <w:noProof/>
                <w:color w:val="000000"/>
                <w:highlight w:val="black"/>
              </w:rPr>
              <w:t>''''</w:t>
            </w:r>
          </w:p>
        </w:tc>
        <w:tc>
          <w:tcPr>
            <w:tcW w:w="584" w:type="pct"/>
          </w:tcPr>
          <w:p w:rsidR="00335036" w:rsidRPr="005E1EC5" w:rsidRDefault="005E1EC5" w:rsidP="00142D19">
            <w:pPr>
              <w:pStyle w:val="Tabletext"/>
              <w:jc w:val="center"/>
              <w:rPr>
                <w:highlight w:val="black"/>
              </w:rPr>
            </w:pPr>
            <w:r>
              <w:rPr>
                <w:noProof/>
                <w:color w:val="000000"/>
                <w:highlight w:val="black"/>
              </w:rPr>
              <w:t>''''</w:t>
            </w:r>
          </w:p>
        </w:tc>
        <w:tc>
          <w:tcPr>
            <w:tcW w:w="794" w:type="pct"/>
          </w:tcPr>
          <w:p w:rsidR="00335036" w:rsidRPr="005E1EC5" w:rsidRDefault="005E1EC5" w:rsidP="00142D19">
            <w:pPr>
              <w:pStyle w:val="Tabletext"/>
              <w:jc w:val="center"/>
              <w:rPr>
                <w:highlight w:val="black"/>
              </w:rPr>
            </w:pPr>
            <w:r>
              <w:rPr>
                <w:noProof/>
                <w:color w:val="000000"/>
                <w:highlight w:val="black"/>
              </w:rPr>
              <w:t>'''</w:t>
            </w:r>
          </w:p>
        </w:tc>
        <w:tc>
          <w:tcPr>
            <w:tcW w:w="705" w:type="pct"/>
            <w:vAlign w:val="center"/>
          </w:tcPr>
          <w:p w:rsidR="00335036" w:rsidRPr="002220DF" w:rsidRDefault="00335036" w:rsidP="00207F9C">
            <w:pPr>
              <w:pStyle w:val="Tabletext"/>
              <w:jc w:val="center"/>
            </w:pPr>
            <w:r w:rsidRPr="002220DF">
              <w:t>$177.10</w:t>
            </w:r>
          </w:p>
        </w:tc>
      </w:tr>
      <w:tr w:rsidR="00335036" w:rsidRPr="002220DF" w:rsidTr="00207F9C">
        <w:tc>
          <w:tcPr>
            <w:tcW w:w="1750" w:type="pct"/>
            <w:vAlign w:val="center"/>
          </w:tcPr>
          <w:p w:rsidR="00335036" w:rsidRPr="002220DF" w:rsidRDefault="00335036" w:rsidP="00142D19">
            <w:pPr>
              <w:pStyle w:val="Tabletext"/>
            </w:pPr>
            <w:r w:rsidRPr="002220DF">
              <w:t>Emergency surgery for perforation</w:t>
            </w:r>
          </w:p>
        </w:tc>
        <w:tc>
          <w:tcPr>
            <w:tcW w:w="583" w:type="pct"/>
          </w:tcPr>
          <w:p w:rsidR="00335036" w:rsidRPr="005E1EC5" w:rsidRDefault="005E1EC5" w:rsidP="00142D19">
            <w:pPr>
              <w:pStyle w:val="Tabletext"/>
              <w:jc w:val="center"/>
              <w:rPr>
                <w:highlight w:val="black"/>
              </w:rPr>
            </w:pPr>
            <w:r>
              <w:rPr>
                <w:noProof/>
                <w:color w:val="000000"/>
                <w:highlight w:val="black"/>
              </w:rPr>
              <w:t>'''</w:t>
            </w:r>
          </w:p>
        </w:tc>
        <w:tc>
          <w:tcPr>
            <w:tcW w:w="584" w:type="pct"/>
            <w:vAlign w:val="center"/>
          </w:tcPr>
          <w:p w:rsidR="00335036" w:rsidRPr="005E1EC5" w:rsidRDefault="005E1EC5" w:rsidP="00142D19">
            <w:pPr>
              <w:pStyle w:val="Tabletext"/>
              <w:jc w:val="center"/>
              <w:rPr>
                <w:highlight w:val="black"/>
              </w:rPr>
            </w:pPr>
            <w:r>
              <w:rPr>
                <w:noProof/>
                <w:color w:val="000000"/>
                <w:highlight w:val="black"/>
              </w:rPr>
              <w:t>'''</w:t>
            </w:r>
          </w:p>
        </w:tc>
        <w:tc>
          <w:tcPr>
            <w:tcW w:w="584" w:type="pct"/>
          </w:tcPr>
          <w:p w:rsidR="00335036" w:rsidRPr="005E1EC5" w:rsidRDefault="005E1EC5" w:rsidP="00142D19">
            <w:pPr>
              <w:pStyle w:val="Tabletext"/>
              <w:jc w:val="center"/>
              <w:rPr>
                <w:highlight w:val="black"/>
              </w:rPr>
            </w:pPr>
            <w:r>
              <w:rPr>
                <w:noProof/>
                <w:color w:val="000000"/>
                <w:highlight w:val="black"/>
              </w:rPr>
              <w:t>''''</w:t>
            </w:r>
          </w:p>
        </w:tc>
        <w:tc>
          <w:tcPr>
            <w:tcW w:w="794" w:type="pct"/>
          </w:tcPr>
          <w:p w:rsidR="00335036" w:rsidRPr="005E1EC5" w:rsidRDefault="005E1EC5" w:rsidP="00142D19">
            <w:pPr>
              <w:pStyle w:val="Tabletext"/>
              <w:jc w:val="center"/>
              <w:rPr>
                <w:highlight w:val="black"/>
              </w:rPr>
            </w:pPr>
            <w:r>
              <w:rPr>
                <w:noProof/>
                <w:color w:val="000000"/>
                <w:highlight w:val="black"/>
              </w:rPr>
              <w:t>'''</w:t>
            </w:r>
          </w:p>
        </w:tc>
        <w:tc>
          <w:tcPr>
            <w:tcW w:w="705" w:type="pct"/>
            <w:vAlign w:val="center"/>
          </w:tcPr>
          <w:p w:rsidR="00335036" w:rsidRPr="002220DF" w:rsidRDefault="00335036" w:rsidP="00207F9C">
            <w:pPr>
              <w:pStyle w:val="Tabletext"/>
              <w:jc w:val="center"/>
            </w:pPr>
            <w:r w:rsidRPr="002220DF">
              <w:t>$4,021.66</w:t>
            </w:r>
          </w:p>
        </w:tc>
      </w:tr>
      <w:tr w:rsidR="00335036" w:rsidRPr="002220DF" w:rsidTr="00207F9C">
        <w:tc>
          <w:tcPr>
            <w:tcW w:w="1750" w:type="pct"/>
            <w:vAlign w:val="center"/>
          </w:tcPr>
          <w:p w:rsidR="00335036" w:rsidRPr="00E77FAC" w:rsidRDefault="00335036" w:rsidP="00142D19">
            <w:pPr>
              <w:pStyle w:val="Tabletext"/>
            </w:pPr>
            <w:r w:rsidRPr="00E77FAC">
              <w:t>Total cost per event</w:t>
            </w:r>
          </w:p>
        </w:tc>
        <w:tc>
          <w:tcPr>
            <w:tcW w:w="583" w:type="pct"/>
            <w:vAlign w:val="center"/>
          </w:tcPr>
          <w:p w:rsidR="00335036" w:rsidRPr="00E77FAC" w:rsidRDefault="00335036" w:rsidP="00207F9C">
            <w:pPr>
              <w:pStyle w:val="Tabletext"/>
              <w:jc w:val="center"/>
            </w:pPr>
            <w:r w:rsidRPr="00E77FAC">
              <w:t>$</w:t>
            </w:r>
            <w:r w:rsidR="005E1EC5">
              <w:rPr>
                <w:noProof/>
                <w:color w:val="000000"/>
                <w:highlight w:val="black"/>
              </w:rPr>
              <w:t>'''''''''''''''''</w:t>
            </w:r>
          </w:p>
        </w:tc>
        <w:tc>
          <w:tcPr>
            <w:tcW w:w="584" w:type="pct"/>
            <w:vAlign w:val="center"/>
          </w:tcPr>
          <w:p w:rsidR="00335036" w:rsidRPr="00E77FAC" w:rsidRDefault="00335036" w:rsidP="00207F9C">
            <w:pPr>
              <w:pStyle w:val="Tabletext"/>
              <w:jc w:val="center"/>
            </w:pPr>
            <w:r w:rsidRPr="00E77FAC">
              <w:t>$</w:t>
            </w:r>
            <w:r w:rsidR="005E1EC5">
              <w:rPr>
                <w:noProof/>
                <w:color w:val="000000"/>
                <w:highlight w:val="black"/>
              </w:rPr>
              <w:t>''''''''''''''''</w:t>
            </w:r>
          </w:p>
        </w:tc>
        <w:tc>
          <w:tcPr>
            <w:tcW w:w="584" w:type="pct"/>
            <w:vAlign w:val="center"/>
          </w:tcPr>
          <w:p w:rsidR="00335036" w:rsidRPr="00E77FAC" w:rsidRDefault="00335036" w:rsidP="00207F9C">
            <w:pPr>
              <w:pStyle w:val="Tabletext"/>
              <w:jc w:val="center"/>
            </w:pPr>
            <w:r w:rsidRPr="00E77FAC">
              <w:t>$</w:t>
            </w:r>
            <w:r w:rsidR="005E1EC5">
              <w:rPr>
                <w:noProof/>
                <w:color w:val="000000"/>
                <w:highlight w:val="black"/>
              </w:rPr>
              <w:t>''''''''''''''''''</w:t>
            </w:r>
          </w:p>
        </w:tc>
        <w:tc>
          <w:tcPr>
            <w:tcW w:w="794" w:type="pct"/>
            <w:vAlign w:val="center"/>
          </w:tcPr>
          <w:p w:rsidR="00335036" w:rsidRPr="00E77FAC" w:rsidRDefault="00335036" w:rsidP="00207F9C">
            <w:pPr>
              <w:pStyle w:val="Tabletext"/>
              <w:jc w:val="center"/>
            </w:pPr>
            <w:r w:rsidRPr="00E77FAC">
              <w:t>$</w:t>
            </w:r>
            <w:r w:rsidR="005E1EC5">
              <w:rPr>
                <w:noProof/>
                <w:color w:val="000000"/>
                <w:highlight w:val="black"/>
              </w:rPr>
              <w:t>'''''''''''''''''''</w:t>
            </w:r>
          </w:p>
        </w:tc>
        <w:tc>
          <w:tcPr>
            <w:tcW w:w="705" w:type="pct"/>
            <w:vAlign w:val="center"/>
          </w:tcPr>
          <w:p w:rsidR="00335036" w:rsidRPr="00E77FAC" w:rsidRDefault="00335036" w:rsidP="00207F9C">
            <w:pPr>
              <w:pStyle w:val="Tabletext"/>
              <w:jc w:val="center"/>
            </w:pPr>
          </w:p>
        </w:tc>
      </w:tr>
      <w:tr w:rsidR="00443CA0" w:rsidRPr="002220DF" w:rsidTr="00207F9C">
        <w:tc>
          <w:tcPr>
            <w:tcW w:w="1750" w:type="pct"/>
            <w:vAlign w:val="bottom"/>
          </w:tcPr>
          <w:p w:rsidR="00443CA0" w:rsidRPr="00E77FAC" w:rsidRDefault="00443CA0" w:rsidP="00142D19">
            <w:pPr>
              <w:pStyle w:val="Tabletext"/>
            </w:pPr>
            <w:r w:rsidRPr="00E77FAC">
              <w:rPr>
                <w:color w:val="000000"/>
                <w:lang w:eastAsia="en-AU"/>
              </w:rPr>
              <w:t>Proportion of patients per annum</w:t>
            </w:r>
          </w:p>
        </w:tc>
        <w:tc>
          <w:tcPr>
            <w:tcW w:w="583" w:type="pct"/>
            <w:vAlign w:val="bottom"/>
          </w:tcPr>
          <w:p w:rsidR="00443CA0" w:rsidRPr="00E77FAC" w:rsidRDefault="00443CA0" w:rsidP="00207F9C">
            <w:pPr>
              <w:pStyle w:val="Tabletext"/>
              <w:jc w:val="center"/>
            </w:pPr>
            <w:r w:rsidRPr="00E77FAC">
              <w:rPr>
                <w:color w:val="000000"/>
                <w:lang w:eastAsia="en-AU"/>
              </w:rPr>
              <w:t>1.90%</w:t>
            </w:r>
          </w:p>
        </w:tc>
        <w:tc>
          <w:tcPr>
            <w:tcW w:w="584" w:type="pct"/>
            <w:vAlign w:val="bottom"/>
          </w:tcPr>
          <w:p w:rsidR="00443CA0" w:rsidRPr="00E77FAC" w:rsidRDefault="00443CA0" w:rsidP="00207F9C">
            <w:pPr>
              <w:pStyle w:val="Tabletext"/>
              <w:jc w:val="center"/>
            </w:pPr>
            <w:r w:rsidRPr="00E77FAC">
              <w:rPr>
                <w:color w:val="000000"/>
                <w:lang w:eastAsia="en-AU"/>
              </w:rPr>
              <w:t>0.37%</w:t>
            </w:r>
          </w:p>
        </w:tc>
        <w:tc>
          <w:tcPr>
            <w:tcW w:w="584" w:type="pct"/>
            <w:vAlign w:val="bottom"/>
          </w:tcPr>
          <w:p w:rsidR="00443CA0" w:rsidRPr="00E77FAC" w:rsidRDefault="00443CA0" w:rsidP="00207F9C">
            <w:pPr>
              <w:pStyle w:val="Tabletext"/>
              <w:jc w:val="center"/>
            </w:pPr>
            <w:r w:rsidRPr="00E77FAC">
              <w:rPr>
                <w:color w:val="000000"/>
                <w:lang w:eastAsia="en-AU"/>
              </w:rPr>
              <w:t>6.85%</w:t>
            </w:r>
          </w:p>
        </w:tc>
        <w:tc>
          <w:tcPr>
            <w:tcW w:w="794" w:type="pct"/>
            <w:vAlign w:val="bottom"/>
          </w:tcPr>
          <w:p w:rsidR="00443CA0" w:rsidRPr="00E77FAC" w:rsidRDefault="00443CA0" w:rsidP="00207F9C">
            <w:pPr>
              <w:pStyle w:val="Tabletext"/>
              <w:jc w:val="center"/>
            </w:pPr>
            <w:r w:rsidRPr="00E77FAC">
              <w:rPr>
                <w:color w:val="000000"/>
                <w:lang w:eastAsia="en-AU"/>
              </w:rPr>
              <w:t>0.32%</w:t>
            </w:r>
          </w:p>
        </w:tc>
        <w:tc>
          <w:tcPr>
            <w:tcW w:w="705" w:type="pct"/>
            <w:vAlign w:val="center"/>
          </w:tcPr>
          <w:p w:rsidR="00443CA0" w:rsidRPr="00E77FAC" w:rsidRDefault="00443CA0" w:rsidP="00207F9C">
            <w:pPr>
              <w:pStyle w:val="Tabletext"/>
              <w:jc w:val="center"/>
            </w:pPr>
          </w:p>
        </w:tc>
      </w:tr>
      <w:tr w:rsidR="00443CA0" w:rsidRPr="002220DF" w:rsidTr="00207F9C">
        <w:tc>
          <w:tcPr>
            <w:tcW w:w="1750" w:type="pct"/>
            <w:vAlign w:val="bottom"/>
          </w:tcPr>
          <w:p w:rsidR="00443CA0" w:rsidRPr="00E77FAC" w:rsidRDefault="00443CA0" w:rsidP="00142D19">
            <w:pPr>
              <w:pStyle w:val="Tabletext"/>
            </w:pPr>
            <w:r w:rsidRPr="00E77FAC">
              <w:rPr>
                <w:color w:val="000000"/>
                <w:lang w:eastAsia="en-AU"/>
              </w:rPr>
              <w:t>Average cost per patient per year</w:t>
            </w:r>
          </w:p>
        </w:tc>
        <w:tc>
          <w:tcPr>
            <w:tcW w:w="583" w:type="pct"/>
            <w:vAlign w:val="bottom"/>
          </w:tcPr>
          <w:p w:rsidR="00443CA0" w:rsidRPr="00E77FAC" w:rsidRDefault="00443CA0" w:rsidP="00207F9C">
            <w:pPr>
              <w:pStyle w:val="Tabletext"/>
              <w:jc w:val="center"/>
            </w:pPr>
            <w:r w:rsidRPr="00E77FAC">
              <w:rPr>
                <w:color w:val="000000"/>
                <w:lang w:eastAsia="en-AU"/>
              </w:rPr>
              <w:t>$</w:t>
            </w:r>
            <w:r w:rsidR="005E1EC5">
              <w:rPr>
                <w:noProof/>
                <w:color w:val="000000"/>
                <w:highlight w:val="black"/>
                <w:lang w:eastAsia="en-AU"/>
              </w:rPr>
              <w:t>''''''''''''</w:t>
            </w:r>
          </w:p>
        </w:tc>
        <w:tc>
          <w:tcPr>
            <w:tcW w:w="584" w:type="pct"/>
            <w:vAlign w:val="bottom"/>
          </w:tcPr>
          <w:p w:rsidR="00443CA0" w:rsidRPr="00E77FAC" w:rsidRDefault="00443CA0" w:rsidP="00207F9C">
            <w:pPr>
              <w:pStyle w:val="Tabletext"/>
              <w:jc w:val="center"/>
            </w:pPr>
            <w:r w:rsidRPr="00E77FAC">
              <w:rPr>
                <w:color w:val="000000"/>
                <w:lang w:eastAsia="en-AU"/>
              </w:rPr>
              <w:t>$</w:t>
            </w:r>
            <w:r w:rsidR="005E1EC5">
              <w:rPr>
                <w:noProof/>
                <w:color w:val="000000"/>
                <w:highlight w:val="black"/>
                <w:lang w:eastAsia="en-AU"/>
              </w:rPr>
              <w:t>'''''''''''</w:t>
            </w:r>
          </w:p>
        </w:tc>
        <w:tc>
          <w:tcPr>
            <w:tcW w:w="584" w:type="pct"/>
            <w:vAlign w:val="bottom"/>
          </w:tcPr>
          <w:p w:rsidR="00443CA0" w:rsidRPr="00E77FAC" w:rsidRDefault="00443CA0" w:rsidP="00207F9C">
            <w:pPr>
              <w:pStyle w:val="Tabletext"/>
              <w:jc w:val="center"/>
            </w:pPr>
            <w:r w:rsidRPr="00E77FAC">
              <w:rPr>
                <w:color w:val="000000"/>
                <w:lang w:eastAsia="en-AU"/>
              </w:rPr>
              <w:t>$</w:t>
            </w:r>
            <w:r w:rsidR="005E1EC5">
              <w:rPr>
                <w:noProof/>
                <w:color w:val="000000"/>
                <w:highlight w:val="black"/>
                <w:lang w:eastAsia="en-AU"/>
              </w:rPr>
              <w:t>'''''''''''''</w:t>
            </w:r>
          </w:p>
        </w:tc>
        <w:tc>
          <w:tcPr>
            <w:tcW w:w="794" w:type="pct"/>
            <w:vAlign w:val="bottom"/>
          </w:tcPr>
          <w:p w:rsidR="00443CA0" w:rsidRPr="00E77FAC" w:rsidRDefault="00443CA0" w:rsidP="00207F9C">
            <w:pPr>
              <w:pStyle w:val="Tabletext"/>
              <w:jc w:val="center"/>
            </w:pPr>
            <w:r w:rsidRPr="00E77FAC">
              <w:rPr>
                <w:color w:val="000000"/>
                <w:lang w:eastAsia="en-AU"/>
              </w:rPr>
              <w:t>$</w:t>
            </w:r>
            <w:r w:rsidR="005E1EC5">
              <w:rPr>
                <w:noProof/>
                <w:color w:val="000000"/>
                <w:highlight w:val="black"/>
                <w:lang w:eastAsia="en-AU"/>
              </w:rPr>
              <w:t>'''''''''''''</w:t>
            </w:r>
          </w:p>
        </w:tc>
        <w:tc>
          <w:tcPr>
            <w:tcW w:w="705" w:type="pct"/>
            <w:vAlign w:val="center"/>
          </w:tcPr>
          <w:p w:rsidR="00443CA0" w:rsidRPr="00E77FAC" w:rsidRDefault="00443CA0" w:rsidP="00207F9C">
            <w:pPr>
              <w:pStyle w:val="Tabletext"/>
              <w:jc w:val="center"/>
            </w:pPr>
          </w:p>
        </w:tc>
      </w:tr>
      <w:tr w:rsidR="00443CA0" w:rsidRPr="002220DF" w:rsidTr="00207F9C">
        <w:tc>
          <w:tcPr>
            <w:tcW w:w="1750" w:type="pct"/>
            <w:vAlign w:val="bottom"/>
          </w:tcPr>
          <w:p w:rsidR="00443CA0" w:rsidRPr="00E77FAC" w:rsidRDefault="00443CA0" w:rsidP="00142D19">
            <w:pPr>
              <w:pStyle w:val="Tabletext"/>
            </w:pPr>
            <w:r w:rsidRPr="00E77FAC">
              <w:rPr>
                <w:b/>
                <w:bCs/>
                <w:color w:val="000000"/>
                <w:lang w:eastAsia="en-AU"/>
              </w:rPr>
              <w:t>Average annual per patient cost of ulcers</w:t>
            </w:r>
          </w:p>
        </w:tc>
        <w:tc>
          <w:tcPr>
            <w:tcW w:w="2545" w:type="pct"/>
            <w:gridSpan w:val="4"/>
            <w:vAlign w:val="center"/>
          </w:tcPr>
          <w:p w:rsidR="00443CA0" w:rsidRPr="00E77FAC" w:rsidRDefault="00443CA0" w:rsidP="00142D19">
            <w:pPr>
              <w:pStyle w:val="Tabletext"/>
              <w:jc w:val="center"/>
            </w:pPr>
            <w:r w:rsidRPr="00E77FAC">
              <w:rPr>
                <w:b/>
                <w:bCs/>
                <w:color w:val="000000"/>
                <w:lang w:eastAsia="en-AU"/>
              </w:rPr>
              <w:t>$</w:t>
            </w:r>
            <w:r w:rsidR="005E1EC5">
              <w:rPr>
                <w:b/>
                <w:bCs/>
                <w:noProof/>
                <w:color w:val="000000"/>
                <w:highlight w:val="black"/>
                <w:lang w:eastAsia="en-AU"/>
              </w:rPr>
              <w:t>''''''''''</w:t>
            </w:r>
          </w:p>
        </w:tc>
        <w:tc>
          <w:tcPr>
            <w:tcW w:w="705" w:type="pct"/>
            <w:vAlign w:val="center"/>
          </w:tcPr>
          <w:p w:rsidR="00443CA0" w:rsidRPr="00E77FAC" w:rsidRDefault="00443CA0" w:rsidP="00142D19">
            <w:pPr>
              <w:pStyle w:val="Tabletext"/>
              <w:jc w:val="right"/>
            </w:pPr>
          </w:p>
        </w:tc>
      </w:tr>
      <w:tr w:rsidR="00443CA0" w:rsidRPr="002220DF" w:rsidTr="00207F9C">
        <w:tc>
          <w:tcPr>
            <w:tcW w:w="1750" w:type="pct"/>
            <w:vAlign w:val="bottom"/>
          </w:tcPr>
          <w:p w:rsidR="00443CA0" w:rsidRPr="00E77FAC" w:rsidRDefault="00443CA0" w:rsidP="00142D19">
            <w:pPr>
              <w:pStyle w:val="Tabletext"/>
            </w:pPr>
            <w:r w:rsidRPr="00E77FAC">
              <w:rPr>
                <w:b/>
                <w:bCs/>
                <w:color w:val="000000"/>
                <w:lang w:eastAsia="en-AU"/>
              </w:rPr>
              <w:t>Cost per 30 days</w:t>
            </w:r>
          </w:p>
        </w:tc>
        <w:tc>
          <w:tcPr>
            <w:tcW w:w="2545" w:type="pct"/>
            <w:gridSpan w:val="4"/>
            <w:vAlign w:val="center"/>
          </w:tcPr>
          <w:p w:rsidR="00443CA0" w:rsidRPr="00E77FAC" w:rsidRDefault="00443CA0" w:rsidP="00142D19">
            <w:pPr>
              <w:pStyle w:val="Tabletext"/>
              <w:jc w:val="center"/>
            </w:pPr>
            <w:r w:rsidRPr="00E77FAC">
              <w:rPr>
                <w:b/>
                <w:bCs/>
                <w:color w:val="000000"/>
                <w:lang w:eastAsia="en-AU"/>
              </w:rPr>
              <w:t>$</w:t>
            </w:r>
            <w:r w:rsidR="005E1EC5">
              <w:rPr>
                <w:b/>
                <w:bCs/>
                <w:noProof/>
                <w:color w:val="000000"/>
                <w:highlight w:val="black"/>
                <w:lang w:eastAsia="en-AU"/>
              </w:rPr>
              <w:t>'''''''''</w:t>
            </w:r>
          </w:p>
        </w:tc>
        <w:tc>
          <w:tcPr>
            <w:tcW w:w="705" w:type="pct"/>
            <w:vAlign w:val="center"/>
          </w:tcPr>
          <w:p w:rsidR="00443CA0" w:rsidRPr="00E77FAC" w:rsidRDefault="00443CA0" w:rsidP="00142D19">
            <w:pPr>
              <w:pStyle w:val="Tabletext"/>
              <w:jc w:val="right"/>
            </w:pPr>
          </w:p>
        </w:tc>
      </w:tr>
    </w:tbl>
    <w:p w:rsidR="00335036" w:rsidRPr="002220DF" w:rsidRDefault="00335036" w:rsidP="008F5F04">
      <w:pPr>
        <w:pStyle w:val="TableFooter"/>
        <w:widowControl/>
        <w:ind w:firstLine="720"/>
      </w:pPr>
      <w:r w:rsidRPr="002220DF">
        <w:t>Source: Table D-16, p164 of the submission</w:t>
      </w:r>
    </w:p>
    <w:p w:rsidR="00335036" w:rsidRPr="002220DF" w:rsidRDefault="00335036" w:rsidP="008F5F04">
      <w:pPr>
        <w:pStyle w:val="TableFooter"/>
        <w:widowControl/>
        <w:ind w:firstLine="720"/>
      </w:pPr>
      <w:r w:rsidRPr="002220DF">
        <w:t>GI = gastro intestinal; GP = general practitioner.</w:t>
      </w:r>
    </w:p>
    <w:p w:rsidR="00335036" w:rsidRPr="002220DF" w:rsidRDefault="00335036" w:rsidP="00142D19">
      <w:pPr>
        <w:pStyle w:val="ListParagraph"/>
        <w:widowControl/>
        <w:rPr>
          <w:szCs w:val="22"/>
        </w:rPr>
      </w:pPr>
    </w:p>
    <w:p w:rsidR="006D43E6" w:rsidRPr="001255F7" w:rsidRDefault="00343646" w:rsidP="00142D19">
      <w:pPr>
        <w:pStyle w:val="ListParagraph"/>
        <w:widowControl/>
        <w:numPr>
          <w:ilvl w:val="1"/>
          <w:numId w:val="11"/>
        </w:numPr>
        <w:rPr>
          <w:szCs w:val="22"/>
        </w:rPr>
      </w:pPr>
      <w:r w:rsidRPr="001255F7">
        <w:t>The submission calculated the AEMP/day for perhexiline as $</w:t>
      </w:r>
      <w:r w:rsidR="005E1EC5">
        <w:rPr>
          <w:noProof/>
          <w:color w:val="000000"/>
          <w:highlight w:val="black"/>
        </w:rPr>
        <w:t>'''''''''''</w:t>
      </w:r>
      <w:r w:rsidRPr="001255F7">
        <w:t xml:space="preserve"> based on the price of perhexiline and the costs associated with</w:t>
      </w:r>
      <w:r w:rsidR="00AD24F1" w:rsidRPr="001255F7">
        <w:t xml:space="preserve"> health care resource utilisation for</w:t>
      </w:r>
      <w:r w:rsidRPr="001255F7">
        <w:t xml:space="preserve"> monitoring treatment</w:t>
      </w:r>
      <w:r w:rsidR="00AD24F1" w:rsidRPr="001255F7">
        <w:t xml:space="preserve"> with perhexiline. </w:t>
      </w:r>
      <w:r w:rsidR="00AD24F1" w:rsidRPr="001255F7">
        <w:rPr>
          <w:szCs w:val="22"/>
        </w:rPr>
        <w:t xml:space="preserve">This </w:t>
      </w:r>
      <w:r w:rsidR="0093386B" w:rsidRPr="001255F7">
        <w:rPr>
          <w:szCs w:val="22"/>
        </w:rPr>
        <w:t>may not have been</w:t>
      </w:r>
      <w:r w:rsidR="00AD24F1" w:rsidRPr="001255F7">
        <w:rPr>
          <w:szCs w:val="22"/>
        </w:rPr>
        <w:t xml:space="preserve"> appropriate as </w:t>
      </w:r>
      <w:r w:rsidR="00AD24F1" w:rsidRPr="001255F7">
        <w:t xml:space="preserve">health care resource utilisation costs </w:t>
      </w:r>
      <w:r w:rsidR="00F44B27" w:rsidRPr="001255F7">
        <w:t xml:space="preserve">(for monitoring in high-risk patients) </w:t>
      </w:r>
      <w:r w:rsidR="00AD24F1" w:rsidRPr="001255F7">
        <w:rPr>
          <w:szCs w:val="22"/>
        </w:rPr>
        <w:t>were not included for ranolazine in the comparison.</w:t>
      </w:r>
      <w:r w:rsidR="00443CA0" w:rsidRPr="001255F7">
        <w:rPr>
          <w:szCs w:val="22"/>
        </w:rPr>
        <w:t xml:space="preserve"> </w:t>
      </w:r>
      <w:r w:rsidR="00000E88" w:rsidRPr="001255F7">
        <w:rPr>
          <w:szCs w:val="22"/>
        </w:rPr>
        <w:t xml:space="preserve">The </w:t>
      </w:r>
      <w:r w:rsidR="008E411C">
        <w:rPr>
          <w:szCs w:val="22"/>
        </w:rPr>
        <w:t xml:space="preserve">PBAC </w:t>
      </w:r>
      <w:r w:rsidR="00773099" w:rsidRPr="001255F7">
        <w:rPr>
          <w:szCs w:val="22"/>
        </w:rPr>
        <w:t>considered</w:t>
      </w:r>
      <w:r w:rsidR="000F0135" w:rsidRPr="001255F7">
        <w:rPr>
          <w:szCs w:val="22"/>
        </w:rPr>
        <w:t xml:space="preserve"> that the </w:t>
      </w:r>
      <w:r w:rsidR="00DF1E5E">
        <w:t>costs attributed to monitoring with perhexiline were overestimated.</w:t>
      </w:r>
      <w:r w:rsidR="00000E88" w:rsidRPr="001255F7">
        <w:rPr>
          <w:szCs w:val="22"/>
        </w:rPr>
        <w:t xml:space="preserve"> </w:t>
      </w:r>
      <w:r w:rsidR="0005473F" w:rsidRPr="001255F7">
        <w:rPr>
          <w:szCs w:val="22"/>
        </w:rPr>
        <w:t xml:space="preserve">Table 15 </w:t>
      </w:r>
      <w:r w:rsidR="009E3D05" w:rsidRPr="001255F7">
        <w:rPr>
          <w:szCs w:val="22"/>
        </w:rPr>
        <w:t>summarises the costs of health care resources used with perhexiline.</w:t>
      </w:r>
    </w:p>
    <w:p w:rsidR="009B0BE7" w:rsidRDefault="009B0BE7" w:rsidP="00142D19">
      <w:pPr>
        <w:widowControl/>
      </w:pPr>
    </w:p>
    <w:p w:rsidR="00335036" w:rsidRPr="002220DF" w:rsidRDefault="00335036" w:rsidP="00207F9C">
      <w:pPr>
        <w:keepNext/>
        <w:widowControl/>
        <w:ind w:firstLine="720"/>
        <w:rPr>
          <w:rStyle w:val="CommentReference"/>
        </w:rPr>
      </w:pPr>
      <w:r w:rsidRPr="002220DF">
        <w:rPr>
          <w:rStyle w:val="CommentReference"/>
        </w:rPr>
        <w:t xml:space="preserve">Table </w:t>
      </w:r>
      <w:r w:rsidR="009D39E5">
        <w:rPr>
          <w:rStyle w:val="CommentReference"/>
        </w:rPr>
        <w:t>15</w:t>
      </w:r>
      <w:r w:rsidRPr="002220DF">
        <w:rPr>
          <w:rStyle w:val="CommentReference"/>
        </w:rPr>
        <w:t>: Summary of costs for perhexiline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79"/>
        <w:gridCol w:w="1138"/>
        <w:gridCol w:w="1142"/>
        <w:gridCol w:w="2211"/>
        <w:gridCol w:w="1175"/>
      </w:tblGrid>
      <w:tr w:rsidR="00335036" w:rsidRPr="002220DF" w:rsidTr="00207F9C">
        <w:trPr>
          <w:tblHeader/>
        </w:trPr>
        <w:tc>
          <w:tcPr>
            <w:tcW w:w="1605" w:type="pct"/>
            <w:vAlign w:val="center"/>
          </w:tcPr>
          <w:p w:rsidR="00335036" w:rsidRPr="002220DF" w:rsidRDefault="00335036" w:rsidP="00142D19">
            <w:pPr>
              <w:pStyle w:val="Tabletext"/>
              <w:jc w:val="center"/>
              <w:rPr>
                <w:b/>
              </w:rPr>
            </w:pPr>
            <w:r w:rsidRPr="002220DF">
              <w:rPr>
                <w:b/>
              </w:rPr>
              <w:t>Resource</w:t>
            </w:r>
          </w:p>
        </w:tc>
        <w:tc>
          <w:tcPr>
            <w:tcW w:w="682" w:type="pct"/>
          </w:tcPr>
          <w:p w:rsidR="00335036" w:rsidRPr="002220DF" w:rsidRDefault="00335036" w:rsidP="00142D19">
            <w:pPr>
              <w:pStyle w:val="Tabletext"/>
              <w:jc w:val="center"/>
              <w:rPr>
                <w:b/>
              </w:rPr>
            </w:pPr>
            <w:r w:rsidRPr="002220DF">
              <w:rPr>
                <w:b/>
              </w:rPr>
              <w:t>Units/year</w:t>
            </w:r>
          </w:p>
        </w:tc>
        <w:tc>
          <w:tcPr>
            <w:tcW w:w="684" w:type="pct"/>
            <w:vAlign w:val="center"/>
          </w:tcPr>
          <w:p w:rsidR="00335036" w:rsidRPr="002220DF" w:rsidRDefault="00335036" w:rsidP="00142D19">
            <w:pPr>
              <w:pStyle w:val="Tabletext"/>
              <w:jc w:val="center"/>
              <w:rPr>
                <w:b/>
              </w:rPr>
            </w:pPr>
            <w:r w:rsidRPr="002220DF">
              <w:rPr>
                <w:b/>
              </w:rPr>
              <w:t>Cost per unit</w:t>
            </w:r>
          </w:p>
        </w:tc>
        <w:tc>
          <w:tcPr>
            <w:tcW w:w="1325" w:type="pct"/>
          </w:tcPr>
          <w:p w:rsidR="00335036" w:rsidRPr="002220DF" w:rsidRDefault="00335036" w:rsidP="00142D19">
            <w:pPr>
              <w:pStyle w:val="Tabletext"/>
              <w:jc w:val="center"/>
              <w:rPr>
                <w:b/>
              </w:rPr>
            </w:pPr>
            <w:r w:rsidRPr="002220DF">
              <w:rPr>
                <w:b/>
              </w:rPr>
              <w:t>Source</w:t>
            </w:r>
          </w:p>
        </w:tc>
        <w:tc>
          <w:tcPr>
            <w:tcW w:w="704" w:type="pct"/>
          </w:tcPr>
          <w:p w:rsidR="00335036" w:rsidRPr="002220DF" w:rsidRDefault="00335036" w:rsidP="00142D19">
            <w:pPr>
              <w:pStyle w:val="Tabletext"/>
              <w:jc w:val="center"/>
              <w:rPr>
                <w:b/>
              </w:rPr>
            </w:pPr>
            <w:r w:rsidRPr="002220DF">
              <w:rPr>
                <w:b/>
              </w:rPr>
              <w:t>Total cost</w:t>
            </w:r>
          </w:p>
        </w:tc>
      </w:tr>
      <w:tr w:rsidR="00335036" w:rsidRPr="002220DF" w:rsidTr="00207F9C">
        <w:tc>
          <w:tcPr>
            <w:tcW w:w="1605" w:type="pct"/>
            <w:vAlign w:val="center"/>
          </w:tcPr>
          <w:p w:rsidR="00335036" w:rsidRPr="002220DF" w:rsidRDefault="00335036" w:rsidP="00142D19">
            <w:pPr>
              <w:pStyle w:val="Tabletext"/>
            </w:pPr>
            <w:r w:rsidRPr="002220DF">
              <w:t>Liver function test</w:t>
            </w:r>
          </w:p>
        </w:tc>
        <w:tc>
          <w:tcPr>
            <w:tcW w:w="682" w:type="pct"/>
          </w:tcPr>
          <w:p w:rsidR="00335036" w:rsidRPr="005E1EC5" w:rsidRDefault="005E1EC5" w:rsidP="00142D19">
            <w:pPr>
              <w:pStyle w:val="Tabletext"/>
              <w:jc w:val="center"/>
              <w:rPr>
                <w:highlight w:val="black"/>
              </w:rPr>
            </w:pPr>
            <w:r>
              <w:rPr>
                <w:noProof/>
                <w:color w:val="000000"/>
                <w:highlight w:val="black"/>
              </w:rPr>
              <w:t>''''''</w:t>
            </w:r>
          </w:p>
        </w:tc>
        <w:tc>
          <w:tcPr>
            <w:tcW w:w="684" w:type="pct"/>
            <w:vAlign w:val="center"/>
          </w:tcPr>
          <w:p w:rsidR="00335036" w:rsidRPr="002220DF" w:rsidRDefault="00335036" w:rsidP="00142D19">
            <w:pPr>
              <w:pStyle w:val="Tabletext"/>
              <w:jc w:val="right"/>
            </w:pPr>
            <w:r w:rsidRPr="002220DF">
              <w:t>$17.70</w:t>
            </w:r>
          </w:p>
        </w:tc>
        <w:tc>
          <w:tcPr>
            <w:tcW w:w="1325" w:type="pct"/>
          </w:tcPr>
          <w:p w:rsidR="00335036" w:rsidRPr="002220DF" w:rsidRDefault="00335036" w:rsidP="00142D19">
            <w:pPr>
              <w:pStyle w:val="Tabletext"/>
              <w:jc w:val="center"/>
            </w:pPr>
            <w:r w:rsidRPr="002220DF">
              <w:t>MBS 66512</w:t>
            </w:r>
          </w:p>
        </w:tc>
        <w:tc>
          <w:tcPr>
            <w:tcW w:w="704" w:type="pct"/>
            <w:vAlign w:val="center"/>
          </w:tcPr>
          <w:p w:rsidR="00335036" w:rsidRPr="002220DF" w:rsidRDefault="00335036" w:rsidP="00142D19">
            <w:pPr>
              <w:pStyle w:val="Tabletext"/>
              <w:jc w:val="right"/>
            </w:pPr>
            <w:r w:rsidRPr="002220DF">
              <w:t>$</w:t>
            </w:r>
            <w:r w:rsidR="005E1EC5">
              <w:rPr>
                <w:noProof/>
                <w:color w:val="000000"/>
                <w:highlight w:val="black"/>
              </w:rPr>
              <w:t>''''''''''''''''</w:t>
            </w:r>
          </w:p>
        </w:tc>
      </w:tr>
      <w:tr w:rsidR="00335036" w:rsidRPr="002220DF" w:rsidTr="00207F9C">
        <w:tc>
          <w:tcPr>
            <w:tcW w:w="1605" w:type="pct"/>
            <w:vAlign w:val="center"/>
          </w:tcPr>
          <w:p w:rsidR="00335036" w:rsidRPr="002220DF" w:rsidRDefault="00335036" w:rsidP="00142D19">
            <w:pPr>
              <w:pStyle w:val="Tabletext"/>
            </w:pPr>
            <w:r w:rsidRPr="002220DF">
              <w:t>Monitoring test</w:t>
            </w:r>
          </w:p>
        </w:tc>
        <w:tc>
          <w:tcPr>
            <w:tcW w:w="682" w:type="pct"/>
          </w:tcPr>
          <w:p w:rsidR="00335036" w:rsidRPr="005E1EC5" w:rsidRDefault="005E1EC5" w:rsidP="00142D19">
            <w:pPr>
              <w:pStyle w:val="Tabletext"/>
              <w:jc w:val="center"/>
              <w:rPr>
                <w:highlight w:val="black"/>
              </w:rPr>
            </w:pPr>
            <w:r>
              <w:rPr>
                <w:noProof/>
                <w:color w:val="000000"/>
                <w:highlight w:val="black"/>
              </w:rPr>
              <w:t>'''''</w:t>
            </w:r>
          </w:p>
        </w:tc>
        <w:tc>
          <w:tcPr>
            <w:tcW w:w="684" w:type="pct"/>
            <w:vAlign w:val="center"/>
          </w:tcPr>
          <w:p w:rsidR="00335036" w:rsidRPr="002220DF" w:rsidRDefault="00335036" w:rsidP="00142D19">
            <w:pPr>
              <w:pStyle w:val="Tabletext"/>
              <w:jc w:val="right"/>
            </w:pPr>
            <w:r w:rsidRPr="002220DF">
              <w:t>$34.80</w:t>
            </w:r>
          </w:p>
        </w:tc>
        <w:tc>
          <w:tcPr>
            <w:tcW w:w="1325" w:type="pct"/>
          </w:tcPr>
          <w:p w:rsidR="00335036" w:rsidRPr="002220DF" w:rsidRDefault="00335036" w:rsidP="00142D19">
            <w:pPr>
              <w:pStyle w:val="Tabletext"/>
              <w:jc w:val="center"/>
            </w:pPr>
            <w:r w:rsidRPr="002220DF">
              <w:t>MBS 66812</w:t>
            </w:r>
          </w:p>
        </w:tc>
        <w:tc>
          <w:tcPr>
            <w:tcW w:w="704" w:type="pct"/>
            <w:vAlign w:val="center"/>
          </w:tcPr>
          <w:p w:rsidR="00335036" w:rsidRPr="002220DF" w:rsidRDefault="00335036" w:rsidP="00142D19">
            <w:pPr>
              <w:pStyle w:val="Tabletext"/>
              <w:jc w:val="right"/>
            </w:pPr>
            <w:r w:rsidRPr="002220DF">
              <w:t>$</w:t>
            </w:r>
            <w:r w:rsidR="005E1EC5">
              <w:rPr>
                <w:noProof/>
                <w:color w:val="000000"/>
                <w:highlight w:val="black"/>
              </w:rPr>
              <w:t>'''''''''''''''''</w:t>
            </w:r>
          </w:p>
        </w:tc>
      </w:tr>
      <w:tr w:rsidR="00335036" w:rsidRPr="002220DF" w:rsidTr="00207F9C">
        <w:tc>
          <w:tcPr>
            <w:tcW w:w="1605" w:type="pct"/>
            <w:vAlign w:val="center"/>
          </w:tcPr>
          <w:p w:rsidR="00335036" w:rsidRPr="002220DF" w:rsidRDefault="00335036" w:rsidP="00142D19">
            <w:pPr>
              <w:pStyle w:val="Tabletext"/>
            </w:pPr>
            <w:r w:rsidRPr="002220DF">
              <w:t>Patient episode initiation</w:t>
            </w:r>
          </w:p>
        </w:tc>
        <w:tc>
          <w:tcPr>
            <w:tcW w:w="682" w:type="pct"/>
          </w:tcPr>
          <w:p w:rsidR="00335036" w:rsidRPr="005E1EC5" w:rsidRDefault="005E1EC5" w:rsidP="00142D19">
            <w:pPr>
              <w:pStyle w:val="Tabletext"/>
              <w:jc w:val="center"/>
              <w:rPr>
                <w:highlight w:val="black"/>
              </w:rPr>
            </w:pPr>
            <w:r>
              <w:rPr>
                <w:noProof/>
                <w:color w:val="000000"/>
                <w:highlight w:val="black"/>
              </w:rPr>
              <w:t>'''''''</w:t>
            </w:r>
          </w:p>
        </w:tc>
        <w:tc>
          <w:tcPr>
            <w:tcW w:w="684" w:type="pct"/>
            <w:vAlign w:val="center"/>
          </w:tcPr>
          <w:p w:rsidR="00335036" w:rsidRPr="002220DF" w:rsidRDefault="00335036" w:rsidP="00142D19">
            <w:pPr>
              <w:pStyle w:val="Tabletext"/>
              <w:jc w:val="right"/>
            </w:pPr>
            <w:r w:rsidRPr="002220DF">
              <w:t>$2.40</w:t>
            </w:r>
          </w:p>
        </w:tc>
        <w:tc>
          <w:tcPr>
            <w:tcW w:w="1325" w:type="pct"/>
          </w:tcPr>
          <w:p w:rsidR="00335036" w:rsidRPr="002220DF" w:rsidRDefault="00335036" w:rsidP="00142D19">
            <w:pPr>
              <w:pStyle w:val="Tabletext"/>
              <w:jc w:val="center"/>
            </w:pPr>
            <w:r w:rsidRPr="002220DF">
              <w:t>MBS 73929</w:t>
            </w:r>
          </w:p>
        </w:tc>
        <w:tc>
          <w:tcPr>
            <w:tcW w:w="704" w:type="pct"/>
            <w:vAlign w:val="center"/>
          </w:tcPr>
          <w:p w:rsidR="00335036" w:rsidRPr="002220DF" w:rsidRDefault="00335036" w:rsidP="00142D19">
            <w:pPr>
              <w:pStyle w:val="Tabletext"/>
              <w:jc w:val="right"/>
            </w:pPr>
            <w:r w:rsidRPr="002220DF">
              <w:t>$</w:t>
            </w:r>
            <w:r w:rsidR="005E1EC5">
              <w:rPr>
                <w:noProof/>
                <w:color w:val="000000"/>
                <w:highlight w:val="black"/>
              </w:rPr>
              <w:t>'''''''''''''</w:t>
            </w:r>
          </w:p>
        </w:tc>
      </w:tr>
      <w:tr w:rsidR="00335036" w:rsidRPr="002220DF" w:rsidTr="00207F9C">
        <w:tc>
          <w:tcPr>
            <w:tcW w:w="1605" w:type="pct"/>
            <w:vAlign w:val="center"/>
          </w:tcPr>
          <w:p w:rsidR="00335036" w:rsidRPr="002220DF" w:rsidRDefault="00335036" w:rsidP="00142D19">
            <w:pPr>
              <w:pStyle w:val="Tabletext"/>
            </w:pPr>
            <w:r w:rsidRPr="002220DF">
              <w:t>GP visits</w:t>
            </w:r>
          </w:p>
        </w:tc>
        <w:tc>
          <w:tcPr>
            <w:tcW w:w="682" w:type="pct"/>
            <w:tcBorders>
              <w:bottom w:val="single" w:sz="4" w:space="0" w:color="auto"/>
            </w:tcBorders>
          </w:tcPr>
          <w:p w:rsidR="00335036" w:rsidRPr="005E1EC5" w:rsidRDefault="005E1EC5" w:rsidP="00142D19">
            <w:pPr>
              <w:pStyle w:val="Tabletext"/>
              <w:jc w:val="center"/>
              <w:rPr>
                <w:highlight w:val="black"/>
              </w:rPr>
            </w:pPr>
            <w:r>
              <w:rPr>
                <w:noProof/>
                <w:color w:val="000000"/>
                <w:highlight w:val="black"/>
              </w:rPr>
              <w:t>''''</w:t>
            </w:r>
          </w:p>
        </w:tc>
        <w:tc>
          <w:tcPr>
            <w:tcW w:w="684" w:type="pct"/>
            <w:tcBorders>
              <w:bottom w:val="single" w:sz="4" w:space="0" w:color="auto"/>
            </w:tcBorders>
            <w:vAlign w:val="center"/>
          </w:tcPr>
          <w:p w:rsidR="00335036" w:rsidRPr="002220DF" w:rsidRDefault="00335036" w:rsidP="00142D19">
            <w:pPr>
              <w:pStyle w:val="Tabletext"/>
              <w:jc w:val="right"/>
            </w:pPr>
            <w:r w:rsidRPr="002220DF">
              <w:t>$37.05</w:t>
            </w:r>
          </w:p>
        </w:tc>
        <w:tc>
          <w:tcPr>
            <w:tcW w:w="1325" w:type="pct"/>
            <w:tcBorders>
              <w:bottom w:val="single" w:sz="4" w:space="0" w:color="auto"/>
            </w:tcBorders>
          </w:tcPr>
          <w:p w:rsidR="00335036" w:rsidRPr="002220DF" w:rsidRDefault="00335036" w:rsidP="00142D19">
            <w:pPr>
              <w:pStyle w:val="Tabletext"/>
              <w:jc w:val="center"/>
            </w:pPr>
            <w:r w:rsidRPr="002220DF">
              <w:t>MBS 23</w:t>
            </w:r>
          </w:p>
        </w:tc>
        <w:tc>
          <w:tcPr>
            <w:tcW w:w="704" w:type="pct"/>
            <w:vAlign w:val="center"/>
          </w:tcPr>
          <w:p w:rsidR="00335036" w:rsidRPr="002220DF" w:rsidRDefault="00335036" w:rsidP="00142D19">
            <w:pPr>
              <w:pStyle w:val="Tabletext"/>
              <w:jc w:val="right"/>
            </w:pPr>
            <w:r w:rsidRPr="002220DF">
              <w:t>$</w:t>
            </w:r>
            <w:r w:rsidR="005E1EC5">
              <w:rPr>
                <w:noProof/>
                <w:color w:val="000000"/>
                <w:highlight w:val="black"/>
              </w:rPr>
              <w:t>''''''''''''''''</w:t>
            </w:r>
          </w:p>
        </w:tc>
      </w:tr>
      <w:tr w:rsidR="00335036" w:rsidRPr="002220DF" w:rsidTr="00207F9C">
        <w:tc>
          <w:tcPr>
            <w:tcW w:w="1605" w:type="pct"/>
            <w:vAlign w:val="center"/>
          </w:tcPr>
          <w:p w:rsidR="00335036" w:rsidRPr="002220DF" w:rsidRDefault="00335036" w:rsidP="00142D19">
            <w:pPr>
              <w:pStyle w:val="Tabletext"/>
            </w:pPr>
            <w:r w:rsidRPr="002220DF">
              <w:t>Total per year</w:t>
            </w:r>
          </w:p>
        </w:tc>
        <w:tc>
          <w:tcPr>
            <w:tcW w:w="682" w:type="pct"/>
            <w:tcBorders>
              <w:right w:val="nil"/>
            </w:tcBorders>
          </w:tcPr>
          <w:p w:rsidR="00335036" w:rsidRPr="002220DF" w:rsidRDefault="00335036" w:rsidP="00142D19">
            <w:pPr>
              <w:pStyle w:val="Tabletext"/>
              <w:jc w:val="center"/>
            </w:pPr>
          </w:p>
        </w:tc>
        <w:tc>
          <w:tcPr>
            <w:tcW w:w="684" w:type="pct"/>
            <w:tcBorders>
              <w:left w:val="nil"/>
              <w:right w:val="nil"/>
            </w:tcBorders>
            <w:vAlign w:val="center"/>
          </w:tcPr>
          <w:p w:rsidR="00335036" w:rsidRPr="002220DF" w:rsidRDefault="00335036" w:rsidP="00142D19">
            <w:pPr>
              <w:pStyle w:val="Tabletext"/>
              <w:jc w:val="right"/>
            </w:pPr>
          </w:p>
        </w:tc>
        <w:tc>
          <w:tcPr>
            <w:tcW w:w="1325" w:type="pct"/>
            <w:tcBorders>
              <w:left w:val="nil"/>
            </w:tcBorders>
          </w:tcPr>
          <w:p w:rsidR="00335036" w:rsidRPr="002220DF" w:rsidRDefault="00335036" w:rsidP="00142D19">
            <w:pPr>
              <w:pStyle w:val="Tabletext"/>
              <w:jc w:val="center"/>
            </w:pPr>
          </w:p>
        </w:tc>
        <w:tc>
          <w:tcPr>
            <w:tcW w:w="704" w:type="pct"/>
            <w:vAlign w:val="center"/>
          </w:tcPr>
          <w:p w:rsidR="00335036" w:rsidRPr="002220DF" w:rsidRDefault="00335036" w:rsidP="00142D19">
            <w:pPr>
              <w:pStyle w:val="Tabletext"/>
              <w:jc w:val="right"/>
            </w:pPr>
            <w:r w:rsidRPr="002220DF">
              <w:t>$</w:t>
            </w:r>
            <w:r w:rsidR="005E1EC5">
              <w:rPr>
                <w:noProof/>
                <w:color w:val="000000"/>
                <w:highlight w:val="black"/>
              </w:rPr>
              <w:t>'''''''''''''''</w:t>
            </w:r>
          </w:p>
        </w:tc>
      </w:tr>
      <w:tr w:rsidR="00335036" w:rsidRPr="002220DF" w:rsidTr="00207F9C">
        <w:tc>
          <w:tcPr>
            <w:tcW w:w="1605" w:type="pct"/>
            <w:vAlign w:val="center"/>
          </w:tcPr>
          <w:p w:rsidR="00335036" w:rsidRPr="002220DF" w:rsidRDefault="00335036" w:rsidP="00142D19">
            <w:pPr>
              <w:pStyle w:val="Tabletext"/>
            </w:pPr>
            <w:r w:rsidRPr="002220DF">
              <w:t>Total per 30 days</w:t>
            </w:r>
          </w:p>
        </w:tc>
        <w:tc>
          <w:tcPr>
            <w:tcW w:w="682" w:type="pct"/>
            <w:tcBorders>
              <w:right w:val="nil"/>
            </w:tcBorders>
          </w:tcPr>
          <w:p w:rsidR="00335036" w:rsidRPr="002220DF" w:rsidRDefault="00335036" w:rsidP="00142D19">
            <w:pPr>
              <w:pStyle w:val="Tabletext"/>
              <w:jc w:val="center"/>
            </w:pPr>
          </w:p>
        </w:tc>
        <w:tc>
          <w:tcPr>
            <w:tcW w:w="684" w:type="pct"/>
            <w:tcBorders>
              <w:left w:val="nil"/>
              <w:right w:val="nil"/>
            </w:tcBorders>
            <w:vAlign w:val="center"/>
          </w:tcPr>
          <w:p w:rsidR="00335036" w:rsidRPr="002220DF" w:rsidRDefault="00335036" w:rsidP="00142D19">
            <w:pPr>
              <w:pStyle w:val="Tabletext"/>
              <w:jc w:val="right"/>
            </w:pPr>
          </w:p>
        </w:tc>
        <w:tc>
          <w:tcPr>
            <w:tcW w:w="1325" w:type="pct"/>
            <w:tcBorders>
              <w:left w:val="nil"/>
            </w:tcBorders>
          </w:tcPr>
          <w:p w:rsidR="00335036" w:rsidRPr="002220DF" w:rsidRDefault="00335036" w:rsidP="00142D19">
            <w:pPr>
              <w:pStyle w:val="Tabletext"/>
              <w:jc w:val="center"/>
            </w:pPr>
          </w:p>
        </w:tc>
        <w:tc>
          <w:tcPr>
            <w:tcW w:w="704" w:type="pct"/>
            <w:vAlign w:val="center"/>
          </w:tcPr>
          <w:p w:rsidR="00335036" w:rsidRPr="002220DF" w:rsidRDefault="00335036" w:rsidP="00142D19">
            <w:pPr>
              <w:pStyle w:val="Tabletext"/>
              <w:jc w:val="right"/>
            </w:pPr>
            <w:r w:rsidRPr="002220DF">
              <w:t>$</w:t>
            </w:r>
            <w:r w:rsidR="005E1EC5">
              <w:rPr>
                <w:noProof/>
                <w:color w:val="000000"/>
                <w:highlight w:val="black"/>
              </w:rPr>
              <w:t>''''''''''''''</w:t>
            </w:r>
          </w:p>
        </w:tc>
      </w:tr>
    </w:tbl>
    <w:p w:rsidR="00335036" w:rsidRPr="002220DF" w:rsidRDefault="00335036" w:rsidP="00207F9C">
      <w:pPr>
        <w:pStyle w:val="TableFooter"/>
        <w:widowControl/>
        <w:ind w:left="720"/>
        <w:rPr>
          <w:i/>
        </w:rPr>
      </w:pPr>
      <w:r w:rsidRPr="002220DF">
        <w:t>Source: Table D-18, p167 of the submission</w:t>
      </w:r>
    </w:p>
    <w:p w:rsidR="00335036" w:rsidRPr="002220DF" w:rsidRDefault="00335036" w:rsidP="00207F9C">
      <w:pPr>
        <w:pStyle w:val="TableFooter"/>
        <w:widowControl/>
        <w:ind w:left="720"/>
      </w:pPr>
      <w:r w:rsidRPr="002220DF">
        <w:t>GP = general practitioner; MBS = Medicare Benefits Schedule.</w:t>
      </w:r>
    </w:p>
    <w:p w:rsidR="00045E51" w:rsidRPr="00335036" w:rsidRDefault="00045E51" w:rsidP="00142D19">
      <w:pPr>
        <w:widowControl/>
        <w:rPr>
          <w:szCs w:val="22"/>
        </w:rPr>
      </w:pPr>
    </w:p>
    <w:p w:rsidR="009D1649" w:rsidRDefault="009D1649" w:rsidP="00FF5F86">
      <w:pPr>
        <w:pStyle w:val="Heading3"/>
      </w:pPr>
      <w:r w:rsidRPr="009D1649">
        <w:t xml:space="preserve">Calculation of </w:t>
      </w:r>
      <w:r>
        <w:t>weighted p</w:t>
      </w:r>
      <w:r w:rsidRPr="009D1649">
        <w:t xml:space="preserve">rice for ranolazine </w:t>
      </w:r>
    </w:p>
    <w:p w:rsidR="009B0BE7" w:rsidRDefault="009B0BE7" w:rsidP="00142D19">
      <w:pPr>
        <w:widowControl/>
        <w:rPr>
          <w:szCs w:val="22"/>
          <w:u w:val="single"/>
        </w:rPr>
      </w:pPr>
    </w:p>
    <w:p w:rsidR="004429BC" w:rsidRPr="00EA3722" w:rsidRDefault="00DF2BDB" w:rsidP="00142D19">
      <w:pPr>
        <w:pStyle w:val="ListParagraph"/>
        <w:widowControl/>
        <w:numPr>
          <w:ilvl w:val="1"/>
          <w:numId w:val="11"/>
        </w:numPr>
        <w:rPr>
          <w:szCs w:val="22"/>
        </w:rPr>
      </w:pPr>
      <w:r w:rsidRPr="00EA3722">
        <w:rPr>
          <w:szCs w:val="22"/>
        </w:rPr>
        <w:t>The submission used 10% PBS sample data to estimate the number of patients with uncontrolled angina who were currently untreated (</w:t>
      </w:r>
      <w:r w:rsidR="005E1EC5">
        <w:rPr>
          <w:noProof/>
          <w:color w:val="000000"/>
          <w:szCs w:val="22"/>
          <w:highlight w:val="black"/>
        </w:rPr>
        <w:t>'''''''</w:t>
      </w:r>
      <w:r w:rsidRPr="00EA3722">
        <w:rPr>
          <w:szCs w:val="22"/>
        </w:rPr>
        <w:t xml:space="preserve">%) or receiving </w:t>
      </w:r>
      <w:r w:rsidR="000D532C" w:rsidRPr="00EA3722">
        <w:rPr>
          <w:szCs w:val="22"/>
        </w:rPr>
        <w:t>nicorandil (</w:t>
      </w:r>
      <w:r w:rsidR="005E1EC5">
        <w:rPr>
          <w:noProof/>
          <w:color w:val="000000"/>
          <w:szCs w:val="22"/>
          <w:highlight w:val="black"/>
        </w:rPr>
        <w:t>''''''</w:t>
      </w:r>
      <w:r w:rsidR="000D532C" w:rsidRPr="00EA3722">
        <w:rPr>
          <w:szCs w:val="22"/>
        </w:rPr>
        <w:t xml:space="preserve">%) or perhexiline </w:t>
      </w:r>
      <w:r w:rsidRPr="00EA3722">
        <w:rPr>
          <w:szCs w:val="22"/>
        </w:rPr>
        <w:t>(</w:t>
      </w:r>
      <w:r w:rsidR="005E1EC5">
        <w:rPr>
          <w:noProof/>
          <w:color w:val="000000"/>
          <w:szCs w:val="22"/>
          <w:highlight w:val="black"/>
        </w:rPr>
        <w:t>'''</w:t>
      </w:r>
      <w:r w:rsidRPr="00EA3722">
        <w:rPr>
          <w:szCs w:val="22"/>
        </w:rPr>
        <w:t xml:space="preserve">%), and weighted the price based on these estimates. Within the 10% PBS sample, patients prescribed any type of nitrate were identified as having angina. The submission defined uncontrolled angina as patients that satisfied one of four categories. The commentary considered that insufficient information was presented in the submission for the results from the analysis of the 10% PBS sample to be verified. The commentary stated that the criteria used in the determination of the patient population suitable for ranolazine treatment were not clearly defined. The clinical basis for the chosen criteria were unclear and may be inappropriate for defining patients with uncontrolled stable angina on beta-blockers and/or calcium channel blockers. </w:t>
      </w:r>
    </w:p>
    <w:p w:rsidR="00DF2BDB" w:rsidRPr="001255F7" w:rsidRDefault="00DF2BDB" w:rsidP="00142D19">
      <w:pPr>
        <w:pStyle w:val="ListParagraph"/>
        <w:widowControl/>
        <w:rPr>
          <w:szCs w:val="22"/>
        </w:rPr>
      </w:pPr>
    </w:p>
    <w:p w:rsidR="00AC7141" w:rsidRPr="001255F7" w:rsidRDefault="00DF2BDB" w:rsidP="00142D19">
      <w:pPr>
        <w:pStyle w:val="ListParagraph"/>
        <w:widowControl/>
        <w:numPr>
          <w:ilvl w:val="1"/>
          <w:numId w:val="11"/>
        </w:numPr>
      </w:pPr>
      <w:r w:rsidRPr="001255F7">
        <w:t>Overall, the submission’s approach to determining the relative weighting of the comparator components was inappropriate,</w:t>
      </w:r>
      <w:r w:rsidR="008A2613" w:rsidRPr="001255F7">
        <w:t xml:space="preserve"> </w:t>
      </w:r>
      <w:r w:rsidRPr="001255F7">
        <w:t xml:space="preserve">and </w:t>
      </w:r>
      <w:r w:rsidR="008A2613" w:rsidRPr="001255F7">
        <w:t xml:space="preserve">overestimated the proportion of untreated patients. Additionally, the submissions failure to </w:t>
      </w:r>
      <w:r w:rsidR="00C31D71" w:rsidRPr="001255F7">
        <w:t>consider</w:t>
      </w:r>
      <w:r w:rsidR="008A2613" w:rsidRPr="001255F7">
        <w:t xml:space="preserve"> long-acting nitrates </w:t>
      </w:r>
      <w:r w:rsidR="004D4FF7" w:rsidRPr="001255F7">
        <w:t>as a</w:t>
      </w:r>
      <w:r w:rsidR="008A2613" w:rsidRPr="001255F7">
        <w:t xml:space="preserve"> comparator was inappropriate.</w:t>
      </w:r>
    </w:p>
    <w:p w:rsidR="00BE634F" w:rsidRPr="001255F7" w:rsidRDefault="00AC7141" w:rsidP="00142D19">
      <w:pPr>
        <w:widowControl/>
        <w:rPr>
          <w:szCs w:val="22"/>
        </w:rPr>
      </w:pPr>
      <w:r w:rsidRPr="001255F7">
        <w:t xml:space="preserve"> </w:t>
      </w:r>
    </w:p>
    <w:p w:rsidR="00BE634F" w:rsidRPr="00415355" w:rsidRDefault="006D43E6" w:rsidP="00142D19">
      <w:pPr>
        <w:pStyle w:val="ListParagraph"/>
        <w:widowControl/>
        <w:numPr>
          <w:ilvl w:val="1"/>
          <w:numId w:val="11"/>
        </w:numPr>
        <w:rPr>
          <w:szCs w:val="22"/>
        </w:rPr>
      </w:pPr>
      <w:r>
        <w:rPr>
          <w:szCs w:val="22"/>
        </w:rPr>
        <w:t>Table 16</w:t>
      </w:r>
      <w:r w:rsidR="00BE634F" w:rsidRPr="00415355">
        <w:rPr>
          <w:szCs w:val="22"/>
        </w:rPr>
        <w:t xml:space="preserve"> summarises the weightings and AEMP used to </w:t>
      </w:r>
      <w:r w:rsidR="009633F9" w:rsidRPr="00415355">
        <w:rPr>
          <w:szCs w:val="22"/>
        </w:rPr>
        <w:t xml:space="preserve">calculate </w:t>
      </w:r>
      <w:r w:rsidR="00BE634F" w:rsidRPr="00415355">
        <w:rPr>
          <w:szCs w:val="22"/>
        </w:rPr>
        <w:t xml:space="preserve">the weighted cost. </w:t>
      </w:r>
    </w:p>
    <w:p w:rsidR="00BE634F" w:rsidRPr="002220DF" w:rsidRDefault="00BE634F" w:rsidP="00142D19">
      <w:pPr>
        <w:pStyle w:val="ListParagraph"/>
        <w:widowControl/>
        <w:rPr>
          <w:szCs w:val="22"/>
        </w:rPr>
      </w:pPr>
    </w:p>
    <w:p w:rsidR="00BE634F" w:rsidRDefault="00BE634F" w:rsidP="00142D19">
      <w:pPr>
        <w:widowControl/>
        <w:ind w:left="709"/>
        <w:rPr>
          <w:rStyle w:val="CommentReference"/>
        </w:rPr>
      </w:pPr>
      <w:r w:rsidRPr="002220DF">
        <w:rPr>
          <w:rStyle w:val="CommentReference"/>
        </w:rPr>
        <w:t>Table 1</w:t>
      </w:r>
      <w:r w:rsidR="006D43E6">
        <w:rPr>
          <w:rStyle w:val="CommentReference"/>
        </w:rPr>
        <w:t>6</w:t>
      </w:r>
      <w:r w:rsidRPr="002220DF">
        <w:rPr>
          <w:rStyle w:val="CommentReference"/>
        </w:rPr>
        <w:t xml:space="preserve">: Weightings and AEMP used by the submission to calculate </w:t>
      </w:r>
      <w:r w:rsidR="000113D9" w:rsidRPr="002220DF">
        <w:rPr>
          <w:rStyle w:val="CommentReference"/>
        </w:rPr>
        <w:t>the price of ranolazine</w:t>
      </w:r>
    </w:p>
    <w:tbl>
      <w:tblPr>
        <w:tblStyle w:val="TableGrid"/>
        <w:tblW w:w="0" w:type="auto"/>
        <w:tblInd w:w="720" w:type="dxa"/>
        <w:tblLook w:val="04A0" w:firstRow="1" w:lastRow="0" w:firstColumn="1" w:lastColumn="0" w:noHBand="0" w:noVBand="1"/>
        <w:tblCaption w:val="Table 16: Weightings and AEMP used by the submission to calculate the price of ranolazine"/>
      </w:tblPr>
      <w:tblGrid>
        <w:gridCol w:w="2130"/>
        <w:gridCol w:w="2130"/>
        <w:gridCol w:w="2131"/>
        <w:gridCol w:w="2131"/>
      </w:tblGrid>
      <w:tr w:rsidR="008F0607" w:rsidRPr="00FF5F86" w:rsidTr="004E1B7F">
        <w:trPr>
          <w:tblHeader/>
        </w:trPr>
        <w:tc>
          <w:tcPr>
            <w:tcW w:w="2130" w:type="dxa"/>
            <w:shd w:val="clear" w:color="auto" w:fill="auto"/>
            <w:vAlign w:val="center"/>
          </w:tcPr>
          <w:p w:rsidR="008F0607" w:rsidRPr="00FF5F86" w:rsidRDefault="008F0607" w:rsidP="008F0607">
            <w:pPr>
              <w:pStyle w:val="TableFooter"/>
              <w:widowControl/>
              <w:jc w:val="center"/>
              <w:rPr>
                <w:sz w:val="20"/>
              </w:rPr>
            </w:pPr>
            <w:r w:rsidRPr="00FF5F86">
              <w:rPr>
                <w:b/>
                <w:sz w:val="20"/>
              </w:rPr>
              <w:t>Drug</w:t>
            </w:r>
          </w:p>
        </w:tc>
        <w:tc>
          <w:tcPr>
            <w:tcW w:w="2130" w:type="dxa"/>
            <w:shd w:val="clear" w:color="auto" w:fill="auto"/>
            <w:vAlign w:val="center"/>
          </w:tcPr>
          <w:p w:rsidR="008F0607" w:rsidRPr="00FF5F86" w:rsidRDefault="008F0607" w:rsidP="008F0607">
            <w:pPr>
              <w:pStyle w:val="TableFooter"/>
              <w:widowControl/>
              <w:jc w:val="center"/>
              <w:rPr>
                <w:sz w:val="20"/>
              </w:rPr>
            </w:pPr>
            <w:r w:rsidRPr="00FF5F86">
              <w:rPr>
                <w:b/>
                <w:sz w:val="20"/>
              </w:rPr>
              <w:t>Weighting</w:t>
            </w:r>
          </w:p>
        </w:tc>
        <w:tc>
          <w:tcPr>
            <w:tcW w:w="2131" w:type="dxa"/>
            <w:shd w:val="clear" w:color="auto" w:fill="auto"/>
            <w:vAlign w:val="center"/>
          </w:tcPr>
          <w:p w:rsidR="008F0607" w:rsidRPr="00FF5F86" w:rsidRDefault="008F0607" w:rsidP="008F0607">
            <w:pPr>
              <w:pStyle w:val="TableFooter"/>
              <w:widowControl/>
              <w:jc w:val="center"/>
              <w:rPr>
                <w:sz w:val="20"/>
              </w:rPr>
            </w:pPr>
            <w:r w:rsidRPr="00FF5F86">
              <w:rPr>
                <w:b/>
                <w:sz w:val="20"/>
              </w:rPr>
              <w:t>AEMP/day</w:t>
            </w:r>
          </w:p>
        </w:tc>
        <w:tc>
          <w:tcPr>
            <w:tcW w:w="2131" w:type="dxa"/>
            <w:shd w:val="clear" w:color="auto" w:fill="auto"/>
            <w:vAlign w:val="center"/>
          </w:tcPr>
          <w:p w:rsidR="008F0607" w:rsidRPr="00FF5F86" w:rsidRDefault="008F0607" w:rsidP="008F0607">
            <w:pPr>
              <w:pStyle w:val="TableFooter"/>
              <w:widowControl/>
              <w:jc w:val="center"/>
              <w:rPr>
                <w:sz w:val="20"/>
              </w:rPr>
            </w:pPr>
            <w:r w:rsidRPr="00FF5F86">
              <w:rPr>
                <w:b/>
                <w:sz w:val="20"/>
              </w:rPr>
              <w:t>DPMQ</w:t>
            </w:r>
            <w:r w:rsidR="00787E28" w:rsidRPr="00FF5F86">
              <w:rPr>
                <w:b/>
                <w:sz w:val="20"/>
              </w:rPr>
              <w:t xml:space="preserve"> ^</w:t>
            </w:r>
          </w:p>
        </w:tc>
      </w:tr>
      <w:tr w:rsidR="008F0607" w:rsidRPr="00FF5F86" w:rsidTr="00FF5F86">
        <w:trPr>
          <w:trHeight w:val="340"/>
        </w:trPr>
        <w:tc>
          <w:tcPr>
            <w:tcW w:w="2130" w:type="dxa"/>
            <w:shd w:val="clear" w:color="auto" w:fill="auto"/>
            <w:vAlign w:val="center"/>
          </w:tcPr>
          <w:p w:rsidR="008F0607" w:rsidRPr="00FF5F86" w:rsidRDefault="008F0607" w:rsidP="00FF5F86">
            <w:pPr>
              <w:pStyle w:val="TableFooter"/>
              <w:widowControl/>
              <w:jc w:val="left"/>
              <w:rPr>
                <w:sz w:val="20"/>
              </w:rPr>
            </w:pPr>
            <w:r w:rsidRPr="00FF5F86">
              <w:rPr>
                <w:color w:val="000000"/>
                <w:sz w:val="20"/>
                <w:lang w:eastAsia="en-AU"/>
              </w:rPr>
              <w:t>Placebo</w:t>
            </w:r>
          </w:p>
        </w:tc>
        <w:tc>
          <w:tcPr>
            <w:tcW w:w="2130" w:type="dxa"/>
            <w:shd w:val="clear" w:color="auto" w:fill="auto"/>
            <w:vAlign w:val="center"/>
          </w:tcPr>
          <w:p w:rsidR="008F0607" w:rsidRPr="00FF5F86" w:rsidRDefault="005E1EC5" w:rsidP="00FF5F86">
            <w:pPr>
              <w:pStyle w:val="TableFooter"/>
              <w:widowControl/>
              <w:jc w:val="center"/>
              <w:rPr>
                <w:sz w:val="20"/>
              </w:rPr>
            </w:pPr>
            <w:r>
              <w:rPr>
                <w:noProof/>
                <w:color w:val="000000"/>
                <w:sz w:val="20"/>
                <w:highlight w:val="black"/>
                <w:lang w:eastAsia="en-AU"/>
              </w:rPr>
              <w:t>'''''</w:t>
            </w:r>
            <w:r w:rsidR="008F0607" w:rsidRPr="00FF5F86">
              <w:rPr>
                <w:color w:val="000000"/>
                <w:sz w:val="20"/>
                <w:lang w:eastAsia="en-AU"/>
              </w:rPr>
              <w:t>%</w:t>
            </w:r>
          </w:p>
        </w:tc>
        <w:tc>
          <w:tcPr>
            <w:tcW w:w="2131" w:type="dxa"/>
            <w:shd w:val="clear" w:color="auto" w:fill="auto"/>
            <w:vAlign w:val="center"/>
          </w:tcPr>
          <w:p w:rsidR="008F0607" w:rsidRPr="00FF5F86" w:rsidRDefault="008F0607" w:rsidP="00FF5F86">
            <w:pPr>
              <w:pStyle w:val="TableFooter"/>
              <w:widowControl/>
              <w:jc w:val="center"/>
              <w:rPr>
                <w:sz w:val="20"/>
              </w:rPr>
            </w:pPr>
            <w:r w:rsidRPr="00FF5F86">
              <w:rPr>
                <w:color w:val="000000"/>
                <w:sz w:val="20"/>
                <w:lang w:eastAsia="en-AU"/>
              </w:rPr>
              <w:t>$</w:t>
            </w:r>
            <w:r w:rsidR="005E1EC5">
              <w:rPr>
                <w:noProof/>
                <w:color w:val="000000"/>
                <w:sz w:val="20"/>
                <w:highlight w:val="black"/>
                <w:lang w:eastAsia="en-AU"/>
              </w:rPr>
              <w:t>''''''''''</w:t>
            </w:r>
          </w:p>
        </w:tc>
        <w:tc>
          <w:tcPr>
            <w:tcW w:w="2131" w:type="dxa"/>
            <w:shd w:val="clear" w:color="auto" w:fill="auto"/>
            <w:vAlign w:val="center"/>
          </w:tcPr>
          <w:p w:rsidR="008F0607" w:rsidRPr="00FF5F86" w:rsidRDefault="00FF5F86" w:rsidP="00FF5F86">
            <w:pPr>
              <w:pStyle w:val="TableFooter"/>
              <w:widowControl/>
              <w:jc w:val="center"/>
              <w:rPr>
                <w:sz w:val="20"/>
              </w:rPr>
            </w:pPr>
            <w:r>
              <w:rPr>
                <w:sz w:val="20"/>
              </w:rPr>
              <w:t>-</w:t>
            </w:r>
          </w:p>
        </w:tc>
      </w:tr>
      <w:tr w:rsidR="008F0607" w:rsidRPr="00FF5F86" w:rsidTr="00FF5F86">
        <w:tc>
          <w:tcPr>
            <w:tcW w:w="2130" w:type="dxa"/>
            <w:shd w:val="clear" w:color="auto" w:fill="auto"/>
            <w:vAlign w:val="center"/>
          </w:tcPr>
          <w:p w:rsidR="008F0607" w:rsidRPr="00FF5F86" w:rsidRDefault="008F0607" w:rsidP="00FF5F86">
            <w:pPr>
              <w:pStyle w:val="TableFooter"/>
              <w:widowControl/>
              <w:jc w:val="left"/>
              <w:rPr>
                <w:sz w:val="20"/>
              </w:rPr>
            </w:pPr>
            <w:r w:rsidRPr="00FF5F86">
              <w:rPr>
                <w:color w:val="000000"/>
                <w:sz w:val="20"/>
                <w:lang w:eastAsia="en-AU"/>
              </w:rPr>
              <w:t>Nicorandil</w:t>
            </w:r>
          </w:p>
        </w:tc>
        <w:tc>
          <w:tcPr>
            <w:tcW w:w="2130" w:type="dxa"/>
            <w:shd w:val="clear" w:color="auto" w:fill="auto"/>
            <w:vAlign w:val="center"/>
          </w:tcPr>
          <w:p w:rsidR="008F0607" w:rsidRPr="00FF5F86" w:rsidRDefault="005E1EC5" w:rsidP="00FF5F86">
            <w:pPr>
              <w:pStyle w:val="TableFooter"/>
              <w:widowControl/>
              <w:jc w:val="center"/>
              <w:rPr>
                <w:sz w:val="20"/>
              </w:rPr>
            </w:pPr>
            <w:r>
              <w:rPr>
                <w:noProof/>
                <w:color w:val="000000"/>
                <w:sz w:val="20"/>
                <w:highlight w:val="black"/>
                <w:lang w:eastAsia="en-AU"/>
              </w:rPr>
              <w:t>''''''</w:t>
            </w:r>
            <w:r w:rsidR="008F0607" w:rsidRPr="00FF5F86">
              <w:rPr>
                <w:color w:val="000000"/>
                <w:sz w:val="20"/>
                <w:lang w:eastAsia="en-AU"/>
              </w:rPr>
              <w:t>%</w:t>
            </w:r>
          </w:p>
        </w:tc>
        <w:tc>
          <w:tcPr>
            <w:tcW w:w="2131" w:type="dxa"/>
            <w:shd w:val="clear" w:color="auto" w:fill="auto"/>
            <w:vAlign w:val="center"/>
          </w:tcPr>
          <w:p w:rsidR="008F0607" w:rsidRPr="00FF5F86" w:rsidRDefault="008F0607" w:rsidP="00FF5F86">
            <w:pPr>
              <w:pStyle w:val="TableFooter"/>
              <w:widowControl/>
              <w:jc w:val="center"/>
              <w:rPr>
                <w:sz w:val="20"/>
              </w:rPr>
            </w:pPr>
            <w:r w:rsidRPr="00FF5F86">
              <w:rPr>
                <w:color w:val="000000"/>
                <w:sz w:val="20"/>
                <w:lang w:eastAsia="en-AU"/>
              </w:rPr>
              <w:t>$</w:t>
            </w:r>
            <w:r w:rsidR="005E1EC5">
              <w:rPr>
                <w:noProof/>
                <w:color w:val="000000"/>
                <w:sz w:val="20"/>
                <w:highlight w:val="black"/>
                <w:lang w:eastAsia="en-AU"/>
              </w:rPr>
              <w:t>'''''''''''</w:t>
            </w:r>
          </w:p>
        </w:tc>
        <w:tc>
          <w:tcPr>
            <w:tcW w:w="2131" w:type="dxa"/>
            <w:shd w:val="clear" w:color="auto" w:fill="auto"/>
            <w:vAlign w:val="center"/>
          </w:tcPr>
          <w:p w:rsidR="008F0607" w:rsidRPr="00FF5F86" w:rsidRDefault="003F06D6" w:rsidP="00FF5F86">
            <w:pPr>
              <w:pStyle w:val="TableFooter"/>
              <w:widowControl/>
              <w:jc w:val="center"/>
              <w:rPr>
                <w:sz w:val="20"/>
              </w:rPr>
            </w:pPr>
            <w:r w:rsidRPr="00FF5F86">
              <w:rPr>
                <w:sz w:val="20"/>
              </w:rPr>
              <w:t>10 mg: $24.54</w:t>
            </w:r>
          </w:p>
          <w:p w:rsidR="003F06D6" w:rsidRPr="00FF5F86" w:rsidRDefault="003F06D6" w:rsidP="00FF5F86">
            <w:pPr>
              <w:pStyle w:val="TableFooter"/>
              <w:widowControl/>
              <w:jc w:val="center"/>
              <w:rPr>
                <w:sz w:val="20"/>
              </w:rPr>
            </w:pPr>
            <w:r w:rsidRPr="00FF5F86">
              <w:rPr>
                <w:sz w:val="20"/>
              </w:rPr>
              <w:t>20 mg: $30.03</w:t>
            </w:r>
          </w:p>
        </w:tc>
      </w:tr>
      <w:tr w:rsidR="008F0607" w:rsidRPr="00FF5F86" w:rsidTr="00FF5F86">
        <w:trPr>
          <w:trHeight w:val="340"/>
        </w:trPr>
        <w:tc>
          <w:tcPr>
            <w:tcW w:w="2130" w:type="dxa"/>
            <w:shd w:val="clear" w:color="auto" w:fill="auto"/>
            <w:vAlign w:val="center"/>
          </w:tcPr>
          <w:p w:rsidR="008F0607" w:rsidRPr="00FF5F86" w:rsidRDefault="008F0607" w:rsidP="00FF5F86">
            <w:pPr>
              <w:pStyle w:val="TableFooter"/>
              <w:widowControl/>
              <w:jc w:val="left"/>
              <w:rPr>
                <w:sz w:val="20"/>
              </w:rPr>
            </w:pPr>
            <w:r w:rsidRPr="00FF5F86">
              <w:rPr>
                <w:color w:val="000000"/>
                <w:sz w:val="20"/>
                <w:lang w:eastAsia="en-AU"/>
              </w:rPr>
              <w:t>Perhexiline</w:t>
            </w:r>
          </w:p>
        </w:tc>
        <w:tc>
          <w:tcPr>
            <w:tcW w:w="2130" w:type="dxa"/>
            <w:shd w:val="clear" w:color="auto" w:fill="auto"/>
            <w:vAlign w:val="center"/>
          </w:tcPr>
          <w:p w:rsidR="008F0607" w:rsidRPr="00FF5F86" w:rsidRDefault="005E1EC5" w:rsidP="00FF5F86">
            <w:pPr>
              <w:pStyle w:val="TableFooter"/>
              <w:widowControl/>
              <w:jc w:val="center"/>
              <w:rPr>
                <w:sz w:val="20"/>
              </w:rPr>
            </w:pPr>
            <w:r>
              <w:rPr>
                <w:noProof/>
                <w:color w:val="000000"/>
                <w:sz w:val="20"/>
                <w:highlight w:val="black"/>
                <w:lang w:eastAsia="en-AU"/>
              </w:rPr>
              <w:t>'''</w:t>
            </w:r>
            <w:r w:rsidR="008F0607" w:rsidRPr="00FF5F86">
              <w:rPr>
                <w:color w:val="000000"/>
                <w:sz w:val="20"/>
                <w:lang w:eastAsia="en-AU"/>
              </w:rPr>
              <w:t>%</w:t>
            </w:r>
          </w:p>
        </w:tc>
        <w:tc>
          <w:tcPr>
            <w:tcW w:w="2131" w:type="dxa"/>
            <w:shd w:val="clear" w:color="auto" w:fill="auto"/>
            <w:vAlign w:val="center"/>
          </w:tcPr>
          <w:p w:rsidR="008F0607" w:rsidRPr="00FF5F86" w:rsidRDefault="008F0607" w:rsidP="00FF5F86">
            <w:pPr>
              <w:pStyle w:val="TableFooter"/>
              <w:widowControl/>
              <w:jc w:val="center"/>
              <w:rPr>
                <w:sz w:val="20"/>
              </w:rPr>
            </w:pPr>
            <w:r w:rsidRPr="00FF5F86">
              <w:rPr>
                <w:color w:val="000000"/>
                <w:sz w:val="20"/>
                <w:lang w:eastAsia="en-AU"/>
              </w:rPr>
              <w:t>$</w:t>
            </w:r>
            <w:r w:rsidR="005E1EC5">
              <w:rPr>
                <w:noProof/>
                <w:color w:val="000000"/>
                <w:sz w:val="20"/>
                <w:highlight w:val="black"/>
                <w:lang w:eastAsia="en-AU"/>
              </w:rPr>
              <w:t>''''''''''</w:t>
            </w:r>
          </w:p>
        </w:tc>
        <w:tc>
          <w:tcPr>
            <w:tcW w:w="2131" w:type="dxa"/>
            <w:shd w:val="clear" w:color="auto" w:fill="auto"/>
            <w:vAlign w:val="center"/>
          </w:tcPr>
          <w:p w:rsidR="008F0607" w:rsidRPr="00FF5F86" w:rsidRDefault="003F06D6" w:rsidP="00FF5F86">
            <w:pPr>
              <w:pStyle w:val="TableFooter"/>
              <w:widowControl/>
              <w:jc w:val="center"/>
              <w:rPr>
                <w:sz w:val="20"/>
              </w:rPr>
            </w:pPr>
            <w:r w:rsidRPr="00FF5F86">
              <w:rPr>
                <w:sz w:val="20"/>
              </w:rPr>
              <w:t>$59.09</w:t>
            </w:r>
          </w:p>
        </w:tc>
      </w:tr>
      <w:tr w:rsidR="008F0607" w:rsidRPr="00FF5F86" w:rsidTr="00FF5F86">
        <w:trPr>
          <w:trHeight w:val="340"/>
        </w:trPr>
        <w:tc>
          <w:tcPr>
            <w:tcW w:w="2130" w:type="dxa"/>
            <w:shd w:val="clear" w:color="auto" w:fill="auto"/>
            <w:vAlign w:val="center"/>
          </w:tcPr>
          <w:p w:rsidR="008F0607" w:rsidRPr="00FF5F86" w:rsidRDefault="008F0607" w:rsidP="008F0607">
            <w:pPr>
              <w:pStyle w:val="TableFooter"/>
              <w:widowControl/>
              <w:rPr>
                <w:sz w:val="20"/>
              </w:rPr>
            </w:pPr>
            <w:r w:rsidRPr="00FF5F86">
              <w:rPr>
                <w:b/>
                <w:sz w:val="20"/>
              </w:rPr>
              <w:t>Proposed Price</w:t>
            </w:r>
          </w:p>
        </w:tc>
        <w:tc>
          <w:tcPr>
            <w:tcW w:w="2130" w:type="dxa"/>
            <w:shd w:val="clear" w:color="auto" w:fill="auto"/>
            <w:vAlign w:val="bottom"/>
          </w:tcPr>
          <w:p w:rsidR="008F0607" w:rsidRPr="00FF5F86" w:rsidRDefault="008F0607" w:rsidP="00147B71">
            <w:pPr>
              <w:pStyle w:val="TableFooter"/>
              <w:widowControl/>
              <w:jc w:val="center"/>
              <w:rPr>
                <w:sz w:val="20"/>
              </w:rPr>
            </w:pPr>
          </w:p>
        </w:tc>
        <w:tc>
          <w:tcPr>
            <w:tcW w:w="2131" w:type="dxa"/>
            <w:shd w:val="clear" w:color="auto" w:fill="auto"/>
            <w:vAlign w:val="center"/>
          </w:tcPr>
          <w:p w:rsidR="008F0607" w:rsidRPr="00FF5F86" w:rsidRDefault="008F0607" w:rsidP="00FF5F86">
            <w:pPr>
              <w:pStyle w:val="TableFooter"/>
              <w:widowControl/>
              <w:jc w:val="center"/>
              <w:rPr>
                <w:sz w:val="20"/>
              </w:rPr>
            </w:pPr>
            <w:r w:rsidRPr="00FF5F86">
              <w:rPr>
                <w:b/>
                <w:sz w:val="20"/>
              </w:rPr>
              <w:t>$</w:t>
            </w:r>
            <w:r w:rsidR="005E1EC5">
              <w:rPr>
                <w:b/>
                <w:noProof/>
                <w:color w:val="000000"/>
                <w:sz w:val="20"/>
                <w:highlight w:val="black"/>
              </w:rPr>
              <w:t>''''''''</w:t>
            </w:r>
          </w:p>
        </w:tc>
        <w:tc>
          <w:tcPr>
            <w:tcW w:w="2131" w:type="dxa"/>
            <w:shd w:val="clear" w:color="auto" w:fill="auto"/>
            <w:vAlign w:val="center"/>
          </w:tcPr>
          <w:p w:rsidR="008F0607" w:rsidRPr="00FF5F86" w:rsidRDefault="008F0607" w:rsidP="00FF5F86">
            <w:pPr>
              <w:pStyle w:val="TableFooter"/>
              <w:widowControl/>
              <w:jc w:val="center"/>
              <w:rPr>
                <w:sz w:val="20"/>
              </w:rPr>
            </w:pPr>
            <w:r w:rsidRPr="00FF5F86">
              <w:rPr>
                <w:b/>
                <w:sz w:val="20"/>
              </w:rPr>
              <w:t>$</w:t>
            </w:r>
            <w:r w:rsidR="005E1EC5">
              <w:rPr>
                <w:b/>
                <w:noProof/>
                <w:color w:val="000000"/>
                <w:sz w:val="20"/>
                <w:highlight w:val="black"/>
              </w:rPr>
              <w:t>''''''''''''</w:t>
            </w:r>
          </w:p>
        </w:tc>
      </w:tr>
      <w:tr w:rsidR="00835033" w:rsidRPr="00FF5F86" w:rsidTr="00FF5F86">
        <w:trPr>
          <w:trHeight w:val="567"/>
        </w:trPr>
        <w:tc>
          <w:tcPr>
            <w:tcW w:w="2130" w:type="dxa"/>
            <w:vAlign w:val="center"/>
          </w:tcPr>
          <w:p w:rsidR="00835033" w:rsidRPr="00FF5F86" w:rsidRDefault="00835033" w:rsidP="00FF5F86">
            <w:pPr>
              <w:pStyle w:val="TableFooter"/>
              <w:widowControl/>
              <w:jc w:val="left"/>
              <w:rPr>
                <w:color w:val="000000"/>
                <w:sz w:val="20"/>
                <w:lang w:eastAsia="en-AU"/>
              </w:rPr>
            </w:pPr>
            <w:r w:rsidRPr="00FF5F86">
              <w:rPr>
                <w:color w:val="000000"/>
                <w:sz w:val="20"/>
                <w:lang w:eastAsia="en-AU"/>
              </w:rPr>
              <w:t>Isosorbide mononitrate</w:t>
            </w:r>
          </w:p>
          <w:p w:rsidR="00835033" w:rsidRPr="00FF5F86" w:rsidRDefault="00835033" w:rsidP="00FF5F86">
            <w:pPr>
              <w:pStyle w:val="TableFooter"/>
              <w:widowControl/>
              <w:jc w:val="left"/>
              <w:rPr>
                <w:b/>
                <w:sz w:val="20"/>
              </w:rPr>
            </w:pPr>
            <w:r w:rsidRPr="00FF5F86">
              <w:rPr>
                <w:color w:val="000000"/>
                <w:sz w:val="20"/>
                <w:lang w:eastAsia="en-AU"/>
              </w:rPr>
              <w:t>(long acting nitrate)</w:t>
            </w:r>
          </w:p>
        </w:tc>
        <w:tc>
          <w:tcPr>
            <w:tcW w:w="2130" w:type="dxa"/>
            <w:shd w:val="clear" w:color="auto" w:fill="A6A6A6" w:themeFill="background1" w:themeFillShade="A6"/>
            <w:vAlign w:val="center"/>
          </w:tcPr>
          <w:p w:rsidR="00835033" w:rsidRPr="00FF5F86" w:rsidRDefault="00835033" w:rsidP="00FF5F86">
            <w:pPr>
              <w:pStyle w:val="TableFooter"/>
              <w:widowControl/>
              <w:jc w:val="left"/>
              <w:rPr>
                <w:sz w:val="20"/>
              </w:rPr>
            </w:pPr>
          </w:p>
        </w:tc>
        <w:tc>
          <w:tcPr>
            <w:tcW w:w="2131" w:type="dxa"/>
            <w:shd w:val="clear" w:color="auto" w:fill="A6A6A6" w:themeFill="background1" w:themeFillShade="A6"/>
            <w:vAlign w:val="center"/>
          </w:tcPr>
          <w:p w:rsidR="009E55BD" w:rsidRPr="00FF5F86" w:rsidRDefault="009E55BD" w:rsidP="00FF5F86">
            <w:pPr>
              <w:pStyle w:val="TableFooter"/>
              <w:widowControl/>
              <w:jc w:val="left"/>
              <w:rPr>
                <w:b/>
                <w:sz w:val="20"/>
              </w:rPr>
            </w:pPr>
          </w:p>
        </w:tc>
        <w:tc>
          <w:tcPr>
            <w:tcW w:w="2131" w:type="dxa"/>
            <w:vAlign w:val="center"/>
          </w:tcPr>
          <w:p w:rsidR="00835033" w:rsidRPr="00FF5F86" w:rsidRDefault="00835033" w:rsidP="00FF5F86">
            <w:pPr>
              <w:pStyle w:val="TableFooter"/>
              <w:widowControl/>
              <w:jc w:val="center"/>
              <w:rPr>
                <w:sz w:val="20"/>
              </w:rPr>
            </w:pPr>
            <w:r w:rsidRPr="00FF5F86">
              <w:rPr>
                <w:sz w:val="20"/>
              </w:rPr>
              <w:t>60 mg: $14.24</w:t>
            </w:r>
          </w:p>
          <w:p w:rsidR="00835033" w:rsidRPr="00FF5F86" w:rsidRDefault="00835033" w:rsidP="00FF5F86">
            <w:pPr>
              <w:pStyle w:val="TableFooter"/>
              <w:widowControl/>
              <w:jc w:val="center"/>
              <w:rPr>
                <w:b/>
                <w:sz w:val="20"/>
              </w:rPr>
            </w:pPr>
            <w:r w:rsidRPr="00FF5F86">
              <w:rPr>
                <w:sz w:val="20"/>
              </w:rPr>
              <w:t>120 mg: $18.74</w:t>
            </w:r>
          </w:p>
        </w:tc>
      </w:tr>
    </w:tbl>
    <w:p w:rsidR="00A113ED" w:rsidRDefault="00A113ED" w:rsidP="00A113ED">
      <w:pPr>
        <w:pStyle w:val="TableFooter"/>
        <w:widowControl/>
        <w:ind w:left="720"/>
      </w:pPr>
      <w:r>
        <w:t>Source: Section D of t</w:t>
      </w:r>
      <w:r w:rsidRPr="00415355">
        <w:t>he submission.</w:t>
      </w:r>
    </w:p>
    <w:p w:rsidR="00A113ED" w:rsidRDefault="00A113ED" w:rsidP="00A113ED">
      <w:pPr>
        <w:pStyle w:val="TableFooter"/>
        <w:widowControl/>
        <w:ind w:left="720"/>
      </w:pPr>
      <w:r w:rsidRPr="002220DF">
        <w:t>AEMP = approved ex-manufacturer price; DPMQ = dispensed price per maximum quantity</w:t>
      </w:r>
    </w:p>
    <w:p w:rsidR="00A113ED" w:rsidRDefault="00A113ED" w:rsidP="00A113ED">
      <w:pPr>
        <w:pStyle w:val="TableFooter"/>
        <w:widowControl/>
        <w:ind w:left="720"/>
      </w:pPr>
      <w:r>
        <w:t>*AEMP/day at which ranolazine was assumed by the submission to be cost effective, based on results of the cost effectiveness model and cost minimisation analyses.</w:t>
      </w:r>
    </w:p>
    <w:p w:rsidR="00787E28" w:rsidRPr="00AE5915" w:rsidRDefault="00787E28" w:rsidP="00A113ED">
      <w:pPr>
        <w:pStyle w:val="TableFooter"/>
        <w:widowControl/>
        <w:ind w:left="720"/>
        <w:rPr>
          <w:rStyle w:val="CommentReference"/>
          <w:b w:val="0"/>
          <w:sz w:val="18"/>
          <w:szCs w:val="20"/>
        </w:rPr>
      </w:pPr>
      <w:r>
        <w:t>^Price at 1 March 2017</w:t>
      </w:r>
    </w:p>
    <w:p w:rsidR="00AD24F1" w:rsidRPr="002220DF" w:rsidRDefault="00AD24F1" w:rsidP="00142D19">
      <w:pPr>
        <w:widowControl/>
        <w:rPr>
          <w:szCs w:val="22"/>
        </w:rPr>
      </w:pPr>
    </w:p>
    <w:p w:rsidR="00D93D8C" w:rsidRPr="001255F7" w:rsidRDefault="00F56DD3" w:rsidP="00142D19">
      <w:pPr>
        <w:pStyle w:val="ListParagraph"/>
        <w:widowControl/>
        <w:numPr>
          <w:ilvl w:val="1"/>
          <w:numId w:val="11"/>
        </w:numPr>
        <w:rPr>
          <w:szCs w:val="22"/>
        </w:rPr>
      </w:pPr>
      <w:r w:rsidRPr="001255F7">
        <w:rPr>
          <w:szCs w:val="22"/>
        </w:rPr>
        <w:t>The submission proposed a DPMQ of $</w:t>
      </w:r>
      <w:r w:rsidR="005E1EC5">
        <w:rPr>
          <w:noProof/>
          <w:color w:val="000000"/>
          <w:szCs w:val="22"/>
          <w:highlight w:val="black"/>
        </w:rPr>
        <w:t>'''''''''''''''</w:t>
      </w:r>
      <w:r w:rsidRPr="001255F7">
        <w:rPr>
          <w:szCs w:val="22"/>
        </w:rPr>
        <w:t xml:space="preserve"> for a 30-day supply of ranolazine based on the </w:t>
      </w:r>
      <w:r w:rsidR="004D4FF7" w:rsidRPr="001255F7">
        <w:rPr>
          <w:szCs w:val="22"/>
        </w:rPr>
        <w:t>comparisons</w:t>
      </w:r>
      <w:r w:rsidRPr="001255F7">
        <w:rPr>
          <w:szCs w:val="22"/>
        </w:rPr>
        <w:t xml:space="preserve"> with</w:t>
      </w:r>
      <w:r w:rsidR="004D4FF7" w:rsidRPr="001255F7">
        <w:rPr>
          <w:szCs w:val="22"/>
        </w:rPr>
        <w:t xml:space="preserve"> placebo,</w:t>
      </w:r>
      <w:r w:rsidRPr="001255F7">
        <w:rPr>
          <w:szCs w:val="22"/>
        </w:rPr>
        <w:t xml:space="preserve"> perhexiline and nicorandil</w:t>
      </w:r>
      <w:r w:rsidR="007041D8" w:rsidRPr="001255F7">
        <w:rPr>
          <w:szCs w:val="22"/>
        </w:rPr>
        <w:t>.</w:t>
      </w:r>
      <w:r w:rsidR="00865451" w:rsidRPr="001255F7">
        <w:rPr>
          <w:szCs w:val="22"/>
        </w:rPr>
        <w:t xml:space="preserve"> </w:t>
      </w:r>
      <w:r w:rsidR="008A2613" w:rsidRPr="001255F7">
        <w:rPr>
          <w:szCs w:val="22"/>
        </w:rPr>
        <w:t xml:space="preserve">This was significantly higher than the current prices of </w:t>
      </w:r>
      <w:r w:rsidR="00D46C95" w:rsidRPr="001255F7">
        <w:rPr>
          <w:szCs w:val="22"/>
        </w:rPr>
        <w:t xml:space="preserve">alternative therapies </w:t>
      </w:r>
      <w:r w:rsidR="008A2613" w:rsidRPr="001255F7">
        <w:rPr>
          <w:szCs w:val="22"/>
        </w:rPr>
        <w:t>nicorand</w:t>
      </w:r>
      <w:r w:rsidR="00D46C95" w:rsidRPr="001255F7">
        <w:rPr>
          <w:szCs w:val="22"/>
        </w:rPr>
        <w:t>il and perhexiline</w:t>
      </w:r>
      <w:r w:rsidR="004D4FF7" w:rsidRPr="001255F7">
        <w:rPr>
          <w:szCs w:val="22"/>
        </w:rPr>
        <w:t xml:space="preserve"> (and long acting nitrates)</w:t>
      </w:r>
      <w:r w:rsidR="00D46C95" w:rsidRPr="001255F7">
        <w:rPr>
          <w:szCs w:val="22"/>
        </w:rPr>
        <w:t>.</w:t>
      </w:r>
      <w:r w:rsidR="008A2613" w:rsidRPr="001255F7">
        <w:rPr>
          <w:szCs w:val="22"/>
        </w:rPr>
        <w:t xml:space="preserve"> </w:t>
      </w:r>
    </w:p>
    <w:p w:rsidR="00290CB3" w:rsidRPr="001255F7" w:rsidRDefault="00290CB3" w:rsidP="00142D19">
      <w:pPr>
        <w:pStyle w:val="ListParagraph"/>
        <w:widowControl/>
        <w:rPr>
          <w:szCs w:val="22"/>
        </w:rPr>
      </w:pPr>
    </w:p>
    <w:p w:rsidR="00B26853" w:rsidRPr="001255F7" w:rsidRDefault="007862AD" w:rsidP="00142D19">
      <w:pPr>
        <w:pStyle w:val="ListParagraph"/>
        <w:widowControl/>
        <w:numPr>
          <w:ilvl w:val="1"/>
          <w:numId w:val="11"/>
        </w:numPr>
        <w:rPr>
          <w:szCs w:val="22"/>
        </w:rPr>
      </w:pPr>
      <w:r>
        <w:t>Overall, t</w:t>
      </w:r>
      <w:r w:rsidR="009571F9" w:rsidRPr="001255F7">
        <w:t xml:space="preserve">he </w:t>
      </w:r>
      <w:r w:rsidR="00B26853" w:rsidRPr="001255F7">
        <w:t xml:space="preserve">weighted </w:t>
      </w:r>
      <w:r w:rsidR="009571F9" w:rsidRPr="001255F7">
        <w:t>cost analys</w:t>
      </w:r>
      <w:r w:rsidR="00C97458" w:rsidRPr="001255F7">
        <w:t>i</w:t>
      </w:r>
      <w:r w:rsidR="009571F9" w:rsidRPr="001255F7">
        <w:t xml:space="preserve">s </w:t>
      </w:r>
      <w:r w:rsidR="006B3110" w:rsidRPr="001255F7">
        <w:t>w</w:t>
      </w:r>
      <w:r w:rsidR="00C97458" w:rsidRPr="001255F7">
        <w:t>as</w:t>
      </w:r>
      <w:r w:rsidR="006B3110" w:rsidRPr="001255F7">
        <w:t xml:space="preserve"> </w:t>
      </w:r>
      <w:r w:rsidR="00B26853" w:rsidRPr="001255F7">
        <w:t>not appropriate:</w:t>
      </w:r>
    </w:p>
    <w:p w:rsidR="00D46C95" w:rsidRPr="001255F7" w:rsidRDefault="00C31D71" w:rsidP="009937A2">
      <w:pPr>
        <w:pStyle w:val="ListParagraph"/>
        <w:widowControl/>
        <w:numPr>
          <w:ilvl w:val="0"/>
          <w:numId w:val="7"/>
        </w:numPr>
        <w:ind w:left="993" w:hanging="283"/>
        <w:rPr>
          <w:szCs w:val="22"/>
        </w:rPr>
      </w:pPr>
      <w:r w:rsidRPr="001255F7">
        <w:rPr>
          <w:szCs w:val="22"/>
        </w:rPr>
        <w:t>The submission failed to consider</w:t>
      </w:r>
      <w:r w:rsidR="00D46C95" w:rsidRPr="001255F7">
        <w:rPr>
          <w:szCs w:val="22"/>
        </w:rPr>
        <w:t xml:space="preserve"> long-acting nitrates, which </w:t>
      </w:r>
      <w:r w:rsidR="00B97694">
        <w:rPr>
          <w:szCs w:val="22"/>
        </w:rPr>
        <w:t>was</w:t>
      </w:r>
      <w:r w:rsidR="00D46C95" w:rsidRPr="001255F7">
        <w:rPr>
          <w:szCs w:val="22"/>
        </w:rPr>
        <w:t xml:space="preserve"> a relevant comparator;</w:t>
      </w:r>
    </w:p>
    <w:p w:rsidR="009937A2" w:rsidRPr="001255F7" w:rsidRDefault="00B26853" w:rsidP="009937A2">
      <w:pPr>
        <w:pStyle w:val="ListParagraph"/>
        <w:widowControl/>
        <w:numPr>
          <w:ilvl w:val="0"/>
          <w:numId w:val="7"/>
        </w:numPr>
        <w:ind w:left="993" w:hanging="283"/>
        <w:rPr>
          <w:szCs w:val="22"/>
        </w:rPr>
      </w:pPr>
      <w:r w:rsidRPr="001255F7">
        <w:rPr>
          <w:szCs w:val="22"/>
        </w:rPr>
        <w:t xml:space="preserve">The </w:t>
      </w:r>
      <w:r w:rsidR="00D46C95" w:rsidRPr="001255F7">
        <w:rPr>
          <w:szCs w:val="22"/>
        </w:rPr>
        <w:t xml:space="preserve">approach used to estimate the </w:t>
      </w:r>
      <w:r w:rsidRPr="001255F7">
        <w:rPr>
          <w:szCs w:val="22"/>
        </w:rPr>
        <w:t xml:space="preserve">weightings </w:t>
      </w:r>
      <w:r w:rsidR="00D46C95" w:rsidRPr="001255F7">
        <w:rPr>
          <w:szCs w:val="22"/>
        </w:rPr>
        <w:t>of the comparator components was not adequately justified in the submission</w:t>
      </w:r>
      <w:r w:rsidRPr="001255F7">
        <w:rPr>
          <w:szCs w:val="22"/>
        </w:rPr>
        <w:t>;</w:t>
      </w:r>
      <w:r w:rsidR="009B0BE7" w:rsidRPr="001255F7">
        <w:rPr>
          <w:szCs w:val="22"/>
        </w:rPr>
        <w:t xml:space="preserve"> and,</w:t>
      </w:r>
    </w:p>
    <w:p w:rsidR="00CC0AC1" w:rsidRPr="001255F7" w:rsidRDefault="00B26853" w:rsidP="009937A2">
      <w:pPr>
        <w:pStyle w:val="ListParagraph"/>
        <w:widowControl/>
        <w:numPr>
          <w:ilvl w:val="0"/>
          <w:numId w:val="7"/>
        </w:numPr>
        <w:ind w:left="993" w:hanging="283"/>
        <w:rPr>
          <w:szCs w:val="22"/>
        </w:rPr>
      </w:pPr>
      <w:r w:rsidRPr="001255F7">
        <w:rPr>
          <w:szCs w:val="22"/>
        </w:rPr>
        <w:t>Placebo was</w:t>
      </w:r>
      <w:r w:rsidR="0093386B" w:rsidRPr="001255F7">
        <w:rPr>
          <w:szCs w:val="22"/>
        </w:rPr>
        <w:t xml:space="preserve"> </w:t>
      </w:r>
      <w:r w:rsidR="009D1B9D" w:rsidRPr="001255F7">
        <w:rPr>
          <w:szCs w:val="22"/>
        </w:rPr>
        <w:t xml:space="preserve">included as a comparator and </w:t>
      </w:r>
      <w:r w:rsidRPr="001255F7">
        <w:rPr>
          <w:szCs w:val="22"/>
        </w:rPr>
        <w:t>given the greatest weight</w:t>
      </w:r>
      <w:r w:rsidR="00B935D8" w:rsidRPr="001255F7">
        <w:rPr>
          <w:szCs w:val="22"/>
        </w:rPr>
        <w:t xml:space="preserve"> (</w:t>
      </w:r>
      <w:r w:rsidR="005E1EC5">
        <w:rPr>
          <w:noProof/>
          <w:color w:val="000000"/>
          <w:szCs w:val="22"/>
          <w:highlight w:val="black"/>
        </w:rPr>
        <w:t>''''''</w:t>
      </w:r>
      <w:r w:rsidR="00B935D8" w:rsidRPr="001255F7">
        <w:rPr>
          <w:szCs w:val="22"/>
        </w:rPr>
        <w:t>%)</w:t>
      </w:r>
      <w:r w:rsidRPr="001255F7">
        <w:rPr>
          <w:szCs w:val="22"/>
        </w:rPr>
        <w:t xml:space="preserve"> in</w:t>
      </w:r>
      <w:r w:rsidR="00B34B4B" w:rsidRPr="001255F7">
        <w:rPr>
          <w:szCs w:val="22"/>
        </w:rPr>
        <w:t xml:space="preserve"> the analysis</w:t>
      </w:r>
      <w:r w:rsidR="00D46C95" w:rsidRPr="001255F7">
        <w:rPr>
          <w:szCs w:val="22"/>
        </w:rPr>
        <w:t>, which increased the proposed price of ranolazine</w:t>
      </w:r>
      <w:r w:rsidR="009B0BE7" w:rsidRPr="001255F7">
        <w:rPr>
          <w:szCs w:val="22"/>
        </w:rPr>
        <w:t>.</w:t>
      </w:r>
      <w:r w:rsidR="00D46C95" w:rsidRPr="001255F7">
        <w:rPr>
          <w:szCs w:val="22"/>
        </w:rPr>
        <w:t xml:space="preserve"> </w:t>
      </w:r>
      <w:bookmarkStart w:id="22" w:name="_Toc472515491"/>
    </w:p>
    <w:p w:rsidR="00D46C95" w:rsidRPr="00D46C95" w:rsidRDefault="00D46C95" w:rsidP="00142D19">
      <w:pPr>
        <w:pStyle w:val="ListParagraph"/>
        <w:widowControl/>
        <w:ind w:left="993"/>
        <w:rPr>
          <w:i/>
        </w:rPr>
      </w:pPr>
    </w:p>
    <w:p w:rsidR="00C25D9C" w:rsidRDefault="00EB2AD8" w:rsidP="00142D19">
      <w:pPr>
        <w:pStyle w:val="Heading2"/>
        <w:widowControl/>
        <w:rPr>
          <w:i/>
        </w:rPr>
      </w:pPr>
      <w:r w:rsidRPr="002220DF">
        <w:rPr>
          <w:i/>
        </w:rPr>
        <w:t>Drug cost/patient/year</w:t>
      </w:r>
      <w:r w:rsidR="001F4EFA" w:rsidRPr="002220DF">
        <w:rPr>
          <w:i/>
        </w:rPr>
        <w:t xml:space="preserve">: </w:t>
      </w:r>
      <w:r w:rsidR="001F4EFA" w:rsidRPr="00007761">
        <w:t>$</w:t>
      </w:r>
      <w:r w:rsidR="005E1EC5">
        <w:rPr>
          <w:noProof/>
          <w:color w:val="000000"/>
          <w:highlight w:val="black"/>
        </w:rPr>
        <w:t>''''''''''''''</w:t>
      </w:r>
      <w:r w:rsidR="001F4EFA" w:rsidRPr="00007761">
        <w:t xml:space="preserve"> per patient per year</w:t>
      </w:r>
      <w:bookmarkEnd w:id="22"/>
    </w:p>
    <w:p w:rsidR="009937A2" w:rsidRPr="009937A2" w:rsidRDefault="009937A2" w:rsidP="009937A2"/>
    <w:p w:rsidR="007862AD" w:rsidRPr="0001267E" w:rsidRDefault="001F4EFA" w:rsidP="007D2011">
      <w:pPr>
        <w:pStyle w:val="ListParagraph"/>
        <w:widowControl/>
        <w:numPr>
          <w:ilvl w:val="1"/>
          <w:numId w:val="11"/>
        </w:numPr>
        <w:rPr>
          <w:szCs w:val="22"/>
        </w:rPr>
      </w:pPr>
      <w:r w:rsidRPr="00390603">
        <w:rPr>
          <w:szCs w:val="22"/>
        </w:rPr>
        <w:t xml:space="preserve">The drug cost per patient per year of ranolazine therapy was based on the requested </w:t>
      </w:r>
      <w:r w:rsidR="008F45E9" w:rsidRPr="00390603">
        <w:rPr>
          <w:szCs w:val="22"/>
        </w:rPr>
        <w:t>DPMQ</w:t>
      </w:r>
      <w:r w:rsidRPr="00390603">
        <w:rPr>
          <w:szCs w:val="22"/>
        </w:rPr>
        <w:t xml:space="preserve"> of $</w:t>
      </w:r>
      <w:r w:rsidR="005E1EC5">
        <w:rPr>
          <w:noProof/>
          <w:color w:val="000000"/>
          <w:szCs w:val="22"/>
          <w:highlight w:val="black"/>
        </w:rPr>
        <w:t>'''''''''''''</w:t>
      </w:r>
      <w:r w:rsidRPr="00390603">
        <w:rPr>
          <w:szCs w:val="22"/>
        </w:rPr>
        <w:t xml:space="preserve">, with full compliance over 365 days (60 tablets per pack, </w:t>
      </w:r>
      <w:r w:rsidR="005E1EC5">
        <w:rPr>
          <w:noProof/>
          <w:color w:val="000000"/>
          <w:szCs w:val="22"/>
          <w:highlight w:val="black"/>
        </w:rPr>
        <w:t>''''''''''''</w:t>
      </w:r>
      <w:r w:rsidRPr="00390603">
        <w:rPr>
          <w:szCs w:val="22"/>
        </w:rPr>
        <w:t xml:space="preserve"> scripts per year)</w:t>
      </w:r>
      <w:r w:rsidR="00226042" w:rsidRPr="00390603">
        <w:rPr>
          <w:szCs w:val="22"/>
        </w:rPr>
        <w:t>.</w:t>
      </w:r>
    </w:p>
    <w:p w:rsidR="00B60939" w:rsidRPr="008B024F" w:rsidRDefault="00B60939" w:rsidP="00142D19">
      <w:pPr>
        <w:widowControl/>
        <w:rPr>
          <w:szCs w:val="22"/>
        </w:rPr>
      </w:pPr>
    </w:p>
    <w:p w:rsidR="00B60939" w:rsidRDefault="00B60939" w:rsidP="00142D19">
      <w:pPr>
        <w:pStyle w:val="Heading2"/>
        <w:widowControl/>
        <w:rPr>
          <w:i/>
        </w:rPr>
      </w:pPr>
      <w:bookmarkStart w:id="23" w:name="_Toc472515492"/>
      <w:r w:rsidRPr="002220DF">
        <w:rPr>
          <w:i/>
        </w:rPr>
        <w:t>Estimated PBS usage &amp; financial implications</w:t>
      </w:r>
      <w:bookmarkEnd w:id="23"/>
    </w:p>
    <w:p w:rsidR="009937A2" w:rsidRPr="009937A2" w:rsidRDefault="009937A2" w:rsidP="009937A2"/>
    <w:p w:rsidR="001255F7" w:rsidRPr="001255F7" w:rsidRDefault="001255F7" w:rsidP="001255F7">
      <w:pPr>
        <w:pStyle w:val="ListParagraph"/>
        <w:widowControl/>
        <w:numPr>
          <w:ilvl w:val="1"/>
          <w:numId w:val="4"/>
        </w:numPr>
        <w:rPr>
          <w:szCs w:val="22"/>
        </w:rPr>
      </w:pPr>
      <w:r w:rsidRPr="001255F7">
        <w:t xml:space="preserve">This submission </w:t>
      </w:r>
      <w:r w:rsidR="002A38C9">
        <w:t xml:space="preserve">was </w:t>
      </w:r>
      <w:r w:rsidRPr="001255F7">
        <w:t xml:space="preserve">considered by DUSC. </w:t>
      </w:r>
    </w:p>
    <w:p w:rsidR="001255F7" w:rsidRPr="001255F7" w:rsidRDefault="001255F7" w:rsidP="001255F7">
      <w:pPr>
        <w:pStyle w:val="ListParagraph"/>
        <w:widowControl/>
        <w:rPr>
          <w:szCs w:val="22"/>
        </w:rPr>
      </w:pPr>
    </w:p>
    <w:p w:rsidR="001255F7" w:rsidRPr="001255F7" w:rsidRDefault="001255F7" w:rsidP="001255F7">
      <w:pPr>
        <w:pStyle w:val="ListParagraph"/>
        <w:widowControl/>
        <w:numPr>
          <w:ilvl w:val="1"/>
          <w:numId w:val="4"/>
        </w:numPr>
        <w:rPr>
          <w:szCs w:val="22"/>
        </w:rPr>
      </w:pPr>
      <w:r w:rsidRPr="001255F7">
        <w:t>Both a market share and an epidemiological approach were used to estimate the extent of use of ranolazine. The submission presented the financial impacts for the epidemiological approach only. The market share approach was used as a sensitivity analysis.</w:t>
      </w:r>
      <w:r w:rsidR="002C52F9">
        <w:t xml:space="preserve"> The DUSC considered the estimates presented in the submission to be overestimated.</w:t>
      </w:r>
      <w:r w:rsidRPr="001255F7">
        <w:t xml:space="preserve"> </w:t>
      </w:r>
    </w:p>
    <w:p w:rsidR="001255F7" w:rsidRPr="001255F7" w:rsidRDefault="001255F7" w:rsidP="001255F7">
      <w:pPr>
        <w:pStyle w:val="ListParagraph"/>
      </w:pPr>
    </w:p>
    <w:p w:rsidR="001255F7" w:rsidRPr="001255F7" w:rsidRDefault="001255F7" w:rsidP="001255F7">
      <w:pPr>
        <w:pStyle w:val="ListParagraph"/>
        <w:widowControl/>
        <w:numPr>
          <w:ilvl w:val="1"/>
          <w:numId w:val="4"/>
        </w:numPr>
        <w:rPr>
          <w:szCs w:val="22"/>
        </w:rPr>
      </w:pPr>
      <w:r w:rsidRPr="001255F7">
        <w:t>Table 1</w:t>
      </w:r>
      <w:r w:rsidR="00D11DDE">
        <w:t>7</w:t>
      </w:r>
      <w:r w:rsidRPr="001255F7">
        <w:t xml:space="preserve"> presents the estimated use and financial implications of ranolazine utilisation. </w:t>
      </w:r>
    </w:p>
    <w:p w:rsidR="001255F7" w:rsidRPr="001255F7" w:rsidRDefault="001255F7" w:rsidP="000A5020"/>
    <w:p w:rsidR="001255F7" w:rsidRPr="001255F7" w:rsidRDefault="001255F7" w:rsidP="001255F7">
      <w:pPr>
        <w:ind w:firstLine="709"/>
        <w:rPr>
          <w:rStyle w:val="CommentReference"/>
        </w:rPr>
      </w:pPr>
      <w:r w:rsidRPr="001255F7">
        <w:rPr>
          <w:rStyle w:val="CommentReference"/>
        </w:rPr>
        <w:t>Table 1</w:t>
      </w:r>
      <w:r w:rsidR="00D11DDE">
        <w:rPr>
          <w:rStyle w:val="CommentReference"/>
        </w:rPr>
        <w:t>7</w:t>
      </w:r>
      <w:r w:rsidRPr="001255F7">
        <w:rPr>
          <w:rStyle w:val="CommentReference"/>
        </w:rPr>
        <w:t>: Estimated use and financial implications</w:t>
      </w:r>
    </w:p>
    <w:tbl>
      <w:tblPr>
        <w:tblStyle w:val="TableGrid"/>
        <w:tblW w:w="4584" w:type="pct"/>
        <w:tblInd w:w="747" w:type="dxa"/>
        <w:tblLook w:val="04A0" w:firstRow="1" w:lastRow="0" w:firstColumn="1" w:lastColumn="0" w:noHBand="0" w:noVBand="1"/>
        <w:tblCaption w:val="Table 17: Estimated use and financial implications"/>
      </w:tblPr>
      <w:tblGrid>
        <w:gridCol w:w="3231"/>
        <w:gridCol w:w="1060"/>
        <w:gridCol w:w="1028"/>
        <w:gridCol w:w="973"/>
        <w:gridCol w:w="974"/>
        <w:gridCol w:w="1060"/>
      </w:tblGrid>
      <w:tr w:rsidR="001255F7" w:rsidRPr="001255F7" w:rsidTr="004E1B7F">
        <w:trPr>
          <w:trHeight w:val="57"/>
          <w:tblHeader/>
        </w:trPr>
        <w:tc>
          <w:tcPr>
            <w:tcW w:w="19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255F7" w:rsidRPr="001255F7" w:rsidRDefault="001255F7" w:rsidP="001255F7">
            <w:pPr>
              <w:pStyle w:val="Tabletext"/>
              <w:rPr>
                <w:lang w:eastAsia="en-AU"/>
              </w:rPr>
            </w:pPr>
          </w:p>
        </w:tc>
        <w:tc>
          <w:tcPr>
            <w:tcW w:w="607"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1255F7" w:rsidRPr="001255F7" w:rsidRDefault="001255F7" w:rsidP="001255F7">
            <w:pPr>
              <w:pStyle w:val="Tabletext"/>
              <w:rPr>
                <w:b/>
                <w:lang w:eastAsia="en-AU"/>
              </w:rPr>
            </w:pPr>
            <w:r w:rsidRPr="001255F7">
              <w:rPr>
                <w:b/>
                <w:lang w:eastAsia="en-AU"/>
              </w:rPr>
              <w:t>Year 1</w:t>
            </w:r>
          </w:p>
        </w:tc>
        <w:tc>
          <w:tcPr>
            <w:tcW w:w="607"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1255F7" w:rsidRPr="001255F7" w:rsidRDefault="001255F7" w:rsidP="001255F7">
            <w:pPr>
              <w:pStyle w:val="Tabletext"/>
              <w:rPr>
                <w:b/>
                <w:lang w:eastAsia="en-AU"/>
              </w:rPr>
            </w:pPr>
            <w:r w:rsidRPr="001255F7">
              <w:rPr>
                <w:b/>
                <w:lang w:eastAsia="en-AU"/>
              </w:rPr>
              <w:t>Year 2</w:t>
            </w:r>
          </w:p>
        </w:tc>
        <w:tc>
          <w:tcPr>
            <w:tcW w:w="607"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1255F7" w:rsidRPr="001255F7" w:rsidRDefault="001255F7" w:rsidP="001255F7">
            <w:pPr>
              <w:pStyle w:val="Tabletext"/>
              <w:rPr>
                <w:b/>
                <w:lang w:eastAsia="en-AU"/>
              </w:rPr>
            </w:pPr>
            <w:r w:rsidRPr="001255F7">
              <w:rPr>
                <w:b/>
                <w:lang w:eastAsia="en-AU"/>
              </w:rPr>
              <w:t>Year 3</w:t>
            </w:r>
          </w:p>
        </w:tc>
        <w:tc>
          <w:tcPr>
            <w:tcW w:w="607"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1255F7" w:rsidRPr="001255F7" w:rsidRDefault="001255F7" w:rsidP="001255F7">
            <w:pPr>
              <w:pStyle w:val="Tabletext"/>
              <w:rPr>
                <w:b/>
                <w:lang w:eastAsia="en-AU"/>
              </w:rPr>
            </w:pPr>
            <w:r w:rsidRPr="001255F7">
              <w:rPr>
                <w:b/>
                <w:lang w:eastAsia="en-AU"/>
              </w:rPr>
              <w:t>Year 4</w:t>
            </w:r>
          </w:p>
        </w:tc>
        <w:tc>
          <w:tcPr>
            <w:tcW w:w="609"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1255F7" w:rsidRPr="001255F7" w:rsidRDefault="001255F7" w:rsidP="001255F7">
            <w:pPr>
              <w:pStyle w:val="Tabletext"/>
              <w:rPr>
                <w:b/>
                <w:lang w:eastAsia="en-AU"/>
              </w:rPr>
            </w:pPr>
            <w:r w:rsidRPr="001255F7">
              <w:rPr>
                <w:b/>
                <w:lang w:eastAsia="en-AU"/>
              </w:rPr>
              <w:t>Year 5</w:t>
            </w:r>
          </w:p>
        </w:tc>
      </w:tr>
      <w:tr w:rsidR="001255F7" w:rsidRPr="001255F7" w:rsidTr="001255F7">
        <w:trPr>
          <w:trHeight w:val="5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vAlign w:val="center"/>
          </w:tcPr>
          <w:p w:rsidR="001255F7" w:rsidRPr="001255F7" w:rsidRDefault="001255F7" w:rsidP="001255F7">
            <w:pPr>
              <w:pStyle w:val="Tabletext"/>
              <w:rPr>
                <w:b/>
              </w:rPr>
            </w:pPr>
            <w:r w:rsidRPr="001255F7">
              <w:rPr>
                <w:b/>
              </w:rPr>
              <w:t>Epidemiological approach</w:t>
            </w:r>
          </w:p>
        </w:tc>
      </w:tr>
      <w:tr w:rsidR="001255F7" w:rsidRPr="001255F7" w:rsidTr="001255F7">
        <w:trPr>
          <w:trHeight w:val="57"/>
        </w:trPr>
        <w:tc>
          <w:tcPr>
            <w:tcW w:w="196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vAlign w:val="center"/>
          </w:tcPr>
          <w:p w:rsidR="001255F7" w:rsidRPr="001255F7" w:rsidRDefault="001255F7" w:rsidP="001255F7">
            <w:pPr>
              <w:pStyle w:val="Tabletext"/>
              <w:rPr>
                <w:lang w:eastAsia="en-AU"/>
              </w:rPr>
            </w:pPr>
            <w:r w:rsidRPr="001255F7">
              <w:rPr>
                <w:lang w:eastAsia="en-AU"/>
              </w:rPr>
              <w:t xml:space="preserve">Net cost to PBS/RPBS </w:t>
            </w:r>
          </w:p>
        </w:tc>
        <w:tc>
          <w:tcPr>
            <w:tcW w:w="607"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tcPr>
          <w:p w:rsidR="001255F7" w:rsidRPr="001255F7" w:rsidRDefault="001255F7" w:rsidP="001255F7">
            <w:pPr>
              <w:pStyle w:val="Tabletext"/>
              <w:jc w:val="right"/>
            </w:pPr>
            <w:r w:rsidRPr="001255F7">
              <w:t>$</w:t>
            </w:r>
            <w:r w:rsidR="005E1EC5">
              <w:rPr>
                <w:noProof/>
                <w:color w:val="000000"/>
                <w:highlight w:val="black"/>
              </w:rPr>
              <w:t>'''''''''''''''''''''''''''''</w:t>
            </w:r>
          </w:p>
        </w:tc>
        <w:tc>
          <w:tcPr>
            <w:tcW w:w="607"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tcPr>
          <w:p w:rsidR="001255F7" w:rsidRPr="001255F7" w:rsidRDefault="001255F7" w:rsidP="001255F7">
            <w:pPr>
              <w:pStyle w:val="Tabletext"/>
              <w:jc w:val="right"/>
            </w:pPr>
            <w:r w:rsidRPr="001255F7">
              <w:t>$</w:t>
            </w:r>
            <w:r w:rsidR="005E1EC5">
              <w:rPr>
                <w:noProof/>
                <w:color w:val="000000"/>
                <w:highlight w:val="black"/>
              </w:rPr>
              <w:t>'''''''''''''''''''''''''''</w:t>
            </w:r>
          </w:p>
        </w:tc>
        <w:tc>
          <w:tcPr>
            <w:tcW w:w="607"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tcPr>
          <w:p w:rsidR="001255F7" w:rsidRPr="001255F7" w:rsidRDefault="001255F7" w:rsidP="001255F7">
            <w:pPr>
              <w:pStyle w:val="Tabletext"/>
              <w:jc w:val="right"/>
            </w:pPr>
            <w:r w:rsidRPr="001255F7">
              <w:t>$</w:t>
            </w:r>
            <w:r w:rsidR="005E1EC5">
              <w:rPr>
                <w:noProof/>
                <w:color w:val="000000"/>
                <w:highlight w:val="black"/>
              </w:rPr>
              <w:t>''''''''''''''''''''''''''</w:t>
            </w:r>
          </w:p>
        </w:tc>
        <w:tc>
          <w:tcPr>
            <w:tcW w:w="607"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tcPr>
          <w:p w:rsidR="001255F7" w:rsidRPr="001255F7" w:rsidRDefault="001255F7" w:rsidP="001255F7">
            <w:pPr>
              <w:pStyle w:val="Tabletext"/>
              <w:jc w:val="right"/>
            </w:pPr>
            <w:r w:rsidRPr="001255F7">
              <w:t>$</w:t>
            </w:r>
            <w:r w:rsidR="005E1EC5">
              <w:rPr>
                <w:noProof/>
                <w:color w:val="000000"/>
                <w:highlight w:val="black"/>
              </w:rPr>
              <w:t>''''''''''''''''''''''''</w:t>
            </w:r>
          </w:p>
        </w:tc>
        <w:tc>
          <w:tcPr>
            <w:tcW w:w="609"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tcPr>
          <w:p w:rsidR="001255F7" w:rsidRPr="001255F7" w:rsidRDefault="001255F7" w:rsidP="001255F7">
            <w:pPr>
              <w:pStyle w:val="Tabletext"/>
              <w:jc w:val="right"/>
            </w:pPr>
            <w:r w:rsidRPr="001255F7">
              <w:t>$</w:t>
            </w:r>
            <w:r w:rsidR="005E1EC5">
              <w:rPr>
                <w:noProof/>
                <w:color w:val="000000"/>
                <w:highlight w:val="black"/>
              </w:rPr>
              <w:t>'''''''''''''''''''''''''</w:t>
            </w:r>
          </w:p>
        </w:tc>
      </w:tr>
      <w:tr w:rsidR="001255F7" w:rsidRPr="001255F7" w:rsidTr="001255F7">
        <w:trPr>
          <w:trHeight w:val="57"/>
        </w:trPr>
        <w:tc>
          <w:tcPr>
            <w:tcW w:w="196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vAlign w:val="center"/>
          </w:tcPr>
          <w:p w:rsidR="001255F7" w:rsidRPr="001255F7" w:rsidRDefault="001255F7" w:rsidP="001255F7">
            <w:pPr>
              <w:pStyle w:val="Tabletext"/>
              <w:rPr>
                <w:lang w:eastAsia="en-AU"/>
              </w:rPr>
            </w:pPr>
            <w:r w:rsidRPr="001255F7">
              <w:rPr>
                <w:lang w:eastAsia="en-AU"/>
              </w:rPr>
              <w:t xml:space="preserve">Net cost to MBS </w:t>
            </w:r>
          </w:p>
        </w:tc>
        <w:tc>
          <w:tcPr>
            <w:tcW w:w="607"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tcPr>
          <w:p w:rsidR="001255F7" w:rsidRPr="001255F7" w:rsidRDefault="001255F7" w:rsidP="001255F7">
            <w:pPr>
              <w:pStyle w:val="Tabletext"/>
              <w:jc w:val="right"/>
            </w:pPr>
            <w:r w:rsidRPr="001255F7">
              <w:t>-$</w:t>
            </w:r>
            <w:r w:rsidR="005E1EC5">
              <w:rPr>
                <w:noProof/>
                <w:color w:val="000000"/>
                <w:highlight w:val="black"/>
              </w:rPr>
              <w:t>'''''''''''''''''''''''''</w:t>
            </w:r>
          </w:p>
        </w:tc>
        <w:tc>
          <w:tcPr>
            <w:tcW w:w="607"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tcPr>
          <w:p w:rsidR="001255F7" w:rsidRPr="001255F7" w:rsidRDefault="001255F7" w:rsidP="001255F7">
            <w:pPr>
              <w:pStyle w:val="Tabletext"/>
              <w:jc w:val="right"/>
            </w:pPr>
            <w:r w:rsidRPr="001255F7">
              <w:t>-$</w:t>
            </w:r>
            <w:r w:rsidR="005E1EC5">
              <w:rPr>
                <w:noProof/>
                <w:color w:val="000000"/>
                <w:highlight w:val="black"/>
              </w:rPr>
              <w:t>''''''''''''''''''''''''</w:t>
            </w:r>
          </w:p>
        </w:tc>
        <w:tc>
          <w:tcPr>
            <w:tcW w:w="607"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tcPr>
          <w:p w:rsidR="001255F7" w:rsidRPr="001255F7" w:rsidRDefault="001255F7" w:rsidP="001255F7">
            <w:pPr>
              <w:pStyle w:val="Tabletext"/>
              <w:jc w:val="right"/>
            </w:pPr>
            <w:r w:rsidRPr="001255F7">
              <w:t>-$</w:t>
            </w:r>
            <w:r w:rsidR="005E1EC5">
              <w:rPr>
                <w:noProof/>
                <w:color w:val="000000"/>
                <w:highlight w:val="black"/>
              </w:rPr>
              <w:t>'''''''''''''''''''''''</w:t>
            </w:r>
          </w:p>
        </w:tc>
        <w:tc>
          <w:tcPr>
            <w:tcW w:w="607"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tcPr>
          <w:p w:rsidR="001255F7" w:rsidRPr="001255F7" w:rsidRDefault="001255F7" w:rsidP="001255F7">
            <w:pPr>
              <w:pStyle w:val="Tabletext"/>
              <w:jc w:val="right"/>
            </w:pPr>
            <w:r w:rsidRPr="001255F7">
              <w:t>-$</w:t>
            </w:r>
            <w:r w:rsidR="005E1EC5">
              <w:rPr>
                <w:noProof/>
                <w:color w:val="000000"/>
                <w:highlight w:val="black"/>
              </w:rPr>
              <w:t>'''''''''''''''''''''''</w:t>
            </w:r>
          </w:p>
        </w:tc>
        <w:tc>
          <w:tcPr>
            <w:tcW w:w="609"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tcPr>
          <w:p w:rsidR="001255F7" w:rsidRPr="001255F7" w:rsidRDefault="001255F7" w:rsidP="001255F7">
            <w:pPr>
              <w:pStyle w:val="Tabletext"/>
              <w:jc w:val="right"/>
            </w:pPr>
            <w:r w:rsidRPr="001255F7">
              <w:t>-$</w:t>
            </w:r>
            <w:r w:rsidR="005E1EC5">
              <w:rPr>
                <w:noProof/>
                <w:color w:val="000000"/>
                <w:highlight w:val="black"/>
              </w:rPr>
              <w:t>'''''''''''''''''''''''''</w:t>
            </w:r>
          </w:p>
        </w:tc>
      </w:tr>
      <w:tr w:rsidR="001255F7" w:rsidRPr="001255F7" w:rsidTr="001255F7">
        <w:trPr>
          <w:trHeight w:val="57"/>
        </w:trPr>
        <w:tc>
          <w:tcPr>
            <w:tcW w:w="196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vAlign w:val="center"/>
          </w:tcPr>
          <w:p w:rsidR="001255F7" w:rsidRPr="001255F7" w:rsidRDefault="001255F7" w:rsidP="001255F7">
            <w:pPr>
              <w:pStyle w:val="Tabletext"/>
              <w:rPr>
                <w:lang w:eastAsia="en-AU"/>
              </w:rPr>
            </w:pPr>
            <w:r w:rsidRPr="001255F7">
              <w:rPr>
                <w:lang w:eastAsia="en-AU"/>
              </w:rPr>
              <w:t xml:space="preserve">Net cost to PBS/RPBS/MBS </w:t>
            </w:r>
          </w:p>
        </w:tc>
        <w:tc>
          <w:tcPr>
            <w:tcW w:w="607"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tcPr>
          <w:p w:rsidR="001255F7" w:rsidRPr="001255F7" w:rsidRDefault="001255F7" w:rsidP="001255F7">
            <w:pPr>
              <w:pStyle w:val="Tabletext"/>
              <w:jc w:val="right"/>
            </w:pPr>
            <w:r w:rsidRPr="001255F7">
              <w:t>$</w:t>
            </w:r>
            <w:r w:rsidR="005E1EC5">
              <w:rPr>
                <w:noProof/>
                <w:color w:val="000000"/>
                <w:highlight w:val="black"/>
              </w:rPr>
              <w:t>'''''''''''''''''''''''''''''</w:t>
            </w:r>
          </w:p>
        </w:tc>
        <w:tc>
          <w:tcPr>
            <w:tcW w:w="607"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tcPr>
          <w:p w:rsidR="001255F7" w:rsidRPr="001255F7" w:rsidRDefault="001255F7" w:rsidP="001255F7">
            <w:pPr>
              <w:pStyle w:val="Tabletext"/>
              <w:jc w:val="right"/>
            </w:pPr>
            <w:r w:rsidRPr="001255F7">
              <w:t>$</w:t>
            </w:r>
            <w:r w:rsidR="005E1EC5">
              <w:rPr>
                <w:noProof/>
                <w:color w:val="000000"/>
                <w:highlight w:val="black"/>
              </w:rPr>
              <w:t>''''''''''''''''''''''''''''</w:t>
            </w:r>
          </w:p>
        </w:tc>
        <w:tc>
          <w:tcPr>
            <w:tcW w:w="607"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tcPr>
          <w:p w:rsidR="001255F7" w:rsidRPr="001255F7" w:rsidRDefault="001255F7" w:rsidP="001255F7">
            <w:pPr>
              <w:pStyle w:val="Tabletext"/>
              <w:jc w:val="right"/>
            </w:pPr>
            <w:r w:rsidRPr="001255F7">
              <w:t>$</w:t>
            </w:r>
            <w:r w:rsidR="005E1EC5">
              <w:rPr>
                <w:noProof/>
                <w:color w:val="000000"/>
                <w:highlight w:val="black"/>
              </w:rPr>
              <w:t>''''''''''''''''''''''''''</w:t>
            </w:r>
          </w:p>
        </w:tc>
        <w:tc>
          <w:tcPr>
            <w:tcW w:w="607"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tcPr>
          <w:p w:rsidR="001255F7" w:rsidRPr="001255F7" w:rsidRDefault="001255F7" w:rsidP="001255F7">
            <w:pPr>
              <w:pStyle w:val="Tabletext"/>
              <w:jc w:val="right"/>
            </w:pPr>
            <w:r w:rsidRPr="001255F7">
              <w:t>$</w:t>
            </w:r>
            <w:r w:rsidR="005E1EC5">
              <w:rPr>
                <w:noProof/>
                <w:color w:val="000000"/>
                <w:highlight w:val="black"/>
              </w:rPr>
              <w:t>'''''''''''''''''''''''</w:t>
            </w:r>
          </w:p>
        </w:tc>
        <w:tc>
          <w:tcPr>
            <w:tcW w:w="609"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tcPr>
          <w:p w:rsidR="001255F7" w:rsidRPr="001255F7" w:rsidRDefault="001255F7" w:rsidP="001255F7">
            <w:pPr>
              <w:pStyle w:val="Tabletext"/>
              <w:jc w:val="right"/>
            </w:pPr>
            <w:r w:rsidRPr="001255F7">
              <w:t>$</w:t>
            </w:r>
            <w:r w:rsidR="005E1EC5">
              <w:rPr>
                <w:noProof/>
                <w:color w:val="000000"/>
                <w:highlight w:val="black"/>
              </w:rPr>
              <w:t>''''''''''''''''''''''''''''</w:t>
            </w:r>
          </w:p>
        </w:tc>
      </w:tr>
      <w:tr w:rsidR="001255F7" w:rsidRPr="001255F7" w:rsidTr="001255F7">
        <w:trPr>
          <w:trHeight w:val="5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vAlign w:val="center"/>
          </w:tcPr>
          <w:p w:rsidR="001255F7" w:rsidRPr="001255F7" w:rsidRDefault="001255F7" w:rsidP="001255F7">
            <w:pPr>
              <w:pStyle w:val="Tabletext"/>
              <w:rPr>
                <w:b/>
              </w:rPr>
            </w:pPr>
            <w:r w:rsidRPr="001255F7">
              <w:rPr>
                <w:b/>
              </w:rPr>
              <w:t>Market share approach (PBS 10% sample)</w:t>
            </w:r>
          </w:p>
        </w:tc>
      </w:tr>
      <w:tr w:rsidR="001255F7" w:rsidRPr="001255F7" w:rsidTr="001255F7">
        <w:trPr>
          <w:trHeight w:val="57"/>
        </w:trPr>
        <w:tc>
          <w:tcPr>
            <w:tcW w:w="196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tcPr>
          <w:p w:rsidR="001255F7" w:rsidRPr="001255F7" w:rsidRDefault="001255F7" w:rsidP="001255F7">
            <w:pPr>
              <w:pStyle w:val="Tabletext"/>
              <w:rPr>
                <w:lang w:eastAsia="en-AU"/>
              </w:rPr>
            </w:pPr>
            <w:r w:rsidRPr="001255F7">
              <w:t>Net cost to PBS/RPBS/MBS</w:t>
            </w:r>
          </w:p>
        </w:tc>
        <w:tc>
          <w:tcPr>
            <w:tcW w:w="607"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tcPr>
          <w:p w:rsidR="001255F7" w:rsidRPr="001255F7" w:rsidRDefault="001255F7" w:rsidP="001255F7">
            <w:pPr>
              <w:pStyle w:val="Tabletext"/>
              <w:jc w:val="right"/>
            </w:pPr>
            <w:r w:rsidRPr="001255F7">
              <w:t>$</w:t>
            </w:r>
            <w:r w:rsidR="005E1EC5">
              <w:rPr>
                <w:noProof/>
                <w:color w:val="000000"/>
                <w:highlight w:val="black"/>
              </w:rPr>
              <w:t>'''''''''''''''''''''''''''''</w:t>
            </w:r>
          </w:p>
        </w:tc>
        <w:tc>
          <w:tcPr>
            <w:tcW w:w="607"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tcPr>
          <w:p w:rsidR="001255F7" w:rsidRPr="001255F7" w:rsidRDefault="001255F7" w:rsidP="001255F7">
            <w:pPr>
              <w:pStyle w:val="Tabletext"/>
              <w:jc w:val="right"/>
            </w:pPr>
            <w:r w:rsidRPr="001255F7">
              <w:t>$</w:t>
            </w:r>
            <w:r w:rsidR="005E1EC5">
              <w:rPr>
                <w:noProof/>
                <w:color w:val="000000"/>
                <w:highlight w:val="black"/>
              </w:rPr>
              <w:t>'''''''''''''''''''''''''</w:t>
            </w:r>
          </w:p>
        </w:tc>
        <w:tc>
          <w:tcPr>
            <w:tcW w:w="607"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tcPr>
          <w:p w:rsidR="001255F7" w:rsidRPr="001255F7" w:rsidRDefault="001255F7" w:rsidP="001255F7">
            <w:pPr>
              <w:pStyle w:val="Tabletext"/>
              <w:jc w:val="right"/>
            </w:pPr>
            <w:r w:rsidRPr="001255F7">
              <w:t>$</w:t>
            </w:r>
            <w:r w:rsidR="005E1EC5">
              <w:rPr>
                <w:noProof/>
                <w:color w:val="000000"/>
                <w:highlight w:val="black"/>
              </w:rPr>
              <w:t>''''''''''''''''''''''''''</w:t>
            </w:r>
          </w:p>
        </w:tc>
        <w:tc>
          <w:tcPr>
            <w:tcW w:w="607"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tcPr>
          <w:p w:rsidR="001255F7" w:rsidRPr="001255F7" w:rsidRDefault="001255F7" w:rsidP="001255F7">
            <w:pPr>
              <w:pStyle w:val="Tabletext"/>
              <w:jc w:val="right"/>
            </w:pPr>
            <w:r w:rsidRPr="001255F7">
              <w:t>$</w:t>
            </w:r>
            <w:r w:rsidR="005E1EC5">
              <w:rPr>
                <w:noProof/>
                <w:color w:val="000000"/>
                <w:highlight w:val="black"/>
              </w:rPr>
              <w:t>''''''''''''''''''''''''</w:t>
            </w:r>
          </w:p>
        </w:tc>
        <w:tc>
          <w:tcPr>
            <w:tcW w:w="609"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tcPr>
          <w:p w:rsidR="001255F7" w:rsidRPr="001255F7" w:rsidRDefault="001255F7" w:rsidP="001255F7">
            <w:pPr>
              <w:pStyle w:val="Tabletext"/>
              <w:jc w:val="right"/>
            </w:pPr>
            <w:r w:rsidRPr="001255F7">
              <w:t>$</w:t>
            </w:r>
            <w:r w:rsidR="005E1EC5">
              <w:rPr>
                <w:noProof/>
                <w:color w:val="000000"/>
                <w:highlight w:val="black"/>
              </w:rPr>
              <w:t>'''''''''''''''''''''''''''''</w:t>
            </w:r>
          </w:p>
        </w:tc>
      </w:tr>
    </w:tbl>
    <w:p w:rsidR="001255F7" w:rsidRPr="001255F7" w:rsidRDefault="001255F7" w:rsidP="001255F7">
      <w:pPr>
        <w:keepNext/>
        <w:widowControl/>
        <w:snapToGrid w:val="0"/>
        <w:ind w:left="709"/>
        <w:rPr>
          <w:rFonts w:ascii="Arial Narrow" w:hAnsi="Arial Narrow"/>
          <w:snapToGrid/>
          <w:sz w:val="18"/>
        </w:rPr>
      </w:pPr>
      <w:r w:rsidRPr="001255F7">
        <w:rPr>
          <w:rFonts w:ascii="Arial Narrow" w:hAnsi="Arial Narrow"/>
          <w:snapToGrid/>
          <w:sz w:val="18"/>
        </w:rPr>
        <w:t xml:space="preserve">Source: Tables E-13 - E15, pp184-5 of the submission and calculated or corrected during evaluation </w:t>
      </w:r>
    </w:p>
    <w:p w:rsidR="001255F7" w:rsidRPr="001255F7" w:rsidRDefault="001255F7" w:rsidP="001255F7">
      <w:pPr>
        <w:keepNext/>
        <w:widowControl/>
        <w:snapToGrid w:val="0"/>
        <w:ind w:left="709"/>
        <w:rPr>
          <w:rFonts w:ascii="Arial Narrow" w:hAnsi="Arial Narrow"/>
          <w:snapToGrid/>
          <w:sz w:val="18"/>
        </w:rPr>
      </w:pPr>
      <w:r w:rsidRPr="001255F7">
        <w:rPr>
          <w:rFonts w:ascii="Arial Narrow" w:hAnsi="Arial Narrow"/>
          <w:snapToGrid/>
          <w:sz w:val="18"/>
        </w:rPr>
        <w:t>MBS = Medicare Benefits Schedule; PBS = Pharmaceutical Benefits Scheme; RPBS = Repatriation Pharmaceutical Benefits Scheme</w:t>
      </w:r>
    </w:p>
    <w:p w:rsidR="001255F7" w:rsidRPr="001255F7" w:rsidRDefault="001255F7" w:rsidP="001255F7">
      <w:pPr>
        <w:widowControl/>
        <w:rPr>
          <w:szCs w:val="22"/>
        </w:rPr>
      </w:pPr>
    </w:p>
    <w:p w:rsidR="001255F7" w:rsidRPr="001255F7" w:rsidRDefault="001255F7" w:rsidP="001255F7">
      <w:pPr>
        <w:pStyle w:val="ListParagraph"/>
        <w:widowControl/>
        <w:numPr>
          <w:ilvl w:val="1"/>
          <w:numId w:val="4"/>
        </w:numPr>
      </w:pPr>
      <w:r w:rsidRPr="001255F7">
        <w:t>The submission estimated that ranolazine was associated with a cost to the PBS/RPBS/MBS of $</w:t>
      </w:r>
      <w:r w:rsidR="00B372C3">
        <w:t>60-100</w:t>
      </w:r>
      <w:r w:rsidRPr="001255F7">
        <w:t xml:space="preserve"> million in Year 5 and a total cost of </w:t>
      </w:r>
      <w:r w:rsidR="00B372C3">
        <w:t xml:space="preserve">more than </w:t>
      </w:r>
      <w:r w:rsidRPr="001255F7">
        <w:t>$</w:t>
      </w:r>
      <w:r w:rsidR="00B372C3">
        <w:t>100</w:t>
      </w:r>
      <w:r w:rsidRPr="001255F7">
        <w:t xml:space="preserve"> million in the first five years of listing based on the epidemiological approach. </w:t>
      </w:r>
    </w:p>
    <w:p w:rsidR="001255F7" w:rsidRPr="001255F7" w:rsidRDefault="001255F7" w:rsidP="001255F7">
      <w:pPr>
        <w:pStyle w:val="ListParagraph"/>
        <w:widowControl/>
      </w:pPr>
    </w:p>
    <w:p w:rsidR="001255F7" w:rsidRPr="001255F7" w:rsidRDefault="001255F7" w:rsidP="001255F7">
      <w:pPr>
        <w:pStyle w:val="ListParagraph"/>
        <w:widowControl/>
        <w:numPr>
          <w:ilvl w:val="1"/>
          <w:numId w:val="4"/>
        </w:numPr>
      </w:pPr>
      <w:r w:rsidRPr="001255F7">
        <w:t>Overall</w:t>
      </w:r>
      <w:r w:rsidR="005D4CE6">
        <w:t>, the DUSC considered</w:t>
      </w:r>
      <w:r w:rsidR="00875B6D">
        <w:t xml:space="preserve"> </w:t>
      </w:r>
      <w:r w:rsidRPr="001255F7">
        <w:t>the net cost to the government was unreliable using both approaches because:</w:t>
      </w:r>
    </w:p>
    <w:p w:rsidR="001255F7" w:rsidRDefault="001255F7" w:rsidP="00A3058F">
      <w:pPr>
        <w:pStyle w:val="ListParagraph"/>
        <w:numPr>
          <w:ilvl w:val="0"/>
          <w:numId w:val="20"/>
        </w:numPr>
        <w:ind w:left="1134"/>
      </w:pPr>
      <w:r w:rsidRPr="001255F7">
        <w:t>The number of patients who would take ranolazine was overestimated</w:t>
      </w:r>
      <w:r w:rsidR="00A72D47">
        <w:t xml:space="preserve">. The DUSC noted that it was assumed that all prevalent </w:t>
      </w:r>
      <w:r w:rsidR="0070439E" w:rsidRPr="0070439E">
        <w:t xml:space="preserve">coronary heart disease </w:t>
      </w:r>
      <w:r w:rsidR="00A72D47">
        <w:t xml:space="preserve">patients have stable angina and the sources used to estimate the eligible population were not consistent with the </w:t>
      </w:r>
      <w:r w:rsidR="007C1808">
        <w:t>population</w:t>
      </w:r>
      <w:r w:rsidR="00A72D47">
        <w:t xml:space="preserve"> in the requested PBS restriction.</w:t>
      </w:r>
    </w:p>
    <w:p w:rsidR="00C53FA1" w:rsidRDefault="00C53FA1" w:rsidP="00C53FA1">
      <w:pPr>
        <w:pStyle w:val="ListParagraph"/>
        <w:numPr>
          <w:ilvl w:val="0"/>
          <w:numId w:val="20"/>
        </w:numPr>
        <w:ind w:left="1134"/>
      </w:pPr>
      <w:r>
        <w:t xml:space="preserve">The overall uptake for ranolazine </w:t>
      </w:r>
      <w:r w:rsidR="00623962">
        <w:t xml:space="preserve">was </w:t>
      </w:r>
      <w:r>
        <w:t xml:space="preserve">likely overestimated, as some patients assumed to be taking no add-on therapy would be on long-acting nitrates. </w:t>
      </w:r>
    </w:p>
    <w:p w:rsidR="00C53FA1" w:rsidRDefault="00C53FA1" w:rsidP="00C53FA1">
      <w:pPr>
        <w:pStyle w:val="ListParagraph"/>
        <w:numPr>
          <w:ilvl w:val="0"/>
          <w:numId w:val="20"/>
        </w:numPr>
        <w:ind w:left="1134"/>
      </w:pPr>
      <w:r>
        <w:t xml:space="preserve">The number of ranolazine prescriptions per patient per year was overestimated as full compliance was assumed. </w:t>
      </w:r>
    </w:p>
    <w:p w:rsidR="00004A64" w:rsidRDefault="001255F7" w:rsidP="00004A64">
      <w:pPr>
        <w:pStyle w:val="ListParagraph"/>
        <w:numPr>
          <w:ilvl w:val="0"/>
          <w:numId w:val="20"/>
        </w:numPr>
        <w:ind w:left="1134"/>
      </w:pPr>
      <w:r w:rsidRPr="001255F7">
        <w:t>MBS offsets for monitoring of perhexiline were likely overestimated due to the inclusion of GP visits, the overestimation of blood test costs, and the use of an inappropriate MBS Item for monitoring plasma levels of perhexiline;</w:t>
      </w:r>
    </w:p>
    <w:p w:rsidR="001255F7" w:rsidRPr="001255F7" w:rsidRDefault="001255F7" w:rsidP="001255F7">
      <w:pPr>
        <w:pStyle w:val="ListParagraph"/>
        <w:numPr>
          <w:ilvl w:val="0"/>
          <w:numId w:val="20"/>
        </w:numPr>
        <w:ind w:left="1134"/>
      </w:pPr>
      <w:r w:rsidRPr="001255F7">
        <w:t>Hospitalisation rates were based on a higher risk population tha</w:t>
      </w:r>
      <w:r w:rsidR="003B19BD">
        <w:t>n</w:t>
      </w:r>
      <w:r w:rsidRPr="001255F7">
        <w:t xml:space="preserve"> that requested; and</w:t>
      </w:r>
    </w:p>
    <w:p w:rsidR="001255F7" w:rsidRPr="001255F7" w:rsidRDefault="001255F7" w:rsidP="00A3058F">
      <w:pPr>
        <w:pStyle w:val="ListParagraph"/>
        <w:numPr>
          <w:ilvl w:val="0"/>
          <w:numId w:val="20"/>
        </w:numPr>
        <w:ind w:left="1134"/>
      </w:pPr>
      <w:r w:rsidRPr="001255F7">
        <w:t xml:space="preserve">The cost per hospitalisation was overestimated for </w:t>
      </w:r>
      <w:r w:rsidR="0068596B">
        <w:t>c</w:t>
      </w:r>
      <w:r w:rsidR="0068596B" w:rsidRPr="0068596B">
        <w:t xml:space="preserve">oronary artery bypass grafting </w:t>
      </w:r>
      <w:r w:rsidR="0068596B">
        <w:t>(</w:t>
      </w:r>
      <w:r w:rsidRPr="001255F7">
        <w:t>CABG</w:t>
      </w:r>
      <w:r w:rsidR="0068596B">
        <w:t>)</w:t>
      </w:r>
      <w:r w:rsidRPr="001255F7">
        <w:t xml:space="preserve"> and </w:t>
      </w:r>
      <w:r w:rsidR="0068596B">
        <w:rPr>
          <w:bCs/>
          <w:color w:val="222222"/>
          <w:shd w:val="clear" w:color="auto" w:fill="FFFFFF"/>
        </w:rPr>
        <w:t>percutaneous c</w:t>
      </w:r>
      <w:r w:rsidR="0068596B" w:rsidRPr="009756A8">
        <w:rPr>
          <w:bCs/>
          <w:color w:val="222222"/>
          <w:shd w:val="clear" w:color="auto" w:fill="FFFFFF"/>
        </w:rPr>
        <w:t xml:space="preserve">oronary </w:t>
      </w:r>
      <w:r w:rsidR="0068596B">
        <w:rPr>
          <w:bCs/>
          <w:color w:val="222222"/>
          <w:shd w:val="clear" w:color="auto" w:fill="FFFFFF"/>
        </w:rPr>
        <w:t>i</w:t>
      </w:r>
      <w:r w:rsidR="0068596B" w:rsidRPr="009756A8">
        <w:rPr>
          <w:bCs/>
          <w:color w:val="222222"/>
          <w:shd w:val="clear" w:color="auto" w:fill="FFFFFF"/>
        </w:rPr>
        <w:t>ntervention</w:t>
      </w:r>
      <w:r w:rsidR="0068596B" w:rsidRPr="001255F7">
        <w:t xml:space="preserve"> </w:t>
      </w:r>
      <w:r w:rsidR="0068596B">
        <w:t>(</w:t>
      </w:r>
      <w:r w:rsidRPr="001255F7">
        <w:t>PCI</w:t>
      </w:r>
      <w:r w:rsidR="0068596B">
        <w:t>)</w:t>
      </w:r>
      <w:r w:rsidRPr="001255F7">
        <w:t xml:space="preserve"> because these were based only on the </w:t>
      </w:r>
      <w:r w:rsidR="00BC356A" w:rsidRPr="00BC356A">
        <w:t xml:space="preserve">Australian Refined Diagnosis Related Groups </w:t>
      </w:r>
      <w:r w:rsidR="00BC356A">
        <w:t>(</w:t>
      </w:r>
      <w:r w:rsidRPr="001255F7">
        <w:t>AR-DRG</w:t>
      </w:r>
      <w:r w:rsidR="00BC356A">
        <w:t>)</w:t>
      </w:r>
      <w:r w:rsidRPr="001255F7">
        <w:t xml:space="preserve"> code with catastrophic complications and/or comorbidities. </w:t>
      </w:r>
    </w:p>
    <w:p w:rsidR="001255F7" w:rsidRDefault="001255F7" w:rsidP="001255F7">
      <w:pPr>
        <w:pStyle w:val="ListParagraph"/>
        <w:widowControl/>
      </w:pPr>
    </w:p>
    <w:p w:rsidR="001255F7" w:rsidRPr="005217E8" w:rsidRDefault="001255F7" w:rsidP="001255F7">
      <w:pPr>
        <w:ind w:firstLine="720"/>
        <w:rPr>
          <w:bCs/>
          <w:szCs w:val="22"/>
        </w:rPr>
      </w:pPr>
      <w:r w:rsidRPr="005217E8">
        <w:rPr>
          <w:bCs/>
          <w:i/>
          <w:szCs w:val="22"/>
        </w:rPr>
        <w:t>For more detail on PBAC’s view, see section 7 “PBAC outcome”</w:t>
      </w:r>
      <w:r w:rsidR="00BF29A2">
        <w:rPr>
          <w:bCs/>
          <w:i/>
          <w:szCs w:val="22"/>
        </w:rPr>
        <w:t>.</w:t>
      </w:r>
    </w:p>
    <w:p w:rsidR="00FF5F86" w:rsidRDefault="00FF5F86">
      <w:pPr>
        <w:widowControl/>
        <w:jc w:val="left"/>
        <w:rPr>
          <w:szCs w:val="22"/>
        </w:rPr>
      </w:pPr>
    </w:p>
    <w:p w:rsidR="00F278FA" w:rsidRPr="00B050F5" w:rsidRDefault="00F278FA" w:rsidP="00B050F5">
      <w:pPr>
        <w:pStyle w:val="PBACHeading1"/>
      </w:pPr>
      <w:r w:rsidRPr="00B050F5">
        <w:t>PBAC Outcome</w:t>
      </w:r>
    </w:p>
    <w:p w:rsidR="00F278FA" w:rsidRPr="0069654D" w:rsidRDefault="00F278FA" w:rsidP="00F278FA">
      <w:pPr>
        <w:rPr>
          <w:b/>
          <w:bCs/>
          <w:highlight w:val="yellow"/>
          <w:lang w:val="en-GB"/>
        </w:rPr>
      </w:pPr>
    </w:p>
    <w:p w:rsidR="00067CB3" w:rsidRPr="00067CB3" w:rsidRDefault="008068A2" w:rsidP="008068A2">
      <w:pPr>
        <w:numPr>
          <w:ilvl w:val="1"/>
          <w:numId w:val="4"/>
        </w:numPr>
        <w:rPr>
          <w:bCs/>
          <w:lang w:val="en-GB"/>
        </w:rPr>
      </w:pPr>
      <w:r w:rsidRPr="0074251C">
        <w:rPr>
          <w:bCs/>
          <w:lang w:val="en-GB"/>
        </w:rPr>
        <w:t xml:space="preserve">The PBAC </w:t>
      </w:r>
      <w:r w:rsidR="00BF29A2">
        <w:rPr>
          <w:bCs/>
          <w:lang w:val="en-GB"/>
        </w:rPr>
        <w:t xml:space="preserve">did not </w:t>
      </w:r>
      <w:r w:rsidRPr="0074251C">
        <w:rPr>
          <w:bCs/>
          <w:lang w:val="en-GB"/>
        </w:rPr>
        <w:t xml:space="preserve">recommend the listing of </w:t>
      </w:r>
      <w:r>
        <w:rPr>
          <w:bCs/>
          <w:lang w:val="en-GB"/>
        </w:rPr>
        <w:t xml:space="preserve">ranolazine </w:t>
      </w:r>
      <w:r w:rsidRPr="0074251C">
        <w:rPr>
          <w:bCs/>
          <w:lang w:val="en-GB"/>
        </w:rPr>
        <w:t xml:space="preserve">for </w:t>
      </w:r>
      <w:r w:rsidR="00BF29A2">
        <w:t xml:space="preserve">the </w:t>
      </w:r>
      <w:r w:rsidRPr="001255F7">
        <w:t xml:space="preserve">treatment of stable angina pectoris in </w:t>
      </w:r>
      <w:r w:rsidR="00BF29A2">
        <w:t xml:space="preserve">certain </w:t>
      </w:r>
      <w:r w:rsidRPr="001255F7">
        <w:t xml:space="preserve">patients </w:t>
      </w:r>
      <w:r w:rsidR="00160AC9">
        <w:t xml:space="preserve">on the basis of </w:t>
      </w:r>
      <w:r w:rsidR="00BF29A2">
        <w:t>uncertain</w:t>
      </w:r>
      <w:r w:rsidR="00CB3B97">
        <w:t>, and possibly high</w:t>
      </w:r>
      <w:r w:rsidR="00420FD9">
        <w:t>,</w:t>
      </w:r>
      <w:r w:rsidR="00CB3B97" w:rsidRPr="00CB3B97">
        <w:t xml:space="preserve"> </w:t>
      </w:r>
      <w:r w:rsidR="00CB3B97">
        <w:t>cost-effectiveness. In making this decision</w:t>
      </w:r>
      <w:r w:rsidR="00420FD9">
        <w:t>,</w:t>
      </w:r>
      <w:r w:rsidR="00CB3B97">
        <w:t xml:space="preserve"> the PBAC considered that the comparator</w:t>
      </w:r>
      <w:r w:rsidR="00BF29A2">
        <w:t xml:space="preserve"> </w:t>
      </w:r>
      <w:r w:rsidR="00CB3B97">
        <w:t>nominated by the submission was inappropriate</w:t>
      </w:r>
      <w:r w:rsidR="00105CB2">
        <w:t>.</w:t>
      </w:r>
      <w:r w:rsidR="00CB3B97">
        <w:t xml:space="preserve"> </w:t>
      </w:r>
    </w:p>
    <w:p w:rsidR="00067CB3" w:rsidRPr="00067CB3" w:rsidRDefault="00067CB3" w:rsidP="00067CB3">
      <w:pPr>
        <w:ind w:left="720"/>
        <w:rPr>
          <w:bCs/>
          <w:lang w:val="en-GB"/>
        </w:rPr>
      </w:pPr>
    </w:p>
    <w:p w:rsidR="00420FD9" w:rsidRPr="001666B0" w:rsidRDefault="006946C8" w:rsidP="006946C8">
      <w:pPr>
        <w:pStyle w:val="ListParagraph"/>
        <w:widowControl/>
        <w:numPr>
          <w:ilvl w:val="1"/>
          <w:numId w:val="4"/>
        </w:numPr>
        <w:rPr>
          <w:bCs/>
          <w:lang w:val="en-GB"/>
        </w:rPr>
      </w:pPr>
      <w:r w:rsidRPr="001666B0">
        <w:rPr>
          <w:bCs/>
          <w:lang w:val="en-GB"/>
        </w:rPr>
        <w:t xml:space="preserve">The PBAC considered that </w:t>
      </w:r>
      <w:r w:rsidR="00420FD9" w:rsidRPr="001666B0">
        <w:rPr>
          <w:bCs/>
          <w:lang w:val="en-GB"/>
        </w:rPr>
        <w:t>the</w:t>
      </w:r>
      <w:r w:rsidR="00CB3B97" w:rsidRPr="001666B0">
        <w:rPr>
          <w:bCs/>
          <w:lang w:val="en-GB"/>
        </w:rPr>
        <w:t xml:space="preserve"> weighted comparator </w:t>
      </w:r>
      <w:r w:rsidR="00420FD9" w:rsidRPr="001666B0">
        <w:rPr>
          <w:bCs/>
          <w:lang w:val="en-GB"/>
        </w:rPr>
        <w:t xml:space="preserve">nominated by the submission </w:t>
      </w:r>
      <w:r w:rsidR="00CB3B97" w:rsidRPr="001666B0">
        <w:rPr>
          <w:bCs/>
          <w:lang w:val="en-GB"/>
        </w:rPr>
        <w:t>was inappropriate</w:t>
      </w:r>
      <w:r w:rsidR="00EB3F9B" w:rsidRPr="001666B0">
        <w:rPr>
          <w:bCs/>
          <w:lang w:val="en-GB"/>
        </w:rPr>
        <w:t xml:space="preserve">, noting that the submission proposed a weighting of </w:t>
      </w:r>
      <w:r w:rsidR="005E1EC5">
        <w:rPr>
          <w:bCs/>
          <w:noProof/>
          <w:color w:val="000000"/>
          <w:highlight w:val="black"/>
          <w:lang w:val="en-GB"/>
        </w:rPr>
        <w:t>''''''</w:t>
      </w:r>
      <w:r w:rsidR="00EB3F9B" w:rsidRPr="001666B0">
        <w:rPr>
          <w:bCs/>
          <w:lang w:val="en-GB"/>
        </w:rPr>
        <w:t>% to placebo</w:t>
      </w:r>
      <w:r w:rsidR="00CB3B97" w:rsidRPr="001666B0">
        <w:rPr>
          <w:bCs/>
          <w:lang w:val="en-GB"/>
        </w:rPr>
        <w:t xml:space="preserve">. </w:t>
      </w:r>
      <w:r w:rsidR="00EB3F9B" w:rsidRPr="001666B0">
        <w:rPr>
          <w:bCs/>
          <w:lang w:val="en-GB"/>
        </w:rPr>
        <w:t>T</w:t>
      </w:r>
      <w:r w:rsidR="00420FD9" w:rsidRPr="001666B0">
        <w:rPr>
          <w:bCs/>
          <w:lang w:val="en-GB"/>
        </w:rPr>
        <w:t xml:space="preserve">he PBAC acknowledged that there may be some patients currently not receiving add-on therapy (in whom placebo would </w:t>
      </w:r>
      <w:r w:rsidR="00EB3F9B" w:rsidRPr="001666B0">
        <w:rPr>
          <w:bCs/>
          <w:lang w:val="en-GB"/>
        </w:rPr>
        <w:t xml:space="preserve">be an appropriate comparator), but considered that this population had not been adequately clinically defined by the submission. Furthermore, the PBAC considered that the assumption that this group would make up such a large proportion of the overall population was not well justified, and in reality this was likely to be much less than </w:t>
      </w:r>
      <w:r w:rsidR="005E1EC5">
        <w:rPr>
          <w:bCs/>
          <w:noProof/>
          <w:color w:val="000000"/>
          <w:highlight w:val="black"/>
          <w:lang w:val="en-GB"/>
        </w:rPr>
        <w:t>''''''</w:t>
      </w:r>
      <w:r w:rsidR="00EB3F9B" w:rsidRPr="001666B0">
        <w:rPr>
          <w:bCs/>
          <w:lang w:val="en-GB"/>
        </w:rPr>
        <w:t xml:space="preserve">%. </w:t>
      </w:r>
      <w:r w:rsidR="001666B0">
        <w:t>T</w:t>
      </w:r>
      <w:r w:rsidR="001666B0" w:rsidRPr="001255F7">
        <w:t xml:space="preserve">he </w:t>
      </w:r>
      <w:r w:rsidR="001666B0">
        <w:t>PBAC</w:t>
      </w:r>
      <w:r w:rsidR="001666B0" w:rsidRPr="001255F7">
        <w:t xml:space="preserve"> noted that ranolazine has a number of pharmacokinetic and pharmacodynamics concerns including variable bioavailability, affected by hepatic and renal impairment and it is a CYP3A4 inhibitor with multiple drug interactions.</w:t>
      </w:r>
      <w:r w:rsidR="001666B0">
        <w:t xml:space="preserve"> The PBAC considered that ranolazine </w:t>
      </w:r>
      <w:r w:rsidR="00A00817">
        <w:t xml:space="preserve">may </w:t>
      </w:r>
      <w:r w:rsidR="001666B0">
        <w:t xml:space="preserve">potentially have a small role in the treatment of stable angina given its lack of haemodynamic effects. </w:t>
      </w:r>
    </w:p>
    <w:p w:rsidR="00420FD9" w:rsidRDefault="00420FD9" w:rsidP="00420FD9">
      <w:pPr>
        <w:pStyle w:val="ListParagraph"/>
        <w:rPr>
          <w:bCs/>
          <w:lang w:val="en-GB"/>
        </w:rPr>
      </w:pPr>
    </w:p>
    <w:p w:rsidR="0001267E" w:rsidRDefault="0001267E" w:rsidP="0001267E">
      <w:pPr>
        <w:numPr>
          <w:ilvl w:val="1"/>
          <w:numId w:val="4"/>
        </w:numPr>
        <w:rPr>
          <w:bCs/>
          <w:lang w:val="en-GB"/>
        </w:rPr>
      </w:pPr>
      <w:r w:rsidRPr="00EB3F9B">
        <w:rPr>
          <w:bCs/>
          <w:lang w:val="en-GB"/>
        </w:rPr>
        <w:t xml:space="preserve">The PBAC </w:t>
      </w:r>
      <w:r>
        <w:rPr>
          <w:bCs/>
          <w:lang w:val="en-GB"/>
        </w:rPr>
        <w:t xml:space="preserve">considered that the justification provided by the submission and pre-PBAC response for not considering long-acting nitrates as a comparator was not adequate. </w:t>
      </w:r>
      <w:r w:rsidR="00105CB2">
        <w:t xml:space="preserve">Although the pre-PBAC response argued that </w:t>
      </w:r>
      <w:r w:rsidR="00105CB2" w:rsidRPr="00EC0BA6">
        <w:t xml:space="preserve">some patients are limited in their choice of treatment combinations because </w:t>
      </w:r>
      <w:r w:rsidR="00DF1E5E">
        <w:t>all of the available anti-anginal therapies have haemodynamic effects on heart rate or blood pressure making them contraindicated or potentially poorly tolerated</w:t>
      </w:r>
      <w:r w:rsidR="00105CB2">
        <w:t xml:space="preserve">, the PBAC noted </w:t>
      </w:r>
      <w:r w:rsidR="00105CB2" w:rsidRPr="008F0C03">
        <w:t>the requested indication does not specify any haemodynamic requirements</w:t>
      </w:r>
      <w:r w:rsidR="00105CB2">
        <w:t xml:space="preserve">. Also, long acting nitrates </w:t>
      </w:r>
      <w:r w:rsidR="00623962">
        <w:t xml:space="preserve">are </w:t>
      </w:r>
      <w:r w:rsidR="00105CB2">
        <w:t>normally considered as part of angina treatment in clinical practice. Therefore, the PBAC considered that the omission of long acting nitrates was inappropriate.</w:t>
      </w:r>
      <w:r>
        <w:rPr>
          <w:bCs/>
          <w:lang w:val="en-GB"/>
        </w:rPr>
        <w:t xml:space="preserve"> </w:t>
      </w:r>
    </w:p>
    <w:p w:rsidR="00AE5E80" w:rsidRDefault="00AE5E80" w:rsidP="00AE5E80">
      <w:pPr>
        <w:pStyle w:val="ListParagraph"/>
        <w:rPr>
          <w:bCs/>
          <w:lang w:val="en-GB"/>
        </w:rPr>
      </w:pPr>
    </w:p>
    <w:p w:rsidR="00AE5E80" w:rsidRDefault="00AE5E80" w:rsidP="0001267E">
      <w:pPr>
        <w:numPr>
          <w:ilvl w:val="1"/>
          <w:numId w:val="4"/>
        </w:numPr>
        <w:rPr>
          <w:bCs/>
          <w:lang w:val="en-GB"/>
        </w:rPr>
      </w:pPr>
      <w:r>
        <w:rPr>
          <w:bCs/>
          <w:lang w:val="en-GB"/>
        </w:rPr>
        <w:t xml:space="preserve">The PBAC further noted that the </w:t>
      </w:r>
      <w:r w:rsidR="00A34F00">
        <w:rPr>
          <w:bCs/>
          <w:lang w:val="en-GB"/>
        </w:rPr>
        <w:t xml:space="preserve">treatment algorithm presented in the submission did not consider revascularisation and </w:t>
      </w:r>
      <w:r w:rsidR="00DF1E5E">
        <w:t>that percutaneous or surgical revascularisation would be commonly applied in the population considered appropriate for ranolazine in the submission</w:t>
      </w:r>
      <w:r w:rsidR="00A34F00">
        <w:rPr>
          <w:bCs/>
          <w:lang w:val="en-GB"/>
        </w:rPr>
        <w:t>.</w:t>
      </w:r>
    </w:p>
    <w:p w:rsidR="00F431A3" w:rsidRPr="0069654D" w:rsidRDefault="00F431A3" w:rsidP="00F431A3">
      <w:pPr>
        <w:rPr>
          <w:bCs/>
          <w:highlight w:val="yellow"/>
          <w:lang w:val="en-GB"/>
        </w:rPr>
      </w:pPr>
    </w:p>
    <w:p w:rsidR="00105CB2" w:rsidRPr="001255F7" w:rsidRDefault="00FF2599" w:rsidP="00105CB2">
      <w:pPr>
        <w:pStyle w:val="ListParagraph"/>
        <w:widowControl/>
        <w:numPr>
          <w:ilvl w:val="1"/>
          <w:numId w:val="11"/>
        </w:numPr>
        <w:rPr>
          <w:szCs w:val="22"/>
        </w:rPr>
      </w:pPr>
      <w:r w:rsidRPr="00F611D5">
        <w:rPr>
          <w:bCs/>
          <w:lang w:val="en-GB"/>
        </w:rPr>
        <w:t xml:space="preserve">The PBAC </w:t>
      </w:r>
      <w:r w:rsidR="00C46E5D">
        <w:rPr>
          <w:bCs/>
          <w:lang w:val="en-GB"/>
        </w:rPr>
        <w:t xml:space="preserve">noted </w:t>
      </w:r>
      <w:r w:rsidRPr="00F611D5">
        <w:rPr>
          <w:bCs/>
          <w:lang w:val="en-GB"/>
        </w:rPr>
        <w:t>that there were applicability issues with the clinical trial</w:t>
      </w:r>
      <w:r w:rsidR="00DD56D2">
        <w:rPr>
          <w:bCs/>
          <w:lang w:val="en-GB"/>
        </w:rPr>
        <w:t xml:space="preserve"> and post-hoc subgroup analysis</w:t>
      </w:r>
      <w:r w:rsidRPr="00F611D5">
        <w:rPr>
          <w:bCs/>
          <w:lang w:val="en-GB"/>
        </w:rPr>
        <w:t xml:space="preserve"> presented</w:t>
      </w:r>
      <w:r w:rsidR="005C251D">
        <w:rPr>
          <w:bCs/>
          <w:lang w:val="en-GB"/>
        </w:rPr>
        <w:t>,</w:t>
      </w:r>
      <w:r w:rsidRPr="00F611D5">
        <w:rPr>
          <w:bCs/>
          <w:lang w:val="en-GB"/>
        </w:rPr>
        <w:t xml:space="preserve"> </w:t>
      </w:r>
      <w:r w:rsidR="00BC3319" w:rsidRPr="00F611D5">
        <w:rPr>
          <w:bCs/>
          <w:lang w:val="en-GB"/>
        </w:rPr>
        <w:t>as there were differences in</w:t>
      </w:r>
      <w:r w:rsidRPr="00F611D5">
        <w:rPr>
          <w:bCs/>
          <w:lang w:val="en-GB"/>
        </w:rPr>
        <w:t xml:space="preserve"> baseline characteristics</w:t>
      </w:r>
      <w:r w:rsidR="00960E29">
        <w:rPr>
          <w:bCs/>
          <w:lang w:val="en-GB"/>
        </w:rPr>
        <w:t xml:space="preserve"> and </w:t>
      </w:r>
      <w:r w:rsidRPr="00F611D5">
        <w:rPr>
          <w:bCs/>
          <w:lang w:val="en-GB"/>
        </w:rPr>
        <w:t>ranolazine dosing</w:t>
      </w:r>
      <w:r w:rsidR="00BC3319" w:rsidRPr="00F611D5">
        <w:rPr>
          <w:bCs/>
          <w:lang w:val="en-GB"/>
        </w:rPr>
        <w:t xml:space="preserve"> compared to the proposed PBS population. </w:t>
      </w:r>
      <w:r w:rsidR="00105CB2">
        <w:t xml:space="preserve">The PBAC also noted that the CARISA trial was </w:t>
      </w:r>
      <w:r w:rsidR="00DF1E5E">
        <w:t>performed many years ago</w:t>
      </w:r>
      <w:r w:rsidR="00DF1E5E" w:rsidDel="00DF1E5E">
        <w:t xml:space="preserve"> </w:t>
      </w:r>
      <w:r w:rsidR="00105CB2">
        <w:t xml:space="preserve">and </w:t>
      </w:r>
      <w:r w:rsidR="00B47375">
        <w:t xml:space="preserve">is </w:t>
      </w:r>
      <w:r w:rsidR="00105CB2">
        <w:t xml:space="preserve">not reflective of current practice. </w:t>
      </w:r>
    </w:p>
    <w:p w:rsidR="00BA081D" w:rsidRDefault="00BA081D" w:rsidP="00BA081D">
      <w:pPr>
        <w:pStyle w:val="ListParagraph"/>
        <w:rPr>
          <w:bCs/>
          <w:lang w:val="en-GB"/>
        </w:rPr>
      </w:pPr>
    </w:p>
    <w:p w:rsidR="00A34F00" w:rsidRDefault="00BC3319" w:rsidP="00F431A3">
      <w:pPr>
        <w:numPr>
          <w:ilvl w:val="1"/>
          <w:numId w:val="4"/>
        </w:numPr>
        <w:rPr>
          <w:bCs/>
          <w:lang w:val="en-GB"/>
        </w:rPr>
      </w:pPr>
      <w:r w:rsidRPr="00F611D5">
        <w:rPr>
          <w:bCs/>
          <w:lang w:val="en-GB"/>
        </w:rPr>
        <w:t xml:space="preserve">The PBAC </w:t>
      </w:r>
      <w:r w:rsidR="00BA081D">
        <w:rPr>
          <w:bCs/>
          <w:lang w:val="en-GB"/>
        </w:rPr>
        <w:t>noted that there was a statistically significant improvement in ETT</w:t>
      </w:r>
      <w:r w:rsidRPr="00F611D5">
        <w:rPr>
          <w:bCs/>
          <w:lang w:val="en-GB"/>
        </w:rPr>
        <w:t xml:space="preserve"> duration</w:t>
      </w:r>
      <w:r w:rsidR="00A34F00">
        <w:rPr>
          <w:bCs/>
          <w:lang w:val="en-GB"/>
        </w:rPr>
        <w:t xml:space="preserve"> of 24 seconds with ranolazine compared with placebo</w:t>
      </w:r>
      <w:r w:rsidR="00BA081D">
        <w:rPr>
          <w:bCs/>
          <w:lang w:val="en-GB"/>
        </w:rPr>
        <w:t xml:space="preserve">, but considered the clinical relevance of </w:t>
      </w:r>
      <w:r w:rsidR="00A34F00">
        <w:rPr>
          <w:bCs/>
          <w:lang w:val="en-GB"/>
        </w:rPr>
        <w:t>this improvement</w:t>
      </w:r>
      <w:r w:rsidR="00BA081D">
        <w:rPr>
          <w:bCs/>
          <w:lang w:val="en-GB"/>
        </w:rPr>
        <w:t xml:space="preserve"> unclear</w:t>
      </w:r>
      <w:r w:rsidRPr="00F611D5">
        <w:rPr>
          <w:bCs/>
          <w:lang w:val="en-GB"/>
        </w:rPr>
        <w:t xml:space="preserve">. </w:t>
      </w:r>
      <w:r w:rsidR="00A34F00">
        <w:rPr>
          <w:bCs/>
          <w:lang w:val="en-GB"/>
        </w:rPr>
        <w:t xml:space="preserve">The PBAC noted there was also a reduction in angina attacks and use of short-acting nitrates with ranolazine. </w:t>
      </w:r>
    </w:p>
    <w:p w:rsidR="00A34F00" w:rsidRDefault="00A34F00" w:rsidP="00A34F00">
      <w:pPr>
        <w:ind w:left="720"/>
        <w:rPr>
          <w:bCs/>
          <w:lang w:val="en-GB"/>
        </w:rPr>
      </w:pPr>
    </w:p>
    <w:p w:rsidR="00F431A3" w:rsidRPr="00802DD6" w:rsidRDefault="00C54469" w:rsidP="00802DD6">
      <w:pPr>
        <w:numPr>
          <w:ilvl w:val="1"/>
          <w:numId w:val="4"/>
        </w:numPr>
        <w:rPr>
          <w:bCs/>
          <w:lang w:val="en-GB"/>
        </w:rPr>
      </w:pPr>
      <w:r w:rsidRPr="00802DD6">
        <w:rPr>
          <w:bCs/>
          <w:lang w:val="en-GB"/>
        </w:rPr>
        <w:t>The indirect comparison</w:t>
      </w:r>
      <w:r w:rsidR="00384941">
        <w:rPr>
          <w:bCs/>
          <w:lang w:val="en-GB"/>
        </w:rPr>
        <w:t>s</w:t>
      </w:r>
      <w:r w:rsidRPr="00802DD6">
        <w:rPr>
          <w:bCs/>
          <w:lang w:val="en-GB"/>
        </w:rPr>
        <w:t xml:space="preserve"> of ranolazine to nicorandil and perhexiline </w:t>
      </w:r>
      <w:r w:rsidR="00DF1E5E">
        <w:rPr>
          <w:bCs/>
          <w:lang w:val="en-GB"/>
        </w:rPr>
        <w:t xml:space="preserve">were not </w:t>
      </w:r>
      <w:r w:rsidR="00D95C2E" w:rsidRPr="00802DD6">
        <w:rPr>
          <w:bCs/>
          <w:lang w:val="en-GB"/>
        </w:rPr>
        <w:t>sufficient to support the clinical claims</w:t>
      </w:r>
      <w:r w:rsidRPr="00802DD6">
        <w:rPr>
          <w:bCs/>
          <w:lang w:val="en-GB"/>
        </w:rPr>
        <w:t>.</w:t>
      </w:r>
      <w:r w:rsidR="003F79D2" w:rsidRPr="00802DD6">
        <w:rPr>
          <w:bCs/>
          <w:lang w:val="en-GB"/>
        </w:rPr>
        <w:t xml:space="preserve"> </w:t>
      </w:r>
      <w:r w:rsidR="007F38AC">
        <w:rPr>
          <w:bCs/>
          <w:lang w:val="en-GB"/>
        </w:rPr>
        <w:t xml:space="preserve">The </w:t>
      </w:r>
      <w:r w:rsidR="00802DD6" w:rsidRPr="00802DD6">
        <w:rPr>
          <w:bCs/>
          <w:lang w:val="en-GB"/>
        </w:rPr>
        <w:t xml:space="preserve">comparison with nicorandil used a different outcome (annual mortality) </w:t>
      </w:r>
      <w:r w:rsidR="00741BCF">
        <w:rPr>
          <w:bCs/>
          <w:lang w:val="en-GB"/>
        </w:rPr>
        <w:t>to</w:t>
      </w:r>
      <w:r w:rsidR="00802DD6" w:rsidRPr="00802DD6">
        <w:rPr>
          <w:bCs/>
          <w:lang w:val="en-GB"/>
        </w:rPr>
        <w:t xml:space="preserve"> </w:t>
      </w:r>
      <w:r w:rsidR="007F38AC">
        <w:rPr>
          <w:bCs/>
          <w:lang w:val="en-GB"/>
        </w:rPr>
        <w:t xml:space="preserve">the CARISA </w:t>
      </w:r>
      <w:r w:rsidR="00802DD6" w:rsidRPr="00802DD6">
        <w:rPr>
          <w:bCs/>
          <w:lang w:val="en-GB"/>
        </w:rPr>
        <w:t>trial.</w:t>
      </w:r>
      <w:r w:rsidR="00802DD6">
        <w:rPr>
          <w:bCs/>
          <w:lang w:val="en-GB"/>
        </w:rPr>
        <w:t xml:space="preserve"> </w:t>
      </w:r>
      <w:r w:rsidR="00802DD6" w:rsidRPr="00802DD6">
        <w:rPr>
          <w:bCs/>
          <w:lang w:val="en-GB"/>
        </w:rPr>
        <w:t>For</w:t>
      </w:r>
      <w:r w:rsidR="004D3BC1">
        <w:rPr>
          <w:bCs/>
          <w:lang w:val="en-GB"/>
        </w:rPr>
        <w:t xml:space="preserve"> the</w:t>
      </w:r>
      <w:r w:rsidR="00802DD6" w:rsidRPr="00802DD6">
        <w:rPr>
          <w:bCs/>
          <w:lang w:val="en-GB"/>
        </w:rPr>
        <w:t xml:space="preserve"> comparison with perhex</w:t>
      </w:r>
      <w:r w:rsidR="004D3BC1">
        <w:rPr>
          <w:bCs/>
          <w:lang w:val="en-GB"/>
        </w:rPr>
        <w:t xml:space="preserve">iline, </w:t>
      </w:r>
      <w:r w:rsidR="00192951">
        <w:rPr>
          <w:bCs/>
          <w:lang w:val="en-GB"/>
        </w:rPr>
        <w:t>the Cole (1990)</w:t>
      </w:r>
      <w:r w:rsidR="00802DD6" w:rsidRPr="00802DD6">
        <w:rPr>
          <w:bCs/>
          <w:lang w:val="en-GB"/>
        </w:rPr>
        <w:t xml:space="preserve"> trial </w:t>
      </w:r>
      <w:r w:rsidR="00192951">
        <w:rPr>
          <w:bCs/>
          <w:lang w:val="en-GB"/>
        </w:rPr>
        <w:t xml:space="preserve">included a population with more </w:t>
      </w:r>
      <w:r w:rsidR="00192951" w:rsidRPr="00802DD6">
        <w:rPr>
          <w:bCs/>
          <w:lang w:val="en-GB"/>
        </w:rPr>
        <w:t xml:space="preserve">severe </w:t>
      </w:r>
      <w:r w:rsidR="00192951">
        <w:rPr>
          <w:bCs/>
          <w:lang w:val="en-GB"/>
        </w:rPr>
        <w:t xml:space="preserve">disease and the trial was </w:t>
      </w:r>
      <w:r w:rsidR="009A102A">
        <w:t>performed many years ago and is not reflective of current clinical practice</w:t>
      </w:r>
      <w:r w:rsidR="00802DD6" w:rsidRPr="00802DD6">
        <w:rPr>
          <w:bCs/>
          <w:lang w:val="en-GB"/>
        </w:rPr>
        <w:t>.</w:t>
      </w:r>
      <w:r w:rsidR="00261FD4">
        <w:rPr>
          <w:bCs/>
          <w:lang w:val="en-GB"/>
        </w:rPr>
        <w:t xml:space="preserve"> </w:t>
      </w:r>
      <w:r w:rsidR="003F79D2" w:rsidRPr="00802DD6">
        <w:rPr>
          <w:bCs/>
          <w:lang w:val="en-GB"/>
        </w:rPr>
        <w:t>The PBAC noted that no further clinical data was being collected to compare ranolazine with nicorandil and perhexiline.</w:t>
      </w:r>
    </w:p>
    <w:p w:rsidR="00F431A3" w:rsidRPr="00F611D5" w:rsidRDefault="00F431A3" w:rsidP="00F431A3">
      <w:pPr>
        <w:rPr>
          <w:bCs/>
          <w:lang w:val="en-GB"/>
        </w:rPr>
      </w:pPr>
    </w:p>
    <w:p w:rsidR="005C251D" w:rsidRDefault="005C251D" w:rsidP="00F431A3">
      <w:pPr>
        <w:numPr>
          <w:ilvl w:val="1"/>
          <w:numId w:val="4"/>
        </w:numPr>
        <w:rPr>
          <w:bCs/>
          <w:lang w:val="en-GB"/>
        </w:rPr>
      </w:pPr>
      <w:r>
        <w:rPr>
          <w:bCs/>
          <w:lang w:val="en-GB"/>
        </w:rPr>
        <w:t>T</w:t>
      </w:r>
      <w:r w:rsidR="00602011" w:rsidRPr="00F611D5">
        <w:rPr>
          <w:bCs/>
          <w:lang w:val="en-GB"/>
        </w:rPr>
        <w:t xml:space="preserve">he PBAC </w:t>
      </w:r>
      <w:r>
        <w:rPr>
          <w:bCs/>
          <w:lang w:val="en-GB"/>
        </w:rPr>
        <w:t xml:space="preserve">agreed that ranolazine was likely to be superior in terms of effectiveness over placebo, but considered that </w:t>
      </w:r>
      <w:r w:rsidR="00F611D5" w:rsidRPr="00F611D5">
        <w:rPr>
          <w:bCs/>
          <w:lang w:val="en-GB"/>
        </w:rPr>
        <w:t xml:space="preserve">the magnitude of benefit remained unclear. </w:t>
      </w:r>
    </w:p>
    <w:p w:rsidR="005C251D" w:rsidRDefault="005C251D" w:rsidP="005C251D">
      <w:pPr>
        <w:pStyle w:val="ListParagraph"/>
        <w:rPr>
          <w:bCs/>
          <w:lang w:val="en-GB"/>
        </w:rPr>
      </w:pPr>
    </w:p>
    <w:p w:rsidR="00F431A3" w:rsidRDefault="00F611D5" w:rsidP="00F431A3">
      <w:pPr>
        <w:numPr>
          <w:ilvl w:val="1"/>
          <w:numId w:val="4"/>
        </w:numPr>
        <w:rPr>
          <w:bCs/>
          <w:lang w:val="en-GB"/>
        </w:rPr>
      </w:pPr>
      <w:r w:rsidRPr="00F611D5">
        <w:rPr>
          <w:bCs/>
          <w:lang w:val="en-GB"/>
        </w:rPr>
        <w:t xml:space="preserve">In terms of comparative safety, the PBAC considered the claim that ranolazine was inferior to placebo was reasonable. </w:t>
      </w:r>
    </w:p>
    <w:p w:rsidR="00F431A3" w:rsidRPr="00F611D5" w:rsidRDefault="00F431A3" w:rsidP="00F431A3">
      <w:pPr>
        <w:rPr>
          <w:bCs/>
          <w:lang w:val="en-GB"/>
        </w:rPr>
      </w:pPr>
    </w:p>
    <w:p w:rsidR="00F431A3" w:rsidRPr="00820420" w:rsidRDefault="00F611D5" w:rsidP="00F431A3">
      <w:pPr>
        <w:numPr>
          <w:ilvl w:val="1"/>
          <w:numId w:val="4"/>
        </w:numPr>
        <w:rPr>
          <w:bCs/>
          <w:lang w:val="en-GB"/>
        </w:rPr>
      </w:pPr>
      <w:r w:rsidRPr="00820420">
        <w:rPr>
          <w:bCs/>
          <w:lang w:val="en-GB"/>
        </w:rPr>
        <w:t>In relation to the indirect comparison</w:t>
      </w:r>
      <w:r w:rsidR="00C1460C">
        <w:rPr>
          <w:bCs/>
          <w:lang w:val="en-GB"/>
        </w:rPr>
        <w:t>s</w:t>
      </w:r>
      <w:r w:rsidRPr="00820420">
        <w:rPr>
          <w:bCs/>
          <w:lang w:val="en-GB"/>
        </w:rPr>
        <w:t xml:space="preserve"> to nicorandil and perhexiline, </w:t>
      </w:r>
      <w:r w:rsidR="00630D0E" w:rsidRPr="00820420">
        <w:rPr>
          <w:bCs/>
          <w:lang w:val="en-GB"/>
        </w:rPr>
        <w:t>the PBAC did not accept the claims of non-inferiority efficacy and safety of ranolazine as the comparison</w:t>
      </w:r>
      <w:r w:rsidR="00E05337" w:rsidRPr="00820420">
        <w:rPr>
          <w:bCs/>
          <w:lang w:val="en-GB"/>
        </w:rPr>
        <w:t>s were</w:t>
      </w:r>
      <w:r w:rsidR="00630D0E" w:rsidRPr="00820420">
        <w:rPr>
          <w:bCs/>
          <w:lang w:val="en-GB"/>
        </w:rPr>
        <w:t xml:space="preserve"> not adequately supported</w:t>
      </w:r>
      <w:r w:rsidR="006A60A4" w:rsidRPr="00820420">
        <w:rPr>
          <w:bCs/>
          <w:lang w:val="en-GB"/>
        </w:rPr>
        <w:t xml:space="preserve"> by the data</w:t>
      </w:r>
      <w:r w:rsidR="00630D0E" w:rsidRPr="00820420">
        <w:rPr>
          <w:bCs/>
          <w:lang w:val="en-GB"/>
        </w:rPr>
        <w:t xml:space="preserve">. </w:t>
      </w:r>
      <w:r w:rsidR="00B97694">
        <w:rPr>
          <w:bCs/>
          <w:lang w:val="en-GB"/>
        </w:rPr>
        <w:t xml:space="preserve">The PBAC considered that the rate of adverse events for nicorandil and </w:t>
      </w:r>
      <w:r w:rsidR="004C58B2">
        <w:t>cost of monitoring of perhexiline</w:t>
      </w:r>
      <w:r w:rsidR="004C58B2" w:rsidDel="004C58B2">
        <w:rPr>
          <w:bCs/>
          <w:lang w:val="en-GB"/>
        </w:rPr>
        <w:t xml:space="preserve"> </w:t>
      </w:r>
      <w:r w:rsidR="00B97694">
        <w:rPr>
          <w:bCs/>
          <w:lang w:val="en-GB"/>
        </w:rPr>
        <w:t>had been overstated.</w:t>
      </w:r>
    </w:p>
    <w:p w:rsidR="00F431A3" w:rsidRPr="0069654D" w:rsidRDefault="00F431A3" w:rsidP="00F431A3">
      <w:pPr>
        <w:rPr>
          <w:bCs/>
          <w:highlight w:val="yellow"/>
          <w:lang w:val="en-GB"/>
        </w:rPr>
      </w:pPr>
    </w:p>
    <w:p w:rsidR="00F431A3" w:rsidRPr="00F431A3" w:rsidRDefault="00A663AE" w:rsidP="00F431A3">
      <w:pPr>
        <w:numPr>
          <w:ilvl w:val="1"/>
          <w:numId w:val="4"/>
        </w:numPr>
        <w:rPr>
          <w:bCs/>
          <w:lang w:val="en-GB"/>
        </w:rPr>
      </w:pPr>
      <w:r w:rsidRPr="00A663AE">
        <w:rPr>
          <w:bCs/>
          <w:lang w:val="en-GB"/>
        </w:rPr>
        <w:t>The PBAC cons</w:t>
      </w:r>
      <w:r w:rsidR="00B30403">
        <w:rPr>
          <w:bCs/>
          <w:lang w:val="en-GB"/>
        </w:rPr>
        <w:t xml:space="preserve">idered the utilisation </w:t>
      </w:r>
      <w:r w:rsidRPr="00A663AE">
        <w:rPr>
          <w:bCs/>
          <w:lang w:val="en-GB"/>
        </w:rPr>
        <w:t>to be overestimated</w:t>
      </w:r>
      <w:r w:rsidR="00C80F73">
        <w:rPr>
          <w:bCs/>
          <w:lang w:val="en-GB"/>
        </w:rPr>
        <w:t xml:space="preserve"> and the net cost to government was unreliable given the assumptions presented in the submission</w:t>
      </w:r>
      <w:r w:rsidRPr="00A663AE">
        <w:rPr>
          <w:bCs/>
          <w:lang w:val="en-GB"/>
        </w:rPr>
        <w:t>.</w:t>
      </w:r>
    </w:p>
    <w:p w:rsidR="0035304C" w:rsidRDefault="0035304C" w:rsidP="0035304C">
      <w:pPr>
        <w:pStyle w:val="ListParagraph"/>
        <w:rPr>
          <w:bCs/>
          <w:lang w:val="en-GB"/>
        </w:rPr>
      </w:pPr>
    </w:p>
    <w:p w:rsidR="0035304C" w:rsidRPr="001A69DD" w:rsidRDefault="0035304C" w:rsidP="00067CB3">
      <w:pPr>
        <w:numPr>
          <w:ilvl w:val="1"/>
          <w:numId w:val="4"/>
        </w:numPr>
        <w:rPr>
          <w:bCs/>
          <w:lang w:val="en-GB"/>
        </w:rPr>
      </w:pPr>
      <w:r>
        <w:rPr>
          <w:bCs/>
          <w:lang w:val="en-GB"/>
        </w:rPr>
        <w:t xml:space="preserve">The PBAC considered there may be a clinical role for ranolazine for </w:t>
      </w:r>
      <w:r w:rsidRPr="001255F7">
        <w:t xml:space="preserve">add-on symptomatic treatment of stable angina </w:t>
      </w:r>
      <w:r w:rsidR="004C58B2">
        <w:t>pectoris</w:t>
      </w:r>
      <w:r w:rsidR="008D7297">
        <w:t>,</w:t>
      </w:r>
      <w:r w:rsidR="004C58B2">
        <w:t xml:space="preserve"> especially in the population where revascularisation was not an option and haemodynamic concerns limited other anti-anginal options</w:t>
      </w:r>
      <w:r>
        <w:t xml:space="preserve">. </w:t>
      </w:r>
      <w:r w:rsidR="00B30403">
        <w:t xml:space="preserve">The PBAC proposed that </w:t>
      </w:r>
      <w:r w:rsidR="00A31187">
        <w:t xml:space="preserve">any future submission should address the role of </w:t>
      </w:r>
      <w:r w:rsidR="00B30403">
        <w:t xml:space="preserve">long acting nitrates </w:t>
      </w:r>
      <w:r w:rsidR="00A31187">
        <w:t xml:space="preserve">in therapy, and </w:t>
      </w:r>
      <w:r w:rsidR="00B30403">
        <w:t xml:space="preserve">as </w:t>
      </w:r>
      <w:r w:rsidR="00A31187">
        <w:t xml:space="preserve">a relevant comparator in </w:t>
      </w:r>
      <w:r w:rsidR="00B30403">
        <w:t xml:space="preserve">the </w:t>
      </w:r>
      <w:r w:rsidR="00A31187">
        <w:t xml:space="preserve">requested PBS population. </w:t>
      </w:r>
      <w:r w:rsidR="00CD0648">
        <w:t>The PBAC considered the substantially higher price for ranolazine compared with long acting nitrates and</w:t>
      </w:r>
      <w:r w:rsidR="0053365C">
        <w:t xml:space="preserve"> nicorandil was not jus</w:t>
      </w:r>
      <w:r w:rsidR="00820916">
        <w:t>t</w:t>
      </w:r>
      <w:r w:rsidR="0053365C">
        <w:t>ified.</w:t>
      </w:r>
    </w:p>
    <w:p w:rsidR="001A69DD" w:rsidRDefault="001A69DD" w:rsidP="001A69DD">
      <w:pPr>
        <w:pStyle w:val="ListParagraph"/>
        <w:rPr>
          <w:bCs/>
          <w:lang w:val="en-GB"/>
        </w:rPr>
      </w:pPr>
    </w:p>
    <w:p w:rsidR="001A69DD" w:rsidRDefault="001A69DD" w:rsidP="002A7174">
      <w:pPr>
        <w:pStyle w:val="ListParagraph"/>
        <w:numPr>
          <w:ilvl w:val="1"/>
          <w:numId w:val="4"/>
        </w:numPr>
        <w:rPr>
          <w:bCs/>
          <w:lang w:val="en-GB"/>
        </w:rPr>
      </w:pPr>
      <w:r w:rsidRPr="001A69DD">
        <w:rPr>
          <w:bCs/>
          <w:lang w:val="en-GB"/>
        </w:rPr>
        <w:t>The PBAC noted that this submission is eligible for an Independent Review</w:t>
      </w:r>
      <w:r w:rsidR="00FE61F3">
        <w:rPr>
          <w:bCs/>
          <w:lang w:val="en-GB"/>
        </w:rPr>
        <w:t>.</w:t>
      </w:r>
    </w:p>
    <w:p w:rsidR="00A663AE" w:rsidRPr="00A663AE" w:rsidRDefault="00A663AE" w:rsidP="00A663AE">
      <w:pPr>
        <w:rPr>
          <w:bCs/>
          <w:lang w:val="en-GB"/>
        </w:rPr>
      </w:pPr>
    </w:p>
    <w:p w:rsidR="00F278FA" w:rsidRPr="00793A7C" w:rsidRDefault="00F278FA" w:rsidP="00F278FA">
      <w:pPr>
        <w:rPr>
          <w:b/>
          <w:bCs/>
          <w:lang w:val="en-GB"/>
        </w:rPr>
      </w:pPr>
      <w:r w:rsidRPr="00793A7C">
        <w:rPr>
          <w:b/>
          <w:bCs/>
          <w:lang w:val="en-GB"/>
        </w:rPr>
        <w:t>Outcome:</w:t>
      </w:r>
    </w:p>
    <w:p w:rsidR="00D27F96" w:rsidRDefault="00F278FA" w:rsidP="001D3BA0">
      <w:pPr>
        <w:rPr>
          <w:bCs/>
          <w:lang w:val="en-GB"/>
        </w:rPr>
      </w:pPr>
      <w:r w:rsidRPr="00793A7C">
        <w:rPr>
          <w:bCs/>
          <w:lang w:val="en-GB"/>
        </w:rPr>
        <w:t>Rejected</w:t>
      </w:r>
    </w:p>
    <w:p w:rsidR="00DA25DA" w:rsidRDefault="00DA25DA" w:rsidP="001D3BA0">
      <w:pPr>
        <w:rPr>
          <w:bCs/>
          <w:lang w:val="en-GB"/>
        </w:rPr>
      </w:pPr>
    </w:p>
    <w:p w:rsidR="00DA25DA" w:rsidRDefault="00DA25DA" w:rsidP="00DA25DA">
      <w:pPr>
        <w:pStyle w:val="PBACHeading1"/>
        <w:numPr>
          <w:ilvl w:val="0"/>
          <w:numId w:val="4"/>
        </w:numPr>
        <w:ind w:left="709" w:hanging="709"/>
      </w:pPr>
      <w:r w:rsidRPr="00485DD3">
        <w:t>Context for Decision</w:t>
      </w:r>
    </w:p>
    <w:p w:rsidR="00DA25DA" w:rsidRDefault="00DA25DA" w:rsidP="00DA25DA">
      <w:pPr>
        <w:ind w:left="709"/>
      </w:pPr>
    </w:p>
    <w:p w:rsidR="00DA25DA" w:rsidRDefault="00DA25DA" w:rsidP="00DA25DA">
      <w:pPr>
        <w:ind w:left="709"/>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A25DA" w:rsidRDefault="00DA25DA" w:rsidP="00DA25DA">
      <w:pPr>
        <w:ind w:left="709"/>
      </w:pPr>
    </w:p>
    <w:p w:rsidR="00DA25DA" w:rsidRDefault="00DA25DA" w:rsidP="00DA25DA">
      <w:pPr>
        <w:ind w:left="709"/>
      </w:pPr>
    </w:p>
    <w:p w:rsidR="00DA25DA" w:rsidRPr="00B0280B" w:rsidRDefault="00DA25DA" w:rsidP="00DA25DA">
      <w:pPr>
        <w:pStyle w:val="PBACHeading1"/>
        <w:numPr>
          <w:ilvl w:val="0"/>
          <w:numId w:val="4"/>
        </w:numPr>
        <w:ind w:left="709" w:hanging="709"/>
      </w:pPr>
      <w:r w:rsidRPr="00485DD3">
        <w:t>Sponsor’s Comment</w:t>
      </w:r>
    </w:p>
    <w:p w:rsidR="00DA25DA" w:rsidRDefault="00DA25DA" w:rsidP="00DA25DA">
      <w:pPr>
        <w:ind w:left="709"/>
        <w:rPr>
          <w:bCs/>
          <w:highlight w:val="yellow"/>
          <w:lang w:val="en-GB"/>
        </w:rPr>
      </w:pPr>
    </w:p>
    <w:p w:rsidR="00021E84" w:rsidRPr="00021E84" w:rsidRDefault="00021E84" w:rsidP="00021E84">
      <w:pPr>
        <w:ind w:left="709"/>
      </w:pPr>
      <w:r w:rsidRPr="00021E84">
        <w:t>Menarini will continue to work with the PBAC as we believe there are patients in Australia who could benefit from this treatment</w:t>
      </w:r>
    </w:p>
    <w:p w:rsidR="00DA25DA" w:rsidRPr="001D3BA0" w:rsidRDefault="00DA25DA" w:rsidP="001D3BA0">
      <w:pPr>
        <w:rPr>
          <w:bCs/>
          <w:lang w:val="en-GB"/>
        </w:rPr>
      </w:pPr>
    </w:p>
    <w:sectPr w:rsidR="00DA25DA" w:rsidRPr="001D3BA0" w:rsidSect="005B557A">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2345D8" w15:done="0"/>
  <w15:commentEx w15:paraId="5031D100" w15:done="0"/>
  <w15:commentEx w15:paraId="762CC196" w15:done="0"/>
  <w15:commentEx w15:paraId="25021A9A" w15:done="0"/>
  <w15:commentEx w15:paraId="541D6AF8" w15:paraIdParent="25021A9A" w15:done="0"/>
  <w15:commentEx w15:paraId="6337A103" w15:done="0"/>
  <w15:commentEx w15:paraId="78F8C7A1" w15:done="0"/>
  <w15:commentEx w15:paraId="399C11BA" w15:done="0"/>
  <w15:commentEx w15:paraId="43F41EE1" w15:done="0"/>
  <w15:commentEx w15:paraId="07516B85" w15:paraIdParent="43F41EE1" w15:done="0"/>
  <w15:commentEx w15:paraId="79516B66" w15:done="0"/>
  <w15:commentEx w15:paraId="702251C8" w15:paraIdParent="79516B66" w15:done="0"/>
  <w15:commentEx w15:paraId="37E59A1C" w15:done="0"/>
  <w15:commentEx w15:paraId="526FEF49" w15:done="0"/>
  <w15:commentEx w15:paraId="1D37842B" w15:done="0"/>
  <w15:commentEx w15:paraId="2A45A933" w15:paraIdParent="1D37842B" w15:done="0"/>
  <w15:commentEx w15:paraId="29EC2A10" w15:done="0"/>
  <w15:commentEx w15:paraId="44E48EB9" w15:done="0"/>
  <w15:commentEx w15:paraId="1C785AFD" w15:done="0"/>
  <w15:commentEx w15:paraId="1262B155" w15:done="0"/>
  <w15:commentEx w15:paraId="3C25C79D" w15:done="0"/>
  <w15:commentEx w15:paraId="13C37B6C" w15:done="0"/>
  <w15:commentEx w15:paraId="1A9CFC57" w15:done="0"/>
  <w15:commentEx w15:paraId="74A83225" w15:done="0"/>
  <w15:commentEx w15:paraId="4EBC9777" w15:done="0"/>
  <w15:commentEx w15:paraId="1F32FA5F" w15:done="0"/>
  <w15:commentEx w15:paraId="01BBD6D2" w15:done="0"/>
  <w15:commentEx w15:paraId="1EDC9D7C" w15:done="0"/>
  <w15:commentEx w15:paraId="73097781" w15:done="0"/>
  <w15:commentEx w15:paraId="1723E8F8" w15:done="0"/>
  <w15:commentEx w15:paraId="5E479983" w15:done="0"/>
  <w15:commentEx w15:paraId="75F064B6" w15:done="0"/>
  <w15:commentEx w15:paraId="7110343C" w15:done="0"/>
  <w15:commentEx w15:paraId="15A0D70F" w15:done="0"/>
  <w15:commentEx w15:paraId="271E1618" w15:paraIdParent="15A0D70F" w15:done="0"/>
  <w15:commentEx w15:paraId="77C311F8" w15:done="0"/>
  <w15:commentEx w15:paraId="6763F220" w15:paraIdParent="77C311F8" w15:done="0"/>
  <w15:commentEx w15:paraId="42A1CB7E" w15:done="0"/>
  <w15:commentEx w15:paraId="6F978CA9" w15:done="0"/>
  <w15:commentEx w15:paraId="6625B3C7" w15:done="0"/>
  <w15:commentEx w15:paraId="49EB1F0F" w15:done="0"/>
  <w15:commentEx w15:paraId="67311349" w15:done="0"/>
  <w15:commentEx w15:paraId="04A6CDE7" w15:done="0"/>
  <w15:commentEx w15:paraId="7CDB4C95" w15:done="0"/>
  <w15:commentEx w15:paraId="538C68F9" w15:done="0"/>
  <w15:commentEx w15:paraId="66840853" w15:done="0"/>
  <w15:commentEx w15:paraId="43F5D9BA" w15:done="0"/>
  <w15:commentEx w15:paraId="33439541" w15:done="0"/>
  <w15:commentEx w15:paraId="15C9A656" w15:done="0"/>
  <w15:commentEx w15:paraId="3EF49F73" w15:done="0"/>
  <w15:commentEx w15:paraId="3BA346E7" w15:done="0"/>
  <w15:commentEx w15:paraId="69787AA0" w15:done="0"/>
  <w15:commentEx w15:paraId="452B7EA2" w15:done="0"/>
  <w15:commentEx w15:paraId="277992FD" w15:done="0"/>
  <w15:commentEx w15:paraId="15F2242E" w15:done="0"/>
  <w15:commentEx w15:paraId="5F1DB93D" w15:done="0"/>
  <w15:commentEx w15:paraId="5A333F41" w15:done="0"/>
  <w15:commentEx w15:paraId="59EB1D78" w15:done="0"/>
  <w15:commentEx w15:paraId="68E9AB13" w15:done="0"/>
  <w15:commentEx w15:paraId="33F059F6" w15:done="0"/>
  <w15:commentEx w15:paraId="0F544DA0" w15:done="0"/>
  <w15:commentEx w15:paraId="5673F7F1" w15:done="0"/>
  <w15:commentEx w15:paraId="336944D1" w15:done="0"/>
  <w15:commentEx w15:paraId="04878730" w15:done="0"/>
  <w15:commentEx w15:paraId="385FAC4C" w15:done="0"/>
  <w15:commentEx w15:paraId="1F070454" w15:done="0"/>
  <w15:commentEx w15:paraId="6E66C466" w15:done="0"/>
  <w15:commentEx w15:paraId="5D7F82F2" w15:done="0"/>
  <w15:commentEx w15:paraId="44FACCA2" w15:done="0"/>
  <w15:commentEx w15:paraId="5899AF75" w15:done="0"/>
  <w15:commentEx w15:paraId="2EFAE59A" w15:done="0"/>
  <w15:commentEx w15:paraId="4924BE0F" w15:done="0"/>
  <w15:commentEx w15:paraId="707203D1" w15:done="0"/>
  <w15:commentEx w15:paraId="4E9EB257" w15:done="0"/>
  <w15:commentEx w15:paraId="05C24C0D" w15:done="0"/>
  <w15:commentEx w15:paraId="65308FCF" w15:done="0"/>
  <w15:commentEx w15:paraId="192269FB" w15:done="0"/>
  <w15:commentEx w15:paraId="7440C8BE" w15:done="0"/>
  <w15:commentEx w15:paraId="4195421F" w15:done="0"/>
  <w15:commentEx w15:paraId="0FEF7D52" w15:done="0"/>
  <w15:commentEx w15:paraId="6BB55B96" w15:done="0"/>
  <w15:commentEx w15:paraId="5D906520" w15:done="0"/>
  <w15:commentEx w15:paraId="1915F59D" w15:done="0"/>
  <w15:commentEx w15:paraId="3E593ABA" w15:done="0"/>
  <w15:commentEx w15:paraId="5ED61ACF" w15:done="0"/>
  <w15:commentEx w15:paraId="70B8AD4F" w15:paraIdParent="5ED61ACF" w15:done="0"/>
  <w15:commentEx w15:paraId="4800C004" w15:done="0"/>
  <w15:commentEx w15:paraId="4F790341" w15:done="0"/>
  <w15:commentEx w15:paraId="5C57C75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EC5" w:rsidRDefault="005E1EC5" w:rsidP="00124A51">
      <w:r>
        <w:separator/>
      </w:r>
    </w:p>
  </w:endnote>
  <w:endnote w:type="continuationSeparator" w:id="0">
    <w:p w:rsidR="005E1EC5" w:rsidRDefault="005E1EC5" w:rsidP="00124A51">
      <w:r>
        <w:continuationSeparator/>
      </w:r>
    </w:p>
  </w:endnote>
  <w:endnote w:type="continuationNotice" w:id="1">
    <w:p w:rsidR="005E1EC5" w:rsidRDefault="005E1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EC5" w:rsidRDefault="005E1E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E84" w:rsidRDefault="00021E84" w:rsidP="001D7900">
    <w:pPr>
      <w:pStyle w:val="Footer"/>
    </w:pPr>
  </w:p>
  <w:p w:rsidR="00021E84" w:rsidRPr="001D7900" w:rsidRDefault="00021E84" w:rsidP="001255F7">
    <w:pPr>
      <w:ind w:right="360"/>
      <w:jc w:val="center"/>
      <w:rPr>
        <w:b/>
        <w:sz w:val="20"/>
      </w:rPr>
    </w:pPr>
    <w:r>
      <w:rPr>
        <w:sz w:val="20"/>
      </w:rPr>
      <w:tab/>
    </w:r>
    <w:r w:rsidRPr="00651169">
      <w:rPr>
        <w:sz w:val="20"/>
      </w:rPr>
      <w:fldChar w:fldCharType="begin"/>
    </w:r>
    <w:r w:rsidRPr="00651169">
      <w:rPr>
        <w:sz w:val="20"/>
      </w:rPr>
      <w:instrText xml:space="preserve"> PAGE   \* MERGEFORMAT </w:instrText>
    </w:r>
    <w:r w:rsidRPr="00651169">
      <w:rPr>
        <w:sz w:val="20"/>
      </w:rPr>
      <w:fldChar w:fldCharType="separate"/>
    </w:r>
    <w:r w:rsidR="005E1EC5">
      <w:rPr>
        <w:noProof/>
        <w:sz w:val="20"/>
      </w:rPr>
      <w:t>22</w:t>
    </w:r>
    <w:r w:rsidRPr="00651169">
      <w:rP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EC5" w:rsidRDefault="005E1E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EC5" w:rsidRDefault="005E1EC5" w:rsidP="00124A51">
      <w:r>
        <w:separator/>
      </w:r>
    </w:p>
  </w:footnote>
  <w:footnote w:type="continuationSeparator" w:id="0">
    <w:p w:rsidR="005E1EC5" w:rsidRDefault="005E1EC5" w:rsidP="00124A51">
      <w:r>
        <w:continuationSeparator/>
      </w:r>
    </w:p>
  </w:footnote>
  <w:footnote w:type="continuationNotice" w:id="1">
    <w:p w:rsidR="005E1EC5" w:rsidRDefault="005E1E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EC5" w:rsidRDefault="005E1E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E84" w:rsidRPr="00DF217D" w:rsidRDefault="00021E84" w:rsidP="00DA25DA">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March 2017 </w:t>
    </w:r>
    <w:r w:rsidRPr="00DF217D">
      <w:rPr>
        <w:i/>
        <w:color w:val="808080"/>
      </w:rPr>
      <w:t>PBAC</w:t>
    </w:r>
    <w:r>
      <w:rPr>
        <w:i/>
        <w:color w:val="808080"/>
      </w:rPr>
      <w:t xml:space="preserve"> </w:t>
    </w:r>
    <w:r w:rsidRPr="00DF217D">
      <w:rPr>
        <w:i/>
        <w:color w:val="808080"/>
      </w:rPr>
      <w:t>Meeting</w:t>
    </w:r>
  </w:p>
  <w:p w:rsidR="00021E84" w:rsidRDefault="00021E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EC5" w:rsidRDefault="005E1E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9A4655"/>
    <w:multiLevelType w:val="multilevel"/>
    <w:tmpl w:val="EC6A60B2"/>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nsid w:val="0A8543BF"/>
    <w:multiLevelType w:val="hybridMultilevel"/>
    <w:tmpl w:val="C1567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D145E89"/>
    <w:multiLevelType w:val="hybridMultilevel"/>
    <w:tmpl w:val="F9A86ED4"/>
    <w:lvl w:ilvl="0" w:tplc="268873EC">
      <w:start w:val="1"/>
      <w:numFmt w:val="bullet"/>
      <w:lvlText w:val=" "/>
      <w:lvlJc w:val="left"/>
      <w:pPr>
        <w:tabs>
          <w:tab w:val="num" w:pos="720"/>
        </w:tabs>
        <w:ind w:left="720" w:hanging="360"/>
      </w:pPr>
      <w:rPr>
        <w:rFonts w:ascii="Calibri" w:hAnsi="Calibri" w:hint="default"/>
      </w:rPr>
    </w:lvl>
    <w:lvl w:ilvl="1" w:tplc="8D5C699C" w:tentative="1">
      <w:start w:val="1"/>
      <w:numFmt w:val="bullet"/>
      <w:lvlText w:val=" "/>
      <w:lvlJc w:val="left"/>
      <w:pPr>
        <w:tabs>
          <w:tab w:val="num" w:pos="1440"/>
        </w:tabs>
        <w:ind w:left="1440" w:hanging="360"/>
      </w:pPr>
      <w:rPr>
        <w:rFonts w:ascii="Calibri" w:hAnsi="Calibri" w:hint="default"/>
      </w:rPr>
    </w:lvl>
    <w:lvl w:ilvl="2" w:tplc="1B6EA050" w:tentative="1">
      <w:start w:val="1"/>
      <w:numFmt w:val="bullet"/>
      <w:lvlText w:val=" "/>
      <w:lvlJc w:val="left"/>
      <w:pPr>
        <w:tabs>
          <w:tab w:val="num" w:pos="2160"/>
        </w:tabs>
        <w:ind w:left="2160" w:hanging="360"/>
      </w:pPr>
      <w:rPr>
        <w:rFonts w:ascii="Calibri" w:hAnsi="Calibri" w:hint="default"/>
      </w:rPr>
    </w:lvl>
    <w:lvl w:ilvl="3" w:tplc="B8AAF8E0" w:tentative="1">
      <w:start w:val="1"/>
      <w:numFmt w:val="bullet"/>
      <w:lvlText w:val=" "/>
      <w:lvlJc w:val="left"/>
      <w:pPr>
        <w:tabs>
          <w:tab w:val="num" w:pos="2880"/>
        </w:tabs>
        <w:ind w:left="2880" w:hanging="360"/>
      </w:pPr>
      <w:rPr>
        <w:rFonts w:ascii="Calibri" w:hAnsi="Calibri" w:hint="default"/>
      </w:rPr>
    </w:lvl>
    <w:lvl w:ilvl="4" w:tplc="3AB6E94A" w:tentative="1">
      <w:start w:val="1"/>
      <w:numFmt w:val="bullet"/>
      <w:lvlText w:val=" "/>
      <w:lvlJc w:val="left"/>
      <w:pPr>
        <w:tabs>
          <w:tab w:val="num" w:pos="3600"/>
        </w:tabs>
        <w:ind w:left="3600" w:hanging="360"/>
      </w:pPr>
      <w:rPr>
        <w:rFonts w:ascii="Calibri" w:hAnsi="Calibri" w:hint="default"/>
      </w:rPr>
    </w:lvl>
    <w:lvl w:ilvl="5" w:tplc="5CB4D7B0" w:tentative="1">
      <w:start w:val="1"/>
      <w:numFmt w:val="bullet"/>
      <w:lvlText w:val=" "/>
      <w:lvlJc w:val="left"/>
      <w:pPr>
        <w:tabs>
          <w:tab w:val="num" w:pos="4320"/>
        </w:tabs>
        <w:ind w:left="4320" w:hanging="360"/>
      </w:pPr>
      <w:rPr>
        <w:rFonts w:ascii="Calibri" w:hAnsi="Calibri" w:hint="default"/>
      </w:rPr>
    </w:lvl>
    <w:lvl w:ilvl="6" w:tplc="13D2D658" w:tentative="1">
      <w:start w:val="1"/>
      <w:numFmt w:val="bullet"/>
      <w:lvlText w:val=" "/>
      <w:lvlJc w:val="left"/>
      <w:pPr>
        <w:tabs>
          <w:tab w:val="num" w:pos="5040"/>
        </w:tabs>
        <w:ind w:left="5040" w:hanging="360"/>
      </w:pPr>
      <w:rPr>
        <w:rFonts w:ascii="Calibri" w:hAnsi="Calibri" w:hint="default"/>
      </w:rPr>
    </w:lvl>
    <w:lvl w:ilvl="7" w:tplc="9A5AF392" w:tentative="1">
      <w:start w:val="1"/>
      <w:numFmt w:val="bullet"/>
      <w:lvlText w:val=" "/>
      <w:lvlJc w:val="left"/>
      <w:pPr>
        <w:tabs>
          <w:tab w:val="num" w:pos="5760"/>
        </w:tabs>
        <w:ind w:left="5760" w:hanging="360"/>
      </w:pPr>
      <w:rPr>
        <w:rFonts w:ascii="Calibri" w:hAnsi="Calibri" w:hint="default"/>
      </w:rPr>
    </w:lvl>
    <w:lvl w:ilvl="8" w:tplc="EFA2E01A" w:tentative="1">
      <w:start w:val="1"/>
      <w:numFmt w:val="bullet"/>
      <w:lvlText w:val=" "/>
      <w:lvlJc w:val="left"/>
      <w:pPr>
        <w:tabs>
          <w:tab w:val="num" w:pos="6480"/>
        </w:tabs>
        <w:ind w:left="6480" w:hanging="360"/>
      </w:pPr>
      <w:rPr>
        <w:rFonts w:ascii="Calibri" w:hAnsi="Calibri" w:hint="default"/>
      </w:rPr>
    </w:lvl>
  </w:abstractNum>
  <w:abstractNum w:abstractNumId="6">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51339F4"/>
    <w:multiLevelType w:val="hybridMultilevel"/>
    <w:tmpl w:val="167881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EF400CC">
      <w:numFmt w:val="bullet"/>
      <w:lvlText w:val="-"/>
      <w:lvlJc w:val="left"/>
      <w:pPr>
        <w:ind w:left="2880" w:hanging="360"/>
      </w:pPr>
      <w:rPr>
        <w:rFonts w:ascii="Arial Narrow" w:eastAsia="Times New Roman" w:hAnsi="Arial Narrow" w:cs="Times New Roman"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084D6D"/>
    <w:multiLevelType w:val="hybridMultilevel"/>
    <w:tmpl w:val="43CC54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18BF2027"/>
    <w:multiLevelType w:val="multilevel"/>
    <w:tmpl w:val="EC6A60B2"/>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nsid w:val="19446958"/>
    <w:multiLevelType w:val="multilevel"/>
    <w:tmpl w:val="EC6A60B2"/>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1">
    <w:nsid w:val="1CFE66B4"/>
    <w:multiLevelType w:val="multilevel"/>
    <w:tmpl w:val="C8F27A1E"/>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1142761"/>
    <w:multiLevelType w:val="hybridMultilevel"/>
    <w:tmpl w:val="C1567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A2972B5"/>
    <w:multiLevelType w:val="hybridMultilevel"/>
    <w:tmpl w:val="C4E07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6">
    <w:nsid w:val="44565495"/>
    <w:multiLevelType w:val="hybridMultilevel"/>
    <w:tmpl w:val="F496B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9B84FEE"/>
    <w:multiLevelType w:val="multilevel"/>
    <w:tmpl w:val="27B6CC3E"/>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8">
    <w:nsid w:val="4D1B5011"/>
    <w:multiLevelType w:val="hybridMultilevel"/>
    <w:tmpl w:val="D8304730"/>
    <w:lvl w:ilvl="0" w:tplc="520AA60A">
      <w:start w:val="1"/>
      <w:numFmt w:val="bullet"/>
      <w:lvlText w:val=" "/>
      <w:lvlJc w:val="left"/>
      <w:pPr>
        <w:tabs>
          <w:tab w:val="num" w:pos="720"/>
        </w:tabs>
        <w:ind w:left="720" w:hanging="360"/>
      </w:pPr>
      <w:rPr>
        <w:rFonts w:ascii="Calibri" w:hAnsi="Calibri" w:hint="default"/>
      </w:rPr>
    </w:lvl>
    <w:lvl w:ilvl="1" w:tplc="535E9146" w:tentative="1">
      <w:start w:val="1"/>
      <w:numFmt w:val="bullet"/>
      <w:lvlText w:val=" "/>
      <w:lvlJc w:val="left"/>
      <w:pPr>
        <w:tabs>
          <w:tab w:val="num" w:pos="1440"/>
        </w:tabs>
        <w:ind w:left="1440" w:hanging="360"/>
      </w:pPr>
      <w:rPr>
        <w:rFonts w:ascii="Calibri" w:hAnsi="Calibri" w:hint="default"/>
      </w:rPr>
    </w:lvl>
    <w:lvl w:ilvl="2" w:tplc="B63A7CD8" w:tentative="1">
      <w:start w:val="1"/>
      <w:numFmt w:val="bullet"/>
      <w:lvlText w:val=" "/>
      <w:lvlJc w:val="left"/>
      <w:pPr>
        <w:tabs>
          <w:tab w:val="num" w:pos="2160"/>
        </w:tabs>
        <w:ind w:left="2160" w:hanging="360"/>
      </w:pPr>
      <w:rPr>
        <w:rFonts w:ascii="Calibri" w:hAnsi="Calibri" w:hint="default"/>
      </w:rPr>
    </w:lvl>
    <w:lvl w:ilvl="3" w:tplc="11F684CE" w:tentative="1">
      <w:start w:val="1"/>
      <w:numFmt w:val="bullet"/>
      <w:lvlText w:val=" "/>
      <w:lvlJc w:val="left"/>
      <w:pPr>
        <w:tabs>
          <w:tab w:val="num" w:pos="2880"/>
        </w:tabs>
        <w:ind w:left="2880" w:hanging="360"/>
      </w:pPr>
      <w:rPr>
        <w:rFonts w:ascii="Calibri" w:hAnsi="Calibri" w:hint="default"/>
      </w:rPr>
    </w:lvl>
    <w:lvl w:ilvl="4" w:tplc="40E85CBA" w:tentative="1">
      <w:start w:val="1"/>
      <w:numFmt w:val="bullet"/>
      <w:lvlText w:val=" "/>
      <w:lvlJc w:val="left"/>
      <w:pPr>
        <w:tabs>
          <w:tab w:val="num" w:pos="3600"/>
        </w:tabs>
        <w:ind w:left="3600" w:hanging="360"/>
      </w:pPr>
      <w:rPr>
        <w:rFonts w:ascii="Calibri" w:hAnsi="Calibri" w:hint="default"/>
      </w:rPr>
    </w:lvl>
    <w:lvl w:ilvl="5" w:tplc="E626C2C8" w:tentative="1">
      <w:start w:val="1"/>
      <w:numFmt w:val="bullet"/>
      <w:lvlText w:val=" "/>
      <w:lvlJc w:val="left"/>
      <w:pPr>
        <w:tabs>
          <w:tab w:val="num" w:pos="4320"/>
        </w:tabs>
        <w:ind w:left="4320" w:hanging="360"/>
      </w:pPr>
      <w:rPr>
        <w:rFonts w:ascii="Calibri" w:hAnsi="Calibri" w:hint="default"/>
      </w:rPr>
    </w:lvl>
    <w:lvl w:ilvl="6" w:tplc="FDBA876A" w:tentative="1">
      <w:start w:val="1"/>
      <w:numFmt w:val="bullet"/>
      <w:lvlText w:val=" "/>
      <w:lvlJc w:val="left"/>
      <w:pPr>
        <w:tabs>
          <w:tab w:val="num" w:pos="5040"/>
        </w:tabs>
        <w:ind w:left="5040" w:hanging="360"/>
      </w:pPr>
      <w:rPr>
        <w:rFonts w:ascii="Calibri" w:hAnsi="Calibri" w:hint="default"/>
      </w:rPr>
    </w:lvl>
    <w:lvl w:ilvl="7" w:tplc="5288B4D6" w:tentative="1">
      <w:start w:val="1"/>
      <w:numFmt w:val="bullet"/>
      <w:lvlText w:val=" "/>
      <w:lvlJc w:val="left"/>
      <w:pPr>
        <w:tabs>
          <w:tab w:val="num" w:pos="5760"/>
        </w:tabs>
        <w:ind w:left="5760" w:hanging="360"/>
      </w:pPr>
      <w:rPr>
        <w:rFonts w:ascii="Calibri" w:hAnsi="Calibri" w:hint="default"/>
      </w:rPr>
    </w:lvl>
    <w:lvl w:ilvl="8" w:tplc="04DE1694" w:tentative="1">
      <w:start w:val="1"/>
      <w:numFmt w:val="bullet"/>
      <w:lvlText w:val=" "/>
      <w:lvlJc w:val="left"/>
      <w:pPr>
        <w:tabs>
          <w:tab w:val="num" w:pos="6480"/>
        </w:tabs>
        <w:ind w:left="6480" w:hanging="360"/>
      </w:pPr>
      <w:rPr>
        <w:rFonts w:ascii="Calibri" w:hAnsi="Calibri" w:hint="default"/>
      </w:rPr>
    </w:lvl>
  </w:abstractNum>
  <w:abstractNum w:abstractNumId="19">
    <w:nsid w:val="51BB2B09"/>
    <w:multiLevelType w:val="hybridMultilevel"/>
    <w:tmpl w:val="CF6CD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75D49FF"/>
    <w:multiLevelType w:val="hybridMultilevel"/>
    <w:tmpl w:val="F81CCE5C"/>
    <w:lvl w:ilvl="0" w:tplc="5AA015AA">
      <w:start w:val="1"/>
      <w:numFmt w:val="bullet"/>
      <w:lvlText w:val=" "/>
      <w:lvlJc w:val="left"/>
      <w:pPr>
        <w:tabs>
          <w:tab w:val="num" w:pos="720"/>
        </w:tabs>
        <w:ind w:left="720" w:hanging="360"/>
      </w:pPr>
      <w:rPr>
        <w:rFonts w:ascii="Calibri" w:hAnsi="Calibri" w:hint="default"/>
      </w:rPr>
    </w:lvl>
    <w:lvl w:ilvl="1" w:tplc="5E2C194E" w:tentative="1">
      <w:start w:val="1"/>
      <w:numFmt w:val="bullet"/>
      <w:lvlText w:val=" "/>
      <w:lvlJc w:val="left"/>
      <w:pPr>
        <w:tabs>
          <w:tab w:val="num" w:pos="1440"/>
        </w:tabs>
        <w:ind w:left="1440" w:hanging="360"/>
      </w:pPr>
      <w:rPr>
        <w:rFonts w:ascii="Calibri" w:hAnsi="Calibri" w:hint="default"/>
      </w:rPr>
    </w:lvl>
    <w:lvl w:ilvl="2" w:tplc="42BE086A" w:tentative="1">
      <w:start w:val="1"/>
      <w:numFmt w:val="bullet"/>
      <w:lvlText w:val=" "/>
      <w:lvlJc w:val="left"/>
      <w:pPr>
        <w:tabs>
          <w:tab w:val="num" w:pos="2160"/>
        </w:tabs>
        <w:ind w:left="2160" w:hanging="360"/>
      </w:pPr>
      <w:rPr>
        <w:rFonts w:ascii="Calibri" w:hAnsi="Calibri" w:hint="default"/>
      </w:rPr>
    </w:lvl>
    <w:lvl w:ilvl="3" w:tplc="1864230C" w:tentative="1">
      <w:start w:val="1"/>
      <w:numFmt w:val="bullet"/>
      <w:lvlText w:val=" "/>
      <w:lvlJc w:val="left"/>
      <w:pPr>
        <w:tabs>
          <w:tab w:val="num" w:pos="2880"/>
        </w:tabs>
        <w:ind w:left="2880" w:hanging="360"/>
      </w:pPr>
      <w:rPr>
        <w:rFonts w:ascii="Calibri" w:hAnsi="Calibri" w:hint="default"/>
      </w:rPr>
    </w:lvl>
    <w:lvl w:ilvl="4" w:tplc="C5B09454" w:tentative="1">
      <w:start w:val="1"/>
      <w:numFmt w:val="bullet"/>
      <w:lvlText w:val=" "/>
      <w:lvlJc w:val="left"/>
      <w:pPr>
        <w:tabs>
          <w:tab w:val="num" w:pos="3600"/>
        </w:tabs>
        <w:ind w:left="3600" w:hanging="360"/>
      </w:pPr>
      <w:rPr>
        <w:rFonts w:ascii="Calibri" w:hAnsi="Calibri" w:hint="default"/>
      </w:rPr>
    </w:lvl>
    <w:lvl w:ilvl="5" w:tplc="01846E34" w:tentative="1">
      <w:start w:val="1"/>
      <w:numFmt w:val="bullet"/>
      <w:lvlText w:val=" "/>
      <w:lvlJc w:val="left"/>
      <w:pPr>
        <w:tabs>
          <w:tab w:val="num" w:pos="4320"/>
        </w:tabs>
        <w:ind w:left="4320" w:hanging="360"/>
      </w:pPr>
      <w:rPr>
        <w:rFonts w:ascii="Calibri" w:hAnsi="Calibri" w:hint="default"/>
      </w:rPr>
    </w:lvl>
    <w:lvl w:ilvl="6" w:tplc="495CE224" w:tentative="1">
      <w:start w:val="1"/>
      <w:numFmt w:val="bullet"/>
      <w:lvlText w:val=" "/>
      <w:lvlJc w:val="left"/>
      <w:pPr>
        <w:tabs>
          <w:tab w:val="num" w:pos="5040"/>
        </w:tabs>
        <w:ind w:left="5040" w:hanging="360"/>
      </w:pPr>
      <w:rPr>
        <w:rFonts w:ascii="Calibri" w:hAnsi="Calibri" w:hint="default"/>
      </w:rPr>
    </w:lvl>
    <w:lvl w:ilvl="7" w:tplc="1F484CC8" w:tentative="1">
      <w:start w:val="1"/>
      <w:numFmt w:val="bullet"/>
      <w:lvlText w:val=" "/>
      <w:lvlJc w:val="left"/>
      <w:pPr>
        <w:tabs>
          <w:tab w:val="num" w:pos="5760"/>
        </w:tabs>
        <w:ind w:left="5760" w:hanging="360"/>
      </w:pPr>
      <w:rPr>
        <w:rFonts w:ascii="Calibri" w:hAnsi="Calibri" w:hint="default"/>
      </w:rPr>
    </w:lvl>
    <w:lvl w:ilvl="8" w:tplc="06B0EC6A" w:tentative="1">
      <w:start w:val="1"/>
      <w:numFmt w:val="bullet"/>
      <w:lvlText w:val=" "/>
      <w:lvlJc w:val="left"/>
      <w:pPr>
        <w:tabs>
          <w:tab w:val="num" w:pos="6480"/>
        </w:tabs>
        <w:ind w:left="6480" w:hanging="360"/>
      </w:pPr>
      <w:rPr>
        <w:rFonts w:ascii="Calibri" w:hAnsi="Calibri" w:hint="default"/>
      </w:rPr>
    </w:lvl>
  </w:abstractNum>
  <w:abstractNum w:abstractNumId="22">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F9D50C7"/>
    <w:multiLevelType w:val="multilevel"/>
    <w:tmpl w:val="EC6A60B2"/>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4">
    <w:nsid w:val="60084FBF"/>
    <w:multiLevelType w:val="hybridMultilevel"/>
    <w:tmpl w:val="47C2347C"/>
    <w:lvl w:ilvl="0" w:tplc="65423536">
      <w:start w:val="1"/>
      <w:numFmt w:val="bullet"/>
      <w:pStyle w:val="Table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641F5076"/>
    <w:multiLevelType w:val="hybridMultilevel"/>
    <w:tmpl w:val="58ECD44A"/>
    <w:lvl w:ilvl="0" w:tplc="0C090001">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699D0B37"/>
    <w:multiLevelType w:val="hybridMultilevel"/>
    <w:tmpl w:val="178A6A7C"/>
    <w:lvl w:ilvl="0" w:tplc="0C090003">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176144B"/>
    <w:multiLevelType w:val="multilevel"/>
    <w:tmpl w:val="51C8F86E"/>
    <w:lvl w:ilvl="0">
      <w:start w:val="1"/>
      <w:numFmt w:val="decimal"/>
      <w:lvlText w:val="%1"/>
      <w:lvlJc w:val="left"/>
      <w:pPr>
        <w:ind w:left="720" w:hanging="720"/>
      </w:pPr>
      <w:rPr>
        <w:rFonts w:hint="default"/>
        <w:b/>
        <w:i w:val="0"/>
      </w:rPr>
    </w:lvl>
    <w:lvl w:ilvl="1">
      <w:start w:val="1"/>
      <w:numFmt w:val="bullet"/>
      <w:lvlText w:val=""/>
      <w:lvlJc w:val="left"/>
      <w:pPr>
        <w:ind w:left="720" w:hanging="720"/>
      </w:pPr>
      <w:rPr>
        <w:rFonts w:ascii="Symbol" w:hAnsi="Symbol"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19C34C4"/>
    <w:multiLevelType w:val="hybridMultilevel"/>
    <w:tmpl w:val="E3861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76E0578"/>
    <w:multiLevelType w:val="multilevel"/>
    <w:tmpl w:val="EC6A60B2"/>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0">
    <w:nsid w:val="784D033C"/>
    <w:multiLevelType w:val="multilevel"/>
    <w:tmpl w:val="AE9C3D6C"/>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7"/>
  </w:num>
  <w:num w:numId="3">
    <w:abstractNumId w:val="1"/>
  </w:num>
  <w:num w:numId="4">
    <w:abstractNumId w:val="30"/>
  </w:num>
  <w:num w:numId="5">
    <w:abstractNumId w:val="16"/>
  </w:num>
  <w:num w:numId="6">
    <w:abstractNumId w:val="14"/>
  </w:num>
  <w:num w:numId="7">
    <w:abstractNumId w:val="28"/>
  </w:num>
  <w:num w:numId="8">
    <w:abstractNumId w:val="7"/>
  </w:num>
  <w:num w:numId="9">
    <w:abstractNumId w:val="24"/>
  </w:num>
  <w:num w:numId="10">
    <w:abstractNumId w:val="19"/>
  </w:num>
  <w:num w:numId="11">
    <w:abstractNumId w:val="30"/>
  </w:num>
  <w:num w:numId="12">
    <w:abstractNumId w:val="26"/>
  </w:num>
  <w:num w:numId="13">
    <w:abstractNumId w:val="29"/>
  </w:num>
  <w:num w:numId="14">
    <w:abstractNumId w:val="2"/>
  </w:num>
  <w:num w:numId="15">
    <w:abstractNumId w:val="23"/>
  </w:num>
  <w:num w:numId="16">
    <w:abstractNumId w:val="10"/>
  </w:num>
  <w:num w:numId="17">
    <w:abstractNumId w:val="9"/>
  </w:num>
  <w:num w:numId="18">
    <w:abstractNumId w:val="11"/>
  </w:num>
  <w:num w:numId="19">
    <w:abstractNumId w:val="25"/>
  </w:num>
  <w:num w:numId="20">
    <w:abstractNumId w:val="3"/>
  </w:num>
  <w:num w:numId="21">
    <w:abstractNumId w:val="20"/>
  </w:num>
  <w:num w:numId="22">
    <w:abstractNumId w:val="4"/>
  </w:num>
  <w:num w:numId="23">
    <w:abstractNumId w:val="0"/>
  </w:num>
  <w:num w:numId="24">
    <w:abstractNumId w:val="13"/>
  </w:num>
  <w:num w:numId="25">
    <w:abstractNumId w:val="21"/>
  </w:num>
  <w:num w:numId="26">
    <w:abstractNumId w:val="5"/>
  </w:num>
  <w:num w:numId="27">
    <w:abstractNumId w:val="18"/>
  </w:num>
  <w:num w:numId="28">
    <w:abstractNumId w:val="12"/>
  </w:num>
  <w:num w:numId="29">
    <w:abstractNumId w:val="6"/>
  </w:num>
  <w:num w:numId="30">
    <w:abstractNumId w:val="22"/>
  </w:num>
  <w:num w:numId="31">
    <w:abstractNumId w:val="8"/>
  </w:num>
  <w:num w:numId="32">
    <w:abstractNumId w:val="27"/>
  </w:num>
  <w:num w:numId="33">
    <w:abstractNumId w:val="30"/>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 Downes">
    <w15:presenceInfo w15:providerId="AD" w15:userId="S-1-5-21-3783748790-1650380912-4064278123-71255"/>
  </w15:person>
  <w15:person w15:author="Peter Lee">
    <w15:presenceInfo w15:providerId="AD" w15:userId="S-1-5-21-3783748790-1650380912-4064278123-86646"/>
  </w15:person>
  <w15:person w15:author="soeadmin">
    <w15:presenceInfo w15:providerId="None" w15:userId="soe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activeWritingStyle w:appName="MSWord" w:lang="en-AU"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1C1"/>
    <w:rsid w:val="00000068"/>
    <w:rsid w:val="00000790"/>
    <w:rsid w:val="00000E88"/>
    <w:rsid w:val="0000110B"/>
    <w:rsid w:val="00001B6A"/>
    <w:rsid w:val="00002883"/>
    <w:rsid w:val="00003499"/>
    <w:rsid w:val="000034A9"/>
    <w:rsid w:val="00003A03"/>
    <w:rsid w:val="00003A9C"/>
    <w:rsid w:val="00003DC9"/>
    <w:rsid w:val="00004A64"/>
    <w:rsid w:val="000063AD"/>
    <w:rsid w:val="00006757"/>
    <w:rsid w:val="000073CF"/>
    <w:rsid w:val="00007761"/>
    <w:rsid w:val="000079A0"/>
    <w:rsid w:val="00010F26"/>
    <w:rsid w:val="000113D9"/>
    <w:rsid w:val="000114A2"/>
    <w:rsid w:val="0001267E"/>
    <w:rsid w:val="00013247"/>
    <w:rsid w:val="000147ED"/>
    <w:rsid w:val="00015886"/>
    <w:rsid w:val="000162EF"/>
    <w:rsid w:val="000207BD"/>
    <w:rsid w:val="0002106F"/>
    <w:rsid w:val="00021E84"/>
    <w:rsid w:val="0002225F"/>
    <w:rsid w:val="000222F3"/>
    <w:rsid w:val="000229D0"/>
    <w:rsid w:val="00023331"/>
    <w:rsid w:val="00023763"/>
    <w:rsid w:val="0002448A"/>
    <w:rsid w:val="000246F0"/>
    <w:rsid w:val="00025353"/>
    <w:rsid w:val="0002657F"/>
    <w:rsid w:val="00030CA1"/>
    <w:rsid w:val="00031074"/>
    <w:rsid w:val="000313A0"/>
    <w:rsid w:val="00031E40"/>
    <w:rsid w:val="00033E4B"/>
    <w:rsid w:val="00034564"/>
    <w:rsid w:val="000354A2"/>
    <w:rsid w:val="0003583E"/>
    <w:rsid w:val="000358DD"/>
    <w:rsid w:val="00036EC8"/>
    <w:rsid w:val="00040895"/>
    <w:rsid w:val="00040C00"/>
    <w:rsid w:val="00040F41"/>
    <w:rsid w:val="00041939"/>
    <w:rsid w:val="000427DB"/>
    <w:rsid w:val="00042D98"/>
    <w:rsid w:val="00043A51"/>
    <w:rsid w:val="00043C37"/>
    <w:rsid w:val="000445E1"/>
    <w:rsid w:val="00044665"/>
    <w:rsid w:val="00045E51"/>
    <w:rsid w:val="000477C1"/>
    <w:rsid w:val="000478D4"/>
    <w:rsid w:val="00047B0F"/>
    <w:rsid w:val="00047CF5"/>
    <w:rsid w:val="000511C1"/>
    <w:rsid w:val="000515DC"/>
    <w:rsid w:val="0005280F"/>
    <w:rsid w:val="000528EC"/>
    <w:rsid w:val="00052FAC"/>
    <w:rsid w:val="00053126"/>
    <w:rsid w:val="000543E2"/>
    <w:rsid w:val="000546D7"/>
    <w:rsid w:val="0005472E"/>
    <w:rsid w:val="0005473F"/>
    <w:rsid w:val="0005545D"/>
    <w:rsid w:val="00055B37"/>
    <w:rsid w:val="0005726E"/>
    <w:rsid w:val="00057E0D"/>
    <w:rsid w:val="00061B64"/>
    <w:rsid w:val="000633B4"/>
    <w:rsid w:val="00063A84"/>
    <w:rsid w:val="00066527"/>
    <w:rsid w:val="00066708"/>
    <w:rsid w:val="00067BE8"/>
    <w:rsid w:val="00067CB3"/>
    <w:rsid w:val="00067F7B"/>
    <w:rsid w:val="0007123C"/>
    <w:rsid w:val="00071248"/>
    <w:rsid w:val="0007200A"/>
    <w:rsid w:val="000720B9"/>
    <w:rsid w:val="00072D5E"/>
    <w:rsid w:val="0007360F"/>
    <w:rsid w:val="00074097"/>
    <w:rsid w:val="00074128"/>
    <w:rsid w:val="00074134"/>
    <w:rsid w:val="000745B9"/>
    <w:rsid w:val="00074859"/>
    <w:rsid w:val="000751DB"/>
    <w:rsid w:val="000754A5"/>
    <w:rsid w:val="00075851"/>
    <w:rsid w:val="0007793C"/>
    <w:rsid w:val="000779DF"/>
    <w:rsid w:val="00080CDF"/>
    <w:rsid w:val="000812CA"/>
    <w:rsid w:val="00081452"/>
    <w:rsid w:val="00083FFE"/>
    <w:rsid w:val="00084692"/>
    <w:rsid w:val="0008471F"/>
    <w:rsid w:val="00084C87"/>
    <w:rsid w:val="00085792"/>
    <w:rsid w:val="0008692F"/>
    <w:rsid w:val="000874CA"/>
    <w:rsid w:val="000879CC"/>
    <w:rsid w:val="00090537"/>
    <w:rsid w:val="00090C7E"/>
    <w:rsid w:val="000929E9"/>
    <w:rsid w:val="00093170"/>
    <w:rsid w:val="00094117"/>
    <w:rsid w:val="00094330"/>
    <w:rsid w:val="00094894"/>
    <w:rsid w:val="000A0DF6"/>
    <w:rsid w:val="000A0EDD"/>
    <w:rsid w:val="000A1764"/>
    <w:rsid w:val="000A2F21"/>
    <w:rsid w:val="000A334E"/>
    <w:rsid w:val="000A4502"/>
    <w:rsid w:val="000A46F1"/>
    <w:rsid w:val="000A5020"/>
    <w:rsid w:val="000A67CE"/>
    <w:rsid w:val="000A6978"/>
    <w:rsid w:val="000A6E9A"/>
    <w:rsid w:val="000A7C17"/>
    <w:rsid w:val="000A7FFE"/>
    <w:rsid w:val="000B18AD"/>
    <w:rsid w:val="000B22C3"/>
    <w:rsid w:val="000B459B"/>
    <w:rsid w:val="000B45F3"/>
    <w:rsid w:val="000B4D23"/>
    <w:rsid w:val="000B5271"/>
    <w:rsid w:val="000B5DA7"/>
    <w:rsid w:val="000B62A5"/>
    <w:rsid w:val="000B63AF"/>
    <w:rsid w:val="000B66CC"/>
    <w:rsid w:val="000B6ABF"/>
    <w:rsid w:val="000B7F71"/>
    <w:rsid w:val="000C06D3"/>
    <w:rsid w:val="000C2CD4"/>
    <w:rsid w:val="000C50E3"/>
    <w:rsid w:val="000C560E"/>
    <w:rsid w:val="000C6520"/>
    <w:rsid w:val="000C6C9F"/>
    <w:rsid w:val="000C70D2"/>
    <w:rsid w:val="000C72DF"/>
    <w:rsid w:val="000D0344"/>
    <w:rsid w:val="000D0592"/>
    <w:rsid w:val="000D154C"/>
    <w:rsid w:val="000D1BFC"/>
    <w:rsid w:val="000D292C"/>
    <w:rsid w:val="000D4537"/>
    <w:rsid w:val="000D4975"/>
    <w:rsid w:val="000D532C"/>
    <w:rsid w:val="000D6285"/>
    <w:rsid w:val="000D65C8"/>
    <w:rsid w:val="000D6A5F"/>
    <w:rsid w:val="000D6E88"/>
    <w:rsid w:val="000D7232"/>
    <w:rsid w:val="000E0466"/>
    <w:rsid w:val="000E17D9"/>
    <w:rsid w:val="000E3255"/>
    <w:rsid w:val="000E3997"/>
    <w:rsid w:val="000E48C8"/>
    <w:rsid w:val="000E51CE"/>
    <w:rsid w:val="000E54B5"/>
    <w:rsid w:val="000E64A5"/>
    <w:rsid w:val="000F0135"/>
    <w:rsid w:val="000F11E6"/>
    <w:rsid w:val="000F24A8"/>
    <w:rsid w:val="000F2711"/>
    <w:rsid w:val="000F2DD3"/>
    <w:rsid w:val="000F3E76"/>
    <w:rsid w:val="000F465C"/>
    <w:rsid w:val="000F4BB8"/>
    <w:rsid w:val="000F5BBB"/>
    <w:rsid w:val="000F5D17"/>
    <w:rsid w:val="000F7127"/>
    <w:rsid w:val="0010070D"/>
    <w:rsid w:val="00100F8A"/>
    <w:rsid w:val="00102C6D"/>
    <w:rsid w:val="00104EBD"/>
    <w:rsid w:val="0010574E"/>
    <w:rsid w:val="00105CB2"/>
    <w:rsid w:val="00106851"/>
    <w:rsid w:val="001070B4"/>
    <w:rsid w:val="001100F0"/>
    <w:rsid w:val="0011032E"/>
    <w:rsid w:val="00112110"/>
    <w:rsid w:val="0011348B"/>
    <w:rsid w:val="001146BF"/>
    <w:rsid w:val="00114F1C"/>
    <w:rsid w:val="001208F6"/>
    <w:rsid w:val="00120C72"/>
    <w:rsid w:val="00121799"/>
    <w:rsid w:val="00121FBB"/>
    <w:rsid w:val="001222FC"/>
    <w:rsid w:val="00122924"/>
    <w:rsid w:val="00122A9B"/>
    <w:rsid w:val="001246F4"/>
    <w:rsid w:val="00124A51"/>
    <w:rsid w:val="00125207"/>
    <w:rsid w:val="001253C8"/>
    <w:rsid w:val="001255F7"/>
    <w:rsid w:val="00125876"/>
    <w:rsid w:val="00126621"/>
    <w:rsid w:val="001301E9"/>
    <w:rsid w:val="00131B6A"/>
    <w:rsid w:val="00132215"/>
    <w:rsid w:val="00134967"/>
    <w:rsid w:val="00134DC6"/>
    <w:rsid w:val="00135FD0"/>
    <w:rsid w:val="00136B6F"/>
    <w:rsid w:val="0013730D"/>
    <w:rsid w:val="00137645"/>
    <w:rsid w:val="00137CF2"/>
    <w:rsid w:val="0014015A"/>
    <w:rsid w:val="001406BE"/>
    <w:rsid w:val="00140DB5"/>
    <w:rsid w:val="00140E99"/>
    <w:rsid w:val="00142CD7"/>
    <w:rsid w:val="00142D19"/>
    <w:rsid w:val="00143A8D"/>
    <w:rsid w:val="00143D51"/>
    <w:rsid w:val="0014506C"/>
    <w:rsid w:val="0014544D"/>
    <w:rsid w:val="00145540"/>
    <w:rsid w:val="0014566B"/>
    <w:rsid w:val="001456B0"/>
    <w:rsid w:val="00145D13"/>
    <w:rsid w:val="001462E6"/>
    <w:rsid w:val="00146C17"/>
    <w:rsid w:val="00147737"/>
    <w:rsid w:val="00147B01"/>
    <w:rsid w:val="00147B71"/>
    <w:rsid w:val="001508E0"/>
    <w:rsid w:val="001513AA"/>
    <w:rsid w:val="00151748"/>
    <w:rsid w:val="00154901"/>
    <w:rsid w:val="00154B7A"/>
    <w:rsid w:val="00157130"/>
    <w:rsid w:val="00157A64"/>
    <w:rsid w:val="00157DD4"/>
    <w:rsid w:val="00160AC9"/>
    <w:rsid w:val="00160D50"/>
    <w:rsid w:val="00160F06"/>
    <w:rsid w:val="00161050"/>
    <w:rsid w:val="00162913"/>
    <w:rsid w:val="001637B5"/>
    <w:rsid w:val="00163EFF"/>
    <w:rsid w:val="00164CDC"/>
    <w:rsid w:val="001659E8"/>
    <w:rsid w:val="001661FB"/>
    <w:rsid w:val="0016659D"/>
    <w:rsid w:val="001666B0"/>
    <w:rsid w:val="00167867"/>
    <w:rsid w:val="00171E1C"/>
    <w:rsid w:val="0017239C"/>
    <w:rsid w:val="00172DE7"/>
    <w:rsid w:val="001735EA"/>
    <w:rsid w:val="00173AA6"/>
    <w:rsid w:val="00175976"/>
    <w:rsid w:val="001769A7"/>
    <w:rsid w:val="00176E36"/>
    <w:rsid w:val="001805E4"/>
    <w:rsid w:val="00183F17"/>
    <w:rsid w:val="00184870"/>
    <w:rsid w:val="0018501E"/>
    <w:rsid w:val="00186CB1"/>
    <w:rsid w:val="00186CE2"/>
    <w:rsid w:val="0018752F"/>
    <w:rsid w:val="001877BF"/>
    <w:rsid w:val="00187A4E"/>
    <w:rsid w:val="00192390"/>
    <w:rsid w:val="00192951"/>
    <w:rsid w:val="001943C4"/>
    <w:rsid w:val="00195222"/>
    <w:rsid w:val="00195514"/>
    <w:rsid w:val="00195C24"/>
    <w:rsid w:val="00195EBA"/>
    <w:rsid w:val="001975D8"/>
    <w:rsid w:val="001A1303"/>
    <w:rsid w:val="001A1411"/>
    <w:rsid w:val="001A218D"/>
    <w:rsid w:val="001A3DC1"/>
    <w:rsid w:val="001A5739"/>
    <w:rsid w:val="001A6243"/>
    <w:rsid w:val="001A67F1"/>
    <w:rsid w:val="001A69DD"/>
    <w:rsid w:val="001A6B10"/>
    <w:rsid w:val="001A786B"/>
    <w:rsid w:val="001A7A41"/>
    <w:rsid w:val="001B02C5"/>
    <w:rsid w:val="001B0DAE"/>
    <w:rsid w:val="001B15C6"/>
    <w:rsid w:val="001B2DB4"/>
    <w:rsid w:val="001B3443"/>
    <w:rsid w:val="001B3BD6"/>
    <w:rsid w:val="001B6A0F"/>
    <w:rsid w:val="001B7B6E"/>
    <w:rsid w:val="001B7EEC"/>
    <w:rsid w:val="001C0DAB"/>
    <w:rsid w:val="001C182A"/>
    <w:rsid w:val="001C3C7B"/>
    <w:rsid w:val="001C3F5D"/>
    <w:rsid w:val="001C3F90"/>
    <w:rsid w:val="001C47A8"/>
    <w:rsid w:val="001C53BE"/>
    <w:rsid w:val="001C5F82"/>
    <w:rsid w:val="001C6128"/>
    <w:rsid w:val="001C6E66"/>
    <w:rsid w:val="001D23BA"/>
    <w:rsid w:val="001D246A"/>
    <w:rsid w:val="001D3BA0"/>
    <w:rsid w:val="001D4DEE"/>
    <w:rsid w:val="001D50F0"/>
    <w:rsid w:val="001D6E98"/>
    <w:rsid w:val="001D7323"/>
    <w:rsid w:val="001D7900"/>
    <w:rsid w:val="001E073E"/>
    <w:rsid w:val="001E08AC"/>
    <w:rsid w:val="001E12D5"/>
    <w:rsid w:val="001E238E"/>
    <w:rsid w:val="001E2480"/>
    <w:rsid w:val="001E24B7"/>
    <w:rsid w:val="001E2B1E"/>
    <w:rsid w:val="001E3BED"/>
    <w:rsid w:val="001E40FA"/>
    <w:rsid w:val="001E504B"/>
    <w:rsid w:val="001E52EB"/>
    <w:rsid w:val="001E5F58"/>
    <w:rsid w:val="001E63FF"/>
    <w:rsid w:val="001E6492"/>
    <w:rsid w:val="001E64B1"/>
    <w:rsid w:val="001E663A"/>
    <w:rsid w:val="001E696D"/>
    <w:rsid w:val="001E740C"/>
    <w:rsid w:val="001E7453"/>
    <w:rsid w:val="001F1235"/>
    <w:rsid w:val="001F1CB3"/>
    <w:rsid w:val="001F23B2"/>
    <w:rsid w:val="001F2880"/>
    <w:rsid w:val="001F3042"/>
    <w:rsid w:val="001F3D33"/>
    <w:rsid w:val="001F3E9C"/>
    <w:rsid w:val="001F40FD"/>
    <w:rsid w:val="001F4EFA"/>
    <w:rsid w:val="001F66A7"/>
    <w:rsid w:val="001F7361"/>
    <w:rsid w:val="00200885"/>
    <w:rsid w:val="00200C9F"/>
    <w:rsid w:val="00201886"/>
    <w:rsid w:val="00201ED9"/>
    <w:rsid w:val="00202246"/>
    <w:rsid w:val="002022B7"/>
    <w:rsid w:val="0020385F"/>
    <w:rsid w:val="00205642"/>
    <w:rsid w:val="00207021"/>
    <w:rsid w:val="002076ED"/>
    <w:rsid w:val="00207D00"/>
    <w:rsid w:val="00207F36"/>
    <w:rsid w:val="00207F9C"/>
    <w:rsid w:val="002105C1"/>
    <w:rsid w:val="002107A0"/>
    <w:rsid w:val="002112F9"/>
    <w:rsid w:val="002114AF"/>
    <w:rsid w:val="00211644"/>
    <w:rsid w:val="002119FF"/>
    <w:rsid w:val="00211B8A"/>
    <w:rsid w:val="002127B3"/>
    <w:rsid w:val="002131B4"/>
    <w:rsid w:val="00213D99"/>
    <w:rsid w:val="00214AED"/>
    <w:rsid w:val="00215EB5"/>
    <w:rsid w:val="00216775"/>
    <w:rsid w:val="00216BF3"/>
    <w:rsid w:val="002201A4"/>
    <w:rsid w:val="00220F3E"/>
    <w:rsid w:val="002220DF"/>
    <w:rsid w:val="00222CAD"/>
    <w:rsid w:val="00223B49"/>
    <w:rsid w:val="002244AF"/>
    <w:rsid w:val="00224DD4"/>
    <w:rsid w:val="00225DE2"/>
    <w:rsid w:val="00226042"/>
    <w:rsid w:val="0022622E"/>
    <w:rsid w:val="002263AA"/>
    <w:rsid w:val="002268EB"/>
    <w:rsid w:val="002277E2"/>
    <w:rsid w:val="00230982"/>
    <w:rsid w:val="002309CC"/>
    <w:rsid w:val="00232F92"/>
    <w:rsid w:val="00233AF6"/>
    <w:rsid w:val="00234B79"/>
    <w:rsid w:val="002369AB"/>
    <w:rsid w:val="00236BB2"/>
    <w:rsid w:val="002371A3"/>
    <w:rsid w:val="002378B6"/>
    <w:rsid w:val="00240A2D"/>
    <w:rsid w:val="00241234"/>
    <w:rsid w:val="0024153D"/>
    <w:rsid w:val="00241E54"/>
    <w:rsid w:val="00243413"/>
    <w:rsid w:val="00245C6A"/>
    <w:rsid w:val="0024649E"/>
    <w:rsid w:val="00246572"/>
    <w:rsid w:val="00246BB1"/>
    <w:rsid w:val="00247898"/>
    <w:rsid w:val="00247FE6"/>
    <w:rsid w:val="0025039A"/>
    <w:rsid w:val="00250CDD"/>
    <w:rsid w:val="002527EF"/>
    <w:rsid w:val="002527FD"/>
    <w:rsid w:val="00254DCF"/>
    <w:rsid w:val="0025534B"/>
    <w:rsid w:val="00255BB7"/>
    <w:rsid w:val="00255BDD"/>
    <w:rsid w:val="00257DE2"/>
    <w:rsid w:val="00260520"/>
    <w:rsid w:val="00260BFD"/>
    <w:rsid w:val="002613F0"/>
    <w:rsid w:val="00261FD4"/>
    <w:rsid w:val="00262A87"/>
    <w:rsid w:val="00263AF6"/>
    <w:rsid w:val="00265216"/>
    <w:rsid w:val="00265761"/>
    <w:rsid w:val="00266B3B"/>
    <w:rsid w:val="002678B5"/>
    <w:rsid w:val="00270653"/>
    <w:rsid w:val="0027170D"/>
    <w:rsid w:val="00273631"/>
    <w:rsid w:val="002746A8"/>
    <w:rsid w:val="002747EA"/>
    <w:rsid w:val="00275C5A"/>
    <w:rsid w:val="00275DBC"/>
    <w:rsid w:val="002770E0"/>
    <w:rsid w:val="00277D3F"/>
    <w:rsid w:val="00280EA1"/>
    <w:rsid w:val="00281014"/>
    <w:rsid w:val="0028183A"/>
    <w:rsid w:val="00281AE7"/>
    <w:rsid w:val="00283DD1"/>
    <w:rsid w:val="0028713A"/>
    <w:rsid w:val="00290CB3"/>
    <w:rsid w:val="00290DE9"/>
    <w:rsid w:val="00291C26"/>
    <w:rsid w:val="00291C9F"/>
    <w:rsid w:val="00291F34"/>
    <w:rsid w:val="002932C9"/>
    <w:rsid w:val="00293E82"/>
    <w:rsid w:val="002947F3"/>
    <w:rsid w:val="002955A6"/>
    <w:rsid w:val="00295D90"/>
    <w:rsid w:val="002972B1"/>
    <w:rsid w:val="002A14AB"/>
    <w:rsid w:val="002A2626"/>
    <w:rsid w:val="002A2CEA"/>
    <w:rsid w:val="002A38C9"/>
    <w:rsid w:val="002A3B50"/>
    <w:rsid w:val="002A3D2F"/>
    <w:rsid w:val="002A3F5D"/>
    <w:rsid w:val="002A50B6"/>
    <w:rsid w:val="002A69A3"/>
    <w:rsid w:val="002A7174"/>
    <w:rsid w:val="002A789C"/>
    <w:rsid w:val="002A7B9A"/>
    <w:rsid w:val="002B038C"/>
    <w:rsid w:val="002B1BC2"/>
    <w:rsid w:val="002B1C1F"/>
    <w:rsid w:val="002B1F67"/>
    <w:rsid w:val="002B2C6E"/>
    <w:rsid w:val="002B432F"/>
    <w:rsid w:val="002B4403"/>
    <w:rsid w:val="002B45DD"/>
    <w:rsid w:val="002B5D9E"/>
    <w:rsid w:val="002B6CCE"/>
    <w:rsid w:val="002B6F45"/>
    <w:rsid w:val="002B72F2"/>
    <w:rsid w:val="002C02AA"/>
    <w:rsid w:val="002C1498"/>
    <w:rsid w:val="002C2775"/>
    <w:rsid w:val="002C27C1"/>
    <w:rsid w:val="002C286E"/>
    <w:rsid w:val="002C3161"/>
    <w:rsid w:val="002C3201"/>
    <w:rsid w:val="002C372E"/>
    <w:rsid w:val="002C3F84"/>
    <w:rsid w:val="002C52F9"/>
    <w:rsid w:val="002C5755"/>
    <w:rsid w:val="002C5C4D"/>
    <w:rsid w:val="002C5EC7"/>
    <w:rsid w:val="002C67A6"/>
    <w:rsid w:val="002C6DCC"/>
    <w:rsid w:val="002C7C7F"/>
    <w:rsid w:val="002D1C14"/>
    <w:rsid w:val="002D1C36"/>
    <w:rsid w:val="002D1F57"/>
    <w:rsid w:val="002D20C2"/>
    <w:rsid w:val="002D3560"/>
    <w:rsid w:val="002D43F4"/>
    <w:rsid w:val="002D4986"/>
    <w:rsid w:val="002D4B53"/>
    <w:rsid w:val="002D4C35"/>
    <w:rsid w:val="002D59B2"/>
    <w:rsid w:val="002D5C35"/>
    <w:rsid w:val="002D60B2"/>
    <w:rsid w:val="002D7E55"/>
    <w:rsid w:val="002E091E"/>
    <w:rsid w:val="002E0E70"/>
    <w:rsid w:val="002E1763"/>
    <w:rsid w:val="002E2597"/>
    <w:rsid w:val="002E27C4"/>
    <w:rsid w:val="002E2E84"/>
    <w:rsid w:val="002E5E68"/>
    <w:rsid w:val="002E6FCC"/>
    <w:rsid w:val="002F1F27"/>
    <w:rsid w:val="002F34AD"/>
    <w:rsid w:val="002F48C7"/>
    <w:rsid w:val="002F511A"/>
    <w:rsid w:val="002F7D24"/>
    <w:rsid w:val="00301017"/>
    <w:rsid w:val="00301732"/>
    <w:rsid w:val="00304015"/>
    <w:rsid w:val="00304CE6"/>
    <w:rsid w:val="0030517A"/>
    <w:rsid w:val="00306BBD"/>
    <w:rsid w:val="0030709F"/>
    <w:rsid w:val="0030786C"/>
    <w:rsid w:val="0031031A"/>
    <w:rsid w:val="003106A8"/>
    <w:rsid w:val="00310981"/>
    <w:rsid w:val="00311260"/>
    <w:rsid w:val="0031200B"/>
    <w:rsid w:val="003120A4"/>
    <w:rsid w:val="003127E5"/>
    <w:rsid w:val="00312BE4"/>
    <w:rsid w:val="00313E45"/>
    <w:rsid w:val="0031499C"/>
    <w:rsid w:val="00315498"/>
    <w:rsid w:val="00315C88"/>
    <w:rsid w:val="0031706E"/>
    <w:rsid w:val="003170F6"/>
    <w:rsid w:val="003213AA"/>
    <w:rsid w:val="00321736"/>
    <w:rsid w:val="00321946"/>
    <w:rsid w:val="0032379B"/>
    <w:rsid w:val="00324ABD"/>
    <w:rsid w:val="00325D5E"/>
    <w:rsid w:val="003273A5"/>
    <w:rsid w:val="00327525"/>
    <w:rsid w:val="0032781B"/>
    <w:rsid w:val="0032784A"/>
    <w:rsid w:val="00327BD4"/>
    <w:rsid w:val="00330C8C"/>
    <w:rsid w:val="00331569"/>
    <w:rsid w:val="00332EDF"/>
    <w:rsid w:val="0033308F"/>
    <w:rsid w:val="00333D57"/>
    <w:rsid w:val="00335036"/>
    <w:rsid w:val="003366C9"/>
    <w:rsid w:val="003371B0"/>
    <w:rsid w:val="0033765C"/>
    <w:rsid w:val="00340BD0"/>
    <w:rsid w:val="00340C2B"/>
    <w:rsid w:val="003412E0"/>
    <w:rsid w:val="003416BA"/>
    <w:rsid w:val="00341899"/>
    <w:rsid w:val="003419AD"/>
    <w:rsid w:val="0034253C"/>
    <w:rsid w:val="003427D5"/>
    <w:rsid w:val="00342FAA"/>
    <w:rsid w:val="00343646"/>
    <w:rsid w:val="00343BC1"/>
    <w:rsid w:val="0034412B"/>
    <w:rsid w:val="003471C2"/>
    <w:rsid w:val="003504C8"/>
    <w:rsid w:val="00350CDF"/>
    <w:rsid w:val="003523F5"/>
    <w:rsid w:val="003525B4"/>
    <w:rsid w:val="003528FC"/>
    <w:rsid w:val="0035304C"/>
    <w:rsid w:val="00354764"/>
    <w:rsid w:val="00354A1E"/>
    <w:rsid w:val="00354DD2"/>
    <w:rsid w:val="003551B6"/>
    <w:rsid w:val="00355A12"/>
    <w:rsid w:val="0035603A"/>
    <w:rsid w:val="0035620E"/>
    <w:rsid w:val="0035713C"/>
    <w:rsid w:val="0035717B"/>
    <w:rsid w:val="003572F4"/>
    <w:rsid w:val="00361B5C"/>
    <w:rsid w:val="00361EF4"/>
    <w:rsid w:val="00362181"/>
    <w:rsid w:val="00364066"/>
    <w:rsid w:val="00364763"/>
    <w:rsid w:val="00365127"/>
    <w:rsid w:val="003653A1"/>
    <w:rsid w:val="0036750F"/>
    <w:rsid w:val="003705B4"/>
    <w:rsid w:val="003719B9"/>
    <w:rsid w:val="003728CD"/>
    <w:rsid w:val="00373BCC"/>
    <w:rsid w:val="003762A1"/>
    <w:rsid w:val="00376A1E"/>
    <w:rsid w:val="00376AE9"/>
    <w:rsid w:val="003777D4"/>
    <w:rsid w:val="0037795F"/>
    <w:rsid w:val="003822E2"/>
    <w:rsid w:val="0038365C"/>
    <w:rsid w:val="00384941"/>
    <w:rsid w:val="003849C8"/>
    <w:rsid w:val="0038677C"/>
    <w:rsid w:val="003875C8"/>
    <w:rsid w:val="0038777D"/>
    <w:rsid w:val="00390603"/>
    <w:rsid w:val="00390C40"/>
    <w:rsid w:val="0039170A"/>
    <w:rsid w:val="00393AAE"/>
    <w:rsid w:val="00394DEA"/>
    <w:rsid w:val="00395124"/>
    <w:rsid w:val="003956CF"/>
    <w:rsid w:val="003960FE"/>
    <w:rsid w:val="00396776"/>
    <w:rsid w:val="00396FD0"/>
    <w:rsid w:val="003977F1"/>
    <w:rsid w:val="003A003A"/>
    <w:rsid w:val="003A022C"/>
    <w:rsid w:val="003A0725"/>
    <w:rsid w:val="003A091B"/>
    <w:rsid w:val="003A156D"/>
    <w:rsid w:val="003A1A7A"/>
    <w:rsid w:val="003A4EDE"/>
    <w:rsid w:val="003A609E"/>
    <w:rsid w:val="003A6361"/>
    <w:rsid w:val="003A6B5C"/>
    <w:rsid w:val="003B014F"/>
    <w:rsid w:val="003B0786"/>
    <w:rsid w:val="003B0D94"/>
    <w:rsid w:val="003B14F3"/>
    <w:rsid w:val="003B17B3"/>
    <w:rsid w:val="003B1915"/>
    <w:rsid w:val="003B19BD"/>
    <w:rsid w:val="003B329B"/>
    <w:rsid w:val="003B3588"/>
    <w:rsid w:val="003B388B"/>
    <w:rsid w:val="003B3945"/>
    <w:rsid w:val="003B720F"/>
    <w:rsid w:val="003B739C"/>
    <w:rsid w:val="003B7EFC"/>
    <w:rsid w:val="003C0821"/>
    <w:rsid w:val="003C1B16"/>
    <w:rsid w:val="003C271E"/>
    <w:rsid w:val="003C2778"/>
    <w:rsid w:val="003C2C69"/>
    <w:rsid w:val="003C45E0"/>
    <w:rsid w:val="003C4866"/>
    <w:rsid w:val="003C48F8"/>
    <w:rsid w:val="003C61B2"/>
    <w:rsid w:val="003C64F7"/>
    <w:rsid w:val="003C6C24"/>
    <w:rsid w:val="003C7782"/>
    <w:rsid w:val="003C7A51"/>
    <w:rsid w:val="003D0417"/>
    <w:rsid w:val="003D10AE"/>
    <w:rsid w:val="003D1828"/>
    <w:rsid w:val="003D2190"/>
    <w:rsid w:val="003D2422"/>
    <w:rsid w:val="003D26CC"/>
    <w:rsid w:val="003D2E80"/>
    <w:rsid w:val="003D31A3"/>
    <w:rsid w:val="003D32B1"/>
    <w:rsid w:val="003D59C3"/>
    <w:rsid w:val="003D6CB9"/>
    <w:rsid w:val="003D7BC5"/>
    <w:rsid w:val="003D7DF3"/>
    <w:rsid w:val="003E081B"/>
    <w:rsid w:val="003E086D"/>
    <w:rsid w:val="003E0AFA"/>
    <w:rsid w:val="003E14A8"/>
    <w:rsid w:val="003E16C9"/>
    <w:rsid w:val="003E1BE9"/>
    <w:rsid w:val="003E1D39"/>
    <w:rsid w:val="003E418B"/>
    <w:rsid w:val="003E419B"/>
    <w:rsid w:val="003E4301"/>
    <w:rsid w:val="003E4838"/>
    <w:rsid w:val="003E4983"/>
    <w:rsid w:val="003E5153"/>
    <w:rsid w:val="003E5A8D"/>
    <w:rsid w:val="003E6B04"/>
    <w:rsid w:val="003E720E"/>
    <w:rsid w:val="003F04A7"/>
    <w:rsid w:val="003F04E1"/>
    <w:rsid w:val="003F06D6"/>
    <w:rsid w:val="003F0799"/>
    <w:rsid w:val="003F0B10"/>
    <w:rsid w:val="003F1356"/>
    <w:rsid w:val="003F1CD9"/>
    <w:rsid w:val="003F22DF"/>
    <w:rsid w:val="003F266D"/>
    <w:rsid w:val="003F4156"/>
    <w:rsid w:val="003F5927"/>
    <w:rsid w:val="003F71C9"/>
    <w:rsid w:val="003F79D2"/>
    <w:rsid w:val="004001AE"/>
    <w:rsid w:val="0040071A"/>
    <w:rsid w:val="004010CE"/>
    <w:rsid w:val="00402076"/>
    <w:rsid w:val="004053E7"/>
    <w:rsid w:val="00406C60"/>
    <w:rsid w:val="004072CF"/>
    <w:rsid w:val="00407832"/>
    <w:rsid w:val="00407E2A"/>
    <w:rsid w:val="00410708"/>
    <w:rsid w:val="00410EC7"/>
    <w:rsid w:val="004119A4"/>
    <w:rsid w:val="00413B9E"/>
    <w:rsid w:val="00414476"/>
    <w:rsid w:val="00414A35"/>
    <w:rsid w:val="00415355"/>
    <w:rsid w:val="004159C8"/>
    <w:rsid w:val="00416B7E"/>
    <w:rsid w:val="00417CA5"/>
    <w:rsid w:val="0042069E"/>
    <w:rsid w:val="00420B9F"/>
    <w:rsid w:val="00420FD9"/>
    <w:rsid w:val="0042199F"/>
    <w:rsid w:val="00421E8A"/>
    <w:rsid w:val="004222D1"/>
    <w:rsid w:val="00424062"/>
    <w:rsid w:val="00424847"/>
    <w:rsid w:val="004259A5"/>
    <w:rsid w:val="00427C3E"/>
    <w:rsid w:val="004319F8"/>
    <w:rsid w:val="004320D5"/>
    <w:rsid w:val="004322EE"/>
    <w:rsid w:val="004327AE"/>
    <w:rsid w:val="00433044"/>
    <w:rsid w:val="004358CA"/>
    <w:rsid w:val="004379C1"/>
    <w:rsid w:val="00437D40"/>
    <w:rsid w:val="00441558"/>
    <w:rsid w:val="004429BC"/>
    <w:rsid w:val="004430D1"/>
    <w:rsid w:val="00443735"/>
    <w:rsid w:val="00443C95"/>
    <w:rsid w:val="00443CA0"/>
    <w:rsid w:val="00443D72"/>
    <w:rsid w:val="00443F97"/>
    <w:rsid w:val="00443FED"/>
    <w:rsid w:val="004443A7"/>
    <w:rsid w:val="004455C9"/>
    <w:rsid w:val="00445E09"/>
    <w:rsid w:val="00446496"/>
    <w:rsid w:val="004464EB"/>
    <w:rsid w:val="00446617"/>
    <w:rsid w:val="004472A6"/>
    <w:rsid w:val="004474FD"/>
    <w:rsid w:val="00447B73"/>
    <w:rsid w:val="0045079D"/>
    <w:rsid w:val="004513EA"/>
    <w:rsid w:val="0045307B"/>
    <w:rsid w:val="00453102"/>
    <w:rsid w:val="004531CD"/>
    <w:rsid w:val="00453CFD"/>
    <w:rsid w:val="00455D45"/>
    <w:rsid w:val="00456382"/>
    <w:rsid w:val="0045640D"/>
    <w:rsid w:val="00460056"/>
    <w:rsid w:val="0046027D"/>
    <w:rsid w:val="004626A3"/>
    <w:rsid w:val="0046322F"/>
    <w:rsid w:val="0046346F"/>
    <w:rsid w:val="00463E89"/>
    <w:rsid w:val="00464595"/>
    <w:rsid w:val="0046504D"/>
    <w:rsid w:val="00466C62"/>
    <w:rsid w:val="004679AE"/>
    <w:rsid w:val="00467E7F"/>
    <w:rsid w:val="004720E6"/>
    <w:rsid w:val="00473A37"/>
    <w:rsid w:val="004748B0"/>
    <w:rsid w:val="004759A7"/>
    <w:rsid w:val="00475CA4"/>
    <w:rsid w:val="00477029"/>
    <w:rsid w:val="00480653"/>
    <w:rsid w:val="00480767"/>
    <w:rsid w:val="004808E2"/>
    <w:rsid w:val="00481071"/>
    <w:rsid w:val="0048152E"/>
    <w:rsid w:val="00481D75"/>
    <w:rsid w:val="004835AE"/>
    <w:rsid w:val="00484B87"/>
    <w:rsid w:val="00485F29"/>
    <w:rsid w:val="004867E2"/>
    <w:rsid w:val="0048692A"/>
    <w:rsid w:val="00486BC0"/>
    <w:rsid w:val="00486FB0"/>
    <w:rsid w:val="004874E4"/>
    <w:rsid w:val="00490D38"/>
    <w:rsid w:val="00491B3A"/>
    <w:rsid w:val="00491E78"/>
    <w:rsid w:val="00492CFD"/>
    <w:rsid w:val="00494CF6"/>
    <w:rsid w:val="00495BDB"/>
    <w:rsid w:val="00496210"/>
    <w:rsid w:val="004962D2"/>
    <w:rsid w:val="00496669"/>
    <w:rsid w:val="00496676"/>
    <w:rsid w:val="00496FC5"/>
    <w:rsid w:val="00497D98"/>
    <w:rsid w:val="004A079B"/>
    <w:rsid w:val="004A0DA1"/>
    <w:rsid w:val="004A6597"/>
    <w:rsid w:val="004A7635"/>
    <w:rsid w:val="004B0F42"/>
    <w:rsid w:val="004B15CE"/>
    <w:rsid w:val="004B1CB4"/>
    <w:rsid w:val="004B2F18"/>
    <w:rsid w:val="004B3DDB"/>
    <w:rsid w:val="004B4024"/>
    <w:rsid w:val="004B44FD"/>
    <w:rsid w:val="004B4CDF"/>
    <w:rsid w:val="004B5C57"/>
    <w:rsid w:val="004B5CFC"/>
    <w:rsid w:val="004B743F"/>
    <w:rsid w:val="004B77F9"/>
    <w:rsid w:val="004C092C"/>
    <w:rsid w:val="004C0F28"/>
    <w:rsid w:val="004C10D0"/>
    <w:rsid w:val="004C27D0"/>
    <w:rsid w:val="004C2861"/>
    <w:rsid w:val="004C2E70"/>
    <w:rsid w:val="004C4AED"/>
    <w:rsid w:val="004C53E1"/>
    <w:rsid w:val="004C58B2"/>
    <w:rsid w:val="004C5948"/>
    <w:rsid w:val="004C601B"/>
    <w:rsid w:val="004C6048"/>
    <w:rsid w:val="004C6EBB"/>
    <w:rsid w:val="004D0464"/>
    <w:rsid w:val="004D1319"/>
    <w:rsid w:val="004D176A"/>
    <w:rsid w:val="004D2AC7"/>
    <w:rsid w:val="004D2D55"/>
    <w:rsid w:val="004D3BC1"/>
    <w:rsid w:val="004D4FF7"/>
    <w:rsid w:val="004D6A63"/>
    <w:rsid w:val="004D6A90"/>
    <w:rsid w:val="004D760D"/>
    <w:rsid w:val="004E06FD"/>
    <w:rsid w:val="004E0EB8"/>
    <w:rsid w:val="004E180F"/>
    <w:rsid w:val="004E1B7F"/>
    <w:rsid w:val="004E1EF6"/>
    <w:rsid w:val="004E2ADC"/>
    <w:rsid w:val="004E3247"/>
    <w:rsid w:val="004E43B2"/>
    <w:rsid w:val="004E5EF9"/>
    <w:rsid w:val="004E66FB"/>
    <w:rsid w:val="004E6969"/>
    <w:rsid w:val="004E72CE"/>
    <w:rsid w:val="004F0A7E"/>
    <w:rsid w:val="004F1728"/>
    <w:rsid w:val="004F1D02"/>
    <w:rsid w:val="004F2328"/>
    <w:rsid w:val="004F2679"/>
    <w:rsid w:val="004F33EB"/>
    <w:rsid w:val="004F43ED"/>
    <w:rsid w:val="004F4E20"/>
    <w:rsid w:val="004F5C1B"/>
    <w:rsid w:val="004F7445"/>
    <w:rsid w:val="004F7865"/>
    <w:rsid w:val="005016B1"/>
    <w:rsid w:val="00501AC7"/>
    <w:rsid w:val="00501DF6"/>
    <w:rsid w:val="00501EBC"/>
    <w:rsid w:val="005026B7"/>
    <w:rsid w:val="00502845"/>
    <w:rsid w:val="00504239"/>
    <w:rsid w:val="00504AC3"/>
    <w:rsid w:val="0050599A"/>
    <w:rsid w:val="00506928"/>
    <w:rsid w:val="00506E0F"/>
    <w:rsid w:val="005109EA"/>
    <w:rsid w:val="005111CC"/>
    <w:rsid w:val="005136A4"/>
    <w:rsid w:val="00514E40"/>
    <w:rsid w:val="005152B5"/>
    <w:rsid w:val="005163E6"/>
    <w:rsid w:val="00517BFA"/>
    <w:rsid w:val="00517D1E"/>
    <w:rsid w:val="005206E4"/>
    <w:rsid w:val="00520844"/>
    <w:rsid w:val="00520A7B"/>
    <w:rsid w:val="00521319"/>
    <w:rsid w:val="005217E8"/>
    <w:rsid w:val="005221B3"/>
    <w:rsid w:val="00522FBC"/>
    <w:rsid w:val="00523C28"/>
    <w:rsid w:val="00526A7B"/>
    <w:rsid w:val="00527018"/>
    <w:rsid w:val="00527C5C"/>
    <w:rsid w:val="0053053C"/>
    <w:rsid w:val="00530E45"/>
    <w:rsid w:val="0053115F"/>
    <w:rsid w:val="00531165"/>
    <w:rsid w:val="005327C8"/>
    <w:rsid w:val="005333B9"/>
    <w:rsid w:val="0053365C"/>
    <w:rsid w:val="00533B23"/>
    <w:rsid w:val="00533D0E"/>
    <w:rsid w:val="005344FB"/>
    <w:rsid w:val="00534EB0"/>
    <w:rsid w:val="00535232"/>
    <w:rsid w:val="00535863"/>
    <w:rsid w:val="005361D2"/>
    <w:rsid w:val="0053750B"/>
    <w:rsid w:val="005375AA"/>
    <w:rsid w:val="00540F94"/>
    <w:rsid w:val="00541957"/>
    <w:rsid w:val="005430C1"/>
    <w:rsid w:val="0054326F"/>
    <w:rsid w:val="00543D2E"/>
    <w:rsid w:val="005465F4"/>
    <w:rsid w:val="00546F4E"/>
    <w:rsid w:val="0055010A"/>
    <w:rsid w:val="00550B9F"/>
    <w:rsid w:val="00550F7B"/>
    <w:rsid w:val="00551C1A"/>
    <w:rsid w:val="00551FB4"/>
    <w:rsid w:val="00552BD3"/>
    <w:rsid w:val="005535CD"/>
    <w:rsid w:val="00554A61"/>
    <w:rsid w:val="00555109"/>
    <w:rsid w:val="00555513"/>
    <w:rsid w:val="00556A89"/>
    <w:rsid w:val="00557D5E"/>
    <w:rsid w:val="00557DFC"/>
    <w:rsid w:val="00557FC8"/>
    <w:rsid w:val="00561EEE"/>
    <w:rsid w:val="00561FF4"/>
    <w:rsid w:val="005632D2"/>
    <w:rsid w:val="0056356B"/>
    <w:rsid w:val="0056470E"/>
    <w:rsid w:val="00565A9E"/>
    <w:rsid w:val="00565DCE"/>
    <w:rsid w:val="0056696F"/>
    <w:rsid w:val="00570542"/>
    <w:rsid w:val="005709D4"/>
    <w:rsid w:val="00570E24"/>
    <w:rsid w:val="005716FF"/>
    <w:rsid w:val="00572749"/>
    <w:rsid w:val="00573FD0"/>
    <w:rsid w:val="005744B1"/>
    <w:rsid w:val="00574626"/>
    <w:rsid w:val="00574F5B"/>
    <w:rsid w:val="0057572C"/>
    <w:rsid w:val="00575D8D"/>
    <w:rsid w:val="00576972"/>
    <w:rsid w:val="00576F4D"/>
    <w:rsid w:val="0058090A"/>
    <w:rsid w:val="005824F7"/>
    <w:rsid w:val="005832B3"/>
    <w:rsid w:val="00583699"/>
    <w:rsid w:val="00583763"/>
    <w:rsid w:val="00583CB1"/>
    <w:rsid w:val="00583DEE"/>
    <w:rsid w:val="00585B95"/>
    <w:rsid w:val="00586237"/>
    <w:rsid w:val="00586AB8"/>
    <w:rsid w:val="00590236"/>
    <w:rsid w:val="005909F8"/>
    <w:rsid w:val="0059151B"/>
    <w:rsid w:val="00592BE0"/>
    <w:rsid w:val="00594086"/>
    <w:rsid w:val="00594DC9"/>
    <w:rsid w:val="0059712B"/>
    <w:rsid w:val="005A0741"/>
    <w:rsid w:val="005A0C66"/>
    <w:rsid w:val="005A2739"/>
    <w:rsid w:val="005A560A"/>
    <w:rsid w:val="005B14B7"/>
    <w:rsid w:val="005B1DE8"/>
    <w:rsid w:val="005B409F"/>
    <w:rsid w:val="005B449E"/>
    <w:rsid w:val="005B4524"/>
    <w:rsid w:val="005B47A6"/>
    <w:rsid w:val="005B4FB5"/>
    <w:rsid w:val="005B51AD"/>
    <w:rsid w:val="005B557A"/>
    <w:rsid w:val="005B5857"/>
    <w:rsid w:val="005B5A30"/>
    <w:rsid w:val="005C0CAA"/>
    <w:rsid w:val="005C0D27"/>
    <w:rsid w:val="005C1B83"/>
    <w:rsid w:val="005C251D"/>
    <w:rsid w:val="005C346B"/>
    <w:rsid w:val="005C3495"/>
    <w:rsid w:val="005C3903"/>
    <w:rsid w:val="005C4691"/>
    <w:rsid w:val="005C484D"/>
    <w:rsid w:val="005C4E70"/>
    <w:rsid w:val="005C4F32"/>
    <w:rsid w:val="005C6164"/>
    <w:rsid w:val="005C7052"/>
    <w:rsid w:val="005C73BE"/>
    <w:rsid w:val="005D044D"/>
    <w:rsid w:val="005D18AD"/>
    <w:rsid w:val="005D1BF8"/>
    <w:rsid w:val="005D3B02"/>
    <w:rsid w:val="005D3B8C"/>
    <w:rsid w:val="005D3BCC"/>
    <w:rsid w:val="005D48C5"/>
    <w:rsid w:val="005D4CE6"/>
    <w:rsid w:val="005D6689"/>
    <w:rsid w:val="005D6EBF"/>
    <w:rsid w:val="005D7951"/>
    <w:rsid w:val="005D7ED2"/>
    <w:rsid w:val="005E08AB"/>
    <w:rsid w:val="005E13D7"/>
    <w:rsid w:val="005E1EC5"/>
    <w:rsid w:val="005E2679"/>
    <w:rsid w:val="005E300A"/>
    <w:rsid w:val="005E419C"/>
    <w:rsid w:val="005E4490"/>
    <w:rsid w:val="005E46C5"/>
    <w:rsid w:val="005E483D"/>
    <w:rsid w:val="005E57C2"/>
    <w:rsid w:val="005E73C0"/>
    <w:rsid w:val="005F2706"/>
    <w:rsid w:val="005F397A"/>
    <w:rsid w:val="005F3B78"/>
    <w:rsid w:val="005F3FC6"/>
    <w:rsid w:val="005F51D6"/>
    <w:rsid w:val="005F5267"/>
    <w:rsid w:val="005F59BE"/>
    <w:rsid w:val="005F5D0B"/>
    <w:rsid w:val="005F61FF"/>
    <w:rsid w:val="005F6A8F"/>
    <w:rsid w:val="005F7359"/>
    <w:rsid w:val="005F78F4"/>
    <w:rsid w:val="00600999"/>
    <w:rsid w:val="00600FF7"/>
    <w:rsid w:val="00602011"/>
    <w:rsid w:val="00604A67"/>
    <w:rsid w:val="006060C8"/>
    <w:rsid w:val="006061AD"/>
    <w:rsid w:val="00607669"/>
    <w:rsid w:val="00607F94"/>
    <w:rsid w:val="006108F4"/>
    <w:rsid w:val="00611EA2"/>
    <w:rsid w:val="00612886"/>
    <w:rsid w:val="00612F97"/>
    <w:rsid w:val="0061382F"/>
    <w:rsid w:val="00613B37"/>
    <w:rsid w:val="00613CCC"/>
    <w:rsid w:val="00615547"/>
    <w:rsid w:val="0061575F"/>
    <w:rsid w:val="00615E78"/>
    <w:rsid w:val="0061611A"/>
    <w:rsid w:val="006167E2"/>
    <w:rsid w:val="00616802"/>
    <w:rsid w:val="00617E12"/>
    <w:rsid w:val="00620A80"/>
    <w:rsid w:val="00621477"/>
    <w:rsid w:val="0062351B"/>
    <w:rsid w:val="0062352A"/>
    <w:rsid w:val="00623962"/>
    <w:rsid w:val="00623BD8"/>
    <w:rsid w:val="00623F76"/>
    <w:rsid w:val="006242AE"/>
    <w:rsid w:val="00624D25"/>
    <w:rsid w:val="00624E8B"/>
    <w:rsid w:val="006254FE"/>
    <w:rsid w:val="00625671"/>
    <w:rsid w:val="006267A4"/>
    <w:rsid w:val="0062784A"/>
    <w:rsid w:val="00630D0E"/>
    <w:rsid w:val="0063109A"/>
    <w:rsid w:val="00631BA0"/>
    <w:rsid w:val="00631D6B"/>
    <w:rsid w:val="006320C8"/>
    <w:rsid w:val="0063334E"/>
    <w:rsid w:val="00633ED4"/>
    <w:rsid w:val="0063479F"/>
    <w:rsid w:val="00634C41"/>
    <w:rsid w:val="00634EB3"/>
    <w:rsid w:val="006364A1"/>
    <w:rsid w:val="0063749C"/>
    <w:rsid w:val="00637BFD"/>
    <w:rsid w:val="00640581"/>
    <w:rsid w:val="00640729"/>
    <w:rsid w:val="006471CC"/>
    <w:rsid w:val="0065079F"/>
    <w:rsid w:val="006509C3"/>
    <w:rsid w:val="00650F7D"/>
    <w:rsid w:val="006516A9"/>
    <w:rsid w:val="006522F7"/>
    <w:rsid w:val="00652492"/>
    <w:rsid w:val="00652C74"/>
    <w:rsid w:val="00652C92"/>
    <w:rsid w:val="00652D52"/>
    <w:rsid w:val="00653163"/>
    <w:rsid w:val="00654BDA"/>
    <w:rsid w:val="00654F48"/>
    <w:rsid w:val="0065514D"/>
    <w:rsid w:val="00655562"/>
    <w:rsid w:val="00655ABD"/>
    <w:rsid w:val="00655CC8"/>
    <w:rsid w:val="00656B8D"/>
    <w:rsid w:val="00656FD7"/>
    <w:rsid w:val="006570FB"/>
    <w:rsid w:val="00657A90"/>
    <w:rsid w:val="00660515"/>
    <w:rsid w:val="00660E90"/>
    <w:rsid w:val="00661794"/>
    <w:rsid w:val="00661C6A"/>
    <w:rsid w:val="00661F97"/>
    <w:rsid w:val="006636EF"/>
    <w:rsid w:val="00665E34"/>
    <w:rsid w:val="006665CD"/>
    <w:rsid w:val="0066742F"/>
    <w:rsid w:val="006718A6"/>
    <w:rsid w:val="00672142"/>
    <w:rsid w:val="006730BC"/>
    <w:rsid w:val="00674C5F"/>
    <w:rsid w:val="00674D18"/>
    <w:rsid w:val="00674E42"/>
    <w:rsid w:val="00674ECE"/>
    <w:rsid w:val="00675BF9"/>
    <w:rsid w:val="0067731B"/>
    <w:rsid w:val="00680E1A"/>
    <w:rsid w:val="00681507"/>
    <w:rsid w:val="00682002"/>
    <w:rsid w:val="00682112"/>
    <w:rsid w:val="0068385C"/>
    <w:rsid w:val="00683C49"/>
    <w:rsid w:val="00683C77"/>
    <w:rsid w:val="006846CA"/>
    <w:rsid w:val="0068596B"/>
    <w:rsid w:val="006872BA"/>
    <w:rsid w:val="006917D7"/>
    <w:rsid w:val="006927C3"/>
    <w:rsid w:val="00692B62"/>
    <w:rsid w:val="006946C8"/>
    <w:rsid w:val="00694F44"/>
    <w:rsid w:val="00696EAB"/>
    <w:rsid w:val="006A02DA"/>
    <w:rsid w:val="006A09A6"/>
    <w:rsid w:val="006A09B7"/>
    <w:rsid w:val="006A1621"/>
    <w:rsid w:val="006A37A8"/>
    <w:rsid w:val="006A4E92"/>
    <w:rsid w:val="006A5CA3"/>
    <w:rsid w:val="006A60A4"/>
    <w:rsid w:val="006A65B2"/>
    <w:rsid w:val="006A6CB5"/>
    <w:rsid w:val="006A72BD"/>
    <w:rsid w:val="006B1AA2"/>
    <w:rsid w:val="006B1E2A"/>
    <w:rsid w:val="006B1F9C"/>
    <w:rsid w:val="006B3110"/>
    <w:rsid w:val="006B438E"/>
    <w:rsid w:val="006B7B64"/>
    <w:rsid w:val="006C0FD7"/>
    <w:rsid w:val="006C26E7"/>
    <w:rsid w:val="006C2A8E"/>
    <w:rsid w:val="006C2F23"/>
    <w:rsid w:val="006C3EE7"/>
    <w:rsid w:val="006C56C9"/>
    <w:rsid w:val="006C5A46"/>
    <w:rsid w:val="006C5C8D"/>
    <w:rsid w:val="006C6052"/>
    <w:rsid w:val="006C620B"/>
    <w:rsid w:val="006C734D"/>
    <w:rsid w:val="006C7523"/>
    <w:rsid w:val="006D01D9"/>
    <w:rsid w:val="006D187F"/>
    <w:rsid w:val="006D1AD5"/>
    <w:rsid w:val="006D2B7B"/>
    <w:rsid w:val="006D31FC"/>
    <w:rsid w:val="006D35C6"/>
    <w:rsid w:val="006D3C7D"/>
    <w:rsid w:val="006D43E6"/>
    <w:rsid w:val="006D5C27"/>
    <w:rsid w:val="006D5D5F"/>
    <w:rsid w:val="006D6089"/>
    <w:rsid w:val="006D6A3C"/>
    <w:rsid w:val="006D7AE9"/>
    <w:rsid w:val="006E2E30"/>
    <w:rsid w:val="006E31DC"/>
    <w:rsid w:val="006E3840"/>
    <w:rsid w:val="006E3979"/>
    <w:rsid w:val="006E3CF3"/>
    <w:rsid w:val="006E4502"/>
    <w:rsid w:val="006E4992"/>
    <w:rsid w:val="006E52BD"/>
    <w:rsid w:val="006E6506"/>
    <w:rsid w:val="006E6F16"/>
    <w:rsid w:val="006E7007"/>
    <w:rsid w:val="006E7B36"/>
    <w:rsid w:val="006E7C0D"/>
    <w:rsid w:val="006F63A5"/>
    <w:rsid w:val="006F6B00"/>
    <w:rsid w:val="006F6FC0"/>
    <w:rsid w:val="0070093F"/>
    <w:rsid w:val="0070276E"/>
    <w:rsid w:val="00702F8F"/>
    <w:rsid w:val="0070301E"/>
    <w:rsid w:val="00703495"/>
    <w:rsid w:val="007041D8"/>
    <w:rsid w:val="0070439E"/>
    <w:rsid w:val="007046A1"/>
    <w:rsid w:val="0070477A"/>
    <w:rsid w:val="0070518D"/>
    <w:rsid w:val="00706B59"/>
    <w:rsid w:val="0070709D"/>
    <w:rsid w:val="00707B55"/>
    <w:rsid w:val="00707D86"/>
    <w:rsid w:val="007112CC"/>
    <w:rsid w:val="007116C3"/>
    <w:rsid w:val="00711A36"/>
    <w:rsid w:val="00712761"/>
    <w:rsid w:val="00713680"/>
    <w:rsid w:val="00713796"/>
    <w:rsid w:val="00714383"/>
    <w:rsid w:val="007143A7"/>
    <w:rsid w:val="00714F09"/>
    <w:rsid w:val="00714FE9"/>
    <w:rsid w:val="007151F0"/>
    <w:rsid w:val="0071565B"/>
    <w:rsid w:val="00715AE7"/>
    <w:rsid w:val="007172AD"/>
    <w:rsid w:val="00720A89"/>
    <w:rsid w:val="00720B17"/>
    <w:rsid w:val="007226BC"/>
    <w:rsid w:val="0072416F"/>
    <w:rsid w:val="00724341"/>
    <w:rsid w:val="00724ED2"/>
    <w:rsid w:val="007268B4"/>
    <w:rsid w:val="00726F38"/>
    <w:rsid w:val="0073028A"/>
    <w:rsid w:val="00730579"/>
    <w:rsid w:val="00730FF2"/>
    <w:rsid w:val="00732385"/>
    <w:rsid w:val="0073262D"/>
    <w:rsid w:val="00735328"/>
    <w:rsid w:val="00736245"/>
    <w:rsid w:val="007362CE"/>
    <w:rsid w:val="0073685B"/>
    <w:rsid w:val="007375F6"/>
    <w:rsid w:val="00740062"/>
    <w:rsid w:val="0074169C"/>
    <w:rsid w:val="00741BCF"/>
    <w:rsid w:val="007425D5"/>
    <w:rsid w:val="00747AF7"/>
    <w:rsid w:val="0075089D"/>
    <w:rsid w:val="007517AF"/>
    <w:rsid w:val="00751904"/>
    <w:rsid w:val="0075255A"/>
    <w:rsid w:val="007533E5"/>
    <w:rsid w:val="00755478"/>
    <w:rsid w:val="0075607E"/>
    <w:rsid w:val="00756D33"/>
    <w:rsid w:val="0075715F"/>
    <w:rsid w:val="00757903"/>
    <w:rsid w:val="00757A18"/>
    <w:rsid w:val="00761F51"/>
    <w:rsid w:val="00763E04"/>
    <w:rsid w:val="0077026B"/>
    <w:rsid w:val="00770661"/>
    <w:rsid w:val="00772B90"/>
    <w:rsid w:val="00773099"/>
    <w:rsid w:val="0077326A"/>
    <w:rsid w:val="007736D0"/>
    <w:rsid w:val="00774ADA"/>
    <w:rsid w:val="0078023D"/>
    <w:rsid w:val="00780315"/>
    <w:rsid w:val="00780864"/>
    <w:rsid w:val="00780C19"/>
    <w:rsid w:val="007812D1"/>
    <w:rsid w:val="0078263F"/>
    <w:rsid w:val="007836D9"/>
    <w:rsid w:val="007839B3"/>
    <w:rsid w:val="00783CFC"/>
    <w:rsid w:val="00784753"/>
    <w:rsid w:val="007862AD"/>
    <w:rsid w:val="007866D2"/>
    <w:rsid w:val="00787752"/>
    <w:rsid w:val="00787E28"/>
    <w:rsid w:val="00787F22"/>
    <w:rsid w:val="00790324"/>
    <w:rsid w:val="00791001"/>
    <w:rsid w:val="007922C7"/>
    <w:rsid w:val="0079327C"/>
    <w:rsid w:val="00793807"/>
    <w:rsid w:val="00793A7C"/>
    <w:rsid w:val="007966CE"/>
    <w:rsid w:val="00796AA1"/>
    <w:rsid w:val="00797451"/>
    <w:rsid w:val="007A0A12"/>
    <w:rsid w:val="007A1349"/>
    <w:rsid w:val="007A1424"/>
    <w:rsid w:val="007A2212"/>
    <w:rsid w:val="007A4025"/>
    <w:rsid w:val="007A402E"/>
    <w:rsid w:val="007A6A6E"/>
    <w:rsid w:val="007B01A0"/>
    <w:rsid w:val="007B0519"/>
    <w:rsid w:val="007B251D"/>
    <w:rsid w:val="007B267C"/>
    <w:rsid w:val="007B2CC9"/>
    <w:rsid w:val="007B38F5"/>
    <w:rsid w:val="007B3CB8"/>
    <w:rsid w:val="007B4257"/>
    <w:rsid w:val="007B4D19"/>
    <w:rsid w:val="007B56A8"/>
    <w:rsid w:val="007B5BF1"/>
    <w:rsid w:val="007B5FDF"/>
    <w:rsid w:val="007B62CD"/>
    <w:rsid w:val="007B6542"/>
    <w:rsid w:val="007B71A1"/>
    <w:rsid w:val="007B77D1"/>
    <w:rsid w:val="007B77F6"/>
    <w:rsid w:val="007C0C39"/>
    <w:rsid w:val="007C11A0"/>
    <w:rsid w:val="007C1808"/>
    <w:rsid w:val="007C26AD"/>
    <w:rsid w:val="007C361D"/>
    <w:rsid w:val="007C3F99"/>
    <w:rsid w:val="007C43B5"/>
    <w:rsid w:val="007C4E2C"/>
    <w:rsid w:val="007C5B7B"/>
    <w:rsid w:val="007C6027"/>
    <w:rsid w:val="007D0344"/>
    <w:rsid w:val="007D0B38"/>
    <w:rsid w:val="007D2011"/>
    <w:rsid w:val="007D2258"/>
    <w:rsid w:val="007D22CB"/>
    <w:rsid w:val="007D6807"/>
    <w:rsid w:val="007D6814"/>
    <w:rsid w:val="007D7C17"/>
    <w:rsid w:val="007E11D1"/>
    <w:rsid w:val="007E1F85"/>
    <w:rsid w:val="007E3802"/>
    <w:rsid w:val="007E3A1E"/>
    <w:rsid w:val="007E3CA9"/>
    <w:rsid w:val="007E3E20"/>
    <w:rsid w:val="007E40B4"/>
    <w:rsid w:val="007E4170"/>
    <w:rsid w:val="007E544D"/>
    <w:rsid w:val="007E63C0"/>
    <w:rsid w:val="007E69AD"/>
    <w:rsid w:val="007E7CCE"/>
    <w:rsid w:val="007F0622"/>
    <w:rsid w:val="007F0653"/>
    <w:rsid w:val="007F0788"/>
    <w:rsid w:val="007F0E75"/>
    <w:rsid w:val="007F1017"/>
    <w:rsid w:val="007F1DAD"/>
    <w:rsid w:val="007F2B1A"/>
    <w:rsid w:val="007F38AC"/>
    <w:rsid w:val="007F415B"/>
    <w:rsid w:val="007F4A3F"/>
    <w:rsid w:val="007F4E66"/>
    <w:rsid w:val="007F50FF"/>
    <w:rsid w:val="007F5BB3"/>
    <w:rsid w:val="007F6315"/>
    <w:rsid w:val="0080108D"/>
    <w:rsid w:val="00801E29"/>
    <w:rsid w:val="00802DD6"/>
    <w:rsid w:val="008030DE"/>
    <w:rsid w:val="0080310B"/>
    <w:rsid w:val="00803C7D"/>
    <w:rsid w:val="00805103"/>
    <w:rsid w:val="00805142"/>
    <w:rsid w:val="008068A2"/>
    <w:rsid w:val="00806F99"/>
    <w:rsid w:val="00807A8B"/>
    <w:rsid w:val="00812149"/>
    <w:rsid w:val="008122E3"/>
    <w:rsid w:val="008138C4"/>
    <w:rsid w:val="00813CA0"/>
    <w:rsid w:val="0081438A"/>
    <w:rsid w:val="00814ABA"/>
    <w:rsid w:val="00816181"/>
    <w:rsid w:val="008166EF"/>
    <w:rsid w:val="00816FDB"/>
    <w:rsid w:val="0081791F"/>
    <w:rsid w:val="00820192"/>
    <w:rsid w:val="008203DE"/>
    <w:rsid w:val="00820420"/>
    <w:rsid w:val="008205E9"/>
    <w:rsid w:val="00820916"/>
    <w:rsid w:val="00820F47"/>
    <w:rsid w:val="008210D4"/>
    <w:rsid w:val="008226E0"/>
    <w:rsid w:val="00823B6A"/>
    <w:rsid w:val="00824B41"/>
    <w:rsid w:val="008264EB"/>
    <w:rsid w:val="0083188C"/>
    <w:rsid w:val="00831C77"/>
    <w:rsid w:val="00833248"/>
    <w:rsid w:val="00833505"/>
    <w:rsid w:val="00833780"/>
    <w:rsid w:val="00833B05"/>
    <w:rsid w:val="00833FB5"/>
    <w:rsid w:val="00835033"/>
    <w:rsid w:val="008370A5"/>
    <w:rsid w:val="0083787F"/>
    <w:rsid w:val="00840A3B"/>
    <w:rsid w:val="00840CA2"/>
    <w:rsid w:val="0084121A"/>
    <w:rsid w:val="0084173E"/>
    <w:rsid w:val="00841EC2"/>
    <w:rsid w:val="008430D2"/>
    <w:rsid w:val="00843587"/>
    <w:rsid w:val="0084379B"/>
    <w:rsid w:val="00845C46"/>
    <w:rsid w:val="0084609C"/>
    <w:rsid w:val="00847B66"/>
    <w:rsid w:val="00847C9B"/>
    <w:rsid w:val="00847E5F"/>
    <w:rsid w:val="00850B7A"/>
    <w:rsid w:val="00850D64"/>
    <w:rsid w:val="00851AC8"/>
    <w:rsid w:val="008522C9"/>
    <w:rsid w:val="00852FD3"/>
    <w:rsid w:val="008533E4"/>
    <w:rsid w:val="00855FA1"/>
    <w:rsid w:val="00856E9A"/>
    <w:rsid w:val="008600FA"/>
    <w:rsid w:val="008614B7"/>
    <w:rsid w:val="00861F5C"/>
    <w:rsid w:val="00862502"/>
    <w:rsid w:val="00863030"/>
    <w:rsid w:val="0086325C"/>
    <w:rsid w:val="00864936"/>
    <w:rsid w:val="00864FC5"/>
    <w:rsid w:val="00865451"/>
    <w:rsid w:val="008658A9"/>
    <w:rsid w:val="00865F38"/>
    <w:rsid w:val="008671F5"/>
    <w:rsid w:val="00867568"/>
    <w:rsid w:val="008703CF"/>
    <w:rsid w:val="00870D29"/>
    <w:rsid w:val="00872098"/>
    <w:rsid w:val="0087357B"/>
    <w:rsid w:val="00874B11"/>
    <w:rsid w:val="008759D6"/>
    <w:rsid w:val="00875B6D"/>
    <w:rsid w:val="008769A6"/>
    <w:rsid w:val="00877197"/>
    <w:rsid w:val="0087748E"/>
    <w:rsid w:val="008775EA"/>
    <w:rsid w:val="00877B37"/>
    <w:rsid w:val="00877C0D"/>
    <w:rsid w:val="00880BA0"/>
    <w:rsid w:val="0088196E"/>
    <w:rsid w:val="00881FE4"/>
    <w:rsid w:val="00882874"/>
    <w:rsid w:val="00883787"/>
    <w:rsid w:val="00883E1D"/>
    <w:rsid w:val="00886F74"/>
    <w:rsid w:val="008873C5"/>
    <w:rsid w:val="008879B8"/>
    <w:rsid w:val="00887F68"/>
    <w:rsid w:val="00891635"/>
    <w:rsid w:val="00892C31"/>
    <w:rsid w:val="00892D17"/>
    <w:rsid w:val="0089398E"/>
    <w:rsid w:val="00894489"/>
    <w:rsid w:val="0089541E"/>
    <w:rsid w:val="00895D59"/>
    <w:rsid w:val="008963A5"/>
    <w:rsid w:val="00897FD6"/>
    <w:rsid w:val="008A0B19"/>
    <w:rsid w:val="008A2613"/>
    <w:rsid w:val="008A27B8"/>
    <w:rsid w:val="008A2A63"/>
    <w:rsid w:val="008A3C3E"/>
    <w:rsid w:val="008A45CD"/>
    <w:rsid w:val="008A5064"/>
    <w:rsid w:val="008A7226"/>
    <w:rsid w:val="008A79DE"/>
    <w:rsid w:val="008B024F"/>
    <w:rsid w:val="008B0E3D"/>
    <w:rsid w:val="008B1853"/>
    <w:rsid w:val="008B230C"/>
    <w:rsid w:val="008B2ED3"/>
    <w:rsid w:val="008B4350"/>
    <w:rsid w:val="008B4DA8"/>
    <w:rsid w:val="008B50B1"/>
    <w:rsid w:val="008B6502"/>
    <w:rsid w:val="008B7B41"/>
    <w:rsid w:val="008B7D7E"/>
    <w:rsid w:val="008C13B3"/>
    <w:rsid w:val="008C251C"/>
    <w:rsid w:val="008C339D"/>
    <w:rsid w:val="008C3F38"/>
    <w:rsid w:val="008C499D"/>
    <w:rsid w:val="008C4AFF"/>
    <w:rsid w:val="008C6A4F"/>
    <w:rsid w:val="008C6B4D"/>
    <w:rsid w:val="008C7ECB"/>
    <w:rsid w:val="008D02DE"/>
    <w:rsid w:val="008D09EC"/>
    <w:rsid w:val="008D0B2F"/>
    <w:rsid w:val="008D191E"/>
    <w:rsid w:val="008D1BFB"/>
    <w:rsid w:val="008D1EE7"/>
    <w:rsid w:val="008D22AE"/>
    <w:rsid w:val="008D2B6B"/>
    <w:rsid w:val="008D45E6"/>
    <w:rsid w:val="008D58FE"/>
    <w:rsid w:val="008D607C"/>
    <w:rsid w:val="008D6344"/>
    <w:rsid w:val="008D6532"/>
    <w:rsid w:val="008D65C8"/>
    <w:rsid w:val="008D6BE3"/>
    <w:rsid w:val="008D6BFC"/>
    <w:rsid w:val="008D7297"/>
    <w:rsid w:val="008D729F"/>
    <w:rsid w:val="008E142C"/>
    <w:rsid w:val="008E1B9E"/>
    <w:rsid w:val="008E1F9D"/>
    <w:rsid w:val="008E3AF4"/>
    <w:rsid w:val="008E411C"/>
    <w:rsid w:val="008E4F3E"/>
    <w:rsid w:val="008E61DF"/>
    <w:rsid w:val="008F0305"/>
    <w:rsid w:val="008F0607"/>
    <w:rsid w:val="008F0C03"/>
    <w:rsid w:val="008F120A"/>
    <w:rsid w:val="008F151B"/>
    <w:rsid w:val="008F1B56"/>
    <w:rsid w:val="008F1C9D"/>
    <w:rsid w:val="008F2F9F"/>
    <w:rsid w:val="008F3AEE"/>
    <w:rsid w:val="008F4284"/>
    <w:rsid w:val="008F45E9"/>
    <w:rsid w:val="008F48EB"/>
    <w:rsid w:val="008F4F0B"/>
    <w:rsid w:val="008F584E"/>
    <w:rsid w:val="008F5F04"/>
    <w:rsid w:val="008F6169"/>
    <w:rsid w:val="008F70C3"/>
    <w:rsid w:val="008F722A"/>
    <w:rsid w:val="008F748C"/>
    <w:rsid w:val="008F797C"/>
    <w:rsid w:val="0090015F"/>
    <w:rsid w:val="0090122E"/>
    <w:rsid w:val="00901A42"/>
    <w:rsid w:val="00903528"/>
    <w:rsid w:val="00904B94"/>
    <w:rsid w:val="00905CD4"/>
    <w:rsid w:val="009062A5"/>
    <w:rsid w:val="0090775C"/>
    <w:rsid w:val="00907FD0"/>
    <w:rsid w:val="00911272"/>
    <w:rsid w:val="00912A34"/>
    <w:rsid w:val="00912C20"/>
    <w:rsid w:val="009137E5"/>
    <w:rsid w:val="00913CFA"/>
    <w:rsid w:val="00914243"/>
    <w:rsid w:val="00914DCA"/>
    <w:rsid w:val="0091512E"/>
    <w:rsid w:val="009156FF"/>
    <w:rsid w:val="009159F1"/>
    <w:rsid w:val="009165A7"/>
    <w:rsid w:val="00917108"/>
    <w:rsid w:val="00917A1D"/>
    <w:rsid w:val="00922073"/>
    <w:rsid w:val="00922592"/>
    <w:rsid w:val="00922DD7"/>
    <w:rsid w:val="00923A43"/>
    <w:rsid w:val="00923DB3"/>
    <w:rsid w:val="00925F55"/>
    <w:rsid w:val="009266C6"/>
    <w:rsid w:val="00930574"/>
    <w:rsid w:val="0093149D"/>
    <w:rsid w:val="009326A0"/>
    <w:rsid w:val="00932703"/>
    <w:rsid w:val="0093386B"/>
    <w:rsid w:val="00934B41"/>
    <w:rsid w:val="009353C1"/>
    <w:rsid w:val="0093619C"/>
    <w:rsid w:val="00937E8D"/>
    <w:rsid w:val="00940793"/>
    <w:rsid w:val="009418D4"/>
    <w:rsid w:val="009419A9"/>
    <w:rsid w:val="00943B46"/>
    <w:rsid w:val="00943CD2"/>
    <w:rsid w:val="00944A9B"/>
    <w:rsid w:val="00944FB6"/>
    <w:rsid w:val="00945039"/>
    <w:rsid w:val="00945347"/>
    <w:rsid w:val="00945BEB"/>
    <w:rsid w:val="00945BF7"/>
    <w:rsid w:val="0094632B"/>
    <w:rsid w:val="00947BF9"/>
    <w:rsid w:val="0095234D"/>
    <w:rsid w:val="0095275B"/>
    <w:rsid w:val="0095307B"/>
    <w:rsid w:val="009537CC"/>
    <w:rsid w:val="00954C5F"/>
    <w:rsid w:val="00954EBD"/>
    <w:rsid w:val="00955851"/>
    <w:rsid w:val="009561F9"/>
    <w:rsid w:val="009571F9"/>
    <w:rsid w:val="009573F8"/>
    <w:rsid w:val="00960082"/>
    <w:rsid w:val="00960405"/>
    <w:rsid w:val="00960454"/>
    <w:rsid w:val="00960E29"/>
    <w:rsid w:val="00961947"/>
    <w:rsid w:val="00961B89"/>
    <w:rsid w:val="0096264D"/>
    <w:rsid w:val="00962BA3"/>
    <w:rsid w:val="00962CB9"/>
    <w:rsid w:val="00963351"/>
    <w:rsid w:val="009633F9"/>
    <w:rsid w:val="00964312"/>
    <w:rsid w:val="00964498"/>
    <w:rsid w:val="0096533A"/>
    <w:rsid w:val="009658D2"/>
    <w:rsid w:val="009667E4"/>
    <w:rsid w:val="0096787C"/>
    <w:rsid w:val="009702BF"/>
    <w:rsid w:val="00971AF3"/>
    <w:rsid w:val="00972BA3"/>
    <w:rsid w:val="00973DFE"/>
    <w:rsid w:val="00974593"/>
    <w:rsid w:val="009755C6"/>
    <w:rsid w:val="00975DC0"/>
    <w:rsid w:val="009770F6"/>
    <w:rsid w:val="009813CF"/>
    <w:rsid w:val="009813E7"/>
    <w:rsid w:val="0098145B"/>
    <w:rsid w:val="00982A56"/>
    <w:rsid w:val="0098357E"/>
    <w:rsid w:val="00983A24"/>
    <w:rsid w:val="00983ACB"/>
    <w:rsid w:val="00983D7B"/>
    <w:rsid w:val="00983E57"/>
    <w:rsid w:val="00984544"/>
    <w:rsid w:val="00985BD5"/>
    <w:rsid w:val="00986EB4"/>
    <w:rsid w:val="00987638"/>
    <w:rsid w:val="009877E5"/>
    <w:rsid w:val="0099081F"/>
    <w:rsid w:val="00991BEF"/>
    <w:rsid w:val="00991D70"/>
    <w:rsid w:val="009922A9"/>
    <w:rsid w:val="00992C3D"/>
    <w:rsid w:val="00992F01"/>
    <w:rsid w:val="00992FDC"/>
    <w:rsid w:val="0099331A"/>
    <w:rsid w:val="00993707"/>
    <w:rsid w:val="009937A2"/>
    <w:rsid w:val="00993EDE"/>
    <w:rsid w:val="00994520"/>
    <w:rsid w:val="00994D89"/>
    <w:rsid w:val="0099558F"/>
    <w:rsid w:val="00995AF4"/>
    <w:rsid w:val="00996B1A"/>
    <w:rsid w:val="00996FCD"/>
    <w:rsid w:val="009970D2"/>
    <w:rsid w:val="00997BEE"/>
    <w:rsid w:val="009A00D4"/>
    <w:rsid w:val="009A102A"/>
    <w:rsid w:val="009A2D0C"/>
    <w:rsid w:val="009A5EBF"/>
    <w:rsid w:val="009A654C"/>
    <w:rsid w:val="009A6C2D"/>
    <w:rsid w:val="009A77B9"/>
    <w:rsid w:val="009A7B22"/>
    <w:rsid w:val="009B00BB"/>
    <w:rsid w:val="009B0BE7"/>
    <w:rsid w:val="009B195E"/>
    <w:rsid w:val="009B20E4"/>
    <w:rsid w:val="009B29C4"/>
    <w:rsid w:val="009B2FB7"/>
    <w:rsid w:val="009B3A79"/>
    <w:rsid w:val="009B3E26"/>
    <w:rsid w:val="009B6201"/>
    <w:rsid w:val="009B7430"/>
    <w:rsid w:val="009C0ED2"/>
    <w:rsid w:val="009C0FDB"/>
    <w:rsid w:val="009C141F"/>
    <w:rsid w:val="009C3685"/>
    <w:rsid w:val="009C4C87"/>
    <w:rsid w:val="009C4FE4"/>
    <w:rsid w:val="009D1649"/>
    <w:rsid w:val="009D1B9D"/>
    <w:rsid w:val="009D2271"/>
    <w:rsid w:val="009D228B"/>
    <w:rsid w:val="009D31BB"/>
    <w:rsid w:val="009D37E4"/>
    <w:rsid w:val="009D39AD"/>
    <w:rsid w:val="009D39E5"/>
    <w:rsid w:val="009D3BE5"/>
    <w:rsid w:val="009D57E8"/>
    <w:rsid w:val="009D5B91"/>
    <w:rsid w:val="009D6F6C"/>
    <w:rsid w:val="009D7007"/>
    <w:rsid w:val="009E0DCA"/>
    <w:rsid w:val="009E2585"/>
    <w:rsid w:val="009E2F9B"/>
    <w:rsid w:val="009E3D05"/>
    <w:rsid w:val="009E4238"/>
    <w:rsid w:val="009E4C07"/>
    <w:rsid w:val="009E55BD"/>
    <w:rsid w:val="009E56EF"/>
    <w:rsid w:val="009E7E39"/>
    <w:rsid w:val="009F068C"/>
    <w:rsid w:val="009F15B7"/>
    <w:rsid w:val="009F4032"/>
    <w:rsid w:val="009F4E97"/>
    <w:rsid w:val="009F661B"/>
    <w:rsid w:val="00A0009B"/>
    <w:rsid w:val="00A00761"/>
    <w:rsid w:val="00A00817"/>
    <w:rsid w:val="00A01A60"/>
    <w:rsid w:val="00A037BE"/>
    <w:rsid w:val="00A03D43"/>
    <w:rsid w:val="00A04380"/>
    <w:rsid w:val="00A04A32"/>
    <w:rsid w:val="00A05D0C"/>
    <w:rsid w:val="00A06E11"/>
    <w:rsid w:val="00A10981"/>
    <w:rsid w:val="00A10E74"/>
    <w:rsid w:val="00A113ED"/>
    <w:rsid w:val="00A13948"/>
    <w:rsid w:val="00A14203"/>
    <w:rsid w:val="00A14B6D"/>
    <w:rsid w:val="00A14CAE"/>
    <w:rsid w:val="00A156AB"/>
    <w:rsid w:val="00A16B3A"/>
    <w:rsid w:val="00A16E72"/>
    <w:rsid w:val="00A1712A"/>
    <w:rsid w:val="00A17CB1"/>
    <w:rsid w:val="00A21AF8"/>
    <w:rsid w:val="00A2287D"/>
    <w:rsid w:val="00A23142"/>
    <w:rsid w:val="00A2518E"/>
    <w:rsid w:val="00A251B5"/>
    <w:rsid w:val="00A26029"/>
    <w:rsid w:val="00A26E26"/>
    <w:rsid w:val="00A2761C"/>
    <w:rsid w:val="00A27AEC"/>
    <w:rsid w:val="00A27C09"/>
    <w:rsid w:val="00A3058F"/>
    <w:rsid w:val="00A31187"/>
    <w:rsid w:val="00A315E3"/>
    <w:rsid w:val="00A31854"/>
    <w:rsid w:val="00A32380"/>
    <w:rsid w:val="00A32652"/>
    <w:rsid w:val="00A3298B"/>
    <w:rsid w:val="00A3321C"/>
    <w:rsid w:val="00A3382F"/>
    <w:rsid w:val="00A339CF"/>
    <w:rsid w:val="00A33BD0"/>
    <w:rsid w:val="00A34768"/>
    <w:rsid w:val="00A34C86"/>
    <w:rsid w:val="00A34F00"/>
    <w:rsid w:val="00A35D16"/>
    <w:rsid w:val="00A3659B"/>
    <w:rsid w:val="00A37C42"/>
    <w:rsid w:val="00A422CE"/>
    <w:rsid w:val="00A427A2"/>
    <w:rsid w:val="00A42BC4"/>
    <w:rsid w:val="00A42C18"/>
    <w:rsid w:val="00A42E28"/>
    <w:rsid w:val="00A43C59"/>
    <w:rsid w:val="00A50ECD"/>
    <w:rsid w:val="00A517CA"/>
    <w:rsid w:val="00A525D4"/>
    <w:rsid w:val="00A52729"/>
    <w:rsid w:val="00A52FA4"/>
    <w:rsid w:val="00A530E9"/>
    <w:rsid w:val="00A53675"/>
    <w:rsid w:val="00A53E8D"/>
    <w:rsid w:val="00A56B6A"/>
    <w:rsid w:val="00A578DC"/>
    <w:rsid w:val="00A579D6"/>
    <w:rsid w:val="00A6029F"/>
    <w:rsid w:val="00A605C0"/>
    <w:rsid w:val="00A611D3"/>
    <w:rsid w:val="00A61F0B"/>
    <w:rsid w:val="00A62CE2"/>
    <w:rsid w:val="00A62D04"/>
    <w:rsid w:val="00A63485"/>
    <w:rsid w:val="00A642FD"/>
    <w:rsid w:val="00A6493D"/>
    <w:rsid w:val="00A64EE6"/>
    <w:rsid w:val="00A661D7"/>
    <w:rsid w:val="00A663AE"/>
    <w:rsid w:val="00A67048"/>
    <w:rsid w:val="00A6725B"/>
    <w:rsid w:val="00A67720"/>
    <w:rsid w:val="00A703C5"/>
    <w:rsid w:val="00A70842"/>
    <w:rsid w:val="00A72D47"/>
    <w:rsid w:val="00A7366D"/>
    <w:rsid w:val="00A74898"/>
    <w:rsid w:val="00A76859"/>
    <w:rsid w:val="00A76902"/>
    <w:rsid w:val="00A7764D"/>
    <w:rsid w:val="00A80C38"/>
    <w:rsid w:val="00A81989"/>
    <w:rsid w:val="00A820E8"/>
    <w:rsid w:val="00A825B2"/>
    <w:rsid w:val="00A82ADD"/>
    <w:rsid w:val="00A83F6B"/>
    <w:rsid w:val="00A8451D"/>
    <w:rsid w:val="00A84706"/>
    <w:rsid w:val="00A84E75"/>
    <w:rsid w:val="00A84F67"/>
    <w:rsid w:val="00A850BD"/>
    <w:rsid w:val="00A85FFA"/>
    <w:rsid w:val="00A8690E"/>
    <w:rsid w:val="00A86E8B"/>
    <w:rsid w:val="00A875F4"/>
    <w:rsid w:val="00A8796B"/>
    <w:rsid w:val="00A909A6"/>
    <w:rsid w:val="00A90A73"/>
    <w:rsid w:val="00A921AA"/>
    <w:rsid w:val="00A93072"/>
    <w:rsid w:val="00A94D08"/>
    <w:rsid w:val="00A959D8"/>
    <w:rsid w:val="00A95A29"/>
    <w:rsid w:val="00A95BA4"/>
    <w:rsid w:val="00AA06CD"/>
    <w:rsid w:val="00AA1E7A"/>
    <w:rsid w:val="00AA23B6"/>
    <w:rsid w:val="00AA2BE8"/>
    <w:rsid w:val="00AA38F1"/>
    <w:rsid w:val="00AA3BE3"/>
    <w:rsid w:val="00AA484A"/>
    <w:rsid w:val="00AA5405"/>
    <w:rsid w:val="00AA5C8D"/>
    <w:rsid w:val="00AA652A"/>
    <w:rsid w:val="00AB042A"/>
    <w:rsid w:val="00AB0E0D"/>
    <w:rsid w:val="00AB2D34"/>
    <w:rsid w:val="00AB3430"/>
    <w:rsid w:val="00AB3D5F"/>
    <w:rsid w:val="00AB4063"/>
    <w:rsid w:val="00AB4431"/>
    <w:rsid w:val="00AB50CF"/>
    <w:rsid w:val="00AB5420"/>
    <w:rsid w:val="00AB6C36"/>
    <w:rsid w:val="00AB737E"/>
    <w:rsid w:val="00AB7739"/>
    <w:rsid w:val="00AB7CFA"/>
    <w:rsid w:val="00AC2A90"/>
    <w:rsid w:val="00AC30AA"/>
    <w:rsid w:val="00AC30D7"/>
    <w:rsid w:val="00AC3DCE"/>
    <w:rsid w:val="00AC5422"/>
    <w:rsid w:val="00AC57C7"/>
    <w:rsid w:val="00AC6A19"/>
    <w:rsid w:val="00AC7141"/>
    <w:rsid w:val="00AD0605"/>
    <w:rsid w:val="00AD0B69"/>
    <w:rsid w:val="00AD24F1"/>
    <w:rsid w:val="00AD27A4"/>
    <w:rsid w:val="00AD2A86"/>
    <w:rsid w:val="00AD2ACB"/>
    <w:rsid w:val="00AD39DE"/>
    <w:rsid w:val="00AD4519"/>
    <w:rsid w:val="00AD472B"/>
    <w:rsid w:val="00AD5BE9"/>
    <w:rsid w:val="00AD5F44"/>
    <w:rsid w:val="00AD7924"/>
    <w:rsid w:val="00AD7B45"/>
    <w:rsid w:val="00AE03AE"/>
    <w:rsid w:val="00AE0B91"/>
    <w:rsid w:val="00AE25C2"/>
    <w:rsid w:val="00AE280D"/>
    <w:rsid w:val="00AE2C42"/>
    <w:rsid w:val="00AE3055"/>
    <w:rsid w:val="00AE39FF"/>
    <w:rsid w:val="00AE4371"/>
    <w:rsid w:val="00AE4430"/>
    <w:rsid w:val="00AE536D"/>
    <w:rsid w:val="00AE5915"/>
    <w:rsid w:val="00AE5BFD"/>
    <w:rsid w:val="00AE5E80"/>
    <w:rsid w:val="00AE7AA1"/>
    <w:rsid w:val="00AF1263"/>
    <w:rsid w:val="00AF2B59"/>
    <w:rsid w:val="00AF3BA7"/>
    <w:rsid w:val="00AF435B"/>
    <w:rsid w:val="00AF7210"/>
    <w:rsid w:val="00AF75F0"/>
    <w:rsid w:val="00B00C39"/>
    <w:rsid w:val="00B02511"/>
    <w:rsid w:val="00B0321D"/>
    <w:rsid w:val="00B0349D"/>
    <w:rsid w:val="00B03BD1"/>
    <w:rsid w:val="00B042EF"/>
    <w:rsid w:val="00B04C8B"/>
    <w:rsid w:val="00B050F5"/>
    <w:rsid w:val="00B06B9F"/>
    <w:rsid w:val="00B07AD7"/>
    <w:rsid w:val="00B10A2C"/>
    <w:rsid w:val="00B10CF8"/>
    <w:rsid w:val="00B11B2A"/>
    <w:rsid w:val="00B12A51"/>
    <w:rsid w:val="00B134B1"/>
    <w:rsid w:val="00B152B3"/>
    <w:rsid w:val="00B15AFD"/>
    <w:rsid w:val="00B15CC1"/>
    <w:rsid w:val="00B1633A"/>
    <w:rsid w:val="00B16EF5"/>
    <w:rsid w:val="00B177A0"/>
    <w:rsid w:val="00B20F76"/>
    <w:rsid w:val="00B21318"/>
    <w:rsid w:val="00B22F6A"/>
    <w:rsid w:val="00B23F2F"/>
    <w:rsid w:val="00B2489F"/>
    <w:rsid w:val="00B2561E"/>
    <w:rsid w:val="00B25EB4"/>
    <w:rsid w:val="00B26853"/>
    <w:rsid w:val="00B30060"/>
    <w:rsid w:val="00B30403"/>
    <w:rsid w:val="00B31197"/>
    <w:rsid w:val="00B311EE"/>
    <w:rsid w:val="00B319C6"/>
    <w:rsid w:val="00B33592"/>
    <w:rsid w:val="00B33A3D"/>
    <w:rsid w:val="00B33DA7"/>
    <w:rsid w:val="00B34B4B"/>
    <w:rsid w:val="00B3603B"/>
    <w:rsid w:val="00B372C3"/>
    <w:rsid w:val="00B3749A"/>
    <w:rsid w:val="00B41CA1"/>
    <w:rsid w:val="00B42851"/>
    <w:rsid w:val="00B438B9"/>
    <w:rsid w:val="00B44B3C"/>
    <w:rsid w:val="00B45A7A"/>
    <w:rsid w:val="00B47375"/>
    <w:rsid w:val="00B50262"/>
    <w:rsid w:val="00B50DB8"/>
    <w:rsid w:val="00B51008"/>
    <w:rsid w:val="00B517F1"/>
    <w:rsid w:val="00B51D7D"/>
    <w:rsid w:val="00B52E7F"/>
    <w:rsid w:val="00B53905"/>
    <w:rsid w:val="00B54B5B"/>
    <w:rsid w:val="00B55424"/>
    <w:rsid w:val="00B5562E"/>
    <w:rsid w:val="00B55B7F"/>
    <w:rsid w:val="00B56D31"/>
    <w:rsid w:val="00B57000"/>
    <w:rsid w:val="00B57D72"/>
    <w:rsid w:val="00B60939"/>
    <w:rsid w:val="00B60AFD"/>
    <w:rsid w:val="00B60B08"/>
    <w:rsid w:val="00B62715"/>
    <w:rsid w:val="00B633B8"/>
    <w:rsid w:val="00B66860"/>
    <w:rsid w:val="00B66E6A"/>
    <w:rsid w:val="00B67561"/>
    <w:rsid w:val="00B67F04"/>
    <w:rsid w:val="00B7039E"/>
    <w:rsid w:val="00B7055D"/>
    <w:rsid w:val="00B71129"/>
    <w:rsid w:val="00B71C20"/>
    <w:rsid w:val="00B72323"/>
    <w:rsid w:val="00B72E0E"/>
    <w:rsid w:val="00B72F25"/>
    <w:rsid w:val="00B74ABA"/>
    <w:rsid w:val="00B80D3B"/>
    <w:rsid w:val="00B813ED"/>
    <w:rsid w:val="00B818A4"/>
    <w:rsid w:val="00B82411"/>
    <w:rsid w:val="00B82D55"/>
    <w:rsid w:val="00B8326D"/>
    <w:rsid w:val="00B834C8"/>
    <w:rsid w:val="00B849C9"/>
    <w:rsid w:val="00B85FA1"/>
    <w:rsid w:val="00B8649C"/>
    <w:rsid w:val="00B86D91"/>
    <w:rsid w:val="00B912B6"/>
    <w:rsid w:val="00B91547"/>
    <w:rsid w:val="00B91FA6"/>
    <w:rsid w:val="00B92D0B"/>
    <w:rsid w:val="00B9304E"/>
    <w:rsid w:val="00B93426"/>
    <w:rsid w:val="00B935D8"/>
    <w:rsid w:val="00B940F1"/>
    <w:rsid w:val="00B94945"/>
    <w:rsid w:val="00B94B3D"/>
    <w:rsid w:val="00B9636E"/>
    <w:rsid w:val="00B966CB"/>
    <w:rsid w:val="00B96923"/>
    <w:rsid w:val="00B97694"/>
    <w:rsid w:val="00B97B1D"/>
    <w:rsid w:val="00BA081D"/>
    <w:rsid w:val="00BA0B6B"/>
    <w:rsid w:val="00BA1814"/>
    <w:rsid w:val="00BA2DDE"/>
    <w:rsid w:val="00BA4903"/>
    <w:rsid w:val="00BA5179"/>
    <w:rsid w:val="00BA773F"/>
    <w:rsid w:val="00BA7AB8"/>
    <w:rsid w:val="00BB06BF"/>
    <w:rsid w:val="00BB1206"/>
    <w:rsid w:val="00BB2DA3"/>
    <w:rsid w:val="00BB34A2"/>
    <w:rsid w:val="00BB389A"/>
    <w:rsid w:val="00BB3B25"/>
    <w:rsid w:val="00BB3BA4"/>
    <w:rsid w:val="00BB3BD3"/>
    <w:rsid w:val="00BB4440"/>
    <w:rsid w:val="00BB73A0"/>
    <w:rsid w:val="00BB7405"/>
    <w:rsid w:val="00BB7835"/>
    <w:rsid w:val="00BB7ECB"/>
    <w:rsid w:val="00BC1648"/>
    <w:rsid w:val="00BC2CB5"/>
    <w:rsid w:val="00BC3319"/>
    <w:rsid w:val="00BC356A"/>
    <w:rsid w:val="00BC40ED"/>
    <w:rsid w:val="00BC6949"/>
    <w:rsid w:val="00BC746A"/>
    <w:rsid w:val="00BC7485"/>
    <w:rsid w:val="00BC7F88"/>
    <w:rsid w:val="00BD0F81"/>
    <w:rsid w:val="00BD1C5C"/>
    <w:rsid w:val="00BD1D99"/>
    <w:rsid w:val="00BD3388"/>
    <w:rsid w:val="00BD47A1"/>
    <w:rsid w:val="00BD47B7"/>
    <w:rsid w:val="00BD6221"/>
    <w:rsid w:val="00BD6CF3"/>
    <w:rsid w:val="00BD76A2"/>
    <w:rsid w:val="00BE1707"/>
    <w:rsid w:val="00BE1EBF"/>
    <w:rsid w:val="00BE2180"/>
    <w:rsid w:val="00BE261F"/>
    <w:rsid w:val="00BE3E00"/>
    <w:rsid w:val="00BE3F3F"/>
    <w:rsid w:val="00BE4275"/>
    <w:rsid w:val="00BE45A5"/>
    <w:rsid w:val="00BE461A"/>
    <w:rsid w:val="00BE59F6"/>
    <w:rsid w:val="00BE634F"/>
    <w:rsid w:val="00BE7195"/>
    <w:rsid w:val="00BE7303"/>
    <w:rsid w:val="00BF0A47"/>
    <w:rsid w:val="00BF1683"/>
    <w:rsid w:val="00BF1AAE"/>
    <w:rsid w:val="00BF1C1F"/>
    <w:rsid w:val="00BF2433"/>
    <w:rsid w:val="00BF29A2"/>
    <w:rsid w:val="00BF302D"/>
    <w:rsid w:val="00BF369E"/>
    <w:rsid w:val="00BF42ED"/>
    <w:rsid w:val="00BF48D5"/>
    <w:rsid w:val="00BF6125"/>
    <w:rsid w:val="00BF61C9"/>
    <w:rsid w:val="00BF6218"/>
    <w:rsid w:val="00BF686F"/>
    <w:rsid w:val="00BF6DE3"/>
    <w:rsid w:val="00BF7281"/>
    <w:rsid w:val="00BF7791"/>
    <w:rsid w:val="00C00E98"/>
    <w:rsid w:val="00C01257"/>
    <w:rsid w:val="00C017F9"/>
    <w:rsid w:val="00C01F9B"/>
    <w:rsid w:val="00C029ED"/>
    <w:rsid w:val="00C0360E"/>
    <w:rsid w:val="00C03F6E"/>
    <w:rsid w:val="00C04B1B"/>
    <w:rsid w:val="00C04EEE"/>
    <w:rsid w:val="00C05BDA"/>
    <w:rsid w:val="00C06305"/>
    <w:rsid w:val="00C07C14"/>
    <w:rsid w:val="00C106BB"/>
    <w:rsid w:val="00C11D41"/>
    <w:rsid w:val="00C11F0D"/>
    <w:rsid w:val="00C13019"/>
    <w:rsid w:val="00C1460C"/>
    <w:rsid w:val="00C149B8"/>
    <w:rsid w:val="00C14C49"/>
    <w:rsid w:val="00C15C7D"/>
    <w:rsid w:val="00C16096"/>
    <w:rsid w:val="00C16231"/>
    <w:rsid w:val="00C176B7"/>
    <w:rsid w:val="00C177AE"/>
    <w:rsid w:val="00C2013C"/>
    <w:rsid w:val="00C21709"/>
    <w:rsid w:val="00C223DB"/>
    <w:rsid w:val="00C225C6"/>
    <w:rsid w:val="00C2358C"/>
    <w:rsid w:val="00C23A45"/>
    <w:rsid w:val="00C24191"/>
    <w:rsid w:val="00C24311"/>
    <w:rsid w:val="00C24692"/>
    <w:rsid w:val="00C2501B"/>
    <w:rsid w:val="00C25274"/>
    <w:rsid w:val="00C25418"/>
    <w:rsid w:val="00C25AF9"/>
    <w:rsid w:val="00C25D9C"/>
    <w:rsid w:val="00C25E4B"/>
    <w:rsid w:val="00C26268"/>
    <w:rsid w:val="00C26D3D"/>
    <w:rsid w:val="00C2796A"/>
    <w:rsid w:val="00C27F66"/>
    <w:rsid w:val="00C302B9"/>
    <w:rsid w:val="00C30A84"/>
    <w:rsid w:val="00C31400"/>
    <w:rsid w:val="00C31649"/>
    <w:rsid w:val="00C317C0"/>
    <w:rsid w:val="00C31D71"/>
    <w:rsid w:val="00C331F0"/>
    <w:rsid w:val="00C35CE1"/>
    <w:rsid w:val="00C37160"/>
    <w:rsid w:val="00C40385"/>
    <w:rsid w:val="00C4102E"/>
    <w:rsid w:val="00C41B60"/>
    <w:rsid w:val="00C43EA2"/>
    <w:rsid w:val="00C444C0"/>
    <w:rsid w:val="00C4569F"/>
    <w:rsid w:val="00C468E6"/>
    <w:rsid w:val="00C46CAB"/>
    <w:rsid w:val="00C46E5D"/>
    <w:rsid w:val="00C471B0"/>
    <w:rsid w:val="00C47D81"/>
    <w:rsid w:val="00C50641"/>
    <w:rsid w:val="00C534D7"/>
    <w:rsid w:val="00C53FA1"/>
    <w:rsid w:val="00C54469"/>
    <w:rsid w:val="00C54BED"/>
    <w:rsid w:val="00C552D7"/>
    <w:rsid w:val="00C61124"/>
    <w:rsid w:val="00C61286"/>
    <w:rsid w:val="00C62AA6"/>
    <w:rsid w:val="00C63202"/>
    <w:rsid w:val="00C6453E"/>
    <w:rsid w:val="00C6489F"/>
    <w:rsid w:val="00C65576"/>
    <w:rsid w:val="00C65DDF"/>
    <w:rsid w:val="00C66165"/>
    <w:rsid w:val="00C66787"/>
    <w:rsid w:val="00C711CF"/>
    <w:rsid w:val="00C71B60"/>
    <w:rsid w:val="00C72C05"/>
    <w:rsid w:val="00C738EA"/>
    <w:rsid w:val="00C74526"/>
    <w:rsid w:val="00C750C8"/>
    <w:rsid w:val="00C7555E"/>
    <w:rsid w:val="00C80F73"/>
    <w:rsid w:val="00C81070"/>
    <w:rsid w:val="00C8213F"/>
    <w:rsid w:val="00C82432"/>
    <w:rsid w:val="00C8378D"/>
    <w:rsid w:val="00C84495"/>
    <w:rsid w:val="00C8451B"/>
    <w:rsid w:val="00C84758"/>
    <w:rsid w:val="00C84EDF"/>
    <w:rsid w:val="00C86A80"/>
    <w:rsid w:val="00C870CF"/>
    <w:rsid w:val="00C8797A"/>
    <w:rsid w:val="00C918D7"/>
    <w:rsid w:val="00C92BB5"/>
    <w:rsid w:val="00C938CF"/>
    <w:rsid w:val="00C93D31"/>
    <w:rsid w:val="00C949D0"/>
    <w:rsid w:val="00C94FF1"/>
    <w:rsid w:val="00C95491"/>
    <w:rsid w:val="00C97458"/>
    <w:rsid w:val="00C97E17"/>
    <w:rsid w:val="00CA0AEC"/>
    <w:rsid w:val="00CA1084"/>
    <w:rsid w:val="00CA11C6"/>
    <w:rsid w:val="00CA49F1"/>
    <w:rsid w:val="00CA5245"/>
    <w:rsid w:val="00CA527C"/>
    <w:rsid w:val="00CA5D19"/>
    <w:rsid w:val="00CA6318"/>
    <w:rsid w:val="00CA6EC8"/>
    <w:rsid w:val="00CA7688"/>
    <w:rsid w:val="00CA77A5"/>
    <w:rsid w:val="00CA7B09"/>
    <w:rsid w:val="00CB0126"/>
    <w:rsid w:val="00CB14A1"/>
    <w:rsid w:val="00CB177D"/>
    <w:rsid w:val="00CB3B97"/>
    <w:rsid w:val="00CB53DC"/>
    <w:rsid w:val="00CB5B1A"/>
    <w:rsid w:val="00CB5D3E"/>
    <w:rsid w:val="00CB6756"/>
    <w:rsid w:val="00CB7407"/>
    <w:rsid w:val="00CB74E6"/>
    <w:rsid w:val="00CB7706"/>
    <w:rsid w:val="00CC0AC1"/>
    <w:rsid w:val="00CC0FC3"/>
    <w:rsid w:val="00CC1148"/>
    <w:rsid w:val="00CC4D81"/>
    <w:rsid w:val="00CC6373"/>
    <w:rsid w:val="00CC6446"/>
    <w:rsid w:val="00CC7082"/>
    <w:rsid w:val="00CD05F9"/>
    <w:rsid w:val="00CD0648"/>
    <w:rsid w:val="00CD26AC"/>
    <w:rsid w:val="00CD2FD6"/>
    <w:rsid w:val="00CD4F3A"/>
    <w:rsid w:val="00CD59E3"/>
    <w:rsid w:val="00CD6ADC"/>
    <w:rsid w:val="00CD7999"/>
    <w:rsid w:val="00CD7D85"/>
    <w:rsid w:val="00CD7E05"/>
    <w:rsid w:val="00CE0D09"/>
    <w:rsid w:val="00CE27C2"/>
    <w:rsid w:val="00CE2AFA"/>
    <w:rsid w:val="00CE2F9E"/>
    <w:rsid w:val="00CE460B"/>
    <w:rsid w:val="00CE55EB"/>
    <w:rsid w:val="00CE58DB"/>
    <w:rsid w:val="00CE6053"/>
    <w:rsid w:val="00CE6274"/>
    <w:rsid w:val="00CE6DED"/>
    <w:rsid w:val="00CE7416"/>
    <w:rsid w:val="00CE7AD4"/>
    <w:rsid w:val="00CF080A"/>
    <w:rsid w:val="00CF0875"/>
    <w:rsid w:val="00CF14D7"/>
    <w:rsid w:val="00CF17C2"/>
    <w:rsid w:val="00CF260F"/>
    <w:rsid w:val="00CF3009"/>
    <w:rsid w:val="00CF35E2"/>
    <w:rsid w:val="00CF4104"/>
    <w:rsid w:val="00CF456B"/>
    <w:rsid w:val="00CF4AF4"/>
    <w:rsid w:val="00CF50EE"/>
    <w:rsid w:val="00CF5A22"/>
    <w:rsid w:val="00CF5A36"/>
    <w:rsid w:val="00D0262E"/>
    <w:rsid w:val="00D02C3E"/>
    <w:rsid w:val="00D0411F"/>
    <w:rsid w:val="00D04E63"/>
    <w:rsid w:val="00D07418"/>
    <w:rsid w:val="00D1106D"/>
    <w:rsid w:val="00D110BD"/>
    <w:rsid w:val="00D11B5C"/>
    <w:rsid w:val="00D11DDE"/>
    <w:rsid w:val="00D11FB2"/>
    <w:rsid w:val="00D13411"/>
    <w:rsid w:val="00D13799"/>
    <w:rsid w:val="00D13BAB"/>
    <w:rsid w:val="00D14181"/>
    <w:rsid w:val="00D141F7"/>
    <w:rsid w:val="00D1431E"/>
    <w:rsid w:val="00D1432B"/>
    <w:rsid w:val="00D14525"/>
    <w:rsid w:val="00D15176"/>
    <w:rsid w:val="00D15AB1"/>
    <w:rsid w:val="00D16B64"/>
    <w:rsid w:val="00D16E99"/>
    <w:rsid w:val="00D17D6C"/>
    <w:rsid w:val="00D17FAD"/>
    <w:rsid w:val="00D2062B"/>
    <w:rsid w:val="00D2272A"/>
    <w:rsid w:val="00D22FC3"/>
    <w:rsid w:val="00D232CE"/>
    <w:rsid w:val="00D239E0"/>
    <w:rsid w:val="00D2409A"/>
    <w:rsid w:val="00D2491A"/>
    <w:rsid w:val="00D256A4"/>
    <w:rsid w:val="00D27F96"/>
    <w:rsid w:val="00D30A56"/>
    <w:rsid w:val="00D30AE0"/>
    <w:rsid w:val="00D30CBC"/>
    <w:rsid w:val="00D3211A"/>
    <w:rsid w:val="00D328FA"/>
    <w:rsid w:val="00D32939"/>
    <w:rsid w:val="00D33806"/>
    <w:rsid w:val="00D33D8B"/>
    <w:rsid w:val="00D34246"/>
    <w:rsid w:val="00D35610"/>
    <w:rsid w:val="00D357FF"/>
    <w:rsid w:val="00D37D3E"/>
    <w:rsid w:val="00D37DA7"/>
    <w:rsid w:val="00D40A9D"/>
    <w:rsid w:val="00D4104B"/>
    <w:rsid w:val="00D42AD1"/>
    <w:rsid w:val="00D43A6E"/>
    <w:rsid w:val="00D44109"/>
    <w:rsid w:val="00D443D2"/>
    <w:rsid w:val="00D444E3"/>
    <w:rsid w:val="00D44878"/>
    <w:rsid w:val="00D45DFC"/>
    <w:rsid w:val="00D45E08"/>
    <w:rsid w:val="00D46C95"/>
    <w:rsid w:val="00D47661"/>
    <w:rsid w:val="00D47AB2"/>
    <w:rsid w:val="00D47D3E"/>
    <w:rsid w:val="00D47D79"/>
    <w:rsid w:val="00D47FA4"/>
    <w:rsid w:val="00D50EC3"/>
    <w:rsid w:val="00D526B9"/>
    <w:rsid w:val="00D54498"/>
    <w:rsid w:val="00D54D4D"/>
    <w:rsid w:val="00D54FAB"/>
    <w:rsid w:val="00D55C15"/>
    <w:rsid w:val="00D57274"/>
    <w:rsid w:val="00D57800"/>
    <w:rsid w:val="00D579DB"/>
    <w:rsid w:val="00D60C63"/>
    <w:rsid w:val="00D6132B"/>
    <w:rsid w:val="00D61C8B"/>
    <w:rsid w:val="00D622F4"/>
    <w:rsid w:val="00D62BC0"/>
    <w:rsid w:val="00D64D36"/>
    <w:rsid w:val="00D64DC3"/>
    <w:rsid w:val="00D6567B"/>
    <w:rsid w:val="00D66632"/>
    <w:rsid w:val="00D66A53"/>
    <w:rsid w:val="00D72108"/>
    <w:rsid w:val="00D736CA"/>
    <w:rsid w:val="00D76A44"/>
    <w:rsid w:val="00D770E9"/>
    <w:rsid w:val="00D77FF8"/>
    <w:rsid w:val="00D8078C"/>
    <w:rsid w:val="00D80902"/>
    <w:rsid w:val="00D827AE"/>
    <w:rsid w:val="00D82C22"/>
    <w:rsid w:val="00D8479C"/>
    <w:rsid w:val="00D86B16"/>
    <w:rsid w:val="00D86F7B"/>
    <w:rsid w:val="00D87E33"/>
    <w:rsid w:val="00D904DD"/>
    <w:rsid w:val="00D90932"/>
    <w:rsid w:val="00D90FC2"/>
    <w:rsid w:val="00D91CFC"/>
    <w:rsid w:val="00D922BD"/>
    <w:rsid w:val="00D926E8"/>
    <w:rsid w:val="00D934C1"/>
    <w:rsid w:val="00D93753"/>
    <w:rsid w:val="00D93D8C"/>
    <w:rsid w:val="00D94741"/>
    <w:rsid w:val="00D948DB"/>
    <w:rsid w:val="00D95C2E"/>
    <w:rsid w:val="00D95FD6"/>
    <w:rsid w:val="00D96A37"/>
    <w:rsid w:val="00DA0E1E"/>
    <w:rsid w:val="00DA104E"/>
    <w:rsid w:val="00DA25DA"/>
    <w:rsid w:val="00DA31C5"/>
    <w:rsid w:val="00DA37DE"/>
    <w:rsid w:val="00DA5001"/>
    <w:rsid w:val="00DA6475"/>
    <w:rsid w:val="00DA75B5"/>
    <w:rsid w:val="00DA77A5"/>
    <w:rsid w:val="00DB01D8"/>
    <w:rsid w:val="00DB09FF"/>
    <w:rsid w:val="00DB0AF6"/>
    <w:rsid w:val="00DB1561"/>
    <w:rsid w:val="00DB197D"/>
    <w:rsid w:val="00DB2E24"/>
    <w:rsid w:val="00DB4710"/>
    <w:rsid w:val="00DB477D"/>
    <w:rsid w:val="00DB55DC"/>
    <w:rsid w:val="00DB5930"/>
    <w:rsid w:val="00DB5A84"/>
    <w:rsid w:val="00DB5FC4"/>
    <w:rsid w:val="00DB62D2"/>
    <w:rsid w:val="00DB6E21"/>
    <w:rsid w:val="00DC151C"/>
    <w:rsid w:val="00DC3AB4"/>
    <w:rsid w:val="00DC4CAE"/>
    <w:rsid w:val="00DC5501"/>
    <w:rsid w:val="00DC561F"/>
    <w:rsid w:val="00DC7213"/>
    <w:rsid w:val="00DD0439"/>
    <w:rsid w:val="00DD144B"/>
    <w:rsid w:val="00DD208C"/>
    <w:rsid w:val="00DD2CE4"/>
    <w:rsid w:val="00DD385D"/>
    <w:rsid w:val="00DD3F28"/>
    <w:rsid w:val="00DD4537"/>
    <w:rsid w:val="00DD4B67"/>
    <w:rsid w:val="00DD4E15"/>
    <w:rsid w:val="00DD54F3"/>
    <w:rsid w:val="00DD56D2"/>
    <w:rsid w:val="00DD6C35"/>
    <w:rsid w:val="00DD6FC8"/>
    <w:rsid w:val="00DE0E79"/>
    <w:rsid w:val="00DE0F57"/>
    <w:rsid w:val="00DE276F"/>
    <w:rsid w:val="00DE3B54"/>
    <w:rsid w:val="00DE409D"/>
    <w:rsid w:val="00DE4FCB"/>
    <w:rsid w:val="00DE5407"/>
    <w:rsid w:val="00DE5677"/>
    <w:rsid w:val="00DE5A8B"/>
    <w:rsid w:val="00DE5D3F"/>
    <w:rsid w:val="00DE7815"/>
    <w:rsid w:val="00DE7A06"/>
    <w:rsid w:val="00DF1B84"/>
    <w:rsid w:val="00DF1E5E"/>
    <w:rsid w:val="00DF2B39"/>
    <w:rsid w:val="00DF2BDB"/>
    <w:rsid w:val="00DF31C7"/>
    <w:rsid w:val="00DF40FB"/>
    <w:rsid w:val="00DF41FE"/>
    <w:rsid w:val="00DF5216"/>
    <w:rsid w:val="00DF5A2A"/>
    <w:rsid w:val="00DF5D2B"/>
    <w:rsid w:val="00DF6169"/>
    <w:rsid w:val="00E01448"/>
    <w:rsid w:val="00E02CE8"/>
    <w:rsid w:val="00E03299"/>
    <w:rsid w:val="00E03BD2"/>
    <w:rsid w:val="00E0440F"/>
    <w:rsid w:val="00E05337"/>
    <w:rsid w:val="00E05431"/>
    <w:rsid w:val="00E05E49"/>
    <w:rsid w:val="00E060A3"/>
    <w:rsid w:val="00E06B7B"/>
    <w:rsid w:val="00E07C1D"/>
    <w:rsid w:val="00E10149"/>
    <w:rsid w:val="00E102ED"/>
    <w:rsid w:val="00E11F5C"/>
    <w:rsid w:val="00E1286E"/>
    <w:rsid w:val="00E132D7"/>
    <w:rsid w:val="00E155DF"/>
    <w:rsid w:val="00E156FB"/>
    <w:rsid w:val="00E15D42"/>
    <w:rsid w:val="00E161AC"/>
    <w:rsid w:val="00E16372"/>
    <w:rsid w:val="00E202CE"/>
    <w:rsid w:val="00E204E9"/>
    <w:rsid w:val="00E207A2"/>
    <w:rsid w:val="00E20ED6"/>
    <w:rsid w:val="00E21358"/>
    <w:rsid w:val="00E216BA"/>
    <w:rsid w:val="00E2249B"/>
    <w:rsid w:val="00E22A0D"/>
    <w:rsid w:val="00E231CB"/>
    <w:rsid w:val="00E24EDD"/>
    <w:rsid w:val="00E275D0"/>
    <w:rsid w:val="00E2771E"/>
    <w:rsid w:val="00E2784E"/>
    <w:rsid w:val="00E305CC"/>
    <w:rsid w:val="00E3210D"/>
    <w:rsid w:val="00E337A1"/>
    <w:rsid w:val="00E35C8B"/>
    <w:rsid w:val="00E36D51"/>
    <w:rsid w:val="00E37569"/>
    <w:rsid w:val="00E37632"/>
    <w:rsid w:val="00E37814"/>
    <w:rsid w:val="00E41640"/>
    <w:rsid w:val="00E41BCF"/>
    <w:rsid w:val="00E41C42"/>
    <w:rsid w:val="00E41CD0"/>
    <w:rsid w:val="00E41DE2"/>
    <w:rsid w:val="00E41E30"/>
    <w:rsid w:val="00E41F22"/>
    <w:rsid w:val="00E420B4"/>
    <w:rsid w:val="00E42B34"/>
    <w:rsid w:val="00E439C5"/>
    <w:rsid w:val="00E43CDA"/>
    <w:rsid w:val="00E43D70"/>
    <w:rsid w:val="00E44552"/>
    <w:rsid w:val="00E44B72"/>
    <w:rsid w:val="00E45D1E"/>
    <w:rsid w:val="00E4686C"/>
    <w:rsid w:val="00E46A5A"/>
    <w:rsid w:val="00E46BD9"/>
    <w:rsid w:val="00E47B2C"/>
    <w:rsid w:val="00E51560"/>
    <w:rsid w:val="00E51696"/>
    <w:rsid w:val="00E5221E"/>
    <w:rsid w:val="00E529ED"/>
    <w:rsid w:val="00E54D45"/>
    <w:rsid w:val="00E55424"/>
    <w:rsid w:val="00E55A1C"/>
    <w:rsid w:val="00E55BB5"/>
    <w:rsid w:val="00E569CF"/>
    <w:rsid w:val="00E57270"/>
    <w:rsid w:val="00E57B0E"/>
    <w:rsid w:val="00E6044C"/>
    <w:rsid w:val="00E60A23"/>
    <w:rsid w:val="00E628D9"/>
    <w:rsid w:val="00E62F98"/>
    <w:rsid w:val="00E6398C"/>
    <w:rsid w:val="00E6447A"/>
    <w:rsid w:val="00E647DA"/>
    <w:rsid w:val="00E64905"/>
    <w:rsid w:val="00E651E9"/>
    <w:rsid w:val="00E65E79"/>
    <w:rsid w:val="00E65EF5"/>
    <w:rsid w:val="00E66615"/>
    <w:rsid w:val="00E666F0"/>
    <w:rsid w:val="00E67416"/>
    <w:rsid w:val="00E70AB7"/>
    <w:rsid w:val="00E70B07"/>
    <w:rsid w:val="00E714B6"/>
    <w:rsid w:val="00E718B6"/>
    <w:rsid w:val="00E71DFB"/>
    <w:rsid w:val="00E73581"/>
    <w:rsid w:val="00E74452"/>
    <w:rsid w:val="00E7482C"/>
    <w:rsid w:val="00E74A6E"/>
    <w:rsid w:val="00E74A8F"/>
    <w:rsid w:val="00E74C06"/>
    <w:rsid w:val="00E7515D"/>
    <w:rsid w:val="00E76FDC"/>
    <w:rsid w:val="00E77092"/>
    <w:rsid w:val="00E7771C"/>
    <w:rsid w:val="00E77FAC"/>
    <w:rsid w:val="00E80B6D"/>
    <w:rsid w:val="00E819F2"/>
    <w:rsid w:val="00E825C8"/>
    <w:rsid w:val="00E83BDF"/>
    <w:rsid w:val="00E84E81"/>
    <w:rsid w:val="00E861A9"/>
    <w:rsid w:val="00E8636D"/>
    <w:rsid w:val="00E865A6"/>
    <w:rsid w:val="00E86F4E"/>
    <w:rsid w:val="00E87F1F"/>
    <w:rsid w:val="00E923F6"/>
    <w:rsid w:val="00E94885"/>
    <w:rsid w:val="00E954C5"/>
    <w:rsid w:val="00E954E2"/>
    <w:rsid w:val="00E96449"/>
    <w:rsid w:val="00E96D2C"/>
    <w:rsid w:val="00E96EE5"/>
    <w:rsid w:val="00E97B65"/>
    <w:rsid w:val="00E97D65"/>
    <w:rsid w:val="00E97E4F"/>
    <w:rsid w:val="00EA07AC"/>
    <w:rsid w:val="00EA1FD0"/>
    <w:rsid w:val="00EA2A10"/>
    <w:rsid w:val="00EA2F87"/>
    <w:rsid w:val="00EA3722"/>
    <w:rsid w:val="00EA3853"/>
    <w:rsid w:val="00EA3864"/>
    <w:rsid w:val="00EA460F"/>
    <w:rsid w:val="00EA471E"/>
    <w:rsid w:val="00EA591A"/>
    <w:rsid w:val="00EA7D69"/>
    <w:rsid w:val="00EB15B6"/>
    <w:rsid w:val="00EB28AC"/>
    <w:rsid w:val="00EB2AD8"/>
    <w:rsid w:val="00EB3F9B"/>
    <w:rsid w:val="00EB454C"/>
    <w:rsid w:val="00EB45E6"/>
    <w:rsid w:val="00EB4916"/>
    <w:rsid w:val="00EB4C77"/>
    <w:rsid w:val="00EB5D7B"/>
    <w:rsid w:val="00EB6EE7"/>
    <w:rsid w:val="00EB6FB1"/>
    <w:rsid w:val="00EB7CA7"/>
    <w:rsid w:val="00EB7F12"/>
    <w:rsid w:val="00EC00C9"/>
    <w:rsid w:val="00EC0BA6"/>
    <w:rsid w:val="00EC0D35"/>
    <w:rsid w:val="00EC0E51"/>
    <w:rsid w:val="00EC1A93"/>
    <w:rsid w:val="00EC1F63"/>
    <w:rsid w:val="00EC21B6"/>
    <w:rsid w:val="00EC242D"/>
    <w:rsid w:val="00EC2EBF"/>
    <w:rsid w:val="00EC389F"/>
    <w:rsid w:val="00EC39DB"/>
    <w:rsid w:val="00EC41D9"/>
    <w:rsid w:val="00EC4D70"/>
    <w:rsid w:val="00EC5BF1"/>
    <w:rsid w:val="00EC7622"/>
    <w:rsid w:val="00EC7E47"/>
    <w:rsid w:val="00ED07BC"/>
    <w:rsid w:val="00ED07C6"/>
    <w:rsid w:val="00ED2172"/>
    <w:rsid w:val="00ED2B95"/>
    <w:rsid w:val="00ED32E7"/>
    <w:rsid w:val="00ED3EEE"/>
    <w:rsid w:val="00ED43AB"/>
    <w:rsid w:val="00ED4A6F"/>
    <w:rsid w:val="00ED57A4"/>
    <w:rsid w:val="00EE07D3"/>
    <w:rsid w:val="00EE0D5A"/>
    <w:rsid w:val="00EE2BA3"/>
    <w:rsid w:val="00EE2F8C"/>
    <w:rsid w:val="00EE36C0"/>
    <w:rsid w:val="00EE3C15"/>
    <w:rsid w:val="00EE4974"/>
    <w:rsid w:val="00EE73FA"/>
    <w:rsid w:val="00EF00B9"/>
    <w:rsid w:val="00EF0246"/>
    <w:rsid w:val="00EF2214"/>
    <w:rsid w:val="00EF260C"/>
    <w:rsid w:val="00EF2E6B"/>
    <w:rsid w:val="00EF3134"/>
    <w:rsid w:val="00EF3A63"/>
    <w:rsid w:val="00EF3ABE"/>
    <w:rsid w:val="00EF4672"/>
    <w:rsid w:val="00EF54EB"/>
    <w:rsid w:val="00EF5D1B"/>
    <w:rsid w:val="00EF738C"/>
    <w:rsid w:val="00EF7808"/>
    <w:rsid w:val="00F00912"/>
    <w:rsid w:val="00F010BC"/>
    <w:rsid w:val="00F02578"/>
    <w:rsid w:val="00F0383C"/>
    <w:rsid w:val="00F03E8A"/>
    <w:rsid w:val="00F05D4F"/>
    <w:rsid w:val="00F060C6"/>
    <w:rsid w:val="00F067A2"/>
    <w:rsid w:val="00F06C9A"/>
    <w:rsid w:val="00F06EF2"/>
    <w:rsid w:val="00F07C1A"/>
    <w:rsid w:val="00F07E0E"/>
    <w:rsid w:val="00F11637"/>
    <w:rsid w:val="00F1184E"/>
    <w:rsid w:val="00F11FF0"/>
    <w:rsid w:val="00F12087"/>
    <w:rsid w:val="00F12413"/>
    <w:rsid w:val="00F126FC"/>
    <w:rsid w:val="00F12840"/>
    <w:rsid w:val="00F128F9"/>
    <w:rsid w:val="00F136C4"/>
    <w:rsid w:val="00F1435C"/>
    <w:rsid w:val="00F1630C"/>
    <w:rsid w:val="00F1661D"/>
    <w:rsid w:val="00F17329"/>
    <w:rsid w:val="00F21874"/>
    <w:rsid w:val="00F23399"/>
    <w:rsid w:val="00F23CF8"/>
    <w:rsid w:val="00F24837"/>
    <w:rsid w:val="00F2575F"/>
    <w:rsid w:val="00F266A3"/>
    <w:rsid w:val="00F27130"/>
    <w:rsid w:val="00F278FA"/>
    <w:rsid w:val="00F30B04"/>
    <w:rsid w:val="00F33DE9"/>
    <w:rsid w:val="00F33F90"/>
    <w:rsid w:val="00F33FE7"/>
    <w:rsid w:val="00F3486E"/>
    <w:rsid w:val="00F35430"/>
    <w:rsid w:val="00F3613A"/>
    <w:rsid w:val="00F3619A"/>
    <w:rsid w:val="00F36263"/>
    <w:rsid w:val="00F37C66"/>
    <w:rsid w:val="00F40F63"/>
    <w:rsid w:val="00F41F89"/>
    <w:rsid w:val="00F431A3"/>
    <w:rsid w:val="00F43A8B"/>
    <w:rsid w:val="00F43DE2"/>
    <w:rsid w:val="00F44B27"/>
    <w:rsid w:val="00F45111"/>
    <w:rsid w:val="00F456A8"/>
    <w:rsid w:val="00F46CB6"/>
    <w:rsid w:val="00F47FA1"/>
    <w:rsid w:val="00F51355"/>
    <w:rsid w:val="00F516EF"/>
    <w:rsid w:val="00F51A00"/>
    <w:rsid w:val="00F520A5"/>
    <w:rsid w:val="00F52E41"/>
    <w:rsid w:val="00F5493C"/>
    <w:rsid w:val="00F5535E"/>
    <w:rsid w:val="00F55E73"/>
    <w:rsid w:val="00F55F6A"/>
    <w:rsid w:val="00F55FA2"/>
    <w:rsid w:val="00F56639"/>
    <w:rsid w:val="00F56DD3"/>
    <w:rsid w:val="00F57FEE"/>
    <w:rsid w:val="00F60092"/>
    <w:rsid w:val="00F60CFA"/>
    <w:rsid w:val="00F611D5"/>
    <w:rsid w:val="00F653D7"/>
    <w:rsid w:val="00F66279"/>
    <w:rsid w:val="00F66322"/>
    <w:rsid w:val="00F66DB5"/>
    <w:rsid w:val="00F67821"/>
    <w:rsid w:val="00F70C2D"/>
    <w:rsid w:val="00F73702"/>
    <w:rsid w:val="00F7380A"/>
    <w:rsid w:val="00F73CCE"/>
    <w:rsid w:val="00F75848"/>
    <w:rsid w:val="00F80319"/>
    <w:rsid w:val="00F80E5D"/>
    <w:rsid w:val="00F8451D"/>
    <w:rsid w:val="00F84C68"/>
    <w:rsid w:val="00F84D76"/>
    <w:rsid w:val="00F851CE"/>
    <w:rsid w:val="00F857A2"/>
    <w:rsid w:val="00F86602"/>
    <w:rsid w:val="00F87861"/>
    <w:rsid w:val="00F90987"/>
    <w:rsid w:val="00F910FF"/>
    <w:rsid w:val="00F91643"/>
    <w:rsid w:val="00F91CE3"/>
    <w:rsid w:val="00F91DA7"/>
    <w:rsid w:val="00F93E08"/>
    <w:rsid w:val="00F94103"/>
    <w:rsid w:val="00F95202"/>
    <w:rsid w:val="00F9567E"/>
    <w:rsid w:val="00F97A78"/>
    <w:rsid w:val="00FA00BD"/>
    <w:rsid w:val="00FA03B6"/>
    <w:rsid w:val="00FA081A"/>
    <w:rsid w:val="00FA167B"/>
    <w:rsid w:val="00FA24E7"/>
    <w:rsid w:val="00FA2B8C"/>
    <w:rsid w:val="00FA34A1"/>
    <w:rsid w:val="00FA3C53"/>
    <w:rsid w:val="00FA41BB"/>
    <w:rsid w:val="00FA63A3"/>
    <w:rsid w:val="00FA6700"/>
    <w:rsid w:val="00FA6D96"/>
    <w:rsid w:val="00FB0399"/>
    <w:rsid w:val="00FB0511"/>
    <w:rsid w:val="00FB0A2D"/>
    <w:rsid w:val="00FB1ADF"/>
    <w:rsid w:val="00FB2FCB"/>
    <w:rsid w:val="00FB3F6C"/>
    <w:rsid w:val="00FB4193"/>
    <w:rsid w:val="00FB7531"/>
    <w:rsid w:val="00FB7A28"/>
    <w:rsid w:val="00FC1074"/>
    <w:rsid w:val="00FC1884"/>
    <w:rsid w:val="00FC1ED5"/>
    <w:rsid w:val="00FC205E"/>
    <w:rsid w:val="00FC3383"/>
    <w:rsid w:val="00FC388B"/>
    <w:rsid w:val="00FC3D76"/>
    <w:rsid w:val="00FC3E34"/>
    <w:rsid w:val="00FC3EA6"/>
    <w:rsid w:val="00FC448C"/>
    <w:rsid w:val="00FC48B4"/>
    <w:rsid w:val="00FC554A"/>
    <w:rsid w:val="00FC5628"/>
    <w:rsid w:val="00FC5961"/>
    <w:rsid w:val="00FC64B2"/>
    <w:rsid w:val="00FC6F6E"/>
    <w:rsid w:val="00FD2030"/>
    <w:rsid w:val="00FD2100"/>
    <w:rsid w:val="00FD2412"/>
    <w:rsid w:val="00FD24DD"/>
    <w:rsid w:val="00FD37AD"/>
    <w:rsid w:val="00FD3939"/>
    <w:rsid w:val="00FD446D"/>
    <w:rsid w:val="00FD59F4"/>
    <w:rsid w:val="00FD60E1"/>
    <w:rsid w:val="00FD6434"/>
    <w:rsid w:val="00FD6C37"/>
    <w:rsid w:val="00FD738A"/>
    <w:rsid w:val="00FD7A6B"/>
    <w:rsid w:val="00FD7E4F"/>
    <w:rsid w:val="00FE307A"/>
    <w:rsid w:val="00FE3BF8"/>
    <w:rsid w:val="00FE480D"/>
    <w:rsid w:val="00FE61F3"/>
    <w:rsid w:val="00FF0DEB"/>
    <w:rsid w:val="00FF1751"/>
    <w:rsid w:val="00FF1863"/>
    <w:rsid w:val="00FF2599"/>
    <w:rsid w:val="00FF3DCF"/>
    <w:rsid w:val="00FF4032"/>
    <w:rsid w:val="00FF5AA3"/>
    <w:rsid w:val="00FF5F86"/>
    <w:rsid w:val="00FF6F0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80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99"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2409A"/>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Table caption,Bayer Caption,IB Caption,Medical Caption,CSR Caption,Caption Char1,Caption Char Char,Medical Caption + Arial Narrow,Bayer Caption1,IB Caption1,Medical Caption1,Medical Caption + Arial Narrow1,Bayer Caption2,IB Caption2,Char,Char1,c"/>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Table caption Char,Bayer Caption Char,IB Caption Char,Medical Caption Char,CSR Caption Char,Caption Char1 Char,Caption Char Char Char,Medical Caption + Arial Narrow Char,Bayer Caption1 Char,IB Caption1 Char,Medical Caption1 Char,Char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CMA Table Templat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CC0AC1"/>
    <w:pPr>
      <w:numPr>
        <w:numId w:val="11"/>
      </w:numPr>
      <w:outlineLvl w:val="0"/>
    </w:pPr>
    <w:rPr>
      <w:rFonts w:ascii="Arial" w:hAnsi="Arial" w:cs="Arial"/>
      <w:b/>
      <w:snapToGrid w:val="0"/>
      <w:sz w:val="22"/>
      <w:szCs w:val="22"/>
      <w:lang w:eastAsia="en-US"/>
    </w:rPr>
  </w:style>
  <w:style w:type="paragraph" w:customStyle="1" w:styleId="TableBullets">
    <w:name w:val="Table Bullets"/>
    <w:basedOn w:val="Normal"/>
    <w:uiPriority w:val="5"/>
    <w:qFormat/>
    <w:rsid w:val="00376AE9"/>
    <w:pPr>
      <w:widowControl/>
      <w:numPr>
        <w:numId w:val="9"/>
      </w:numPr>
    </w:pPr>
    <w:rPr>
      <w:rFonts w:ascii="Candara" w:eastAsiaTheme="majorEastAsia" w:hAnsi="Candara" w:cstheme="majorBidi"/>
      <w:snapToGrid/>
      <w:sz w:val="20"/>
      <w:szCs w:val="22"/>
      <w:lang w:bidi="en-US"/>
    </w:rPr>
  </w:style>
  <w:style w:type="paragraph" w:customStyle="1" w:styleId="Table">
    <w:name w:val="Table"/>
    <w:basedOn w:val="Normal"/>
    <w:link w:val="TableChar"/>
    <w:qFormat/>
    <w:rsid w:val="00EC41D9"/>
    <w:pPr>
      <w:widowControl/>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EC41D9"/>
    <w:rPr>
      <w:rFonts w:ascii="Candara" w:eastAsiaTheme="majorEastAsia" w:hAnsi="Candara" w:cstheme="majorBidi"/>
      <w:szCs w:val="22"/>
      <w:lang w:eastAsia="en-US" w:bidi="en-US"/>
    </w:rPr>
  </w:style>
  <w:style w:type="table" w:customStyle="1" w:styleId="TableGrid1">
    <w:name w:val="Table Grid1"/>
    <w:basedOn w:val="TableNormal"/>
    <w:next w:val="TableGrid"/>
    <w:uiPriority w:val="39"/>
    <w:rsid w:val="00A76859"/>
    <w:rPr>
      <w:rFonts w:ascii="Candara" w:hAnsi="Candara"/>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table" w:customStyle="1" w:styleId="Summarybox1">
    <w:name w:val="Summary box1"/>
    <w:basedOn w:val="TableNormal"/>
    <w:next w:val="TableGrid"/>
    <w:uiPriority w:val="59"/>
    <w:rsid w:val="0086756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079A0"/>
    <w:rPr>
      <w:rFonts w:ascii="Candara" w:hAnsi="Candara"/>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table" w:customStyle="1" w:styleId="TableGrid3">
    <w:name w:val="Table Grid3"/>
    <w:basedOn w:val="TableNormal"/>
    <w:next w:val="TableGrid"/>
    <w:uiPriority w:val="39"/>
    <w:rsid w:val="003213AA"/>
    <w:rPr>
      <w:rFonts w:ascii="Candara" w:hAnsi="Candara"/>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table" w:customStyle="1" w:styleId="TableGrid4">
    <w:name w:val="Table Grid4"/>
    <w:basedOn w:val="TableNormal"/>
    <w:next w:val="TableGrid"/>
    <w:uiPriority w:val="39"/>
    <w:rsid w:val="00D64D36"/>
    <w:rPr>
      <w:rFonts w:ascii="Candara" w:hAnsi="Candara"/>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customStyle="1" w:styleId="SmallBold">
    <w:name w:val="Small Bold"/>
    <w:basedOn w:val="DefaultParagraphFont"/>
    <w:uiPriority w:val="4"/>
    <w:qFormat/>
    <w:rsid w:val="00B20F76"/>
    <w:rPr>
      <w:rFonts w:ascii="Candara" w:hAnsi="Candara"/>
      <w:b/>
      <w:sz w:val="20"/>
      <w:lang w:val="en-AU"/>
    </w:rPr>
  </w:style>
  <w:style w:type="paragraph" w:customStyle="1" w:styleId="TableCentre">
    <w:name w:val="Table Centre"/>
    <w:basedOn w:val="Table"/>
    <w:link w:val="TableCentreChar"/>
    <w:qFormat/>
    <w:rsid w:val="00B20F76"/>
    <w:pPr>
      <w:jc w:val="center"/>
    </w:pPr>
  </w:style>
  <w:style w:type="character" w:customStyle="1" w:styleId="TableCentreChar">
    <w:name w:val="Table Centre Char"/>
    <w:basedOn w:val="TableChar"/>
    <w:link w:val="TableCentre"/>
    <w:rsid w:val="00B20F76"/>
    <w:rPr>
      <w:rFonts w:ascii="Candara" w:eastAsiaTheme="majorEastAsia" w:hAnsi="Candara" w:cstheme="majorBidi"/>
      <w:szCs w:val="22"/>
      <w:lang w:eastAsia="en-US" w:bidi="en-US"/>
    </w:rPr>
  </w:style>
  <w:style w:type="paragraph" w:customStyle="1" w:styleId="TableLeft">
    <w:name w:val="Table Left"/>
    <w:basedOn w:val="Normal"/>
    <w:link w:val="TableLeftChar"/>
    <w:uiPriority w:val="5"/>
    <w:qFormat/>
    <w:rsid w:val="00B20F76"/>
    <w:pPr>
      <w:widowControl/>
      <w:jc w:val="left"/>
    </w:pPr>
    <w:rPr>
      <w:rFonts w:ascii="Calibri" w:eastAsiaTheme="majorEastAsia" w:hAnsi="Calibri" w:cstheme="majorBidi"/>
      <w:snapToGrid/>
      <w:sz w:val="20"/>
      <w:szCs w:val="22"/>
      <w:lang w:bidi="en-US"/>
    </w:rPr>
  </w:style>
  <w:style w:type="character" w:customStyle="1" w:styleId="TableLeftChar">
    <w:name w:val="Table Left Char"/>
    <w:basedOn w:val="DefaultParagraphFont"/>
    <w:link w:val="TableLeft"/>
    <w:uiPriority w:val="5"/>
    <w:rsid w:val="00B20F76"/>
    <w:rPr>
      <w:rFonts w:ascii="Calibri" w:eastAsiaTheme="majorEastAsia" w:hAnsi="Calibri" w:cstheme="majorBidi"/>
      <w:szCs w:val="22"/>
      <w:lang w:eastAsia="en-US" w:bidi="en-US"/>
    </w:rPr>
  </w:style>
  <w:style w:type="table" w:customStyle="1" w:styleId="TableGrid5">
    <w:name w:val="Table Grid5"/>
    <w:basedOn w:val="TableNormal"/>
    <w:next w:val="TableGrid"/>
    <w:uiPriority w:val="39"/>
    <w:rsid w:val="00AF435B"/>
    <w:rPr>
      <w:rFonts w:ascii="Candara" w:hAnsi="Candara"/>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customStyle="1" w:styleId="TableTextChar0">
    <w:name w:val="TableText Char"/>
    <w:basedOn w:val="DefaultParagraphFont"/>
    <w:link w:val="TableText0"/>
    <w:rsid w:val="00FC6F6E"/>
    <w:rPr>
      <w:rFonts w:ascii="Arial Narrow" w:hAnsi="Arial Narrow" w:cs="Arial Narrow"/>
      <w:lang w:eastAsia="en-US"/>
    </w:rPr>
  </w:style>
  <w:style w:type="character" w:customStyle="1" w:styleId="TableBold">
    <w:name w:val="Table Bold"/>
    <w:uiPriority w:val="4"/>
    <w:qFormat/>
    <w:rsid w:val="00C81070"/>
    <w:rPr>
      <w:rFonts w:ascii="Calibri" w:hAnsi="Calibri"/>
      <w:b/>
      <w:sz w:val="20"/>
      <w:lang w:val="en-AU"/>
    </w:rPr>
  </w:style>
  <w:style w:type="character" w:customStyle="1" w:styleId="FontBold">
    <w:name w:val="Font Bold"/>
    <w:basedOn w:val="DefaultParagraphFont"/>
    <w:uiPriority w:val="1"/>
    <w:qFormat/>
    <w:rsid w:val="00BF686F"/>
    <w:rPr>
      <w:rFonts w:ascii="Candara" w:hAnsi="Candara"/>
      <w:b/>
      <w:sz w:val="24"/>
    </w:rPr>
  </w:style>
  <w:style w:type="paragraph" w:customStyle="1" w:styleId="CaptionFootnote">
    <w:name w:val="Caption Footnote"/>
    <w:basedOn w:val="Caption"/>
    <w:qFormat/>
    <w:rsid w:val="00BF686F"/>
    <w:pPr>
      <w:spacing w:after="0"/>
    </w:pPr>
    <w:rPr>
      <w:rFonts w:ascii="Candara" w:eastAsiaTheme="majorEastAsia" w:hAnsi="Candara" w:cstheme="majorBidi"/>
      <w:b w:val="0"/>
      <w:snapToGrid/>
      <w:color w:val="auto"/>
      <w:sz w:val="16"/>
      <w:lang w:bidi="en-US"/>
    </w:rPr>
  </w:style>
  <w:style w:type="character" w:customStyle="1" w:styleId="apple-converted-space">
    <w:name w:val="apple-converted-space"/>
    <w:basedOn w:val="DefaultParagraphFont"/>
    <w:rsid w:val="00222CAD"/>
  </w:style>
  <w:style w:type="character" w:customStyle="1" w:styleId="ListParagraphChar">
    <w:name w:val="List Paragraph Char"/>
    <w:aliases w:val="BulletPoints Char"/>
    <w:basedOn w:val="DefaultParagraphFont"/>
    <w:link w:val="ListParagraph"/>
    <w:uiPriority w:val="72"/>
    <w:locked/>
    <w:rsid w:val="00222CAD"/>
    <w:rPr>
      <w:rFonts w:ascii="Arial" w:hAnsi="Arial" w:cs="Arial"/>
      <w:snapToGrid w:val="0"/>
      <w:sz w:val="22"/>
      <w:lang w:eastAsia="en-US"/>
    </w:rPr>
  </w:style>
  <w:style w:type="character" w:styleId="Emphasis">
    <w:name w:val="Emphasis"/>
    <w:basedOn w:val="DefaultParagraphFont"/>
    <w:uiPriority w:val="20"/>
    <w:qFormat/>
    <w:rsid w:val="00222CAD"/>
    <w:rPr>
      <w:i/>
      <w:iCs/>
    </w:rPr>
  </w:style>
  <w:style w:type="character" w:styleId="FollowedHyperlink">
    <w:name w:val="FollowedHyperlink"/>
    <w:basedOn w:val="DefaultParagraphFont"/>
    <w:semiHidden/>
    <w:unhideWhenUsed/>
    <w:rsid w:val="00222CAD"/>
    <w:rPr>
      <w:color w:val="800080" w:themeColor="followedHyperlink"/>
      <w:u w:val="single"/>
    </w:rPr>
  </w:style>
  <w:style w:type="table" w:customStyle="1" w:styleId="CMATableTemplate1">
    <w:name w:val="CMA Table Template1"/>
    <w:basedOn w:val="TableNormal"/>
    <w:next w:val="TableGrid"/>
    <w:uiPriority w:val="59"/>
    <w:rsid w:val="000A1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A7226"/>
    <w:pPr>
      <w:widowControl/>
      <w:spacing w:after="160" w:line="240" w:lineRule="exact"/>
      <w:jc w:val="left"/>
    </w:pPr>
    <w:rPr>
      <w:rFonts w:ascii="Verdana" w:eastAsia="MS Mincho" w:hAnsi="Verdana" w:cs="Verdana"/>
      <w:snapToGrid/>
      <w:sz w:val="20"/>
      <w:lang w:val="en-US"/>
    </w:rPr>
  </w:style>
  <w:style w:type="paragraph" w:customStyle="1" w:styleId="TableText1">
    <w:name w:val="Table Text"/>
    <w:basedOn w:val="Normal"/>
    <w:link w:val="TableTextChar1"/>
    <w:qFormat/>
    <w:rsid w:val="0024649E"/>
    <w:pPr>
      <w:widowControl/>
      <w:spacing w:before="40" w:after="60"/>
    </w:pPr>
    <w:rPr>
      <w:rFonts w:asciiTheme="minorHAnsi" w:eastAsia="SimSun" w:hAnsiTheme="minorHAnsi" w:cs="Arial Narrow"/>
      <w:snapToGrid/>
      <w:sz w:val="20"/>
    </w:rPr>
  </w:style>
  <w:style w:type="character" w:customStyle="1" w:styleId="TableTextChar1">
    <w:name w:val="Table Text Char"/>
    <w:basedOn w:val="DefaultParagraphFont"/>
    <w:link w:val="TableText1"/>
    <w:rsid w:val="0024649E"/>
    <w:rPr>
      <w:rFonts w:asciiTheme="minorHAnsi" w:eastAsia="SimSun" w:hAnsiTheme="minorHAnsi" w:cs="Arial Narrow"/>
      <w:lang w:eastAsia="en-US"/>
    </w:rPr>
  </w:style>
  <w:style w:type="paragraph" w:customStyle="1" w:styleId="NormalBeforeBullet">
    <w:name w:val="Normal Before Bullet"/>
    <w:basedOn w:val="Normal"/>
    <w:qFormat/>
    <w:rsid w:val="00CB14A1"/>
    <w:pPr>
      <w:keepNext/>
      <w:widowControl/>
      <w:spacing w:after="120"/>
      <w:jc w:val="left"/>
    </w:pPr>
    <w:rPr>
      <w:rFonts w:asciiTheme="minorHAnsi" w:eastAsiaTheme="minorHAnsi" w:hAnsiTheme="minorHAnsi" w:cstheme="minorBidi"/>
      <w:snapToGrid/>
      <w:szCs w:val="22"/>
    </w:rPr>
  </w:style>
  <w:style w:type="paragraph" w:customStyle="1" w:styleId="Bullet">
    <w:name w:val="Bullet"/>
    <w:basedOn w:val="Normal"/>
    <w:qFormat/>
    <w:rsid w:val="00CB14A1"/>
    <w:pPr>
      <w:widowControl/>
      <w:numPr>
        <w:numId w:val="29"/>
      </w:numPr>
      <w:spacing w:after="120"/>
      <w:ind w:left="357" w:hanging="357"/>
      <w:jc w:val="left"/>
    </w:pPr>
    <w:rPr>
      <w:rFonts w:asciiTheme="minorHAnsi" w:eastAsiaTheme="minorHAnsi" w:hAnsiTheme="minorHAnsi" w:cstheme="minorBidi"/>
      <w:snapToGrid/>
      <w:szCs w:val="22"/>
    </w:rPr>
  </w:style>
  <w:style w:type="paragraph" w:customStyle="1" w:styleId="BulletLast">
    <w:name w:val="Bullet Last"/>
    <w:basedOn w:val="Bullet"/>
    <w:qFormat/>
    <w:rsid w:val="00CB14A1"/>
    <w:pPr>
      <w:numPr>
        <w:numId w:val="30"/>
      </w:numPr>
      <w:spacing w:after="240"/>
      <w:ind w:left="357" w:hanging="35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99"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2409A"/>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Table caption,Bayer Caption,IB Caption,Medical Caption,CSR Caption,Caption Char1,Caption Char Char,Medical Caption + Arial Narrow,Bayer Caption1,IB Caption1,Medical Caption1,Medical Caption + Arial Narrow1,Bayer Caption2,IB Caption2,Char,Char1,c"/>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Table caption Char,Bayer Caption Char,IB Caption Char,Medical Caption Char,CSR Caption Char,Caption Char1 Char,Caption Char Char Char,Medical Caption + Arial Narrow Char,Bayer Caption1 Char,IB Caption1 Char,Medical Caption1 Char,Char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CMA Table Templat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CC0AC1"/>
    <w:pPr>
      <w:numPr>
        <w:numId w:val="11"/>
      </w:numPr>
      <w:outlineLvl w:val="0"/>
    </w:pPr>
    <w:rPr>
      <w:rFonts w:ascii="Arial" w:hAnsi="Arial" w:cs="Arial"/>
      <w:b/>
      <w:snapToGrid w:val="0"/>
      <w:sz w:val="22"/>
      <w:szCs w:val="22"/>
      <w:lang w:eastAsia="en-US"/>
    </w:rPr>
  </w:style>
  <w:style w:type="paragraph" w:customStyle="1" w:styleId="TableBullets">
    <w:name w:val="Table Bullets"/>
    <w:basedOn w:val="Normal"/>
    <w:uiPriority w:val="5"/>
    <w:qFormat/>
    <w:rsid w:val="00376AE9"/>
    <w:pPr>
      <w:widowControl/>
      <w:numPr>
        <w:numId w:val="9"/>
      </w:numPr>
    </w:pPr>
    <w:rPr>
      <w:rFonts w:ascii="Candara" w:eastAsiaTheme="majorEastAsia" w:hAnsi="Candara" w:cstheme="majorBidi"/>
      <w:snapToGrid/>
      <w:sz w:val="20"/>
      <w:szCs w:val="22"/>
      <w:lang w:bidi="en-US"/>
    </w:rPr>
  </w:style>
  <w:style w:type="paragraph" w:customStyle="1" w:styleId="Table">
    <w:name w:val="Table"/>
    <w:basedOn w:val="Normal"/>
    <w:link w:val="TableChar"/>
    <w:qFormat/>
    <w:rsid w:val="00EC41D9"/>
    <w:pPr>
      <w:widowControl/>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EC41D9"/>
    <w:rPr>
      <w:rFonts w:ascii="Candara" w:eastAsiaTheme="majorEastAsia" w:hAnsi="Candara" w:cstheme="majorBidi"/>
      <w:szCs w:val="22"/>
      <w:lang w:eastAsia="en-US" w:bidi="en-US"/>
    </w:rPr>
  </w:style>
  <w:style w:type="table" w:customStyle="1" w:styleId="TableGrid1">
    <w:name w:val="Table Grid1"/>
    <w:basedOn w:val="TableNormal"/>
    <w:next w:val="TableGrid"/>
    <w:uiPriority w:val="39"/>
    <w:rsid w:val="00A76859"/>
    <w:rPr>
      <w:rFonts w:ascii="Candara" w:hAnsi="Candara"/>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table" w:customStyle="1" w:styleId="Summarybox1">
    <w:name w:val="Summary box1"/>
    <w:basedOn w:val="TableNormal"/>
    <w:next w:val="TableGrid"/>
    <w:uiPriority w:val="59"/>
    <w:rsid w:val="0086756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079A0"/>
    <w:rPr>
      <w:rFonts w:ascii="Candara" w:hAnsi="Candara"/>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table" w:customStyle="1" w:styleId="TableGrid3">
    <w:name w:val="Table Grid3"/>
    <w:basedOn w:val="TableNormal"/>
    <w:next w:val="TableGrid"/>
    <w:uiPriority w:val="39"/>
    <w:rsid w:val="003213AA"/>
    <w:rPr>
      <w:rFonts w:ascii="Candara" w:hAnsi="Candara"/>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table" w:customStyle="1" w:styleId="TableGrid4">
    <w:name w:val="Table Grid4"/>
    <w:basedOn w:val="TableNormal"/>
    <w:next w:val="TableGrid"/>
    <w:uiPriority w:val="39"/>
    <w:rsid w:val="00D64D36"/>
    <w:rPr>
      <w:rFonts w:ascii="Candara" w:hAnsi="Candara"/>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customStyle="1" w:styleId="SmallBold">
    <w:name w:val="Small Bold"/>
    <w:basedOn w:val="DefaultParagraphFont"/>
    <w:uiPriority w:val="4"/>
    <w:qFormat/>
    <w:rsid w:val="00B20F76"/>
    <w:rPr>
      <w:rFonts w:ascii="Candara" w:hAnsi="Candara"/>
      <w:b/>
      <w:sz w:val="20"/>
      <w:lang w:val="en-AU"/>
    </w:rPr>
  </w:style>
  <w:style w:type="paragraph" w:customStyle="1" w:styleId="TableCentre">
    <w:name w:val="Table Centre"/>
    <w:basedOn w:val="Table"/>
    <w:link w:val="TableCentreChar"/>
    <w:qFormat/>
    <w:rsid w:val="00B20F76"/>
    <w:pPr>
      <w:jc w:val="center"/>
    </w:pPr>
  </w:style>
  <w:style w:type="character" w:customStyle="1" w:styleId="TableCentreChar">
    <w:name w:val="Table Centre Char"/>
    <w:basedOn w:val="TableChar"/>
    <w:link w:val="TableCentre"/>
    <w:rsid w:val="00B20F76"/>
    <w:rPr>
      <w:rFonts w:ascii="Candara" w:eastAsiaTheme="majorEastAsia" w:hAnsi="Candara" w:cstheme="majorBidi"/>
      <w:szCs w:val="22"/>
      <w:lang w:eastAsia="en-US" w:bidi="en-US"/>
    </w:rPr>
  </w:style>
  <w:style w:type="paragraph" w:customStyle="1" w:styleId="TableLeft">
    <w:name w:val="Table Left"/>
    <w:basedOn w:val="Normal"/>
    <w:link w:val="TableLeftChar"/>
    <w:uiPriority w:val="5"/>
    <w:qFormat/>
    <w:rsid w:val="00B20F76"/>
    <w:pPr>
      <w:widowControl/>
      <w:jc w:val="left"/>
    </w:pPr>
    <w:rPr>
      <w:rFonts w:ascii="Calibri" w:eastAsiaTheme="majorEastAsia" w:hAnsi="Calibri" w:cstheme="majorBidi"/>
      <w:snapToGrid/>
      <w:sz w:val="20"/>
      <w:szCs w:val="22"/>
      <w:lang w:bidi="en-US"/>
    </w:rPr>
  </w:style>
  <w:style w:type="character" w:customStyle="1" w:styleId="TableLeftChar">
    <w:name w:val="Table Left Char"/>
    <w:basedOn w:val="DefaultParagraphFont"/>
    <w:link w:val="TableLeft"/>
    <w:uiPriority w:val="5"/>
    <w:rsid w:val="00B20F76"/>
    <w:rPr>
      <w:rFonts w:ascii="Calibri" w:eastAsiaTheme="majorEastAsia" w:hAnsi="Calibri" w:cstheme="majorBidi"/>
      <w:szCs w:val="22"/>
      <w:lang w:eastAsia="en-US" w:bidi="en-US"/>
    </w:rPr>
  </w:style>
  <w:style w:type="table" w:customStyle="1" w:styleId="TableGrid5">
    <w:name w:val="Table Grid5"/>
    <w:basedOn w:val="TableNormal"/>
    <w:next w:val="TableGrid"/>
    <w:uiPriority w:val="39"/>
    <w:rsid w:val="00AF435B"/>
    <w:rPr>
      <w:rFonts w:ascii="Candara" w:hAnsi="Candara"/>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customStyle="1" w:styleId="TableTextChar0">
    <w:name w:val="TableText Char"/>
    <w:basedOn w:val="DefaultParagraphFont"/>
    <w:link w:val="TableText0"/>
    <w:rsid w:val="00FC6F6E"/>
    <w:rPr>
      <w:rFonts w:ascii="Arial Narrow" w:hAnsi="Arial Narrow" w:cs="Arial Narrow"/>
      <w:lang w:eastAsia="en-US"/>
    </w:rPr>
  </w:style>
  <w:style w:type="character" w:customStyle="1" w:styleId="TableBold">
    <w:name w:val="Table Bold"/>
    <w:uiPriority w:val="4"/>
    <w:qFormat/>
    <w:rsid w:val="00C81070"/>
    <w:rPr>
      <w:rFonts w:ascii="Calibri" w:hAnsi="Calibri"/>
      <w:b/>
      <w:sz w:val="20"/>
      <w:lang w:val="en-AU"/>
    </w:rPr>
  </w:style>
  <w:style w:type="character" w:customStyle="1" w:styleId="FontBold">
    <w:name w:val="Font Bold"/>
    <w:basedOn w:val="DefaultParagraphFont"/>
    <w:uiPriority w:val="1"/>
    <w:qFormat/>
    <w:rsid w:val="00BF686F"/>
    <w:rPr>
      <w:rFonts w:ascii="Candara" w:hAnsi="Candara"/>
      <w:b/>
      <w:sz w:val="24"/>
    </w:rPr>
  </w:style>
  <w:style w:type="paragraph" w:customStyle="1" w:styleId="CaptionFootnote">
    <w:name w:val="Caption Footnote"/>
    <w:basedOn w:val="Caption"/>
    <w:qFormat/>
    <w:rsid w:val="00BF686F"/>
    <w:pPr>
      <w:spacing w:after="0"/>
    </w:pPr>
    <w:rPr>
      <w:rFonts w:ascii="Candara" w:eastAsiaTheme="majorEastAsia" w:hAnsi="Candara" w:cstheme="majorBidi"/>
      <w:b w:val="0"/>
      <w:snapToGrid/>
      <w:color w:val="auto"/>
      <w:sz w:val="16"/>
      <w:lang w:bidi="en-US"/>
    </w:rPr>
  </w:style>
  <w:style w:type="character" w:customStyle="1" w:styleId="apple-converted-space">
    <w:name w:val="apple-converted-space"/>
    <w:basedOn w:val="DefaultParagraphFont"/>
    <w:rsid w:val="00222CAD"/>
  </w:style>
  <w:style w:type="character" w:customStyle="1" w:styleId="ListParagraphChar">
    <w:name w:val="List Paragraph Char"/>
    <w:aliases w:val="BulletPoints Char"/>
    <w:basedOn w:val="DefaultParagraphFont"/>
    <w:link w:val="ListParagraph"/>
    <w:uiPriority w:val="72"/>
    <w:locked/>
    <w:rsid w:val="00222CAD"/>
    <w:rPr>
      <w:rFonts w:ascii="Arial" w:hAnsi="Arial" w:cs="Arial"/>
      <w:snapToGrid w:val="0"/>
      <w:sz w:val="22"/>
      <w:lang w:eastAsia="en-US"/>
    </w:rPr>
  </w:style>
  <w:style w:type="character" w:styleId="Emphasis">
    <w:name w:val="Emphasis"/>
    <w:basedOn w:val="DefaultParagraphFont"/>
    <w:uiPriority w:val="20"/>
    <w:qFormat/>
    <w:rsid w:val="00222CAD"/>
    <w:rPr>
      <w:i/>
      <w:iCs/>
    </w:rPr>
  </w:style>
  <w:style w:type="character" w:styleId="FollowedHyperlink">
    <w:name w:val="FollowedHyperlink"/>
    <w:basedOn w:val="DefaultParagraphFont"/>
    <w:semiHidden/>
    <w:unhideWhenUsed/>
    <w:rsid w:val="00222CAD"/>
    <w:rPr>
      <w:color w:val="800080" w:themeColor="followedHyperlink"/>
      <w:u w:val="single"/>
    </w:rPr>
  </w:style>
  <w:style w:type="table" w:customStyle="1" w:styleId="CMATableTemplate1">
    <w:name w:val="CMA Table Template1"/>
    <w:basedOn w:val="TableNormal"/>
    <w:next w:val="TableGrid"/>
    <w:uiPriority w:val="59"/>
    <w:rsid w:val="000A1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A7226"/>
    <w:pPr>
      <w:widowControl/>
      <w:spacing w:after="160" w:line="240" w:lineRule="exact"/>
      <w:jc w:val="left"/>
    </w:pPr>
    <w:rPr>
      <w:rFonts w:ascii="Verdana" w:eastAsia="MS Mincho" w:hAnsi="Verdana" w:cs="Verdana"/>
      <w:snapToGrid/>
      <w:sz w:val="20"/>
      <w:lang w:val="en-US"/>
    </w:rPr>
  </w:style>
  <w:style w:type="paragraph" w:customStyle="1" w:styleId="TableText1">
    <w:name w:val="Table Text"/>
    <w:basedOn w:val="Normal"/>
    <w:link w:val="TableTextChar1"/>
    <w:qFormat/>
    <w:rsid w:val="0024649E"/>
    <w:pPr>
      <w:widowControl/>
      <w:spacing w:before="40" w:after="60"/>
    </w:pPr>
    <w:rPr>
      <w:rFonts w:asciiTheme="minorHAnsi" w:eastAsia="SimSun" w:hAnsiTheme="minorHAnsi" w:cs="Arial Narrow"/>
      <w:snapToGrid/>
      <w:sz w:val="20"/>
    </w:rPr>
  </w:style>
  <w:style w:type="character" w:customStyle="1" w:styleId="TableTextChar1">
    <w:name w:val="Table Text Char"/>
    <w:basedOn w:val="DefaultParagraphFont"/>
    <w:link w:val="TableText1"/>
    <w:rsid w:val="0024649E"/>
    <w:rPr>
      <w:rFonts w:asciiTheme="minorHAnsi" w:eastAsia="SimSun" w:hAnsiTheme="minorHAnsi" w:cs="Arial Narrow"/>
      <w:lang w:eastAsia="en-US"/>
    </w:rPr>
  </w:style>
  <w:style w:type="paragraph" w:customStyle="1" w:styleId="NormalBeforeBullet">
    <w:name w:val="Normal Before Bullet"/>
    <w:basedOn w:val="Normal"/>
    <w:qFormat/>
    <w:rsid w:val="00CB14A1"/>
    <w:pPr>
      <w:keepNext/>
      <w:widowControl/>
      <w:spacing w:after="120"/>
      <w:jc w:val="left"/>
    </w:pPr>
    <w:rPr>
      <w:rFonts w:asciiTheme="minorHAnsi" w:eastAsiaTheme="minorHAnsi" w:hAnsiTheme="minorHAnsi" w:cstheme="minorBidi"/>
      <w:snapToGrid/>
      <w:szCs w:val="22"/>
    </w:rPr>
  </w:style>
  <w:style w:type="paragraph" w:customStyle="1" w:styleId="Bullet">
    <w:name w:val="Bullet"/>
    <w:basedOn w:val="Normal"/>
    <w:qFormat/>
    <w:rsid w:val="00CB14A1"/>
    <w:pPr>
      <w:widowControl/>
      <w:numPr>
        <w:numId w:val="29"/>
      </w:numPr>
      <w:spacing w:after="120"/>
      <w:ind w:left="357" w:hanging="357"/>
      <w:jc w:val="left"/>
    </w:pPr>
    <w:rPr>
      <w:rFonts w:asciiTheme="minorHAnsi" w:eastAsiaTheme="minorHAnsi" w:hAnsiTheme="minorHAnsi" w:cstheme="minorBidi"/>
      <w:snapToGrid/>
      <w:szCs w:val="22"/>
    </w:rPr>
  </w:style>
  <w:style w:type="paragraph" w:customStyle="1" w:styleId="BulletLast">
    <w:name w:val="Bullet Last"/>
    <w:basedOn w:val="Bullet"/>
    <w:qFormat/>
    <w:rsid w:val="00CB14A1"/>
    <w:pPr>
      <w:numPr>
        <w:numId w:val="30"/>
      </w:numPr>
      <w:spacing w:after="240"/>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65859">
      <w:bodyDiv w:val="1"/>
      <w:marLeft w:val="0"/>
      <w:marRight w:val="0"/>
      <w:marTop w:val="0"/>
      <w:marBottom w:val="0"/>
      <w:divBdr>
        <w:top w:val="none" w:sz="0" w:space="0" w:color="auto"/>
        <w:left w:val="none" w:sz="0" w:space="0" w:color="auto"/>
        <w:bottom w:val="none" w:sz="0" w:space="0" w:color="auto"/>
        <w:right w:val="none" w:sz="0" w:space="0" w:color="auto"/>
      </w:divBdr>
    </w:div>
    <w:div w:id="292248373">
      <w:bodyDiv w:val="1"/>
      <w:marLeft w:val="0"/>
      <w:marRight w:val="0"/>
      <w:marTop w:val="0"/>
      <w:marBottom w:val="0"/>
      <w:divBdr>
        <w:top w:val="none" w:sz="0" w:space="0" w:color="auto"/>
        <w:left w:val="none" w:sz="0" w:space="0" w:color="auto"/>
        <w:bottom w:val="none" w:sz="0" w:space="0" w:color="auto"/>
        <w:right w:val="none" w:sz="0" w:space="0" w:color="auto"/>
      </w:divBdr>
    </w:div>
    <w:div w:id="326596967">
      <w:bodyDiv w:val="1"/>
      <w:marLeft w:val="0"/>
      <w:marRight w:val="0"/>
      <w:marTop w:val="0"/>
      <w:marBottom w:val="0"/>
      <w:divBdr>
        <w:top w:val="none" w:sz="0" w:space="0" w:color="auto"/>
        <w:left w:val="none" w:sz="0" w:space="0" w:color="auto"/>
        <w:bottom w:val="none" w:sz="0" w:space="0" w:color="auto"/>
        <w:right w:val="none" w:sz="0" w:space="0" w:color="auto"/>
      </w:divBdr>
    </w:div>
    <w:div w:id="1002004177">
      <w:bodyDiv w:val="1"/>
      <w:marLeft w:val="0"/>
      <w:marRight w:val="0"/>
      <w:marTop w:val="0"/>
      <w:marBottom w:val="0"/>
      <w:divBdr>
        <w:top w:val="none" w:sz="0" w:space="0" w:color="auto"/>
        <w:left w:val="none" w:sz="0" w:space="0" w:color="auto"/>
        <w:bottom w:val="none" w:sz="0" w:space="0" w:color="auto"/>
        <w:right w:val="none" w:sz="0" w:space="0" w:color="auto"/>
      </w:divBdr>
    </w:div>
    <w:div w:id="1027026429">
      <w:bodyDiv w:val="1"/>
      <w:marLeft w:val="0"/>
      <w:marRight w:val="0"/>
      <w:marTop w:val="0"/>
      <w:marBottom w:val="0"/>
      <w:divBdr>
        <w:top w:val="none" w:sz="0" w:space="0" w:color="auto"/>
        <w:left w:val="none" w:sz="0" w:space="0" w:color="auto"/>
        <w:bottom w:val="none" w:sz="0" w:space="0" w:color="auto"/>
        <w:right w:val="none" w:sz="0" w:space="0" w:color="auto"/>
      </w:divBdr>
      <w:divsChild>
        <w:div w:id="127670082">
          <w:marLeft w:val="144"/>
          <w:marRight w:val="0"/>
          <w:marTop w:val="240"/>
          <w:marBottom w:val="40"/>
          <w:divBdr>
            <w:top w:val="none" w:sz="0" w:space="0" w:color="auto"/>
            <w:left w:val="none" w:sz="0" w:space="0" w:color="auto"/>
            <w:bottom w:val="none" w:sz="0" w:space="0" w:color="auto"/>
            <w:right w:val="none" w:sz="0" w:space="0" w:color="auto"/>
          </w:divBdr>
        </w:div>
      </w:divsChild>
    </w:div>
    <w:div w:id="1043678332">
      <w:bodyDiv w:val="1"/>
      <w:marLeft w:val="0"/>
      <w:marRight w:val="0"/>
      <w:marTop w:val="0"/>
      <w:marBottom w:val="0"/>
      <w:divBdr>
        <w:top w:val="none" w:sz="0" w:space="0" w:color="auto"/>
        <w:left w:val="none" w:sz="0" w:space="0" w:color="auto"/>
        <w:bottom w:val="none" w:sz="0" w:space="0" w:color="auto"/>
        <w:right w:val="none" w:sz="0" w:space="0" w:color="auto"/>
      </w:divBdr>
    </w:div>
    <w:div w:id="1189686080">
      <w:bodyDiv w:val="1"/>
      <w:marLeft w:val="0"/>
      <w:marRight w:val="0"/>
      <w:marTop w:val="0"/>
      <w:marBottom w:val="0"/>
      <w:divBdr>
        <w:top w:val="none" w:sz="0" w:space="0" w:color="auto"/>
        <w:left w:val="none" w:sz="0" w:space="0" w:color="auto"/>
        <w:bottom w:val="none" w:sz="0" w:space="0" w:color="auto"/>
        <w:right w:val="none" w:sz="0" w:space="0" w:color="auto"/>
      </w:divBdr>
    </w:div>
    <w:div w:id="1586265017">
      <w:bodyDiv w:val="1"/>
      <w:marLeft w:val="0"/>
      <w:marRight w:val="0"/>
      <w:marTop w:val="0"/>
      <w:marBottom w:val="0"/>
      <w:divBdr>
        <w:top w:val="none" w:sz="0" w:space="0" w:color="auto"/>
        <w:left w:val="none" w:sz="0" w:space="0" w:color="auto"/>
        <w:bottom w:val="none" w:sz="0" w:space="0" w:color="auto"/>
        <w:right w:val="none" w:sz="0" w:space="0" w:color="auto"/>
      </w:divBdr>
    </w:div>
    <w:div w:id="1624534868">
      <w:bodyDiv w:val="1"/>
      <w:marLeft w:val="0"/>
      <w:marRight w:val="0"/>
      <w:marTop w:val="0"/>
      <w:marBottom w:val="0"/>
      <w:divBdr>
        <w:top w:val="none" w:sz="0" w:space="0" w:color="auto"/>
        <w:left w:val="none" w:sz="0" w:space="0" w:color="auto"/>
        <w:bottom w:val="none" w:sz="0" w:space="0" w:color="auto"/>
        <w:right w:val="none" w:sz="0" w:space="0" w:color="auto"/>
      </w:divBdr>
      <w:divsChild>
        <w:div w:id="1461609763">
          <w:marLeft w:val="144"/>
          <w:marRight w:val="0"/>
          <w:marTop w:val="240"/>
          <w:marBottom w:val="40"/>
          <w:divBdr>
            <w:top w:val="none" w:sz="0" w:space="0" w:color="auto"/>
            <w:left w:val="none" w:sz="0" w:space="0" w:color="auto"/>
            <w:bottom w:val="none" w:sz="0" w:space="0" w:color="auto"/>
            <w:right w:val="none" w:sz="0" w:space="0" w:color="auto"/>
          </w:divBdr>
        </w:div>
        <w:div w:id="1511874853">
          <w:marLeft w:val="144"/>
          <w:marRight w:val="0"/>
          <w:marTop w:val="240"/>
          <w:marBottom w:val="40"/>
          <w:divBdr>
            <w:top w:val="none" w:sz="0" w:space="0" w:color="auto"/>
            <w:left w:val="none" w:sz="0" w:space="0" w:color="auto"/>
            <w:bottom w:val="none" w:sz="0" w:space="0" w:color="auto"/>
            <w:right w:val="none" w:sz="0" w:space="0" w:color="auto"/>
          </w:divBdr>
        </w:div>
      </w:divsChild>
    </w:div>
    <w:div w:id="1643316444">
      <w:bodyDiv w:val="1"/>
      <w:marLeft w:val="0"/>
      <w:marRight w:val="0"/>
      <w:marTop w:val="0"/>
      <w:marBottom w:val="0"/>
      <w:divBdr>
        <w:top w:val="none" w:sz="0" w:space="0" w:color="auto"/>
        <w:left w:val="none" w:sz="0" w:space="0" w:color="auto"/>
        <w:bottom w:val="none" w:sz="0" w:space="0" w:color="auto"/>
        <w:right w:val="none" w:sz="0" w:space="0" w:color="auto"/>
      </w:divBdr>
      <w:divsChild>
        <w:div w:id="2093235168">
          <w:marLeft w:val="144"/>
          <w:marRight w:val="0"/>
          <w:marTop w:val="240"/>
          <w:marBottom w:val="40"/>
          <w:divBdr>
            <w:top w:val="none" w:sz="0" w:space="0" w:color="auto"/>
            <w:left w:val="none" w:sz="0" w:space="0" w:color="auto"/>
            <w:bottom w:val="none" w:sz="0" w:space="0" w:color="auto"/>
            <w:right w:val="none" w:sz="0" w:space="0" w:color="auto"/>
          </w:divBdr>
        </w:div>
        <w:div w:id="380448937">
          <w:marLeft w:val="144"/>
          <w:marRight w:val="0"/>
          <w:marTop w:val="240"/>
          <w:marBottom w:val="40"/>
          <w:divBdr>
            <w:top w:val="none" w:sz="0" w:space="0" w:color="auto"/>
            <w:left w:val="none" w:sz="0" w:space="0" w:color="auto"/>
            <w:bottom w:val="none" w:sz="0" w:space="0" w:color="auto"/>
            <w:right w:val="none" w:sz="0" w:space="0" w:color="auto"/>
          </w:divBdr>
        </w:div>
      </w:divsChild>
    </w:div>
    <w:div w:id="1659577992">
      <w:bodyDiv w:val="1"/>
      <w:marLeft w:val="0"/>
      <w:marRight w:val="0"/>
      <w:marTop w:val="0"/>
      <w:marBottom w:val="0"/>
      <w:divBdr>
        <w:top w:val="none" w:sz="0" w:space="0" w:color="auto"/>
        <w:left w:val="none" w:sz="0" w:space="0" w:color="auto"/>
        <w:bottom w:val="none" w:sz="0" w:space="0" w:color="auto"/>
        <w:right w:val="none" w:sz="0" w:space="0" w:color="auto"/>
      </w:divBdr>
    </w:div>
    <w:div w:id="1851677877">
      <w:bodyDiv w:val="1"/>
      <w:marLeft w:val="0"/>
      <w:marRight w:val="0"/>
      <w:marTop w:val="0"/>
      <w:marBottom w:val="0"/>
      <w:divBdr>
        <w:top w:val="none" w:sz="0" w:space="0" w:color="auto"/>
        <w:left w:val="none" w:sz="0" w:space="0" w:color="auto"/>
        <w:bottom w:val="none" w:sz="0" w:space="0" w:color="auto"/>
        <w:right w:val="none" w:sz="0" w:space="0" w:color="auto"/>
      </w:divBdr>
    </w:div>
    <w:div w:id="1943537397">
      <w:bodyDiv w:val="1"/>
      <w:marLeft w:val="0"/>
      <w:marRight w:val="0"/>
      <w:marTop w:val="0"/>
      <w:marBottom w:val="0"/>
      <w:divBdr>
        <w:top w:val="none" w:sz="0" w:space="0" w:color="auto"/>
        <w:left w:val="none" w:sz="0" w:space="0" w:color="auto"/>
        <w:bottom w:val="none" w:sz="0" w:space="0" w:color="auto"/>
        <w:right w:val="none" w:sz="0" w:space="0" w:color="auto"/>
      </w:divBdr>
    </w:div>
    <w:div w:id="212614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16277-24F8-4054-A271-67F6EB8C5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7892</Words>
  <Characters>45674</Characters>
  <Application>Microsoft Office Word</Application>
  <DocSecurity>0</DocSecurity>
  <Lines>380</Lines>
  <Paragraphs>106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2017-06-15T04:44:00Z</dcterms:created>
  <dcterms:modified xsi:type="dcterms:W3CDTF">2017-06-15T04:45:00Z</dcterms:modified>
</cp:coreProperties>
</file>