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44" w:rsidRDefault="00B1447E" w:rsidP="00A76C61">
      <w:pPr>
        <w:pStyle w:val="Heading1"/>
        <w:jc w:val="left"/>
        <w:rPr>
          <w:sz w:val="28"/>
        </w:rPr>
      </w:pPr>
      <w:bookmarkStart w:id="0" w:name="_Toc472425767"/>
      <w:bookmarkStart w:id="1" w:name="_GoBack"/>
      <w:bookmarkEnd w:id="1"/>
      <w:r>
        <w:rPr>
          <w:sz w:val="28"/>
        </w:rPr>
        <w:t>7</w:t>
      </w:r>
      <w:r w:rsidR="00433044">
        <w:rPr>
          <w:sz w:val="28"/>
        </w:rPr>
        <w:t>.</w:t>
      </w:r>
      <w:r>
        <w:rPr>
          <w:sz w:val="28"/>
        </w:rPr>
        <w:t>07</w:t>
      </w:r>
      <w:r w:rsidR="00B60939" w:rsidRPr="00207D00">
        <w:rPr>
          <w:sz w:val="28"/>
        </w:rPr>
        <w:tab/>
      </w:r>
      <w:r w:rsidR="00606860">
        <w:rPr>
          <w:sz w:val="28"/>
        </w:rPr>
        <w:t>Selexipag</w:t>
      </w:r>
      <w:r w:rsidR="00606860" w:rsidRPr="00207D00">
        <w:rPr>
          <w:sz w:val="28"/>
        </w:rPr>
        <w:t xml:space="preserve">, </w:t>
      </w:r>
      <w:r w:rsidR="00A76C61">
        <w:rPr>
          <w:sz w:val="28"/>
        </w:rPr>
        <w:br/>
      </w:r>
      <w:r w:rsidR="00A76C61">
        <w:rPr>
          <w:caps w:val="0"/>
          <w:sz w:val="28"/>
        </w:rPr>
        <w:t>T</w:t>
      </w:r>
      <w:r w:rsidR="00606860" w:rsidRPr="00157668">
        <w:rPr>
          <w:caps w:val="0"/>
          <w:sz w:val="28"/>
        </w:rPr>
        <w:t>ablet</w:t>
      </w:r>
      <w:r w:rsidR="00AA26EB">
        <w:rPr>
          <w:caps w:val="0"/>
          <w:sz w:val="28"/>
        </w:rPr>
        <w:t>s</w:t>
      </w:r>
      <w:r w:rsidR="00606860" w:rsidRPr="00157668">
        <w:rPr>
          <w:caps w:val="0"/>
          <w:sz w:val="28"/>
        </w:rPr>
        <w:t xml:space="preserve">, </w:t>
      </w:r>
      <w:r w:rsidR="00606860" w:rsidRPr="00700AAB">
        <w:rPr>
          <w:caps w:val="0"/>
          <w:sz w:val="28"/>
          <w:szCs w:val="28"/>
        </w:rPr>
        <w:t>200, 400, 600, 800, 1000, 1200, 1400 and 1600</w:t>
      </w:r>
      <w:r w:rsidR="009A5A0A">
        <w:rPr>
          <w:caps w:val="0"/>
          <w:sz w:val="28"/>
        </w:rPr>
        <w:t> </w:t>
      </w:r>
      <w:r w:rsidR="00606860">
        <w:rPr>
          <w:caps w:val="0"/>
          <w:sz w:val="28"/>
        </w:rPr>
        <w:t>micrograms</w:t>
      </w:r>
      <w:r w:rsidR="00606860" w:rsidRPr="00157668">
        <w:rPr>
          <w:caps w:val="0"/>
          <w:sz w:val="28"/>
        </w:rPr>
        <w:t>,</w:t>
      </w:r>
      <w:r w:rsidR="00606860" w:rsidRPr="00207D00">
        <w:rPr>
          <w:sz w:val="28"/>
        </w:rPr>
        <w:t xml:space="preserve"> </w:t>
      </w:r>
      <w:r w:rsidR="00A76C61">
        <w:rPr>
          <w:sz w:val="28"/>
        </w:rPr>
        <w:br/>
      </w:r>
      <w:r w:rsidR="00606860">
        <w:rPr>
          <w:caps w:val="0"/>
          <w:sz w:val="28"/>
        </w:rPr>
        <w:t>Uptravi</w:t>
      </w:r>
      <w:r w:rsidR="00606860" w:rsidRPr="00207D00">
        <w:rPr>
          <w:sz w:val="28"/>
          <w:vertAlign w:val="superscript"/>
        </w:rPr>
        <w:t>®</w:t>
      </w:r>
      <w:r w:rsidR="00606860" w:rsidRPr="00207D00">
        <w:rPr>
          <w:sz w:val="28"/>
        </w:rPr>
        <w:t xml:space="preserve">, </w:t>
      </w:r>
      <w:r w:rsidR="00606860">
        <w:rPr>
          <w:caps w:val="0"/>
          <w:sz w:val="28"/>
        </w:rPr>
        <w:t>Actelion Pharmaceuticals Australia</w:t>
      </w:r>
      <w:r w:rsidR="00606860" w:rsidRPr="00207D00">
        <w:rPr>
          <w:sz w:val="28"/>
        </w:rPr>
        <w:t>.</w:t>
      </w:r>
      <w:bookmarkEnd w:id="0"/>
    </w:p>
    <w:p w:rsidR="006905B0" w:rsidRDefault="006905B0" w:rsidP="006905B0"/>
    <w:p w:rsidR="00D6118F" w:rsidRDefault="00D6118F" w:rsidP="006905B0"/>
    <w:p w:rsidR="000634AC" w:rsidRPr="00407F2D" w:rsidRDefault="000634AC" w:rsidP="000634AC">
      <w:pPr>
        <w:pStyle w:val="PBACHeading1"/>
      </w:pPr>
      <w:bookmarkStart w:id="2" w:name="_Toc472425769"/>
      <w:r w:rsidRPr="00407F2D">
        <w:t>Purpose of Application</w:t>
      </w:r>
      <w:bookmarkEnd w:id="2"/>
    </w:p>
    <w:p w:rsidR="000634AC" w:rsidRPr="00882085" w:rsidRDefault="000634AC" w:rsidP="000634AC">
      <w:pPr>
        <w:rPr>
          <w:szCs w:val="22"/>
        </w:rPr>
      </w:pPr>
    </w:p>
    <w:p w:rsidR="000634AC" w:rsidRPr="002A4B7C" w:rsidRDefault="000634AC" w:rsidP="0074367D">
      <w:pPr>
        <w:pStyle w:val="ListParagraph"/>
        <w:widowControl/>
        <w:numPr>
          <w:ilvl w:val="1"/>
          <w:numId w:val="2"/>
        </w:numPr>
        <w:rPr>
          <w:szCs w:val="22"/>
        </w:rPr>
      </w:pPr>
      <w:r>
        <w:t xml:space="preserve">The </w:t>
      </w:r>
      <w:r w:rsidR="00F801E3">
        <w:t>resubmission</w:t>
      </w:r>
      <w:r>
        <w:t xml:space="preserve"> requested a </w:t>
      </w:r>
      <w:r w:rsidRPr="004B3DDB">
        <w:t>Section 100</w:t>
      </w:r>
      <w:r>
        <w:t xml:space="preserve">, Authority Required </w:t>
      </w:r>
      <w:r w:rsidRPr="004B3DDB">
        <w:t xml:space="preserve">listing for </w:t>
      </w:r>
      <w:r>
        <w:t>selexipag</w:t>
      </w:r>
      <w:r w:rsidRPr="004B3DDB">
        <w:t xml:space="preserve"> for treatment of </w:t>
      </w:r>
      <w:r>
        <w:t>pulmonary arterial hypertension (PAH)</w:t>
      </w:r>
      <w:r w:rsidR="00A04DBA">
        <w:t>.</w:t>
      </w:r>
    </w:p>
    <w:p w:rsidR="000634AC" w:rsidRDefault="000634AC" w:rsidP="000634AC"/>
    <w:p w:rsidR="00263635" w:rsidRDefault="00263635" w:rsidP="000634AC"/>
    <w:p w:rsidR="000634AC" w:rsidRPr="00407F2D" w:rsidRDefault="000634AC" w:rsidP="000634AC">
      <w:pPr>
        <w:pStyle w:val="PBACHeading1"/>
      </w:pPr>
      <w:bookmarkStart w:id="3" w:name="_Toc472425770"/>
      <w:r w:rsidRPr="00407F2D">
        <w:t>Requested listing</w:t>
      </w:r>
      <w:bookmarkEnd w:id="3"/>
    </w:p>
    <w:p w:rsidR="00764725" w:rsidRDefault="00764725" w:rsidP="00724DEF"/>
    <w:tbl>
      <w:tblPr>
        <w:tblW w:w="4595" w:type="pct"/>
        <w:tblInd w:w="737" w:type="dxa"/>
        <w:tblCellMar>
          <w:left w:w="28" w:type="dxa"/>
          <w:right w:w="28" w:type="dxa"/>
        </w:tblCellMar>
        <w:tblLook w:val="0000" w:firstRow="0" w:lastRow="0" w:firstColumn="0" w:lastColumn="0" w:noHBand="0" w:noVBand="0"/>
      </w:tblPr>
      <w:tblGrid>
        <w:gridCol w:w="2524"/>
        <w:gridCol w:w="711"/>
        <w:gridCol w:w="865"/>
        <w:gridCol w:w="1768"/>
        <w:gridCol w:w="901"/>
        <w:gridCol w:w="1578"/>
      </w:tblGrid>
      <w:tr w:rsidR="00764725" w:rsidRPr="00A82EE9" w:rsidTr="00147F9A">
        <w:trPr>
          <w:trHeight w:val="463"/>
        </w:trPr>
        <w:tc>
          <w:tcPr>
            <w:tcW w:w="1512" w:type="pct"/>
            <w:tcBorders>
              <w:bottom w:val="single" w:sz="4" w:space="0" w:color="auto"/>
            </w:tcBorders>
            <w:vAlign w:val="center"/>
          </w:tcPr>
          <w:p w:rsidR="00764725" w:rsidRPr="00A82EE9" w:rsidRDefault="00764725" w:rsidP="003537FD">
            <w:pPr>
              <w:keepNext/>
              <w:jc w:val="left"/>
              <w:rPr>
                <w:rFonts w:ascii="Arial Narrow" w:hAnsi="Arial Narrow"/>
                <w:sz w:val="20"/>
              </w:rPr>
            </w:pPr>
            <w:r w:rsidRPr="00A82EE9">
              <w:rPr>
                <w:rFonts w:ascii="Arial Narrow" w:hAnsi="Arial Narrow"/>
                <w:sz w:val="20"/>
              </w:rPr>
              <w:t>Name, Restriction,</w:t>
            </w:r>
          </w:p>
          <w:p w:rsidR="00764725" w:rsidRPr="00A82EE9" w:rsidRDefault="00764725" w:rsidP="003537FD">
            <w:pPr>
              <w:keepNext/>
              <w:jc w:val="left"/>
              <w:rPr>
                <w:rFonts w:ascii="Arial Narrow" w:hAnsi="Arial Narrow"/>
                <w:sz w:val="20"/>
              </w:rPr>
            </w:pPr>
            <w:r w:rsidRPr="00A82EE9">
              <w:rPr>
                <w:rFonts w:ascii="Arial Narrow" w:hAnsi="Arial Narrow"/>
                <w:sz w:val="20"/>
              </w:rPr>
              <w:t>Manner of administration and form</w:t>
            </w:r>
          </w:p>
        </w:tc>
        <w:tc>
          <w:tcPr>
            <w:tcW w:w="426" w:type="pct"/>
            <w:tcBorders>
              <w:bottom w:val="single" w:sz="4" w:space="0" w:color="auto"/>
            </w:tcBorders>
            <w:vAlign w:val="center"/>
          </w:tcPr>
          <w:p w:rsidR="00764725" w:rsidRPr="00A82EE9" w:rsidRDefault="00764725" w:rsidP="003537FD">
            <w:pPr>
              <w:keepNext/>
              <w:jc w:val="center"/>
              <w:rPr>
                <w:rFonts w:ascii="Arial Narrow" w:hAnsi="Arial Narrow"/>
                <w:sz w:val="20"/>
              </w:rPr>
            </w:pPr>
            <w:r w:rsidRPr="00A82EE9">
              <w:rPr>
                <w:rFonts w:ascii="Arial Narrow" w:hAnsi="Arial Narrow"/>
                <w:sz w:val="20"/>
              </w:rPr>
              <w:t>Max.</w:t>
            </w:r>
          </w:p>
          <w:p w:rsidR="00764725" w:rsidRPr="00A82EE9" w:rsidRDefault="00764725" w:rsidP="003537FD">
            <w:pPr>
              <w:keepNext/>
              <w:jc w:val="center"/>
              <w:rPr>
                <w:rFonts w:ascii="Arial Narrow" w:hAnsi="Arial Narrow"/>
                <w:sz w:val="20"/>
              </w:rPr>
            </w:pPr>
            <w:r w:rsidRPr="00A82EE9">
              <w:rPr>
                <w:rFonts w:ascii="Arial Narrow" w:hAnsi="Arial Narrow"/>
                <w:sz w:val="20"/>
              </w:rPr>
              <w:t>Qty</w:t>
            </w:r>
          </w:p>
        </w:tc>
        <w:tc>
          <w:tcPr>
            <w:tcW w:w="518" w:type="pct"/>
            <w:tcBorders>
              <w:bottom w:val="single" w:sz="4" w:space="0" w:color="auto"/>
            </w:tcBorders>
            <w:vAlign w:val="center"/>
          </w:tcPr>
          <w:p w:rsidR="00764725" w:rsidRPr="00A82EE9" w:rsidRDefault="00764725" w:rsidP="003537FD">
            <w:pPr>
              <w:keepNext/>
              <w:jc w:val="center"/>
              <w:rPr>
                <w:rFonts w:ascii="Arial Narrow" w:hAnsi="Arial Narrow"/>
                <w:sz w:val="20"/>
              </w:rPr>
            </w:pPr>
            <w:r w:rsidRPr="00A82EE9">
              <w:rPr>
                <w:rFonts w:ascii="Arial Narrow" w:hAnsi="Arial Narrow"/>
                <w:sz w:val="20"/>
              </w:rPr>
              <w:t>№.of</w:t>
            </w:r>
          </w:p>
          <w:p w:rsidR="00764725" w:rsidRPr="00A82EE9" w:rsidRDefault="00764725" w:rsidP="003537FD">
            <w:pPr>
              <w:keepNext/>
              <w:jc w:val="center"/>
              <w:rPr>
                <w:rFonts w:ascii="Arial Narrow" w:hAnsi="Arial Narrow"/>
                <w:sz w:val="20"/>
              </w:rPr>
            </w:pPr>
            <w:r w:rsidRPr="00A82EE9">
              <w:rPr>
                <w:rFonts w:ascii="Arial Narrow" w:hAnsi="Arial Narrow"/>
                <w:sz w:val="20"/>
              </w:rPr>
              <w:t>Rpts</w:t>
            </w:r>
          </w:p>
        </w:tc>
        <w:tc>
          <w:tcPr>
            <w:tcW w:w="1059" w:type="pct"/>
            <w:tcBorders>
              <w:bottom w:val="single" w:sz="4" w:space="0" w:color="auto"/>
            </w:tcBorders>
            <w:vAlign w:val="center"/>
          </w:tcPr>
          <w:p w:rsidR="00764725" w:rsidRPr="00A82EE9" w:rsidRDefault="00764725" w:rsidP="003537FD">
            <w:pPr>
              <w:keepNext/>
              <w:jc w:val="center"/>
              <w:rPr>
                <w:rFonts w:ascii="Arial Narrow" w:hAnsi="Arial Narrow"/>
                <w:sz w:val="20"/>
              </w:rPr>
            </w:pPr>
            <w:r w:rsidRPr="00A82EE9">
              <w:rPr>
                <w:rFonts w:ascii="Arial Narrow" w:hAnsi="Arial Narrow"/>
                <w:sz w:val="20"/>
              </w:rPr>
              <w:t>Dispensed Price for Max. Qty</w:t>
            </w:r>
            <w:r>
              <w:rPr>
                <w:rFonts w:ascii="Arial Narrow" w:hAnsi="Arial Narrow"/>
                <w:sz w:val="20"/>
              </w:rPr>
              <w:t>*</w:t>
            </w:r>
          </w:p>
        </w:tc>
        <w:tc>
          <w:tcPr>
            <w:tcW w:w="1485" w:type="pct"/>
            <w:gridSpan w:val="2"/>
            <w:tcBorders>
              <w:bottom w:val="single" w:sz="4" w:space="0" w:color="auto"/>
            </w:tcBorders>
            <w:vAlign w:val="center"/>
          </w:tcPr>
          <w:p w:rsidR="00764725" w:rsidRPr="00A82EE9" w:rsidRDefault="00764725" w:rsidP="003537FD">
            <w:pPr>
              <w:keepNext/>
              <w:jc w:val="center"/>
              <w:rPr>
                <w:rFonts w:ascii="Arial Narrow" w:hAnsi="Arial Narrow"/>
                <w:sz w:val="20"/>
              </w:rPr>
            </w:pPr>
            <w:r w:rsidRPr="00A82EE9">
              <w:rPr>
                <w:rFonts w:ascii="Arial Narrow" w:hAnsi="Arial Narrow"/>
                <w:sz w:val="20"/>
              </w:rPr>
              <w:t>Proprietary Name and Manufacturer</w:t>
            </w:r>
          </w:p>
        </w:tc>
      </w:tr>
      <w:tr w:rsidR="00764725" w:rsidRPr="00A82EE9" w:rsidTr="00147F9A">
        <w:tc>
          <w:tcPr>
            <w:tcW w:w="1512" w:type="pct"/>
            <w:tcBorders>
              <w:top w:val="single" w:sz="4" w:space="0" w:color="auto"/>
            </w:tcBorders>
          </w:tcPr>
          <w:p w:rsidR="00764725" w:rsidRPr="00A82EE9" w:rsidRDefault="00764725" w:rsidP="003537FD">
            <w:pPr>
              <w:keepNext/>
              <w:rPr>
                <w:rFonts w:ascii="Arial Narrow" w:hAnsi="Arial Narrow"/>
                <w:sz w:val="20"/>
              </w:rPr>
            </w:pPr>
            <w:r w:rsidRPr="00A82EE9">
              <w:rPr>
                <w:rFonts w:ascii="Arial Narrow" w:hAnsi="Arial Narrow"/>
                <w:smallCaps/>
                <w:sz w:val="20"/>
              </w:rPr>
              <w:t>Selexipag</w:t>
            </w:r>
          </w:p>
          <w:p w:rsidR="00764725" w:rsidRPr="00A82EE9" w:rsidRDefault="00764725" w:rsidP="003537FD">
            <w:pPr>
              <w:keepNext/>
              <w:rPr>
                <w:rFonts w:ascii="Arial Narrow" w:hAnsi="Arial Narrow"/>
                <w:sz w:val="20"/>
              </w:rPr>
            </w:pPr>
            <w:r w:rsidRPr="00A82EE9">
              <w:rPr>
                <w:rFonts w:ascii="Arial Narrow" w:hAnsi="Arial Narrow"/>
                <w:sz w:val="20"/>
              </w:rPr>
              <w:t>Tablet 200 microgram, 140</w:t>
            </w:r>
          </w:p>
          <w:p w:rsidR="00764725" w:rsidRPr="00A82EE9" w:rsidRDefault="00764725" w:rsidP="003537FD">
            <w:pPr>
              <w:keepNext/>
              <w:rPr>
                <w:rFonts w:ascii="Arial Narrow" w:hAnsi="Arial Narrow"/>
                <w:sz w:val="20"/>
              </w:rPr>
            </w:pPr>
            <w:r w:rsidRPr="00A82EE9">
              <w:rPr>
                <w:rFonts w:ascii="Arial Narrow" w:hAnsi="Arial Narrow"/>
                <w:sz w:val="20"/>
              </w:rPr>
              <w:t>Tablet 800 microgram, 60</w:t>
            </w:r>
          </w:p>
        </w:tc>
        <w:tc>
          <w:tcPr>
            <w:tcW w:w="426" w:type="pct"/>
            <w:tcBorders>
              <w:top w:val="single" w:sz="4" w:space="0" w:color="auto"/>
            </w:tcBorders>
          </w:tcPr>
          <w:p w:rsidR="00764725" w:rsidRPr="00A82EE9" w:rsidRDefault="00764725" w:rsidP="003537FD">
            <w:pPr>
              <w:keepNext/>
              <w:jc w:val="center"/>
              <w:rPr>
                <w:rFonts w:ascii="Arial Narrow" w:hAnsi="Arial Narrow"/>
                <w:sz w:val="20"/>
              </w:rPr>
            </w:pPr>
          </w:p>
          <w:p w:rsidR="00764725" w:rsidRPr="00A82EE9" w:rsidRDefault="00764725" w:rsidP="003537FD">
            <w:pPr>
              <w:keepNext/>
              <w:jc w:val="center"/>
              <w:rPr>
                <w:rFonts w:ascii="Arial Narrow" w:hAnsi="Arial Narrow"/>
                <w:sz w:val="20"/>
              </w:rPr>
            </w:pPr>
            <w:r w:rsidRPr="00A82EE9">
              <w:rPr>
                <w:rFonts w:ascii="Arial Narrow" w:hAnsi="Arial Narrow"/>
                <w:sz w:val="20"/>
              </w:rPr>
              <w:t>1</w:t>
            </w:r>
          </w:p>
          <w:p w:rsidR="00764725" w:rsidRPr="00A82EE9" w:rsidRDefault="00764725" w:rsidP="003537FD">
            <w:pPr>
              <w:keepNext/>
              <w:jc w:val="center"/>
              <w:rPr>
                <w:rFonts w:ascii="Arial Narrow" w:hAnsi="Arial Narrow"/>
                <w:sz w:val="20"/>
              </w:rPr>
            </w:pPr>
            <w:r w:rsidRPr="00A82EE9">
              <w:rPr>
                <w:rFonts w:ascii="Arial Narrow" w:hAnsi="Arial Narrow"/>
                <w:sz w:val="20"/>
              </w:rPr>
              <w:t>1</w:t>
            </w:r>
          </w:p>
        </w:tc>
        <w:tc>
          <w:tcPr>
            <w:tcW w:w="518" w:type="pct"/>
            <w:tcBorders>
              <w:top w:val="single" w:sz="4" w:space="0" w:color="auto"/>
            </w:tcBorders>
          </w:tcPr>
          <w:p w:rsidR="00764725" w:rsidRPr="00A82EE9" w:rsidRDefault="00764725" w:rsidP="003537FD">
            <w:pPr>
              <w:keepNext/>
              <w:jc w:val="center"/>
              <w:rPr>
                <w:rFonts w:ascii="Arial Narrow" w:hAnsi="Arial Narrow"/>
                <w:sz w:val="20"/>
              </w:rPr>
            </w:pPr>
          </w:p>
          <w:p w:rsidR="00764725" w:rsidRPr="00A82EE9" w:rsidRDefault="00764725" w:rsidP="003537FD">
            <w:pPr>
              <w:keepNext/>
              <w:jc w:val="center"/>
              <w:rPr>
                <w:rFonts w:ascii="Arial Narrow" w:hAnsi="Arial Narrow"/>
                <w:sz w:val="20"/>
              </w:rPr>
            </w:pPr>
            <w:r w:rsidRPr="00A82EE9">
              <w:rPr>
                <w:rFonts w:ascii="Arial Narrow" w:hAnsi="Arial Narrow"/>
                <w:sz w:val="20"/>
              </w:rPr>
              <w:t>2</w:t>
            </w:r>
          </w:p>
          <w:p w:rsidR="00764725" w:rsidRPr="00A82EE9" w:rsidRDefault="00764725" w:rsidP="003537FD">
            <w:pPr>
              <w:keepNext/>
              <w:jc w:val="center"/>
              <w:rPr>
                <w:rFonts w:ascii="Arial Narrow" w:hAnsi="Arial Narrow"/>
                <w:sz w:val="20"/>
              </w:rPr>
            </w:pPr>
            <w:r w:rsidRPr="00A82EE9">
              <w:rPr>
                <w:rFonts w:ascii="Arial Narrow" w:hAnsi="Arial Narrow"/>
                <w:sz w:val="20"/>
              </w:rPr>
              <w:t>1</w:t>
            </w:r>
          </w:p>
        </w:tc>
        <w:tc>
          <w:tcPr>
            <w:tcW w:w="1059" w:type="pct"/>
            <w:tcBorders>
              <w:top w:val="single" w:sz="4" w:space="0" w:color="auto"/>
            </w:tcBorders>
          </w:tcPr>
          <w:p w:rsidR="00764725" w:rsidRPr="00A82EE9" w:rsidRDefault="00764725" w:rsidP="003537FD">
            <w:pPr>
              <w:keepNext/>
              <w:jc w:val="center"/>
              <w:rPr>
                <w:rFonts w:ascii="Arial Narrow" w:hAnsi="Arial Narrow"/>
                <w:sz w:val="20"/>
              </w:rPr>
            </w:pPr>
          </w:p>
          <w:p w:rsidR="00764725" w:rsidRPr="002E3A61" w:rsidRDefault="00764725" w:rsidP="003537FD">
            <w:pPr>
              <w:keepNext/>
              <w:jc w:val="center"/>
              <w:rPr>
                <w:rFonts w:ascii="Arial Narrow" w:hAnsi="Arial Narrow"/>
                <w:sz w:val="20"/>
              </w:rPr>
            </w:pPr>
            <w:r>
              <w:rPr>
                <w:rFonts w:ascii="Arial Narrow" w:hAnsi="Arial Narrow"/>
                <w:sz w:val="20"/>
              </w:rPr>
              <w:t>$</w:t>
            </w:r>
            <w:r w:rsidR="00DD2205">
              <w:rPr>
                <w:rFonts w:ascii="Arial Narrow" w:hAnsi="Arial Narrow"/>
                <w:noProof/>
                <w:color w:val="000000"/>
                <w:sz w:val="20"/>
                <w:highlight w:val="black"/>
              </w:rPr>
              <w:t>'''''''''''''''''''''''</w:t>
            </w:r>
            <w:r w:rsidRPr="002E3A61">
              <w:rPr>
                <w:rFonts w:ascii="Arial Narrow" w:hAnsi="Arial Narrow"/>
                <w:sz w:val="20"/>
              </w:rPr>
              <w:t xml:space="preserve"> (private)</w:t>
            </w:r>
          </w:p>
          <w:p w:rsidR="00764725" w:rsidRPr="00A82EE9" w:rsidRDefault="00764725" w:rsidP="003537FD">
            <w:pPr>
              <w:keepNext/>
              <w:jc w:val="center"/>
              <w:rPr>
                <w:rFonts w:ascii="Arial Narrow" w:hAnsi="Arial Narrow"/>
                <w:sz w:val="20"/>
              </w:rPr>
            </w:pPr>
            <w:r w:rsidRPr="002E3A61">
              <w:rPr>
                <w:rFonts w:ascii="Arial Narrow" w:hAnsi="Arial Narrow"/>
                <w:sz w:val="20"/>
              </w:rPr>
              <w:t>$</w:t>
            </w:r>
            <w:r w:rsidR="00DD2205">
              <w:rPr>
                <w:rFonts w:ascii="Arial Narrow" w:hAnsi="Arial Narrow"/>
                <w:noProof/>
                <w:color w:val="000000"/>
                <w:sz w:val="20"/>
                <w:highlight w:val="black"/>
              </w:rPr>
              <w:t>''''''''''''''''''''</w:t>
            </w:r>
            <w:r w:rsidRPr="002E3A61">
              <w:rPr>
                <w:rFonts w:ascii="Arial Narrow" w:hAnsi="Arial Narrow"/>
                <w:sz w:val="20"/>
              </w:rPr>
              <w:t xml:space="preserve"> (public)</w:t>
            </w:r>
          </w:p>
        </w:tc>
        <w:tc>
          <w:tcPr>
            <w:tcW w:w="540" w:type="pct"/>
            <w:tcBorders>
              <w:top w:val="single" w:sz="4" w:space="0" w:color="auto"/>
            </w:tcBorders>
          </w:tcPr>
          <w:p w:rsidR="00764725" w:rsidRPr="00A82EE9" w:rsidRDefault="00764725" w:rsidP="003537FD">
            <w:pPr>
              <w:keepNext/>
              <w:jc w:val="center"/>
              <w:rPr>
                <w:rFonts w:ascii="Arial Narrow" w:hAnsi="Arial Narrow"/>
                <w:sz w:val="20"/>
              </w:rPr>
            </w:pPr>
          </w:p>
          <w:p w:rsidR="00764725" w:rsidRPr="00A82EE9" w:rsidRDefault="00764725" w:rsidP="003537FD">
            <w:pPr>
              <w:keepNext/>
              <w:jc w:val="center"/>
              <w:rPr>
                <w:rFonts w:ascii="Arial Narrow" w:hAnsi="Arial Narrow"/>
                <w:sz w:val="20"/>
              </w:rPr>
            </w:pPr>
            <w:r w:rsidRPr="00A82EE9">
              <w:rPr>
                <w:rFonts w:ascii="Arial Narrow" w:hAnsi="Arial Narrow"/>
                <w:sz w:val="20"/>
              </w:rPr>
              <w:t>Uptravi</w:t>
            </w:r>
            <w:r w:rsidRPr="00A82EE9">
              <w:rPr>
                <w:rFonts w:ascii="Arial Narrow" w:hAnsi="Arial Narrow"/>
                <w:sz w:val="20"/>
                <w:vertAlign w:val="superscript"/>
              </w:rPr>
              <w:t>®</w:t>
            </w:r>
          </w:p>
        </w:tc>
        <w:tc>
          <w:tcPr>
            <w:tcW w:w="945" w:type="pct"/>
            <w:tcBorders>
              <w:top w:val="single" w:sz="4" w:space="0" w:color="auto"/>
            </w:tcBorders>
          </w:tcPr>
          <w:p w:rsidR="00764725" w:rsidRPr="00A82EE9" w:rsidRDefault="00764725" w:rsidP="003537FD">
            <w:pPr>
              <w:keepNext/>
              <w:jc w:val="center"/>
              <w:rPr>
                <w:rFonts w:ascii="Arial Narrow" w:hAnsi="Arial Narrow"/>
                <w:sz w:val="20"/>
              </w:rPr>
            </w:pPr>
          </w:p>
          <w:p w:rsidR="00764725" w:rsidRPr="00A82EE9" w:rsidRDefault="00764725" w:rsidP="003537FD">
            <w:pPr>
              <w:keepNext/>
              <w:jc w:val="center"/>
              <w:rPr>
                <w:rFonts w:ascii="Arial Narrow" w:hAnsi="Arial Narrow"/>
                <w:sz w:val="20"/>
              </w:rPr>
            </w:pPr>
            <w:r w:rsidRPr="00A82EE9">
              <w:rPr>
                <w:rFonts w:ascii="Arial Narrow" w:hAnsi="Arial Narrow"/>
                <w:sz w:val="20"/>
              </w:rPr>
              <w:t>Actelion Pharmaceuticals</w:t>
            </w:r>
          </w:p>
        </w:tc>
      </w:tr>
    </w:tbl>
    <w:p w:rsidR="00764725" w:rsidRPr="00764725" w:rsidRDefault="00764725" w:rsidP="00724DEF">
      <w:pPr>
        <w:ind w:left="720"/>
        <w:rPr>
          <w:b/>
          <w:bCs/>
          <w:u w:val="single"/>
        </w:rPr>
      </w:pPr>
      <w:bookmarkStart w:id="4" w:name="_Toc472425771"/>
      <w:r>
        <w:t>*</w:t>
      </w:r>
      <w:r w:rsidRPr="00764725">
        <w:t>Special pricing arrangement proposed: effective price $</w:t>
      </w:r>
      <w:r w:rsidR="00DD2205">
        <w:rPr>
          <w:noProof/>
          <w:color w:val="000000"/>
          <w:highlight w:val="black"/>
        </w:rPr>
        <w:t>''''''''''''''''''''''</w:t>
      </w:r>
      <w:r w:rsidRPr="00764725">
        <w:t xml:space="preserve"> (private), $</w:t>
      </w:r>
      <w:r w:rsidR="00DD2205">
        <w:rPr>
          <w:noProof/>
          <w:color w:val="000000"/>
          <w:highlight w:val="black"/>
        </w:rPr>
        <w:t>'''''''''''''''''''''</w:t>
      </w:r>
      <w:r w:rsidRPr="00764725">
        <w:t xml:space="preserve"> (public)</w:t>
      </w:r>
      <w:bookmarkEnd w:id="4"/>
    </w:p>
    <w:p w:rsidR="00764725" w:rsidRPr="00764725" w:rsidRDefault="00764725" w:rsidP="00764725">
      <w:pPr>
        <w:pStyle w:val="ListParagraph"/>
        <w:widowControl/>
        <w:rPr>
          <w:szCs w:val="22"/>
        </w:rPr>
      </w:pPr>
    </w:p>
    <w:p w:rsidR="00467463" w:rsidRPr="005D100E" w:rsidRDefault="00467463" w:rsidP="0074367D">
      <w:pPr>
        <w:pStyle w:val="ListParagraph"/>
        <w:widowControl/>
        <w:numPr>
          <w:ilvl w:val="1"/>
          <w:numId w:val="2"/>
        </w:numPr>
        <w:rPr>
          <w:szCs w:val="22"/>
        </w:rPr>
      </w:pPr>
      <w:r>
        <w:rPr>
          <w:szCs w:val="22"/>
        </w:rPr>
        <w:t xml:space="preserve">The proposed effective price in the resubmission was </w:t>
      </w:r>
      <w:r w:rsidR="00E632AE">
        <w:rPr>
          <w:szCs w:val="22"/>
        </w:rPr>
        <w:t>$</w:t>
      </w:r>
      <w:r w:rsidR="00DD2205">
        <w:rPr>
          <w:noProof/>
          <w:color w:val="000000"/>
          <w:szCs w:val="22"/>
          <w:highlight w:val="black"/>
        </w:rPr>
        <w:t>''''''''</w:t>
      </w:r>
      <w:r w:rsidR="00E632AE" w:rsidRPr="00D06F5E">
        <w:rPr>
          <w:szCs w:val="22"/>
        </w:rPr>
        <w:t xml:space="preserve"> </w:t>
      </w:r>
      <w:r>
        <w:rPr>
          <w:szCs w:val="22"/>
        </w:rPr>
        <w:t xml:space="preserve">lower than the previous submission, </w:t>
      </w:r>
      <w:r w:rsidRPr="005D100E">
        <w:rPr>
          <w:szCs w:val="22"/>
        </w:rPr>
        <w:t>due to an increase in the proposed rebate ($</w:t>
      </w:r>
      <w:r w:rsidR="00DD2205">
        <w:rPr>
          <w:noProof/>
          <w:color w:val="000000"/>
          <w:szCs w:val="22"/>
          <w:highlight w:val="black"/>
        </w:rPr>
        <w:t>'''''''''''''</w:t>
      </w:r>
      <w:r w:rsidRPr="005D100E">
        <w:rPr>
          <w:szCs w:val="22"/>
        </w:rPr>
        <w:t>/prescription compared to $</w:t>
      </w:r>
      <w:r w:rsidR="00DD2205">
        <w:rPr>
          <w:noProof/>
          <w:color w:val="000000"/>
          <w:szCs w:val="22"/>
          <w:highlight w:val="black"/>
        </w:rPr>
        <w:t>'''''''''''''</w:t>
      </w:r>
      <w:r w:rsidRPr="005D100E">
        <w:rPr>
          <w:szCs w:val="22"/>
        </w:rPr>
        <w:t xml:space="preserve"> in the previous submission).</w:t>
      </w:r>
    </w:p>
    <w:p w:rsidR="00467463" w:rsidRPr="005D100E" w:rsidRDefault="00467463" w:rsidP="00467463">
      <w:pPr>
        <w:pStyle w:val="ListParagraph"/>
        <w:widowControl/>
        <w:rPr>
          <w:szCs w:val="22"/>
        </w:rPr>
      </w:pPr>
    </w:p>
    <w:p w:rsidR="000634AC" w:rsidRPr="005D100E" w:rsidRDefault="000634AC" w:rsidP="0074367D">
      <w:pPr>
        <w:pStyle w:val="ListParagraph"/>
        <w:widowControl/>
        <w:numPr>
          <w:ilvl w:val="1"/>
          <w:numId w:val="2"/>
        </w:numPr>
        <w:rPr>
          <w:szCs w:val="22"/>
        </w:rPr>
      </w:pPr>
      <w:r w:rsidRPr="005D100E">
        <w:t>The requested listings were</w:t>
      </w:r>
      <w:r w:rsidR="00764725" w:rsidRPr="005D100E">
        <w:t xml:space="preserve"> largely consistent with the Secretariat’s suggested listings from the March 2016 submission, </w:t>
      </w:r>
      <w:r w:rsidR="00C7220A" w:rsidRPr="005D100E">
        <w:t xml:space="preserve">with the main </w:t>
      </w:r>
      <w:r w:rsidR="00764725" w:rsidRPr="005D100E">
        <w:t>except</w:t>
      </w:r>
      <w:r w:rsidR="00321236" w:rsidRPr="005D100E">
        <w:t>ion being</w:t>
      </w:r>
      <w:r w:rsidR="00764725" w:rsidRPr="005D100E">
        <w:t xml:space="preserve"> that the resubmission specifically requested use as triple therapy</w:t>
      </w:r>
      <w:r w:rsidR="00321236" w:rsidRPr="005D100E">
        <w:t xml:space="preserve"> only</w:t>
      </w:r>
      <w:r w:rsidR="00764725" w:rsidRPr="005D100E">
        <w:t>, while the previous submission included both dual and triple therapy.</w:t>
      </w:r>
    </w:p>
    <w:p w:rsidR="000634AC" w:rsidRPr="005D100E" w:rsidRDefault="000634AC" w:rsidP="000634AC"/>
    <w:p w:rsidR="000634AC" w:rsidRPr="005D100E" w:rsidRDefault="000634AC" w:rsidP="0074367D">
      <w:pPr>
        <w:pStyle w:val="ListParagraph"/>
        <w:widowControl/>
        <w:numPr>
          <w:ilvl w:val="1"/>
          <w:numId w:val="2"/>
        </w:numPr>
        <w:rPr>
          <w:iCs/>
          <w:szCs w:val="22"/>
        </w:rPr>
      </w:pPr>
      <w:r w:rsidRPr="005D100E">
        <w:rPr>
          <w:iCs/>
        </w:rPr>
        <w:t>The proposed restriction did not discuss the eligibility of patien</w:t>
      </w:r>
      <w:r w:rsidR="00321236" w:rsidRPr="005D100E">
        <w:rPr>
          <w:iCs/>
        </w:rPr>
        <w:t>ts who are intolerant or contra</w:t>
      </w:r>
      <w:r w:rsidRPr="005D100E">
        <w:rPr>
          <w:iCs/>
        </w:rPr>
        <w:t xml:space="preserve">indicated to either ERAs or PDE-5 inhibitors, although the </w:t>
      </w:r>
      <w:r w:rsidR="00764725" w:rsidRPr="005D100E">
        <w:rPr>
          <w:iCs/>
        </w:rPr>
        <w:t>re</w:t>
      </w:r>
      <w:r w:rsidRPr="005D100E">
        <w:rPr>
          <w:iCs/>
        </w:rPr>
        <w:t>submission state</w:t>
      </w:r>
      <w:r w:rsidR="00D161E9" w:rsidRPr="005D100E">
        <w:rPr>
          <w:iCs/>
        </w:rPr>
        <w:t>d</w:t>
      </w:r>
      <w:r w:rsidRPr="005D100E">
        <w:rPr>
          <w:iCs/>
        </w:rPr>
        <w:t xml:space="preserve"> that dual therapy with selexipag is intended in these circumstances. As it is currently written, the proposed listing would </w:t>
      </w:r>
      <w:r w:rsidR="00764725" w:rsidRPr="005D100E">
        <w:rPr>
          <w:iCs/>
        </w:rPr>
        <w:t xml:space="preserve">not </w:t>
      </w:r>
      <w:r w:rsidRPr="005D100E">
        <w:rPr>
          <w:iCs/>
        </w:rPr>
        <w:t>permit dual therapy with selexipag and an ERA or a PDE-5 inhibitor.</w:t>
      </w:r>
      <w:r w:rsidR="006F6A86" w:rsidRPr="005D100E">
        <w:rPr>
          <w:iCs/>
        </w:rPr>
        <w:t xml:space="preserve"> </w:t>
      </w:r>
      <w:r w:rsidR="0035728F" w:rsidRPr="005D100E">
        <w:rPr>
          <w:iCs/>
        </w:rPr>
        <w:t>The Pre-Sub-Committee Response (PSCR) confirmed that the submission’s intention was to permit dual therapy for patients who are intolerant or contraindicated to either ERAs or PDE-5 inhibitors.</w:t>
      </w:r>
    </w:p>
    <w:p w:rsidR="000634AC" w:rsidRPr="005D100E" w:rsidRDefault="000634AC" w:rsidP="000634AC">
      <w:pPr>
        <w:rPr>
          <w:szCs w:val="22"/>
        </w:rPr>
      </w:pPr>
    </w:p>
    <w:p w:rsidR="006F6A86" w:rsidRPr="005D100E" w:rsidRDefault="009E79CE" w:rsidP="0074367D">
      <w:pPr>
        <w:pStyle w:val="ListParagraph"/>
        <w:widowControl/>
        <w:numPr>
          <w:ilvl w:val="1"/>
          <w:numId w:val="2"/>
        </w:numPr>
      </w:pPr>
      <w:r w:rsidRPr="005D100E">
        <w:t xml:space="preserve">The </w:t>
      </w:r>
      <w:r w:rsidR="00DB0BE4">
        <w:t xml:space="preserve">requested </w:t>
      </w:r>
      <w:r w:rsidRPr="005D100E">
        <w:t xml:space="preserve">PBS listing was more restrictive than the approved TGA indication, which permits use of selexipag as any of mono-, dual or triple therapy. </w:t>
      </w:r>
    </w:p>
    <w:p w:rsidR="006F6A86" w:rsidRPr="005D100E" w:rsidRDefault="006F6A86" w:rsidP="006F6A86">
      <w:pPr>
        <w:pStyle w:val="ListParagraph"/>
      </w:pPr>
    </w:p>
    <w:p w:rsidR="000634AC" w:rsidRPr="005D100E" w:rsidRDefault="000634AC" w:rsidP="0074367D">
      <w:pPr>
        <w:pStyle w:val="ListParagraph"/>
        <w:widowControl/>
        <w:numPr>
          <w:ilvl w:val="1"/>
          <w:numId w:val="2"/>
        </w:numPr>
      </w:pPr>
      <w:r w:rsidRPr="005D100E">
        <w:t>The listing of selexipag was sought on the basis of cost-effectiveness compared with placebo.</w:t>
      </w:r>
      <w:r w:rsidR="006F6A86" w:rsidRPr="005D100E">
        <w:t xml:space="preserve"> This is appropriate.</w:t>
      </w:r>
    </w:p>
    <w:p w:rsidR="000634AC" w:rsidRDefault="000634AC" w:rsidP="00724DEF"/>
    <w:p w:rsidR="002D5531" w:rsidRPr="0005234D" w:rsidRDefault="002D5531" w:rsidP="002D5531">
      <w:pPr>
        <w:ind w:firstLine="720"/>
        <w:rPr>
          <w:bCs/>
          <w:szCs w:val="22"/>
        </w:rPr>
      </w:pPr>
      <w:r w:rsidRPr="00295ABC">
        <w:rPr>
          <w:bCs/>
          <w:i/>
          <w:szCs w:val="22"/>
        </w:rPr>
        <w:t>For more detail on PBAC’s view, see section 7 “PBAC outcome”</w:t>
      </w:r>
    </w:p>
    <w:p w:rsidR="002D5531" w:rsidRDefault="002D5531" w:rsidP="00724DEF"/>
    <w:p w:rsidR="000634AC" w:rsidRPr="00407F2D" w:rsidRDefault="000634AC" w:rsidP="00B36B3C">
      <w:pPr>
        <w:pStyle w:val="PBACHeading1"/>
        <w:keepNext/>
      </w:pPr>
      <w:bookmarkStart w:id="5" w:name="_Toc472425772"/>
      <w:r w:rsidRPr="00407F2D">
        <w:lastRenderedPageBreak/>
        <w:t>Background</w:t>
      </w:r>
      <w:bookmarkEnd w:id="5"/>
    </w:p>
    <w:p w:rsidR="000634AC" w:rsidRPr="00882085" w:rsidRDefault="000634AC" w:rsidP="00B36B3C">
      <w:pPr>
        <w:keepNext/>
        <w:rPr>
          <w:szCs w:val="22"/>
        </w:rPr>
      </w:pPr>
    </w:p>
    <w:p w:rsidR="000634AC" w:rsidRPr="006F6A86" w:rsidRDefault="000634AC" w:rsidP="0074367D">
      <w:pPr>
        <w:pStyle w:val="ListParagraph"/>
        <w:widowControl/>
        <w:numPr>
          <w:ilvl w:val="1"/>
          <w:numId w:val="2"/>
        </w:numPr>
      </w:pPr>
      <w:r w:rsidRPr="006F6A86">
        <w:rPr>
          <w:szCs w:val="22"/>
        </w:rPr>
        <w:t>Selexipag was TGA registered on 24</w:t>
      </w:r>
      <w:r w:rsidR="005010AB">
        <w:rPr>
          <w:szCs w:val="22"/>
        </w:rPr>
        <w:t xml:space="preserve"> March </w:t>
      </w:r>
      <w:r w:rsidRPr="006F6A86">
        <w:rPr>
          <w:szCs w:val="22"/>
        </w:rPr>
        <w:t>2016 for the treatment of patients with WHO functional class II, III or IV symptoms with:</w:t>
      </w:r>
    </w:p>
    <w:p w:rsidR="000634AC" w:rsidRPr="006F6A86" w:rsidRDefault="000634AC" w:rsidP="0074367D">
      <w:pPr>
        <w:pStyle w:val="ListParagraph"/>
        <w:numPr>
          <w:ilvl w:val="3"/>
          <w:numId w:val="3"/>
        </w:numPr>
        <w:ind w:left="1701" w:hanging="425"/>
      </w:pPr>
      <w:r w:rsidRPr="006F6A86">
        <w:t>idiopathic pulmonary arterial hypertension;</w:t>
      </w:r>
    </w:p>
    <w:p w:rsidR="000634AC" w:rsidRPr="006F6A86" w:rsidRDefault="000634AC" w:rsidP="0074367D">
      <w:pPr>
        <w:pStyle w:val="ListParagraph"/>
        <w:numPr>
          <w:ilvl w:val="3"/>
          <w:numId w:val="3"/>
        </w:numPr>
        <w:ind w:left="1701" w:hanging="425"/>
      </w:pPr>
      <w:r w:rsidRPr="006F6A86">
        <w:t>heritable pulmonary arterial hypertension;</w:t>
      </w:r>
    </w:p>
    <w:p w:rsidR="000634AC" w:rsidRPr="006F6A86" w:rsidRDefault="000634AC" w:rsidP="0074367D">
      <w:pPr>
        <w:pStyle w:val="ListParagraph"/>
        <w:numPr>
          <w:ilvl w:val="3"/>
          <w:numId w:val="3"/>
        </w:numPr>
        <w:ind w:left="1701" w:hanging="425"/>
      </w:pPr>
      <w:r w:rsidRPr="006F6A86">
        <w:t>pulmonary arterial hypertension associated with connective tissue disease;</w:t>
      </w:r>
    </w:p>
    <w:p w:rsidR="000634AC" w:rsidRPr="006F6A86" w:rsidRDefault="000634AC" w:rsidP="0074367D">
      <w:pPr>
        <w:pStyle w:val="ListParagraph"/>
        <w:numPr>
          <w:ilvl w:val="3"/>
          <w:numId w:val="3"/>
        </w:numPr>
        <w:ind w:left="1701" w:hanging="425"/>
      </w:pPr>
      <w:r w:rsidRPr="006F6A86">
        <w:t>pulmonary arterial hypertension associated with congenital heart disease with repaired shunts; and</w:t>
      </w:r>
    </w:p>
    <w:p w:rsidR="000634AC" w:rsidRPr="006F6A86" w:rsidRDefault="000634AC" w:rsidP="0074367D">
      <w:pPr>
        <w:pStyle w:val="ListParagraph"/>
        <w:numPr>
          <w:ilvl w:val="3"/>
          <w:numId w:val="3"/>
        </w:numPr>
        <w:ind w:left="1701" w:hanging="425"/>
      </w:pPr>
      <w:r w:rsidRPr="006F6A86">
        <w:t>pulmonary arterial hypertension associated with drugs and toxins.</w:t>
      </w:r>
    </w:p>
    <w:p w:rsidR="000634AC" w:rsidRPr="00882085" w:rsidRDefault="000634AC" w:rsidP="000634AC">
      <w:pPr>
        <w:pStyle w:val="ListParagraph"/>
        <w:rPr>
          <w:szCs w:val="22"/>
        </w:rPr>
      </w:pPr>
    </w:p>
    <w:p w:rsidR="000634AC" w:rsidRDefault="000634AC" w:rsidP="0074367D">
      <w:pPr>
        <w:pStyle w:val="ListParagraph"/>
        <w:widowControl/>
        <w:numPr>
          <w:ilvl w:val="1"/>
          <w:numId w:val="2"/>
        </w:numPr>
        <w:rPr>
          <w:szCs w:val="22"/>
        </w:rPr>
      </w:pPr>
      <w:r>
        <w:rPr>
          <w:szCs w:val="22"/>
        </w:rPr>
        <w:t>Th</w:t>
      </w:r>
      <w:r w:rsidR="00321236">
        <w:rPr>
          <w:szCs w:val="22"/>
        </w:rPr>
        <w:t>is was the second submission requesting PBS listing of selexipag for treatment of PAH. Th</w:t>
      </w:r>
      <w:r>
        <w:rPr>
          <w:szCs w:val="22"/>
        </w:rPr>
        <w:t xml:space="preserve">e PBAC </w:t>
      </w:r>
      <w:r w:rsidRPr="00FF7FBC">
        <w:rPr>
          <w:szCs w:val="22"/>
        </w:rPr>
        <w:t xml:space="preserve">previously considered a major submission for selexipag for the treatment of </w:t>
      </w:r>
      <w:r w:rsidR="00A35D23">
        <w:rPr>
          <w:szCs w:val="22"/>
        </w:rPr>
        <w:t>PAH</w:t>
      </w:r>
      <w:r>
        <w:rPr>
          <w:szCs w:val="22"/>
        </w:rPr>
        <w:t xml:space="preserve"> in combination with an ERA and/or a PDE-5 inhibitor</w:t>
      </w:r>
      <w:r w:rsidRPr="00FF7FBC">
        <w:rPr>
          <w:szCs w:val="22"/>
        </w:rPr>
        <w:t xml:space="preserve"> at the March 2016 PBAC meeting.</w:t>
      </w:r>
      <w:r>
        <w:rPr>
          <w:szCs w:val="22"/>
        </w:rPr>
        <w:t xml:space="preserve"> Selexipag was not recommended for listing on the basis that the magnitude of clinical benefit was unclear, and the estimate of cost-effectiveness was difficult to interpret (paragraph 7.1, 5.11 </w:t>
      </w:r>
      <w:r w:rsidR="00D161E9">
        <w:rPr>
          <w:szCs w:val="22"/>
        </w:rPr>
        <w:t>s</w:t>
      </w:r>
      <w:r>
        <w:rPr>
          <w:szCs w:val="22"/>
        </w:rPr>
        <w:t>elexipag</w:t>
      </w:r>
      <w:r w:rsidR="00D161E9">
        <w:rPr>
          <w:szCs w:val="22"/>
        </w:rPr>
        <w:t xml:space="preserve"> </w:t>
      </w:r>
      <w:r w:rsidR="00D161E9" w:rsidRPr="00D161E9">
        <w:rPr>
          <w:szCs w:val="22"/>
        </w:rPr>
        <w:t>public summary document (PSD)</w:t>
      </w:r>
      <w:r>
        <w:rPr>
          <w:szCs w:val="22"/>
        </w:rPr>
        <w:t>, March 2016 PBAC</w:t>
      </w:r>
      <w:r w:rsidR="00D161E9">
        <w:rPr>
          <w:szCs w:val="22"/>
        </w:rPr>
        <w:t xml:space="preserve"> meeting</w:t>
      </w:r>
      <w:r>
        <w:rPr>
          <w:szCs w:val="22"/>
        </w:rPr>
        <w:t>).</w:t>
      </w:r>
    </w:p>
    <w:p w:rsidR="000634AC" w:rsidRPr="00163034" w:rsidRDefault="000634AC" w:rsidP="000634AC">
      <w:pPr>
        <w:widowControl/>
        <w:rPr>
          <w:szCs w:val="22"/>
        </w:rPr>
      </w:pPr>
    </w:p>
    <w:p w:rsidR="000634AC" w:rsidRDefault="000634AC" w:rsidP="0074367D">
      <w:pPr>
        <w:pStyle w:val="ListParagraph"/>
        <w:widowControl/>
        <w:numPr>
          <w:ilvl w:val="1"/>
          <w:numId w:val="2"/>
        </w:numPr>
        <w:rPr>
          <w:szCs w:val="22"/>
        </w:rPr>
      </w:pPr>
      <w:r>
        <w:rPr>
          <w:szCs w:val="22"/>
        </w:rPr>
        <w:t xml:space="preserve">As of November 2016, PBS subsidy was available for the following medicines for WHO FC III and/or IV PAH: bosentan, macitentan, </w:t>
      </w:r>
      <w:r w:rsidR="00A35D23">
        <w:rPr>
          <w:szCs w:val="22"/>
        </w:rPr>
        <w:t xml:space="preserve">and </w:t>
      </w:r>
      <w:r>
        <w:rPr>
          <w:szCs w:val="22"/>
        </w:rPr>
        <w:t>ambrisentan</w:t>
      </w:r>
      <w:r w:rsidR="00A35D23">
        <w:rPr>
          <w:szCs w:val="22"/>
        </w:rPr>
        <w:t xml:space="preserve"> (ERAs)</w:t>
      </w:r>
      <w:r>
        <w:rPr>
          <w:szCs w:val="22"/>
        </w:rPr>
        <w:t>, sildenafil</w:t>
      </w:r>
      <w:r w:rsidR="00A35D23">
        <w:rPr>
          <w:szCs w:val="22"/>
        </w:rPr>
        <w:t xml:space="preserve"> and</w:t>
      </w:r>
      <w:r>
        <w:rPr>
          <w:szCs w:val="22"/>
        </w:rPr>
        <w:t xml:space="preserve"> tadalafil</w:t>
      </w:r>
      <w:r w:rsidR="00A35D23">
        <w:rPr>
          <w:szCs w:val="22"/>
        </w:rPr>
        <w:t xml:space="preserve"> (PDE-5 inhibitors)</w:t>
      </w:r>
      <w:r>
        <w:rPr>
          <w:szCs w:val="22"/>
        </w:rPr>
        <w:t>, epoprostenol and iloprost</w:t>
      </w:r>
      <w:r w:rsidR="00A35D23">
        <w:rPr>
          <w:szCs w:val="22"/>
        </w:rPr>
        <w:t xml:space="preserve"> (prostanoids)</w:t>
      </w:r>
      <w:r>
        <w:rPr>
          <w:szCs w:val="22"/>
        </w:rPr>
        <w:t>. Under current restrictions for PAH drugs, patients are only eligible for PBS subsidised treatment with one PAH agent at any time.</w:t>
      </w:r>
    </w:p>
    <w:p w:rsidR="00295ABC" w:rsidRDefault="00295ABC" w:rsidP="000634AC"/>
    <w:p w:rsidR="00263635" w:rsidRPr="00882085" w:rsidRDefault="00263635" w:rsidP="000634AC"/>
    <w:p w:rsidR="000634AC" w:rsidRPr="00407F2D" w:rsidRDefault="000634AC" w:rsidP="000634AC">
      <w:pPr>
        <w:pStyle w:val="PBACHeading1"/>
      </w:pPr>
      <w:bookmarkStart w:id="6" w:name="_Toc472425773"/>
      <w:r w:rsidRPr="00407F2D">
        <w:t>Clinical place for the proposed therapy</w:t>
      </w:r>
      <w:bookmarkEnd w:id="6"/>
    </w:p>
    <w:p w:rsidR="000634AC" w:rsidRPr="00882085" w:rsidRDefault="000634AC" w:rsidP="000634AC">
      <w:pPr>
        <w:rPr>
          <w:szCs w:val="22"/>
        </w:rPr>
      </w:pPr>
    </w:p>
    <w:p w:rsidR="000634AC" w:rsidRPr="00147F9A" w:rsidRDefault="00321236" w:rsidP="0074367D">
      <w:pPr>
        <w:pStyle w:val="ListParagraph"/>
        <w:widowControl/>
        <w:numPr>
          <w:ilvl w:val="1"/>
          <w:numId w:val="2"/>
        </w:numPr>
        <w:rPr>
          <w:szCs w:val="22"/>
        </w:rPr>
      </w:pPr>
      <w:r>
        <w:rPr>
          <w:szCs w:val="22"/>
        </w:rPr>
        <w:t>The re</w:t>
      </w:r>
      <w:r w:rsidR="000634AC">
        <w:rPr>
          <w:szCs w:val="22"/>
        </w:rPr>
        <w:t xml:space="preserve">submission proposed that patients with inadequate response to first-line monotherapy with either an ERA or PDE-5 inhibitor would progress to dual therapy with an ERA and a PDE-5 inhibitor. It was proposed that selexipag be used in combination with both an ERA and a PDE-5 inhibitor. </w:t>
      </w:r>
      <w:r w:rsidR="000634AC" w:rsidRPr="00147F9A">
        <w:rPr>
          <w:iCs/>
          <w:szCs w:val="22"/>
        </w:rPr>
        <w:t xml:space="preserve">The proposed clinical management algorithm was consistent with </w:t>
      </w:r>
      <w:r w:rsidR="000634AC" w:rsidRPr="00C35BAC">
        <w:rPr>
          <w:iCs/>
          <w:szCs w:val="22"/>
        </w:rPr>
        <w:t xml:space="preserve">recent </w:t>
      </w:r>
      <w:r w:rsidR="00A139E7" w:rsidRPr="00C35BAC">
        <w:rPr>
          <w:iCs/>
          <w:szCs w:val="22"/>
        </w:rPr>
        <w:t xml:space="preserve">international </w:t>
      </w:r>
      <w:r w:rsidR="000634AC" w:rsidRPr="00C35BAC">
        <w:rPr>
          <w:iCs/>
          <w:szCs w:val="22"/>
        </w:rPr>
        <w:t>clinical</w:t>
      </w:r>
      <w:r w:rsidR="000634AC" w:rsidRPr="00147F9A">
        <w:rPr>
          <w:iCs/>
          <w:szCs w:val="22"/>
        </w:rPr>
        <w:t xml:space="preserve"> practice guidelines.</w:t>
      </w:r>
    </w:p>
    <w:p w:rsidR="000634AC" w:rsidRPr="00971444" w:rsidRDefault="000634AC" w:rsidP="000634AC">
      <w:pPr>
        <w:widowControl/>
        <w:rPr>
          <w:szCs w:val="22"/>
        </w:rPr>
      </w:pPr>
    </w:p>
    <w:p w:rsidR="000634AC" w:rsidRPr="005D100E" w:rsidRDefault="000634AC" w:rsidP="0074367D">
      <w:pPr>
        <w:pStyle w:val="ListParagraph"/>
        <w:widowControl/>
        <w:numPr>
          <w:ilvl w:val="1"/>
          <w:numId w:val="2"/>
        </w:numPr>
        <w:rPr>
          <w:szCs w:val="22"/>
        </w:rPr>
      </w:pPr>
      <w:r w:rsidRPr="00147F9A">
        <w:rPr>
          <w:iCs/>
          <w:szCs w:val="22"/>
        </w:rPr>
        <w:t xml:space="preserve">In practice, a </w:t>
      </w:r>
      <w:r w:rsidRPr="005D100E">
        <w:rPr>
          <w:iCs/>
          <w:szCs w:val="22"/>
        </w:rPr>
        <w:t>proportion of patients will be intolerant or contra-indicated to either an ERA or PDE-5 inhibitor, and</w:t>
      </w:r>
      <w:r w:rsidR="00392E90">
        <w:rPr>
          <w:iCs/>
          <w:szCs w:val="22"/>
        </w:rPr>
        <w:t>, as clarified in the PSCR</w:t>
      </w:r>
      <w:r w:rsidR="00C35BAC" w:rsidRPr="005D100E">
        <w:rPr>
          <w:iCs/>
          <w:szCs w:val="22"/>
        </w:rPr>
        <w:t>,</w:t>
      </w:r>
      <w:r w:rsidRPr="005D100E">
        <w:rPr>
          <w:iCs/>
          <w:szCs w:val="22"/>
        </w:rPr>
        <w:t xml:space="preserve"> may use selexipag as in combination with only one other drug.</w:t>
      </w:r>
    </w:p>
    <w:p w:rsidR="00EA4B22" w:rsidRDefault="00EA4B22" w:rsidP="000634AC">
      <w:pPr>
        <w:pStyle w:val="Header"/>
        <w:rPr>
          <w:szCs w:val="22"/>
        </w:rPr>
      </w:pPr>
    </w:p>
    <w:p w:rsidR="00263635" w:rsidRDefault="00263635" w:rsidP="000634AC">
      <w:pPr>
        <w:pStyle w:val="Header"/>
        <w:rPr>
          <w:szCs w:val="22"/>
        </w:rPr>
      </w:pPr>
    </w:p>
    <w:p w:rsidR="000634AC" w:rsidRPr="00407F2D" w:rsidRDefault="000634AC" w:rsidP="000634AC">
      <w:pPr>
        <w:pStyle w:val="PBACHeading1"/>
      </w:pPr>
      <w:bookmarkStart w:id="7" w:name="_Toc472425774"/>
      <w:r w:rsidRPr="00407F2D">
        <w:t>Comparator</w:t>
      </w:r>
      <w:bookmarkEnd w:id="7"/>
    </w:p>
    <w:p w:rsidR="000634AC" w:rsidRPr="00882085" w:rsidRDefault="000634AC" w:rsidP="000634AC"/>
    <w:p w:rsidR="000634AC" w:rsidRPr="00147F9A" w:rsidRDefault="00321236" w:rsidP="0074367D">
      <w:pPr>
        <w:pStyle w:val="ListParagraph"/>
        <w:widowControl/>
        <w:numPr>
          <w:ilvl w:val="1"/>
          <w:numId w:val="2"/>
        </w:numPr>
        <w:rPr>
          <w:szCs w:val="22"/>
        </w:rPr>
      </w:pPr>
      <w:r w:rsidRPr="00147F9A">
        <w:t>The re</w:t>
      </w:r>
      <w:r w:rsidR="000634AC" w:rsidRPr="00147F9A">
        <w:t xml:space="preserve">submission nominated placebo as the main comparator. </w:t>
      </w:r>
      <w:r w:rsidR="000634AC" w:rsidRPr="00147F9A">
        <w:rPr>
          <w:iCs/>
        </w:rPr>
        <w:t xml:space="preserve">The PBAC agreed that placebo (as add-on to combination therapy) was the appropriate comparator </w:t>
      </w:r>
      <w:r w:rsidR="00576F30">
        <w:rPr>
          <w:iCs/>
        </w:rPr>
        <w:t>for</w:t>
      </w:r>
      <w:r w:rsidR="000634AC" w:rsidRPr="00147F9A">
        <w:rPr>
          <w:iCs/>
        </w:rPr>
        <w:t xml:space="preserve"> the previous submission (paragraph 7.3, 5.11 selexipag PSD, March 2016 PBAC meeting).</w:t>
      </w:r>
    </w:p>
    <w:p w:rsidR="002D5531" w:rsidRDefault="002D5531" w:rsidP="00345D47">
      <w:pPr>
        <w:widowControl/>
        <w:jc w:val="left"/>
        <w:rPr>
          <w:szCs w:val="22"/>
        </w:rPr>
      </w:pPr>
    </w:p>
    <w:p w:rsidR="00263635" w:rsidRPr="006D7C42" w:rsidRDefault="00263635" w:rsidP="00345D47">
      <w:pPr>
        <w:widowControl/>
        <w:jc w:val="left"/>
        <w:rPr>
          <w:szCs w:val="22"/>
        </w:rPr>
      </w:pPr>
    </w:p>
    <w:p w:rsidR="000634AC" w:rsidRPr="00407F2D" w:rsidRDefault="000634AC" w:rsidP="000634AC">
      <w:pPr>
        <w:pStyle w:val="PBACHeading1"/>
      </w:pPr>
      <w:bookmarkStart w:id="8" w:name="_Toc472425775"/>
      <w:r>
        <w:t>C</w:t>
      </w:r>
      <w:r w:rsidRPr="00407F2D">
        <w:t>onsideration of the evidence</w:t>
      </w:r>
      <w:bookmarkEnd w:id="8"/>
    </w:p>
    <w:p w:rsidR="000634AC" w:rsidRDefault="000634AC" w:rsidP="000634AC"/>
    <w:p w:rsidR="006A6E9F" w:rsidRPr="0074367D" w:rsidRDefault="006A6E9F" w:rsidP="0074367D">
      <w:pPr>
        <w:pStyle w:val="Heading2"/>
        <w:rPr>
          <w:i/>
        </w:rPr>
      </w:pPr>
      <w:r w:rsidRPr="0074367D">
        <w:rPr>
          <w:i/>
        </w:rPr>
        <w:t>Sponsor hearing</w:t>
      </w:r>
    </w:p>
    <w:p w:rsidR="006A6E9F" w:rsidRPr="00E0633F" w:rsidRDefault="006A6E9F" w:rsidP="006A6E9F">
      <w:pPr>
        <w:rPr>
          <w:b/>
          <w:bCs/>
          <w:szCs w:val="22"/>
        </w:rPr>
      </w:pPr>
    </w:p>
    <w:p w:rsidR="006A6E9F" w:rsidRPr="006F3EF2" w:rsidRDefault="006A6E9F" w:rsidP="0074367D">
      <w:pPr>
        <w:widowControl/>
        <w:numPr>
          <w:ilvl w:val="1"/>
          <w:numId w:val="2"/>
        </w:numPr>
        <w:rPr>
          <w:bCs/>
          <w:szCs w:val="22"/>
        </w:rPr>
      </w:pPr>
      <w:r w:rsidRPr="006F3EF2">
        <w:rPr>
          <w:bCs/>
          <w:szCs w:val="22"/>
        </w:rPr>
        <w:t>The sponsor requested a hearing for this item</w:t>
      </w:r>
      <w:r w:rsidR="00576F30">
        <w:rPr>
          <w:bCs/>
          <w:szCs w:val="22"/>
        </w:rPr>
        <w:t>.</w:t>
      </w:r>
      <w:r w:rsidR="00A12AD3" w:rsidRPr="006F3EF2">
        <w:rPr>
          <w:bCs/>
          <w:szCs w:val="22"/>
        </w:rPr>
        <w:t xml:space="preserve"> The sponsor reiterated the company’s proposal to rebate </w:t>
      </w:r>
      <w:r w:rsidR="00A12AD3" w:rsidRPr="00FA272C">
        <w:rPr>
          <w:bCs/>
          <w:szCs w:val="22"/>
        </w:rPr>
        <w:t>100</w:t>
      </w:r>
      <w:r w:rsidR="00A12AD3" w:rsidRPr="006F3EF2">
        <w:rPr>
          <w:bCs/>
          <w:szCs w:val="22"/>
        </w:rPr>
        <w:t>% of the cost of sildenafil when used as an add-on to Actelion-sponsored ERA products</w:t>
      </w:r>
      <w:r w:rsidRPr="006F3EF2">
        <w:rPr>
          <w:bCs/>
          <w:szCs w:val="22"/>
        </w:rPr>
        <w:t xml:space="preserve">.  The clinician </w:t>
      </w:r>
      <w:r w:rsidR="00260B11">
        <w:rPr>
          <w:bCs/>
          <w:szCs w:val="22"/>
        </w:rPr>
        <w:t xml:space="preserve">explained that ERAs and PDE-5 inhibitors are the preferred first- and second-line treatments for PAH </w:t>
      </w:r>
      <w:r w:rsidR="00C034BD">
        <w:rPr>
          <w:bCs/>
          <w:szCs w:val="22"/>
        </w:rPr>
        <w:t>because</w:t>
      </w:r>
      <w:r w:rsidR="00260B11">
        <w:rPr>
          <w:bCs/>
          <w:szCs w:val="22"/>
        </w:rPr>
        <w:t xml:space="preserve">, compared to selexipag, they have earlier onset of action, do not require dose titration, have fewer adverse events and can generally be taken once daily. </w:t>
      </w:r>
      <w:r w:rsidR="00C034BD">
        <w:rPr>
          <w:bCs/>
          <w:szCs w:val="22"/>
        </w:rPr>
        <w:t>T</w:t>
      </w:r>
      <w:r w:rsidR="00260B11">
        <w:rPr>
          <w:bCs/>
          <w:szCs w:val="22"/>
        </w:rPr>
        <w:t xml:space="preserve">he clinician emphasised that </w:t>
      </w:r>
      <w:r w:rsidR="00616DFB">
        <w:rPr>
          <w:bCs/>
          <w:szCs w:val="22"/>
        </w:rPr>
        <w:t xml:space="preserve">selexipag </w:t>
      </w:r>
      <w:r w:rsidR="00260B11">
        <w:rPr>
          <w:bCs/>
          <w:szCs w:val="22"/>
        </w:rPr>
        <w:t>i</w:t>
      </w:r>
      <w:r w:rsidR="00720ECF">
        <w:rPr>
          <w:bCs/>
          <w:szCs w:val="22"/>
        </w:rPr>
        <w:t xml:space="preserve">s a practical third-line </w:t>
      </w:r>
      <w:r w:rsidR="00260B11">
        <w:rPr>
          <w:bCs/>
          <w:szCs w:val="22"/>
        </w:rPr>
        <w:t xml:space="preserve">treatment, particularly </w:t>
      </w:r>
      <w:r w:rsidR="007718AF">
        <w:rPr>
          <w:bCs/>
          <w:szCs w:val="22"/>
        </w:rPr>
        <w:t>for</w:t>
      </w:r>
      <w:r w:rsidR="00720ECF">
        <w:rPr>
          <w:bCs/>
          <w:szCs w:val="22"/>
        </w:rPr>
        <w:t xml:space="preserve"> patients </w:t>
      </w:r>
      <w:r w:rsidR="007718AF">
        <w:rPr>
          <w:bCs/>
          <w:szCs w:val="22"/>
        </w:rPr>
        <w:t>who are not ready for</w:t>
      </w:r>
      <w:r w:rsidR="00720ECF">
        <w:rPr>
          <w:bCs/>
          <w:szCs w:val="22"/>
        </w:rPr>
        <w:t xml:space="preserve"> </w:t>
      </w:r>
      <w:r w:rsidR="007718AF">
        <w:rPr>
          <w:bCs/>
          <w:szCs w:val="22"/>
        </w:rPr>
        <w:t xml:space="preserve">treatment with intravenous </w:t>
      </w:r>
      <w:r w:rsidR="00720ECF">
        <w:rPr>
          <w:bCs/>
          <w:szCs w:val="22"/>
        </w:rPr>
        <w:t>epoprostenol</w:t>
      </w:r>
      <w:r w:rsidR="00C034BD">
        <w:rPr>
          <w:bCs/>
          <w:szCs w:val="22"/>
        </w:rPr>
        <w:t>, which is the standard treatment for high-risk PAH</w:t>
      </w:r>
      <w:r w:rsidR="00F90E33">
        <w:rPr>
          <w:bCs/>
          <w:szCs w:val="22"/>
        </w:rPr>
        <w:t xml:space="preserve">. </w:t>
      </w:r>
      <w:r w:rsidR="005E24E4">
        <w:rPr>
          <w:bCs/>
          <w:szCs w:val="22"/>
        </w:rPr>
        <w:t>However, a</w:t>
      </w:r>
      <w:r w:rsidR="007C4BBF">
        <w:rPr>
          <w:bCs/>
          <w:szCs w:val="22"/>
        </w:rPr>
        <w:t xml:space="preserve">dministration of </w:t>
      </w:r>
      <w:r w:rsidR="00635868">
        <w:rPr>
          <w:bCs/>
          <w:szCs w:val="22"/>
        </w:rPr>
        <w:t>epoprostenol</w:t>
      </w:r>
      <w:r w:rsidR="00C034BD">
        <w:rPr>
          <w:bCs/>
          <w:szCs w:val="22"/>
        </w:rPr>
        <w:t xml:space="preserve"> </w:t>
      </w:r>
      <w:r w:rsidR="00260B11">
        <w:rPr>
          <w:bCs/>
          <w:szCs w:val="22"/>
        </w:rPr>
        <w:t xml:space="preserve">is </w:t>
      </w:r>
      <w:r w:rsidR="007718AF">
        <w:rPr>
          <w:bCs/>
          <w:szCs w:val="22"/>
        </w:rPr>
        <w:t>complex</w:t>
      </w:r>
      <w:r w:rsidR="00260B11">
        <w:rPr>
          <w:bCs/>
          <w:szCs w:val="22"/>
        </w:rPr>
        <w:t>,</w:t>
      </w:r>
      <w:r w:rsidR="007718AF">
        <w:rPr>
          <w:bCs/>
          <w:szCs w:val="22"/>
        </w:rPr>
        <w:t xml:space="preserve"> burdensome</w:t>
      </w:r>
      <w:r w:rsidR="00260B11">
        <w:rPr>
          <w:bCs/>
          <w:szCs w:val="22"/>
        </w:rPr>
        <w:t xml:space="preserve"> and can cause adverse reactions at the administration site</w:t>
      </w:r>
      <w:r w:rsidR="007718AF">
        <w:rPr>
          <w:bCs/>
          <w:szCs w:val="22"/>
        </w:rPr>
        <w:t>.</w:t>
      </w:r>
    </w:p>
    <w:p w:rsidR="006A6E9F" w:rsidRPr="00817EFB" w:rsidRDefault="006A6E9F" w:rsidP="006A6E9F">
      <w:pPr>
        <w:rPr>
          <w:bCs/>
          <w:szCs w:val="22"/>
          <w:highlight w:val="yellow"/>
        </w:rPr>
      </w:pPr>
    </w:p>
    <w:p w:rsidR="006A6E9F" w:rsidRPr="0074367D" w:rsidRDefault="006A6E9F" w:rsidP="0074367D">
      <w:pPr>
        <w:pStyle w:val="Heading2"/>
        <w:rPr>
          <w:i/>
        </w:rPr>
      </w:pPr>
      <w:r w:rsidRPr="0074367D">
        <w:rPr>
          <w:i/>
        </w:rPr>
        <w:t>Consumer comments</w:t>
      </w:r>
    </w:p>
    <w:p w:rsidR="006A6E9F" w:rsidRPr="00817EFB" w:rsidRDefault="006A6E9F" w:rsidP="006A6E9F">
      <w:pPr>
        <w:rPr>
          <w:b/>
          <w:bCs/>
          <w:szCs w:val="22"/>
          <w:highlight w:val="yellow"/>
        </w:rPr>
      </w:pPr>
    </w:p>
    <w:p w:rsidR="005C7456" w:rsidRPr="005C7456" w:rsidRDefault="005C7456" w:rsidP="0074367D">
      <w:pPr>
        <w:widowControl/>
        <w:numPr>
          <w:ilvl w:val="1"/>
          <w:numId w:val="2"/>
        </w:numPr>
        <w:rPr>
          <w:bCs/>
          <w:szCs w:val="22"/>
        </w:rPr>
      </w:pPr>
      <w:r w:rsidRPr="005C7456">
        <w:rPr>
          <w:bCs/>
          <w:szCs w:val="22"/>
        </w:rPr>
        <w:t xml:space="preserve">The PBAC noted and welcomed the input from individuals (33), health care professionals (9) and organisations (4) via the Consumer Comments facility on the PBS website. The comments described some benefits of treatment with selexipag including </w:t>
      </w:r>
      <w:r w:rsidR="00A939DD">
        <w:rPr>
          <w:bCs/>
          <w:szCs w:val="22"/>
        </w:rPr>
        <w:t>the convenience of</w:t>
      </w:r>
      <w:r w:rsidRPr="005C7456">
        <w:rPr>
          <w:bCs/>
          <w:szCs w:val="22"/>
        </w:rPr>
        <w:t xml:space="preserve"> oral rather than intravenous administration, and that it provides an additional treatment option for patients. Some input also supported the use of combination therapy for PAH on the PBS in general</w:t>
      </w:r>
      <w:r w:rsidR="00196F43">
        <w:rPr>
          <w:bCs/>
          <w:szCs w:val="22"/>
        </w:rPr>
        <w:t>.</w:t>
      </w:r>
    </w:p>
    <w:p w:rsidR="006A6E9F" w:rsidRPr="00817EFB" w:rsidRDefault="006A6E9F" w:rsidP="006A6E9F">
      <w:pPr>
        <w:rPr>
          <w:bCs/>
          <w:szCs w:val="22"/>
          <w:highlight w:val="yellow"/>
        </w:rPr>
      </w:pPr>
    </w:p>
    <w:p w:rsidR="000634AC" w:rsidRPr="002C2775" w:rsidRDefault="000634AC" w:rsidP="000634AC">
      <w:pPr>
        <w:pStyle w:val="Heading2"/>
        <w:rPr>
          <w:i/>
        </w:rPr>
      </w:pPr>
      <w:bookmarkStart w:id="9" w:name="_Toc472425776"/>
      <w:r w:rsidRPr="002C2775">
        <w:rPr>
          <w:i/>
        </w:rPr>
        <w:t>Clinical trials</w:t>
      </w:r>
      <w:bookmarkEnd w:id="9"/>
    </w:p>
    <w:p w:rsidR="000634AC" w:rsidRPr="00882085" w:rsidRDefault="000634AC" w:rsidP="000634AC">
      <w:pPr>
        <w:rPr>
          <w:szCs w:val="22"/>
        </w:rPr>
      </w:pPr>
    </w:p>
    <w:p w:rsidR="000634AC" w:rsidRPr="00EB15CE" w:rsidRDefault="000634AC" w:rsidP="0074367D">
      <w:pPr>
        <w:pStyle w:val="ListParagraph"/>
        <w:widowControl/>
        <w:numPr>
          <w:ilvl w:val="1"/>
          <w:numId w:val="2"/>
        </w:numPr>
        <w:rPr>
          <w:szCs w:val="22"/>
        </w:rPr>
      </w:pPr>
      <w:r w:rsidRPr="005D100E">
        <w:t xml:space="preserve">The </w:t>
      </w:r>
      <w:r w:rsidR="00F801E3" w:rsidRPr="005D100E">
        <w:t>resubmission</w:t>
      </w:r>
      <w:r w:rsidRPr="005D100E">
        <w:t xml:space="preserve"> was based on one head-to-head randomised trial (GRIPHON) comparing selexipag, with or without background PAH-specific therapy (an ERA and/or PDE-5 inhibitor), to placebo with or without background PAH specific therapy (n=1,156). </w:t>
      </w:r>
      <w:r w:rsidRPr="00EB15CE">
        <w:rPr>
          <w:iCs/>
        </w:rPr>
        <w:t xml:space="preserve">This was the same trial considered in the previous submission. </w:t>
      </w:r>
      <w:r w:rsidR="00450610" w:rsidRPr="00EB15CE">
        <w:rPr>
          <w:iCs/>
        </w:rPr>
        <w:t>The GRIPHON study included monotherapy and dual therapy, as well as triple therapy.</w:t>
      </w:r>
      <w:r w:rsidR="00A139E7" w:rsidRPr="00EB15CE">
        <w:rPr>
          <w:iCs/>
        </w:rPr>
        <w:t xml:space="preserve"> </w:t>
      </w:r>
    </w:p>
    <w:p w:rsidR="00EB15CE" w:rsidRPr="00EB15CE" w:rsidRDefault="00EB15CE" w:rsidP="00EB15CE">
      <w:pPr>
        <w:pStyle w:val="ListParagraph"/>
        <w:widowControl/>
        <w:rPr>
          <w:szCs w:val="22"/>
        </w:rPr>
      </w:pPr>
    </w:p>
    <w:p w:rsidR="000634AC" w:rsidRPr="005D100E" w:rsidRDefault="000634AC" w:rsidP="0074367D">
      <w:pPr>
        <w:pStyle w:val="ListParagraph"/>
        <w:widowControl/>
        <w:numPr>
          <w:ilvl w:val="1"/>
          <w:numId w:val="2"/>
        </w:numPr>
        <w:rPr>
          <w:szCs w:val="22"/>
        </w:rPr>
      </w:pPr>
      <w:r w:rsidRPr="005D100E">
        <w:rPr>
          <w:szCs w:val="22"/>
        </w:rPr>
        <w:t xml:space="preserve">Details of the trial presented in the submission </w:t>
      </w:r>
      <w:r w:rsidR="003F3DED" w:rsidRPr="005D100E">
        <w:rPr>
          <w:szCs w:val="22"/>
        </w:rPr>
        <w:t>are</w:t>
      </w:r>
      <w:r w:rsidRPr="005D100E">
        <w:rPr>
          <w:szCs w:val="22"/>
        </w:rPr>
        <w:t xml:space="preserve"> provided in the table below.</w:t>
      </w:r>
    </w:p>
    <w:p w:rsidR="000634AC" w:rsidRPr="005D100E" w:rsidRDefault="000634AC" w:rsidP="000634AC">
      <w:pPr>
        <w:widowControl/>
        <w:rPr>
          <w:szCs w:val="22"/>
        </w:rPr>
      </w:pPr>
    </w:p>
    <w:p w:rsidR="000634AC" w:rsidRPr="005C7F65" w:rsidRDefault="000634AC" w:rsidP="000634AC">
      <w:pPr>
        <w:pStyle w:val="Caption"/>
        <w:ind w:left="709"/>
      </w:pPr>
      <w:bookmarkStart w:id="10" w:name="_Ref440187181"/>
      <w:r>
        <w:t xml:space="preserve">Table </w:t>
      </w:r>
      <w:r>
        <w:rPr>
          <w:noProof/>
        </w:rPr>
        <w:t>1</w:t>
      </w:r>
      <w:bookmarkEnd w:id="10"/>
      <w:r>
        <w:t>: Trials</w:t>
      </w:r>
      <w:r w:rsidRPr="005C7F65">
        <w:t xml:space="preserve">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80"/>
        <w:gridCol w:w="1964"/>
      </w:tblGrid>
      <w:tr w:rsidR="000634AC" w:rsidRPr="004E2ADC" w:rsidTr="009107D8">
        <w:tc>
          <w:tcPr>
            <w:tcW w:w="1019" w:type="pct"/>
          </w:tcPr>
          <w:p w:rsidR="000634AC" w:rsidRPr="004E2ADC" w:rsidRDefault="000634AC" w:rsidP="009107D8">
            <w:pPr>
              <w:jc w:val="left"/>
              <w:rPr>
                <w:rFonts w:ascii="Arial Narrow" w:hAnsi="Arial Narrow"/>
                <w:b/>
                <w:sz w:val="20"/>
              </w:rPr>
            </w:pPr>
            <w:r w:rsidRPr="004E2ADC">
              <w:rPr>
                <w:rFonts w:ascii="Arial Narrow" w:hAnsi="Arial Narrow"/>
                <w:b/>
                <w:sz w:val="20"/>
              </w:rPr>
              <w:t>Trial ID</w:t>
            </w:r>
          </w:p>
        </w:tc>
        <w:tc>
          <w:tcPr>
            <w:tcW w:w="2804" w:type="pct"/>
          </w:tcPr>
          <w:p w:rsidR="000634AC" w:rsidRPr="004E2ADC" w:rsidRDefault="000634AC" w:rsidP="009107D8">
            <w:pPr>
              <w:jc w:val="center"/>
              <w:rPr>
                <w:rFonts w:ascii="Arial Narrow" w:hAnsi="Arial Narrow"/>
                <w:b/>
                <w:sz w:val="20"/>
              </w:rPr>
            </w:pPr>
            <w:r w:rsidRPr="004E2ADC">
              <w:rPr>
                <w:rFonts w:ascii="Arial Narrow" w:hAnsi="Arial Narrow"/>
                <w:b/>
                <w:sz w:val="20"/>
              </w:rPr>
              <w:t>Protocol title/ Publication title</w:t>
            </w:r>
          </w:p>
        </w:tc>
        <w:tc>
          <w:tcPr>
            <w:tcW w:w="1177" w:type="pct"/>
          </w:tcPr>
          <w:p w:rsidR="000634AC" w:rsidRPr="004E2ADC" w:rsidRDefault="000634AC" w:rsidP="009107D8">
            <w:pPr>
              <w:jc w:val="center"/>
              <w:rPr>
                <w:rFonts w:ascii="Arial Narrow" w:hAnsi="Arial Narrow"/>
                <w:b/>
                <w:sz w:val="20"/>
              </w:rPr>
            </w:pPr>
            <w:r w:rsidRPr="004E2ADC">
              <w:rPr>
                <w:rFonts w:ascii="Arial Narrow" w:hAnsi="Arial Narrow"/>
                <w:b/>
                <w:sz w:val="20"/>
              </w:rPr>
              <w:t>Publication citation</w:t>
            </w:r>
          </w:p>
        </w:tc>
      </w:tr>
      <w:tr w:rsidR="000634AC" w:rsidRPr="004E2ADC" w:rsidTr="009107D8">
        <w:tc>
          <w:tcPr>
            <w:tcW w:w="5000" w:type="pct"/>
            <w:gridSpan w:val="3"/>
            <w:tcBorders>
              <w:bottom w:val="single" w:sz="4" w:space="0" w:color="auto"/>
            </w:tcBorders>
          </w:tcPr>
          <w:p w:rsidR="000634AC" w:rsidRPr="004E2ADC" w:rsidRDefault="000634AC" w:rsidP="009107D8">
            <w:pPr>
              <w:jc w:val="left"/>
              <w:rPr>
                <w:rFonts w:ascii="Arial Narrow" w:hAnsi="Arial Narrow"/>
                <w:b/>
                <w:sz w:val="20"/>
              </w:rPr>
            </w:pPr>
            <w:r w:rsidRPr="004E2ADC">
              <w:rPr>
                <w:rFonts w:ascii="Arial Narrow" w:hAnsi="Arial Narrow"/>
                <w:b/>
                <w:sz w:val="20"/>
              </w:rPr>
              <w:t>Direct randomised tria</w:t>
            </w:r>
            <w:r>
              <w:rPr>
                <w:rFonts w:ascii="Arial Narrow" w:hAnsi="Arial Narrow"/>
                <w:b/>
                <w:sz w:val="20"/>
              </w:rPr>
              <w:t>l</w:t>
            </w:r>
          </w:p>
        </w:tc>
      </w:tr>
      <w:tr w:rsidR="000634AC" w:rsidRPr="004E2ADC" w:rsidTr="009107D8">
        <w:tc>
          <w:tcPr>
            <w:tcW w:w="1019" w:type="pct"/>
            <w:tcBorders>
              <w:bottom w:val="nil"/>
            </w:tcBorders>
          </w:tcPr>
          <w:p w:rsidR="000634AC" w:rsidRPr="004E2ADC" w:rsidRDefault="000634AC" w:rsidP="009107D8">
            <w:pPr>
              <w:jc w:val="left"/>
              <w:rPr>
                <w:rFonts w:ascii="Arial Narrow" w:hAnsi="Arial Narrow"/>
                <w:sz w:val="20"/>
              </w:rPr>
            </w:pPr>
            <w:r>
              <w:rPr>
                <w:rFonts w:ascii="Arial Narrow" w:hAnsi="Arial Narrow"/>
                <w:sz w:val="20"/>
              </w:rPr>
              <w:t>GRIPHON</w:t>
            </w:r>
          </w:p>
        </w:tc>
        <w:tc>
          <w:tcPr>
            <w:tcW w:w="2804" w:type="pct"/>
            <w:tcBorders>
              <w:bottom w:val="nil"/>
            </w:tcBorders>
          </w:tcPr>
          <w:p w:rsidR="000634AC" w:rsidRPr="004E2ADC" w:rsidRDefault="000634AC" w:rsidP="009107D8">
            <w:pPr>
              <w:spacing w:after="60"/>
              <w:jc w:val="left"/>
              <w:rPr>
                <w:rFonts w:ascii="Arial Narrow" w:hAnsi="Arial Narrow"/>
                <w:b/>
                <w:sz w:val="20"/>
              </w:rPr>
            </w:pPr>
            <w:r>
              <w:rPr>
                <w:rFonts w:ascii="Arial Narrow" w:hAnsi="Arial Narrow"/>
                <w:sz w:val="20"/>
              </w:rPr>
              <w:t xml:space="preserve">GRIHON Clinical study </w:t>
            </w:r>
            <w:r w:rsidRPr="002C3186">
              <w:rPr>
                <w:rStyle w:val="TableTextChar0"/>
                <w:rFonts w:eastAsiaTheme="majorEastAsia"/>
                <w:sz w:val="20"/>
              </w:rPr>
              <w:t>report</w:t>
            </w:r>
            <w:r>
              <w:rPr>
                <w:rStyle w:val="TableTextChar0"/>
                <w:rFonts w:eastAsiaTheme="majorEastAsia"/>
                <w:sz w:val="20"/>
              </w:rPr>
              <w:t xml:space="preserve"> AC-065A302</w:t>
            </w:r>
            <w:r w:rsidRPr="002C3186">
              <w:rPr>
                <w:rStyle w:val="TableTextChar0"/>
                <w:rFonts w:eastAsiaTheme="majorEastAsia"/>
                <w:sz w:val="20"/>
              </w:rPr>
              <w:t>: Prostacyclin (PGI2) receptor agonist in pulmonary arterial hypertension: A multicenter, double-blind, placebo-controlled Phase 3 study assessing the efficacy and safety of selexipag (ACT-293987) on morbidity and mortality in patients with pulmonary arterial hypertension (PAH) (including data from AC-065A303/GRIPHON OL up to 10 March 2014).</w:t>
            </w:r>
          </w:p>
        </w:tc>
        <w:tc>
          <w:tcPr>
            <w:tcW w:w="1177" w:type="pct"/>
            <w:tcBorders>
              <w:bottom w:val="nil"/>
            </w:tcBorders>
          </w:tcPr>
          <w:p w:rsidR="000634AC" w:rsidRPr="00A972DC" w:rsidRDefault="000634AC" w:rsidP="009107D8">
            <w:pPr>
              <w:jc w:val="left"/>
              <w:rPr>
                <w:rFonts w:ascii="Arial Narrow" w:hAnsi="Arial Narrow"/>
                <w:sz w:val="20"/>
              </w:rPr>
            </w:pPr>
            <w:r>
              <w:rPr>
                <w:rFonts w:ascii="Arial Narrow" w:hAnsi="Arial Narrow"/>
                <w:sz w:val="20"/>
              </w:rPr>
              <w:t>March 2014 (data cut-off)</w:t>
            </w:r>
          </w:p>
        </w:tc>
      </w:tr>
      <w:tr w:rsidR="000634AC" w:rsidRPr="004E2ADC" w:rsidTr="009107D8">
        <w:tc>
          <w:tcPr>
            <w:tcW w:w="1019" w:type="pct"/>
            <w:tcBorders>
              <w:top w:val="nil"/>
            </w:tcBorders>
          </w:tcPr>
          <w:p w:rsidR="000634AC" w:rsidRDefault="000634AC" w:rsidP="009107D8">
            <w:pPr>
              <w:jc w:val="left"/>
              <w:rPr>
                <w:rFonts w:ascii="Arial Narrow" w:hAnsi="Arial Narrow"/>
                <w:sz w:val="20"/>
              </w:rPr>
            </w:pPr>
          </w:p>
        </w:tc>
        <w:tc>
          <w:tcPr>
            <w:tcW w:w="2804" w:type="pct"/>
            <w:tcBorders>
              <w:top w:val="nil"/>
            </w:tcBorders>
          </w:tcPr>
          <w:p w:rsidR="000634AC" w:rsidRDefault="000634AC" w:rsidP="009107D8">
            <w:pPr>
              <w:jc w:val="left"/>
              <w:rPr>
                <w:rFonts w:ascii="Arial Narrow" w:hAnsi="Arial Narrow"/>
                <w:sz w:val="20"/>
              </w:rPr>
            </w:pPr>
            <w:r>
              <w:rPr>
                <w:rFonts w:ascii="Arial Narrow" w:hAnsi="Arial Narrow"/>
                <w:sz w:val="20"/>
              </w:rPr>
              <w:t xml:space="preserve">Sitbon O, Channick R, </w:t>
            </w:r>
            <w:r>
              <w:rPr>
                <w:rFonts w:ascii="Arial Narrow" w:hAnsi="Arial Narrow"/>
                <w:i/>
                <w:sz w:val="20"/>
              </w:rPr>
              <w:t>et al.</w:t>
            </w:r>
            <w:r>
              <w:rPr>
                <w:rFonts w:ascii="Arial Narrow" w:hAnsi="Arial Narrow"/>
                <w:sz w:val="20"/>
              </w:rPr>
              <w:t xml:space="preserve"> Selexipag for the treatment of pulmonary arterial hypertension.</w:t>
            </w:r>
          </w:p>
        </w:tc>
        <w:tc>
          <w:tcPr>
            <w:tcW w:w="1177" w:type="pct"/>
            <w:tcBorders>
              <w:top w:val="nil"/>
            </w:tcBorders>
          </w:tcPr>
          <w:p w:rsidR="000634AC" w:rsidRDefault="000634AC" w:rsidP="009107D8">
            <w:pPr>
              <w:jc w:val="left"/>
              <w:rPr>
                <w:rFonts w:ascii="Arial Narrow" w:hAnsi="Arial Narrow"/>
                <w:sz w:val="20"/>
              </w:rPr>
            </w:pPr>
            <w:r>
              <w:rPr>
                <w:rFonts w:ascii="Arial Narrow" w:hAnsi="Arial Narrow"/>
                <w:i/>
                <w:sz w:val="20"/>
              </w:rPr>
              <w:t>New England Journal of Medicine</w:t>
            </w:r>
            <w:r>
              <w:rPr>
                <w:rFonts w:ascii="Arial Narrow" w:hAnsi="Arial Narrow"/>
                <w:sz w:val="20"/>
              </w:rPr>
              <w:t xml:space="preserve"> 2015; 373 (26):2522-2533</w:t>
            </w:r>
          </w:p>
        </w:tc>
      </w:tr>
    </w:tbl>
    <w:p w:rsidR="000634AC" w:rsidRDefault="000634AC" w:rsidP="000634AC">
      <w:pPr>
        <w:pStyle w:val="TableFooter"/>
        <w:ind w:left="709"/>
      </w:pPr>
      <w:r w:rsidRPr="00D13A3E">
        <w:t xml:space="preserve">Source: </w:t>
      </w:r>
      <w:r>
        <w:t>Table 1, 5.11 selexipag public summary document, March 2016 PBAC meeting</w:t>
      </w:r>
    </w:p>
    <w:p w:rsidR="000634AC" w:rsidRPr="008F120A" w:rsidRDefault="000634AC" w:rsidP="000634AC">
      <w:pPr>
        <w:widowControl/>
        <w:rPr>
          <w:szCs w:val="22"/>
        </w:rPr>
      </w:pPr>
    </w:p>
    <w:p w:rsidR="000634AC" w:rsidRDefault="000634AC" w:rsidP="0074367D">
      <w:pPr>
        <w:pStyle w:val="ListParagraph"/>
        <w:widowControl/>
        <w:numPr>
          <w:ilvl w:val="1"/>
          <w:numId w:val="2"/>
        </w:numPr>
        <w:rPr>
          <w:szCs w:val="22"/>
        </w:rPr>
      </w:pPr>
      <w:r w:rsidRPr="00B50DB8">
        <w:rPr>
          <w:szCs w:val="22"/>
        </w:rPr>
        <w:t>The key features of the direct randomised trial</w:t>
      </w:r>
      <w:r w:rsidR="003F3DED">
        <w:rPr>
          <w:szCs w:val="22"/>
        </w:rPr>
        <w:t xml:space="preserve"> are</w:t>
      </w:r>
      <w:r w:rsidRPr="00B50DB8">
        <w:rPr>
          <w:szCs w:val="22"/>
        </w:rPr>
        <w:t xml:space="preserve"> summarised in the table below.</w:t>
      </w:r>
    </w:p>
    <w:p w:rsidR="00B36B3C" w:rsidRDefault="00B36B3C">
      <w:pPr>
        <w:widowControl/>
        <w:jc w:val="left"/>
      </w:pPr>
      <w:r>
        <w:br w:type="page"/>
      </w:r>
    </w:p>
    <w:p w:rsidR="000634AC" w:rsidRPr="003372F6" w:rsidRDefault="000634AC" w:rsidP="00724DEF"/>
    <w:p w:rsidR="000634AC" w:rsidRPr="005C7F65" w:rsidRDefault="000634AC" w:rsidP="000634AC">
      <w:pPr>
        <w:pStyle w:val="Caption"/>
        <w:ind w:left="709"/>
      </w:pPr>
      <w:r>
        <w:t>Table 2</w:t>
      </w:r>
      <w:r w:rsidRPr="005C7F65">
        <w:t>: 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0"/>
        <w:gridCol w:w="711"/>
        <w:gridCol w:w="1557"/>
        <w:gridCol w:w="994"/>
        <w:gridCol w:w="1561"/>
        <w:gridCol w:w="1276"/>
        <w:gridCol w:w="1275"/>
      </w:tblGrid>
      <w:tr w:rsidR="000634AC" w:rsidRPr="00E2771E" w:rsidTr="009107D8">
        <w:tc>
          <w:tcPr>
            <w:tcW w:w="592" w:type="pct"/>
            <w:shd w:val="clear" w:color="auto" w:fill="auto"/>
            <w:vAlign w:val="center"/>
          </w:tcPr>
          <w:p w:rsidR="000634AC" w:rsidRPr="00E2771E" w:rsidRDefault="000634AC" w:rsidP="009107D8">
            <w:pPr>
              <w:jc w:val="left"/>
              <w:rPr>
                <w:rFonts w:ascii="Arial Narrow" w:hAnsi="Arial Narrow"/>
                <w:b/>
                <w:sz w:val="20"/>
                <w:lang w:val="en-US"/>
              </w:rPr>
            </w:pPr>
            <w:r w:rsidRPr="00E2771E">
              <w:rPr>
                <w:rFonts w:ascii="Arial Narrow" w:hAnsi="Arial Narrow"/>
                <w:b/>
                <w:sz w:val="20"/>
                <w:lang w:val="en-US"/>
              </w:rPr>
              <w:t>Trial</w:t>
            </w:r>
          </w:p>
        </w:tc>
        <w:tc>
          <w:tcPr>
            <w:tcW w:w="425" w:type="pct"/>
            <w:shd w:val="clear" w:color="auto" w:fill="auto"/>
            <w:vAlign w:val="center"/>
          </w:tcPr>
          <w:p w:rsidR="000634AC" w:rsidRPr="00E2771E" w:rsidRDefault="000634AC" w:rsidP="009107D8">
            <w:pPr>
              <w:jc w:val="center"/>
              <w:rPr>
                <w:rFonts w:ascii="Arial Narrow" w:hAnsi="Arial Narrow"/>
                <w:b/>
                <w:sz w:val="20"/>
                <w:lang w:val="en-US"/>
              </w:rPr>
            </w:pPr>
            <w:r w:rsidRPr="00E2771E">
              <w:rPr>
                <w:rFonts w:ascii="Arial Narrow" w:hAnsi="Arial Narrow"/>
                <w:b/>
                <w:sz w:val="20"/>
                <w:lang w:val="en-US"/>
              </w:rPr>
              <w:t>N</w:t>
            </w:r>
          </w:p>
        </w:tc>
        <w:tc>
          <w:tcPr>
            <w:tcW w:w="931" w:type="pct"/>
            <w:shd w:val="clear" w:color="auto" w:fill="auto"/>
            <w:vAlign w:val="center"/>
          </w:tcPr>
          <w:p w:rsidR="000634AC" w:rsidRPr="00E2771E" w:rsidRDefault="000634AC" w:rsidP="009107D8">
            <w:pPr>
              <w:jc w:val="center"/>
              <w:rPr>
                <w:rFonts w:ascii="Arial Narrow" w:hAnsi="Arial Narrow"/>
                <w:b/>
                <w:sz w:val="20"/>
                <w:lang w:val="en-US"/>
              </w:rPr>
            </w:pPr>
            <w:r w:rsidRPr="00E2771E">
              <w:rPr>
                <w:rFonts w:ascii="Arial Narrow" w:hAnsi="Arial Narrow"/>
                <w:b/>
                <w:sz w:val="20"/>
                <w:lang w:val="en-US"/>
              </w:rPr>
              <w:t>Design/ duration</w:t>
            </w:r>
          </w:p>
        </w:tc>
        <w:tc>
          <w:tcPr>
            <w:tcW w:w="594" w:type="pct"/>
            <w:shd w:val="clear" w:color="auto" w:fill="auto"/>
            <w:vAlign w:val="center"/>
          </w:tcPr>
          <w:p w:rsidR="000634AC" w:rsidRPr="00E2771E" w:rsidRDefault="000634AC" w:rsidP="009107D8">
            <w:pPr>
              <w:jc w:val="center"/>
              <w:rPr>
                <w:rFonts w:ascii="Arial Narrow" w:hAnsi="Arial Narrow"/>
                <w:b/>
                <w:sz w:val="20"/>
                <w:lang w:val="en-US"/>
              </w:rPr>
            </w:pPr>
            <w:r w:rsidRPr="00E2771E">
              <w:rPr>
                <w:rFonts w:ascii="Arial Narrow" w:hAnsi="Arial Narrow"/>
                <w:b/>
                <w:sz w:val="20"/>
                <w:lang w:val="en-US"/>
              </w:rPr>
              <w:t>Risk of bias</w:t>
            </w:r>
          </w:p>
        </w:tc>
        <w:tc>
          <w:tcPr>
            <w:tcW w:w="933" w:type="pct"/>
            <w:shd w:val="clear" w:color="auto" w:fill="auto"/>
            <w:vAlign w:val="center"/>
          </w:tcPr>
          <w:p w:rsidR="000634AC" w:rsidRPr="00E2771E" w:rsidRDefault="000634AC" w:rsidP="009107D8">
            <w:pPr>
              <w:jc w:val="center"/>
              <w:rPr>
                <w:rFonts w:ascii="Arial Narrow" w:hAnsi="Arial Narrow"/>
                <w:b/>
                <w:sz w:val="20"/>
                <w:lang w:val="en-US"/>
              </w:rPr>
            </w:pPr>
            <w:r w:rsidRPr="00E2771E">
              <w:rPr>
                <w:rFonts w:ascii="Arial Narrow" w:hAnsi="Arial Narrow"/>
                <w:b/>
                <w:sz w:val="20"/>
                <w:lang w:val="en-US"/>
              </w:rPr>
              <w:t>Patient population</w:t>
            </w:r>
          </w:p>
        </w:tc>
        <w:tc>
          <w:tcPr>
            <w:tcW w:w="763" w:type="pct"/>
            <w:shd w:val="clear" w:color="auto" w:fill="auto"/>
            <w:vAlign w:val="center"/>
          </w:tcPr>
          <w:p w:rsidR="000634AC" w:rsidRPr="00E2771E" w:rsidRDefault="000634AC" w:rsidP="009107D8">
            <w:pPr>
              <w:jc w:val="center"/>
              <w:rPr>
                <w:rFonts w:ascii="Arial Narrow" w:hAnsi="Arial Narrow"/>
                <w:b/>
                <w:sz w:val="20"/>
                <w:lang w:val="en-US"/>
              </w:rPr>
            </w:pPr>
            <w:r w:rsidRPr="00E2771E">
              <w:rPr>
                <w:rFonts w:ascii="Arial Narrow" w:hAnsi="Arial Narrow"/>
                <w:b/>
                <w:sz w:val="20"/>
                <w:lang w:val="en-US"/>
              </w:rPr>
              <w:t>Outc</w:t>
            </w:r>
            <w:r>
              <w:rPr>
                <w:rFonts w:ascii="Arial Narrow" w:hAnsi="Arial Narrow"/>
                <w:b/>
                <w:sz w:val="20"/>
                <w:lang w:val="en-US"/>
              </w:rPr>
              <w:t>ome</w:t>
            </w:r>
          </w:p>
        </w:tc>
        <w:tc>
          <w:tcPr>
            <w:tcW w:w="761" w:type="pct"/>
            <w:shd w:val="clear" w:color="auto" w:fill="auto"/>
            <w:vAlign w:val="center"/>
          </w:tcPr>
          <w:p w:rsidR="000634AC" w:rsidRPr="00E2771E" w:rsidRDefault="000634AC" w:rsidP="009107D8">
            <w:pPr>
              <w:jc w:val="center"/>
              <w:rPr>
                <w:rFonts w:ascii="Arial Narrow" w:hAnsi="Arial Narrow"/>
                <w:b/>
                <w:sz w:val="20"/>
                <w:lang w:val="en-US"/>
              </w:rPr>
            </w:pPr>
            <w:r w:rsidRPr="00E2771E">
              <w:rPr>
                <w:rFonts w:ascii="Arial Narrow" w:hAnsi="Arial Narrow"/>
                <w:b/>
                <w:sz w:val="20"/>
                <w:lang w:val="en-US"/>
              </w:rPr>
              <w:t xml:space="preserve">Use in </w:t>
            </w:r>
            <w:r>
              <w:rPr>
                <w:rFonts w:ascii="Arial Narrow" w:hAnsi="Arial Narrow"/>
                <w:b/>
                <w:sz w:val="20"/>
                <w:lang w:val="en-US"/>
              </w:rPr>
              <w:t xml:space="preserve">economic </w:t>
            </w:r>
            <w:r w:rsidRPr="00E2771E">
              <w:rPr>
                <w:rFonts w:ascii="Arial Narrow" w:hAnsi="Arial Narrow"/>
                <w:b/>
                <w:sz w:val="20"/>
                <w:lang w:val="en-US"/>
              </w:rPr>
              <w:t>evaluation</w:t>
            </w:r>
          </w:p>
        </w:tc>
      </w:tr>
      <w:tr w:rsidR="000634AC" w:rsidRPr="00E2771E" w:rsidTr="009107D8">
        <w:tc>
          <w:tcPr>
            <w:tcW w:w="5000" w:type="pct"/>
            <w:gridSpan w:val="7"/>
            <w:shd w:val="clear" w:color="auto" w:fill="auto"/>
            <w:vAlign w:val="center"/>
          </w:tcPr>
          <w:p w:rsidR="000634AC" w:rsidRPr="00E2771E" w:rsidRDefault="000634AC" w:rsidP="009107D8">
            <w:pPr>
              <w:jc w:val="left"/>
              <w:rPr>
                <w:rFonts w:ascii="Arial Narrow" w:hAnsi="Arial Narrow"/>
                <w:b/>
                <w:sz w:val="20"/>
                <w:lang w:val="en-US"/>
              </w:rPr>
            </w:pPr>
            <w:r w:rsidRPr="006D4C18">
              <w:rPr>
                <w:rFonts w:ascii="Arial Narrow" w:hAnsi="Arial Narrow"/>
                <w:b/>
                <w:sz w:val="20"/>
                <w:lang w:val="en-US"/>
              </w:rPr>
              <w:t>Selexipag</w:t>
            </w:r>
            <w:r>
              <w:rPr>
                <w:rFonts w:ascii="Arial Narrow" w:hAnsi="Arial Narrow"/>
                <w:b/>
                <w:sz w:val="20"/>
                <w:lang w:val="en-US"/>
              </w:rPr>
              <w:t xml:space="preserve"> ± BGT</w:t>
            </w:r>
            <w:r w:rsidRPr="00E2771E">
              <w:rPr>
                <w:rFonts w:ascii="Arial Narrow" w:hAnsi="Arial Narrow"/>
                <w:b/>
                <w:sz w:val="20"/>
                <w:lang w:val="en-US"/>
              </w:rPr>
              <w:t xml:space="preserve"> vs. </w:t>
            </w:r>
            <w:r>
              <w:rPr>
                <w:rFonts w:ascii="Arial Narrow" w:hAnsi="Arial Narrow"/>
                <w:b/>
                <w:sz w:val="20"/>
                <w:lang w:val="en-US"/>
              </w:rPr>
              <w:t>placebo ± BGT</w:t>
            </w:r>
          </w:p>
        </w:tc>
      </w:tr>
      <w:tr w:rsidR="000634AC" w:rsidRPr="00E2771E" w:rsidTr="009107D8">
        <w:tc>
          <w:tcPr>
            <w:tcW w:w="592" w:type="pct"/>
            <w:shd w:val="clear" w:color="auto" w:fill="auto"/>
            <w:vAlign w:val="center"/>
          </w:tcPr>
          <w:p w:rsidR="000634AC" w:rsidRPr="00E2771E" w:rsidRDefault="000634AC" w:rsidP="009107D8">
            <w:pPr>
              <w:jc w:val="left"/>
              <w:rPr>
                <w:rFonts w:ascii="Arial Narrow" w:hAnsi="Arial Narrow"/>
                <w:sz w:val="20"/>
                <w:lang w:val="en-US"/>
              </w:rPr>
            </w:pPr>
            <w:r>
              <w:rPr>
                <w:rFonts w:ascii="Arial Narrow" w:hAnsi="Arial Narrow"/>
                <w:sz w:val="20"/>
                <w:lang w:val="en-US"/>
              </w:rPr>
              <w:t>GRIPHON</w:t>
            </w:r>
          </w:p>
        </w:tc>
        <w:tc>
          <w:tcPr>
            <w:tcW w:w="425" w:type="pct"/>
            <w:shd w:val="clear" w:color="auto" w:fill="auto"/>
            <w:vAlign w:val="center"/>
          </w:tcPr>
          <w:p w:rsidR="000634AC" w:rsidRPr="00E2771E" w:rsidRDefault="000634AC" w:rsidP="009107D8">
            <w:pPr>
              <w:jc w:val="center"/>
              <w:rPr>
                <w:rFonts w:ascii="Arial Narrow" w:hAnsi="Arial Narrow"/>
                <w:sz w:val="20"/>
                <w:lang w:val="en-US"/>
              </w:rPr>
            </w:pPr>
            <w:r>
              <w:rPr>
                <w:rFonts w:ascii="Arial Narrow" w:hAnsi="Arial Narrow"/>
                <w:sz w:val="20"/>
                <w:lang w:val="en-US"/>
              </w:rPr>
              <w:t>1,156</w:t>
            </w:r>
          </w:p>
        </w:tc>
        <w:tc>
          <w:tcPr>
            <w:tcW w:w="931" w:type="pct"/>
            <w:shd w:val="clear" w:color="auto" w:fill="auto"/>
            <w:vAlign w:val="center"/>
          </w:tcPr>
          <w:p w:rsidR="000634AC" w:rsidRPr="00E2771E" w:rsidRDefault="000634AC" w:rsidP="009107D8">
            <w:pPr>
              <w:jc w:val="center"/>
              <w:rPr>
                <w:rFonts w:ascii="Arial Narrow" w:hAnsi="Arial Narrow"/>
                <w:sz w:val="20"/>
                <w:lang w:val="en-US"/>
              </w:rPr>
            </w:pPr>
            <w:r>
              <w:rPr>
                <w:rFonts w:ascii="Arial Narrow" w:hAnsi="Arial Narrow"/>
                <w:sz w:val="20"/>
                <w:lang w:val="en-US"/>
              </w:rPr>
              <w:t xml:space="preserve">MC, </w:t>
            </w:r>
            <w:r w:rsidRPr="00E2771E">
              <w:rPr>
                <w:rFonts w:ascii="Arial Narrow" w:hAnsi="Arial Narrow"/>
                <w:sz w:val="20"/>
                <w:lang w:val="en-US"/>
              </w:rPr>
              <w:t>R, DB</w:t>
            </w:r>
          </w:p>
          <w:p w:rsidR="000634AC" w:rsidRPr="006D4C18" w:rsidRDefault="000634AC" w:rsidP="009107D8">
            <w:pPr>
              <w:jc w:val="center"/>
              <w:rPr>
                <w:rFonts w:ascii="Arial Narrow" w:hAnsi="Arial Narrow"/>
                <w:sz w:val="20"/>
                <w:vertAlign w:val="superscript"/>
                <w:lang w:val="en-US"/>
              </w:rPr>
            </w:pPr>
            <w:r>
              <w:rPr>
                <w:rFonts w:ascii="Arial Narrow" w:hAnsi="Arial Narrow"/>
                <w:sz w:val="20"/>
                <w:lang w:val="en-US"/>
              </w:rPr>
              <w:t>71/64 weeks</w:t>
            </w:r>
            <w:r>
              <w:rPr>
                <w:rFonts w:ascii="Arial Narrow" w:hAnsi="Arial Narrow"/>
                <w:sz w:val="20"/>
                <w:vertAlign w:val="superscript"/>
                <w:lang w:val="en-US"/>
              </w:rPr>
              <w:t>a</w:t>
            </w:r>
          </w:p>
        </w:tc>
        <w:tc>
          <w:tcPr>
            <w:tcW w:w="594" w:type="pct"/>
            <w:shd w:val="clear" w:color="auto" w:fill="auto"/>
            <w:vAlign w:val="center"/>
          </w:tcPr>
          <w:p w:rsidR="000634AC" w:rsidRPr="00CC3258" w:rsidRDefault="000634AC" w:rsidP="009107D8">
            <w:pPr>
              <w:jc w:val="center"/>
              <w:rPr>
                <w:rFonts w:ascii="Arial Narrow" w:hAnsi="Arial Narrow"/>
                <w:sz w:val="20"/>
                <w:vertAlign w:val="superscript"/>
                <w:lang w:val="en-US"/>
              </w:rPr>
            </w:pPr>
            <w:r>
              <w:rPr>
                <w:rFonts w:ascii="Arial Narrow" w:hAnsi="Arial Narrow"/>
                <w:sz w:val="20"/>
                <w:lang w:val="en-US"/>
              </w:rPr>
              <w:t>Low</w:t>
            </w:r>
            <w:r w:rsidRPr="00980B09">
              <w:rPr>
                <w:rFonts w:ascii="Arial Narrow" w:hAnsi="Arial Narrow"/>
                <w:sz w:val="20"/>
                <w:vertAlign w:val="superscript"/>
                <w:lang w:val="en-US"/>
              </w:rPr>
              <w:t>b</w:t>
            </w:r>
          </w:p>
        </w:tc>
        <w:tc>
          <w:tcPr>
            <w:tcW w:w="933" w:type="pct"/>
            <w:shd w:val="clear" w:color="auto" w:fill="auto"/>
            <w:vAlign w:val="center"/>
          </w:tcPr>
          <w:p w:rsidR="000634AC" w:rsidRDefault="000634AC" w:rsidP="009107D8">
            <w:pPr>
              <w:jc w:val="center"/>
              <w:rPr>
                <w:rFonts w:ascii="Arial Narrow" w:hAnsi="Arial Narrow"/>
                <w:sz w:val="20"/>
                <w:lang w:val="en-US"/>
              </w:rPr>
            </w:pPr>
            <w:r>
              <w:rPr>
                <w:rFonts w:ascii="Arial Narrow" w:hAnsi="Arial Narrow"/>
                <w:sz w:val="20"/>
                <w:lang w:val="en-US"/>
              </w:rPr>
              <w:t>WHO FC I-IV</w:t>
            </w:r>
          </w:p>
          <w:p w:rsidR="000634AC" w:rsidRPr="00E2771E" w:rsidRDefault="000634AC" w:rsidP="009107D8">
            <w:pPr>
              <w:jc w:val="center"/>
              <w:rPr>
                <w:rFonts w:ascii="Arial Narrow" w:hAnsi="Arial Narrow"/>
                <w:sz w:val="20"/>
                <w:lang w:val="en-US"/>
              </w:rPr>
            </w:pPr>
            <w:r>
              <w:rPr>
                <w:rFonts w:ascii="Arial Narrow" w:hAnsi="Arial Narrow"/>
                <w:sz w:val="20"/>
                <w:lang w:val="en-US"/>
              </w:rPr>
              <w:t>Treatment naive or receiving other PAH specific treatment</w:t>
            </w:r>
          </w:p>
        </w:tc>
        <w:tc>
          <w:tcPr>
            <w:tcW w:w="763" w:type="pct"/>
            <w:shd w:val="clear" w:color="auto" w:fill="auto"/>
            <w:vAlign w:val="center"/>
          </w:tcPr>
          <w:p w:rsidR="000634AC" w:rsidRPr="00B4411F" w:rsidRDefault="000634AC" w:rsidP="009107D8">
            <w:pPr>
              <w:jc w:val="center"/>
              <w:rPr>
                <w:rFonts w:ascii="Arial Narrow" w:hAnsi="Arial Narrow"/>
                <w:sz w:val="20"/>
                <w:vertAlign w:val="superscript"/>
                <w:lang w:val="en-US"/>
              </w:rPr>
            </w:pPr>
            <w:r>
              <w:rPr>
                <w:rFonts w:ascii="Arial Narrow" w:hAnsi="Arial Narrow"/>
                <w:sz w:val="20"/>
                <w:lang w:val="en-US"/>
              </w:rPr>
              <w:t>Time to first morbidity or mortality (MM) event</w:t>
            </w:r>
            <w:r>
              <w:rPr>
                <w:rFonts w:ascii="Arial Narrow" w:hAnsi="Arial Narrow"/>
                <w:sz w:val="20"/>
                <w:vertAlign w:val="superscript"/>
                <w:lang w:val="en-US"/>
              </w:rPr>
              <w:t>c</w:t>
            </w:r>
          </w:p>
        </w:tc>
        <w:tc>
          <w:tcPr>
            <w:tcW w:w="761" w:type="pct"/>
            <w:shd w:val="clear" w:color="auto" w:fill="auto"/>
            <w:vAlign w:val="center"/>
          </w:tcPr>
          <w:p w:rsidR="000634AC" w:rsidRPr="00E2771E" w:rsidRDefault="000634AC" w:rsidP="009107D8">
            <w:pPr>
              <w:jc w:val="center"/>
              <w:rPr>
                <w:rFonts w:ascii="Arial Narrow" w:hAnsi="Arial Narrow"/>
                <w:sz w:val="20"/>
                <w:lang w:val="en-US"/>
              </w:rPr>
            </w:pPr>
            <w:r>
              <w:rPr>
                <w:rFonts w:ascii="Arial Narrow" w:hAnsi="Arial Narrow"/>
                <w:sz w:val="20"/>
                <w:lang w:val="en-US"/>
              </w:rPr>
              <w:t>First MM event rate</w:t>
            </w:r>
          </w:p>
        </w:tc>
      </w:tr>
    </w:tbl>
    <w:p w:rsidR="000634AC" w:rsidRDefault="000634AC" w:rsidP="000634AC">
      <w:pPr>
        <w:pStyle w:val="TableFooter"/>
        <w:ind w:left="709"/>
      </w:pPr>
      <w:r>
        <w:t xml:space="preserve">BGT = background therapy; </w:t>
      </w:r>
      <w:r w:rsidRPr="0072416F">
        <w:t>DB=double blind; MC=multi-centre;</w:t>
      </w:r>
      <w:r>
        <w:t xml:space="preserve"> MM = morbidity or mortality; PAH = pulmonary arterial hypertension;</w:t>
      </w:r>
      <w:r w:rsidRPr="0072416F">
        <w:t xml:space="preserve"> R=randomised</w:t>
      </w:r>
      <w:r w:rsidR="001729A0">
        <w:t>; WHO FC = World Health Organiz</w:t>
      </w:r>
      <w:r>
        <w:t>ation Functional class</w:t>
      </w:r>
      <w:r w:rsidRPr="0072416F">
        <w:t>.</w:t>
      </w:r>
    </w:p>
    <w:p w:rsidR="000634AC" w:rsidRDefault="000634AC" w:rsidP="000634AC">
      <w:pPr>
        <w:pStyle w:val="TableFooter"/>
        <w:ind w:left="709"/>
      </w:pPr>
      <w:r w:rsidRPr="00D161E9">
        <w:rPr>
          <w:vertAlign w:val="superscript"/>
        </w:rPr>
        <w:t>a</w:t>
      </w:r>
      <w:r>
        <w:t xml:space="preserve"> Median duration of study treatment in the </w:t>
      </w:r>
      <w:r w:rsidRPr="008646A7">
        <w:t>selexipag</w:t>
      </w:r>
      <w:r>
        <w:t>/placebo treatment arms.</w:t>
      </w:r>
    </w:p>
    <w:p w:rsidR="000634AC" w:rsidRPr="00CC3258" w:rsidRDefault="000634AC" w:rsidP="000634AC">
      <w:pPr>
        <w:pStyle w:val="TableFooter"/>
        <w:ind w:left="709"/>
      </w:pPr>
      <w:r w:rsidRPr="00D161E9">
        <w:rPr>
          <w:vertAlign w:val="superscript"/>
        </w:rPr>
        <w:t>b</w:t>
      </w:r>
      <w:r w:rsidRPr="003671A0">
        <w:t xml:space="preserve"> </w:t>
      </w:r>
      <w:r>
        <w:t>While d</w:t>
      </w:r>
      <w:r w:rsidRPr="0053466A">
        <w:t>ifferent rates of censoring between the randomised groups biased the results of the primary outcome</w:t>
      </w:r>
      <w:r>
        <w:t>,</w:t>
      </w:r>
      <w:r w:rsidRPr="0053466A">
        <w:t xml:space="preserve"> favouring selexipag</w:t>
      </w:r>
      <w:r>
        <w:t xml:space="preserve">, sensitivity analyses indicated that the conclusion of superiority for </w:t>
      </w:r>
      <w:r w:rsidRPr="008646A7">
        <w:t>selexipag</w:t>
      </w:r>
      <w:r>
        <w:t xml:space="preserve"> ± BGT over placebo ± BGT was robust</w:t>
      </w:r>
      <w:r w:rsidRPr="0053466A">
        <w:t>.</w:t>
      </w:r>
    </w:p>
    <w:p w:rsidR="000634AC" w:rsidRPr="00B6382A" w:rsidRDefault="000634AC" w:rsidP="000634AC">
      <w:pPr>
        <w:pStyle w:val="TableFooter"/>
        <w:ind w:left="709"/>
      </w:pPr>
      <w:r w:rsidRPr="00D161E9">
        <w:rPr>
          <w:vertAlign w:val="superscript"/>
        </w:rPr>
        <w:t>c</w:t>
      </w:r>
      <w:r w:rsidRPr="003372F6">
        <w:t xml:space="preserve"> </w:t>
      </w:r>
      <w:r w:rsidRPr="00CC3258">
        <w:t>Composite</w:t>
      </w:r>
      <w:r>
        <w:t xml:space="preserve"> outcome </w:t>
      </w:r>
      <w:r w:rsidRPr="004C06A1">
        <w:t>including (see below)</w:t>
      </w:r>
    </w:p>
    <w:p w:rsidR="000634AC" w:rsidRPr="0072416F" w:rsidRDefault="000634AC" w:rsidP="000634AC">
      <w:pPr>
        <w:pStyle w:val="TableFooter"/>
        <w:ind w:left="709"/>
      </w:pPr>
      <w:r w:rsidRPr="0072416F">
        <w:t xml:space="preserve">Source: </w:t>
      </w:r>
      <w:r>
        <w:t>Table 2, 5.11 selexipag public summary document, March 2016 PBAC meeting</w:t>
      </w:r>
    </w:p>
    <w:p w:rsidR="000634AC" w:rsidRPr="00F4213A" w:rsidRDefault="000634AC" w:rsidP="000634AC">
      <w:pPr>
        <w:pStyle w:val="ListParagraph"/>
        <w:widowControl/>
        <w:rPr>
          <w:szCs w:val="22"/>
        </w:rPr>
      </w:pPr>
    </w:p>
    <w:p w:rsidR="000634AC" w:rsidRPr="00F4213A" w:rsidRDefault="000634AC" w:rsidP="0074367D">
      <w:pPr>
        <w:pStyle w:val="ListParagraph"/>
        <w:widowControl/>
        <w:numPr>
          <w:ilvl w:val="1"/>
          <w:numId w:val="2"/>
        </w:numPr>
        <w:rPr>
          <w:szCs w:val="22"/>
        </w:rPr>
      </w:pPr>
      <w:r w:rsidRPr="00F4213A">
        <w:rPr>
          <w:szCs w:val="22"/>
        </w:rPr>
        <w:t>The primary outcome in the GRIPHON trial was time to first Critical Event Committee (CEC)-confirmed morbidity or mortality (MM) event up to end-of-treatment (EOT) plus 7 days. This composite outcome included the following component endpoints:</w:t>
      </w:r>
    </w:p>
    <w:p w:rsidR="000634AC" w:rsidRPr="00F4213A" w:rsidRDefault="000634AC" w:rsidP="0074367D">
      <w:pPr>
        <w:pStyle w:val="ListParagraph"/>
        <w:numPr>
          <w:ilvl w:val="0"/>
          <w:numId w:val="6"/>
        </w:numPr>
      </w:pPr>
      <w:r w:rsidRPr="00F4213A">
        <w:t>All-cause mortality;</w:t>
      </w:r>
    </w:p>
    <w:p w:rsidR="000634AC" w:rsidRPr="00F4213A" w:rsidRDefault="000634AC" w:rsidP="0074367D">
      <w:pPr>
        <w:pStyle w:val="ListParagraph"/>
        <w:numPr>
          <w:ilvl w:val="0"/>
          <w:numId w:val="6"/>
        </w:numPr>
      </w:pPr>
      <w:r w:rsidRPr="00F4213A">
        <w:t>Hospitalisation for worsening PAH;</w:t>
      </w:r>
    </w:p>
    <w:p w:rsidR="000634AC" w:rsidRPr="00F4213A" w:rsidRDefault="000634AC" w:rsidP="0074367D">
      <w:pPr>
        <w:pStyle w:val="ListParagraph"/>
        <w:numPr>
          <w:ilvl w:val="0"/>
          <w:numId w:val="6"/>
        </w:numPr>
      </w:pPr>
      <w:r w:rsidRPr="00F4213A">
        <w:t>Worsening of PAH resulting in need for lung transplantation or balloon atrial septostomy;</w:t>
      </w:r>
    </w:p>
    <w:p w:rsidR="000634AC" w:rsidRPr="00F4213A" w:rsidRDefault="000634AC" w:rsidP="0074367D">
      <w:pPr>
        <w:pStyle w:val="ListParagraph"/>
        <w:numPr>
          <w:ilvl w:val="0"/>
          <w:numId w:val="6"/>
        </w:numPr>
      </w:pPr>
      <w:r w:rsidRPr="00F4213A">
        <w:t xml:space="preserve">Initiation of parenteral prostanoid therapy or chronic oxygen therapy due to worsening PAH; and </w:t>
      </w:r>
    </w:p>
    <w:p w:rsidR="000634AC" w:rsidRPr="00F4213A" w:rsidRDefault="000634AC" w:rsidP="0074367D">
      <w:pPr>
        <w:pStyle w:val="ListParagraph"/>
        <w:numPr>
          <w:ilvl w:val="0"/>
          <w:numId w:val="6"/>
        </w:numPr>
      </w:pPr>
      <w:r w:rsidRPr="00F4213A">
        <w:t xml:space="preserve">Disease progression, confirmed by decrease in 6 minute walk distance (6MWD) from baseline of at least 15%, and either worsening of WHO FC or need for additional PAH specific therapy (depending on WHO FC at baseline). </w:t>
      </w:r>
    </w:p>
    <w:p w:rsidR="000634AC" w:rsidRPr="00F4213A" w:rsidRDefault="000634AC" w:rsidP="000634AC">
      <w:pPr>
        <w:ind w:left="709"/>
      </w:pPr>
    </w:p>
    <w:p w:rsidR="000634AC" w:rsidRDefault="000634AC" w:rsidP="000634AC">
      <w:pPr>
        <w:ind w:left="709"/>
      </w:pPr>
      <w:r w:rsidRPr="00F4213A">
        <w:t>The PBAC previously considered the time to first MM event a more patient relevant outcome than the 6MWD (</w:t>
      </w:r>
      <w:r w:rsidR="00D67A8A">
        <w:t>5.11 m</w:t>
      </w:r>
      <w:r w:rsidRPr="00F4213A">
        <w:t xml:space="preserve">acitentan PSD, March 2014 PBAC meeting). </w:t>
      </w:r>
      <w:r>
        <w:t>However, the PBAC stated that the use of a composite outcome where</w:t>
      </w:r>
      <w:r w:rsidR="00FD0668">
        <w:t>, for example,</w:t>
      </w:r>
      <w:r>
        <w:t xml:space="preserve"> death has the same clinical relevance as hospitalisation made the results difficult to interpret</w:t>
      </w:r>
      <w:r w:rsidR="003A56A0">
        <w:t>.  The PBAC</w:t>
      </w:r>
      <w:r>
        <w:t xml:space="preserve"> stated that a translation of the time to first MM event to life-years gained or </w:t>
      </w:r>
      <w:r w:rsidR="00F51D2D">
        <w:t>quality-adjusted life-years (</w:t>
      </w:r>
      <w:r>
        <w:t>QALYs</w:t>
      </w:r>
      <w:r w:rsidR="00F51D2D">
        <w:t>)</w:t>
      </w:r>
      <w:r>
        <w:t xml:space="preserve"> would be </w:t>
      </w:r>
      <w:r w:rsidR="00195439">
        <w:t xml:space="preserve">more </w:t>
      </w:r>
      <w:r w:rsidRPr="00D67A8A">
        <w:t>informative (</w:t>
      </w:r>
      <w:r w:rsidR="00D67A8A" w:rsidRPr="00D67A8A">
        <w:t>5.11 selexipag PSD, March 2016 PBAC meeting</w:t>
      </w:r>
      <w:r w:rsidRPr="00D67A8A">
        <w:t>).</w:t>
      </w:r>
    </w:p>
    <w:p w:rsidR="000634AC" w:rsidRDefault="000634AC" w:rsidP="000634AC">
      <w:pPr>
        <w:ind w:left="709"/>
      </w:pPr>
    </w:p>
    <w:p w:rsidR="000634AC" w:rsidRPr="005D100E" w:rsidRDefault="000634AC" w:rsidP="0074367D">
      <w:pPr>
        <w:pStyle w:val="ListParagraph"/>
        <w:widowControl/>
        <w:numPr>
          <w:ilvl w:val="1"/>
          <w:numId w:val="2"/>
        </w:numPr>
        <w:rPr>
          <w:szCs w:val="22"/>
        </w:rPr>
      </w:pPr>
      <w:r w:rsidRPr="00F4213A">
        <w:rPr>
          <w:szCs w:val="22"/>
        </w:rPr>
        <w:t xml:space="preserve">The outcomes of the key </w:t>
      </w:r>
      <w:r w:rsidRPr="005D100E">
        <w:rPr>
          <w:szCs w:val="22"/>
        </w:rPr>
        <w:t>trial were subject to the following limitations:</w:t>
      </w:r>
    </w:p>
    <w:p w:rsidR="000634AC" w:rsidRPr="005D100E" w:rsidRDefault="000634AC" w:rsidP="0074367D">
      <w:pPr>
        <w:pStyle w:val="ListParagraph"/>
        <w:numPr>
          <w:ilvl w:val="0"/>
          <w:numId w:val="4"/>
        </w:numPr>
        <w:ind w:left="1418"/>
      </w:pPr>
      <w:r w:rsidRPr="005D100E">
        <w:t xml:space="preserve">Patients who experienced a non-fatal primary endpoint event may have ceased </w:t>
      </w:r>
      <w:r w:rsidR="00E519FD" w:rsidRPr="005D100E">
        <w:t>study</w:t>
      </w:r>
      <w:r w:rsidRPr="005D100E">
        <w:t xml:space="preserve"> treatment. Consequently, time-to-event data may have been compromised by censoring for subsequent components of the composite endpoint; and</w:t>
      </w:r>
    </w:p>
    <w:p w:rsidR="000634AC" w:rsidRPr="005D100E" w:rsidRDefault="000634AC" w:rsidP="0074367D">
      <w:pPr>
        <w:pStyle w:val="ListParagraph"/>
        <w:numPr>
          <w:ilvl w:val="0"/>
          <w:numId w:val="4"/>
        </w:numPr>
        <w:ind w:left="1418"/>
      </w:pPr>
      <w:r w:rsidRPr="005D100E">
        <w:t xml:space="preserve">Patients who discontinued treatment early (before study closure) without a primary outcome event, including for reasons such as discontinuation due to adverse events, were censored at this time point, rather than being followed to the end of the study. In the intention-to-treat (ITT) population, 22.6% of patients in the selexipag ± </w:t>
      </w:r>
      <w:r w:rsidR="0079629E" w:rsidRPr="005D100E">
        <w:t>background therapy (</w:t>
      </w:r>
      <w:r w:rsidRPr="005D100E">
        <w:t>BGT</w:t>
      </w:r>
      <w:r w:rsidR="0079629E" w:rsidRPr="005D100E">
        <w:t>)</w:t>
      </w:r>
      <w:r w:rsidRPr="005D100E">
        <w:t xml:space="preserve"> treatment group and 15.1% in the placebo ± BGT group were censored early. This differential censoring biased the treatment effect estimates in favour of selexipag.</w:t>
      </w:r>
      <w:r w:rsidR="006B2EF2" w:rsidRPr="005D100E">
        <w:t xml:space="preserve"> The ESC acknow</w:t>
      </w:r>
      <w:r w:rsidR="00392E90">
        <w:t>ledged the comments in the PSCR</w:t>
      </w:r>
      <w:r w:rsidR="006B2EF2" w:rsidRPr="005D100E">
        <w:t xml:space="preserve"> around aspects of trial design that might have biased the results of GRIPHON against selexipag, and considered that these issues added to the overall uncertainty around the trial results.</w:t>
      </w:r>
    </w:p>
    <w:p w:rsidR="000634AC" w:rsidRPr="0085338D" w:rsidRDefault="000634AC" w:rsidP="000634AC"/>
    <w:p w:rsidR="000634AC" w:rsidRPr="005D100E" w:rsidRDefault="00B879EA" w:rsidP="0074367D">
      <w:pPr>
        <w:pStyle w:val="ListParagraph"/>
        <w:widowControl/>
        <w:numPr>
          <w:ilvl w:val="1"/>
          <w:numId w:val="2"/>
        </w:numPr>
        <w:rPr>
          <w:szCs w:val="22"/>
        </w:rPr>
      </w:pPr>
      <w:r w:rsidRPr="00147F9A">
        <w:rPr>
          <w:iCs/>
          <w:szCs w:val="22"/>
        </w:rPr>
        <w:t>The re</w:t>
      </w:r>
      <w:r w:rsidR="000634AC" w:rsidRPr="00147F9A">
        <w:rPr>
          <w:iCs/>
          <w:szCs w:val="22"/>
        </w:rPr>
        <w:t>submission presented an alternative composite outcome defined by the Committee for Medicinal Products for Human Use (CHMP). The CHMP-defined MM components were: death, hospitalisations for PAH worsening</w:t>
      </w:r>
      <w:r w:rsidR="00E519FD" w:rsidRPr="00147F9A">
        <w:rPr>
          <w:iCs/>
          <w:szCs w:val="22"/>
        </w:rPr>
        <w:t>,</w:t>
      </w:r>
      <w:r w:rsidR="000634AC" w:rsidRPr="00147F9A">
        <w:rPr>
          <w:iCs/>
          <w:szCs w:val="22"/>
        </w:rPr>
        <w:t xml:space="preserve"> increase in WHO FC</w:t>
      </w:r>
      <w:r w:rsidR="00E519FD" w:rsidRPr="00147F9A">
        <w:rPr>
          <w:iCs/>
          <w:szCs w:val="22"/>
        </w:rPr>
        <w:t>,</w:t>
      </w:r>
      <w:r w:rsidR="000634AC" w:rsidRPr="00147F9A">
        <w:rPr>
          <w:iCs/>
          <w:szCs w:val="22"/>
        </w:rPr>
        <w:t xml:space="preserve"> signs/symptoms of </w:t>
      </w:r>
      <w:r w:rsidR="000634AC" w:rsidRPr="005D100E">
        <w:rPr>
          <w:iCs/>
          <w:szCs w:val="22"/>
        </w:rPr>
        <w:t>right-sided heart failure</w:t>
      </w:r>
      <w:r w:rsidR="00450610" w:rsidRPr="005D100E">
        <w:rPr>
          <w:iCs/>
          <w:szCs w:val="22"/>
        </w:rPr>
        <w:t xml:space="preserve"> (RHF)</w:t>
      </w:r>
      <w:r w:rsidR="000634AC" w:rsidRPr="005D100E">
        <w:rPr>
          <w:iCs/>
          <w:szCs w:val="22"/>
        </w:rPr>
        <w:t xml:space="preserve"> </w:t>
      </w:r>
      <w:r w:rsidR="00E519FD" w:rsidRPr="005D100E">
        <w:rPr>
          <w:iCs/>
          <w:szCs w:val="22"/>
        </w:rPr>
        <w:t>and</w:t>
      </w:r>
      <w:r w:rsidR="000634AC" w:rsidRPr="005D100E">
        <w:rPr>
          <w:iCs/>
          <w:szCs w:val="22"/>
        </w:rPr>
        <w:t xml:space="preserve"> ≥ 15% decrease in 6MWD from baseline. </w:t>
      </w:r>
      <w:r w:rsidR="00A35D23" w:rsidRPr="005D100E">
        <w:rPr>
          <w:iCs/>
          <w:szCs w:val="22"/>
        </w:rPr>
        <w:t xml:space="preserve">The CHMP composite outcome </w:t>
      </w:r>
      <w:r w:rsidR="00450610" w:rsidRPr="005D100E">
        <w:rPr>
          <w:iCs/>
          <w:szCs w:val="22"/>
        </w:rPr>
        <w:t>differs from</w:t>
      </w:r>
      <w:r w:rsidR="002E560E" w:rsidRPr="005D100E">
        <w:rPr>
          <w:iCs/>
          <w:szCs w:val="22"/>
        </w:rPr>
        <w:t xml:space="preserve"> the </w:t>
      </w:r>
      <w:r w:rsidR="000634AC" w:rsidRPr="005D100E">
        <w:rPr>
          <w:iCs/>
          <w:szCs w:val="22"/>
        </w:rPr>
        <w:t xml:space="preserve">primary outcome and is subject to the same limitations of the primary outcome discussed above. </w:t>
      </w:r>
      <w:r w:rsidR="00450610" w:rsidRPr="005D100E">
        <w:rPr>
          <w:iCs/>
          <w:szCs w:val="22"/>
        </w:rPr>
        <w:t>The ESC noted that the main differences were that initiation of chronic oxygen or parenteral prostanoid therapy</w:t>
      </w:r>
      <w:r w:rsidR="00A139E7" w:rsidRPr="005D100E">
        <w:rPr>
          <w:iCs/>
          <w:szCs w:val="22"/>
        </w:rPr>
        <w:t xml:space="preserve"> or the need for lung transplantation or balloon atrial septostomy</w:t>
      </w:r>
      <w:r w:rsidR="00450610" w:rsidRPr="005D100E">
        <w:rPr>
          <w:iCs/>
          <w:szCs w:val="22"/>
        </w:rPr>
        <w:t xml:space="preserve"> in the study definition of MM was</w:t>
      </w:r>
      <w:r w:rsidR="00BF55E6" w:rsidRPr="005D100E">
        <w:rPr>
          <w:iCs/>
          <w:szCs w:val="22"/>
        </w:rPr>
        <w:t xml:space="preserve"> </w:t>
      </w:r>
      <w:r w:rsidR="00450610" w:rsidRPr="005D100E">
        <w:rPr>
          <w:iCs/>
          <w:szCs w:val="22"/>
        </w:rPr>
        <w:t>replaced by signs/symptoms of RHF</w:t>
      </w:r>
      <w:r w:rsidR="00A139E7" w:rsidRPr="005D100E">
        <w:rPr>
          <w:iCs/>
          <w:szCs w:val="22"/>
        </w:rPr>
        <w:t xml:space="preserve"> in the CHMP-defined MM</w:t>
      </w:r>
      <w:r w:rsidR="00450610" w:rsidRPr="005D100E">
        <w:rPr>
          <w:iCs/>
          <w:szCs w:val="22"/>
        </w:rPr>
        <w:t xml:space="preserve">. </w:t>
      </w:r>
      <w:r w:rsidR="00A92F38" w:rsidRPr="005D100E">
        <w:rPr>
          <w:iCs/>
          <w:szCs w:val="22"/>
        </w:rPr>
        <w:t>The estimates of the CHMP composite outcome and its individual components had a risk of bias</w:t>
      </w:r>
      <w:r w:rsidR="00A139E7" w:rsidRPr="005D100E">
        <w:rPr>
          <w:iCs/>
          <w:szCs w:val="22"/>
        </w:rPr>
        <w:t xml:space="preserve"> especially in the retrospective diagnosis of RHF</w:t>
      </w:r>
      <w:r w:rsidR="00A92F38" w:rsidRPr="005D100E">
        <w:rPr>
          <w:iCs/>
          <w:szCs w:val="22"/>
        </w:rPr>
        <w:t>.</w:t>
      </w:r>
    </w:p>
    <w:p w:rsidR="000634AC" w:rsidRPr="005D100E" w:rsidRDefault="000634AC" w:rsidP="000634AC">
      <w:pPr>
        <w:widowControl/>
        <w:rPr>
          <w:szCs w:val="22"/>
        </w:rPr>
      </w:pPr>
    </w:p>
    <w:p w:rsidR="000634AC" w:rsidRPr="005D100E" w:rsidRDefault="000634AC" w:rsidP="0074367D">
      <w:pPr>
        <w:pStyle w:val="ListParagraph"/>
        <w:widowControl/>
        <w:numPr>
          <w:ilvl w:val="1"/>
          <w:numId w:val="2"/>
        </w:numPr>
        <w:rPr>
          <w:szCs w:val="22"/>
        </w:rPr>
      </w:pPr>
      <w:r w:rsidRPr="005D100E">
        <w:rPr>
          <w:iCs/>
          <w:szCs w:val="22"/>
        </w:rPr>
        <w:t xml:space="preserve">The </w:t>
      </w:r>
      <w:r w:rsidR="00F801E3" w:rsidRPr="005D100E">
        <w:rPr>
          <w:iCs/>
          <w:szCs w:val="22"/>
        </w:rPr>
        <w:t>resubmission</w:t>
      </w:r>
      <w:r w:rsidRPr="005D100E">
        <w:rPr>
          <w:iCs/>
          <w:szCs w:val="22"/>
        </w:rPr>
        <w:t xml:space="preserve"> also presented time to first event for individual </w:t>
      </w:r>
      <w:r w:rsidR="00E519FD" w:rsidRPr="005D100E">
        <w:rPr>
          <w:iCs/>
          <w:szCs w:val="22"/>
        </w:rPr>
        <w:t>morbidity</w:t>
      </w:r>
      <w:r w:rsidRPr="005D100E">
        <w:rPr>
          <w:iCs/>
          <w:szCs w:val="22"/>
        </w:rPr>
        <w:t xml:space="preserve"> components of the CHMP composite outcome. As patients were only followed to </w:t>
      </w:r>
      <w:r w:rsidR="00E519FD" w:rsidRPr="005D100E">
        <w:rPr>
          <w:iCs/>
          <w:szCs w:val="22"/>
        </w:rPr>
        <w:t>EOT</w:t>
      </w:r>
      <w:r w:rsidRPr="005D100E">
        <w:rPr>
          <w:iCs/>
          <w:szCs w:val="22"/>
        </w:rPr>
        <w:t xml:space="preserve"> + 7 days, events that occurred more than 7 days after treatment discontinuation were not captured. </w:t>
      </w:r>
    </w:p>
    <w:p w:rsidR="000634AC" w:rsidRPr="005D100E" w:rsidRDefault="000634AC" w:rsidP="000634AC">
      <w:pPr>
        <w:pStyle w:val="ListParagraph"/>
        <w:rPr>
          <w:iCs/>
          <w:szCs w:val="22"/>
        </w:rPr>
      </w:pPr>
    </w:p>
    <w:p w:rsidR="000634AC" w:rsidRPr="005D100E" w:rsidRDefault="000634AC" w:rsidP="0074367D">
      <w:pPr>
        <w:pStyle w:val="ListParagraph"/>
        <w:widowControl/>
        <w:numPr>
          <w:ilvl w:val="1"/>
          <w:numId w:val="2"/>
        </w:numPr>
        <w:rPr>
          <w:szCs w:val="22"/>
        </w:rPr>
      </w:pPr>
      <w:r w:rsidRPr="005D100E">
        <w:rPr>
          <w:iCs/>
          <w:szCs w:val="22"/>
        </w:rPr>
        <w:t>Overall su</w:t>
      </w:r>
      <w:r w:rsidR="00B879EA" w:rsidRPr="005D100E">
        <w:rPr>
          <w:iCs/>
          <w:szCs w:val="22"/>
        </w:rPr>
        <w:t>rvival at the end of study was reported</w:t>
      </w:r>
      <w:r w:rsidRPr="005D100E">
        <w:rPr>
          <w:iCs/>
          <w:szCs w:val="22"/>
        </w:rPr>
        <w:t>.</w:t>
      </w:r>
      <w:r w:rsidR="00B879EA" w:rsidRPr="005D100E">
        <w:rPr>
          <w:iCs/>
          <w:szCs w:val="22"/>
        </w:rPr>
        <w:t xml:space="preserve"> This was presented as a secondary outcome in the previous submission.</w:t>
      </w:r>
    </w:p>
    <w:p w:rsidR="000634AC" w:rsidRPr="00882085" w:rsidRDefault="000634AC" w:rsidP="000634AC">
      <w:pPr>
        <w:rPr>
          <w:szCs w:val="22"/>
        </w:rPr>
      </w:pPr>
    </w:p>
    <w:p w:rsidR="000634AC" w:rsidRPr="002C2775" w:rsidRDefault="000634AC" w:rsidP="000634AC">
      <w:pPr>
        <w:pStyle w:val="Heading2"/>
        <w:rPr>
          <w:i/>
        </w:rPr>
      </w:pPr>
      <w:bookmarkStart w:id="11" w:name="_Toc472425777"/>
      <w:r w:rsidRPr="002C2775">
        <w:rPr>
          <w:i/>
        </w:rPr>
        <w:t>Comparative effectiveness</w:t>
      </w:r>
      <w:bookmarkEnd w:id="11"/>
    </w:p>
    <w:p w:rsidR="000634AC" w:rsidRPr="00882085" w:rsidRDefault="000634AC" w:rsidP="000634AC">
      <w:pPr>
        <w:rPr>
          <w:szCs w:val="22"/>
        </w:rPr>
      </w:pPr>
    </w:p>
    <w:p w:rsidR="000634AC" w:rsidRPr="005F135D" w:rsidRDefault="000634AC" w:rsidP="0074367D">
      <w:pPr>
        <w:pStyle w:val="ListParagraph"/>
        <w:widowControl/>
        <w:numPr>
          <w:ilvl w:val="1"/>
          <w:numId w:val="2"/>
        </w:numPr>
        <w:rPr>
          <w:szCs w:val="22"/>
        </w:rPr>
      </w:pPr>
      <w:r w:rsidRPr="005F135D">
        <w:rPr>
          <w:szCs w:val="22"/>
        </w:rPr>
        <w:t xml:space="preserve">Table 3 summarises the results for ITT analysis of time to first CHMP-defined MM event up to EOT </w:t>
      </w:r>
      <w:r w:rsidR="00E519FD">
        <w:rPr>
          <w:szCs w:val="22"/>
        </w:rPr>
        <w:t>+</w:t>
      </w:r>
      <w:r w:rsidRPr="005F135D">
        <w:rPr>
          <w:szCs w:val="22"/>
        </w:rPr>
        <w:t xml:space="preserve"> 7 days.</w:t>
      </w:r>
      <w:r>
        <w:rPr>
          <w:szCs w:val="22"/>
        </w:rPr>
        <w:t xml:space="preserve"> Figure 1 presents the Kaplan-Meier curve of time to first CHMP-defined event for the full analysis set.</w:t>
      </w:r>
    </w:p>
    <w:p w:rsidR="000634AC" w:rsidRDefault="000634AC" w:rsidP="000634AC">
      <w:pPr>
        <w:widowControl/>
        <w:rPr>
          <w:szCs w:val="22"/>
        </w:rPr>
      </w:pPr>
    </w:p>
    <w:p w:rsidR="00211A72" w:rsidRDefault="00211A72">
      <w:pPr>
        <w:widowControl/>
        <w:jc w:val="left"/>
        <w:rPr>
          <w:rFonts w:ascii="Arial Narrow" w:hAnsi="Arial Narrow"/>
          <w:b/>
          <w:bCs/>
          <w:sz w:val="20"/>
          <w:szCs w:val="18"/>
        </w:rPr>
      </w:pPr>
      <w:bookmarkStart w:id="12" w:name="_Ref438454791"/>
      <w:r>
        <w:br w:type="page"/>
      </w:r>
    </w:p>
    <w:p w:rsidR="000634AC" w:rsidRDefault="000634AC" w:rsidP="001729A0">
      <w:pPr>
        <w:pStyle w:val="Caption"/>
        <w:keepNext/>
        <w:keepLines/>
        <w:ind w:left="709"/>
      </w:pPr>
      <w:r>
        <w:t xml:space="preserve">Table </w:t>
      </w:r>
      <w:r>
        <w:rPr>
          <w:noProof/>
        </w:rPr>
        <w:t>3</w:t>
      </w:r>
      <w:bookmarkEnd w:id="12"/>
      <w:r>
        <w:t>: First CHMP-defined MM event and individual CHMP component events up to EOT plus 7 days in the GRIPHON trial (ITT)</w:t>
      </w:r>
    </w:p>
    <w:tbl>
      <w:tblPr>
        <w:tblStyle w:val="TableGrid"/>
        <w:tblW w:w="4619" w:type="pct"/>
        <w:tblInd w:w="737" w:type="dxa"/>
        <w:tblLook w:val="04A0" w:firstRow="1" w:lastRow="0" w:firstColumn="1" w:lastColumn="0" w:noHBand="0" w:noVBand="1"/>
        <w:tblCaption w:val="Table 3: First CHMP-defined MM event and individual CHMP component events up to EOT plus 7 days in the GRIPHON trial (ITT)"/>
      </w:tblPr>
      <w:tblGrid>
        <w:gridCol w:w="3018"/>
        <w:gridCol w:w="1599"/>
        <w:gridCol w:w="1429"/>
        <w:gridCol w:w="2493"/>
      </w:tblGrid>
      <w:tr w:rsidR="000634AC" w:rsidRPr="005853B8" w:rsidTr="00B56909">
        <w:trPr>
          <w:tblHeader/>
        </w:trPr>
        <w:tc>
          <w:tcPr>
            <w:tcW w:w="1767" w:type="pct"/>
            <w:vAlign w:val="center"/>
          </w:tcPr>
          <w:p w:rsidR="000634AC" w:rsidRPr="005853B8" w:rsidRDefault="000634AC" w:rsidP="009107D8">
            <w:pPr>
              <w:pStyle w:val="Tabletext"/>
              <w:keepNext/>
              <w:keepLines/>
              <w:rPr>
                <w:b/>
              </w:rPr>
            </w:pPr>
          </w:p>
        </w:tc>
        <w:tc>
          <w:tcPr>
            <w:tcW w:w="936" w:type="pct"/>
            <w:vAlign w:val="center"/>
          </w:tcPr>
          <w:p w:rsidR="000634AC" w:rsidRDefault="000634AC" w:rsidP="009107D8">
            <w:pPr>
              <w:pStyle w:val="Tabletext"/>
              <w:keepNext/>
              <w:keepLines/>
              <w:jc w:val="center"/>
              <w:rPr>
                <w:b/>
              </w:rPr>
            </w:pPr>
            <w:r>
              <w:rPr>
                <w:b/>
              </w:rPr>
              <w:t>Selexipag ± BGT</w:t>
            </w:r>
          </w:p>
          <w:p w:rsidR="000634AC" w:rsidRPr="005853B8" w:rsidRDefault="000634AC" w:rsidP="009107D8">
            <w:pPr>
              <w:pStyle w:val="Tabletext"/>
              <w:keepNext/>
              <w:keepLines/>
              <w:jc w:val="center"/>
              <w:rPr>
                <w:b/>
              </w:rPr>
            </w:pPr>
            <w:r>
              <w:rPr>
                <w:b/>
              </w:rPr>
              <w:t>N=574</w:t>
            </w:r>
          </w:p>
        </w:tc>
        <w:tc>
          <w:tcPr>
            <w:tcW w:w="837" w:type="pct"/>
            <w:vAlign w:val="center"/>
          </w:tcPr>
          <w:p w:rsidR="000634AC" w:rsidRDefault="000634AC" w:rsidP="009107D8">
            <w:pPr>
              <w:pStyle w:val="Tabletext"/>
              <w:keepNext/>
              <w:keepLines/>
              <w:jc w:val="center"/>
              <w:rPr>
                <w:b/>
              </w:rPr>
            </w:pPr>
            <w:r>
              <w:rPr>
                <w:b/>
              </w:rPr>
              <w:t>Placebo ± BGT</w:t>
            </w:r>
          </w:p>
          <w:p w:rsidR="000634AC" w:rsidRPr="005853B8" w:rsidRDefault="000634AC" w:rsidP="009107D8">
            <w:pPr>
              <w:pStyle w:val="Tabletext"/>
              <w:keepNext/>
              <w:keepLines/>
              <w:jc w:val="center"/>
              <w:rPr>
                <w:b/>
              </w:rPr>
            </w:pPr>
            <w:r>
              <w:rPr>
                <w:b/>
              </w:rPr>
              <w:t>N=582</w:t>
            </w:r>
          </w:p>
        </w:tc>
        <w:tc>
          <w:tcPr>
            <w:tcW w:w="1460" w:type="pct"/>
            <w:vAlign w:val="center"/>
          </w:tcPr>
          <w:p w:rsidR="000634AC" w:rsidRDefault="000634AC" w:rsidP="009107D8">
            <w:pPr>
              <w:pStyle w:val="Tabletext"/>
              <w:keepNext/>
              <w:keepLines/>
              <w:jc w:val="center"/>
              <w:rPr>
                <w:b/>
              </w:rPr>
            </w:pPr>
          </w:p>
        </w:tc>
      </w:tr>
      <w:tr w:rsidR="000634AC" w:rsidRPr="00D81506" w:rsidTr="0066452B">
        <w:tc>
          <w:tcPr>
            <w:tcW w:w="1767" w:type="pct"/>
            <w:vAlign w:val="center"/>
          </w:tcPr>
          <w:p w:rsidR="000634AC" w:rsidRPr="00D81506" w:rsidRDefault="000634AC" w:rsidP="009107D8">
            <w:pPr>
              <w:pStyle w:val="Tabletext"/>
              <w:rPr>
                <w:vertAlign w:val="superscript"/>
              </w:rPr>
            </w:pPr>
            <w:r>
              <w:t>Median duration of follow-up, weeks (IQR)</w:t>
            </w:r>
            <w:r>
              <w:rPr>
                <w:vertAlign w:val="superscript"/>
              </w:rPr>
              <w:t>a</w:t>
            </w:r>
          </w:p>
        </w:tc>
        <w:tc>
          <w:tcPr>
            <w:tcW w:w="936" w:type="pct"/>
            <w:vAlign w:val="center"/>
          </w:tcPr>
          <w:p w:rsidR="000634AC" w:rsidRPr="00D81506" w:rsidRDefault="000634AC" w:rsidP="009107D8">
            <w:pPr>
              <w:pStyle w:val="Tabletext"/>
              <w:jc w:val="center"/>
            </w:pPr>
            <w:r>
              <w:t xml:space="preserve">70.7 </w:t>
            </w:r>
            <w:r w:rsidR="0066452B">
              <w:br/>
            </w:r>
            <w:r>
              <w:t>(32.0, 117.1)</w:t>
            </w:r>
          </w:p>
        </w:tc>
        <w:tc>
          <w:tcPr>
            <w:tcW w:w="837" w:type="pct"/>
            <w:vAlign w:val="center"/>
          </w:tcPr>
          <w:p w:rsidR="000634AC" w:rsidRPr="00D81506" w:rsidRDefault="000634AC" w:rsidP="009107D8">
            <w:pPr>
              <w:pStyle w:val="Tabletext"/>
              <w:jc w:val="center"/>
            </w:pPr>
            <w:r>
              <w:t xml:space="preserve">63.7 </w:t>
            </w:r>
            <w:r w:rsidR="0066452B">
              <w:br/>
            </w:r>
            <w:r>
              <w:t>(28.6, 107.1)</w:t>
            </w:r>
          </w:p>
        </w:tc>
        <w:tc>
          <w:tcPr>
            <w:tcW w:w="1460" w:type="pct"/>
            <w:vAlign w:val="center"/>
          </w:tcPr>
          <w:p w:rsidR="000634AC" w:rsidRDefault="000634AC" w:rsidP="009107D8">
            <w:pPr>
              <w:pStyle w:val="Tabletext"/>
              <w:jc w:val="center"/>
            </w:pPr>
          </w:p>
        </w:tc>
      </w:tr>
      <w:tr w:rsidR="000634AC" w:rsidRPr="00D81506" w:rsidTr="0066452B">
        <w:tc>
          <w:tcPr>
            <w:tcW w:w="1767" w:type="pct"/>
            <w:vAlign w:val="center"/>
          </w:tcPr>
          <w:p w:rsidR="000634AC" w:rsidRPr="002829AC" w:rsidRDefault="000634AC" w:rsidP="009107D8">
            <w:pPr>
              <w:pStyle w:val="Tabletext"/>
              <w:rPr>
                <w:b/>
                <w:bCs/>
              </w:rPr>
            </w:pPr>
            <w:r w:rsidRPr="002829AC">
              <w:rPr>
                <w:b/>
                <w:bCs/>
              </w:rPr>
              <w:t>First CHMP-defined MM event</w:t>
            </w:r>
          </w:p>
        </w:tc>
        <w:tc>
          <w:tcPr>
            <w:tcW w:w="936" w:type="pct"/>
            <w:vAlign w:val="center"/>
          </w:tcPr>
          <w:p w:rsidR="000634AC" w:rsidRDefault="000634AC" w:rsidP="009107D8">
            <w:pPr>
              <w:pStyle w:val="Tabletext"/>
              <w:jc w:val="center"/>
            </w:pPr>
            <w:r>
              <w:rPr>
                <w:b/>
              </w:rPr>
              <w:t>n (%)</w:t>
            </w:r>
          </w:p>
        </w:tc>
        <w:tc>
          <w:tcPr>
            <w:tcW w:w="837" w:type="pct"/>
            <w:vAlign w:val="center"/>
          </w:tcPr>
          <w:p w:rsidR="000634AC" w:rsidRDefault="000634AC" w:rsidP="009107D8">
            <w:pPr>
              <w:pStyle w:val="Tabletext"/>
              <w:jc w:val="center"/>
            </w:pPr>
            <w:r>
              <w:rPr>
                <w:b/>
              </w:rPr>
              <w:t>n (%)</w:t>
            </w:r>
          </w:p>
        </w:tc>
        <w:tc>
          <w:tcPr>
            <w:tcW w:w="1460" w:type="pct"/>
            <w:vAlign w:val="center"/>
          </w:tcPr>
          <w:p w:rsidR="000634AC" w:rsidRDefault="000634AC" w:rsidP="009107D8">
            <w:pPr>
              <w:pStyle w:val="Tabletext"/>
              <w:keepNext/>
              <w:keepLines/>
              <w:jc w:val="center"/>
              <w:rPr>
                <w:b/>
              </w:rPr>
            </w:pPr>
            <w:r>
              <w:rPr>
                <w:b/>
              </w:rPr>
              <w:t>Time to event</w:t>
            </w:r>
          </w:p>
          <w:p w:rsidR="000634AC" w:rsidRDefault="000634AC" w:rsidP="009107D8">
            <w:pPr>
              <w:pStyle w:val="Tabletext"/>
              <w:jc w:val="center"/>
            </w:pPr>
            <w:r>
              <w:rPr>
                <w:b/>
              </w:rPr>
              <w:t>HR [99% CI], 1-sided p-value</w:t>
            </w:r>
          </w:p>
        </w:tc>
      </w:tr>
      <w:tr w:rsidR="000634AC" w:rsidTr="0066452B">
        <w:tc>
          <w:tcPr>
            <w:tcW w:w="1767" w:type="pct"/>
            <w:vAlign w:val="center"/>
          </w:tcPr>
          <w:p w:rsidR="000634AC" w:rsidRPr="002829AC" w:rsidRDefault="000634AC" w:rsidP="009107D8">
            <w:pPr>
              <w:pStyle w:val="Tabletext"/>
              <w:rPr>
                <w:bCs/>
              </w:rPr>
            </w:pPr>
            <w:r w:rsidRPr="002829AC">
              <w:rPr>
                <w:bCs/>
              </w:rPr>
              <w:t>Patients with CHMP-defined MM event to EOT+7 days</w:t>
            </w:r>
          </w:p>
        </w:tc>
        <w:tc>
          <w:tcPr>
            <w:tcW w:w="936" w:type="pct"/>
            <w:vAlign w:val="center"/>
          </w:tcPr>
          <w:p w:rsidR="000634AC" w:rsidRDefault="000634AC" w:rsidP="009107D8">
            <w:pPr>
              <w:pStyle w:val="Tabletext"/>
              <w:jc w:val="center"/>
            </w:pPr>
            <w:r>
              <w:t>268 (46.7%)</w:t>
            </w:r>
          </w:p>
        </w:tc>
        <w:tc>
          <w:tcPr>
            <w:tcW w:w="837" w:type="pct"/>
            <w:vAlign w:val="center"/>
          </w:tcPr>
          <w:p w:rsidR="000634AC" w:rsidRDefault="000634AC" w:rsidP="009107D8">
            <w:pPr>
              <w:pStyle w:val="Tabletext"/>
              <w:jc w:val="center"/>
            </w:pPr>
            <w:r>
              <w:t>343 (58.9%)</w:t>
            </w:r>
          </w:p>
        </w:tc>
        <w:tc>
          <w:tcPr>
            <w:tcW w:w="1460" w:type="pct"/>
            <w:vAlign w:val="center"/>
          </w:tcPr>
          <w:p w:rsidR="000634AC" w:rsidRDefault="0066452B" w:rsidP="0066452B">
            <w:pPr>
              <w:pStyle w:val="Tabletext"/>
              <w:jc w:val="center"/>
            </w:pPr>
            <w:r>
              <w:t xml:space="preserve">0.73 [0.60, 0.91], </w:t>
            </w:r>
            <w:r w:rsidR="000634AC">
              <w:t>&lt;0.0001</w:t>
            </w:r>
          </w:p>
        </w:tc>
      </w:tr>
      <w:tr w:rsidR="000634AC" w:rsidTr="0066452B">
        <w:tc>
          <w:tcPr>
            <w:tcW w:w="1767" w:type="pct"/>
            <w:vAlign w:val="center"/>
          </w:tcPr>
          <w:p w:rsidR="000634AC" w:rsidRPr="002829AC" w:rsidRDefault="000634AC" w:rsidP="009107D8">
            <w:pPr>
              <w:pStyle w:val="Tabletext"/>
              <w:rPr>
                <w:b/>
                <w:bCs/>
                <w:iCs/>
                <w:vertAlign w:val="superscript"/>
              </w:rPr>
            </w:pPr>
            <w:r w:rsidRPr="002829AC">
              <w:rPr>
                <w:b/>
                <w:bCs/>
                <w:iCs/>
              </w:rPr>
              <w:t>Individual CHMP component events</w:t>
            </w:r>
            <w:r w:rsidRPr="002829AC">
              <w:rPr>
                <w:b/>
                <w:bCs/>
                <w:iCs/>
                <w:vertAlign w:val="superscript"/>
              </w:rPr>
              <w:t>b</w:t>
            </w:r>
          </w:p>
        </w:tc>
        <w:tc>
          <w:tcPr>
            <w:tcW w:w="936" w:type="pct"/>
            <w:vAlign w:val="center"/>
          </w:tcPr>
          <w:p w:rsidR="000634AC" w:rsidRPr="008070BA" w:rsidRDefault="000634AC" w:rsidP="009107D8">
            <w:pPr>
              <w:pStyle w:val="Tabletext"/>
              <w:jc w:val="center"/>
              <w:rPr>
                <w:i/>
                <w:vertAlign w:val="superscript"/>
              </w:rPr>
            </w:pPr>
            <w:r>
              <w:rPr>
                <w:b/>
              </w:rPr>
              <w:t>n (%)</w:t>
            </w:r>
          </w:p>
        </w:tc>
        <w:tc>
          <w:tcPr>
            <w:tcW w:w="837" w:type="pct"/>
            <w:vAlign w:val="center"/>
          </w:tcPr>
          <w:p w:rsidR="000634AC" w:rsidRPr="008070BA" w:rsidRDefault="000634AC" w:rsidP="009107D8">
            <w:pPr>
              <w:pStyle w:val="Tabletext"/>
              <w:jc w:val="center"/>
              <w:rPr>
                <w:i/>
                <w:vertAlign w:val="superscript"/>
              </w:rPr>
            </w:pPr>
            <w:r>
              <w:rPr>
                <w:b/>
              </w:rPr>
              <w:t>n (%)</w:t>
            </w:r>
          </w:p>
        </w:tc>
        <w:tc>
          <w:tcPr>
            <w:tcW w:w="1460" w:type="pct"/>
            <w:vAlign w:val="center"/>
          </w:tcPr>
          <w:p w:rsidR="000634AC" w:rsidRDefault="000634AC" w:rsidP="009107D8">
            <w:pPr>
              <w:pStyle w:val="Tabletext"/>
              <w:keepNext/>
              <w:keepLines/>
              <w:jc w:val="center"/>
              <w:rPr>
                <w:b/>
              </w:rPr>
            </w:pPr>
            <w:r>
              <w:rPr>
                <w:b/>
              </w:rPr>
              <w:t>Time to event</w:t>
            </w:r>
          </w:p>
          <w:p w:rsidR="000634AC" w:rsidRPr="008070BA" w:rsidRDefault="000634AC" w:rsidP="009107D8">
            <w:pPr>
              <w:pStyle w:val="Tabletext"/>
              <w:rPr>
                <w:i/>
              </w:rPr>
            </w:pPr>
            <w:r>
              <w:rPr>
                <w:b/>
              </w:rPr>
              <w:t>HR [95% CI], 1-sided p-value</w:t>
            </w:r>
          </w:p>
        </w:tc>
      </w:tr>
      <w:tr w:rsidR="000634AC" w:rsidTr="0066452B">
        <w:tc>
          <w:tcPr>
            <w:tcW w:w="1767" w:type="pct"/>
            <w:vAlign w:val="center"/>
          </w:tcPr>
          <w:p w:rsidR="000634AC" w:rsidRDefault="000634AC" w:rsidP="009107D8">
            <w:pPr>
              <w:pStyle w:val="Tabletext"/>
              <w:ind w:left="142"/>
            </w:pPr>
            <w:r w:rsidRPr="00F3566D">
              <w:t>Death</w:t>
            </w:r>
          </w:p>
        </w:tc>
        <w:tc>
          <w:tcPr>
            <w:tcW w:w="936" w:type="pct"/>
            <w:vAlign w:val="center"/>
          </w:tcPr>
          <w:p w:rsidR="000634AC" w:rsidRDefault="000634AC" w:rsidP="009107D8">
            <w:pPr>
              <w:pStyle w:val="Tabletext"/>
              <w:jc w:val="center"/>
            </w:pPr>
            <w:r>
              <w:t>46 (8.0%)</w:t>
            </w:r>
          </w:p>
        </w:tc>
        <w:tc>
          <w:tcPr>
            <w:tcW w:w="837" w:type="pct"/>
            <w:vAlign w:val="center"/>
          </w:tcPr>
          <w:p w:rsidR="000634AC" w:rsidRDefault="000634AC" w:rsidP="009107D8">
            <w:pPr>
              <w:pStyle w:val="Tabletext"/>
              <w:jc w:val="center"/>
            </w:pPr>
            <w:r>
              <w:t>37 (6.4%)</w:t>
            </w:r>
          </w:p>
        </w:tc>
        <w:tc>
          <w:tcPr>
            <w:tcW w:w="1460" w:type="pct"/>
            <w:vAlign w:val="center"/>
          </w:tcPr>
          <w:p w:rsidR="000634AC" w:rsidRPr="00F3566D" w:rsidRDefault="000634AC" w:rsidP="009107D8">
            <w:pPr>
              <w:pStyle w:val="Tabletext"/>
              <w:jc w:val="center"/>
            </w:pPr>
            <w:r>
              <w:t>NR</w:t>
            </w:r>
          </w:p>
        </w:tc>
      </w:tr>
      <w:tr w:rsidR="000634AC" w:rsidTr="0066452B">
        <w:tc>
          <w:tcPr>
            <w:tcW w:w="1767" w:type="pct"/>
            <w:vAlign w:val="center"/>
          </w:tcPr>
          <w:p w:rsidR="000634AC" w:rsidRDefault="000634AC" w:rsidP="009107D8">
            <w:pPr>
              <w:pStyle w:val="Tabletext"/>
              <w:ind w:left="142"/>
            </w:pPr>
            <w:r w:rsidRPr="00F3566D">
              <w:t>Hospitalisation for PAH worsening</w:t>
            </w:r>
          </w:p>
        </w:tc>
        <w:tc>
          <w:tcPr>
            <w:tcW w:w="936" w:type="pct"/>
            <w:vAlign w:val="center"/>
          </w:tcPr>
          <w:p w:rsidR="000634AC" w:rsidRDefault="000634AC" w:rsidP="009107D8">
            <w:pPr>
              <w:pStyle w:val="Tabletext"/>
              <w:jc w:val="center"/>
            </w:pPr>
            <w:r>
              <w:t>86 (15.0%)</w:t>
            </w:r>
          </w:p>
        </w:tc>
        <w:tc>
          <w:tcPr>
            <w:tcW w:w="837" w:type="pct"/>
            <w:vAlign w:val="center"/>
          </w:tcPr>
          <w:p w:rsidR="000634AC" w:rsidRDefault="000634AC" w:rsidP="009107D8">
            <w:pPr>
              <w:pStyle w:val="Tabletext"/>
              <w:jc w:val="center"/>
            </w:pPr>
            <w:r>
              <w:t>124 (21.3%)</w:t>
            </w:r>
          </w:p>
        </w:tc>
        <w:tc>
          <w:tcPr>
            <w:tcW w:w="1460" w:type="pct"/>
            <w:vAlign w:val="center"/>
          </w:tcPr>
          <w:p w:rsidR="000634AC" w:rsidRPr="00F3566D" w:rsidRDefault="000634AC" w:rsidP="0066452B">
            <w:pPr>
              <w:pStyle w:val="Tabletext"/>
              <w:jc w:val="center"/>
            </w:pPr>
            <w:r>
              <w:t>0.65 [0.50, 0.86]</w:t>
            </w:r>
            <w:r w:rsidR="0066452B">
              <w:t>,</w:t>
            </w:r>
            <w:r>
              <w:t xml:space="preserve"> p&lt;0.0001</w:t>
            </w:r>
          </w:p>
        </w:tc>
      </w:tr>
      <w:tr w:rsidR="000634AC" w:rsidTr="0066452B">
        <w:tc>
          <w:tcPr>
            <w:tcW w:w="1767" w:type="pct"/>
            <w:vAlign w:val="center"/>
          </w:tcPr>
          <w:p w:rsidR="000634AC" w:rsidRDefault="000634AC" w:rsidP="009107D8">
            <w:pPr>
              <w:pStyle w:val="Tabletext"/>
              <w:ind w:left="142"/>
            </w:pPr>
            <w:r w:rsidRPr="00F3566D">
              <w:t xml:space="preserve">Increase in WHO FC from baseline </w:t>
            </w:r>
          </w:p>
        </w:tc>
        <w:tc>
          <w:tcPr>
            <w:tcW w:w="936" w:type="pct"/>
            <w:vAlign w:val="center"/>
          </w:tcPr>
          <w:p w:rsidR="000634AC" w:rsidRDefault="000634AC" w:rsidP="009107D8">
            <w:pPr>
              <w:pStyle w:val="Tabletext"/>
              <w:jc w:val="center"/>
            </w:pPr>
            <w:r>
              <w:t>122 (21.3%)</w:t>
            </w:r>
          </w:p>
        </w:tc>
        <w:tc>
          <w:tcPr>
            <w:tcW w:w="837" w:type="pct"/>
            <w:vAlign w:val="center"/>
          </w:tcPr>
          <w:p w:rsidR="000634AC" w:rsidRDefault="000634AC" w:rsidP="009107D8">
            <w:pPr>
              <w:pStyle w:val="Tabletext"/>
              <w:jc w:val="center"/>
            </w:pPr>
            <w:r>
              <w:t>178 (30.6%)</w:t>
            </w:r>
          </w:p>
        </w:tc>
        <w:tc>
          <w:tcPr>
            <w:tcW w:w="1460" w:type="pct"/>
            <w:vAlign w:val="center"/>
          </w:tcPr>
          <w:p w:rsidR="000634AC" w:rsidRPr="00F3566D" w:rsidRDefault="0066452B" w:rsidP="009107D8">
            <w:pPr>
              <w:pStyle w:val="Tabletext"/>
              <w:jc w:val="center"/>
            </w:pPr>
            <w:r>
              <w:t>0.65 [0.52, 0.82],</w:t>
            </w:r>
            <w:r w:rsidR="000634AC">
              <w:t xml:space="preserve"> p&lt;0.0001</w:t>
            </w:r>
          </w:p>
        </w:tc>
      </w:tr>
      <w:tr w:rsidR="000634AC" w:rsidTr="0066452B">
        <w:tc>
          <w:tcPr>
            <w:tcW w:w="1767" w:type="pct"/>
            <w:vAlign w:val="center"/>
          </w:tcPr>
          <w:p w:rsidR="000634AC" w:rsidRDefault="000634AC" w:rsidP="009107D8">
            <w:pPr>
              <w:pStyle w:val="Tabletext"/>
              <w:ind w:left="142"/>
            </w:pPr>
            <w:r w:rsidRPr="00F3566D">
              <w:t>Signs</w:t>
            </w:r>
            <w:r>
              <w:t>/</w:t>
            </w:r>
            <w:r w:rsidRPr="00F3566D">
              <w:t>symptoms of right-side</w:t>
            </w:r>
            <w:r>
              <w:t>d</w:t>
            </w:r>
            <w:r w:rsidRPr="00F3566D">
              <w:t xml:space="preserve"> heart failure</w:t>
            </w:r>
          </w:p>
        </w:tc>
        <w:tc>
          <w:tcPr>
            <w:tcW w:w="936" w:type="pct"/>
            <w:vAlign w:val="center"/>
          </w:tcPr>
          <w:p w:rsidR="000634AC" w:rsidRDefault="000634AC" w:rsidP="009107D8">
            <w:pPr>
              <w:pStyle w:val="Tabletext"/>
              <w:jc w:val="center"/>
            </w:pPr>
            <w:r>
              <w:t>160 (27.9%)</w:t>
            </w:r>
          </w:p>
        </w:tc>
        <w:tc>
          <w:tcPr>
            <w:tcW w:w="837" w:type="pct"/>
            <w:vAlign w:val="center"/>
          </w:tcPr>
          <w:p w:rsidR="000634AC" w:rsidRDefault="000634AC" w:rsidP="009107D8">
            <w:pPr>
              <w:pStyle w:val="Tabletext"/>
              <w:jc w:val="center"/>
            </w:pPr>
            <w:r>
              <w:t>247 (42.4%)</w:t>
            </w:r>
          </w:p>
        </w:tc>
        <w:tc>
          <w:tcPr>
            <w:tcW w:w="1460" w:type="pct"/>
            <w:vAlign w:val="center"/>
          </w:tcPr>
          <w:p w:rsidR="000634AC" w:rsidRPr="00F3566D" w:rsidRDefault="0066452B" w:rsidP="009107D8">
            <w:pPr>
              <w:pStyle w:val="Tabletext"/>
              <w:jc w:val="center"/>
            </w:pPr>
            <w:r>
              <w:t>0.60 [0.49, 0.74],</w:t>
            </w:r>
            <w:r w:rsidR="000634AC">
              <w:t xml:space="preserve"> p&lt;0.0001</w:t>
            </w:r>
          </w:p>
        </w:tc>
      </w:tr>
      <w:tr w:rsidR="000634AC" w:rsidTr="0066452B">
        <w:tc>
          <w:tcPr>
            <w:tcW w:w="1767" w:type="pct"/>
            <w:vAlign w:val="center"/>
          </w:tcPr>
          <w:p w:rsidR="000634AC" w:rsidRPr="00D81506" w:rsidRDefault="000634AC" w:rsidP="009107D8">
            <w:pPr>
              <w:pStyle w:val="Tabletext"/>
              <w:ind w:left="142"/>
              <w:rPr>
                <w:vertAlign w:val="superscript"/>
              </w:rPr>
            </w:pPr>
            <w:r w:rsidRPr="00F3566D">
              <w:t xml:space="preserve">≥15% </w:t>
            </w:r>
            <w:r>
              <w:t>decrease</w:t>
            </w:r>
            <w:r w:rsidRPr="00F3566D">
              <w:t xml:space="preserve"> in 6MWD from baseline</w:t>
            </w:r>
          </w:p>
        </w:tc>
        <w:tc>
          <w:tcPr>
            <w:tcW w:w="936" w:type="pct"/>
            <w:vAlign w:val="center"/>
          </w:tcPr>
          <w:p w:rsidR="000634AC" w:rsidRDefault="000634AC" w:rsidP="009107D8">
            <w:pPr>
              <w:pStyle w:val="Tabletext"/>
              <w:jc w:val="center"/>
            </w:pPr>
            <w:r>
              <w:t>198 (34.5%)</w:t>
            </w:r>
          </w:p>
        </w:tc>
        <w:tc>
          <w:tcPr>
            <w:tcW w:w="837" w:type="pct"/>
            <w:vAlign w:val="center"/>
          </w:tcPr>
          <w:p w:rsidR="000634AC" w:rsidRDefault="000634AC" w:rsidP="009107D8">
            <w:pPr>
              <w:pStyle w:val="Tabletext"/>
              <w:jc w:val="center"/>
            </w:pPr>
            <w:r>
              <w:t>284 (48.8%)</w:t>
            </w:r>
          </w:p>
        </w:tc>
        <w:tc>
          <w:tcPr>
            <w:tcW w:w="1460" w:type="pct"/>
            <w:vAlign w:val="center"/>
          </w:tcPr>
          <w:p w:rsidR="000634AC" w:rsidRPr="00F3566D" w:rsidRDefault="000634AC" w:rsidP="0066452B">
            <w:pPr>
              <w:pStyle w:val="Tabletext"/>
              <w:jc w:val="center"/>
            </w:pPr>
            <w:r>
              <w:t>0.66 [0.55, 0.80]</w:t>
            </w:r>
            <w:r w:rsidR="0066452B">
              <w:t>,</w:t>
            </w:r>
            <w:r>
              <w:t xml:space="preserve"> p&lt;0.0001</w:t>
            </w:r>
          </w:p>
        </w:tc>
      </w:tr>
    </w:tbl>
    <w:p w:rsidR="000634AC" w:rsidRDefault="000634AC" w:rsidP="000634AC">
      <w:pPr>
        <w:pStyle w:val="TableFooter"/>
        <w:ind w:left="709"/>
      </w:pPr>
      <w:r>
        <w:t>6MWD = 6-minute walk distance; BGT = background therapy; CHMP = Committee for Medicinal Products for Human Use; CI = confidence interval; EOT = end-of-treatment; FC = functional class; IQR = interquartile range; ITT = intention-to-treat; MM = morbidity or mortality; PAH = pulmonary arterial hypertension; WHO = World Health Organization.</w:t>
      </w:r>
    </w:p>
    <w:p w:rsidR="000634AC" w:rsidRDefault="000634AC" w:rsidP="000634AC">
      <w:pPr>
        <w:pStyle w:val="TableFooter"/>
        <w:ind w:left="709"/>
      </w:pPr>
      <w:r>
        <w:rPr>
          <w:vertAlign w:val="superscript"/>
        </w:rPr>
        <w:t>a</w:t>
      </w:r>
      <w:r>
        <w:t xml:space="preserve"> Safety analysis set</w:t>
      </w:r>
    </w:p>
    <w:p w:rsidR="000634AC" w:rsidRDefault="000634AC" w:rsidP="000634AC">
      <w:pPr>
        <w:pStyle w:val="TableFooter"/>
        <w:ind w:left="709"/>
      </w:pPr>
      <w:r w:rsidRPr="00287485">
        <w:rPr>
          <w:vertAlign w:val="superscript"/>
        </w:rPr>
        <w:t>b</w:t>
      </w:r>
      <w:r>
        <w:t xml:space="preserve"> </w:t>
      </w:r>
      <w:r w:rsidR="0066452B" w:rsidRPr="0066452B">
        <w:t xml:space="preserve">In these analyses, all events that occurred prior to EOT + 7 days were counted, </w:t>
      </w:r>
      <w:r w:rsidR="00571A05" w:rsidRPr="0066452B">
        <w:rPr>
          <w:i/>
        </w:rPr>
        <w:t>i.e.</w:t>
      </w:r>
      <w:r w:rsidR="0066452B" w:rsidRPr="0066452B">
        <w:t xml:space="preserve"> not only the first event contributing to the composite endpoint.</w:t>
      </w:r>
      <w:r w:rsidR="0066452B">
        <w:t xml:space="preserve"> </w:t>
      </w:r>
      <w:r w:rsidR="00405494" w:rsidRPr="00405494">
        <w:t xml:space="preserve">Time to individual CHMP component events is only available for patients who remained on treatment. </w:t>
      </w:r>
      <w:r w:rsidR="0066452B" w:rsidRPr="0066452B">
        <w:t>Patients who stopped trial treatment for any rea</w:t>
      </w:r>
      <w:r w:rsidR="0066452B">
        <w:t>son (an MM event, adverse event) were censored.</w:t>
      </w:r>
    </w:p>
    <w:p w:rsidR="000634AC" w:rsidRPr="0080573E" w:rsidRDefault="000634AC" w:rsidP="000634AC">
      <w:pPr>
        <w:pStyle w:val="TableFooter"/>
        <w:ind w:left="709"/>
      </w:pPr>
      <w:r w:rsidRPr="0080573E">
        <w:t xml:space="preserve">Source: Table </w:t>
      </w:r>
      <w:r>
        <w:t xml:space="preserve">15, p49, Figure 12, p48, </w:t>
      </w:r>
      <w:r w:rsidRPr="0080573E">
        <w:t xml:space="preserve">Table </w:t>
      </w:r>
      <w:r>
        <w:t xml:space="preserve">16, p49 and Figures 13-16, pp50-53 of the </w:t>
      </w:r>
      <w:r w:rsidR="00F801E3">
        <w:t>resubmission</w:t>
      </w:r>
    </w:p>
    <w:p w:rsidR="000634AC" w:rsidRDefault="000634AC" w:rsidP="000634AC">
      <w:pPr>
        <w:pStyle w:val="TableFooter"/>
        <w:ind w:left="709"/>
      </w:pPr>
    </w:p>
    <w:p w:rsidR="000634AC" w:rsidRDefault="000634AC" w:rsidP="000634AC">
      <w:pPr>
        <w:pStyle w:val="Caption"/>
        <w:keepNext/>
        <w:keepLines/>
        <w:ind w:left="709"/>
      </w:pPr>
      <w:r>
        <w:t>Figure 1: Time to first CHMP-defined MM event up to EOT + 7 days (full analysis set)</w:t>
      </w:r>
    </w:p>
    <w:p w:rsidR="000634AC" w:rsidRPr="005F135D" w:rsidRDefault="000634AC" w:rsidP="00405494">
      <w:pPr>
        <w:ind w:left="567"/>
      </w:pPr>
      <w:r>
        <w:rPr>
          <w:noProof/>
          <w:snapToGrid/>
          <w:lang w:eastAsia="en-AU"/>
        </w:rPr>
        <w:drawing>
          <wp:inline distT="0" distB="0" distL="0" distR="0" wp14:anchorId="52E2FF75" wp14:editId="304EC12C">
            <wp:extent cx="5400136" cy="3484880"/>
            <wp:effectExtent l="0" t="0" r="0" b="1270"/>
            <wp:docPr id="13" name="Picture 13" title="Figure 1: Time to first CHMP-defined MM event up to EOT + 7 days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4954" cy="3494443"/>
                    </a:xfrm>
                    <a:prstGeom prst="rect">
                      <a:avLst/>
                    </a:prstGeom>
                  </pic:spPr>
                </pic:pic>
              </a:graphicData>
            </a:graphic>
          </wp:inline>
        </w:drawing>
      </w:r>
    </w:p>
    <w:p w:rsidR="000634AC" w:rsidRDefault="000634AC" w:rsidP="000634AC">
      <w:pPr>
        <w:pStyle w:val="TableFooter"/>
        <w:ind w:left="709"/>
      </w:pPr>
      <w:r>
        <w:t>CHMP = Committee for Medicinal Products for Human Use; EOT = end of treatment; MM = morbidity or mortality.</w:t>
      </w:r>
    </w:p>
    <w:p w:rsidR="000634AC" w:rsidRDefault="000634AC" w:rsidP="000634AC">
      <w:pPr>
        <w:pStyle w:val="TableFooter"/>
        <w:ind w:left="709"/>
      </w:pPr>
      <w:r>
        <w:t>Note: vertical bars represent 95% confidence intervals.</w:t>
      </w:r>
    </w:p>
    <w:p w:rsidR="000634AC" w:rsidRPr="0080573E" w:rsidRDefault="000634AC" w:rsidP="000634AC">
      <w:pPr>
        <w:pStyle w:val="TableFooter"/>
        <w:ind w:left="709"/>
      </w:pPr>
      <w:r>
        <w:t xml:space="preserve">Source: Figure 12, p48 of the </w:t>
      </w:r>
      <w:r w:rsidR="00F801E3">
        <w:t>resubmission</w:t>
      </w:r>
    </w:p>
    <w:p w:rsidR="000634AC" w:rsidRPr="008B7051" w:rsidRDefault="000634AC" w:rsidP="000634AC">
      <w:pPr>
        <w:widowControl/>
        <w:rPr>
          <w:szCs w:val="22"/>
        </w:rPr>
      </w:pPr>
    </w:p>
    <w:p w:rsidR="000634AC" w:rsidRPr="005D100E" w:rsidRDefault="000634AC" w:rsidP="0074367D">
      <w:pPr>
        <w:pStyle w:val="ListParagraph"/>
        <w:widowControl/>
        <w:numPr>
          <w:ilvl w:val="1"/>
          <w:numId w:val="2"/>
        </w:numPr>
        <w:rPr>
          <w:szCs w:val="22"/>
        </w:rPr>
      </w:pPr>
      <w:r w:rsidRPr="00147F9A">
        <w:rPr>
          <w:szCs w:val="22"/>
        </w:rPr>
        <w:t xml:space="preserve">An estimate of the effect on time to individual CHMP-defined MM events (hospitalisation, signs or symptoms of right-sided heart failure, worsening of functional class or ≥15% drop in 6MWD) was presented for subgroups based on WHO FC and </w:t>
      </w:r>
      <w:r w:rsidRPr="005D100E">
        <w:rPr>
          <w:szCs w:val="22"/>
        </w:rPr>
        <w:t xml:space="preserve">PAH therapy at baseline (pp 44-47 of the </w:t>
      </w:r>
      <w:r w:rsidR="00F801E3" w:rsidRPr="005D100E">
        <w:rPr>
          <w:szCs w:val="22"/>
        </w:rPr>
        <w:t>resubmission</w:t>
      </w:r>
      <w:r w:rsidRPr="005D100E">
        <w:rPr>
          <w:szCs w:val="22"/>
        </w:rPr>
        <w:t xml:space="preserve">). </w:t>
      </w:r>
      <w:r w:rsidRPr="005D100E">
        <w:rPr>
          <w:iCs/>
          <w:szCs w:val="22"/>
        </w:rPr>
        <w:t xml:space="preserve">These results were difficult to interpret because treatment allocation was not stratified by subgroups. Also, the </w:t>
      </w:r>
      <w:r w:rsidR="00F801E3" w:rsidRPr="005D100E">
        <w:rPr>
          <w:iCs/>
          <w:szCs w:val="22"/>
        </w:rPr>
        <w:t>resubmission</w:t>
      </w:r>
      <w:r w:rsidRPr="005D100E">
        <w:rPr>
          <w:iCs/>
          <w:szCs w:val="22"/>
        </w:rPr>
        <w:t xml:space="preserve"> did not present the results for patients who are both WHO FC III/IV and receiving dual therapy at baseline to match the proposed restriction. </w:t>
      </w:r>
      <w:r w:rsidR="00A139E7" w:rsidRPr="005D100E">
        <w:rPr>
          <w:iCs/>
          <w:szCs w:val="22"/>
        </w:rPr>
        <w:t xml:space="preserve">Additionally, the issue of subsequent events occurring after EOT definition </w:t>
      </w:r>
      <w:r w:rsidR="00A72660">
        <w:rPr>
          <w:iCs/>
          <w:szCs w:val="22"/>
        </w:rPr>
        <w:t xml:space="preserve">(and hence not being captured) </w:t>
      </w:r>
      <w:r w:rsidR="00A139E7" w:rsidRPr="005D100E">
        <w:rPr>
          <w:iCs/>
          <w:szCs w:val="22"/>
        </w:rPr>
        <w:t>made this result even more uncertain.</w:t>
      </w:r>
    </w:p>
    <w:p w:rsidR="000634AC" w:rsidRPr="005D100E" w:rsidRDefault="000634AC" w:rsidP="000634AC">
      <w:pPr>
        <w:widowControl/>
        <w:rPr>
          <w:szCs w:val="22"/>
        </w:rPr>
      </w:pPr>
    </w:p>
    <w:p w:rsidR="000634AC" w:rsidRPr="005D100E" w:rsidRDefault="000634AC" w:rsidP="0074367D">
      <w:pPr>
        <w:pStyle w:val="ListParagraph"/>
        <w:widowControl/>
        <w:numPr>
          <w:ilvl w:val="1"/>
          <w:numId w:val="2"/>
        </w:numPr>
        <w:rPr>
          <w:szCs w:val="22"/>
        </w:rPr>
      </w:pPr>
      <w:r w:rsidRPr="005D100E">
        <w:rPr>
          <w:szCs w:val="22"/>
        </w:rPr>
        <w:t xml:space="preserve">All-cause mortality from randomisation to study closure was reported to be 17.4% and 18.0% of patients in the selexipag and placebo groups, respectively. </w:t>
      </w:r>
      <w:r w:rsidRPr="005D100E">
        <w:rPr>
          <w:iCs/>
          <w:szCs w:val="22"/>
        </w:rPr>
        <w:t>This differs from the estimate of all-cause mortality up to EOT + 7</w:t>
      </w:r>
      <w:r w:rsidR="00171D63" w:rsidRPr="005D100E">
        <w:rPr>
          <w:iCs/>
          <w:szCs w:val="22"/>
        </w:rPr>
        <w:t xml:space="preserve"> </w:t>
      </w:r>
      <w:r w:rsidRPr="005D100E">
        <w:rPr>
          <w:iCs/>
          <w:szCs w:val="22"/>
        </w:rPr>
        <w:t>days which was confounded by informative censoring. The comparison of all-cause mortality at study closure is potentially confounded in favour of placebo as 27% of patients from the placebo arm switched to selexipag treatment after an MM event.</w:t>
      </w:r>
    </w:p>
    <w:p w:rsidR="00211A72" w:rsidRDefault="00211A72">
      <w:pPr>
        <w:widowControl/>
        <w:jc w:val="left"/>
        <w:rPr>
          <w:b/>
          <w:i/>
        </w:rPr>
      </w:pPr>
      <w:bookmarkStart w:id="13" w:name="_Toc472425778"/>
    </w:p>
    <w:p w:rsidR="000634AC" w:rsidRPr="002C2775" w:rsidRDefault="000634AC" w:rsidP="000634AC">
      <w:pPr>
        <w:pStyle w:val="Heading2"/>
        <w:rPr>
          <w:i/>
        </w:rPr>
      </w:pPr>
      <w:r w:rsidRPr="002C2775">
        <w:rPr>
          <w:i/>
        </w:rPr>
        <w:t>Comparative harms</w:t>
      </w:r>
      <w:bookmarkEnd w:id="13"/>
    </w:p>
    <w:p w:rsidR="000634AC" w:rsidRPr="00882085" w:rsidRDefault="000634AC" w:rsidP="000634AC">
      <w:pPr>
        <w:ind w:left="720" w:hanging="720"/>
        <w:rPr>
          <w:szCs w:val="22"/>
        </w:rPr>
      </w:pPr>
    </w:p>
    <w:p w:rsidR="000634AC" w:rsidRPr="00612A7A" w:rsidRDefault="000634AC" w:rsidP="0074367D">
      <w:pPr>
        <w:pStyle w:val="ListParagraph"/>
        <w:widowControl/>
        <w:numPr>
          <w:ilvl w:val="1"/>
          <w:numId w:val="2"/>
        </w:numPr>
        <w:rPr>
          <w:szCs w:val="22"/>
        </w:rPr>
      </w:pPr>
      <w:r w:rsidRPr="00612A7A">
        <w:t xml:space="preserve">No additional safety data were provided with the </w:t>
      </w:r>
      <w:r w:rsidR="00F801E3">
        <w:t>resubmission</w:t>
      </w:r>
      <w:r w:rsidRPr="00612A7A">
        <w:t>.</w:t>
      </w:r>
      <w:r>
        <w:t xml:space="preserve"> The most frequently reported </w:t>
      </w:r>
      <w:r w:rsidR="00B32CD2">
        <w:t xml:space="preserve">adverse events </w:t>
      </w:r>
      <w:r>
        <w:t>were those associated with prostacyclins, and occurred more commonly in the selexipag arm compared with placebo. As selexipag is titrated to the maximum tolerable dose, the number of adverse events during the titration phase is greater than in the maintenance phase during which patients are dosed at one increment lower than the dose which resulted in an adverse event.</w:t>
      </w:r>
    </w:p>
    <w:p w:rsidR="000634AC" w:rsidRDefault="000634AC" w:rsidP="000634AC">
      <w:pPr>
        <w:pStyle w:val="ListParagraph"/>
        <w:ind w:left="0"/>
        <w:rPr>
          <w:szCs w:val="22"/>
        </w:rPr>
      </w:pPr>
    </w:p>
    <w:p w:rsidR="000634AC" w:rsidRPr="002C2775" w:rsidRDefault="000634AC" w:rsidP="000634AC">
      <w:pPr>
        <w:pStyle w:val="Heading2"/>
        <w:rPr>
          <w:i/>
          <w:szCs w:val="22"/>
        </w:rPr>
      </w:pPr>
      <w:bookmarkStart w:id="14" w:name="_Toc472425779"/>
      <w:r w:rsidRPr="002C2775">
        <w:rPr>
          <w:i/>
        </w:rPr>
        <w:t>Benefits/harms</w:t>
      </w:r>
      <w:bookmarkEnd w:id="14"/>
    </w:p>
    <w:p w:rsidR="000634AC" w:rsidRPr="0003509A" w:rsidRDefault="000634AC" w:rsidP="000634AC">
      <w:pPr>
        <w:pStyle w:val="ListParagraph"/>
        <w:ind w:left="0"/>
        <w:rPr>
          <w:color w:val="000000" w:themeColor="text1"/>
          <w:szCs w:val="22"/>
        </w:rPr>
      </w:pPr>
    </w:p>
    <w:p w:rsidR="000634AC" w:rsidRPr="0003509A" w:rsidRDefault="000634AC" w:rsidP="0074367D">
      <w:pPr>
        <w:pStyle w:val="ListParagraph"/>
        <w:widowControl/>
        <w:numPr>
          <w:ilvl w:val="1"/>
          <w:numId w:val="2"/>
        </w:numPr>
        <w:rPr>
          <w:i/>
          <w:iCs/>
          <w:color w:val="000000" w:themeColor="text1"/>
          <w:szCs w:val="22"/>
        </w:rPr>
      </w:pPr>
      <w:r w:rsidRPr="0003509A">
        <w:rPr>
          <w:color w:val="000000" w:themeColor="text1"/>
        </w:rPr>
        <w:t>A summary of the comparative benefits and harms for selexipag ± BGT and placebo ± BGT in the GRIPHON trial</w:t>
      </w:r>
      <w:r w:rsidR="00A35D23">
        <w:rPr>
          <w:color w:val="000000" w:themeColor="text1"/>
        </w:rPr>
        <w:t xml:space="preserve"> are presented below</w:t>
      </w:r>
      <w:r w:rsidRPr="00147F9A">
        <w:rPr>
          <w:color w:val="000000" w:themeColor="text1"/>
        </w:rPr>
        <w:t xml:space="preserve">. </w:t>
      </w:r>
      <w:r w:rsidRPr="00147F9A">
        <w:rPr>
          <w:iCs/>
          <w:color w:val="000000" w:themeColor="text1"/>
        </w:rPr>
        <w:t xml:space="preserve">Event rates, risk ratios and risk differences have been </w:t>
      </w:r>
      <w:r w:rsidR="000050B9" w:rsidRPr="00147F9A">
        <w:rPr>
          <w:iCs/>
          <w:color w:val="000000" w:themeColor="text1"/>
        </w:rPr>
        <w:t xml:space="preserve">presented </w:t>
      </w:r>
      <w:r w:rsidRPr="00147F9A">
        <w:rPr>
          <w:iCs/>
          <w:color w:val="000000" w:themeColor="text1"/>
        </w:rPr>
        <w:t xml:space="preserve">as the </w:t>
      </w:r>
      <w:r w:rsidR="00F801E3" w:rsidRPr="00147F9A">
        <w:rPr>
          <w:iCs/>
          <w:color w:val="000000" w:themeColor="text1"/>
        </w:rPr>
        <w:t>resubmission</w:t>
      </w:r>
      <w:r w:rsidRPr="00147F9A">
        <w:rPr>
          <w:iCs/>
          <w:color w:val="000000" w:themeColor="text1"/>
        </w:rPr>
        <w:t xml:space="preserve"> did not report media</w:t>
      </w:r>
      <w:r w:rsidR="00D67A8A" w:rsidRPr="00147F9A">
        <w:rPr>
          <w:iCs/>
          <w:color w:val="000000" w:themeColor="text1"/>
        </w:rPr>
        <w:t>n time to first CHMP-defined MM</w:t>
      </w:r>
      <w:r w:rsidRPr="00147F9A">
        <w:rPr>
          <w:iCs/>
          <w:color w:val="000000" w:themeColor="text1"/>
        </w:rPr>
        <w:t xml:space="preserve"> event or time to the individual events.</w:t>
      </w:r>
    </w:p>
    <w:p w:rsidR="000634AC" w:rsidRDefault="000634AC" w:rsidP="00345D47">
      <w:pPr>
        <w:widowControl/>
        <w:jc w:val="left"/>
        <w:rPr>
          <w:szCs w:val="22"/>
        </w:rPr>
      </w:pPr>
    </w:p>
    <w:p w:rsidR="00211A72" w:rsidRDefault="00211A72">
      <w:pPr>
        <w:widowControl/>
        <w:jc w:val="left"/>
        <w:rPr>
          <w:rFonts w:ascii="Arial Narrow" w:hAnsi="Arial Narrow"/>
          <w:b/>
          <w:bCs/>
          <w:sz w:val="20"/>
          <w:szCs w:val="18"/>
        </w:rPr>
      </w:pPr>
      <w:r>
        <w:br w:type="page"/>
      </w:r>
    </w:p>
    <w:p w:rsidR="000634AC" w:rsidRPr="005C7F65" w:rsidRDefault="000634AC" w:rsidP="001729A0">
      <w:pPr>
        <w:pStyle w:val="Caption"/>
        <w:ind w:left="709"/>
      </w:pPr>
      <w:r>
        <w:t xml:space="preserve">Table </w:t>
      </w:r>
      <w:r>
        <w:rPr>
          <w:noProof/>
        </w:rPr>
        <w:t>4</w:t>
      </w:r>
      <w:r w:rsidRPr="005C7F65">
        <w:t xml:space="preserve">: Summary of comparative benefits and harms for </w:t>
      </w:r>
      <w:r w:rsidRPr="008646A7">
        <w:t>selexipag</w:t>
      </w:r>
      <w:r>
        <w:t xml:space="preserve"> ± BGT</w:t>
      </w:r>
      <w:r w:rsidRPr="005C7F65">
        <w:t xml:space="preserve"> and </w:t>
      </w:r>
      <w:r>
        <w:t>placebo ± BGT in the GRIPHON trial</w:t>
      </w:r>
    </w:p>
    <w:tbl>
      <w:tblPr>
        <w:tblStyle w:val="TableGrid"/>
        <w:tblW w:w="4601" w:type="pct"/>
        <w:tblInd w:w="737" w:type="dxa"/>
        <w:tblLayout w:type="fixed"/>
        <w:tblCellMar>
          <w:left w:w="28" w:type="dxa"/>
          <w:right w:w="28" w:type="dxa"/>
        </w:tblCellMar>
        <w:tblLook w:val="04A0" w:firstRow="1" w:lastRow="0" w:firstColumn="1" w:lastColumn="0" w:noHBand="0" w:noVBand="1"/>
        <w:tblCaption w:val="Table 4: Summary of comparative benefits and harms for selexipag ± BGT and placebo ± BGT in the GRIPHON trial"/>
      </w:tblPr>
      <w:tblGrid>
        <w:gridCol w:w="1148"/>
        <w:gridCol w:w="15"/>
        <w:gridCol w:w="799"/>
        <w:gridCol w:w="304"/>
        <w:gridCol w:w="15"/>
        <w:gridCol w:w="799"/>
        <w:gridCol w:w="466"/>
        <w:gridCol w:w="652"/>
        <w:gridCol w:w="722"/>
        <w:gridCol w:w="256"/>
        <w:gridCol w:w="866"/>
        <w:gridCol w:w="112"/>
        <w:gridCol w:w="954"/>
        <w:gridCol w:w="25"/>
        <w:gridCol w:w="1225"/>
      </w:tblGrid>
      <w:tr w:rsidR="000634AC" w:rsidRPr="008D60BF" w:rsidTr="00B56909">
        <w:trPr>
          <w:trHeight w:val="150"/>
          <w:tblHeader/>
        </w:trPr>
        <w:tc>
          <w:tcPr>
            <w:tcW w:w="1173" w:type="pct"/>
            <w:gridSpan w:val="3"/>
            <w:vMerge w:val="restart"/>
            <w:shd w:val="clear" w:color="auto" w:fill="auto"/>
            <w:vAlign w:val="center"/>
          </w:tcPr>
          <w:p w:rsidR="000634AC" w:rsidRPr="008D60BF" w:rsidRDefault="000634AC" w:rsidP="00F953EA">
            <w:pPr>
              <w:rPr>
                <w:rFonts w:ascii="Arial Narrow" w:hAnsi="Arial Narrow"/>
                <w:b/>
                <w:color w:val="000000" w:themeColor="text1"/>
                <w:sz w:val="20"/>
                <w:szCs w:val="18"/>
              </w:rPr>
            </w:pPr>
            <w:r w:rsidRPr="008D60BF">
              <w:rPr>
                <w:rFonts w:ascii="Arial Narrow" w:hAnsi="Arial Narrow"/>
                <w:b/>
                <w:color w:val="000000" w:themeColor="text1"/>
                <w:sz w:val="20"/>
                <w:szCs w:val="18"/>
              </w:rPr>
              <w:t>GRIPHON: whole of trial population</w:t>
            </w:r>
          </w:p>
        </w:tc>
        <w:tc>
          <w:tcPr>
            <w:tcW w:w="669" w:type="pct"/>
            <w:gridSpan w:val="3"/>
            <w:vMerge w:val="restart"/>
            <w:vAlign w:val="center"/>
          </w:tcPr>
          <w:p w:rsidR="000634AC" w:rsidRPr="008D60BF" w:rsidRDefault="000634AC" w:rsidP="009107D8">
            <w:pPr>
              <w:jc w:val="center"/>
              <w:rPr>
                <w:rFonts w:ascii="Arial Narrow" w:hAnsi="Arial Narrow"/>
                <w:b/>
                <w:color w:val="000000" w:themeColor="text1"/>
                <w:sz w:val="20"/>
                <w:szCs w:val="18"/>
              </w:rPr>
            </w:pPr>
            <w:r w:rsidRPr="008D60BF">
              <w:rPr>
                <w:rFonts w:ascii="Arial Narrow" w:hAnsi="Arial Narrow"/>
                <w:b/>
                <w:color w:val="000000" w:themeColor="text1"/>
                <w:sz w:val="20"/>
                <w:szCs w:val="18"/>
              </w:rPr>
              <w:t>Selexipag ± BGT</w:t>
            </w:r>
          </w:p>
        </w:tc>
        <w:tc>
          <w:tcPr>
            <w:tcW w:w="669" w:type="pct"/>
            <w:gridSpan w:val="2"/>
            <w:vMerge w:val="restart"/>
            <w:vAlign w:val="center"/>
          </w:tcPr>
          <w:p w:rsidR="000634AC" w:rsidRDefault="000634AC" w:rsidP="009107D8">
            <w:pPr>
              <w:jc w:val="center"/>
              <w:rPr>
                <w:rFonts w:ascii="Arial Narrow" w:hAnsi="Arial Narrow"/>
                <w:b/>
                <w:color w:val="000000" w:themeColor="text1"/>
                <w:sz w:val="20"/>
                <w:szCs w:val="18"/>
              </w:rPr>
            </w:pPr>
            <w:r w:rsidRPr="008D60BF">
              <w:rPr>
                <w:rFonts w:ascii="Arial Narrow" w:hAnsi="Arial Narrow"/>
                <w:b/>
                <w:color w:val="000000" w:themeColor="text1"/>
                <w:sz w:val="20"/>
                <w:szCs w:val="18"/>
              </w:rPr>
              <w:t>PBO ± BGT</w:t>
            </w:r>
          </w:p>
          <w:p w:rsidR="000634AC" w:rsidRPr="008D60BF" w:rsidRDefault="000634AC" w:rsidP="009107D8">
            <w:pPr>
              <w:jc w:val="center"/>
              <w:rPr>
                <w:rFonts w:ascii="Arial Narrow" w:hAnsi="Arial Narrow"/>
                <w:b/>
                <w:color w:val="000000" w:themeColor="text1"/>
                <w:sz w:val="20"/>
                <w:szCs w:val="18"/>
              </w:rPr>
            </w:pPr>
          </w:p>
        </w:tc>
        <w:tc>
          <w:tcPr>
            <w:tcW w:w="585" w:type="pct"/>
            <w:gridSpan w:val="2"/>
            <w:vMerge w:val="restart"/>
            <w:vAlign w:val="center"/>
          </w:tcPr>
          <w:p w:rsidR="000634AC" w:rsidRPr="008D60BF" w:rsidRDefault="000634AC" w:rsidP="009107D8">
            <w:pPr>
              <w:jc w:val="center"/>
              <w:rPr>
                <w:rFonts w:ascii="Arial Narrow" w:hAnsi="Arial Narrow"/>
                <w:b/>
                <w:color w:val="000000" w:themeColor="text1"/>
                <w:sz w:val="20"/>
                <w:szCs w:val="18"/>
              </w:rPr>
            </w:pPr>
            <w:r w:rsidRPr="008D60BF">
              <w:rPr>
                <w:rFonts w:ascii="Arial Narrow" w:hAnsi="Arial Narrow"/>
                <w:b/>
                <w:color w:val="000000" w:themeColor="text1"/>
                <w:sz w:val="20"/>
                <w:szCs w:val="18"/>
              </w:rPr>
              <w:t>RR</w:t>
            </w:r>
          </w:p>
          <w:p w:rsidR="000634AC" w:rsidRPr="008D60BF" w:rsidRDefault="000634AC" w:rsidP="009107D8">
            <w:pPr>
              <w:jc w:val="center"/>
              <w:rPr>
                <w:rFonts w:ascii="Arial Narrow" w:hAnsi="Arial Narrow"/>
                <w:b/>
                <w:color w:val="000000" w:themeColor="text1"/>
                <w:sz w:val="20"/>
                <w:szCs w:val="18"/>
              </w:rPr>
            </w:pPr>
            <w:r w:rsidRPr="008D60BF">
              <w:rPr>
                <w:rFonts w:ascii="Arial Narrow" w:hAnsi="Arial Narrow"/>
                <w:b/>
                <w:color w:val="000000" w:themeColor="text1"/>
                <w:sz w:val="20"/>
                <w:szCs w:val="18"/>
              </w:rPr>
              <w:t>(95% CI)</w:t>
            </w:r>
            <w:r w:rsidR="00F953EA">
              <w:rPr>
                <w:rFonts w:ascii="Arial Narrow" w:hAnsi="Arial Narrow"/>
                <w:b/>
                <w:color w:val="000000" w:themeColor="text1"/>
                <w:sz w:val="20"/>
                <w:szCs w:val="18"/>
                <w:vertAlign w:val="superscript"/>
              </w:rPr>
              <w:t>a</w:t>
            </w:r>
          </w:p>
        </w:tc>
        <w:tc>
          <w:tcPr>
            <w:tcW w:w="1171" w:type="pct"/>
            <w:gridSpan w:val="4"/>
            <w:vAlign w:val="center"/>
          </w:tcPr>
          <w:p w:rsidR="000634AC" w:rsidRPr="008D60BF" w:rsidRDefault="000634AC" w:rsidP="00F953EA">
            <w:pPr>
              <w:jc w:val="center"/>
              <w:rPr>
                <w:rFonts w:ascii="Arial Narrow" w:hAnsi="Arial Narrow"/>
                <w:b/>
                <w:color w:val="000000" w:themeColor="text1"/>
                <w:sz w:val="20"/>
                <w:szCs w:val="18"/>
              </w:rPr>
            </w:pPr>
            <w:r w:rsidRPr="008D60BF">
              <w:rPr>
                <w:rFonts w:ascii="Arial Narrow" w:hAnsi="Arial Narrow"/>
                <w:b/>
                <w:color w:val="000000" w:themeColor="text1"/>
                <w:sz w:val="20"/>
                <w:szCs w:val="18"/>
              </w:rPr>
              <w:t>Event rate/100 patients</w:t>
            </w:r>
            <w:r w:rsidR="00F953EA" w:rsidRPr="00F953EA">
              <w:rPr>
                <w:rFonts w:ascii="Arial Narrow" w:hAnsi="Arial Narrow"/>
                <w:color w:val="000000" w:themeColor="text1"/>
                <w:sz w:val="20"/>
                <w:szCs w:val="18"/>
                <w:vertAlign w:val="superscript"/>
              </w:rPr>
              <w:t>b</w:t>
            </w:r>
            <w:r w:rsidRPr="008D60BF">
              <w:rPr>
                <w:rFonts w:ascii="Arial Narrow" w:hAnsi="Arial Narrow"/>
                <w:b/>
                <w:color w:val="000000" w:themeColor="text1"/>
                <w:sz w:val="20"/>
                <w:szCs w:val="18"/>
              </w:rPr>
              <w:t xml:space="preserve"> </w:t>
            </w:r>
          </w:p>
        </w:tc>
        <w:tc>
          <w:tcPr>
            <w:tcW w:w="732" w:type="pct"/>
            <w:vMerge w:val="restart"/>
            <w:vAlign w:val="center"/>
          </w:tcPr>
          <w:p w:rsidR="000634AC" w:rsidRPr="008D60BF" w:rsidRDefault="000634AC" w:rsidP="009107D8">
            <w:pPr>
              <w:jc w:val="center"/>
              <w:rPr>
                <w:rFonts w:ascii="Arial Narrow" w:hAnsi="Arial Narrow"/>
                <w:b/>
                <w:color w:val="000000" w:themeColor="text1"/>
                <w:sz w:val="20"/>
                <w:szCs w:val="18"/>
              </w:rPr>
            </w:pPr>
            <w:r w:rsidRPr="008D60BF">
              <w:rPr>
                <w:rFonts w:ascii="Arial Narrow" w:hAnsi="Arial Narrow"/>
                <w:b/>
                <w:color w:val="000000" w:themeColor="text1"/>
                <w:sz w:val="20"/>
                <w:szCs w:val="18"/>
              </w:rPr>
              <w:t>RD</w:t>
            </w:r>
          </w:p>
          <w:p w:rsidR="000634AC" w:rsidRPr="008D60BF" w:rsidRDefault="000634AC" w:rsidP="009107D8">
            <w:pPr>
              <w:jc w:val="center"/>
              <w:rPr>
                <w:rFonts w:ascii="Arial Narrow" w:hAnsi="Arial Narrow"/>
                <w:b/>
                <w:color w:val="000000" w:themeColor="text1"/>
                <w:sz w:val="20"/>
                <w:szCs w:val="18"/>
              </w:rPr>
            </w:pPr>
            <w:r w:rsidRPr="008D60BF">
              <w:rPr>
                <w:rFonts w:ascii="Arial Narrow" w:hAnsi="Arial Narrow"/>
                <w:b/>
                <w:color w:val="000000" w:themeColor="text1"/>
                <w:sz w:val="20"/>
                <w:szCs w:val="18"/>
              </w:rPr>
              <w:t>(95% CI)</w:t>
            </w:r>
            <w:r w:rsidR="00F953EA">
              <w:rPr>
                <w:rFonts w:ascii="Arial Narrow" w:hAnsi="Arial Narrow"/>
                <w:b/>
                <w:color w:val="000000" w:themeColor="text1"/>
                <w:sz w:val="20"/>
                <w:szCs w:val="18"/>
                <w:vertAlign w:val="superscript"/>
              </w:rPr>
              <w:t>a</w:t>
            </w:r>
          </w:p>
        </w:tc>
      </w:tr>
      <w:tr w:rsidR="000634AC" w:rsidRPr="008D60BF" w:rsidTr="00B56909">
        <w:trPr>
          <w:trHeight w:val="315"/>
          <w:tblHeader/>
        </w:trPr>
        <w:tc>
          <w:tcPr>
            <w:tcW w:w="1173" w:type="pct"/>
            <w:gridSpan w:val="3"/>
            <w:vMerge/>
            <w:shd w:val="clear" w:color="auto" w:fill="auto"/>
            <w:vAlign w:val="center"/>
          </w:tcPr>
          <w:p w:rsidR="000634AC" w:rsidRPr="008D60BF" w:rsidRDefault="000634AC" w:rsidP="009107D8">
            <w:pPr>
              <w:rPr>
                <w:rFonts w:ascii="Arial Narrow" w:hAnsi="Arial Narrow"/>
                <w:b/>
                <w:color w:val="000000" w:themeColor="text1"/>
                <w:sz w:val="20"/>
                <w:szCs w:val="18"/>
              </w:rPr>
            </w:pPr>
          </w:p>
        </w:tc>
        <w:tc>
          <w:tcPr>
            <w:tcW w:w="669" w:type="pct"/>
            <w:gridSpan w:val="3"/>
            <w:vMerge/>
            <w:vAlign w:val="center"/>
          </w:tcPr>
          <w:p w:rsidR="000634AC" w:rsidRPr="008D60BF" w:rsidRDefault="000634AC" w:rsidP="009107D8">
            <w:pPr>
              <w:jc w:val="center"/>
              <w:rPr>
                <w:rFonts w:ascii="Arial Narrow" w:hAnsi="Arial Narrow"/>
                <w:b/>
                <w:color w:val="000000" w:themeColor="text1"/>
                <w:sz w:val="20"/>
                <w:szCs w:val="18"/>
              </w:rPr>
            </w:pPr>
          </w:p>
        </w:tc>
        <w:tc>
          <w:tcPr>
            <w:tcW w:w="669" w:type="pct"/>
            <w:gridSpan w:val="2"/>
            <w:vMerge/>
            <w:vAlign w:val="center"/>
          </w:tcPr>
          <w:p w:rsidR="000634AC" w:rsidRPr="008D60BF" w:rsidRDefault="000634AC" w:rsidP="009107D8">
            <w:pPr>
              <w:jc w:val="center"/>
              <w:rPr>
                <w:rFonts w:ascii="Arial Narrow" w:hAnsi="Arial Narrow"/>
                <w:b/>
                <w:color w:val="000000" w:themeColor="text1"/>
                <w:sz w:val="20"/>
                <w:szCs w:val="18"/>
              </w:rPr>
            </w:pPr>
          </w:p>
        </w:tc>
        <w:tc>
          <w:tcPr>
            <w:tcW w:w="585" w:type="pct"/>
            <w:gridSpan w:val="2"/>
            <w:vMerge/>
            <w:vAlign w:val="center"/>
          </w:tcPr>
          <w:p w:rsidR="000634AC" w:rsidRPr="008D60BF" w:rsidRDefault="000634AC" w:rsidP="009107D8">
            <w:pPr>
              <w:jc w:val="center"/>
              <w:rPr>
                <w:rFonts w:ascii="Arial Narrow" w:hAnsi="Arial Narrow"/>
                <w:b/>
                <w:color w:val="000000" w:themeColor="text1"/>
                <w:sz w:val="20"/>
                <w:szCs w:val="18"/>
              </w:rPr>
            </w:pPr>
          </w:p>
        </w:tc>
        <w:tc>
          <w:tcPr>
            <w:tcW w:w="585" w:type="pct"/>
            <w:gridSpan w:val="2"/>
            <w:vAlign w:val="center"/>
          </w:tcPr>
          <w:p w:rsidR="000634AC" w:rsidRPr="008D60BF" w:rsidRDefault="000634AC" w:rsidP="009107D8">
            <w:pPr>
              <w:jc w:val="center"/>
              <w:rPr>
                <w:rFonts w:ascii="Arial Narrow" w:hAnsi="Arial Narrow"/>
                <w:b/>
                <w:color w:val="000000" w:themeColor="text1"/>
                <w:sz w:val="20"/>
                <w:szCs w:val="18"/>
              </w:rPr>
            </w:pPr>
            <w:r w:rsidRPr="008D60BF">
              <w:rPr>
                <w:rFonts w:ascii="Arial Narrow" w:hAnsi="Arial Narrow"/>
                <w:b/>
                <w:color w:val="000000" w:themeColor="text1"/>
                <w:sz w:val="20"/>
                <w:szCs w:val="18"/>
              </w:rPr>
              <w:t>Selexipag ± BGT</w:t>
            </w:r>
          </w:p>
        </w:tc>
        <w:tc>
          <w:tcPr>
            <w:tcW w:w="586" w:type="pct"/>
            <w:gridSpan w:val="2"/>
            <w:vAlign w:val="center"/>
          </w:tcPr>
          <w:p w:rsidR="000634AC" w:rsidRPr="008D60BF" w:rsidRDefault="000634AC" w:rsidP="009107D8">
            <w:pPr>
              <w:jc w:val="center"/>
              <w:rPr>
                <w:rFonts w:ascii="Arial Narrow" w:hAnsi="Arial Narrow"/>
                <w:b/>
                <w:color w:val="000000" w:themeColor="text1"/>
                <w:sz w:val="20"/>
                <w:szCs w:val="18"/>
              </w:rPr>
            </w:pPr>
            <w:r w:rsidRPr="008D60BF">
              <w:rPr>
                <w:rFonts w:ascii="Arial Narrow" w:hAnsi="Arial Narrow"/>
                <w:b/>
                <w:color w:val="000000" w:themeColor="text1"/>
                <w:sz w:val="20"/>
                <w:szCs w:val="18"/>
              </w:rPr>
              <w:t>PBO ± BGT</w:t>
            </w:r>
          </w:p>
        </w:tc>
        <w:tc>
          <w:tcPr>
            <w:tcW w:w="732" w:type="pct"/>
            <w:vMerge/>
            <w:vAlign w:val="center"/>
          </w:tcPr>
          <w:p w:rsidR="000634AC" w:rsidRPr="008D60BF" w:rsidRDefault="000634AC" w:rsidP="009107D8">
            <w:pPr>
              <w:jc w:val="center"/>
              <w:rPr>
                <w:rFonts w:ascii="Arial Narrow" w:hAnsi="Arial Narrow"/>
                <w:b/>
                <w:color w:val="000000" w:themeColor="text1"/>
                <w:sz w:val="20"/>
                <w:szCs w:val="18"/>
              </w:rPr>
            </w:pPr>
          </w:p>
        </w:tc>
      </w:tr>
      <w:tr w:rsidR="000634AC" w:rsidRPr="008D60BF" w:rsidTr="009107D8">
        <w:tc>
          <w:tcPr>
            <w:tcW w:w="4999" w:type="pct"/>
            <w:gridSpan w:val="15"/>
            <w:shd w:val="clear" w:color="auto" w:fill="auto"/>
            <w:vAlign w:val="center"/>
          </w:tcPr>
          <w:p w:rsidR="000634AC" w:rsidRPr="008D60BF" w:rsidRDefault="000634AC" w:rsidP="009107D8">
            <w:pPr>
              <w:rPr>
                <w:rFonts w:ascii="Arial Narrow" w:hAnsi="Arial Narrow"/>
                <w:b/>
                <w:color w:val="000000" w:themeColor="text1"/>
                <w:sz w:val="20"/>
                <w:szCs w:val="18"/>
              </w:rPr>
            </w:pPr>
            <w:r w:rsidRPr="008D60BF">
              <w:rPr>
                <w:rFonts w:ascii="Arial Narrow" w:hAnsi="Arial Narrow"/>
                <w:b/>
                <w:color w:val="000000" w:themeColor="text1"/>
                <w:sz w:val="20"/>
                <w:szCs w:val="18"/>
              </w:rPr>
              <w:t>Benefits</w:t>
            </w:r>
          </w:p>
        </w:tc>
      </w:tr>
      <w:tr w:rsidR="000634AC" w:rsidRPr="008D60BF" w:rsidTr="009107D8">
        <w:tc>
          <w:tcPr>
            <w:tcW w:w="4999" w:type="pct"/>
            <w:gridSpan w:val="15"/>
            <w:shd w:val="clear" w:color="auto" w:fill="auto"/>
            <w:vAlign w:val="center"/>
          </w:tcPr>
          <w:p w:rsidR="000634AC" w:rsidRPr="008D60BF" w:rsidRDefault="000634AC" w:rsidP="009107D8">
            <w:pPr>
              <w:rPr>
                <w:rFonts w:ascii="Arial Narrow" w:hAnsi="Arial Narrow"/>
                <w:b/>
                <w:color w:val="000000" w:themeColor="text1"/>
                <w:sz w:val="20"/>
                <w:szCs w:val="18"/>
              </w:rPr>
            </w:pPr>
            <w:r w:rsidRPr="008D60BF">
              <w:rPr>
                <w:rFonts w:ascii="Arial Narrow" w:hAnsi="Arial Narrow"/>
                <w:b/>
                <w:color w:val="000000" w:themeColor="text1"/>
                <w:sz w:val="20"/>
                <w:szCs w:val="18"/>
              </w:rPr>
              <w:t>CHMP-defined MM event</w:t>
            </w:r>
          </w:p>
        </w:tc>
      </w:tr>
      <w:tr w:rsidR="000634AC" w:rsidRPr="008D60BF" w:rsidTr="009107D8">
        <w:tc>
          <w:tcPr>
            <w:tcW w:w="1173" w:type="pct"/>
            <w:gridSpan w:val="3"/>
            <w:shd w:val="clear" w:color="auto" w:fill="auto"/>
            <w:vAlign w:val="center"/>
          </w:tcPr>
          <w:p w:rsidR="000634AC" w:rsidRPr="008D60BF" w:rsidRDefault="000634AC" w:rsidP="009107D8">
            <w:pPr>
              <w:rPr>
                <w:rFonts w:ascii="Arial Narrow" w:hAnsi="Arial Narrow"/>
                <w:color w:val="000000" w:themeColor="text1"/>
                <w:sz w:val="20"/>
                <w:szCs w:val="18"/>
              </w:rPr>
            </w:pPr>
            <w:r>
              <w:rPr>
                <w:rFonts w:ascii="Arial Narrow" w:hAnsi="Arial Narrow"/>
                <w:color w:val="000000" w:themeColor="text1"/>
                <w:sz w:val="20"/>
                <w:szCs w:val="18"/>
              </w:rPr>
              <w:t xml:space="preserve">Patients with </w:t>
            </w:r>
            <w:r w:rsidRPr="008D60BF">
              <w:rPr>
                <w:rFonts w:ascii="Arial Narrow" w:hAnsi="Arial Narrow"/>
                <w:color w:val="000000" w:themeColor="text1"/>
                <w:sz w:val="20"/>
                <w:szCs w:val="18"/>
              </w:rPr>
              <w:t>event</w:t>
            </w:r>
          </w:p>
        </w:tc>
        <w:tc>
          <w:tcPr>
            <w:tcW w:w="669" w:type="pct"/>
            <w:gridSpan w:val="3"/>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268/574</w:t>
            </w:r>
          </w:p>
        </w:tc>
        <w:tc>
          <w:tcPr>
            <w:tcW w:w="669"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343/582</w:t>
            </w:r>
          </w:p>
        </w:tc>
        <w:tc>
          <w:tcPr>
            <w:tcW w:w="585" w:type="pct"/>
            <w:gridSpan w:val="2"/>
            <w:vAlign w:val="center"/>
          </w:tcPr>
          <w:p w:rsidR="000634AC" w:rsidRDefault="000634AC" w:rsidP="009107D8">
            <w:pPr>
              <w:widowControl/>
              <w:jc w:val="center"/>
              <w:rPr>
                <w:rFonts w:ascii="Arial Narrow" w:hAnsi="Arial Narrow"/>
                <w:color w:val="000000" w:themeColor="text1"/>
                <w:sz w:val="20"/>
                <w:szCs w:val="18"/>
              </w:rPr>
            </w:pPr>
            <w:r w:rsidRPr="00893FEC">
              <w:rPr>
                <w:rFonts w:ascii="Arial Narrow" w:hAnsi="Arial Narrow"/>
                <w:color w:val="000000" w:themeColor="text1"/>
                <w:sz w:val="20"/>
                <w:szCs w:val="18"/>
              </w:rPr>
              <w:t>0.79</w:t>
            </w:r>
          </w:p>
          <w:p w:rsidR="000634AC" w:rsidRPr="00893FEC" w:rsidRDefault="000634AC" w:rsidP="009107D8">
            <w:pPr>
              <w:widowControl/>
              <w:jc w:val="center"/>
              <w:rPr>
                <w:rFonts w:ascii="Arial Narrow" w:hAnsi="Arial Narrow"/>
                <w:color w:val="000000" w:themeColor="text1"/>
                <w:sz w:val="20"/>
                <w:szCs w:val="18"/>
              </w:rPr>
            </w:pPr>
            <w:r w:rsidRPr="00893FEC">
              <w:rPr>
                <w:rFonts w:ascii="Arial Narrow" w:hAnsi="Arial Narrow"/>
                <w:color w:val="000000" w:themeColor="text1"/>
                <w:sz w:val="20"/>
                <w:szCs w:val="18"/>
              </w:rPr>
              <w:t>(0.71, 0.88)</w:t>
            </w:r>
          </w:p>
        </w:tc>
        <w:tc>
          <w:tcPr>
            <w:tcW w:w="585"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46.7</w:t>
            </w:r>
          </w:p>
        </w:tc>
        <w:tc>
          <w:tcPr>
            <w:tcW w:w="586"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58.9</w:t>
            </w:r>
          </w:p>
        </w:tc>
        <w:tc>
          <w:tcPr>
            <w:tcW w:w="732" w:type="pct"/>
            <w:vAlign w:val="center"/>
          </w:tcPr>
          <w:p w:rsidR="000634AC" w:rsidRDefault="000634AC" w:rsidP="009107D8">
            <w:pPr>
              <w:widowControl/>
              <w:jc w:val="center"/>
              <w:rPr>
                <w:rFonts w:ascii="Arial Narrow" w:hAnsi="Arial Narrow"/>
                <w:color w:val="000000" w:themeColor="text1"/>
                <w:sz w:val="20"/>
                <w:szCs w:val="18"/>
              </w:rPr>
            </w:pPr>
            <w:r w:rsidRPr="00893FEC">
              <w:rPr>
                <w:rFonts w:ascii="Arial Narrow" w:hAnsi="Arial Narrow"/>
                <w:color w:val="000000" w:themeColor="text1"/>
                <w:sz w:val="20"/>
                <w:szCs w:val="18"/>
              </w:rPr>
              <w:t>-0.12</w:t>
            </w:r>
          </w:p>
          <w:p w:rsidR="000634AC" w:rsidRPr="00893FEC" w:rsidRDefault="000634AC" w:rsidP="009107D8">
            <w:pPr>
              <w:widowControl/>
              <w:jc w:val="center"/>
              <w:rPr>
                <w:rFonts w:ascii="Arial Narrow" w:hAnsi="Arial Narrow"/>
                <w:color w:val="000000" w:themeColor="text1"/>
                <w:sz w:val="20"/>
                <w:szCs w:val="18"/>
              </w:rPr>
            </w:pPr>
            <w:r w:rsidRPr="00893FEC">
              <w:rPr>
                <w:rFonts w:ascii="Arial Narrow" w:hAnsi="Arial Narrow"/>
                <w:color w:val="000000" w:themeColor="text1"/>
                <w:sz w:val="20"/>
                <w:szCs w:val="18"/>
              </w:rPr>
              <w:t>(-0.18, -0.07)</w:t>
            </w:r>
          </w:p>
        </w:tc>
      </w:tr>
      <w:tr w:rsidR="000634AC" w:rsidRPr="008D60BF" w:rsidTr="009107D8">
        <w:tc>
          <w:tcPr>
            <w:tcW w:w="4999" w:type="pct"/>
            <w:gridSpan w:val="15"/>
            <w:shd w:val="clear" w:color="auto" w:fill="auto"/>
            <w:vAlign w:val="center"/>
          </w:tcPr>
          <w:p w:rsidR="000634AC" w:rsidRPr="008D60BF" w:rsidRDefault="000634AC" w:rsidP="009107D8">
            <w:pPr>
              <w:rPr>
                <w:rFonts w:ascii="Arial Narrow" w:hAnsi="Arial Narrow"/>
                <w:b/>
                <w:color w:val="000000" w:themeColor="text1"/>
                <w:sz w:val="20"/>
                <w:szCs w:val="18"/>
              </w:rPr>
            </w:pPr>
            <w:r w:rsidRPr="008D60BF">
              <w:rPr>
                <w:rFonts w:ascii="Arial Narrow" w:hAnsi="Arial Narrow"/>
                <w:b/>
                <w:color w:val="000000" w:themeColor="text1"/>
                <w:sz w:val="20"/>
                <w:szCs w:val="18"/>
              </w:rPr>
              <w:t>Individual CHMP-defined MM events</w:t>
            </w:r>
            <w:r w:rsidR="009D031A" w:rsidRPr="009D031A">
              <w:rPr>
                <w:rFonts w:ascii="Arial Narrow" w:hAnsi="Arial Narrow"/>
                <w:color w:val="000000" w:themeColor="text1"/>
                <w:sz w:val="20"/>
                <w:szCs w:val="18"/>
                <w:vertAlign w:val="superscript"/>
              </w:rPr>
              <w:t>c</w:t>
            </w:r>
          </w:p>
        </w:tc>
      </w:tr>
      <w:tr w:rsidR="000634AC" w:rsidRPr="008D60BF" w:rsidTr="009107D8">
        <w:tc>
          <w:tcPr>
            <w:tcW w:w="1173" w:type="pct"/>
            <w:gridSpan w:val="3"/>
            <w:shd w:val="clear" w:color="auto" w:fill="auto"/>
            <w:vAlign w:val="center"/>
          </w:tcPr>
          <w:p w:rsidR="000634AC" w:rsidRPr="008D60BF" w:rsidRDefault="000634AC" w:rsidP="009107D8">
            <w:pPr>
              <w:rPr>
                <w:rFonts w:ascii="Arial Narrow" w:hAnsi="Arial Narrow"/>
                <w:color w:val="000000" w:themeColor="text1"/>
                <w:sz w:val="20"/>
                <w:szCs w:val="18"/>
              </w:rPr>
            </w:pPr>
            <w:r w:rsidRPr="008D60BF">
              <w:rPr>
                <w:rFonts w:ascii="Arial Narrow" w:hAnsi="Arial Narrow"/>
                <w:color w:val="000000" w:themeColor="text1"/>
                <w:sz w:val="20"/>
                <w:szCs w:val="18"/>
              </w:rPr>
              <w:t>Hospitalisation for PAH worsening</w:t>
            </w:r>
          </w:p>
        </w:tc>
        <w:tc>
          <w:tcPr>
            <w:tcW w:w="669" w:type="pct"/>
            <w:gridSpan w:val="3"/>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86/574</w:t>
            </w:r>
          </w:p>
        </w:tc>
        <w:tc>
          <w:tcPr>
            <w:tcW w:w="669"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124/582</w:t>
            </w:r>
          </w:p>
        </w:tc>
        <w:tc>
          <w:tcPr>
            <w:tcW w:w="585" w:type="pct"/>
            <w:gridSpan w:val="2"/>
            <w:vAlign w:val="bottom"/>
          </w:tcPr>
          <w:p w:rsidR="000634A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0.7</w:t>
            </w:r>
          </w:p>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(0.55, 0.9)</w:t>
            </w:r>
          </w:p>
        </w:tc>
        <w:tc>
          <w:tcPr>
            <w:tcW w:w="585"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15</w:t>
            </w:r>
          </w:p>
        </w:tc>
        <w:tc>
          <w:tcPr>
            <w:tcW w:w="586"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21.3</w:t>
            </w:r>
          </w:p>
        </w:tc>
        <w:tc>
          <w:tcPr>
            <w:tcW w:w="732" w:type="pct"/>
            <w:vAlign w:val="bottom"/>
          </w:tcPr>
          <w:p w:rsidR="000634A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-0.06</w:t>
            </w:r>
          </w:p>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(-0.11, -0.02)</w:t>
            </w:r>
          </w:p>
        </w:tc>
      </w:tr>
      <w:tr w:rsidR="000634AC" w:rsidRPr="008D60BF" w:rsidTr="009107D8">
        <w:tc>
          <w:tcPr>
            <w:tcW w:w="1173" w:type="pct"/>
            <w:gridSpan w:val="3"/>
            <w:shd w:val="clear" w:color="auto" w:fill="auto"/>
            <w:vAlign w:val="center"/>
          </w:tcPr>
          <w:p w:rsidR="000634AC" w:rsidRPr="008D60BF" w:rsidRDefault="000634AC" w:rsidP="009107D8">
            <w:pPr>
              <w:rPr>
                <w:rFonts w:ascii="Arial Narrow" w:hAnsi="Arial Narrow"/>
                <w:color w:val="000000" w:themeColor="text1"/>
                <w:sz w:val="20"/>
                <w:szCs w:val="18"/>
              </w:rPr>
            </w:pPr>
            <w:r w:rsidRPr="008D60BF">
              <w:rPr>
                <w:rFonts w:ascii="Arial Narrow" w:hAnsi="Arial Narrow"/>
                <w:color w:val="000000" w:themeColor="text1"/>
                <w:sz w:val="20"/>
                <w:szCs w:val="18"/>
              </w:rPr>
              <w:t>Increase in WHO FC from baseline</w:t>
            </w:r>
          </w:p>
        </w:tc>
        <w:tc>
          <w:tcPr>
            <w:tcW w:w="669" w:type="pct"/>
            <w:gridSpan w:val="3"/>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122/574</w:t>
            </w:r>
          </w:p>
        </w:tc>
        <w:tc>
          <w:tcPr>
            <w:tcW w:w="669"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178/582</w:t>
            </w:r>
          </w:p>
        </w:tc>
        <w:tc>
          <w:tcPr>
            <w:tcW w:w="585" w:type="pct"/>
            <w:gridSpan w:val="2"/>
            <w:vAlign w:val="bottom"/>
          </w:tcPr>
          <w:p w:rsidR="000634A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0.69</w:t>
            </w:r>
          </w:p>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(0.57, 0.85)</w:t>
            </w:r>
          </w:p>
        </w:tc>
        <w:tc>
          <w:tcPr>
            <w:tcW w:w="585"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21.3</w:t>
            </w:r>
          </w:p>
        </w:tc>
        <w:tc>
          <w:tcPr>
            <w:tcW w:w="586"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30.6</w:t>
            </w:r>
          </w:p>
        </w:tc>
        <w:tc>
          <w:tcPr>
            <w:tcW w:w="732" w:type="pct"/>
            <w:vAlign w:val="bottom"/>
          </w:tcPr>
          <w:p w:rsidR="000634A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-0.09</w:t>
            </w:r>
          </w:p>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(-0.14, -0.04)</w:t>
            </w:r>
          </w:p>
        </w:tc>
      </w:tr>
      <w:tr w:rsidR="000634AC" w:rsidRPr="008D60BF" w:rsidTr="009107D8">
        <w:tc>
          <w:tcPr>
            <w:tcW w:w="1173" w:type="pct"/>
            <w:gridSpan w:val="3"/>
            <w:shd w:val="clear" w:color="auto" w:fill="auto"/>
            <w:vAlign w:val="center"/>
          </w:tcPr>
          <w:p w:rsidR="000634AC" w:rsidRPr="008D60BF" w:rsidRDefault="000634AC" w:rsidP="009107D8">
            <w:pPr>
              <w:rPr>
                <w:rFonts w:ascii="Arial Narrow" w:hAnsi="Arial Narrow"/>
                <w:color w:val="000000" w:themeColor="text1"/>
                <w:sz w:val="20"/>
                <w:szCs w:val="18"/>
              </w:rPr>
            </w:pPr>
            <w:r w:rsidRPr="008D60BF">
              <w:rPr>
                <w:rFonts w:ascii="Arial Narrow" w:hAnsi="Arial Narrow"/>
                <w:color w:val="000000" w:themeColor="text1"/>
                <w:sz w:val="20"/>
                <w:szCs w:val="18"/>
              </w:rPr>
              <w:t>Signs/symptoms of right-side</w:t>
            </w:r>
            <w:r>
              <w:rPr>
                <w:rFonts w:ascii="Arial Narrow" w:hAnsi="Arial Narrow"/>
                <w:color w:val="000000" w:themeColor="text1"/>
                <w:sz w:val="20"/>
                <w:szCs w:val="18"/>
              </w:rPr>
              <w:t>d</w:t>
            </w:r>
            <w:r w:rsidRPr="008D60BF">
              <w:rPr>
                <w:rFonts w:ascii="Arial Narrow" w:hAnsi="Arial Narrow"/>
                <w:color w:val="000000" w:themeColor="text1"/>
                <w:sz w:val="20"/>
                <w:szCs w:val="18"/>
              </w:rPr>
              <w:t xml:space="preserve"> heart failure</w:t>
            </w:r>
          </w:p>
        </w:tc>
        <w:tc>
          <w:tcPr>
            <w:tcW w:w="669" w:type="pct"/>
            <w:gridSpan w:val="3"/>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160/574</w:t>
            </w:r>
          </w:p>
        </w:tc>
        <w:tc>
          <w:tcPr>
            <w:tcW w:w="669"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247/582</w:t>
            </w:r>
          </w:p>
        </w:tc>
        <w:tc>
          <w:tcPr>
            <w:tcW w:w="585" w:type="pct"/>
            <w:gridSpan w:val="2"/>
            <w:vAlign w:val="bottom"/>
          </w:tcPr>
          <w:p w:rsidR="000634A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0.66</w:t>
            </w:r>
          </w:p>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(0.56, 0.77)</w:t>
            </w:r>
          </w:p>
        </w:tc>
        <w:tc>
          <w:tcPr>
            <w:tcW w:w="585"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27.9</w:t>
            </w:r>
          </w:p>
        </w:tc>
        <w:tc>
          <w:tcPr>
            <w:tcW w:w="586"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42.4</w:t>
            </w:r>
          </w:p>
        </w:tc>
        <w:tc>
          <w:tcPr>
            <w:tcW w:w="732" w:type="pct"/>
            <w:vAlign w:val="bottom"/>
          </w:tcPr>
          <w:p w:rsidR="000634A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-0.15</w:t>
            </w:r>
          </w:p>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(-0.2, -0.09)</w:t>
            </w:r>
          </w:p>
        </w:tc>
      </w:tr>
      <w:tr w:rsidR="000634AC" w:rsidRPr="008D60BF" w:rsidTr="009107D8">
        <w:tc>
          <w:tcPr>
            <w:tcW w:w="1173" w:type="pct"/>
            <w:gridSpan w:val="3"/>
            <w:shd w:val="clear" w:color="auto" w:fill="auto"/>
            <w:vAlign w:val="center"/>
          </w:tcPr>
          <w:p w:rsidR="000634AC" w:rsidRPr="008D60BF" w:rsidRDefault="000634AC" w:rsidP="009107D8">
            <w:pPr>
              <w:rPr>
                <w:rFonts w:ascii="Arial Narrow" w:hAnsi="Arial Narrow"/>
                <w:color w:val="000000" w:themeColor="text1"/>
                <w:sz w:val="20"/>
                <w:szCs w:val="18"/>
              </w:rPr>
            </w:pPr>
            <w:r w:rsidRPr="008D60BF">
              <w:rPr>
                <w:rFonts w:ascii="Arial Narrow" w:hAnsi="Arial Narrow"/>
                <w:color w:val="000000" w:themeColor="text1"/>
                <w:sz w:val="20"/>
                <w:szCs w:val="18"/>
              </w:rPr>
              <w:t>≥15% decrease in 6MWD from baseline</w:t>
            </w:r>
          </w:p>
        </w:tc>
        <w:tc>
          <w:tcPr>
            <w:tcW w:w="669" w:type="pct"/>
            <w:gridSpan w:val="3"/>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198/574</w:t>
            </w:r>
          </w:p>
        </w:tc>
        <w:tc>
          <w:tcPr>
            <w:tcW w:w="669"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284/582</w:t>
            </w:r>
          </w:p>
        </w:tc>
        <w:tc>
          <w:tcPr>
            <w:tcW w:w="585" w:type="pct"/>
            <w:gridSpan w:val="2"/>
            <w:vAlign w:val="bottom"/>
          </w:tcPr>
          <w:p w:rsidR="000634A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0.71</w:t>
            </w:r>
          </w:p>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(0.61, 0.81)</w:t>
            </w:r>
          </w:p>
        </w:tc>
        <w:tc>
          <w:tcPr>
            <w:tcW w:w="585"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34.5</w:t>
            </w:r>
          </w:p>
        </w:tc>
        <w:tc>
          <w:tcPr>
            <w:tcW w:w="586" w:type="pct"/>
            <w:gridSpan w:val="2"/>
            <w:vAlign w:val="center"/>
          </w:tcPr>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48.8</w:t>
            </w:r>
          </w:p>
        </w:tc>
        <w:tc>
          <w:tcPr>
            <w:tcW w:w="732" w:type="pct"/>
            <w:vAlign w:val="bottom"/>
          </w:tcPr>
          <w:p w:rsidR="000634A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-0.14</w:t>
            </w:r>
          </w:p>
          <w:p w:rsidR="000634AC" w:rsidRPr="00893FEC" w:rsidRDefault="000634AC" w:rsidP="009107D8">
            <w:pPr>
              <w:jc w:val="center"/>
              <w:rPr>
                <w:rFonts w:ascii="Arial Narrow" w:hAnsi="Arial Narrow"/>
                <w:color w:val="000000" w:themeColor="text1"/>
                <w:sz w:val="20"/>
                <w:szCs w:val="18"/>
              </w:rPr>
            </w:pPr>
            <w:r w:rsidRPr="00893FEC">
              <w:rPr>
                <w:rFonts w:ascii="Arial Narrow" w:hAnsi="Arial Narrow"/>
                <w:color w:val="000000" w:themeColor="text1"/>
                <w:sz w:val="20"/>
                <w:szCs w:val="18"/>
              </w:rPr>
              <w:t>(-0.2, -0.09)</w:t>
            </w:r>
          </w:p>
        </w:tc>
      </w:tr>
      <w:tr w:rsidR="000634AC" w:rsidRPr="00E2771E" w:rsidTr="009107D8">
        <w:tc>
          <w:tcPr>
            <w:tcW w:w="5000" w:type="pct"/>
            <w:gridSpan w:val="15"/>
            <w:tcBorders>
              <w:top w:val="double" w:sz="4" w:space="0" w:color="auto"/>
            </w:tcBorders>
            <w:shd w:val="clear" w:color="auto" w:fill="auto"/>
            <w:vAlign w:val="center"/>
          </w:tcPr>
          <w:p w:rsidR="000634AC" w:rsidRPr="00E2771E" w:rsidRDefault="000634AC" w:rsidP="009107D8">
            <w:pPr>
              <w:rPr>
                <w:rFonts w:ascii="Arial Narrow" w:hAnsi="Arial Narrow"/>
                <w:b/>
                <w:color w:val="000000"/>
                <w:sz w:val="20"/>
                <w:szCs w:val="18"/>
              </w:rPr>
            </w:pPr>
            <w:r w:rsidRPr="00E2771E">
              <w:rPr>
                <w:rFonts w:ascii="Arial Narrow" w:hAnsi="Arial Narrow"/>
                <w:b/>
                <w:color w:val="000000"/>
                <w:sz w:val="20"/>
                <w:szCs w:val="18"/>
              </w:rPr>
              <w:t>H</w:t>
            </w:r>
            <w:r>
              <w:rPr>
                <w:rFonts w:ascii="Arial Narrow" w:hAnsi="Arial Narrow"/>
                <w:b/>
                <w:color w:val="000000"/>
                <w:sz w:val="20"/>
                <w:szCs w:val="18"/>
              </w:rPr>
              <w:t>arms</w:t>
            </w:r>
          </w:p>
        </w:tc>
      </w:tr>
      <w:tr w:rsidR="000634AC" w:rsidRPr="00E2771E" w:rsidTr="009107D8">
        <w:trPr>
          <w:trHeight w:val="70"/>
        </w:trPr>
        <w:tc>
          <w:tcPr>
            <w:tcW w:w="686" w:type="pct"/>
            <w:vMerge w:val="restart"/>
            <w:shd w:val="clear" w:color="auto" w:fill="auto"/>
            <w:vAlign w:val="center"/>
          </w:tcPr>
          <w:p w:rsidR="000634AC" w:rsidRPr="00E2771E" w:rsidRDefault="000634AC" w:rsidP="009107D8">
            <w:pPr>
              <w:rPr>
                <w:rFonts w:ascii="Arial Narrow" w:hAnsi="Arial Narrow"/>
                <w:b/>
                <w:color w:val="000000"/>
                <w:sz w:val="20"/>
                <w:szCs w:val="18"/>
              </w:rPr>
            </w:pPr>
          </w:p>
        </w:tc>
        <w:tc>
          <w:tcPr>
            <w:tcW w:w="669" w:type="pct"/>
            <w:gridSpan w:val="3"/>
            <w:vMerge w:val="restart"/>
            <w:vAlign w:val="center"/>
          </w:tcPr>
          <w:p w:rsidR="000634AC" w:rsidRPr="00E2771E" w:rsidRDefault="000634AC" w:rsidP="009107D8">
            <w:pPr>
              <w:jc w:val="center"/>
              <w:rPr>
                <w:rFonts w:ascii="Arial Narrow" w:hAnsi="Arial Narrow"/>
                <w:b/>
                <w:color w:val="000000"/>
                <w:sz w:val="20"/>
                <w:szCs w:val="18"/>
              </w:rPr>
            </w:pPr>
            <w:r>
              <w:rPr>
                <w:rFonts w:ascii="Arial Narrow" w:hAnsi="Arial Narrow"/>
                <w:b/>
                <w:color w:val="000000"/>
                <w:sz w:val="20"/>
                <w:szCs w:val="18"/>
              </w:rPr>
              <w:t xml:space="preserve">Selexipag </w:t>
            </w:r>
            <w:r>
              <w:rPr>
                <w:rFonts w:ascii="Arial Narrow" w:hAnsi="Arial Narrow"/>
                <w:b/>
                <w:color w:val="000000"/>
                <w:sz w:val="20"/>
                <w:szCs w:val="18"/>
              </w:rPr>
              <w:br/>
              <w:t>± BGT</w:t>
            </w:r>
          </w:p>
        </w:tc>
        <w:tc>
          <w:tcPr>
            <w:tcW w:w="766" w:type="pct"/>
            <w:gridSpan w:val="3"/>
            <w:vMerge w:val="restart"/>
            <w:vAlign w:val="center"/>
          </w:tcPr>
          <w:p w:rsidR="000634AC" w:rsidRPr="00E2771E" w:rsidRDefault="000634AC" w:rsidP="009107D8">
            <w:pPr>
              <w:jc w:val="center"/>
              <w:rPr>
                <w:rFonts w:ascii="Arial Narrow" w:hAnsi="Arial Narrow"/>
                <w:b/>
                <w:color w:val="000000"/>
                <w:sz w:val="20"/>
                <w:szCs w:val="18"/>
              </w:rPr>
            </w:pPr>
            <w:r>
              <w:rPr>
                <w:rFonts w:ascii="Arial Narrow" w:hAnsi="Arial Narrow"/>
                <w:b/>
                <w:color w:val="000000"/>
                <w:sz w:val="20"/>
                <w:szCs w:val="18"/>
              </w:rPr>
              <w:t xml:space="preserve">Placebo </w:t>
            </w:r>
            <w:r>
              <w:rPr>
                <w:rFonts w:ascii="Arial Narrow" w:hAnsi="Arial Narrow"/>
                <w:b/>
                <w:color w:val="000000"/>
                <w:sz w:val="20"/>
                <w:szCs w:val="18"/>
              </w:rPr>
              <w:br/>
              <w:t>± BGT</w:t>
            </w:r>
          </w:p>
        </w:tc>
        <w:tc>
          <w:tcPr>
            <w:tcW w:w="822" w:type="pct"/>
            <w:gridSpan w:val="2"/>
            <w:vMerge w:val="restart"/>
            <w:vAlign w:val="center"/>
          </w:tcPr>
          <w:p w:rsidR="000634AC" w:rsidRPr="00E2771E" w:rsidRDefault="000634AC" w:rsidP="009107D8">
            <w:pPr>
              <w:jc w:val="center"/>
              <w:rPr>
                <w:rFonts w:ascii="Arial Narrow" w:hAnsi="Arial Narrow"/>
                <w:b/>
                <w:color w:val="000000"/>
                <w:sz w:val="20"/>
                <w:szCs w:val="18"/>
              </w:rPr>
            </w:pPr>
            <w:r w:rsidRPr="00E2771E">
              <w:rPr>
                <w:rFonts w:ascii="Arial Narrow" w:hAnsi="Arial Narrow"/>
                <w:b/>
                <w:color w:val="000000"/>
                <w:sz w:val="20"/>
                <w:szCs w:val="18"/>
              </w:rPr>
              <w:t>RR</w:t>
            </w:r>
          </w:p>
          <w:p w:rsidR="000634AC" w:rsidRPr="00E2771E" w:rsidRDefault="000634AC" w:rsidP="009107D8">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09" w:type="pct"/>
            <w:gridSpan w:val="4"/>
            <w:vAlign w:val="center"/>
          </w:tcPr>
          <w:p w:rsidR="000634AC" w:rsidRPr="00E2771E" w:rsidRDefault="000634AC" w:rsidP="00F953EA">
            <w:pPr>
              <w:jc w:val="center"/>
              <w:rPr>
                <w:rFonts w:ascii="Arial Narrow" w:hAnsi="Arial Narrow"/>
                <w:b/>
                <w:color w:val="000000"/>
                <w:sz w:val="20"/>
                <w:szCs w:val="18"/>
              </w:rPr>
            </w:pPr>
            <w:r>
              <w:rPr>
                <w:rFonts w:ascii="Arial Narrow" w:hAnsi="Arial Narrow"/>
                <w:b/>
                <w:color w:val="000000"/>
                <w:sz w:val="20"/>
                <w:szCs w:val="18"/>
              </w:rPr>
              <w:t>Event rate/100 patients</w:t>
            </w:r>
            <w:r w:rsidR="00F953EA">
              <w:rPr>
                <w:rFonts w:ascii="Arial Narrow" w:hAnsi="Arial Narrow"/>
                <w:color w:val="000000"/>
                <w:sz w:val="20"/>
                <w:szCs w:val="18"/>
                <w:vertAlign w:val="superscript"/>
              </w:rPr>
              <w:t>b</w:t>
            </w:r>
          </w:p>
        </w:tc>
        <w:tc>
          <w:tcPr>
            <w:tcW w:w="748" w:type="pct"/>
            <w:gridSpan w:val="2"/>
            <w:vMerge w:val="restart"/>
            <w:vAlign w:val="center"/>
          </w:tcPr>
          <w:p w:rsidR="000634AC" w:rsidRPr="00E2771E" w:rsidRDefault="000634AC" w:rsidP="009107D8">
            <w:pPr>
              <w:jc w:val="center"/>
              <w:rPr>
                <w:rFonts w:ascii="Arial Narrow" w:hAnsi="Arial Narrow"/>
                <w:b/>
                <w:color w:val="000000"/>
                <w:sz w:val="20"/>
                <w:szCs w:val="18"/>
              </w:rPr>
            </w:pPr>
            <w:r w:rsidRPr="00E2771E">
              <w:rPr>
                <w:rFonts w:ascii="Arial Narrow" w:hAnsi="Arial Narrow"/>
                <w:b/>
                <w:color w:val="000000"/>
                <w:sz w:val="20"/>
                <w:szCs w:val="18"/>
              </w:rPr>
              <w:t>RD</w:t>
            </w:r>
          </w:p>
          <w:p w:rsidR="000634AC" w:rsidRPr="00E2771E" w:rsidRDefault="000634AC" w:rsidP="009107D8">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0634AC" w:rsidRPr="00E2771E" w:rsidTr="009107D8">
        <w:trPr>
          <w:trHeight w:val="390"/>
        </w:trPr>
        <w:tc>
          <w:tcPr>
            <w:tcW w:w="686" w:type="pct"/>
            <w:vMerge/>
            <w:shd w:val="clear" w:color="auto" w:fill="auto"/>
            <w:vAlign w:val="center"/>
          </w:tcPr>
          <w:p w:rsidR="000634AC" w:rsidRPr="00E2771E" w:rsidRDefault="000634AC" w:rsidP="009107D8">
            <w:pPr>
              <w:rPr>
                <w:rFonts w:ascii="Arial Narrow" w:hAnsi="Arial Narrow"/>
                <w:b/>
                <w:color w:val="000000"/>
                <w:sz w:val="20"/>
                <w:szCs w:val="18"/>
              </w:rPr>
            </w:pPr>
          </w:p>
        </w:tc>
        <w:tc>
          <w:tcPr>
            <w:tcW w:w="669" w:type="pct"/>
            <w:gridSpan w:val="3"/>
            <w:vMerge/>
            <w:vAlign w:val="center"/>
          </w:tcPr>
          <w:p w:rsidR="000634AC" w:rsidRPr="00E2771E" w:rsidRDefault="000634AC" w:rsidP="009107D8">
            <w:pPr>
              <w:jc w:val="center"/>
              <w:rPr>
                <w:rFonts w:ascii="Arial Narrow" w:hAnsi="Arial Narrow"/>
                <w:b/>
                <w:color w:val="000000"/>
                <w:sz w:val="20"/>
                <w:szCs w:val="18"/>
              </w:rPr>
            </w:pPr>
          </w:p>
        </w:tc>
        <w:tc>
          <w:tcPr>
            <w:tcW w:w="766" w:type="pct"/>
            <w:gridSpan w:val="3"/>
            <w:vMerge/>
            <w:vAlign w:val="center"/>
          </w:tcPr>
          <w:p w:rsidR="000634AC" w:rsidRPr="00E2771E" w:rsidRDefault="000634AC" w:rsidP="009107D8">
            <w:pPr>
              <w:jc w:val="center"/>
              <w:rPr>
                <w:rFonts w:ascii="Arial Narrow" w:hAnsi="Arial Narrow"/>
                <w:b/>
                <w:color w:val="000000"/>
                <w:sz w:val="20"/>
                <w:szCs w:val="18"/>
              </w:rPr>
            </w:pPr>
          </w:p>
        </w:tc>
        <w:tc>
          <w:tcPr>
            <w:tcW w:w="822" w:type="pct"/>
            <w:gridSpan w:val="2"/>
            <w:vMerge/>
            <w:vAlign w:val="center"/>
          </w:tcPr>
          <w:p w:rsidR="000634AC" w:rsidRPr="00E2771E" w:rsidRDefault="000634AC" w:rsidP="009107D8">
            <w:pPr>
              <w:jc w:val="center"/>
              <w:rPr>
                <w:rFonts w:ascii="Arial Narrow" w:hAnsi="Arial Narrow"/>
                <w:b/>
                <w:color w:val="000000"/>
                <w:sz w:val="20"/>
                <w:szCs w:val="18"/>
              </w:rPr>
            </w:pPr>
          </w:p>
        </w:tc>
        <w:tc>
          <w:tcPr>
            <w:tcW w:w="671" w:type="pct"/>
            <w:gridSpan w:val="2"/>
            <w:vAlign w:val="center"/>
          </w:tcPr>
          <w:p w:rsidR="000634AC" w:rsidRPr="00E2771E" w:rsidRDefault="000634AC" w:rsidP="009107D8">
            <w:pPr>
              <w:jc w:val="center"/>
              <w:rPr>
                <w:rFonts w:ascii="Arial Narrow" w:hAnsi="Arial Narrow"/>
                <w:b/>
                <w:color w:val="000000"/>
                <w:sz w:val="20"/>
                <w:szCs w:val="18"/>
              </w:rPr>
            </w:pPr>
            <w:r w:rsidRPr="002D6A23">
              <w:rPr>
                <w:rFonts w:ascii="Arial Narrow" w:hAnsi="Arial Narrow"/>
                <w:b/>
                <w:color w:val="000000"/>
                <w:sz w:val="20"/>
                <w:szCs w:val="18"/>
              </w:rPr>
              <w:t>Selexipag</w:t>
            </w:r>
            <w:r>
              <w:rPr>
                <w:rFonts w:ascii="Arial Narrow" w:hAnsi="Arial Narrow"/>
                <w:b/>
                <w:color w:val="000000"/>
                <w:sz w:val="20"/>
                <w:szCs w:val="18"/>
              </w:rPr>
              <w:t xml:space="preserve"> ± BGT</w:t>
            </w:r>
          </w:p>
        </w:tc>
        <w:tc>
          <w:tcPr>
            <w:tcW w:w="638" w:type="pct"/>
            <w:gridSpan w:val="2"/>
            <w:vAlign w:val="center"/>
          </w:tcPr>
          <w:p w:rsidR="000634AC" w:rsidRPr="00E2771E" w:rsidRDefault="000634AC" w:rsidP="009107D8">
            <w:pPr>
              <w:jc w:val="center"/>
              <w:rPr>
                <w:rFonts w:ascii="Arial Narrow" w:hAnsi="Arial Narrow"/>
                <w:b/>
                <w:color w:val="000000"/>
                <w:sz w:val="20"/>
                <w:szCs w:val="18"/>
              </w:rPr>
            </w:pPr>
            <w:r>
              <w:rPr>
                <w:rFonts w:ascii="Arial Narrow" w:hAnsi="Arial Narrow"/>
                <w:b/>
                <w:color w:val="000000"/>
                <w:sz w:val="20"/>
                <w:szCs w:val="18"/>
              </w:rPr>
              <w:t>Placebo ± BGT</w:t>
            </w:r>
          </w:p>
        </w:tc>
        <w:tc>
          <w:tcPr>
            <w:tcW w:w="748" w:type="pct"/>
            <w:gridSpan w:val="2"/>
            <w:vMerge/>
            <w:vAlign w:val="center"/>
          </w:tcPr>
          <w:p w:rsidR="000634AC" w:rsidRPr="00E2771E" w:rsidRDefault="000634AC" w:rsidP="009107D8">
            <w:pPr>
              <w:jc w:val="center"/>
              <w:rPr>
                <w:rFonts w:ascii="Arial Narrow" w:hAnsi="Arial Narrow"/>
                <w:b/>
                <w:color w:val="000000"/>
                <w:sz w:val="20"/>
                <w:szCs w:val="18"/>
              </w:rPr>
            </w:pPr>
          </w:p>
        </w:tc>
      </w:tr>
      <w:tr w:rsidR="000634AC" w:rsidRPr="00E2771E" w:rsidTr="009107D8">
        <w:tc>
          <w:tcPr>
            <w:tcW w:w="5000" w:type="pct"/>
            <w:gridSpan w:val="15"/>
            <w:shd w:val="clear" w:color="auto" w:fill="auto"/>
            <w:vAlign w:val="center"/>
          </w:tcPr>
          <w:p w:rsidR="000634AC" w:rsidRDefault="000634AC" w:rsidP="009107D8">
            <w:pPr>
              <w:jc w:val="left"/>
              <w:rPr>
                <w:rFonts w:ascii="Arial Narrow" w:hAnsi="Arial Narrow"/>
                <w:color w:val="000000"/>
                <w:sz w:val="20"/>
                <w:szCs w:val="18"/>
              </w:rPr>
            </w:pPr>
            <w:r>
              <w:rPr>
                <w:rFonts w:ascii="Arial Narrow" w:hAnsi="Arial Narrow"/>
                <w:b/>
                <w:color w:val="000000"/>
                <w:sz w:val="20"/>
                <w:szCs w:val="18"/>
              </w:rPr>
              <w:t>Death up to EOT + 7 days (not due to PAH)</w:t>
            </w:r>
          </w:p>
        </w:tc>
      </w:tr>
      <w:tr w:rsidR="000634AC" w:rsidRPr="00E2771E" w:rsidTr="009107D8">
        <w:tc>
          <w:tcPr>
            <w:tcW w:w="695" w:type="pct"/>
            <w:gridSpan w:val="2"/>
            <w:shd w:val="clear" w:color="auto" w:fill="auto"/>
            <w:vAlign w:val="center"/>
          </w:tcPr>
          <w:p w:rsidR="000634AC" w:rsidRPr="00E2771E" w:rsidRDefault="000634AC" w:rsidP="009107D8">
            <w:pPr>
              <w:rPr>
                <w:rFonts w:ascii="Arial Narrow" w:hAnsi="Arial Narrow"/>
                <w:color w:val="000000"/>
                <w:sz w:val="20"/>
                <w:szCs w:val="18"/>
              </w:rPr>
            </w:pPr>
            <w:r>
              <w:rPr>
                <w:rFonts w:ascii="Arial Narrow" w:hAnsi="Arial Narrow"/>
                <w:color w:val="000000"/>
                <w:sz w:val="20"/>
                <w:szCs w:val="18"/>
              </w:rPr>
              <w:t>GRIPHON</w:t>
            </w:r>
          </w:p>
        </w:tc>
        <w:tc>
          <w:tcPr>
            <w:tcW w:w="669" w:type="pct"/>
            <w:gridSpan w:val="3"/>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13/575</w:t>
            </w:r>
          </w:p>
        </w:tc>
        <w:tc>
          <w:tcPr>
            <w:tcW w:w="757" w:type="pct"/>
            <w:gridSpan w:val="2"/>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10/577</w:t>
            </w:r>
          </w:p>
        </w:tc>
        <w:tc>
          <w:tcPr>
            <w:tcW w:w="822" w:type="pct"/>
            <w:gridSpan w:val="2"/>
            <w:vAlign w:val="center"/>
          </w:tcPr>
          <w:p w:rsidR="000634AC" w:rsidRDefault="000634AC" w:rsidP="009107D8">
            <w:pPr>
              <w:jc w:val="center"/>
              <w:rPr>
                <w:rFonts w:ascii="Arial Narrow" w:hAnsi="Arial Narrow"/>
                <w:color w:val="000000"/>
                <w:sz w:val="20"/>
                <w:szCs w:val="18"/>
              </w:rPr>
            </w:pPr>
            <w:r>
              <w:rPr>
                <w:rFonts w:ascii="Arial Narrow" w:hAnsi="Arial Narrow"/>
                <w:color w:val="000000"/>
                <w:sz w:val="20"/>
                <w:szCs w:val="18"/>
              </w:rPr>
              <w:t>1.30</w:t>
            </w:r>
          </w:p>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(0.58, 2.95)</w:t>
            </w:r>
          </w:p>
        </w:tc>
        <w:tc>
          <w:tcPr>
            <w:tcW w:w="671" w:type="pct"/>
            <w:gridSpan w:val="2"/>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2.3</w:t>
            </w:r>
          </w:p>
        </w:tc>
        <w:tc>
          <w:tcPr>
            <w:tcW w:w="638" w:type="pct"/>
            <w:gridSpan w:val="2"/>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1.7</w:t>
            </w:r>
          </w:p>
        </w:tc>
        <w:tc>
          <w:tcPr>
            <w:tcW w:w="748" w:type="pct"/>
            <w:gridSpan w:val="2"/>
            <w:vAlign w:val="center"/>
          </w:tcPr>
          <w:p w:rsidR="000634AC" w:rsidRDefault="000634AC" w:rsidP="009107D8">
            <w:pPr>
              <w:jc w:val="center"/>
              <w:rPr>
                <w:rFonts w:ascii="Arial Narrow" w:hAnsi="Arial Narrow"/>
                <w:color w:val="000000"/>
                <w:sz w:val="20"/>
                <w:szCs w:val="18"/>
              </w:rPr>
            </w:pPr>
            <w:r>
              <w:rPr>
                <w:rFonts w:ascii="Arial Narrow" w:hAnsi="Arial Narrow"/>
                <w:color w:val="000000"/>
                <w:sz w:val="20"/>
                <w:szCs w:val="18"/>
              </w:rPr>
              <w:t>0.5%</w:t>
            </w:r>
          </w:p>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(-1.1%, 2.1%)</w:t>
            </w:r>
          </w:p>
        </w:tc>
      </w:tr>
      <w:tr w:rsidR="000634AC" w:rsidRPr="00E2771E" w:rsidTr="009107D8">
        <w:tc>
          <w:tcPr>
            <w:tcW w:w="5000" w:type="pct"/>
            <w:gridSpan w:val="15"/>
            <w:shd w:val="clear" w:color="auto" w:fill="auto"/>
            <w:vAlign w:val="center"/>
          </w:tcPr>
          <w:p w:rsidR="000634AC" w:rsidRDefault="000634AC" w:rsidP="009107D8">
            <w:pPr>
              <w:jc w:val="left"/>
              <w:rPr>
                <w:rFonts w:ascii="Arial Narrow" w:hAnsi="Arial Narrow"/>
                <w:color w:val="000000"/>
                <w:sz w:val="20"/>
                <w:szCs w:val="18"/>
              </w:rPr>
            </w:pPr>
            <w:r>
              <w:rPr>
                <w:rFonts w:ascii="Arial Narrow" w:hAnsi="Arial Narrow"/>
                <w:b/>
                <w:color w:val="000000"/>
                <w:sz w:val="20"/>
                <w:szCs w:val="18"/>
              </w:rPr>
              <w:t>Discontinuation due to AE without a primary outcome event</w:t>
            </w:r>
            <w:r w:rsidR="009D031A">
              <w:rPr>
                <w:rFonts w:ascii="Arial Narrow" w:hAnsi="Arial Narrow"/>
                <w:b/>
                <w:color w:val="000000"/>
                <w:sz w:val="20"/>
                <w:szCs w:val="18"/>
                <w:vertAlign w:val="superscript"/>
              </w:rPr>
              <w:t>d</w:t>
            </w:r>
          </w:p>
        </w:tc>
      </w:tr>
      <w:tr w:rsidR="000634AC" w:rsidRPr="00E2771E" w:rsidTr="009107D8">
        <w:tc>
          <w:tcPr>
            <w:tcW w:w="695" w:type="pct"/>
            <w:gridSpan w:val="2"/>
            <w:shd w:val="clear" w:color="auto" w:fill="auto"/>
            <w:vAlign w:val="center"/>
          </w:tcPr>
          <w:p w:rsidR="000634AC" w:rsidRPr="00E2771E" w:rsidRDefault="000634AC" w:rsidP="009107D8">
            <w:pPr>
              <w:rPr>
                <w:rFonts w:ascii="Arial Narrow" w:hAnsi="Arial Narrow"/>
                <w:color w:val="000000"/>
                <w:sz w:val="20"/>
                <w:szCs w:val="18"/>
              </w:rPr>
            </w:pPr>
            <w:r>
              <w:rPr>
                <w:rFonts w:ascii="Arial Narrow" w:hAnsi="Arial Narrow"/>
                <w:color w:val="000000"/>
                <w:sz w:val="20"/>
                <w:szCs w:val="18"/>
              </w:rPr>
              <w:t>GRIPHON</w:t>
            </w:r>
          </w:p>
        </w:tc>
        <w:tc>
          <w:tcPr>
            <w:tcW w:w="669" w:type="pct"/>
            <w:gridSpan w:val="3"/>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82/575</w:t>
            </w:r>
          </w:p>
        </w:tc>
        <w:tc>
          <w:tcPr>
            <w:tcW w:w="757" w:type="pct"/>
            <w:gridSpan w:val="2"/>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41/577</w:t>
            </w:r>
          </w:p>
        </w:tc>
        <w:tc>
          <w:tcPr>
            <w:tcW w:w="822" w:type="pct"/>
            <w:gridSpan w:val="2"/>
            <w:vAlign w:val="center"/>
          </w:tcPr>
          <w:p w:rsidR="000634AC" w:rsidRDefault="000634AC" w:rsidP="009107D8">
            <w:pPr>
              <w:jc w:val="center"/>
              <w:rPr>
                <w:rFonts w:ascii="Arial Narrow" w:hAnsi="Arial Narrow"/>
                <w:color w:val="000000"/>
                <w:sz w:val="20"/>
                <w:szCs w:val="18"/>
              </w:rPr>
            </w:pPr>
            <w:r>
              <w:rPr>
                <w:rFonts w:ascii="Arial Narrow" w:hAnsi="Arial Narrow"/>
                <w:color w:val="000000"/>
                <w:sz w:val="20"/>
                <w:szCs w:val="18"/>
              </w:rPr>
              <w:t>2.00</w:t>
            </w:r>
          </w:p>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(1.40, 2.87)</w:t>
            </w:r>
          </w:p>
        </w:tc>
        <w:tc>
          <w:tcPr>
            <w:tcW w:w="671" w:type="pct"/>
            <w:gridSpan w:val="2"/>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14.3</w:t>
            </w:r>
          </w:p>
        </w:tc>
        <w:tc>
          <w:tcPr>
            <w:tcW w:w="638" w:type="pct"/>
            <w:gridSpan w:val="2"/>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7.1</w:t>
            </w:r>
          </w:p>
        </w:tc>
        <w:tc>
          <w:tcPr>
            <w:tcW w:w="748" w:type="pct"/>
            <w:gridSpan w:val="2"/>
            <w:vAlign w:val="center"/>
          </w:tcPr>
          <w:p w:rsidR="000634AC" w:rsidRDefault="000634AC" w:rsidP="009107D8">
            <w:pPr>
              <w:jc w:val="center"/>
              <w:rPr>
                <w:rFonts w:ascii="Arial Narrow" w:hAnsi="Arial Narrow"/>
                <w:color w:val="000000"/>
                <w:sz w:val="20"/>
                <w:szCs w:val="18"/>
              </w:rPr>
            </w:pPr>
            <w:r>
              <w:rPr>
                <w:rFonts w:ascii="Arial Narrow" w:hAnsi="Arial Narrow"/>
                <w:color w:val="000000"/>
                <w:sz w:val="20"/>
                <w:szCs w:val="18"/>
              </w:rPr>
              <w:t>7.2%</w:t>
            </w:r>
          </w:p>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(3.6%, 10.7%)</w:t>
            </w:r>
          </w:p>
        </w:tc>
      </w:tr>
      <w:tr w:rsidR="000634AC" w:rsidRPr="00E2771E" w:rsidTr="009107D8">
        <w:tc>
          <w:tcPr>
            <w:tcW w:w="5000" w:type="pct"/>
            <w:gridSpan w:val="15"/>
            <w:shd w:val="clear" w:color="auto" w:fill="auto"/>
            <w:vAlign w:val="center"/>
          </w:tcPr>
          <w:p w:rsidR="000634AC" w:rsidRDefault="000634AC" w:rsidP="009107D8">
            <w:pPr>
              <w:jc w:val="left"/>
              <w:rPr>
                <w:rFonts w:ascii="Arial Narrow" w:hAnsi="Arial Narrow"/>
                <w:color w:val="000000"/>
                <w:sz w:val="20"/>
              </w:rPr>
            </w:pPr>
            <w:r>
              <w:rPr>
                <w:rFonts w:ascii="Arial Narrow" w:hAnsi="Arial Narrow"/>
                <w:b/>
                <w:color w:val="000000"/>
                <w:sz w:val="20"/>
                <w:szCs w:val="18"/>
              </w:rPr>
              <w:t>Prostacyclin-associated AEs leading to discontinuation</w:t>
            </w:r>
          </w:p>
        </w:tc>
      </w:tr>
      <w:tr w:rsidR="000634AC" w:rsidRPr="00E2771E" w:rsidTr="009107D8">
        <w:tc>
          <w:tcPr>
            <w:tcW w:w="686" w:type="pct"/>
            <w:shd w:val="clear" w:color="auto" w:fill="auto"/>
            <w:vAlign w:val="center"/>
          </w:tcPr>
          <w:p w:rsidR="000634AC" w:rsidRPr="00E2771E" w:rsidRDefault="000634AC" w:rsidP="009107D8">
            <w:pPr>
              <w:rPr>
                <w:rFonts w:ascii="Arial Narrow" w:hAnsi="Arial Narrow"/>
                <w:color w:val="000000"/>
                <w:sz w:val="20"/>
                <w:szCs w:val="18"/>
              </w:rPr>
            </w:pPr>
            <w:r>
              <w:rPr>
                <w:rFonts w:ascii="Arial Narrow" w:hAnsi="Arial Narrow"/>
                <w:color w:val="000000"/>
                <w:sz w:val="20"/>
                <w:szCs w:val="18"/>
              </w:rPr>
              <w:t>GRIPHON</w:t>
            </w:r>
          </w:p>
        </w:tc>
        <w:tc>
          <w:tcPr>
            <w:tcW w:w="678" w:type="pct"/>
            <w:gridSpan w:val="4"/>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rPr>
              <w:t>59/575</w:t>
            </w:r>
          </w:p>
        </w:tc>
        <w:tc>
          <w:tcPr>
            <w:tcW w:w="757" w:type="pct"/>
            <w:gridSpan w:val="2"/>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rPr>
              <w:t>11/577</w:t>
            </w:r>
          </w:p>
        </w:tc>
        <w:tc>
          <w:tcPr>
            <w:tcW w:w="822" w:type="pct"/>
            <w:gridSpan w:val="2"/>
            <w:vAlign w:val="center"/>
          </w:tcPr>
          <w:p w:rsidR="000634AC" w:rsidRDefault="000634AC" w:rsidP="009107D8">
            <w:pPr>
              <w:jc w:val="center"/>
              <w:rPr>
                <w:rFonts w:ascii="Arial Narrow" w:hAnsi="Arial Narrow"/>
                <w:color w:val="000000"/>
                <w:sz w:val="20"/>
              </w:rPr>
            </w:pPr>
            <w:r>
              <w:rPr>
                <w:rFonts w:ascii="Arial Narrow" w:hAnsi="Arial Narrow"/>
                <w:color w:val="000000"/>
                <w:sz w:val="20"/>
              </w:rPr>
              <w:t>5.38</w:t>
            </w:r>
          </w:p>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rPr>
              <w:t>(2.86, 10.14)</w:t>
            </w:r>
          </w:p>
        </w:tc>
        <w:tc>
          <w:tcPr>
            <w:tcW w:w="671" w:type="pct"/>
            <w:gridSpan w:val="2"/>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10.3</w:t>
            </w:r>
          </w:p>
        </w:tc>
        <w:tc>
          <w:tcPr>
            <w:tcW w:w="638" w:type="pct"/>
            <w:gridSpan w:val="2"/>
            <w:vAlign w:val="center"/>
          </w:tcPr>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szCs w:val="18"/>
              </w:rPr>
              <w:t>1.9</w:t>
            </w:r>
          </w:p>
        </w:tc>
        <w:tc>
          <w:tcPr>
            <w:tcW w:w="748" w:type="pct"/>
            <w:gridSpan w:val="2"/>
            <w:vAlign w:val="center"/>
          </w:tcPr>
          <w:p w:rsidR="000634AC" w:rsidRDefault="000634AC" w:rsidP="009107D8">
            <w:pPr>
              <w:jc w:val="center"/>
              <w:rPr>
                <w:rFonts w:ascii="Arial Narrow" w:hAnsi="Arial Narrow"/>
                <w:color w:val="000000"/>
                <w:sz w:val="20"/>
              </w:rPr>
            </w:pPr>
            <w:r>
              <w:rPr>
                <w:rFonts w:ascii="Arial Narrow" w:hAnsi="Arial Narrow"/>
                <w:color w:val="000000"/>
                <w:sz w:val="20"/>
              </w:rPr>
              <w:t>8.4%</w:t>
            </w:r>
          </w:p>
          <w:p w:rsidR="000634AC" w:rsidRPr="00E2771E" w:rsidRDefault="000634AC" w:rsidP="009107D8">
            <w:pPr>
              <w:jc w:val="center"/>
              <w:rPr>
                <w:rFonts w:ascii="Arial Narrow" w:hAnsi="Arial Narrow"/>
                <w:color w:val="000000"/>
                <w:sz w:val="20"/>
                <w:szCs w:val="18"/>
              </w:rPr>
            </w:pPr>
            <w:r>
              <w:rPr>
                <w:rFonts w:ascii="Arial Narrow" w:hAnsi="Arial Narrow"/>
                <w:color w:val="000000"/>
                <w:sz w:val="20"/>
              </w:rPr>
              <w:t>(5.6%, 11.1%)</w:t>
            </w:r>
          </w:p>
        </w:tc>
      </w:tr>
    </w:tbl>
    <w:p w:rsidR="000634AC" w:rsidRDefault="00595A2E" w:rsidP="000634AC">
      <w:pPr>
        <w:pStyle w:val="TableFooter"/>
        <w:ind w:left="709"/>
      </w:pPr>
      <w:r>
        <w:t xml:space="preserve">6MWD = 6-minute walk distance; </w:t>
      </w:r>
      <w:r w:rsidR="000634AC">
        <w:t xml:space="preserve">AE = adverse event; BGT = background therapy; CI = confidence interval; </w:t>
      </w:r>
      <w:r>
        <w:t xml:space="preserve">FC = functional class; </w:t>
      </w:r>
      <w:r w:rsidR="000634AC">
        <w:t xml:space="preserve">MM = morbidity or mortality; NA = not available; PAH = pulmonary arterial hypertension; </w:t>
      </w:r>
      <w:r w:rsidR="000634AC" w:rsidRPr="0072416F">
        <w:t>RD = risk difference; RR = risk ratio</w:t>
      </w:r>
    </w:p>
    <w:p w:rsidR="000634AC" w:rsidRPr="009C0770" w:rsidRDefault="00F953EA" w:rsidP="000634AC">
      <w:pPr>
        <w:pStyle w:val="TableFooter"/>
        <w:ind w:left="709"/>
      </w:pPr>
      <w:r>
        <w:rPr>
          <w:vertAlign w:val="superscript"/>
        </w:rPr>
        <w:t>a</w:t>
      </w:r>
      <w:r w:rsidR="000634AC">
        <w:t xml:space="preserve"> Relative risks, risk differences and confidence intervals generated during the evaluation.</w:t>
      </w:r>
    </w:p>
    <w:p w:rsidR="00F953EA" w:rsidRDefault="00F953EA" w:rsidP="00F953EA">
      <w:pPr>
        <w:pStyle w:val="TableFooter"/>
        <w:ind w:left="709"/>
      </w:pPr>
      <w:r>
        <w:rPr>
          <w:vertAlign w:val="superscript"/>
        </w:rPr>
        <w:t>b</w:t>
      </w:r>
      <w:r>
        <w:t xml:space="preserve"> Median </w:t>
      </w:r>
      <w:r w:rsidRPr="0072416F">
        <w:t xml:space="preserve">duration of exposure: </w:t>
      </w:r>
      <w:r>
        <w:t xml:space="preserve">70.7 weeks in the </w:t>
      </w:r>
      <w:r w:rsidRPr="008646A7">
        <w:t>selexipag</w:t>
      </w:r>
      <w:r>
        <w:t xml:space="preserve"> arm and 63.7 weeks in the placebo arm </w:t>
      </w:r>
    </w:p>
    <w:p w:rsidR="009D031A" w:rsidRDefault="00F953EA" w:rsidP="00F953EA">
      <w:pPr>
        <w:pStyle w:val="TableFooter"/>
        <w:ind w:left="709"/>
      </w:pPr>
      <w:r>
        <w:rPr>
          <w:vertAlign w:val="superscript"/>
        </w:rPr>
        <w:t>c</w:t>
      </w:r>
      <w:r>
        <w:t xml:space="preserve"> </w:t>
      </w:r>
      <w:r w:rsidR="009D031A">
        <w:t>A</w:t>
      </w:r>
      <w:r w:rsidR="009D031A" w:rsidRPr="009D031A">
        <w:t xml:space="preserve">ll events that occurred prior to </w:t>
      </w:r>
      <w:r w:rsidR="009D031A">
        <w:t>7 days after the end of treatment</w:t>
      </w:r>
      <w:r w:rsidR="009D031A" w:rsidRPr="009D031A">
        <w:t xml:space="preserve"> were counted, </w:t>
      </w:r>
      <w:r w:rsidR="00D11FC5" w:rsidRPr="009D031A">
        <w:rPr>
          <w:i/>
        </w:rPr>
        <w:t>i.e.</w:t>
      </w:r>
      <w:r w:rsidR="009D031A" w:rsidRPr="009D031A">
        <w:t xml:space="preserve"> not only the first event contributing to the composite endpoint.</w:t>
      </w:r>
    </w:p>
    <w:p w:rsidR="00F953EA" w:rsidRDefault="009D031A" w:rsidP="00F953EA">
      <w:pPr>
        <w:pStyle w:val="TableFooter"/>
        <w:ind w:left="709"/>
      </w:pPr>
      <w:r w:rsidRPr="009D031A">
        <w:rPr>
          <w:vertAlign w:val="superscript"/>
        </w:rPr>
        <w:t>d</w:t>
      </w:r>
      <w:r>
        <w:t xml:space="preserve"> </w:t>
      </w:r>
      <w:r w:rsidR="00F953EA">
        <w:t>This analysis included patients who discontinued study drug prior to Study closure who did not have a CEC-confirmed MM event with an onset date prior to or on the date of study drug discontinuation i.e. AE not classified as PAH progression.</w:t>
      </w:r>
    </w:p>
    <w:p w:rsidR="000634AC" w:rsidRPr="00F4213A" w:rsidRDefault="000634AC" w:rsidP="000634AC">
      <w:pPr>
        <w:pStyle w:val="TableFooter"/>
        <w:ind w:left="709"/>
      </w:pPr>
      <w:r w:rsidRPr="00F4213A">
        <w:t xml:space="preserve">Source: </w:t>
      </w:r>
      <w:r w:rsidRPr="005D100E">
        <w:t>Compiled during the evaluation</w:t>
      </w:r>
    </w:p>
    <w:p w:rsidR="000634AC" w:rsidRPr="0003509A" w:rsidRDefault="000634AC" w:rsidP="000634AC">
      <w:pPr>
        <w:widowControl/>
        <w:rPr>
          <w:szCs w:val="22"/>
        </w:rPr>
      </w:pPr>
    </w:p>
    <w:p w:rsidR="000634AC" w:rsidRPr="0003509A" w:rsidRDefault="000634AC" w:rsidP="0074367D">
      <w:pPr>
        <w:pStyle w:val="ListParagraph"/>
        <w:widowControl/>
        <w:numPr>
          <w:ilvl w:val="1"/>
          <w:numId w:val="2"/>
        </w:numPr>
        <w:rPr>
          <w:szCs w:val="22"/>
        </w:rPr>
      </w:pPr>
      <w:r>
        <w:t>On the basis of the direct evidence presented by the submission, for every 100 patients treated for 64-71 weeks with selexipag ± BGT in comparison to placebo ± BGT</w:t>
      </w:r>
      <w:r w:rsidR="00815996">
        <w:t>:</w:t>
      </w:r>
    </w:p>
    <w:p w:rsidR="000634AC" w:rsidRPr="0003509A" w:rsidRDefault="000634AC" w:rsidP="0074367D">
      <w:pPr>
        <w:pStyle w:val="ListParagraph"/>
        <w:widowControl/>
        <w:numPr>
          <w:ilvl w:val="0"/>
          <w:numId w:val="1"/>
        </w:numPr>
        <w:ind w:left="993" w:hanging="284"/>
        <w:rPr>
          <w:color w:val="000000" w:themeColor="text1"/>
        </w:rPr>
      </w:pPr>
      <w:r w:rsidRPr="0003509A">
        <w:rPr>
          <w:color w:val="000000" w:themeColor="text1"/>
        </w:rPr>
        <w:t>Approximately 12 fewer patients would have experienced a CHMP-defined MM event</w:t>
      </w:r>
      <w:r w:rsidR="00E551F5">
        <w:rPr>
          <w:color w:val="000000" w:themeColor="text1"/>
        </w:rPr>
        <w:t xml:space="preserve"> (any of: </w:t>
      </w:r>
      <w:r w:rsidR="00E551F5" w:rsidRPr="00147F9A">
        <w:rPr>
          <w:iCs/>
          <w:szCs w:val="22"/>
        </w:rPr>
        <w:t>death, hospitalisations for PAH worsening, increase in WHO FC, signs/symptoms of right-sided heart failure</w:t>
      </w:r>
      <w:r w:rsidR="00E551F5">
        <w:rPr>
          <w:iCs/>
          <w:szCs w:val="22"/>
        </w:rPr>
        <w:t xml:space="preserve"> (RHF)</w:t>
      </w:r>
      <w:r w:rsidR="00E551F5" w:rsidRPr="00147F9A">
        <w:rPr>
          <w:iCs/>
          <w:szCs w:val="22"/>
        </w:rPr>
        <w:t xml:space="preserve"> and ≥ 15% decrease in 6MWD from baseline</w:t>
      </w:r>
      <w:r w:rsidR="00E551F5">
        <w:rPr>
          <w:iCs/>
          <w:szCs w:val="22"/>
        </w:rPr>
        <w:t>)</w:t>
      </w:r>
      <w:r w:rsidRPr="0003509A">
        <w:rPr>
          <w:color w:val="000000" w:themeColor="text1"/>
        </w:rPr>
        <w:t>;</w:t>
      </w:r>
    </w:p>
    <w:p w:rsidR="000634AC" w:rsidRPr="0003509A" w:rsidRDefault="000634AC" w:rsidP="0074367D">
      <w:pPr>
        <w:pStyle w:val="ListParagraph"/>
        <w:widowControl/>
        <w:numPr>
          <w:ilvl w:val="0"/>
          <w:numId w:val="1"/>
        </w:numPr>
        <w:ind w:left="993" w:hanging="284"/>
        <w:rPr>
          <w:color w:val="000000" w:themeColor="text1"/>
        </w:rPr>
      </w:pPr>
      <w:r w:rsidRPr="0003509A">
        <w:rPr>
          <w:color w:val="000000" w:themeColor="text1"/>
        </w:rPr>
        <w:t xml:space="preserve">Approximately 7 additional patients would discontinue treatment due to an </w:t>
      </w:r>
      <w:r w:rsidR="00B32CD2">
        <w:rPr>
          <w:color w:val="000000" w:themeColor="text1"/>
        </w:rPr>
        <w:t>adverse event</w:t>
      </w:r>
      <w:r w:rsidRPr="0003509A">
        <w:rPr>
          <w:color w:val="000000" w:themeColor="text1"/>
        </w:rPr>
        <w:t xml:space="preserve"> not classified as PAH progression;</w:t>
      </w:r>
    </w:p>
    <w:p w:rsidR="000634AC" w:rsidRPr="0003509A" w:rsidRDefault="000634AC" w:rsidP="0074367D">
      <w:pPr>
        <w:pStyle w:val="ListParagraph"/>
        <w:widowControl/>
        <w:numPr>
          <w:ilvl w:val="0"/>
          <w:numId w:val="1"/>
        </w:numPr>
        <w:ind w:left="993" w:hanging="284"/>
        <w:rPr>
          <w:szCs w:val="22"/>
        </w:rPr>
      </w:pPr>
      <w:r w:rsidRPr="0003509A">
        <w:rPr>
          <w:color w:val="000000" w:themeColor="text1"/>
        </w:rPr>
        <w:t>Approximately 8 additional patients would discontinue treatment due to a prostacyclin-associated</w:t>
      </w:r>
      <w:r>
        <w:t xml:space="preserve"> </w:t>
      </w:r>
      <w:r w:rsidR="00B32CD2">
        <w:t>adverse event</w:t>
      </w:r>
      <w:r>
        <w:t>.</w:t>
      </w:r>
    </w:p>
    <w:p w:rsidR="000634AC" w:rsidRPr="00882085" w:rsidRDefault="000634AC" w:rsidP="00345D47">
      <w:pPr>
        <w:widowControl/>
        <w:jc w:val="left"/>
      </w:pPr>
    </w:p>
    <w:p w:rsidR="000634AC" w:rsidRPr="002C2775" w:rsidRDefault="000634AC" w:rsidP="00B36B3C">
      <w:pPr>
        <w:pStyle w:val="Heading2"/>
        <w:keepNext/>
        <w:rPr>
          <w:i/>
        </w:rPr>
      </w:pPr>
      <w:bookmarkStart w:id="15" w:name="_Toc472425780"/>
      <w:r w:rsidRPr="002C2775">
        <w:rPr>
          <w:i/>
        </w:rPr>
        <w:t>Clinical claim</w:t>
      </w:r>
      <w:bookmarkEnd w:id="15"/>
    </w:p>
    <w:p w:rsidR="000634AC" w:rsidRPr="00882085" w:rsidRDefault="000634AC" w:rsidP="000634AC">
      <w:pPr>
        <w:ind w:left="720" w:hanging="720"/>
        <w:rPr>
          <w:szCs w:val="22"/>
        </w:rPr>
      </w:pPr>
    </w:p>
    <w:p w:rsidR="000634AC" w:rsidRPr="00F458D4" w:rsidRDefault="000634AC" w:rsidP="0074367D">
      <w:pPr>
        <w:pStyle w:val="ListParagraph"/>
        <w:widowControl/>
        <w:numPr>
          <w:ilvl w:val="1"/>
          <w:numId w:val="2"/>
        </w:numPr>
        <w:rPr>
          <w:color w:val="000000" w:themeColor="text1"/>
          <w:szCs w:val="22"/>
        </w:rPr>
      </w:pPr>
      <w:r w:rsidRPr="00F458D4">
        <w:rPr>
          <w:color w:val="000000" w:themeColor="text1"/>
        </w:rPr>
        <w:t>The previous submission described selexipag as superior in terms of comparative effectiveness and inferior in terms of comparative safety, when used as add-on therapy for the treatment of patients with WHO FC III or IV PAH. The PBAC accepted that selexipag was inferior in terms of comparative safety (paragraph 6.25, 5.11 selexipag PSD, March 2016 PBAC meeting) and was likely to be superior in terms of comparative effectiveness, but the magnitude and clinical relevance of any benefit remained unclear (paragraph 7.6, 5.11 selexipag PSD, March 2016 PBAC meeting).</w:t>
      </w:r>
      <w:r w:rsidRPr="00F458D4">
        <w:rPr>
          <w:i/>
          <w:color w:val="000000" w:themeColor="text1"/>
        </w:rPr>
        <w:t xml:space="preserve"> </w:t>
      </w:r>
    </w:p>
    <w:p w:rsidR="000634AC" w:rsidRPr="00F458D4" w:rsidRDefault="000634AC" w:rsidP="000634AC">
      <w:pPr>
        <w:widowControl/>
        <w:rPr>
          <w:color w:val="000000" w:themeColor="text1"/>
          <w:szCs w:val="22"/>
        </w:rPr>
      </w:pPr>
    </w:p>
    <w:p w:rsidR="000634AC" w:rsidRPr="00EB15CE" w:rsidRDefault="000634AC" w:rsidP="0074367D">
      <w:pPr>
        <w:pStyle w:val="ListParagraph"/>
        <w:widowControl/>
        <w:numPr>
          <w:ilvl w:val="1"/>
          <w:numId w:val="2"/>
        </w:numPr>
        <w:rPr>
          <w:color w:val="000000" w:themeColor="text1"/>
          <w:szCs w:val="22"/>
        </w:rPr>
      </w:pPr>
      <w:r w:rsidRPr="00147F9A">
        <w:rPr>
          <w:color w:val="000000" w:themeColor="text1"/>
        </w:rPr>
        <w:t xml:space="preserve">The </w:t>
      </w:r>
      <w:r w:rsidR="006422AE" w:rsidRPr="00147F9A">
        <w:rPr>
          <w:color w:val="000000" w:themeColor="text1"/>
        </w:rPr>
        <w:t xml:space="preserve">clinical claim was unchanged in the </w:t>
      </w:r>
      <w:r w:rsidR="00F801E3" w:rsidRPr="00147F9A">
        <w:rPr>
          <w:color w:val="000000" w:themeColor="text1"/>
        </w:rPr>
        <w:t>resubmission</w:t>
      </w:r>
      <w:r w:rsidR="006422AE" w:rsidRPr="00147F9A">
        <w:rPr>
          <w:color w:val="000000" w:themeColor="text1"/>
        </w:rPr>
        <w:t>.</w:t>
      </w:r>
      <w:r w:rsidRPr="00147F9A">
        <w:rPr>
          <w:color w:val="000000" w:themeColor="text1"/>
        </w:rPr>
        <w:t xml:space="preserve"> </w:t>
      </w:r>
      <w:r w:rsidRPr="00EB15CE">
        <w:rPr>
          <w:color w:val="000000" w:themeColor="text1"/>
        </w:rPr>
        <w:t xml:space="preserve">To address the concerns of the PBAC regarding the clinical relevance of the effectiveness data, the </w:t>
      </w:r>
      <w:r w:rsidR="00F801E3" w:rsidRPr="00EB15CE">
        <w:rPr>
          <w:color w:val="000000" w:themeColor="text1"/>
        </w:rPr>
        <w:t>resubmission</w:t>
      </w:r>
      <w:r w:rsidRPr="00EB15CE">
        <w:rPr>
          <w:color w:val="000000" w:themeColor="text1"/>
        </w:rPr>
        <w:t xml:space="preserve"> presented time to CHMP-defined MM event as well as the individual components of the CHMP-defined composite outcomes. The </w:t>
      </w:r>
      <w:r w:rsidR="00F801E3" w:rsidRPr="00EB15CE">
        <w:rPr>
          <w:color w:val="000000" w:themeColor="text1"/>
        </w:rPr>
        <w:t>resubmission</w:t>
      </w:r>
      <w:r w:rsidRPr="00EB15CE">
        <w:rPr>
          <w:color w:val="000000" w:themeColor="text1"/>
        </w:rPr>
        <w:t xml:space="preserve"> claim</w:t>
      </w:r>
      <w:r w:rsidR="00686533" w:rsidRPr="00EB15CE">
        <w:rPr>
          <w:color w:val="000000" w:themeColor="text1"/>
        </w:rPr>
        <w:t>ed</w:t>
      </w:r>
      <w:r w:rsidRPr="00EB15CE">
        <w:rPr>
          <w:color w:val="000000" w:themeColor="text1"/>
        </w:rPr>
        <w:t xml:space="preserve"> that time to the CHMP composite endpoint reflects time to clinical worsening. </w:t>
      </w:r>
      <w:r w:rsidRPr="00EB15CE">
        <w:rPr>
          <w:iCs/>
          <w:color w:val="000000" w:themeColor="text1"/>
        </w:rPr>
        <w:t>The results of the CHMP-defined MM endpoints up to EOT + 7 days in the overall trial population supported the superior comparative effectiveness of selexipag versus placebo.</w:t>
      </w:r>
    </w:p>
    <w:p w:rsidR="000634AC" w:rsidRPr="00147F9A" w:rsidRDefault="000634AC" w:rsidP="000634AC">
      <w:pPr>
        <w:pStyle w:val="ListParagraph"/>
        <w:rPr>
          <w:color w:val="000000" w:themeColor="text1"/>
          <w:szCs w:val="22"/>
        </w:rPr>
      </w:pPr>
    </w:p>
    <w:p w:rsidR="000634AC" w:rsidRPr="00147F9A" w:rsidRDefault="000634AC" w:rsidP="0074367D">
      <w:pPr>
        <w:pStyle w:val="ListParagraph"/>
        <w:widowControl/>
        <w:numPr>
          <w:ilvl w:val="1"/>
          <w:numId w:val="2"/>
        </w:numPr>
        <w:rPr>
          <w:iCs/>
          <w:color w:val="000000" w:themeColor="text1"/>
          <w:szCs w:val="22"/>
        </w:rPr>
      </w:pPr>
      <w:r w:rsidRPr="00147F9A">
        <w:rPr>
          <w:iCs/>
          <w:color w:val="000000" w:themeColor="text1"/>
          <w:szCs w:val="22"/>
        </w:rPr>
        <w:t>The following concerns with the magnitude of the clinical benefit remained:</w:t>
      </w:r>
    </w:p>
    <w:p w:rsidR="000634AC" w:rsidRPr="005D100E" w:rsidRDefault="000634AC" w:rsidP="0074367D">
      <w:pPr>
        <w:pStyle w:val="ListParagraph"/>
        <w:widowControl/>
        <w:numPr>
          <w:ilvl w:val="0"/>
          <w:numId w:val="1"/>
        </w:numPr>
        <w:ind w:left="993" w:hanging="284"/>
        <w:rPr>
          <w:iCs/>
          <w:color w:val="000000" w:themeColor="text1"/>
        </w:rPr>
      </w:pPr>
      <w:r w:rsidRPr="00147F9A">
        <w:rPr>
          <w:iCs/>
          <w:color w:val="000000" w:themeColor="text1"/>
        </w:rPr>
        <w:t xml:space="preserve">The ITT population did not reflect the proposed PBS reimbursed population in terms of </w:t>
      </w:r>
      <w:r w:rsidRPr="005D100E">
        <w:rPr>
          <w:iCs/>
          <w:color w:val="000000" w:themeColor="text1"/>
        </w:rPr>
        <w:t>WHO FC or PAH therapy at baseline</w:t>
      </w:r>
      <w:r w:rsidR="004C06A1" w:rsidRPr="005D100E">
        <w:rPr>
          <w:iCs/>
          <w:color w:val="000000" w:themeColor="text1"/>
        </w:rPr>
        <w:t>.</w:t>
      </w:r>
      <w:r w:rsidR="004C06A1" w:rsidRPr="005D100E">
        <w:t xml:space="preserve"> </w:t>
      </w:r>
      <w:r w:rsidR="004C06A1" w:rsidRPr="005D100E">
        <w:rPr>
          <w:iCs/>
          <w:color w:val="000000" w:themeColor="text1"/>
        </w:rPr>
        <w:t>The PSCR noted that the submission undertook an investigation to determine whether the factors upon which the subgroup is defined are modifiers of treatment effect or not, and claimed that the results of these analyses indicated that neither WHO-FC nor background therapy were modifiers of treatment effect (in terms of impact on any of the CHMP component endpoints) of selexipag vs placebo</w:t>
      </w:r>
      <w:r w:rsidR="00FD4765" w:rsidRPr="005D100E">
        <w:rPr>
          <w:iCs/>
          <w:color w:val="000000" w:themeColor="text1"/>
        </w:rPr>
        <w:t>. The ESC noted this information, but considered that this issue remained unresolved</w:t>
      </w:r>
      <w:r w:rsidRPr="005D100E">
        <w:rPr>
          <w:iCs/>
          <w:color w:val="000000" w:themeColor="text1"/>
        </w:rPr>
        <w:t>;</w:t>
      </w:r>
    </w:p>
    <w:p w:rsidR="000634AC" w:rsidRPr="005D100E" w:rsidRDefault="000634AC" w:rsidP="0074367D">
      <w:pPr>
        <w:pStyle w:val="ListParagraph"/>
        <w:widowControl/>
        <w:numPr>
          <w:ilvl w:val="0"/>
          <w:numId w:val="1"/>
        </w:numPr>
        <w:ind w:left="993" w:hanging="284"/>
        <w:rPr>
          <w:iCs/>
          <w:color w:val="000000" w:themeColor="text1"/>
        </w:rPr>
      </w:pPr>
      <w:r w:rsidRPr="005D100E">
        <w:rPr>
          <w:iCs/>
          <w:color w:val="000000" w:themeColor="text1"/>
        </w:rPr>
        <w:t>Treatment allocation was not stratified by either WHO FC or treatment at baseline, and subgroup analyses should be interpreted with caution;</w:t>
      </w:r>
    </w:p>
    <w:p w:rsidR="000634AC" w:rsidRPr="005D100E" w:rsidRDefault="000634AC" w:rsidP="0074367D">
      <w:pPr>
        <w:pStyle w:val="ListParagraph"/>
        <w:widowControl/>
        <w:numPr>
          <w:ilvl w:val="0"/>
          <w:numId w:val="1"/>
        </w:numPr>
        <w:ind w:left="993" w:hanging="284"/>
        <w:rPr>
          <w:iCs/>
          <w:color w:val="000000" w:themeColor="text1"/>
        </w:rPr>
      </w:pPr>
      <w:r w:rsidRPr="005D100E">
        <w:rPr>
          <w:iCs/>
          <w:color w:val="000000" w:themeColor="text1"/>
        </w:rPr>
        <w:t>CHMP-defined morbidity outcomes</w:t>
      </w:r>
      <w:r w:rsidR="004822D3" w:rsidRPr="005D100E">
        <w:rPr>
          <w:iCs/>
          <w:color w:val="000000" w:themeColor="text1"/>
        </w:rPr>
        <w:t>, especially retrospective assessment of RHF,</w:t>
      </w:r>
      <w:r w:rsidRPr="005D100E">
        <w:rPr>
          <w:iCs/>
          <w:color w:val="000000" w:themeColor="text1"/>
        </w:rPr>
        <w:t xml:space="preserve"> m</w:t>
      </w:r>
      <w:r w:rsidR="00686533" w:rsidRPr="005D100E">
        <w:rPr>
          <w:iCs/>
          <w:color w:val="000000" w:themeColor="text1"/>
        </w:rPr>
        <w:t>ight</w:t>
      </w:r>
      <w:r w:rsidRPr="005D100E">
        <w:rPr>
          <w:iCs/>
          <w:color w:val="000000" w:themeColor="text1"/>
        </w:rPr>
        <w:t xml:space="preserve"> have a degree of subjectivity and there </w:t>
      </w:r>
      <w:r w:rsidR="00686533" w:rsidRPr="005D100E">
        <w:rPr>
          <w:iCs/>
          <w:color w:val="000000" w:themeColor="text1"/>
        </w:rPr>
        <w:t>was</w:t>
      </w:r>
      <w:r w:rsidRPr="005D100E">
        <w:rPr>
          <w:iCs/>
          <w:color w:val="000000" w:themeColor="text1"/>
        </w:rPr>
        <w:t xml:space="preserve"> potential for un-blinding of  investigators;</w:t>
      </w:r>
    </w:p>
    <w:p w:rsidR="000634AC" w:rsidRPr="005D100E" w:rsidRDefault="000634AC" w:rsidP="0074367D">
      <w:pPr>
        <w:pStyle w:val="ListParagraph"/>
        <w:widowControl/>
        <w:numPr>
          <w:ilvl w:val="0"/>
          <w:numId w:val="1"/>
        </w:numPr>
        <w:ind w:left="993" w:hanging="284"/>
        <w:rPr>
          <w:iCs/>
          <w:color w:val="000000" w:themeColor="text1"/>
        </w:rPr>
      </w:pPr>
      <w:r w:rsidRPr="005D100E">
        <w:rPr>
          <w:iCs/>
          <w:color w:val="000000" w:themeColor="text1"/>
        </w:rPr>
        <w:t>Censoring prior to a CHMP-defined MM event was greater in the selexipag arm, which would favour selexipag;</w:t>
      </w:r>
    </w:p>
    <w:p w:rsidR="000634AC" w:rsidRPr="005D100E" w:rsidRDefault="000634AC" w:rsidP="0074367D">
      <w:pPr>
        <w:pStyle w:val="ListParagraph"/>
        <w:widowControl/>
        <w:numPr>
          <w:ilvl w:val="0"/>
          <w:numId w:val="1"/>
        </w:numPr>
        <w:ind w:left="993" w:hanging="284"/>
        <w:rPr>
          <w:color w:val="000000" w:themeColor="text1"/>
          <w:szCs w:val="22"/>
        </w:rPr>
      </w:pPr>
      <w:r w:rsidRPr="005D100E">
        <w:rPr>
          <w:iCs/>
          <w:color w:val="000000" w:themeColor="text1"/>
        </w:rPr>
        <w:t xml:space="preserve">Patients </w:t>
      </w:r>
      <w:r w:rsidR="00DB2F55" w:rsidRPr="005D100E">
        <w:rPr>
          <w:iCs/>
          <w:color w:val="000000" w:themeColor="text1"/>
        </w:rPr>
        <w:t>were</w:t>
      </w:r>
      <w:r w:rsidRPr="005D100E">
        <w:rPr>
          <w:iCs/>
          <w:color w:val="000000" w:themeColor="text1"/>
        </w:rPr>
        <w:t xml:space="preserve"> censored following the first CHMP-defined MM event if the</w:t>
      </w:r>
      <w:r w:rsidRPr="005D100E">
        <w:rPr>
          <w:iCs/>
          <w:color w:val="000000" w:themeColor="text1"/>
          <w:szCs w:val="22"/>
        </w:rPr>
        <w:t xml:space="preserve">y stopped </w:t>
      </w:r>
      <w:r w:rsidR="00686533" w:rsidRPr="005D100E">
        <w:rPr>
          <w:iCs/>
          <w:color w:val="000000" w:themeColor="text1"/>
          <w:szCs w:val="22"/>
        </w:rPr>
        <w:t xml:space="preserve">study </w:t>
      </w:r>
      <w:r w:rsidRPr="005D100E">
        <w:rPr>
          <w:iCs/>
          <w:color w:val="000000" w:themeColor="text1"/>
          <w:szCs w:val="22"/>
        </w:rPr>
        <w:t>treatment, making the estimate of time to individual components of the CHMP-defined events less reliable;</w:t>
      </w:r>
    </w:p>
    <w:p w:rsidR="000634AC" w:rsidRPr="009D0C4C" w:rsidRDefault="000634AC" w:rsidP="0074367D">
      <w:pPr>
        <w:pStyle w:val="ListParagraph"/>
        <w:widowControl/>
        <w:numPr>
          <w:ilvl w:val="0"/>
          <w:numId w:val="1"/>
        </w:numPr>
        <w:ind w:left="993" w:hanging="284"/>
        <w:rPr>
          <w:szCs w:val="22"/>
        </w:rPr>
      </w:pPr>
      <w:r w:rsidRPr="005D100E">
        <w:rPr>
          <w:iCs/>
          <w:color w:val="000000" w:themeColor="text1"/>
          <w:szCs w:val="22"/>
        </w:rPr>
        <w:t>There was no evidence that selexipag was superior to placebo in terms of overall survival, although this may be affected by switching from placebo to selexipag.</w:t>
      </w:r>
      <w:r w:rsidR="004C06A1" w:rsidRPr="005D100E">
        <w:rPr>
          <w:iCs/>
          <w:color w:val="000000" w:themeColor="text1"/>
          <w:szCs w:val="22"/>
        </w:rPr>
        <w:t xml:space="preserve"> </w:t>
      </w:r>
      <w:r w:rsidR="004C06A1" w:rsidRPr="009D0C4C">
        <w:rPr>
          <w:iCs/>
          <w:color w:val="000000" w:themeColor="text1"/>
          <w:szCs w:val="22"/>
        </w:rPr>
        <w:t xml:space="preserve">The ESC </w:t>
      </w:r>
      <w:r w:rsidR="004C06A1" w:rsidRPr="009D0C4C">
        <w:rPr>
          <w:iCs/>
          <w:szCs w:val="22"/>
        </w:rPr>
        <w:t>acknowledged that the GRIPHON study was not powered to detect a difference in mortality.</w:t>
      </w:r>
    </w:p>
    <w:p w:rsidR="000634AC" w:rsidRPr="009D0C4C" w:rsidRDefault="000634AC" w:rsidP="000634AC">
      <w:pPr>
        <w:rPr>
          <w:szCs w:val="22"/>
        </w:rPr>
      </w:pPr>
    </w:p>
    <w:p w:rsidR="00550105" w:rsidRPr="009D0C4C" w:rsidRDefault="00EB15CE" w:rsidP="0074367D">
      <w:pPr>
        <w:pStyle w:val="ListParagraph"/>
        <w:widowControl/>
        <w:numPr>
          <w:ilvl w:val="1"/>
          <w:numId w:val="2"/>
        </w:numPr>
        <w:rPr>
          <w:szCs w:val="22"/>
        </w:rPr>
      </w:pPr>
      <w:r w:rsidRPr="009D0C4C">
        <w:rPr>
          <w:szCs w:val="22"/>
        </w:rPr>
        <w:t xml:space="preserve">The PBAC remained of the view that selexipag was </w:t>
      </w:r>
      <w:r w:rsidRPr="009D0C4C">
        <w:t>likely to be superior to placebo in terms of comparative effectiveness, but the magnitude and clinical relevance of any benefit remained unclear.</w:t>
      </w:r>
    </w:p>
    <w:p w:rsidR="00211A72" w:rsidRDefault="00211A72">
      <w:pPr>
        <w:widowControl/>
        <w:jc w:val="left"/>
        <w:rPr>
          <w:szCs w:val="22"/>
        </w:rPr>
      </w:pPr>
      <w:r>
        <w:rPr>
          <w:szCs w:val="22"/>
        </w:rPr>
        <w:br w:type="page"/>
      </w:r>
    </w:p>
    <w:p w:rsidR="000634AC" w:rsidRPr="002C2775" w:rsidRDefault="000634AC" w:rsidP="000634AC">
      <w:pPr>
        <w:pStyle w:val="Heading2"/>
        <w:rPr>
          <w:i/>
        </w:rPr>
      </w:pPr>
      <w:bookmarkStart w:id="16" w:name="_Toc472425781"/>
      <w:r w:rsidRPr="002C2775">
        <w:rPr>
          <w:i/>
        </w:rPr>
        <w:t>Economic analysis</w:t>
      </w:r>
      <w:bookmarkEnd w:id="16"/>
      <w:r w:rsidRPr="002C2775">
        <w:rPr>
          <w:i/>
        </w:rPr>
        <w:t xml:space="preserve"> </w:t>
      </w:r>
    </w:p>
    <w:p w:rsidR="000634AC" w:rsidRPr="00803EE5" w:rsidRDefault="000634AC" w:rsidP="000634AC">
      <w:pPr>
        <w:ind w:left="720" w:hanging="720"/>
        <w:rPr>
          <w:szCs w:val="22"/>
        </w:rPr>
      </w:pPr>
    </w:p>
    <w:p w:rsidR="000634AC" w:rsidRPr="00803EE5" w:rsidRDefault="00AB7520" w:rsidP="0074367D">
      <w:pPr>
        <w:pStyle w:val="ListParagraph"/>
        <w:widowControl/>
        <w:numPr>
          <w:ilvl w:val="1"/>
          <w:numId w:val="2"/>
        </w:numPr>
        <w:rPr>
          <w:szCs w:val="22"/>
        </w:rPr>
      </w:pPr>
      <w:r>
        <w:t>The re</w:t>
      </w:r>
      <w:r w:rsidR="000634AC" w:rsidRPr="00803EE5">
        <w:t>submission presented a trial-based cost-effectiveness analysis</w:t>
      </w:r>
      <w:r w:rsidR="006422AE">
        <w:t xml:space="preserve"> which gave an</w:t>
      </w:r>
      <w:r w:rsidR="000634AC" w:rsidRPr="00803EE5">
        <w:t xml:space="preserve"> incremental cost per reduction in the number of </w:t>
      </w:r>
      <w:r w:rsidR="00686533">
        <w:t xml:space="preserve">patients with </w:t>
      </w:r>
      <w:r w:rsidR="000634AC" w:rsidRPr="00803EE5">
        <w:t xml:space="preserve">individual CHMP-defined events at 2 years. </w:t>
      </w:r>
    </w:p>
    <w:p w:rsidR="000634AC" w:rsidRPr="00803EE5" w:rsidRDefault="000634AC" w:rsidP="000634AC">
      <w:pPr>
        <w:widowControl/>
        <w:rPr>
          <w:szCs w:val="22"/>
        </w:rPr>
      </w:pPr>
    </w:p>
    <w:p w:rsidR="000634AC" w:rsidRPr="00803EE5" w:rsidRDefault="000634AC" w:rsidP="00571A05">
      <w:pPr>
        <w:pStyle w:val="Heading3"/>
        <w:keepNext/>
      </w:pPr>
      <w:r w:rsidRPr="00803EE5">
        <w:t>Healthcare costs</w:t>
      </w:r>
    </w:p>
    <w:p w:rsidR="000634AC" w:rsidRPr="00803EE5" w:rsidRDefault="000634AC" w:rsidP="00571A05">
      <w:pPr>
        <w:keepNext/>
        <w:widowControl/>
        <w:rPr>
          <w:szCs w:val="22"/>
        </w:rPr>
      </w:pPr>
    </w:p>
    <w:p w:rsidR="000634AC" w:rsidRPr="00803EE5" w:rsidRDefault="000634AC" w:rsidP="0074367D">
      <w:pPr>
        <w:pStyle w:val="ListParagraph"/>
        <w:widowControl/>
        <w:numPr>
          <w:ilvl w:val="1"/>
          <w:numId w:val="2"/>
        </w:numPr>
        <w:rPr>
          <w:szCs w:val="22"/>
        </w:rPr>
      </w:pPr>
      <w:r w:rsidRPr="00803EE5">
        <w:t>The only healthcare cost considered in the economic evaluation was the proposed effective price of selexipag for one mo</w:t>
      </w:r>
      <w:r w:rsidRPr="00147F9A">
        <w:t xml:space="preserve">nth. </w:t>
      </w:r>
      <w:r w:rsidRPr="00147F9A">
        <w:rPr>
          <w:iCs/>
        </w:rPr>
        <w:t xml:space="preserve">The cost of selexipag was re-calculated to reflect the average duration of treatment in the trial for the whole of trial population, truncated at 2 years. </w:t>
      </w:r>
    </w:p>
    <w:p w:rsidR="000634AC" w:rsidRPr="00803EE5" w:rsidRDefault="000634AC" w:rsidP="00345D47">
      <w:pPr>
        <w:widowControl/>
        <w:jc w:val="left"/>
      </w:pPr>
    </w:p>
    <w:p w:rsidR="000634AC" w:rsidRPr="00803EE5" w:rsidRDefault="000634AC" w:rsidP="00300433">
      <w:pPr>
        <w:pStyle w:val="Heading3"/>
      </w:pPr>
      <w:r w:rsidRPr="00803EE5">
        <w:t>Health outcomes</w:t>
      </w:r>
    </w:p>
    <w:p w:rsidR="000634AC" w:rsidRPr="00803EE5" w:rsidRDefault="000634AC" w:rsidP="000634AC">
      <w:pPr>
        <w:pStyle w:val="ListParagraph"/>
        <w:widowControl/>
        <w:rPr>
          <w:szCs w:val="22"/>
        </w:rPr>
      </w:pPr>
    </w:p>
    <w:p w:rsidR="000634AC" w:rsidRPr="00803EE5" w:rsidRDefault="000634AC" w:rsidP="0074367D">
      <w:pPr>
        <w:pStyle w:val="ListParagraph"/>
        <w:widowControl/>
        <w:numPr>
          <w:ilvl w:val="1"/>
          <w:numId w:val="2"/>
        </w:numPr>
        <w:rPr>
          <w:szCs w:val="22"/>
        </w:rPr>
      </w:pPr>
      <w:r w:rsidRPr="00803EE5">
        <w:t xml:space="preserve">The </w:t>
      </w:r>
      <w:r w:rsidR="00F801E3">
        <w:t>resubmission</w:t>
      </w:r>
      <w:r w:rsidRPr="00803EE5">
        <w:t xml:space="preserve"> estimated the incremental treatment effect compared to placebo, in terms of the reduction in the number of </w:t>
      </w:r>
      <w:r w:rsidR="00686533">
        <w:t xml:space="preserve">patients with </w:t>
      </w:r>
      <w:r w:rsidRPr="00803EE5">
        <w:t xml:space="preserve">individual CHMP-defined </w:t>
      </w:r>
      <w:r w:rsidR="00D67A8A">
        <w:t>morbidity</w:t>
      </w:r>
      <w:r w:rsidRPr="00803EE5">
        <w:t xml:space="preserve"> events at 2 years.</w:t>
      </w:r>
    </w:p>
    <w:p w:rsidR="000634AC" w:rsidRPr="00803EE5" w:rsidRDefault="000634AC" w:rsidP="000634AC">
      <w:pPr>
        <w:widowControl/>
        <w:rPr>
          <w:szCs w:val="22"/>
        </w:rPr>
      </w:pPr>
    </w:p>
    <w:p w:rsidR="000634AC" w:rsidRPr="00147F9A" w:rsidRDefault="000634AC" w:rsidP="0074367D">
      <w:pPr>
        <w:pStyle w:val="ListParagraph"/>
        <w:widowControl/>
        <w:numPr>
          <w:ilvl w:val="1"/>
          <w:numId w:val="2"/>
        </w:numPr>
        <w:rPr>
          <w:szCs w:val="22"/>
        </w:rPr>
      </w:pPr>
      <w:r w:rsidRPr="00147F9A">
        <w:t xml:space="preserve">The numbers of </w:t>
      </w:r>
      <w:r w:rsidR="00686533" w:rsidRPr="00147F9A">
        <w:t xml:space="preserve">patients with </w:t>
      </w:r>
      <w:r w:rsidRPr="00147F9A">
        <w:t xml:space="preserve">events at 2 years in the placebo arm for each of the component events were reported from the GRIPHON trial for patients with WHO FC III/IV PAH who were receiving treatment with both an ERA and PDE-5 inhibitor at baseline. </w:t>
      </w:r>
      <w:r w:rsidRPr="00147F9A">
        <w:rPr>
          <w:iCs/>
        </w:rPr>
        <w:t xml:space="preserve">This post hoc subgroup reflects the proposed restriction. </w:t>
      </w:r>
      <w:r w:rsidRPr="00147F9A">
        <w:t xml:space="preserve">The </w:t>
      </w:r>
      <w:r w:rsidR="00F801E3" w:rsidRPr="00147F9A">
        <w:t>resubmission</w:t>
      </w:r>
      <w:r w:rsidRPr="00147F9A">
        <w:t xml:space="preserve"> estimated the number of </w:t>
      </w:r>
      <w:r w:rsidR="00686533" w:rsidRPr="00147F9A">
        <w:t xml:space="preserve">patients with </w:t>
      </w:r>
      <w:r w:rsidR="000A0FC7" w:rsidRPr="00147F9A">
        <w:t xml:space="preserve">each CHMP-defined component </w:t>
      </w:r>
      <w:r w:rsidRPr="00147F9A">
        <w:t xml:space="preserve">event in the selexipag arm for the same subgroup by multiplying the </w:t>
      </w:r>
      <w:r w:rsidR="000A0FC7" w:rsidRPr="00147F9A">
        <w:t>event rate</w:t>
      </w:r>
      <w:r w:rsidRPr="00147F9A">
        <w:t xml:space="preserve"> at 2 years in the placebo arm by the hazard ratio for</w:t>
      </w:r>
      <w:r w:rsidR="000A0FC7" w:rsidRPr="00147F9A">
        <w:t xml:space="preserve"> the ITT population</w:t>
      </w:r>
      <w:r w:rsidRPr="00147F9A">
        <w:t xml:space="preserve">. The </w:t>
      </w:r>
      <w:r w:rsidR="00F801E3" w:rsidRPr="00147F9A">
        <w:t>resubmission</w:t>
      </w:r>
      <w:r w:rsidRPr="00147F9A">
        <w:t xml:space="preserve"> justified using the hazard ratios derived from the ITT population on the basis that interaction tests between the WHO FC subgroups and between the baseline therapy subgroups</w:t>
      </w:r>
      <w:r w:rsidR="000A0FC7" w:rsidRPr="00147F9A">
        <w:t xml:space="preserve"> indicated no statistically significant heterogeneity</w:t>
      </w:r>
      <w:r w:rsidRPr="00147F9A">
        <w:t xml:space="preserve">. </w:t>
      </w:r>
      <w:r w:rsidRPr="00147F9A">
        <w:rPr>
          <w:iCs/>
        </w:rPr>
        <w:t>The approach is incorrect and inappropriate.</w:t>
      </w:r>
    </w:p>
    <w:p w:rsidR="000634AC" w:rsidRPr="00147F9A" w:rsidRDefault="000634AC" w:rsidP="0074367D">
      <w:pPr>
        <w:pStyle w:val="ListParagraph"/>
        <w:widowControl/>
        <w:numPr>
          <w:ilvl w:val="0"/>
          <w:numId w:val="1"/>
        </w:numPr>
        <w:ind w:left="993" w:hanging="284"/>
        <w:rPr>
          <w:iCs/>
        </w:rPr>
      </w:pPr>
      <w:r w:rsidRPr="00147F9A">
        <w:rPr>
          <w:iCs/>
        </w:rPr>
        <w:t>Tests for interaction are generally underpowered to detect meaningful differences in treatment effect between subgroups;</w:t>
      </w:r>
    </w:p>
    <w:p w:rsidR="000634AC" w:rsidRPr="00147F9A" w:rsidRDefault="000634AC" w:rsidP="0074367D">
      <w:pPr>
        <w:pStyle w:val="ListParagraph"/>
        <w:widowControl/>
        <w:numPr>
          <w:ilvl w:val="0"/>
          <w:numId w:val="1"/>
        </w:numPr>
        <w:ind w:left="993" w:hanging="284"/>
        <w:rPr>
          <w:iCs/>
        </w:rPr>
      </w:pPr>
      <w:r w:rsidRPr="00147F9A">
        <w:rPr>
          <w:iCs/>
        </w:rPr>
        <w:t xml:space="preserve">The </w:t>
      </w:r>
      <w:r w:rsidR="00F801E3" w:rsidRPr="00147F9A">
        <w:rPr>
          <w:iCs/>
        </w:rPr>
        <w:t>resubmission</w:t>
      </w:r>
      <w:r w:rsidRPr="00147F9A">
        <w:rPr>
          <w:iCs/>
        </w:rPr>
        <w:t xml:space="preserve"> has not established that there is no treatment effect modification between the target subgroup (WHO FC III/IV and dual therapy at baseline) and its complement;</w:t>
      </w:r>
    </w:p>
    <w:p w:rsidR="000634AC" w:rsidRPr="00147F9A" w:rsidRDefault="000634AC" w:rsidP="0074367D">
      <w:pPr>
        <w:pStyle w:val="ListParagraph"/>
        <w:widowControl/>
        <w:numPr>
          <w:ilvl w:val="0"/>
          <w:numId w:val="1"/>
        </w:numPr>
        <w:ind w:left="993" w:hanging="284"/>
        <w:rPr>
          <w:iCs/>
          <w:color w:val="000000" w:themeColor="text1"/>
        </w:rPr>
      </w:pPr>
      <w:r w:rsidRPr="00147F9A">
        <w:rPr>
          <w:iCs/>
        </w:rPr>
        <w:t>The approach assumes that the hazard ratio is applicable to the 2 year time point</w:t>
      </w:r>
      <w:r w:rsidR="00364C02" w:rsidRPr="00147F9A">
        <w:rPr>
          <w:iCs/>
        </w:rPr>
        <w:t>. How</w:t>
      </w:r>
      <w:r w:rsidRPr="00147F9A">
        <w:rPr>
          <w:iCs/>
        </w:rPr>
        <w:t>ever</w:t>
      </w:r>
      <w:r w:rsidR="00364C02" w:rsidRPr="00147F9A">
        <w:rPr>
          <w:iCs/>
        </w:rPr>
        <w:t>,</w:t>
      </w:r>
      <w:r w:rsidRPr="00147F9A">
        <w:rPr>
          <w:iCs/>
        </w:rPr>
        <w:t xml:space="preserve"> the </w:t>
      </w:r>
      <w:r w:rsidR="00F801E3" w:rsidRPr="00147F9A">
        <w:rPr>
          <w:iCs/>
        </w:rPr>
        <w:t>resubmission</w:t>
      </w:r>
      <w:r w:rsidRPr="00147F9A">
        <w:rPr>
          <w:iCs/>
        </w:rPr>
        <w:t xml:space="preserve"> </w:t>
      </w:r>
      <w:r w:rsidRPr="00147F9A">
        <w:rPr>
          <w:iCs/>
          <w:color w:val="000000" w:themeColor="text1"/>
        </w:rPr>
        <w:t>has not addressed the assumption of proportional hazards for either the ITT analysis or for the relevant subgroups;</w:t>
      </w:r>
    </w:p>
    <w:p w:rsidR="000634AC" w:rsidRPr="00147F9A" w:rsidRDefault="000634AC" w:rsidP="0074367D">
      <w:pPr>
        <w:pStyle w:val="ListParagraph"/>
        <w:widowControl/>
        <w:numPr>
          <w:ilvl w:val="0"/>
          <w:numId w:val="1"/>
        </w:numPr>
        <w:ind w:left="993" w:hanging="284"/>
        <w:rPr>
          <w:iCs/>
          <w:color w:val="000000" w:themeColor="text1"/>
        </w:rPr>
      </w:pPr>
      <w:r w:rsidRPr="00147F9A">
        <w:rPr>
          <w:iCs/>
          <w:color w:val="000000" w:themeColor="text1"/>
        </w:rPr>
        <w:t>The multiplication of the event</w:t>
      </w:r>
      <w:r w:rsidR="00364C02" w:rsidRPr="00147F9A">
        <w:rPr>
          <w:iCs/>
          <w:color w:val="000000" w:themeColor="text1"/>
        </w:rPr>
        <w:t xml:space="preserve"> rate</w:t>
      </w:r>
      <w:r w:rsidRPr="00147F9A">
        <w:rPr>
          <w:iCs/>
          <w:color w:val="000000" w:themeColor="text1"/>
        </w:rPr>
        <w:t xml:space="preserve"> in the placebo arm by the hazard ratio is mathematically incorrect; and,</w:t>
      </w:r>
    </w:p>
    <w:p w:rsidR="000634AC" w:rsidRDefault="000634AC" w:rsidP="0074367D">
      <w:pPr>
        <w:pStyle w:val="ListParagraph"/>
        <w:widowControl/>
        <w:numPr>
          <w:ilvl w:val="0"/>
          <w:numId w:val="1"/>
        </w:numPr>
        <w:ind w:left="993" w:hanging="284"/>
        <w:rPr>
          <w:iCs/>
          <w:color w:val="000000" w:themeColor="text1"/>
        </w:rPr>
      </w:pPr>
      <w:r w:rsidRPr="00147F9A">
        <w:rPr>
          <w:iCs/>
          <w:color w:val="000000" w:themeColor="text1"/>
        </w:rPr>
        <w:t xml:space="preserve">As the </w:t>
      </w:r>
      <w:r w:rsidR="00F801E3" w:rsidRPr="00147F9A">
        <w:rPr>
          <w:iCs/>
          <w:color w:val="000000" w:themeColor="text1"/>
        </w:rPr>
        <w:t>resubmission</w:t>
      </w:r>
      <w:r w:rsidRPr="00147F9A">
        <w:rPr>
          <w:iCs/>
          <w:color w:val="000000" w:themeColor="text1"/>
        </w:rPr>
        <w:t xml:space="preserve"> had the capacity to generate the event rate at 2 years for the placebo arm in the relevant subgroup using empirical data, it is unclear why this was not done for the selexipag arm. Justification for not providing these data was not provided in the </w:t>
      </w:r>
      <w:r w:rsidR="00F801E3" w:rsidRPr="00147F9A">
        <w:rPr>
          <w:iCs/>
          <w:color w:val="000000" w:themeColor="text1"/>
        </w:rPr>
        <w:t>resubmission</w:t>
      </w:r>
      <w:r w:rsidRPr="00147F9A">
        <w:rPr>
          <w:iCs/>
          <w:color w:val="000000" w:themeColor="text1"/>
        </w:rPr>
        <w:t>.</w:t>
      </w:r>
    </w:p>
    <w:p w:rsidR="004C06A1" w:rsidRDefault="004C06A1" w:rsidP="004C06A1">
      <w:pPr>
        <w:widowControl/>
        <w:ind w:left="709"/>
        <w:rPr>
          <w:iCs/>
          <w:color w:val="000000" w:themeColor="text1"/>
        </w:rPr>
      </w:pPr>
    </w:p>
    <w:p w:rsidR="004C06A1" w:rsidRPr="005D100E" w:rsidRDefault="004C06A1" w:rsidP="004C06A1">
      <w:pPr>
        <w:widowControl/>
        <w:ind w:left="709"/>
        <w:rPr>
          <w:iCs/>
          <w:color w:val="000000" w:themeColor="text1"/>
        </w:rPr>
      </w:pPr>
      <w:r w:rsidRPr="005D100E">
        <w:t xml:space="preserve">The PSCR </w:t>
      </w:r>
      <w:r w:rsidR="00E551F5" w:rsidRPr="005D100E">
        <w:t xml:space="preserve">(Table 1, p5) </w:t>
      </w:r>
      <w:r w:rsidRPr="005D100E">
        <w:t xml:space="preserve">provided the test for proportional hazards which demonstrated </w:t>
      </w:r>
      <w:r w:rsidR="00BB6E17">
        <w:t xml:space="preserve">that, </w:t>
      </w:r>
      <w:r w:rsidRPr="005D100E">
        <w:t>for the full analysis set</w:t>
      </w:r>
      <w:r w:rsidR="00BB6E17">
        <w:t>,</w:t>
      </w:r>
      <w:r w:rsidRPr="005D100E">
        <w:t xml:space="preserve"> there was no treatment by time interaction for the CHMP component endpoints. </w:t>
      </w:r>
      <w:r w:rsidR="001E2DA8" w:rsidRPr="005D100E">
        <w:t xml:space="preserve">The ESC considered that the submission’s use of a different approach to calculate the event rate in the selexipag arm than was used to calculate the event rate in the placebo arm remained inadequately justified. </w:t>
      </w:r>
      <w:r w:rsidRPr="005D100E">
        <w:t>Therefore the ESC considered that the results reported were unlikely to be a reliable estimate of t</w:t>
      </w:r>
      <w:r w:rsidRPr="005D100E">
        <w:rPr>
          <w:iCs/>
        </w:rPr>
        <w:t>he true difference in event rates at 2 years</w:t>
      </w:r>
      <w:r w:rsidR="005D100E">
        <w:rPr>
          <w:iCs/>
        </w:rPr>
        <w:t>.</w:t>
      </w:r>
    </w:p>
    <w:p w:rsidR="000634AC" w:rsidRPr="005D100E" w:rsidRDefault="000634AC" w:rsidP="000634AC">
      <w:pPr>
        <w:pStyle w:val="ListParagraph"/>
      </w:pPr>
    </w:p>
    <w:p w:rsidR="000634AC" w:rsidRDefault="000634AC" w:rsidP="00571A05">
      <w:pPr>
        <w:pStyle w:val="Caption"/>
        <w:keepNext/>
        <w:ind w:left="1542" w:hanging="833"/>
      </w:pPr>
      <w:r>
        <w:t>Table 5: Event rate estimates at 2 years in the WHO FC III/IV and baseline dual therapy subgroup</w:t>
      </w:r>
    </w:p>
    <w:tbl>
      <w:tblPr>
        <w:tblW w:w="460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42"/>
        <w:gridCol w:w="1254"/>
        <w:gridCol w:w="1233"/>
        <w:gridCol w:w="1445"/>
        <w:gridCol w:w="1730"/>
      </w:tblGrid>
      <w:tr w:rsidR="000634AC" w:rsidRPr="00C657F1" w:rsidTr="009107D8">
        <w:trPr>
          <w:tblHeader/>
        </w:trPr>
        <w:tc>
          <w:tcPr>
            <w:tcW w:w="2982" w:type="dxa"/>
            <w:shd w:val="clear" w:color="auto" w:fill="FFFFFF" w:themeFill="background1"/>
          </w:tcPr>
          <w:p w:rsidR="000634AC" w:rsidRPr="00C657F1" w:rsidRDefault="000634AC" w:rsidP="009107D8">
            <w:pPr>
              <w:pStyle w:val="TableText0"/>
              <w:rPr>
                <w:b/>
              </w:rPr>
            </w:pPr>
            <w:r>
              <w:rPr>
                <w:b/>
              </w:rPr>
              <w:t>CHMP endpoint</w:t>
            </w:r>
          </w:p>
        </w:tc>
        <w:tc>
          <w:tcPr>
            <w:tcW w:w="1291" w:type="dxa"/>
            <w:shd w:val="clear" w:color="auto" w:fill="FFFFFF" w:themeFill="background1"/>
            <w:vAlign w:val="center"/>
          </w:tcPr>
          <w:p w:rsidR="000634AC" w:rsidRDefault="000634AC" w:rsidP="009107D8">
            <w:pPr>
              <w:pStyle w:val="TableText0"/>
              <w:jc w:val="center"/>
              <w:rPr>
                <w:b/>
              </w:rPr>
            </w:pPr>
            <w:r>
              <w:rPr>
                <w:b/>
              </w:rPr>
              <w:t>Placebo + BGT</w:t>
            </w:r>
          </w:p>
        </w:tc>
        <w:tc>
          <w:tcPr>
            <w:tcW w:w="1291" w:type="dxa"/>
            <w:shd w:val="clear" w:color="auto" w:fill="FFFFFF" w:themeFill="background1"/>
          </w:tcPr>
          <w:p w:rsidR="000634AC" w:rsidRDefault="000634AC" w:rsidP="009107D8">
            <w:pPr>
              <w:pStyle w:val="TableText0"/>
              <w:jc w:val="center"/>
              <w:rPr>
                <w:b/>
              </w:rPr>
            </w:pPr>
            <w:r>
              <w:rPr>
                <w:b/>
              </w:rPr>
              <w:t>ITT HR</w:t>
            </w:r>
            <w:r>
              <w:rPr>
                <w:b/>
                <w:vertAlign w:val="superscript"/>
              </w:rPr>
              <w:t>a</w:t>
            </w:r>
          </w:p>
        </w:tc>
        <w:tc>
          <w:tcPr>
            <w:tcW w:w="1487" w:type="dxa"/>
            <w:shd w:val="clear" w:color="auto" w:fill="FFFFFF" w:themeFill="background1"/>
            <w:vAlign w:val="center"/>
          </w:tcPr>
          <w:p w:rsidR="000634AC" w:rsidRPr="00C657F1" w:rsidRDefault="000634AC" w:rsidP="009107D8">
            <w:pPr>
              <w:pStyle w:val="TableText0"/>
              <w:jc w:val="center"/>
              <w:rPr>
                <w:b/>
              </w:rPr>
            </w:pPr>
            <w:r>
              <w:rPr>
                <w:b/>
              </w:rPr>
              <w:t>Selexipag +</w:t>
            </w:r>
            <w:r w:rsidRPr="00083886">
              <w:rPr>
                <w:b/>
              </w:rPr>
              <w:t xml:space="preserve"> BGT</w:t>
            </w:r>
            <w:r>
              <w:rPr>
                <w:b/>
                <w:vertAlign w:val="superscript"/>
              </w:rPr>
              <w:t>b</w:t>
            </w:r>
          </w:p>
        </w:tc>
        <w:tc>
          <w:tcPr>
            <w:tcW w:w="1783" w:type="dxa"/>
            <w:shd w:val="clear" w:color="auto" w:fill="FFFFFF" w:themeFill="background1"/>
            <w:vAlign w:val="center"/>
          </w:tcPr>
          <w:p w:rsidR="000634AC" w:rsidRPr="00C657F1" w:rsidRDefault="000634AC" w:rsidP="009107D8">
            <w:pPr>
              <w:pStyle w:val="TableText0"/>
              <w:jc w:val="center"/>
              <w:rPr>
                <w:b/>
              </w:rPr>
            </w:pPr>
            <w:r w:rsidRPr="00C657F1">
              <w:rPr>
                <w:b/>
              </w:rPr>
              <w:t>Increment</w:t>
            </w:r>
            <w:r>
              <w:rPr>
                <w:b/>
              </w:rPr>
              <w:t>al outcome</w:t>
            </w:r>
            <w:r>
              <w:rPr>
                <w:b/>
                <w:vertAlign w:val="superscript"/>
              </w:rPr>
              <w:t>a</w:t>
            </w:r>
          </w:p>
        </w:tc>
      </w:tr>
      <w:tr w:rsidR="000634AC" w:rsidRPr="005754C1" w:rsidTr="009107D8">
        <w:tc>
          <w:tcPr>
            <w:tcW w:w="2982" w:type="dxa"/>
            <w:shd w:val="clear" w:color="auto" w:fill="FFFFFF" w:themeFill="background1"/>
          </w:tcPr>
          <w:p w:rsidR="000634AC" w:rsidRPr="005754C1" w:rsidRDefault="000634AC" w:rsidP="009107D8">
            <w:pPr>
              <w:pStyle w:val="TableText0"/>
            </w:pPr>
            <w:r>
              <w:t>Hospitalisation for PAH worsening</w:t>
            </w:r>
          </w:p>
        </w:tc>
        <w:tc>
          <w:tcPr>
            <w:tcW w:w="1291" w:type="dxa"/>
            <w:shd w:val="clear" w:color="auto" w:fill="FFFFFF" w:themeFill="background1"/>
            <w:vAlign w:val="center"/>
          </w:tcPr>
          <w:p w:rsidR="000634AC" w:rsidRDefault="00DD2205" w:rsidP="009107D8">
            <w:pPr>
              <w:pStyle w:val="TableText0"/>
              <w:jc w:val="center"/>
            </w:pPr>
            <w:r>
              <w:rPr>
                <w:rFonts w:cs="Calibri"/>
                <w:noProof/>
                <w:color w:val="000000"/>
                <w:highlight w:val="black"/>
                <w:lang w:eastAsia="en-AU"/>
              </w:rPr>
              <w:t>''''''''''''</w:t>
            </w:r>
            <w:r w:rsidR="000634AC" w:rsidRPr="009A1925">
              <w:rPr>
                <w:rFonts w:cs="Calibri"/>
                <w:color w:val="000000"/>
                <w:lang w:eastAsia="en-AU"/>
              </w:rPr>
              <w:t>%</w:t>
            </w:r>
          </w:p>
        </w:tc>
        <w:tc>
          <w:tcPr>
            <w:tcW w:w="1291" w:type="dxa"/>
            <w:shd w:val="clear" w:color="auto" w:fill="FFFFFF" w:themeFill="background1"/>
          </w:tcPr>
          <w:p w:rsidR="000634AC" w:rsidRPr="00DD2205" w:rsidRDefault="00DD2205" w:rsidP="009107D8">
            <w:pPr>
              <w:pStyle w:val="TableText0"/>
              <w:jc w:val="center"/>
              <w:rPr>
                <w:highlight w:val="black"/>
              </w:rPr>
            </w:pPr>
            <w:r>
              <w:rPr>
                <w:noProof/>
                <w:color w:val="000000"/>
                <w:highlight w:val="black"/>
              </w:rPr>
              <w:t>'''''''''''</w:t>
            </w:r>
          </w:p>
        </w:tc>
        <w:tc>
          <w:tcPr>
            <w:tcW w:w="1487" w:type="dxa"/>
            <w:shd w:val="clear" w:color="auto" w:fill="FFFFFF" w:themeFill="background1"/>
            <w:vAlign w:val="center"/>
          </w:tcPr>
          <w:p w:rsidR="000634AC" w:rsidRPr="006C6406" w:rsidRDefault="00DD2205" w:rsidP="009107D8">
            <w:pPr>
              <w:pStyle w:val="TableText0"/>
              <w:jc w:val="center"/>
            </w:pPr>
            <w:r>
              <w:rPr>
                <w:noProof/>
                <w:color w:val="000000"/>
                <w:highlight w:val="black"/>
              </w:rPr>
              <w:t>''''''''''</w:t>
            </w:r>
            <w:r w:rsidR="000634AC" w:rsidRPr="004679E8">
              <w:t>%</w:t>
            </w:r>
          </w:p>
        </w:tc>
        <w:tc>
          <w:tcPr>
            <w:tcW w:w="1783" w:type="dxa"/>
            <w:shd w:val="clear" w:color="auto" w:fill="FFFFFF" w:themeFill="background1"/>
            <w:vAlign w:val="center"/>
          </w:tcPr>
          <w:p w:rsidR="000634AC" w:rsidRPr="005754C1" w:rsidRDefault="00DD2205" w:rsidP="009107D8">
            <w:pPr>
              <w:pStyle w:val="TableText0"/>
              <w:jc w:val="center"/>
            </w:pPr>
            <w:r>
              <w:rPr>
                <w:noProof/>
                <w:color w:val="000000"/>
                <w:highlight w:val="black"/>
              </w:rPr>
              <w:t>''''''''''''</w:t>
            </w:r>
            <w:r w:rsidR="000634AC">
              <w:t>%</w:t>
            </w:r>
          </w:p>
        </w:tc>
      </w:tr>
      <w:tr w:rsidR="000634AC" w:rsidRPr="005754C1" w:rsidTr="009107D8">
        <w:tc>
          <w:tcPr>
            <w:tcW w:w="2982" w:type="dxa"/>
            <w:shd w:val="clear" w:color="auto" w:fill="FFFFFF" w:themeFill="background1"/>
          </w:tcPr>
          <w:p w:rsidR="000634AC" w:rsidRDefault="000634AC" w:rsidP="009107D8">
            <w:pPr>
              <w:pStyle w:val="TableText0"/>
            </w:pPr>
            <w:r>
              <w:t>Increase in FC</w:t>
            </w:r>
          </w:p>
        </w:tc>
        <w:tc>
          <w:tcPr>
            <w:tcW w:w="1291" w:type="dxa"/>
            <w:shd w:val="clear" w:color="auto" w:fill="FFFFFF" w:themeFill="background1"/>
            <w:vAlign w:val="center"/>
          </w:tcPr>
          <w:p w:rsidR="000634AC" w:rsidRDefault="00DD2205" w:rsidP="009107D8">
            <w:pPr>
              <w:pStyle w:val="TableText0"/>
              <w:jc w:val="center"/>
            </w:pPr>
            <w:r>
              <w:rPr>
                <w:rFonts w:cs="Calibri"/>
                <w:noProof/>
                <w:color w:val="000000"/>
                <w:highlight w:val="black"/>
                <w:lang w:eastAsia="en-AU"/>
              </w:rPr>
              <w:t>''''''''''</w:t>
            </w:r>
            <w:r w:rsidR="000634AC" w:rsidRPr="009A1925">
              <w:rPr>
                <w:rFonts w:cs="Calibri"/>
                <w:color w:val="000000"/>
                <w:lang w:eastAsia="en-AU"/>
              </w:rPr>
              <w:t>%</w:t>
            </w:r>
          </w:p>
        </w:tc>
        <w:tc>
          <w:tcPr>
            <w:tcW w:w="1291" w:type="dxa"/>
            <w:shd w:val="clear" w:color="auto" w:fill="FFFFFF" w:themeFill="background1"/>
          </w:tcPr>
          <w:p w:rsidR="000634AC" w:rsidRPr="00DD2205" w:rsidRDefault="00DD2205" w:rsidP="009107D8">
            <w:pPr>
              <w:pStyle w:val="TableText0"/>
              <w:jc w:val="center"/>
              <w:rPr>
                <w:highlight w:val="black"/>
              </w:rPr>
            </w:pPr>
            <w:r>
              <w:rPr>
                <w:noProof/>
                <w:color w:val="000000"/>
                <w:highlight w:val="black"/>
              </w:rPr>
              <w:t>'''''''''''</w:t>
            </w:r>
          </w:p>
        </w:tc>
        <w:tc>
          <w:tcPr>
            <w:tcW w:w="1487" w:type="dxa"/>
            <w:shd w:val="clear" w:color="auto" w:fill="FFFFFF" w:themeFill="background1"/>
            <w:vAlign w:val="center"/>
          </w:tcPr>
          <w:p w:rsidR="000634AC" w:rsidRPr="00462837" w:rsidRDefault="00DD2205" w:rsidP="009107D8">
            <w:pPr>
              <w:pStyle w:val="TableText0"/>
              <w:jc w:val="center"/>
              <w:rPr>
                <w:i/>
                <w:iCs/>
              </w:rPr>
            </w:pPr>
            <w:r>
              <w:rPr>
                <w:noProof/>
                <w:color w:val="000000"/>
                <w:highlight w:val="black"/>
              </w:rPr>
              <w:t>''''''''''</w:t>
            </w:r>
            <w:r w:rsidR="000634AC" w:rsidRPr="004679E8">
              <w:t>%</w:t>
            </w:r>
          </w:p>
        </w:tc>
        <w:tc>
          <w:tcPr>
            <w:tcW w:w="1783" w:type="dxa"/>
            <w:shd w:val="clear" w:color="auto" w:fill="FFFFFF" w:themeFill="background1"/>
            <w:vAlign w:val="center"/>
          </w:tcPr>
          <w:p w:rsidR="000634AC" w:rsidRDefault="00DD2205" w:rsidP="009107D8">
            <w:pPr>
              <w:pStyle w:val="TableText0"/>
              <w:jc w:val="center"/>
            </w:pPr>
            <w:r>
              <w:rPr>
                <w:noProof/>
                <w:color w:val="000000"/>
                <w:highlight w:val="black"/>
              </w:rPr>
              <w:t>''''''''</w:t>
            </w:r>
            <w:r w:rsidR="000634AC">
              <w:t>%</w:t>
            </w:r>
          </w:p>
        </w:tc>
      </w:tr>
      <w:tr w:rsidR="000634AC" w:rsidRPr="005754C1" w:rsidTr="009107D8">
        <w:tc>
          <w:tcPr>
            <w:tcW w:w="2982" w:type="dxa"/>
            <w:shd w:val="clear" w:color="auto" w:fill="FFFFFF" w:themeFill="background1"/>
          </w:tcPr>
          <w:p w:rsidR="000634AC" w:rsidRPr="004679E8" w:rsidRDefault="000634AC" w:rsidP="009107D8">
            <w:pPr>
              <w:pStyle w:val="TableText0"/>
            </w:pPr>
            <w:r>
              <w:t xml:space="preserve">Signs / symptoms of right-sided </w:t>
            </w:r>
            <w:r w:rsidRPr="004679E8">
              <w:t>heart failure</w:t>
            </w:r>
          </w:p>
        </w:tc>
        <w:tc>
          <w:tcPr>
            <w:tcW w:w="1291" w:type="dxa"/>
            <w:shd w:val="clear" w:color="auto" w:fill="FFFFFF" w:themeFill="background1"/>
            <w:vAlign w:val="center"/>
          </w:tcPr>
          <w:p w:rsidR="000634AC" w:rsidRDefault="00DD2205" w:rsidP="009107D8">
            <w:pPr>
              <w:pStyle w:val="TableText0"/>
              <w:jc w:val="center"/>
            </w:pPr>
            <w:r>
              <w:rPr>
                <w:rFonts w:cs="Calibri"/>
                <w:noProof/>
                <w:color w:val="000000"/>
                <w:highlight w:val="black"/>
                <w:lang w:eastAsia="en-AU"/>
              </w:rPr>
              <w:t>''''''''''</w:t>
            </w:r>
            <w:r w:rsidR="000634AC" w:rsidRPr="009A1925">
              <w:rPr>
                <w:rFonts w:cs="Calibri"/>
                <w:color w:val="000000"/>
                <w:lang w:eastAsia="en-AU"/>
              </w:rPr>
              <w:t>%</w:t>
            </w:r>
          </w:p>
        </w:tc>
        <w:tc>
          <w:tcPr>
            <w:tcW w:w="1291" w:type="dxa"/>
            <w:shd w:val="clear" w:color="auto" w:fill="FFFFFF" w:themeFill="background1"/>
          </w:tcPr>
          <w:p w:rsidR="000634AC" w:rsidRPr="00DD2205" w:rsidRDefault="00DD2205" w:rsidP="009107D8">
            <w:pPr>
              <w:pStyle w:val="TableText0"/>
              <w:jc w:val="center"/>
              <w:rPr>
                <w:highlight w:val="black"/>
              </w:rPr>
            </w:pPr>
            <w:r>
              <w:rPr>
                <w:noProof/>
                <w:color w:val="000000"/>
                <w:highlight w:val="black"/>
              </w:rPr>
              <w:t>''''''''''''</w:t>
            </w:r>
          </w:p>
        </w:tc>
        <w:tc>
          <w:tcPr>
            <w:tcW w:w="1487" w:type="dxa"/>
            <w:shd w:val="clear" w:color="auto" w:fill="FFFFFF" w:themeFill="background1"/>
            <w:vAlign w:val="center"/>
          </w:tcPr>
          <w:p w:rsidR="000634AC" w:rsidRPr="00462837" w:rsidRDefault="00DD2205" w:rsidP="009107D8">
            <w:pPr>
              <w:pStyle w:val="TableText0"/>
              <w:jc w:val="center"/>
              <w:rPr>
                <w:i/>
                <w:iCs/>
              </w:rPr>
            </w:pPr>
            <w:r>
              <w:rPr>
                <w:noProof/>
                <w:color w:val="000000"/>
                <w:highlight w:val="black"/>
              </w:rPr>
              <w:t>'''''''''''</w:t>
            </w:r>
            <w:r w:rsidR="000634AC" w:rsidRPr="004679E8">
              <w:t>%</w:t>
            </w:r>
          </w:p>
        </w:tc>
        <w:tc>
          <w:tcPr>
            <w:tcW w:w="1783" w:type="dxa"/>
            <w:shd w:val="clear" w:color="auto" w:fill="FFFFFF" w:themeFill="background1"/>
            <w:vAlign w:val="center"/>
          </w:tcPr>
          <w:p w:rsidR="000634AC" w:rsidRDefault="00DD2205" w:rsidP="009107D8">
            <w:pPr>
              <w:pStyle w:val="TableText0"/>
              <w:jc w:val="center"/>
            </w:pPr>
            <w:r>
              <w:rPr>
                <w:noProof/>
                <w:color w:val="000000"/>
                <w:highlight w:val="black"/>
              </w:rPr>
              <w:t>'''''''''''</w:t>
            </w:r>
            <w:r w:rsidR="000634AC">
              <w:t>%</w:t>
            </w:r>
          </w:p>
        </w:tc>
      </w:tr>
      <w:tr w:rsidR="000634AC" w:rsidRPr="005754C1" w:rsidTr="009107D8">
        <w:tc>
          <w:tcPr>
            <w:tcW w:w="2982" w:type="dxa"/>
            <w:shd w:val="clear" w:color="auto" w:fill="FFFFFF" w:themeFill="background1"/>
          </w:tcPr>
          <w:p w:rsidR="000634AC" w:rsidRDefault="000634AC" w:rsidP="009107D8">
            <w:pPr>
              <w:pStyle w:val="TableText0"/>
            </w:pPr>
            <w:r w:rsidRPr="004679E8">
              <w:t xml:space="preserve">≥ 15% </w:t>
            </w:r>
            <w:r>
              <w:t xml:space="preserve">decrease </w:t>
            </w:r>
            <w:r w:rsidRPr="004679E8">
              <w:t>in 6MWD</w:t>
            </w:r>
          </w:p>
        </w:tc>
        <w:tc>
          <w:tcPr>
            <w:tcW w:w="1291" w:type="dxa"/>
            <w:shd w:val="clear" w:color="auto" w:fill="FFFFFF" w:themeFill="background1"/>
            <w:vAlign w:val="center"/>
          </w:tcPr>
          <w:p w:rsidR="000634AC" w:rsidRDefault="00DD2205" w:rsidP="009107D8">
            <w:pPr>
              <w:pStyle w:val="TableText0"/>
              <w:jc w:val="center"/>
            </w:pPr>
            <w:r>
              <w:rPr>
                <w:rFonts w:cs="Calibri"/>
                <w:noProof/>
                <w:color w:val="000000"/>
                <w:highlight w:val="black"/>
                <w:lang w:eastAsia="en-AU"/>
              </w:rPr>
              <w:t>'''''''''''</w:t>
            </w:r>
            <w:r w:rsidR="000634AC" w:rsidRPr="009A1925">
              <w:rPr>
                <w:rFonts w:cs="Calibri"/>
                <w:color w:val="000000"/>
                <w:lang w:eastAsia="en-AU"/>
              </w:rPr>
              <w:t>%</w:t>
            </w:r>
          </w:p>
        </w:tc>
        <w:tc>
          <w:tcPr>
            <w:tcW w:w="1291" w:type="dxa"/>
            <w:shd w:val="clear" w:color="auto" w:fill="FFFFFF" w:themeFill="background1"/>
          </w:tcPr>
          <w:p w:rsidR="000634AC" w:rsidRPr="00DD2205" w:rsidRDefault="00DD2205" w:rsidP="009107D8">
            <w:pPr>
              <w:pStyle w:val="TableText0"/>
              <w:jc w:val="center"/>
              <w:rPr>
                <w:highlight w:val="black"/>
              </w:rPr>
            </w:pPr>
            <w:r>
              <w:rPr>
                <w:noProof/>
                <w:color w:val="000000"/>
                <w:highlight w:val="black"/>
              </w:rPr>
              <w:t>''''''''''</w:t>
            </w:r>
          </w:p>
        </w:tc>
        <w:tc>
          <w:tcPr>
            <w:tcW w:w="1487" w:type="dxa"/>
            <w:shd w:val="clear" w:color="auto" w:fill="FFFFFF" w:themeFill="background1"/>
            <w:vAlign w:val="center"/>
          </w:tcPr>
          <w:p w:rsidR="000634AC" w:rsidRPr="00462837" w:rsidRDefault="00DD2205" w:rsidP="009107D8">
            <w:pPr>
              <w:pStyle w:val="TableText0"/>
              <w:jc w:val="center"/>
              <w:rPr>
                <w:i/>
                <w:iCs/>
              </w:rPr>
            </w:pPr>
            <w:r>
              <w:rPr>
                <w:noProof/>
                <w:color w:val="000000"/>
                <w:highlight w:val="black"/>
              </w:rPr>
              <w:t>'''''''''''</w:t>
            </w:r>
            <w:r w:rsidR="000634AC" w:rsidRPr="004679E8">
              <w:t>%</w:t>
            </w:r>
          </w:p>
        </w:tc>
        <w:tc>
          <w:tcPr>
            <w:tcW w:w="1783" w:type="dxa"/>
            <w:shd w:val="clear" w:color="auto" w:fill="FFFFFF" w:themeFill="background1"/>
            <w:vAlign w:val="center"/>
          </w:tcPr>
          <w:p w:rsidR="000634AC" w:rsidRDefault="00DD2205" w:rsidP="009107D8">
            <w:pPr>
              <w:pStyle w:val="TableText0"/>
              <w:jc w:val="center"/>
            </w:pPr>
            <w:r>
              <w:rPr>
                <w:noProof/>
                <w:color w:val="000000"/>
                <w:highlight w:val="black"/>
              </w:rPr>
              <w:t>''''''''''''</w:t>
            </w:r>
            <w:r w:rsidR="000634AC">
              <w:t>%</w:t>
            </w:r>
          </w:p>
        </w:tc>
      </w:tr>
    </w:tbl>
    <w:p w:rsidR="000634AC" w:rsidRDefault="000634AC" w:rsidP="000634AC">
      <w:pPr>
        <w:pStyle w:val="TableFooter"/>
        <w:ind w:left="709"/>
      </w:pPr>
      <w:r>
        <w:t xml:space="preserve">6MWD = 6-minute walk distance; BGT = background therapy; </w:t>
      </w:r>
      <w:r w:rsidRPr="00B72DCD">
        <w:t>CHMP = Committee for Medicinal Products for Human Use;</w:t>
      </w:r>
      <w:r w:rsidRPr="00F74BF6">
        <w:t xml:space="preserve"> </w:t>
      </w:r>
      <w:r>
        <w:t>FC = f</w:t>
      </w:r>
      <w:r w:rsidRPr="003A3176">
        <w:t>unctional class</w:t>
      </w:r>
      <w:r>
        <w:t>; HR = hazard ratio; ITT = intention-to-treat; PAH = pulmonary arterial hypertension</w:t>
      </w:r>
    </w:p>
    <w:p w:rsidR="000634AC" w:rsidRPr="00D33BD2" w:rsidRDefault="000634AC" w:rsidP="000634AC">
      <w:pPr>
        <w:pStyle w:val="TableFooter"/>
        <w:ind w:left="709"/>
      </w:pPr>
      <w:r w:rsidRPr="005F752B">
        <w:rPr>
          <w:vertAlign w:val="superscript"/>
        </w:rPr>
        <w:t>a</w:t>
      </w:r>
      <w:r>
        <w:t xml:space="preserve"> Selexipag + BGT </w:t>
      </w:r>
      <w:r>
        <w:rPr>
          <w:i/>
        </w:rPr>
        <w:t xml:space="preserve">versus </w:t>
      </w:r>
      <w:r>
        <w:t>Placebo + BGT</w:t>
      </w:r>
    </w:p>
    <w:p w:rsidR="000634AC" w:rsidRDefault="000634AC" w:rsidP="000634AC">
      <w:pPr>
        <w:pStyle w:val="TableFooter"/>
        <w:ind w:left="709"/>
      </w:pPr>
      <w:r w:rsidRPr="00D33BD2">
        <w:rPr>
          <w:vertAlign w:val="superscript"/>
        </w:rPr>
        <w:t>b</w:t>
      </w:r>
      <w:r>
        <w:t xml:space="preserve"> Derived by multiplying the HRs for the ITT population and the respective baseline rate in the placebo arm. </w:t>
      </w:r>
    </w:p>
    <w:p w:rsidR="000634AC" w:rsidRDefault="000634AC" w:rsidP="000634AC">
      <w:pPr>
        <w:pStyle w:val="TableFooter"/>
        <w:ind w:left="709"/>
      </w:pPr>
      <w:r>
        <w:t xml:space="preserve">Source: Figures 13-16, pp50-53 and Table 20, p61 of the </w:t>
      </w:r>
      <w:r w:rsidR="00F801E3">
        <w:t>resubmission</w:t>
      </w:r>
    </w:p>
    <w:p w:rsidR="000634AC" w:rsidRPr="0083528A" w:rsidRDefault="000634AC" w:rsidP="000634AC">
      <w:pPr>
        <w:pStyle w:val="ListParagraph"/>
      </w:pPr>
    </w:p>
    <w:p w:rsidR="000634AC" w:rsidRPr="005D100E" w:rsidRDefault="000634AC" w:rsidP="0074367D">
      <w:pPr>
        <w:pStyle w:val="ListParagraph"/>
        <w:widowControl/>
        <w:numPr>
          <w:ilvl w:val="1"/>
          <w:numId w:val="2"/>
        </w:numPr>
        <w:rPr>
          <w:szCs w:val="22"/>
        </w:rPr>
      </w:pPr>
      <w:r w:rsidRPr="005D100E">
        <w:t>Notwithstanding the concerns with the approach described above, the estimate of the difference in the event rates at 2 years for each of the CHMP-defined endpoints may be affected by:</w:t>
      </w:r>
    </w:p>
    <w:p w:rsidR="000634AC" w:rsidRPr="005D100E" w:rsidRDefault="000634AC" w:rsidP="0074367D">
      <w:pPr>
        <w:pStyle w:val="ListParagraph"/>
        <w:widowControl/>
        <w:numPr>
          <w:ilvl w:val="0"/>
          <w:numId w:val="1"/>
        </w:numPr>
        <w:ind w:left="993" w:hanging="284"/>
        <w:rPr>
          <w:iCs/>
        </w:rPr>
      </w:pPr>
      <w:r w:rsidRPr="005D100E">
        <w:rPr>
          <w:iCs/>
        </w:rPr>
        <w:t xml:space="preserve">Greater censoring in the </w:t>
      </w:r>
      <w:r w:rsidR="00364C02" w:rsidRPr="005D100E">
        <w:rPr>
          <w:iCs/>
        </w:rPr>
        <w:t>s</w:t>
      </w:r>
      <w:r w:rsidRPr="005D100E">
        <w:rPr>
          <w:iCs/>
        </w:rPr>
        <w:t>elexipag arm prior to any CHMP-defined event;</w:t>
      </w:r>
    </w:p>
    <w:p w:rsidR="000634AC" w:rsidRPr="005D100E" w:rsidRDefault="000634AC" w:rsidP="0074367D">
      <w:pPr>
        <w:pStyle w:val="ListParagraph"/>
        <w:widowControl/>
        <w:numPr>
          <w:ilvl w:val="0"/>
          <w:numId w:val="1"/>
        </w:numPr>
        <w:ind w:left="993" w:hanging="284"/>
        <w:rPr>
          <w:iCs/>
        </w:rPr>
      </w:pPr>
      <w:r w:rsidRPr="005D100E">
        <w:rPr>
          <w:iCs/>
        </w:rPr>
        <w:t>Censoring in either arm following the first CHMP-defined event if a decision is made to stop treatment;</w:t>
      </w:r>
    </w:p>
    <w:p w:rsidR="000634AC" w:rsidRPr="005D100E" w:rsidRDefault="004822D3" w:rsidP="0074367D">
      <w:pPr>
        <w:pStyle w:val="ListParagraph"/>
        <w:widowControl/>
        <w:numPr>
          <w:ilvl w:val="0"/>
          <w:numId w:val="1"/>
        </w:numPr>
        <w:ind w:left="993" w:hanging="284"/>
        <w:rPr>
          <w:iCs/>
        </w:rPr>
      </w:pPr>
      <w:r w:rsidRPr="005D100E">
        <w:rPr>
          <w:iCs/>
        </w:rPr>
        <w:t xml:space="preserve">Components of the </w:t>
      </w:r>
      <w:r w:rsidR="000634AC" w:rsidRPr="005D100E">
        <w:rPr>
          <w:iCs/>
        </w:rPr>
        <w:t xml:space="preserve">CHMP-defined endpoints were not collected prospectively and may have required a degree of </w:t>
      </w:r>
      <w:r w:rsidR="00840C3C" w:rsidRPr="005D100E">
        <w:rPr>
          <w:iCs/>
        </w:rPr>
        <w:t xml:space="preserve">judgement </w:t>
      </w:r>
      <w:r w:rsidR="000634AC" w:rsidRPr="005D100E">
        <w:rPr>
          <w:iCs/>
        </w:rPr>
        <w:t xml:space="preserve">when adjudicating. The </w:t>
      </w:r>
      <w:r w:rsidR="00F801E3" w:rsidRPr="005D100E">
        <w:rPr>
          <w:iCs/>
        </w:rPr>
        <w:t>resubmission</w:t>
      </w:r>
      <w:r w:rsidR="000634AC" w:rsidRPr="005D100E">
        <w:rPr>
          <w:iCs/>
        </w:rPr>
        <w:t xml:space="preserve"> has not stated that the outcome assessors applying the CHMP endpoint definitions were blinded to treatment allocation</w:t>
      </w:r>
      <w:r w:rsidR="004D173E" w:rsidRPr="005D100E">
        <w:rPr>
          <w:iCs/>
        </w:rPr>
        <w:t>;</w:t>
      </w:r>
    </w:p>
    <w:p w:rsidR="000634AC" w:rsidRPr="005D100E" w:rsidRDefault="00B32CD2" w:rsidP="0074367D">
      <w:pPr>
        <w:pStyle w:val="ListParagraph"/>
        <w:widowControl/>
        <w:numPr>
          <w:ilvl w:val="0"/>
          <w:numId w:val="1"/>
        </w:numPr>
        <w:ind w:left="993" w:hanging="284"/>
        <w:rPr>
          <w:iCs/>
        </w:rPr>
      </w:pPr>
      <w:r w:rsidRPr="005D100E">
        <w:rPr>
          <w:iCs/>
        </w:rPr>
        <w:t xml:space="preserve">The occurrence of adverse events typical of prostacyclin receptor agonists, particularly during the titration phase, </w:t>
      </w:r>
      <w:r w:rsidR="004822D3" w:rsidRPr="005D100E">
        <w:rPr>
          <w:iCs/>
        </w:rPr>
        <w:t xml:space="preserve">is likely to </w:t>
      </w:r>
      <w:r w:rsidRPr="005D100E">
        <w:rPr>
          <w:iCs/>
        </w:rPr>
        <w:t>have led to a degree of un-blinding of investigators and patients.</w:t>
      </w:r>
    </w:p>
    <w:p w:rsidR="000634AC" w:rsidRPr="005D100E" w:rsidRDefault="000634AC" w:rsidP="00F801E3">
      <w:pPr>
        <w:pStyle w:val="ListParagraph"/>
        <w:widowControl/>
        <w:rPr>
          <w:iCs/>
        </w:rPr>
      </w:pPr>
      <w:r w:rsidRPr="005D100E">
        <w:rPr>
          <w:iCs/>
        </w:rPr>
        <w:t xml:space="preserve">The true difference in event rates at 2 years cannot be reliably estimated from the evidence presented or the approach taken in the </w:t>
      </w:r>
      <w:r w:rsidR="00F801E3" w:rsidRPr="005D100E">
        <w:rPr>
          <w:iCs/>
        </w:rPr>
        <w:t>resubmission</w:t>
      </w:r>
      <w:r w:rsidRPr="005D100E">
        <w:rPr>
          <w:iCs/>
        </w:rPr>
        <w:t>.</w:t>
      </w:r>
    </w:p>
    <w:p w:rsidR="00F801E3" w:rsidRPr="005D100E" w:rsidRDefault="00F801E3" w:rsidP="00F801E3">
      <w:pPr>
        <w:pStyle w:val="ListParagraph"/>
        <w:widowControl/>
        <w:rPr>
          <w:iCs/>
          <w:szCs w:val="22"/>
        </w:rPr>
      </w:pPr>
    </w:p>
    <w:p w:rsidR="00F801E3" w:rsidRPr="009D41DF" w:rsidRDefault="00F801E3" w:rsidP="0074367D">
      <w:pPr>
        <w:pStyle w:val="ListParagraph"/>
        <w:widowControl/>
        <w:numPr>
          <w:ilvl w:val="1"/>
          <w:numId w:val="2"/>
        </w:numPr>
        <w:rPr>
          <w:i/>
          <w:iCs/>
          <w:szCs w:val="22"/>
        </w:rPr>
      </w:pPr>
      <w:r>
        <w:rPr>
          <w:iCs/>
          <w:szCs w:val="22"/>
        </w:rPr>
        <w:t>Results of the economic evaluation are presented below:</w:t>
      </w:r>
    </w:p>
    <w:p w:rsidR="000634AC" w:rsidRPr="009D41DF" w:rsidRDefault="000634AC" w:rsidP="000634AC">
      <w:pPr>
        <w:pStyle w:val="Caption"/>
        <w:ind w:left="1418" w:hanging="709"/>
      </w:pPr>
    </w:p>
    <w:p w:rsidR="00211A72" w:rsidRDefault="00211A72">
      <w:pPr>
        <w:widowControl/>
        <w:jc w:val="left"/>
        <w:rPr>
          <w:rFonts w:ascii="Arial Narrow" w:hAnsi="Arial Narrow"/>
          <w:b/>
          <w:bCs/>
          <w:sz w:val="20"/>
          <w:szCs w:val="18"/>
        </w:rPr>
      </w:pPr>
      <w:r>
        <w:br w:type="page"/>
      </w:r>
    </w:p>
    <w:p w:rsidR="000634AC" w:rsidRPr="009D41DF" w:rsidRDefault="00385830" w:rsidP="001729A0">
      <w:pPr>
        <w:pStyle w:val="Caption"/>
        <w:ind w:left="709"/>
      </w:pPr>
      <w:r>
        <w:t>Table 6</w:t>
      </w:r>
      <w:r w:rsidR="000634AC" w:rsidRPr="009D41DF">
        <w:t xml:space="preserve">: Results of the economic evaluation for selexipag </w:t>
      </w:r>
      <w:r w:rsidR="000634AC" w:rsidRPr="00807688">
        <w:rPr>
          <w:i/>
        </w:rPr>
        <w:t>versus</w:t>
      </w:r>
      <w:r w:rsidR="000634AC" w:rsidRPr="009D41DF">
        <w:t xml:space="preserve"> placebo as add-on therapy to ERA + PDE-5 inhibitor for patients with WHO FC III or IV PAH</w:t>
      </w:r>
    </w:p>
    <w:tbl>
      <w:tblPr>
        <w:tblW w:w="4600" w:type="pct"/>
        <w:tblInd w:w="737"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1E0" w:firstRow="1" w:lastRow="1" w:firstColumn="1" w:lastColumn="1" w:noHBand="0" w:noVBand="0"/>
      </w:tblPr>
      <w:tblGrid>
        <w:gridCol w:w="4392"/>
        <w:gridCol w:w="1287"/>
        <w:gridCol w:w="1283"/>
        <w:gridCol w:w="1394"/>
      </w:tblGrid>
      <w:tr w:rsidR="000634AC" w:rsidRPr="005D100E" w:rsidTr="009107D8">
        <w:tc>
          <w:tcPr>
            <w:tcW w:w="2628" w:type="pct"/>
            <w:tcBorders>
              <w:bottom w:val="double" w:sz="4" w:space="0" w:color="auto"/>
            </w:tcBorders>
            <w:hideMark/>
          </w:tcPr>
          <w:p w:rsidR="000634AC" w:rsidRPr="005D100E" w:rsidRDefault="000634AC" w:rsidP="009107D8">
            <w:pPr>
              <w:rPr>
                <w:rFonts w:ascii="Arial Narrow" w:hAnsi="Arial Narrow"/>
                <w:b/>
                <w:sz w:val="20"/>
              </w:rPr>
            </w:pPr>
          </w:p>
        </w:tc>
        <w:tc>
          <w:tcPr>
            <w:tcW w:w="770" w:type="pct"/>
            <w:tcBorders>
              <w:bottom w:val="double" w:sz="4" w:space="0" w:color="auto"/>
            </w:tcBorders>
            <w:hideMark/>
          </w:tcPr>
          <w:p w:rsidR="000634AC" w:rsidRPr="005D100E" w:rsidRDefault="000634AC" w:rsidP="009107D8">
            <w:pPr>
              <w:jc w:val="center"/>
              <w:rPr>
                <w:rFonts w:ascii="Arial Narrow" w:hAnsi="Arial Narrow"/>
                <w:b/>
                <w:sz w:val="20"/>
              </w:rPr>
            </w:pPr>
            <w:r w:rsidRPr="005D100E">
              <w:rPr>
                <w:rFonts w:ascii="Arial Narrow" w:hAnsi="Arial Narrow"/>
                <w:b/>
                <w:sz w:val="20"/>
              </w:rPr>
              <w:t>Selexipag</w:t>
            </w:r>
          </w:p>
        </w:tc>
        <w:tc>
          <w:tcPr>
            <w:tcW w:w="768" w:type="pct"/>
            <w:tcBorders>
              <w:bottom w:val="double" w:sz="4" w:space="0" w:color="auto"/>
            </w:tcBorders>
            <w:hideMark/>
          </w:tcPr>
          <w:p w:rsidR="000634AC" w:rsidRPr="005D100E" w:rsidRDefault="000634AC" w:rsidP="009107D8">
            <w:pPr>
              <w:jc w:val="center"/>
              <w:rPr>
                <w:rFonts w:ascii="Arial Narrow" w:hAnsi="Arial Narrow"/>
                <w:b/>
                <w:sz w:val="20"/>
              </w:rPr>
            </w:pPr>
            <w:r w:rsidRPr="005D100E">
              <w:rPr>
                <w:rFonts w:ascii="Arial Narrow" w:hAnsi="Arial Narrow"/>
                <w:b/>
                <w:sz w:val="20"/>
              </w:rPr>
              <w:t xml:space="preserve">Placebo </w:t>
            </w:r>
          </w:p>
        </w:tc>
        <w:tc>
          <w:tcPr>
            <w:tcW w:w="834" w:type="pct"/>
            <w:tcBorders>
              <w:bottom w:val="double" w:sz="4" w:space="0" w:color="auto"/>
            </w:tcBorders>
            <w:hideMark/>
          </w:tcPr>
          <w:p w:rsidR="000634AC" w:rsidRPr="005D100E" w:rsidRDefault="000634AC" w:rsidP="009107D8">
            <w:pPr>
              <w:jc w:val="center"/>
              <w:rPr>
                <w:rFonts w:ascii="Arial Narrow" w:hAnsi="Arial Narrow"/>
                <w:b/>
                <w:sz w:val="20"/>
              </w:rPr>
            </w:pPr>
            <w:r w:rsidRPr="005D100E">
              <w:rPr>
                <w:rFonts w:ascii="Arial Narrow" w:hAnsi="Arial Narrow"/>
                <w:b/>
                <w:sz w:val="20"/>
              </w:rPr>
              <w:t>Increment</w:t>
            </w:r>
          </w:p>
        </w:tc>
      </w:tr>
      <w:tr w:rsidR="000634AC" w:rsidRPr="005D100E" w:rsidTr="009107D8">
        <w:tc>
          <w:tcPr>
            <w:tcW w:w="2628" w:type="pct"/>
            <w:tcBorders>
              <w:top w:val="double" w:sz="4" w:space="0" w:color="auto"/>
              <w:bottom w:val="single" w:sz="4" w:space="0" w:color="auto"/>
            </w:tcBorders>
            <w:hideMark/>
          </w:tcPr>
          <w:p w:rsidR="000634AC" w:rsidRPr="005D100E" w:rsidRDefault="000634AC" w:rsidP="009107D8">
            <w:pPr>
              <w:rPr>
                <w:rFonts w:ascii="Arial Narrow" w:hAnsi="Arial Narrow"/>
                <w:sz w:val="20"/>
                <w:vertAlign w:val="superscript"/>
              </w:rPr>
            </w:pPr>
            <w:r w:rsidRPr="005D100E">
              <w:rPr>
                <w:rFonts w:ascii="Arial Narrow" w:hAnsi="Arial Narrow"/>
                <w:sz w:val="20"/>
              </w:rPr>
              <w:t>Costs</w:t>
            </w:r>
            <w:r w:rsidRPr="005D100E">
              <w:rPr>
                <w:rFonts w:ascii="Arial Narrow" w:hAnsi="Arial Narrow"/>
                <w:sz w:val="20"/>
                <w:vertAlign w:val="superscript"/>
              </w:rPr>
              <w:t>a</w:t>
            </w:r>
          </w:p>
        </w:tc>
        <w:tc>
          <w:tcPr>
            <w:tcW w:w="770" w:type="pct"/>
            <w:tcBorders>
              <w:top w:val="double" w:sz="4" w:space="0" w:color="auto"/>
              <w:bottom w:val="single" w:sz="4" w:space="0" w:color="auto"/>
            </w:tcBorders>
          </w:tcPr>
          <w:p w:rsidR="000634AC" w:rsidRPr="005D100E" w:rsidRDefault="000634AC" w:rsidP="009107D8">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c>
          <w:tcPr>
            <w:tcW w:w="768" w:type="pct"/>
            <w:tcBorders>
              <w:top w:val="double" w:sz="4" w:space="0" w:color="auto"/>
              <w:bottom w:val="single" w:sz="4" w:space="0" w:color="auto"/>
            </w:tcBorders>
          </w:tcPr>
          <w:p w:rsidR="000634AC" w:rsidRPr="005D100E" w:rsidRDefault="000634AC" w:rsidP="009107D8">
            <w:pPr>
              <w:jc w:val="center"/>
              <w:rPr>
                <w:rFonts w:ascii="Arial Narrow" w:hAnsi="Arial Narrow"/>
                <w:sz w:val="20"/>
              </w:rPr>
            </w:pPr>
            <w:r w:rsidRPr="005D100E">
              <w:rPr>
                <w:rFonts w:ascii="Arial Narrow" w:hAnsi="Arial Narrow"/>
                <w:sz w:val="20"/>
              </w:rPr>
              <w:t>$0</w:t>
            </w:r>
          </w:p>
        </w:tc>
        <w:tc>
          <w:tcPr>
            <w:tcW w:w="834" w:type="pct"/>
            <w:tcBorders>
              <w:top w:val="double" w:sz="4" w:space="0" w:color="auto"/>
              <w:bottom w:val="single" w:sz="4" w:space="0" w:color="auto"/>
            </w:tcBorders>
          </w:tcPr>
          <w:p w:rsidR="000634AC" w:rsidRPr="005D100E" w:rsidRDefault="000634AC" w:rsidP="009107D8">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r>
      <w:tr w:rsidR="000634AC" w:rsidRPr="005D100E" w:rsidTr="009107D8">
        <w:tc>
          <w:tcPr>
            <w:tcW w:w="2628" w:type="pct"/>
            <w:tcBorders>
              <w:top w:val="single" w:sz="4" w:space="0" w:color="auto"/>
              <w:bottom w:val="single" w:sz="4" w:space="0" w:color="auto"/>
            </w:tcBorders>
            <w:hideMark/>
          </w:tcPr>
          <w:p w:rsidR="000634AC" w:rsidRPr="005D100E" w:rsidRDefault="000634AC" w:rsidP="009107D8">
            <w:pPr>
              <w:jc w:val="left"/>
              <w:rPr>
                <w:rFonts w:ascii="Arial Narrow" w:hAnsi="Arial Narrow"/>
                <w:sz w:val="20"/>
              </w:rPr>
            </w:pPr>
            <w:r w:rsidRPr="005D100E">
              <w:rPr>
                <w:rFonts w:ascii="Arial Narrow" w:hAnsi="Arial Narrow"/>
                <w:sz w:val="20"/>
              </w:rPr>
              <w:t>Proportion of patients with hospitalisation for PAH worsening at Year 2</w:t>
            </w:r>
          </w:p>
        </w:tc>
        <w:tc>
          <w:tcPr>
            <w:tcW w:w="770" w:type="pct"/>
            <w:tcBorders>
              <w:top w:val="single" w:sz="4" w:space="0" w:color="auto"/>
              <w:bottom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c>
          <w:tcPr>
            <w:tcW w:w="768" w:type="pct"/>
            <w:tcBorders>
              <w:top w:val="single" w:sz="4" w:space="0" w:color="auto"/>
              <w:bottom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c>
          <w:tcPr>
            <w:tcW w:w="834" w:type="pct"/>
            <w:tcBorders>
              <w:top w:val="single" w:sz="4" w:space="0" w:color="auto"/>
              <w:bottom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r>
      <w:tr w:rsidR="000634AC" w:rsidRPr="005D100E" w:rsidTr="009107D8">
        <w:tc>
          <w:tcPr>
            <w:tcW w:w="4166" w:type="pct"/>
            <w:gridSpan w:val="3"/>
            <w:tcBorders>
              <w:top w:val="single" w:sz="4" w:space="0" w:color="auto"/>
              <w:bottom w:val="double" w:sz="4" w:space="0" w:color="auto"/>
            </w:tcBorders>
            <w:hideMark/>
          </w:tcPr>
          <w:p w:rsidR="000634AC" w:rsidRPr="005D100E" w:rsidRDefault="000634AC" w:rsidP="009107D8">
            <w:pPr>
              <w:rPr>
                <w:rFonts w:ascii="Arial Narrow" w:hAnsi="Arial Narrow"/>
                <w:b/>
                <w:sz w:val="20"/>
              </w:rPr>
            </w:pPr>
            <w:r w:rsidRPr="005D100E">
              <w:rPr>
                <w:rFonts w:ascii="Arial Narrow" w:hAnsi="Arial Narrow"/>
                <w:b/>
                <w:sz w:val="20"/>
              </w:rPr>
              <w:t>Incremental cost / patient with hospitalisation for PAH worsening</w:t>
            </w:r>
            <w:r w:rsidRPr="005D100E">
              <w:rPr>
                <w:rFonts w:ascii="Arial Narrow" w:hAnsi="Arial Narrow"/>
                <w:sz w:val="20"/>
              </w:rPr>
              <w:t xml:space="preserve"> </w:t>
            </w:r>
            <w:r w:rsidRPr="005D100E">
              <w:rPr>
                <w:rFonts w:ascii="Arial Narrow" w:hAnsi="Arial Narrow"/>
                <w:b/>
                <w:sz w:val="20"/>
              </w:rPr>
              <w:t>avoided at Year 2</w:t>
            </w:r>
          </w:p>
        </w:tc>
        <w:tc>
          <w:tcPr>
            <w:tcW w:w="834" w:type="pct"/>
            <w:tcBorders>
              <w:top w:val="single" w:sz="4" w:space="0" w:color="auto"/>
              <w:bottom w:val="double" w:sz="4" w:space="0" w:color="auto"/>
            </w:tcBorders>
            <w:vAlign w:val="center"/>
          </w:tcPr>
          <w:p w:rsidR="000634AC" w:rsidRPr="005D100E" w:rsidRDefault="000634AC" w:rsidP="009107D8">
            <w:pPr>
              <w:jc w:val="center"/>
              <w:rPr>
                <w:rFonts w:ascii="Arial Narrow" w:hAnsi="Arial Narrow"/>
                <w:b/>
                <w:sz w:val="20"/>
              </w:rPr>
            </w:pPr>
            <w:r w:rsidRPr="005D100E">
              <w:rPr>
                <w:rFonts w:ascii="Arial Narrow" w:hAnsi="Arial Narrow"/>
                <w:b/>
                <w:sz w:val="20"/>
              </w:rPr>
              <w:t>$</w:t>
            </w:r>
            <w:r w:rsidR="00DD2205">
              <w:rPr>
                <w:rFonts w:ascii="Arial Narrow" w:hAnsi="Arial Narrow"/>
                <w:b/>
                <w:noProof/>
                <w:color w:val="000000"/>
                <w:sz w:val="20"/>
                <w:highlight w:val="black"/>
              </w:rPr>
              <w:t>'''''''''''''''''</w:t>
            </w:r>
          </w:p>
        </w:tc>
      </w:tr>
      <w:tr w:rsidR="000634AC" w:rsidRPr="005D100E" w:rsidTr="009107D8">
        <w:tc>
          <w:tcPr>
            <w:tcW w:w="2628" w:type="pct"/>
            <w:tcBorders>
              <w:top w:val="double" w:sz="4" w:space="0" w:color="auto"/>
              <w:bottom w:val="single" w:sz="4" w:space="0" w:color="auto"/>
            </w:tcBorders>
            <w:hideMark/>
          </w:tcPr>
          <w:p w:rsidR="000634AC" w:rsidRPr="005D100E" w:rsidRDefault="000634AC" w:rsidP="009107D8">
            <w:pPr>
              <w:rPr>
                <w:rFonts w:ascii="Arial Narrow" w:hAnsi="Arial Narrow"/>
                <w:sz w:val="20"/>
                <w:vertAlign w:val="superscript"/>
              </w:rPr>
            </w:pPr>
            <w:r w:rsidRPr="005D100E">
              <w:rPr>
                <w:rFonts w:ascii="Arial Narrow" w:hAnsi="Arial Narrow"/>
                <w:sz w:val="20"/>
              </w:rPr>
              <w:t>Costs</w:t>
            </w:r>
            <w:r w:rsidRPr="005D100E">
              <w:rPr>
                <w:rFonts w:ascii="Arial Narrow" w:hAnsi="Arial Narrow"/>
                <w:sz w:val="20"/>
                <w:vertAlign w:val="superscript"/>
              </w:rPr>
              <w:t>a</w:t>
            </w:r>
          </w:p>
        </w:tc>
        <w:tc>
          <w:tcPr>
            <w:tcW w:w="770" w:type="pct"/>
            <w:tcBorders>
              <w:top w:val="double" w:sz="4" w:space="0" w:color="auto"/>
              <w:bottom w:val="single" w:sz="4" w:space="0" w:color="auto"/>
            </w:tcBorders>
          </w:tcPr>
          <w:p w:rsidR="000634AC" w:rsidRPr="005D100E" w:rsidRDefault="000634AC" w:rsidP="009107D8">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c>
          <w:tcPr>
            <w:tcW w:w="768" w:type="pct"/>
            <w:tcBorders>
              <w:top w:val="double" w:sz="4" w:space="0" w:color="auto"/>
              <w:bottom w:val="single" w:sz="4" w:space="0" w:color="auto"/>
            </w:tcBorders>
          </w:tcPr>
          <w:p w:rsidR="000634AC" w:rsidRPr="005D100E" w:rsidRDefault="000634AC" w:rsidP="009107D8">
            <w:pPr>
              <w:jc w:val="center"/>
              <w:rPr>
                <w:rFonts w:ascii="Arial Narrow" w:hAnsi="Arial Narrow"/>
                <w:sz w:val="20"/>
              </w:rPr>
            </w:pPr>
            <w:r w:rsidRPr="005D100E">
              <w:rPr>
                <w:rFonts w:ascii="Arial Narrow" w:hAnsi="Arial Narrow"/>
                <w:sz w:val="20"/>
              </w:rPr>
              <w:t>$</w:t>
            </w:r>
            <w:r w:rsidRPr="00CF21BC">
              <w:rPr>
                <w:rFonts w:ascii="Arial Narrow" w:hAnsi="Arial Narrow"/>
                <w:sz w:val="20"/>
              </w:rPr>
              <w:t>0</w:t>
            </w:r>
          </w:p>
        </w:tc>
        <w:tc>
          <w:tcPr>
            <w:tcW w:w="834" w:type="pct"/>
            <w:tcBorders>
              <w:top w:val="double" w:sz="4" w:space="0" w:color="auto"/>
              <w:bottom w:val="single" w:sz="4" w:space="0" w:color="auto"/>
            </w:tcBorders>
          </w:tcPr>
          <w:p w:rsidR="000634AC" w:rsidRPr="005D100E" w:rsidRDefault="000634AC" w:rsidP="009107D8">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r>
      <w:tr w:rsidR="000634AC" w:rsidRPr="005D100E" w:rsidTr="009107D8">
        <w:tc>
          <w:tcPr>
            <w:tcW w:w="2628" w:type="pct"/>
            <w:tcBorders>
              <w:top w:val="single" w:sz="4" w:space="0" w:color="auto"/>
              <w:bottom w:val="single" w:sz="4" w:space="0" w:color="auto"/>
              <w:right w:val="single" w:sz="4" w:space="0" w:color="auto"/>
            </w:tcBorders>
            <w:hideMark/>
          </w:tcPr>
          <w:p w:rsidR="000634AC" w:rsidRPr="005D100E" w:rsidRDefault="000634AC" w:rsidP="009107D8">
            <w:pPr>
              <w:jc w:val="left"/>
              <w:rPr>
                <w:rFonts w:ascii="Arial Narrow" w:hAnsi="Arial Narrow"/>
                <w:sz w:val="20"/>
              </w:rPr>
            </w:pPr>
            <w:r w:rsidRPr="005D100E">
              <w:rPr>
                <w:rFonts w:ascii="Arial Narrow" w:hAnsi="Arial Narrow"/>
                <w:sz w:val="20"/>
              </w:rPr>
              <w:t>Proportion of patients with increased WHO FC at Year 2</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r>
      <w:tr w:rsidR="000634AC" w:rsidRPr="005D100E" w:rsidTr="009107D8">
        <w:tc>
          <w:tcPr>
            <w:tcW w:w="4166" w:type="pct"/>
            <w:gridSpan w:val="3"/>
            <w:tcBorders>
              <w:top w:val="single" w:sz="4" w:space="0" w:color="auto"/>
              <w:bottom w:val="double" w:sz="4" w:space="0" w:color="auto"/>
            </w:tcBorders>
            <w:hideMark/>
          </w:tcPr>
          <w:p w:rsidR="000634AC" w:rsidRPr="005D100E" w:rsidRDefault="000634AC" w:rsidP="009107D8">
            <w:pPr>
              <w:rPr>
                <w:rFonts w:ascii="Arial Narrow" w:hAnsi="Arial Narrow"/>
                <w:b/>
                <w:sz w:val="20"/>
              </w:rPr>
            </w:pPr>
            <w:r w:rsidRPr="005D100E">
              <w:rPr>
                <w:rFonts w:ascii="Arial Narrow" w:hAnsi="Arial Narrow"/>
                <w:b/>
                <w:sz w:val="20"/>
              </w:rPr>
              <w:t>Incremental cost / patient with increased WHO FC avoided at Year 2</w:t>
            </w:r>
          </w:p>
        </w:tc>
        <w:tc>
          <w:tcPr>
            <w:tcW w:w="834" w:type="pct"/>
            <w:tcBorders>
              <w:top w:val="single" w:sz="4" w:space="0" w:color="auto"/>
              <w:bottom w:val="double" w:sz="4" w:space="0" w:color="auto"/>
            </w:tcBorders>
            <w:vAlign w:val="center"/>
          </w:tcPr>
          <w:p w:rsidR="000634AC" w:rsidRPr="005D100E" w:rsidRDefault="000634AC" w:rsidP="009107D8">
            <w:pPr>
              <w:jc w:val="center"/>
              <w:rPr>
                <w:rFonts w:ascii="Arial Narrow" w:hAnsi="Arial Narrow"/>
                <w:b/>
                <w:sz w:val="20"/>
              </w:rPr>
            </w:pPr>
            <w:r w:rsidRPr="005D100E">
              <w:rPr>
                <w:rFonts w:ascii="Arial Narrow" w:hAnsi="Arial Narrow"/>
                <w:b/>
                <w:sz w:val="20"/>
              </w:rPr>
              <w:t>$</w:t>
            </w:r>
            <w:r w:rsidR="00DD2205">
              <w:rPr>
                <w:rFonts w:ascii="Arial Narrow" w:hAnsi="Arial Narrow"/>
                <w:b/>
                <w:noProof/>
                <w:color w:val="000000"/>
                <w:sz w:val="20"/>
                <w:highlight w:val="black"/>
              </w:rPr>
              <w:t>'''''''''''''''''</w:t>
            </w:r>
          </w:p>
        </w:tc>
      </w:tr>
      <w:tr w:rsidR="000634AC" w:rsidRPr="005D100E" w:rsidTr="009107D8">
        <w:tc>
          <w:tcPr>
            <w:tcW w:w="2628" w:type="pct"/>
            <w:tcBorders>
              <w:top w:val="double" w:sz="4" w:space="0" w:color="auto"/>
              <w:bottom w:val="single" w:sz="4" w:space="0" w:color="auto"/>
            </w:tcBorders>
            <w:hideMark/>
          </w:tcPr>
          <w:p w:rsidR="000634AC" w:rsidRPr="005D100E" w:rsidRDefault="000634AC" w:rsidP="009107D8">
            <w:pPr>
              <w:rPr>
                <w:rFonts w:ascii="Arial Narrow" w:hAnsi="Arial Narrow"/>
                <w:sz w:val="20"/>
                <w:vertAlign w:val="superscript"/>
              </w:rPr>
            </w:pPr>
            <w:r w:rsidRPr="005D100E">
              <w:rPr>
                <w:rFonts w:ascii="Arial Narrow" w:hAnsi="Arial Narrow"/>
                <w:sz w:val="20"/>
              </w:rPr>
              <w:t>Costs</w:t>
            </w:r>
            <w:r w:rsidRPr="005D100E">
              <w:rPr>
                <w:rFonts w:ascii="Arial Narrow" w:hAnsi="Arial Narrow"/>
                <w:sz w:val="20"/>
                <w:vertAlign w:val="superscript"/>
              </w:rPr>
              <w:t>a</w:t>
            </w:r>
          </w:p>
        </w:tc>
        <w:tc>
          <w:tcPr>
            <w:tcW w:w="770" w:type="pct"/>
            <w:tcBorders>
              <w:top w:val="double" w:sz="4" w:space="0" w:color="auto"/>
              <w:bottom w:val="single" w:sz="4" w:space="0" w:color="auto"/>
            </w:tcBorders>
          </w:tcPr>
          <w:p w:rsidR="000634AC" w:rsidRPr="005D100E" w:rsidRDefault="000634AC" w:rsidP="009107D8">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c>
          <w:tcPr>
            <w:tcW w:w="768" w:type="pct"/>
            <w:tcBorders>
              <w:top w:val="double" w:sz="4" w:space="0" w:color="auto"/>
              <w:bottom w:val="single" w:sz="4" w:space="0" w:color="auto"/>
            </w:tcBorders>
          </w:tcPr>
          <w:p w:rsidR="000634AC" w:rsidRPr="005D100E" w:rsidRDefault="000634AC" w:rsidP="009107D8">
            <w:pPr>
              <w:jc w:val="center"/>
              <w:rPr>
                <w:rFonts w:ascii="Arial Narrow" w:hAnsi="Arial Narrow"/>
                <w:sz w:val="20"/>
              </w:rPr>
            </w:pPr>
            <w:r w:rsidRPr="005D100E">
              <w:rPr>
                <w:rFonts w:ascii="Arial Narrow" w:hAnsi="Arial Narrow"/>
                <w:sz w:val="20"/>
              </w:rPr>
              <w:t>$0</w:t>
            </w:r>
          </w:p>
        </w:tc>
        <w:tc>
          <w:tcPr>
            <w:tcW w:w="834" w:type="pct"/>
            <w:tcBorders>
              <w:top w:val="double" w:sz="4" w:space="0" w:color="auto"/>
              <w:bottom w:val="single" w:sz="4" w:space="0" w:color="auto"/>
            </w:tcBorders>
          </w:tcPr>
          <w:p w:rsidR="000634AC" w:rsidRPr="005D100E" w:rsidRDefault="000634AC" w:rsidP="009107D8">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r>
      <w:tr w:rsidR="000634AC" w:rsidRPr="005D100E" w:rsidTr="009107D8">
        <w:tc>
          <w:tcPr>
            <w:tcW w:w="2628" w:type="pct"/>
            <w:tcBorders>
              <w:top w:val="single" w:sz="4" w:space="0" w:color="auto"/>
              <w:bottom w:val="single" w:sz="4" w:space="0" w:color="auto"/>
              <w:right w:val="single" w:sz="4" w:space="0" w:color="auto"/>
            </w:tcBorders>
            <w:hideMark/>
          </w:tcPr>
          <w:p w:rsidR="000634AC" w:rsidRPr="005D100E" w:rsidRDefault="000634AC" w:rsidP="009107D8">
            <w:pPr>
              <w:jc w:val="left"/>
              <w:rPr>
                <w:rFonts w:ascii="Arial Narrow" w:hAnsi="Arial Narrow"/>
                <w:sz w:val="20"/>
              </w:rPr>
            </w:pPr>
            <w:r w:rsidRPr="005D100E">
              <w:rPr>
                <w:rFonts w:ascii="Arial Narrow" w:hAnsi="Arial Narrow"/>
                <w:sz w:val="20"/>
              </w:rPr>
              <w:t>Proportion of patients with signs/symptoms of right-sided heart failure at Year 2</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r>
      <w:tr w:rsidR="000634AC" w:rsidRPr="005D100E" w:rsidTr="009107D8">
        <w:tc>
          <w:tcPr>
            <w:tcW w:w="4166" w:type="pct"/>
            <w:gridSpan w:val="3"/>
            <w:tcBorders>
              <w:top w:val="single" w:sz="4" w:space="0" w:color="auto"/>
              <w:bottom w:val="double" w:sz="4" w:space="0" w:color="auto"/>
            </w:tcBorders>
            <w:hideMark/>
          </w:tcPr>
          <w:p w:rsidR="000634AC" w:rsidRPr="005D100E" w:rsidRDefault="000634AC" w:rsidP="009107D8">
            <w:pPr>
              <w:rPr>
                <w:rFonts w:ascii="Arial Narrow" w:hAnsi="Arial Narrow"/>
                <w:b/>
                <w:sz w:val="20"/>
              </w:rPr>
            </w:pPr>
            <w:r w:rsidRPr="005D100E">
              <w:rPr>
                <w:rFonts w:ascii="Arial Narrow" w:hAnsi="Arial Narrow"/>
                <w:b/>
                <w:sz w:val="20"/>
              </w:rPr>
              <w:t>Incremental cost / patient with signs/symptoms of RS heart failure avoided at Year 2</w:t>
            </w:r>
          </w:p>
        </w:tc>
        <w:tc>
          <w:tcPr>
            <w:tcW w:w="834" w:type="pct"/>
            <w:tcBorders>
              <w:top w:val="single" w:sz="4" w:space="0" w:color="auto"/>
              <w:bottom w:val="double" w:sz="4" w:space="0" w:color="auto"/>
            </w:tcBorders>
            <w:vAlign w:val="center"/>
          </w:tcPr>
          <w:p w:rsidR="000634AC" w:rsidRPr="005D100E" w:rsidRDefault="000634AC" w:rsidP="009107D8">
            <w:pPr>
              <w:jc w:val="center"/>
              <w:rPr>
                <w:rFonts w:ascii="Arial Narrow" w:hAnsi="Arial Narrow"/>
                <w:b/>
                <w:sz w:val="20"/>
              </w:rPr>
            </w:pPr>
            <w:r w:rsidRPr="005D100E">
              <w:rPr>
                <w:rFonts w:ascii="Arial Narrow" w:hAnsi="Arial Narrow"/>
                <w:b/>
                <w:sz w:val="20"/>
              </w:rPr>
              <w:t>$</w:t>
            </w:r>
            <w:r w:rsidR="00DD2205">
              <w:rPr>
                <w:rFonts w:ascii="Arial Narrow" w:hAnsi="Arial Narrow"/>
                <w:b/>
                <w:noProof/>
                <w:color w:val="000000"/>
                <w:sz w:val="20"/>
                <w:highlight w:val="black"/>
              </w:rPr>
              <w:t>''''''''''''''''</w:t>
            </w:r>
          </w:p>
        </w:tc>
      </w:tr>
      <w:tr w:rsidR="000634AC" w:rsidRPr="005D100E" w:rsidTr="009107D8">
        <w:tc>
          <w:tcPr>
            <w:tcW w:w="2628" w:type="pct"/>
            <w:tcBorders>
              <w:top w:val="double" w:sz="4" w:space="0" w:color="auto"/>
              <w:bottom w:val="single" w:sz="4" w:space="0" w:color="auto"/>
            </w:tcBorders>
            <w:hideMark/>
          </w:tcPr>
          <w:p w:rsidR="000634AC" w:rsidRPr="005D100E" w:rsidRDefault="000634AC" w:rsidP="009107D8">
            <w:pPr>
              <w:rPr>
                <w:rFonts w:ascii="Arial Narrow" w:hAnsi="Arial Narrow"/>
                <w:sz w:val="20"/>
                <w:vertAlign w:val="superscript"/>
              </w:rPr>
            </w:pPr>
            <w:r w:rsidRPr="005D100E">
              <w:rPr>
                <w:rFonts w:ascii="Arial Narrow" w:hAnsi="Arial Narrow"/>
                <w:sz w:val="20"/>
              </w:rPr>
              <w:t>Costs</w:t>
            </w:r>
            <w:r w:rsidRPr="005D100E">
              <w:rPr>
                <w:rFonts w:ascii="Arial Narrow" w:hAnsi="Arial Narrow"/>
                <w:sz w:val="20"/>
                <w:vertAlign w:val="superscript"/>
              </w:rPr>
              <w:t>a</w:t>
            </w:r>
          </w:p>
        </w:tc>
        <w:tc>
          <w:tcPr>
            <w:tcW w:w="770" w:type="pct"/>
            <w:tcBorders>
              <w:top w:val="double" w:sz="4" w:space="0" w:color="auto"/>
              <w:bottom w:val="single" w:sz="4" w:space="0" w:color="auto"/>
            </w:tcBorders>
          </w:tcPr>
          <w:p w:rsidR="000634AC" w:rsidRPr="005D100E" w:rsidRDefault="000634AC" w:rsidP="009107D8">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c>
          <w:tcPr>
            <w:tcW w:w="768" w:type="pct"/>
            <w:tcBorders>
              <w:top w:val="double" w:sz="4" w:space="0" w:color="auto"/>
              <w:bottom w:val="single" w:sz="4" w:space="0" w:color="auto"/>
            </w:tcBorders>
          </w:tcPr>
          <w:p w:rsidR="000634AC" w:rsidRPr="005D100E" w:rsidRDefault="000634AC" w:rsidP="009107D8">
            <w:pPr>
              <w:jc w:val="center"/>
              <w:rPr>
                <w:rFonts w:ascii="Arial Narrow" w:hAnsi="Arial Narrow"/>
                <w:sz w:val="20"/>
              </w:rPr>
            </w:pPr>
            <w:r w:rsidRPr="005D100E">
              <w:rPr>
                <w:rFonts w:ascii="Arial Narrow" w:hAnsi="Arial Narrow"/>
                <w:sz w:val="20"/>
              </w:rPr>
              <w:t>$0</w:t>
            </w:r>
          </w:p>
        </w:tc>
        <w:tc>
          <w:tcPr>
            <w:tcW w:w="834" w:type="pct"/>
            <w:tcBorders>
              <w:top w:val="double" w:sz="4" w:space="0" w:color="auto"/>
              <w:bottom w:val="single" w:sz="4" w:space="0" w:color="auto"/>
            </w:tcBorders>
          </w:tcPr>
          <w:p w:rsidR="000634AC" w:rsidRPr="005D100E" w:rsidRDefault="000634AC" w:rsidP="009107D8">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r>
      <w:tr w:rsidR="000634AC" w:rsidRPr="005D100E" w:rsidTr="009107D8">
        <w:tc>
          <w:tcPr>
            <w:tcW w:w="2628" w:type="pct"/>
            <w:tcBorders>
              <w:top w:val="single" w:sz="4" w:space="0" w:color="auto"/>
              <w:bottom w:val="single" w:sz="4" w:space="0" w:color="auto"/>
              <w:right w:val="single" w:sz="4" w:space="0" w:color="auto"/>
            </w:tcBorders>
            <w:hideMark/>
          </w:tcPr>
          <w:p w:rsidR="000634AC" w:rsidRPr="005D100E" w:rsidRDefault="000634AC" w:rsidP="009107D8">
            <w:pPr>
              <w:jc w:val="left"/>
              <w:rPr>
                <w:rFonts w:ascii="Arial Narrow" w:hAnsi="Arial Narrow"/>
                <w:sz w:val="20"/>
              </w:rPr>
            </w:pPr>
            <w:r w:rsidRPr="005D100E">
              <w:rPr>
                <w:rFonts w:ascii="Arial Narrow" w:hAnsi="Arial Narrow"/>
                <w:sz w:val="20"/>
              </w:rPr>
              <w:t>Number patients with ≥15% decrease in 6MWD at Year 2</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0634AC" w:rsidRPr="005D100E" w:rsidRDefault="00DD2205" w:rsidP="009107D8">
            <w:pPr>
              <w:pStyle w:val="Tabletext"/>
              <w:jc w:val="center"/>
            </w:pPr>
            <w:r>
              <w:rPr>
                <w:noProof/>
                <w:color w:val="000000"/>
                <w:highlight w:val="black"/>
              </w:rPr>
              <w:t>'''''''''''''</w:t>
            </w:r>
            <w:r w:rsidR="000634AC" w:rsidRPr="005D100E">
              <w:t>%</w:t>
            </w:r>
          </w:p>
        </w:tc>
      </w:tr>
      <w:tr w:rsidR="000634AC" w:rsidRPr="005D100E" w:rsidTr="009107D8">
        <w:tc>
          <w:tcPr>
            <w:tcW w:w="4166" w:type="pct"/>
            <w:gridSpan w:val="3"/>
            <w:tcBorders>
              <w:top w:val="single" w:sz="4" w:space="0" w:color="auto"/>
              <w:bottom w:val="single" w:sz="4" w:space="0" w:color="auto"/>
            </w:tcBorders>
            <w:hideMark/>
          </w:tcPr>
          <w:p w:rsidR="000634AC" w:rsidRPr="005D100E" w:rsidRDefault="000634AC" w:rsidP="009107D8">
            <w:pPr>
              <w:rPr>
                <w:rFonts w:ascii="Arial Narrow" w:hAnsi="Arial Narrow"/>
                <w:b/>
                <w:sz w:val="20"/>
              </w:rPr>
            </w:pPr>
            <w:r w:rsidRPr="005D100E">
              <w:rPr>
                <w:rFonts w:ascii="Arial Narrow" w:hAnsi="Arial Narrow"/>
                <w:b/>
                <w:sz w:val="20"/>
              </w:rPr>
              <w:t>Incremental cost / patient with ≥15% decrease in 6MWD avoided at Year 2</w:t>
            </w:r>
          </w:p>
        </w:tc>
        <w:tc>
          <w:tcPr>
            <w:tcW w:w="834" w:type="pct"/>
            <w:tcBorders>
              <w:top w:val="single" w:sz="4" w:space="0" w:color="auto"/>
              <w:bottom w:val="single" w:sz="4" w:space="0" w:color="auto"/>
            </w:tcBorders>
            <w:vAlign w:val="center"/>
          </w:tcPr>
          <w:p w:rsidR="000634AC" w:rsidRPr="005D100E" w:rsidRDefault="000634AC" w:rsidP="009107D8">
            <w:pPr>
              <w:jc w:val="center"/>
              <w:rPr>
                <w:rFonts w:ascii="Arial Narrow" w:hAnsi="Arial Narrow"/>
                <w:b/>
                <w:sz w:val="20"/>
              </w:rPr>
            </w:pPr>
            <w:r w:rsidRPr="005D100E">
              <w:rPr>
                <w:rFonts w:ascii="Arial Narrow" w:hAnsi="Arial Narrow"/>
                <w:b/>
                <w:sz w:val="20"/>
              </w:rPr>
              <w:t>$</w:t>
            </w:r>
            <w:r w:rsidR="00DD2205">
              <w:rPr>
                <w:rFonts w:ascii="Arial Narrow" w:hAnsi="Arial Narrow"/>
                <w:b/>
                <w:noProof/>
                <w:color w:val="000000"/>
                <w:sz w:val="20"/>
                <w:highlight w:val="black"/>
              </w:rPr>
              <w:t>'''''''''''''''</w:t>
            </w:r>
          </w:p>
        </w:tc>
      </w:tr>
    </w:tbl>
    <w:p w:rsidR="000634AC" w:rsidRPr="005D100E" w:rsidRDefault="000634AC" w:rsidP="000634AC">
      <w:pPr>
        <w:pStyle w:val="TableFooter"/>
        <w:ind w:left="709"/>
      </w:pPr>
      <w:r w:rsidRPr="005D100E">
        <w:t>6MWD = 6-minute walk distance; ERA = endothelin receptor antagonist; BGT = background therapy; FC = functional class; PAH = pulmonary arterial hypertension; PDE-5 = phosphodiesterase type 5; RS = right-sided; WHO = World Health Organization</w:t>
      </w:r>
    </w:p>
    <w:p w:rsidR="000634AC" w:rsidRPr="005D100E" w:rsidRDefault="000634AC" w:rsidP="000634AC">
      <w:pPr>
        <w:pStyle w:val="TableFooter"/>
        <w:ind w:left="709"/>
        <w:rPr>
          <w:iCs/>
        </w:rPr>
      </w:pPr>
      <w:r w:rsidRPr="005D100E">
        <w:rPr>
          <w:iCs/>
          <w:sz w:val="20"/>
          <w:vertAlign w:val="superscript"/>
        </w:rPr>
        <w:t xml:space="preserve">a </w:t>
      </w:r>
      <w:r w:rsidRPr="005D100E">
        <w:rPr>
          <w:iCs/>
        </w:rPr>
        <w:t>Costs were re-calculated during the evaluation based on the proposed effective price, 66% of dispensing occurring in public and an average duration of treatment of 65.7 weeks.</w:t>
      </w:r>
    </w:p>
    <w:p w:rsidR="000634AC" w:rsidRPr="005D100E" w:rsidRDefault="000634AC" w:rsidP="000634AC">
      <w:pPr>
        <w:pStyle w:val="TableFooter"/>
        <w:ind w:left="709"/>
        <w:rPr>
          <w:iCs/>
        </w:rPr>
      </w:pPr>
      <w:r w:rsidRPr="005D100E">
        <w:rPr>
          <w:iCs/>
        </w:rPr>
        <w:t>Source: Calculated during the evaluation.</w:t>
      </w:r>
    </w:p>
    <w:p w:rsidR="000634AC" w:rsidRDefault="000634AC" w:rsidP="000634AC">
      <w:pPr>
        <w:widowControl/>
        <w:rPr>
          <w:szCs w:val="22"/>
        </w:rPr>
      </w:pPr>
    </w:p>
    <w:p w:rsidR="00CF21BC" w:rsidRDefault="00CF21BC" w:rsidP="00674A1B">
      <w:pPr>
        <w:widowControl/>
        <w:ind w:left="709"/>
        <w:rPr>
          <w:szCs w:val="22"/>
        </w:rPr>
      </w:pPr>
      <w:r>
        <w:rPr>
          <w:szCs w:val="22"/>
        </w:rPr>
        <w:t xml:space="preserve">The </w:t>
      </w:r>
      <w:r w:rsidR="00710030">
        <w:rPr>
          <w:szCs w:val="22"/>
        </w:rPr>
        <w:t>redacted table shows ICERs in the range of more than $200,000 per incremental cost/patient with hospitalisation for PAH worsening avoided at Year 2; more than $200,000 per i</w:t>
      </w:r>
      <w:r w:rsidR="00710030" w:rsidRPr="00710030">
        <w:rPr>
          <w:szCs w:val="22"/>
        </w:rPr>
        <w:t>ncremental cost / patient with increased WHO FC avoided at Year 2</w:t>
      </w:r>
      <w:r w:rsidR="00710030">
        <w:rPr>
          <w:szCs w:val="22"/>
        </w:rPr>
        <w:t>; $105,000 - $200,000 per i</w:t>
      </w:r>
      <w:r w:rsidR="00710030" w:rsidRPr="00710030">
        <w:rPr>
          <w:szCs w:val="22"/>
        </w:rPr>
        <w:t>ncremental cost / patient with signs/symptoms of RS heart failure avoided at Year 2</w:t>
      </w:r>
      <w:r w:rsidR="00710030">
        <w:rPr>
          <w:szCs w:val="22"/>
        </w:rPr>
        <w:t>; and $105,000 - $200,000 per i</w:t>
      </w:r>
      <w:r w:rsidR="00710030" w:rsidRPr="00710030">
        <w:rPr>
          <w:szCs w:val="22"/>
        </w:rPr>
        <w:t>ncremental cost / patient with ≥15% decrease in 6MWD avoided at Year 2</w:t>
      </w:r>
      <w:r w:rsidR="00710030">
        <w:rPr>
          <w:szCs w:val="22"/>
        </w:rPr>
        <w:t>.</w:t>
      </w:r>
    </w:p>
    <w:p w:rsidR="00052941" w:rsidRPr="009D41DF" w:rsidRDefault="00052941" w:rsidP="000634AC">
      <w:pPr>
        <w:widowControl/>
        <w:rPr>
          <w:szCs w:val="22"/>
        </w:rPr>
      </w:pPr>
    </w:p>
    <w:p w:rsidR="000634AC" w:rsidRPr="009D41DF" w:rsidRDefault="000634AC" w:rsidP="0074367D">
      <w:pPr>
        <w:pStyle w:val="ListParagraph"/>
        <w:widowControl/>
        <w:numPr>
          <w:ilvl w:val="1"/>
          <w:numId w:val="2"/>
        </w:numPr>
        <w:rPr>
          <w:szCs w:val="22"/>
        </w:rPr>
      </w:pPr>
      <w:r w:rsidRPr="009D41DF">
        <w:t xml:space="preserve">Using a similar approach to the previous submission, to assist in the interpretation of the ICERs, the </w:t>
      </w:r>
      <w:r w:rsidR="00F801E3">
        <w:t>resubmission</w:t>
      </w:r>
      <w:r w:rsidRPr="009D41DF">
        <w:t xml:space="preserve"> has presented the ICERs calculated for the same CHMP-defined endpoints for macitentan, which is an ERA listed on the PBS for PAH.</w:t>
      </w:r>
    </w:p>
    <w:p w:rsidR="000634AC" w:rsidRPr="009D41DF" w:rsidRDefault="000634AC" w:rsidP="00724DEF"/>
    <w:p w:rsidR="000634AC" w:rsidRPr="00147F9A" w:rsidRDefault="000634AC" w:rsidP="0074367D">
      <w:pPr>
        <w:pStyle w:val="ListParagraph"/>
        <w:widowControl/>
        <w:numPr>
          <w:ilvl w:val="1"/>
          <w:numId w:val="2"/>
        </w:numPr>
        <w:rPr>
          <w:szCs w:val="22"/>
        </w:rPr>
      </w:pPr>
      <w:r w:rsidRPr="009D41DF">
        <w:t xml:space="preserve">As CHMP-defined endpoints were not collected prospectively for macitentan in the SERAPHIN trial, the </w:t>
      </w:r>
      <w:r w:rsidR="00F801E3">
        <w:t>resubmission</w:t>
      </w:r>
      <w:r w:rsidRPr="009D41DF">
        <w:t xml:space="preserve"> needed to establish both signs/symptoms of right-sided heart failure and hospitalisations for PAH retrospectively from the study case report forms.</w:t>
      </w:r>
    </w:p>
    <w:p w:rsidR="000634AC" w:rsidRPr="00147F9A" w:rsidRDefault="000634AC" w:rsidP="000634AC">
      <w:pPr>
        <w:pStyle w:val="ListParagraph"/>
      </w:pPr>
    </w:p>
    <w:p w:rsidR="000634AC" w:rsidRPr="00147F9A" w:rsidRDefault="000634AC" w:rsidP="0074367D">
      <w:pPr>
        <w:pStyle w:val="ListParagraph"/>
        <w:widowControl/>
        <w:numPr>
          <w:ilvl w:val="1"/>
          <w:numId w:val="2"/>
        </w:numPr>
        <w:rPr>
          <w:szCs w:val="22"/>
        </w:rPr>
      </w:pPr>
      <w:r w:rsidRPr="00147F9A">
        <w:t xml:space="preserve">The </w:t>
      </w:r>
      <w:r w:rsidR="00F801E3" w:rsidRPr="00147F9A">
        <w:t>resubmission</w:t>
      </w:r>
      <w:r w:rsidRPr="00147F9A">
        <w:t xml:space="preserve"> presented the price for one month of macitentan as the only cost in the economic evaluation. </w:t>
      </w:r>
      <w:r w:rsidRPr="00147F9A">
        <w:rPr>
          <w:iCs/>
        </w:rPr>
        <w:t>The costs were re</w:t>
      </w:r>
      <w:r w:rsidR="00807688" w:rsidRPr="00147F9A">
        <w:rPr>
          <w:iCs/>
        </w:rPr>
        <w:t>-</w:t>
      </w:r>
      <w:r w:rsidRPr="00147F9A">
        <w:rPr>
          <w:iCs/>
        </w:rPr>
        <w:t>calculated during the evaluation to reflect the average duration of treatment in the macitentan trial truncated at 2 years.</w:t>
      </w:r>
    </w:p>
    <w:p w:rsidR="000634AC" w:rsidRPr="00147F9A" w:rsidRDefault="000634AC" w:rsidP="000634AC">
      <w:pPr>
        <w:pStyle w:val="ListParagraph"/>
        <w:rPr>
          <w:iCs/>
        </w:rPr>
      </w:pPr>
    </w:p>
    <w:p w:rsidR="00C64991" w:rsidRPr="00F21DEA" w:rsidRDefault="000634AC" w:rsidP="0074367D">
      <w:pPr>
        <w:pStyle w:val="ListParagraph"/>
        <w:widowControl/>
        <w:numPr>
          <w:ilvl w:val="1"/>
          <w:numId w:val="2"/>
        </w:numPr>
      </w:pPr>
      <w:r w:rsidRPr="00147F9A">
        <w:t xml:space="preserve">The </w:t>
      </w:r>
      <w:r w:rsidR="00F801E3" w:rsidRPr="00147F9A">
        <w:t>resubmission</w:t>
      </w:r>
      <w:r w:rsidRPr="00147F9A">
        <w:t xml:space="preserve"> estimated the hazard ratios for the time to CHMP-defined endpoints for the ITT population in the SERAPHIN trial. The ITT population contained patients with WHO FC I/II and the </w:t>
      </w:r>
      <w:r w:rsidR="00F801E3" w:rsidRPr="00147F9A">
        <w:t>resubmission</w:t>
      </w:r>
      <w:r w:rsidRPr="00147F9A">
        <w:t xml:space="preserve"> did not present the hazard ratios</w:t>
      </w:r>
      <w:r w:rsidR="00C64991" w:rsidRPr="00147F9A">
        <w:t xml:space="preserve"> for the WHO FC III/IV population. The number of </w:t>
      </w:r>
      <w:r w:rsidR="00EA78D2" w:rsidRPr="00147F9A">
        <w:t>patients with CHMP-defined</w:t>
      </w:r>
      <w:r w:rsidR="00EA78D2">
        <w:t xml:space="preserve"> </w:t>
      </w:r>
      <w:r w:rsidR="00C64991" w:rsidRPr="00F21DEA">
        <w:t xml:space="preserve">events at 2 years for macitentan in WHO FC III/IV with no background therapy (the PBS subsidised population) was estimated by multiplying the ITT hazard ratio for macitentan </w:t>
      </w:r>
      <w:r w:rsidR="00C64991" w:rsidRPr="00807688">
        <w:rPr>
          <w:i/>
        </w:rPr>
        <w:t>versus</w:t>
      </w:r>
      <w:r w:rsidR="00C64991" w:rsidRPr="00F21DEA">
        <w:t xml:space="preserve"> placebo in SERAPHIN with the event</w:t>
      </w:r>
      <w:r w:rsidR="00807688">
        <w:t xml:space="preserve"> rate</w:t>
      </w:r>
      <w:r w:rsidR="00C64991" w:rsidRPr="00F21DEA">
        <w:t xml:space="preserve"> in the placebo arm from GRIPHON in patients who were WHO FC III/IV and who were on no background therapy.</w:t>
      </w:r>
    </w:p>
    <w:p w:rsidR="00C64991" w:rsidRPr="00F21DEA" w:rsidRDefault="00C64991" w:rsidP="00C64991">
      <w:pPr>
        <w:pStyle w:val="ListParagraph"/>
      </w:pPr>
    </w:p>
    <w:p w:rsidR="00C64991" w:rsidRPr="00571A05" w:rsidRDefault="00385830" w:rsidP="00571A05">
      <w:pPr>
        <w:pStyle w:val="Caption"/>
        <w:keepNext/>
        <w:ind w:left="1531" w:hanging="822"/>
      </w:pPr>
      <w:r w:rsidRPr="00F21DEA">
        <w:t>Table 7</w:t>
      </w:r>
      <w:r w:rsidR="00C64991" w:rsidRPr="00F21DEA">
        <w:t xml:space="preserve">: Event rate estimates at 2 years in the WHO FC III/IV and </w:t>
      </w:r>
      <w:r w:rsidRPr="00F21DEA">
        <w:t>no treatment at baseline</w:t>
      </w:r>
      <w:r w:rsidR="00C64991" w:rsidRPr="00F21DEA">
        <w:t xml:space="preserve"> subgroup</w:t>
      </w:r>
    </w:p>
    <w:tbl>
      <w:tblPr>
        <w:tblW w:w="460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23"/>
        <w:gridCol w:w="1262"/>
        <w:gridCol w:w="1225"/>
        <w:gridCol w:w="1455"/>
        <w:gridCol w:w="1739"/>
      </w:tblGrid>
      <w:tr w:rsidR="00C64991" w:rsidRPr="00F21DEA" w:rsidTr="00D67A8A">
        <w:trPr>
          <w:tblHeader/>
        </w:trPr>
        <w:tc>
          <w:tcPr>
            <w:tcW w:w="2755" w:type="dxa"/>
            <w:shd w:val="clear" w:color="auto" w:fill="FFFFFF" w:themeFill="background1"/>
          </w:tcPr>
          <w:p w:rsidR="00C64991" w:rsidRPr="00F21DEA" w:rsidRDefault="00C64991" w:rsidP="00C64991">
            <w:pPr>
              <w:pStyle w:val="TableText0"/>
              <w:rPr>
                <w:b/>
              </w:rPr>
            </w:pPr>
            <w:r w:rsidRPr="00F21DEA">
              <w:rPr>
                <w:b/>
              </w:rPr>
              <w:t>CHMP endpoint</w:t>
            </w:r>
          </w:p>
        </w:tc>
        <w:tc>
          <w:tcPr>
            <w:tcW w:w="1231" w:type="dxa"/>
            <w:shd w:val="clear" w:color="auto" w:fill="FFFFFF" w:themeFill="background1"/>
          </w:tcPr>
          <w:p w:rsidR="00C64991" w:rsidRPr="00F21DEA" w:rsidRDefault="00C64991" w:rsidP="00C64991">
            <w:pPr>
              <w:pStyle w:val="TableText0"/>
              <w:jc w:val="center"/>
              <w:rPr>
                <w:b/>
              </w:rPr>
            </w:pPr>
            <w:r w:rsidRPr="00F21DEA">
              <w:rPr>
                <w:b/>
              </w:rPr>
              <w:t>Placebo</w:t>
            </w:r>
            <w:r w:rsidRPr="00F21DEA">
              <w:rPr>
                <w:b/>
                <w:vertAlign w:val="superscript"/>
              </w:rPr>
              <w:t>a</w:t>
            </w:r>
          </w:p>
        </w:tc>
        <w:tc>
          <w:tcPr>
            <w:tcW w:w="1195" w:type="dxa"/>
            <w:shd w:val="clear" w:color="auto" w:fill="FFFFFF" w:themeFill="background1"/>
          </w:tcPr>
          <w:p w:rsidR="00C64991" w:rsidRPr="00F21DEA" w:rsidRDefault="00C64991" w:rsidP="00C64991">
            <w:pPr>
              <w:pStyle w:val="TableText0"/>
              <w:jc w:val="center"/>
              <w:rPr>
                <w:b/>
              </w:rPr>
            </w:pPr>
            <w:r w:rsidRPr="00F21DEA">
              <w:rPr>
                <w:b/>
              </w:rPr>
              <w:t>ITT HR</w:t>
            </w:r>
            <w:r w:rsidRPr="00F21DEA">
              <w:rPr>
                <w:b/>
                <w:vertAlign w:val="superscript"/>
              </w:rPr>
              <w:t>b</w:t>
            </w:r>
          </w:p>
        </w:tc>
        <w:tc>
          <w:tcPr>
            <w:tcW w:w="1419" w:type="dxa"/>
            <w:shd w:val="clear" w:color="auto" w:fill="FFFFFF" w:themeFill="background1"/>
          </w:tcPr>
          <w:p w:rsidR="00C64991" w:rsidRPr="00F21DEA" w:rsidRDefault="00C64991" w:rsidP="00C64991">
            <w:pPr>
              <w:pStyle w:val="TableText0"/>
              <w:jc w:val="center"/>
              <w:rPr>
                <w:b/>
              </w:rPr>
            </w:pPr>
            <w:r w:rsidRPr="00F21DEA">
              <w:rPr>
                <w:b/>
              </w:rPr>
              <w:t>Macitentan</w:t>
            </w:r>
            <w:r w:rsidRPr="00F21DEA">
              <w:rPr>
                <w:b/>
                <w:vertAlign w:val="superscript"/>
              </w:rPr>
              <w:t>c</w:t>
            </w:r>
          </w:p>
        </w:tc>
        <w:tc>
          <w:tcPr>
            <w:tcW w:w="1696" w:type="dxa"/>
            <w:shd w:val="clear" w:color="auto" w:fill="FFFFFF" w:themeFill="background1"/>
          </w:tcPr>
          <w:p w:rsidR="00C64991" w:rsidRPr="00F21DEA" w:rsidRDefault="00C64991" w:rsidP="00C64991">
            <w:pPr>
              <w:pStyle w:val="TableText0"/>
              <w:jc w:val="center"/>
              <w:rPr>
                <w:b/>
              </w:rPr>
            </w:pPr>
            <w:r w:rsidRPr="00F21DEA">
              <w:rPr>
                <w:b/>
              </w:rPr>
              <w:t>Increment outcome</w:t>
            </w:r>
            <w:r w:rsidRPr="00F21DEA">
              <w:rPr>
                <w:b/>
                <w:vertAlign w:val="superscript"/>
              </w:rPr>
              <w:t>b</w:t>
            </w:r>
          </w:p>
        </w:tc>
      </w:tr>
      <w:tr w:rsidR="00C64991" w:rsidRPr="00F21DEA" w:rsidTr="00C64991">
        <w:tc>
          <w:tcPr>
            <w:tcW w:w="2755" w:type="dxa"/>
            <w:shd w:val="clear" w:color="auto" w:fill="FFFFFF" w:themeFill="background1"/>
          </w:tcPr>
          <w:p w:rsidR="00C64991" w:rsidRPr="00F21DEA" w:rsidRDefault="00C64991" w:rsidP="00C64991">
            <w:pPr>
              <w:pStyle w:val="TableText0"/>
            </w:pPr>
            <w:r w:rsidRPr="00F21DEA">
              <w:t>Hospitalisation for PAH worsening</w:t>
            </w:r>
          </w:p>
        </w:tc>
        <w:tc>
          <w:tcPr>
            <w:tcW w:w="1231" w:type="dxa"/>
            <w:shd w:val="clear" w:color="auto" w:fill="FFFFFF" w:themeFill="background1"/>
            <w:vAlign w:val="center"/>
          </w:tcPr>
          <w:p w:rsidR="00C64991" w:rsidRPr="00F21DEA" w:rsidRDefault="00DD2205" w:rsidP="00C64991">
            <w:pPr>
              <w:pStyle w:val="TableText0"/>
              <w:jc w:val="center"/>
            </w:pPr>
            <w:r>
              <w:rPr>
                <w:rFonts w:cs="Calibri"/>
                <w:noProof/>
                <w:color w:val="000000"/>
                <w:highlight w:val="black"/>
                <w:lang w:eastAsia="en-AU"/>
              </w:rPr>
              <w:t>'''''''''''</w:t>
            </w:r>
            <w:r w:rsidR="00C64991" w:rsidRPr="00F21DEA">
              <w:rPr>
                <w:rFonts w:cs="Calibri"/>
                <w:lang w:eastAsia="en-AU"/>
              </w:rPr>
              <w:t>%</w:t>
            </w:r>
          </w:p>
        </w:tc>
        <w:tc>
          <w:tcPr>
            <w:tcW w:w="1195" w:type="dxa"/>
            <w:shd w:val="clear" w:color="auto" w:fill="FFFFFF" w:themeFill="background1"/>
          </w:tcPr>
          <w:p w:rsidR="00C64991" w:rsidRPr="00DD2205" w:rsidRDefault="00DD2205" w:rsidP="00C64991">
            <w:pPr>
              <w:pStyle w:val="TableText0"/>
              <w:jc w:val="center"/>
              <w:rPr>
                <w:highlight w:val="black"/>
              </w:rPr>
            </w:pPr>
            <w:r>
              <w:rPr>
                <w:noProof/>
                <w:color w:val="000000"/>
                <w:highlight w:val="black"/>
              </w:rPr>
              <w:t>'''''''''''</w:t>
            </w:r>
          </w:p>
        </w:tc>
        <w:tc>
          <w:tcPr>
            <w:tcW w:w="1419" w:type="dxa"/>
            <w:shd w:val="clear" w:color="auto" w:fill="FFFFFF" w:themeFill="background1"/>
            <w:vAlign w:val="center"/>
          </w:tcPr>
          <w:p w:rsidR="00C64991" w:rsidRPr="00F21DEA" w:rsidRDefault="00DD2205" w:rsidP="00C64991">
            <w:pPr>
              <w:pStyle w:val="TableText0"/>
              <w:jc w:val="center"/>
            </w:pPr>
            <w:r>
              <w:rPr>
                <w:noProof/>
                <w:color w:val="000000"/>
                <w:highlight w:val="black"/>
              </w:rPr>
              <w:t>''''''''''</w:t>
            </w:r>
            <w:r w:rsidR="00C64991" w:rsidRPr="00F21DEA">
              <w:t>%</w:t>
            </w:r>
          </w:p>
        </w:tc>
        <w:tc>
          <w:tcPr>
            <w:tcW w:w="1696" w:type="dxa"/>
            <w:shd w:val="clear" w:color="auto" w:fill="FFFFFF" w:themeFill="background1"/>
            <w:vAlign w:val="center"/>
          </w:tcPr>
          <w:p w:rsidR="00C64991" w:rsidRPr="00F21DEA" w:rsidRDefault="00DD2205" w:rsidP="00C64991">
            <w:pPr>
              <w:pStyle w:val="TableText0"/>
              <w:jc w:val="center"/>
            </w:pPr>
            <w:r>
              <w:rPr>
                <w:noProof/>
                <w:color w:val="000000"/>
                <w:highlight w:val="black"/>
              </w:rPr>
              <w:t>''''''''''''</w:t>
            </w:r>
            <w:r w:rsidR="00C64991" w:rsidRPr="00F21DEA">
              <w:t>%</w:t>
            </w:r>
          </w:p>
        </w:tc>
      </w:tr>
      <w:tr w:rsidR="00C64991" w:rsidRPr="00F21DEA" w:rsidTr="00C64991">
        <w:tc>
          <w:tcPr>
            <w:tcW w:w="2755" w:type="dxa"/>
            <w:shd w:val="clear" w:color="auto" w:fill="FFFFFF" w:themeFill="background1"/>
          </w:tcPr>
          <w:p w:rsidR="00C64991" w:rsidRPr="00F21DEA" w:rsidRDefault="00C64991" w:rsidP="00C64991">
            <w:pPr>
              <w:pStyle w:val="TableText0"/>
            </w:pPr>
            <w:r w:rsidRPr="00F21DEA">
              <w:t>Increase in FC</w:t>
            </w:r>
          </w:p>
        </w:tc>
        <w:tc>
          <w:tcPr>
            <w:tcW w:w="1231" w:type="dxa"/>
            <w:shd w:val="clear" w:color="auto" w:fill="FFFFFF" w:themeFill="background1"/>
            <w:vAlign w:val="center"/>
          </w:tcPr>
          <w:p w:rsidR="00C64991" w:rsidRPr="00F21DEA" w:rsidRDefault="00DD2205" w:rsidP="00C64991">
            <w:pPr>
              <w:pStyle w:val="TableText0"/>
              <w:jc w:val="center"/>
            </w:pPr>
            <w:r>
              <w:rPr>
                <w:rFonts w:cs="Calibri"/>
                <w:noProof/>
                <w:color w:val="000000"/>
                <w:highlight w:val="black"/>
                <w:lang w:eastAsia="en-AU"/>
              </w:rPr>
              <w:t>''''''''''</w:t>
            </w:r>
            <w:r w:rsidR="00C64991" w:rsidRPr="00F21DEA">
              <w:rPr>
                <w:rFonts w:cs="Calibri"/>
                <w:lang w:eastAsia="en-AU"/>
              </w:rPr>
              <w:t>%</w:t>
            </w:r>
          </w:p>
        </w:tc>
        <w:tc>
          <w:tcPr>
            <w:tcW w:w="1195" w:type="dxa"/>
            <w:shd w:val="clear" w:color="auto" w:fill="FFFFFF" w:themeFill="background1"/>
          </w:tcPr>
          <w:p w:rsidR="00C64991" w:rsidRPr="00DD2205" w:rsidRDefault="00DD2205" w:rsidP="00C64991">
            <w:pPr>
              <w:pStyle w:val="TableText0"/>
              <w:jc w:val="center"/>
              <w:rPr>
                <w:highlight w:val="black"/>
              </w:rPr>
            </w:pPr>
            <w:r>
              <w:rPr>
                <w:noProof/>
                <w:color w:val="000000"/>
                <w:highlight w:val="black"/>
              </w:rPr>
              <w:t>''''''''''''</w:t>
            </w:r>
          </w:p>
        </w:tc>
        <w:tc>
          <w:tcPr>
            <w:tcW w:w="1419" w:type="dxa"/>
            <w:shd w:val="clear" w:color="auto" w:fill="FFFFFF" w:themeFill="background1"/>
            <w:vAlign w:val="center"/>
          </w:tcPr>
          <w:p w:rsidR="00C64991" w:rsidRPr="00F21DEA" w:rsidRDefault="00DD2205" w:rsidP="00C64991">
            <w:pPr>
              <w:pStyle w:val="TableText0"/>
              <w:jc w:val="center"/>
              <w:rPr>
                <w:i/>
                <w:iCs/>
              </w:rPr>
            </w:pPr>
            <w:r>
              <w:rPr>
                <w:noProof/>
                <w:color w:val="000000"/>
                <w:highlight w:val="black"/>
              </w:rPr>
              <w:t>''''''''''</w:t>
            </w:r>
            <w:r w:rsidR="00C64991" w:rsidRPr="00F21DEA">
              <w:t>%</w:t>
            </w:r>
          </w:p>
        </w:tc>
        <w:tc>
          <w:tcPr>
            <w:tcW w:w="1696" w:type="dxa"/>
            <w:shd w:val="clear" w:color="auto" w:fill="FFFFFF" w:themeFill="background1"/>
            <w:vAlign w:val="center"/>
          </w:tcPr>
          <w:p w:rsidR="00C64991" w:rsidRPr="00F21DEA" w:rsidRDefault="00DD2205" w:rsidP="00C64991">
            <w:pPr>
              <w:pStyle w:val="TableText0"/>
              <w:jc w:val="center"/>
            </w:pPr>
            <w:r>
              <w:rPr>
                <w:noProof/>
                <w:color w:val="000000"/>
                <w:highlight w:val="black"/>
              </w:rPr>
              <w:t>'''''''''''''</w:t>
            </w:r>
            <w:r w:rsidR="00C64991" w:rsidRPr="00F21DEA">
              <w:t>%</w:t>
            </w:r>
          </w:p>
        </w:tc>
      </w:tr>
      <w:tr w:rsidR="00C64991" w:rsidRPr="00F21DEA" w:rsidTr="00C64991">
        <w:tc>
          <w:tcPr>
            <w:tcW w:w="2755" w:type="dxa"/>
            <w:shd w:val="clear" w:color="auto" w:fill="FFFFFF" w:themeFill="background1"/>
          </w:tcPr>
          <w:p w:rsidR="00C64991" w:rsidRPr="00F21DEA" w:rsidRDefault="00C64991" w:rsidP="00C64991">
            <w:pPr>
              <w:pStyle w:val="TableText0"/>
            </w:pPr>
            <w:r w:rsidRPr="00F21DEA">
              <w:t>Signs / symptoms of right-sided heart failure</w:t>
            </w:r>
          </w:p>
        </w:tc>
        <w:tc>
          <w:tcPr>
            <w:tcW w:w="1231" w:type="dxa"/>
            <w:shd w:val="clear" w:color="auto" w:fill="FFFFFF" w:themeFill="background1"/>
            <w:vAlign w:val="center"/>
          </w:tcPr>
          <w:p w:rsidR="00C64991" w:rsidRPr="00F21DEA" w:rsidRDefault="00DD2205" w:rsidP="00C64991">
            <w:pPr>
              <w:pStyle w:val="TableText0"/>
              <w:jc w:val="center"/>
            </w:pPr>
            <w:r>
              <w:rPr>
                <w:rFonts w:cs="Calibri"/>
                <w:noProof/>
                <w:color w:val="000000"/>
                <w:highlight w:val="black"/>
                <w:lang w:eastAsia="en-AU"/>
              </w:rPr>
              <w:t>'''''''''''</w:t>
            </w:r>
            <w:r w:rsidR="00C64991" w:rsidRPr="00F21DEA">
              <w:rPr>
                <w:rFonts w:cs="Calibri"/>
                <w:lang w:eastAsia="en-AU"/>
              </w:rPr>
              <w:t>%</w:t>
            </w:r>
          </w:p>
        </w:tc>
        <w:tc>
          <w:tcPr>
            <w:tcW w:w="1195" w:type="dxa"/>
            <w:shd w:val="clear" w:color="auto" w:fill="FFFFFF" w:themeFill="background1"/>
          </w:tcPr>
          <w:p w:rsidR="00C64991" w:rsidRPr="00DD2205" w:rsidRDefault="00DD2205" w:rsidP="00C64991">
            <w:pPr>
              <w:pStyle w:val="TableText0"/>
              <w:jc w:val="center"/>
              <w:rPr>
                <w:highlight w:val="black"/>
              </w:rPr>
            </w:pPr>
            <w:r>
              <w:rPr>
                <w:noProof/>
                <w:color w:val="000000"/>
                <w:highlight w:val="black"/>
              </w:rPr>
              <w:t>''''''''''''</w:t>
            </w:r>
          </w:p>
        </w:tc>
        <w:tc>
          <w:tcPr>
            <w:tcW w:w="1419" w:type="dxa"/>
            <w:shd w:val="clear" w:color="auto" w:fill="FFFFFF" w:themeFill="background1"/>
            <w:vAlign w:val="center"/>
          </w:tcPr>
          <w:p w:rsidR="00C64991" w:rsidRPr="00F21DEA" w:rsidRDefault="00DD2205" w:rsidP="00C64991">
            <w:pPr>
              <w:pStyle w:val="TableText0"/>
              <w:jc w:val="center"/>
              <w:rPr>
                <w:i/>
                <w:iCs/>
              </w:rPr>
            </w:pPr>
            <w:r>
              <w:rPr>
                <w:noProof/>
                <w:color w:val="000000"/>
                <w:highlight w:val="black"/>
              </w:rPr>
              <w:t>''''''''''</w:t>
            </w:r>
            <w:r w:rsidR="00C64991" w:rsidRPr="00F21DEA">
              <w:t>%</w:t>
            </w:r>
          </w:p>
        </w:tc>
        <w:tc>
          <w:tcPr>
            <w:tcW w:w="1696" w:type="dxa"/>
            <w:shd w:val="clear" w:color="auto" w:fill="FFFFFF" w:themeFill="background1"/>
            <w:vAlign w:val="center"/>
          </w:tcPr>
          <w:p w:rsidR="00C64991" w:rsidRPr="00F21DEA" w:rsidRDefault="00DD2205" w:rsidP="00C64991">
            <w:pPr>
              <w:pStyle w:val="TableText0"/>
              <w:jc w:val="center"/>
            </w:pPr>
            <w:r>
              <w:rPr>
                <w:noProof/>
                <w:color w:val="000000"/>
                <w:highlight w:val="black"/>
              </w:rPr>
              <w:t>'''''''''''</w:t>
            </w:r>
            <w:r w:rsidR="00C64991" w:rsidRPr="00F21DEA">
              <w:t>%</w:t>
            </w:r>
          </w:p>
        </w:tc>
      </w:tr>
      <w:tr w:rsidR="00C64991" w:rsidRPr="00F21DEA" w:rsidTr="00C64991">
        <w:tc>
          <w:tcPr>
            <w:tcW w:w="2755" w:type="dxa"/>
            <w:shd w:val="clear" w:color="auto" w:fill="FFFFFF" w:themeFill="background1"/>
          </w:tcPr>
          <w:p w:rsidR="00C64991" w:rsidRPr="00F21DEA" w:rsidRDefault="00C64991" w:rsidP="00C64991">
            <w:pPr>
              <w:pStyle w:val="TableText0"/>
            </w:pPr>
            <w:r w:rsidRPr="00F21DEA">
              <w:t>≥ 15% decrease in 6MWD</w:t>
            </w:r>
          </w:p>
        </w:tc>
        <w:tc>
          <w:tcPr>
            <w:tcW w:w="1231" w:type="dxa"/>
            <w:shd w:val="clear" w:color="auto" w:fill="FFFFFF" w:themeFill="background1"/>
            <w:vAlign w:val="center"/>
          </w:tcPr>
          <w:p w:rsidR="00C64991" w:rsidRPr="00F21DEA" w:rsidRDefault="00DD2205" w:rsidP="00C64991">
            <w:pPr>
              <w:pStyle w:val="TableText0"/>
              <w:jc w:val="center"/>
            </w:pPr>
            <w:r>
              <w:rPr>
                <w:rFonts w:cs="Calibri"/>
                <w:noProof/>
                <w:color w:val="000000"/>
                <w:highlight w:val="black"/>
                <w:lang w:eastAsia="en-AU"/>
              </w:rPr>
              <w:t>''''''''''''</w:t>
            </w:r>
            <w:r w:rsidR="00C64991" w:rsidRPr="00F21DEA">
              <w:rPr>
                <w:rFonts w:cs="Calibri"/>
                <w:lang w:eastAsia="en-AU"/>
              </w:rPr>
              <w:t>%</w:t>
            </w:r>
          </w:p>
        </w:tc>
        <w:tc>
          <w:tcPr>
            <w:tcW w:w="1195" w:type="dxa"/>
            <w:shd w:val="clear" w:color="auto" w:fill="FFFFFF" w:themeFill="background1"/>
          </w:tcPr>
          <w:p w:rsidR="00C64991" w:rsidRPr="00DD2205" w:rsidRDefault="00DD2205" w:rsidP="00C64991">
            <w:pPr>
              <w:pStyle w:val="TableText0"/>
              <w:jc w:val="center"/>
              <w:rPr>
                <w:highlight w:val="black"/>
              </w:rPr>
            </w:pPr>
            <w:r>
              <w:rPr>
                <w:noProof/>
                <w:color w:val="000000"/>
                <w:highlight w:val="black"/>
              </w:rPr>
              <w:t>'''''''''''</w:t>
            </w:r>
          </w:p>
        </w:tc>
        <w:tc>
          <w:tcPr>
            <w:tcW w:w="1419" w:type="dxa"/>
            <w:shd w:val="clear" w:color="auto" w:fill="FFFFFF" w:themeFill="background1"/>
            <w:vAlign w:val="center"/>
          </w:tcPr>
          <w:p w:rsidR="00C64991" w:rsidRPr="00F21DEA" w:rsidRDefault="00DD2205" w:rsidP="00C64991">
            <w:pPr>
              <w:pStyle w:val="TableText0"/>
              <w:jc w:val="center"/>
              <w:rPr>
                <w:i/>
                <w:iCs/>
              </w:rPr>
            </w:pPr>
            <w:r>
              <w:rPr>
                <w:noProof/>
                <w:color w:val="000000"/>
                <w:highlight w:val="black"/>
              </w:rPr>
              <w:t>''''''''''</w:t>
            </w:r>
            <w:r w:rsidR="00C64991" w:rsidRPr="00F21DEA">
              <w:t>%</w:t>
            </w:r>
          </w:p>
        </w:tc>
        <w:tc>
          <w:tcPr>
            <w:tcW w:w="1696" w:type="dxa"/>
            <w:shd w:val="clear" w:color="auto" w:fill="FFFFFF" w:themeFill="background1"/>
            <w:vAlign w:val="center"/>
          </w:tcPr>
          <w:p w:rsidR="00C64991" w:rsidRPr="00F21DEA" w:rsidRDefault="00DD2205" w:rsidP="00C64991">
            <w:pPr>
              <w:pStyle w:val="TableText0"/>
              <w:jc w:val="center"/>
            </w:pPr>
            <w:r>
              <w:rPr>
                <w:noProof/>
                <w:color w:val="000000"/>
                <w:highlight w:val="black"/>
              </w:rPr>
              <w:t>'''''''''''</w:t>
            </w:r>
            <w:r w:rsidR="00C64991" w:rsidRPr="00F21DEA">
              <w:t>%</w:t>
            </w:r>
          </w:p>
        </w:tc>
      </w:tr>
    </w:tbl>
    <w:p w:rsidR="00C64991" w:rsidRPr="00F21DEA" w:rsidRDefault="00C64991" w:rsidP="00C64991">
      <w:pPr>
        <w:pStyle w:val="TableFooter"/>
        <w:ind w:left="709"/>
      </w:pPr>
      <w:r w:rsidRPr="00F21DEA">
        <w:t>6MWD = 6-minute walk distance; CHMP = Committee for Medicinal Products for Human Use; FC = functional class; PAH = pulmonary arterial hypertension</w:t>
      </w:r>
    </w:p>
    <w:p w:rsidR="00C64991" w:rsidRPr="005D100E" w:rsidRDefault="00C64991" w:rsidP="00C64991">
      <w:pPr>
        <w:pStyle w:val="TableFooter"/>
        <w:ind w:left="709"/>
      </w:pPr>
      <w:r w:rsidRPr="00F21DEA">
        <w:rPr>
          <w:vertAlign w:val="superscript"/>
        </w:rPr>
        <w:t>a</w:t>
      </w:r>
      <w:r w:rsidRPr="00F21DEA">
        <w:t xml:space="preserve"> Baseline rates of individual CHMP component events were sourced from the subgroup of PAH FC III/IV, no background therapy in </w:t>
      </w:r>
      <w:r w:rsidRPr="005D100E">
        <w:t>the placebo arm of the GRIPHON trial</w:t>
      </w:r>
    </w:p>
    <w:p w:rsidR="00C64991" w:rsidRPr="00F21DEA" w:rsidRDefault="00C64991" w:rsidP="00C64991">
      <w:pPr>
        <w:pStyle w:val="TableFooter"/>
        <w:ind w:left="709"/>
      </w:pPr>
      <w:r w:rsidRPr="005D100E">
        <w:rPr>
          <w:vertAlign w:val="superscript"/>
        </w:rPr>
        <w:t>b</w:t>
      </w:r>
      <w:r w:rsidRPr="005D100E">
        <w:t xml:space="preserve"> Macitentan versus</w:t>
      </w:r>
      <w:r w:rsidRPr="00F21DEA">
        <w:t xml:space="preserve"> Placebo</w:t>
      </w:r>
    </w:p>
    <w:p w:rsidR="00C64991" w:rsidRPr="00F21DEA" w:rsidRDefault="00C64991" w:rsidP="00C64991">
      <w:pPr>
        <w:pStyle w:val="TableFooter"/>
        <w:ind w:left="709"/>
        <w:rPr>
          <w:i/>
          <w:iCs/>
        </w:rPr>
      </w:pPr>
      <w:r w:rsidRPr="00F21DEA">
        <w:rPr>
          <w:vertAlign w:val="superscript"/>
        </w:rPr>
        <w:t>c</w:t>
      </w:r>
      <w:r w:rsidRPr="00F21DEA">
        <w:t xml:space="preserve"> Derived by multiplying the HRs for the ITT population in SERAPHIN to the respective baseline rate in the placebo arm. </w:t>
      </w:r>
    </w:p>
    <w:p w:rsidR="00C64991" w:rsidRPr="00817A79" w:rsidRDefault="00C64991" w:rsidP="00C64991">
      <w:pPr>
        <w:pStyle w:val="TableFooter"/>
        <w:ind w:left="709"/>
        <w:rPr>
          <w:iCs/>
        </w:rPr>
      </w:pPr>
      <w:r w:rsidRPr="00817A79">
        <w:rPr>
          <w:iCs/>
        </w:rPr>
        <w:t xml:space="preserve">Source: Table 22, p63 of the </w:t>
      </w:r>
      <w:r w:rsidR="00F801E3">
        <w:rPr>
          <w:iCs/>
        </w:rPr>
        <w:t>resubmission</w:t>
      </w:r>
    </w:p>
    <w:p w:rsidR="00C64991" w:rsidRPr="00F21DEA" w:rsidRDefault="00C64991" w:rsidP="00C64991">
      <w:pPr>
        <w:pStyle w:val="ListParagraph"/>
      </w:pPr>
    </w:p>
    <w:p w:rsidR="009D41DF" w:rsidRPr="005D100E" w:rsidRDefault="00C64991" w:rsidP="0074367D">
      <w:pPr>
        <w:pStyle w:val="ListParagraph"/>
        <w:widowControl/>
        <w:numPr>
          <w:ilvl w:val="1"/>
          <w:numId w:val="2"/>
        </w:numPr>
        <w:rPr>
          <w:iCs/>
        </w:rPr>
      </w:pPr>
      <w:r w:rsidRPr="00147F9A">
        <w:rPr>
          <w:iCs/>
        </w:rPr>
        <w:t xml:space="preserve">The </w:t>
      </w:r>
      <w:r w:rsidR="00F801E3" w:rsidRPr="00147F9A">
        <w:rPr>
          <w:iCs/>
        </w:rPr>
        <w:t>resubmission</w:t>
      </w:r>
      <w:r w:rsidRPr="00147F9A">
        <w:rPr>
          <w:iCs/>
        </w:rPr>
        <w:t xml:space="preserve"> did </w:t>
      </w:r>
      <w:r w:rsidRPr="005D100E">
        <w:rPr>
          <w:iCs/>
        </w:rPr>
        <w:t xml:space="preserve">not provide any subgroup analyses to determine whether the hazard ratio for each endpoint was consistent across subgroups (WHO FC I/II versus III/IV). The use of the baseline rate from the GRIPHON trial rather than the SERAPHIN trial was not </w:t>
      </w:r>
      <w:r w:rsidR="00B01BA3" w:rsidRPr="005D100E">
        <w:rPr>
          <w:iCs/>
        </w:rPr>
        <w:t xml:space="preserve">adequately </w:t>
      </w:r>
      <w:r w:rsidRPr="005D100E">
        <w:rPr>
          <w:iCs/>
        </w:rPr>
        <w:t>justified.</w:t>
      </w:r>
    </w:p>
    <w:p w:rsidR="00385830" w:rsidRPr="005D100E" w:rsidRDefault="00385830" w:rsidP="00385830">
      <w:pPr>
        <w:widowControl/>
        <w:rPr>
          <w:iCs/>
        </w:rPr>
      </w:pPr>
    </w:p>
    <w:p w:rsidR="00C64991" w:rsidRPr="005D100E" w:rsidRDefault="00C64991" w:rsidP="0074367D">
      <w:pPr>
        <w:pStyle w:val="ListParagraph"/>
        <w:widowControl/>
        <w:numPr>
          <w:ilvl w:val="1"/>
          <w:numId w:val="2"/>
        </w:numPr>
        <w:rPr>
          <w:iCs/>
        </w:rPr>
      </w:pPr>
      <w:r w:rsidRPr="005D100E">
        <w:rPr>
          <w:iCs/>
        </w:rPr>
        <w:t xml:space="preserve">The GRIPHON trial and </w:t>
      </w:r>
      <w:r w:rsidR="00817A79" w:rsidRPr="005D100E">
        <w:rPr>
          <w:iCs/>
        </w:rPr>
        <w:t xml:space="preserve">the </w:t>
      </w:r>
      <w:r w:rsidRPr="005D100E">
        <w:rPr>
          <w:iCs/>
        </w:rPr>
        <w:t xml:space="preserve">SERAPHIN trial </w:t>
      </w:r>
      <w:r w:rsidR="00817A79" w:rsidRPr="005D100E">
        <w:rPr>
          <w:iCs/>
        </w:rPr>
        <w:t xml:space="preserve">were </w:t>
      </w:r>
      <w:r w:rsidRPr="005D100E">
        <w:rPr>
          <w:iCs/>
        </w:rPr>
        <w:t>differen</w:t>
      </w:r>
      <w:r w:rsidR="00817A79" w:rsidRPr="005D100E">
        <w:rPr>
          <w:iCs/>
        </w:rPr>
        <w:t>t</w:t>
      </w:r>
      <w:r w:rsidRPr="005D100E">
        <w:rPr>
          <w:iCs/>
        </w:rPr>
        <w:t xml:space="preserve"> in a number of factors that may cause heterogeneity of comparative treatment effects. </w:t>
      </w:r>
      <w:r w:rsidR="00385830" w:rsidRPr="005D100E">
        <w:rPr>
          <w:iCs/>
        </w:rPr>
        <w:t xml:space="preserve">It is </w:t>
      </w:r>
      <w:r w:rsidR="00A939DD">
        <w:rPr>
          <w:iCs/>
        </w:rPr>
        <w:t>doubtful that</w:t>
      </w:r>
      <w:r w:rsidR="00385830" w:rsidRPr="005D100E">
        <w:rPr>
          <w:iCs/>
        </w:rPr>
        <w:t xml:space="preserve"> the application of a hazard ratio derived in the macitentan trial to the baseline risk in the selexipag trial is appropriate.</w:t>
      </w:r>
    </w:p>
    <w:p w:rsidR="00385830" w:rsidRPr="00147F9A" w:rsidRDefault="00385830" w:rsidP="00385830">
      <w:pPr>
        <w:rPr>
          <w:iCs/>
        </w:rPr>
      </w:pPr>
    </w:p>
    <w:p w:rsidR="00385830" w:rsidRPr="005D100E" w:rsidRDefault="00385830" w:rsidP="00B71595">
      <w:pPr>
        <w:pStyle w:val="Caption"/>
        <w:ind w:left="709"/>
      </w:pPr>
      <w:r>
        <w:t>Table 8</w:t>
      </w:r>
      <w:r w:rsidRPr="005D100E">
        <w:t xml:space="preserve">: Results of the economic evaluation for macitentan versus placebo </w:t>
      </w:r>
      <w:r w:rsidR="00817A79" w:rsidRPr="005D100E">
        <w:t>as monotherapy for patients with WHO FC III or IV PAH</w:t>
      </w:r>
    </w:p>
    <w:tbl>
      <w:tblPr>
        <w:tblW w:w="4600" w:type="pct"/>
        <w:tblInd w:w="737"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1E0" w:firstRow="1" w:lastRow="1" w:firstColumn="1" w:lastColumn="1" w:noHBand="0" w:noVBand="0"/>
      </w:tblPr>
      <w:tblGrid>
        <w:gridCol w:w="4392"/>
        <w:gridCol w:w="1287"/>
        <w:gridCol w:w="1283"/>
        <w:gridCol w:w="1394"/>
      </w:tblGrid>
      <w:tr w:rsidR="00385830" w:rsidRPr="005D100E" w:rsidTr="00D67A8A">
        <w:tc>
          <w:tcPr>
            <w:tcW w:w="2628" w:type="pct"/>
            <w:tcBorders>
              <w:bottom w:val="double" w:sz="4" w:space="0" w:color="auto"/>
            </w:tcBorders>
            <w:hideMark/>
          </w:tcPr>
          <w:p w:rsidR="00385830" w:rsidRPr="005D100E" w:rsidRDefault="00385830" w:rsidP="00D67A8A">
            <w:pPr>
              <w:rPr>
                <w:rFonts w:ascii="Arial Narrow" w:hAnsi="Arial Narrow"/>
                <w:b/>
                <w:sz w:val="20"/>
              </w:rPr>
            </w:pPr>
          </w:p>
        </w:tc>
        <w:tc>
          <w:tcPr>
            <w:tcW w:w="770" w:type="pct"/>
            <w:tcBorders>
              <w:bottom w:val="double" w:sz="4" w:space="0" w:color="auto"/>
            </w:tcBorders>
            <w:hideMark/>
          </w:tcPr>
          <w:p w:rsidR="00385830" w:rsidRPr="005D100E" w:rsidRDefault="00385830" w:rsidP="00D67A8A">
            <w:pPr>
              <w:jc w:val="center"/>
              <w:rPr>
                <w:rFonts w:ascii="Arial Narrow" w:hAnsi="Arial Narrow"/>
                <w:b/>
                <w:sz w:val="20"/>
              </w:rPr>
            </w:pPr>
            <w:r w:rsidRPr="005D100E">
              <w:rPr>
                <w:rFonts w:ascii="Arial Narrow" w:hAnsi="Arial Narrow"/>
                <w:b/>
                <w:sz w:val="20"/>
              </w:rPr>
              <w:t>Macitentan</w:t>
            </w:r>
          </w:p>
        </w:tc>
        <w:tc>
          <w:tcPr>
            <w:tcW w:w="768" w:type="pct"/>
            <w:tcBorders>
              <w:bottom w:val="double" w:sz="4" w:space="0" w:color="auto"/>
            </w:tcBorders>
            <w:hideMark/>
          </w:tcPr>
          <w:p w:rsidR="00385830" w:rsidRPr="005D100E" w:rsidRDefault="00385830" w:rsidP="00D67A8A">
            <w:pPr>
              <w:jc w:val="center"/>
              <w:rPr>
                <w:rFonts w:ascii="Arial Narrow" w:hAnsi="Arial Narrow"/>
                <w:b/>
                <w:sz w:val="20"/>
              </w:rPr>
            </w:pPr>
            <w:r w:rsidRPr="005D100E">
              <w:rPr>
                <w:rFonts w:ascii="Arial Narrow" w:hAnsi="Arial Narrow"/>
                <w:b/>
                <w:sz w:val="20"/>
              </w:rPr>
              <w:t xml:space="preserve">Placebo </w:t>
            </w:r>
          </w:p>
        </w:tc>
        <w:tc>
          <w:tcPr>
            <w:tcW w:w="834" w:type="pct"/>
            <w:tcBorders>
              <w:bottom w:val="double" w:sz="4" w:space="0" w:color="auto"/>
            </w:tcBorders>
            <w:hideMark/>
          </w:tcPr>
          <w:p w:rsidR="00385830" w:rsidRPr="005D100E" w:rsidRDefault="00385830" w:rsidP="00D67A8A">
            <w:pPr>
              <w:jc w:val="center"/>
              <w:rPr>
                <w:rFonts w:ascii="Arial Narrow" w:hAnsi="Arial Narrow"/>
                <w:b/>
                <w:sz w:val="20"/>
              </w:rPr>
            </w:pPr>
            <w:r w:rsidRPr="005D100E">
              <w:rPr>
                <w:rFonts w:ascii="Arial Narrow" w:hAnsi="Arial Narrow"/>
                <w:b/>
                <w:sz w:val="20"/>
              </w:rPr>
              <w:t>Increment</w:t>
            </w:r>
          </w:p>
        </w:tc>
      </w:tr>
      <w:tr w:rsidR="00385830" w:rsidRPr="005D100E" w:rsidTr="00D67A8A">
        <w:tc>
          <w:tcPr>
            <w:tcW w:w="2628" w:type="pct"/>
            <w:tcBorders>
              <w:top w:val="double" w:sz="4" w:space="0" w:color="auto"/>
              <w:bottom w:val="single" w:sz="4" w:space="0" w:color="auto"/>
            </w:tcBorders>
            <w:hideMark/>
          </w:tcPr>
          <w:p w:rsidR="00385830" w:rsidRPr="005D100E" w:rsidRDefault="00385830" w:rsidP="00385830">
            <w:pPr>
              <w:rPr>
                <w:rFonts w:ascii="Arial Narrow" w:hAnsi="Arial Narrow"/>
                <w:sz w:val="20"/>
                <w:vertAlign w:val="superscript"/>
              </w:rPr>
            </w:pPr>
            <w:r w:rsidRPr="005D100E">
              <w:rPr>
                <w:rFonts w:ascii="Arial Narrow" w:hAnsi="Arial Narrow"/>
                <w:sz w:val="20"/>
              </w:rPr>
              <w:t>Costs</w:t>
            </w:r>
            <w:r w:rsidRPr="005D100E">
              <w:rPr>
                <w:rFonts w:ascii="Arial Narrow" w:hAnsi="Arial Narrow"/>
                <w:sz w:val="20"/>
                <w:vertAlign w:val="superscript"/>
              </w:rPr>
              <w:t>a</w:t>
            </w:r>
          </w:p>
        </w:tc>
        <w:tc>
          <w:tcPr>
            <w:tcW w:w="770" w:type="pct"/>
            <w:tcBorders>
              <w:top w:val="double" w:sz="4" w:space="0" w:color="auto"/>
              <w:bottom w:val="single" w:sz="4" w:space="0" w:color="auto"/>
            </w:tcBorders>
          </w:tcPr>
          <w:p w:rsidR="00385830" w:rsidRPr="005D100E" w:rsidRDefault="00385830" w:rsidP="00385830">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c>
          <w:tcPr>
            <w:tcW w:w="768" w:type="pct"/>
            <w:tcBorders>
              <w:top w:val="double" w:sz="4" w:space="0" w:color="auto"/>
              <w:bottom w:val="single" w:sz="4" w:space="0" w:color="auto"/>
            </w:tcBorders>
          </w:tcPr>
          <w:p w:rsidR="00385830" w:rsidRPr="005D100E" w:rsidRDefault="00385830" w:rsidP="00385830">
            <w:pPr>
              <w:jc w:val="center"/>
              <w:rPr>
                <w:rFonts w:ascii="Arial Narrow" w:hAnsi="Arial Narrow"/>
                <w:sz w:val="20"/>
              </w:rPr>
            </w:pPr>
            <w:r w:rsidRPr="005D100E">
              <w:rPr>
                <w:rFonts w:ascii="Arial Narrow" w:hAnsi="Arial Narrow"/>
                <w:sz w:val="20"/>
              </w:rPr>
              <w:t>$0</w:t>
            </w:r>
          </w:p>
        </w:tc>
        <w:tc>
          <w:tcPr>
            <w:tcW w:w="834" w:type="pct"/>
            <w:tcBorders>
              <w:top w:val="double" w:sz="4" w:space="0" w:color="auto"/>
              <w:bottom w:val="single" w:sz="4" w:space="0" w:color="auto"/>
            </w:tcBorders>
          </w:tcPr>
          <w:p w:rsidR="00385830" w:rsidRPr="005D100E" w:rsidRDefault="00385830" w:rsidP="00385830">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r>
      <w:tr w:rsidR="00385830" w:rsidRPr="005D100E" w:rsidTr="00D67A8A">
        <w:tc>
          <w:tcPr>
            <w:tcW w:w="2628" w:type="pct"/>
            <w:tcBorders>
              <w:top w:val="single" w:sz="4" w:space="0" w:color="auto"/>
              <w:bottom w:val="single" w:sz="4" w:space="0" w:color="auto"/>
            </w:tcBorders>
            <w:hideMark/>
          </w:tcPr>
          <w:p w:rsidR="00385830" w:rsidRPr="005D100E" w:rsidRDefault="00385830" w:rsidP="00385830">
            <w:pPr>
              <w:jc w:val="left"/>
              <w:rPr>
                <w:rFonts w:ascii="Arial Narrow" w:hAnsi="Arial Narrow"/>
                <w:sz w:val="20"/>
              </w:rPr>
            </w:pPr>
            <w:r w:rsidRPr="005D100E">
              <w:rPr>
                <w:rFonts w:ascii="Arial Narrow" w:hAnsi="Arial Narrow"/>
                <w:sz w:val="20"/>
              </w:rPr>
              <w:t>Proportion of patients with hospitalisation for PAH worsening at Year 2</w:t>
            </w:r>
          </w:p>
        </w:tc>
        <w:tc>
          <w:tcPr>
            <w:tcW w:w="770" w:type="pct"/>
            <w:tcBorders>
              <w:top w:val="single" w:sz="4" w:space="0" w:color="auto"/>
              <w:bottom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c>
          <w:tcPr>
            <w:tcW w:w="768" w:type="pct"/>
            <w:tcBorders>
              <w:top w:val="single" w:sz="4" w:space="0" w:color="auto"/>
              <w:bottom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c>
          <w:tcPr>
            <w:tcW w:w="834" w:type="pct"/>
            <w:tcBorders>
              <w:top w:val="single" w:sz="4" w:space="0" w:color="auto"/>
              <w:bottom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r>
      <w:tr w:rsidR="00385830" w:rsidRPr="005D100E" w:rsidTr="00D67A8A">
        <w:tc>
          <w:tcPr>
            <w:tcW w:w="4166" w:type="pct"/>
            <w:gridSpan w:val="3"/>
            <w:tcBorders>
              <w:top w:val="single" w:sz="4" w:space="0" w:color="auto"/>
              <w:bottom w:val="double" w:sz="4" w:space="0" w:color="auto"/>
            </w:tcBorders>
            <w:hideMark/>
          </w:tcPr>
          <w:p w:rsidR="00385830" w:rsidRPr="005D100E" w:rsidRDefault="00385830" w:rsidP="00D67A8A">
            <w:pPr>
              <w:rPr>
                <w:rFonts w:ascii="Arial Narrow" w:hAnsi="Arial Narrow"/>
                <w:b/>
                <w:sz w:val="20"/>
              </w:rPr>
            </w:pPr>
            <w:r w:rsidRPr="005D100E">
              <w:rPr>
                <w:rFonts w:ascii="Arial Narrow" w:hAnsi="Arial Narrow"/>
                <w:b/>
                <w:sz w:val="20"/>
              </w:rPr>
              <w:t>Incremental cost / patient with hospitalisation for PAH worsening</w:t>
            </w:r>
            <w:r w:rsidRPr="005D100E">
              <w:rPr>
                <w:rFonts w:ascii="Arial Narrow" w:hAnsi="Arial Narrow"/>
                <w:sz w:val="20"/>
              </w:rPr>
              <w:t xml:space="preserve"> </w:t>
            </w:r>
            <w:r w:rsidRPr="005D100E">
              <w:rPr>
                <w:rFonts w:ascii="Arial Narrow" w:hAnsi="Arial Narrow"/>
                <w:b/>
                <w:sz w:val="20"/>
              </w:rPr>
              <w:t>avoided at Year 2</w:t>
            </w:r>
          </w:p>
        </w:tc>
        <w:tc>
          <w:tcPr>
            <w:tcW w:w="834" w:type="pct"/>
            <w:tcBorders>
              <w:top w:val="single" w:sz="4" w:space="0" w:color="auto"/>
              <w:bottom w:val="double" w:sz="4" w:space="0" w:color="auto"/>
            </w:tcBorders>
            <w:vAlign w:val="center"/>
          </w:tcPr>
          <w:p w:rsidR="00385830" w:rsidRPr="005D100E" w:rsidRDefault="00385830" w:rsidP="00D67A8A">
            <w:pPr>
              <w:jc w:val="center"/>
              <w:rPr>
                <w:rFonts w:ascii="Arial Narrow" w:hAnsi="Arial Narrow"/>
                <w:b/>
                <w:sz w:val="20"/>
              </w:rPr>
            </w:pPr>
            <w:r w:rsidRPr="005D100E">
              <w:rPr>
                <w:rFonts w:ascii="Arial Narrow" w:hAnsi="Arial Narrow"/>
                <w:b/>
                <w:sz w:val="20"/>
              </w:rPr>
              <w:t>$</w:t>
            </w:r>
            <w:r w:rsidR="00DD2205">
              <w:rPr>
                <w:rFonts w:ascii="Arial Narrow" w:hAnsi="Arial Narrow"/>
                <w:b/>
                <w:noProof/>
                <w:color w:val="000000"/>
                <w:sz w:val="20"/>
                <w:highlight w:val="black"/>
              </w:rPr>
              <w:t>''''''''''''''''</w:t>
            </w:r>
          </w:p>
        </w:tc>
      </w:tr>
      <w:tr w:rsidR="00385830" w:rsidRPr="005D100E" w:rsidTr="00D67A8A">
        <w:tc>
          <w:tcPr>
            <w:tcW w:w="2628" w:type="pct"/>
            <w:tcBorders>
              <w:top w:val="double" w:sz="4" w:space="0" w:color="auto"/>
              <w:bottom w:val="single" w:sz="4" w:space="0" w:color="auto"/>
            </w:tcBorders>
            <w:hideMark/>
          </w:tcPr>
          <w:p w:rsidR="00385830" w:rsidRPr="005D100E" w:rsidRDefault="00385830" w:rsidP="00385830">
            <w:pPr>
              <w:rPr>
                <w:rFonts w:ascii="Arial Narrow" w:hAnsi="Arial Narrow"/>
                <w:sz w:val="20"/>
                <w:vertAlign w:val="superscript"/>
              </w:rPr>
            </w:pPr>
            <w:r w:rsidRPr="005D100E">
              <w:rPr>
                <w:rFonts w:ascii="Arial Narrow" w:hAnsi="Arial Narrow"/>
                <w:sz w:val="20"/>
              </w:rPr>
              <w:t>Costs</w:t>
            </w:r>
            <w:r w:rsidRPr="005D100E">
              <w:rPr>
                <w:rFonts w:ascii="Arial Narrow" w:hAnsi="Arial Narrow"/>
                <w:sz w:val="20"/>
                <w:vertAlign w:val="superscript"/>
              </w:rPr>
              <w:t>a</w:t>
            </w:r>
          </w:p>
        </w:tc>
        <w:tc>
          <w:tcPr>
            <w:tcW w:w="770" w:type="pct"/>
            <w:tcBorders>
              <w:top w:val="double" w:sz="4" w:space="0" w:color="auto"/>
              <w:bottom w:val="single" w:sz="4" w:space="0" w:color="auto"/>
            </w:tcBorders>
          </w:tcPr>
          <w:p w:rsidR="00385830" w:rsidRPr="005D100E" w:rsidRDefault="00385830" w:rsidP="00385830">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c>
          <w:tcPr>
            <w:tcW w:w="768" w:type="pct"/>
            <w:tcBorders>
              <w:top w:val="double" w:sz="4" w:space="0" w:color="auto"/>
              <w:bottom w:val="single" w:sz="4" w:space="0" w:color="auto"/>
            </w:tcBorders>
          </w:tcPr>
          <w:p w:rsidR="00385830" w:rsidRPr="005D100E" w:rsidRDefault="00385830" w:rsidP="00385830">
            <w:pPr>
              <w:jc w:val="center"/>
              <w:rPr>
                <w:rFonts w:ascii="Arial Narrow" w:hAnsi="Arial Narrow"/>
                <w:sz w:val="20"/>
              </w:rPr>
            </w:pPr>
            <w:r w:rsidRPr="005D100E">
              <w:rPr>
                <w:rFonts w:ascii="Arial Narrow" w:hAnsi="Arial Narrow"/>
                <w:sz w:val="20"/>
              </w:rPr>
              <w:t>$</w:t>
            </w:r>
            <w:r w:rsidRPr="00052941">
              <w:rPr>
                <w:rFonts w:ascii="Arial Narrow" w:hAnsi="Arial Narrow"/>
                <w:sz w:val="20"/>
              </w:rPr>
              <w:t>0</w:t>
            </w:r>
          </w:p>
        </w:tc>
        <w:tc>
          <w:tcPr>
            <w:tcW w:w="834" w:type="pct"/>
            <w:tcBorders>
              <w:top w:val="double" w:sz="4" w:space="0" w:color="auto"/>
              <w:bottom w:val="single" w:sz="4" w:space="0" w:color="auto"/>
            </w:tcBorders>
          </w:tcPr>
          <w:p w:rsidR="00385830" w:rsidRPr="005D100E" w:rsidRDefault="00385830" w:rsidP="00385830">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r>
      <w:tr w:rsidR="00385830" w:rsidRPr="005D100E" w:rsidTr="00D67A8A">
        <w:tc>
          <w:tcPr>
            <w:tcW w:w="2628" w:type="pct"/>
            <w:tcBorders>
              <w:top w:val="single" w:sz="4" w:space="0" w:color="auto"/>
              <w:bottom w:val="single" w:sz="4" w:space="0" w:color="auto"/>
              <w:right w:val="single" w:sz="4" w:space="0" w:color="auto"/>
            </w:tcBorders>
            <w:hideMark/>
          </w:tcPr>
          <w:p w:rsidR="00385830" w:rsidRPr="005D100E" w:rsidRDefault="00385830" w:rsidP="00385830">
            <w:pPr>
              <w:jc w:val="left"/>
              <w:rPr>
                <w:rFonts w:ascii="Arial Narrow" w:hAnsi="Arial Narrow"/>
                <w:sz w:val="20"/>
              </w:rPr>
            </w:pPr>
            <w:r w:rsidRPr="005D100E">
              <w:rPr>
                <w:rFonts w:ascii="Arial Narrow" w:hAnsi="Arial Narrow"/>
                <w:sz w:val="20"/>
              </w:rPr>
              <w:t>Proportion of patients with increased WHO FC at Year 2</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r>
      <w:tr w:rsidR="00385830" w:rsidRPr="005D100E" w:rsidTr="00D67A8A">
        <w:tc>
          <w:tcPr>
            <w:tcW w:w="4166" w:type="pct"/>
            <w:gridSpan w:val="3"/>
            <w:tcBorders>
              <w:top w:val="single" w:sz="4" w:space="0" w:color="auto"/>
              <w:bottom w:val="double" w:sz="4" w:space="0" w:color="auto"/>
            </w:tcBorders>
            <w:hideMark/>
          </w:tcPr>
          <w:p w:rsidR="00385830" w:rsidRPr="005D100E" w:rsidRDefault="00385830" w:rsidP="00D67A8A">
            <w:pPr>
              <w:rPr>
                <w:rFonts w:ascii="Arial Narrow" w:hAnsi="Arial Narrow"/>
                <w:b/>
                <w:sz w:val="20"/>
              </w:rPr>
            </w:pPr>
            <w:r w:rsidRPr="005D100E">
              <w:rPr>
                <w:rFonts w:ascii="Arial Narrow" w:hAnsi="Arial Narrow"/>
                <w:b/>
                <w:sz w:val="20"/>
              </w:rPr>
              <w:t>Incremental cost / patient with increased WHO FC avoided at Year 2</w:t>
            </w:r>
          </w:p>
        </w:tc>
        <w:tc>
          <w:tcPr>
            <w:tcW w:w="834" w:type="pct"/>
            <w:tcBorders>
              <w:top w:val="single" w:sz="4" w:space="0" w:color="auto"/>
              <w:bottom w:val="double" w:sz="4" w:space="0" w:color="auto"/>
            </w:tcBorders>
            <w:vAlign w:val="center"/>
          </w:tcPr>
          <w:p w:rsidR="00385830" w:rsidRPr="005D100E" w:rsidRDefault="00385830" w:rsidP="00D67A8A">
            <w:pPr>
              <w:jc w:val="center"/>
              <w:rPr>
                <w:rFonts w:ascii="Arial Narrow" w:hAnsi="Arial Narrow"/>
                <w:b/>
                <w:sz w:val="20"/>
              </w:rPr>
            </w:pPr>
            <w:r w:rsidRPr="005D100E">
              <w:rPr>
                <w:rFonts w:ascii="Arial Narrow" w:hAnsi="Arial Narrow"/>
                <w:b/>
                <w:sz w:val="20"/>
              </w:rPr>
              <w:t>$</w:t>
            </w:r>
            <w:r w:rsidR="00DD2205">
              <w:rPr>
                <w:rFonts w:ascii="Arial Narrow" w:hAnsi="Arial Narrow"/>
                <w:b/>
                <w:noProof/>
                <w:color w:val="000000"/>
                <w:sz w:val="20"/>
                <w:highlight w:val="black"/>
              </w:rPr>
              <w:t>'''''''''''''''''</w:t>
            </w:r>
          </w:p>
        </w:tc>
      </w:tr>
      <w:tr w:rsidR="00385830" w:rsidRPr="005D100E" w:rsidTr="00D67A8A">
        <w:tc>
          <w:tcPr>
            <w:tcW w:w="2628" w:type="pct"/>
            <w:tcBorders>
              <w:top w:val="double" w:sz="4" w:space="0" w:color="auto"/>
              <w:bottom w:val="single" w:sz="4" w:space="0" w:color="auto"/>
            </w:tcBorders>
            <w:hideMark/>
          </w:tcPr>
          <w:p w:rsidR="00385830" w:rsidRPr="005D100E" w:rsidRDefault="00385830" w:rsidP="00385830">
            <w:pPr>
              <w:rPr>
                <w:rFonts w:ascii="Arial Narrow" w:hAnsi="Arial Narrow"/>
                <w:sz w:val="20"/>
                <w:vertAlign w:val="superscript"/>
              </w:rPr>
            </w:pPr>
            <w:r w:rsidRPr="005D100E">
              <w:rPr>
                <w:rFonts w:ascii="Arial Narrow" w:hAnsi="Arial Narrow"/>
                <w:sz w:val="20"/>
              </w:rPr>
              <w:t>Costs</w:t>
            </w:r>
            <w:r w:rsidRPr="005D100E">
              <w:rPr>
                <w:rFonts w:ascii="Arial Narrow" w:hAnsi="Arial Narrow"/>
                <w:sz w:val="20"/>
                <w:vertAlign w:val="superscript"/>
              </w:rPr>
              <w:t>a</w:t>
            </w:r>
          </w:p>
        </w:tc>
        <w:tc>
          <w:tcPr>
            <w:tcW w:w="770" w:type="pct"/>
            <w:tcBorders>
              <w:top w:val="double" w:sz="4" w:space="0" w:color="auto"/>
              <w:bottom w:val="single" w:sz="4" w:space="0" w:color="auto"/>
            </w:tcBorders>
          </w:tcPr>
          <w:p w:rsidR="00385830" w:rsidRPr="005D100E" w:rsidRDefault="00385830" w:rsidP="00385830">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c>
          <w:tcPr>
            <w:tcW w:w="768" w:type="pct"/>
            <w:tcBorders>
              <w:top w:val="double" w:sz="4" w:space="0" w:color="auto"/>
              <w:bottom w:val="single" w:sz="4" w:space="0" w:color="auto"/>
            </w:tcBorders>
          </w:tcPr>
          <w:p w:rsidR="00385830" w:rsidRPr="005D100E" w:rsidRDefault="00385830" w:rsidP="00385830">
            <w:pPr>
              <w:jc w:val="center"/>
              <w:rPr>
                <w:rFonts w:ascii="Arial Narrow" w:hAnsi="Arial Narrow"/>
                <w:sz w:val="20"/>
              </w:rPr>
            </w:pPr>
            <w:r w:rsidRPr="00052941">
              <w:rPr>
                <w:rFonts w:ascii="Arial Narrow" w:hAnsi="Arial Narrow"/>
                <w:sz w:val="20"/>
              </w:rPr>
              <w:t>$0</w:t>
            </w:r>
          </w:p>
        </w:tc>
        <w:tc>
          <w:tcPr>
            <w:tcW w:w="834" w:type="pct"/>
            <w:tcBorders>
              <w:top w:val="double" w:sz="4" w:space="0" w:color="auto"/>
              <w:bottom w:val="single" w:sz="4" w:space="0" w:color="auto"/>
            </w:tcBorders>
          </w:tcPr>
          <w:p w:rsidR="00385830" w:rsidRPr="005D100E" w:rsidRDefault="00385830" w:rsidP="00385830">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r>
      <w:tr w:rsidR="00385830" w:rsidRPr="005D100E" w:rsidTr="00D67A8A">
        <w:tc>
          <w:tcPr>
            <w:tcW w:w="2628" w:type="pct"/>
            <w:tcBorders>
              <w:top w:val="single" w:sz="4" w:space="0" w:color="auto"/>
              <w:bottom w:val="single" w:sz="4" w:space="0" w:color="auto"/>
              <w:right w:val="single" w:sz="4" w:space="0" w:color="auto"/>
            </w:tcBorders>
            <w:hideMark/>
          </w:tcPr>
          <w:p w:rsidR="00385830" w:rsidRPr="005D100E" w:rsidRDefault="00385830" w:rsidP="00385830">
            <w:pPr>
              <w:jc w:val="left"/>
              <w:rPr>
                <w:rFonts w:ascii="Arial Narrow" w:hAnsi="Arial Narrow"/>
                <w:sz w:val="20"/>
              </w:rPr>
            </w:pPr>
            <w:r w:rsidRPr="005D100E">
              <w:rPr>
                <w:rFonts w:ascii="Arial Narrow" w:hAnsi="Arial Narrow"/>
                <w:sz w:val="20"/>
              </w:rPr>
              <w:t>Proportion of patients with signs/symptoms of right-sided heart failure at Year 2</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r>
      <w:tr w:rsidR="00385830" w:rsidRPr="005D100E" w:rsidTr="00D67A8A">
        <w:tc>
          <w:tcPr>
            <w:tcW w:w="4166" w:type="pct"/>
            <w:gridSpan w:val="3"/>
            <w:tcBorders>
              <w:top w:val="single" w:sz="4" w:space="0" w:color="auto"/>
              <w:bottom w:val="double" w:sz="4" w:space="0" w:color="auto"/>
            </w:tcBorders>
            <w:hideMark/>
          </w:tcPr>
          <w:p w:rsidR="00385830" w:rsidRPr="005D100E" w:rsidRDefault="00385830" w:rsidP="00D67A8A">
            <w:pPr>
              <w:rPr>
                <w:rFonts w:ascii="Arial Narrow" w:hAnsi="Arial Narrow"/>
                <w:b/>
                <w:sz w:val="20"/>
              </w:rPr>
            </w:pPr>
            <w:r w:rsidRPr="005D100E">
              <w:rPr>
                <w:rFonts w:ascii="Arial Narrow" w:hAnsi="Arial Narrow"/>
                <w:b/>
                <w:sz w:val="20"/>
              </w:rPr>
              <w:t>Incremental cost / patient with signs/symptoms of RS heart failure avoided at Year 2</w:t>
            </w:r>
          </w:p>
        </w:tc>
        <w:tc>
          <w:tcPr>
            <w:tcW w:w="834" w:type="pct"/>
            <w:tcBorders>
              <w:top w:val="single" w:sz="4" w:space="0" w:color="auto"/>
              <w:bottom w:val="double" w:sz="4" w:space="0" w:color="auto"/>
            </w:tcBorders>
            <w:vAlign w:val="center"/>
          </w:tcPr>
          <w:p w:rsidR="00385830" w:rsidRPr="005D100E" w:rsidRDefault="00385830" w:rsidP="00D67A8A">
            <w:pPr>
              <w:jc w:val="center"/>
              <w:rPr>
                <w:rFonts w:ascii="Arial Narrow" w:hAnsi="Arial Narrow"/>
                <w:b/>
                <w:sz w:val="20"/>
              </w:rPr>
            </w:pPr>
            <w:r w:rsidRPr="005D100E">
              <w:rPr>
                <w:rFonts w:ascii="Arial Narrow" w:hAnsi="Arial Narrow"/>
                <w:b/>
                <w:sz w:val="20"/>
              </w:rPr>
              <w:t>$</w:t>
            </w:r>
            <w:r w:rsidR="00DD2205">
              <w:rPr>
                <w:rFonts w:ascii="Arial Narrow" w:hAnsi="Arial Narrow"/>
                <w:b/>
                <w:noProof/>
                <w:color w:val="000000"/>
                <w:sz w:val="20"/>
                <w:highlight w:val="black"/>
              </w:rPr>
              <w:t>'''''''''''''''''</w:t>
            </w:r>
          </w:p>
        </w:tc>
      </w:tr>
      <w:tr w:rsidR="00385830" w:rsidRPr="005D100E" w:rsidTr="00D67A8A">
        <w:tc>
          <w:tcPr>
            <w:tcW w:w="2628" w:type="pct"/>
            <w:tcBorders>
              <w:top w:val="double" w:sz="4" w:space="0" w:color="auto"/>
              <w:bottom w:val="single" w:sz="4" w:space="0" w:color="auto"/>
            </w:tcBorders>
            <w:hideMark/>
          </w:tcPr>
          <w:p w:rsidR="00385830" w:rsidRPr="005D100E" w:rsidRDefault="00385830" w:rsidP="00385830">
            <w:pPr>
              <w:rPr>
                <w:rFonts w:ascii="Arial Narrow" w:hAnsi="Arial Narrow"/>
                <w:sz w:val="20"/>
                <w:vertAlign w:val="superscript"/>
              </w:rPr>
            </w:pPr>
            <w:r w:rsidRPr="005D100E">
              <w:rPr>
                <w:rFonts w:ascii="Arial Narrow" w:hAnsi="Arial Narrow"/>
                <w:sz w:val="20"/>
              </w:rPr>
              <w:t>Costs</w:t>
            </w:r>
            <w:r w:rsidRPr="005D100E">
              <w:rPr>
                <w:rFonts w:ascii="Arial Narrow" w:hAnsi="Arial Narrow"/>
                <w:sz w:val="20"/>
                <w:vertAlign w:val="superscript"/>
              </w:rPr>
              <w:t>a</w:t>
            </w:r>
          </w:p>
        </w:tc>
        <w:tc>
          <w:tcPr>
            <w:tcW w:w="770" w:type="pct"/>
            <w:tcBorders>
              <w:top w:val="double" w:sz="4" w:space="0" w:color="auto"/>
              <w:bottom w:val="single" w:sz="4" w:space="0" w:color="auto"/>
            </w:tcBorders>
          </w:tcPr>
          <w:p w:rsidR="00385830" w:rsidRPr="005D100E" w:rsidRDefault="00385830" w:rsidP="00385830">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c>
          <w:tcPr>
            <w:tcW w:w="768" w:type="pct"/>
            <w:tcBorders>
              <w:top w:val="double" w:sz="4" w:space="0" w:color="auto"/>
              <w:bottom w:val="single" w:sz="4" w:space="0" w:color="auto"/>
            </w:tcBorders>
          </w:tcPr>
          <w:p w:rsidR="00385830" w:rsidRPr="005D100E" w:rsidRDefault="00385830" w:rsidP="00385830">
            <w:pPr>
              <w:jc w:val="center"/>
              <w:rPr>
                <w:rFonts w:ascii="Arial Narrow" w:hAnsi="Arial Narrow"/>
                <w:sz w:val="20"/>
              </w:rPr>
            </w:pPr>
            <w:r w:rsidRPr="005D100E">
              <w:rPr>
                <w:rFonts w:ascii="Arial Narrow" w:hAnsi="Arial Narrow"/>
                <w:sz w:val="20"/>
              </w:rPr>
              <w:t>$0</w:t>
            </w:r>
          </w:p>
        </w:tc>
        <w:tc>
          <w:tcPr>
            <w:tcW w:w="834" w:type="pct"/>
            <w:tcBorders>
              <w:top w:val="double" w:sz="4" w:space="0" w:color="auto"/>
              <w:bottom w:val="single" w:sz="4" w:space="0" w:color="auto"/>
            </w:tcBorders>
          </w:tcPr>
          <w:p w:rsidR="00385830" w:rsidRPr="005D100E" w:rsidRDefault="00385830" w:rsidP="00385830">
            <w:pPr>
              <w:jc w:val="center"/>
              <w:rPr>
                <w:rFonts w:ascii="Arial Narrow" w:hAnsi="Arial Narrow" w:cs="Times New Roman"/>
                <w:sz w:val="20"/>
              </w:rPr>
            </w:pPr>
            <w:r w:rsidRPr="005D100E">
              <w:rPr>
                <w:rFonts w:ascii="Arial Narrow" w:hAnsi="Arial Narrow" w:cs="Times New Roman"/>
                <w:sz w:val="20"/>
              </w:rPr>
              <w:t>$</w:t>
            </w:r>
            <w:r w:rsidR="00DD2205">
              <w:rPr>
                <w:rFonts w:ascii="Arial Narrow" w:hAnsi="Arial Narrow" w:cs="Times New Roman"/>
                <w:noProof/>
                <w:color w:val="000000"/>
                <w:sz w:val="20"/>
                <w:highlight w:val="black"/>
              </w:rPr>
              <w:t>'''''''''''''''''</w:t>
            </w:r>
          </w:p>
        </w:tc>
      </w:tr>
      <w:tr w:rsidR="00385830" w:rsidRPr="005D100E" w:rsidTr="00D67A8A">
        <w:tc>
          <w:tcPr>
            <w:tcW w:w="2628" w:type="pct"/>
            <w:tcBorders>
              <w:top w:val="single" w:sz="4" w:space="0" w:color="auto"/>
              <w:bottom w:val="single" w:sz="4" w:space="0" w:color="auto"/>
              <w:right w:val="single" w:sz="4" w:space="0" w:color="auto"/>
            </w:tcBorders>
            <w:hideMark/>
          </w:tcPr>
          <w:p w:rsidR="00385830" w:rsidRPr="005D100E" w:rsidRDefault="00385830" w:rsidP="00385830">
            <w:pPr>
              <w:jc w:val="left"/>
              <w:rPr>
                <w:rFonts w:ascii="Arial Narrow" w:hAnsi="Arial Narrow"/>
                <w:sz w:val="20"/>
              </w:rPr>
            </w:pPr>
            <w:r w:rsidRPr="005D100E">
              <w:rPr>
                <w:rFonts w:ascii="Arial Narrow" w:hAnsi="Arial Narrow"/>
                <w:sz w:val="20"/>
              </w:rPr>
              <w:t>Number patients with ≥15% decrease in 6MWD at Year 2</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c>
          <w:tcPr>
            <w:tcW w:w="768" w:type="pct"/>
            <w:tcBorders>
              <w:top w:val="single" w:sz="4" w:space="0" w:color="auto"/>
              <w:left w:val="single" w:sz="4" w:space="0" w:color="auto"/>
              <w:bottom w:val="single" w:sz="4" w:space="0" w:color="auto"/>
              <w:right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385830" w:rsidRPr="005D100E" w:rsidRDefault="00DD2205" w:rsidP="00385830">
            <w:pPr>
              <w:pStyle w:val="Tabletext"/>
              <w:jc w:val="center"/>
            </w:pPr>
            <w:r>
              <w:rPr>
                <w:noProof/>
                <w:color w:val="000000"/>
                <w:highlight w:val="black"/>
              </w:rPr>
              <w:t>'''''''''''''</w:t>
            </w:r>
            <w:r w:rsidR="00385830" w:rsidRPr="005D100E">
              <w:t>%</w:t>
            </w:r>
          </w:p>
        </w:tc>
      </w:tr>
      <w:tr w:rsidR="00385830" w:rsidRPr="005D100E" w:rsidTr="00D67A8A">
        <w:tc>
          <w:tcPr>
            <w:tcW w:w="4166" w:type="pct"/>
            <w:gridSpan w:val="3"/>
            <w:tcBorders>
              <w:top w:val="single" w:sz="4" w:space="0" w:color="auto"/>
              <w:bottom w:val="single" w:sz="4" w:space="0" w:color="auto"/>
            </w:tcBorders>
            <w:hideMark/>
          </w:tcPr>
          <w:p w:rsidR="00385830" w:rsidRPr="005D100E" w:rsidRDefault="00385830" w:rsidP="00D67A8A">
            <w:pPr>
              <w:rPr>
                <w:rFonts w:ascii="Arial Narrow" w:hAnsi="Arial Narrow"/>
                <w:b/>
                <w:sz w:val="20"/>
              </w:rPr>
            </w:pPr>
            <w:r w:rsidRPr="005D100E">
              <w:rPr>
                <w:rFonts w:ascii="Arial Narrow" w:hAnsi="Arial Narrow"/>
                <w:b/>
                <w:sz w:val="20"/>
              </w:rPr>
              <w:t>Incremental cost / patient with ≥15% decrease in 6MWD avoided at Year 2</w:t>
            </w:r>
          </w:p>
        </w:tc>
        <w:tc>
          <w:tcPr>
            <w:tcW w:w="834" w:type="pct"/>
            <w:tcBorders>
              <w:top w:val="single" w:sz="4" w:space="0" w:color="auto"/>
              <w:bottom w:val="single" w:sz="4" w:space="0" w:color="auto"/>
            </w:tcBorders>
            <w:vAlign w:val="center"/>
          </w:tcPr>
          <w:p w:rsidR="00385830" w:rsidRPr="005D100E" w:rsidRDefault="00385830" w:rsidP="00D67A8A">
            <w:pPr>
              <w:jc w:val="center"/>
              <w:rPr>
                <w:rFonts w:ascii="Arial Narrow" w:hAnsi="Arial Narrow"/>
                <w:b/>
                <w:sz w:val="20"/>
              </w:rPr>
            </w:pPr>
            <w:r w:rsidRPr="005D100E">
              <w:rPr>
                <w:rFonts w:ascii="Arial Narrow" w:hAnsi="Arial Narrow"/>
                <w:b/>
                <w:sz w:val="20"/>
              </w:rPr>
              <w:t>$</w:t>
            </w:r>
            <w:r w:rsidR="00DD2205">
              <w:rPr>
                <w:rFonts w:ascii="Arial Narrow" w:hAnsi="Arial Narrow"/>
                <w:b/>
                <w:noProof/>
                <w:color w:val="000000"/>
                <w:sz w:val="20"/>
                <w:highlight w:val="black"/>
              </w:rPr>
              <w:t>''''''''''''''''</w:t>
            </w:r>
          </w:p>
        </w:tc>
      </w:tr>
    </w:tbl>
    <w:p w:rsidR="00385830" w:rsidRPr="005D100E" w:rsidRDefault="00385830" w:rsidP="00385830">
      <w:pPr>
        <w:pStyle w:val="TableFooter"/>
        <w:ind w:left="709"/>
      </w:pPr>
      <w:r w:rsidRPr="005D100E">
        <w:t>6MWD = 6-minute walk distance; FC = functional class; PAH = pulmonary arterial hypertension; RS = right-sided; WHO = World Health Organization</w:t>
      </w:r>
    </w:p>
    <w:p w:rsidR="00385830" w:rsidRPr="005D100E" w:rsidRDefault="00385830" w:rsidP="00385830">
      <w:pPr>
        <w:pStyle w:val="TableFooter"/>
        <w:ind w:left="709"/>
        <w:rPr>
          <w:iCs/>
        </w:rPr>
      </w:pPr>
      <w:r w:rsidRPr="005D100E">
        <w:rPr>
          <w:iCs/>
          <w:sz w:val="20"/>
          <w:vertAlign w:val="superscript"/>
        </w:rPr>
        <w:t xml:space="preserve">a </w:t>
      </w:r>
      <w:r w:rsidRPr="005D100E">
        <w:rPr>
          <w:iCs/>
        </w:rPr>
        <w:t>Costs were re-calculated during the evaluation an average duration of treatment of 19.0 months.</w:t>
      </w:r>
    </w:p>
    <w:p w:rsidR="00385830" w:rsidRPr="005D100E" w:rsidRDefault="00385830" w:rsidP="00345D47">
      <w:pPr>
        <w:pStyle w:val="TableFooter"/>
        <w:ind w:left="709"/>
        <w:rPr>
          <w:iCs/>
        </w:rPr>
      </w:pPr>
      <w:r w:rsidRPr="005D100E">
        <w:rPr>
          <w:iCs/>
        </w:rPr>
        <w:t>Source: Calculated during the evaluation.</w:t>
      </w:r>
    </w:p>
    <w:p w:rsidR="00B25874" w:rsidRDefault="00B25874" w:rsidP="00B25874">
      <w:pPr>
        <w:pStyle w:val="TableFooter"/>
        <w:rPr>
          <w:i/>
          <w:iCs/>
        </w:rPr>
      </w:pPr>
    </w:p>
    <w:p w:rsidR="00B25874" w:rsidRPr="00B25874" w:rsidRDefault="00B25874" w:rsidP="00193264">
      <w:pPr>
        <w:widowControl/>
        <w:ind w:left="709"/>
        <w:rPr>
          <w:szCs w:val="22"/>
        </w:rPr>
      </w:pPr>
      <w:r w:rsidRPr="00B25874">
        <w:rPr>
          <w:szCs w:val="22"/>
        </w:rPr>
        <w:t>The redacted table shows ICERs in the range of more than $200,000 per incremental cost / patient with hospitalisation for PAH worsening avoided at Year 2</w:t>
      </w:r>
      <w:r>
        <w:rPr>
          <w:szCs w:val="22"/>
        </w:rPr>
        <w:t xml:space="preserve">; </w:t>
      </w:r>
      <w:r w:rsidRPr="00B25874">
        <w:rPr>
          <w:szCs w:val="22"/>
        </w:rPr>
        <w:t>more than $200,000 per incremental cost / patient with increased WHO FC avoided at Year 2</w:t>
      </w:r>
      <w:r>
        <w:rPr>
          <w:szCs w:val="22"/>
        </w:rPr>
        <w:t>; $105,000 - $200,000 per i</w:t>
      </w:r>
      <w:r w:rsidRPr="00B25874">
        <w:rPr>
          <w:szCs w:val="22"/>
        </w:rPr>
        <w:t>ncremental cost / patient with signs/symptoms of RS heart failure avoided at Year 2</w:t>
      </w:r>
      <w:r>
        <w:rPr>
          <w:szCs w:val="22"/>
        </w:rPr>
        <w:t>; and $105,000 - $200,000 per i</w:t>
      </w:r>
      <w:r w:rsidRPr="00B25874">
        <w:rPr>
          <w:szCs w:val="22"/>
        </w:rPr>
        <w:t>ncremental cost / patient with ≥15% decrease in 6MWD avoided at Year 2</w:t>
      </w:r>
      <w:r w:rsidR="0062030B">
        <w:rPr>
          <w:szCs w:val="22"/>
        </w:rPr>
        <w:t>.</w:t>
      </w:r>
    </w:p>
    <w:p w:rsidR="00B25874" w:rsidRPr="00345D47" w:rsidRDefault="00B25874" w:rsidP="00B25874">
      <w:pPr>
        <w:pStyle w:val="TableFooter"/>
        <w:rPr>
          <w:i/>
          <w:iCs/>
        </w:rPr>
      </w:pPr>
    </w:p>
    <w:p w:rsidR="009E0D67" w:rsidRPr="00AF5457" w:rsidRDefault="00385830" w:rsidP="0074367D">
      <w:pPr>
        <w:pStyle w:val="ListParagraph"/>
        <w:widowControl/>
        <w:numPr>
          <w:ilvl w:val="1"/>
          <w:numId w:val="2"/>
        </w:numPr>
      </w:pPr>
      <w:r w:rsidRPr="00033516">
        <w:t xml:space="preserve">For cost per </w:t>
      </w:r>
      <w:r w:rsidR="002237BF">
        <w:t>patient with</w:t>
      </w:r>
      <w:r w:rsidRPr="00033516">
        <w:t xml:space="preserve"> hospitalisation for PAH</w:t>
      </w:r>
      <w:r w:rsidR="002237BF">
        <w:t xml:space="preserve"> avoided</w:t>
      </w:r>
      <w:r w:rsidRPr="00033516">
        <w:t xml:space="preserve">, cost per </w:t>
      </w:r>
      <w:r w:rsidR="002237BF">
        <w:t xml:space="preserve">patient with </w:t>
      </w:r>
      <w:r w:rsidRPr="00033516">
        <w:t>signs/</w:t>
      </w:r>
      <w:r w:rsidR="002237BF" w:rsidRPr="00033516">
        <w:t>symptoms</w:t>
      </w:r>
      <w:r w:rsidRPr="00033516">
        <w:t xml:space="preserve"> of right</w:t>
      </w:r>
      <w:r w:rsidR="002237BF">
        <w:t>-sided</w:t>
      </w:r>
      <w:r w:rsidRPr="00033516">
        <w:t xml:space="preserve"> heart failure </w:t>
      </w:r>
      <w:r w:rsidR="002237BF" w:rsidRPr="00033516">
        <w:t xml:space="preserve">avoided </w:t>
      </w:r>
      <w:r w:rsidRPr="00033516">
        <w:t xml:space="preserve">and cost per </w:t>
      </w:r>
      <w:r w:rsidR="002237BF">
        <w:t xml:space="preserve">patient with a decrease </w:t>
      </w:r>
      <w:r w:rsidRPr="00033516">
        <w:t xml:space="preserve">of </w:t>
      </w:r>
      <w:r w:rsidR="002237BF">
        <w:t>≥</w:t>
      </w:r>
      <w:r w:rsidRPr="00033516">
        <w:t>15% in 6MWD</w:t>
      </w:r>
      <w:r w:rsidR="002237BF">
        <w:t xml:space="preserve"> avoided</w:t>
      </w:r>
      <w:r w:rsidRPr="00033516">
        <w:t xml:space="preserve">, selexipag had a lower ICER. For cost per </w:t>
      </w:r>
      <w:r w:rsidR="002237BF">
        <w:t xml:space="preserve">patient with </w:t>
      </w:r>
      <w:r w:rsidRPr="00AF5457">
        <w:t xml:space="preserve">worsening of </w:t>
      </w:r>
      <w:r w:rsidR="002237BF" w:rsidRPr="00AF5457">
        <w:t>WHO FC avoided</w:t>
      </w:r>
      <w:r w:rsidRPr="00AF5457">
        <w:t xml:space="preserve">, macitentan had a lower ICER. On this basis, the </w:t>
      </w:r>
      <w:r w:rsidR="00F801E3">
        <w:t>resubmission</w:t>
      </w:r>
      <w:r w:rsidRPr="00AF5457">
        <w:t xml:space="preserve"> claimed that selexipag, when used as add-on therapy to an ERA and PDE-5 inhibitor in </w:t>
      </w:r>
      <w:r w:rsidR="009E0D67" w:rsidRPr="00AF5457">
        <w:t>patients with WHO FC III/IV PAH, is of acceptable cost-effectiveness.</w:t>
      </w:r>
    </w:p>
    <w:p w:rsidR="00C64991" w:rsidRPr="00AF5457" w:rsidRDefault="00C64991" w:rsidP="00C64991">
      <w:pPr>
        <w:pStyle w:val="ListParagraph"/>
      </w:pPr>
    </w:p>
    <w:p w:rsidR="00AC2F02" w:rsidRPr="00147F9A" w:rsidRDefault="009E0D67" w:rsidP="0074367D">
      <w:pPr>
        <w:pStyle w:val="ListParagraph"/>
        <w:widowControl/>
        <w:numPr>
          <w:ilvl w:val="1"/>
          <w:numId w:val="2"/>
        </w:numPr>
      </w:pPr>
      <w:r w:rsidRPr="00147F9A">
        <w:rPr>
          <w:iCs/>
        </w:rPr>
        <w:t xml:space="preserve">An ICER related to macitentan versus placebo was presented as a </w:t>
      </w:r>
      <w:r w:rsidR="00F801E3" w:rsidRPr="00147F9A">
        <w:rPr>
          <w:iCs/>
        </w:rPr>
        <w:t xml:space="preserve">frame of </w:t>
      </w:r>
      <w:r w:rsidRPr="00147F9A">
        <w:rPr>
          <w:iCs/>
        </w:rPr>
        <w:t xml:space="preserve">reference for cost-effectiveness in the previous submission. The key differences in the </w:t>
      </w:r>
      <w:r w:rsidR="00F801E3" w:rsidRPr="00147F9A">
        <w:rPr>
          <w:iCs/>
        </w:rPr>
        <w:t>resubmission</w:t>
      </w:r>
      <w:r w:rsidRPr="00147F9A">
        <w:rPr>
          <w:iCs/>
        </w:rPr>
        <w:t xml:space="preserve"> are the standardisation of the outcomes across the trials (CHMP-defined endpoints) and the presentation of individual components of</w:t>
      </w:r>
      <w:r w:rsidR="00756D4D" w:rsidRPr="00147F9A">
        <w:rPr>
          <w:iCs/>
        </w:rPr>
        <w:t xml:space="preserve"> the composite outcome. The PBAC</w:t>
      </w:r>
      <w:r w:rsidR="00AF5457" w:rsidRPr="00147F9A">
        <w:rPr>
          <w:iCs/>
        </w:rPr>
        <w:t xml:space="preserve"> previously</w:t>
      </w:r>
      <w:r w:rsidR="00756D4D" w:rsidRPr="00147F9A">
        <w:rPr>
          <w:iCs/>
        </w:rPr>
        <w:t xml:space="preserve"> raised concerns regarding the comparability of the outcome definitions in GRIPHON and SERAPHIN and that the contribution of component events of varying clinical relevance may differ across the trials (paragraph 7.8, 5.11 selexipag PSD, March 2016 PBAC meeting). Notwithstanding the limitations of applying an outcome definition post hoc to trial data that was not designed to capture the outcome, the approach taken in the submission may </w:t>
      </w:r>
      <w:r w:rsidR="00454B5A" w:rsidRPr="00C14C82">
        <w:rPr>
          <w:iCs/>
        </w:rPr>
        <w:t>partially</w:t>
      </w:r>
      <w:r w:rsidR="00454B5A">
        <w:rPr>
          <w:i/>
          <w:iCs/>
        </w:rPr>
        <w:t xml:space="preserve"> </w:t>
      </w:r>
      <w:r w:rsidR="00756D4D" w:rsidRPr="00147F9A">
        <w:rPr>
          <w:iCs/>
        </w:rPr>
        <w:t>address these concerns.</w:t>
      </w:r>
    </w:p>
    <w:p w:rsidR="00AC2F02" w:rsidRPr="00147F9A" w:rsidRDefault="00AC2F02" w:rsidP="00AC2F02">
      <w:pPr>
        <w:pStyle w:val="ListParagraph"/>
        <w:rPr>
          <w:iCs/>
        </w:rPr>
      </w:pPr>
    </w:p>
    <w:p w:rsidR="00AC2F02" w:rsidRPr="005D100E" w:rsidRDefault="00AC2F02" w:rsidP="0074367D">
      <w:pPr>
        <w:pStyle w:val="ListParagraph"/>
        <w:widowControl/>
        <w:numPr>
          <w:ilvl w:val="1"/>
          <w:numId w:val="2"/>
        </w:numPr>
        <w:rPr>
          <w:iCs/>
        </w:rPr>
      </w:pPr>
      <w:r w:rsidRPr="00147F9A">
        <w:rPr>
          <w:iCs/>
        </w:rPr>
        <w:t xml:space="preserve">However, </w:t>
      </w:r>
      <w:r w:rsidR="005B09D3">
        <w:rPr>
          <w:iCs/>
        </w:rPr>
        <w:t xml:space="preserve">in March 2016 </w:t>
      </w:r>
      <w:r w:rsidRPr="00147F9A">
        <w:rPr>
          <w:iCs/>
        </w:rPr>
        <w:t xml:space="preserve">the PBAC raised other concerns regarding this approach which remain unaddressed. </w:t>
      </w:r>
      <w:r w:rsidRPr="005D100E">
        <w:rPr>
          <w:iCs/>
        </w:rPr>
        <w:t>These are summarised below:</w:t>
      </w:r>
    </w:p>
    <w:p w:rsidR="00AC2F02" w:rsidRPr="005D100E" w:rsidRDefault="00AC2F02" w:rsidP="0074367D">
      <w:pPr>
        <w:pStyle w:val="ListParagraph"/>
        <w:widowControl/>
        <w:numPr>
          <w:ilvl w:val="0"/>
          <w:numId w:val="1"/>
        </w:numPr>
        <w:ind w:left="993" w:hanging="284"/>
        <w:rPr>
          <w:iCs/>
        </w:rPr>
      </w:pPr>
      <w:r w:rsidRPr="005D100E">
        <w:rPr>
          <w:iCs/>
        </w:rPr>
        <w:t xml:space="preserve">Listing and circumstance of use: macitentan was recommended by the PBAC on the basis of a comparison of macitentan and bosentan for the outcome of absolute change in 6MWD, not on the basis of </w:t>
      </w:r>
      <w:r w:rsidR="00571A05" w:rsidRPr="005D100E">
        <w:rPr>
          <w:iCs/>
        </w:rPr>
        <w:t>a composite</w:t>
      </w:r>
      <w:r w:rsidRPr="005D100E">
        <w:rPr>
          <w:iCs/>
        </w:rPr>
        <w:t xml:space="preserve"> MM endpoint and its components. The requested listing for selexipag is not consistent with macitentan’s listing (add-on therapy to ERA+PDE-5 inhibitor vs monotherapy). Cost-effectiveness in </w:t>
      </w:r>
      <w:r w:rsidR="00196AF2">
        <w:rPr>
          <w:iCs/>
        </w:rPr>
        <w:t>the</w:t>
      </w:r>
      <w:r w:rsidRPr="005D100E">
        <w:rPr>
          <w:iCs/>
        </w:rPr>
        <w:t xml:space="preserve"> setting</w:t>
      </w:r>
      <w:r w:rsidR="00196AF2">
        <w:rPr>
          <w:iCs/>
        </w:rPr>
        <w:t xml:space="preserve"> of monotherapy</w:t>
      </w:r>
      <w:r w:rsidRPr="005D100E">
        <w:rPr>
          <w:iCs/>
        </w:rPr>
        <w:t xml:space="preserve"> cannot necessarily be generalised to </w:t>
      </w:r>
      <w:r w:rsidR="00196AF2">
        <w:rPr>
          <w:iCs/>
        </w:rPr>
        <w:t>cost-effectiveness in the setting of triple (or dual) therapy</w:t>
      </w:r>
      <w:r w:rsidRPr="005D100E">
        <w:rPr>
          <w:iCs/>
        </w:rPr>
        <w:t xml:space="preserve"> (paragraph 6.39, 5.11 selexipag PSD, March 2016 PBAC meeting). </w:t>
      </w:r>
    </w:p>
    <w:p w:rsidR="00AC2F02" w:rsidRPr="005D100E" w:rsidRDefault="00AC2F02" w:rsidP="0074367D">
      <w:pPr>
        <w:pStyle w:val="ListParagraph"/>
        <w:widowControl/>
        <w:numPr>
          <w:ilvl w:val="0"/>
          <w:numId w:val="1"/>
        </w:numPr>
        <w:ind w:left="993" w:hanging="284"/>
        <w:rPr>
          <w:iCs/>
        </w:rPr>
      </w:pPr>
      <w:r w:rsidRPr="005D100E">
        <w:rPr>
          <w:iCs/>
        </w:rPr>
        <w:t xml:space="preserve">Clinical relevance: there was uncertainty regarding </w:t>
      </w:r>
      <w:r w:rsidR="00840C3C" w:rsidRPr="005D100E">
        <w:rPr>
          <w:iCs/>
        </w:rPr>
        <w:t>the relationship between</w:t>
      </w:r>
      <w:r w:rsidRPr="005D100E">
        <w:rPr>
          <w:iCs/>
        </w:rPr>
        <w:t xml:space="preserve"> incremental cost per first MM event per person-year prevented </w:t>
      </w:r>
      <w:r w:rsidR="00840C3C" w:rsidRPr="005D100E">
        <w:rPr>
          <w:iCs/>
        </w:rPr>
        <w:t>and</w:t>
      </w:r>
      <w:r w:rsidRPr="005D100E">
        <w:rPr>
          <w:iCs/>
        </w:rPr>
        <w:t xml:space="preserve"> the incremental cost per QALY gained (paragraphs 6.39 and 7.9, 5.11 selexipag PSD, March 2016 PBAC meeting).</w:t>
      </w:r>
    </w:p>
    <w:p w:rsidR="00A86E8B" w:rsidRPr="005D100E" w:rsidRDefault="00AC2F02" w:rsidP="0074367D">
      <w:pPr>
        <w:pStyle w:val="ListParagraph"/>
        <w:widowControl/>
        <w:numPr>
          <w:ilvl w:val="0"/>
          <w:numId w:val="1"/>
        </w:numPr>
        <w:ind w:left="993" w:hanging="284"/>
        <w:rPr>
          <w:iCs/>
        </w:rPr>
      </w:pPr>
      <w:r w:rsidRPr="005D100E">
        <w:rPr>
          <w:iCs/>
        </w:rPr>
        <w:t>Time horizon: the incremental effectiveness might vary over time. The time horizon of the economic evaluation cannot reflect the likely duration of treatment in the target population</w:t>
      </w:r>
      <w:r w:rsidR="007E2042" w:rsidRPr="005D100E">
        <w:rPr>
          <w:iCs/>
        </w:rPr>
        <w:t>,</w:t>
      </w:r>
      <w:r w:rsidRPr="005D100E">
        <w:rPr>
          <w:iCs/>
        </w:rPr>
        <w:t xml:space="preserve"> </w:t>
      </w:r>
      <w:r w:rsidR="00454B5A" w:rsidRPr="005D100E">
        <w:rPr>
          <w:iCs/>
        </w:rPr>
        <w:t xml:space="preserve">which may be much longer than the 2 years </w:t>
      </w:r>
      <w:r w:rsidRPr="005D100E">
        <w:rPr>
          <w:iCs/>
        </w:rPr>
        <w:t>(paragraph 6.39, 5.11 selexipag PSD, March 2016 PBAC meeting).</w:t>
      </w:r>
    </w:p>
    <w:p w:rsidR="00C25D9C" w:rsidRDefault="00C25D9C" w:rsidP="00C25D9C">
      <w:pPr>
        <w:widowControl/>
        <w:rPr>
          <w:szCs w:val="22"/>
        </w:rPr>
      </w:pPr>
    </w:p>
    <w:p w:rsidR="00C25D9C" w:rsidRPr="002C2775" w:rsidRDefault="00C25D9C" w:rsidP="00C17BE6">
      <w:pPr>
        <w:pStyle w:val="Heading2"/>
        <w:rPr>
          <w:i/>
          <w:szCs w:val="22"/>
        </w:rPr>
      </w:pPr>
      <w:bookmarkStart w:id="17" w:name="_Toc472425782"/>
      <w:r w:rsidRPr="002C2775">
        <w:rPr>
          <w:i/>
        </w:rPr>
        <w:t>Drug cost/patient/</w:t>
      </w:r>
      <w:r w:rsidR="00C17BE6">
        <w:rPr>
          <w:i/>
        </w:rPr>
        <w:t>year: $</w:t>
      </w:r>
      <w:r w:rsidR="00DD2205">
        <w:rPr>
          <w:i/>
          <w:noProof/>
          <w:color w:val="000000"/>
          <w:highlight w:val="black"/>
        </w:rPr>
        <w:t>''''''''''''</w:t>
      </w:r>
      <w:r w:rsidR="00C17BE6">
        <w:rPr>
          <w:i/>
        </w:rPr>
        <w:t xml:space="preserve"> (public) $</w:t>
      </w:r>
      <w:r w:rsidR="00DD2205">
        <w:rPr>
          <w:i/>
          <w:noProof/>
          <w:color w:val="000000"/>
          <w:highlight w:val="black"/>
        </w:rPr>
        <w:t>'''''''''''''''</w:t>
      </w:r>
      <w:r w:rsidR="00C17BE6">
        <w:rPr>
          <w:i/>
        </w:rPr>
        <w:t xml:space="preserve"> (private)</w:t>
      </w:r>
      <w:bookmarkEnd w:id="17"/>
    </w:p>
    <w:p w:rsidR="00C25D9C" w:rsidRPr="00C25D9C" w:rsidRDefault="00C25D9C" w:rsidP="00C25D9C">
      <w:pPr>
        <w:widowControl/>
        <w:rPr>
          <w:szCs w:val="22"/>
        </w:rPr>
      </w:pPr>
    </w:p>
    <w:p w:rsidR="00C17BE6" w:rsidRDefault="00C17BE6" w:rsidP="0074367D">
      <w:pPr>
        <w:pStyle w:val="ListParagraph"/>
        <w:widowControl/>
        <w:numPr>
          <w:ilvl w:val="1"/>
          <w:numId w:val="2"/>
        </w:numPr>
        <w:rPr>
          <w:szCs w:val="22"/>
        </w:rPr>
      </w:pPr>
      <w:r w:rsidRPr="00C17BE6">
        <w:rPr>
          <w:szCs w:val="22"/>
        </w:rPr>
        <w:t>The cost per patient per year is based on the proposed DPMQ assuming patients receive 12.2 scripts per year The drug cost per patient per year for the proposed effective price (based on a rebate of $</w:t>
      </w:r>
      <w:r w:rsidR="00DD2205">
        <w:rPr>
          <w:noProof/>
          <w:color w:val="000000"/>
          <w:szCs w:val="22"/>
          <w:highlight w:val="black"/>
        </w:rPr>
        <w:t>''''''''''''''</w:t>
      </w:r>
      <w:r w:rsidRPr="00C17BE6">
        <w:rPr>
          <w:szCs w:val="22"/>
        </w:rPr>
        <w:t xml:space="preserve"> per prescription) is $</w:t>
      </w:r>
      <w:r w:rsidR="00DD2205">
        <w:rPr>
          <w:noProof/>
          <w:color w:val="000000"/>
          <w:szCs w:val="22"/>
          <w:highlight w:val="black"/>
        </w:rPr>
        <w:t>'''''''''''''''</w:t>
      </w:r>
      <w:r w:rsidR="004001E6">
        <w:rPr>
          <w:szCs w:val="22"/>
        </w:rPr>
        <w:t xml:space="preserve"> (public) and $</w:t>
      </w:r>
      <w:r w:rsidR="00DD2205">
        <w:rPr>
          <w:noProof/>
          <w:color w:val="000000"/>
          <w:szCs w:val="22"/>
          <w:highlight w:val="black"/>
        </w:rPr>
        <w:t>'''''''''''''''</w:t>
      </w:r>
      <w:r w:rsidR="004001E6">
        <w:rPr>
          <w:szCs w:val="22"/>
        </w:rPr>
        <w:t xml:space="preserve"> (private) (</w:t>
      </w:r>
      <w:r w:rsidR="004001E6" w:rsidRPr="001E2DA8">
        <w:rPr>
          <w:szCs w:val="22"/>
        </w:rPr>
        <w:t>see Special Pricing Arrangement below</w:t>
      </w:r>
      <w:r w:rsidR="004001E6">
        <w:rPr>
          <w:szCs w:val="22"/>
        </w:rPr>
        <w:t>).</w:t>
      </w:r>
    </w:p>
    <w:p w:rsidR="004001E6" w:rsidRPr="004001E6" w:rsidRDefault="004001E6" w:rsidP="004001E6">
      <w:pPr>
        <w:widowControl/>
        <w:rPr>
          <w:szCs w:val="22"/>
        </w:rPr>
      </w:pPr>
    </w:p>
    <w:p w:rsidR="00AC2F02" w:rsidRDefault="00AC2F02" w:rsidP="0074367D">
      <w:pPr>
        <w:pStyle w:val="ListParagraph"/>
        <w:widowControl/>
        <w:numPr>
          <w:ilvl w:val="1"/>
          <w:numId w:val="2"/>
        </w:numPr>
        <w:rPr>
          <w:szCs w:val="22"/>
        </w:rPr>
      </w:pPr>
      <w:r>
        <w:rPr>
          <w:szCs w:val="22"/>
        </w:rPr>
        <w:t>As PAH is</w:t>
      </w:r>
      <w:r w:rsidR="004001E6">
        <w:rPr>
          <w:szCs w:val="22"/>
        </w:rPr>
        <w:t xml:space="preserve"> a chronic disease, treatment is intended to be ongoing.</w:t>
      </w:r>
    </w:p>
    <w:p w:rsidR="00B60939" w:rsidRPr="001E2B1E" w:rsidRDefault="00B60939" w:rsidP="001456B0">
      <w:pPr>
        <w:rPr>
          <w:szCs w:val="22"/>
        </w:rPr>
      </w:pPr>
    </w:p>
    <w:p w:rsidR="00B60939" w:rsidRPr="002C2775" w:rsidRDefault="00B60939" w:rsidP="002C2775">
      <w:pPr>
        <w:pStyle w:val="Heading2"/>
        <w:rPr>
          <w:i/>
        </w:rPr>
      </w:pPr>
      <w:bookmarkStart w:id="18" w:name="_Toc472425783"/>
      <w:r w:rsidRPr="002C2775">
        <w:rPr>
          <w:i/>
        </w:rPr>
        <w:t>Estimated PBS usage &amp; financial implications</w:t>
      </w:r>
      <w:bookmarkEnd w:id="18"/>
    </w:p>
    <w:p w:rsidR="00B60939" w:rsidRPr="00882085" w:rsidRDefault="00B60939" w:rsidP="00B60939">
      <w:pPr>
        <w:ind w:left="720" w:hanging="720"/>
        <w:rPr>
          <w:b/>
          <w:i/>
          <w:szCs w:val="22"/>
        </w:rPr>
      </w:pPr>
    </w:p>
    <w:p w:rsidR="00925A6A" w:rsidRPr="00147F9A" w:rsidRDefault="004001E6" w:rsidP="0074367D">
      <w:pPr>
        <w:pStyle w:val="ListParagraph"/>
        <w:widowControl/>
        <w:numPr>
          <w:ilvl w:val="1"/>
          <w:numId w:val="2"/>
        </w:numPr>
        <w:rPr>
          <w:szCs w:val="22"/>
        </w:rPr>
      </w:pPr>
      <w:r>
        <w:t xml:space="preserve">This </w:t>
      </w:r>
      <w:r w:rsidR="00F801E3">
        <w:t>resubmission</w:t>
      </w:r>
      <w:r>
        <w:t xml:space="preserve"> </w:t>
      </w:r>
      <w:r w:rsidR="00724DEF">
        <w:t>was not</w:t>
      </w:r>
      <w:r w:rsidR="00C25D9C">
        <w:t xml:space="preserve"> considered by DUSC</w:t>
      </w:r>
      <w:r>
        <w:t>.</w:t>
      </w:r>
      <w:r w:rsidR="00147F9A">
        <w:t xml:space="preserve"> </w:t>
      </w:r>
      <w:r w:rsidR="00925A6A">
        <w:t xml:space="preserve">The </w:t>
      </w:r>
      <w:r w:rsidR="00F801E3">
        <w:t>resubmission</w:t>
      </w:r>
      <w:r w:rsidR="00925A6A">
        <w:t xml:space="preserve"> used a market-share approach </w:t>
      </w:r>
      <w:r w:rsidR="00925A6A" w:rsidRPr="00147F9A">
        <w:t xml:space="preserve">to estimate the extent of use and financial implications associated with the listing of selexipag. </w:t>
      </w:r>
      <w:r w:rsidR="00925A6A" w:rsidRPr="00147F9A">
        <w:rPr>
          <w:iCs/>
        </w:rPr>
        <w:t xml:space="preserve">This was the same approach taken in the original submission. The </w:t>
      </w:r>
      <w:r w:rsidR="00F801E3" w:rsidRPr="00147F9A">
        <w:rPr>
          <w:iCs/>
        </w:rPr>
        <w:t>resubmission</w:t>
      </w:r>
      <w:r w:rsidR="00925A6A" w:rsidRPr="00147F9A">
        <w:rPr>
          <w:iCs/>
        </w:rPr>
        <w:t xml:space="preserve"> updated the proposed rebate from $</w:t>
      </w:r>
      <w:r w:rsidR="00DD2205">
        <w:rPr>
          <w:iCs/>
          <w:noProof/>
          <w:color w:val="000000"/>
          <w:highlight w:val="black"/>
        </w:rPr>
        <w:t>'''''''''''''</w:t>
      </w:r>
      <w:r w:rsidR="00925A6A" w:rsidRPr="00147F9A">
        <w:rPr>
          <w:iCs/>
        </w:rPr>
        <w:t xml:space="preserve"> to $</w:t>
      </w:r>
      <w:r w:rsidR="00DD2205">
        <w:rPr>
          <w:iCs/>
          <w:noProof/>
          <w:color w:val="000000"/>
          <w:highlight w:val="black"/>
        </w:rPr>
        <w:t>''''''''''''''</w:t>
      </w:r>
      <w:r w:rsidR="00925A6A" w:rsidRPr="00147F9A">
        <w:rPr>
          <w:iCs/>
        </w:rPr>
        <w:t xml:space="preserve"> per prescription and re</w:t>
      </w:r>
      <w:r w:rsidR="00807688" w:rsidRPr="00147F9A">
        <w:rPr>
          <w:iCs/>
        </w:rPr>
        <w:t>-</w:t>
      </w:r>
      <w:r w:rsidR="00925A6A" w:rsidRPr="00147F9A">
        <w:rPr>
          <w:iCs/>
        </w:rPr>
        <w:t>calculated the breakdown of utilisation across sectors and beneficiary types. No other changes were made to the approach.</w:t>
      </w:r>
    </w:p>
    <w:p w:rsidR="00925A6A" w:rsidRPr="00925A6A" w:rsidRDefault="00925A6A" w:rsidP="00925A6A">
      <w:pPr>
        <w:pStyle w:val="ListParagraph"/>
        <w:rPr>
          <w:szCs w:val="22"/>
        </w:rPr>
      </w:pPr>
    </w:p>
    <w:p w:rsidR="00925A6A" w:rsidRPr="00925A6A" w:rsidRDefault="00925A6A" w:rsidP="0074367D">
      <w:pPr>
        <w:pStyle w:val="ListParagraph"/>
        <w:widowControl/>
        <w:numPr>
          <w:ilvl w:val="1"/>
          <w:numId w:val="2"/>
        </w:numPr>
        <w:rPr>
          <w:szCs w:val="22"/>
        </w:rPr>
      </w:pPr>
      <w:r>
        <w:rPr>
          <w:szCs w:val="22"/>
        </w:rPr>
        <w:t>The estimated use and financial implications are summarised in the table below.</w:t>
      </w:r>
    </w:p>
    <w:p w:rsidR="004001E6" w:rsidRPr="004001E6" w:rsidRDefault="004001E6" w:rsidP="004001E6">
      <w:pPr>
        <w:pStyle w:val="Caption"/>
        <w:ind w:left="1418" w:hanging="709"/>
      </w:pPr>
    </w:p>
    <w:p w:rsidR="004001E6" w:rsidRPr="004001E6" w:rsidRDefault="004001E6" w:rsidP="004001E6">
      <w:pPr>
        <w:pStyle w:val="Caption"/>
        <w:ind w:left="1418" w:hanging="709"/>
      </w:pPr>
      <w:r w:rsidRPr="004001E6">
        <w:t xml:space="preserve">Table 9: Estimated </w:t>
      </w:r>
      <w:r w:rsidR="003E3D06">
        <w:t xml:space="preserve">use and </w:t>
      </w:r>
      <w:r w:rsidRPr="004001E6">
        <w:t xml:space="preserve">financial implications </w:t>
      </w:r>
      <w:r w:rsidR="003E3D06">
        <w:t>to</w:t>
      </w:r>
      <w:r w:rsidRPr="004001E6">
        <w:t xml:space="preserve"> the PBS/RPBS</w:t>
      </w:r>
    </w:p>
    <w:tbl>
      <w:tblPr>
        <w:tblStyle w:val="TableGrid"/>
        <w:tblW w:w="4631" w:type="pct"/>
        <w:tblInd w:w="737" w:type="dxa"/>
        <w:tblLook w:val="04A0" w:firstRow="1" w:lastRow="0" w:firstColumn="1" w:lastColumn="0" w:noHBand="0" w:noVBand="1"/>
        <w:tblCaption w:val="Table 9: Estimated use and financial implications to the PBS/RPBS"/>
      </w:tblPr>
      <w:tblGrid>
        <w:gridCol w:w="2728"/>
        <w:gridCol w:w="1163"/>
        <w:gridCol w:w="1147"/>
        <w:gridCol w:w="1146"/>
        <w:gridCol w:w="1191"/>
        <w:gridCol w:w="1186"/>
      </w:tblGrid>
      <w:tr w:rsidR="004001E6" w:rsidRPr="005D100E" w:rsidTr="00B56909">
        <w:trPr>
          <w:tblHeader/>
        </w:trPr>
        <w:tc>
          <w:tcPr>
            <w:tcW w:w="1603" w:type="pct"/>
            <w:tcBorders>
              <w:bottom w:val="double" w:sz="4" w:space="0" w:color="auto"/>
            </w:tcBorders>
          </w:tcPr>
          <w:p w:rsidR="004001E6" w:rsidRPr="005D100E" w:rsidRDefault="004001E6" w:rsidP="00D67A8A">
            <w:pPr>
              <w:widowControl/>
              <w:jc w:val="left"/>
              <w:rPr>
                <w:rFonts w:ascii="Arial Narrow" w:hAnsi="Arial Narrow" w:cs="Times New Roman"/>
                <w:b/>
                <w:snapToGrid/>
                <w:sz w:val="20"/>
              </w:rPr>
            </w:pPr>
          </w:p>
        </w:tc>
        <w:tc>
          <w:tcPr>
            <w:tcW w:w="642" w:type="pct"/>
            <w:tcBorders>
              <w:bottom w:val="double" w:sz="4" w:space="0" w:color="auto"/>
            </w:tcBorders>
          </w:tcPr>
          <w:p w:rsidR="004001E6" w:rsidRPr="005D100E" w:rsidRDefault="004001E6" w:rsidP="00D67A8A">
            <w:pPr>
              <w:widowControl/>
              <w:jc w:val="center"/>
              <w:rPr>
                <w:rFonts w:ascii="Arial Narrow" w:hAnsi="Arial Narrow" w:cs="Times New Roman"/>
                <w:b/>
                <w:snapToGrid/>
                <w:sz w:val="20"/>
              </w:rPr>
            </w:pPr>
            <w:r w:rsidRPr="005D100E">
              <w:rPr>
                <w:rFonts w:ascii="Arial Narrow" w:hAnsi="Arial Narrow" w:cs="Times New Roman"/>
                <w:b/>
                <w:snapToGrid/>
                <w:sz w:val="20"/>
              </w:rPr>
              <w:t>Year 1</w:t>
            </w:r>
          </w:p>
        </w:tc>
        <w:tc>
          <w:tcPr>
            <w:tcW w:w="674" w:type="pct"/>
            <w:tcBorders>
              <w:bottom w:val="double" w:sz="4" w:space="0" w:color="auto"/>
            </w:tcBorders>
          </w:tcPr>
          <w:p w:rsidR="004001E6" w:rsidRPr="005D100E" w:rsidRDefault="004001E6" w:rsidP="00D67A8A">
            <w:pPr>
              <w:widowControl/>
              <w:jc w:val="center"/>
              <w:rPr>
                <w:rFonts w:ascii="Arial Narrow" w:hAnsi="Arial Narrow" w:cs="Times New Roman"/>
                <w:b/>
                <w:snapToGrid/>
                <w:sz w:val="20"/>
              </w:rPr>
            </w:pPr>
            <w:r w:rsidRPr="005D100E">
              <w:rPr>
                <w:rFonts w:ascii="Arial Narrow" w:hAnsi="Arial Narrow" w:cs="Times New Roman"/>
                <w:b/>
                <w:snapToGrid/>
                <w:sz w:val="20"/>
              </w:rPr>
              <w:t>Year 2</w:t>
            </w:r>
          </w:p>
        </w:tc>
        <w:tc>
          <w:tcPr>
            <w:tcW w:w="684" w:type="pct"/>
            <w:tcBorders>
              <w:bottom w:val="double" w:sz="4" w:space="0" w:color="auto"/>
            </w:tcBorders>
          </w:tcPr>
          <w:p w:rsidR="004001E6" w:rsidRPr="005D100E" w:rsidRDefault="004001E6" w:rsidP="00D67A8A">
            <w:pPr>
              <w:widowControl/>
              <w:jc w:val="center"/>
              <w:rPr>
                <w:rFonts w:ascii="Arial Narrow" w:hAnsi="Arial Narrow" w:cs="Times New Roman"/>
                <w:b/>
                <w:snapToGrid/>
                <w:sz w:val="20"/>
              </w:rPr>
            </w:pPr>
            <w:r w:rsidRPr="005D100E">
              <w:rPr>
                <w:rFonts w:ascii="Arial Narrow" w:hAnsi="Arial Narrow" w:cs="Times New Roman"/>
                <w:b/>
                <w:snapToGrid/>
                <w:sz w:val="20"/>
              </w:rPr>
              <w:t>Year 3</w:t>
            </w:r>
          </w:p>
        </w:tc>
        <w:tc>
          <w:tcPr>
            <w:tcW w:w="705" w:type="pct"/>
            <w:tcBorders>
              <w:bottom w:val="double" w:sz="4" w:space="0" w:color="auto"/>
            </w:tcBorders>
          </w:tcPr>
          <w:p w:rsidR="004001E6" w:rsidRPr="005D100E" w:rsidRDefault="004001E6" w:rsidP="00D67A8A">
            <w:pPr>
              <w:widowControl/>
              <w:jc w:val="center"/>
              <w:rPr>
                <w:rFonts w:ascii="Arial Narrow" w:hAnsi="Arial Narrow" w:cs="Times New Roman"/>
                <w:b/>
                <w:snapToGrid/>
                <w:sz w:val="20"/>
              </w:rPr>
            </w:pPr>
            <w:r w:rsidRPr="005D100E">
              <w:rPr>
                <w:rFonts w:ascii="Arial Narrow" w:hAnsi="Arial Narrow" w:cs="Times New Roman"/>
                <w:b/>
                <w:snapToGrid/>
                <w:sz w:val="20"/>
              </w:rPr>
              <w:t>Year 4</w:t>
            </w:r>
          </w:p>
        </w:tc>
        <w:tc>
          <w:tcPr>
            <w:tcW w:w="692" w:type="pct"/>
            <w:tcBorders>
              <w:bottom w:val="double" w:sz="4" w:space="0" w:color="auto"/>
            </w:tcBorders>
          </w:tcPr>
          <w:p w:rsidR="004001E6" w:rsidRPr="005D100E" w:rsidRDefault="004001E6" w:rsidP="00D67A8A">
            <w:pPr>
              <w:widowControl/>
              <w:jc w:val="center"/>
              <w:rPr>
                <w:rFonts w:ascii="Arial Narrow" w:hAnsi="Arial Narrow" w:cs="Times New Roman"/>
                <w:b/>
                <w:snapToGrid/>
                <w:sz w:val="20"/>
              </w:rPr>
            </w:pPr>
            <w:r w:rsidRPr="005D100E">
              <w:rPr>
                <w:rFonts w:ascii="Arial Narrow" w:hAnsi="Arial Narrow" w:cs="Times New Roman"/>
                <w:b/>
                <w:snapToGrid/>
                <w:sz w:val="20"/>
              </w:rPr>
              <w:t>Year 5</w:t>
            </w:r>
          </w:p>
        </w:tc>
      </w:tr>
      <w:tr w:rsidR="004001E6" w:rsidRPr="005D100E" w:rsidTr="007A5E71">
        <w:tc>
          <w:tcPr>
            <w:tcW w:w="1603" w:type="pct"/>
            <w:tcBorders>
              <w:top w:val="double" w:sz="4" w:space="0" w:color="auto"/>
              <w:right w:val="nil"/>
            </w:tcBorders>
          </w:tcPr>
          <w:p w:rsidR="004001E6" w:rsidRPr="005D100E" w:rsidRDefault="004001E6" w:rsidP="00D67A8A">
            <w:pPr>
              <w:widowControl/>
              <w:jc w:val="left"/>
              <w:rPr>
                <w:rFonts w:ascii="Arial Narrow" w:hAnsi="Arial Narrow" w:cs="Times New Roman"/>
                <w:b/>
                <w:snapToGrid/>
                <w:sz w:val="20"/>
              </w:rPr>
            </w:pPr>
            <w:r w:rsidRPr="005D100E">
              <w:rPr>
                <w:rFonts w:ascii="Arial Narrow" w:hAnsi="Arial Narrow" w:cs="Times New Roman"/>
                <w:b/>
                <w:snapToGrid/>
                <w:sz w:val="20"/>
              </w:rPr>
              <w:t>Estimated extent of use</w:t>
            </w:r>
          </w:p>
        </w:tc>
        <w:tc>
          <w:tcPr>
            <w:tcW w:w="642" w:type="pct"/>
            <w:tcBorders>
              <w:top w:val="double" w:sz="4" w:space="0" w:color="auto"/>
              <w:left w:val="nil"/>
              <w:right w:val="nil"/>
            </w:tcBorders>
          </w:tcPr>
          <w:p w:rsidR="004001E6" w:rsidRPr="005D100E" w:rsidRDefault="004001E6" w:rsidP="00D67A8A">
            <w:pPr>
              <w:widowControl/>
              <w:jc w:val="center"/>
              <w:rPr>
                <w:rFonts w:ascii="Arial Narrow" w:hAnsi="Arial Narrow" w:cs="Times New Roman"/>
                <w:b/>
                <w:snapToGrid/>
                <w:sz w:val="20"/>
              </w:rPr>
            </w:pPr>
          </w:p>
        </w:tc>
        <w:tc>
          <w:tcPr>
            <w:tcW w:w="674" w:type="pct"/>
            <w:tcBorders>
              <w:top w:val="double" w:sz="4" w:space="0" w:color="auto"/>
              <w:left w:val="nil"/>
              <w:right w:val="nil"/>
            </w:tcBorders>
          </w:tcPr>
          <w:p w:rsidR="004001E6" w:rsidRPr="005D100E" w:rsidRDefault="004001E6" w:rsidP="00D67A8A">
            <w:pPr>
              <w:widowControl/>
              <w:jc w:val="center"/>
              <w:rPr>
                <w:rFonts w:ascii="Arial Narrow" w:hAnsi="Arial Narrow" w:cs="Times New Roman"/>
                <w:b/>
                <w:snapToGrid/>
                <w:sz w:val="20"/>
              </w:rPr>
            </w:pPr>
          </w:p>
        </w:tc>
        <w:tc>
          <w:tcPr>
            <w:tcW w:w="684" w:type="pct"/>
            <w:tcBorders>
              <w:top w:val="double" w:sz="4" w:space="0" w:color="auto"/>
              <w:left w:val="nil"/>
              <w:right w:val="nil"/>
            </w:tcBorders>
          </w:tcPr>
          <w:p w:rsidR="004001E6" w:rsidRPr="005D100E" w:rsidRDefault="004001E6" w:rsidP="00D67A8A">
            <w:pPr>
              <w:widowControl/>
              <w:jc w:val="center"/>
              <w:rPr>
                <w:rFonts w:ascii="Arial Narrow" w:hAnsi="Arial Narrow" w:cs="Times New Roman"/>
                <w:b/>
                <w:snapToGrid/>
                <w:sz w:val="20"/>
              </w:rPr>
            </w:pPr>
          </w:p>
        </w:tc>
        <w:tc>
          <w:tcPr>
            <w:tcW w:w="705" w:type="pct"/>
            <w:tcBorders>
              <w:top w:val="double" w:sz="4" w:space="0" w:color="auto"/>
              <w:left w:val="nil"/>
              <w:right w:val="nil"/>
            </w:tcBorders>
          </w:tcPr>
          <w:p w:rsidR="004001E6" w:rsidRPr="005D100E" w:rsidRDefault="004001E6" w:rsidP="00D67A8A">
            <w:pPr>
              <w:widowControl/>
              <w:jc w:val="center"/>
              <w:rPr>
                <w:rFonts w:ascii="Arial Narrow" w:hAnsi="Arial Narrow" w:cs="Times New Roman"/>
                <w:b/>
                <w:snapToGrid/>
                <w:sz w:val="20"/>
              </w:rPr>
            </w:pPr>
          </w:p>
        </w:tc>
        <w:tc>
          <w:tcPr>
            <w:tcW w:w="692" w:type="pct"/>
            <w:tcBorders>
              <w:top w:val="double" w:sz="4" w:space="0" w:color="auto"/>
              <w:left w:val="nil"/>
            </w:tcBorders>
          </w:tcPr>
          <w:p w:rsidR="004001E6" w:rsidRPr="005D100E" w:rsidRDefault="004001E6" w:rsidP="00D67A8A">
            <w:pPr>
              <w:widowControl/>
              <w:jc w:val="center"/>
              <w:rPr>
                <w:rFonts w:ascii="Arial Narrow" w:hAnsi="Arial Narrow" w:cs="Times New Roman"/>
                <w:b/>
                <w:snapToGrid/>
                <w:sz w:val="20"/>
              </w:rPr>
            </w:pPr>
          </w:p>
        </w:tc>
      </w:tr>
      <w:tr w:rsidR="004001E6" w:rsidRPr="005D100E" w:rsidTr="007A5E71">
        <w:tc>
          <w:tcPr>
            <w:tcW w:w="1603" w:type="pct"/>
          </w:tcPr>
          <w:p w:rsidR="004001E6" w:rsidRPr="005D100E" w:rsidRDefault="004001E6" w:rsidP="00D67A8A">
            <w:pPr>
              <w:pStyle w:val="Tabletext"/>
            </w:pPr>
            <w:r w:rsidRPr="005D100E">
              <w:t>Number of patients on PBS subsidised ERAs or PDE-5 inhibitors</w:t>
            </w:r>
          </w:p>
        </w:tc>
        <w:tc>
          <w:tcPr>
            <w:tcW w:w="642" w:type="pct"/>
            <w:vAlign w:val="center"/>
          </w:tcPr>
          <w:p w:rsidR="004001E6" w:rsidRPr="00DD2205" w:rsidRDefault="00DD2205" w:rsidP="00D67A8A">
            <w:pPr>
              <w:pStyle w:val="Tabletext"/>
              <w:jc w:val="center"/>
              <w:rPr>
                <w:highlight w:val="black"/>
              </w:rPr>
            </w:pPr>
            <w:r>
              <w:rPr>
                <w:noProof/>
                <w:color w:val="000000"/>
                <w:highlight w:val="black"/>
              </w:rPr>
              <w:t>''''''''''''''</w:t>
            </w:r>
          </w:p>
        </w:tc>
        <w:tc>
          <w:tcPr>
            <w:tcW w:w="674" w:type="pct"/>
            <w:vAlign w:val="center"/>
          </w:tcPr>
          <w:p w:rsidR="004001E6" w:rsidRPr="00DD2205" w:rsidRDefault="00DD2205" w:rsidP="00D67A8A">
            <w:pPr>
              <w:pStyle w:val="Tabletext"/>
              <w:jc w:val="center"/>
              <w:rPr>
                <w:highlight w:val="black"/>
              </w:rPr>
            </w:pPr>
            <w:r>
              <w:rPr>
                <w:noProof/>
                <w:color w:val="000000"/>
                <w:highlight w:val="black"/>
              </w:rPr>
              <w:t>''''''''''''</w:t>
            </w:r>
          </w:p>
        </w:tc>
        <w:tc>
          <w:tcPr>
            <w:tcW w:w="684" w:type="pct"/>
            <w:vAlign w:val="center"/>
          </w:tcPr>
          <w:p w:rsidR="004001E6" w:rsidRPr="00DD2205" w:rsidRDefault="00DD2205" w:rsidP="00D67A8A">
            <w:pPr>
              <w:pStyle w:val="Tabletext"/>
              <w:jc w:val="center"/>
              <w:rPr>
                <w:highlight w:val="black"/>
              </w:rPr>
            </w:pPr>
            <w:r>
              <w:rPr>
                <w:noProof/>
                <w:color w:val="000000"/>
                <w:highlight w:val="black"/>
              </w:rPr>
              <w:t>''''''''''''''</w:t>
            </w:r>
          </w:p>
        </w:tc>
        <w:tc>
          <w:tcPr>
            <w:tcW w:w="705" w:type="pct"/>
            <w:vAlign w:val="center"/>
          </w:tcPr>
          <w:p w:rsidR="004001E6" w:rsidRPr="00DD2205" w:rsidRDefault="00DD2205" w:rsidP="00D67A8A">
            <w:pPr>
              <w:pStyle w:val="Tabletext"/>
              <w:jc w:val="center"/>
              <w:rPr>
                <w:highlight w:val="black"/>
              </w:rPr>
            </w:pPr>
            <w:r>
              <w:rPr>
                <w:noProof/>
                <w:color w:val="000000"/>
                <w:highlight w:val="black"/>
              </w:rPr>
              <w:t>'''''''''''''</w:t>
            </w:r>
          </w:p>
        </w:tc>
        <w:tc>
          <w:tcPr>
            <w:tcW w:w="692" w:type="pct"/>
            <w:vAlign w:val="center"/>
          </w:tcPr>
          <w:p w:rsidR="004001E6" w:rsidRPr="00DD2205" w:rsidRDefault="00DD2205" w:rsidP="00D67A8A">
            <w:pPr>
              <w:pStyle w:val="Tabletext"/>
              <w:jc w:val="center"/>
              <w:rPr>
                <w:highlight w:val="black"/>
              </w:rPr>
            </w:pPr>
            <w:r>
              <w:rPr>
                <w:noProof/>
                <w:color w:val="000000"/>
                <w:highlight w:val="black"/>
              </w:rPr>
              <w:t>''''''''''''''</w:t>
            </w:r>
          </w:p>
        </w:tc>
      </w:tr>
      <w:tr w:rsidR="004001E6" w:rsidRPr="005D100E" w:rsidTr="007A5E71">
        <w:tc>
          <w:tcPr>
            <w:tcW w:w="1603" w:type="pct"/>
          </w:tcPr>
          <w:p w:rsidR="004001E6" w:rsidRPr="005D100E" w:rsidRDefault="004001E6" w:rsidP="00D67A8A">
            <w:pPr>
              <w:pStyle w:val="Tabletext"/>
            </w:pPr>
            <w:r w:rsidRPr="005D100E">
              <w:t>Uptake of selexipag</w:t>
            </w:r>
          </w:p>
        </w:tc>
        <w:tc>
          <w:tcPr>
            <w:tcW w:w="642" w:type="pct"/>
            <w:vAlign w:val="center"/>
          </w:tcPr>
          <w:p w:rsidR="004001E6" w:rsidRPr="005D100E" w:rsidRDefault="004001E6" w:rsidP="00D67A8A">
            <w:pPr>
              <w:pStyle w:val="Tabletext"/>
              <w:jc w:val="center"/>
            </w:pPr>
            <w:r w:rsidRPr="005D100E">
              <w:t>20%</w:t>
            </w:r>
          </w:p>
        </w:tc>
        <w:tc>
          <w:tcPr>
            <w:tcW w:w="674" w:type="pct"/>
            <w:vAlign w:val="center"/>
          </w:tcPr>
          <w:p w:rsidR="004001E6" w:rsidRPr="005D100E" w:rsidRDefault="004001E6" w:rsidP="00D67A8A">
            <w:pPr>
              <w:pStyle w:val="Tabletext"/>
              <w:jc w:val="center"/>
            </w:pPr>
            <w:r w:rsidRPr="005D100E">
              <w:t>30%</w:t>
            </w:r>
          </w:p>
        </w:tc>
        <w:tc>
          <w:tcPr>
            <w:tcW w:w="684" w:type="pct"/>
            <w:vAlign w:val="center"/>
          </w:tcPr>
          <w:p w:rsidR="004001E6" w:rsidRPr="005D100E" w:rsidRDefault="004001E6" w:rsidP="00D67A8A">
            <w:pPr>
              <w:pStyle w:val="Tabletext"/>
              <w:jc w:val="center"/>
            </w:pPr>
            <w:r w:rsidRPr="005D100E">
              <w:t>40%</w:t>
            </w:r>
          </w:p>
        </w:tc>
        <w:tc>
          <w:tcPr>
            <w:tcW w:w="705" w:type="pct"/>
            <w:vAlign w:val="center"/>
          </w:tcPr>
          <w:p w:rsidR="004001E6" w:rsidRPr="005D100E" w:rsidRDefault="004001E6" w:rsidP="00D67A8A">
            <w:pPr>
              <w:pStyle w:val="Tabletext"/>
              <w:jc w:val="center"/>
            </w:pPr>
            <w:r w:rsidRPr="005D100E">
              <w:t>45%</w:t>
            </w:r>
          </w:p>
        </w:tc>
        <w:tc>
          <w:tcPr>
            <w:tcW w:w="692" w:type="pct"/>
            <w:vAlign w:val="center"/>
          </w:tcPr>
          <w:p w:rsidR="004001E6" w:rsidRPr="005D100E" w:rsidRDefault="004001E6" w:rsidP="00D67A8A">
            <w:pPr>
              <w:pStyle w:val="Tabletext"/>
              <w:jc w:val="center"/>
            </w:pPr>
            <w:r w:rsidRPr="005D100E">
              <w:t>50%</w:t>
            </w:r>
          </w:p>
        </w:tc>
      </w:tr>
      <w:tr w:rsidR="004001E6" w:rsidRPr="005D100E" w:rsidTr="007A5E71">
        <w:tc>
          <w:tcPr>
            <w:tcW w:w="1603" w:type="pct"/>
            <w:tcBorders>
              <w:bottom w:val="single" w:sz="4" w:space="0" w:color="auto"/>
            </w:tcBorders>
          </w:tcPr>
          <w:p w:rsidR="004001E6" w:rsidRPr="005D100E" w:rsidRDefault="004001E6" w:rsidP="00D67A8A">
            <w:pPr>
              <w:pStyle w:val="Tabletext"/>
              <w:rPr>
                <w:b/>
              </w:rPr>
            </w:pPr>
            <w:r w:rsidRPr="005D100E">
              <w:rPr>
                <w:b/>
              </w:rPr>
              <w:t>Number of patients likely to be treated</w:t>
            </w:r>
          </w:p>
        </w:tc>
        <w:tc>
          <w:tcPr>
            <w:tcW w:w="642" w:type="pct"/>
            <w:tcBorders>
              <w:bottom w:val="single" w:sz="4" w:space="0" w:color="auto"/>
            </w:tcBorders>
            <w:vAlign w:val="center"/>
          </w:tcPr>
          <w:p w:rsidR="004001E6" w:rsidRPr="00DD2205" w:rsidRDefault="00DD2205" w:rsidP="00D67A8A">
            <w:pPr>
              <w:pStyle w:val="Tabletext"/>
              <w:jc w:val="center"/>
              <w:rPr>
                <w:highlight w:val="black"/>
              </w:rPr>
            </w:pPr>
            <w:r>
              <w:rPr>
                <w:b/>
                <w:noProof/>
                <w:color w:val="000000"/>
                <w:highlight w:val="black"/>
              </w:rPr>
              <w:t>''''''''</w:t>
            </w:r>
          </w:p>
        </w:tc>
        <w:tc>
          <w:tcPr>
            <w:tcW w:w="674" w:type="pct"/>
            <w:tcBorders>
              <w:bottom w:val="single" w:sz="4" w:space="0" w:color="auto"/>
            </w:tcBorders>
            <w:vAlign w:val="center"/>
          </w:tcPr>
          <w:p w:rsidR="004001E6" w:rsidRPr="00DD2205" w:rsidRDefault="00DD2205" w:rsidP="00D67A8A">
            <w:pPr>
              <w:pStyle w:val="Tabletext"/>
              <w:jc w:val="center"/>
              <w:rPr>
                <w:highlight w:val="black"/>
              </w:rPr>
            </w:pPr>
            <w:r>
              <w:rPr>
                <w:b/>
                <w:noProof/>
                <w:color w:val="000000"/>
                <w:highlight w:val="black"/>
              </w:rPr>
              <w:t>''''''''</w:t>
            </w:r>
          </w:p>
        </w:tc>
        <w:tc>
          <w:tcPr>
            <w:tcW w:w="684" w:type="pct"/>
            <w:tcBorders>
              <w:bottom w:val="single" w:sz="4" w:space="0" w:color="auto"/>
            </w:tcBorders>
            <w:vAlign w:val="center"/>
          </w:tcPr>
          <w:p w:rsidR="004001E6" w:rsidRPr="00DD2205" w:rsidRDefault="00DD2205" w:rsidP="00D67A8A">
            <w:pPr>
              <w:pStyle w:val="Tabletext"/>
              <w:jc w:val="center"/>
              <w:rPr>
                <w:highlight w:val="black"/>
              </w:rPr>
            </w:pPr>
            <w:r>
              <w:rPr>
                <w:b/>
                <w:noProof/>
                <w:color w:val="000000"/>
                <w:highlight w:val="black"/>
              </w:rPr>
              <w:t>''''''''''</w:t>
            </w:r>
          </w:p>
        </w:tc>
        <w:tc>
          <w:tcPr>
            <w:tcW w:w="705" w:type="pct"/>
            <w:tcBorders>
              <w:bottom w:val="single" w:sz="4" w:space="0" w:color="auto"/>
            </w:tcBorders>
            <w:vAlign w:val="center"/>
          </w:tcPr>
          <w:p w:rsidR="004001E6" w:rsidRPr="00DD2205" w:rsidRDefault="00DD2205" w:rsidP="00D67A8A">
            <w:pPr>
              <w:pStyle w:val="Tabletext"/>
              <w:jc w:val="center"/>
              <w:rPr>
                <w:highlight w:val="black"/>
              </w:rPr>
            </w:pPr>
            <w:r>
              <w:rPr>
                <w:b/>
                <w:noProof/>
                <w:color w:val="000000"/>
                <w:highlight w:val="black"/>
              </w:rPr>
              <w:t>'''''''''''</w:t>
            </w:r>
          </w:p>
        </w:tc>
        <w:tc>
          <w:tcPr>
            <w:tcW w:w="692" w:type="pct"/>
            <w:tcBorders>
              <w:bottom w:val="single" w:sz="4" w:space="0" w:color="auto"/>
            </w:tcBorders>
            <w:vAlign w:val="center"/>
          </w:tcPr>
          <w:p w:rsidR="004001E6" w:rsidRPr="00DD2205" w:rsidRDefault="00DD2205" w:rsidP="00D67A8A">
            <w:pPr>
              <w:pStyle w:val="Tabletext"/>
              <w:jc w:val="center"/>
              <w:rPr>
                <w:highlight w:val="black"/>
              </w:rPr>
            </w:pPr>
            <w:r>
              <w:rPr>
                <w:b/>
                <w:noProof/>
                <w:color w:val="000000"/>
                <w:highlight w:val="black"/>
              </w:rPr>
              <w:t>''''''''''</w:t>
            </w:r>
          </w:p>
        </w:tc>
      </w:tr>
      <w:tr w:rsidR="004001E6" w:rsidRPr="005D100E" w:rsidTr="007A5E71">
        <w:tc>
          <w:tcPr>
            <w:tcW w:w="1603" w:type="pct"/>
            <w:tcBorders>
              <w:bottom w:val="double" w:sz="4" w:space="0" w:color="auto"/>
            </w:tcBorders>
          </w:tcPr>
          <w:p w:rsidR="004001E6" w:rsidRPr="005D100E" w:rsidRDefault="004001E6" w:rsidP="00D67A8A">
            <w:pPr>
              <w:pStyle w:val="Tabletext"/>
              <w:rPr>
                <w:b/>
              </w:rPr>
            </w:pPr>
            <w:r w:rsidRPr="005D100E">
              <w:rPr>
                <w:b/>
              </w:rPr>
              <w:t>Number of packs per year</w:t>
            </w:r>
            <w:r w:rsidRPr="005D100E">
              <w:rPr>
                <w:b/>
                <w:vertAlign w:val="superscript"/>
              </w:rPr>
              <w:t>a</w:t>
            </w:r>
          </w:p>
        </w:tc>
        <w:tc>
          <w:tcPr>
            <w:tcW w:w="642" w:type="pct"/>
            <w:tcBorders>
              <w:bottom w:val="double" w:sz="4" w:space="0" w:color="auto"/>
            </w:tcBorders>
            <w:vAlign w:val="center"/>
          </w:tcPr>
          <w:p w:rsidR="004001E6" w:rsidRPr="00DD2205" w:rsidRDefault="00DD2205" w:rsidP="00D67A8A">
            <w:pPr>
              <w:pStyle w:val="Tabletext"/>
              <w:jc w:val="center"/>
              <w:rPr>
                <w:b/>
                <w:highlight w:val="black"/>
              </w:rPr>
            </w:pPr>
            <w:r>
              <w:rPr>
                <w:b/>
                <w:noProof/>
                <w:color w:val="000000"/>
                <w:highlight w:val="black"/>
              </w:rPr>
              <w:t>'''''''''''</w:t>
            </w:r>
          </w:p>
        </w:tc>
        <w:tc>
          <w:tcPr>
            <w:tcW w:w="674" w:type="pct"/>
            <w:tcBorders>
              <w:bottom w:val="double" w:sz="4" w:space="0" w:color="auto"/>
            </w:tcBorders>
            <w:vAlign w:val="center"/>
          </w:tcPr>
          <w:p w:rsidR="004001E6" w:rsidRPr="00DD2205" w:rsidRDefault="00DD2205" w:rsidP="00D67A8A">
            <w:pPr>
              <w:pStyle w:val="Tabletext"/>
              <w:jc w:val="center"/>
              <w:rPr>
                <w:b/>
                <w:highlight w:val="black"/>
              </w:rPr>
            </w:pPr>
            <w:r>
              <w:rPr>
                <w:b/>
                <w:noProof/>
                <w:color w:val="000000"/>
                <w:highlight w:val="black"/>
              </w:rPr>
              <w:t>'''''''''''</w:t>
            </w:r>
          </w:p>
        </w:tc>
        <w:tc>
          <w:tcPr>
            <w:tcW w:w="684" w:type="pct"/>
            <w:tcBorders>
              <w:bottom w:val="double" w:sz="4" w:space="0" w:color="auto"/>
            </w:tcBorders>
            <w:vAlign w:val="center"/>
          </w:tcPr>
          <w:p w:rsidR="004001E6" w:rsidRPr="00DD2205" w:rsidRDefault="00DD2205" w:rsidP="00D67A8A">
            <w:pPr>
              <w:pStyle w:val="Tabletext"/>
              <w:jc w:val="center"/>
              <w:rPr>
                <w:b/>
                <w:highlight w:val="black"/>
              </w:rPr>
            </w:pPr>
            <w:r>
              <w:rPr>
                <w:b/>
                <w:noProof/>
                <w:color w:val="000000"/>
                <w:highlight w:val="black"/>
              </w:rPr>
              <w:t>'''''''''''''''</w:t>
            </w:r>
          </w:p>
        </w:tc>
        <w:tc>
          <w:tcPr>
            <w:tcW w:w="705" w:type="pct"/>
            <w:tcBorders>
              <w:bottom w:val="double" w:sz="4" w:space="0" w:color="auto"/>
            </w:tcBorders>
            <w:vAlign w:val="center"/>
          </w:tcPr>
          <w:p w:rsidR="004001E6" w:rsidRPr="00DD2205" w:rsidRDefault="00DD2205" w:rsidP="00D67A8A">
            <w:pPr>
              <w:pStyle w:val="Tabletext"/>
              <w:jc w:val="center"/>
              <w:rPr>
                <w:b/>
                <w:highlight w:val="black"/>
              </w:rPr>
            </w:pPr>
            <w:r>
              <w:rPr>
                <w:b/>
                <w:noProof/>
                <w:color w:val="000000"/>
                <w:highlight w:val="black"/>
              </w:rPr>
              <w:t>'''''''''''''</w:t>
            </w:r>
          </w:p>
        </w:tc>
        <w:tc>
          <w:tcPr>
            <w:tcW w:w="692" w:type="pct"/>
            <w:tcBorders>
              <w:bottom w:val="double" w:sz="4" w:space="0" w:color="auto"/>
            </w:tcBorders>
            <w:vAlign w:val="center"/>
          </w:tcPr>
          <w:p w:rsidR="004001E6" w:rsidRPr="00DD2205" w:rsidRDefault="00DD2205" w:rsidP="00D67A8A">
            <w:pPr>
              <w:pStyle w:val="Tabletext"/>
              <w:jc w:val="center"/>
              <w:rPr>
                <w:b/>
                <w:highlight w:val="black"/>
              </w:rPr>
            </w:pPr>
            <w:r>
              <w:rPr>
                <w:b/>
                <w:noProof/>
                <w:color w:val="000000"/>
                <w:highlight w:val="black"/>
              </w:rPr>
              <w:t>''''''''''''''</w:t>
            </w:r>
          </w:p>
        </w:tc>
      </w:tr>
      <w:tr w:rsidR="004001E6" w:rsidRPr="005D100E" w:rsidTr="007A5E71">
        <w:tc>
          <w:tcPr>
            <w:tcW w:w="1603" w:type="pct"/>
            <w:tcBorders>
              <w:top w:val="double" w:sz="4" w:space="0" w:color="auto"/>
              <w:bottom w:val="single" w:sz="4" w:space="0" w:color="auto"/>
              <w:right w:val="nil"/>
            </w:tcBorders>
          </w:tcPr>
          <w:p w:rsidR="004001E6" w:rsidRPr="005D100E" w:rsidRDefault="004001E6" w:rsidP="00D67A8A">
            <w:pPr>
              <w:widowControl/>
              <w:jc w:val="left"/>
              <w:rPr>
                <w:rFonts w:ascii="Arial Narrow" w:hAnsi="Arial Narrow" w:cs="Times New Roman"/>
                <w:b/>
                <w:snapToGrid/>
                <w:sz w:val="20"/>
              </w:rPr>
            </w:pPr>
            <w:r w:rsidRPr="005D100E">
              <w:rPr>
                <w:rFonts w:ascii="Arial Narrow" w:hAnsi="Arial Narrow" w:cs="Times New Roman"/>
                <w:b/>
                <w:snapToGrid/>
                <w:sz w:val="20"/>
              </w:rPr>
              <w:t>Net cost to the PBS/RPBS</w:t>
            </w:r>
          </w:p>
        </w:tc>
        <w:tc>
          <w:tcPr>
            <w:tcW w:w="642" w:type="pct"/>
            <w:tcBorders>
              <w:top w:val="double" w:sz="4" w:space="0" w:color="auto"/>
              <w:left w:val="nil"/>
              <w:bottom w:val="single" w:sz="4" w:space="0" w:color="auto"/>
              <w:right w:val="nil"/>
            </w:tcBorders>
          </w:tcPr>
          <w:p w:rsidR="004001E6" w:rsidRPr="005D100E" w:rsidRDefault="004001E6" w:rsidP="00D67A8A">
            <w:pPr>
              <w:widowControl/>
              <w:jc w:val="center"/>
              <w:rPr>
                <w:rFonts w:ascii="Arial Narrow" w:hAnsi="Arial Narrow" w:cs="Times New Roman"/>
                <w:b/>
                <w:snapToGrid/>
                <w:sz w:val="20"/>
              </w:rPr>
            </w:pPr>
          </w:p>
        </w:tc>
        <w:tc>
          <w:tcPr>
            <w:tcW w:w="674" w:type="pct"/>
            <w:tcBorders>
              <w:top w:val="double" w:sz="4" w:space="0" w:color="auto"/>
              <w:left w:val="nil"/>
              <w:bottom w:val="single" w:sz="4" w:space="0" w:color="auto"/>
              <w:right w:val="nil"/>
            </w:tcBorders>
          </w:tcPr>
          <w:p w:rsidR="004001E6" w:rsidRPr="005D100E" w:rsidRDefault="004001E6" w:rsidP="00D67A8A">
            <w:pPr>
              <w:widowControl/>
              <w:jc w:val="center"/>
              <w:rPr>
                <w:rFonts w:ascii="Arial Narrow" w:hAnsi="Arial Narrow" w:cs="Times New Roman"/>
                <w:b/>
                <w:snapToGrid/>
                <w:sz w:val="20"/>
              </w:rPr>
            </w:pPr>
          </w:p>
        </w:tc>
        <w:tc>
          <w:tcPr>
            <w:tcW w:w="684" w:type="pct"/>
            <w:tcBorders>
              <w:top w:val="double" w:sz="4" w:space="0" w:color="auto"/>
              <w:left w:val="nil"/>
              <w:bottom w:val="single" w:sz="4" w:space="0" w:color="auto"/>
              <w:right w:val="nil"/>
            </w:tcBorders>
          </w:tcPr>
          <w:p w:rsidR="004001E6" w:rsidRPr="005D100E" w:rsidRDefault="004001E6" w:rsidP="00D67A8A">
            <w:pPr>
              <w:widowControl/>
              <w:jc w:val="center"/>
              <w:rPr>
                <w:rFonts w:ascii="Arial Narrow" w:hAnsi="Arial Narrow" w:cs="Times New Roman"/>
                <w:b/>
                <w:snapToGrid/>
                <w:sz w:val="20"/>
              </w:rPr>
            </w:pPr>
          </w:p>
        </w:tc>
        <w:tc>
          <w:tcPr>
            <w:tcW w:w="705" w:type="pct"/>
            <w:tcBorders>
              <w:top w:val="double" w:sz="4" w:space="0" w:color="auto"/>
              <w:left w:val="nil"/>
              <w:bottom w:val="single" w:sz="4" w:space="0" w:color="auto"/>
              <w:right w:val="nil"/>
            </w:tcBorders>
          </w:tcPr>
          <w:p w:rsidR="004001E6" w:rsidRPr="005D100E" w:rsidRDefault="004001E6" w:rsidP="00D67A8A">
            <w:pPr>
              <w:widowControl/>
              <w:jc w:val="center"/>
              <w:rPr>
                <w:rFonts w:ascii="Arial Narrow" w:hAnsi="Arial Narrow" w:cs="Times New Roman"/>
                <w:b/>
                <w:snapToGrid/>
                <w:sz w:val="20"/>
              </w:rPr>
            </w:pPr>
          </w:p>
        </w:tc>
        <w:tc>
          <w:tcPr>
            <w:tcW w:w="692" w:type="pct"/>
            <w:tcBorders>
              <w:top w:val="double" w:sz="4" w:space="0" w:color="auto"/>
              <w:left w:val="nil"/>
              <w:bottom w:val="single" w:sz="4" w:space="0" w:color="auto"/>
            </w:tcBorders>
          </w:tcPr>
          <w:p w:rsidR="004001E6" w:rsidRPr="005D100E" w:rsidRDefault="004001E6" w:rsidP="00D67A8A">
            <w:pPr>
              <w:widowControl/>
              <w:jc w:val="center"/>
              <w:rPr>
                <w:rFonts w:ascii="Arial Narrow" w:hAnsi="Arial Narrow" w:cs="Times New Roman"/>
                <w:b/>
                <w:snapToGrid/>
                <w:sz w:val="20"/>
              </w:rPr>
            </w:pPr>
          </w:p>
        </w:tc>
      </w:tr>
      <w:tr w:rsidR="004001E6" w:rsidRPr="005D100E" w:rsidTr="007A5E71">
        <w:tc>
          <w:tcPr>
            <w:tcW w:w="1603" w:type="pct"/>
            <w:tcBorders>
              <w:top w:val="single" w:sz="4" w:space="0" w:color="auto"/>
              <w:bottom w:val="single" w:sz="4" w:space="0" w:color="auto"/>
              <w:right w:val="single" w:sz="4" w:space="0" w:color="auto"/>
            </w:tcBorders>
          </w:tcPr>
          <w:p w:rsidR="004001E6" w:rsidRPr="005D100E" w:rsidRDefault="004001E6" w:rsidP="00D67A8A">
            <w:pPr>
              <w:widowControl/>
              <w:jc w:val="left"/>
              <w:rPr>
                <w:rFonts w:ascii="Arial Narrow" w:hAnsi="Arial Narrow" w:cs="Times New Roman"/>
                <w:snapToGrid/>
                <w:sz w:val="20"/>
              </w:rPr>
            </w:pPr>
            <w:r w:rsidRPr="005D100E">
              <w:rPr>
                <w:rFonts w:ascii="Arial Narrow" w:hAnsi="Arial Narrow" w:cs="Times New Roman"/>
                <w:snapToGrid/>
                <w:sz w:val="20"/>
              </w:rPr>
              <w:t>Cost to PBS/RPBS (including co-payments)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bCs/>
                <w:sz w:val="20"/>
              </w:rPr>
              <w:t>$</w:t>
            </w:r>
            <w:r w:rsidR="00DD2205">
              <w:rPr>
                <w:rFonts w:ascii="Arial Narrow" w:hAnsi="Arial Narrow"/>
                <w:bCs/>
                <w:noProof/>
                <w:color w:val="000000"/>
                <w:sz w:val="20"/>
                <w:highlight w:val="black"/>
              </w:rPr>
              <w:t>'''''''''''''''''''''''''</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bCs/>
                <w:sz w:val="20"/>
              </w:rPr>
              <w:t>$</w:t>
            </w:r>
            <w:r w:rsidR="00DD2205">
              <w:rPr>
                <w:rFonts w:ascii="Arial Narrow" w:hAnsi="Arial Narrow"/>
                <w:bCs/>
                <w:noProof/>
                <w:color w:val="000000"/>
                <w:sz w:val="20"/>
                <w:highlight w:val="black"/>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bCs/>
                <w:sz w:val="20"/>
              </w:rPr>
              <w:t>$</w:t>
            </w:r>
            <w:r w:rsidR="00DD2205">
              <w:rPr>
                <w:rFonts w:ascii="Arial Narrow" w:hAnsi="Arial Narrow"/>
                <w:bCs/>
                <w:noProof/>
                <w:color w:val="000000"/>
                <w:sz w:val="20"/>
                <w:highlight w:val="black"/>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bCs/>
                <w:sz w:val="20"/>
              </w:rPr>
              <w:t>$</w:t>
            </w:r>
            <w:r w:rsidR="00DD2205">
              <w:rPr>
                <w:rFonts w:ascii="Arial Narrow" w:hAnsi="Arial Narrow"/>
                <w:bCs/>
                <w:noProof/>
                <w:color w:val="000000"/>
                <w:sz w:val="20"/>
                <w:highlight w:val="black"/>
              </w:rPr>
              <w:t>'''''''''''''''''''''''''''''</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bCs/>
                <w:sz w:val="20"/>
              </w:rPr>
              <w:t>$</w:t>
            </w:r>
            <w:r w:rsidR="00DD2205">
              <w:rPr>
                <w:rFonts w:ascii="Arial Narrow" w:hAnsi="Arial Narrow"/>
                <w:bCs/>
                <w:noProof/>
                <w:color w:val="000000"/>
                <w:sz w:val="20"/>
                <w:highlight w:val="black"/>
              </w:rPr>
              <w:t>''''''''''''''''''''''''''</w:t>
            </w:r>
          </w:p>
        </w:tc>
      </w:tr>
      <w:tr w:rsidR="004001E6" w:rsidRPr="005D100E" w:rsidTr="007A5E71">
        <w:tc>
          <w:tcPr>
            <w:tcW w:w="1603" w:type="pct"/>
            <w:tcBorders>
              <w:top w:val="single" w:sz="4" w:space="0" w:color="auto"/>
              <w:bottom w:val="single" w:sz="4" w:space="0" w:color="auto"/>
              <w:right w:val="single" w:sz="4" w:space="0" w:color="auto"/>
            </w:tcBorders>
          </w:tcPr>
          <w:p w:rsidR="004001E6" w:rsidRPr="005D100E" w:rsidRDefault="004001E6" w:rsidP="00D67A8A">
            <w:pPr>
              <w:widowControl/>
              <w:jc w:val="left"/>
              <w:rPr>
                <w:rFonts w:ascii="Arial Narrow" w:hAnsi="Arial Narrow" w:cs="Times New Roman"/>
                <w:snapToGrid/>
                <w:sz w:val="20"/>
              </w:rPr>
            </w:pPr>
            <w:r w:rsidRPr="005D100E">
              <w:rPr>
                <w:rFonts w:ascii="Arial Narrow" w:hAnsi="Arial Narrow" w:cs="Times New Roman"/>
                <w:snapToGrid/>
                <w:sz w:val="20"/>
              </w:rPr>
              <w:t>Patient co-payments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sz w:val="20"/>
              </w:rPr>
              <w:t>-$</w:t>
            </w:r>
            <w:r w:rsidR="00DD2205">
              <w:rPr>
                <w:rFonts w:ascii="Arial Narrow" w:hAnsi="Arial Narrow"/>
                <w:noProof/>
                <w:color w:val="000000"/>
                <w:sz w:val="20"/>
                <w:highlight w:val="black"/>
              </w:rPr>
              <w:t>'''''''''''''''''''</w:t>
            </w:r>
          </w:p>
        </w:tc>
      </w:tr>
      <w:tr w:rsidR="004001E6" w:rsidRPr="005D100E" w:rsidTr="007A5E71">
        <w:tc>
          <w:tcPr>
            <w:tcW w:w="1603" w:type="pct"/>
            <w:tcBorders>
              <w:top w:val="single" w:sz="4" w:space="0" w:color="auto"/>
              <w:bottom w:val="single" w:sz="4" w:space="0" w:color="auto"/>
              <w:right w:val="single" w:sz="4" w:space="0" w:color="auto"/>
            </w:tcBorders>
          </w:tcPr>
          <w:p w:rsidR="004001E6" w:rsidRPr="005D100E" w:rsidRDefault="004001E6" w:rsidP="00D67A8A">
            <w:pPr>
              <w:widowControl/>
              <w:jc w:val="left"/>
              <w:rPr>
                <w:rFonts w:ascii="Arial Narrow" w:hAnsi="Arial Narrow" w:cs="Times New Roman"/>
                <w:snapToGrid/>
                <w:sz w:val="20"/>
              </w:rPr>
            </w:pPr>
            <w:r w:rsidRPr="005D100E">
              <w:rPr>
                <w:rFonts w:ascii="Arial Narrow" w:hAnsi="Arial Narrow" w:cs="Times New Roman"/>
                <w:snapToGrid/>
                <w:sz w:val="20"/>
              </w:rPr>
              <w:t>Net cost to the PBS/RPBS (excluding co-payments)</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b/>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b/>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b/>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b/>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b/>
                <w:snapToGrid/>
                <w:sz w:val="20"/>
              </w:rPr>
            </w:pPr>
            <w:r w:rsidRPr="005D100E">
              <w:rPr>
                <w:rFonts w:ascii="Arial Narrow" w:hAnsi="Arial Narrow"/>
                <w:sz w:val="20"/>
              </w:rPr>
              <w:t>$</w:t>
            </w:r>
            <w:r w:rsidR="00DD2205">
              <w:rPr>
                <w:rFonts w:ascii="Arial Narrow" w:hAnsi="Arial Narrow"/>
                <w:noProof/>
                <w:color w:val="000000"/>
                <w:sz w:val="20"/>
                <w:highlight w:val="black"/>
              </w:rPr>
              <w:t>''''''''''''''''''''''''''''</w:t>
            </w:r>
          </w:p>
        </w:tc>
      </w:tr>
      <w:tr w:rsidR="004001E6" w:rsidRPr="005D100E" w:rsidTr="007A5E71">
        <w:tc>
          <w:tcPr>
            <w:tcW w:w="1603" w:type="pct"/>
            <w:tcBorders>
              <w:top w:val="single" w:sz="4" w:space="0" w:color="auto"/>
              <w:bottom w:val="single" w:sz="4" w:space="0" w:color="auto"/>
              <w:right w:val="single" w:sz="4" w:space="0" w:color="auto"/>
            </w:tcBorders>
          </w:tcPr>
          <w:p w:rsidR="004001E6" w:rsidRPr="005D100E" w:rsidRDefault="004001E6" w:rsidP="00D67A8A">
            <w:pPr>
              <w:widowControl/>
              <w:jc w:val="left"/>
              <w:rPr>
                <w:rFonts w:ascii="Arial Narrow" w:hAnsi="Arial Narrow" w:cs="Times New Roman"/>
                <w:snapToGrid/>
                <w:sz w:val="20"/>
                <w:vertAlign w:val="superscript"/>
              </w:rPr>
            </w:pPr>
            <w:r w:rsidRPr="005D100E">
              <w:rPr>
                <w:rFonts w:ascii="Arial Narrow" w:hAnsi="Arial Narrow" w:cs="Times New Roman"/>
                <w:snapToGrid/>
                <w:sz w:val="20"/>
              </w:rPr>
              <w:t>Proposed rebate</w:t>
            </w:r>
            <w:r w:rsidRPr="005D100E">
              <w:rPr>
                <w:rFonts w:ascii="Arial Narrow" w:hAnsi="Arial Narrow" w:cs="Times New Roman"/>
                <w:snapToGrid/>
                <w:sz w:val="20"/>
                <w:vertAlign w:val="superscript"/>
              </w:rPr>
              <w:t>a</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sz w:val="20"/>
              </w:rPr>
              <w:t>-$</w:t>
            </w:r>
            <w:r w:rsidR="00DD2205">
              <w:rPr>
                <w:rFonts w:ascii="Arial Narrow" w:hAnsi="Arial Narrow"/>
                <w:noProof/>
                <w:color w:val="000000"/>
                <w:sz w:val="20"/>
                <w:highlight w:val="black"/>
              </w:rPr>
              <w:t>'''''''''''''''''''''''''''''</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snapToGrid/>
                <w:sz w:val="20"/>
              </w:rPr>
            </w:pPr>
            <w:r w:rsidRPr="005D100E">
              <w:rPr>
                <w:rFonts w:ascii="Arial Narrow" w:hAnsi="Arial Narrow"/>
                <w:sz w:val="20"/>
              </w:rPr>
              <w:t>-$</w:t>
            </w:r>
            <w:r w:rsidR="00DD2205">
              <w:rPr>
                <w:rFonts w:ascii="Arial Narrow" w:hAnsi="Arial Narrow"/>
                <w:noProof/>
                <w:color w:val="000000"/>
                <w:sz w:val="20"/>
                <w:highlight w:val="black"/>
              </w:rPr>
              <w:t>''''''''''''''''''''''''''</w:t>
            </w:r>
          </w:p>
        </w:tc>
      </w:tr>
      <w:tr w:rsidR="004001E6" w:rsidRPr="005D100E" w:rsidTr="007A5E71">
        <w:tc>
          <w:tcPr>
            <w:tcW w:w="1603" w:type="pct"/>
            <w:tcBorders>
              <w:top w:val="single" w:sz="4" w:space="0" w:color="auto"/>
              <w:bottom w:val="single" w:sz="4" w:space="0" w:color="auto"/>
              <w:right w:val="single" w:sz="4" w:space="0" w:color="auto"/>
            </w:tcBorders>
          </w:tcPr>
          <w:p w:rsidR="004001E6" w:rsidRPr="005D100E" w:rsidRDefault="004001E6" w:rsidP="00D67A8A">
            <w:pPr>
              <w:widowControl/>
              <w:ind w:right="-57"/>
              <w:jc w:val="left"/>
              <w:rPr>
                <w:rFonts w:ascii="Arial Narrow" w:hAnsi="Arial Narrow" w:cs="Times New Roman"/>
                <w:b/>
                <w:snapToGrid/>
                <w:sz w:val="20"/>
              </w:rPr>
            </w:pPr>
            <w:r w:rsidRPr="005D100E">
              <w:rPr>
                <w:rFonts w:ascii="Arial Narrow" w:hAnsi="Arial Narrow" w:cs="Times New Roman"/>
                <w:b/>
                <w:snapToGrid/>
                <w:sz w:val="20"/>
              </w:rPr>
              <w:t>Net cost to PBS/RPBS after rebate</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b/>
                <w:snapToGrid/>
                <w:sz w:val="20"/>
              </w:rPr>
            </w:pPr>
            <w:r w:rsidRPr="005D100E">
              <w:rPr>
                <w:rFonts w:ascii="Arial Narrow" w:hAnsi="Arial Narrow"/>
                <w:b/>
                <w:sz w:val="20"/>
              </w:rPr>
              <w:t>$</w:t>
            </w:r>
            <w:r w:rsidR="00DD2205">
              <w:rPr>
                <w:rFonts w:ascii="Arial Narrow" w:hAnsi="Arial Narrow"/>
                <w:b/>
                <w:noProof/>
                <w:color w:val="000000"/>
                <w:sz w:val="20"/>
                <w:highlight w:val="black"/>
              </w:rPr>
              <w:t>'''''''''''''''''''''''</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b/>
                <w:snapToGrid/>
                <w:sz w:val="20"/>
              </w:rPr>
            </w:pPr>
            <w:r w:rsidRPr="005D100E">
              <w:rPr>
                <w:rFonts w:ascii="Arial Narrow" w:hAnsi="Arial Narrow"/>
                <w:b/>
                <w:sz w:val="20"/>
              </w:rPr>
              <w:t>$</w:t>
            </w:r>
            <w:r w:rsidR="00DD2205">
              <w:rPr>
                <w:rFonts w:ascii="Arial Narrow" w:hAnsi="Arial Narrow"/>
                <w:b/>
                <w:noProof/>
                <w:color w:val="000000"/>
                <w:sz w:val="20"/>
                <w:highlight w:val="black"/>
              </w:rPr>
              <w:t>'''''''''''''''''''''''</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b/>
                <w:snapToGrid/>
                <w:sz w:val="20"/>
              </w:rPr>
            </w:pPr>
            <w:r w:rsidRPr="005D100E">
              <w:rPr>
                <w:rFonts w:ascii="Arial Narrow" w:hAnsi="Arial Narrow"/>
                <w:b/>
                <w:sz w:val="20"/>
              </w:rPr>
              <w:t>$</w:t>
            </w:r>
            <w:r w:rsidR="00DD2205">
              <w:rPr>
                <w:rFonts w:ascii="Arial Narrow" w:hAnsi="Arial Narrow"/>
                <w:b/>
                <w:noProof/>
                <w:color w:val="000000"/>
                <w:sz w:val="20"/>
                <w:highlight w:val="black"/>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b/>
                <w:snapToGrid/>
                <w:sz w:val="20"/>
              </w:rPr>
            </w:pPr>
            <w:r w:rsidRPr="005D100E">
              <w:rPr>
                <w:rFonts w:ascii="Arial Narrow" w:hAnsi="Arial Narrow"/>
                <w:b/>
                <w:sz w:val="20"/>
              </w:rPr>
              <w:t>$</w:t>
            </w:r>
            <w:r w:rsidR="00DD2205">
              <w:rPr>
                <w:rFonts w:ascii="Arial Narrow" w:hAnsi="Arial Narrow"/>
                <w:b/>
                <w:noProof/>
                <w:color w:val="000000"/>
                <w:sz w:val="20"/>
                <w:highlight w:val="black"/>
              </w:rPr>
              <w:t>'''''''''''''''''''''''</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4001E6" w:rsidRPr="005D100E" w:rsidRDefault="004001E6" w:rsidP="007A5E71">
            <w:pPr>
              <w:widowControl/>
              <w:ind w:left="-57"/>
              <w:jc w:val="right"/>
              <w:rPr>
                <w:rFonts w:ascii="Arial Narrow" w:hAnsi="Arial Narrow" w:cs="Times New Roman"/>
                <w:b/>
                <w:snapToGrid/>
                <w:sz w:val="20"/>
              </w:rPr>
            </w:pPr>
            <w:r w:rsidRPr="005D100E">
              <w:rPr>
                <w:rFonts w:ascii="Arial Narrow" w:hAnsi="Arial Narrow"/>
                <w:b/>
                <w:sz w:val="20"/>
              </w:rPr>
              <w:t>$</w:t>
            </w:r>
            <w:r w:rsidR="00DD2205">
              <w:rPr>
                <w:rFonts w:ascii="Arial Narrow" w:hAnsi="Arial Narrow"/>
                <w:b/>
                <w:noProof/>
                <w:color w:val="000000"/>
                <w:sz w:val="20"/>
                <w:highlight w:val="black"/>
              </w:rPr>
              <w:t>''''''''''''''''''''''''</w:t>
            </w:r>
          </w:p>
        </w:tc>
      </w:tr>
    </w:tbl>
    <w:p w:rsidR="004001E6" w:rsidRPr="005D100E" w:rsidRDefault="004001E6" w:rsidP="004001E6">
      <w:pPr>
        <w:pStyle w:val="TableFooter"/>
        <w:ind w:left="709"/>
      </w:pPr>
      <w:r w:rsidRPr="005D100E">
        <w:t>ERA = endothelin receptor antagonist; PDE-5 = phosphodiesterase type 5</w:t>
      </w:r>
    </w:p>
    <w:p w:rsidR="004001E6" w:rsidRPr="005D100E" w:rsidRDefault="004001E6" w:rsidP="004001E6">
      <w:pPr>
        <w:pStyle w:val="TableFooter"/>
        <w:ind w:left="709"/>
      </w:pPr>
      <w:r w:rsidRPr="005D100E">
        <w:rPr>
          <w:vertAlign w:val="superscript"/>
        </w:rPr>
        <w:t>a</w:t>
      </w:r>
      <w:r w:rsidRPr="005D100E">
        <w:t xml:space="preserve"> Assuming 12 packs per year, as estimated by the </w:t>
      </w:r>
      <w:r w:rsidR="00F801E3" w:rsidRPr="005D100E">
        <w:t>resubmission</w:t>
      </w:r>
    </w:p>
    <w:p w:rsidR="004001E6" w:rsidRPr="005D100E" w:rsidRDefault="004001E6" w:rsidP="004001E6">
      <w:pPr>
        <w:pStyle w:val="TableFooter"/>
        <w:ind w:left="709"/>
      </w:pPr>
      <w:r w:rsidRPr="005D100E">
        <w:rPr>
          <w:vertAlign w:val="superscript"/>
        </w:rPr>
        <w:t>b</w:t>
      </w:r>
      <w:r w:rsidRPr="005D100E">
        <w:t xml:space="preserve"> The </w:t>
      </w:r>
      <w:r w:rsidR="00F801E3" w:rsidRPr="005D100E">
        <w:t>resubmission</w:t>
      </w:r>
      <w:r w:rsidRPr="005D100E">
        <w:t xml:space="preserve"> proposes a Special Pricing Arrangement in which the sponsor would rebate $</w:t>
      </w:r>
      <w:r w:rsidR="00DD2205">
        <w:rPr>
          <w:noProof/>
          <w:color w:val="000000"/>
          <w:highlight w:val="black"/>
        </w:rPr>
        <w:t>''''''''''''''</w:t>
      </w:r>
      <w:r w:rsidRPr="005D100E">
        <w:t xml:space="preserve"> per prescription of selexipag</w:t>
      </w:r>
    </w:p>
    <w:p w:rsidR="004001E6" w:rsidRPr="005D100E" w:rsidRDefault="004001E6" w:rsidP="004001E6">
      <w:pPr>
        <w:pStyle w:val="TableFooter"/>
        <w:ind w:left="709"/>
      </w:pPr>
      <w:r w:rsidRPr="005D100E">
        <w:rPr>
          <w:iCs/>
        </w:rPr>
        <w:t xml:space="preserve">Source: Table compiled during the evaluation. </w:t>
      </w:r>
      <w:r w:rsidRPr="005D100E">
        <w:t xml:space="preserve">Excel workbook “4_Economic and financial analyses - selexipag - PAH- March 2017” supplied in the </w:t>
      </w:r>
      <w:r w:rsidR="00F801E3" w:rsidRPr="005D100E">
        <w:t>resubmission</w:t>
      </w:r>
      <w:r w:rsidRPr="005D100E">
        <w:t>.</w:t>
      </w:r>
    </w:p>
    <w:p w:rsidR="00C25D9C" w:rsidRDefault="00C25D9C" w:rsidP="00C25D9C">
      <w:pPr>
        <w:widowControl/>
        <w:rPr>
          <w:szCs w:val="22"/>
        </w:rPr>
      </w:pPr>
    </w:p>
    <w:p w:rsidR="00ED3A35" w:rsidRDefault="00ED3A35" w:rsidP="00CE0153">
      <w:pPr>
        <w:widowControl/>
        <w:ind w:left="709"/>
        <w:rPr>
          <w:szCs w:val="22"/>
        </w:rPr>
      </w:pPr>
      <w:r>
        <w:rPr>
          <w:szCs w:val="22"/>
        </w:rPr>
        <w:t xml:space="preserve">The redacted table shows that at year 5, the estimated number of patients was less than 10,000 per year and the net cost to the PBS would be $30 - $60 million per year. </w:t>
      </w:r>
    </w:p>
    <w:p w:rsidR="00ED3A35" w:rsidRDefault="00ED3A35" w:rsidP="00C25D9C">
      <w:pPr>
        <w:widowControl/>
        <w:rPr>
          <w:szCs w:val="22"/>
        </w:rPr>
      </w:pPr>
    </w:p>
    <w:p w:rsidR="00925A6A" w:rsidRDefault="00925A6A" w:rsidP="0074367D">
      <w:pPr>
        <w:pStyle w:val="ListParagraph"/>
        <w:widowControl/>
        <w:numPr>
          <w:ilvl w:val="1"/>
          <w:numId w:val="2"/>
        </w:numPr>
        <w:rPr>
          <w:szCs w:val="22"/>
        </w:rPr>
      </w:pPr>
      <w:r>
        <w:rPr>
          <w:szCs w:val="22"/>
        </w:rPr>
        <w:t xml:space="preserve">The </w:t>
      </w:r>
      <w:r w:rsidR="00F801E3">
        <w:rPr>
          <w:szCs w:val="22"/>
        </w:rPr>
        <w:t>resubmission</w:t>
      </w:r>
      <w:r>
        <w:rPr>
          <w:szCs w:val="22"/>
        </w:rPr>
        <w:t>’s estimates did not account for the use of selexipag during the dose titration period.</w:t>
      </w:r>
    </w:p>
    <w:p w:rsidR="00925A6A" w:rsidRDefault="00925A6A" w:rsidP="00724DEF"/>
    <w:p w:rsidR="00576972" w:rsidRPr="002C2775" w:rsidRDefault="00576972" w:rsidP="002C2775">
      <w:pPr>
        <w:pStyle w:val="Heading2"/>
        <w:rPr>
          <w:i/>
          <w:szCs w:val="22"/>
        </w:rPr>
      </w:pPr>
      <w:bookmarkStart w:id="19" w:name="_Toc472425784"/>
      <w:r w:rsidRPr="002C2775">
        <w:rPr>
          <w:i/>
        </w:rPr>
        <w:t>Financial Management – Risk Sharing Arrangements</w:t>
      </w:r>
      <w:bookmarkEnd w:id="19"/>
    </w:p>
    <w:p w:rsidR="00C25D9C" w:rsidRPr="00576972" w:rsidRDefault="00C25D9C" w:rsidP="00576972">
      <w:pPr>
        <w:widowControl/>
        <w:rPr>
          <w:szCs w:val="22"/>
        </w:rPr>
      </w:pPr>
    </w:p>
    <w:p w:rsidR="00C25D9C" w:rsidRPr="00147F9A" w:rsidRDefault="00925A6A" w:rsidP="0074367D">
      <w:pPr>
        <w:pStyle w:val="ListParagraph"/>
        <w:widowControl/>
        <w:numPr>
          <w:ilvl w:val="1"/>
          <w:numId w:val="2"/>
        </w:numPr>
        <w:rPr>
          <w:szCs w:val="22"/>
        </w:rPr>
      </w:pPr>
      <w:r w:rsidRPr="00033516">
        <w:t>The sponsor proposed to rebate the Commonwealth of Australia $</w:t>
      </w:r>
      <w:r w:rsidR="00DD2205">
        <w:rPr>
          <w:noProof/>
          <w:color w:val="000000"/>
          <w:highlight w:val="black"/>
        </w:rPr>
        <w:t>'''''''''''''''</w:t>
      </w:r>
      <w:r w:rsidRPr="00033516">
        <w:t xml:space="preserve"> per prescription of selexipag dispensed on the PBS under a formalised Deed of </w:t>
      </w:r>
      <w:r w:rsidRPr="00147F9A">
        <w:t xml:space="preserve">Agreement. </w:t>
      </w:r>
      <w:r w:rsidR="00467463" w:rsidRPr="00147F9A">
        <w:t>The rebate amount was increased compared to the previous submission (when the rebate was $</w:t>
      </w:r>
      <w:r w:rsidR="00DD2205">
        <w:rPr>
          <w:noProof/>
          <w:color w:val="000000"/>
          <w:highlight w:val="black"/>
        </w:rPr>
        <w:t>''''''''''''''</w:t>
      </w:r>
      <w:r w:rsidR="00467463" w:rsidRPr="00147F9A">
        <w:t>).</w:t>
      </w:r>
    </w:p>
    <w:p w:rsidR="00147F9A" w:rsidRPr="00147F9A" w:rsidRDefault="00147F9A" w:rsidP="00147F9A">
      <w:pPr>
        <w:pStyle w:val="ListParagraph"/>
        <w:widowControl/>
        <w:rPr>
          <w:szCs w:val="22"/>
        </w:rPr>
      </w:pPr>
    </w:p>
    <w:p w:rsidR="00467463" w:rsidRPr="00300433" w:rsidRDefault="009A1682" w:rsidP="00686AD6">
      <w:pPr>
        <w:pStyle w:val="Heading2"/>
        <w:keepNext/>
        <w:rPr>
          <w:i/>
        </w:rPr>
      </w:pPr>
      <w:bookmarkStart w:id="20" w:name="_Toc472425785"/>
      <w:r>
        <w:rPr>
          <w:i/>
        </w:rPr>
        <w:t>Other relevant issues</w:t>
      </w:r>
      <w:bookmarkEnd w:id="20"/>
      <w:r w:rsidR="00300433">
        <w:rPr>
          <w:i/>
        </w:rPr>
        <w:t xml:space="preserve"> – </w:t>
      </w:r>
      <w:r w:rsidR="00467463" w:rsidRPr="00300433">
        <w:rPr>
          <w:bCs/>
          <w:i/>
        </w:rPr>
        <w:t>Proposed</w:t>
      </w:r>
      <w:r w:rsidR="00300433" w:rsidRPr="00300433">
        <w:rPr>
          <w:bCs/>
          <w:i/>
        </w:rPr>
        <w:t xml:space="preserve"> </w:t>
      </w:r>
      <w:r w:rsidR="00467463" w:rsidRPr="00300433">
        <w:rPr>
          <w:bCs/>
          <w:i/>
        </w:rPr>
        <w:t>extension to the PBS listing of sildenafil</w:t>
      </w:r>
    </w:p>
    <w:p w:rsidR="00467463" w:rsidRDefault="00467463" w:rsidP="00686AD6">
      <w:pPr>
        <w:keepNext/>
      </w:pPr>
    </w:p>
    <w:p w:rsidR="00300433" w:rsidRPr="005D100E" w:rsidRDefault="00467463" w:rsidP="0074367D">
      <w:pPr>
        <w:pStyle w:val="ListParagraph"/>
        <w:widowControl/>
        <w:numPr>
          <w:ilvl w:val="1"/>
          <w:numId w:val="2"/>
        </w:numPr>
        <w:rPr>
          <w:szCs w:val="22"/>
        </w:rPr>
      </w:pPr>
      <w:r w:rsidRPr="005D100E">
        <w:t xml:space="preserve">In the Appendix to the main body of the resubmission, the sponsor requested the current PBS listing for sildenafil for use as monotherapy be extended to permit its use as add-on therapy to an ERA agent in patients who have not achieved physician-directed treatment targets. In support of the intended use of sildenafil as add-on therapy to ERAs, the sponsor conducted a systematic review and performed a meta-analysis of five clinical trials comparing PDE-5 inhibitor plus background ERA therapy with ERA alone in PAH patients. The listing of sildenafil as a component of dual second-line therapy as requested in the Appendix of the resubmission relates to a different agent and a different line of PAH therapy from the proposed listing in the main body, and therefore would require a separate major submission and full evaluation of its implications for clinical practice, health outcomes, cost-effectiveness, government health budgets, and other considerations, </w:t>
      </w:r>
      <w:r w:rsidR="00571A05" w:rsidRPr="005D100E">
        <w:t>e.g.</w:t>
      </w:r>
      <w:r w:rsidRPr="005D100E">
        <w:t xml:space="preserve"> quality use of medicine and equity. The evidence provided in the appendix </w:t>
      </w:r>
      <w:r w:rsidR="005B09D3">
        <w:t>w</w:t>
      </w:r>
      <w:r w:rsidRPr="005D100E">
        <w:t xml:space="preserve">as not </w:t>
      </w:r>
      <w:r w:rsidR="005B09D3">
        <w:t xml:space="preserve">assessed during the </w:t>
      </w:r>
      <w:r w:rsidRPr="005D100E">
        <w:t>evaluat</w:t>
      </w:r>
      <w:r w:rsidR="005B09D3">
        <w:t>ion</w:t>
      </w:r>
      <w:r w:rsidRPr="005D100E">
        <w:t>.</w:t>
      </w:r>
      <w:r w:rsidR="00AF190C" w:rsidRPr="005D100E">
        <w:t xml:space="preserve"> The ESC acknowledged the systematic review and meta-analysis of data on PDE-5 inhibitors provided in the appendix, but noted that the changes proposed to the sildenafil listing would have implications broader than just use in patients prescribed selexipag, and</w:t>
      </w:r>
      <w:r w:rsidR="006977BD" w:rsidRPr="005D100E">
        <w:t>, as noted in the evaluation,</w:t>
      </w:r>
      <w:r w:rsidR="00AF190C" w:rsidRPr="005D100E">
        <w:t xml:space="preserve"> would require consideration from PBAC</w:t>
      </w:r>
      <w:r w:rsidR="00161568">
        <w:t xml:space="preserve"> in the form of a separate formal submission</w:t>
      </w:r>
      <w:r w:rsidR="00AF190C" w:rsidRPr="005D100E">
        <w:t>.</w:t>
      </w:r>
    </w:p>
    <w:p w:rsidR="00300433" w:rsidRPr="005D100E" w:rsidRDefault="00300433" w:rsidP="00300433">
      <w:pPr>
        <w:pStyle w:val="ListParagraph"/>
        <w:widowControl/>
        <w:rPr>
          <w:szCs w:val="22"/>
        </w:rPr>
      </w:pPr>
    </w:p>
    <w:p w:rsidR="00467463" w:rsidRPr="00300433" w:rsidRDefault="00467463" w:rsidP="0074367D">
      <w:pPr>
        <w:pStyle w:val="ListParagraph"/>
        <w:widowControl/>
        <w:numPr>
          <w:ilvl w:val="1"/>
          <w:numId w:val="2"/>
        </w:numPr>
        <w:rPr>
          <w:szCs w:val="22"/>
        </w:rPr>
      </w:pPr>
      <w:r w:rsidRPr="005D100E">
        <w:t xml:space="preserve">The sponsor proposed to rebate </w:t>
      </w:r>
      <w:r w:rsidR="00DD2205">
        <w:rPr>
          <w:noProof/>
          <w:color w:val="000000"/>
          <w:highlight w:val="black"/>
        </w:rPr>
        <w:t>'''''''''</w:t>
      </w:r>
      <w:r w:rsidRPr="005D100E">
        <w:t>% of the cost of sildenafil only when it is used as an add-on to Actelion-sponsored ERA products (TRACLEER</w:t>
      </w:r>
      <w:r w:rsidRPr="005D100E">
        <w:rPr>
          <w:vertAlign w:val="superscript"/>
        </w:rPr>
        <w:t>®</w:t>
      </w:r>
      <w:r w:rsidRPr="005D100E">
        <w:t xml:space="preserve"> branded bosentan and OPSUMIT</w:t>
      </w:r>
      <w:r w:rsidRPr="005D100E">
        <w:rPr>
          <w:vertAlign w:val="superscript"/>
        </w:rPr>
        <w:t>®</w:t>
      </w:r>
      <w:r w:rsidRPr="005D100E">
        <w:t xml:space="preserve"> branded macitentan). The sponsor indicated that it would also be open to the extension of the listing of the other PDE-5 inhibitor, </w:t>
      </w:r>
      <w:r w:rsidR="00571A05" w:rsidRPr="005D100E">
        <w:t>i.e.</w:t>
      </w:r>
      <w:r w:rsidRPr="005D100E">
        <w:t xml:space="preserve"> tadalafil, as proposed for sildenafil but can only offer to rebate tadalafil up to </w:t>
      </w:r>
      <w:r w:rsidR="00DD2205">
        <w:rPr>
          <w:noProof/>
          <w:color w:val="000000"/>
          <w:highlight w:val="black"/>
        </w:rPr>
        <w:t>'''''''' '''''''''''''''' '''''''''''''</w:t>
      </w:r>
      <w:r w:rsidRPr="005D100E">
        <w:t xml:space="preserve"> for sildenafil</w:t>
      </w:r>
      <w:r w:rsidR="00A939DD">
        <w:t>.</w:t>
      </w:r>
      <w:r w:rsidR="008A384E">
        <w:t xml:space="preserve">  The sponsor indicated that this rebate would apply to sildenafil (and potentially tadalafil) used as add-on therapy to Actelion-sponsored ERA products, regardless of whether selexipag was prescribed as triple therapy or not</w:t>
      </w:r>
      <w:r>
        <w:t>.</w:t>
      </w:r>
    </w:p>
    <w:p w:rsidR="00467463" w:rsidRDefault="00467463" w:rsidP="00724DEF"/>
    <w:p w:rsidR="002D5531" w:rsidRPr="0005234D" w:rsidRDefault="002D5531" w:rsidP="002D5531">
      <w:pPr>
        <w:ind w:firstLine="720"/>
        <w:rPr>
          <w:bCs/>
          <w:szCs w:val="22"/>
        </w:rPr>
      </w:pPr>
      <w:r w:rsidRPr="00161568">
        <w:rPr>
          <w:bCs/>
          <w:i/>
          <w:szCs w:val="22"/>
        </w:rPr>
        <w:t>For more detail on PBAC’s view, see section 7 “PBAC outcome”</w:t>
      </w:r>
    </w:p>
    <w:p w:rsidR="00CC38C4" w:rsidRDefault="00CC38C4" w:rsidP="00CC38C4">
      <w:pPr>
        <w:rPr>
          <w:rStyle w:val="IntenseReference"/>
          <w:b w:val="0"/>
          <w:bCs w:val="0"/>
          <w:i/>
          <w:smallCaps w:val="0"/>
        </w:rPr>
      </w:pPr>
    </w:p>
    <w:p w:rsidR="0074367D" w:rsidRDefault="0074367D" w:rsidP="00CC38C4">
      <w:pPr>
        <w:rPr>
          <w:rStyle w:val="IntenseReference"/>
          <w:b w:val="0"/>
          <w:bCs w:val="0"/>
          <w:i/>
          <w:smallCaps w:val="0"/>
        </w:rPr>
      </w:pPr>
    </w:p>
    <w:p w:rsidR="00CC38C4" w:rsidRPr="0074367D" w:rsidRDefault="00CC38C4" w:rsidP="0074367D">
      <w:pPr>
        <w:pStyle w:val="PBACHeading1"/>
      </w:pPr>
      <w:r w:rsidRPr="0074367D">
        <w:t>PBAC Outcome</w:t>
      </w:r>
    </w:p>
    <w:p w:rsidR="00CC38C4" w:rsidRPr="00206BEB" w:rsidRDefault="00CC38C4" w:rsidP="00CC38C4">
      <w:pPr>
        <w:rPr>
          <w:b/>
          <w:bCs/>
          <w:lang w:val="en-GB"/>
        </w:rPr>
      </w:pPr>
    </w:p>
    <w:p w:rsidR="00CC38C4" w:rsidRPr="00206BEB" w:rsidRDefault="00206BEB" w:rsidP="0074367D">
      <w:pPr>
        <w:numPr>
          <w:ilvl w:val="1"/>
          <w:numId w:val="2"/>
        </w:numPr>
        <w:rPr>
          <w:bCs/>
          <w:lang w:val="en-GB"/>
        </w:rPr>
      </w:pPr>
      <w:r w:rsidRPr="00206BEB">
        <w:rPr>
          <w:bCs/>
          <w:lang w:val="en-GB"/>
        </w:rPr>
        <w:t xml:space="preserve">The PBAC did not recommend the listing of selexipag on the PBS for the treatment of certain patients with </w:t>
      </w:r>
      <w:r w:rsidR="00FE19D6">
        <w:rPr>
          <w:bCs/>
          <w:lang w:val="en-GB"/>
        </w:rPr>
        <w:t>pulmonary arterial hypertension (</w:t>
      </w:r>
      <w:r w:rsidRPr="00206BEB">
        <w:rPr>
          <w:bCs/>
          <w:lang w:val="en-GB"/>
        </w:rPr>
        <w:t>PAH</w:t>
      </w:r>
      <w:r w:rsidR="00FE19D6">
        <w:rPr>
          <w:bCs/>
          <w:lang w:val="en-GB"/>
        </w:rPr>
        <w:t>)</w:t>
      </w:r>
      <w:r w:rsidRPr="00206BEB">
        <w:rPr>
          <w:bCs/>
          <w:lang w:val="en-GB"/>
        </w:rPr>
        <w:t>. In reaching this conclusion, the PBAC considered that the</w:t>
      </w:r>
      <w:r w:rsidR="00883B65">
        <w:rPr>
          <w:bCs/>
          <w:lang w:val="en-GB"/>
        </w:rPr>
        <w:t xml:space="preserve"> ICERs</w:t>
      </w:r>
      <w:r w:rsidRPr="00206BEB">
        <w:rPr>
          <w:bCs/>
          <w:lang w:val="en-GB"/>
        </w:rPr>
        <w:t xml:space="preserve"> presented in the submission remained difficult to interpret, and were </w:t>
      </w:r>
      <w:r w:rsidR="00833F14">
        <w:rPr>
          <w:bCs/>
          <w:lang w:val="en-GB"/>
        </w:rPr>
        <w:t xml:space="preserve">highly </w:t>
      </w:r>
      <w:r w:rsidRPr="00206BEB">
        <w:rPr>
          <w:bCs/>
          <w:lang w:val="en-GB"/>
        </w:rPr>
        <w:t xml:space="preserve">likely </w:t>
      </w:r>
      <w:r w:rsidR="008D643F">
        <w:rPr>
          <w:bCs/>
          <w:lang w:val="en-GB"/>
        </w:rPr>
        <w:t xml:space="preserve">to be </w:t>
      </w:r>
      <w:r w:rsidRPr="00206BEB">
        <w:rPr>
          <w:bCs/>
          <w:lang w:val="en-GB"/>
        </w:rPr>
        <w:t>too high to support the cost-effectiveness of selexipag in the requested listing.</w:t>
      </w:r>
    </w:p>
    <w:p w:rsidR="00CC38C4" w:rsidRPr="0069654D" w:rsidRDefault="00CC38C4" w:rsidP="00CC38C4">
      <w:pPr>
        <w:rPr>
          <w:bCs/>
          <w:highlight w:val="yellow"/>
          <w:lang w:val="en-GB"/>
        </w:rPr>
      </w:pPr>
    </w:p>
    <w:p w:rsidR="00CC38C4" w:rsidRPr="005C6768" w:rsidRDefault="00206BEB" w:rsidP="0074367D">
      <w:pPr>
        <w:numPr>
          <w:ilvl w:val="1"/>
          <w:numId w:val="2"/>
        </w:numPr>
        <w:rPr>
          <w:bCs/>
          <w:lang w:val="en-GB"/>
        </w:rPr>
      </w:pPr>
      <w:r w:rsidRPr="005C6768">
        <w:rPr>
          <w:bCs/>
          <w:lang w:val="en-GB"/>
        </w:rPr>
        <w:t>The PBAC noted that the requested listing restricted use of selexipag to triple therapy (or dual therapy, in some situations). Whilst the PBAC acknowledged that use in this setting appeared to be most appropriate, the Committee did not necessarily consider that it would be appropriate fo</w:t>
      </w:r>
      <w:r w:rsidR="00641AA5" w:rsidRPr="005C6768">
        <w:rPr>
          <w:bCs/>
          <w:lang w:val="en-GB"/>
        </w:rPr>
        <w:t>r the PBS listing to specify triple therapy. Noting also that the approved TGA indication included monotherapy and dual therapy, as well as triple therapy, the PBAC considered that in this situation it was preferable not to specify the line of use in any listing</w:t>
      </w:r>
      <w:r w:rsidR="00A939DD">
        <w:rPr>
          <w:bCs/>
          <w:lang w:val="en-GB"/>
        </w:rPr>
        <w:t xml:space="preserve"> other than as add-on therapy</w:t>
      </w:r>
      <w:r w:rsidR="00641AA5" w:rsidRPr="005C6768">
        <w:rPr>
          <w:bCs/>
          <w:lang w:val="en-GB"/>
        </w:rPr>
        <w:t>, and instead allow clinicians to prescribe selexipag according to their clinical judgement</w:t>
      </w:r>
      <w:r w:rsidR="00883B65" w:rsidRPr="005C6768">
        <w:rPr>
          <w:bCs/>
          <w:lang w:val="en-GB"/>
        </w:rPr>
        <w:t>.</w:t>
      </w:r>
    </w:p>
    <w:p w:rsidR="00CC38C4" w:rsidRPr="005C6768" w:rsidRDefault="00CC38C4" w:rsidP="00CC38C4">
      <w:pPr>
        <w:rPr>
          <w:bCs/>
          <w:lang w:val="en-GB"/>
        </w:rPr>
      </w:pPr>
    </w:p>
    <w:p w:rsidR="00CC38C4" w:rsidRPr="00FE19D6" w:rsidRDefault="00EB15CE" w:rsidP="00686AD6">
      <w:pPr>
        <w:widowControl/>
        <w:numPr>
          <w:ilvl w:val="1"/>
          <w:numId w:val="2"/>
        </w:numPr>
        <w:rPr>
          <w:bCs/>
          <w:lang w:val="en-GB"/>
        </w:rPr>
      </w:pPr>
      <w:r w:rsidRPr="005C6768">
        <w:rPr>
          <w:color w:val="000000" w:themeColor="text1"/>
        </w:rPr>
        <w:t xml:space="preserve">The PBAC remained of the view that selexipag was likely to be superior </w:t>
      </w:r>
      <w:r w:rsidR="00883B65" w:rsidRPr="005C6768">
        <w:rPr>
          <w:color w:val="000000" w:themeColor="text1"/>
        </w:rPr>
        <w:t xml:space="preserve">to placebo </w:t>
      </w:r>
      <w:r w:rsidRPr="005C6768">
        <w:rPr>
          <w:color w:val="000000" w:themeColor="text1"/>
        </w:rPr>
        <w:t xml:space="preserve">in terms of comparative effectiveness, but that the magnitude and clinical relevance of any benefit remained unclear. </w:t>
      </w:r>
    </w:p>
    <w:p w:rsidR="00FE19D6" w:rsidRPr="00FE19D6" w:rsidRDefault="00FE19D6" w:rsidP="00FE19D6">
      <w:pPr>
        <w:ind w:left="720"/>
        <w:rPr>
          <w:bCs/>
          <w:lang w:val="en-GB"/>
        </w:rPr>
      </w:pPr>
    </w:p>
    <w:p w:rsidR="00FE19D6" w:rsidRPr="00FE19D6" w:rsidRDefault="00FE19D6" w:rsidP="0074367D">
      <w:pPr>
        <w:numPr>
          <w:ilvl w:val="1"/>
          <w:numId w:val="2"/>
        </w:numPr>
        <w:rPr>
          <w:color w:val="000000" w:themeColor="text1"/>
        </w:rPr>
      </w:pPr>
      <w:r w:rsidRPr="00FE19D6">
        <w:rPr>
          <w:color w:val="000000" w:themeColor="text1"/>
        </w:rPr>
        <w:t xml:space="preserve">The PBAC accepted the claim </w:t>
      </w:r>
      <w:r>
        <w:rPr>
          <w:color w:val="000000" w:themeColor="text1"/>
        </w:rPr>
        <w:t xml:space="preserve">that </w:t>
      </w:r>
      <w:r w:rsidR="00A939DD">
        <w:rPr>
          <w:color w:val="000000" w:themeColor="text1"/>
        </w:rPr>
        <w:t xml:space="preserve">selexipag </w:t>
      </w:r>
      <w:r>
        <w:rPr>
          <w:color w:val="000000" w:themeColor="text1"/>
        </w:rPr>
        <w:t xml:space="preserve">is </w:t>
      </w:r>
      <w:r w:rsidRPr="00FE19D6">
        <w:rPr>
          <w:color w:val="000000" w:themeColor="text1"/>
        </w:rPr>
        <w:t>of inferior comparative safety compared to placebo.</w:t>
      </w:r>
    </w:p>
    <w:p w:rsidR="00886E3F" w:rsidRPr="005E24E4" w:rsidRDefault="00886E3F" w:rsidP="005E24E4">
      <w:pPr>
        <w:rPr>
          <w:bCs/>
          <w:lang w:val="en-GB"/>
        </w:rPr>
      </w:pPr>
    </w:p>
    <w:p w:rsidR="00886E3F" w:rsidRPr="005C6768" w:rsidRDefault="00886E3F" w:rsidP="0074367D">
      <w:pPr>
        <w:numPr>
          <w:ilvl w:val="1"/>
          <w:numId w:val="2"/>
        </w:numPr>
        <w:rPr>
          <w:bCs/>
          <w:lang w:val="en-GB"/>
        </w:rPr>
      </w:pPr>
      <w:r w:rsidRPr="005C6768">
        <w:rPr>
          <w:bCs/>
          <w:lang w:val="en-GB"/>
        </w:rPr>
        <w:t xml:space="preserve">The PBAC </w:t>
      </w:r>
      <w:r w:rsidR="00D0317D" w:rsidRPr="005C6768">
        <w:rPr>
          <w:bCs/>
          <w:lang w:val="en-GB"/>
        </w:rPr>
        <w:t>noted that the clinical trial results had been re-analysed in the current submission, but that th</w:t>
      </w:r>
      <w:r w:rsidR="005C45F6">
        <w:rPr>
          <w:bCs/>
          <w:lang w:val="en-GB"/>
        </w:rPr>
        <w:t>e</w:t>
      </w:r>
      <w:r w:rsidR="00D0317D" w:rsidRPr="005C6768">
        <w:rPr>
          <w:bCs/>
          <w:lang w:val="en-GB"/>
        </w:rPr>
        <w:t xml:space="preserve"> re-analysis did not </w:t>
      </w:r>
      <w:r w:rsidR="005C45F6">
        <w:rPr>
          <w:bCs/>
          <w:lang w:val="en-GB"/>
        </w:rPr>
        <w:t xml:space="preserve">change the PBAC’s view of </w:t>
      </w:r>
      <w:r w:rsidR="00D0317D" w:rsidRPr="005C6768">
        <w:rPr>
          <w:bCs/>
          <w:lang w:val="en-GB"/>
        </w:rPr>
        <w:t xml:space="preserve">the cost-effectiveness </w:t>
      </w:r>
      <w:r w:rsidR="005C45F6">
        <w:rPr>
          <w:bCs/>
          <w:lang w:val="en-GB"/>
        </w:rPr>
        <w:t>o</w:t>
      </w:r>
      <w:r w:rsidR="00D0317D" w:rsidRPr="005C6768">
        <w:rPr>
          <w:bCs/>
          <w:lang w:val="en-GB"/>
        </w:rPr>
        <w:t xml:space="preserve">f </w:t>
      </w:r>
      <w:r w:rsidR="002056AA" w:rsidRPr="005C6768">
        <w:rPr>
          <w:bCs/>
          <w:lang w:val="en-GB"/>
        </w:rPr>
        <w:t>selexipag.</w:t>
      </w:r>
    </w:p>
    <w:p w:rsidR="00CC38C4" w:rsidRPr="005C6768" w:rsidRDefault="00CC38C4" w:rsidP="00CC38C4">
      <w:pPr>
        <w:rPr>
          <w:bCs/>
          <w:lang w:val="en-GB"/>
        </w:rPr>
      </w:pPr>
    </w:p>
    <w:p w:rsidR="00CC38C4" w:rsidRPr="005C6768" w:rsidRDefault="00D0317D" w:rsidP="0074367D">
      <w:pPr>
        <w:numPr>
          <w:ilvl w:val="1"/>
          <w:numId w:val="2"/>
        </w:numPr>
        <w:rPr>
          <w:bCs/>
          <w:lang w:val="en-GB"/>
        </w:rPr>
      </w:pPr>
      <w:r w:rsidRPr="005C6768">
        <w:rPr>
          <w:bCs/>
          <w:lang w:val="en-GB"/>
        </w:rPr>
        <w:t xml:space="preserve">The PBAC noted that new clinical data for </w:t>
      </w:r>
      <w:r w:rsidR="002056AA" w:rsidRPr="005C6768">
        <w:rPr>
          <w:bCs/>
          <w:lang w:val="en-GB"/>
        </w:rPr>
        <w:t>selexipag</w:t>
      </w:r>
      <w:r w:rsidRPr="005C6768">
        <w:rPr>
          <w:bCs/>
          <w:lang w:val="en-GB"/>
        </w:rPr>
        <w:t xml:space="preserve"> is unlikely to be forthcoming, and t</w:t>
      </w:r>
      <w:r w:rsidR="00A415B5" w:rsidRPr="005C6768">
        <w:rPr>
          <w:bCs/>
          <w:lang w:val="en-GB"/>
        </w:rPr>
        <w:t>herefore</w:t>
      </w:r>
      <w:r w:rsidR="002056AA" w:rsidRPr="005C6768">
        <w:rPr>
          <w:bCs/>
          <w:lang w:val="en-GB"/>
        </w:rPr>
        <w:t xml:space="preserve"> the most likely way a more acceptable ICER</w:t>
      </w:r>
      <w:r w:rsidRPr="005C6768">
        <w:rPr>
          <w:bCs/>
          <w:lang w:val="en-GB"/>
        </w:rPr>
        <w:t xml:space="preserve"> </w:t>
      </w:r>
      <w:r w:rsidR="002056AA" w:rsidRPr="005C6768">
        <w:rPr>
          <w:bCs/>
          <w:lang w:val="en-GB"/>
        </w:rPr>
        <w:t>could be achieved would be with a reduced proposed price.</w:t>
      </w:r>
    </w:p>
    <w:p w:rsidR="00CC38C4" w:rsidRPr="005C6768" w:rsidRDefault="00CC38C4" w:rsidP="00CC38C4">
      <w:pPr>
        <w:rPr>
          <w:bCs/>
          <w:lang w:val="en-GB"/>
        </w:rPr>
      </w:pPr>
    </w:p>
    <w:p w:rsidR="00CC38C4" w:rsidRPr="005C6768" w:rsidRDefault="00CC38C4" w:rsidP="0074367D">
      <w:pPr>
        <w:numPr>
          <w:ilvl w:val="1"/>
          <w:numId w:val="2"/>
        </w:numPr>
        <w:rPr>
          <w:b/>
          <w:bCs/>
          <w:lang w:val="en-GB"/>
        </w:rPr>
      </w:pPr>
      <w:r w:rsidRPr="005C6768">
        <w:rPr>
          <w:bCs/>
          <w:lang w:val="en-GB"/>
        </w:rPr>
        <w:t xml:space="preserve">The PBAC noted that this submission is eligible for an Independent Review. </w:t>
      </w:r>
    </w:p>
    <w:p w:rsidR="00CC38C4" w:rsidRPr="005C6768" w:rsidRDefault="00CC38C4" w:rsidP="00CC38C4">
      <w:pPr>
        <w:rPr>
          <w:b/>
          <w:bCs/>
          <w:lang w:val="en-GB"/>
        </w:rPr>
      </w:pPr>
    </w:p>
    <w:p w:rsidR="00CC38C4" w:rsidRPr="005C6768" w:rsidRDefault="00CC38C4" w:rsidP="00CC38C4">
      <w:pPr>
        <w:rPr>
          <w:b/>
          <w:bCs/>
          <w:lang w:val="en-GB"/>
        </w:rPr>
      </w:pPr>
      <w:r w:rsidRPr="005C6768">
        <w:rPr>
          <w:b/>
          <w:bCs/>
          <w:lang w:val="en-GB"/>
        </w:rPr>
        <w:t>Outcome:</w:t>
      </w:r>
    </w:p>
    <w:p w:rsidR="00C034BD" w:rsidRDefault="00CC38C4" w:rsidP="00396FFB">
      <w:r w:rsidRPr="005C6768">
        <w:rPr>
          <w:bCs/>
          <w:lang w:val="en-GB"/>
        </w:rPr>
        <w:t>Rejected</w:t>
      </w:r>
    </w:p>
    <w:p w:rsidR="00396FFB" w:rsidRDefault="00396FFB" w:rsidP="00CC38C4"/>
    <w:p w:rsidR="00263635" w:rsidRPr="005C6768" w:rsidRDefault="00263635" w:rsidP="00CC38C4"/>
    <w:p w:rsidR="005D2A4D" w:rsidRDefault="005D2A4D" w:rsidP="0074367D">
      <w:pPr>
        <w:pStyle w:val="PBACHeading1"/>
        <w:ind w:left="709" w:hanging="709"/>
      </w:pPr>
      <w:r w:rsidRPr="00485DD3">
        <w:t>Context for Decision</w:t>
      </w:r>
    </w:p>
    <w:p w:rsidR="005D2A4D" w:rsidRDefault="005D2A4D" w:rsidP="005D2A4D">
      <w:pPr>
        <w:ind w:left="709"/>
      </w:pPr>
    </w:p>
    <w:p w:rsidR="005D2A4D" w:rsidRDefault="005D2A4D" w:rsidP="005D2A4D">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D2A4D" w:rsidRDefault="005D2A4D" w:rsidP="005D2A4D">
      <w:pPr>
        <w:ind w:left="709"/>
      </w:pPr>
    </w:p>
    <w:p w:rsidR="005D2A4D" w:rsidRDefault="005D2A4D" w:rsidP="005D2A4D">
      <w:pPr>
        <w:ind w:left="709"/>
      </w:pPr>
    </w:p>
    <w:p w:rsidR="005D2A4D" w:rsidRPr="00B0280B" w:rsidRDefault="005D2A4D" w:rsidP="0074367D">
      <w:pPr>
        <w:pStyle w:val="PBACHeading1"/>
        <w:ind w:left="709" w:hanging="709"/>
      </w:pPr>
      <w:r w:rsidRPr="00485DD3">
        <w:t>Sponsor’s Comment</w:t>
      </w:r>
    </w:p>
    <w:p w:rsidR="005D2A4D" w:rsidRDefault="005D2A4D" w:rsidP="005D2A4D">
      <w:pPr>
        <w:ind w:left="709"/>
        <w:rPr>
          <w:bCs/>
          <w:highlight w:val="yellow"/>
          <w:lang w:val="en-GB"/>
        </w:rPr>
      </w:pPr>
    </w:p>
    <w:p w:rsidR="00006680" w:rsidRDefault="00006680" w:rsidP="00006680">
      <w:pPr>
        <w:spacing w:after="120"/>
        <w:ind w:left="709"/>
        <w:rPr>
          <w:szCs w:val="22"/>
        </w:rPr>
      </w:pPr>
      <w:r>
        <w:rPr>
          <w:bCs/>
        </w:rPr>
        <w:t>Actelion Pharmaceuticals Ltd will consider the comments made by the PBAC and it will seek further advice from the PBAC to decide about another re-submission requesting PBS listing of selexipag for patients with PAH.</w:t>
      </w:r>
    </w:p>
    <w:p w:rsidR="00561389" w:rsidRDefault="00561389" w:rsidP="00006680">
      <w:pPr>
        <w:spacing w:after="120"/>
        <w:ind w:left="709"/>
        <w:rPr>
          <w:szCs w:val="22"/>
        </w:rPr>
      </w:pPr>
    </w:p>
    <w:sectPr w:rsidR="00561389" w:rsidSect="00F21DEA">
      <w:headerReference w:type="even" r:id="rId10"/>
      <w:headerReference w:type="default" r:id="rId11"/>
      <w:footerReference w:type="even" r:id="rId12"/>
      <w:footerReference w:type="default" r:id="rId13"/>
      <w:headerReference w:type="first" r:id="rId14"/>
      <w:footerReference w:type="first" r:id="rId15"/>
      <w:footnotePr>
        <w:numFmt w:val="chicago"/>
      </w:footnotePr>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A38D6" w15:done="0"/>
  <w15:commentEx w15:paraId="6C3AE3CF" w15:done="0"/>
  <w15:commentEx w15:paraId="545023A2" w15:done="0"/>
  <w15:commentEx w15:paraId="52B3E23B" w15:done="0"/>
  <w15:commentEx w15:paraId="4BB71ACE" w15:done="0"/>
  <w15:commentEx w15:paraId="5BC5AF9B" w15:done="0"/>
  <w15:commentEx w15:paraId="158B2680" w15:done="0"/>
  <w15:commentEx w15:paraId="04BB9634" w15:done="0"/>
  <w15:commentEx w15:paraId="5736DE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05" w:rsidRDefault="00DD2205" w:rsidP="00124A51">
      <w:r>
        <w:separator/>
      </w:r>
    </w:p>
  </w:endnote>
  <w:endnote w:type="continuationSeparator" w:id="0">
    <w:p w:rsidR="00DD2205" w:rsidRDefault="00DD220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5" w:rsidRDefault="00DD2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D6" w:rsidRDefault="00686AD6">
    <w:pPr>
      <w:pStyle w:val="Footer"/>
      <w:rPr>
        <w:sz w:val="20"/>
      </w:rPr>
    </w:pPr>
    <w:r>
      <w:rPr>
        <w:sz w:val="20"/>
      </w:rPr>
      <w:tab/>
    </w:r>
  </w:p>
  <w:p w:rsidR="00686AD6" w:rsidRDefault="00686AD6" w:rsidP="002A56EA">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DD2205">
      <w:rPr>
        <w:noProof/>
        <w:sz w:val="20"/>
      </w:rPr>
      <w:t>17</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5" w:rsidRDefault="00DD2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05" w:rsidRDefault="00DD2205" w:rsidP="00124A51">
      <w:r>
        <w:separator/>
      </w:r>
    </w:p>
  </w:footnote>
  <w:footnote w:type="continuationSeparator" w:id="0">
    <w:p w:rsidR="00DD2205" w:rsidRDefault="00DD2205"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5" w:rsidRDefault="00DD2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D6" w:rsidRPr="00DF217D" w:rsidRDefault="00686AD6" w:rsidP="0074367D">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2017 </w:t>
    </w:r>
    <w:r w:rsidRPr="00DF217D">
      <w:rPr>
        <w:i/>
        <w:color w:val="808080"/>
      </w:rPr>
      <w:t>PBAC</w:t>
    </w:r>
    <w:r>
      <w:rPr>
        <w:i/>
        <w:color w:val="808080"/>
      </w:rPr>
      <w:t xml:space="preserve"> </w:t>
    </w:r>
    <w:r w:rsidRPr="00DF217D">
      <w:rPr>
        <w:i/>
        <w:color w:val="808080"/>
      </w:rPr>
      <w:t>Meeting</w:t>
    </w:r>
  </w:p>
  <w:p w:rsidR="00686AD6" w:rsidRDefault="00686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05" w:rsidRDefault="00DD2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6298D858"/>
    <w:lvl w:ilvl="0" w:tplc="04090001">
      <w:start w:val="1"/>
      <w:numFmt w:val="bullet"/>
      <w:lvlText w:val=""/>
      <w:lvlJc w:val="left"/>
      <w:pPr>
        <w:ind w:left="720" w:hanging="360"/>
      </w:pPr>
      <w:rPr>
        <w:rFonts w:ascii="Symbol" w:hAnsi="Symbol" w:hint="default"/>
      </w:rPr>
    </w:lvl>
    <w:lvl w:ilvl="1" w:tplc="64604D72">
      <w:numFmt w:val="bullet"/>
      <w:lvlText w:val="•"/>
      <w:lvlJc w:val="left"/>
      <w:pPr>
        <w:ind w:left="1080" w:firstLine="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757E5"/>
    <w:multiLevelType w:val="multilevel"/>
    <w:tmpl w:val="5DF4CA5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1405555"/>
    <w:multiLevelType w:val="hybridMultilevel"/>
    <w:tmpl w:val="4590FC56"/>
    <w:lvl w:ilvl="0" w:tplc="8444AE78">
      <w:start w:val="1"/>
      <w:numFmt w:val="bullet"/>
      <w:pStyle w:val="minutesdotpoint"/>
      <w:lvlText w:val="­"/>
      <w:lvlJc w:val="left"/>
      <w:pPr>
        <w:ind w:left="720" w:hanging="360"/>
      </w:pPr>
      <w:rPr>
        <w:rFonts w:ascii="Courier New" w:hAnsi="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EA3B97"/>
    <w:multiLevelType w:val="hybridMultilevel"/>
    <w:tmpl w:val="7A72C870"/>
    <w:lvl w:ilvl="0" w:tplc="0C090001">
      <w:start w:val="1"/>
      <w:numFmt w:val="bullet"/>
      <w:lvlText w:val=""/>
      <w:lvlJc w:val="left"/>
      <w:pPr>
        <w:ind w:left="948" w:hanging="360"/>
      </w:pPr>
      <w:rPr>
        <w:rFonts w:ascii="Symbol" w:hAnsi="Symbol" w:hint="default"/>
      </w:rPr>
    </w:lvl>
    <w:lvl w:ilvl="1" w:tplc="D3CCF494">
      <w:start w:val="1"/>
      <w:numFmt w:val="bullet"/>
      <w:lvlText w:val=""/>
      <w:lvlJc w:val="left"/>
      <w:pPr>
        <w:ind w:left="1668" w:hanging="360"/>
      </w:pPr>
      <w:rPr>
        <w:rFonts w:ascii="Symbol" w:hAnsi="Symbol" w:hint="default"/>
      </w:rPr>
    </w:lvl>
    <w:lvl w:ilvl="2" w:tplc="0C090005">
      <w:start w:val="1"/>
      <w:numFmt w:val="bullet"/>
      <w:lvlText w:val=""/>
      <w:lvlJc w:val="left"/>
      <w:pPr>
        <w:ind w:left="2388" w:hanging="360"/>
      </w:pPr>
      <w:rPr>
        <w:rFonts w:ascii="Wingdings" w:hAnsi="Wingdings" w:hint="default"/>
      </w:rPr>
    </w:lvl>
    <w:lvl w:ilvl="3" w:tplc="0C090001" w:tentative="1">
      <w:start w:val="1"/>
      <w:numFmt w:val="bullet"/>
      <w:lvlText w:val=""/>
      <w:lvlJc w:val="left"/>
      <w:pPr>
        <w:ind w:left="3108" w:hanging="360"/>
      </w:pPr>
      <w:rPr>
        <w:rFonts w:ascii="Symbol" w:hAnsi="Symbol" w:hint="default"/>
      </w:rPr>
    </w:lvl>
    <w:lvl w:ilvl="4" w:tplc="0C090003" w:tentative="1">
      <w:start w:val="1"/>
      <w:numFmt w:val="bullet"/>
      <w:lvlText w:val="o"/>
      <w:lvlJc w:val="left"/>
      <w:pPr>
        <w:ind w:left="3828" w:hanging="360"/>
      </w:pPr>
      <w:rPr>
        <w:rFonts w:ascii="Courier New" w:hAnsi="Courier New" w:cs="Courier New" w:hint="default"/>
      </w:rPr>
    </w:lvl>
    <w:lvl w:ilvl="5" w:tplc="0C090005" w:tentative="1">
      <w:start w:val="1"/>
      <w:numFmt w:val="bullet"/>
      <w:lvlText w:val=""/>
      <w:lvlJc w:val="left"/>
      <w:pPr>
        <w:ind w:left="4548" w:hanging="360"/>
      </w:pPr>
      <w:rPr>
        <w:rFonts w:ascii="Wingdings" w:hAnsi="Wingdings" w:hint="default"/>
      </w:rPr>
    </w:lvl>
    <w:lvl w:ilvl="6" w:tplc="0C090001" w:tentative="1">
      <w:start w:val="1"/>
      <w:numFmt w:val="bullet"/>
      <w:lvlText w:val=""/>
      <w:lvlJc w:val="left"/>
      <w:pPr>
        <w:ind w:left="5268" w:hanging="360"/>
      </w:pPr>
      <w:rPr>
        <w:rFonts w:ascii="Symbol" w:hAnsi="Symbol" w:hint="default"/>
      </w:rPr>
    </w:lvl>
    <w:lvl w:ilvl="7" w:tplc="0C090003" w:tentative="1">
      <w:start w:val="1"/>
      <w:numFmt w:val="bullet"/>
      <w:lvlText w:val="o"/>
      <w:lvlJc w:val="left"/>
      <w:pPr>
        <w:ind w:left="5988" w:hanging="360"/>
      </w:pPr>
      <w:rPr>
        <w:rFonts w:ascii="Courier New" w:hAnsi="Courier New" w:cs="Courier New" w:hint="default"/>
      </w:rPr>
    </w:lvl>
    <w:lvl w:ilvl="8" w:tplc="0C090005" w:tentative="1">
      <w:start w:val="1"/>
      <w:numFmt w:val="bullet"/>
      <w:lvlText w:val=""/>
      <w:lvlJc w:val="left"/>
      <w:pPr>
        <w:ind w:left="6708" w:hanging="360"/>
      </w:pPr>
      <w:rPr>
        <w:rFonts w:ascii="Wingdings" w:hAnsi="Wingdings" w:hint="default"/>
      </w:rPr>
    </w:lvl>
  </w:abstractNum>
  <w:abstractNum w:abstractNumId="4">
    <w:nsid w:val="64195AA8"/>
    <w:multiLevelType w:val="hybridMultilevel"/>
    <w:tmpl w:val="0C14D68A"/>
    <w:lvl w:ilvl="0" w:tplc="0C090001">
      <w:start w:val="1"/>
      <w:numFmt w:val="bullet"/>
      <w:lvlText w:val=""/>
      <w:lvlJc w:val="left"/>
      <w:pPr>
        <w:ind w:left="1429" w:hanging="360"/>
      </w:pPr>
      <w:rPr>
        <w:rFonts w:ascii="Symbol" w:hAnsi="Symbol" w:hint="default"/>
      </w:rPr>
    </w:lvl>
    <w:lvl w:ilvl="1" w:tplc="2ECE06EC">
      <w:start w:val="1"/>
      <w:numFmt w:val="lowerRoman"/>
      <w:lvlText w:val="%2)"/>
      <w:lvlJc w:val="left"/>
      <w:pPr>
        <w:ind w:left="2149" w:hanging="360"/>
      </w:pPr>
      <w:rPr>
        <w:rFonts w:hint="default"/>
      </w:rPr>
    </w:lvl>
    <w:lvl w:ilvl="2" w:tplc="D3CCF494">
      <w:start w:val="1"/>
      <w:numFmt w:val="bullet"/>
      <w:lvlText w:val=""/>
      <w:lvlJc w:val="left"/>
      <w:pPr>
        <w:ind w:left="2869" w:hanging="360"/>
      </w:pPr>
      <w:rPr>
        <w:rFonts w:ascii="Symbol" w:hAnsi="Symbol"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6A7A1995"/>
    <w:multiLevelType w:val="hybridMultilevel"/>
    <w:tmpl w:val="327660A4"/>
    <w:lvl w:ilvl="0" w:tplc="865E63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0D12D58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y Parkin">
    <w15:presenceInfo w15:providerId="Windows Live" w15:userId="989ef9d4eb5f5a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2w59f5hpawvee05wgvzftdre0p2xtapdts&quot;&gt;PAH&lt;record-ids&gt;&lt;item&gt;6&lt;/item&gt;&lt;item&gt;32&lt;/item&gt;&lt;item&gt;35&lt;/item&gt;&lt;/record-ids&gt;&lt;/item&gt;&lt;/Libraries&gt;"/>
  </w:docVars>
  <w:rsids>
    <w:rsidRoot w:val="00E65E79"/>
    <w:rsid w:val="00000790"/>
    <w:rsid w:val="0000110B"/>
    <w:rsid w:val="00003499"/>
    <w:rsid w:val="00004FBB"/>
    <w:rsid w:val="000050B9"/>
    <w:rsid w:val="00006680"/>
    <w:rsid w:val="00011BB7"/>
    <w:rsid w:val="00011C85"/>
    <w:rsid w:val="000121EC"/>
    <w:rsid w:val="00013247"/>
    <w:rsid w:val="00015886"/>
    <w:rsid w:val="000162EF"/>
    <w:rsid w:val="00017CCB"/>
    <w:rsid w:val="00021DB9"/>
    <w:rsid w:val="0002225F"/>
    <w:rsid w:val="000233F6"/>
    <w:rsid w:val="00023763"/>
    <w:rsid w:val="00026566"/>
    <w:rsid w:val="000270B0"/>
    <w:rsid w:val="000277E5"/>
    <w:rsid w:val="00033516"/>
    <w:rsid w:val="000340E1"/>
    <w:rsid w:val="0003439C"/>
    <w:rsid w:val="0003509A"/>
    <w:rsid w:val="00040895"/>
    <w:rsid w:val="00042E6B"/>
    <w:rsid w:val="00043C37"/>
    <w:rsid w:val="00047778"/>
    <w:rsid w:val="000478AD"/>
    <w:rsid w:val="00052941"/>
    <w:rsid w:val="000546D7"/>
    <w:rsid w:val="00054BE2"/>
    <w:rsid w:val="000569D9"/>
    <w:rsid w:val="00057777"/>
    <w:rsid w:val="00062738"/>
    <w:rsid w:val="0006347F"/>
    <w:rsid w:val="000634AC"/>
    <w:rsid w:val="00064A64"/>
    <w:rsid w:val="00066950"/>
    <w:rsid w:val="00071248"/>
    <w:rsid w:val="000720B9"/>
    <w:rsid w:val="0007786E"/>
    <w:rsid w:val="000778FD"/>
    <w:rsid w:val="000812CA"/>
    <w:rsid w:val="000846E3"/>
    <w:rsid w:val="00090C7E"/>
    <w:rsid w:val="0009269E"/>
    <w:rsid w:val="000A0B36"/>
    <w:rsid w:val="000A0FC7"/>
    <w:rsid w:val="000A12C8"/>
    <w:rsid w:val="000A2907"/>
    <w:rsid w:val="000A4E19"/>
    <w:rsid w:val="000A4E5C"/>
    <w:rsid w:val="000A59C5"/>
    <w:rsid w:val="000A63A2"/>
    <w:rsid w:val="000B5001"/>
    <w:rsid w:val="000B5EEC"/>
    <w:rsid w:val="000B72FA"/>
    <w:rsid w:val="000B7F4B"/>
    <w:rsid w:val="000C0854"/>
    <w:rsid w:val="000C0A4B"/>
    <w:rsid w:val="000C1BDB"/>
    <w:rsid w:val="000C3335"/>
    <w:rsid w:val="000C3D80"/>
    <w:rsid w:val="000C78E7"/>
    <w:rsid w:val="000C7CA3"/>
    <w:rsid w:val="000C7DD7"/>
    <w:rsid w:val="000D0860"/>
    <w:rsid w:val="000D1BFC"/>
    <w:rsid w:val="000D44C3"/>
    <w:rsid w:val="000D4F50"/>
    <w:rsid w:val="000D6A90"/>
    <w:rsid w:val="000D77CA"/>
    <w:rsid w:val="000E1B0D"/>
    <w:rsid w:val="000E3E83"/>
    <w:rsid w:val="000F4BB8"/>
    <w:rsid w:val="000F7127"/>
    <w:rsid w:val="00100F8A"/>
    <w:rsid w:val="0010191A"/>
    <w:rsid w:val="001074DD"/>
    <w:rsid w:val="0011032E"/>
    <w:rsid w:val="0011102F"/>
    <w:rsid w:val="0011267B"/>
    <w:rsid w:val="0011348B"/>
    <w:rsid w:val="001205B5"/>
    <w:rsid w:val="00121799"/>
    <w:rsid w:val="001222FC"/>
    <w:rsid w:val="00124A51"/>
    <w:rsid w:val="00124EB8"/>
    <w:rsid w:val="00126621"/>
    <w:rsid w:val="00126BF7"/>
    <w:rsid w:val="00126F43"/>
    <w:rsid w:val="001301E9"/>
    <w:rsid w:val="001330D1"/>
    <w:rsid w:val="00134D21"/>
    <w:rsid w:val="00137645"/>
    <w:rsid w:val="00137E52"/>
    <w:rsid w:val="0014015A"/>
    <w:rsid w:val="00140E99"/>
    <w:rsid w:val="00141A59"/>
    <w:rsid w:val="00145540"/>
    <w:rsid w:val="001456B0"/>
    <w:rsid w:val="00145CC6"/>
    <w:rsid w:val="00146B6A"/>
    <w:rsid w:val="00147F9A"/>
    <w:rsid w:val="00150BF5"/>
    <w:rsid w:val="00150D64"/>
    <w:rsid w:val="0015284B"/>
    <w:rsid w:val="00152C58"/>
    <w:rsid w:val="00152C7E"/>
    <w:rsid w:val="00155170"/>
    <w:rsid w:val="00157130"/>
    <w:rsid w:val="00161568"/>
    <w:rsid w:val="001616C9"/>
    <w:rsid w:val="00161D2A"/>
    <w:rsid w:val="00162913"/>
    <w:rsid w:val="00163034"/>
    <w:rsid w:val="0016379C"/>
    <w:rsid w:val="00163EFF"/>
    <w:rsid w:val="00165FD1"/>
    <w:rsid w:val="001661FB"/>
    <w:rsid w:val="00171D63"/>
    <w:rsid w:val="001720DB"/>
    <w:rsid w:val="001729A0"/>
    <w:rsid w:val="00182EFF"/>
    <w:rsid w:val="00183DEE"/>
    <w:rsid w:val="0018752F"/>
    <w:rsid w:val="001908BC"/>
    <w:rsid w:val="00193264"/>
    <w:rsid w:val="001944FD"/>
    <w:rsid w:val="00195222"/>
    <w:rsid w:val="00195439"/>
    <w:rsid w:val="00196AF2"/>
    <w:rsid w:val="00196F43"/>
    <w:rsid w:val="0019751A"/>
    <w:rsid w:val="001975D8"/>
    <w:rsid w:val="001A23E2"/>
    <w:rsid w:val="001A2475"/>
    <w:rsid w:val="001A5D48"/>
    <w:rsid w:val="001B263A"/>
    <w:rsid w:val="001B297A"/>
    <w:rsid w:val="001B3443"/>
    <w:rsid w:val="001B3AAC"/>
    <w:rsid w:val="001B43DB"/>
    <w:rsid w:val="001B540F"/>
    <w:rsid w:val="001B57A0"/>
    <w:rsid w:val="001C50FA"/>
    <w:rsid w:val="001C5A28"/>
    <w:rsid w:val="001C5F7E"/>
    <w:rsid w:val="001C6E66"/>
    <w:rsid w:val="001C7757"/>
    <w:rsid w:val="001D1CDF"/>
    <w:rsid w:val="001E0173"/>
    <w:rsid w:val="001E238E"/>
    <w:rsid w:val="001E252B"/>
    <w:rsid w:val="001E2531"/>
    <w:rsid w:val="001E2B1E"/>
    <w:rsid w:val="001E2DA8"/>
    <w:rsid w:val="001E3E82"/>
    <w:rsid w:val="001E52EB"/>
    <w:rsid w:val="001E740C"/>
    <w:rsid w:val="001E77E0"/>
    <w:rsid w:val="001F0AEA"/>
    <w:rsid w:val="001F1235"/>
    <w:rsid w:val="001F1CB3"/>
    <w:rsid w:val="001F7361"/>
    <w:rsid w:val="00200A9D"/>
    <w:rsid w:val="002012F3"/>
    <w:rsid w:val="002023B7"/>
    <w:rsid w:val="0020385F"/>
    <w:rsid w:val="002056AA"/>
    <w:rsid w:val="0020647E"/>
    <w:rsid w:val="00206BEB"/>
    <w:rsid w:val="00207021"/>
    <w:rsid w:val="002073C1"/>
    <w:rsid w:val="00207D00"/>
    <w:rsid w:val="00207D28"/>
    <w:rsid w:val="002105C1"/>
    <w:rsid w:val="00210C44"/>
    <w:rsid w:val="00210E91"/>
    <w:rsid w:val="00211A72"/>
    <w:rsid w:val="002128F6"/>
    <w:rsid w:val="00215EC9"/>
    <w:rsid w:val="0021689B"/>
    <w:rsid w:val="002172C8"/>
    <w:rsid w:val="00217B2A"/>
    <w:rsid w:val="002229B6"/>
    <w:rsid w:val="0022310F"/>
    <w:rsid w:val="002237BF"/>
    <w:rsid w:val="00223B49"/>
    <w:rsid w:val="00224DD4"/>
    <w:rsid w:val="00226AE2"/>
    <w:rsid w:val="00227501"/>
    <w:rsid w:val="002309CC"/>
    <w:rsid w:val="002360D5"/>
    <w:rsid w:val="0023648B"/>
    <w:rsid w:val="00236CF4"/>
    <w:rsid w:val="00243E7E"/>
    <w:rsid w:val="00244067"/>
    <w:rsid w:val="00245D89"/>
    <w:rsid w:val="0024638A"/>
    <w:rsid w:val="002468AC"/>
    <w:rsid w:val="00246947"/>
    <w:rsid w:val="002508AE"/>
    <w:rsid w:val="00251B12"/>
    <w:rsid w:val="002539C0"/>
    <w:rsid w:val="00254DCF"/>
    <w:rsid w:val="0025517A"/>
    <w:rsid w:val="0025534B"/>
    <w:rsid w:val="00255BB7"/>
    <w:rsid w:val="00260B11"/>
    <w:rsid w:val="0026194C"/>
    <w:rsid w:val="00262A87"/>
    <w:rsid w:val="00263635"/>
    <w:rsid w:val="0026679A"/>
    <w:rsid w:val="00266AAC"/>
    <w:rsid w:val="00271F0F"/>
    <w:rsid w:val="002723BB"/>
    <w:rsid w:val="002733B3"/>
    <w:rsid w:val="00275C5A"/>
    <w:rsid w:val="002773D5"/>
    <w:rsid w:val="00281014"/>
    <w:rsid w:val="002829AC"/>
    <w:rsid w:val="00282F2B"/>
    <w:rsid w:val="00287485"/>
    <w:rsid w:val="00290364"/>
    <w:rsid w:val="0029392C"/>
    <w:rsid w:val="00295ABC"/>
    <w:rsid w:val="002977D1"/>
    <w:rsid w:val="002A0BFB"/>
    <w:rsid w:val="002A14AB"/>
    <w:rsid w:val="002A1BDF"/>
    <w:rsid w:val="002A4B7C"/>
    <w:rsid w:val="002A56EA"/>
    <w:rsid w:val="002A57CB"/>
    <w:rsid w:val="002A651E"/>
    <w:rsid w:val="002A6838"/>
    <w:rsid w:val="002A7A95"/>
    <w:rsid w:val="002A7EEA"/>
    <w:rsid w:val="002B137B"/>
    <w:rsid w:val="002B1C1F"/>
    <w:rsid w:val="002B432F"/>
    <w:rsid w:val="002B54DB"/>
    <w:rsid w:val="002B5B6B"/>
    <w:rsid w:val="002B6142"/>
    <w:rsid w:val="002B6923"/>
    <w:rsid w:val="002B6CCE"/>
    <w:rsid w:val="002C13B6"/>
    <w:rsid w:val="002C267F"/>
    <w:rsid w:val="002C2775"/>
    <w:rsid w:val="002C27C1"/>
    <w:rsid w:val="002C2F1D"/>
    <w:rsid w:val="002C5FBB"/>
    <w:rsid w:val="002C7570"/>
    <w:rsid w:val="002D1B3D"/>
    <w:rsid w:val="002D3409"/>
    <w:rsid w:val="002D3907"/>
    <w:rsid w:val="002D3E2A"/>
    <w:rsid w:val="002D4D0A"/>
    <w:rsid w:val="002D5531"/>
    <w:rsid w:val="002D5F44"/>
    <w:rsid w:val="002D6697"/>
    <w:rsid w:val="002D6C1C"/>
    <w:rsid w:val="002D6EB8"/>
    <w:rsid w:val="002E2135"/>
    <w:rsid w:val="002E3A61"/>
    <w:rsid w:val="002E3EC7"/>
    <w:rsid w:val="002E560E"/>
    <w:rsid w:val="002E74A5"/>
    <w:rsid w:val="002F1958"/>
    <w:rsid w:val="002F1F94"/>
    <w:rsid w:val="002F20D6"/>
    <w:rsid w:val="002F5153"/>
    <w:rsid w:val="00300433"/>
    <w:rsid w:val="00300505"/>
    <w:rsid w:val="00301017"/>
    <w:rsid w:val="00302309"/>
    <w:rsid w:val="00305D92"/>
    <w:rsid w:val="00306AEB"/>
    <w:rsid w:val="00306ED8"/>
    <w:rsid w:val="0030786C"/>
    <w:rsid w:val="0031031A"/>
    <w:rsid w:val="00310981"/>
    <w:rsid w:val="00315498"/>
    <w:rsid w:val="00316C57"/>
    <w:rsid w:val="0032110B"/>
    <w:rsid w:val="00321236"/>
    <w:rsid w:val="00327706"/>
    <w:rsid w:val="003343D0"/>
    <w:rsid w:val="003366C9"/>
    <w:rsid w:val="003371B0"/>
    <w:rsid w:val="003372F6"/>
    <w:rsid w:val="00337637"/>
    <w:rsid w:val="003377F4"/>
    <w:rsid w:val="00345D47"/>
    <w:rsid w:val="00352841"/>
    <w:rsid w:val="003537FD"/>
    <w:rsid w:val="0035620E"/>
    <w:rsid w:val="0035728F"/>
    <w:rsid w:val="00361BEF"/>
    <w:rsid w:val="00364C02"/>
    <w:rsid w:val="00365F7C"/>
    <w:rsid w:val="00367C35"/>
    <w:rsid w:val="00374CD7"/>
    <w:rsid w:val="003754B5"/>
    <w:rsid w:val="0037623A"/>
    <w:rsid w:val="0037713F"/>
    <w:rsid w:val="003823F4"/>
    <w:rsid w:val="0038365C"/>
    <w:rsid w:val="00385830"/>
    <w:rsid w:val="0039007A"/>
    <w:rsid w:val="00392572"/>
    <w:rsid w:val="00392E90"/>
    <w:rsid w:val="00393ECC"/>
    <w:rsid w:val="00394153"/>
    <w:rsid w:val="0039600A"/>
    <w:rsid w:val="0039645A"/>
    <w:rsid w:val="00396FD0"/>
    <w:rsid w:val="00396FFB"/>
    <w:rsid w:val="00397587"/>
    <w:rsid w:val="00397A58"/>
    <w:rsid w:val="00397C5E"/>
    <w:rsid w:val="003A0467"/>
    <w:rsid w:val="003A06B5"/>
    <w:rsid w:val="003A1A7A"/>
    <w:rsid w:val="003A3C06"/>
    <w:rsid w:val="003A4C0F"/>
    <w:rsid w:val="003A4EF0"/>
    <w:rsid w:val="003A56A0"/>
    <w:rsid w:val="003B2EC5"/>
    <w:rsid w:val="003B58F9"/>
    <w:rsid w:val="003C37CC"/>
    <w:rsid w:val="003C5DC0"/>
    <w:rsid w:val="003D14D7"/>
    <w:rsid w:val="003D1828"/>
    <w:rsid w:val="003D2422"/>
    <w:rsid w:val="003D3D86"/>
    <w:rsid w:val="003D4895"/>
    <w:rsid w:val="003D723B"/>
    <w:rsid w:val="003E2809"/>
    <w:rsid w:val="003E3D06"/>
    <w:rsid w:val="003E5300"/>
    <w:rsid w:val="003E55E5"/>
    <w:rsid w:val="003F232E"/>
    <w:rsid w:val="003F3DED"/>
    <w:rsid w:val="003F4156"/>
    <w:rsid w:val="003F4773"/>
    <w:rsid w:val="004001E6"/>
    <w:rsid w:val="00404A13"/>
    <w:rsid w:val="00405468"/>
    <w:rsid w:val="00405494"/>
    <w:rsid w:val="00406FCB"/>
    <w:rsid w:val="0041055F"/>
    <w:rsid w:val="00410708"/>
    <w:rsid w:val="00410EC7"/>
    <w:rsid w:val="00414476"/>
    <w:rsid w:val="00415266"/>
    <w:rsid w:val="004155A4"/>
    <w:rsid w:val="00420B9F"/>
    <w:rsid w:val="0042152D"/>
    <w:rsid w:val="00422150"/>
    <w:rsid w:val="00424B0F"/>
    <w:rsid w:val="004319F8"/>
    <w:rsid w:val="00431BD5"/>
    <w:rsid w:val="00433044"/>
    <w:rsid w:val="0043393B"/>
    <w:rsid w:val="00434E32"/>
    <w:rsid w:val="00435646"/>
    <w:rsid w:val="004443A7"/>
    <w:rsid w:val="004464EB"/>
    <w:rsid w:val="00447978"/>
    <w:rsid w:val="00450610"/>
    <w:rsid w:val="004516BA"/>
    <w:rsid w:val="00454B5A"/>
    <w:rsid w:val="00455D45"/>
    <w:rsid w:val="004564ED"/>
    <w:rsid w:val="00461A9A"/>
    <w:rsid w:val="00462837"/>
    <w:rsid w:val="00463D34"/>
    <w:rsid w:val="00464595"/>
    <w:rsid w:val="00465C31"/>
    <w:rsid w:val="00467463"/>
    <w:rsid w:val="00467C7C"/>
    <w:rsid w:val="00476D02"/>
    <w:rsid w:val="00480908"/>
    <w:rsid w:val="004822D3"/>
    <w:rsid w:val="00482915"/>
    <w:rsid w:val="004839DC"/>
    <w:rsid w:val="00485535"/>
    <w:rsid w:val="00486311"/>
    <w:rsid w:val="004867E2"/>
    <w:rsid w:val="00491B3A"/>
    <w:rsid w:val="00492CFD"/>
    <w:rsid w:val="00494ED4"/>
    <w:rsid w:val="004962D2"/>
    <w:rsid w:val="004A06A3"/>
    <w:rsid w:val="004A0DA1"/>
    <w:rsid w:val="004A10D2"/>
    <w:rsid w:val="004A1771"/>
    <w:rsid w:val="004A4934"/>
    <w:rsid w:val="004A63BC"/>
    <w:rsid w:val="004A6448"/>
    <w:rsid w:val="004A6597"/>
    <w:rsid w:val="004A6997"/>
    <w:rsid w:val="004A7F31"/>
    <w:rsid w:val="004A7FC3"/>
    <w:rsid w:val="004B1112"/>
    <w:rsid w:val="004B1CB4"/>
    <w:rsid w:val="004B2663"/>
    <w:rsid w:val="004B2F18"/>
    <w:rsid w:val="004B3D46"/>
    <w:rsid w:val="004B3DDB"/>
    <w:rsid w:val="004B44FD"/>
    <w:rsid w:val="004B47FE"/>
    <w:rsid w:val="004B5CFC"/>
    <w:rsid w:val="004C06A1"/>
    <w:rsid w:val="004C441A"/>
    <w:rsid w:val="004C4AED"/>
    <w:rsid w:val="004C6B44"/>
    <w:rsid w:val="004D09C9"/>
    <w:rsid w:val="004D173E"/>
    <w:rsid w:val="004D2FCA"/>
    <w:rsid w:val="004D4C5B"/>
    <w:rsid w:val="004D4DFB"/>
    <w:rsid w:val="004E0EB8"/>
    <w:rsid w:val="004E1FBA"/>
    <w:rsid w:val="004E2ADC"/>
    <w:rsid w:val="004E3D00"/>
    <w:rsid w:val="004E43B2"/>
    <w:rsid w:val="004F1D02"/>
    <w:rsid w:val="004F2679"/>
    <w:rsid w:val="004F349F"/>
    <w:rsid w:val="004F396B"/>
    <w:rsid w:val="004F570D"/>
    <w:rsid w:val="004F6D7E"/>
    <w:rsid w:val="004F7271"/>
    <w:rsid w:val="004F7865"/>
    <w:rsid w:val="00500A90"/>
    <w:rsid w:val="005010AB"/>
    <w:rsid w:val="00503F1B"/>
    <w:rsid w:val="00504854"/>
    <w:rsid w:val="00504AE4"/>
    <w:rsid w:val="00506928"/>
    <w:rsid w:val="005070AB"/>
    <w:rsid w:val="00507BB3"/>
    <w:rsid w:val="00510096"/>
    <w:rsid w:val="00511483"/>
    <w:rsid w:val="0051186C"/>
    <w:rsid w:val="00513D4C"/>
    <w:rsid w:val="005152B5"/>
    <w:rsid w:val="0051547F"/>
    <w:rsid w:val="005178F2"/>
    <w:rsid w:val="00521319"/>
    <w:rsid w:val="00522977"/>
    <w:rsid w:val="00522C35"/>
    <w:rsid w:val="00522DE6"/>
    <w:rsid w:val="005239CB"/>
    <w:rsid w:val="00523C28"/>
    <w:rsid w:val="0052409F"/>
    <w:rsid w:val="00524640"/>
    <w:rsid w:val="00525BC1"/>
    <w:rsid w:val="0052643C"/>
    <w:rsid w:val="00533A31"/>
    <w:rsid w:val="00534FF3"/>
    <w:rsid w:val="00537556"/>
    <w:rsid w:val="00541DA0"/>
    <w:rsid w:val="005437C9"/>
    <w:rsid w:val="00550105"/>
    <w:rsid w:val="005501E0"/>
    <w:rsid w:val="00552BD3"/>
    <w:rsid w:val="00555109"/>
    <w:rsid w:val="00560349"/>
    <w:rsid w:val="00560AA1"/>
    <w:rsid w:val="00561389"/>
    <w:rsid w:val="00561E71"/>
    <w:rsid w:val="00564B22"/>
    <w:rsid w:val="0056696F"/>
    <w:rsid w:val="00570A8F"/>
    <w:rsid w:val="00570BE5"/>
    <w:rsid w:val="00571A05"/>
    <w:rsid w:val="00575D8D"/>
    <w:rsid w:val="005766BD"/>
    <w:rsid w:val="00576972"/>
    <w:rsid w:val="00576F30"/>
    <w:rsid w:val="00581363"/>
    <w:rsid w:val="00583699"/>
    <w:rsid w:val="0058554C"/>
    <w:rsid w:val="005858B6"/>
    <w:rsid w:val="005860DF"/>
    <w:rsid w:val="0058630F"/>
    <w:rsid w:val="00587BD8"/>
    <w:rsid w:val="00587D78"/>
    <w:rsid w:val="0059157B"/>
    <w:rsid w:val="00591FDA"/>
    <w:rsid w:val="00595A2E"/>
    <w:rsid w:val="005A293E"/>
    <w:rsid w:val="005A3A52"/>
    <w:rsid w:val="005A5E07"/>
    <w:rsid w:val="005A78DA"/>
    <w:rsid w:val="005A7D8C"/>
    <w:rsid w:val="005B021D"/>
    <w:rsid w:val="005B09D3"/>
    <w:rsid w:val="005B26FF"/>
    <w:rsid w:val="005B39F7"/>
    <w:rsid w:val="005B5857"/>
    <w:rsid w:val="005B75F7"/>
    <w:rsid w:val="005C1932"/>
    <w:rsid w:val="005C1B83"/>
    <w:rsid w:val="005C346B"/>
    <w:rsid w:val="005C45F6"/>
    <w:rsid w:val="005C6768"/>
    <w:rsid w:val="005C7456"/>
    <w:rsid w:val="005C7F65"/>
    <w:rsid w:val="005D044D"/>
    <w:rsid w:val="005D100E"/>
    <w:rsid w:val="005D1784"/>
    <w:rsid w:val="005D18AD"/>
    <w:rsid w:val="005D2A4D"/>
    <w:rsid w:val="005D5E01"/>
    <w:rsid w:val="005D773B"/>
    <w:rsid w:val="005E24E4"/>
    <w:rsid w:val="005E5613"/>
    <w:rsid w:val="005E73C0"/>
    <w:rsid w:val="005F135D"/>
    <w:rsid w:val="005F1FE9"/>
    <w:rsid w:val="005F2706"/>
    <w:rsid w:val="005F6A8F"/>
    <w:rsid w:val="005F752B"/>
    <w:rsid w:val="005F7DF6"/>
    <w:rsid w:val="00600916"/>
    <w:rsid w:val="00600F27"/>
    <w:rsid w:val="006013B0"/>
    <w:rsid w:val="006030B7"/>
    <w:rsid w:val="00605126"/>
    <w:rsid w:val="00606860"/>
    <w:rsid w:val="00607669"/>
    <w:rsid w:val="00610C49"/>
    <w:rsid w:val="00612A7A"/>
    <w:rsid w:val="00612F97"/>
    <w:rsid w:val="00613044"/>
    <w:rsid w:val="00616802"/>
    <w:rsid w:val="00616DFB"/>
    <w:rsid w:val="00616E52"/>
    <w:rsid w:val="006170DD"/>
    <w:rsid w:val="00617E12"/>
    <w:rsid w:val="0062030B"/>
    <w:rsid w:val="00621477"/>
    <w:rsid w:val="00625F1F"/>
    <w:rsid w:val="006262F1"/>
    <w:rsid w:val="00627944"/>
    <w:rsid w:val="00627DE7"/>
    <w:rsid w:val="00630A4B"/>
    <w:rsid w:val="00631D6B"/>
    <w:rsid w:val="006326E7"/>
    <w:rsid w:val="0063479F"/>
    <w:rsid w:val="00635868"/>
    <w:rsid w:val="006364A1"/>
    <w:rsid w:val="00637BFD"/>
    <w:rsid w:val="00637FA5"/>
    <w:rsid w:val="00641AA5"/>
    <w:rsid w:val="006422AE"/>
    <w:rsid w:val="006432C0"/>
    <w:rsid w:val="006435BD"/>
    <w:rsid w:val="006440D2"/>
    <w:rsid w:val="006471CC"/>
    <w:rsid w:val="0064766B"/>
    <w:rsid w:val="0065079F"/>
    <w:rsid w:val="0065135F"/>
    <w:rsid w:val="00657ABA"/>
    <w:rsid w:val="0066452B"/>
    <w:rsid w:val="00665B8E"/>
    <w:rsid w:val="00667593"/>
    <w:rsid w:val="00667FA9"/>
    <w:rsid w:val="00674A1B"/>
    <w:rsid w:val="00674E42"/>
    <w:rsid w:val="00681550"/>
    <w:rsid w:val="00682112"/>
    <w:rsid w:val="0068367A"/>
    <w:rsid w:val="00683C3C"/>
    <w:rsid w:val="00684E3C"/>
    <w:rsid w:val="00686533"/>
    <w:rsid w:val="00686AD6"/>
    <w:rsid w:val="006872BA"/>
    <w:rsid w:val="00690122"/>
    <w:rsid w:val="006905B0"/>
    <w:rsid w:val="006917D7"/>
    <w:rsid w:val="00694737"/>
    <w:rsid w:val="00694F44"/>
    <w:rsid w:val="00695C97"/>
    <w:rsid w:val="006966F5"/>
    <w:rsid w:val="006977BD"/>
    <w:rsid w:val="006A6038"/>
    <w:rsid w:val="006A6E9F"/>
    <w:rsid w:val="006A7295"/>
    <w:rsid w:val="006A7DF7"/>
    <w:rsid w:val="006B03B8"/>
    <w:rsid w:val="006B15AA"/>
    <w:rsid w:val="006B2EF2"/>
    <w:rsid w:val="006C1107"/>
    <w:rsid w:val="006C1B85"/>
    <w:rsid w:val="006C1C1B"/>
    <w:rsid w:val="006C2A8E"/>
    <w:rsid w:val="006C6406"/>
    <w:rsid w:val="006D0E51"/>
    <w:rsid w:val="006D10BB"/>
    <w:rsid w:val="006D20CE"/>
    <w:rsid w:val="006D3096"/>
    <w:rsid w:val="006D3C7D"/>
    <w:rsid w:val="006D5132"/>
    <w:rsid w:val="006D591F"/>
    <w:rsid w:val="006D5D5F"/>
    <w:rsid w:val="006D74AD"/>
    <w:rsid w:val="006D7C42"/>
    <w:rsid w:val="006E0415"/>
    <w:rsid w:val="006E1706"/>
    <w:rsid w:val="006E3F44"/>
    <w:rsid w:val="006E3FC5"/>
    <w:rsid w:val="006E5099"/>
    <w:rsid w:val="006E56A7"/>
    <w:rsid w:val="006F0112"/>
    <w:rsid w:val="006F053F"/>
    <w:rsid w:val="006F16FD"/>
    <w:rsid w:val="006F1B4A"/>
    <w:rsid w:val="006F307F"/>
    <w:rsid w:val="006F3D8F"/>
    <w:rsid w:val="006F3EF2"/>
    <w:rsid w:val="006F48AD"/>
    <w:rsid w:val="006F63A5"/>
    <w:rsid w:val="006F6A86"/>
    <w:rsid w:val="006F7D9A"/>
    <w:rsid w:val="00700A46"/>
    <w:rsid w:val="00700AAB"/>
    <w:rsid w:val="0070276E"/>
    <w:rsid w:val="00702F8F"/>
    <w:rsid w:val="00710030"/>
    <w:rsid w:val="00711A36"/>
    <w:rsid w:val="007127BE"/>
    <w:rsid w:val="007160C8"/>
    <w:rsid w:val="00716D38"/>
    <w:rsid w:val="007172AD"/>
    <w:rsid w:val="007209D8"/>
    <w:rsid w:val="00720ECF"/>
    <w:rsid w:val="00721082"/>
    <w:rsid w:val="0072161F"/>
    <w:rsid w:val="007233BE"/>
    <w:rsid w:val="0072416F"/>
    <w:rsid w:val="00724BAE"/>
    <w:rsid w:val="00724DEF"/>
    <w:rsid w:val="00725C99"/>
    <w:rsid w:val="007276C5"/>
    <w:rsid w:val="0073234C"/>
    <w:rsid w:val="00735328"/>
    <w:rsid w:val="007359FF"/>
    <w:rsid w:val="0073685B"/>
    <w:rsid w:val="00741589"/>
    <w:rsid w:val="00741D59"/>
    <w:rsid w:val="007422B4"/>
    <w:rsid w:val="00742CEE"/>
    <w:rsid w:val="0074367D"/>
    <w:rsid w:val="007476B4"/>
    <w:rsid w:val="00747B57"/>
    <w:rsid w:val="00750010"/>
    <w:rsid w:val="00750369"/>
    <w:rsid w:val="00755D12"/>
    <w:rsid w:val="00756D4D"/>
    <w:rsid w:val="007571A6"/>
    <w:rsid w:val="00760064"/>
    <w:rsid w:val="007645EC"/>
    <w:rsid w:val="00764725"/>
    <w:rsid w:val="00764BAE"/>
    <w:rsid w:val="00767639"/>
    <w:rsid w:val="007718AF"/>
    <w:rsid w:val="00781C4E"/>
    <w:rsid w:val="0078217E"/>
    <w:rsid w:val="00784A35"/>
    <w:rsid w:val="00792E2F"/>
    <w:rsid w:val="0079629E"/>
    <w:rsid w:val="007964FE"/>
    <w:rsid w:val="007A0A12"/>
    <w:rsid w:val="007A52E4"/>
    <w:rsid w:val="007A5E71"/>
    <w:rsid w:val="007A671F"/>
    <w:rsid w:val="007B251D"/>
    <w:rsid w:val="007B42EC"/>
    <w:rsid w:val="007B556E"/>
    <w:rsid w:val="007B5A83"/>
    <w:rsid w:val="007B777A"/>
    <w:rsid w:val="007B77D1"/>
    <w:rsid w:val="007C0B23"/>
    <w:rsid w:val="007C1612"/>
    <w:rsid w:val="007C361D"/>
    <w:rsid w:val="007C4BBF"/>
    <w:rsid w:val="007D03D8"/>
    <w:rsid w:val="007D0B38"/>
    <w:rsid w:val="007D2EA6"/>
    <w:rsid w:val="007D38F8"/>
    <w:rsid w:val="007D45CC"/>
    <w:rsid w:val="007D7289"/>
    <w:rsid w:val="007E0A72"/>
    <w:rsid w:val="007E0E59"/>
    <w:rsid w:val="007E1C2E"/>
    <w:rsid w:val="007E2042"/>
    <w:rsid w:val="007E348C"/>
    <w:rsid w:val="007E43D9"/>
    <w:rsid w:val="007E6546"/>
    <w:rsid w:val="007E6ABE"/>
    <w:rsid w:val="007F0DA6"/>
    <w:rsid w:val="007F1017"/>
    <w:rsid w:val="007F1614"/>
    <w:rsid w:val="007F4368"/>
    <w:rsid w:val="007F4A3F"/>
    <w:rsid w:val="008003D3"/>
    <w:rsid w:val="00800AF1"/>
    <w:rsid w:val="00802D7C"/>
    <w:rsid w:val="00803EE5"/>
    <w:rsid w:val="00805072"/>
    <w:rsid w:val="00805142"/>
    <w:rsid w:val="0080573E"/>
    <w:rsid w:val="00807688"/>
    <w:rsid w:val="00807A8B"/>
    <w:rsid w:val="008120D8"/>
    <w:rsid w:val="00812149"/>
    <w:rsid w:val="00813DBC"/>
    <w:rsid w:val="00814B28"/>
    <w:rsid w:val="00815996"/>
    <w:rsid w:val="008166EF"/>
    <w:rsid w:val="00817A79"/>
    <w:rsid w:val="00821640"/>
    <w:rsid w:val="008264EB"/>
    <w:rsid w:val="00826B72"/>
    <w:rsid w:val="008279B3"/>
    <w:rsid w:val="00833B05"/>
    <w:rsid w:val="00833F14"/>
    <w:rsid w:val="00834E6B"/>
    <w:rsid w:val="0083528A"/>
    <w:rsid w:val="00840973"/>
    <w:rsid w:val="00840C3C"/>
    <w:rsid w:val="00840CA2"/>
    <w:rsid w:val="00843275"/>
    <w:rsid w:val="008467A1"/>
    <w:rsid w:val="00846A84"/>
    <w:rsid w:val="0084791A"/>
    <w:rsid w:val="00847966"/>
    <w:rsid w:val="00847C26"/>
    <w:rsid w:val="0085167F"/>
    <w:rsid w:val="00851C7A"/>
    <w:rsid w:val="00852137"/>
    <w:rsid w:val="00852A9E"/>
    <w:rsid w:val="0085338D"/>
    <w:rsid w:val="00855E44"/>
    <w:rsid w:val="00856E9A"/>
    <w:rsid w:val="00857883"/>
    <w:rsid w:val="00860843"/>
    <w:rsid w:val="00862218"/>
    <w:rsid w:val="00862502"/>
    <w:rsid w:val="008639BD"/>
    <w:rsid w:val="00863EAA"/>
    <w:rsid w:val="00864166"/>
    <w:rsid w:val="00865496"/>
    <w:rsid w:val="008657FB"/>
    <w:rsid w:val="00865C69"/>
    <w:rsid w:val="008704AC"/>
    <w:rsid w:val="00871EEA"/>
    <w:rsid w:val="00873BA3"/>
    <w:rsid w:val="008759F5"/>
    <w:rsid w:val="00876DE8"/>
    <w:rsid w:val="00880B60"/>
    <w:rsid w:val="008813CE"/>
    <w:rsid w:val="00882874"/>
    <w:rsid w:val="00883787"/>
    <w:rsid w:val="00883B65"/>
    <w:rsid w:val="00883C97"/>
    <w:rsid w:val="00886E3F"/>
    <w:rsid w:val="00893FEC"/>
    <w:rsid w:val="008940CF"/>
    <w:rsid w:val="0089425D"/>
    <w:rsid w:val="00894489"/>
    <w:rsid w:val="00894DBC"/>
    <w:rsid w:val="008963A5"/>
    <w:rsid w:val="008A19A7"/>
    <w:rsid w:val="008A2B1C"/>
    <w:rsid w:val="008A384E"/>
    <w:rsid w:val="008A3C3E"/>
    <w:rsid w:val="008A4254"/>
    <w:rsid w:val="008A79DE"/>
    <w:rsid w:val="008B1647"/>
    <w:rsid w:val="008B245F"/>
    <w:rsid w:val="008B49C3"/>
    <w:rsid w:val="008B5FD5"/>
    <w:rsid w:val="008B6319"/>
    <w:rsid w:val="008B7051"/>
    <w:rsid w:val="008B7D7E"/>
    <w:rsid w:val="008C1F08"/>
    <w:rsid w:val="008C4C50"/>
    <w:rsid w:val="008C6B86"/>
    <w:rsid w:val="008C7E10"/>
    <w:rsid w:val="008C7ECB"/>
    <w:rsid w:val="008D0BA5"/>
    <w:rsid w:val="008D1760"/>
    <w:rsid w:val="008D1CF3"/>
    <w:rsid w:val="008D472C"/>
    <w:rsid w:val="008D60BF"/>
    <w:rsid w:val="008D643F"/>
    <w:rsid w:val="008E1086"/>
    <w:rsid w:val="008E1B9E"/>
    <w:rsid w:val="008E2E00"/>
    <w:rsid w:val="008E5BE4"/>
    <w:rsid w:val="008F00CE"/>
    <w:rsid w:val="008F120A"/>
    <w:rsid w:val="008F1424"/>
    <w:rsid w:val="008F48EB"/>
    <w:rsid w:val="008F4F0B"/>
    <w:rsid w:val="008F7948"/>
    <w:rsid w:val="00903BE7"/>
    <w:rsid w:val="009041D8"/>
    <w:rsid w:val="0090619A"/>
    <w:rsid w:val="009062A5"/>
    <w:rsid w:val="009107D8"/>
    <w:rsid w:val="009107F3"/>
    <w:rsid w:val="00911272"/>
    <w:rsid w:val="00911A18"/>
    <w:rsid w:val="00913E51"/>
    <w:rsid w:val="00914DD4"/>
    <w:rsid w:val="00916F56"/>
    <w:rsid w:val="00920C90"/>
    <w:rsid w:val="00920E32"/>
    <w:rsid w:val="00921897"/>
    <w:rsid w:val="0092231C"/>
    <w:rsid w:val="00925715"/>
    <w:rsid w:val="00925A6A"/>
    <w:rsid w:val="00932523"/>
    <w:rsid w:val="00940D28"/>
    <w:rsid w:val="009473E5"/>
    <w:rsid w:val="00950398"/>
    <w:rsid w:val="0096061D"/>
    <w:rsid w:val="00962B72"/>
    <w:rsid w:val="00962CB9"/>
    <w:rsid w:val="00963606"/>
    <w:rsid w:val="00964312"/>
    <w:rsid w:val="0096552D"/>
    <w:rsid w:val="00967204"/>
    <w:rsid w:val="00971444"/>
    <w:rsid w:val="00971964"/>
    <w:rsid w:val="009771CD"/>
    <w:rsid w:val="00977E46"/>
    <w:rsid w:val="00982EDA"/>
    <w:rsid w:val="00983E57"/>
    <w:rsid w:val="00984723"/>
    <w:rsid w:val="009921D0"/>
    <w:rsid w:val="009948C7"/>
    <w:rsid w:val="00994CCD"/>
    <w:rsid w:val="009960B7"/>
    <w:rsid w:val="00996B1A"/>
    <w:rsid w:val="009A1682"/>
    <w:rsid w:val="009A2FE3"/>
    <w:rsid w:val="009A4366"/>
    <w:rsid w:val="009A593B"/>
    <w:rsid w:val="009A5A0A"/>
    <w:rsid w:val="009B359F"/>
    <w:rsid w:val="009B37E3"/>
    <w:rsid w:val="009B3E26"/>
    <w:rsid w:val="009B583B"/>
    <w:rsid w:val="009B758A"/>
    <w:rsid w:val="009C626C"/>
    <w:rsid w:val="009D031A"/>
    <w:rsid w:val="009D0C4C"/>
    <w:rsid w:val="009D1490"/>
    <w:rsid w:val="009D41DF"/>
    <w:rsid w:val="009D4E40"/>
    <w:rsid w:val="009D5B91"/>
    <w:rsid w:val="009E0D67"/>
    <w:rsid w:val="009E4C07"/>
    <w:rsid w:val="009E5769"/>
    <w:rsid w:val="009E7243"/>
    <w:rsid w:val="009E79CE"/>
    <w:rsid w:val="009F2169"/>
    <w:rsid w:val="009F313A"/>
    <w:rsid w:val="009F510A"/>
    <w:rsid w:val="009F63B6"/>
    <w:rsid w:val="00A00F1E"/>
    <w:rsid w:val="00A0280A"/>
    <w:rsid w:val="00A02F52"/>
    <w:rsid w:val="00A03D43"/>
    <w:rsid w:val="00A04380"/>
    <w:rsid w:val="00A04DBA"/>
    <w:rsid w:val="00A05211"/>
    <w:rsid w:val="00A06252"/>
    <w:rsid w:val="00A1273C"/>
    <w:rsid w:val="00A12AD3"/>
    <w:rsid w:val="00A13300"/>
    <w:rsid w:val="00A13948"/>
    <w:rsid w:val="00A139E7"/>
    <w:rsid w:val="00A17A19"/>
    <w:rsid w:val="00A2240F"/>
    <w:rsid w:val="00A224C5"/>
    <w:rsid w:val="00A243B8"/>
    <w:rsid w:val="00A26AAB"/>
    <w:rsid w:val="00A26B3D"/>
    <w:rsid w:val="00A27AEC"/>
    <w:rsid w:val="00A35A87"/>
    <w:rsid w:val="00A35D16"/>
    <w:rsid w:val="00A35D23"/>
    <w:rsid w:val="00A415B5"/>
    <w:rsid w:val="00A41828"/>
    <w:rsid w:val="00A43C59"/>
    <w:rsid w:val="00A4414E"/>
    <w:rsid w:val="00A45A56"/>
    <w:rsid w:val="00A50ECD"/>
    <w:rsid w:val="00A519F4"/>
    <w:rsid w:val="00A52729"/>
    <w:rsid w:val="00A53675"/>
    <w:rsid w:val="00A56B6A"/>
    <w:rsid w:val="00A578DC"/>
    <w:rsid w:val="00A61FF5"/>
    <w:rsid w:val="00A6725B"/>
    <w:rsid w:val="00A7174F"/>
    <w:rsid w:val="00A72660"/>
    <w:rsid w:val="00A742F3"/>
    <w:rsid w:val="00A76C61"/>
    <w:rsid w:val="00A776F4"/>
    <w:rsid w:val="00A817D4"/>
    <w:rsid w:val="00A82EE9"/>
    <w:rsid w:val="00A86BD4"/>
    <w:rsid w:val="00A86E8B"/>
    <w:rsid w:val="00A925F5"/>
    <w:rsid w:val="00A92F38"/>
    <w:rsid w:val="00A93072"/>
    <w:rsid w:val="00A939DD"/>
    <w:rsid w:val="00A959D8"/>
    <w:rsid w:val="00AA14D5"/>
    <w:rsid w:val="00AA26EB"/>
    <w:rsid w:val="00AB042A"/>
    <w:rsid w:val="00AB0667"/>
    <w:rsid w:val="00AB0C5A"/>
    <w:rsid w:val="00AB2D34"/>
    <w:rsid w:val="00AB3430"/>
    <w:rsid w:val="00AB4DF7"/>
    <w:rsid w:val="00AB7520"/>
    <w:rsid w:val="00AB7873"/>
    <w:rsid w:val="00AB7CFA"/>
    <w:rsid w:val="00AC2F02"/>
    <w:rsid w:val="00AC6BCC"/>
    <w:rsid w:val="00AD401E"/>
    <w:rsid w:val="00AD6BE6"/>
    <w:rsid w:val="00AD7497"/>
    <w:rsid w:val="00AE2E8C"/>
    <w:rsid w:val="00AF190C"/>
    <w:rsid w:val="00AF430E"/>
    <w:rsid w:val="00AF5457"/>
    <w:rsid w:val="00AF7B34"/>
    <w:rsid w:val="00B00C0D"/>
    <w:rsid w:val="00B01BA3"/>
    <w:rsid w:val="00B02514"/>
    <w:rsid w:val="00B02A2D"/>
    <w:rsid w:val="00B03CB2"/>
    <w:rsid w:val="00B03D71"/>
    <w:rsid w:val="00B0537E"/>
    <w:rsid w:val="00B12213"/>
    <w:rsid w:val="00B13022"/>
    <w:rsid w:val="00B1447E"/>
    <w:rsid w:val="00B15978"/>
    <w:rsid w:val="00B1618E"/>
    <w:rsid w:val="00B22E9B"/>
    <w:rsid w:val="00B238D3"/>
    <w:rsid w:val="00B24CED"/>
    <w:rsid w:val="00B25874"/>
    <w:rsid w:val="00B32CD2"/>
    <w:rsid w:val="00B342E9"/>
    <w:rsid w:val="00B36B3C"/>
    <w:rsid w:val="00B37791"/>
    <w:rsid w:val="00B3798D"/>
    <w:rsid w:val="00B4093E"/>
    <w:rsid w:val="00B42851"/>
    <w:rsid w:val="00B43669"/>
    <w:rsid w:val="00B50DB8"/>
    <w:rsid w:val="00B53905"/>
    <w:rsid w:val="00B54B5B"/>
    <w:rsid w:val="00B5562E"/>
    <w:rsid w:val="00B5587D"/>
    <w:rsid w:val="00B56384"/>
    <w:rsid w:val="00B56909"/>
    <w:rsid w:val="00B57000"/>
    <w:rsid w:val="00B60939"/>
    <w:rsid w:val="00B60AF0"/>
    <w:rsid w:val="00B60AFD"/>
    <w:rsid w:val="00B61AB9"/>
    <w:rsid w:val="00B62715"/>
    <w:rsid w:val="00B63EDC"/>
    <w:rsid w:val="00B65D47"/>
    <w:rsid w:val="00B71595"/>
    <w:rsid w:val="00B75A0A"/>
    <w:rsid w:val="00B77CCA"/>
    <w:rsid w:val="00B80487"/>
    <w:rsid w:val="00B8117E"/>
    <w:rsid w:val="00B818A4"/>
    <w:rsid w:val="00B8649C"/>
    <w:rsid w:val="00B8656F"/>
    <w:rsid w:val="00B879EA"/>
    <w:rsid w:val="00B9055A"/>
    <w:rsid w:val="00B90C3C"/>
    <w:rsid w:val="00B90F31"/>
    <w:rsid w:val="00B923AE"/>
    <w:rsid w:val="00B92D0B"/>
    <w:rsid w:val="00B93366"/>
    <w:rsid w:val="00B94945"/>
    <w:rsid w:val="00B96429"/>
    <w:rsid w:val="00BA058E"/>
    <w:rsid w:val="00BA098B"/>
    <w:rsid w:val="00BA6FF1"/>
    <w:rsid w:val="00BA79FD"/>
    <w:rsid w:val="00BB264E"/>
    <w:rsid w:val="00BB5CAC"/>
    <w:rsid w:val="00BB5DC3"/>
    <w:rsid w:val="00BB6456"/>
    <w:rsid w:val="00BB6E17"/>
    <w:rsid w:val="00BB7405"/>
    <w:rsid w:val="00BB7B0C"/>
    <w:rsid w:val="00BC5B05"/>
    <w:rsid w:val="00BC5C37"/>
    <w:rsid w:val="00BD0132"/>
    <w:rsid w:val="00BD12C5"/>
    <w:rsid w:val="00BD6702"/>
    <w:rsid w:val="00BD6CF3"/>
    <w:rsid w:val="00BE2180"/>
    <w:rsid w:val="00BE4275"/>
    <w:rsid w:val="00BE4854"/>
    <w:rsid w:val="00BE4A66"/>
    <w:rsid w:val="00BE6173"/>
    <w:rsid w:val="00BE63F6"/>
    <w:rsid w:val="00BF10DB"/>
    <w:rsid w:val="00BF1C61"/>
    <w:rsid w:val="00BF2433"/>
    <w:rsid w:val="00BF423D"/>
    <w:rsid w:val="00BF55E6"/>
    <w:rsid w:val="00BF61C9"/>
    <w:rsid w:val="00BF7097"/>
    <w:rsid w:val="00C034BD"/>
    <w:rsid w:val="00C03870"/>
    <w:rsid w:val="00C04C35"/>
    <w:rsid w:val="00C06383"/>
    <w:rsid w:val="00C07F82"/>
    <w:rsid w:val="00C10092"/>
    <w:rsid w:val="00C10B26"/>
    <w:rsid w:val="00C13489"/>
    <w:rsid w:val="00C144C7"/>
    <w:rsid w:val="00C14C82"/>
    <w:rsid w:val="00C16546"/>
    <w:rsid w:val="00C17BE6"/>
    <w:rsid w:val="00C17DFD"/>
    <w:rsid w:val="00C20506"/>
    <w:rsid w:val="00C244A2"/>
    <w:rsid w:val="00C25418"/>
    <w:rsid w:val="00C25D9C"/>
    <w:rsid w:val="00C31649"/>
    <w:rsid w:val="00C319E3"/>
    <w:rsid w:val="00C32DFD"/>
    <w:rsid w:val="00C33267"/>
    <w:rsid w:val="00C33C7D"/>
    <w:rsid w:val="00C33F1B"/>
    <w:rsid w:val="00C354B2"/>
    <w:rsid w:val="00C35BA4"/>
    <w:rsid w:val="00C35BAC"/>
    <w:rsid w:val="00C36B0E"/>
    <w:rsid w:val="00C3727E"/>
    <w:rsid w:val="00C40385"/>
    <w:rsid w:val="00C41A62"/>
    <w:rsid w:val="00C42B9F"/>
    <w:rsid w:val="00C4382C"/>
    <w:rsid w:val="00C60E19"/>
    <w:rsid w:val="00C628B6"/>
    <w:rsid w:val="00C64991"/>
    <w:rsid w:val="00C6535E"/>
    <w:rsid w:val="00C65367"/>
    <w:rsid w:val="00C65576"/>
    <w:rsid w:val="00C66165"/>
    <w:rsid w:val="00C66D51"/>
    <w:rsid w:val="00C709FD"/>
    <w:rsid w:val="00C71A92"/>
    <w:rsid w:val="00C7220A"/>
    <w:rsid w:val="00C74F0D"/>
    <w:rsid w:val="00C750C8"/>
    <w:rsid w:val="00C803CD"/>
    <w:rsid w:val="00C811FF"/>
    <w:rsid w:val="00C815A4"/>
    <w:rsid w:val="00C8213F"/>
    <w:rsid w:val="00C850DA"/>
    <w:rsid w:val="00C86875"/>
    <w:rsid w:val="00C8797A"/>
    <w:rsid w:val="00C933A2"/>
    <w:rsid w:val="00C938CF"/>
    <w:rsid w:val="00C93C63"/>
    <w:rsid w:val="00C951EB"/>
    <w:rsid w:val="00C952B4"/>
    <w:rsid w:val="00C95730"/>
    <w:rsid w:val="00C973BF"/>
    <w:rsid w:val="00CA4152"/>
    <w:rsid w:val="00CA5245"/>
    <w:rsid w:val="00CA5BD8"/>
    <w:rsid w:val="00CA7B09"/>
    <w:rsid w:val="00CB0C0E"/>
    <w:rsid w:val="00CB1519"/>
    <w:rsid w:val="00CB34DA"/>
    <w:rsid w:val="00CB3C8B"/>
    <w:rsid w:val="00CB5B1A"/>
    <w:rsid w:val="00CC38C4"/>
    <w:rsid w:val="00CC4313"/>
    <w:rsid w:val="00CC518B"/>
    <w:rsid w:val="00CC57E1"/>
    <w:rsid w:val="00CC6379"/>
    <w:rsid w:val="00CD0681"/>
    <w:rsid w:val="00CD0DE3"/>
    <w:rsid w:val="00CD5252"/>
    <w:rsid w:val="00CD5700"/>
    <w:rsid w:val="00CD6ADC"/>
    <w:rsid w:val="00CE0153"/>
    <w:rsid w:val="00CE08E5"/>
    <w:rsid w:val="00CE6274"/>
    <w:rsid w:val="00CE7B70"/>
    <w:rsid w:val="00CF21BC"/>
    <w:rsid w:val="00CF32C6"/>
    <w:rsid w:val="00CF456B"/>
    <w:rsid w:val="00CF4754"/>
    <w:rsid w:val="00CF5A22"/>
    <w:rsid w:val="00CF5BA2"/>
    <w:rsid w:val="00D014EE"/>
    <w:rsid w:val="00D0262E"/>
    <w:rsid w:val="00D0317D"/>
    <w:rsid w:val="00D04AD0"/>
    <w:rsid w:val="00D056DA"/>
    <w:rsid w:val="00D06F5E"/>
    <w:rsid w:val="00D110BD"/>
    <w:rsid w:val="00D1175D"/>
    <w:rsid w:val="00D11FC5"/>
    <w:rsid w:val="00D11FCE"/>
    <w:rsid w:val="00D161E9"/>
    <w:rsid w:val="00D168A4"/>
    <w:rsid w:val="00D17D6C"/>
    <w:rsid w:val="00D20097"/>
    <w:rsid w:val="00D203A6"/>
    <w:rsid w:val="00D2397C"/>
    <w:rsid w:val="00D24F81"/>
    <w:rsid w:val="00D26740"/>
    <w:rsid w:val="00D30075"/>
    <w:rsid w:val="00D31688"/>
    <w:rsid w:val="00D3347D"/>
    <w:rsid w:val="00D3373A"/>
    <w:rsid w:val="00D355B9"/>
    <w:rsid w:val="00D357FF"/>
    <w:rsid w:val="00D3605E"/>
    <w:rsid w:val="00D45196"/>
    <w:rsid w:val="00D458DC"/>
    <w:rsid w:val="00D479C0"/>
    <w:rsid w:val="00D53174"/>
    <w:rsid w:val="00D5373B"/>
    <w:rsid w:val="00D53DA1"/>
    <w:rsid w:val="00D61072"/>
    <w:rsid w:val="00D6118F"/>
    <w:rsid w:val="00D6339A"/>
    <w:rsid w:val="00D64574"/>
    <w:rsid w:val="00D67A8A"/>
    <w:rsid w:val="00D72623"/>
    <w:rsid w:val="00D72B02"/>
    <w:rsid w:val="00D74620"/>
    <w:rsid w:val="00D75824"/>
    <w:rsid w:val="00D76A44"/>
    <w:rsid w:val="00D80681"/>
    <w:rsid w:val="00D82590"/>
    <w:rsid w:val="00D8463A"/>
    <w:rsid w:val="00D8621E"/>
    <w:rsid w:val="00D93753"/>
    <w:rsid w:val="00D949FC"/>
    <w:rsid w:val="00D94EE3"/>
    <w:rsid w:val="00D97E30"/>
    <w:rsid w:val="00DA4527"/>
    <w:rsid w:val="00DA58FB"/>
    <w:rsid w:val="00DA6559"/>
    <w:rsid w:val="00DA77A5"/>
    <w:rsid w:val="00DA7D88"/>
    <w:rsid w:val="00DB0B21"/>
    <w:rsid w:val="00DB0B2F"/>
    <w:rsid w:val="00DB0BE4"/>
    <w:rsid w:val="00DB1586"/>
    <w:rsid w:val="00DB2F55"/>
    <w:rsid w:val="00DB479A"/>
    <w:rsid w:val="00DB5300"/>
    <w:rsid w:val="00DB5BCA"/>
    <w:rsid w:val="00DB767C"/>
    <w:rsid w:val="00DB7EE9"/>
    <w:rsid w:val="00DC10E6"/>
    <w:rsid w:val="00DC5501"/>
    <w:rsid w:val="00DC7C02"/>
    <w:rsid w:val="00DD08CD"/>
    <w:rsid w:val="00DD157C"/>
    <w:rsid w:val="00DD2205"/>
    <w:rsid w:val="00DD3B9B"/>
    <w:rsid w:val="00DD3F28"/>
    <w:rsid w:val="00DD4537"/>
    <w:rsid w:val="00DD4E15"/>
    <w:rsid w:val="00DE16CE"/>
    <w:rsid w:val="00DE23D8"/>
    <w:rsid w:val="00DE4FCB"/>
    <w:rsid w:val="00DE6A95"/>
    <w:rsid w:val="00DF243E"/>
    <w:rsid w:val="00DF5572"/>
    <w:rsid w:val="00DF5D2B"/>
    <w:rsid w:val="00E02579"/>
    <w:rsid w:val="00E0259D"/>
    <w:rsid w:val="00E05EA5"/>
    <w:rsid w:val="00E0633F"/>
    <w:rsid w:val="00E07D86"/>
    <w:rsid w:val="00E10149"/>
    <w:rsid w:val="00E10F92"/>
    <w:rsid w:val="00E13CEE"/>
    <w:rsid w:val="00E16372"/>
    <w:rsid w:val="00E20ED6"/>
    <w:rsid w:val="00E21358"/>
    <w:rsid w:val="00E2249B"/>
    <w:rsid w:val="00E22A0D"/>
    <w:rsid w:val="00E23144"/>
    <w:rsid w:val="00E23422"/>
    <w:rsid w:val="00E24E63"/>
    <w:rsid w:val="00E25287"/>
    <w:rsid w:val="00E2771E"/>
    <w:rsid w:val="00E30D88"/>
    <w:rsid w:val="00E32C23"/>
    <w:rsid w:val="00E359F2"/>
    <w:rsid w:val="00E37569"/>
    <w:rsid w:val="00E41198"/>
    <w:rsid w:val="00E41E30"/>
    <w:rsid w:val="00E42E49"/>
    <w:rsid w:val="00E43BAF"/>
    <w:rsid w:val="00E43D70"/>
    <w:rsid w:val="00E4403B"/>
    <w:rsid w:val="00E456E3"/>
    <w:rsid w:val="00E47A20"/>
    <w:rsid w:val="00E47B2C"/>
    <w:rsid w:val="00E51560"/>
    <w:rsid w:val="00E51575"/>
    <w:rsid w:val="00E519FD"/>
    <w:rsid w:val="00E5373C"/>
    <w:rsid w:val="00E551F5"/>
    <w:rsid w:val="00E55424"/>
    <w:rsid w:val="00E55BB5"/>
    <w:rsid w:val="00E56FDE"/>
    <w:rsid w:val="00E605E0"/>
    <w:rsid w:val="00E61A52"/>
    <w:rsid w:val="00E62D5C"/>
    <w:rsid w:val="00E632AE"/>
    <w:rsid w:val="00E65E79"/>
    <w:rsid w:val="00E665BA"/>
    <w:rsid w:val="00E67416"/>
    <w:rsid w:val="00E718B6"/>
    <w:rsid w:val="00E72CAE"/>
    <w:rsid w:val="00E73581"/>
    <w:rsid w:val="00E737B6"/>
    <w:rsid w:val="00E7481A"/>
    <w:rsid w:val="00E764D9"/>
    <w:rsid w:val="00E80BD3"/>
    <w:rsid w:val="00E81679"/>
    <w:rsid w:val="00E8398B"/>
    <w:rsid w:val="00E83BDF"/>
    <w:rsid w:val="00E85D77"/>
    <w:rsid w:val="00E90E56"/>
    <w:rsid w:val="00E91F5A"/>
    <w:rsid w:val="00E92BB5"/>
    <w:rsid w:val="00E94E2E"/>
    <w:rsid w:val="00E9515B"/>
    <w:rsid w:val="00E96187"/>
    <w:rsid w:val="00E972C7"/>
    <w:rsid w:val="00EA09B1"/>
    <w:rsid w:val="00EA0F33"/>
    <w:rsid w:val="00EA2ED9"/>
    <w:rsid w:val="00EA3864"/>
    <w:rsid w:val="00EA4095"/>
    <w:rsid w:val="00EA4B22"/>
    <w:rsid w:val="00EA6667"/>
    <w:rsid w:val="00EA666D"/>
    <w:rsid w:val="00EA78D2"/>
    <w:rsid w:val="00EB02E9"/>
    <w:rsid w:val="00EB15B6"/>
    <w:rsid w:val="00EB15CE"/>
    <w:rsid w:val="00EB221D"/>
    <w:rsid w:val="00EB3502"/>
    <w:rsid w:val="00EB3895"/>
    <w:rsid w:val="00EB4916"/>
    <w:rsid w:val="00EB7CFC"/>
    <w:rsid w:val="00EC00C9"/>
    <w:rsid w:val="00EC2B40"/>
    <w:rsid w:val="00EC4196"/>
    <w:rsid w:val="00EC42D0"/>
    <w:rsid w:val="00EC701C"/>
    <w:rsid w:val="00ED0B8D"/>
    <w:rsid w:val="00ED3719"/>
    <w:rsid w:val="00ED3A35"/>
    <w:rsid w:val="00ED5295"/>
    <w:rsid w:val="00ED66DD"/>
    <w:rsid w:val="00EE07D3"/>
    <w:rsid w:val="00EE44C5"/>
    <w:rsid w:val="00EE556D"/>
    <w:rsid w:val="00EF6C02"/>
    <w:rsid w:val="00EF7085"/>
    <w:rsid w:val="00F004A9"/>
    <w:rsid w:val="00F022EA"/>
    <w:rsid w:val="00F041A5"/>
    <w:rsid w:val="00F05394"/>
    <w:rsid w:val="00F061CB"/>
    <w:rsid w:val="00F067A2"/>
    <w:rsid w:val="00F07BE4"/>
    <w:rsid w:val="00F11EE0"/>
    <w:rsid w:val="00F14A00"/>
    <w:rsid w:val="00F1712B"/>
    <w:rsid w:val="00F21DEA"/>
    <w:rsid w:val="00F2214B"/>
    <w:rsid w:val="00F230FC"/>
    <w:rsid w:val="00F24837"/>
    <w:rsid w:val="00F24F34"/>
    <w:rsid w:val="00F2575F"/>
    <w:rsid w:val="00F26F25"/>
    <w:rsid w:val="00F30629"/>
    <w:rsid w:val="00F33DE9"/>
    <w:rsid w:val="00F347EB"/>
    <w:rsid w:val="00F35283"/>
    <w:rsid w:val="00F3566D"/>
    <w:rsid w:val="00F3619A"/>
    <w:rsid w:val="00F36811"/>
    <w:rsid w:val="00F3767F"/>
    <w:rsid w:val="00F40DD6"/>
    <w:rsid w:val="00F414A4"/>
    <w:rsid w:val="00F44A5B"/>
    <w:rsid w:val="00F458D4"/>
    <w:rsid w:val="00F468C6"/>
    <w:rsid w:val="00F46CB6"/>
    <w:rsid w:val="00F47835"/>
    <w:rsid w:val="00F47846"/>
    <w:rsid w:val="00F509BE"/>
    <w:rsid w:val="00F50E72"/>
    <w:rsid w:val="00F51D2D"/>
    <w:rsid w:val="00F5327F"/>
    <w:rsid w:val="00F53B5C"/>
    <w:rsid w:val="00F5464E"/>
    <w:rsid w:val="00F55E73"/>
    <w:rsid w:val="00F57049"/>
    <w:rsid w:val="00F57143"/>
    <w:rsid w:val="00F60092"/>
    <w:rsid w:val="00F64949"/>
    <w:rsid w:val="00F65FEF"/>
    <w:rsid w:val="00F701E6"/>
    <w:rsid w:val="00F72E8F"/>
    <w:rsid w:val="00F75EFB"/>
    <w:rsid w:val="00F801E3"/>
    <w:rsid w:val="00F802CA"/>
    <w:rsid w:val="00F80E5D"/>
    <w:rsid w:val="00F842E8"/>
    <w:rsid w:val="00F8478C"/>
    <w:rsid w:val="00F851CE"/>
    <w:rsid w:val="00F9087C"/>
    <w:rsid w:val="00F90E33"/>
    <w:rsid w:val="00F953EA"/>
    <w:rsid w:val="00F95C11"/>
    <w:rsid w:val="00F972A0"/>
    <w:rsid w:val="00F97A78"/>
    <w:rsid w:val="00FA24E7"/>
    <w:rsid w:val="00FA272C"/>
    <w:rsid w:val="00FB2B26"/>
    <w:rsid w:val="00FB2FCB"/>
    <w:rsid w:val="00FB3C46"/>
    <w:rsid w:val="00FC0D63"/>
    <w:rsid w:val="00FC1074"/>
    <w:rsid w:val="00FC1884"/>
    <w:rsid w:val="00FC420F"/>
    <w:rsid w:val="00FC48C1"/>
    <w:rsid w:val="00FC5E26"/>
    <w:rsid w:val="00FC7095"/>
    <w:rsid w:val="00FC76C8"/>
    <w:rsid w:val="00FC798C"/>
    <w:rsid w:val="00FD0668"/>
    <w:rsid w:val="00FD0BAB"/>
    <w:rsid w:val="00FD2061"/>
    <w:rsid w:val="00FD2100"/>
    <w:rsid w:val="00FD446D"/>
    <w:rsid w:val="00FD4765"/>
    <w:rsid w:val="00FE0046"/>
    <w:rsid w:val="00FE19D6"/>
    <w:rsid w:val="00FE2CED"/>
    <w:rsid w:val="00FE6785"/>
    <w:rsid w:val="00FF1930"/>
    <w:rsid w:val="00FF263A"/>
    <w:rsid w:val="00FF3DCF"/>
    <w:rsid w:val="00FF5AA3"/>
    <w:rsid w:val="00FF6210"/>
    <w:rsid w:val="00FF6FA8"/>
    <w:rsid w:val="00FF792D"/>
    <w:rsid w:val="00FF7F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uiPriority="7" w:qFormat="1"/>
    <w:lsdException w:name="footnote reference" w:uiPriority="99"/>
    <w:lsdException w:name="annotation reference"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9"/>
    <w:lsdException w:name="Body Text Indent" w:uiPriority="9"/>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127B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374CD7"/>
    <w:pPr>
      <w:keepNext/>
      <w:widowControl/>
    </w:pPr>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i"/>
    <w:basedOn w:val="Normal"/>
    <w:next w:val="TableHeader"/>
    <w:link w:val="CaptionChar"/>
    <w:uiPriority w:val="7"/>
    <w:unhideWhenUsed/>
    <w:qFormat/>
    <w:rsid w:val="00E23422"/>
    <w:rPr>
      <w:rFonts w:ascii="Arial Narrow" w:hAnsi="Arial Narrow"/>
      <w:b/>
      <w:bCs/>
      <w:sz w:val="20"/>
      <w:szCs w:val="18"/>
    </w:rPr>
  </w:style>
  <w:style w:type="character" w:customStyle="1" w:styleId="CaptionChar">
    <w:name w:val="Caption Char"/>
    <w:aliases w:val="IB Caption Char,Medical Caption Char,Caption Char1 Char Char Char,Caption Char Char Char Char Char1,Caption Char1 Char Char1,Caption Char Char Char Char Char Char,Caption Char Char Char1,Caption Char Char Char Char1 Char,Bayer Capti Char"/>
    <w:link w:val="Caption"/>
    <w:uiPriority w:val="7"/>
    <w:rsid w:val="00E23422"/>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B71595"/>
    <w:rPr>
      <w:rFonts w:ascii="Arial Narrow" w:hAnsi="Arial Narrow"/>
      <w:b/>
      <w:sz w:val="20"/>
      <w:szCs w:val="16"/>
    </w:rPr>
  </w:style>
  <w:style w:type="paragraph" w:customStyle="1" w:styleId="Tabletext">
    <w:name w:val="Table text"/>
    <w:basedOn w:val="Normal"/>
    <w:link w:val="TabletextChar"/>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4A63BC"/>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5860DF"/>
    <w:pPr>
      <w:keepNext/>
      <w:widowControl/>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24DEF"/>
    <w:pPr>
      <w:numPr>
        <w:numId w:val="2"/>
      </w:numPr>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character" w:customStyle="1" w:styleId="TableTextChar0">
    <w:name w:val="TableText Char"/>
    <w:link w:val="TableText0"/>
    <w:rsid w:val="005860DF"/>
    <w:rPr>
      <w:rFonts w:ascii="Arial Narrow" w:hAnsi="Arial Narrow" w:cs="Arial Narrow"/>
      <w:lang w:eastAsia="en-US"/>
    </w:rPr>
  </w:style>
  <w:style w:type="character" w:customStyle="1" w:styleId="Heading1Char">
    <w:name w:val="Heading 1 Char"/>
    <w:basedOn w:val="DefaultParagraphFont"/>
    <w:link w:val="Heading1"/>
    <w:rsid w:val="00E90E56"/>
    <w:rPr>
      <w:rFonts w:ascii="Arial Bold" w:hAnsi="Arial Bold" w:cs="Arial"/>
      <w:b/>
      <w:caps/>
      <w:snapToGrid w:val="0"/>
      <w:sz w:val="22"/>
      <w:lang w:eastAsia="en-US"/>
    </w:rPr>
  </w:style>
  <w:style w:type="character" w:customStyle="1" w:styleId="ListParagraphChar">
    <w:name w:val="List Paragraph Char"/>
    <w:aliases w:val="BulletPoints Char"/>
    <w:basedOn w:val="DefaultParagraphFont"/>
    <w:link w:val="ListParagraph"/>
    <w:uiPriority w:val="72"/>
    <w:locked/>
    <w:rsid w:val="00A519F4"/>
    <w:rPr>
      <w:rFonts w:ascii="Arial" w:hAnsi="Arial" w:cs="Arial"/>
      <w:snapToGrid w:val="0"/>
      <w:sz w:val="22"/>
      <w:lang w:eastAsia="en-US"/>
    </w:rPr>
  </w:style>
  <w:style w:type="paragraph" w:styleId="FootnoteText">
    <w:name w:val="footnote text"/>
    <w:basedOn w:val="Normal"/>
    <w:link w:val="FootnoteTextChar"/>
    <w:uiPriority w:val="99"/>
    <w:unhideWhenUsed/>
    <w:rsid w:val="00D355B9"/>
    <w:rPr>
      <w:sz w:val="20"/>
    </w:rPr>
  </w:style>
  <w:style w:type="character" w:customStyle="1" w:styleId="FootnoteTextChar">
    <w:name w:val="Footnote Text Char"/>
    <w:basedOn w:val="DefaultParagraphFont"/>
    <w:link w:val="FootnoteText"/>
    <w:uiPriority w:val="99"/>
    <w:rsid w:val="00D355B9"/>
    <w:rPr>
      <w:rFonts w:ascii="Arial" w:hAnsi="Arial" w:cs="Arial"/>
      <w:snapToGrid w:val="0"/>
      <w:lang w:eastAsia="en-US"/>
    </w:rPr>
  </w:style>
  <w:style w:type="character" w:styleId="FootnoteReference">
    <w:name w:val="footnote reference"/>
    <w:basedOn w:val="DefaultParagraphFont"/>
    <w:uiPriority w:val="99"/>
    <w:unhideWhenUsed/>
    <w:rsid w:val="00D355B9"/>
    <w:rPr>
      <w:vertAlign w:val="superscript"/>
    </w:rPr>
  </w:style>
  <w:style w:type="paragraph" w:customStyle="1" w:styleId="TableText1">
    <w:name w:val="Table Text"/>
    <w:basedOn w:val="Normal"/>
    <w:qFormat/>
    <w:rsid w:val="002D6697"/>
    <w:pPr>
      <w:widowControl/>
      <w:jc w:val="left"/>
    </w:pPr>
    <w:rPr>
      <w:rFonts w:ascii="Arial Narrow" w:hAnsi="Arial Narrow"/>
      <w:snapToGrid/>
      <w:sz w:val="20"/>
      <w:szCs w:val="22"/>
      <w:lang w:eastAsia="en-AU"/>
    </w:rPr>
  </w:style>
  <w:style w:type="paragraph" w:customStyle="1" w:styleId="tabletext2">
    <w:name w:val="table text"/>
    <w:basedOn w:val="TableText1"/>
    <w:rsid w:val="002D6697"/>
    <w:pPr>
      <w:keepNext/>
    </w:pPr>
    <w:rPr>
      <w:color w:val="000000"/>
      <w:szCs w:val="20"/>
    </w:rPr>
  </w:style>
  <w:style w:type="paragraph" w:customStyle="1" w:styleId="Default">
    <w:name w:val="Default"/>
    <w:rsid w:val="00D20097"/>
    <w:pPr>
      <w:autoSpaceDE w:val="0"/>
      <w:autoSpaceDN w:val="0"/>
      <w:adjustRightInd w:val="0"/>
    </w:pPr>
    <w:rPr>
      <w:rFonts w:ascii="Verdana" w:hAnsi="Verdana" w:cs="Verdana"/>
      <w:color w:val="000000"/>
      <w:sz w:val="24"/>
      <w:szCs w:val="24"/>
    </w:rPr>
  </w:style>
  <w:style w:type="paragraph" w:customStyle="1" w:styleId="BMSBodyText">
    <w:name w:val="BMS Body Text"/>
    <w:link w:val="BMSBodyTextChar"/>
    <w:qFormat/>
    <w:rsid w:val="008D1760"/>
    <w:pPr>
      <w:spacing w:after="200" w:line="360" w:lineRule="auto"/>
    </w:pPr>
    <w:rPr>
      <w:rFonts w:ascii="Arial" w:hAnsi="Arial"/>
      <w:color w:val="000000"/>
      <w:sz w:val="22"/>
      <w:szCs w:val="24"/>
      <w:lang w:val="en-US" w:eastAsia="en-US"/>
    </w:rPr>
  </w:style>
  <w:style w:type="character" w:customStyle="1" w:styleId="BMSBodyTextChar">
    <w:name w:val="BMS Body Text Char"/>
    <w:basedOn w:val="DefaultParagraphFont"/>
    <w:link w:val="BMSBodyText"/>
    <w:locked/>
    <w:rsid w:val="008D1760"/>
    <w:rPr>
      <w:rFonts w:ascii="Arial" w:hAnsi="Arial"/>
      <w:color w:val="000000"/>
      <w:sz w:val="22"/>
      <w:szCs w:val="24"/>
      <w:lang w:val="en-US" w:eastAsia="en-US"/>
    </w:rPr>
  </w:style>
  <w:style w:type="character" w:customStyle="1" w:styleId="TableNotesChar">
    <w:name w:val="Table Notes Char"/>
    <w:basedOn w:val="DefaultParagraphFont"/>
    <w:link w:val="TableNotes"/>
    <w:uiPriority w:val="6"/>
    <w:locked/>
    <w:rsid w:val="0080573E"/>
    <w:rPr>
      <w:rFonts w:ascii="Arial Narrow" w:eastAsiaTheme="majorEastAsia" w:hAnsi="Arial Narrow" w:cstheme="majorBidi"/>
      <w:noProof/>
      <w:sz w:val="16"/>
      <w:lang w:bidi="en-US"/>
    </w:rPr>
  </w:style>
  <w:style w:type="paragraph" w:customStyle="1" w:styleId="TableNotes">
    <w:name w:val="Table Notes"/>
    <w:basedOn w:val="Normal"/>
    <w:link w:val="TableNotesChar"/>
    <w:uiPriority w:val="6"/>
    <w:qFormat/>
    <w:rsid w:val="0080573E"/>
    <w:pPr>
      <w:widowControl/>
      <w:spacing w:after="240"/>
      <w:ind w:left="992" w:hanging="992"/>
      <w:jc w:val="left"/>
    </w:pPr>
    <w:rPr>
      <w:rFonts w:ascii="Arial Narrow" w:eastAsiaTheme="majorEastAsia" w:hAnsi="Arial Narrow" w:cstheme="majorBidi"/>
      <w:noProof/>
      <w:snapToGrid/>
      <w:sz w:val="16"/>
      <w:lang w:eastAsia="en-AU" w:bidi="en-US"/>
    </w:rPr>
  </w:style>
  <w:style w:type="paragraph" w:customStyle="1" w:styleId="minutesdotpoint">
    <w:name w:val="minutes dot point"/>
    <w:basedOn w:val="Normal"/>
    <w:link w:val="minutesdotpointChar"/>
    <w:qFormat/>
    <w:rsid w:val="00163034"/>
    <w:pPr>
      <w:widowControl/>
      <w:numPr>
        <w:numId w:val="5"/>
      </w:numPr>
      <w:spacing w:after="120"/>
    </w:pPr>
    <w:rPr>
      <w:rFonts w:ascii="Calibri" w:hAnsi="Calibri" w:cs="Calibri"/>
      <w:snapToGrid/>
      <w:szCs w:val="22"/>
    </w:rPr>
  </w:style>
  <w:style w:type="character" w:customStyle="1" w:styleId="minutesdotpointChar">
    <w:name w:val="minutes dot point Char"/>
    <w:link w:val="minutesdotpoint"/>
    <w:rsid w:val="00163034"/>
    <w:rPr>
      <w:rFonts w:ascii="Calibri" w:hAnsi="Calibri" w:cs="Calibri"/>
      <w:sz w:val="22"/>
      <w:szCs w:val="22"/>
      <w:lang w:eastAsia="en-US"/>
    </w:rPr>
  </w:style>
  <w:style w:type="character" w:styleId="PlaceholderText">
    <w:name w:val="Placeholder Text"/>
    <w:basedOn w:val="DefaultParagraphFont"/>
    <w:uiPriority w:val="99"/>
    <w:semiHidden/>
    <w:rsid w:val="00266AAC"/>
    <w:rPr>
      <w:color w:val="808080"/>
    </w:rPr>
  </w:style>
  <w:style w:type="paragraph" w:styleId="EndnoteText">
    <w:name w:val="endnote text"/>
    <w:basedOn w:val="Normal"/>
    <w:link w:val="EndnoteTextChar"/>
    <w:semiHidden/>
    <w:unhideWhenUsed/>
    <w:rsid w:val="000634AC"/>
    <w:rPr>
      <w:sz w:val="20"/>
    </w:rPr>
  </w:style>
  <w:style w:type="character" w:customStyle="1" w:styleId="EndnoteTextChar">
    <w:name w:val="Endnote Text Char"/>
    <w:basedOn w:val="DefaultParagraphFont"/>
    <w:link w:val="EndnoteText"/>
    <w:semiHidden/>
    <w:rsid w:val="000634AC"/>
    <w:rPr>
      <w:rFonts w:ascii="Arial" w:hAnsi="Arial" w:cs="Arial"/>
      <w:snapToGrid w:val="0"/>
      <w:lang w:eastAsia="en-US"/>
    </w:rPr>
  </w:style>
  <w:style w:type="character" w:styleId="EndnoteReference">
    <w:name w:val="endnote reference"/>
    <w:basedOn w:val="DefaultParagraphFont"/>
    <w:semiHidden/>
    <w:unhideWhenUsed/>
    <w:rsid w:val="000634AC"/>
    <w:rPr>
      <w:vertAlign w:val="superscript"/>
    </w:rPr>
  </w:style>
  <w:style w:type="paragraph" w:customStyle="1" w:styleId="EndNoteBibliographyTitle">
    <w:name w:val="EndNote Bibliography Title"/>
    <w:basedOn w:val="Normal"/>
    <w:rsid w:val="0016379C"/>
    <w:rPr>
      <w:rFonts w:ascii="Arial Bold" w:hAnsi="Arial Bold"/>
    </w:rPr>
  </w:style>
  <w:style w:type="paragraph" w:customStyle="1" w:styleId="EndNoteBibliography">
    <w:name w:val="EndNote Bibliography"/>
    <w:basedOn w:val="Normal"/>
    <w:rsid w:val="0016379C"/>
    <w:rPr>
      <w:rFonts w:ascii="Arial Bold" w:hAnsi="Arial Bold"/>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791A"/>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rsid w:val="00CC38C4"/>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uiPriority="7" w:qFormat="1"/>
    <w:lsdException w:name="footnote reference" w:uiPriority="99"/>
    <w:lsdException w:name="annotation reference"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9"/>
    <w:lsdException w:name="Body Text Indent" w:uiPriority="9"/>
    <w:lsdException w:name="Subtitle" w:semiHidden="0" w:uiPriority="11" w:unhideWhenUsed="0" w:qFormat="1"/>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9" w:unhideWhenUsed="0"/>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127BE"/>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C6535E"/>
    <w:rPr>
      <w:rFonts w:ascii="Arial Narrow" w:hAnsi="Arial Narrow"/>
      <w:sz w:val="18"/>
    </w:rPr>
  </w:style>
  <w:style w:type="paragraph" w:customStyle="1" w:styleId="TableHeader">
    <w:name w:val="Table Header"/>
    <w:basedOn w:val="Normal"/>
    <w:next w:val="Normal"/>
    <w:uiPriority w:val="3"/>
    <w:qFormat/>
    <w:rsid w:val="00374CD7"/>
    <w:pPr>
      <w:keepNext/>
      <w:widowControl/>
    </w:pPr>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i"/>
    <w:basedOn w:val="Normal"/>
    <w:next w:val="TableHeader"/>
    <w:link w:val="CaptionChar"/>
    <w:uiPriority w:val="7"/>
    <w:unhideWhenUsed/>
    <w:qFormat/>
    <w:rsid w:val="00E23422"/>
    <w:rPr>
      <w:rFonts w:ascii="Arial Narrow" w:hAnsi="Arial Narrow"/>
      <w:b/>
      <w:bCs/>
      <w:sz w:val="20"/>
      <w:szCs w:val="18"/>
    </w:rPr>
  </w:style>
  <w:style w:type="character" w:customStyle="1" w:styleId="CaptionChar">
    <w:name w:val="Caption Char"/>
    <w:aliases w:val="IB Caption Char,Medical Caption Char,Caption Char1 Char Char Char,Caption Char Char Char Char Char1,Caption Char1 Char Char1,Caption Char Char Char Char Char Char,Caption Char Char Char1,Caption Char Char Char Char1 Char,Bayer Capti Char"/>
    <w:link w:val="Caption"/>
    <w:uiPriority w:val="7"/>
    <w:rsid w:val="00E23422"/>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B71595"/>
    <w:rPr>
      <w:rFonts w:ascii="Arial Narrow" w:hAnsi="Arial Narrow"/>
      <w:b/>
      <w:sz w:val="20"/>
      <w:szCs w:val="16"/>
    </w:rPr>
  </w:style>
  <w:style w:type="paragraph" w:customStyle="1" w:styleId="Tabletext">
    <w:name w:val="Table text"/>
    <w:basedOn w:val="Normal"/>
    <w:link w:val="TabletextChar"/>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4A63BC"/>
    <w:pPr>
      <w:tabs>
        <w:tab w:val="left" w:pos="880"/>
        <w:tab w:val="right" w:leader="dot" w:pos="9016"/>
      </w:tabs>
      <w:spacing w:before="120"/>
      <w:ind w:left="220"/>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5860DF"/>
    <w:pPr>
      <w:keepNext/>
      <w:widowControl/>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uiPriority w:val="9"/>
    <w:rsid w:val="00D97E30"/>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724DEF"/>
    <w:pPr>
      <w:numPr>
        <w:numId w:val="2"/>
      </w:numPr>
      <w:outlineLvl w:val="0"/>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character" w:customStyle="1" w:styleId="TableTextChar0">
    <w:name w:val="TableText Char"/>
    <w:link w:val="TableText0"/>
    <w:rsid w:val="005860DF"/>
    <w:rPr>
      <w:rFonts w:ascii="Arial Narrow" w:hAnsi="Arial Narrow" w:cs="Arial Narrow"/>
      <w:lang w:eastAsia="en-US"/>
    </w:rPr>
  </w:style>
  <w:style w:type="character" w:customStyle="1" w:styleId="Heading1Char">
    <w:name w:val="Heading 1 Char"/>
    <w:basedOn w:val="DefaultParagraphFont"/>
    <w:link w:val="Heading1"/>
    <w:rsid w:val="00E90E56"/>
    <w:rPr>
      <w:rFonts w:ascii="Arial Bold" w:hAnsi="Arial Bold" w:cs="Arial"/>
      <w:b/>
      <w:caps/>
      <w:snapToGrid w:val="0"/>
      <w:sz w:val="22"/>
      <w:lang w:eastAsia="en-US"/>
    </w:rPr>
  </w:style>
  <w:style w:type="character" w:customStyle="1" w:styleId="ListParagraphChar">
    <w:name w:val="List Paragraph Char"/>
    <w:aliases w:val="BulletPoints Char"/>
    <w:basedOn w:val="DefaultParagraphFont"/>
    <w:link w:val="ListParagraph"/>
    <w:uiPriority w:val="72"/>
    <w:locked/>
    <w:rsid w:val="00A519F4"/>
    <w:rPr>
      <w:rFonts w:ascii="Arial" w:hAnsi="Arial" w:cs="Arial"/>
      <w:snapToGrid w:val="0"/>
      <w:sz w:val="22"/>
      <w:lang w:eastAsia="en-US"/>
    </w:rPr>
  </w:style>
  <w:style w:type="paragraph" w:styleId="FootnoteText">
    <w:name w:val="footnote text"/>
    <w:basedOn w:val="Normal"/>
    <w:link w:val="FootnoteTextChar"/>
    <w:uiPriority w:val="99"/>
    <w:unhideWhenUsed/>
    <w:rsid w:val="00D355B9"/>
    <w:rPr>
      <w:sz w:val="20"/>
    </w:rPr>
  </w:style>
  <w:style w:type="character" w:customStyle="1" w:styleId="FootnoteTextChar">
    <w:name w:val="Footnote Text Char"/>
    <w:basedOn w:val="DefaultParagraphFont"/>
    <w:link w:val="FootnoteText"/>
    <w:uiPriority w:val="99"/>
    <w:rsid w:val="00D355B9"/>
    <w:rPr>
      <w:rFonts w:ascii="Arial" w:hAnsi="Arial" w:cs="Arial"/>
      <w:snapToGrid w:val="0"/>
      <w:lang w:eastAsia="en-US"/>
    </w:rPr>
  </w:style>
  <w:style w:type="character" w:styleId="FootnoteReference">
    <w:name w:val="footnote reference"/>
    <w:basedOn w:val="DefaultParagraphFont"/>
    <w:uiPriority w:val="99"/>
    <w:unhideWhenUsed/>
    <w:rsid w:val="00D355B9"/>
    <w:rPr>
      <w:vertAlign w:val="superscript"/>
    </w:rPr>
  </w:style>
  <w:style w:type="paragraph" w:customStyle="1" w:styleId="TableText1">
    <w:name w:val="Table Text"/>
    <w:basedOn w:val="Normal"/>
    <w:qFormat/>
    <w:rsid w:val="002D6697"/>
    <w:pPr>
      <w:widowControl/>
      <w:jc w:val="left"/>
    </w:pPr>
    <w:rPr>
      <w:rFonts w:ascii="Arial Narrow" w:hAnsi="Arial Narrow"/>
      <w:snapToGrid/>
      <w:sz w:val="20"/>
      <w:szCs w:val="22"/>
      <w:lang w:eastAsia="en-AU"/>
    </w:rPr>
  </w:style>
  <w:style w:type="paragraph" w:customStyle="1" w:styleId="tabletext2">
    <w:name w:val="table text"/>
    <w:basedOn w:val="TableText1"/>
    <w:rsid w:val="002D6697"/>
    <w:pPr>
      <w:keepNext/>
    </w:pPr>
    <w:rPr>
      <w:color w:val="000000"/>
      <w:szCs w:val="20"/>
    </w:rPr>
  </w:style>
  <w:style w:type="paragraph" w:customStyle="1" w:styleId="Default">
    <w:name w:val="Default"/>
    <w:rsid w:val="00D20097"/>
    <w:pPr>
      <w:autoSpaceDE w:val="0"/>
      <w:autoSpaceDN w:val="0"/>
      <w:adjustRightInd w:val="0"/>
    </w:pPr>
    <w:rPr>
      <w:rFonts w:ascii="Verdana" w:hAnsi="Verdana" w:cs="Verdana"/>
      <w:color w:val="000000"/>
      <w:sz w:val="24"/>
      <w:szCs w:val="24"/>
    </w:rPr>
  </w:style>
  <w:style w:type="paragraph" w:customStyle="1" w:styleId="BMSBodyText">
    <w:name w:val="BMS Body Text"/>
    <w:link w:val="BMSBodyTextChar"/>
    <w:qFormat/>
    <w:rsid w:val="008D1760"/>
    <w:pPr>
      <w:spacing w:after="200" w:line="360" w:lineRule="auto"/>
    </w:pPr>
    <w:rPr>
      <w:rFonts w:ascii="Arial" w:hAnsi="Arial"/>
      <w:color w:val="000000"/>
      <w:sz w:val="22"/>
      <w:szCs w:val="24"/>
      <w:lang w:val="en-US" w:eastAsia="en-US"/>
    </w:rPr>
  </w:style>
  <w:style w:type="character" w:customStyle="1" w:styleId="BMSBodyTextChar">
    <w:name w:val="BMS Body Text Char"/>
    <w:basedOn w:val="DefaultParagraphFont"/>
    <w:link w:val="BMSBodyText"/>
    <w:locked/>
    <w:rsid w:val="008D1760"/>
    <w:rPr>
      <w:rFonts w:ascii="Arial" w:hAnsi="Arial"/>
      <w:color w:val="000000"/>
      <w:sz w:val="22"/>
      <w:szCs w:val="24"/>
      <w:lang w:val="en-US" w:eastAsia="en-US"/>
    </w:rPr>
  </w:style>
  <w:style w:type="character" w:customStyle="1" w:styleId="TableNotesChar">
    <w:name w:val="Table Notes Char"/>
    <w:basedOn w:val="DefaultParagraphFont"/>
    <w:link w:val="TableNotes"/>
    <w:uiPriority w:val="6"/>
    <w:locked/>
    <w:rsid w:val="0080573E"/>
    <w:rPr>
      <w:rFonts w:ascii="Arial Narrow" w:eastAsiaTheme="majorEastAsia" w:hAnsi="Arial Narrow" w:cstheme="majorBidi"/>
      <w:noProof/>
      <w:sz w:val="16"/>
      <w:lang w:bidi="en-US"/>
    </w:rPr>
  </w:style>
  <w:style w:type="paragraph" w:customStyle="1" w:styleId="TableNotes">
    <w:name w:val="Table Notes"/>
    <w:basedOn w:val="Normal"/>
    <w:link w:val="TableNotesChar"/>
    <w:uiPriority w:val="6"/>
    <w:qFormat/>
    <w:rsid w:val="0080573E"/>
    <w:pPr>
      <w:widowControl/>
      <w:spacing w:after="240"/>
      <w:ind w:left="992" w:hanging="992"/>
      <w:jc w:val="left"/>
    </w:pPr>
    <w:rPr>
      <w:rFonts w:ascii="Arial Narrow" w:eastAsiaTheme="majorEastAsia" w:hAnsi="Arial Narrow" w:cstheme="majorBidi"/>
      <w:noProof/>
      <w:snapToGrid/>
      <w:sz w:val="16"/>
      <w:lang w:eastAsia="en-AU" w:bidi="en-US"/>
    </w:rPr>
  </w:style>
  <w:style w:type="paragraph" w:customStyle="1" w:styleId="minutesdotpoint">
    <w:name w:val="minutes dot point"/>
    <w:basedOn w:val="Normal"/>
    <w:link w:val="minutesdotpointChar"/>
    <w:qFormat/>
    <w:rsid w:val="00163034"/>
    <w:pPr>
      <w:widowControl/>
      <w:numPr>
        <w:numId w:val="5"/>
      </w:numPr>
      <w:spacing w:after="120"/>
    </w:pPr>
    <w:rPr>
      <w:rFonts w:ascii="Calibri" w:hAnsi="Calibri" w:cs="Calibri"/>
      <w:snapToGrid/>
      <w:szCs w:val="22"/>
    </w:rPr>
  </w:style>
  <w:style w:type="character" w:customStyle="1" w:styleId="minutesdotpointChar">
    <w:name w:val="minutes dot point Char"/>
    <w:link w:val="minutesdotpoint"/>
    <w:rsid w:val="00163034"/>
    <w:rPr>
      <w:rFonts w:ascii="Calibri" w:hAnsi="Calibri" w:cs="Calibri"/>
      <w:sz w:val="22"/>
      <w:szCs w:val="22"/>
      <w:lang w:eastAsia="en-US"/>
    </w:rPr>
  </w:style>
  <w:style w:type="character" w:styleId="PlaceholderText">
    <w:name w:val="Placeholder Text"/>
    <w:basedOn w:val="DefaultParagraphFont"/>
    <w:uiPriority w:val="99"/>
    <w:semiHidden/>
    <w:rsid w:val="00266AAC"/>
    <w:rPr>
      <w:color w:val="808080"/>
    </w:rPr>
  </w:style>
  <w:style w:type="paragraph" w:styleId="EndnoteText">
    <w:name w:val="endnote text"/>
    <w:basedOn w:val="Normal"/>
    <w:link w:val="EndnoteTextChar"/>
    <w:semiHidden/>
    <w:unhideWhenUsed/>
    <w:rsid w:val="000634AC"/>
    <w:rPr>
      <w:sz w:val="20"/>
    </w:rPr>
  </w:style>
  <w:style w:type="character" w:customStyle="1" w:styleId="EndnoteTextChar">
    <w:name w:val="Endnote Text Char"/>
    <w:basedOn w:val="DefaultParagraphFont"/>
    <w:link w:val="EndnoteText"/>
    <w:semiHidden/>
    <w:rsid w:val="000634AC"/>
    <w:rPr>
      <w:rFonts w:ascii="Arial" w:hAnsi="Arial" w:cs="Arial"/>
      <w:snapToGrid w:val="0"/>
      <w:lang w:eastAsia="en-US"/>
    </w:rPr>
  </w:style>
  <w:style w:type="character" w:styleId="EndnoteReference">
    <w:name w:val="endnote reference"/>
    <w:basedOn w:val="DefaultParagraphFont"/>
    <w:semiHidden/>
    <w:unhideWhenUsed/>
    <w:rsid w:val="000634AC"/>
    <w:rPr>
      <w:vertAlign w:val="superscript"/>
    </w:rPr>
  </w:style>
  <w:style w:type="paragraph" w:customStyle="1" w:styleId="EndNoteBibliographyTitle">
    <w:name w:val="EndNote Bibliography Title"/>
    <w:basedOn w:val="Normal"/>
    <w:rsid w:val="0016379C"/>
    <w:rPr>
      <w:rFonts w:ascii="Arial Bold" w:hAnsi="Arial Bold"/>
    </w:rPr>
  </w:style>
  <w:style w:type="paragraph" w:customStyle="1" w:styleId="EndNoteBibliography">
    <w:name w:val="EndNote Bibliography"/>
    <w:basedOn w:val="Normal"/>
    <w:rsid w:val="0016379C"/>
    <w:rPr>
      <w:rFonts w:ascii="Arial Bold" w:hAnsi="Arial Bold"/>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4791A"/>
    <w:pPr>
      <w:widowControl/>
      <w:spacing w:after="160" w:line="240" w:lineRule="exact"/>
      <w:jc w:val="left"/>
    </w:pPr>
    <w:rPr>
      <w:rFonts w:ascii="Verdana" w:eastAsia="MS Mincho" w:hAnsi="Verdana" w:cs="Verdana"/>
      <w:snapToGrid/>
      <w:sz w:val="20"/>
      <w:lang w:val="en-US"/>
    </w:rPr>
  </w:style>
  <w:style w:type="character" w:styleId="IntenseReference">
    <w:name w:val="Intense Reference"/>
    <w:basedOn w:val="DefaultParagraphFont"/>
    <w:uiPriority w:val="32"/>
    <w:rsid w:val="00CC38C4"/>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39499">
      <w:bodyDiv w:val="1"/>
      <w:marLeft w:val="0"/>
      <w:marRight w:val="0"/>
      <w:marTop w:val="0"/>
      <w:marBottom w:val="0"/>
      <w:divBdr>
        <w:top w:val="none" w:sz="0" w:space="0" w:color="auto"/>
        <w:left w:val="none" w:sz="0" w:space="0" w:color="auto"/>
        <w:bottom w:val="none" w:sz="0" w:space="0" w:color="auto"/>
        <w:right w:val="none" w:sz="0" w:space="0" w:color="auto"/>
      </w:divBdr>
    </w:div>
    <w:div w:id="987443570">
      <w:bodyDiv w:val="1"/>
      <w:marLeft w:val="0"/>
      <w:marRight w:val="0"/>
      <w:marTop w:val="0"/>
      <w:marBottom w:val="0"/>
      <w:divBdr>
        <w:top w:val="none" w:sz="0" w:space="0" w:color="auto"/>
        <w:left w:val="none" w:sz="0" w:space="0" w:color="auto"/>
        <w:bottom w:val="none" w:sz="0" w:space="0" w:color="auto"/>
        <w:right w:val="none" w:sz="0" w:space="0" w:color="auto"/>
      </w:divBdr>
    </w:div>
    <w:div w:id="995913364">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169364870">
      <w:bodyDiv w:val="1"/>
      <w:marLeft w:val="0"/>
      <w:marRight w:val="0"/>
      <w:marTop w:val="0"/>
      <w:marBottom w:val="0"/>
      <w:divBdr>
        <w:top w:val="none" w:sz="0" w:space="0" w:color="auto"/>
        <w:left w:val="none" w:sz="0" w:space="0" w:color="auto"/>
        <w:bottom w:val="none" w:sz="0" w:space="0" w:color="auto"/>
        <w:right w:val="none" w:sz="0" w:space="0" w:color="auto"/>
      </w:divBdr>
    </w:div>
    <w:div w:id="1461343220">
      <w:bodyDiv w:val="1"/>
      <w:marLeft w:val="0"/>
      <w:marRight w:val="0"/>
      <w:marTop w:val="0"/>
      <w:marBottom w:val="0"/>
      <w:divBdr>
        <w:top w:val="none" w:sz="0" w:space="0" w:color="auto"/>
        <w:left w:val="none" w:sz="0" w:space="0" w:color="auto"/>
        <w:bottom w:val="none" w:sz="0" w:space="0" w:color="auto"/>
        <w:right w:val="none" w:sz="0" w:space="0" w:color="auto"/>
      </w:divBdr>
    </w:div>
    <w:div w:id="1547912086">
      <w:bodyDiv w:val="1"/>
      <w:marLeft w:val="0"/>
      <w:marRight w:val="0"/>
      <w:marTop w:val="0"/>
      <w:marBottom w:val="0"/>
      <w:divBdr>
        <w:top w:val="none" w:sz="0" w:space="0" w:color="auto"/>
        <w:left w:val="none" w:sz="0" w:space="0" w:color="auto"/>
        <w:bottom w:val="none" w:sz="0" w:space="0" w:color="auto"/>
        <w:right w:val="none" w:sz="0" w:space="0" w:color="auto"/>
      </w:divBdr>
    </w:div>
    <w:div w:id="1661108077">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838183743">
      <w:bodyDiv w:val="1"/>
      <w:marLeft w:val="0"/>
      <w:marRight w:val="0"/>
      <w:marTop w:val="0"/>
      <w:marBottom w:val="0"/>
      <w:divBdr>
        <w:top w:val="none" w:sz="0" w:space="0" w:color="auto"/>
        <w:left w:val="none" w:sz="0" w:space="0" w:color="auto"/>
        <w:bottom w:val="none" w:sz="0" w:space="0" w:color="auto"/>
        <w:right w:val="none" w:sz="0" w:space="0" w:color="auto"/>
      </w:divBdr>
    </w:div>
    <w:div w:id="18761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77AC-8C77-4340-9926-F3DEAAB6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6724</Words>
  <Characters>37766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2017-06-19T07:38:00Z</dcterms:created>
  <dcterms:modified xsi:type="dcterms:W3CDTF">2017-06-19T07:39:00Z</dcterms:modified>
</cp:coreProperties>
</file>