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8630BF" w:rsidRDefault="00B75B4C" w:rsidP="0059313D">
      <w:pPr>
        <w:pStyle w:val="Heading1"/>
        <w:jc w:val="left"/>
        <w:rPr>
          <w:caps w:val="0"/>
          <w:sz w:val="28"/>
        </w:rPr>
      </w:pPr>
      <w:bookmarkStart w:id="0" w:name="_Toc472349021"/>
      <w:bookmarkStart w:id="1" w:name="_GoBack"/>
      <w:bookmarkEnd w:id="1"/>
      <w:r w:rsidRPr="004343F0">
        <w:rPr>
          <w:sz w:val="28"/>
        </w:rPr>
        <w:t>7.08</w:t>
      </w:r>
      <w:r w:rsidR="00B60939" w:rsidRPr="004343F0">
        <w:rPr>
          <w:sz w:val="28"/>
        </w:rPr>
        <w:tab/>
      </w:r>
      <w:r w:rsidR="00BC7440" w:rsidRPr="004343F0">
        <w:rPr>
          <w:sz w:val="28"/>
        </w:rPr>
        <w:t xml:space="preserve">Ulipristal acetate, </w:t>
      </w:r>
      <w:r w:rsidR="0059313D">
        <w:rPr>
          <w:sz w:val="28"/>
        </w:rPr>
        <w:br/>
      </w:r>
      <w:r w:rsidR="008630BF" w:rsidRPr="008630BF">
        <w:rPr>
          <w:caps w:val="0"/>
          <w:sz w:val="28"/>
        </w:rPr>
        <w:t>Tablet</w:t>
      </w:r>
      <w:r w:rsidR="00BC7440" w:rsidRPr="008630BF">
        <w:rPr>
          <w:caps w:val="0"/>
          <w:sz w:val="28"/>
        </w:rPr>
        <w:t xml:space="preserve">, 5 mg, </w:t>
      </w:r>
      <w:r w:rsidR="0059313D">
        <w:rPr>
          <w:caps w:val="0"/>
          <w:sz w:val="28"/>
        </w:rPr>
        <w:br/>
      </w:r>
      <w:r w:rsidR="00BC7440" w:rsidRPr="008630BF">
        <w:rPr>
          <w:caps w:val="0"/>
          <w:sz w:val="28"/>
        </w:rPr>
        <w:t>Esmya®, Vifor Australia Pty Ltd.</w:t>
      </w:r>
      <w:bookmarkEnd w:id="0"/>
    </w:p>
    <w:p w:rsidR="00B60939" w:rsidRDefault="00B60939" w:rsidP="00577717"/>
    <w:p w:rsidR="00E570A3" w:rsidRDefault="00E570A3" w:rsidP="00F338FF"/>
    <w:p w:rsidR="00F338FF" w:rsidRPr="00407F2D" w:rsidRDefault="00F338FF" w:rsidP="005D7E3E">
      <w:pPr>
        <w:pStyle w:val="PBACheading1"/>
        <w:rPr>
          <w:b/>
        </w:rPr>
      </w:pPr>
      <w:bookmarkStart w:id="2" w:name="_Toc472349023"/>
      <w:r w:rsidRPr="00407F2D">
        <w:rPr>
          <w:b/>
        </w:rPr>
        <w:t>Purpose of Application</w:t>
      </w:r>
      <w:bookmarkEnd w:id="2"/>
    </w:p>
    <w:p w:rsidR="00B60939" w:rsidRPr="00882085" w:rsidRDefault="00B60939" w:rsidP="00B60939">
      <w:pPr>
        <w:rPr>
          <w:szCs w:val="22"/>
        </w:rPr>
      </w:pPr>
    </w:p>
    <w:p w:rsidR="00B60939" w:rsidRPr="00893D5C" w:rsidRDefault="00893D5C" w:rsidP="00CF1650">
      <w:pPr>
        <w:pStyle w:val="ListParagraph"/>
        <w:widowControl/>
        <w:numPr>
          <w:ilvl w:val="1"/>
          <w:numId w:val="3"/>
        </w:numPr>
        <w:rPr>
          <w:szCs w:val="22"/>
        </w:rPr>
      </w:pPr>
      <w:r>
        <w:t xml:space="preserve">The </w:t>
      </w:r>
      <w:r w:rsidR="007B08B0">
        <w:t>resubmission</w:t>
      </w:r>
      <w:r>
        <w:t xml:space="preserve"> requested a Section 85, Authority Required (Streamlined) listing for ulipristal for the treatment of moderate to severe symptoms of uterine fibroids prior to planned surgery. This is the second submission to the PBAC</w:t>
      </w:r>
      <w:r w:rsidR="003B4926">
        <w:t>.</w:t>
      </w:r>
    </w:p>
    <w:p w:rsidR="00B60939" w:rsidRDefault="00B60939" w:rsidP="00497F10"/>
    <w:p w:rsidR="001B6188" w:rsidRPr="00882085" w:rsidRDefault="001B6188" w:rsidP="00497F10"/>
    <w:p w:rsidR="00F338FF" w:rsidRPr="00407F2D" w:rsidRDefault="00F338FF" w:rsidP="005D7E3E">
      <w:pPr>
        <w:pStyle w:val="PBACheading1"/>
        <w:rPr>
          <w:b/>
        </w:rPr>
      </w:pPr>
      <w:bookmarkStart w:id="3" w:name="_Toc472349024"/>
      <w:r w:rsidRPr="00407F2D">
        <w:rPr>
          <w:b/>
        </w:rPr>
        <w:t>Requested listing</w:t>
      </w:r>
      <w:bookmarkEnd w:id="3"/>
    </w:p>
    <w:p w:rsidR="00B60939" w:rsidRPr="00882085" w:rsidRDefault="00B60939" w:rsidP="00497F10"/>
    <w:p w:rsidR="009B68C3" w:rsidRPr="000E5E7F" w:rsidRDefault="009B68C3" w:rsidP="009B68C3">
      <w:pPr>
        <w:pStyle w:val="ListParagraph"/>
        <w:widowControl/>
        <w:numPr>
          <w:ilvl w:val="1"/>
          <w:numId w:val="4"/>
        </w:numPr>
        <w:rPr>
          <w:szCs w:val="22"/>
        </w:rPr>
      </w:pPr>
      <w:r w:rsidRPr="000E5E7F">
        <w:rPr>
          <w:szCs w:val="22"/>
        </w:rPr>
        <w:t>Suggestions and additions proposed by the Secretariat to the requested listing are added in italics and suggested deletions are crossed out with strikethrough.</w:t>
      </w:r>
      <w:r w:rsidR="00AF08B6" w:rsidRPr="000E5E7F">
        <w:rPr>
          <w:szCs w:val="22"/>
        </w:rPr>
        <w:t xml:space="preserve"> The Pre</w:t>
      </w:r>
      <w:r w:rsidR="00A65596">
        <w:rPr>
          <w:szCs w:val="22"/>
        </w:rPr>
        <w:t xml:space="preserve">-Sub-Committee Response (PSCR) </w:t>
      </w:r>
      <w:r w:rsidR="00AF08B6" w:rsidRPr="000E5E7F">
        <w:rPr>
          <w:szCs w:val="22"/>
        </w:rPr>
        <w:t>included changes</w:t>
      </w:r>
      <w:r w:rsidR="00F86BF0" w:rsidRPr="000E5E7F">
        <w:rPr>
          <w:szCs w:val="22"/>
        </w:rPr>
        <w:t xml:space="preserve"> to the requested listing</w:t>
      </w:r>
      <w:r w:rsidR="00AF08B6" w:rsidRPr="000E5E7F">
        <w:rPr>
          <w:szCs w:val="22"/>
        </w:rPr>
        <w:t xml:space="preserve"> </w:t>
      </w:r>
      <w:r w:rsidR="00F86BF0" w:rsidRPr="000E5E7F">
        <w:rPr>
          <w:szCs w:val="22"/>
        </w:rPr>
        <w:t xml:space="preserve">which are </w:t>
      </w:r>
      <w:r w:rsidR="00AF08B6" w:rsidRPr="000E5E7F">
        <w:rPr>
          <w:szCs w:val="22"/>
        </w:rPr>
        <w:t>added in bold.</w:t>
      </w:r>
    </w:p>
    <w:p w:rsidR="009B68C3" w:rsidRDefault="009B68C3" w:rsidP="009B68C3">
      <w:pPr>
        <w:rPr>
          <w:szCs w:val="22"/>
        </w:rPr>
      </w:pPr>
    </w:p>
    <w:tbl>
      <w:tblPr>
        <w:tblW w:w="8505" w:type="dxa"/>
        <w:tblInd w:w="817" w:type="dxa"/>
        <w:tblLayout w:type="fixed"/>
        <w:tblLook w:val="0000" w:firstRow="0" w:lastRow="0" w:firstColumn="0" w:lastColumn="0" w:noHBand="0" w:noVBand="0"/>
      </w:tblPr>
      <w:tblGrid>
        <w:gridCol w:w="2126"/>
        <w:gridCol w:w="426"/>
        <w:gridCol w:w="567"/>
        <w:gridCol w:w="850"/>
        <w:gridCol w:w="1701"/>
        <w:gridCol w:w="1559"/>
        <w:gridCol w:w="1276"/>
      </w:tblGrid>
      <w:tr w:rsidR="009B68C3" w:rsidRPr="00260CE3" w:rsidTr="00674681">
        <w:trPr>
          <w:cantSplit/>
          <w:trHeight w:val="471"/>
        </w:trPr>
        <w:tc>
          <w:tcPr>
            <w:tcW w:w="2552" w:type="dxa"/>
            <w:gridSpan w:val="2"/>
            <w:tcBorders>
              <w:bottom w:val="single" w:sz="4" w:space="0" w:color="auto"/>
            </w:tcBorders>
          </w:tcPr>
          <w:p w:rsidR="009B68C3" w:rsidRPr="00260CE3" w:rsidRDefault="009B68C3" w:rsidP="00BC3C77">
            <w:pPr>
              <w:keepNext/>
              <w:ind w:left="-108"/>
              <w:rPr>
                <w:rFonts w:ascii="Arial Narrow" w:hAnsi="Arial Narrow"/>
                <w:sz w:val="20"/>
              </w:rPr>
            </w:pPr>
            <w:r w:rsidRPr="00260CE3">
              <w:rPr>
                <w:rFonts w:ascii="Arial Narrow" w:hAnsi="Arial Narrow"/>
                <w:sz w:val="20"/>
              </w:rPr>
              <w:t>Name, Restriction,</w:t>
            </w:r>
          </w:p>
          <w:p w:rsidR="009B68C3" w:rsidRPr="00260CE3" w:rsidRDefault="009B68C3" w:rsidP="00BC3C77">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9B68C3" w:rsidRPr="00260CE3" w:rsidRDefault="009B68C3" w:rsidP="00BC3C77">
            <w:pPr>
              <w:keepNext/>
              <w:ind w:left="-108"/>
              <w:rPr>
                <w:rFonts w:ascii="Arial Narrow" w:hAnsi="Arial Narrow"/>
                <w:sz w:val="20"/>
              </w:rPr>
            </w:pPr>
            <w:r w:rsidRPr="00260CE3">
              <w:rPr>
                <w:rFonts w:ascii="Arial Narrow" w:hAnsi="Arial Narrow"/>
                <w:sz w:val="20"/>
              </w:rPr>
              <w:t>Max.</w:t>
            </w:r>
          </w:p>
          <w:p w:rsidR="009B68C3" w:rsidRPr="00260CE3" w:rsidRDefault="009B68C3" w:rsidP="00BC3C77">
            <w:pPr>
              <w:keepNext/>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9B68C3" w:rsidRPr="00260CE3" w:rsidRDefault="009B68C3" w:rsidP="00BC3C77">
            <w:pPr>
              <w:keepNext/>
              <w:ind w:left="-108"/>
              <w:rPr>
                <w:rFonts w:ascii="Arial Narrow" w:hAnsi="Arial Narrow"/>
                <w:sz w:val="20"/>
              </w:rPr>
            </w:pPr>
            <w:r w:rsidRPr="00260CE3">
              <w:rPr>
                <w:rFonts w:ascii="Arial Narrow" w:hAnsi="Arial Narrow"/>
                <w:sz w:val="20"/>
              </w:rPr>
              <w:t>№.of</w:t>
            </w:r>
          </w:p>
          <w:p w:rsidR="009B68C3" w:rsidRPr="00260CE3" w:rsidRDefault="009B68C3" w:rsidP="00BC3C77">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9B68C3" w:rsidRPr="00260CE3" w:rsidRDefault="009B68C3" w:rsidP="00BC3C77">
            <w:pPr>
              <w:keepNext/>
              <w:ind w:left="-108"/>
              <w:rPr>
                <w:rFonts w:ascii="Arial Narrow" w:hAnsi="Arial Narrow"/>
                <w:sz w:val="20"/>
              </w:rPr>
            </w:pPr>
            <w:r w:rsidRPr="00260CE3">
              <w:rPr>
                <w:rFonts w:ascii="Arial Narrow" w:hAnsi="Arial Narrow"/>
                <w:sz w:val="20"/>
              </w:rPr>
              <w:t>Dispensed Price for Max. Qty</w:t>
            </w:r>
          </w:p>
        </w:tc>
        <w:tc>
          <w:tcPr>
            <w:tcW w:w="2835" w:type="dxa"/>
            <w:gridSpan w:val="2"/>
            <w:tcBorders>
              <w:bottom w:val="single" w:sz="4" w:space="0" w:color="auto"/>
            </w:tcBorders>
          </w:tcPr>
          <w:p w:rsidR="009B68C3" w:rsidRPr="00260CE3" w:rsidRDefault="009B68C3" w:rsidP="00BC3C77">
            <w:pPr>
              <w:keepNext/>
              <w:rPr>
                <w:rFonts w:ascii="Arial Narrow" w:hAnsi="Arial Narrow"/>
                <w:sz w:val="20"/>
                <w:lang w:val="fr-FR"/>
              </w:rPr>
            </w:pPr>
            <w:r w:rsidRPr="00260CE3">
              <w:rPr>
                <w:rFonts w:ascii="Arial Narrow" w:hAnsi="Arial Narrow"/>
                <w:sz w:val="20"/>
              </w:rPr>
              <w:t>Proprietary Name and Manufacturer</w:t>
            </w:r>
          </w:p>
        </w:tc>
      </w:tr>
      <w:tr w:rsidR="009B68C3" w:rsidRPr="00260CE3" w:rsidTr="00674681">
        <w:trPr>
          <w:cantSplit/>
          <w:trHeight w:val="577"/>
        </w:trPr>
        <w:tc>
          <w:tcPr>
            <w:tcW w:w="2552" w:type="dxa"/>
            <w:gridSpan w:val="2"/>
          </w:tcPr>
          <w:p w:rsidR="009B68C3" w:rsidRPr="00260CE3" w:rsidRDefault="009B68C3" w:rsidP="00BC3C77">
            <w:pPr>
              <w:keepNext/>
              <w:ind w:left="-108"/>
              <w:rPr>
                <w:rFonts w:ascii="Arial Narrow" w:hAnsi="Arial Narrow"/>
                <w:sz w:val="20"/>
              </w:rPr>
            </w:pPr>
            <w:r>
              <w:rPr>
                <w:rFonts w:ascii="Arial Narrow" w:hAnsi="Arial Narrow"/>
                <w:smallCaps/>
                <w:sz w:val="20"/>
              </w:rPr>
              <w:t>ULIPRISTAL ACETATE</w:t>
            </w:r>
          </w:p>
          <w:p w:rsidR="009B68C3" w:rsidRPr="00260CE3" w:rsidRDefault="009B68C3" w:rsidP="00BC3C77">
            <w:pPr>
              <w:keepNext/>
              <w:ind w:left="-108"/>
              <w:rPr>
                <w:rFonts w:ascii="Arial Narrow" w:hAnsi="Arial Narrow"/>
                <w:sz w:val="20"/>
              </w:rPr>
            </w:pPr>
            <w:r>
              <w:rPr>
                <w:rFonts w:ascii="Arial Narrow" w:hAnsi="Arial Narrow"/>
                <w:sz w:val="20"/>
              </w:rPr>
              <w:t>Tablet 5 mg, 28</w:t>
            </w:r>
          </w:p>
        </w:tc>
        <w:tc>
          <w:tcPr>
            <w:tcW w:w="567" w:type="dxa"/>
          </w:tcPr>
          <w:p w:rsidR="009B68C3" w:rsidRPr="00260CE3" w:rsidRDefault="009B68C3" w:rsidP="00BC3C77">
            <w:pPr>
              <w:keepNext/>
              <w:ind w:left="-108"/>
              <w:rPr>
                <w:rFonts w:ascii="Arial Narrow" w:hAnsi="Arial Narrow"/>
                <w:sz w:val="20"/>
              </w:rPr>
            </w:pPr>
          </w:p>
          <w:p w:rsidR="009B68C3" w:rsidRPr="00260CE3" w:rsidRDefault="009B68C3" w:rsidP="00BC3C77">
            <w:pPr>
              <w:keepNext/>
              <w:ind w:left="-108"/>
              <w:rPr>
                <w:rFonts w:ascii="Arial Narrow" w:hAnsi="Arial Narrow"/>
                <w:sz w:val="20"/>
              </w:rPr>
            </w:pPr>
            <w:r>
              <w:rPr>
                <w:rFonts w:ascii="Arial Narrow" w:hAnsi="Arial Narrow"/>
                <w:sz w:val="20"/>
              </w:rPr>
              <w:t>1</w:t>
            </w:r>
          </w:p>
        </w:tc>
        <w:tc>
          <w:tcPr>
            <w:tcW w:w="850" w:type="dxa"/>
          </w:tcPr>
          <w:p w:rsidR="009B68C3" w:rsidRPr="00260CE3" w:rsidRDefault="009B68C3" w:rsidP="00BC3C77">
            <w:pPr>
              <w:keepNext/>
              <w:ind w:left="-108"/>
              <w:rPr>
                <w:rFonts w:ascii="Arial Narrow" w:hAnsi="Arial Narrow"/>
                <w:sz w:val="20"/>
              </w:rPr>
            </w:pPr>
          </w:p>
          <w:p w:rsidR="009B68C3" w:rsidRPr="00260CE3" w:rsidRDefault="009B68C3" w:rsidP="00BC3C77">
            <w:pPr>
              <w:keepNext/>
              <w:ind w:left="-108"/>
              <w:rPr>
                <w:rFonts w:ascii="Arial Narrow" w:hAnsi="Arial Narrow"/>
                <w:sz w:val="20"/>
              </w:rPr>
            </w:pPr>
            <w:r>
              <w:rPr>
                <w:rFonts w:ascii="Arial Narrow" w:hAnsi="Arial Narrow"/>
                <w:sz w:val="20"/>
              </w:rPr>
              <w:t>2</w:t>
            </w:r>
          </w:p>
        </w:tc>
        <w:tc>
          <w:tcPr>
            <w:tcW w:w="1701" w:type="dxa"/>
          </w:tcPr>
          <w:p w:rsidR="009B68C3" w:rsidRPr="00260CE3" w:rsidRDefault="009B68C3" w:rsidP="00BC3C77">
            <w:pPr>
              <w:keepNext/>
              <w:ind w:left="-108"/>
              <w:rPr>
                <w:rFonts w:ascii="Arial Narrow" w:hAnsi="Arial Narrow"/>
                <w:sz w:val="20"/>
              </w:rPr>
            </w:pPr>
          </w:p>
          <w:p w:rsidR="009B68C3" w:rsidRPr="00260CE3" w:rsidRDefault="009B68C3" w:rsidP="00BC3C77">
            <w:pPr>
              <w:keepNext/>
              <w:ind w:left="-108"/>
              <w:rPr>
                <w:rFonts w:ascii="Arial Narrow" w:hAnsi="Arial Narrow"/>
                <w:sz w:val="20"/>
              </w:rPr>
            </w:pPr>
            <w:r w:rsidRPr="00260CE3">
              <w:rPr>
                <w:rFonts w:ascii="Arial Narrow" w:hAnsi="Arial Narrow"/>
                <w:sz w:val="20"/>
              </w:rPr>
              <w:t>$</w:t>
            </w:r>
            <w:r w:rsidR="006C091A">
              <w:rPr>
                <w:rFonts w:ascii="Arial Narrow" w:hAnsi="Arial Narrow"/>
                <w:noProof/>
                <w:color w:val="000000"/>
                <w:sz w:val="20"/>
                <w:highlight w:val="black"/>
              </w:rPr>
              <w:t>'''''''''''''''</w:t>
            </w:r>
          </w:p>
        </w:tc>
        <w:tc>
          <w:tcPr>
            <w:tcW w:w="1559" w:type="dxa"/>
          </w:tcPr>
          <w:p w:rsidR="009B68C3" w:rsidRPr="00260CE3" w:rsidRDefault="009B68C3" w:rsidP="00BC3C77">
            <w:pPr>
              <w:keepNext/>
              <w:rPr>
                <w:rFonts w:ascii="Arial Narrow" w:hAnsi="Arial Narrow"/>
                <w:sz w:val="20"/>
              </w:rPr>
            </w:pPr>
            <w:r>
              <w:rPr>
                <w:rFonts w:ascii="Arial Narrow" w:hAnsi="Arial Narrow"/>
                <w:sz w:val="20"/>
              </w:rPr>
              <w:t>Esmya</w:t>
            </w:r>
            <w:r>
              <w:rPr>
                <w:sz w:val="20"/>
                <w:vertAlign w:val="superscript"/>
              </w:rPr>
              <w:t>®</w:t>
            </w:r>
          </w:p>
        </w:tc>
        <w:tc>
          <w:tcPr>
            <w:tcW w:w="1276" w:type="dxa"/>
          </w:tcPr>
          <w:p w:rsidR="009B68C3" w:rsidRPr="00260CE3" w:rsidRDefault="009B68C3" w:rsidP="00BC3C77">
            <w:pPr>
              <w:keepNext/>
              <w:rPr>
                <w:rFonts w:ascii="Arial Narrow" w:hAnsi="Arial Narrow"/>
                <w:sz w:val="20"/>
              </w:rPr>
            </w:pPr>
            <w:r w:rsidRPr="00BE7C69">
              <w:rPr>
                <w:rFonts w:ascii="Arial Narrow" w:hAnsi="Arial Narrow"/>
                <w:sz w:val="20"/>
              </w:rPr>
              <w:t>Vifor Australia Pty Ltd</w:t>
            </w:r>
          </w:p>
        </w:tc>
      </w:tr>
      <w:tr w:rsidR="009B68C3" w:rsidRPr="00260CE3" w:rsidTr="00674681">
        <w:trPr>
          <w:cantSplit/>
          <w:trHeight w:val="360"/>
        </w:trPr>
        <w:tc>
          <w:tcPr>
            <w:tcW w:w="8505" w:type="dxa"/>
            <w:gridSpan w:val="7"/>
            <w:tcBorders>
              <w:bottom w:val="single" w:sz="4" w:space="0" w:color="auto"/>
            </w:tcBorders>
          </w:tcPr>
          <w:p w:rsidR="009B68C3" w:rsidRPr="00260CE3" w:rsidRDefault="009B68C3" w:rsidP="00BC3C77">
            <w:pPr>
              <w:rPr>
                <w:rFonts w:ascii="Arial Narrow" w:hAnsi="Arial Narrow"/>
                <w:sz w:val="20"/>
              </w:rPr>
            </w:pPr>
          </w:p>
        </w:tc>
      </w:tr>
      <w:tr w:rsidR="009B68C3" w:rsidRPr="00260CE3" w:rsidTr="00674681">
        <w:trPr>
          <w:cantSplit/>
          <w:trHeight w:val="360"/>
        </w:trPr>
        <w:tc>
          <w:tcPr>
            <w:tcW w:w="2126" w:type="dxa"/>
            <w:tcBorders>
              <w:top w:val="single" w:sz="4" w:space="0" w:color="auto"/>
              <w:left w:val="single" w:sz="4" w:space="0" w:color="auto"/>
              <w:bottom w:val="single" w:sz="4" w:space="0" w:color="auto"/>
              <w:right w:val="single" w:sz="4" w:space="0" w:color="auto"/>
            </w:tcBorders>
          </w:tcPr>
          <w:p w:rsidR="009B68C3" w:rsidRPr="00260CE3" w:rsidRDefault="009B68C3" w:rsidP="00BC3C77">
            <w:pPr>
              <w:rPr>
                <w:rFonts w:ascii="Arial Narrow" w:hAnsi="Arial Narrow"/>
                <w:b/>
                <w:sz w:val="20"/>
              </w:rPr>
            </w:pPr>
            <w:r w:rsidRPr="00260CE3">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9B68C3" w:rsidRPr="00260CE3" w:rsidRDefault="009B68C3" w:rsidP="00BC3C77">
            <w:pPr>
              <w:rPr>
                <w:rFonts w:ascii="Arial Narrow" w:hAnsi="Arial Narrow"/>
                <w:sz w:val="20"/>
              </w:rPr>
            </w:pPr>
            <w:r w:rsidRPr="00260CE3">
              <w:rPr>
                <w:rFonts w:ascii="Arial Narrow" w:hAnsi="Arial Narrow"/>
                <w:sz w:val="20"/>
              </w:rPr>
              <w:t>GENERAL – General Schedule (Code GE)</w:t>
            </w:r>
          </w:p>
        </w:tc>
      </w:tr>
      <w:tr w:rsidR="009B68C3" w:rsidRPr="00260CE3" w:rsidTr="00674681">
        <w:trPr>
          <w:cantSplit/>
          <w:trHeight w:val="360"/>
        </w:trPr>
        <w:tc>
          <w:tcPr>
            <w:tcW w:w="2126" w:type="dxa"/>
            <w:tcBorders>
              <w:top w:val="single" w:sz="4" w:space="0" w:color="auto"/>
              <w:left w:val="single" w:sz="4" w:space="0" w:color="auto"/>
              <w:bottom w:val="single" w:sz="4" w:space="0" w:color="auto"/>
              <w:right w:val="single" w:sz="4" w:space="0" w:color="auto"/>
            </w:tcBorders>
          </w:tcPr>
          <w:p w:rsidR="009B68C3" w:rsidRPr="00260CE3" w:rsidRDefault="009B68C3" w:rsidP="00BC3C77">
            <w:pPr>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9B68C3" w:rsidRPr="00260CE3" w:rsidRDefault="009B68C3" w:rsidP="00BC3C77">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6C091A">
              <w:rPr>
                <w:rFonts w:ascii="Arial Narrow" w:hAnsi="Arial Narrow"/>
                <w:sz w:val="20"/>
              </w:rPr>
            </w:r>
            <w:r w:rsidR="006C091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6C091A">
              <w:rPr>
                <w:rFonts w:ascii="Arial Narrow" w:hAnsi="Arial Narrow"/>
                <w:sz w:val="20"/>
              </w:rPr>
            </w:r>
            <w:r w:rsidR="006C091A">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6C091A">
              <w:rPr>
                <w:rFonts w:ascii="Arial Narrow" w:hAnsi="Arial Narrow"/>
                <w:sz w:val="20"/>
              </w:rPr>
            </w:r>
            <w:r w:rsidR="006C091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6C091A">
              <w:rPr>
                <w:rFonts w:ascii="Arial Narrow" w:hAnsi="Arial Narrow"/>
                <w:sz w:val="20"/>
              </w:rPr>
            </w:r>
            <w:r w:rsidR="006C091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9B68C3" w:rsidRPr="00260CE3" w:rsidRDefault="009B68C3" w:rsidP="00BC3C77">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6C091A">
              <w:rPr>
                <w:rFonts w:ascii="Arial Narrow" w:hAnsi="Arial Narrow"/>
                <w:sz w:val="20"/>
              </w:rPr>
            </w:r>
            <w:r w:rsidR="006C091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9B68C3" w:rsidRPr="00260CE3" w:rsidTr="00674681">
        <w:trPr>
          <w:cantSplit/>
          <w:trHeight w:val="360"/>
        </w:trPr>
        <w:tc>
          <w:tcPr>
            <w:tcW w:w="2126" w:type="dxa"/>
            <w:tcBorders>
              <w:top w:val="single" w:sz="4" w:space="0" w:color="auto"/>
              <w:left w:val="single" w:sz="4" w:space="0" w:color="auto"/>
              <w:bottom w:val="single" w:sz="4" w:space="0" w:color="auto"/>
              <w:right w:val="single" w:sz="4" w:space="0" w:color="auto"/>
            </w:tcBorders>
          </w:tcPr>
          <w:p w:rsidR="009B68C3" w:rsidRPr="00260CE3" w:rsidRDefault="009B68C3" w:rsidP="00BC3C77">
            <w:pPr>
              <w:rPr>
                <w:rFonts w:ascii="Arial Narrow" w:hAnsi="Arial Narrow"/>
                <w:b/>
                <w:sz w:val="20"/>
              </w:rPr>
            </w:pPr>
            <w:r w:rsidRPr="00260CE3">
              <w:rPr>
                <w:rFonts w:ascii="Arial Narrow" w:hAnsi="Arial Narrow"/>
                <w:b/>
                <w:sz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9B68C3" w:rsidRPr="003B296B" w:rsidRDefault="009B68C3" w:rsidP="00BC3C77">
            <w:pPr>
              <w:rPr>
                <w:rFonts w:ascii="Arial Narrow" w:hAnsi="Arial Narrow"/>
                <w:sz w:val="20"/>
              </w:rPr>
            </w:pPr>
            <w:r w:rsidRPr="003B296B">
              <w:rPr>
                <w:rFonts w:ascii="Arial Narrow" w:hAnsi="Arial Narrow"/>
                <w:sz w:val="20"/>
              </w:rPr>
              <w:t>Acute</w:t>
            </w:r>
          </w:p>
        </w:tc>
      </w:tr>
      <w:tr w:rsidR="009B68C3" w:rsidRPr="00260CE3" w:rsidTr="00674681">
        <w:trPr>
          <w:cantSplit/>
          <w:trHeight w:val="360"/>
        </w:trPr>
        <w:tc>
          <w:tcPr>
            <w:tcW w:w="2126" w:type="dxa"/>
            <w:tcBorders>
              <w:top w:val="single" w:sz="4" w:space="0" w:color="auto"/>
              <w:left w:val="single" w:sz="4" w:space="0" w:color="auto"/>
              <w:bottom w:val="single" w:sz="4" w:space="0" w:color="auto"/>
              <w:right w:val="single" w:sz="4" w:space="0" w:color="auto"/>
            </w:tcBorders>
          </w:tcPr>
          <w:p w:rsidR="009B68C3" w:rsidRPr="00260CE3" w:rsidRDefault="009B68C3" w:rsidP="00BC3C77">
            <w:pPr>
              <w:rPr>
                <w:rFonts w:ascii="Arial Narrow" w:hAnsi="Arial Narrow"/>
                <w:b/>
                <w:sz w:val="20"/>
              </w:rPr>
            </w:pPr>
            <w:r w:rsidRPr="00260CE3">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9B68C3" w:rsidRPr="003B296B" w:rsidRDefault="009B68C3" w:rsidP="00BC3C77">
            <w:pPr>
              <w:rPr>
                <w:rFonts w:ascii="Arial Narrow" w:hAnsi="Arial Narrow"/>
                <w:sz w:val="20"/>
              </w:rPr>
            </w:pPr>
            <w:r w:rsidRPr="003B296B">
              <w:rPr>
                <w:rFonts w:ascii="Arial Narrow" w:hAnsi="Arial Narrow"/>
                <w:sz w:val="20"/>
              </w:rPr>
              <w:t>Moderate to severe</w:t>
            </w:r>
          </w:p>
        </w:tc>
      </w:tr>
      <w:tr w:rsidR="009B68C3" w:rsidRPr="00260CE3" w:rsidTr="00674681">
        <w:trPr>
          <w:cantSplit/>
          <w:trHeight w:val="360"/>
        </w:trPr>
        <w:tc>
          <w:tcPr>
            <w:tcW w:w="2126" w:type="dxa"/>
            <w:tcBorders>
              <w:top w:val="single" w:sz="4" w:space="0" w:color="auto"/>
              <w:left w:val="single" w:sz="4" w:space="0" w:color="auto"/>
              <w:bottom w:val="single" w:sz="4" w:space="0" w:color="auto"/>
              <w:right w:val="single" w:sz="4" w:space="0" w:color="auto"/>
            </w:tcBorders>
          </w:tcPr>
          <w:p w:rsidR="009B68C3" w:rsidRPr="00260CE3" w:rsidRDefault="009B68C3" w:rsidP="00BC3C77">
            <w:pPr>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9B68C3" w:rsidRPr="003B296B" w:rsidRDefault="009B68C3" w:rsidP="00BC3C77">
            <w:pPr>
              <w:rPr>
                <w:rFonts w:ascii="Arial Narrow" w:hAnsi="Arial Narrow"/>
                <w:sz w:val="20"/>
              </w:rPr>
            </w:pPr>
            <w:r>
              <w:rPr>
                <w:rFonts w:ascii="Arial Narrow" w:hAnsi="Arial Narrow"/>
                <w:i/>
                <w:sz w:val="20"/>
              </w:rPr>
              <w:t xml:space="preserve">Symptomatic </w:t>
            </w:r>
            <w:r>
              <w:rPr>
                <w:rFonts w:ascii="Arial Narrow" w:hAnsi="Arial Narrow"/>
                <w:sz w:val="20"/>
              </w:rPr>
              <w:t>u</w:t>
            </w:r>
            <w:r w:rsidRPr="003B296B">
              <w:rPr>
                <w:rFonts w:ascii="Arial Narrow" w:hAnsi="Arial Narrow"/>
                <w:sz w:val="20"/>
              </w:rPr>
              <w:t>terine fibroids</w:t>
            </w:r>
          </w:p>
        </w:tc>
      </w:tr>
      <w:tr w:rsidR="009B68C3" w:rsidRPr="00260CE3" w:rsidTr="00674681">
        <w:trPr>
          <w:cantSplit/>
          <w:trHeight w:val="360"/>
        </w:trPr>
        <w:tc>
          <w:tcPr>
            <w:tcW w:w="2126" w:type="dxa"/>
            <w:tcBorders>
              <w:top w:val="single" w:sz="4" w:space="0" w:color="auto"/>
              <w:left w:val="single" w:sz="4" w:space="0" w:color="auto"/>
              <w:bottom w:val="single" w:sz="4" w:space="0" w:color="auto"/>
              <w:right w:val="single" w:sz="4" w:space="0" w:color="auto"/>
            </w:tcBorders>
          </w:tcPr>
          <w:p w:rsidR="009B68C3" w:rsidRPr="00AE058A" w:rsidRDefault="009B68C3" w:rsidP="00BC3C77">
            <w:pPr>
              <w:rPr>
                <w:rFonts w:ascii="Arial Narrow" w:hAnsi="Arial Narrow"/>
                <w:i/>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9B68C3" w:rsidRPr="00260CE3" w:rsidRDefault="009B68C3" w:rsidP="00BC3C77">
            <w:pPr>
              <w:rPr>
                <w:rFonts w:ascii="Arial Narrow" w:hAnsi="Arial Narrow"/>
                <w:sz w:val="20"/>
              </w:rPr>
            </w:pPr>
            <w:r w:rsidRPr="00B47B6D">
              <w:rPr>
                <w:rFonts w:ascii="Arial Narrow" w:hAnsi="Arial Narrow"/>
                <w:i/>
                <w:sz w:val="20"/>
              </w:rPr>
              <w:t xml:space="preserve">Acute </w:t>
            </w:r>
            <w:r w:rsidRPr="008040A3">
              <w:rPr>
                <w:rFonts w:ascii="Arial Narrow" w:hAnsi="Arial Narrow"/>
                <w:i/>
                <w:strike/>
                <w:sz w:val="20"/>
              </w:rPr>
              <w:t>m</w:t>
            </w:r>
            <w:r w:rsidRPr="008040A3">
              <w:rPr>
                <w:rFonts w:ascii="Arial Narrow" w:hAnsi="Arial Narrow"/>
                <w:strike/>
                <w:sz w:val="20"/>
              </w:rPr>
              <w:t>anagement of</w:t>
            </w:r>
            <w:r w:rsidRPr="00B47B6D">
              <w:rPr>
                <w:rFonts w:ascii="Arial Narrow" w:hAnsi="Arial Narrow"/>
                <w:sz w:val="20"/>
              </w:rPr>
              <w:t xml:space="preserve"> moderate to severe </w:t>
            </w:r>
            <w:r w:rsidRPr="008040A3">
              <w:rPr>
                <w:rFonts w:ascii="Arial Narrow" w:hAnsi="Arial Narrow"/>
                <w:i/>
                <w:sz w:val="20"/>
              </w:rPr>
              <w:t>symptomatic</w:t>
            </w:r>
            <w:r w:rsidRPr="00B47B6D">
              <w:rPr>
                <w:rFonts w:ascii="Arial Narrow" w:hAnsi="Arial Narrow"/>
                <w:sz w:val="20"/>
              </w:rPr>
              <w:t xml:space="preserve"> </w:t>
            </w:r>
            <w:r w:rsidRPr="008040A3">
              <w:rPr>
                <w:rFonts w:ascii="Arial Narrow" w:hAnsi="Arial Narrow"/>
                <w:strike/>
                <w:sz w:val="20"/>
              </w:rPr>
              <w:t>of</w:t>
            </w:r>
            <w:r w:rsidRPr="00B47B6D">
              <w:rPr>
                <w:rFonts w:ascii="Arial Narrow" w:hAnsi="Arial Narrow"/>
                <w:sz w:val="20"/>
              </w:rPr>
              <w:t xml:space="preserve"> uterine fibroids </w:t>
            </w:r>
            <w:r w:rsidRPr="00B47B6D">
              <w:rPr>
                <w:rFonts w:ascii="Arial Narrow" w:hAnsi="Arial Narrow"/>
                <w:strike/>
                <w:sz w:val="20"/>
              </w:rPr>
              <w:t>prior to planned surgery</w:t>
            </w:r>
          </w:p>
        </w:tc>
      </w:tr>
      <w:tr w:rsidR="009B68C3" w:rsidRPr="00260CE3" w:rsidTr="00674681">
        <w:trPr>
          <w:cantSplit/>
          <w:trHeight w:val="360"/>
        </w:trPr>
        <w:tc>
          <w:tcPr>
            <w:tcW w:w="2126" w:type="dxa"/>
            <w:tcBorders>
              <w:top w:val="single" w:sz="4" w:space="0" w:color="auto"/>
              <w:left w:val="single" w:sz="4" w:space="0" w:color="auto"/>
              <w:bottom w:val="single" w:sz="4" w:space="0" w:color="auto"/>
              <w:right w:val="single" w:sz="4" w:space="0" w:color="auto"/>
            </w:tcBorders>
          </w:tcPr>
          <w:p w:rsidR="009B68C3" w:rsidRPr="003B296B" w:rsidRDefault="009B68C3" w:rsidP="00BC3C77">
            <w:pPr>
              <w:rPr>
                <w:rFonts w:ascii="Arial Narrow" w:hAnsi="Arial Narrow"/>
                <w:b/>
                <w:sz w:val="20"/>
              </w:rPr>
            </w:pPr>
            <w:r w:rsidRPr="00260CE3">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9B68C3" w:rsidRPr="00A60AEE" w:rsidRDefault="009B68C3" w:rsidP="00BC3C77">
            <w:pPr>
              <w:rPr>
                <w:rFonts w:ascii="Arial Narrow" w:hAnsi="Arial Narrow"/>
                <w:strike/>
                <w:sz w:val="20"/>
              </w:rPr>
            </w:pPr>
            <w:r w:rsidRPr="00A60AEE">
              <w:rPr>
                <w:rFonts w:ascii="Arial Narrow" w:hAnsi="Arial Narrow"/>
                <w:strike/>
                <w:sz w:val="20"/>
              </w:rPr>
              <w:t>Initial treatment</w:t>
            </w:r>
          </w:p>
        </w:tc>
      </w:tr>
      <w:tr w:rsidR="009B68C3" w:rsidRPr="00260CE3" w:rsidTr="00674681">
        <w:trPr>
          <w:cantSplit/>
          <w:trHeight w:val="360"/>
        </w:trPr>
        <w:tc>
          <w:tcPr>
            <w:tcW w:w="2126" w:type="dxa"/>
            <w:tcBorders>
              <w:top w:val="single" w:sz="4" w:space="0" w:color="auto"/>
              <w:left w:val="single" w:sz="4" w:space="0" w:color="auto"/>
              <w:bottom w:val="single" w:sz="4" w:space="0" w:color="auto"/>
              <w:right w:val="single" w:sz="4" w:space="0" w:color="auto"/>
            </w:tcBorders>
          </w:tcPr>
          <w:p w:rsidR="009B68C3" w:rsidRDefault="009B68C3" w:rsidP="00BC3C77">
            <w:pPr>
              <w:rPr>
                <w:rFonts w:ascii="Arial Narrow" w:hAnsi="Arial Narrow"/>
                <w:i/>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9B68C3" w:rsidRDefault="009B68C3" w:rsidP="00BC3C77">
            <w:pPr>
              <w:rPr>
                <w:rFonts w:ascii="Arial Narrow" w:hAnsi="Arial Narrow"/>
                <w:i/>
                <w:sz w:val="20"/>
              </w:rPr>
            </w:pPr>
          </w:p>
          <w:p w:rsidR="009B68C3" w:rsidRPr="00CD28F3" w:rsidRDefault="009B68C3" w:rsidP="00BC3C77">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9B68C3" w:rsidRPr="00106BCF" w:rsidRDefault="009B68C3" w:rsidP="00BC3C77">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6C091A">
              <w:rPr>
                <w:rFonts w:ascii="Arial Narrow" w:hAnsi="Arial Narrow"/>
                <w:sz w:val="20"/>
              </w:rPr>
            </w:r>
            <w:r w:rsidR="006C091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9B68C3" w:rsidRPr="00106BCF" w:rsidRDefault="009B68C3" w:rsidP="00BC3C77">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6C091A">
              <w:rPr>
                <w:rFonts w:ascii="Arial Narrow" w:hAnsi="Arial Narrow"/>
                <w:sz w:val="20"/>
              </w:rPr>
            </w:r>
            <w:r w:rsidR="006C091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9B68C3" w:rsidRPr="00106BCF" w:rsidRDefault="009B68C3" w:rsidP="00BC3C77">
            <w:pPr>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bookmarkStart w:id="4" w:name="Check3"/>
            <w:r>
              <w:rPr>
                <w:rFonts w:ascii="Arial Narrow" w:hAnsi="Arial Narrow"/>
                <w:sz w:val="20"/>
              </w:rPr>
              <w:instrText xml:space="preserve"> FORMCHECKBOX </w:instrText>
            </w:r>
            <w:r w:rsidR="006C091A">
              <w:rPr>
                <w:rFonts w:ascii="Arial Narrow" w:hAnsi="Arial Narrow"/>
                <w:sz w:val="20"/>
              </w:rPr>
            </w:r>
            <w:r w:rsidR="006C091A">
              <w:rPr>
                <w:rFonts w:ascii="Arial Narrow" w:hAnsi="Arial Narrow"/>
                <w:sz w:val="20"/>
              </w:rPr>
              <w:fldChar w:fldCharType="separate"/>
            </w:r>
            <w:r>
              <w:rPr>
                <w:rFonts w:ascii="Arial Narrow" w:hAnsi="Arial Narrow"/>
                <w:sz w:val="20"/>
              </w:rPr>
              <w:fldChar w:fldCharType="end"/>
            </w:r>
            <w:bookmarkEnd w:id="4"/>
            <w:r w:rsidRPr="00A60AEE">
              <w:rPr>
                <w:rFonts w:ascii="Arial Narrow" w:hAnsi="Arial Narrow"/>
                <w:i/>
                <w:sz w:val="20"/>
              </w:rPr>
              <w:t>Authority Required - Telephone</w:t>
            </w:r>
          </w:p>
          <w:p w:rsidR="009B68C3" w:rsidRPr="00106BCF" w:rsidRDefault="009B68C3" w:rsidP="00BC3C77">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6C091A">
              <w:rPr>
                <w:rFonts w:ascii="Arial Narrow" w:hAnsi="Arial Narrow"/>
                <w:sz w:val="20"/>
              </w:rPr>
            </w:r>
            <w:r w:rsidR="006C091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9B68C3" w:rsidRPr="00106BCF" w:rsidRDefault="009B68C3" w:rsidP="00BC3C77">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6C091A">
              <w:rPr>
                <w:rFonts w:ascii="Arial Narrow" w:hAnsi="Arial Narrow"/>
                <w:sz w:val="20"/>
              </w:rPr>
            </w:r>
            <w:r w:rsidR="006C091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9B68C3" w:rsidRPr="003B296B" w:rsidRDefault="009B68C3" w:rsidP="00BC3C77">
            <w:pPr>
              <w:rPr>
                <w:rFonts w:ascii="Arial Narrow" w:hAnsi="Arial Narrow"/>
                <w:strike/>
                <w:sz w:val="20"/>
              </w:rPr>
            </w:pPr>
            <w:r w:rsidRPr="003B296B">
              <w:rPr>
                <w:rFonts w:ascii="Arial Narrow" w:hAnsi="Arial Narrow"/>
                <w:strike/>
                <w:sz w:val="20"/>
              </w:rPr>
              <w:fldChar w:fldCharType="begin">
                <w:ffData>
                  <w:name w:val="Check5"/>
                  <w:enabled/>
                  <w:calcOnExit w:val="0"/>
                  <w:checkBox>
                    <w:sizeAuto/>
                    <w:default w:val="1"/>
                  </w:checkBox>
                </w:ffData>
              </w:fldChar>
            </w:r>
            <w:bookmarkStart w:id="5" w:name="Check5"/>
            <w:r w:rsidRPr="003B296B">
              <w:rPr>
                <w:rFonts w:ascii="Arial Narrow" w:hAnsi="Arial Narrow"/>
                <w:strike/>
                <w:sz w:val="20"/>
              </w:rPr>
              <w:instrText xml:space="preserve"> FORMCHECKBOX </w:instrText>
            </w:r>
            <w:r w:rsidR="006C091A">
              <w:rPr>
                <w:rFonts w:ascii="Arial Narrow" w:hAnsi="Arial Narrow"/>
                <w:strike/>
                <w:sz w:val="20"/>
              </w:rPr>
            </w:r>
            <w:r w:rsidR="006C091A">
              <w:rPr>
                <w:rFonts w:ascii="Arial Narrow" w:hAnsi="Arial Narrow"/>
                <w:strike/>
                <w:sz w:val="20"/>
              </w:rPr>
              <w:fldChar w:fldCharType="separate"/>
            </w:r>
            <w:r w:rsidRPr="003B296B">
              <w:rPr>
                <w:rFonts w:ascii="Arial Narrow" w:hAnsi="Arial Narrow"/>
                <w:strike/>
                <w:sz w:val="20"/>
              </w:rPr>
              <w:fldChar w:fldCharType="end"/>
            </w:r>
            <w:bookmarkEnd w:id="5"/>
            <w:r w:rsidRPr="003B296B">
              <w:rPr>
                <w:rFonts w:ascii="Arial Narrow" w:hAnsi="Arial Narrow"/>
                <w:strike/>
                <w:sz w:val="20"/>
              </w:rPr>
              <w:t>Streamlined</w:t>
            </w:r>
          </w:p>
        </w:tc>
      </w:tr>
      <w:tr w:rsidR="009B68C3" w:rsidRPr="00260CE3" w:rsidTr="00674681">
        <w:trPr>
          <w:cantSplit/>
          <w:trHeight w:val="360"/>
        </w:trPr>
        <w:tc>
          <w:tcPr>
            <w:tcW w:w="2126" w:type="dxa"/>
            <w:tcBorders>
              <w:top w:val="single" w:sz="4" w:space="0" w:color="auto"/>
              <w:left w:val="single" w:sz="4" w:space="0" w:color="auto"/>
              <w:bottom w:val="single" w:sz="4" w:space="0" w:color="auto"/>
              <w:right w:val="single" w:sz="4" w:space="0" w:color="auto"/>
            </w:tcBorders>
          </w:tcPr>
          <w:p w:rsidR="009B68C3" w:rsidRPr="00260CE3" w:rsidRDefault="009B68C3" w:rsidP="00BC3C77">
            <w:pPr>
              <w:rPr>
                <w:rFonts w:ascii="Arial Narrow" w:hAnsi="Arial Narrow"/>
                <w:sz w:val="20"/>
              </w:rPr>
            </w:pPr>
            <w:r w:rsidRPr="00260CE3">
              <w:rPr>
                <w:rFonts w:ascii="Arial Narrow" w:hAnsi="Arial Narrow"/>
                <w:b/>
                <w:sz w:val="20"/>
              </w:rPr>
              <w:t>Treatment criteria:</w:t>
            </w:r>
            <w:r w:rsidRPr="00260CE3">
              <w:rPr>
                <w:rFonts w:ascii="Arial Narrow" w:hAnsi="Arial Narrow"/>
                <w:sz w:val="20"/>
              </w:rPr>
              <w:t xml:space="preserve"> </w:t>
            </w:r>
          </w:p>
        </w:tc>
        <w:tc>
          <w:tcPr>
            <w:tcW w:w="6379" w:type="dxa"/>
            <w:gridSpan w:val="6"/>
            <w:tcBorders>
              <w:top w:val="single" w:sz="4" w:space="0" w:color="auto"/>
              <w:left w:val="single" w:sz="4" w:space="0" w:color="auto"/>
              <w:bottom w:val="single" w:sz="4" w:space="0" w:color="auto"/>
              <w:right w:val="single" w:sz="4" w:space="0" w:color="auto"/>
            </w:tcBorders>
          </w:tcPr>
          <w:p w:rsidR="009B68C3" w:rsidRPr="00260CE3" w:rsidRDefault="009B68C3" w:rsidP="00BC3C77">
            <w:pPr>
              <w:rPr>
                <w:rFonts w:ascii="Arial Narrow" w:hAnsi="Arial Narrow"/>
                <w:sz w:val="20"/>
              </w:rPr>
            </w:pPr>
            <w:r w:rsidRPr="003B296B">
              <w:rPr>
                <w:rFonts w:ascii="Arial Narrow" w:hAnsi="Arial Narrow"/>
                <w:sz w:val="20"/>
              </w:rPr>
              <w:t xml:space="preserve">Must be treated by, or </w:t>
            </w:r>
            <w:r w:rsidRPr="00A60AEE">
              <w:rPr>
                <w:rFonts w:ascii="Arial Narrow" w:hAnsi="Arial Narrow"/>
                <w:strike/>
                <w:sz w:val="20"/>
              </w:rPr>
              <w:t>under the direction of</w:t>
            </w:r>
            <w:r w:rsidRPr="00EE580E">
              <w:rPr>
                <w:rFonts w:ascii="Arial Narrow" w:hAnsi="Arial Narrow"/>
                <w:strike/>
                <w:sz w:val="20"/>
              </w:rPr>
              <w:t>,</w:t>
            </w:r>
            <w:r>
              <w:rPr>
                <w:rFonts w:ascii="Arial Narrow" w:hAnsi="Arial Narrow"/>
                <w:sz w:val="20"/>
              </w:rPr>
              <w:t xml:space="preserve"> </w:t>
            </w:r>
            <w:r>
              <w:rPr>
                <w:rFonts w:ascii="Arial Narrow" w:hAnsi="Arial Narrow"/>
                <w:i/>
                <w:sz w:val="20"/>
              </w:rPr>
              <w:t>in consultation with,</w:t>
            </w:r>
            <w:r w:rsidRPr="003B296B">
              <w:rPr>
                <w:rFonts w:ascii="Arial Narrow" w:hAnsi="Arial Narrow"/>
                <w:sz w:val="20"/>
              </w:rPr>
              <w:t xml:space="preserve"> a gynaecologist</w:t>
            </w:r>
            <w:r>
              <w:rPr>
                <w:rFonts w:ascii="Arial Narrow" w:hAnsi="Arial Narrow"/>
                <w:sz w:val="20"/>
              </w:rPr>
              <w:t>.</w:t>
            </w:r>
          </w:p>
          <w:p w:rsidR="009B68C3" w:rsidRPr="00260CE3" w:rsidRDefault="009B68C3" w:rsidP="00BC3C77">
            <w:pPr>
              <w:rPr>
                <w:rFonts w:ascii="Arial Narrow" w:hAnsi="Arial Narrow"/>
                <w:sz w:val="20"/>
              </w:rPr>
            </w:pPr>
          </w:p>
        </w:tc>
      </w:tr>
      <w:tr w:rsidR="009B68C3" w:rsidRPr="00260CE3" w:rsidTr="00674681">
        <w:trPr>
          <w:cantSplit/>
          <w:trHeight w:val="360"/>
        </w:trPr>
        <w:tc>
          <w:tcPr>
            <w:tcW w:w="2126" w:type="dxa"/>
            <w:tcBorders>
              <w:top w:val="single" w:sz="4" w:space="0" w:color="auto"/>
              <w:left w:val="single" w:sz="4" w:space="0" w:color="auto"/>
              <w:bottom w:val="single" w:sz="4" w:space="0" w:color="auto"/>
              <w:right w:val="single" w:sz="4" w:space="0" w:color="auto"/>
            </w:tcBorders>
          </w:tcPr>
          <w:p w:rsidR="009B68C3" w:rsidRPr="00260CE3" w:rsidRDefault="009B68C3" w:rsidP="00BC3C77">
            <w:pPr>
              <w:rPr>
                <w:rFonts w:ascii="Arial Narrow" w:hAnsi="Arial Narrow"/>
                <w:b/>
                <w:sz w:val="20"/>
              </w:rPr>
            </w:pPr>
            <w:r w:rsidRPr="00260CE3">
              <w:rPr>
                <w:rFonts w:ascii="Arial Narrow" w:hAnsi="Arial Narrow"/>
                <w:b/>
                <w:sz w:val="20"/>
              </w:rPr>
              <w:lastRenderedPageBreak/>
              <w:t>Clinical criteria:</w:t>
            </w:r>
          </w:p>
          <w:p w:rsidR="009B68C3" w:rsidRPr="00260CE3" w:rsidRDefault="009B68C3" w:rsidP="00BC3C77">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9B68C3" w:rsidRDefault="009B68C3" w:rsidP="00BC3C77">
            <w:pPr>
              <w:rPr>
                <w:rFonts w:ascii="Arial Narrow" w:hAnsi="Arial Narrow"/>
                <w:i/>
                <w:sz w:val="20"/>
              </w:rPr>
            </w:pPr>
            <w:r w:rsidRPr="003B296B">
              <w:rPr>
                <w:rFonts w:ascii="Arial Narrow" w:hAnsi="Arial Narrow"/>
                <w:sz w:val="20"/>
              </w:rPr>
              <w:t xml:space="preserve">Patients must be eligible for </w:t>
            </w:r>
            <w:r>
              <w:rPr>
                <w:rFonts w:ascii="Arial Narrow" w:hAnsi="Arial Narrow"/>
                <w:i/>
                <w:sz w:val="20"/>
              </w:rPr>
              <w:t xml:space="preserve">surgery; </w:t>
            </w:r>
          </w:p>
          <w:p w:rsidR="009B68C3" w:rsidRDefault="009B68C3" w:rsidP="00BC3C77">
            <w:pPr>
              <w:rPr>
                <w:rFonts w:ascii="Arial Narrow" w:hAnsi="Arial Narrow"/>
                <w:i/>
                <w:sz w:val="20"/>
              </w:rPr>
            </w:pPr>
            <w:r>
              <w:rPr>
                <w:rFonts w:ascii="Arial Narrow" w:hAnsi="Arial Narrow"/>
                <w:i/>
                <w:sz w:val="20"/>
              </w:rPr>
              <w:t>AND</w:t>
            </w:r>
          </w:p>
          <w:p w:rsidR="009B68C3" w:rsidRDefault="009B68C3" w:rsidP="00BC3C77">
            <w:pPr>
              <w:rPr>
                <w:rFonts w:ascii="Arial Narrow" w:hAnsi="Arial Narrow"/>
                <w:sz w:val="20"/>
              </w:rPr>
            </w:pPr>
            <w:r>
              <w:rPr>
                <w:rFonts w:ascii="Arial Narrow" w:hAnsi="Arial Narrow"/>
                <w:i/>
                <w:sz w:val="20"/>
              </w:rPr>
              <w:t xml:space="preserve">Patients must be </w:t>
            </w:r>
            <w:r w:rsidRPr="003B296B">
              <w:rPr>
                <w:rFonts w:ascii="Arial Narrow" w:hAnsi="Arial Narrow"/>
                <w:sz w:val="20"/>
              </w:rPr>
              <w:t xml:space="preserve">planning surgery; </w:t>
            </w:r>
          </w:p>
          <w:p w:rsidR="009B68C3" w:rsidRPr="003B296B" w:rsidRDefault="009B68C3" w:rsidP="00BC3C77">
            <w:pPr>
              <w:rPr>
                <w:rFonts w:ascii="Arial Narrow" w:hAnsi="Arial Narrow"/>
                <w:sz w:val="20"/>
              </w:rPr>
            </w:pPr>
            <w:r w:rsidRPr="003B296B">
              <w:rPr>
                <w:rFonts w:ascii="Arial Narrow" w:hAnsi="Arial Narrow"/>
                <w:sz w:val="20"/>
              </w:rPr>
              <w:t>AND</w:t>
            </w:r>
          </w:p>
          <w:p w:rsidR="009B68C3" w:rsidRDefault="009B68C3" w:rsidP="00BC3C77">
            <w:pPr>
              <w:rPr>
                <w:rFonts w:ascii="Arial Narrow" w:hAnsi="Arial Narrow"/>
                <w:sz w:val="20"/>
              </w:rPr>
            </w:pPr>
            <w:r w:rsidRPr="003B296B">
              <w:rPr>
                <w:rFonts w:ascii="Arial Narrow" w:hAnsi="Arial Narrow"/>
                <w:sz w:val="20"/>
              </w:rPr>
              <w:t>Patient must have other factors which would make surgery technically difficult</w:t>
            </w:r>
            <w:r>
              <w:rPr>
                <w:rFonts w:ascii="Arial Narrow" w:hAnsi="Arial Narrow"/>
                <w:sz w:val="20"/>
              </w:rPr>
              <w:t>,</w:t>
            </w:r>
          </w:p>
          <w:p w:rsidR="009B68C3" w:rsidRPr="003B296B" w:rsidRDefault="009B68C3" w:rsidP="00BC3C77">
            <w:pPr>
              <w:rPr>
                <w:rFonts w:ascii="Arial Narrow" w:hAnsi="Arial Narrow"/>
                <w:sz w:val="20"/>
              </w:rPr>
            </w:pPr>
            <w:r w:rsidRPr="003B296B">
              <w:rPr>
                <w:rFonts w:ascii="Arial Narrow" w:hAnsi="Arial Narrow"/>
                <w:sz w:val="20"/>
              </w:rPr>
              <w:t>OR</w:t>
            </w:r>
          </w:p>
          <w:p w:rsidR="009B68C3" w:rsidRDefault="009B68C3" w:rsidP="00BC3C77">
            <w:pPr>
              <w:rPr>
                <w:rFonts w:ascii="Arial Narrow" w:hAnsi="Arial Narrow"/>
                <w:sz w:val="20"/>
              </w:rPr>
            </w:pPr>
            <w:r w:rsidRPr="003B296B">
              <w:rPr>
                <w:rFonts w:ascii="Arial Narrow" w:hAnsi="Arial Narrow"/>
                <w:sz w:val="20"/>
              </w:rPr>
              <w:t>Patient must have other factors which would unnecessarily delay immediate surgery</w:t>
            </w:r>
            <w:r>
              <w:rPr>
                <w:rFonts w:ascii="Arial Narrow" w:hAnsi="Arial Narrow"/>
                <w:sz w:val="20"/>
              </w:rPr>
              <w:t>;</w:t>
            </w:r>
          </w:p>
          <w:p w:rsidR="009B68C3" w:rsidRPr="003B296B" w:rsidRDefault="009B68C3" w:rsidP="00BC3C77">
            <w:pPr>
              <w:rPr>
                <w:rFonts w:ascii="Arial Narrow" w:hAnsi="Arial Narrow"/>
                <w:sz w:val="20"/>
              </w:rPr>
            </w:pPr>
            <w:r w:rsidRPr="003B296B">
              <w:rPr>
                <w:rFonts w:ascii="Arial Narrow" w:hAnsi="Arial Narrow"/>
                <w:sz w:val="20"/>
              </w:rPr>
              <w:t xml:space="preserve">AND </w:t>
            </w:r>
          </w:p>
          <w:p w:rsidR="009B68C3" w:rsidRDefault="009B68C3" w:rsidP="00BC3C77">
            <w:pPr>
              <w:rPr>
                <w:rFonts w:ascii="Arial Narrow" w:hAnsi="Arial Narrow"/>
                <w:sz w:val="20"/>
              </w:rPr>
            </w:pPr>
            <w:r w:rsidRPr="003B296B">
              <w:rPr>
                <w:rFonts w:ascii="Arial Narrow" w:hAnsi="Arial Narrow"/>
                <w:sz w:val="20"/>
              </w:rPr>
              <w:t xml:space="preserve">Patient must </w:t>
            </w:r>
            <w:r w:rsidRPr="00F86BF0">
              <w:rPr>
                <w:rFonts w:ascii="Arial Narrow" w:hAnsi="Arial Narrow"/>
                <w:sz w:val="20"/>
              </w:rPr>
              <w:t xml:space="preserve">have </w:t>
            </w:r>
            <w:r w:rsidRPr="00F86BF0">
              <w:rPr>
                <w:rFonts w:ascii="Arial Narrow" w:hAnsi="Arial Narrow"/>
                <w:b/>
                <w:sz w:val="20"/>
              </w:rPr>
              <w:t>at least 1 fibroid ≥3 cm in diameter confirmed by ultrasound</w:t>
            </w:r>
            <w:r w:rsidRPr="00F86BF0">
              <w:rPr>
                <w:rFonts w:ascii="Arial Narrow" w:hAnsi="Arial Narrow"/>
                <w:strike/>
                <w:sz w:val="20"/>
              </w:rPr>
              <w:t xml:space="preserve"> </w:t>
            </w:r>
            <w:r w:rsidRPr="00F86BF0">
              <w:rPr>
                <w:rFonts w:ascii="Arial Narrow" w:hAnsi="Arial Narrow"/>
                <w:b/>
                <w:strike/>
                <w:sz w:val="20"/>
              </w:rPr>
              <w:t>and/or multiple fibroids</w:t>
            </w:r>
            <w:r w:rsidRPr="00F86BF0">
              <w:rPr>
                <w:rFonts w:ascii="Arial Narrow" w:hAnsi="Arial Narrow"/>
                <w:b/>
                <w:sz w:val="20"/>
              </w:rPr>
              <w:t>,</w:t>
            </w:r>
            <w:r w:rsidRPr="003B296B">
              <w:rPr>
                <w:rFonts w:ascii="Arial Narrow" w:hAnsi="Arial Narrow"/>
                <w:sz w:val="20"/>
              </w:rPr>
              <w:t xml:space="preserve"> </w:t>
            </w:r>
          </w:p>
          <w:p w:rsidR="009B68C3" w:rsidRDefault="009B68C3" w:rsidP="00BC3C77">
            <w:pPr>
              <w:rPr>
                <w:rFonts w:ascii="Arial Narrow" w:hAnsi="Arial Narrow"/>
                <w:sz w:val="20"/>
              </w:rPr>
            </w:pPr>
            <w:r>
              <w:rPr>
                <w:rFonts w:ascii="Arial Narrow" w:hAnsi="Arial Narrow"/>
                <w:i/>
                <w:sz w:val="20"/>
              </w:rPr>
              <w:t>AND/</w:t>
            </w:r>
            <w:r w:rsidRPr="003B296B">
              <w:rPr>
                <w:rFonts w:ascii="Arial Narrow" w:hAnsi="Arial Narrow"/>
                <w:sz w:val="20"/>
              </w:rPr>
              <w:t>OR</w:t>
            </w:r>
          </w:p>
          <w:p w:rsidR="009B68C3" w:rsidRDefault="009B68C3" w:rsidP="00BC3C77">
            <w:pPr>
              <w:rPr>
                <w:rFonts w:ascii="Arial Narrow" w:hAnsi="Arial Narrow"/>
                <w:i/>
                <w:sz w:val="20"/>
              </w:rPr>
            </w:pPr>
            <w:r w:rsidRPr="00E06213">
              <w:rPr>
                <w:rFonts w:ascii="Arial Narrow" w:hAnsi="Arial Narrow"/>
                <w:i/>
                <w:sz w:val="20"/>
              </w:rPr>
              <w:t xml:space="preserve">Patient must have </w:t>
            </w:r>
            <w:r w:rsidRPr="00F86BF0">
              <w:rPr>
                <w:rStyle w:val="Small"/>
                <w:rFonts w:ascii="Arial Narrow" w:hAnsi="Arial Narrow"/>
                <w:b/>
              </w:rPr>
              <w:t>at least 3 fibroids confirmed by ultrasound</w:t>
            </w:r>
            <w:r w:rsidRPr="00E06213">
              <w:rPr>
                <w:rFonts w:ascii="Arial Narrow" w:hAnsi="Arial Narrow"/>
                <w:i/>
                <w:sz w:val="20"/>
              </w:rPr>
              <w:t xml:space="preserve"> </w:t>
            </w:r>
            <w:r w:rsidRPr="00F86BF0">
              <w:rPr>
                <w:rFonts w:ascii="Arial Narrow" w:hAnsi="Arial Narrow"/>
                <w:b/>
                <w:i/>
                <w:strike/>
                <w:sz w:val="20"/>
              </w:rPr>
              <w:t>multiple fibroids</w:t>
            </w:r>
            <w:r w:rsidRPr="00E06213">
              <w:rPr>
                <w:rFonts w:ascii="Arial Narrow" w:hAnsi="Arial Narrow"/>
                <w:i/>
                <w:sz w:val="20"/>
              </w:rPr>
              <w:t xml:space="preserve">; </w:t>
            </w:r>
          </w:p>
          <w:p w:rsidR="009B68C3" w:rsidRPr="00E06213" w:rsidRDefault="009B68C3" w:rsidP="00BC3C77">
            <w:pPr>
              <w:rPr>
                <w:rFonts w:ascii="Arial Narrow" w:hAnsi="Arial Narrow"/>
                <w:i/>
                <w:sz w:val="20"/>
              </w:rPr>
            </w:pPr>
            <w:r w:rsidRPr="00E06213">
              <w:rPr>
                <w:rFonts w:ascii="Arial Narrow" w:hAnsi="Arial Narrow"/>
                <w:i/>
                <w:sz w:val="20"/>
              </w:rPr>
              <w:t>AND</w:t>
            </w:r>
          </w:p>
          <w:p w:rsidR="009B68C3" w:rsidRDefault="009B68C3" w:rsidP="00BC3C77">
            <w:pPr>
              <w:rPr>
                <w:rFonts w:ascii="Arial Narrow" w:hAnsi="Arial Narrow"/>
                <w:i/>
                <w:sz w:val="20"/>
              </w:rPr>
            </w:pPr>
            <w:r w:rsidRPr="003B296B">
              <w:rPr>
                <w:rFonts w:ascii="Arial Narrow" w:hAnsi="Arial Narrow"/>
                <w:sz w:val="20"/>
              </w:rPr>
              <w:t xml:space="preserve">Patient must have </w:t>
            </w:r>
            <w:r w:rsidRPr="00F86BF0">
              <w:rPr>
                <w:rFonts w:ascii="Arial Narrow" w:hAnsi="Arial Narrow"/>
                <w:b/>
                <w:strike/>
                <w:sz w:val="20"/>
              </w:rPr>
              <w:t>significant bleeding</w:t>
            </w:r>
            <w:r>
              <w:rPr>
                <w:rFonts w:ascii="Arial Narrow" w:hAnsi="Arial Narrow"/>
                <w:sz w:val="20"/>
              </w:rPr>
              <w:t xml:space="preserve"> </w:t>
            </w:r>
            <w:r w:rsidRPr="00F86BF0">
              <w:rPr>
                <w:rStyle w:val="Small"/>
                <w:rFonts w:ascii="Arial Narrow" w:hAnsi="Arial Narrow"/>
                <w:b/>
              </w:rPr>
              <w:t>heavy menstrual bleeding that negatively affects quality of life</w:t>
            </w:r>
            <w:r>
              <w:rPr>
                <w:rFonts w:ascii="Arial Narrow" w:hAnsi="Arial Narrow"/>
                <w:i/>
                <w:sz w:val="20"/>
              </w:rPr>
              <w:t xml:space="preserve">, </w:t>
            </w:r>
          </w:p>
          <w:p w:rsidR="009B68C3" w:rsidRDefault="009B68C3" w:rsidP="00BC3C77">
            <w:pPr>
              <w:rPr>
                <w:rFonts w:ascii="Arial Narrow" w:hAnsi="Arial Narrow"/>
                <w:i/>
                <w:sz w:val="20"/>
              </w:rPr>
            </w:pPr>
            <w:r>
              <w:rPr>
                <w:rFonts w:ascii="Arial Narrow" w:hAnsi="Arial Narrow"/>
                <w:i/>
                <w:sz w:val="20"/>
              </w:rPr>
              <w:t xml:space="preserve">OR </w:t>
            </w:r>
          </w:p>
          <w:p w:rsidR="009B68C3" w:rsidRDefault="009B68C3" w:rsidP="00BC3C77">
            <w:pPr>
              <w:rPr>
                <w:rFonts w:ascii="Arial Narrow" w:hAnsi="Arial Narrow"/>
                <w:sz w:val="20"/>
              </w:rPr>
            </w:pPr>
            <w:r>
              <w:rPr>
                <w:rFonts w:ascii="Arial Narrow" w:hAnsi="Arial Narrow"/>
                <w:i/>
                <w:sz w:val="20"/>
              </w:rPr>
              <w:t>Patient must have</w:t>
            </w:r>
            <w:r>
              <w:rPr>
                <w:rFonts w:ascii="Arial Narrow" w:hAnsi="Arial Narrow"/>
                <w:sz w:val="20"/>
              </w:rPr>
              <w:t xml:space="preserve"> </w:t>
            </w:r>
            <w:r w:rsidRPr="00F86BF0">
              <w:rPr>
                <w:rFonts w:ascii="Arial Narrow" w:hAnsi="Arial Narrow"/>
                <w:b/>
                <w:i/>
                <w:strike/>
                <w:sz w:val="20"/>
              </w:rPr>
              <w:t>significant</w:t>
            </w:r>
            <w:r w:rsidRPr="00F86BF0">
              <w:rPr>
                <w:rFonts w:ascii="Arial Narrow" w:hAnsi="Arial Narrow"/>
                <w:b/>
                <w:strike/>
                <w:sz w:val="20"/>
              </w:rPr>
              <w:t xml:space="preserve"> anaemia</w:t>
            </w:r>
            <w:r w:rsidRPr="00F86BF0">
              <w:rPr>
                <w:rStyle w:val="BodyText2Char"/>
                <w:rFonts w:ascii="Arial Narrow" w:hAnsi="Arial Narrow"/>
                <w:b/>
              </w:rPr>
              <w:t xml:space="preserve"> </w:t>
            </w:r>
            <w:r w:rsidRPr="00F86BF0">
              <w:rPr>
                <w:rStyle w:val="Small"/>
                <w:rFonts w:ascii="Arial Narrow" w:hAnsi="Arial Narrow"/>
                <w:b/>
              </w:rPr>
              <w:t>confirmed anaemia defined as haemoglobin ≤120 g/L</w:t>
            </w:r>
            <w:r w:rsidRPr="003B296B">
              <w:rPr>
                <w:rFonts w:ascii="Arial Narrow" w:hAnsi="Arial Narrow"/>
                <w:sz w:val="20"/>
              </w:rPr>
              <w:t xml:space="preserve">, </w:t>
            </w:r>
          </w:p>
          <w:p w:rsidR="009B68C3" w:rsidRPr="00191462" w:rsidRDefault="009B68C3" w:rsidP="00BC3C77">
            <w:pPr>
              <w:rPr>
                <w:rFonts w:ascii="Arial Narrow" w:hAnsi="Arial Narrow"/>
                <w:i/>
                <w:sz w:val="20"/>
              </w:rPr>
            </w:pPr>
            <w:r w:rsidRPr="00191462">
              <w:rPr>
                <w:rFonts w:ascii="Arial Narrow" w:hAnsi="Arial Narrow"/>
                <w:i/>
                <w:sz w:val="20"/>
              </w:rPr>
              <w:t>AND</w:t>
            </w:r>
          </w:p>
          <w:p w:rsidR="009B68C3" w:rsidRPr="003B5E59" w:rsidRDefault="009B68C3" w:rsidP="00BC3C77">
            <w:pPr>
              <w:rPr>
                <w:rFonts w:ascii="Arial Narrow" w:hAnsi="Arial Narrow"/>
                <w:i/>
                <w:sz w:val="20"/>
              </w:rPr>
            </w:pPr>
            <w:r>
              <w:rPr>
                <w:rFonts w:ascii="Arial Narrow" w:hAnsi="Arial Narrow"/>
                <w:i/>
                <w:sz w:val="20"/>
              </w:rPr>
              <w:t>Treatment must not be more than 3 months.</w:t>
            </w:r>
          </w:p>
        </w:tc>
      </w:tr>
      <w:tr w:rsidR="009B68C3" w:rsidRPr="00260CE3" w:rsidTr="00674681">
        <w:trPr>
          <w:cantSplit/>
          <w:trHeight w:val="360"/>
        </w:trPr>
        <w:tc>
          <w:tcPr>
            <w:tcW w:w="2126" w:type="dxa"/>
            <w:tcBorders>
              <w:top w:val="single" w:sz="4" w:space="0" w:color="auto"/>
              <w:left w:val="single" w:sz="4" w:space="0" w:color="auto"/>
              <w:bottom w:val="single" w:sz="4" w:space="0" w:color="auto"/>
              <w:right w:val="single" w:sz="4" w:space="0" w:color="auto"/>
            </w:tcBorders>
          </w:tcPr>
          <w:p w:rsidR="009B68C3" w:rsidRPr="00BB2453" w:rsidRDefault="009B68C3" w:rsidP="00BC3C77">
            <w:pPr>
              <w:rPr>
                <w:rFonts w:ascii="Arial Narrow" w:hAnsi="Arial Narrow"/>
                <w:b/>
                <w:strike/>
                <w:sz w:val="20"/>
              </w:rPr>
            </w:pPr>
            <w:r w:rsidRPr="00BB2453">
              <w:rPr>
                <w:rFonts w:ascii="Arial Narrow" w:hAnsi="Arial Narrow"/>
                <w:b/>
                <w:strike/>
                <w:sz w:val="20"/>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9B68C3" w:rsidRPr="00BB2453" w:rsidRDefault="009B68C3" w:rsidP="00BC3C77">
            <w:pPr>
              <w:rPr>
                <w:rFonts w:ascii="Arial Narrow" w:hAnsi="Arial Narrow"/>
                <w:strike/>
                <w:sz w:val="20"/>
              </w:rPr>
            </w:pPr>
            <w:r w:rsidRPr="00BB2453">
              <w:rPr>
                <w:rFonts w:ascii="Arial Narrow" w:hAnsi="Arial Narrow"/>
                <w:strike/>
                <w:sz w:val="20"/>
              </w:rPr>
              <w:t>Patient must be eligible for and planning surgery for uterine fibroids</w:t>
            </w:r>
          </w:p>
          <w:p w:rsidR="009B68C3" w:rsidRPr="00BB2453" w:rsidRDefault="009B68C3" w:rsidP="00BC3C77">
            <w:pPr>
              <w:rPr>
                <w:rFonts w:ascii="Arial Narrow" w:hAnsi="Arial Narrow"/>
                <w:strike/>
                <w:sz w:val="20"/>
              </w:rPr>
            </w:pPr>
          </w:p>
        </w:tc>
      </w:tr>
      <w:tr w:rsidR="009B68C3" w:rsidRPr="00260CE3" w:rsidTr="00674681">
        <w:trPr>
          <w:cantSplit/>
          <w:trHeight w:val="360"/>
        </w:trPr>
        <w:tc>
          <w:tcPr>
            <w:tcW w:w="2126" w:type="dxa"/>
            <w:tcBorders>
              <w:top w:val="single" w:sz="4" w:space="0" w:color="auto"/>
              <w:left w:val="single" w:sz="4" w:space="0" w:color="auto"/>
              <w:bottom w:val="single" w:sz="4" w:space="0" w:color="auto"/>
              <w:right w:val="single" w:sz="4" w:space="0" w:color="auto"/>
            </w:tcBorders>
          </w:tcPr>
          <w:p w:rsidR="009B68C3" w:rsidRPr="00260CE3" w:rsidRDefault="009B68C3" w:rsidP="00BC3C77">
            <w:pPr>
              <w:rPr>
                <w:rFonts w:ascii="Arial Narrow" w:hAnsi="Arial Narrow"/>
                <w:sz w:val="20"/>
              </w:rPr>
            </w:pPr>
            <w:r w:rsidRPr="00260CE3">
              <w:rPr>
                <w:rFonts w:ascii="Arial Narrow" w:hAnsi="Arial Narrow"/>
                <w:b/>
                <w:sz w:val="20"/>
              </w:rPr>
              <w:t>Prescriber Instructions</w:t>
            </w:r>
          </w:p>
        </w:tc>
        <w:tc>
          <w:tcPr>
            <w:tcW w:w="6379" w:type="dxa"/>
            <w:gridSpan w:val="6"/>
            <w:tcBorders>
              <w:top w:val="single" w:sz="4" w:space="0" w:color="auto"/>
              <w:left w:val="single" w:sz="4" w:space="0" w:color="auto"/>
              <w:bottom w:val="single" w:sz="4" w:space="0" w:color="auto"/>
              <w:right w:val="single" w:sz="4" w:space="0" w:color="auto"/>
            </w:tcBorders>
          </w:tcPr>
          <w:p w:rsidR="009B68C3" w:rsidRDefault="009B68C3" w:rsidP="00BC3C77">
            <w:pPr>
              <w:rPr>
                <w:rFonts w:ascii="Arial Narrow" w:hAnsi="Arial Narrow"/>
                <w:strike/>
                <w:sz w:val="20"/>
              </w:rPr>
            </w:pPr>
            <w:r w:rsidRPr="003B5E59">
              <w:rPr>
                <w:rFonts w:ascii="Arial Narrow" w:hAnsi="Arial Narrow"/>
                <w:strike/>
                <w:sz w:val="20"/>
              </w:rPr>
              <w:t>No more than one three-month cycle of therapy will be authorised within 18 months</w:t>
            </w:r>
          </w:p>
          <w:p w:rsidR="009B68C3" w:rsidRDefault="009B68C3" w:rsidP="00BC3C77">
            <w:pPr>
              <w:rPr>
                <w:rFonts w:ascii="Arial Narrow" w:hAnsi="Arial Narrow"/>
                <w:i/>
                <w:sz w:val="20"/>
              </w:rPr>
            </w:pPr>
            <w:r w:rsidRPr="003B5E59">
              <w:rPr>
                <w:rFonts w:ascii="Arial Narrow" w:hAnsi="Arial Narrow"/>
                <w:i/>
                <w:sz w:val="20"/>
              </w:rPr>
              <w:t>Only</w:t>
            </w:r>
            <w:r>
              <w:rPr>
                <w:rFonts w:ascii="Arial Narrow" w:hAnsi="Arial Narrow"/>
                <w:i/>
                <w:sz w:val="20"/>
              </w:rPr>
              <w:t xml:space="preserve"> </w:t>
            </w:r>
            <w:r w:rsidRPr="001726FE">
              <w:rPr>
                <w:rFonts w:ascii="Arial Narrow" w:hAnsi="Arial Narrow"/>
                <w:i/>
                <w:sz w:val="20"/>
              </w:rPr>
              <w:t>one PBS-subsidised treatment cycle is allowed every 18 months should this condition recur.</w:t>
            </w:r>
          </w:p>
          <w:p w:rsidR="009B68C3" w:rsidRPr="003B5E59" w:rsidRDefault="009B68C3" w:rsidP="00BC3C77">
            <w:pPr>
              <w:rPr>
                <w:rFonts w:ascii="Arial Narrow" w:hAnsi="Arial Narrow"/>
                <w:sz w:val="20"/>
              </w:rPr>
            </w:pPr>
          </w:p>
          <w:p w:rsidR="009B68C3" w:rsidRPr="00260CE3" w:rsidRDefault="009B68C3" w:rsidP="00BC3C77">
            <w:pPr>
              <w:rPr>
                <w:rFonts w:ascii="Arial Narrow" w:hAnsi="Arial Narrow"/>
                <w:sz w:val="20"/>
              </w:rPr>
            </w:pPr>
            <w:r w:rsidRPr="00F15765">
              <w:rPr>
                <w:rFonts w:ascii="Arial Narrow" w:hAnsi="Arial Narrow"/>
                <w:i/>
                <w:sz w:val="20"/>
              </w:rPr>
              <w:t>No increase in the maximum quantity or number of repeats may be authorised</w:t>
            </w:r>
            <w:r w:rsidRPr="00F15765">
              <w:rPr>
                <w:rFonts w:ascii="Arial Narrow" w:hAnsi="Arial Narrow"/>
                <w:sz w:val="20"/>
              </w:rPr>
              <w:t>.</w:t>
            </w:r>
          </w:p>
        </w:tc>
      </w:tr>
    </w:tbl>
    <w:p w:rsidR="007F34F9" w:rsidRPr="007F34F9" w:rsidRDefault="007F34F9" w:rsidP="007F34F9">
      <w:pPr>
        <w:widowControl/>
        <w:rPr>
          <w:szCs w:val="22"/>
        </w:rPr>
      </w:pPr>
    </w:p>
    <w:p w:rsidR="00137A21" w:rsidRPr="002A59CE" w:rsidRDefault="00137A21" w:rsidP="0055719E">
      <w:pPr>
        <w:pStyle w:val="ListParagraph"/>
        <w:widowControl/>
        <w:numPr>
          <w:ilvl w:val="1"/>
          <w:numId w:val="4"/>
        </w:numPr>
        <w:rPr>
          <w:szCs w:val="22"/>
        </w:rPr>
      </w:pPr>
      <w:r w:rsidRPr="002A59CE">
        <w:rPr>
          <w:szCs w:val="22"/>
        </w:rPr>
        <w:t>The proposed listing was consistent, although narrower (in terms of patient characteristics and limits on the number of treatment cycles within certain timeframes), than the approved TGA indication of “intermittent treatment of moderate to severe symptoms of uterine fibroids in adult women of reproductive age”.</w:t>
      </w:r>
      <w:r w:rsidR="0055719E" w:rsidRPr="002A59CE">
        <w:t xml:space="preserve"> The TGA approved Product Information (PI) for ulipristal recommends treatment courses of up to 3 months </w:t>
      </w:r>
      <w:r w:rsidR="00952B48" w:rsidRPr="002A59CE">
        <w:t>each</w:t>
      </w:r>
      <w:r w:rsidR="0055719E" w:rsidRPr="002A59CE">
        <w:t xml:space="preserve"> and re-treatment courses should start at the earliest during the first week of the second menstruation following the previous treatment course completion. It is noted in the PI that repeated intermittent treatment has been studied up to 4 intermittent treatment courses.</w:t>
      </w:r>
    </w:p>
    <w:p w:rsidR="00412A85" w:rsidRPr="002A59CE" w:rsidRDefault="00412A85" w:rsidP="00412A85">
      <w:pPr>
        <w:widowControl/>
        <w:rPr>
          <w:szCs w:val="22"/>
        </w:rPr>
      </w:pPr>
    </w:p>
    <w:p w:rsidR="00412A85" w:rsidRPr="002A59CE" w:rsidRDefault="00412A85" w:rsidP="00CF1650">
      <w:pPr>
        <w:pStyle w:val="ListParagraph"/>
        <w:widowControl/>
        <w:numPr>
          <w:ilvl w:val="1"/>
          <w:numId w:val="4"/>
        </w:numPr>
        <w:rPr>
          <w:szCs w:val="22"/>
        </w:rPr>
      </w:pPr>
      <w:r w:rsidRPr="002A59CE">
        <w:rPr>
          <w:szCs w:val="22"/>
        </w:rPr>
        <w:t xml:space="preserve">The requested restriction </w:t>
      </w:r>
      <w:r w:rsidR="003B4926" w:rsidRPr="002A59CE">
        <w:rPr>
          <w:szCs w:val="22"/>
        </w:rPr>
        <w:t xml:space="preserve">in the previous submission </w:t>
      </w:r>
      <w:r w:rsidRPr="002A59CE">
        <w:rPr>
          <w:szCs w:val="22"/>
        </w:rPr>
        <w:t>did not require patients to be eligible for and planning surgery for uterine fibroids, although th</w:t>
      </w:r>
      <w:r w:rsidR="00557A9C" w:rsidRPr="002A59CE">
        <w:rPr>
          <w:szCs w:val="22"/>
        </w:rPr>
        <w:t xml:space="preserve">e sponsor proposed </w:t>
      </w:r>
      <w:r w:rsidR="002C6360" w:rsidRPr="002A59CE">
        <w:rPr>
          <w:szCs w:val="22"/>
        </w:rPr>
        <w:t xml:space="preserve">to narrow the requested restriction to this </w:t>
      </w:r>
      <w:r w:rsidRPr="002A59CE">
        <w:rPr>
          <w:szCs w:val="22"/>
        </w:rPr>
        <w:t>patient population in the</w:t>
      </w:r>
      <w:r w:rsidR="002C6360" w:rsidRPr="002A59CE">
        <w:rPr>
          <w:szCs w:val="22"/>
        </w:rPr>
        <w:t>ir</w:t>
      </w:r>
      <w:r w:rsidRPr="002A59CE">
        <w:rPr>
          <w:szCs w:val="22"/>
        </w:rPr>
        <w:t xml:space="preserve"> Pre-PBAC response</w:t>
      </w:r>
      <w:r w:rsidR="00A055D4" w:rsidRPr="002A59CE">
        <w:rPr>
          <w:szCs w:val="22"/>
        </w:rPr>
        <w:t xml:space="preserve"> for the July 2016 submission</w:t>
      </w:r>
      <w:r w:rsidRPr="002A59CE">
        <w:rPr>
          <w:szCs w:val="22"/>
        </w:rPr>
        <w:t xml:space="preserve">. </w:t>
      </w:r>
    </w:p>
    <w:p w:rsidR="0034367D" w:rsidRPr="002A59CE" w:rsidRDefault="0034367D" w:rsidP="0034367D">
      <w:pPr>
        <w:pStyle w:val="ListParagraph"/>
        <w:widowControl/>
        <w:rPr>
          <w:szCs w:val="22"/>
        </w:rPr>
      </w:pPr>
    </w:p>
    <w:p w:rsidR="0034367D" w:rsidRPr="002A59CE" w:rsidRDefault="0034367D" w:rsidP="0034367D">
      <w:pPr>
        <w:pStyle w:val="ListParagraph"/>
        <w:widowControl/>
        <w:numPr>
          <w:ilvl w:val="1"/>
          <w:numId w:val="4"/>
        </w:numPr>
        <w:rPr>
          <w:szCs w:val="22"/>
        </w:rPr>
      </w:pPr>
      <w:r w:rsidRPr="002A59CE">
        <w:rPr>
          <w:szCs w:val="22"/>
        </w:rPr>
        <w:t xml:space="preserve">The ESC considered clarification is required to define the criteria regarding what constitutes a ‘technically difficult’ surgery. </w:t>
      </w:r>
      <w:r w:rsidR="00714947">
        <w:rPr>
          <w:szCs w:val="22"/>
        </w:rPr>
        <w:t xml:space="preserve">The PBAC </w:t>
      </w:r>
      <w:r w:rsidR="0065659E">
        <w:rPr>
          <w:szCs w:val="22"/>
        </w:rPr>
        <w:t>discussed</w:t>
      </w:r>
      <w:r w:rsidR="00714947">
        <w:rPr>
          <w:szCs w:val="22"/>
        </w:rPr>
        <w:t xml:space="preserve"> </w:t>
      </w:r>
      <w:r w:rsidR="00382E05">
        <w:rPr>
          <w:szCs w:val="22"/>
        </w:rPr>
        <w:t xml:space="preserve">that </w:t>
      </w:r>
      <w:r w:rsidR="00714947">
        <w:rPr>
          <w:szCs w:val="22"/>
        </w:rPr>
        <w:t>exclusion criteria may be easier to define</w:t>
      </w:r>
      <w:r w:rsidR="00A81966">
        <w:rPr>
          <w:szCs w:val="22"/>
        </w:rPr>
        <w:t>, for example</w:t>
      </w:r>
      <w:r w:rsidR="006F552F">
        <w:rPr>
          <w:szCs w:val="22"/>
        </w:rPr>
        <w:t xml:space="preserve"> including </w:t>
      </w:r>
      <w:r w:rsidR="00A81966">
        <w:rPr>
          <w:szCs w:val="22"/>
        </w:rPr>
        <w:t>a</w:t>
      </w:r>
      <w:r w:rsidR="006F552F">
        <w:rPr>
          <w:szCs w:val="22"/>
        </w:rPr>
        <w:t xml:space="preserve"> criterion that patients cannot use or have failed other methods to reduce uterine fibroid</w:t>
      </w:r>
      <w:r w:rsidR="00F64F0E">
        <w:rPr>
          <w:szCs w:val="22"/>
        </w:rPr>
        <w:t xml:space="preserve"> size </w:t>
      </w:r>
      <w:r w:rsidR="006F552F">
        <w:rPr>
          <w:szCs w:val="22"/>
        </w:rPr>
        <w:t xml:space="preserve">and </w:t>
      </w:r>
      <w:r w:rsidR="00732F48">
        <w:rPr>
          <w:szCs w:val="22"/>
        </w:rPr>
        <w:t xml:space="preserve">menstrual </w:t>
      </w:r>
      <w:r w:rsidR="006F552F">
        <w:rPr>
          <w:szCs w:val="22"/>
        </w:rPr>
        <w:t xml:space="preserve">bleeding would help </w:t>
      </w:r>
      <w:r w:rsidR="00684186">
        <w:rPr>
          <w:szCs w:val="22"/>
        </w:rPr>
        <w:t xml:space="preserve">narrow </w:t>
      </w:r>
      <w:r w:rsidR="00905B5B">
        <w:rPr>
          <w:szCs w:val="22"/>
        </w:rPr>
        <w:t>the population</w:t>
      </w:r>
      <w:r w:rsidR="00714947">
        <w:rPr>
          <w:szCs w:val="22"/>
        </w:rPr>
        <w:t xml:space="preserve">. </w:t>
      </w:r>
    </w:p>
    <w:p w:rsidR="00B71E0A" w:rsidRPr="002A59CE" w:rsidRDefault="00B71E0A" w:rsidP="00B71E0A">
      <w:pPr>
        <w:pStyle w:val="ListParagraph"/>
        <w:widowControl/>
        <w:rPr>
          <w:szCs w:val="22"/>
        </w:rPr>
      </w:pPr>
    </w:p>
    <w:p w:rsidR="003F756E" w:rsidRPr="003F756E" w:rsidRDefault="000F7DD1" w:rsidP="00754F9E">
      <w:pPr>
        <w:pStyle w:val="ListParagraph"/>
        <w:widowControl/>
        <w:numPr>
          <w:ilvl w:val="1"/>
          <w:numId w:val="4"/>
        </w:numPr>
        <w:rPr>
          <w:szCs w:val="22"/>
        </w:rPr>
      </w:pPr>
      <w:r w:rsidRPr="002A59CE">
        <w:t xml:space="preserve">The ESC considered that it may not be reasonable to </w:t>
      </w:r>
      <w:r w:rsidR="00B71E0A" w:rsidRPr="002A59CE">
        <w:t xml:space="preserve">limit the use of ulipristal to </w:t>
      </w:r>
      <w:r w:rsidRPr="002A59CE">
        <w:t xml:space="preserve">one course of </w:t>
      </w:r>
      <w:r w:rsidR="00EF2382" w:rsidRPr="002A59CE">
        <w:t>3 months</w:t>
      </w:r>
      <w:r w:rsidR="00B71E0A" w:rsidRPr="002A59CE">
        <w:t xml:space="preserve"> of treatment </w:t>
      </w:r>
      <w:r w:rsidRPr="002A59CE">
        <w:t>every 18 months</w:t>
      </w:r>
      <w:r w:rsidR="00B71E0A" w:rsidRPr="002A59CE">
        <w:t xml:space="preserve">. </w:t>
      </w:r>
      <w:r w:rsidRPr="002A59CE">
        <w:t>It was noted t</w:t>
      </w:r>
      <w:r w:rsidR="00B71E0A" w:rsidRPr="002A59CE">
        <w:t xml:space="preserve">his would particularly be an issue for those women who would be unable to proceed to surgery within </w:t>
      </w:r>
      <w:r w:rsidRPr="002A59CE">
        <w:t xml:space="preserve">the </w:t>
      </w:r>
      <w:r w:rsidR="00EF2382" w:rsidRPr="002A59CE">
        <w:t>3 month</w:t>
      </w:r>
      <w:r w:rsidR="00B71E0A" w:rsidRPr="002A59CE">
        <w:t xml:space="preserve"> timeframe.</w:t>
      </w:r>
      <w:r w:rsidR="00691E39" w:rsidRPr="002A59CE">
        <w:t xml:space="preserve"> It</w:t>
      </w:r>
      <w:r w:rsidRPr="002A59CE">
        <w:t xml:space="preserve"> was </w:t>
      </w:r>
      <w:r w:rsidR="005F6CF0" w:rsidRPr="002A59CE">
        <w:t>thought</w:t>
      </w:r>
      <w:r w:rsidRPr="002A59CE">
        <w:t xml:space="preserve"> that this may lead to equity issues </w:t>
      </w:r>
      <w:r w:rsidR="007C6D95" w:rsidRPr="002A59CE">
        <w:t xml:space="preserve">for women </w:t>
      </w:r>
      <w:r w:rsidR="007C6D95" w:rsidRPr="002A59CE">
        <w:lastRenderedPageBreak/>
        <w:t>treated in public and private settings</w:t>
      </w:r>
      <w:r w:rsidRPr="002A59CE">
        <w:t xml:space="preserve"> </w:t>
      </w:r>
      <w:r w:rsidR="007C6D95" w:rsidRPr="002A59CE">
        <w:t>given that</w:t>
      </w:r>
      <w:r w:rsidRPr="002A59CE">
        <w:t xml:space="preserve"> waiting time to surgery in public hospitals may exceed </w:t>
      </w:r>
      <w:r w:rsidR="00EF2382" w:rsidRPr="002A59CE">
        <w:t>3 months</w:t>
      </w:r>
      <w:r w:rsidRPr="002A59CE">
        <w:t>.</w:t>
      </w:r>
      <w:r w:rsidR="005135E2">
        <w:t xml:space="preserve"> </w:t>
      </w:r>
      <w:r w:rsidRPr="002A59CE">
        <w:t>However, n</w:t>
      </w:r>
      <w:r w:rsidR="00B71E0A" w:rsidRPr="002A59CE">
        <w:t>o data</w:t>
      </w:r>
      <w:r w:rsidR="005F6CF0" w:rsidRPr="002A59CE">
        <w:t xml:space="preserve"> are available</w:t>
      </w:r>
      <w:r w:rsidR="00B71E0A" w:rsidRPr="002A59CE">
        <w:t xml:space="preserve"> regarding the comparative effectiveness or safety of ulipristal versus placebo for continued use beyond </w:t>
      </w:r>
      <w:r w:rsidR="00816B4D" w:rsidRPr="002A59CE">
        <w:t>3 months</w:t>
      </w:r>
      <w:r w:rsidR="00B71E0A" w:rsidRPr="002A59CE">
        <w:t>.</w:t>
      </w:r>
      <w:r w:rsidR="00754F9E">
        <w:t xml:space="preserve"> The p</w:t>
      </w:r>
      <w:r w:rsidR="00754F9E" w:rsidRPr="00754F9E">
        <w:t>re-</w:t>
      </w:r>
      <w:r w:rsidR="00754F9E">
        <w:t>PBAC response</w:t>
      </w:r>
      <w:r w:rsidR="00754F9E" w:rsidRPr="00754F9E">
        <w:t xml:space="preserve"> </w:t>
      </w:r>
      <w:r w:rsidR="00556D1D">
        <w:t>contended that</w:t>
      </w:r>
      <w:r w:rsidR="00754F9E">
        <w:t xml:space="preserve"> t</w:t>
      </w:r>
      <w:r w:rsidR="00754F9E" w:rsidRPr="00754F9E">
        <w:t xml:space="preserve">he single 3 month course proposed in the restriction is consistent with the available clinical data, and will generally provide </w:t>
      </w:r>
      <w:r w:rsidR="007E136B">
        <w:t>four to six</w:t>
      </w:r>
      <w:r w:rsidR="00754F9E" w:rsidRPr="00754F9E">
        <w:t xml:space="preserve"> months relief from moderate to severe symptoms of fibroids, which represents a sufficient bridge </w:t>
      </w:r>
      <w:r w:rsidR="00A81966">
        <w:t>given the</w:t>
      </w:r>
      <w:r w:rsidR="00754F9E" w:rsidRPr="00754F9E">
        <w:t xml:space="preserve"> average waiting times across the Australian public hospital system. </w:t>
      </w:r>
      <w:r w:rsidR="00A81966">
        <w:t>It was noted that l</w:t>
      </w:r>
      <w:r w:rsidR="00754F9E" w:rsidRPr="00754F9E">
        <w:t xml:space="preserve">onger waiting times could potentially be managed by allowing an increase in the number of repeats authorised. </w:t>
      </w:r>
      <w:r w:rsidR="0037187B">
        <w:t>The</w:t>
      </w:r>
      <w:r w:rsidR="00A81966">
        <w:t xml:space="preserve"> sponsor considered the proposed</w:t>
      </w:r>
      <w:r w:rsidR="0037187B">
        <w:t xml:space="preserve"> restriction </w:t>
      </w:r>
      <w:r w:rsidR="0037187B" w:rsidRPr="009D1AA9">
        <w:t>discourage</w:t>
      </w:r>
      <w:r w:rsidR="0037187B">
        <w:t>s</w:t>
      </w:r>
      <w:r w:rsidR="0037187B" w:rsidRPr="009D1AA9">
        <w:t xml:space="preserve"> de facto use as a long-term intermittent regimen while not excluding treatment of the significant proportion of patients who experience a recurrence of their fibroids following surgery or surgical substitute interventions</w:t>
      </w:r>
      <w:r w:rsidR="003A15FE">
        <w:t xml:space="preserve">. </w:t>
      </w:r>
    </w:p>
    <w:p w:rsidR="003F756E" w:rsidRPr="003F756E" w:rsidRDefault="003F756E" w:rsidP="003F756E">
      <w:pPr>
        <w:pStyle w:val="ListParagraph"/>
        <w:widowControl/>
        <w:rPr>
          <w:szCs w:val="22"/>
        </w:rPr>
      </w:pPr>
    </w:p>
    <w:p w:rsidR="0034367D" w:rsidRPr="002A59CE" w:rsidRDefault="00303129" w:rsidP="00303129">
      <w:pPr>
        <w:pStyle w:val="ListParagraph"/>
        <w:widowControl/>
        <w:numPr>
          <w:ilvl w:val="1"/>
          <w:numId w:val="4"/>
        </w:numPr>
        <w:rPr>
          <w:szCs w:val="22"/>
        </w:rPr>
      </w:pPr>
      <w:r>
        <w:t xml:space="preserve">In the PSCR the sponsor acknowledged and agreed that </w:t>
      </w:r>
      <w:r w:rsidRPr="00303129">
        <w:t xml:space="preserve">an Authority Required (telephone) </w:t>
      </w:r>
      <w:r>
        <w:t xml:space="preserve">restriction may be required given the issues </w:t>
      </w:r>
      <w:r w:rsidRPr="00303129">
        <w:t>identified by the Secretariat regarding tracking patients treated within the previous 18 months</w:t>
      </w:r>
      <w:r>
        <w:t>.</w:t>
      </w:r>
      <w:r w:rsidRPr="00303129">
        <w:t xml:space="preserve"> </w:t>
      </w:r>
    </w:p>
    <w:p w:rsidR="00F401FE" w:rsidRPr="002A59CE" w:rsidRDefault="00F401FE" w:rsidP="00F401FE">
      <w:pPr>
        <w:pStyle w:val="ListParagraph"/>
        <w:widowControl/>
        <w:rPr>
          <w:szCs w:val="22"/>
        </w:rPr>
      </w:pPr>
    </w:p>
    <w:p w:rsidR="00C06281" w:rsidRDefault="00FA436D" w:rsidP="00B7753C">
      <w:pPr>
        <w:pStyle w:val="ListParagraph"/>
        <w:widowControl/>
        <w:numPr>
          <w:ilvl w:val="1"/>
          <w:numId w:val="4"/>
        </w:numPr>
        <w:rPr>
          <w:szCs w:val="22"/>
        </w:rPr>
      </w:pPr>
      <w:r w:rsidRPr="002A59CE">
        <w:rPr>
          <w:szCs w:val="22"/>
        </w:rPr>
        <w:t>A</w:t>
      </w:r>
      <w:r w:rsidR="00C06281" w:rsidRPr="002A59CE">
        <w:rPr>
          <w:szCs w:val="22"/>
        </w:rPr>
        <w:t xml:space="preserve"> specific requirement for diagnosis by ultrasound or</w:t>
      </w:r>
      <w:r w:rsidR="00B7753C">
        <w:rPr>
          <w:szCs w:val="22"/>
        </w:rPr>
        <w:t xml:space="preserve"> m</w:t>
      </w:r>
      <w:r w:rsidR="00B7753C" w:rsidRPr="00B7753C">
        <w:rPr>
          <w:szCs w:val="22"/>
        </w:rPr>
        <w:t xml:space="preserve">agnetic resonance imaging </w:t>
      </w:r>
      <w:r w:rsidR="00B7753C">
        <w:rPr>
          <w:szCs w:val="22"/>
        </w:rPr>
        <w:t>(</w:t>
      </w:r>
      <w:r w:rsidR="00C06281" w:rsidRPr="002A59CE">
        <w:rPr>
          <w:szCs w:val="22"/>
        </w:rPr>
        <w:t>MRI</w:t>
      </w:r>
      <w:r w:rsidR="00B7753C">
        <w:rPr>
          <w:szCs w:val="22"/>
        </w:rPr>
        <w:t>)</w:t>
      </w:r>
      <w:r w:rsidR="00C06281" w:rsidRPr="002A59CE">
        <w:rPr>
          <w:szCs w:val="22"/>
        </w:rPr>
        <w:t xml:space="preserve"> is not included in the restriction. There are </w:t>
      </w:r>
      <w:r w:rsidRPr="002A59CE">
        <w:rPr>
          <w:szCs w:val="22"/>
        </w:rPr>
        <w:t xml:space="preserve">also </w:t>
      </w:r>
      <w:r w:rsidR="00C06281" w:rsidRPr="002A59CE">
        <w:rPr>
          <w:szCs w:val="22"/>
        </w:rPr>
        <w:t>no criteria defining moderate to severe symptoms.</w:t>
      </w:r>
      <w:r w:rsidR="000C242B" w:rsidRPr="002A59CE">
        <w:rPr>
          <w:szCs w:val="22"/>
        </w:rPr>
        <w:t xml:space="preserve"> The PSCR stated that</w:t>
      </w:r>
      <w:r w:rsidR="00BA730F" w:rsidRPr="002A59CE">
        <w:rPr>
          <w:szCs w:val="22"/>
        </w:rPr>
        <w:t xml:space="preserve"> the restriction could include ultrasound to</w:t>
      </w:r>
      <w:r w:rsidR="004E38E6" w:rsidRPr="002A59CE">
        <w:rPr>
          <w:szCs w:val="22"/>
        </w:rPr>
        <w:t xml:space="preserve"> </w:t>
      </w:r>
      <w:r w:rsidR="000C242B" w:rsidRPr="002A59CE">
        <w:rPr>
          <w:szCs w:val="22"/>
        </w:rPr>
        <w:t>confirm diagnosis of uterine fibroids, nothing that MRI is typically recommended only as a second line investigation for large or inde</w:t>
      </w:r>
      <w:r w:rsidR="00BA730F" w:rsidRPr="002A59CE">
        <w:rPr>
          <w:szCs w:val="22"/>
        </w:rPr>
        <w:t>t</w:t>
      </w:r>
      <w:r w:rsidR="000C242B" w:rsidRPr="002A59CE">
        <w:rPr>
          <w:szCs w:val="22"/>
        </w:rPr>
        <w:t>erminate masses, or wh</w:t>
      </w:r>
      <w:r w:rsidR="007E4CE3" w:rsidRPr="002A59CE">
        <w:rPr>
          <w:szCs w:val="22"/>
        </w:rPr>
        <w:t>ere malignancy is a possibility</w:t>
      </w:r>
      <w:r w:rsidR="00B653BC" w:rsidRPr="002A59CE">
        <w:rPr>
          <w:szCs w:val="22"/>
        </w:rPr>
        <w:t>.</w:t>
      </w:r>
    </w:p>
    <w:p w:rsidR="00DB6A32" w:rsidRPr="00DB6A32" w:rsidRDefault="00DB6A32" w:rsidP="00DB6A32">
      <w:pPr>
        <w:pStyle w:val="ListParagraph"/>
        <w:rPr>
          <w:szCs w:val="22"/>
        </w:rPr>
      </w:pPr>
    </w:p>
    <w:p w:rsidR="00B60939" w:rsidRPr="00041722" w:rsidRDefault="000E0FFF" w:rsidP="00CF1650">
      <w:pPr>
        <w:pStyle w:val="ListParagraph"/>
        <w:widowControl/>
        <w:numPr>
          <w:ilvl w:val="1"/>
          <w:numId w:val="4"/>
        </w:numPr>
        <w:rPr>
          <w:szCs w:val="22"/>
        </w:rPr>
      </w:pPr>
      <w:r w:rsidRPr="002A59CE">
        <w:rPr>
          <w:szCs w:val="22"/>
        </w:rPr>
        <w:t xml:space="preserve">The </w:t>
      </w:r>
      <w:r w:rsidR="007B08B0" w:rsidRPr="00041722">
        <w:rPr>
          <w:szCs w:val="22"/>
        </w:rPr>
        <w:t>resubmission</w:t>
      </w:r>
      <w:r w:rsidRPr="00041722">
        <w:rPr>
          <w:szCs w:val="22"/>
        </w:rPr>
        <w:t xml:space="preserve"> was based on a cost-utility analysis of ulipristal compared with placebo.</w:t>
      </w:r>
    </w:p>
    <w:p w:rsidR="00137A21" w:rsidRPr="00041722" w:rsidRDefault="00137A21" w:rsidP="00137A21">
      <w:pPr>
        <w:pStyle w:val="ListParagraph"/>
        <w:rPr>
          <w:szCs w:val="22"/>
        </w:rPr>
      </w:pPr>
    </w:p>
    <w:p w:rsidR="00F60AB3" w:rsidRPr="0005234D" w:rsidRDefault="00F60AB3" w:rsidP="00F60AB3">
      <w:pPr>
        <w:ind w:firstLine="720"/>
        <w:rPr>
          <w:bCs/>
          <w:szCs w:val="22"/>
        </w:rPr>
      </w:pPr>
      <w:r w:rsidRPr="00041722">
        <w:rPr>
          <w:bCs/>
          <w:i/>
          <w:szCs w:val="22"/>
        </w:rPr>
        <w:t>For more detail on PBAC’s view, see section 7 “PBAC outcome”</w:t>
      </w:r>
    </w:p>
    <w:p w:rsidR="001B6188" w:rsidRDefault="001B6188" w:rsidP="00497F10"/>
    <w:p w:rsidR="00F60AB3" w:rsidRPr="00882085" w:rsidRDefault="00F60AB3" w:rsidP="00497F10"/>
    <w:p w:rsidR="00F338FF" w:rsidRPr="00407F2D" w:rsidRDefault="00F338FF" w:rsidP="005D7E3E">
      <w:pPr>
        <w:pStyle w:val="PBACheading1"/>
      </w:pPr>
      <w:bookmarkStart w:id="6" w:name="_Toc472349025"/>
      <w:r w:rsidRPr="00407F2D">
        <w:rPr>
          <w:b/>
        </w:rPr>
        <w:t>Background</w:t>
      </w:r>
      <w:bookmarkEnd w:id="6"/>
    </w:p>
    <w:p w:rsidR="00B60939" w:rsidRPr="00882085" w:rsidRDefault="00B60939" w:rsidP="00B60939">
      <w:pPr>
        <w:rPr>
          <w:szCs w:val="22"/>
        </w:rPr>
      </w:pPr>
    </w:p>
    <w:p w:rsidR="00B60939" w:rsidRPr="00B32B0E" w:rsidRDefault="00EB6AA9" w:rsidP="00CF1650">
      <w:pPr>
        <w:pStyle w:val="ListParagraph"/>
        <w:widowControl/>
        <w:numPr>
          <w:ilvl w:val="1"/>
          <w:numId w:val="3"/>
        </w:numPr>
        <w:rPr>
          <w:szCs w:val="22"/>
        </w:rPr>
      </w:pPr>
      <w:r w:rsidRPr="00037A85">
        <w:rPr>
          <w:b/>
          <w:bCs/>
          <w:szCs w:val="22"/>
        </w:rPr>
        <w:t xml:space="preserve">TGA status at time of </w:t>
      </w:r>
      <w:r w:rsidR="00037A85" w:rsidRPr="00037A85">
        <w:rPr>
          <w:b/>
          <w:bCs/>
          <w:szCs w:val="22"/>
        </w:rPr>
        <w:t>PBAC consideration</w:t>
      </w:r>
      <w:r w:rsidRPr="00037A85">
        <w:rPr>
          <w:b/>
          <w:bCs/>
          <w:szCs w:val="22"/>
        </w:rPr>
        <w:t>:</w:t>
      </w:r>
      <w:r w:rsidRPr="00037A85">
        <w:rPr>
          <w:bCs/>
          <w:szCs w:val="22"/>
        </w:rPr>
        <w:t xml:space="preserve"> </w:t>
      </w:r>
      <w:r w:rsidR="00AF6B43">
        <w:rPr>
          <w:szCs w:val="22"/>
        </w:rPr>
        <w:t>u</w:t>
      </w:r>
      <w:r w:rsidR="003F7059" w:rsidRPr="00037A85">
        <w:rPr>
          <w:szCs w:val="22"/>
        </w:rPr>
        <w:t>lipristal</w:t>
      </w:r>
      <w:r w:rsidR="00B60939" w:rsidRPr="00B32B0E">
        <w:rPr>
          <w:szCs w:val="22"/>
        </w:rPr>
        <w:t xml:space="preserve"> was TGA registered on </w:t>
      </w:r>
      <w:r w:rsidR="003F7059" w:rsidRPr="00B32B0E">
        <w:rPr>
          <w:szCs w:val="22"/>
        </w:rPr>
        <w:t xml:space="preserve">17 May 2016 for </w:t>
      </w:r>
      <w:r w:rsidR="00E53E9B" w:rsidRPr="00B32B0E">
        <w:rPr>
          <w:szCs w:val="22"/>
        </w:rPr>
        <w:t xml:space="preserve">the </w:t>
      </w:r>
      <w:r w:rsidR="003F7059" w:rsidRPr="00B32B0E">
        <w:rPr>
          <w:szCs w:val="22"/>
        </w:rPr>
        <w:t>intermittent treatment of moderate to severe symptoms of uterine fibroids in a</w:t>
      </w:r>
      <w:r w:rsidR="00FE36DA">
        <w:rPr>
          <w:szCs w:val="22"/>
        </w:rPr>
        <w:t>dult women of reproductive age.</w:t>
      </w:r>
    </w:p>
    <w:p w:rsidR="00B60939" w:rsidRPr="001971A6" w:rsidRDefault="00B60939" w:rsidP="00577717"/>
    <w:p w:rsidR="00B60939" w:rsidRPr="00525FE9" w:rsidRDefault="009F6E20" w:rsidP="00CF1650">
      <w:pPr>
        <w:pStyle w:val="ListParagraph"/>
        <w:widowControl/>
        <w:numPr>
          <w:ilvl w:val="1"/>
          <w:numId w:val="3"/>
        </w:numPr>
        <w:rPr>
          <w:color w:val="000000" w:themeColor="text1"/>
        </w:rPr>
      </w:pPr>
      <w:r>
        <w:rPr>
          <w:color w:val="000000" w:themeColor="text1"/>
          <w:szCs w:val="22"/>
        </w:rPr>
        <w:t xml:space="preserve">Ulipristal was previously considered by the PBAC </w:t>
      </w:r>
      <w:r w:rsidR="00D270C6" w:rsidRPr="00D270C6">
        <w:rPr>
          <w:color w:val="000000" w:themeColor="text1"/>
          <w:szCs w:val="22"/>
        </w:rPr>
        <w:t>for the treatment of moderate to severe symptoms of uterine fibroids</w:t>
      </w:r>
      <w:r>
        <w:rPr>
          <w:color w:val="000000" w:themeColor="text1"/>
          <w:szCs w:val="22"/>
        </w:rPr>
        <w:t xml:space="preserve"> in July 2016.</w:t>
      </w:r>
    </w:p>
    <w:p w:rsidR="00525FE9" w:rsidRPr="00525FE9" w:rsidRDefault="00525FE9" w:rsidP="00525FE9">
      <w:pPr>
        <w:pStyle w:val="ListParagraph"/>
        <w:rPr>
          <w:color w:val="000000" w:themeColor="text1"/>
        </w:rPr>
      </w:pPr>
    </w:p>
    <w:p w:rsidR="00525FE9" w:rsidRDefault="00525FE9" w:rsidP="00CF1650">
      <w:pPr>
        <w:pStyle w:val="ListParagraph"/>
        <w:widowControl/>
        <w:numPr>
          <w:ilvl w:val="1"/>
          <w:numId w:val="3"/>
        </w:numPr>
        <w:rPr>
          <w:color w:val="000000" w:themeColor="text1"/>
        </w:rPr>
      </w:pPr>
      <w:r>
        <w:rPr>
          <w:color w:val="000000" w:themeColor="text1"/>
        </w:rPr>
        <w:t xml:space="preserve">A summary of the differences between the July 2016 submission and the </w:t>
      </w:r>
      <w:r w:rsidR="007B08B0">
        <w:rPr>
          <w:color w:val="000000" w:themeColor="text1"/>
        </w:rPr>
        <w:t>resubmission</w:t>
      </w:r>
      <w:r>
        <w:rPr>
          <w:color w:val="000000" w:themeColor="text1"/>
        </w:rPr>
        <w:t xml:space="preserve"> is provided in </w:t>
      </w:r>
      <w:r w:rsidR="005971A7" w:rsidRPr="005D0CE3">
        <w:rPr>
          <w:color w:val="000000" w:themeColor="text1"/>
        </w:rPr>
        <w:t>the table below</w:t>
      </w:r>
      <w:r w:rsidRPr="005D0CE3">
        <w:rPr>
          <w:color w:val="000000" w:themeColor="text1"/>
        </w:rPr>
        <w:t>.</w:t>
      </w:r>
    </w:p>
    <w:p w:rsidR="00B32B0E" w:rsidRDefault="00B32B0E">
      <w:pPr>
        <w:widowControl/>
        <w:jc w:val="left"/>
        <w:rPr>
          <w:rFonts w:ascii="Arial Narrow" w:hAnsi="Arial Narrow"/>
          <w:b/>
          <w:sz w:val="20"/>
          <w:szCs w:val="16"/>
        </w:rPr>
      </w:pPr>
    </w:p>
    <w:p w:rsidR="000230CB" w:rsidRPr="00893D5C" w:rsidRDefault="000230CB" w:rsidP="00952B48">
      <w:pPr>
        <w:widowControl/>
        <w:ind w:firstLine="720"/>
        <w:rPr>
          <w:rFonts w:ascii="Arial Narrow" w:hAnsi="Arial Narrow"/>
          <w:b/>
          <w:sz w:val="20"/>
          <w:szCs w:val="16"/>
        </w:rPr>
      </w:pPr>
      <w:r w:rsidRPr="00893D5C">
        <w:rPr>
          <w:rFonts w:ascii="Arial Narrow" w:hAnsi="Arial Narrow"/>
          <w:b/>
          <w:sz w:val="20"/>
          <w:szCs w:val="16"/>
        </w:rPr>
        <w:t xml:space="preserve">Table </w:t>
      </w:r>
      <w:r>
        <w:rPr>
          <w:rFonts w:ascii="Arial Narrow" w:hAnsi="Arial Narrow"/>
          <w:b/>
          <w:sz w:val="20"/>
          <w:szCs w:val="16"/>
        </w:rPr>
        <w:t>1</w:t>
      </w:r>
      <w:r w:rsidRPr="00893D5C">
        <w:rPr>
          <w:rFonts w:ascii="Arial Narrow" w:hAnsi="Arial Narrow"/>
          <w:b/>
          <w:sz w:val="20"/>
          <w:szCs w:val="16"/>
        </w:rPr>
        <w:t xml:space="preserve">: Summary of the </w:t>
      </w:r>
      <w:r>
        <w:rPr>
          <w:rFonts w:ascii="Arial Narrow" w:hAnsi="Arial Narrow"/>
          <w:b/>
          <w:sz w:val="20"/>
          <w:szCs w:val="16"/>
        </w:rPr>
        <w:t>July 2016</w:t>
      </w:r>
      <w:r w:rsidRPr="00893D5C">
        <w:rPr>
          <w:rFonts w:ascii="Arial Narrow" w:hAnsi="Arial Narrow"/>
          <w:b/>
          <w:sz w:val="20"/>
          <w:szCs w:val="16"/>
        </w:rPr>
        <w:t xml:space="preserve"> submission and the </w:t>
      </w:r>
      <w:r>
        <w:rPr>
          <w:rFonts w:ascii="Arial Narrow" w:hAnsi="Arial Narrow"/>
          <w:b/>
          <w:sz w:val="20"/>
          <w:szCs w:val="16"/>
        </w:rPr>
        <w:t>resubmission</w:t>
      </w:r>
    </w:p>
    <w:tbl>
      <w:tblPr>
        <w:tblStyle w:val="Summarybox2"/>
        <w:tblW w:w="4604" w:type="pct"/>
        <w:tblInd w:w="737" w:type="dxa"/>
        <w:tblCellMar>
          <w:left w:w="28" w:type="dxa"/>
          <w:right w:w="28" w:type="dxa"/>
        </w:tblCellMar>
        <w:tblLook w:val="04A0" w:firstRow="1" w:lastRow="0" w:firstColumn="1" w:lastColumn="0" w:noHBand="0" w:noVBand="1"/>
        <w:tblCaption w:val="Table 1: Summary of the July 2016 submission and the resubmission"/>
      </w:tblPr>
      <w:tblGrid>
        <w:gridCol w:w="929"/>
        <w:gridCol w:w="4032"/>
        <w:gridCol w:w="3403"/>
      </w:tblGrid>
      <w:tr w:rsidR="000230CB" w:rsidRPr="00893D5C" w:rsidTr="00952B48">
        <w:trPr>
          <w:tblHeader/>
        </w:trPr>
        <w:tc>
          <w:tcPr>
            <w:tcW w:w="555" w:type="pct"/>
            <w:vAlign w:val="center"/>
          </w:tcPr>
          <w:p w:rsidR="000230CB" w:rsidRPr="00893D5C" w:rsidRDefault="000230CB" w:rsidP="00171398">
            <w:pPr>
              <w:widowControl/>
              <w:jc w:val="left"/>
              <w:rPr>
                <w:rFonts w:ascii="Arial Narrow" w:hAnsi="Arial Narrow"/>
                <w:b/>
                <w:sz w:val="20"/>
              </w:rPr>
            </w:pPr>
          </w:p>
        </w:tc>
        <w:tc>
          <w:tcPr>
            <w:tcW w:w="2410" w:type="pct"/>
            <w:vAlign w:val="center"/>
          </w:tcPr>
          <w:p w:rsidR="000230CB" w:rsidRPr="00893D5C" w:rsidRDefault="000230CB" w:rsidP="00171398">
            <w:pPr>
              <w:widowControl/>
              <w:jc w:val="center"/>
              <w:rPr>
                <w:rFonts w:ascii="Arial Narrow" w:hAnsi="Arial Narrow"/>
                <w:b/>
                <w:sz w:val="20"/>
              </w:rPr>
            </w:pPr>
            <w:r>
              <w:rPr>
                <w:rFonts w:ascii="Arial Narrow" w:hAnsi="Arial Narrow"/>
                <w:b/>
                <w:sz w:val="20"/>
              </w:rPr>
              <w:t>July 2016</w:t>
            </w:r>
            <w:r w:rsidRPr="00893D5C">
              <w:rPr>
                <w:rFonts w:ascii="Arial Narrow" w:hAnsi="Arial Narrow"/>
                <w:b/>
                <w:sz w:val="20"/>
              </w:rPr>
              <w:t xml:space="preserve"> submission</w:t>
            </w:r>
          </w:p>
        </w:tc>
        <w:tc>
          <w:tcPr>
            <w:tcW w:w="2034" w:type="pct"/>
            <w:vAlign w:val="center"/>
          </w:tcPr>
          <w:p w:rsidR="000230CB" w:rsidRPr="00893D5C" w:rsidRDefault="000230CB" w:rsidP="00171398">
            <w:pPr>
              <w:widowControl/>
              <w:jc w:val="center"/>
              <w:rPr>
                <w:rFonts w:ascii="Arial Narrow" w:hAnsi="Arial Narrow"/>
                <w:b/>
                <w:sz w:val="20"/>
              </w:rPr>
            </w:pPr>
            <w:r>
              <w:rPr>
                <w:rFonts w:ascii="Arial Narrow" w:hAnsi="Arial Narrow"/>
                <w:b/>
                <w:sz w:val="20"/>
              </w:rPr>
              <w:t>Resubmission</w:t>
            </w:r>
          </w:p>
        </w:tc>
      </w:tr>
      <w:tr w:rsidR="000230CB" w:rsidRPr="00893D5C" w:rsidTr="00952B48">
        <w:tc>
          <w:tcPr>
            <w:tcW w:w="555" w:type="pct"/>
            <w:vAlign w:val="center"/>
          </w:tcPr>
          <w:p w:rsidR="000230CB" w:rsidRPr="00893D5C" w:rsidRDefault="000230CB" w:rsidP="00171398">
            <w:pPr>
              <w:widowControl/>
              <w:jc w:val="left"/>
              <w:rPr>
                <w:rFonts w:ascii="Arial Narrow" w:hAnsi="Arial Narrow"/>
                <w:sz w:val="20"/>
              </w:rPr>
            </w:pPr>
            <w:r w:rsidRPr="00893D5C">
              <w:rPr>
                <w:rFonts w:ascii="Arial Narrow" w:hAnsi="Arial Narrow"/>
                <w:sz w:val="20"/>
              </w:rPr>
              <w:t>Requested restriction</w:t>
            </w:r>
          </w:p>
        </w:tc>
        <w:tc>
          <w:tcPr>
            <w:tcW w:w="2410" w:type="pct"/>
            <w:vAlign w:val="center"/>
          </w:tcPr>
          <w:p w:rsidR="000230CB" w:rsidRPr="002A59CE" w:rsidRDefault="000230CB" w:rsidP="00171398">
            <w:pPr>
              <w:widowControl/>
              <w:jc w:val="left"/>
              <w:rPr>
                <w:rFonts w:ascii="Arial Narrow" w:hAnsi="Arial Narrow"/>
                <w:sz w:val="20"/>
              </w:rPr>
            </w:pPr>
            <w:r w:rsidRPr="002A59CE">
              <w:rPr>
                <w:rFonts w:ascii="Arial Narrow" w:hAnsi="Arial Narrow"/>
                <w:sz w:val="20"/>
              </w:rPr>
              <w:t>Moderate to severe symptoms of uterine fibroids.</w:t>
            </w:r>
          </w:p>
          <w:p w:rsidR="000230CB" w:rsidRPr="002A59CE" w:rsidRDefault="000230CB" w:rsidP="00171398">
            <w:pPr>
              <w:widowControl/>
              <w:jc w:val="left"/>
              <w:rPr>
                <w:rFonts w:ascii="Arial Narrow" w:hAnsi="Arial Narrow"/>
                <w:sz w:val="20"/>
              </w:rPr>
            </w:pPr>
            <w:r w:rsidRPr="002A59CE">
              <w:rPr>
                <w:rFonts w:ascii="Arial Narrow" w:hAnsi="Arial Narrow"/>
                <w:sz w:val="20"/>
              </w:rPr>
              <w:t>The requested listing was based on the clinical setting of both short and long-term management, however the sponsor requested in the Pre-PBAC response to narrow the listing to short-term therapy prior to planned surgery (paragraph 2.1).</w:t>
            </w:r>
          </w:p>
          <w:p w:rsidR="000230CB" w:rsidRPr="002A59CE" w:rsidRDefault="000230CB" w:rsidP="00171398">
            <w:pPr>
              <w:widowControl/>
              <w:jc w:val="left"/>
              <w:rPr>
                <w:rFonts w:ascii="Arial Narrow" w:hAnsi="Arial Narrow"/>
                <w:sz w:val="20"/>
              </w:rPr>
            </w:pPr>
            <w:r w:rsidRPr="002A59CE">
              <w:rPr>
                <w:rFonts w:ascii="Arial Narrow" w:hAnsi="Arial Narrow"/>
                <w:b/>
                <w:sz w:val="20"/>
              </w:rPr>
              <w:t xml:space="preserve">PBAC comment: </w:t>
            </w:r>
            <w:r w:rsidRPr="002A59CE">
              <w:rPr>
                <w:rFonts w:ascii="Arial Narrow" w:hAnsi="Arial Narrow"/>
                <w:sz w:val="20"/>
              </w:rPr>
              <w:t xml:space="preserve">All of the originally requested </w:t>
            </w:r>
            <w:r w:rsidRPr="002A59CE">
              <w:rPr>
                <w:rFonts w:ascii="Arial Narrow" w:hAnsi="Arial Narrow"/>
                <w:sz w:val="20"/>
              </w:rPr>
              <w:lastRenderedPageBreak/>
              <w:t>treatment scenarios were considered, however the PBAC took note of the sponsor’s Pre-PBAC request.</w:t>
            </w:r>
          </w:p>
        </w:tc>
        <w:tc>
          <w:tcPr>
            <w:tcW w:w="2034" w:type="pct"/>
            <w:vAlign w:val="center"/>
          </w:tcPr>
          <w:p w:rsidR="000230CB" w:rsidRPr="002A59CE" w:rsidRDefault="000230CB" w:rsidP="00171398">
            <w:pPr>
              <w:widowControl/>
              <w:jc w:val="left"/>
              <w:rPr>
                <w:rFonts w:ascii="Arial Narrow" w:hAnsi="Arial Narrow"/>
                <w:sz w:val="20"/>
              </w:rPr>
            </w:pPr>
            <w:r w:rsidRPr="002A59CE">
              <w:rPr>
                <w:rFonts w:ascii="Arial Narrow" w:hAnsi="Arial Narrow"/>
                <w:sz w:val="20"/>
              </w:rPr>
              <w:lastRenderedPageBreak/>
              <w:t xml:space="preserve">Moderate to severe symptoms of uterine fibroids prior to planned surgery.  </w:t>
            </w:r>
          </w:p>
          <w:p w:rsidR="000230CB" w:rsidRPr="002A59CE" w:rsidRDefault="000230CB" w:rsidP="00171398">
            <w:pPr>
              <w:widowControl/>
              <w:jc w:val="left"/>
              <w:rPr>
                <w:rFonts w:ascii="Arial Narrow" w:hAnsi="Arial Narrow"/>
                <w:sz w:val="20"/>
              </w:rPr>
            </w:pPr>
            <w:r w:rsidRPr="002A59CE">
              <w:rPr>
                <w:rFonts w:ascii="Arial Narrow" w:hAnsi="Arial Narrow"/>
                <w:sz w:val="20"/>
              </w:rPr>
              <w:t>Prescriber instructions: “</w:t>
            </w:r>
            <w:r w:rsidRPr="002A59CE">
              <w:rPr>
                <w:rFonts w:ascii="Arial Narrow" w:hAnsi="Arial Narrow"/>
                <w:color w:val="000000"/>
                <w:sz w:val="20"/>
                <w:lang w:eastAsia="en-AU"/>
              </w:rPr>
              <w:t>No more than one three-month cycle of therapy will be authorised within 18 months”.</w:t>
            </w:r>
          </w:p>
        </w:tc>
      </w:tr>
      <w:tr w:rsidR="000230CB" w:rsidRPr="00893D5C" w:rsidTr="00952B48">
        <w:tc>
          <w:tcPr>
            <w:tcW w:w="555" w:type="pct"/>
            <w:vAlign w:val="center"/>
          </w:tcPr>
          <w:p w:rsidR="000230CB" w:rsidRPr="00893D5C" w:rsidRDefault="000230CB" w:rsidP="00171398">
            <w:pPr>
              <w:widowControl/>
              <w:jc w:val="left"/>
              <w:rPr>
                <w:rFonts w:ascii="Arial Narrow" w:hAnsi="Arial Narrow"/>
                <w:sz w:val="20"/>
              </w:rPr>
            </w:pPr>
            <w:r>
              <w:rPr>
                <w:rFonts w:ascii="Arial Narrow" w:hAnsi="Arial Narrow"/>
                <w:sz w:val="20"/>
              </w:rPr>
              <w:lastRenderedPageBreak/>
              <w:t>DPMQ</w:t>
            </w:r>
          </w:p>
        </w:tc>
        <w:tc>
          <w:tcPr>
            <w:tcW w:w="2410" w:type="pct"/>
            <w:vAlign w:val="center"/>
          </w:tcPr>
          <w:p w:rsidR="000230CB" w:rsidRPr="002A59CE" w:rsidRDefault="000230CB" w:rsidP="00171398">
            <w:pPr>
              <w:widowControl/>
              <w:jc w:val="left"/>
              <w:rPr>
                <w:rFonts w:ascii="Arial Narrow" w:hAnsi="Arial Narrow"/>
                <w:sz w:val="20"/>
              </w:rPr>
            </w:pPr>
            <w:r w:rsidRPr="002A59CE">
              <w:rPr>
                <w:rFonts w:ascii="Arial Narrow" w:hAnsi="Arial Narrow"/>
                <w:sz w:val="20"/>
              </w:rPr>
              <w:t>$</w:t>
            </w:r>
            <w:r w:rsidR="006C091A">
              <w:rPr>
                <w:rFonts w:ascii="Arial Narrow" w:hAnsi="Arial Narrow"/>
                <w:noProof/>
                <w:color w:val="000000"/>
                <w:sz w:val="20"/>
                <w:highlight w:val="black"/>
              </w:rPr>
              <w:t>'''''''''''''''</w:t>
            </w:r>
          </w:p>
        </w:tc>
        <w:tc>
          <w:tcPr>
            <w:tcW w:w="2034" w:type="pct"/>
            <w:vAlign w:val="center"/>
          </w:tcPr>
          <w:p w:rsidR="000230CB" w:rsidRDefault="000230CB" w:rsidP="00171398">
            <w:pPr>
              <w:widowControl/>
              <w:jc w:val="left"/>
              <w:rPr>
                <w:rFonts w:ascii="Arial Narrow" w:hAnsi="Arial Narrow"/>
                <w:sz w:val="20"/>
              </w:rPr>
            </w:pPr>
            <w:r w:rsidRPr="002A59CE">
              <w:rPr>
                <w:rFonts w:ascii="Arial Narrow" w:hAnsi="Arial Narrow"/>
                <w:sz w:val="20"/>
              </w:rPr>
              <w:t>$</w:t>
            </w:r>
            <w:r w:rsidR="006C091A">
              <w:rPr>
                <w:rFonts w:ascii="Arial Narrow" w:hAnsi="Arial Narrow"/>
                <w:noProof/>
                <w:color w:val="000000"/>
                <w:sz w:val="20"/>
                <w:highlight w:val="black"/>
              </w:rPr>
              <w:t>''''''''''''''''</w:t>
            </w:r>
          </w:p>
          <w:p w:rsidR="00303129" w:rsidRPr="002A59CE" w:rsidRDefault="00303129" w:rsidP="00171398">
            <w:pPr>
              <w:widowControl/>
              <w:jc w:val="left"/>
              <w:rPr>
                <w:rFonts w:ascii="Arial Narrow" w:hAnsi="Arial Narrow"/>
                <w:sz w:val="20"/>
              </w:rPr>
            </w:pPr>
            <w:r>
              <w:rPr>
                <w:rFonts w:ascii="Arial Narrow" w:hAnsi="Arial Narrow"/>
                <w:sz w:val="20"/>
              </w:rPr>
              <w:t>Reduced to $</w:t>
            </w:r>
            <w:r w:rsidR="006C091A">
              <w:rPr>
                <w:rFonts w:ascii="Arial Narrow" w:hAnsi="Arial Narrow"/>
                <w:noProof/>
                <w:color w:val="000000"/>
                <w:sz w:val="20"/>
                <w:highlight w:val="black"/>
              </w:rPr>
              <w:t>'''''''''''''''</w:t>
            </w:r>
            <w:r>
              <w:rPr>
                <w:rFonts w:ascii="Arial Narrow" w:hAnsi="Arial Narrow"/>
                <w:sz w:val="20"/>
              </w:rPr>
              <w:t xml:space="preserve"> in prePBAC response.</w:t>
            </w:r>
          </w:p>
        </w:tc>
      </w:tr>
      <w:tr w:rsidR="000230CB" w:rsidRPr="00893D5C" w:rsidTr="00952B48">
        <w:tc>
          <w:tcPr>
            <w:tcW w:w="555" w:type="pct"/>
            <w:vAlign w:val="center"/>
          </w:tcPr>
          <w:p w:rsidR="000230CB" w:rsidRPr="00893D5C" w:rsidRDefault="000230CB" w:rsidP="00171398">
            <w:pPr>
              <w:widowControl/>
              <w:jc w:val="left"/>
              <w:rPr>
                <w:rFonts w:ascii="Arial Narrow" w:hAnsi="Arial Narrow"/>
                <w:sz w:val="20"/>
              </w:rPr>
            </w:pPr>
            <w:r w:rsidRPr="00893D5C">
              <w:rPr>
                <w:rFonts w:ascii="Arial Narrow" w:hAnsi="Arial Narrow"/>
                <w:sz w:val="20"/>
              </w:rPr>
              <w:t>Main comparator</w:t>
            </w:r>
          </w:p>
        </w:tc>
        <w:tc>
          <w:tcPr>
            <w:tcW w:w="2410" w:type="pct"/>
            <w:vAlign w:val="center"/>
          </w:tcPr>
          <w:p w:rsidR="000230CB" w:rsidRPr="002A59CE" w:rsidRDefault="000230CB" w:rsidP="00171398">
            <w:pPr>
              <w:widowControl/>
              <w:jc w:val="left"/>
              <w:rPr>
                <w:rFonts w:ascii="Arial Narrow" w:hAnsi="Arial Narrow"/>
                <w:sz w:val="20"/>
              </w:rPr>
            </w:pPr>
            <w:r w:rsidRPr="002A59CE">
              <w:rPr>
                <w:rFonts w:ascii="Arial Narrow" w:hAnsi="Arial Narrow"/>
                <w:sz w:val="20"/>
              </w:rPr>
              <w:t>Goserelin</w:t>
            </w:r>
          </w:p>
          <w:p w:rsidR="000230CB" w:rsidRPr="002A59CE" w:rsidRDefault="000230CB" w:rsidP="00171398">
            <w:pPr>
              <w:widowControl/>
              <w:jc w:val="left"/>
              <w:rPr>
                <w:rFonts w:ascii="Arial Narrow" w:hAnsi="Arial Narrow"/>
                <w:sz w:val="20"/>
              </w:rPr>
            </w:pPr>
            <w:r w:rsidRPr="002A59CE">
              <w:rPr>
                <w:rFonts w:ascii="Arial Narrow" w:hAnsi="Arial Narrow"/>
                <w:b/>
                <w:sz w:val="20"/>
              </w:rPr>
              <w:t>PBAC comment:</w:t>
            </w:r>
            <w:r w:rsidRPr="002A59CE">
              <w:rPr>
                <w:rFonts w:ascii="Arial Narrow" w:hAnsi="Arial Narrow"/>
                <w:sz w:val="20"/>
              </w:rPr>
              <w:t xml:space="preserve"> As an adjunct to surgery, goserelin may be an appropriate comparator, however it is not listed on the PBS for use in uterine fibroids and the cost-effectiveness for this indication has not been assessed. No treatment (or placebo) is the appropriate main comparator. The comparison should include the impact of treatment on surgical outcomes (paragraph 7.4).</w:t>
            </w:r>
          </w:p>
        </w:tc>
        <w:tc>
          <w:tcPr>
            <w:tcW w:w="2034" w:type="pct"/>
            <w:vAlign w:val="center"/>
          </w:tcPr>
          <w:p w:rsidR="000230CB" w:rsidRPr="002A59CE" w:rsidRDefault="000230CB" w:rsidP="00171398">
            <w:pPr>
              <w:widowControl/>
              <w:jc w:val="left"/>
              <w:rPr>
                <w:rFonts w:ascii="Arial Narrow" w:hAnsi="Arial Narrow"/>
                <w:sz w:val="20"/>
              </w:rPr>
            </w:pPr>
            <w:r w:rsidRPr="002A59CE">
              <w:rPr>
                <w:rFonts w:ascii="Arial Narrow" w:hAnsi="Arial Narrow"/>
                <w:sz w:val="20"/>
              </w:rPr>
              <w:t>Placebo (no treatment, prior to planned surgery).</w:t>
            </w:r>
          </w:p>
        </w:tc>
      </w:tr>
      <w:tr w:rsidR="000230CB" w:rsidRPr="00893D5C" w:rsidTr="00952B48">
        <w:tc>
          <w:tcPr>
            <w:tcW w:w="555" w:type="pct"/>
            <w:vAlign w:val="center"/>
          </w:tcPr>
          <w:p w:rsidR="000230CB" w:rsidRPr="00EE744A" w:rsidRDefault="000230CB" w:rsidP="00171398">
            <w:pPr>
              <w:widowControl/>
              <w:jc w:val="left"/>
              <w:rPr>
                <w:rFonts w:ascii="Arial Narrow" w:hAnsi="Arial Narrow"/>
                <w:sz w:val="20"/>
              </w:rPr>
            </w:pPr>
            <w:r w:rsidRPr="00EE744A">
              <w:rPr>
                <w:rFonts w:ascii="Arial Narrow" w:hAnsi="Arial Narrow"/>
                <w:sz w:val="20"/>
              </w:rPr>
              <w:t>Clinical evidence</w:t>
            </w:r>
          </w:p>
        </w:tc>
        <w:tc>
          <w:tcPr>
            <w:tcW w:w="2410" w:type="pct"/>
            <w:vAlign w:val="center"/>
          </w:tcPr>
          <w:p w:rsidR="000230CB" w:rsidRPr="002A59CE" w:rsidRDefault="000230CB" w:rsidP="00171398">
            <w:pPr>
              <w:widowControl/>
              <w:jc w:val="left"/>
              <w:rPr>
                <w:rFonts w:ascii="Arial Narrow" w:hAnsi="Arial Narrow"/>
                <w:sz w:val="20"/>
              </w:rPr>
            </w:pPr>
            <w:r w:rsidRPr="002A59CE">
              <w:rPr>
                <w:rFonts w:ascii="Arial Narrow" w:hAnsi="Arial Narrow"/>
                <w:sz w:val="20"/>
              </w:rPr>
              <w:t>For the short-term surgery population, the clinical evidence provided was:</w:t>
            </w:r>
          </w:p>
          <w:p w:rsidR="000230CB" w:rsidRPr="002A59CE" w:rsidRDefault="000230CB" w:rsidP="00171398">
            <w:pPr>
              <w:pStyle w:val="ListParagraph"/>
              <w:widowControl/>
              <w:numPr>
                <w:ilvl w:val="0"/>
                <w:numId w:val="8"/>
              </w:numPr>
              <w:ind w:left="205" w:hanging="205"/>
              <w:jc w:val="left"/>
              <w:rPr>
                <w:rFonts w:ascii="Arial Narrow" w:hAnsi="Arial Narrow"/>
                <w:sz w:val="20"/>
              </w:rPr>
            </w:pPr>
            <w:r w:rsidRPr="002A59CE">
              <w:rPr>
                <w:rFonts w:ascii="Arial Narrow" w:hAnsi="Arial Narrow"/>
                <w:sz w:val="20"/>
              </w:rPr>
              <w:t xml:space="preserve">PEARL I: double-blind, RCT comparing ulipristal 5 mg (n=96) and ulipristal 10 mg (n=98) to placebo (n=48) for 3 months in women who were eligible to undergo surgery for uterine fibroids. </w:t>
            </w:r>
          </w:p>
          <w:p w:rsidR="000230CB" w:rsidRPr="002A59CE" w:rsidRDefault="000230CB" w:rsidP="00171398">
            <w:pPr>
              <w:pStyle w:val="ListParagraph"/>
              <w:widowControl/>
              <w:numPr>
                <w:ilvl w:val="0"/>
                <w:numId w:val="8"/>
              </w:numPr>
              <w:ind w:left="205" w:hanging="205"/>
              <w:jc w:val="left"/>
              <w:rPr>
                <w:rFonts w:ascii="Arial Narrow" w:hAnsi="Arial Narrow"/>
                <w:sz w:val="20"/>
              </w:rPr>
            </w:pPr>
            <w:r w:rsidRPr="002A59CE">
              <w:rPr>
                <w:rFonts w:ascii="Arial Narrow" w:hAnsi="Arial Narrow"/>
                <w:sz w:val="20"/>
              </w:rPr>
              <w:t xml:space="preserve">PEARL II: double-blind, non-inferiority RCT comparing ulipristal 5 mg (n=102) and ulipristal 10 mg (n=103) to leuprorelin (n=102) for 3 months in women who were eligible to undergo surgery for uterine fibroids. </w:t>
            </w:r>
          </w:p>
        </w:tc>
        <w:tc>
          <w:tcPr>
            <w:tcW w:w="2034" w:type="pct"/>
            <w:vAlign w:val="center"/>
          </w:tcPr>
          <w:p w:rsidR="000230CB" w:rsidRPr="002A59CE" w:rsidRDefault="000230CB" w:rsidP="00171398">
            <w:pPr>
              <w:widowControl/>
              <w:jc w:val="left"/>
              <w:rPr>
                <w:rFonts w:ascii="Arial Narrow" w:hAnsi="Arial Narrow"/>
                <w:sz w:val="20"/>
              </w:rPr>
            </w:pPr>
            <w:r w:rsidRPr="002A59CE">
              <w:rPr>
                <w:rFonts w:ascii="Arial Narrow" w:hAnsi="Arial Narrow"/>
                <w:sz w:val="20"/>
              </w:rPr>
              <w:t>The following revisions to the clinical evidence were presented in the resubmission:</w:t>
            </w:r>
          </w:p>
          <w:p w:rsidR="000230CB" w:rsidRPr="002A59CE" w:rsidRDefault="000230CB" w:rsidP="00171398">
            <w:pPr>
              <w:pStyle w:val="ListParagraph"/>
              <w:widowControl/>
              <w:numPr>
                <w:ilvl w:val="0"/>
                <w:numId w:val="8"/>
              </w:numPr>
              <w:ind w:left="205" w:hanging="205"/>
              <w:jc w:val="left"/>
              <w:rPr>
                <w:rFonts w:ascii="Arial Narrow" w:hAnsi="Arial Narrow"/>
                <w:sz w:val="20"/>
              </w:rPr>
            </w:pPr>
            <w:r w:rsidRPr="002A59CE">
              <w:rPr>
                <w:rFonts w:ascii="Arial Narrow" w:hAnsi="Arial Narrow"/>
                <w:sz w:val="20"/>
              </w:rPr>
              <w:t>Data on real world practice study PREMYA (n=1473): patient assessed outcomes and CGI improvement.</w:t>
            </w:r>
          </w:p>
          <w:p w:rsidR="000230CB" w:rsidRPr="002A59CE" w:rsidRDefault="000230CB" w:rsidP="00171398">
            <w:pPr>
              <w:pStyle w:val="ListParagraph"/>
              <w:widowControl/>
              <w:numPr>
                <w:ilvl w:val="0"/>
                <w:numId w:val="8"/>
              </w:numPr>
              <w:ind w:left="205" w:hanging="205"/>
              <w:jc w:val="left"/>
              <w:rPr>
                <w:rFonts w:ascii="Arial Narrow" w:hAnsi="Arial Narrow"/>
                <w:sz w:val="20"/>
              </w:rPr>
            </w:pPr>
            <w:r w:rsidRPr="002A59CE">
              <w:rPr>
                <w:rFonts w:ascii="Arial Narrow" w:hAnsi="Arial Narrow"/>
                <w:sz w:val="20"/>
              </w:rPr>
              <w:t xml:space="preserve">Additional </w:t>
            </w:r>
            <w:r w:rsidR="00310B26">
              <w:rPr>
                <w:rFonts w:ascii="Arial Narrow" w:hAnsi="Arial Narrow"/>
                <w:sz w:val="20"/>
              </w:rPr>
              <w:t>W</w:t>
            </w:r>
            <w:r w:rsidRPr="002A59CE">
              <w:rPr>
                <w:rFonts w:ascii="Arial Narrow" w:hAnsi="Arial Narrow"/>
                <w:sz w:val="20"/>
              </w:rPr>
              <w:t>eek</w:t>
            </w:r>
            <w:r w:rsidR="00264CC5">
              <w:rPr>
                <w:rFonts w:ascii="Arial Narrow" w:hAnsi="Arial Narrow"/>
                <w:sz w:val="20"/>
              </w:rPr>
              <w:t xml:space="preserve"> 38 </w:t>
            </w:r>
            <w:r w:rsidRPr="002A59CE">
              <w:rPr>
                <w:rFonts w:ascii="Arial Narrow" w:hAnsi="Arial Narrow"/>
                <w:sz w:val="20"/>
              </w:rPr>
              <w:t xml:space="preserve"> data on surgical outcomes from PEARL I</w:t>
            </w:r>
          </w:p>
          <w:p w:rsidR="000230CB" w:rsidRPr="002A59CE" w:rsidRDefault="000230CB" w:rsidP="00171398">
            <w:pPr>
              <w:pStyle w:val="ListParagraph"/>
              <w:widowControl/>
              <w:numPr>
                <w:ilvl w:val="0"/>
                <w:numId w:val="8"/>
              </w:numPr>
              <w:ind w:left="205" w:hanging="205"/>
              <w:jc w:val="left"/>
              <w:rPr>
                <w:rFonts w:ascii="Arial Narrow" w:hAnsi="Arial Narrow"/>
                <w:sz w:val="20"/>
              </w:rPr>
            </w:pPr>
            <w:r w:rsidRPr="002A59CE">
              <w:rPr>
                <w:rFonts w:ascii="Arial Narrow" w:hAnsi="Arial Narrow"/>
                <w:sz w:val="20"/>
              </w:rPr>
              <w:t>Updated PSUR.</w:t>
            </w:r>
            <w:r w:rsidRPr="002A59CE" w:rsidDel="00E578F4">
              <w:rPr>
                <w:rFonts w:ascii="Arial Narrow" w:hAnsi="Arial Narrow"/>
                <w:sz w:val="20"/>
              </w:rPr>
              <w:t xml:space="preserve"> </w:t>
            </w:r>
          </w:p>
        </w:tc>
      </w:tr>
      <w:tr w:rsidR="000230CB" w:rsidRPr="00893D5C" w:rsidTr="00952B48">
        <w:tc>
          <w:tcPr>
            <w:tcW w:w="555" w:type="pct"/>
            <w:vAlign w:val="center"/>
          </w:tcPr>
          <w:p w:rsidR="000230CB" w:rsidRPr="00D2290C" w:rsidRDefault="000230CB" w:rsidP="00171398">
            <w:pPr>
              <w:widowControl/>
              <w:jc w:val="left"/>
              <w:rPr>
                <w:rFonts w:ascii="Arial Narrow" w:hAnsi="Arial Narrow"/>
                <w:sz w:val="20"/>
              </w:rPr>
            </w:pPr>
            <w:r w:rsidRPr="00D2290C">
              <w:rPr>
                <w:rFonts w:ascii="Arial Narrow" w:hAnsi="Arial Narrow"/>
                <w:sz w:val="20"/>
              </w:rPr>
              <w:t>Key efficacy data</w:t>
            </w:r>
          </w:p>
        </w:tc>
        <w:tc>
          <w:tcPr>
            <w:tcW w:w="2410" w:type="pct"/>
            <w:vAlign w:val="center"/>
          </w:tcPr>
          <w:p w:rsidR="000230CB" w:rsidRPr="002A59CE" w:rsidRDefault="000230CB" w:rsidP="00171398">
            <w:pPr>
              <w:widowControl/>
              <w:jc w:val="left"/>
              <w:rPr>
                <w:rFonts w:ascii="Arial Narrow" w:hAnsi="Arial Narrow"/>
                <w:sz w:val="20"/>
                <w:u w:val="single"/>
              </w:rPr>
            </w:pPr>
            <w:r w:rsidRPr="002A59CE">
              <w:rPr>
                <w:rFonts w:ascii="Arial Narrow" w:hAnsi="Arial Narrow"/>
                <w:sz w:val="20"/>
                <w:u w:val="single"/>
              </w:rPr>
              <w:t>PEARL I: ulipristal* versus placebo</w:t>
            </w:r>
          </w:p>
          <w:p w:rsidR="000230CB" w:rsidRPr="002A59CE" w:rsidRDefault="000230CB" w:rsidP="00171398">
            <w:pPr>
              <w:pStyle w:val="ListParagraph"/>
              <w:widowControl/>
              <w:numPr>
                <w:ilvl w:val="0"/>
                <w:numId w:val="8"/>
              </w:numPr>
              <w:ind w:left="205" w:hanging="205"/>
              <w:jc w:val="left"/>
              <w:rPr>
                <w:rFonts w:ascii="Arial Narrow" w:hAnsi="Arial Narrow"/>
                <w:sz w:val="20"/>
              </w:rPr>
            </w:pPr>
            <w:r w:rsidRPr="002A59CE">
              <w:rPr>
                <w:rFonts w:ascii="Arial Narrow" w:hAnsi="Arial Narrow"/>
                <w:sz w:val="20"/>
              </w:rPr>
              <w:t>Absolute difference in PBA chart score &lt;75 at Week 13: 72.7% (55.1%, 83.2%);</w:t>
            </w:r>
          </w:p>
          <w:p w:rsidR="000230CB" w:rsidRPr="002A59CE" w:rsidRDefault="000230CB" w:rsidP="00171398">
            <w:pPr>
              <w:pStyle w:val="ListParagraph"/>
              <w:widowControl/>
              <w:numPr>
                <w:ilvl w:val="0"/>
                <w:numId w:val="8"/>
              </w:numPr>
              <w:ind w:left="205" w:hanging="205"/>
              <w:jc w:val="left"/>
              <w:rPr>
                <w:rFonts w:ascii="Arial Narrow" w:hAnsi="Arial Narrow"/>
                <w:sz w:val="20"/>
              </w:rPr>
            </w:pPr>
            <w:r w:rsidRPr="002A59CE">
              <w:rPr>
                <w:rFonts w:ascii="Arial Narrow" w:hAnsi="Arial Narrow"/>
                <w:sz w:val="20"/>
              </w:rPr>
              <w:t>Absolute difference in % change in total fibroid volume (cm</w:t>
            </w:r>
            <w:r w:rsidRPr="002A59CE">
              <w:rPr>
                <w:rFonts w:ascii="Arial Narrow" w:hAnsi="Arial Narrow"/>
                <w:sz w:val="20"/>
                <w:vertAlign w:val="superscript"/>
              </w:rPr>
              <w:t>3</w:t>
            </w:r>
            <w:r w:rsidRPr="002A59CE">
              <w:rPr>
                <w:rFonts w:ascii="Arial Narrow" w:hAnsi="Arial Narrow"/>
                <w:sz w:val="20"/>
              </w:rPr>
              <w:t>) from screening to Week 13:  -22.6% (-36.1%, -8.2%).</w:t>
            </w:r>
          </w:p>
          <w:p w:rsidR="000230CB" w:rsidRPr="002A59CE" w:rsidRDefault="000230CB" w:rsidP="00171398">
            <w:pPr>
              <w:widowControl/>
              <w:jc w:val="left"/>
              <w:rPr>
                <w:rFonts w:ascii="Arial Narrow" w:hAnsi="Arial Narrow"/>
                <w:sz w:val="20"/>
                <w:u w:val="single"/>
              </w:rPr>
            </w:pPr>
            <w:r w:rsidRPr="002A59CE">
              <w:rPr>
                <w:rFonts w:ascii="Arial Narrow" w:hAnsi="Arial Narrow"/>
                <w:sz w:val="20"/>
                <w:u w:val="single"/>
              </w:rPr>
              <w:t>PEARL II: ulipristal* versus leuprorelin</w:t>
            </w:r>
          </w:p>
          <w:p w:rsidR="000230CB" w:rsidRPr="002A59CE" w:rsidRDefault="000230CB" w:rsidP="00171398">
            <w:pPr>
              <w:pStyle w:val="ListParagraph"/>
              <w:widowControl/>
              <w:numPr>
                <w:ilvl w:val="0"/>
                <w:numId w:val="8"/>
              </w:numPr>
              <w:ind w:left="205" w:hanging="205"/>
              <w:jc w:val="left"/>
              <w:rPr>
                <w:rFonts w:ascii="Arial Narrow" w:hAnsi="Arial Narrow"/>
                <w:sz w:val="20"/>
              </w:rPr>
            </w:pPr>
            <w:r w:rsidRPr="002A59CE">
              <w:rPr>
                <w:rFonts w:ascii="Arial Narrow" w:hAnsi="Arial Narrow"/>
                <w:sz w:val="20"/>
              </w:rPr>
              <w:t xml:space="preserve">Absolute difference in PBA chart score &lt;75 at Week 13 (ITT): 3.1% (-6.9%, NR). Non-inferiority supported at a margin of </w:t>
            </w:r>
            <w:r w:rsidRPr="002A59CE">
              <w:rPr>
                <w:rFonts w:ascii="Arial Narrow" w:hAnsi="Arial Narrow"/>
                <w:sz w:val="20"/>
              </w:rPr>
              <w:br/>
              <w:t>-20%;</w:t>
            </w:r>
          </w:p>
          <w:p w:rsidR="000230CB" w:rsidRPr="002A59CE" w:rsidRDefault="000230CB" w:rsidP="00171398">
            <w:pPr>
              <w:pStyle w:val="ListParagraph"/>
              <w:widowControl/>
              <w:numPr>
                <w:ilvl w:val="0"/>
                <w:numId w:val="8"/>
              </w:numPr>
              <w:ind w:left="205" w:hanging="205"/>
              <w:jc w:val="left"/>
              <w:rPr>
                <w:rFonts w:ascii="Arial Narrow" w:hAnsi="Arial Narrow"/>
                <w:sz w:val="20"/>
              </w:rPr>
            </w:pPr>
            <w:r w:rsidRPr="002A59CE">
              <w:rPr>
                <w:rFonts w:ascii="Arial Narrow" w:hAnsi="Arial Narrow"/>
                <w:sz w:val="20"/>
              </w:rPr>
              <w:t>Absolute difference in % change in total volume (cm</w:t>
            </w:r>
            <w:r w:rsidRPr="002A59CE">
              <w:rPr>
                <w:rFonts w:ascii="Arial Narrow" w:hAnsi="Arial Narrow"/>
                <w:sz w:val="20"/>
                <w:vertAlign w:val="superscript"/>
              </w:rPr>
              <w:t>3</w:t>
            </w:r>
            <w:r w:rsidRPr="002A59CE">
              <w:rPr>
                <w:rFonts w:ascii="Arial Narrow" w:hAnsi="Arial Narrow"/>
                <w:sz w:val="20"/>
              </w:rPr>
              <w:t xml:space="preserve">) of 3 largest fibroids from screening to Week 13 (ITT):  </w:t>
            </w:r>
            <w:r w:rsidRPr="002A59CE">
              <w:rPr>
                <w:rFonts w:ascii="Arial Narrow" w:hAnsi="Arial Narrow"/>
                <w:b/>
                <w:sz w:val="20"/>
              </w:rPr>
              <w:t>0.095 (0.005, 0.186);</w:t>
            </w:r>
          </w:p>
          <w:p w:rsidR="000230CB" w:rsidRPr="002A59CE" w:rsidRDefault="000230CB" w:rsidP="00171398">
            <w:pPr>
              <w:pStyle w:val="ListParagraph"/>
              <w:widowControl/>
              <w:numPr>
                <w:ilvl w:val="0"/>
                <w:numId w:val="8"/>
              </w:numPr>
              <w:ind w:left="205" w:hanging="205"/>
              <w:jc w:val="left"/>
              <w:rPr>
                <w:rFonts w:ascii="Arial Narrow" w:hAnsi="Arial Narrow"/>
                <w:sz w:val="20"/>
              </w:rPr>
            </w:pPr>
            <w:r w:rsidRPr="002A59CE">
              <w:rPr>
                <w:rFonts w:ascii="Arial Narrow" w:hAnsi="Arial Narrow"/>
                <w:sz w:val="20"/>
              </w:rPr>
              <w:t>Absolute difference in % uterine volume (cm</w:t>
            </w:r>
            <w:r w:rsidRPr="002A59CE">
              <w:rPr>
                <w:rFonts w:ascii="Arial Narrow" w:hAnsi="Arial Narrow"/>
                <w:sz w:val="20"/>
                <w:vertAlign w:val="superscript"/>
              </w:rPr>
              <w:t>3</w:t>
            </w:r>
            <w:r w:rsidRPr="002A59CE">
              <w:rPr>
                <w:rFonts w:ascii="Arial Narrow" w:hAnsi="Arial Narrow"/>
                <w:sz w:val="20"/>
              </w:rPr>
              <w:t xml:space="preserve">) from screening to Week 13 (ITT): </w:t>
            </w:r>
            <w:r w:rsidRPr="002A59CE">
              <w:rPr>
                <w:rFonts w:ascii="Arial Narrow" w:hAnsi="Arial Narrow"/>
                <w:b/>
                <w:sz w:val="20"/>
              </w:rPr>
              <w:t>0.161 (0.091, 0.232).</w:t>
            </w:r>
          </w:p>
        </w:tc>
        <w:tc>
          <w:tcPr>
            <w:tcW w:w="2034" w:type="pct"/>
            <w:vAlign w:val="center"/>
          </w:tcPr>
          <w:p w:rsidR="000230CB" w:rsidRPr="002A59CE" w:rsidRDefault="000230CB" w:rsidP="00171398">
            <w:pPr>
              <w:widowControl/>
              <w:jc w:val="left"/>
              <w:rPr>
                <w:rFonts w:ascii="Arial Narrow" w:hAnsi="Arial Narrow"/>
                <w:sz w:val="20"/>
              </w:rPr>
            </w:pPr>
            <w:r w:rsidRPr="002A59CE">
              <w:rPr>
                <w:rFonts w:ascii="Arial Narrow" w:hAnsi="Arial Narrow"/>
                <w:sz w:val="20"/>
              </w:rPr>
              <w:t xml:space="preserve">Direct comparison: PEARL I - ulipristal* versus placebo. The results for these outcomes remain unchanged. </w:t>
            </w:r>
          </w:p>
        </w:tc>
      </w:tr>
      <w:tr w:rsidR="000230CB" w:rsidRPr="00893D5C" w:rsidTr="00952B48">
        <w:tc>
          <w:tcPr>
            <w:tcW w:w="555" w:type="pct"/>
            <w:vAlign w:val="center"/>
          </w:tcPr>
          <w:p w:rsidR="000230CB" w:rsidRPr="00547348" w:rsidRDefault="000230CB" w:rsidP="00171398">
            <w:pPr>
              <w:widowControl/>
              <w:jc w:val="left"/>
              <w:rPr>
                <w:rFonts w:ascii="Arial Narrow" w:hAnsi="Arial Narrow"/>
                <w:sz w:val="20"/>
              </w:rPr>
            </w:pPr>
            <w:r w:rsidRPr="00547348">
              <w:rPr>
                <w:rFonts w:ascii="Arial Narrow" w:hAnsi="Arial Narrow"/>
                <w:sz w:val="20"/>
              </w:rPr>
              <w:t>Key safety data</w:t>
            </w:r>
          </w:p>
        </w:tc>
        <w:tc>
          <w:tcPr>
            <w:tcW w:w="2410" w:type="pct"/>
            <w:vAlign w:val="center"/>
          </w:tcPr>
          <w:p w:rsidR="000230CB" w:rsidRPr="002A59CE" w:rsidRDefault="000230CB" w:rsidP="00171398">
            <w:pPr>
              <w:widowControl/>
              <w:jc w:val="left"/>
              <w:rPr>
                <w:rFonts w:ascii="Arial Narrow" w:hAnsi="Arial Narrow"/>
                <w:sz w:val="20"/>
              </w:rPr>
            </w:pPr>
            <w:r w:rsidRPr="002A59CE">
              <w:rPr>
                <w:rFonts w:ascii="Arial Narrow" w:hAnsi="Arial Narrow"/>
                <w:sz w:val="20"/>
                <w:u w:val="single"/>
              </w:rPr>
              <w:t>PEARL I: ulipristal* versus placebo</w:t>
            </w:r>
            <w:r w:rsidRPr="002A59CE">
              <w:rPr>
                <w:rFonts w:ascii="Arial Narrow" w:hAnsi="Arial Narrow"/>
                <w:sz w:val="20"/>
              </w:rPr>
              <w:t xml:space="preserve"> </w:t>
            </w:r>
          </w:p>
          <w:p w:rsidR="000230CB" w:rsidRPr="002A59CE" w:rsidRDefault="000230CB" w:rsidP="00171398">
            <w:pPr>
              <w:widowControl/>
              <w:contextualSpacing/>
              <w:jc w:val="left"/>
              <w:rPr>
                <w:rFonts w:ascii="Arial Narrow" w:hAnsi="Arial Narrow"/>
                <w:sz w:val="20"/>
              </w:rPr>
            </w:pPr>
            <w:r w:rsidRPr="002A59CE">
              <w:rPr>
                <w:rFonts w:ascii="Arial Narrow" w:hAnsi="Arial Narrow"/>
                <w:sz w:val="20"/>
              </w:rPr>
              <w:t xml:space="preserve">The 95% confidence intervals overlapped 0 for all TEAEs occurring in at least 3% of the study population.  </w:t>
            </w:r>
          </w:p>
          <w:p w:rsidR="000230CB" w:rsidRPr="002A59CE" w:rsidRDefault="000230CB" w:rsidP="00171398">
            <w:pPr>
              <w:widowControl/>
              <w:jc w:val="left"/>
              <w:rPr>
                <w:rFonts w:ascii="Arial Narrow" w:hAnsi="Arial Narrow"/>
                <w:sz w:val="20"/>
                <w:u w:val="single"/>
              </w:rPr>
            </w:pPr>
            <w:r w:rsidRPr="002A59CE">
              <w:rPr>
                <w:rFonts w:ascii="Arial Narrow" w:hAnsi="Arial Narrow"/>
                <w:sz w:val="20"/>
                <w:u w:val="single"/>
              </w:rPr>
              <w:t>PEARL II: ulipristal* versus leuprorelin</w:t>
            </w:r>
          </w:p>
          <w:p w:rsidR="000230CB" w:rsidRPr="002A59CE" w:rsidRDefault="000230CB" w:rsidP="00171398">
            <w:pPr>
              <w:widowControl/>
              <w:contextualSpacing/>
              <w:jc w:val="left"/>
              <w:rPr>
                <w:rFonts w:ascii="Arial Narrow" w:hAnsi="Arial Narrow"/>
                <w:sz w:val="20"/>
              </w:rPr>
            </w:pPr>
            <w:r w:rsidRPr="002A59CE">
              <w:rPr>
                <w:rFonts w:ascii="Arial Narrow" w:hAnsi="Arial Narrow"/>
                <w:sz w:val="20"/>
              </w:rPr>
              <w:t>Patients in the leuprorelin group had, on average, a significantly greater reduction in serum oestradiol levels compared to those receiving ulipristal 5 mg daily. Consistent with this finding, moderate to severe hot flushes were significantly less common with ulipristal 5 mg daily than with leuprorelin.</w:t>
            </w:r>
          </w:p>
        </w:tc>
        <w:tc>
          <w:tcPr>
            <w:tcW w:w="2034" w:type="pct"/>
            <w:vAlign w:val="center"/>
          </w:tcPr>
          <w:p w:rsidR="000230CB" w:rsidRPr="002A59CE" w:rsidRDefault="000230CB" w:rsidP="00171398">
            <w:pPr>
              <w:widowControl/>
              <w:ind w:left="27"/>
              <w:jc w:val="left"/>
              <w:rPr>
                <w:rFonts w:ascii="Arial Narrow" w:hAnsi="Arial Narrow"/>
                <w:sz w:val="20"/>
              </w:rPr>
            </w:pPr>
            <w:r w:rsidRPr="002A59CE">
              <w:rPr>
                <w:rFonts w:ascii="Arial Narrow" w:hAnsi="Arial Narrow"/>
                <w:sz w:val="20"/>
              </w:rPr>
              <w:t>Direct comparison: PEARL I - ulipristal* versus placebo. The results remain unchanged</w:t>
            </w:r>
            <w:r w:rsidRPr="002A59CE">
              <w:rPr>
                <w:rStyle w:val="CommentReference"/>
                <w:rFonts w:cs="Times New Roman"/>
              </w:rPr>
              <w:t xml:space="preserve"> </w:t>
            </w:r>
          </w:p>
          <w:p w:rsidR="000230CB" w:rsidRPr="002A59CE" w:rsidRDefault="000230CB" w:rsidP="00171398">
            <w:pPr>
              <w:widowControl/>
              <w:ind w:left="27"/>
              <w:jc w:val="left"/>
              <w:rPr>
                <w:rFonts w:ascii="Arial Narrow" w:hAnsi="Arial Narrow"/>
                <w:sz w:val="20"/>
                <w:highlight w:val="yellow"/>
              </w:rPr>
            </w:pPr>
            <w:r w:rsidRPr="002A59CE">
              <w:rPr>
                <w:rFonts w:ascii="Arial Narrow" w:hAnsi="Arial Narrow"/>
                <w:sz w:val="20"/>
              </w:rPr>
              <w:t xml:space="preserve">PSUR: Updated PSUR data provided.  </w:t>
            </w:r>
          </w:p>
        </w:tc>
      </w:tr>
      <w:tr w:rsidR="000230CB" w:rsidRPr="00893D5C" w:rsidTr="00952B48">
        <w:tc>
          <w:tcPr>
            <w:tcW w:w="555" w:type="pct"/>
            <w:vAlign w:val="center"/>
          </w:tcPr>
          <w:p w:rsidR="000230CB" w:rsidRPr="00F53DD9" w:rsidRDefault="000230CB" w:rsidP="00171398">
            <w:pPr>
              <w:widowControl/>
              <w:jc w:val="left"/>
              <w:rPr>
                <w:rFonts w:ascii="Arial Narrow" w:hAnsi="Arial Narrow"/>
                <w:sz w:val="20"/>
              </w:rPr>
            </w:pPr>
            <w:r w:rsidRPr="00F53DD9">
              <w:rPr>
                <w:rFonts w:ascii="Arial Narrow" w:hAnsi="Arial Narrow"/>
                <w:sz w:val="20"/>
              </w:rPr>
              <w:t>Clinical claim</w:t>
            </w:r>
          </w:p>
        </w:tc>
        <w:tc>
          <w:tcPr>
            <w:tcW w:w="2410" w:type="pct"/>
            <w:vAlign w:val="center"/>
          </w:tcPr>
          <w:p w:rsidR="000230CB" w:rsidRPr="002A59CE" w:rsidRDefault="000230CB" w:rsidP="00171398">
            <w:pPr>
              <w:widowControl/>
              <w:jc w:val="left"/>
              <w:rPr>
                <w:rFonts w:ascii="Arial Narrow" w:hAnsi="Arial Narrow"/>
                <w:b/>
                <w:sz w:val="20"/>
              </w:rPr>
            </w:pPr>
            <w:r w:rsidRPr="002A59CE">
              <w:rPr>
                <w:rFonts w:ascii="Arial Narrow" w:hAnsi="Arial Narrow"/>
                <w:sz w:val="20"/>
              </w:rPr>
              <w:t>“Qualitatively” non-inferior in terms of comparative effectiveness and “qualitatively” superior in terms of comparative safety over goserelin (with or without tibolone).</w:t>
            </w:r>
          </w:p>
          <w:p w:rsidR="000230CB" w:rsidRPr="002A59CE" w:rsidRDefault="000230CB" w:rsidP="00171398">
            <w:pPr>
              <w:widowControl/>
              <w:jc w:val="left"/>
              <w:rPr>
                <w:rFonts w:ascii="Arial Narrow" w:hAnsi="Arial Narrow"/>
                <w:sz w:val="20"/>
              </w:rPr>
            </w:pPr>
            <w:r w:rsidRPr="002A59CE">
              <w:rPr>
                <w:rFonts w:ascii="Arial Narrow" w:hAnsi="Arial Narrow"/>
                <w:b/>
                <w:sz w:val="20"/>
              </w:rPr>
              <w:t>PBAC comment:</w:t>
            </w:r>
            <w:r w:rsidRPr="002A59CE">
              <w:rPr>
                <w:rFonts w:ascii="Arial Narrow" w:hAnsi="Arial Narrow"/>
                <w:sz w:val="20"/>
              </w:rPr>
              <w:t xml:space="preserve"> Clinical claim was not accepted.  The claim for effectiveness was not supported by the data with a lack of evidence (paragraph 6.37).  The claim for safety was not adequately supported by the data (paragraph 6.38). </w:t>
            </w:r>
          </w:p>
        </w:tc>
        <w:tc>
          <w:tcPr>
            <w:tcW w:w="2034" w:type="pct"/>
            <w:vAlign w:val="center"/>
          </w:tcPr>
          <w:p w:rsidR="000230CB" w:rsidRPr="002A59CE" w:rsidRDefault="000230CB" w:rsidP="00171398">
            <w:pPr>
              <w:widowControl/>
              <w:ind w:left="27"/>
              <w:jc w:val="left"/>
              <w:rPr>
                <w:rFonts w:ascii="Arial Narrow" w:hAnsi="Arial Narrow"/>
                <w:sz w:val="20"/>
              </w:rPr>
            </w:pPr>
            <w:r w:rsidRPr="002A59CE">
              <w:rPr>
                <w:rFonts w:ascii="Arial Narrow" w:hAnsi="Arial Narrow"/>
                <w:sz w:val="20"/>
              </w:rPr>
              <w:t xml:space="preserve">Ulipristal is superior to placebo for the treatment of moderate to severe symptoms of uterine fibroids prior to planned surgery and has a comparable safety profile. </w:t>
            </w:r>
          </w:p>
        </w:tc>
      </w:tr>
      <w:tr w:rsidR="000230CB" w:rsidRPr="00893D5C" w:rsidTr="00952B48">
        <w:tc>
          <w:tcPr>
            <w:tcW w:w="555" w:type="pct"/>
            <w:vAlign w:val="center"/>
          </w:tcPr>
          <w:p w:rsidR="000230CB" w:rsidRPr="00EE744A" w:rsidRDefault="000230CB" w:rsidP="00171398">
            <w:pPr>
              <w:widowControl/>
              <w:jc w:val="left"/>
              <w:rPr>
                <w:rFonts w:ascii="Arial Narrow" w:hAnsi="Arial Narrow"/>
                <w:sz w:val="20"/>
              </w:rPr>
            </w:pPr>
            <w:r w:rsidRPr="00EE744A">
              <w:rPr>
                <w:rFonts w:ascii="Arial Narrow" w:hAnsi="Arial Narrow"/>
                <w:sz w:val="20"/>
              </w:rPr>
              <w:t>Economic analysis</w:t>
            </w:r>
          </w:p>
        </w:tc>
        <w:tc>
          <w:tcPr>
            <w:tcW w:w="2410" w:type="pct"/>
            <w:vAlign w:val="center"/>
          </w:tcPr>
          <w:p w:rsidR="000230CB" w:rsidRPr="002A59CE" w:rsidRDefault="000230CB" w:rsidP="00171398">
            <w:pPr>
              <w:widowControl/>
              <w:jc w:val="left"/>
              <w:rPr>
                <w:rFonts w:ascii="Arial Narrow" w:hAnsi="Arial Narrow"/>
                <w:sz w:val="20"/>
              </w:rPr>
            </w:pPr>
            <w:r w:rsidRPr="002A59CE">
              <w:rPr>
                <w:rFonts w:ascii="Arial Narrow" w:hAnsi="Arial Narrow"/>
                <w:sz w:val="20"/>
              </w:rPr>
              <w:t>Cost-minimisation analysis</w:t>
            </w:r>
          </w:p>
          <w:p w:rsidR="000230CB" w:rsidRPr="002A59CE" w:rsidRDefault="000230CB" w:rsidP="00171398">
            <w:pPr>
              <w:widowControl/>
              <w:jc w:val="left"/>
              <w:rPr>
                <w:rFonts w:ascii="Arial Narrow" w:hAnsi="Arial Narrow"/>
                <w:sz w:val="20"/>
              </w:rPr>
            </w:pPr>
            <w:r w:rsidRPr="002A59CE">
              <w:rPr>
                <w:rFonts w:ascii="Arial Narrow" w:hAnsi="Arial Narrow"/>
                <w:b/>
                <w:sz w:val="20"/>
              </w:rPr>
              <w:t xml:space="preserve">PBAC comment: </w:t>
            </w:r>
            <w:r w:rsidRPr="002A59CE">
              <w:rPr>
                <w:rFonts w:ascii="Arial Narrow" w:hAnsi="Arial Narrow"/>
                <w:sz w:val="20"/>
              </w:rPr>
              <w:t>A cost-minimisation approach versus goserelin was not appropriate given that goserelin is not listed on the PBS for this indication (paragraph 6.41). A cost utility analysis versus no treatment would be more appropriate (paragraph 7.8).</w:t>
            </w:r>
          </w:p>
        </w:tc>
        <w:tc>
          <w:tcPr>
            <w:tcW w:w="2034" w:type="pct"/>
            <w:vAlign w:val="center"/>
          </w:tcPr>
          <w:p w:rsidR="000230CB" w:rsidRPr="002A59CE" w:rsidRDefault="000230CB" w:rsidP="007505A3">
            <w:pPr>
              <w:widowControl/>
              <w:jc w:val="left"/>
              <w:rPr>
                <w:rFonts w:ascii="Arial Narrow" w:hAnsi="Arial Narrow"/>
                <w:sz w:val="20"/>
              </w:rPr>
            </w:pPr>
            <w:r w:rsidRPr="002A59CE">
              <w:rPr>
                <w:rFonts w:ascii="Arial Narrow" w:hAnsi="Arial Narrow"/>
                <w:sz w:val="20"/>
              </w:rPr>
              <w:t>Cost utility analysis for the comparison of ulipristal and placebo presented in the resubmission (ICER </w:t>
            </w:r>
            <w:r w:rsidR="007505A3">
              <w:rPr>
                <w:rFonts w:ascii="Arial Narrow" w:hAnsi="Arial Narrow"/>
                <w:sz w:val="20"/>
              </w:rPr>
              <w:t xml:space="preserve"> = less than $15,000 per QALY</w:t>
            </w:r>
            <w:r w:rsidRPr="002A59CE">
              <w:rPr>
                <w:rFonts w:ascii="Arial Narrow" w:hAnsi="Arial Narrow"/>
                <w:sz w:val="20"/>
              </w:rPr>
              <w:t xml:space="preserve">).  </w:t>
            </w:r>
          </w:p>
        </w:tc>
      </w:tr>
      <w:tr w:rsidR="000230CB" w:rsidRPr="00893D5C" w:rsidTr="00952B48">
        <w:tc>
          <w:tcPr>
            <w:tcW w:w="555" w:type="pct"/>
            <w:vAlign w:val="center"/>
          </w:tcPr>
          <w:p w:rsidR="000230CB" w:rsidRPr="00F53DD9" w:rsidRDefault="000230CB" w:rsidP="00171398">
            <w:pPr>
              <w:widowControl/>
              <w:jc w:val="left"/>
              <w:rPr>
                <w:rFonts w:ascii="Arial Narrow" w:hAnsi="Arial Narrow"/>
                <w:sz w:val="20"/>
              </w:rPr>
            </w:pPr>
            <w:r w:rsidRPr="00F53DD9">
              <w:rPr>
                <w:rFonts w:ascii="Arial Narrow" w:hAnsi="Arial Narrow"/>
                <w:sz w:val="20"/>
              </w:rPr>
              <w:t>Estimated net cost to government</w:t>
            </w:r>
          </w:p>
        </w:tc>
        <w:tc>
          <w:tcPr>
            <w:tcW w:w="2410" w:type="pct"/>
            <w:vAlign w:val="center"/>
          </w:tcPr>
          <w:p w:rsidR="000230CB" w:rsidRPr="002A59CE" w:rsidRDefault="000230CB" w:rsidP="00171398">
            <w:pPr>
              <w:widowControl/>
              <w:jc w:val="left"/>
              <w:rPr>
                <w:rFonts w:ascii="Arial Narrow" w:hAnsi="Arial Narrow"/>
                <w:sz w:val="20"/>
              </w:rPr>
            </w:pPr>
            <w:r w:rsidRPr="002A59CE">
              <w:rPr>
                <w:rFonts w:ascii="Arial Narrow" w:hAnsi="Arial Narrow"/>
                <w:sz w:val="20"/>
              </w:rPr>
              <w:t xml:space="preserve">For the short-term surgery population without cost offsets for goserelin: Year 1: </w:t>
            </w:r>
            <w:r w:rsidR="007505A3">
              <w:rPr>
                <w:rFonts w:ascii="Arial Narrow" w:hAnsi="Arial Narrow"/>
                <w:sz w:val="20"/>
              </w:rPr>
              <w:t>less than $10 million</w:t>
            </w:r>
            <w:r w:rsidRPr="002A59CE">
              <w:rPr>
                <w:rFonts w:ascii="Arial Narrow" w:hAnsi="Arial Narrow"/>
                <w:sz w:val="20"/>
              </w:rPr>
              <w:t xml:space="preserve">, Year 5: </w:t>
            </w:r>
            <w:r w:rsidR="007505A3">
              <w:rPr>
                <w:rFonts w:ascii="Arial Narrow" w:hAnsi="Arial Narrow"/>
                <w:sz w:val="20"/>
              </w:rPr>
              <w:t>less than $10 million</w:t>
            </w:r>
            <w:r w:rsidRPr="002A59CE">
              <w:rPr>
                <w:rFonts w:ascii="Arial Narrow" w:hAnsi="Arial Narrow"/>
                <w:sz w:val="20"/>
              </w:rPr>
              <w:t>.</w:t>
            </w:r>
          </w:p>
          <w:p w:rsidR="000230CB" w:rsidRPr="002A59CE" w:rsidRDefault="000230CB" w:rsidP="00171398">
            <w:pPr>
              <w:widowControl/>
              <w:jc w:val="left"/>
              <w:rPr>
                <w:rFonts w:ascii="Arial Narrow" w:hAnsi="Arial Narrow"/>
                <w:sz w:val="20"/>
              </w:rPr>
            </w:pPr>
            <w:r w:rsidRPr="002A59CE">
              <w:rPr>
                <w:rFonts w:ascii="Arial Narrow" w:hAnsi="Arial Narrow"/>
                <w:b/>
                <w:sz w:val="20"/>
              </w:rPr>
              <w:t xml:space="preserve">PBAC comment: </w:t>
            </w:r>
            <w:r w:rsidRPr="002A59CE">
              <w:rPr>
                <w:rFonts w:ascii="Arial Narrow" w:hAnsi="Arial Narrow"/>
                <w:sz w:val="20"/>
              </w:rPr>
              <w:t>In line with the DUSC’s comment, due to limited epidemiological evidence available, the estimated cost is highly uncertain. An incidence approach accounting for a prevalent patient population in Year 1 may be more appropriate. The estimates should exclude cost offsets for goserelin (paragraph 7.9).</w:t>
            </w:r>
          </w:p>
        </w:tc>
        <w:tc>
          <w:tcPr>
            <w:tcW w:w="2034" w:type="pct"/>
            <w:vAlign w:val="center"/>
          </w:tcPr>
          <w:p w:rsidR="000230CB" w:rsidRPr="002A59CE" w:rsidRDefault="000230CB" w:rsidP="00171398">
            <w:pPr>
              <w:widowControl/>
              <w:ind w:left="27"/>
              <w:jc w:val="left"/>
              <w:rPr>
                <w:rFonts w:ascii="Arial Narrow" w:hAnsi="Arial Narrow"/>
                <w:sz w:val="20"/>
              </w:rPr>
            </w:pPr>
            <w:r w:rsidRPr="002A59CE">
              <w:rPr>
                <w:rFonts w:ascii="Arial Narrow" w:hAnsi="Arial Narrow"/>
                <w:sz w:val="20"/>
              </w:rPr>
              <w:t>Cost offsets for goserelin were removed.  An allowance for prevalent patients was included in Year 1 in line with the DUSC advice. Year 1: </w:t>
            </w:r>
            <w:r w:rsidR="009A36C6">
              <w:rPr>
                <w:rFonts w:ascii="Arial Narrow" w:hAnsi="Arial Narrow"/>
                <w:sz w:val="20"/>
              </w:rPr>
              <w:t>less than $10 million</w:t>
            </w:r>
            <w:r w:rsidRPr="002A59CE">
              <w:rPr>
                <w:rFonts w:ascii="Arial Narrow" w:hAnsi="Arial Narrow"/>
                <w:sz w:val="20"/>
              </w:rPr>
              <w:t xml:space="preserve">; Year 5: </w:t>
            </w:r>
            <w:r w:rsidR="00EF38BF">
              <w:rPr>
                <w:rFonts w:ascii="Arial Narrow" w:hAnsi="Arial Narrow"/>
                <w:sz w:val="20"/>
              </w:rPr>
              <w:t xml:space="preserve"> less than $10 million</w:t>
            </w:r>
            <w:r w:rsidRPr="002A59CE">
              <w:rPr>
                <w:rFonts w:ascii="Arial Narrow" w:hAnsi="Arial Narrow"/>
                <w:sz w:val="20"/>
              </w:rPr>
              <w:t>.</w:t>
            </w:r>
          </w:p>
          <w:p w:rsidR="000230CB" w:rsidRPr="002A59CE" w:rsidRDefault="000230CB" w:rsidP="00171398">
            <w:pPr>
              <w:widowControl/>
              <w:ind w:left="27"/>
              <w:jc w:val="left"/>
              <w:rPr>
                <w:rFonts w:ascii="Arial Narrow" w:hAnsi="Arial Narrow"/>
                <w:sz w:val="20"/>
                <w:highlight w:val="yellow"/>
              </w:rPr>
            </w:pPr>
            <w:r w:rsidRPr="002A59CE">
              <w:rPr>
                <w:rFonts w:ascii="Arial Narrow" w:hAnsi="Arial Narrow"/>
                <w:sz w:val="20"/>
              </w:rPr>
              <w:t>A Risk Share Arrangement was proposed to account for residual uncertainty surrounding cost to the government.</w:t>
            </w:r>
          </w:p>
        </w:tc>
      </w:tr>
      <w:tr w:rsidR="000230CB" w:rsidRPr="00893D5C" w:rsidTr="00952B48">
        <w:tc>
          <w:tcPr>
            <w:tcW w:w="555" w:type="pct"/>
            <w:vAlign w:val="center"/>
          </w:tcPr>
          <w:p w:rsidR="000230CB" w:rsidRPr="00EE744A" w:rsidRDefault="000230CB" w:rsidP="00171398">
            <w:pPr>
              <w:widowControl/>
              <w:jc w:val="left"/>
              <w:rPr>
                <w:rFonts w:ascii="Arial Narrow" w:hAnsi="Arial Narrow"/>
                <w:sz w:val="20"/>
              </w:rPr>
            </w:pPr>
            <w:r w:rsidRPr="00EE744A">
              <w:rPr>
                <w:rFonts w:ascii="Arial Narrow" w:hAnsi="Arial Narrow"/>
                <w:sz w:val="20"/>
              </w:rPr>
              <w:t>PBAC outcome</w:t>
            </w:r>
          </w:p>
        </w:tc>
        <w:tc>
          <w:tcPr>
            <w:tcW w:w="2410" w:type="pct"/>
            <w:vAlign w:val="center"/>
          </w:tcPr>
          <w:p w:rsidR="000230CB" w:rsidRPr="002A59CE" w:rsidRDefault="000230CB" w:rsidP="00171398">
            <w:pPr>
              <w:widowControl/>
              <w:jc w:val="left"/>
              <w:rPr>
                <w:rFonts w:ascii="Arial Narrow" w:hAnsi="Arial Narrow"/>
                <w:sz w:val="20"/>
              </w:rPr>
            </w:pPr>
            <w:r w:rsidRPr="002A59CE">
              <w:rPr>
                <w:rFonts w:ascii="Arial Narrow" w:hAnsi="Arial Narrow"/>
                <w:sz w:val="20"/>
              </w:rPr>
              <w:t>Rejected on the basis that the clinical place in therapy was not established, use of the nominated comparator goserelin in clinical practice was not substantiated and it was not PBS listed, comparative effectiveness and safety of ulipristal to goserelin not established, surgical outcomes impact not presented.</w:t>
            </w:r>
          </w:p>
        </w:tc>
        <w:tc>
          <w:tcPr>
            <w:tcW w:w="2034" w:type="pct"/>
            <w:vAlign w:val="center"/>
          </w:tcPr>
          <w:p w:rsidR="000230CB" w:rsidRPr="002A59CE" w:rsidRDefault="000230CB" w:rsidP="00171398">
            <w:pPr>
              <w:widowControl/>
              <w:jc w:val="left"/>
              <w:rPr>
                <w:rFonts w:ascii="Arial Narrow" w:hAnsi="Arial Narrow"/>
                <w:sz w:val="20"/>
              </w:rPr>
            </w:pPr>
            <w:r w:rsidRPr="002A59CE">
              <w:rPr>
                <w:rFonts w:ascii="Arial Narrow" w:hAnsi="Arial Narrow"/>
                <w:sz w:val="20"/>
              </w:rPr>
              <w:t>To be decided.</w:t>
            </w:r>
          </w:p>
        </w:tc>
      </w:tr>
    </w:tbl>
    <w:p w:rsidR="000230CB" w:rsidRPr="002A59CE" w:rsidRDefault="00B32B0E" w:rsidP="00952B48">
      <w:pPr>
        <w:widowControl/>
        <w:tabs>
          <w:tab w:val="left" w:pos="284"/>
        </w:tabs>
        <w:ind w:left="720"/>
        <w:jc w:val="left"/>
        <w:rPr>
          <w:rFonts w:ascii="Arial Narrow" w:hAnsi="Arial Narrow"/>
          <w:sz w:val="18"/>
          <w:szCs w:val="16"/>
        </w:rPr>
      </w:pPr>
      <w:r w:rsidRPr="002A59CE">
        <w:rPr>
          <w:rFonts w:ascii="Arial Narrow" w:hAnsi="Arial Narrow"/>
          <w:sz w:val="18"/>
          <w:szCs w:val="16"/>
        </w:rPr>
        <w:t xml:space="preserve">* </w:t>
      </w:r>
      <w:r w:rsidR="000230CB" w:rsidRPr="002A59CE">
        <w:rPr>
          <w:rFonts w:ascii="Arial Narrow" w:hAnsi="Arial Narrow"/>
          <w:sz w:val="18"/>
          <w:szCs w:val="16"/>
        </w:rPr>
        <w:t>As the recommended dose</w:t>
      </w:r>
      <w:r w:rsidR="000230CB" w:rsidRPr="002A59CE">
        <w:t xml:space="preserve"> </w:t>
      </w:r>
      <w:r w:rsidR="000230CB" w:rsidRPr="002A59CE">
        <w:rPr>
          <w:rFonts w:ascii="Arial Narrow" w:hAnsi="Arial Narrow"/>
          <w:sz w:val="18"/>
          <w:szCs w:val="16"/>
        </w:rPr>
        <w:t xml:space="preserve">for ulipristal is 5 mg daily, the 10 mg ulipristal treatment arm </w:t>
      </w:r>
      <w:r w:rsidR="005D0CE3" w:rsidRPr="002A59CE">
        <w:rPr>
          <w:rFonts w:ascii="Arial Narrow" w:hAnsi="Arial Narrow"/>
          <w:sz w:val="18"/>
          <w:szCs w:val="16"/>
        </w:rPr>
        <w:t xml:space="preserve">was </w:t>
      </w:r>
      <w:r w:rsidR="000230CB" w:rsidRPr="002A59CE">
        <w:rPr>
          <w:rFonts w:ascii="Arial Narrow" w:hAnsi="Arial Narrow"/>
          <w:sz w:val="18"/>
          <w:szCs w:val="16"/>
        </w:rPr>
        <w:t>not presented in the commentary.</w:t>
      </w:r>
    </w:p>
    <w:p w:rsidR="000230CB" w:rsidRPr="002A59CE" w:rsidRDefault="000230CB" w:rsidP="00952B48">
      <w:pPr>
        <w:widowControl/>
        <w:ind w:left="720"/>
        <w:rPr>
          <w:rFonts w:ascii="Arial Narrow" w:hAnsi="Arial Narrow"/>
          <w:sz w:val="18"/>
          <w:szCs w:val="16"/>
        </w:rPr>
      </w:pPr>
      <w:r w:rsidRPr="002A59CE">
        <w:rPr>
          <w:rFonts w:ascii="Arial Narrow" w:hAnsi="Arial Narrow"/>
          <w:sz w:val="18"/>
          <w:szCs w:val="16"/>
        </w:rPr>
        <w:t xml:space="preserve">PBA = pictorial blood-loss assessment; TEAE </w:t>
      </w:r>
      <w:r w:rsidR="006259D4">
        <w:rPr>
          <w:rFonts w:ascii="Arial Narrow" w:hAnsi="Arial Narrow"/>
          <w:sz w:val="18"/>
          <w:szCs w:val="16"/>
        </w:rPr>
        <w:t>=</w:t>
      </w:r>
      <w:r w:rsidRPr="002A59CE">
        <w:rPr>
          <w:rFonts w:ascii="Arial Narrow" w:hAnsi="Arial Narrow"/>
          <w:sz w:val="18"/>
          <w:szCs w:val="16"/>
        </w:rPr>
        <w:t xml:space="preserve"> treatment emergent adverse event; RCT = randomised controlled trial; CGI = clinical global assessment</w:t>
      </w:r>
    </w:p>
    <w:p w:rsidR="000230CB" w:rsidRPr="002A59CE" w:rsidRDefault="000230CB" w:rsidP="00952B48">
      <w:pPr>
        <w:widowControl/>
        <w:ind w:firstLine="720"/>
        <w:jc w:val="left"/>
      </w:pPr>
      <w:r w:rsidRPr="002A59CE">
        <w:rPr>
          <w:rFonts w:ascii="Arial Narrow" w:hAnsi="Arial Narrow"/>
          <w:sz w:val="18"/>
          <w:szCs w:val="16"/>
        </w:rPr>
        <w:t xml:space="preserve">Paragraph references refer to the July 2016 </w:t>
      </w:r>
      <w:r w:rsidR="00FB61A8" w:rsidRPr="002A59CE">
        <w:rPr>
          <w:rFonts w:ascii="Arial Narrow" w:hAnsi="Arial Narrow"/>
          <w:sz w:val="18"/>
          <w:szCs w:val="16"/>
        </w:rPr>
        <w:t xml:space="preserve">ulipristal </w:t>
      </w:r>
      <w:r w:rsidR="00F23E0C" w:rsidRPr="002A59CE">
        <w:rPr>
          <w:rFonts w:ascii="Arial Narrow" w:hAnsi="Arial Narrow"/>
          <w:sz w:val="18"/>
          <w:szCs w:val="16"/>
        </w:rPr>
        <w:t>Public Summary Document</w:t>
      </w:r>
      <w:r w:rsidRPr="002A59CE">
        <w:rPr>
          <w:rFonts w:ascii="Arial Narrow" w:hAnsi="Arial Narrow"/>
          <w:sz w:val="18"/>
          <w:szCs w:val="16"/>
        </w:rPr>
        <w:t>.</w:t>
      </w:r>
    </w:p>
    <w:p w:rsidR="00F60AB3" w:rsidRPr="00B630AC" w:rsidRDefault="00F60AB3" w:rsidP="00B630AC">
      <w:pPr>
        <w:rPr>
          <w:color w:val="000000" w:themeColor="text1"/>
        </w:rPr>
      </w:pPr>
    </w:p>
    <w:p w:rsidR="001B6188" w:rsidRPr="00882085" w:rsidRDefault="001B6188" w:rsidP="00497F10"/>
    <w:p w:rsidR="00F338FF" w:rsidRPr="00407F2D" w:rsidRDefault="00F338FF" w:rsidP="005D7E3E">
      <w:pPr>
        <w:pStyle w:val="PBACheading1"/>
        <w:rPr>
          <w:b/>
        </w:rPr>
      </w:pPr>
      <w:bookmarkStart w:id="7" w:name="_Toc472349026"/>
      <w:r w:rsidRPr="00407F2D">
        <w:rPr>
          <w:b/>
        </w:rPr>
        <w:t>Clinical place for the proposed therapy</w:t>
      </w:r>
      <w:bookmarkEnd w:id="7"/>
    </w:p>
    <w:p w:rsidR="00B60939" w:rsidRDefault="00B60939" w:rsidP="00B60939">
      <w:pPr>
        <w:rPr>
          <w:szCs w:val="22"/>
        </w:rPr>
      </w:pPr>
    </w:p>
    <w:p w:rsidR="004877E9" w:rsidRPr="002B278B" w:rsidRDefault="004877E9" w:rsidP="00CF1650">
      <w:pPr>
        <w:pStyle w:val="ListParagraph"/>
        <w:widowControl/>
        <w:numPr>
          <w:ilvl w:val="1"/>
          <w:numId w:val="3"/>
        </w:numPr>
        <w:rPr>
          <w:szCs w:val="22"/>
        </w:rPr>
      </w:pPr>
      <w:r w:rsidRPr="00AD3CA1">
        <w:rPr>
          <w:szCs w:val="22"/>
        </w:rPr>
        <w:t>Uterine fibroids</w:t>
      </w:r>
      <w:r>
        <w:rPr>
          <w:szCs w:val="22"/>
        </w:rPr>
        <w:t xml:space="preserve"> </w:t>
      </w:r>
      <w:r w:rsidRPr="00AD3CA1">
        <w:rPr>
          <w:szCs w:val="22"/>
        </w:rPr>
        <w:t xml:space="preserve">are common benign neoplasms of the uterus. </w:t>
      </w:r>
      <w:r>
        <w:t xml:space="preserve">They are oestrogen dependent and exhibit maximal growth during the decade before menopause and decrease in size thereafter. </w:t>
      </w:r>
      <w:r w:rsidRPr="00AD3CA1">
        <w:t>Uterine fibroids are frequently asymptomatic, but can cause heavy or prolonged menstrual bleeding and resultant anaemia, dysmenorrhea, pelvic pressure, pain and bulk or pressure symptoms</w:t>
      </w:r>
      <w:r>
        <w:t xml:space="preserve">. </w:t>
      </w:r>
    </w:p>
    <w:p w:rsidR="00497F10" w:rsidRPr="002C2775" w:rsidRDefault="00497F10" w:rsidP="00497F10">
      <w:pPr>
        <w:widowControl/>
        <w:rPr>
          <w:szCs w:val="22"/>
        </w:rPr>
      </w:pPr>
    </w:p>
    <w:p w:rsidR="00236B18" w:rsidRDefault="00236B18" w:rsidP="00CF1650">
      <w:pPr>
        <w:pStyle w:val="ListParagraph"/>
        <w:widowControl/>
        <w:numPr>
          <w:ilvl w:val="1"/>
          <w:numId w:val="3"/>
        </w:numPr>
      </w:pPr>
      <w:r>
        <w:t>Ulipristal is a selective progesterone receptor modulator.</w:t>
      </w:r>
      <w:r w:rsidR="00740CC6">
        <w:t xml:space="preserve"> </w:t>
      </w:r>
      <w:r>
        <w:t xml:space="preserve">The </w:t>
      </w:r>
      <w:r w:rsidR="007B08B0">
        <w:t>resubmission</w:t>
      </w:r>
      <w:r>
        <w:t xml:space="preserve"> proposed ulipristal for s</w:t>
      </w:r>
      <w:r w:rsidRPr="00236B18">
        <w:t>hort</w:t>
      </w:r>
      <w:r>
        <w:t>-</w:t>
      </w:r>
      <w:r w:rsidRPr="00236B18">
        <w:t xml:space="preserve">term use (3 months) in patients </w:t>
      </w:r>
      <w:r>
        <w:t xml:space="preserve">eligible </w:t>
      </w:r>
      <w:r w:rsidRPr="00236B18">
        <w:t>for and planning surgery, as a means of stabilising symptoms and potentially facilitating less invasive surgical techniques</w:t>
      </w:r>
      <w:r>
        <w:t>.</w:t>
      </w:r>
    </w:p>
    <w:p w:rsidR="00BC48B4" w:rsidRDefault="00BC48B4" w:rsidP="00BC48B4">
      <w:pPr>
        <w:pStyle w:val="ListParagraph"/>
      </w:pPr>
    </w:p>
    <w:p w:rsidR="00303129" w:rsidRPr="00303129" w:rsidRDefault="00303129" w:rsidP="00303129">
      <w:pPr>
        <w:pStyle w:val="ListParagraph"/>
        <w:widowControl/>
        <w:numPr>
          <w:ilvl w:val="1"/>
          <w:numId w:val="3"/>
        </w:numPr>
      </w:pPr>
      <w:r w:rsidRPr="00303129">
        <w:t xml:space="preserve">The PBAC received advice from the Royal Australian and New Zealand College of Obstetricians and Gynaecologists (RANZCOG) in July 2016. They indicated that a three-month course of ulipristal has a possible clinical place as an oral alternative to gonadotropin-releasing hormone (GnRH) analogues to reduce size of uterine fibroids prior to surgery. The College also considered repeated 3 month courses of ulipristal may have a role in the long term management of fibroids, noting </w:t>
      </w:r>
    </w:p>
    <w:p w:rsidR="00303129" w:rsidRPr="002A59CE" w:rsidRDefault="00303129" w:rsidP="00303129">
      <w:pPr>
        <w:pStyle w:val="ListParagraph"/>
        <w:widowControl/>
        <w:numPr>
          <w:ilvl w:val="0"/>
          <w:numId w:val="21"/>
        </w:numPr>
        <w:rPr>
          <w:szCs w:val="22"/>
        </w:rPr>
      </w:pPr>
      <w:r w:rsidRPr="002A59CE">
        <w:rPr>
          <w:szCs w:val="22"/>
        </w:rPr>
        <w:t>Monitoring of endometrial thickness (ultrasound) and possibly histology (biopsy) is required until there is good evidence that these changes do not eventually predispose to malignancy.</w:t>
      </w:r>
    </w:p>
    <w:p w:rsidR="00303129" w:rsidRPr="002A59CE" w:rsidRDefault="00303129" w:rsidP="00303129">
      <w:pPr>
        <w:pStyle w:val="ListParagraph"/>
        <w:widowControl/>
        <w:numPr>
          <w:ilvl w:val="0"/>
          <w:numId w:val="21"/>
        </w:numPr>
        <w:rPr>
          <w:szCs w:val="22"/>
        </w:rPr>
      </w:pPr>
      <w:r w:rsidRPr="002A59CE">
        <w:rPr>
          <w:szCs w:val="22"/>
        </w:rPr>
        <w:t xml:space="preserve">It is not yet clear whether there is a long term benefit of one or two courses of ulipristal in a majority of women.  It is possible that a significant number of women would require repeated courses of ulipristal to maintain symptomatic relief.  </w:t>
      </w:r>
    </w:p>
    <w:p w:rsidR="00303129" w:rsidRPr="002A59CE" w:rsidRDefault="00303129" w:rsidP="00303129">
      <w:pPr>
        <w:pStyle w:val="ListParagraph"/>
        <w:widowControl/>
        <w:numPr>
          <w:ilvl w:val="0"/>
          <w:numId w:val="21"/>
        </w:numPr>
        <w:rPr>
          <w:szCs w:val="22"/>
        </w:rPr>
      </w:pPr>
      <w:r w:rsidRPr="002A59CE">
        <w:rPr>
          <w:szCs w:val="22"/>
        </w:rPr>
        <w:t xml:space="preserve">More long term data on side effect profile and efficacy are required before long term use can be recommended outside the context of a large randomised controlled trial. </w:t>
      </w:r>
    </w:p>
    <w:p w:rsidR="00303129" w:rsidRPr="002A59CE" w:rsidRDefault="00303129" w:rsidP="00303129">
      <w:pPr>
        <w:pStyle w:val="ListParagraph"/>
        <w:rPr>
          <w:szCs w:val="22"/>
        </w:rPr>
      </w:pPr>
    </w:p>
    <w:p w:rsidR="00303129" w:rsidRPr="00303129" w:rsidRDefault="00303129" w:rsidP="00303129">
      <w:pPr>
        <w:pStyle w:val="ListParagraph"/>
        <w:widowControl/>
        <w:numPr>
          <w:ilvl w:val="1"/>
          <w:numId w:val="3"/>
        </w:numPr>
      </w:pPr>
      <w:r w:rsidRPr="002A59CE">
        <w:t xml:space="preserve">In July 2016, the PBAC agreed there was a possible clinical place for ulipristal in short-term therapy prior to surgery (paragraph 7.5 of the July 2016 ulipristal Public Summary Document (PSD)). </w:t>
      </w:r>
    </w:p>
    <w:p w:rsidR="00303129" w:rsidRDefault="00303129" w:rsidP="00BC48B4">
      <w:pPr>
        <w:pStyle w:val="ListParagraph"/>
      </w:pPr>
    </w:p>
    <w:p w:rsidR="00F60AB3" w:rsidRPr="0005234D" w:rsidRDefault="00F60AB3" w:rsidP="00F60AB3">
      <w:pPr>
        <w:ind w:firstLine="720"/>
        <w:rPr>
          <w:bCs/>
          <w:szCs w:val="22"/>
        </w:rPr>
      </w:pPr>
      <w:r w:rsidRPr="00004A24">
        <w:rPr>
          <w:bCs/>
          <w:i/>
          <w:szCs w:val="22"/>
        </w:rPr>
        <w:t>For more detail on PBAC’s view, see section 7 “PBAC outcome”</w:t>
      </w:r>
    </w:p>
    <w:p w:rsidR="001B6188" w:rsidRDefault="001B6188" w:rsidP="00E469F4">
      <w:pPr>
        <w:pStyle w:val="ListParagraph"/>
        <w:ind w:left="0"/>
        <w:rPr>
          <w:szCs w:val="22"/>
        </w:rPr>
      </w:pPr>
    </w:p>
    <w:p w:rsidR="00F60AB3" w:rsidRPr="00882085" w:rsidRDefault="00F60AB3" w:rsidP="00E469F4">
      <w:pPr>
        <w:pStyle w:val="ListParagraph"/>
        <w:ind w:left="0"/>
        <w:rPr>
          <w:szCs w:val="22"/>
        </w:rPr>
      </w:pPr>
    </w:p>
    <w:p w:rsidR="00F338FF" w:rsidRPr="00407F2D" w:rsidRDefault="00F338FF" w:rsidP="005D7E3E">
      <w:pPr>
        <w:pStyle w:val="PBACheading1"/>
        <w:rPr>
          <w:b/>
        </w:rPr>
      </w:pPr>
      <w:bookmarkStart w:id="8" w:name="_Toc472349027"/>
      <w:r w:rsidRPr="00407F2D">
        <w:rPr>
          <w:b/>
        </w:rPr>
        <w:t>Comparator</w:t>
      </w:r>
      <w:bookmarkEnd w:id="8"/>
    </w:p>
    <w:p w:rsidR="00497F10" w:rsidRPr="00882085" w:rsidRDefault="00497F10" w:rsidP="00577717"/>
    <w:p w:rsidR="00497F10" w:rsidRPr="002A59CE" w:rsidRDefault="00EE1667" w:rsidP="00CF1650">
      <w:pPr>
        <w:pStyle w:val="ListParagraph"/>
        <w:widowControl/>
        <w:numPr>
          <w:ilvl w:val="1"/>
          <w:numId w:val="3"/>
        </w:numPr>
        <w:rPr>
          <w:szCs w:val="22"/>
        </w:rPr>
      </w:pPr>
      <w:r w:rsidRPr="002A59CE">
        <w:rPr>
          <w:color w:val="000000" w:themeColor="text1"/>
        </w:rPr>
        <w:t xml:space="preserve">The </w:t>
      </w:r>
      <w:r w:rsidR="007B08B0" w:rsidRPr="002A59CE">
        <w:rPr>
          <w:color w:val="000000" w:themeColor="text1"/>
        </w:rPr>
        <w:t>resubmission</w:t>
      </w:r>
      <w:r w:rsidRPr="002A59CE">
        <w:rPr>
          <w:color w:val="000000" w:themeColor="text1"/>
        </w:rPr>
        <w:t xml:space="preserve"> nominated placebo </w:t>
      </w:r>
      <w:r w:rsidR="00F52C75" w:rsidRPr="002A59CE">
        <w:rPr>
          <w:color w:val="000000" w:themeColor="text1"/>
        </w:rPr>
        <w:t xml:space="preserve">(no treatment) prior to planned surgery </w:t>
      </w:r>
      <w:r w:rsidRPr="002A59CE">
        <w:rPr>
          <w:color w:val="000000" w:themeColor="text1"/>
        </w:rPr>
        <w:t xml:space="preserve">as the main comparator. </w:t>
      </w:r>
      <w:r w:rsidRPr="002A59CE">
        <w:t>While the July 2016 submission nominated goserelin as the main comp</w:t>
      </w:r>
      <w:r w:rsidR="002A0584" w:rsidRPr="002A59CE">
        <w:t>ar</w:t>
      </w:r>
      <w:r w:rsidRPr="002A59CE">
        <w:t>ator, the PBAC</w:t>
      </w:r>
      <w:r w:rsidR="00F52C75" w:rsidRPr="002A59CE">
        <w:t xml:space="preserve"> considered that a </w:t>
      </w:r>
      <w:r w:rsidR="007B08B0" w:rsidRPr="002A59CE">
        <w:t>resubmission</w:t>
      </w:r>
      <w:r w:rsidR="00F52C75" w:rsidRPr="002A59CE">
        <w:t xml:space="preserve"> would need to include no treatment as a comparator</w:t>
      </w:r>
      <w:r w:rsidRPr="002A59CE">
        <w:t xml:space="preserve"> </w:t>
      </w:r>
      <w:r w:rsidR="00F52C75" w:rsidRPr="002A59CE">
        <w:t>(</w:t>
      </w:r>
      <w:r w:rsidR="0047374F" w:rsidRPr="002A59CE">
        <w:t xml:space="preserve">paragraph 7.10 of </w:t>
      </w:r>
      <w:r w:rsidR="00262165" w:rsidRPr="002A59CE">
        <w:t xml:space="preserve">the </w:t>
      </w:r>
      <w:r w:rsidR="0047374F" w:rsidRPr="002A59CE">
        <w:t xml:space="preserve">July 2016 ulipristal </w:t>
      </w:r>
      <w:r w:rsidR="00F52C75" w:rsidRPr="002A59CE">
        <w:t>PSD).</w:t>
      </w:r>
      <w:r w:rsidR="007A3DFB" w:rsidRPr="002A59CE">
        <w:t xml:space="preserve"> The ESC noted the comparison presented in the resubmission was 3 months of ulipristal followed by surgery with 3 months of placebo followed by surgery</w:t>
      </w:r>
      <w:r w:rsidR="00846521" w:rsidRPr="002A59CE">
        <w:t xml:space="preserve"> (rather than with immediate surgery), and the benefits claimed for </w:t>
      </w:r>
      <w:r w:rsidR="007A3DFB" w:rsidRPr="002A59CE">
        <w:t>u</w:t>
      </w:r>
      <w:r w:rsidR="00846521" w:rsidRPr="002A59CE">
        <w:t xml:space="preserve">lipristal related to reduced symptoms for the 3 months prior to surgery as well as facilitating less invasive surgery. </w:t>
      </w:r>
    </w:p>
    <w:p w:rsidR="00B60939" w:rsidRDefault="00B60939" w:rsidP="00497F10"/>
    <w:p w:rsidR="002D3CF8" w:rsidRPr="002A59CE" w:rsidRDefault="007A3DFB" w:rsidP="00CF1650">
      <w:pPr>
        <w:pStyle w:val="ListParagraph"/>
        <w:widowControl/>
        <w:numPr>
          <w:ilvl w:val="1"/>
          <w:numId w:val="3"/>
        </w:numPr>
      </w:pPr>
      <w:r w:rsidRPr="002A59CE">
        <w:rPr>
          <w:lang w:eastAsia="en-AU"/>
        </w:rPr>
        <w:t xml:space="preserve">The ESC noted that although placebo is the appropriate comparator, in clinical practice patients would receive treatments aimed at controlling menstrual bleeding. </w:t>
      </w:r>
      <w:r w:rsidR="00846521" w:rsidRPr="002A59CE">
        <w:t>C</w:t>
      </w:r>
      <w:r w:rsidR="002D3CF8" w:rsidRPr="002A59CE">
        <w:t xml:space="preserve">onservative management </w:t>
      </w:r>
      <w:r w:rsidR="00666C9A" w:rsidRPr="002A59CE">
        <w:t xml:space="preserve">may </w:t>
      </w:r>
      <w:r w:rsidR="00846521" w:rsidRPr="002A59CE">
        <w:t>include treatment</w:t>
      </w:r>
      <w:r w:rsidR="00686F40" w:rsidRPr="002A59CE">
        <w:t>s</w:t>
      </w:r>
      <w:r w:rsidR="00846521" w:rsidRPr="002A59CE">
        <w:t xml:space="preserve"> such as</w:t>
      </w:r>
      <w:r w:rsidR="00666C9A" w:rsidRPr="002A59CE">
        <w:t xml:space="preserve"> </w:t>
      </w:r>
      <w:r w:rsidR="002D3CF8" w:rsidRPr="002A59CE">
        <w:t>tran</w:t>
      </w:r>
      <w:r w:rsidR="005F0B50">
        <w:t>e</w:t>
      </w:r>
      <w:r w:rsidR="002D3CF8" w:rsidRPr="002A59CE">
        <w:t>x</w:t>
      </w:r>
      <w:r w:rsidR="005F0B50">
        <w:t>a</w:t>
      </w:r>
      <w:r w:rsidR="002D3CF8" w:rsidRPr="002A59CE">
        <w:t>mic acid, nonsteroidal anti-inflammatory</w:t>
      </w:r>
      <w:r w:rsidR="005F0B50">
        <w:t xml:space="preserve"> (NSAI)</w:t>
      </w:r>
      <w:r w:rsidR="002D3CF8" w:rsidRPr="002A59CE">
        <w:t xml:space="preserve"> drug, oral contraceptive pills</w:t>
      </w:r>
      <w:r w:rsidR="00686F40" w:rsidRPr="002A59CE">
        <w:t xml:space="preserve"> and</w:t>
      </w:r>
      <w:r w:rsidR="002D3CF8" w:rsidRPr="002A59CE">
        <w:t xml:space="preserve"> intrauterine devices</w:t>
      </w:r>
      <w:r w:rsidR="00CA645C">
        <w:t xml:space="preserve"> (IUDs)</w:t>
      </w:r>
      <w:r w:rsidR="00437985" w:rsidRPr="002A59CE">
        <w:t>.</w:t>
      </w:r>
      <w:r w:rsidR="000800A2" w:rsidRPr="002A59CE">
        <w:t xml:space="preserve"> </w:t>
      </w:r>
      <w:r w:rsidR="004858D7" w:rsidRPr="002A59CE">
        <w:t>T</w:t>
      </w:r>
      <w:r w:rsidR="002D3CF8" w:rsidRPr="002A59CE">
        <w:t>hese alternatives</w:t>
      </w:r>
      <w:r w:rsidR="00DF6FA7" w:rsidRPr="002A59CE">
        <w:t xml:space="preserve"> were not </w:t>
      </w:r>
      <w:r w:rsidR="00686F40" w:rsidRPr="002A59CE">
        <w:t>utilised</w:t>
      </w:r>
      <w:r w:rsidR="00DF6FA7" w:rsidRPr="002A59CE">
        <w:t xml:space="preserve"> in the trial, however,</w:t>
      </w:r>
      <w:r w:rsidR="002D3CF8" w:rsidRPr="002A59CE">
        <w:t xml:space="preserve"> </w:t>
      </w:r>
      <w:r w:rsidR="00686F40" w:rsidRPr="002A59CE">
        <w:t xml:space="preserve">may be relevant when considering the impact of </w:t>
      </w:r>
      <w:r w:rsidR="002D3CF8" w:rsidRPr="002A59CE">
        <w:t xml:space="preserve">ulipristal in comparison to </w:t>
      </w:r>
      <w:r w:rsidR="00686F40" w:rsidRPr="002A59CE">
        <w:t>current practice</w:t>
      </w:r>
      <w:r w:rsidR="002D3CF8" w:rsidRPr="002A59CE">
        <w:t>.</w:t>
      </w:r>
      <w:r w:rsidR="00666C9A" w:rsidRPr="002A59CE">
        <w:t xml:space="preserve"> </w:t>
      </w:r>
      <w:r w:rsidR="005F0B50">
        <w:t xml:space="preserve">The pre-PBAC response stated that NSAI medicines were used by approximately 8% of subjects during the clinical trial. </w:t>
      </w:r>
      <w:r w:rsidR="00DC477D">
        <w:t>Additionally, a</w:t>
      </w:r>
      <w:r w:rsidR="005F0B50">
        <w:t xml:space="preserve">lthough </w:t>
      </w:r>
      <w:r w:rsidR="00052074">
        <w:t xml:space="preserve">conservative management </w:t>
      </w:r>
      <w:r w:rsidR="005F0B50">
        <w:t>in clinical practice may include use of tranexamic and/or oral or intrauterine contraceptives, these alternatives are respectively limited by significant safety, efficacy and practical issues. The</w:t>
      </w:r>
      <w:r w:rsidR="00AA74AC">
        <w:t xml:space="preserve"> sponsor stated the</w:t>
      </w:r>
      <w:r w:rsidR="005F0B50">
        <w:t xml:space="preserve">re </w:t>
      </w:r>
      <w:r w:rsidR="000775E8">
        <w:t xml:space="preserve">are </w:t>
      </w:r>
      <w:r w:rsidR="005F0B50">
        <w:t>no robust data available which inform the effectiveness and safety of these tr</w:t>
      </w:r>
      <w:r w:rsidR="005F0B50" w:rsidRPr="00335285">
        <w:t xml:space="preserve">eatments, either in comparison to or combination with ulipristal, in the target indication. </w:t>
      </w:r>
    </w:p>
    <w:p w:rsidR="001B6188" w:rsidRPr="002A59CE" w:rsidRDefault="001B6188" w:rsidP="00497F10"/>
    <w:p w:rsidR="00F401FE" w:rsidRDefault="00686F40" w:rsidP="00F401FE">
      <w:pPr>
        <w:pStyle w:val="ListParagraph"/>
        <w:widowControl/>
        <w:numPr>
          <w:ilvl w:val="1"/>
          <w:numId w:val="3"/>
        </w:numPr>
        <w:rPr>
          <w:color w:val="000000" w:themeColor="text1"/>
        </w:rPr>
      </w:pPr>
      <w:r w:rsidRPr="002A59CE">
        <w:rPr>
          <w:color w:val="000000" w:themeColor="text1"/>
        </w:rPr>
        <w:t xml:space="preserve">The ESC noted that </w:t>
      </w:r>
      <w:r w:rsidR="007058BB" w:rsidRPr="002A59CE">
        <w:rPr>
          <w:color w:val="000000" w:themeColor="text1"/>
        </w:rPr>
        <w:t xml:space="preserve">hysterectomy rates in Australia have declined substantially over time, and </w:t>
      </w:r>
      <w:r w:rsidR="00F401FE" w:rsidRPr="002A59CE">
        <w:rPr>
          <w:color w:val="000000" w:themeColor="text1"/>
        </w:rPr>
        <w:t xml:space="preserve">the use of </w:t>
      </w:r>
      <w:r w:rsidR="00117F75" w:rsidRPr="002A59CE">
        <w:rPr>
          <w:color w:val="000000" w:themeColor="text1"/>
        </w:rPr>
        <w:t>PBS</w:t>
      </w:r>
      <w:r w:rsidR="00F401FE" w:rsidRPr="002A59CE">
        <w:rPr>
          <w:color w:val="000000" w:themeColor="text1"/>
        </w:rPr>
        <w:t xml:space="preserve"> medication</w:t>
      </w:r>
      <w:r w:rsidR="00117F75" w:rsidRPr="002A59CE">
        <w:rPr>
          <w:color w:val="000000" w:themeColor="text1"/>
        </w:rPr>
        <w:t>s</w:t>
      </w:r>
      <w:r w:rsidR="00F401FE" w:rsidRPr="002A59CE">
        <w:rPr>
          <w:color w:val="000000" w:themeColor="text1"/>
        </w:rPr>
        <w:t xml:space="preserve"> </w:t>
      </w:r>
      <w:r w:rsidR="000805AE" w:rsidRPr="002A59CE">
        <w:rPr>
          <w:color w:val="000000" w:themeColor="text1"/>
        </w:rPr>
        <w:t>that may</w:t>
      </w:r>
      <w:r w:rsidR="00F401FE" w:rsidRPr="002A59CE">
        <w:rPr>
          <w:color w:val="000000" w:themeColor="text1"/>
        </w:rPr>
        <w:t xml:space="preserve"> </w:t>
      </w:r>
      <w:r w:rsidR="007058BB" w:rsidRPr="002A59CE">
        <w:rPr>
          <w:color w:val="000000" w:themeColor="text1"/>
        </w:rPr>
        <w:t xml:space="preserve">control </w:t>
      </w:r>
      <w:r w:rsidR="00F401FE" w:rsidRPr="002A59CE">
        <w:rPr>
          <w:color w:val="000000" w:themeColor="text1"/>
        </w:rPr>
        <w:t>uterine bleeding appear</w:t>
      </w:r>
      <w:r w:rsidR="00093CD6" w:rsidRPr="002A59CE">
        <w:rPr>
          <w:color w:val="000000" w:themeColor="text1"/>
        </w:rPr>
        <w:t>s</w:t>
      </w:r>
      <w:r w:rsidR="00F401FE" w:rsidRPr="002A59CE">
        <w:rPr>
          <w:color w:val="000000" w:themeColor="text1"/>
        </w:rPr>
        <w:t xml:space="preserve"> to </w:t>
      </w:r>
      <w:r w:rsidR="007058BB" w:rsidRPr="002A59CE">
        <w:rPr>
          <w:color w:val="000000" w:themeColor="text1"/>
        </w:rPr>
        <w:t xml:space="preserve">have </w:t>
      </w:r>
      <w:r w:rsidR="00F401FE" w:rsidRPr="002A59CE">
        <w:rPr>
          <w:color w:val="000000" w:themeColor="text1"/>
        </w:rPr>
        <w:t>be</w:t>
      </w:r>
      <w:r w:rsidR="007058BB" w:rsidRPr="002A59CE">
        <w:rPr>
          <w:color w:val="000000" w:themeColor="text1"/>
        </w:rPr>
        <w:t>en</w:t>
      </w:r>
      <w:r w:rsidR="00F401FE" w:rsidRPr="002A59CE">
        <w:rPr>
          <w:color w:val="000000" w:themeColor="text1"/>
        </w:rPr>
        <w:t xml:space="preserve"> increasing</w:t>
      </w:r>
      <w:r w:rsidR="00093CD6" w:rsidRPr="002A59CE">
        <w:rPr>
          <w:color w:val="000000" w:themeColor="text1"/>
        </w:rPr>
        <w:t>, although</w:t>
      </w:r>
      <w:r w:rsidR="000805AE" w:rsidRPr="002A59CE">
        <w:rPr>
          <w:color w:val="000000" w:themeColor="text1"/>
        </w:rPr>
        <w:t>,</w:t>
      </w:r>
      <w:r w:rsidR="00F401FE" w:rsidRPr="002A59CE">
        <w:rPr>
          <w:color w:val="000000" w:themeColor="text1"/>
        </w:rPr>
        <w:t xml:space="preserve"> these medic</w:t>
      </w:r>
      <w:r w:rsidR="007058BB" w:rsidRPr="002A59CE">
        <w:rPr>
          <w:color w:val="000000" w:themeColor="text1"/>
        </w:rPr>
        <w:t>ations</w:t>
      </w:r>
      <w:r w:rsidR="00F401FE" w:rsidRPr="002A59CE">
        <w:rPr>
          <w:color w:val="000000" w:themeColor="text1"/>
        </w:rPr>
        <w:t xml:space="preserve"> can be prescribed for other purposes</w:t>
      </w:r>
      <w:r w:rsidR="005E197B" w:rsidRPr="002A59CE">
        <w:rPr>
          <w:color w:val="000000" w:themeColor="text1"/>
        </w:rPr>
        <w:t xml:space="preserve"> (Yusuf et al., 2016)</w:t>
      </w:r>
      <w:r w:rsidR="00093CD6" w:rsidRPr="002A59CE">
        <w:rPr>
          <w:color w:val="000000" w:themeColor="text1"/>
        </w:rPr>
        <w:t>.</w:t>
      </w:r>
      <w:r w:rsidR="000805AE" w:rsidRPr="002A59CE">
        <w:rPr>
          <w:color w:val="000000" w:themeColor="text1"/>
        </w:rPr>
        <w:t xml:space="preserve"> </w:t>
      </w:r>
      <w:r w:rsidR="00093CD6" w:rsidRPr="002A59CE">
        <w:rPr>
          <w:color w:val="000000" w:themeColor="text1"/>
        </w:rPr>
        <w:t>Overall,</w:t>
      </w:r>
      <w:r w:rsidR="000805AE" w:rsidRPr="002A59CE">
        <w:rPr>
          <w:color w:val="000000" w:themeColor="text1"/>
        </w:rPr>
        <w:t xml:space="preserve"> the current management of symptomatic uterine fibroids in Australian clinical practice is unclear and is likely to vary based on patient preferences</w:t>
      </w:r>
      <w:r w:rsidR="00AA74AC">
        <w:rPr>
          <w:color w:val="000000" w:themeColor="text1"/>
        </w:rPr>
        <w:t xml:space="preserve"> and location,</w:t>
      </w:r>
      <w:r w:rsidR="000805AE" w:rsidRPr="002A59CE">
        <w:rPr>
          <w:color w:val="000000" w:themeColor="text1"/>
        </w:rPr>
        <w:t xml:space="preserve"> as well as clinical factors</w:t>
      </w:r>
      <w:r w:rsidR="00F401FE" w:rsidRPr="002A59CE">
        <w:rPr>
          <w:color w:val="000000" w:themeColor="text1"/>
        </w:rPr>
        <w:t>.</w:t>
      </w:r>
    </w:p>
    <w:p w:rsidR="00AA74AC" w:rsidRPr="00AA74AC" w:rsidRDefault="00AA74AC" w:rsidP="00AA74AC">
      <w:pPr>
        <w:pStyle w:val="ListParagraph"/>
        <w:rPr>
          <w:color w:val="000000" w:themeColor="text1"/>
        </w:rPr>
      </w:pPr>
    </w:p>
    <w:p w:rsidR="00AA74AC" w:rsidRPr="002A59CE" w:rsidRDefault="003C3D05" w:rsidP="00F401FE">
      <w:pPr>
        <w:pStyle w:val="ListParagraph"/>
        <w:widowControl/>
        <w:numPr>
          <w:ilvl w:val="1"/>
          <w:numId w:val="3"/>
        </w:numPr>
        <w:rPr>
          <w:color w:val="000000" w:themeColor="text1"/>
        </w:rPr>
      </w:pPr>
      <w:r>
        <w:t>Given the economic model included benefits associated with reduced symptoms whilst waiting for surgery as well as less invasive surgery, t</w:t>
      </w:r>
      <w:r w:rsidR="003152BD">
        <w:t xml:space="preserve">he PBAC considered the appropriate comparison would be </w:t>
      </w:r>
      <w:r>
        <w:t xml:space="preserve">ulipristal plus </w:t>
      </w:r>
      <w:r w:rsidR="006259D4">
        <w:t>conservative</w:t>
      </w:r>
      <w:r>
        <w:t xml:space="preserve"> management versus placebo plus </w:t>
      </w:r>
      <w:r w:rsidR="006259D4">
        <w:t>conservative</w:t>
      </w:r>
      <w:r>
        <w:t xml:space="preserve"> management.</w:t>
      </w:r>
    </w:p>
    <w:p w:rsidR="00F401FE" w:rsidRDefault="00F401FE" w:rsidP="00F401FE">
      <w:pPr>
        <w:rPr>
          <w:i/>
          <w:color w:val="000000" w:themeColor="text1"/>
        </w:rPr>
      </w:pPr>
    </w:p>
    <w:p w:rsidR="00F60AB3" w:rsidRPr="00DD4EA3" w:rsidRDefault="00F60AB3" w:rsidP="00F60AB3">
      <w:pPr>
        <w:ind w:firstLine="720"/>
        <w:rPr>
          <w:bCs/>
          <w:szCs w:val="22"/>
        </w:rPr>
      </w:pPr>
      <w:r w:rsidRPr="00DD4EA3">
        <w:rPr>
          <w:bCs/>
          <w:i/>
          <w:szCs w:val="22"/>
        </w:rPr>
        <w:t>For more detail on PBAC’s view, see section 7 “PBAC outcome”</w:t>
      </w:r>
    </w:p>
    <w:p w:rsidR="00F60AB3" w:rsidRPr="00DD4EA3" w:rsidRDefault="00F60AB3" w:rsidP="00F401FE">
      <w:pPr>
        <w:rPr>
          <w:i/>
          <w:color w:val="000000" w:themeColor="text1"/>
        </w:rPr>
      </w:pPr>
    </w:p>
    <w:p w:rsidR="00F401FE" w:rsidRPr="00DD4EA3" w:rsidRDefault="00F401FE" w:rsidP="00497F10"/>
    <w:p w:rsidR="00D06FD4" w:rsidRPr="00DD4EA3" w:rsidRDefault="00472359" w:rsidP="005D7E3E">
      <w:pPr>
        <w:pStyle w:val="PBACheading1"/>
        <w:rPr>
          <w:b/>
        </w:rPr>
      </w:pPr>
      <w:bookmarkStart w:id="9" w:name="_Toc472349028"/>
      <w:r w:rsidRPr="00DD4EA3">
        <w:rPr>
          <w:b/>
        </w:rPr>
        <w:t>C</w:t>
      </w:r>
      <w:r w:rsidR="00D06FD4" w:rsidRPr="00DD4EA3">
        <w:rPr>
          <w:b/>
        </w:rPr>
        <w:t>onsideration of the evidence</w:t>
      </w:r>
      <w:bookmarkEnd w:id="9"/>
    </w:p>
    <w:p w:rsidR="00B60939" w:rsidRPr="00DD4EA3" w:rsidRDefault="00B60939" w:rsidP="00996B1A">
      <w:pPr>
        <w:widowControl/>
        <w:rPr>
          <w:b/>
          <w:szCs w:val="22"/>
        </w:rPr>
      </w:pPr>
    </w:p>
    <w:p w:rsidR="00F8401A" w:rsidRPr="00DD4EA3" w:rsidRDefault="00F8401A" w:rsidP="0059313D">
      <w:pPr>
        <w:pStyle w:val="Heading2"/>
        <w:rPr>
          <w:b w:val="0"/>
          <w:bCs/>
          <w:i/>
          <w:szCs w:val="22"/>
        </w:rPr>
      </w:pPr>
      <w:r w:rsidRPr="00DD4EA3">
        <w:rPr>
          <w:bCs/>
          <w:i/>
          <w:szCs w:val="22"/>
        </w:rPr>
        <w:t>Sponsor hearing</w:t>
      </w:r>
    </w:p>
    <w:p w:rsidR="00F8401A" w:rsidRPr="00DD4EA3" w:rsidRDefault="00F8401A" w:rsidP="00F8401A">
      <w:pPr>
        <w:rPr>
          <w:b/>
          <w:bCs/>
          <w:szCs w:val="22"/>
        </w:rPr>
      </w:pPr>
    </w:p>
    <w:p w:rsidR="00DD4EA3" w:rsidRPr="00DD4EA3" w:rsidRDefault="00F8401A" w:rsidP="00DD4EA3">
      <w:pPr>
        <w:widowControl/>
        <w:numPr>
          <w:ilvl w:val="1"/>
          <w:numId w:val="3"/>
        </w:numPr>
        <w:jc w:val="left"/>
        <w:rPr>
          <w:bCs/>
          <w:szCs w:val="22"/>
        </w:rPr>
      </w:pPr>
      <w:r w:rsidRPr="00DD4EA3">
        <w:rPr>
          <w:bCs/>
          <w:szCs w:val="22"/>
        </w:rPr>
        <w:t>There was no hearing for this item.</w:t>
      </w:r>
    </w:p>
    <w:p w:rsidR="00F8401A" w:rsidRPr="00817EFB" w:rsidRDefault="00DD4EA3" w:rsidP="00DD4EA3">
      <w:pPr>
        <w:widowControl/>
        <w:jc w:val="left"/>
        <w:rPr>
          <w:bCs/>
          <w:szCs w:val="22"/>
          <w:highlight w:val="yellow"/>
        </w:rPr>
      </w:pPr>
      <w:r w:rsidRPr="00817EFB">
        <w:rPr>
          <w:bCs/>
          <w:szCs w:val="22"/>
          <w:highlight w:val="yellow"/>
        </w:rPr>
        <w:t xml:space="preserve"> </w:t>
      </w:r>
    </w:p>
    <w:p w:rsidR="00F8401A" w:rsidRPr="0059313D" w:rsidRDefault="00F8401A" w:rsidP="0059313D">
      <w:pPr>
        <w:pStyle w:val="Heading2"/>
        <w:rPr>
          <w:i/>
        </w:rPr>
      </w:pPr>
      <w:r w:rsidRPr="0059313D">
        <w:rPr>
          <w:i/>
        </w:rPr>
        <w:t>Consumer comments</w:t>
      </w:r>
    </w:p>
    <w:p w:rsidR="00F8401A" w:rsidRPr="00DD4EA3" w:rsidRDefault="00F8401A" w:rsidP="00F8401A">
      <w:pPr>
        <w:rPr>
          <w:b/>
          <w:bCs/>
          <w:szCs w:val="22"/>
        </w:rPr>
      </w:pPr>
    </w:p>
    <w:p w:rsidR="00F8401A" w:rsidRPr="00DD4EA3" w:rsidRDefault="00F8401A" w:rsidP="00DD4EA3">
      <w:pPr>
        <w:widowControl/>
        <w:numPr>
          <w:ilvl w:val="1"/>
          <w:numId w:val="3"/>
        </w:numPr>
        <w:jc w:val="left"/>
        <w:rPr>
          <w:szCs w:val="22"/>
        </w:rPr>
      </w:pPr>
      <w:r w:rsidRPr="00DD4EA3">
        <w:rPr>
          <w:bCs/>
          <w:szCs w:val="22"/>
        </w:rPr>
        <w:t>The PBAC noted that no consumer comments were received for this item</w:t>
      </w:r>
      <w:r w:rsidR="00DD4EA3" w:rsidRPr="00DD4EA3">
        <w:rPr>
          <w:bCs/>
          <w:szCs w:val="22"/>
        </w:rPr>
        <w:t>.</w:t>
      </w:r>
    </w:p>
    <w:p w:rsidR="00F8401A" w:rsidRPr="00882085" w:rsidRDefault="00F8401A" w:rsidP="00996B1A">
      <w:pPr>
        <w:widowControl/>
        <w:rPr>
          <w:b/>
          <w:szCs w:val="22"/>
        </w:rPr>
      </w:pPr>
    </w:p>
    <w:p w:rsidR="00B60939" w:rsidRPr="00497F10" w:rsidRDefault="00B60939" w:rsidP="00497F10">
      <w:pPr>
        <w:pStyle w:val="Heading2"/>
        <w:rPr>
          <w:i/>
        </w:rPr>
      </w:pPr>
      <w:bookmarkStart w:id="10" w:name="_Toc472349029"/>
      <w:r w:rsidRPr="00497F10">
        <w:rPr>
          <w:i/>
        </w:rPr>
        <w:t>Clinical trials</w:t>
      </w:r>
      <w:bookmarkEnd w:id="10"/>
    </w:p>
    <w:p w:rsidR="00B60939" w:rsidRPr="00882085" w:rsidRDefault="00B60939" w:rsidP="00B60939">
      <w:pPr>
        <w:rPr>
          <w:szCs w:val="22"/>
        </w:rPr>
      </w:pPr>
    </w:p>
    <w:p w:rsidR="003B4926" w:rsidRPr="003B4926" w:rsidRDefault="001B6188" w:rsidP="00CF1650">
      <w:pPr>
        <w:pStyle w:val="ListParagraph"/>
        <w:widowControl/>
        <w:numPr>
          <w:ilvl w:val="1"/>
          <w:numId w:val="3"/>
        </w:numPr>
        <w:rPr>
          <w:szCs w:val="22"/>
        </w:rPr>
      </w:pPr>
      <w:r w:rsidRPr="00862502">
        <w:t xml:space="preserve">The </w:t>
      </w:r>
      <w:r w:rsidR="007B08B0">
        <w:t>resubmission</w:t>
      </w:r>
      <w:r w:rsidR="006D1AAB">
        <w:t xml:space="preserve"> wa</w:t>
      </w:r>
      <w:r w:rsidRPr="00862502">
        <w:t>s based on</w:t>
      </w:r>
      <w:r w:rsidR="003B4926">
        <w:t>:</w:t>
      </w:r>
    </w:p>
    <w:p w:rsidR="003B4926" w:rsidRPr="003B4926" w:rsidRDefault="001B6188" w:rsidP="00CF1650">
      <w:pPr>
        <w:pStyle w:val="ListParagraph"/>
        <w:widowControl/>
        <w:numPr>
          <w:ilvl w:val="0"/>
          <w:numId w:val="9"/>
        </w:numPr>
        <w:ind w:left="993" w:hanging="284"/>
        <w:rPr>
          <w:szCs w:val="22"/>
        </w:rPr>
      </w:pPr>
      <w:r w:rsidRPr="00862502">
        <w:t xml:space="preserve">one head-to-head trial </w:t>
      </w:r>
      <w:r w:rsidR="00D50284">
        <w:t xml:space="preserve">(PEARL I) </w:t>
      </w:r>
      <w:r w:rsidRPr="00862502">
        <w:t xml:space="preserve">comparing </w:t>
      </w:r>
      <w:r w:rsidR="00D50284">
        <w:t>ulipristal 5</w:t>
      </w:r>
      <w:r w:rsidR="00A31E54">
        <w:t xml:space="preserve"> </w:t>
      </w:r>
      <w:r w:rsidR="00D50284">
        <w:t>mg once per day</w:t>
      </w:r>
      <w:r w:rsidRPr="00862502">
        <w:t xml:space="preserve"> </w:t>
      </w:r>
      <w:r w:rsidR="006D1AAB">
        <w:t xml:space="preserve">(n=96) </w:t>
      </w:r>
      <w:r w:rsidRPr="00862502">
        <w:t xml:space="preserve">to </w:t>
      </w:r>
      <w:r w:rsidR="00D50284">
        <w:t>placebo</w:t>
      </w:r>
      <w:r w:rsidRPr="00862502">
        <w:t xml:space="preserve"> (n=</w:t>
      </w:r>
      <w:r w:rsidR="006D1AAB">
        <w:t>48</w:t>
      </w:r>
      <w:r w:rsidRPr="00862502">
        <w:t>)</w:t>
      </w:r>
      <w:r w:rsidR="00D50284">
        <w:t xml:space="preserve">, </w:t>
      </w:r>
    </w:p>
    <w:p w:rsidR="003B4926" w:rsidRPr="003B4926" w:rsidRDefault="00D50284" w:rsidP="00CF1650">
      <w:pPr>
        <w:pStyle w:val="ListParagraph"/>
        <w:widowControl/>
        <w:numPr>
          <w:ilvl w:val="0"/>
          <w:numId w:val="9"/>
        </w:numPr>
        <w:ind w:left="993" w:hanging="284"/>
        <w:rPr>
          <w:szCs w:val="22"/>
        </w:rPr>
      </w:pPr>
      <w:r>
        <w:t>one supportive trial (PEARL II) comparing ulipristal 5</w:t>
      </w:r>
      <w:r w:rsidR="00A31E54">
        <w:t xml:space="preserve"> </w:t>
      </w:r>
      <w:r>
        <w:t xml:space="preserve">mg once per day </w:t>
      </w:r>
      <w:r w:rsidR="006D1AAB">
        <w:t xml:space="preserve">(n=102) </w:t>
      </w:r>
      <w:r>
        <w:t>to leuprorelin (n=</w:t>
      </w:r>
      <w:r w:rsidR="006D1AAB">
        <w:t>102</w:t>
      </w:r>
      <w:r>
        <w:t xml:space="preserve">), and </w:t>
      </w:r>
    </w:p>
    <w:p w:rsidR="003B4926" w:rsidRPr="003B4926" w:rsidRDefault="00D50284" w:rsidP="00CF1650">
      <w:pPr>
        <w:pStyle w:val="ListParagraph"/>
        <w:widowControl/>
        <w:numPr>
          <w:ilvl w:val="0"/>
          <w:numId w:val="9"/>
        </w:numPr>
        <w:ind w:left="993" w:hanging="284"/>
        <w:rPr>
          <w:szCs w:val="22"/>
        </w:rPr>
      </w:pPr>
      <w:r>
        <w:t>one supportive rea</w:t>
      </w:r>
      <w:r w:rsidR="00774B51">
        <w:t>l</w:t>
      </w:r>
      <w:r w:rsidR="00D10A50">
        <w:t>-</w:t>
      </w:r>
      <w:r>
        <w:t>world practice study (PREMYA)</w:t>
      </w:r>
      <w:r w:rsidR="001B6188" w:rsidRPr="00862502">
        <w:t>.</w:t>
      </w:r>
      <w:r w:rsidR="001B6188" w:rsidRPr="00D06FD4">
        <w:rPr>
          <w:color w:val="3366FF"/>
        </w:rPr>
        <w:t xml:space="preserve"> </w:t>
      </w:r>
      <w:r w:rsidR="00425CB2" w:rsidRPr="00D06FD4">
        <w:rPr>
          <w:color w:val="3366FF"/>
        </w:rPr>
        <w:t xml:space="preserve"> </w:t>
      </w:r>
    </w:p>
    <w:p w:rsidR="007F1017" w:rsidRPr="00022F27" w:rsidRDefault="00D50284" w:rsidP="003B4926">
      <w:pPr>
        <w:widowControl/>
        <w:ind w:left="709"/>
        <w:rPr>
          <w:szCs w:val="22"/>
        </w:rPr>
      </w:pPr>
      <w:r w:rsidRPr="00022F27">
        <w:rPr>
          <w:color w:val="000000" w:themeColor="text1"/>
        </w:rPr>
        <w:t>The PEARL I and PEARL II trials were included in the July 2016 submission.</w:t>
      </w:r>
      <w:r w:rsidR="006D1AAB" w:rsidRPr="00022F27">
        <w:rPr>
          <w:color w:val="000000" w:themeColor="text1"/>
        </w:rPr>
        <w:t xml:space="preserve">  As for the July 2016 submission, since the recommended dose of ulipristal in Australia is 5</w:t>
      </w:r>
      <w:r w:rsidR="006259D4">
        <w:rPr>
          <w:color w:val="000000" w:themeColor="text1"/>
        </w:rPr>
        <w:t> </w:t>
      </w:r>
      <w:r w:rsidR="006D1AAB" w:rsidRPr="00022F27">
        <w:rPr>
          <w:color w:val="000000" w:themeColor="text1"/>
        </w:rPr>
        <w:t xml:space="preserve">mg once daily, </w:t>
      </w:r>
      <w:r w:rsidR="006D1AAB" w:rsidRPr="00093CD6">
        <w:rPr>
          <w:color w:val="000000" w:themeColor="text1"/>
        </w:rPr>
        <w:t>the results for the 10 mg treatment group</w:t>
      </w:r>
      <w:r w:rsidR="00093CD6" w:rsidRPr="00093CD6">
        <w:rPr>
          <w:color w:val="000000" w:themeColor="text1"/>
        </w:rPr>
        <w:t>s are</w:t>
      </w:r>
      <w:r w:rsidR="00135985" w:rsidRPr="00093CD6">
        <w:rPr>
          <w:color w:val="000000" w:themeColor="text1"/>
        </w:rPr>
        <w:t xml:space="preserve"> not</w:t>
      </w:r>
      <w:r w:rsidR="005E15F8" w:rsidRPr="00093CD6">
        <w:rPr>
          <w:color w:val="000000" w:themeColor="text1"/>
        </w:rPr>
        <w:t xml:space="preserve"> </w:t>
      </w:r>
      <w:r w:rsidR="006D1AAB" w:rsidRPr="00093CD6">
        <w:rPr>
          <w:color w:val="000000" w:themeColor="text1"/>
        </w:rPr>
        <w:t>presented</w:t>
      </w:r>
    </w:p>
    <w:p w:rsidR="001B6188" w:rsidRPr="00022F27" w:rsidRDefault="001B6188" w:rsidP="001B6188">
      <w:pPr>
        <w:widowControl/>
        <w:rPr>
          <w:szCs w:val="22"/>
        </w:rPr>
      </w:pPr>
    </w:p>
    <w:p w:rsidR="001B6188" w:rsidRPr="00D06FD4" w:rsidRDefault="001B6188" w:rsidP="00CF1650">
      <w:pPr>
        <w:pStyle w:val="ListParagraph"/>
        <w:widowControl/>
        <w:numPr>
          <w:ilvl w:val="1"/>
          <w:numId w:val="3"/>
        </w:numPr>
        <w:rPr>
          <w:szCs w:val="22"/>
        </w:rPr>
      </w:pPr>
      <w:r w:rsidRPr="00D06FD4">
        <w:rPr>
          <w:szCs w:val="22"/>
        </w:rPr>
        <w:t xml:space="preserve">Details of the trials presented in the </w:t>
      </w:r>
      <w:r w:rsidR="007B08B0">
        <w:rPr>
          <w:szCs w:val="22"/>
        </w:rPr>
        <w:t>resubmission</w:t>
      </w:r>
      <w:r w:rsidRPr="00D06FD4">
        <w:rPr>
          <w:szCs w:val="22"/>
        </w:rPr>
        <w:t xml:space="preserve"> are provided in </w:t>
      </w:r>
      <w:r w:rsidR="008F70AF">
        <w:rPr>
          <w:szCs w:val="22"/>
        </w:rPr>
        <w:t xml:space="preserve">Table </w:t>
      </w:r>
      <w:r w:rsidR="00D5321D">
        <w:rPr>
          <w:szCs w:val="22"/>
        </w:rPr>
        <w:t>2</w:t>
      </w:r>
      <w:r w:rsidRPr="00D06FD4">
        <w:rPr>
          <w:szCs w:val="22"/>
        </w:rPr>
        <w:t>.</w:t>
      </w:r>
    </w:p>
    <w:p w:rsidR="001B6188" w:rsidRPr="001B6188" w:rsidRDefault="001B6188" w:rsidP="001B6188">
      <w:pPr>
        <w:widowControl/>
        <w:rPr>
          <w:szCs w:val="22"/>
        </w:rPr>
      </w:pPr>
    </w:p>
    <w:p w:rsidR="00961AF9" w:rsidRDefault="00961AF9" w:rsidP="00E92E37">
      <w:pPr>
        <w:keepNext/>
        <w:keepLines/>
        <w:ind w:firstLine="720"/>
        <w:rPr>
          <w:rStyle w:val="CommentReference"/>
        </w:rPr>
      </w:pPr>
      <w:r w:rsidRPr="000812CA">
        <w:rPr>
          <w:rStyle w:val="CommentReference"/>
        </w:rPr>
        <w:t xml:space="preserve">Table </w:t>
      </w:r>
      <w:r w:rsidR="00D5321D">
        <w:rPr>
          <w:rStyle w:val="CommentReference"/>
        </w:rPr>
        <w:t>2</w:t>
      </w:r>
      <w:r w:rsidRPr="000812CA">
        <w:rPr>
          <w:rStyle w:val="CommentReference"/>
        </w:rPr>
        <w:t xml:space="preserve">: Trials and associated reports presented in the </w:t>
      </w:r>
      <w:r w:rsidR="007B08B0">
        <w:rPr>
          <w:rStyle w:val="CommentReference"/>
        </w:rPr>
        <w:t>resubmission</w:t>
      </w:r>
    </w:p>
    <w:tbl>
      <w:tblPr>
        <w:tblW w:w="4607"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18"/>
        <w:gridCol w:w="4964"/>
        <w:gridCol w:w="2387"/>
      </w:tblGrid>
      <w:tr w:rsidR="00021B88" w:rsidRPr="004E2ADC" w:rsidTr="00E92E37">
        <w:tc>
          <w:tcPr>
            <w:tcW w:w="608" w:type="pct"/>
          </w:tcPr>
          <w:p w:rsidR="00021B88" w:rsidRPr="004E2ADC" w:rsidRDefault="00021B88" w:rsidP="00E92E37">
            <w:pPr>
              <w:keepNext/>
              <w:keepLines/>
              <w:jc w:val="left"/>
              <w:rPr>
                <w:rFonts w:ascii="Arial Narrow" w:hAnsi="Arial Narrow"/>
                <w:b/>
                <w:sz w:val="20"/>
              </w:rPr>
            </w:pPr>
            <w:r w:rsidRPr="004E2ADC">
              <w:rPr>
                <w:rFonts w:ascii="Arial Narrow" w:hAnsi="Arial Narrow"/>
                <w:b/>
                <w:sz w:val="20"/>
              </w:rPr>
              <w:t>Trial ID</w:t>
            </w:r>
          </w:p>
        </w:tc>
        <w:tc>
          <w:tcPr>
            <w:tcW w:w="2966" w:type="pct"/>
          </w:tcPr>
          <w:p w:rsidR="00021B88" w:rsidRPr="004E2ADC" w:rsidRDefault="00021B88" w:rsidP="00E92E37">
            <w:pPr>
              <w:keepNext/>
              <w:keepLines/>
              <w:jc w:val="center"/>
              <w:rPr>
                <w:rFonts w:ascii="Arial Narrow" w:hAnsi="Arial Narrow"/>
                <w:b/>
                <w:sz w:val="20"/>
              </w:rPr>
            </w:pPr>
            <w:r w:rsidRPr="004E2ADC">
              <w:rPr>
                <w:rFonts w:ascii="Arial Narrow" w:hAnsi="Arial Narrow"/>
                <w:b/>
                <w:sz w:val="20"/>
              </w:rPr>
              <w:t>Protocol title/ Publication title</w:t>
            </w:r>
          </w:p>
        </w:tc>
        <w:tc>
          <w:tcPr>
            <w:tcW w:w="1426" w:type="pct"/>
          </w:tcPr>
          <w:p w:rsidR="00021B88" w:rsidRPr="004E2ADC" w:rsidRDefault="00021B88" w:rsidP="00E92E37">
            <w:pPr>
              <w:keepNext/>
              <w:keepLines/>
              <w:jc w:val="center"/>
              <w:rPr>
                <w:rFonts w:ascii="Arial Narrow" w:hAnsi="Arial Narrow"/>
                <w:b/>
                <w:sz w:val="20"/>
              </w:rPr>
            </w:pPr>
            <w:r w:rsidRPr="004E2ADC">
              <w:rPr>
                <w:rFonts w:ascii="Arial Narrow" w:hAnsi="Arial Narrow"/>
                <w:b/>
                <w:sz w:val="20"/>
              </w:rPr>
              <w:t>Publication citation</w:t>
            </w:r>
          </w:p>
        </w:tc>
      </w:tr>
      <w:tr w:rsidR="00021B88" w:rsidRPr="004E2ADC" w:rsidTr="00E92E37">
        <w:tc>
          <w:tcPr>
            <w:tcW w:w="5000" w:type="pct"/>
            <w:gridSpan w:val="3"/>
            <w:tcBorders>
              <w:bottom w:val="single" w:sz="4" w:space="0" w:color="auto"/>
            </w:tcBorders>
          </w:tcPr>
          <w:p w:rsidR="00021B88" w:rsidRPr="004E2ADC" w:rsidRDefault="007209E6" w:rsidP="00E92E37">
            <w:pPr>
              <w:keepNext/>
              <w:keepLines/>
              <w:jc w:val="left"/>
              <w:rPr>
                <w:rFonts w:ascii="Arial Narrow" w:hAnsi="Arial Narrow"/>
                <w:b/>
                <w:sz w:val="20"/>
              </w:rPr>
            </w:pPr>
            <w:r>
              <w:rPr>
                <w:rFonts w:ascii="Arial Narrow" w:hAnsi="Arial Narrow"/>
                <w:b/>
                <w:sz w:val="20"/>
              </w:rPr>
              <w:t xml:space="preserve">Key trial: </w:t>
            </w:r>
            <w:r w:rsidR="00021B88">
              <w:rPr>
                <w:rFonts w:ascii="Arial Narrow" w:hAnsi="Arial Narrow"/>
                <w:b/>
                <w:sz w:val="20"/>
              </w:rPr>
              <w:t xml:space="preserve">Ulipristal </w:t>
            </w:r>
            <w:r w:rsidR="004507A6">
              <w:rPr>
                <w:rFonts w:ascii="Arial Narrow" w:hAnsi="Arial Narrow"/>
                <w:b/>
                <w:sz w:val="20"/>
              </w:rPr>
              <w:t>versus placebo</w:t>
            </w:r>
          </w:p>
        </w:tc>
      </w:tr>
      <w:tr w:rsidR="00021B88" w:rsidRPr="004E2ADC" w:rsidTr="00E92E37">
        <w:tc>
          <w:tcPr>
            <w:tcW w:w="608" w:type="pct"/>
            <w:tcBorders>
              <w:bottom w:val="nil"/>
            </w:tcBorders>
          </w:tcPr>
          <w:p w:rsidR="00021B88" w:rsidRDefault="00021B88" w:rsidP="00E92E37">
            <w:pPr>
              <w:keepNext/>
              <w:keepLines/>
              <w:jc w:val="left"/>
              <w:rPr>
                <w:rFonts w:ascii="Arial Narrow" w:hAnsi="Arial Narrow"/>
                <w:sz w:val="20"/>
              </w:rPr>
            </w:pPr>
            <w:r>
              <w:rPr>
                <w:rFonts w:ascii="Arial Narrow" w:hAnsi="Arial Narrow"/>
                <w:sz w:val="20"/>
              </w:rPr>
              <w:t>PEARL I</w:t>
            </w:r>
          </w:p>
          <w:p w:rsidR="00021B88" w:rsidRDefault="00021B88" w:rsidP="00E92E37">
            <w:pPr>
              <w:keepNext/>
              <w:keepLines/>
              <w:jc w:val="left"/>
              <w:rPr>
                <w:rFonts w:ascii="Arial Narrow" w:hAnsi="Arial Narrow"/>
                <w:sz w:val="20"/>
              </w:rPr>
            </w:pPr>
            <w:r>
              <w:rPr>
                <w:rFonts w:ascii="Arial Narrow" w:hAnsi="Arial Narrow"/>
                <w:sz w:val="20"/>
              </w:rPr>
              <w:t>(PGL07-021)</w:t>
            </w:r>
          </w:p>
          <w:p w:rsidR="00021B88" w:rsidRPr="004E2ADC" w:rsidRDefault="00021B88" w:rsidP="00E92E37">
            <w:pPr>
              <w:keepNext/>
              <w:keepLines/>
              <w:jc w:val="left"/>
              <w:rPr>
                <w:rFonts w:ascii="Arial Narrow" w:hAnsi="Arial Narrow"/>
                <w:sz w:val="20"/>
              </w:rPr>
            </w:pPr>
          </w:p>
        </w:tc>
        <w:tc>
          <w:tcPr>
            <w:tcW w:w="2966" w:type="pct"/>
            <w:tcBorders>
              <w:bottom w:val="nil"/>
            </w:tcBorders>
          </w:tcPr>
          <w:p w:rsidR="00021B88" w:rsidRPr="004E2ADC" w:rsidRDefault="00021B88" w:rsidP="00E92E37">
            <w:pPr>
              <w:keepNext/>
              <w:keepLines/>
              <w:spacing w:after="60"/>
              <w:jc w:val="left"/>
              <w:rPr>
                <w:rFonts w:ascii="Arial Narrow" w:hAnsi="Arial Narrow"/>
                <w:b/>
                <w:sz w:val="20"/>
              </w:rPr>
            </w:pPr>
            <w:r>
              <w:rPr>
                <w:rFonts w:ascii="Arial Narrow" w:hAnsi="Arial Narrow"/>
                <w:sz w:val="20"/>
              </w:rPr>
              <w:t>A phase III, randomised, parallel group, double-blind, placebo-controlled, multi-centre study to assess the efficacy and safety of ulipristal acetate versus placebo for pre-operative treatment of symptomatic uterine myomas.</w:t>
            </w:r>
          </w:p>
        </w:tc>
        <w:tc>
          <w:tcPr>
            <w:tcW w:w="1426" w:type="pct"/>
            <w:tcBorders>
              <w:bottom w:val="nil"/>
            </w:tcBorders>
          </w:tcPr>
          <w:p w:rsidR="00021B88" w:rsidRPr="004E2ADC" w:rsidRDefault="00021B88" w:rsidP="00E92E37">
            <w:pPr>
              <w:keepNext/>
              <w:keepLines/>
              <w:jc w:val="left"/>
              <w:rPr>
                <w:rFonts w:ascii="Arial Narrow" w:hAnsi="Arial Narrow"/>
                <w:b/>
                <w:sz w:val="20"/>
              </w:rPr>
            </w:pPr>
            <w:r>
              <w:rPr>
                <w:rFonts w:ascii="Arial Narrow" w:hAnsi="Arial Narrow"/>
                <w:sz w:val="20"/>
              </w:rPr>
              <w:t>September 2010.</w:t>
            </w:r>
          </w:p>
        </w:tc>
      </w:tr>
      <w:tr w:rsidR="00021B88" w:rsidRPr="004E2ADC" w:rsidTr="00E92E37">
        <w:tc>
          <w:tcPr>
            <w:tcW w:w="608" w:type="pct"/>
            <w:tcBorders>
              <w:top w:val="nil"/>
              <w:bottom w:val="single" w:sz="4" w:space="0" w:color="auto"/>
            </w:tcBorders>
          </w:tcPr>
          <w:p w:rsidR="00021B88" w:rsidRDefault="00021B88" w:rsidP="00E92E37">
            <w:pPr>
              <w:keepNext/>
              <w:keepLines/>
              <w:jc w:val="left"/>
              <w:rPr>
                <w:rFonts w:ascii="Arial Narrow" w:hAnsi="Arial Narrow"/>
                <w:sz w:val="20"/>
              </w:rPr>
            </w:pPr>
          </w:p>
        </w:tc>
        <w:tc>
          <w:tcPr>
            <w:tcW w:w="2966" w:type="pct"/>
            <w:tcBorders>
              <w:top w:val="nil"/>
              <w:bottom w:val="single" w:sz="4" w:space="0" w:color="auto"/>
            </w:tcBorders>
          </w:tcPr>
          <w:p w:rsidR="00021B88" w:rsidRPr="00681476" w:rsidRDefault="00021B88" w:rsidP="00E92E37">
            <w:pPr>
              <w:keepNext/>
              <w:keepLines/>
              <w:jc w:val="left"/>
              <w:rPr>
                <w:rFonts w:ascii="Arial Narrow" w:hAnsi="Arial Narrow"/>
                <w:sz w:val="20"/>
              </w:rPr>
            </w:pPr>
            <w:r>
              <w:rPr>
                <w:rFonts w:ascii="Arial Narrow" w:hAnsi="Arial Narrow"/>
                <w:sz w:val="20"/>
              </w:rPr>
              <w:t xml:space="preserve">Donnez J, Tatarchuk TF, </w:t>
            </w:r>
            <w:r>
              <w:rPr>
                <w:rFonts w:ascii="Arial Narrow" w:hAnsi="Arial Narrow"/>
                <w:i/>
                <w:sz w:val="20"/>
              </w:rPr>
              <w:t>et al</w:t>
            </w:r>
            <w:r>
              <w:rPr>
                <w:rFonts w:ascii="Arial Narrow" w:hAnsi="Arial Narrow"/>
                <w:sz w:val="20"/>
              </w:rPr>
              <w:t>. Ulipristal acetate versus placebo for fibroid treatment before surgery.</w:t>
            </w:r>
          </w:p>
        </w:tc>
        <w:tc>
          <w:tcPr>
            <w:tcW w:w="1426" w:type="pct"/>
            <w:tcBorders>
              <w:top w:val="nil"/>
              <w:bottom w:val="single" w:sz="4" w:space="0" w:color="auto"/>
            </w:tcBorders>
          </w:tcPr>
          <w:p w:rsidR="00021B88" w:rsidRPr="004E2ADC" w:rsidRDefault="00021B88" w:rsidP="00E92E37">
            <w:pPr>
              <w:keepNext/>
              <w:keepLines/>
              <w:jc w:val="left"/>
              <w:rPr>
                <w:rFonts w:ascii="Arial Narrow" w:hAnsi="Arial Narrow"/>
                <w:sz w:val="20"/>
              </w:rPr>
            </w:pPr>
            <w:r>
              <w:rPr>
                <w:rFonts w:ascii="Arial Narrow" w:hAnsi="Arial Narrow"/>
                <w:i/>
                <w:sz w:val="20"/>
              </w:rPr>
              <w:t>New England Journal of Medicine</w:t>
            </w:r>
            <w:r>
              <w:rPr>
                <w:rFonts w:ascii="Arial Narrow" w:hAnsi="Arial Narrow"/>
                <w:sz w:val="20"/>
              </w:rPr>
              <w:t xml:space="preserve"> 2012; 366 (5):409-20.</w:t>
            </w:r>
          </w:p>
        </w:tc>
      </w:tr>
      <w:tr w:rsidR="00A66955" w:rsidRPr="000F2DD6" w:rsidTr="00E92E37">
        <w:tc>
          <w:tcPr>
            <w:tcW w:w="5000" w:type="pct"/>
            <w:gridSpan w:val="3"/>
            <w:tcBorders>
              <w:bottom w:val="single" w:sz="4" w:space="0" w:color="auto"/>
            </w:tcBorders>
          </w:tcPr>
          <w:p w:rsidR="00A66955" w:rsidRPr="000F2DD6" w:rsidRDefault="007209E6" w:rsidP="00E92E37">
            <w:pPr>
              <w:keepNext/>
              <w:keepLines/>
              <w:jc w:val="left"/>
              <w:rPr>
                <w:rFonts w:ascii="Arial Narrow" w:hAnsi="Arial Narrow"/>
                <w:b/>
                <w:sz w:val="20"/>
              </w:rPr>
            </w:pPr>
            <w:r>
              <w:rPr>
                <w:rFonts w:ascii="Arial Narrow" w:hAnsi="Arial Narrow"/>
                <w:b/>
                <w:sz w:val="20"/>
              </w:rPr>
              <w:t>Supportive trials and studies</w:t>
            </w:r>
          </w:p>
        </w:tc>
      </w:tr>
      <w:tr w:rsidR="004507A6" w:rsidRPr="004E2ADC" w:rsidTr="00E92E37">
        <w:tc>
          <w:tcPr>
            <w:tcW w:w="608" w:type="pct"/>
            <w:tcBorders>
              <w:bottom w:val="nil"/>
            </w:tcBorders>
          </w:tcPr>
          <w:p w:rsidR="004507A6" w:rsidRDefault="004507A6" w:rsidP="00E92E37">
            <w:pPr>
              <w:keepNext/>
              <w:keepLines/>
              <w:jc w:val="left"/>
              <w:rPr>
                <w:rFonts w:ascii="Arial Narrow" w:hAnsi="Arial Narrow"/>
                <w:sz w:val="20"/>
              </w:rPr>
            </w:pPr>
            <w:r>
              <w:rPr>
                <w:rFonts w:ascii="Arial Narrow" w:hAnsi="Arial Narrow"/>
                <w:sz w:val="20"/>
              </w:rPr>
              <w:t>PEARL II</w:t>
            </w:r>
          </w:p>
          <w:p w:rsidR="004507A6" w:rsidRDefault="004507A6" w:rsidP="00E92E37">
            <w:pPr>
              <w:keepNext/>
              <w:keepLines/>
              <w:jc w:val="left"/>
              <w:rPr>
                <w:rFonts w:ascii="Arial Narrow" w:hAnsi="Arial Narrow"/>
                <w:sz w:val="20"/>
              </w:rPr>
            </w:pPr>
            <w:r>
              <w:rPr>
                <w:rFonts w:ascii="Arial Narrow" w:hAnsi="Arial Narrow"/>
                <w:sz w:val="20"/>
              </w:rPr>
              <w:t>(PGL07-022)</w:t>
            </w:r>
          </w:p>
        </w:tc>
        <w:tc>
          <w:tcPr>
            <w:tcW w:w="2966" w:type="pct"/>
            <w:tcBorders>
              <w:bottom w:val="nil"/>
            </w:tcBorders>
          </w:tcPr>
          <w:p w:rsidR="004507A6" w:rsidRPr="004E2ADC" w:rsidRDefault="004507A6" w:rsidP="00E92E37">
            <w:pPr>
              <w:keepNext/>
              <w:keepLines/>
              <w:spacing w:after="60"/>
              <w:jc w:val="left"/>
              <w:rPr>
                <w:rFonts w:ascii="Arial Narrow" w:hAnsi="Arial Narrow"/>
                <w:sz w:val="20"/>
              </w:rPr>
            </w:pPr>
            <w:r>
              <w:rPr>
                <w:rFonts w:ascii="Arial Narrow" w:hAnsi="Arial Narrow"/>
                <w:sz w:val="20"/>
              </w:rPr>
              <w:t>A phase III, randomised, parallel group, double-blind, double-dummy, active comparator-controlled, multi-centre study to assess the efficacy and safety of ulipristal acetate versus GnRH-agonist (leuprorelin 3.75 mg) for pre-operative treatment of symptomatic uterine myomas.</w:t>
            </w:r>
          </w:p>
        </w:tc>
        <w:tc>
          <w:tcPr>
            <w:tcW w:w="1426" w:type="pct"/>
            <w:tcBorders>
              <w:bottom w:val="nil"/>
            </w:tcBorders>
          </w:tcPr>
          <w:p w:rsidR="004507A6" w:rsidRPr="004E2ADC" w:rsidRDefault="004507A6" w:rsidP="00E92E37">
            <w:pPr>
              <w:keepNext/>
              <w:keepLines/>
              <w:jc w:val="left"/>
              <w:rPr>
                <w:rFonts w:ascii="Arial Narrow" w:hAnsi="Arial Narrow"/>
                <w:sz w:val="20"/>
              </w:rPr>
            </w:pPr>
            <w:r>
              <w:rPr>
                <w:rFonts w:ascii="Arial Narrow" w:hAnsi="Arial Narrow"/>
                <w:sz w:val="20"/>
              </w:rPr>
              <w:t>September 2010.</w:t>
            </w:r>
          </w:p>
        </w:tc>
      </w:tr>
      <w:tr w:rsidR="004507A6" w:rsidRPr="004E2ADC" w:rsidTr="00E92E37">
        <w:tc>
          <w:tcPr>
            <w:tcW w:w="608" w:type="pct"/>
            <w:tcBorders>
              <w:top w:val="nil"/>
              <w:bottom w:val="single" w:sz="4" w:space="0" w:color="auto"/>
            </w:tcBorders>
          </w:tcPr>
          <w:p w:rsidR="004507A6" w:rsidRDefault="004507A6" w:rsidP="00E92E37">
            <w:pPr>
              <w:keepNext/>
              <w:keepLines/>
              <w:jc w:val="left"/>
              <w:rPr>
                <w:rFonts w:ascii="Arial Narrow" w:hAnsi="Arial Narrow"/>
                <w:sz w:val="20"/>
              </w:rPr>
            </w:pPr>
          </w:p>
        </w:tc>
        <w:tc>
          <w:tcPr>
            <w:tcW w:w="2966" w:type="pct"/>
            <w:tcBorders>
              <w:top w:val="nil"/>
              <w:bottom w:val="single" w:sz="4" w:space="0" w:color="auto"/>
            </w:tcBorders>
          </w:tcPr>
          <w:p w:rsidR="004507A6" w:rsidRPr="004E2ADC" w:rsidRDefault="004507A6" w:rsidP="00E92E37">
            <w:pPr>
              <w:keepNext/>
              <w:keepLines/>
              <w:jc w:val="left"/>
              <w:rPr>
                <w:rFonts w:ascii="Arial Narrow" w:hAnsi="Arial Narrow"/>
                <w:sz w:val="20"/>
              </w:rPr>
            </w:pPr>
            <w:r>
              <w:rPr>
                <w:rFonts w:ascii="Arial Narrow" w:hAnsi="Arial Narrow"/>
                <w:sz w:val="20"/>
              </w:rPr>
              <w:t xml:space="preserve">Donnez J, Tomaszewski J, </w:t>
            </w:r>
            <w:r>
              <w:rPr>
                <w:rFonts w:ascii="Arial Narrow" w:hAnsi="Arial Narrow"/>
                <w:i/>
                <w:sz w:val="20"/>
              </w:rPr>
              <w:t>et al.</w:t>
            </w:r>
            <w:r>
              <w:rPr>
                <w:rFonts w:ascii="Arial Narrow" w:hAnsi="Arial Narrow"/>
                <w:sz w:val="20"/>
              </w:rPr>
              <w:t xml:space="preserve"> Ulipristal acetate versus leuprolide acetate for uterine fibroids.</w:t>
            </w:r>
          </w:p>
        </w:tc>
        <w:tc>
          <w:tcPr>
            <w:tcW w:w="1426" w:type="pct"/>
            <w:tcBorders>
              <w:top w:val="nil"/>
              <w:bottom w:val="single" w:sz="4" w:space="0" w:color="auto"/>
            </w:tcBorders>
          </w:tcPr>
          <w:p w:rsidR="004507A6" w:rsidRPr="00681476" w:rsidRDefault="004507A6" w:rsidP="00E92E37">
            <w:pPr>
              <w:keepNext/>
              <w:keepLines/>
              <w:jc w:val="left"/>
              <w:rPr>
                <w:rFonts w:ascii="Arial Narrow" w:hAnsi="Arial Narrow"/>
                <w:sz w:val="20"/>
              </w:rPr>
            </w:pPr>
            <w:r>
              <w:rPr>
                <w:rFonts w:ascii="Arial Narrow" w:hAnsi="Arial Narrow"/>
                <w:i/>
                <w:sz w:val="20"/>
              </w:rPr>
              <w:t>New England Journal of Medicine</w:t>
            </w:r>
            <w:r>
              <w:rPr>
                <w:rFonts w:ascii="Arial Narrow" w:hAnsi="Arial Narrow"/>
                <w:sz w:val="20"/>
              </w:rPr>
              <w:t xml:space="preserve"> 2012; 366 (5):421-32.</w:t>
            </w:r>
          </w:p>
        </w:tc>
      </w:tr>
      <w:tr w:rsidR="00A66955" w:rsidRPr="000F2DD6" w:rsidTr="00E92E37">
        <w:trPr>
          <w:trHeight w:val="302"/>
        </w:trPr>
        <w:tc>
          <w:tcPr>
            <w:tcW w:w="608" w:type="pct"/>
            <w:tcBorders>
              <w:bottom w:val="single" w:sz="4" w:space="0" w:color="auto"/>
            </w:tcBorders>
          </w:tcPr>
          <w:p w:rsidR="00A66955" w:rsidRDefault="00A66955" w:rsidP="00E92E37">
            <w:pPr>
              <w:keepNext/>
              <w:keepLines/>
              <w:jc w:val="left"/>
              <w:rPr>
                <w:rFonts w:ascii="Arial Narrow" w:hAnsi="Arial Narrow"/>
                <w:sz w:val="20"/>
              </w:rPr>
            </w:pPr>
            <w:r>
              <w:rPr>
                <w:rFonts w:ascii="Arial Narrow" w:hAnsi="Arial Narrow"/>
                <w:sz w:val="20"/>
              </w:rPr>
              <w:t>PREMYA</w:t>
            </w:r>
          </w:p>
          <w:p w:rsidR="00A66955" w:rsidRPr="000F2DD6" w:rsidRDefault="00A66955" w:rsidP="00E92E37">
            <w:pPr>
              <w:keepNext/>
              <w:keepLines/>
              <w:jc w:val="left"/>
              <w:rPr>
                <w:rFonts w:ascii="Arial Narrow" w:hAnsi="Arial Narrow"/>
                <w:sz w:val="20"/>
              </w:rPr>
            </w:pPr>
            <w:r>
              <w:rPr>
                <w:rFonts w:ascii="Arial Narrow" w:hAnsi="Arial Narrow"/>
                <w:sz w:val="20"/>
              </w:rPr>
              <w:t>(PGL10-014)</w:t>
            </w:r>
          </w:p>
          <w:p w:rsidR="00A66955" w:rsidRPr="000F2DD6" w:rsidRDefault="00A66955" w:rsidP="00E92E37">
            <w:pPr>
              <w:keepNext/>
              <w:keepLines/>
              <w:jc w:val="left"/>
              <w:rPr>
                <w:rFonts w:ascii="Arial Narrow" w:hAnsi="Arial Narrow"/>
                <w:sz w:val="20"/>
              </w:rPr>
            </w:pPr>
          </w:p>
        </w:tc>
        <w:tc>
          <w:tcPr>
            <w:tcW w:w="2966" w:type="pct"/>
            <w:tcBorders>
              <w:bottom w:val="single" w:sz="4" w:space="0" w:color="auto"/>
            </w:tcBorders>
          </w:tcPr>
          <w:p w:rsidR="00A66955" w:rsidRPr="000F2DD6" w:rsidRDefault="00A66955" w:rsidP="00E92E37">
            <w:pPr>
              <w:keepNext/>
              <w:keepLines/>
              <w:jc w:val="left"/>
              <w:rPr>
                <w:rFonts w:ascii="Arial Narrow" w:hAnsi="Arial Narrow"/>
                <w:b/>
                <w:sz w:val="20"/>
              </w:rPr>
            </w:pPr>
            <w:r w:rsidRPr="000F2DD6">
              <w:rPr>
                <w:rFonts w:ascii="Arial Narrow" w:hAnsi="Arial Narrow"/>
                <w:sz w:val="20"/>
              </w:rPr>
              <w:t>A p</w:t>
            </w:r>
            <w:r>
              <w:rPr>
                <w:rFonts w:ascii="Arial Narrow" w:hAnsi="Arial Narrow"/>
                <w:sz w:val="20"/>
              </w:rPr>
              <w:t xml:space="preserve">rospective multi-centre non-interventional study of women treated with Esmya® (ulipristal acetate) as pre-operative treatment of moderate to severe symptoms of uterine fibroids. </w:t>
            </w:r>
          </w:p>
        </w:tc>
        <w:tc>
          <w:tcPr>
            <w:tcW w:w="1426" w:type="pct"/>
            <w:tcBorders>
              <w:bottom w:val="single" w:sz="4" w:space="0" w:color="auto"/>
            </w:tcBorders>
          </w:tcPr>
          <w:p w:rsidR="00A66955" w:rsidRDefault="00A66955" w:rsidP="00E92E37">
            <w:pPr>
              <w:keepNext/>
              <w:keepLines/>
              <w:jc w:val="left"/>
              <w:rPr>
                <w:rFonts w:ascii="Arial Narrow" w:hAnsi="Arial Narrow"/>
                <w:sz w:val="20"/>
              </w:rPr>
            </w:pPr>
            <w:r>
              <w:rPr>
                <w:rFonts w:ascii="Arial Narrow" w:hAnsi="Arial Narrow"/>
                <w:sz w:val="20"/>
              </w:rPr>
              <w:t>May 2016</w:t>
            </w:r>
            <w:r w:rsidRPr="000F2DD6">
              <w:rPr>
                <w:rFonts w:ascii="Arial Narrow" w:hAnsi="Arial Narrow"/>
                <w:sz w:val="20"/>
              </w:rPr>
              <w:t>.</w:t>
            </w:r>
          </w:p>
          <w:p w:rsidR="00A66955" w:rsidRPr="000F2DD6" w:rsidRDefault="00A66955" w:rsidP="00E92E37">
            <w:pPr>
              <w:keepNext/>
              <w:keepLines/>
              <w:jc w:val="left"/>
              <w:rPr>
                <w:rFonts w:ascii="Arial Narrow" w:hAnsi="Arial Narrow"/>
                <w:b/>
                <w:sz w:val="20"/>
              </w:rPr>
            </w:pPr>
            <w:r>
              <w:rPr>
                <w:rFonts w:ascii="Arial Narrow" w:hAnsi="Arial Narrow"/>
                <w:sz w:val="20"/>
              </w:rPr>
              <w:t>Internal study publication</w:t>
            </w:r>
            <w:r w:rsidR="00865329">
              <w:rPr>
                <w:rFonts w:ascii="Arial Narrow" w:hAnsi="Arial Narrow"/>
                <w:sz w:val="20"/>
              </w:rPr>
              <w:t>.</w:t>
            </w:r>
          </w:p>
        </w:tc>
      </w:tr>
    </w:tbl>
    <w:p w:rsidR="00390A9B" w:rsidRPr="00EF136E" w:rsidRDefault="00390A9B" w:rsidP="00E92E37">
      <w:pPr>
        <w:keepNext/>
        <w:keepLines/>
        <w:ind w:firstLine="720"/>
        <w:rPr>
          <w:rFonts w:ascii="Arial Narrow" w:hAnsi="Arial Narrow"/>
          <w:sz w:val="18"/>
          <w:szCs w:val="18"/>
        </w:rPr>
      </w:pPr>
      <w:r w:rsidRPr="00EF136E">
        <w:rPr>
          <w:rFonts w:ascii="Arial Narrow" w:hAnsi="Arial Narrow"/>
          <w:sz w:val="18"/>
          <w:szCs w:val="18"/>
        </w:rPr>
        <w:t xml:space="preserve">Source: Table B-4, p24 of the </w:t>
      </w:r>
      <w:r w:rsidR="007B08B0">
        <w:rPr>
          <w:rFonts w:ascii="Arial Narrow" w:hAnsi="Arial Narrow"/>
          <w:sz w:val="18"/>
          <w:szCs w:val="18"/>
        </w:rPr>
        <w:t>resubmission</w:t>
      </w:r>
    </w:p>
    <w:p w:rsidR="001B6188" w:rsidRPr="001B6188" w:rsidRDefault="001B6188" w:rsidP="001B6188">
      <w:pPr>
        <w:widowControl/>
        <w:rPr>
          <w:szCs w:val="22"/>
        </w:rPr>
      </w:pPr>
    </w:p>
    <w:p w:rsidR="001B6188" w:rsidRPr="00D06FD4" w:rsidRDefault="00961AF9" w:rsidP="00CF1650">
      <w:pPr>
        <w:pStyle w:val="ListParagraph"/>
        <w:widowControl/>
        <w:numPr>
          <w:ilvl w:val="1"/>
          <w:numId w:val="3"/>
        </w:numPr>
        <w:rPr>
          <w:szCs w:val="22"/>
        </w:rPr>
      </w:pPr>
      <w:r w:rsidRPr="00D06FD4">
        <w:rPr>
          <w:szCs w:val="22"/>
        </w:rPr>
        <w:t xml:space="preserve">The key features of the </w:t>
      </w:r>
      <w:r w:rsidR="00FC38A7">
        <w:rPr>
          <w:szCs w:val="22"/>
        </w:rPr>
        <w:t>comparative and non-comparative studies of ulipr</w:t>
      </w:r>
      <w:r w:rsidR="008D49E4">
        <w:rPr>
          <w:szCs w:val="22"/>
        </w:rPr>
        <w:t>i</w:t>
      </w:r>
      <w:r w:rsidR="00FC38A7">
        <w:rPr>
          <w:szCs w:val="22"/>
        </w:rPr>
        <w:t xml:space="preserve">stal presented in the </w:t>
      </w:r>
      <w:r w:rsidR="007B08B0">
        <w:rPr>
          <w:szCs w:val="22"/>
        </w:rPr>
        <w:t>resubmission</w:t>
      </w:r>
      <w:r w:rsidR="00FC38A7">
        <w:rPr>
          <w:szCs w:val="22"/>
        </w:rPr>
        <w:t xml:space="preserve"> are</w:t>
      </w:r>
      <w:r w:rsidRPr="00D06FD4">
        <w:rPr>
          <w:szCs w:val="22"/>
        </w:rPr>
        <w:t xml:space="preserve"> summarised in </w:t>
      </w:r>
      <w:r w:rsidR="008F70AF">
        <w:rPr>
          <w:szCs w:val="22"/>
        </w:rPr>
        <w:t xml:space="preserve">Table </w:t>
      </w:r>
      <w:r w:rsidR="00D5321D">
        <w:rPr>
          <w:szCs w:val="22"/>
        </w:rPr>
        <w:t>3</w:t>
      </w:r>
      <w:r w:rsidRPr="00D06FD4">
        <w:rPr>
          <w:szCs w:val="22"/>
        </w:rPr>
        <w:t>.</w:t>
      </w:r>
    </w:p>
    <w:p w:rsidR="00D353D9" w:rsidRDefault="00D353D9">
      <w:pPr>
        <w:widowControl/>
        <w:jc w:val="left"/>
        <w:rPr>
          <w:szCs w:val="22"/>
        </w:rPr>
      </w:pPr>
      <w:r>
        <w:rPr>
          <w:szCs w:val="22"/>
        </w:rPr>
        <w:br w:type="page"/>
      </w:r>
    </w:p>
    <w:p w:rsidR="007F1017" w:rsidRDefault="007F1017" w:rsidP="007F1017">
      <w:pPr>
        <w:widowControl/>
        <w:rPr>
          <w:szCs w:val="22"/>
        </w:rPr>
      </w:pPr>
    </w:p>
    <w:p w:rsidR="00F36558" w:rsidRPr="00F36558" w:rsidRDefault="00F36558" w:rsidP="00F36558">
      <w:pPr>
        <w:ind w:firstLine="720"/>
        <w:rPr>
          <w:rFonts w:ascii="Arial Narrow" w:hAnsi="Arial Narrow"/>
          <w:b/>
          <w:sz w:val="20"/>
        </w:rPr>
      </w:pPr>
      <w:r w:rsidRPr="00F36558">
        <w:rPr>
          <w:rFonts w:ascii="Arial Narrow" w:hAnsi="Arial Narrow"/>
          <w:b/>
          <w:sz w:val="20"/>
        </w:rPr>
        <w:t xml:space="preserve">Table </w:t>
      </w:r>
      <w:r w:rsidR="00D5321D">
        <w:rPr>
          <w:rFonts w:ascii="Arial Narrow" w:hAnsi="Arial Narrow"/>
          <w:b/>
          <w:sz w:val="20"/>
        </w:rPr>
        <w:t>3</w:t>
      </w:r>
      <w:r w:rsidRPr="00F36558">
        <w:rPr>
          <w:rFonts w:ascii="Arial Narrow" w:hAnsi="Arial Narrow"/>
          <w:b/>
          <w:sz w:val="20"/>
        </w:rPr>
        <w:t xml:space="preserve">: Key features of the included evidence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4"/>
        <w:gridCol w:w="1939"/>
        <w:gridCol w:w="723"/>
        <w:gridCol w:w="1566"/>
        <w:gridCol w:w="3093"/>
      </w:tblGrid>
      <w:tr w:rsidR="009D0F14" w:rsidRPr="00F36558" w:rsidTr="00380132">
        <w:trPr>
          <w:tblHeader/>
        </w:trPr>
        <w:tc>
          <w:tcPr>
            <w:tcW w:w="614" w:type="pct"/>
            <w:shd w:val="clear" w:color="auto" w:fill="auto"/>
            <w:vAlign w:val="center"/>
          </w:tcPr>
          <w:p w:rsidR="00F36558" w:rsidRPr="00F36558" w:rsidRDefault="00F36558" w:rsidP="00F36558">
            <w:pPr>
              <w:jc w:val="left"/>
              <w:rPr>
                <w:rFonts w:ascii="Arial Narrow" w:hAnsi="Arial Narrow"/>
                <w:b/>
                <w:sz w:val="20"/>
                <w:szCs w:val="16"/>
                <w:lang w:val="en-US"/>
              </w:rPr>
            </w:pPr>
            <w:r w:rsidRPr="00F36558">
              <w:rPr>
                <w:rFonts w:ascii="Arial Narrow" w:hAnsi="Arial Narrow"/>
                <w:b/>
                <w:sz w:val="20"/>
                <w:szCs w:val="16"/>
                <w:lang w:val="en-US"/>
              </w:rPr>
              <w:t>Trial</w:t>
            </w:r>
          </w:p>
        </w:tc>
        <w:tc>
          <w:tcPr>
            <w:tcW w:w="1162" w:type="pct"/>
            <w:shd w:val="clear" w:color="auto" w:fill="auto"/>
            <w:vAlign w:val="center"/>
          </w:tcPr>
          <w:p w:rsidR="00F36558" w:rsidRPr="00F36558" w:rsidRDefault="00F36558" w:rsidP="00F36558">
            <w:pPr>
              <w:jc w:val="center"/>
              <w:rPr>
                <w:rFonts w:ascii="Arial Narrow" w:hAnsi="Arial Narrow"/>
                <w:b/>
                <w:sz w:val="20"/>
                <w:szCs w:val="16"/>
                <w:lang w:val="en-US"/>
              </w:rPr>
            </w:pPr>
            <w:r w:rsidRPr="00F36558">
              <w:rPr>
                <w:rFonts w:ascii="Arial Narrow" w:hAnsi="Arial Narrow"/>
                <w:b/>
                <w:sz w:val="20"/>
                <w:szCs w:val="16"/>
                <w:lang w:val="en-US"/>
              </w:rPr>
              <w:t>Design/ duration</w:t>
            </w:r>
          </w:p>
        </w:tc>
        <w:tc>
          <w:tcPr>
            <w:tcW w:w="433" w:type="pct"/>
            <w:shd w:val="clear" w:color="auto" w:fill="auto"/>
            <w:vAlign w:val="center"/>
          </w:tcPr>
          <w:p w:rsidR="00F36558" w:rsidRPr="00F36558" w:rsidRDefault="00F36558" w:rsidP="00F36558">
            <w:pPr>
              <w:jc w:val="center"/>
              <w:rPr>
                <w:rFonts w:ascii="Arial Narrow" w:hAnsi="Arial Narrow"/>
                <w:b/>
                <w:sz w:val="20"/>
                <w:szCs w:val="16"/>
                <w:lang w:val="en-US"/>
              </w:rPr>
            </w:pPr>
            <w:r w:rsidRPr="00F36558">
              <w:rPr>
                <w:rFonts w:ascii="Arial Narrow" w:hAnsi="Arial Narrow"/>
                <w:b/>
                <w:sz w:val="20"/>
                <w:szCs w:val="16"/>
                <w:lang w:val="en-US"/>
              </w:rPr>
              <w:t>Risk of bias</w:t>
            </w:r>
          </w:p>
        </w:tc>
        <w:tc>
          <w:tcPr>
            <w:tcW w:w="938" w:type="pct"/>
            <w:shd w:val="clear" w:color="auto" w:fill="auto"/>
            <w:vAlign w:val="center"/>
          </w:tcPr>
          <w:p w:rsidR="00F36558" w:rsidRPr="00F36558" w:rsidRDefault="00F36558" w:rsidP="00F36558">
            <w:pPr>
              <w:jc w:val="center"/>
              <w:rPr>
                <w:rFonts w:ascii="Arial Narrow" w:hAnsi="Arial Narrow"/>
                <w:b/>
                <w:sz w:val="20"/>
                <w:szCs w:val="16"/>
                <w:lang w:val="en-US"/>
              </w:rPr>
            </w:pPr>
            <w:r w:rsidRPr="00F36558">
              <w:rPr>
                <w:rFonts w:ascii="Arial Narrow" w:hAnsi="Arial Narrow"/>
                <w:b/>
                <w:sz w:val="20"/>
                <w:szCs w:val="16"/>
                <w:lang w:val="en-US"/>
              </w:rPr>
              <w:t>Patient population</w:t>
            </w:r>
          </w:p>
        </w:tc>
        <w:tc>
          <w:tcPr>
            <w:tcW w:w="1854" w:type="pct"/>
            <w:shd w:val="clear" w:color="auto" w:fill="auto"/>
            <w:vAlign w:val="center"/>
          </w:tcPr>
          <w:p w:rsidR="00F36558" w:rsidRPr="00F36558" w:rsidRDefault="00F36558" w:rsidP="00F36558">
            <w:pPr>
              <w:jc w:val="center"/>
              <w:rPr>
                <w:rFonts w:ascii="Arial Narrow" w:hAnsi="Arial Narrow"/>
                <w:b/>
                <w:sz w:val="20"/>
                <w:szCs w:val="16"/>
                <w:lang w:val="en-US"/>
              </w:rPr>
            </w:pPr>
            <w:r w:rsidRPr="00F36558">
              <w:rPr>
                <w:rFonts w:ascii="Arial Narrow" w:hAnsi="Arial Narrow"/>
                <w:b/>
                <w:sz w:val="20"/>
                <w:szCs w:val="16"/>
                <w:lang w:val="en-US"/>
              </w:rPr>
              <w:t>Outcomes</w:t>
            </w:r>
          </w:p>
        </w:tc>
      </w:tr>
      <w:tr w:rsidR="009D0F14" w:rsidRPr="00F36558" w:rsidTr="00380132">
        <w:tc>
          <w:tcPr>
            <w:tcW w:w="614" w:type="pct"/>
            <w:shd w:val="clear" w:color="auto" w:fill="auto"/>
            <w:vAlign w:val="center"/>
          </w:tcPr>
          <w:p w:rsidR="00F36558" w:rsidRPr="00F36558" w:rsidRDefault="00F36558" w:rsidP="00F36558">
            <w:pPr>
              <w:jc w:val="left"/>
              <w:rPr>
                <w:rFonts w:ascii="Arial Narrow" w:hAnsi="Arial Narrow"/>
                <w:sz w:val="20"/>
                <w:szCs w:val="16"/>
                <w:lang w:val="en-US"/>
              </w:rPr>
            </w:pPr>
            <w:r w:rsidRPr="00F36558">
              <w:rPr>
                <w:rFonts w:ascii="Arial Narrow" w:hAnsi="Arial Narrow"/>
                <w:sz w:val="20"/>
                <w:szCs w:val="16"/>
                <w:lang w:val="en-US"/>
              </w:rPr>
              <w:t>PEARL I</w:t>
            </w:r>
          </w:p>
        </w:tc>
        <w:tc>
          <w:tcPr>
            <w:tcW w:w="1162" w:type="pct"/>
            <w:shd w:val="clear" w:color="auto" w:fill="auto"/>
            <w:vAlign w:val="center"/>
          </w:tcPr>
          <w:p w:rsidR="00F36558" w:rsidRPr="002A59CE" w:rsidRDefault="00F36558" w:rsidP="00AA24C4">
            <w:pPr>
              <w:jc w:val="left"/>
              <w:rPr>
                <w:rFonts w:ascii="Arial Narrow" w:hAnsi="Arial Narrow"/>
                <w:sz w:val="20"/>
                <w:szCs w:val="16"/>
                <w:lang w:val="en-US"/>
              </w:rPr>
            </w:pPr>
            <w:r w:rsidRPr="002A59CE">
              <w:rPr>
                <w:rFonts w:ascii="Arial Narrow" w:hAnsi="Arial Narrow"/>
                <w:sz w:val="20"/>
                <w:szCs w:val="16"/>
                <w:lang w:val="en-US"/>
              </w:rPr>
              <w:t xml:space="preserve">RCT comparing </w:t>
            </w:r>
            <w:r w:rsidR="00AA24C4" w:rsidRPr="002A59CE">
              <w:rPr>
                <w:rFonts w:ascii="Arial Narrow" w:hAnsi="Arial Narrow"/>
                <w:sz w:val="20"/>
                <w:szCs w:val="16"/>
                <w:lang w:val="en-US"/>
              </w:rPr>
              <w:t>ulipristal</w:t>
            </w:r>
            <w:r w:rsidRPr="002A59CE">
              <w:rPr>
                <w:rFonts w:ascii="Arial Narrow" w:hAnsi="Arial Narrow"/>
                <w:sz w:val="20"/>
                <w:szCs w:val="16"/>
                <w:lang w:val="en-US"/>
              </w:rPr>
              <w:t xml:space="preserve"> 5 mg (n=96) and </w:t>
            </w:r>
            <w:r w:rsidR="00AA24C4" w:rsidRPr="002A59CE">
              <w:rPr>
                <w:rFonts w:ascii="Arial Narrow" w:hAnsi="Arial Narrow"/>
                <w:sz w:val="20"/>
                <w:szCs w:val="16"/>
                <w:lang w:val="en-US"/>
              </w:rPr>
              <w:t>ulipristal</w:t>
            </w:r>
            <w:r w:rsidRPr="002A59CE">
              <w:rPr>
                <w:rFonts w:ascii="Arial Narrow" w:hAnsi="Arial Narrow"/>
                <w:sz w:val="20"/>
                <w:szCs w:val="16"/>
                <w:lang w:val="en-US"/>
              </w:rPr>
              <w:t xml:space="preserve"> 10 mg (n=98) with placebo (n=48), 3 months</w:t>
            </w:r>
          </w:p>
        </w:tc>
        <w:tc>
          <w:tcPr>
            <w:tcW w:w="433" w:type="pct"/>
            <w:shd w:val="clear" w:color="auto" w:fill="auto"/>
            <w:vAlign w:val="center"/>
          </w:tcPr>
          <w:p w:rsidR="00F36558" w:rsidRPr="002A59CE" w:rsidRDefault="00F36558" w:rsidP="00F36558">
            <w:pPr>
              <w:jc w:val="center"/>
              <w:rPr>
                <w:rFonts w:ascii="Arial Narrow" w:hAnsi="Arial Narrow"/>
                <w:sz w:val="20"/>
                <w:szCs w:val="16"/>
                <w:lang w:val="en-US"/>
              </w:rPr>
            </w:pPr>
            <w:r w:rsidRPr="002A59CE">
              <w:rPr>
                <w:rFonts w:ascii="Arial Narrow" w:hAnsi="Arial Narrow"/>
                <w:sz w:val="20"/>
                <w:szCs w:val="16"/>
                <w:lang w:val="en-US"/>
              </w:rPr>
              <w:t>Low</w:t>
            </w:r>
          </w:p>
        </w:tc>
        <w:tc>
          <w:tcPr>
            <w:tcW w:w="938" w:type="pct"/>
            <w:shd w:val="clear" w:color="auto" w:fill="auto"/>
            <w:vAlign w:val="center"/>
          </w:tcPr>
          <w:p w:rsidR="00F36558" w:rsidRPr="002A59CE" w:rsidRDefault="00F36558" w:rsidP="00F36558">
            <w:pPr>
              <w:jc w:val="center"/>
              <w:rPr>
                <w:rFonts w:ascii="Arial Narrow" w:hAnsi="Arial Narrow"/>
                <w:sz w:val="20"/>
                <w:szCs w:val="16"/>
                <w:lang w:val="en-US"/>
              </w:rPr>
            </w:pPr>
            <w:r w:rsidRPr="002A59CE">
              <w:rPr>
                <w:rFonts w:ascii="Arial Narrow" w:hAnsi="Arial Narrow"/>
                <w:sz w:val="20"/>
                <w:szCs w:val="16"/>
                <w:lang w:val="en-US"/>
              </w:rPr>
              <w:t>Pre-menopausal women with moderate to severe symptoms of uterine fibroid</w:t>
            </w:r>
            <w:r w:rsidR="007E39C9" w:rsidRPr="002A59CE">
              <w:rPr>
                <w:rFonts w:ascii="Arial Narrow" w:hAnsi="Arial Narrow"/>
                <w:sz w:val="20"/>
                <w:szCs w:val="16"/>
                <w:lang w:val="en-US"/>
              </w:rPr>
              <w:t>s who were planning surgery</w:t>
            </w:r>
          </w:p>
        </w:tc>
        <w:tc>
          <w:tcPr>
            <w:tcW w:w="1854" w:type="pct"/>
            <w:shd w:val="clear" w:color="auto" w:fill="auto"/>
            <w:vAlign w:val="center"/>
          </w:tcPr>
          <w:p w:rsidR="00F36558" w:rsidRPr="002A59CE" w:rsidRDefault="00F36558" w:rsidP="00CF1650">
            <w:pPr>
              <w:pStyle w:val="ListParagraph"/>
              <w:numPr>
                <w:ilvl w:val="0"/>
                <w:numId w:val="10"/>
              </w:numPr>
              <w:ind w:left="249" w:hanging="249"/>
              <w:jc w:val="left"/>
              <w:rPr>
                <w:rFonts w:ascii="Arial Narrow" w:hAnsi="Arial Narrow"/>
                <w:sz w:val="20"/>
              </w:rPr>
            </w:pPr>
            <w:r w:rsidRPr="002A59CE">
              <w:rPr>
                <w:rFonts w:ascii="Arial Narrow" w:hAnsi="Arial Narrow"/>
                <w:sz w:val="20"/>
              </w:rPr>
              <w:t>Percentage of patients with reduction of uterine bleeding at Week 13, defined as a PBA chart score of less than 75</w:t>
            </w:r>
          </w:p>
          <w:p w:rsidR="00F36558" w:rsidRPr="002A59CE" w:rsidRDefault="00F36558" w:rsidP="00CF1650">
            <w:pPr>
              <w:pStyle w:val="ListParagraph"/>
              <w:numPr>
                <w:ilvl w:val="0"/>
                <w:numId w:val="10"/>
              </w:numPr>
              <w:ind w:left="249" w:hanging="249"/>
              <w:jc w:val="left"/>
              <w:rPr>
                <w:rFonts w:ascii="Arial Narrow" w:hAnsi="Arial Narrow"/>
                <w:sz w:val="20"/>
              </w:rPr>
            </w:pPr>
            <w:r w:rsidRPr="002A59CE">
              <w:rPr>
                <w:rFonts w:ascii="Arial Narrow" w:hAnsi="Arial Narrow"/>
                <w:sz w:val="20"/>
              </w:rPr>
              <w:t>Change in total fibroid volume from screening to Week 13, assessed by MRI</w:t>
            </w:r>
          </w:p>
          <w:p w:rsidR="00F36558" w:rsidRPr="002A59CE" w:rsidRDefault="00F36558" w:rsidP="00CF1650">
            <w:pPr>
              <w:pStyle w:val="ListParagraph"/>
              <w:numPr>
                <w:ilvl w:val="0"/>
                <w:numId w:val="10"/>
              </w:numPr>
              <w:ind w:left="249" w:hanging="249"/>
              <w:jc w:val="left"/>
              <w:rPr>
                <w:rFonts w:ascii="Arial Narrow" w:hAnsi="Arial Narrow"/>
                <w:sz w:val="20"/>
              </w:rPr>
            </w:pPr>
            <w:r w:rsidRPr="002A59CE">
              <w:rPr>
                <w:rFonts w:ascii="Arial Narrow" w:hAnsi="Arial Narrow"/>
                <w:sz w:val="20"/>
              </w:rPr>
              <w:t>Reduction in uterine volume from screening to Week 13, assessed by MRI</w:t>
            </w:r>
          </w:p>
          <w:p w:rsidR="00633911" w:rsidRPr="002A59CE" w:rsidRDefault="00F36558" w:rsidP="00633911">
            <w:pPr>
              <w:pStyle w:val="ListParagraph"/>
              <w:numPr>
                <w:ilvl w:val="0"/>
                <w:numId w:val="10"/>
              </w:numPr>
              <w:ind w:left="249" w:hanging="249"/>
              <w:jc w:val="left"/>
              <w:rPr>
                <w:rFonts w:ascii="Arial Narrow" w:hAnsi="Arial Narrow"/>
                <w:sz w:val="20"/>
                <w:szCs w:val="16"/>
                <w:lang w:val="en-US"/>
              </w:rPr>
            </w:pPr>
            <w:r w:rsidRPr="002A59CE">
              <w:rPr>
                <w:rFonts w:ascii="Arial Narrow" w:hAnsi="Arial Narrow"/>
                <w:sz w:val="20"/>
              </w:rPr>
              <w:t>Changes in haemoglobin, haematocrit, and ferritin levels</w:t>
            </w:r>
          </w:p>
          <w:p w:rsidR="00F36558" w:rsidRPr="002A59CE" w:rsidRDefault="00D166D0" w:rsidP="00633911">
            <w:pPr>
              <w:pStyle w:val="ListParagraph"/>
              <w:numPr>
                <w:ilvl w:val="0"/>
                <w:numId w:val="10"/>
              </w:numPr>
              <w:ind w:left="249" w:hanging="249"/>
              <w:jc w:val="left"/>
              <w:rPr>
                <w:rFonts w:ascii="Arial Narrow" w:hAnsi="Arial Narrow"/>
                <w:sz w:val="20"/>
                <w:szCs w:val="16"/>
                <w:lang w:val="en-US"/>
              </w:rPr>
            </w:pPr>
            <w:r w:rsidRPr="002A59CE">
              <w:rPr>
                <w:rFonts w:ascii="Arial Narrow" w:hAnsi="Arial Narrow"/>
                <w:sz w:val="20"/>
                <w:szCs w:val="16"/>
                <w:lang w:val="en-US"/>
              </w:rPr>
              <w:t>SF-MPQ</w:t>
            </w:r>
          </w:p>
          <w:p w:rsidR="00A2239B" w:rsidRDefault="00A2239B" w:rsidP="00633911">
            <w:pPr>
              <w:pStyle w:val="ListParagraph"/>
              <w:numPr>
                <w:ilvl w:val="0"/>
                <w:numId w:val="10"/>
              </w:numPr>
              <w:ind w:left="249" w:hanging="249"/>
              <w:jc w:val="left"/>
              <w:rPr>
                <w:rFonts w:ascii="Arial Narrow" w:hAnsi="Arial Narrow"/>
                <w:sz w:val="20"/>
                <w:szCs w:val="16"/>
                <w:lang w:val="en-US"/>
              </w:rPr>
            </w:pPr>
            <w:r w:rsidRPr="002A59CE">
              <w:rPr>
                <w:rFonts w:ascii="Arial Narrow" w:hAnsi="Arial Narrow"/>
                <w:sz w:val="20"/>
                <w:szCs w:val="16"/>
                <w:lang w:val="en-US"/>
              </w:rPr>
              <w:t>MDUFQ</w:t>
            </w:r>
          </w:p>
          <w:p w:rsidR="00AE4222" w:rsidRPr="002A59CE" w:rsidRDefault="00AE4222" w:rsidP="00633911">
            <w:pPr>
              <w:pStyle w:val="ListParagraph"/>
              <w:numPr>
                <w:ilvl w:val="0"/>
                <w:numId w:val="10"/>
              </w:numPr>
              <w:ind w:left="249" w:hanging="249"/>
              <w:jc w:val="left"/>
              <w:rPr>
                <w:rFonts w:ascii="Arial Narrow" w:hAnsi="Arial Narrow"/>
                <w:sz w:val="20"/>
                <w:szCs w:val="16"/>
                <w:lang w:val="en-US"/>
              </w:rPr>
            </w:pPr>
            <w:r>
              <w:rPr>
                <w:rFonts w:ascii="Arial Narrow" w:hAnsi="Arial Narrow"/>
                <w:sz w:val="20"/>
                <w:szCs w:val="16"/>
                <w:lang w:val="en-US"/>
              </w:rPr>
              <w:t>Surgical outcomes</w:t>
            </w:r>
          </w:p>
        </w:tc>
      </w:tr>
      <w:tr w:rsidR="009D0F14" w:rsidRPr="00F36558" w:rsidTr="00380132">
        <w:tc>
          <w:tcPr>
            <w:tcW w:w="614" w:type="pct"/>
            <w:shd w:val="clear" w:color="auto" w:fill="auto"/>
            <w:vAlign w:val="center"/>
          </w:tcPr>
          <w:p w:rsidR="00F36558" w:rsidRPr="00F36558" w:rsidRDefault="00F36558" w:rsidP="00F36558">
            <w:pPr>
              <w:jc w:val="left"/>
              <w:rPr>
                <w:rFonts w:ascii="Arial Narrow" w:hAnsi="Arial Narrow"/>
                <w:sz w:val="20"/>
                <w:szCs w:val="16"/>
                <w:lang w:val="en-US"/>
              </w:rPr>
            </w:pPr>
            <w:r w:rsidRPr="00F36558">
              <w:rPr>
                <w:rFonts w:ascii="Arial Narrow" w:hAnsi="Arial Narrow"/>
                <w:sz w:val="20"/>
                <w:szCs w:val="16"/>
                <w:lang w:val="en-US"/>
              </w:rPr>
              <w:t>PEARL II</w:t>
            </w:r>
          </w:p>
        </w:tc>
        <w:tc>
          <w:tcPr>
            <w:tcW w:w="1162" w:type="pct"/>
            <w:shd w:val="clear" w:color="auto" w:fill="auto"/>
            <w:vAlign w:val="center"/>
          </w:tcPr>
          <w:p w:rsidR="00F36558" w:rsidRPr="002A59CE" w:rsidRDefault="00F36558" w:rsidP="00AA24C4">
            <w:pPr>
              <w:jc w:val="left"/>
              <w:rPr>
                <w:rFonts w:ascii="Arial Narrow" w:hAnsi="Arial Narrow"/>
                <w:sz w:val="20"/>
                <w:szCs w:val="16"/>
                <w:lang w:val="en-US"/>
              </w:rPr>
            </w:pPr>
            <w:r w:rsidRPr="002A59CE">
              <w:rPr>
                <w:rFonts w:ascii="Arial Narrow" w:hAnsi="Arial Narrow"/>
                <w:sz w:val="20"/>
                <w:szCs w:val="16"/>
                <w:lang w:val="en-US"/>
              </w:rPr>
              <w:t xml:space="preserve">Non-inferiority RCT comparing </w:t>
            </w:r>
            <w:r w:rsidR="00AA24C4" w:rsidRPr="002A59CE">
              <w:rPr>
                <w:rFonts w:ascii="Arial Narrow" w:hAnsi="Arial Narrow"/>
                <w:sz w:val="20"/>
                <w:szCs w:val="16"/>
                <w:lang w:val="en-US"/>
              </w:rPr>
              <w:t>ulipristal</w:t>
            </w:r>
            <w:r w:rsidRPr="002A59CE">
              <w:rPr>
                <w:rFonts w:ascii="Arial Narrow" w:hAnsi="Arial Narrow"/>
                <w:sz w:val="20"/>
                <w:szCs w:val="16"/>
                <w:lang w:val="en-US"/>
              </w:rPr>
              <w:t xml:space="preserve"> 5 mg (n=102) and </w:t>
            </w:r>
            <w:r w:rsidR="00AA24C4" w:rsidRPr="002A59CE">
              <w:rPr>
                <w:rFonts w:ascii="Arial Narrow" w:hAnsi="Arial Narrow"/>
                <w:sz w:val="20"/>
                <w:szCs w:val="16"/>
                <w:lang w:val="en-US"/>
              </w:rPr>
              <w:t>ulipristal</w:t>
            </w:r>
            <w:r w:rsidRPr="002A59CE">
              <w:rPr>
                <w:rFonts w:ascii="Arial Narrow" w:hAnsi="Arial Narrow"/>
                <w:sz w:val="20"/>
                <w:szCs w:val="16"/>
                <w:lang w:val="en-US"/>
              </w:rPr>
              <w:t xml:space="preserve"> 10 mg (n=103) with leuprorelin (n=102), 3 months</w:t>
            </w:r>
          </w:p>
        </w:tc>
        <w:tc>
          <w:tcPr>
            <w:tcW w:w="433" w:type="pct"/>
            <w:shd w:val="clear" w:color="auto" w:fill="auto"/>
            <w:vAlign w:val="center"/>
          </w:tcPr>
          <w:p w:rsidR="00F36558" w:rsidRPr="002A59CE" w:rsidRDefault="00F36558" w:rsidP="00F36558">
            <w:pPr>
              <w:jc w:val="center"/>
              <w:rPr>
                <w:rFonts w:ascii="Arial Narrow" w:hAnsi="Arial Narrow"/>
                <w:sz w:val="20"/>
                <w:szCs w:val="16"/>
                <w:lang w:val="en-US"/>
              </w:rPr>
            </w:pPr>
            <w:r w:rsidRPr="002A59CE">
              <w:rPr>
                <w:rFonts w:ascii="Arial Narrow" w:hAnsi="Arial Narrow"/>
                <w:sz w:val="20"/>
                <w:szCs w:val="16"/>
                <w:lang w:val="en-US"/>
              </w:rPr>
              <w:t>Low</w:t>
            </w:r>
          </w:p>
        </w:tc>
        <w:tc>
          <w:tcPr>
            <w:tcW w:w="938" w:type="pct"/>
            <w:shd w:val="clear" w:color="auto" w:fill="auto"/>
            <w:vAlign w:val="center"/>
          </w:tcPr>
          <w:p w:rsidR="00F36558" w:rsidRPr="002A59CE" w:rsidRDefault="00F36558" w:rsidP="00F36558">
            <w:pPr>
              <w:jc w:val="center"/>
              <w:rPr>
                <w:rFonts w:ascii="Arial Narrow" w:hAnsi="Arial Narrow"/>
                <w:sz w:val="20"/>
                <w:szCs w:val="16"/>
                <w:lang w:val="en-US"/>
              </w:rPr>
            </w:pPr>
            <w:r w:rsidRPr="002A59CE">
              <w:rPr>
                <w:rFonts w:ascii="Arial Narrow" w:hAnsi="Arial Narrow"/>
                <w:sz w:val="20"/>
                <w:szCs w:val="16"/>
                <w:lang w:val="en-US"/>
              </w:rPr>
              <w:t>As above</w:t>
            </w:r>
          </w:p>
        </w:tc>
        <w:tc>
          <w:tcPr>
            <w:tcW w:w="1854" w:type="pct"/>
            <w:shd w:val="clear" w:color="auto" w:fill="auto"/>
            <w:vAlign w:val="center"/>
          </w:tcPr>
          <w:p w:rsidR="00F36558" w:rsidRPr="002A59CE" w:rsidRDefault="00F36558" w:rsidP="00633911">
            <w:pPr>
              <w:pStyle w:val="ListParagraph"/>
              <w:numPr>
                <w:ilvl w:val="0"/>
                <w:numId w:val="25"/>
              </w:numPr>
              <w:ind w:left="248" w:hanging="248"/>
              <w:jc w:val="left"/>
              <w:rPr>
                <w:rFonts w:ascii="Arial Narrow" w:hAnsi="Arial Narrow"/>
                <w:sz w:val="20"/>
              </w:rPr>
            </w:pPr>
            <w:r w:rsidRPr="002A59CE">
              <w:rPr>
                <w:rFonts w:ascii="Arial Narrow" w:hAnsi="Arial Narrow"/>
                <w:sz w:val="20"/>
              </w:rPr>
              <w:t>Proportion of patients with reduction of uterine bleeding at Week 13, defined as above</w:t>
            </w:r>
          </w:p>
          <w:p w:rsidR="00F36558" w:rsidRPr="002A59CE" w:rsidRDefault="00F36558" w:rsidP="00633911">
            <w:pPr>
              <w:pStyle w:val="ListParagraph"/>
              <w:numPr>
                <w:ilvl w:val="0"/>
                <w:numId w:val="25"/>
              </w:numPr>
              <w:ind w:left="249" w:hanging="249"/>
              <w:jc w:val="left"/>
              <w:rPr>
                <w:rFonts w:ascii="Arial Narrow" w:hAnsi="Arial Narrow"/>
                <w:sz w:val="20"/>
              </w:rPr>
            </w:pPr>
            <w:r w:rsidRPr="002A59CE">
              <w:rPr>
                <w:rFonts w:ascii="Arial Narrow" w:hAnsi="Arial Narrow"/>
                <w:sz w:val="20"/>
              </w:rPr>
              <w:t>Change in uterine volume from baseline to Week 13</w:t>
            </w:r>
          </w:p>
          <w:p w:rsidR="00F36558" w:rsidRPr="002A59CE" w:rsidRDefault="00F36558" w:rsidP="00633911">
            <w:pPr>
              <w:pStyle w:val="ListParagraph"/>
              <w:numPr>
                <w:ilvl w:val="0"/>
                <w:numId w:val="25"/>
              </w:numPr>
              <w:ind w:left="249" w:hanging="249"/>
              <w:jc w:val="left"/>
              <w:rPr>
                <w:rFonts w:ascii="Arial Narrow" w:hAnsi="Arial Narrow"/>
                <w:sz w:val="20"/>
              </w:rPr>
            </w:pPr>
            <w:r w:rsidRPr="002A59CE">
              <w:rPr>
                <w:rFonts w:ascii="Arial Narrow" w:hAnsi="Arial Narrow"/>
                <w:sz w:val="20"/>
              </w:rPr>
              <w:t>Change in volume of the 3 largest fibroids from baseline to Week 13</w:t>
            </w:r>
          </w:p>
          <w:p w:rsidR="00F36558" w:rsidRPr="002A59CE" w:rsidRDefault="00F36558" w:rsidP="00633911">
            <w:pPr>
              <w:pStyle w:val="ListParagraph"/>
              <w:numPr>
                <w:ilvl w:val="0"/>
                <w:numId w:val="25"/>
              </w:numPr>
              <w:ind w:left="249" w:hanging="249"/>
              <w:jc w:val="left"/>
              <w:rPr>
                <w:rFonts w:ascii="Arial Narrow" w:hAnsi="Arial Narrow"/>
                <w:sz w:val="20"/>
              </w:rPr>
            </w:pPr>
            <w:r w:rsidRPr="002A59CE">
              <w:rPr>
                <w:rFonts w:ascii="Arial Narrow" w:hAnsi="Arial Narrow"/>
                <w:sz w:val="20"/>
              </w:rPr>
              <w:t>Change in haemoglobin, haematocrit and ferritin levels</w:t>
            </w:r>
          </w:p>
          <w:p w:rsidR="00F66086" w:rsidRPr="002A59CE" w:rsidRDefault="00F66086" w:rsidP="00633911">
            <w:pPr>
              <w:pStyle w:val="ListParagraph"/>
              <w:numPr>
                <w:ilvl w:val="0"/>
                <w:numId w:val="25"/>
              </w:numPr>
              <w:ind w:left="249" w:hanging="249"/>
              <w:jc w:val="left"/>
              <w:rPr>
                <w:rFonts w:ascii="Arial Narrow" w:hAnsi="Arial Narrow"/>
                <w:sz w:val="20"/>
              </w:rPr>
            </w:pPr>
            <w:r w:rsidRPr="002A59CE">
              <w:rPr>
                <w:rFonts w:ascii="Arial Narrow" w:hAnsi="Arial Narrow"/>
                <w:sz w:val="20"/>
              </w:rPr>
              <w:t>SF-MPQ</w:t>
            </w:r>
          </w:p>
          <w:p w:rsidR="00F66086" w:rsidRPr="002A59CE" w:rsidRDefault="00F66086" w:rsidP="00633911">
            <w:pPr>
              <w:pStyle w:val="ListParagraph"/>
              <w:numPr>
                <w:ilvl w:val="0"/>
                <w:numId w:val="25"/>
              </w:numPr>
              <w:ind w:left="249" w:hanging="249"/>
              <w:jc w:val="left"/>
              <w:rPr>
                <w:rFonts w:ascii="Arial Narrow" w:hAnsi="Arial Narrow"/>
                <w:sz w:val="20"/>
              </w:rPr>
            </w:pPr>
            <w:r w:rsidRPr="002A59CE">
              <w:rPr>
                <w:rFonts w:ascii="Arial Narrow" w:hAnsi="Arial Narrow"/>
                <w:sz w:val="20"/>
              </w:rPr>
              <w:t>UFS-AOL</w:t>
            </w:r>
          </w:p>
        </w:tc>
      </w:tr>
      <w:tr w:rsidR="009D0F14" w:rsidRPr="00F36558" w:rsidTr="00380132">
        <w:tc>
          <w:tcPr>
            <w:tcW w:w="614" w:type="pct"/>
            <w:shd w:val="clear" w:color="auto" w:fill="auto"/>
            <w:vAlign w:val="center"/>
          </w:tcPr>
          <w:p w:rsidR="00F36558" w:rsidRPr="00F36558" w:rsidRDefault="00F36558" w:rsidP="00F36558">
            <w:pPr>
              <w:jc w:val="left"/>
              <w:rPr>
                <w:rFonts w:ascii="Arial Narrow" w:hAnsi="Arial Narrow"/>
                <w:sz w:val="20"/>
                <w:szCs w:val="16"/>
                <w:lang w:val="en-US"/>
              </w:rPr>
            </w:pPr>
            <w:r>
              <w:rPr>
                <w:rFonts w:ascii="Arial Narrow" w:hAnsi="Arial Narrow"/>
                <w:sz w:val="20"/>
                <w:szCs w:val="16"/>
                <w:lang w:val="en-US"/>
              </w:rPr>
              <w:t>PREMYA</w:t>
            </w:r>
          </w:p>
        </w:tc>
        <w:tc>
          <w:tcPr>
            <w:tcW w:w="1162" w:type="pct"/>
            <w:shd w:val="clear" w:color="auto" w:fill="auto"/>
            <w:vAlign w:val="center"/>
          </w:tcPr>
          <w:p w:rsidR="00F36558" w:rsidRPr="002A59CE" w:rsidRDefault="00F36558" w:rsidP="00D10A50">
            <w:pPr>
              <w:jc w:val="left"/>
              <w:rPr>
                <w:rFonts w:ascii="Arial Narrow" w:hAnsi="Arial Narrow"/>
                <w:sz w:val="20"/>
                <w:szCs w:val="16"/>
                <w:lang w:val="en-US"/>
              </w:rPr>
            </w:pPr>
            <w:r w:rsidRPr="002A59CE">
              <w:rPr>
                <w:rFonts w:ascii="Arial Narrow" w:hAnsi="Arial Narrow"/>
                <w:sz w:val="20"/>
                <w:szCs w:val="16"/>
                <w:lang w:val="en-US"/>
              </w:rPr>
              <w:t>Non-comparative real</w:t>
            </w:r>
            <w:r w:rsidR="00D10A50" w:rsidRPr="002A59CE">
              <w:rPr>
                <w:rFonts w:ascii="Arial Narrow" w:hAnsi="Arial Narrow"/>
                <w:sz w:val="20"/>
                <w:szCs w:val="16"/>
                <w:lang w:val="en-US"/>
              </w:rPr>
              <w:t>-</w:t>
            </w:r>
            <w:r w:rsidRPr="002A59CE">
              <w:rPr>
                <w:rFonts w:ascii="Arial Narrow" w:hAnsi="Arial Narrow"/>
                <w:sz w:val="20"/>
                <w:szCs w:val="16"/>
                <w:lang w:val="en-US"/>
              </w:rPr>
              <w:t>world study (n=1</w:t>
            </w:r>
            <w:r w:rsidR="00A96612" w:rsidRPr="002A59CE">
              <w:rPr>
                <w:rFonts w:ascii="Arial Narrow" w:hAnsi="Arial Narrow"/>
                <w:sz w:val="20"/>
                <w:szCs w:val="16"/>
                <w:lang w:val="en-US"/>
              </w:rPr>
              <w:t>,</w:t>
            </w:r>
            <w:r w:rsidRPr="002A59CE">
              <w:rPr>
                <w:rFonts w:ascii="Arial Narrow" w:hAnsi="Arial Narrow"/>
                <w:sz w:val="20"/>
                <w:szCs w:val="16"/>
                <w:lang w:val="en-US"/>
              </w:rPr>
              <w:t>473), 15 months</w:t>
            </w:r>
            <w:r w:rsidR="007E39C9" w:rsidRPr="002A59CE">
              <w:rPr>
                <w:rFonts w:ascii="Arial Narrow" w:hAnsi="Arial Narrow"/>
                <w:sz w:val="20"/>
                <w:szCs w:val="16"/>
                <w:lang w:val="en-US"/>
              </w:rPr>
              <w:t xml:space="preserve"> follow-up</w:t>
            </w:r>
          </w:p>
        </w:tc>
        <w:tc>
          <w:tcPr>
            <w:tcW w:w="433" w:type="pct"/>
            <w:shd w:val="clear" w:color="auto" w:fill="auto"/>
            <w:vAlign w:val="center"/>
          </w:tcPr>
          <w:p w:rsidR="00F36558" w:rsidRPr="002A59CE" w:rsidRDefault="00F36558" w:rsidP="00F36558">
            <w:pPr>
              <w:jc w:val="center"/>
              <w:rPr>
                <w:rFonts w:ascii="Arial Narrow" w:hAnsi="Arial Narrow"/>
                <w:sz w:val="20"/>
                <w:szCs w:val="16"/>
                <w:lang w:val="en-US"/>
              </w:rPr>
            </w:pPr>
            <w:r w:rsidRPr="002A59CE">
              <w:rPr>
                <w:rFonts w:ascii="Arial Narrow" w:hAnsi="Arial Narrow"/>
                <w:sz w:val="20"/>
                <w:szCs w:val="16"/>
                <w:lang w:val="en-US"/>
              </w:rPr>
              <w:t>High</w:t>
            </w:r>
          </w:p>
        </w:tc>
        <w:tc>
          <w:tcPr>
            <w:tcW w:w="938" w:type="pct"/>
            <w:shd w:val="clear" w:color="auto" w:fill="auto"/>
            <w:vAlign w:val="center"/>
          </w:tcPr>
          <w:p w:rsidR="00F36558" w:rsidRPr="002A59CE" w:rsidRDefault="007E39C9" w:rsidP="00F36558">
            <w:pPr>
              <w:jc w:val="center"/>
              <w:rPr>
                <w:rFonts w:ascii="Arial Narrow" w:hAnsi="Arial Narrow"/>
                <w:sz w:val="20"/>
                <w:szCs w:val="16"/>
                <w:lang w:val="en-US"/>
              </w:rPr>
            </w:pPr>
            <w:r w:rsidRPr="002A59CE">
              <w:rPr>
                <w:rFonts w:ascii="Arial Narrow" w:hAnsi="Arial Narrow"/>
                <w:sz w:val="20"/>
                <w:szCs w:val="16"/>
                <w:lang w:val="en-US"/>
              </w:rPr>
              <w:t>Pre-menopausal women with moderate to severe symptoms of uterine fibroids who were initiating treatment with ulipristal</w:t>
            </w:r>
          </w:p>
        </w:tc>
        <w:tc>
          <w:tcPr>
            <w:tcW w:w="1854" w:type="pct"/>
            <w:shd w:val="clear" w:color="auto" w:fill="auto"/>
            <w:vAlign w:val="center"/>
          </w:tcPr>
          <w:p w:rsidR="001B2EF6" w:rsidRPr="002A59CE" w:rsidRDefault="001B2EF6" w:rsidP="00CF1650">
            <w:pPr>
              <w:pStyle w:val="ListParagraph"/>
              <w:numPr>
                <w:ilvl w:val="0"/>
                <w:numId w:val="12"/>
              </w:numPr>
              <w:ind w:left="249" w:hanging="249"/>
              <w:jc w:val="left"/>
              <w:rPr>
                <w:rFonts w:ascii="Arial Narrow" w:hAnsi="Arial Narrow"/>
                <w:sz w:val="20"/>
              </w:rPr>
            </w:pPr>
            <w:r w:rsidRPr="002A59CE">
              <w:rPr>
                <w:rFonts w:ascii="Arial Narrow" w:hAnsi="Arial Narrow"/>
                <w:sz w:val="20"/>
              </w:rPr>
              <w:t xml:space="preserve">Patient treatment benefit </w:t>
            </w:r>
          </w:p>
          <w:p w:rsidR="001B2EF6" w:rsidRPr="002A59CE" w:rsidRDefault="001B2EF6" w:rsidP="00CF1650">
            <w:pPr>
              <w:pStyle w:val="ListParagraph"/>
              <w:numPr>
                <w:ilvl w:val="0"/>
                <w:numId w:val="12"/>
              </w:numPr>
              <w:ind w:left="249" w:hanging="249"/>
              <w:jc w:val="left"/>
              <w:rPr>
                <w:rFonts w:ascii="Arial Narrow" w:hAnsi="Arial Narrow"/>
                <w:sz w:val="20"/>
              </w:rPr>
            </w:pPr>
            <w:r w:rsidRPr="002A59CE">
              <w:rPr>
                <w:rFonts w:ascii="Arial Narrow" w:hAnsi="Arial Narrow"/>
                <w:sz w:val="20"/>
              </w:rPr>
              <w:t>UFS-AOL</w:t>
            </w:r>
          </w:p>
          <w:p w:rsidR="00F36558" w:rsidRPr="002A59CE" w:rsidRDefault="001B2EF6" w:rsidP="00CF1650">
            <w:pPr>
              <w:pStyle w:val="ListParagraph"/>
              <w:numPr>
                <w:ilvl w:val="0"/>
                <w:numId w:val="12"/>
              </w:numPr>
              <w:ind w:left="249" w:hanging="249"/>
              <w:jc w:val="left"/>
              <w:rPr>
                <w:rFonts w:ascii="Arial Narrow" w:hAnsi="Arial Narrow"/>
                <w:sz w:val="20"/>
              </w:rPr>
            </w:pPr>
            <w:r w:rsidRPr="002A59CE">
              <w:rPr>
                <w:rFonts w:ascii="Arial Narrow" w:hAnsi="Arial Narrow"/>
                <w:sz w:val="20"/>
              </w:rPr>
              <w:t xml:space="preserve">Clinical global impression </w:t>
            </w:r>
            <w:r w:rsidR="00883064" w:rsidRPr="002A59CE">
              <w:rPr>
                <w:rFonts w:ascii="Arial Narrow" w:hAnsi="Arial Narrow"/>
                <w:sz w:val="20"/>
              </w:rPr>
              <w:t>–</w:t>
            </w:r>
            <w:r w:rsidRPr="002A59CE">
              <w:rPr>
                <w:rFonts w:ascii="Arial Narrow" w:hAnsi="Arial Narrow"/>
                <w:sz w:val="20"/>
              </w:rPr>
              <w:t>improvement</w:t>
            </w:r>
          </w:p>
          <w:p w:rsidR="00883064" w:rsidRPr="002A59CE" w:rsidRDefault="00883064" w:rsidP="00CF1650">
            <w:pPr>
              <w:pStyle w:val="ListParagraph"/>
              <w:numPr>
                <w:ilvl w:val="0"/>
                <w:numId w:val="12"/>
              </w:numPr>
              <w:ind w:left="249" w:hanging="249"/>
              <w:jc w:val="left"/>
              <w:rPr>
                <w:rFonts w:ascii="Arial Narrow" w:hAnsi="Arial Narrow"/>
                <w:sz w:val="20"/>
              </w:rPr>
            </w:pPr>
            <w:r w:rsidRPr="002A59CE">
              <w:rPr>
                <w:rFonts w:ascii="Arial Narrow" w:hAnsi="Arial Narrow"/>
                <w:sz w:val="20"/>
              </w:rPr>
              <w:t xml:space="preserve">VAS </w:t>
            </w:r>
            <w:r w:rsidR="00A96612" w:rsidRPr="002A59CE">
              <w:rPr>
                <w:rFonts w:ascii="Arial Narrow" w:hAnsi="Arial Narrow"/>
                <w:sz w:val="20"/>
              </w:rPr>
              <w:t>–</w:t>
            </w:r>
            <w:r w:rsidRPr="002A59CE">
              <w:rPr>
                <w:rFonts w:ascii="Arial Narrow" w:hAnsi="Arial Narrow"/>
                <w:sz w:val="20"/>
              </w:rPr>
              <w:t xml:space="preserve"> pain</w:t>
            </w:r>
          </w:p>
          <w:p w:rsidR="00A96612" w:rsidRPr="002A59CE" w:rsidRDefault="00A96612" w:rsidP="00CF1650">
            <w:pPr>
              <w:pStyle w:val="ListParagraph"/>
              <w:numPr>
                <w:ilvl w:val="0"/>
                <w:numId w:val="12"/>
              </w:numPr>
              <w:ind w:left="249" w:hanging="249"/>
              <w:jc w:val="left"/>
              <w:rPr>
                <w:rFonts w:ascii="Arial Narrow" w:hAnsi="Arial Narrow"/>
                <w:sz w:val="20"/>
              </w:rPr>
            </w:pPr>
            <w:r w:rsidRPr="002A59CE">
              <w:rPr>
                <w:rFonts w:ascii="Arial Narrow" w:hAnsi="Arial Narrow"/>
                <w:sz w:val="20"/>
              </w:rPr>
              <w:t>Interventions post-ulipristal treatment</w:t>
            </w:r>
          </w:p>
        </w:tc>
      </w:tr>
    </w:tbl>
    <w:p w:rsidR="00B13D83" w:rsidRPr="002A59CE" w:rsidRDefault="00A2239B" w:rsidP="00B13D83">
      <w:pPr>
        <w:pStyle w:val="TableFooter"/>
        <w:ind w:left="720"/>
      </w:pPr>
      <w:r w:rsidRPr="002A59CE">
        <w:t xml:space="preserve">MDUFQ = Measurement of discomfort due to uterine fibroids questionnaire; </w:t>
      </w:r>
      <w:r w:rsidR="00B13D83" w:rsidRPr="002A59CE">
        <w:t xml:space="preserve">MRI = magnetic resonance imaging; PBA = pictorial blood-loss assessment; RCT = randomised controlled trial; </w:t>
      </w:r>
      <w:r w:rsidR="00314A01" w:rsidRPr="002A59CE">
        <w:t xml:space="preserve">SF-MPQ = Short-form McGill Pain questionnaire, </w:t>
      </w:r>
      <w:r w:rsidR="001B2EF6" w:rsidRPr="002A59CE">
        <w:t>UFS-QOL = uterine fibroid symptom and quality of life score</w:t>
      </w:r>
      <w:r w:rsidR="00883064" w:rsidRPr="002A59CE">
        <w:t>; VAS = visual analogue scale</w:t>
      </w:r>
    </w:p>
    <w:p w:rsidR="00D06FD4" w:rsidRPr="002A59CE" w:rsidRDefault="00D06FD4" w:rsidP="00D06FD4">
      <w:pPr>
        <w:pStyle w:val="TableFooter"/>
        <w:ind w:firstLine="720"/>
      </w:pPr>
      <w:r w:rsidRPr="002A59CE">
        <w:t xml:space="preserve">Source: </w:t>
      </w:r>
      <w:r w:rsidR="00EF136E" w:rsidRPr="002A59CE">
        <w:t>C</w:t>
      </w:r>
      <w:r w:rsidRPr="002A59CE">
        <w:t>ompiled during the evaluation</w:t>
      </w:r>
    </w:p>
    <w:p w:rsidR="00D06FD4" w:rsidRDefault="00D06FD4" w:rsidP="00D06FD4"/>
    <w:p w:rsidR="00B60939" w:rsidRPr="00497F10" w:rsidRDefault="00B60939" w:rsidP="00497F10">
      <w:pPr>
        <w:pStyle w:val="Heading2"/>
        <w:rPr>
          <w:i/>
        </w:rPr>
      </w:pPr>
      <w:bookmarkStart w:id="11" w:name="_Toc472349030"/>
      <w:r w:rsidRPr="00497F10">
        <w:rPr>
          <w:i/>
        </w:rPr>
        <w:t>Comparative effectiveness</w:t>
      </w:r>
      <w:bookmarkEnd w:id="11"/>
    </w:p>
    <w:p w:rsidR="00B60939" w:rsidRPr="00882085" w:rsidRDefault="00B60939" w:rsidP="00B60939">
      <w:pPr>
        <w:rPr>
          <w:szCs w:val="22"/>
        </w:rPr>
      </w:pPr>
    </w:p>
    <w:p w:rsidR="00280AFF" w:rsidRPr="00280AFF" w:rsidRDefault="00280AFF" w:rsidP="00CF1650">
      <w:pPr>
        <w:widowControl/>
        <w:numPr>
          <w:ilvl w:val="1"/>
          <w:numId w:val="3"/>
        </w:numPr>
        <w:contextualSpacing/>
        <w:rPr>
          <w:szCs w:val="22"/>
        </w:rPr>
      </w:pPr>
      <w:r w:rsidRPr="00280AFF">
        <w:rPr>
          <w:szCs w:val="22"/>
        </w:rPr>
        <w:t xml:space="preserve">The </w:t>
      </w:r>
      <w:r w:rsidR="00D407FF">
        <w:rPr>
          <w:szCs w:val="22"/>
        </w:rPr>
        <w:t>key primary and secondary outcome</w:t>
      </w:r>
      <w:r w:rsidRPr="00280AFF">
        <w:rPr>
          <w:szCs w:val="22"/>
        </w:rPr>
        <w:t xml:space="preserve"> results of the PEARL I</w:t>
      </w:r>
      <w:r w:rsidR="00F157F9">
        <w:rPr>
          <w:szCs w:val="22"/>
        </w:rPr>
        <w:t xml:space="preserve"> trial </w:t>
      </w:r>
      <w:r w:rsidR="007E018B">
        <w:rPr>
          <w:szCs w:val="22"/>
        </w:rPr>
        <w:t>are</w:t>
      </w:r>
      <w:r w:rsidRPr="00280AFF">
        <w:rPr>
          <w:szCs w:val="22"/>
        </w:rPr>
        <w:t xml:space="preserve"> presented </w:t>
      </w:r>
      <w:r w:rsidR="008F70AF">
        <w:rPr>
          <w:szCs w:val="22"/>
        </w:rPr>
        <w:t xml:space="preserve">in Table </w:t>
      </w:r>
      <w:r w:rsidR="00D5321D">
        <w:rPr>
          <w:szCs w:val="22"/>
        </w:rPr>
        <w:t>4</w:t>
      </w:r>
      <w:r w:rsidRPr="00280AFF">
        <w:rPr>
          <w:color w:val="3366FF"/>
          <w:szCs w:val="22"/>
        </w:rPr>
        <w:t>.</w:t>
      </w:r>
    </w:p>
    <w:p w:rsidR="00D353D9" w:rsidRDefault="00D353D9">
      <w:pPr>
        <w:widowControl/>
        <w:jc w:val="left"/>
        <w:rPr>
          <w:rFonts w:ascii="Arial Narrow" w:hAnsi="Arial Narrow"/>
          <w:b/>
          <w:sz w:val="20"/>
        </w:rPr>
      </w:pPr>
      <w:r>
        <w:rPr>
          <w:rFonts w:ascii="Arial Narrow" w:hAnsi="Arial Narrow"/>
          <w:b/>
          <w:sz w:val="20"/>
        </w:rPr>
        <w:br w:type="page"/>
      </w:r>
    </w:p>
    <w:p w:rsidR="00C3130F" w:rsidRDefault="00C3130F">
      <w:pPr>
        <w:widowControl/>
        <w:jc w:val="left"/>
        <w:rPr>
          <w:rFonts w:ascii="Arial Narrow" w:hAnsi="Arial Narrow"/>
          <w:b/>
          <w:sz w:val="20"/>
        </w:rPr>
      </w:pPr>
    </w:p>
    <w:p w:rsidR="00280AFF" w:rsidRDefault="00280AFF" w:rsidP="00280AFF">
      <w:pPr>
        <w:ind w:left="709"/>
        <w:rPr>
          <w:rFonts w:ascii="Arial Narrow" w:hAnsi="Arial Narrow"/>
          <w:b/>
          <w:sz w:val="20"/>
        </w:rPr>
      </w:pPr>
      <w:r w:rsidRPr="00BD0FAD">
        <w:rPr>
          <w:rFonts w:ascii="Arial Narrow" w:hAnsi="Arial Narrow"/>
          <w:b/>
          <w:sz w:val="20"/>
        </w:rPr>
        <w:t xml:space="preserve">Table </w:t>
      </w:r>
      <w:r w:rsidR="00D5321D" w:rsidRPr="00BD0FAD">
        <w:rPr>
          <w:rFonts w:ascii="Arial Narrow" w:hAnsi="Arial Narrow"/>
          <w:b/>
          <w:sz w:val="20"/>
        </w:rPr>
        <w:t>4</w:t>
      </w:r>
      <w:r w:rsidRPr="00BD0FAD">
        <w:rPr>
          <w:rFonts w:ascii="Arial Narrow" w:hAnsi="Arial Narrow"/>
          <w:b/>
          <w:sz w:val="20"/>
        </w:rPr>
        <w:t xml:space="preserve">: </w:t>
      </w:r>
      <w:r w:rsidR="00D407FF" w:rsidRPr="00BD0FAD">
        <w:rPr>
          <w:rFonts w:ascii="Arial Narrow" w:hAnsi="Arial Narrow"/>
          <w:b/>
          <w:sz w:val="20"/>
        </w:rPr>
        <w:t xml:space="preserve">Key primary and secondary outcome </w:t>
      </w:r>
      <w:r w:rsidRPr="00BD0FAD">
        <w:rPr>
          <w:rFonts w:ascii="Arial Narrow" w:hAnsi="Arial Narrow"/>
          <w:b/>
          <w:sz w:val="20"/>
        </w:rPr>
        <w:t xml:space="preserve">results </w:t>
      </w:r>
      <w:r w:rsidR="00F157F9" w:rsidRPr="00BD0FAD">
        <w:rPr>
          <w:rFonts w:ascii="Arial Narrow" w:hAnsi="Arial Narrow"/>
          <w:b/>
          <w:sz w:val="20"/>
        </w:rPr>
        <w:t>of the PEARL I trial</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63"/>
        <w:gridCol w:w="1215"/>
        <w:gridCol w:w="1112"/>
        <w:gridCol w:w="1823"/>
        <w:gridCol w:w="1450"/>
      </w:tblGrid>
      <w:tr w:rsidR="003B4926" w:rsidRPr="00AE0FFB" w:rsidTr="00E92E37">
        <w:trPr>
          <w:trHeight w:val="455"/>
        </w:trPr>
        <w:tc>
          <w:tcPr>
            <w:tcW w:w="0" w:type="auto"/>
            <w:tcBorders>
              <w:bottom w:val="double" w:sz="4" w:space="0" w:color="auto"/>
            </w:tcBorders>
            <w:vAlign w:val="center"/>
          </w:tcPr>
          <w:p w:rsidR="003B4926" w:rsidRPr="00AE0FFB" w:rsidRDefault="003B4926" w:rsidP="003B4926">
            <w:pPr>
              <w:keepNext/>
              <w:keepLines/>
              <w:jc w:val="left"/>
              <w:rPr>
                <w:rFonts w:ascii="Arial Narrow" w:hAnsi="Arial Narrow"/>
                <w:sz w:val="20"/>
              </w:rPr>
            </w:pPr>
          </w:p>
        </w:tc>
        <w:tc>
          <w:tcPr>
            <w:tcW w:w="0" w:type="auto"/>
            <w:tcBorders>
              <w:bottom w:val="double" w:sz="4" w:space="0" w:color="auto"/>
            </w:tcBorders>
            <w:vAlign w:val="center"/>
          </w:tcPr>
          <w:p w:rsidR="003B4926" w:rsidRPr="00AE0FFB" w:rsidRDefault="003B4926" w:rsidP="003B4926">
            <w:pPr>
              <w:keepNext/>
              <w:keepLines/>
              <w:jc w:val="center"/>
              <w:rPr>
                <w:rFonts w:ascii="Arial Narrow" w:hAnsi="Arial Narrow"/>
                <w:b/>
                <w:sz w:val="20"/>
              </w:rPr>
            </w:pPr>
            <w:r w:rsidRPr="00AE0FFB">
              <w:rPr>
                <w:rFonts w:ascii="Arial Narrow" w:hAnsi="Arial Narrow"/>
                <w:b/>
                <w:sz w:val="20"/>
              </w:rPr>
              <w:t>Ulipristal 5 mg</w:t>
            </w:r>
          </w:p>
          <w:p w:rsidR="003B4926" w:rsidRPr="00AE0FFB" w:rsidRDefault="003B4926" w:rsidP="003B4926">
            <w:pPr>
              <w:keepNext/>
              <w:keepLines/>
              <w:ind w:right="-108"/>
              <w:jc w:val="center"/>
              <w:rPr>
                <w:rFonts w:ascii="Arial Narrow" w:hAnsi="Arial Narrow"/>
                <w:b/>
                <w:sz w:val="20"/>
              </w:rPr>
            </w:pPr>
            <w:r w:rsidRPr="00AE0FFB">
              <w:rPr>
                <w:rFonts w:ascii="Arial Narrow" w:hAnsi="Arial Narrow"/>
                <w:b/>
                <w:sz w:val="20"/>
              </w:rPr>
              <w:t>N=95</w:t>
            </w:r>
          </w:p>
        </w:tc>
        <w:tc>
          <w:tcPr>
            <w:tcW w:w="0" w:type="auto"/>
            <w:tcBorders>
              <w:bottom w:val="double" w:sz="4" w:space="0" w:color="auto"/>
            </w:tcBorders>
            <w:vAlign w:val="center"/>
          </w:tcPr>
          <w:p w:rsidR="003B4926" w:rsidRPr="00AE0FFB" w:rsidRDefault="003B4926" w:rsidP="003B4926">
            <w:pPr>
              <w:keepNext/>
              <w:keepLines/>
              <w:jc w:val="center"/>
              <w:rPr>
                <w:rFonts w:ascii="Arial Narrow" w:hAnsi="Arial Narrow"/>
                <w:b/>
                <w:sz w:val="20"/>
              </w:rPr>
            </w:pPr>
            <w:r w:rsidRPr="00AE0FFB">
              <w:rPr>
                <w:rFonts w:ascii="Arial Narrow" w:hAnsi="Arial Narrow"/>
                <w:b/>
                <w:sz w:val="20"/>
              </w:rPr>
              <w:t>Placebo</w:t>
            </w:r>
          </w:p>
          <w:p w:rsidR="003B4926" w:rsidRPr="00AE0FFB" w:rsidRDefault="003B4926" w:rsidP="003B4926">
            <w:pPr>
              <w:keepNext/>
              <w:keepLines/>
              <w:jc w:val="center"/>
              <w:rPr>
                <w:rFonts w:ascii="Arial Narrow" w:hAnsi="Arial Narrow"/>
                <w:sz w:val="20"/>
              </w:rPr>
            </w:pPr>
            <w:r w:rsidRPr="00AE0FFB">
              <w:rPr>
                <w:rFonts w:ascii="Arial Narrow" w:hAnsi="Arial Narrow"/>
                <w:b/>
                <w:sz w:val="20"/>
              </w:rPr>
              <w:t>N=48</w:t>
            </w:r>
          </w:p>
        </w:tc>
        <w:tc>
          <w:tcPr>
            <w:tcW w:w="1781" w:type="dxa"/>
            <w:tcBorders>
              <w:bottom w:val="double" w:sz="4" w:space="0" w:color="auto"/>
            </w:tcBorders>
            <w:vAlign w:val="center"/>
          </w:tcPr>
          <w:p w:rsidR="003B4926" w:rsidRPr="00AE0FFB" w:rsidRDefault="003B4926" w:rsidP="003B4926">
            <w:pPr>
              <w:keepNext/>
              <w:keepLines/>
              <w:jc w:val="center"/>
              <w:rPr>
                <w:rFonts w:ascii="Arial Narrow" w:hAnsi="Arial Narrow"/>
                <w:b/>
                <w:sz w:val="20"/>
              </w:rPr>
            </w:pPr>
            <w:r w:rsidRPr="00AE0FFB">
              <w:rPr>
                <w:rFonts w:ascii="Arial Narrow" w:hAnsi="Arial Narrow"/>
                <w:b/>
                <w:sz w:val="20"/>
              </w:rPr>
              <w:t xml:space="preserve">Absolute difference </w:t>
            </w:r>
          </w:p>
          <w:p w:rsidR="003B4926" w:rsidRPr="00AE0FFB" w:rsidRDefault="003B4926" w:rsidP="003B4926">
            <w:pPr>
              <w:keepNext/>
              <w:keepLines/>
              <w:jc w:val="center"/>
              <w:rPr>
                <w:rFonts w:ascii="Arial Narrow" w:hAnsi="Arial Narrow"/>
                <w:b/>
                <w:sz w:val="20"/>
              </w:rPr>
            </w:pPr>
            <w:r w:rsidRPr="00AE0FFB">
              <w:rPr>
                <w:rFonts w:ascii="Arial Narrow" w:hAnsi="Arial Narrow"/>
                <w:b/>
                <w:sz w:val="20"/>
              </w:rPr>
              <w:t>(95% CI)</w:t>
            </w:r>
          </w:p>
        </w:tc>
        <w:tc>
          <w:tcPr>
            <w:tcW w:w="1417" w:type="dxa"/>
            <w:tcBorders>
              <w:bottom w:val="double" w:sz="4" w:space="0" w:color="auto"/>
            </w:tcBorders>
            <w:vAlign w:val="center"/>
          </w:tcPr>
          <w:p w:rsidR="003B4926" w:rsidRPr="00AE0FFB" w:rsidRDefault="003B4926" w:rsidP="003B4926">
            <w:pPr>
              <w:keepNext/>
              <w:keepLines/>
              <w:jc w:val="center"/>
              <w:rPr>
                <w:rFonts w:ascii="Arial Narrow" w:hAnsi="Arial Narrow"/>
                <w:b/>
                <w:sz w:val="20"/>
              </w:rPr>
            </w:pPr>
            <w:r w:rsidRPr="00AE0FFB">
              <w:rPr>
                <w:rFonts w:ascii="Arial Narrow" w:hAnsi="Arial Narrow"/>
                <w:b/>
                <w:sz w:val="20"/>
              </w:rPr>
              <w:t>Relative risk</w:t>
            </w:r>
            <w:r w:rsidR="00A42A00">
              <w:rPr>
                <w:rFonts w:ascii="Arial Narrow" w:hAnsi="Arial Narrow"/>
                <w:b/>
                <w:sz w:val="20"/>
              </w:rPr>
              <w:t>^</w:t>
            </w:r>
          </w:p>
          <w:p w:rsidR="003B4926" w:rsidRPr="00AE0FFB" w:rsidRDefault="003B4926" w:rsidP="00A42A00">
            <w:pPr>
              <w:keepNext/>
              <w:keepLines/>
              <w:jc w:val="center"/>
              <w:rPr>
                <w:rFonts w:ascii="Arial Narrow" w:hAnsi="Arial Narrow"/>
                <w:sz w:val="20"/>
              </w:rPr>
            </w:pPr>
            <w:r w:rsidRPr="00AE0FFB">
              <w:rPr>
                <w:rFonts w:ascii="Arial Narrow" w:hAnsi="Arial Narrow"/>
                <w:b/>
                <w:sz w:val="20"/>
              </w:rPr>
              <w:t>(95% CI)</w:t>
            </w:r>
          </w:p>
        </w:tc>
      </w:tr>
      <w:tr w:rsidR="003B4926" w:rsidRPr="00AE0FFB" w:rsidTr="00E92E37">
        <w:trPr>
          <w:trHeight w:val="212"/>
        </w:trPr>
        <w:tc>
          <w:tcPr>
            <w:tcW w:w="8363" w:type="dxa"/>
            <w:gridSpan w:val="5"/>
            <w:tcBorders>
              <w:top w:val="double" w:sz="4" w:space="0" w:color="auto"/>
            </w:tcBorders>
          </w:tcPr>
          <w:p w:rsidR="003B4926" w:rsidRPr="00AE0FFB" w:rsidRDefault="003B4926" w:rsidP="003B4926">
            <w:pPr>
              <w:jc w:val="left"/>
              <w:rPr>
                <w:rFonts w:ascii="Arial Narrow" w:hAnsi="Arial Narrow"/>
                <w:b/>
                <w:sz w:val="20"/>
              </w:rPr>
            </w:pPr>
            <w:r w:rsidRPr="00AE0FFB">
              <w:rPr>
                <w:rFonts w:ascii="Arial Narrow" w:hAnsi="Arial Narrow"/>
                <w:b/>
                <w:sz w:val="20"/>
              </w:rPr>
              <w:t>Primary outcomes</w:t>
            </w:r>
          </w:p>
        </w:tc>
      </w:tr>
      <w:tr w:rsidR="003B4926" w:rsidRPr="00AE0FFB" w:rsidTr="00E92E37">
        <w:trPr>
          <w:trHeight w:val="227"/>
        </w:trPr>
        <w:tc>
          <w:tcPr>
            <w:tcW w:w="8363" w:type="dxa"/>
            <w:gridSpan w:val="5"/>
            <w:tcBorders>
              <w:bottom w:val="single" w:sz="4" w:space="0" w:color="auto"/>
            </w:tcBorders>
          </w:tcPr>
          <w:p w:rsidR="003B4926" w:rsidRPr="00AE0FFB" w:rsidRDefault="003B4926" w:rsidP="003B4926">
            <w:pPr>
              <w:jc w:val="left"/>
              <w:rPr>
                <w:rFonts w:ascii="Arial Narrow" w:hAnsi="Arial Narrow"/>
                <w:sz w:val="20"/>
              </w:rPr>
            </w:pPr>
            <w:r w:rsidRPr="00AE0FFB">
              <w:rPr>
                <w:rFonts w:ascii="Arial Narrow" w:hAnsi="Arial Narrow"/>
                <w:sz w:val="20"/>
              </w:rPr>
              <w:t>PBA chart score &lt;75 at Week 13, n/N (%), ITT analysis</w:t>
            </w:r>
            <w:r>
              <w:rPr>
                <w:rFonts w:ascii="Arial Narrow" w:hAnsi="Arial Narrow"/>
                <w:sz w:val="20"/>
              </w:rPr>
              <w:t xml:space="preserve"> (LOCF)</w:t>
            </w:r>
          </w:p>
        </w:tc>
      </w:tr>
      <w:tr w:rsidR="003B4926" w:rsidRPr="00AE0FFB" w:rsidTr="00E92E37">
        <w:trPr>
          <w:trHeight w:val="227"/>
        </w:trPr>
        <w:tc>
          <w:tcPr>
            <w:tcW w:w="0" w:type="auto"/>
            <w:tcBorders>
              <w:bottom w:val="nil"/>
            </w:tcBorders>
          </w:tcPr>
          <w:p w:rsidR="003B4926" w:rsidRPr="00AE0FFB" w:rsidRDefault="003B4926" w:rsidP="003B4926">
            <w:pPr>
              <w:ind w:left="251"/>
              <w:jc w:val="left"/>
              <w:rPr>
                <w:rFonts w:ascii="Arial Narrow" w:hAnsi="Arial Narrow"/>
                <w:sz w:val="20"/>
              </w:rPr>
            </w:pPr>
            <w:r w:rsidRPr="00AE0FFB">
              <w:rPr>
                <w:rFonts w:ascii="Arial Narrow" w:hAnsi="Arial Narrow"/>
                <w:sz w:val="20"/>
              </w:rPr>
              <w:t>LOCF</w:t>
            </w:r>
          </w:p>
        </w:tc>
        <w:tc>
          <w:tcPr>
            <w:tcW w:w="0" w:type="auto"/>
            <w:tcBorders>
              <w:bottom w:val="nil"/>
            </w:tcBorders>
          </w:tcPr>
          <w:p w:rsidR="003B4926" w:rsidRPr="00AE0FFB" w:rsidRDefault="003B4926" w:rsidP="003B4926">
            <w:pPr>
              <w:jc w:val="center"/>
              <w:rPr>
                <w:rFonts w:ascii="Arial Narrow" w:hAnsi="Arial Narrow"/>
                <w:sz w:val="20"/>
              </w:rPr>
            </w:pPr>
            <w:r w:rsidRPr="00AE0FFB">
              <w:rPr>
                <w:rFonts w:ascii="Arial Narrow" w:hAnsi="Arial Narrow"/>
                <w:sz w:val="20"/>
              </w:rPr>
              <w:t>86/94 (91.5%)</w:t>
            </w:r>
          </w:p>
        </w:tc>
        <w:tc>
          <w:tcPr>
            <w:tcW w:w="0" w:type="auto"/>
            <w:tcBorders>
              <w:bottom w:val="nil"/>
            </w:tcBorders>
          </w:tcPr>
          <w:p w:rsidR="003B4926" w:rsidRPr="00AE0FFB" w:rsidRDefault="003B4926" w:rsidP="003B4926">
            <w:pPr>
              <w:jc w:val="center"/>
              <w:rPr>
                <w:rFonts w:ascii="Arial Narrow" w:hAnsi="Arial Narrow"/>
                <w:sz w:val="20"/>
              </w:rPr>
            </w:pPr>
            <w:r w:rsidRPr="00AE0FFB">
              <w:rPr>
                <w:rFonts w:ascii="Arial Narrow" w:hAnsi="Arial Narrow"/>
                <w:sz w:val="20"/>
              </w:rPr>
              <w:t>9/48 (18.8%)</w:t>
            </w:r>
          </w:p>
        </w:tc>
        <w:tc>
          <w:tcPr>
            <w:tcW w:w="1781" w:type="dxa"/>
            <w:tcBorders>
              <w:bottom w:val="nil"/>
            </w:tcBorders>
          </w:tcPr>
          <w:p w:rsidR="003B4926" w:rsidRPr="00AE0FFB" w:rsidRDefault="003B4926" w:rsidP="003B4926">
            <w:pPr>
              <w:jc w:val="center"/>
              <w:rPr>
                <w:rFonts w:ascii="Arial Narrow" w:hAnsi="Arial Narrow"/>
                <w:b/>
                <w:sz w:val="20"/>
              </w:rPr>
            </w:pPr>
            <w:r w:rsidRPr="00AE0FFB">
              <w:rPr>
                <w:rFonts w:ascii="Arial Narrow" w:hAnsi="Arial Narrow"/>
                <w:b/>
                <w:sz w:val="20"/>
              </w:rPr>
              <w:t>72.7% (55.1%, 83.2%)</w:t>
            </w:r>
          </w:p>
        </w:tc>
        <w:tc>
          <w:tcPr>
            <w:tcW w:w="1417" w:type="dxa"/>
            <w:tcBorders>
              <w:bottom w:val="nil"/>
            </w:tcBorders>
          </w:tcPr>
          <w:p w:rsidR="003B4926" w:rsidRPr="00FA78A9" w:rsidRDefault="003B4926" w:rsidP="003B4926">
            <w:pPr>
              <w:jc w:val="center"/>
              <w:rPr>
                <w:rFonts w:ascii="Arial Narrow" w:hAnsi="Arial Narrow"/>
                <w:b/>
                <w:sz w:val="20"/>
              </w:rPr>
            </w:pPr>
            <w:r w:rsidRPr="00FA78A9">
              <w:rPr>
                <w:rFonts w:ascii="Arial Narrow" w:hAnsi="Arial Narrow"/>
                <w:b/>
                <w:sz w:val="20"/>
              </w:rPr>
              <w:t>4.88 (2.70, 8.82)</w:t>
            </w:r>
          </w:p>
        </w:tc>
      </w:tr>
      <w:tr w:rsidR="003B4926" w:rsidRPr="00AE0FFB" w:rsidTr="00E92E37">
        <w:trPr>
          <w:trHeight w:val="243"/>
        </w:trPr>
        <w:tc>
          <w:tcPr>
            <w:tcW w:w="0" w:type="auto"/>
            <w:tcBorders>
              <w:top w:val="nil"/>
              <w:bottom w:val="double" w:sz="4" w:space="0" w:color="auto"/>
            </w:tcBorders>
          </w:tcPr>
          <w:p w:rsidR="003B4926" w:rsidRPr="00AE0FFB" w:rsidRDefault="003B4926" w:rsidP="003B4926">
            <w:pPr>
              <w:ind w:left="251"/>
              <w:jc w:val="left"/>
              <w:rPr>
                <w:rFonts w:ascii="Arial Narrow" w:hAnsi="Arial Narrow"/>
                <w:sz w:val="20"/>
              </w:rPr>
            </w:pPr>
            <w:r w:rsidRPr="00AE0FFB">
              <w:rPr>
                <w:rFonts w:ascii="Arial Narrow" w:hAnsi="Arial Narrow"/>
                <w:sz w:val="20"/>
              </w:rPr>
              <w:t>Observed</w:t>
            </w:r>
          </w:p>
        </w:tc>
        <w:tc>
          <w:tcPr>
            <w:tcW w:w="0" w:type="auto"/>
            <w:tcBorders>
              <w:top w:val="nil"/>
              <w:bottom w:val="double" w:sz="4" w:space="0" w:color="auto"/>
            </w:tcBorders>
          </w:tcPr>
          <w:p w:rsidR="003B4926" w:rsidRPr="00AE0FFB" w:rsidRDefault="003B4926" w:rsidP="003B4926">
            <w:pPr>
              <w:jc w:val="center"/>
              <w:rPr>
                <w:rFonts w:ascii="Arial Narrow" w:hAnsi="Arial Narrow"/>
                <w:sz w:val="20"/>
              </w:rPr>
            </w:pPr>
            <w:r w:rsidRPr="00AE0FFB">
              <w:rPr>
                <w:rFonts w:ascii="Arial Narrow" w:hAnsi="Arial Narrow"/>
                <w:sz w:val="20"/>
              </w:rPr>
              <w:t>77/82 (93.9%)</w:t>
            </w:r>
          </w:p>
        </w:tc>
        <w:tc>
          <w:tcPr>
            <w:tcW w:w="0" w:type="auto"/>
            <w:tcBorders>
              <w:top w:val="nil"/>
              <w:bottom w:val="double" w:sz="4" w:space="0" w:color="auto"/>
            </w:tcBorders>
          </w:tcPr>
          <w:p w:rsidR="003B4926" w:rsidRPr="00AE0FFB" w:rsidRDefault="003B4926" w:rsidP="003B4926">
            <w:pPr>
              <w:jc w:val="center"/>
              <w:rPr>
                <w:rFonts w:ascii="Arial Narrow" w:hAnsi="Arial Narrow"/>
                <w:sz w:val="20"/>
              </w:rPr>
            </w:pPr>
            <w:r w:rsidRPr="00AE0FFB">
              <w:rPr>
                <w:rFonts w:ascii="Arial Narrow" w:hAnsi="Arial Narrow"/>
                <w:sz w:val="20"/>
              </w:rPr>
              <w:t>7/36 (19.4%)</w:t>
            </w:r>
          </w:p>
        </w:tc>
        <w:tc>
          <w:tcPr>
            <w:tcW w:w="1781" w:type="dxa"/>
            <w:tcBorders>
              <w:top w:val="nil"/>
              <w:bottom w:val="double" w:sz="4" w:space="0" w:color="auto"/>
            </w:tcBorders>
          </w:tcPr>
          <w:p w:rsidR="003B4926" w:rsidRPr="00FA78A9" w:rsidRDefault="003B4926" w:rsidP="00FA78A9">
            <w:pPr>
              <w:jc w:val="center"/>
              <w:rPr>
                <w:rFonts w:ascii="Arial Narrow" w:hAnsi="Arial Narrow"/>
                <w:b/>
                <w:sz w:val="20"/>
              </w:rPr>
            </w:pPr>
            <w:r w:rsidRPr="00FA78A9">
              <w:rPr>
                <w:rFonts w:ascii="Arial Narrow" w:hAnsi="Arial Narrow"/>
                <w:b/>
                <w:sz w:val="20"/>
              </w:rPr>
              <w:t>74.0% (61.0%, 88.0%</w:t>
            </w:r>
            <w:r w:rsidR="00FA78A9" w:rsidRPr="00FA78A9">
              <w:rPr>
                <w:rFonts w:ascii="Arial Narrow" w:hAnsi="Arial Narrow"/>
                <w:b/>
                <w:sz w:val="20"/>
              </w:rPr>
              <w:t>)^</w:t>
            </w:r>
          </w:p>
        </w:tc>
        <w:tc>
          <w:tcPr>
            <w:tcW w:w="1417" w:type="dxa"/>
            <w:tcBorders>
              <w:top w:val="nil"/>
              <w:bottom w:val="double" w:sz="4" w:space="0" w:color="auto"/>
            </w:tcBorders>
          </w:tcPr>
          <w:p w:rsidR="003B4926" w:rsidRPr="00FA78A9" w:rsidRDefault="003B4926" w:rsidP="003B4926">
            <w:pPr>
              <w:jc w:val="center"/>
              <w:rPr>
                <w:rFonts w:ascii="Arial Narrow" w:hAnsi="Arial Narrow"/>
                <w:b/>
                <w:sz w:val="20"/>
              </w:rPr>
            </w:pPr>
            <w:r w:rsidRPr="00FA78A9">
              <w:rPr>
                <w:rFonts w:ascii="Arial Narrow" w:hAnsi="Arial Narrow"/>
                <w:b/>
                <w:sz w:val="20"/>
              </w:rPr>
              <w:t>4.83 (2.48, 9.41)</w:t>
            </w:r>
          </w:p>
        </w:tc>
      </w:tr>
      <w:tr w:rsidR="003B4926" w:rsidRPr="00AE0FFB" w:rsidTr="00E92E37">
        <w:trPr>
          <w:trHeight w:val="212"/>
        </w:trPr>
        <w:tc>
          <w:tcPr>
            <w:tcW w:w="8363" w:type="dxa"/>
            <w:gridSpan w:val="5"/>
            <w:tcBorders>
              <w:top w:val="double" w:sz="4" w:space="0" w:color="auto"/>
            </w:tcBorders>
          </w:tcPr>
          <w:p w:rsidR="003B4926" w:rsidRPr="00AE0FFB" w:rsidRDefault="003B4926" w:rsidP="003B4926">
            <w:pPr>
              <w:jc w:val="left"/>
              <w:rPr>
                <w:rFonts w:ascii="Arial Narrow" w:hAnsi="Arial Narrow"/>
                <w:sz w:val="20"/>
              </w:rPr>
            </w:pPr>
            <w:r w:rsidRPr="00AE0FFB">
              <w:rPr>
                <w:rFonts w:ascii="Arial Narrow" w:hAnsi="Arial Narrow"/>
                <w:sz w:val="20"/>
              </w:rPr>
              <w:t>Change in total fibroid volume from screening to Week 13*, cm</w:t>
            </w:r>
            <w:r w:rsidRPr="00AE0FFB">
              <w:rPr>
                <w:rFonts w:ascii="Arial Narrow" w:hAnsi="Arial Narrow"/>
                <w:sz w:val="20"/>
                <w:vertAlign w:val="superscript"/>
              </w:rPr>
              <w:t>3</w:t>
            </w:r>
          </w:p>
        </w:tc>
      </w:tr>
      <w:tr w:rsidR="003B4926" w:rsidRPr="00AE0FFB" w:rsidTr="00E92E37">
        <w:trPr>
          <w:trHeight w:val="455"/>
        </w:trPr>
        <w:tc>
          <w:tcPr>
            <w:tcW w:w="0" w:type="auto"/>
            <w:tcBorders>
              <w:top w:val="dotted" w:sz="4" w:space="0" w:color="auto"/>
              <w:bottom w:val="double" w:sz="4" w:space="0" w:color="auto"/>
            </w:tcBorders>
            <w:vAlign w:val="center"/>
          </w:tcPr>
          <w:p w:rsidR="003B4926" w:rsidRPr="00AE0FFB" w:rsidRDefault="003B4926" w:rsidP="003B4926">
            <w:pPr>
              <w:jc w:val="left"/>
              <w:rPr>
                <w:rFonts w:ascii="Arial Narrow" w:hAnsi="Arial Narrow"/>
                <w:sz w:val="20"/>
                <w:vertAlign w:val="superscript"/>
              </w:rPr>
            </w:pPr>
            <w:r w:rsidRPr="00AE0FFB">
              <w:rPr>
                <w:rFonts w:ascii="Arial Narrow" w:hAnsi="Arial Narrow"/>
                <w:sz w:val="20"/>
              </w:rPr>
              <w:t>% change, median (range)</w:t>
            </w:r>
            <w:r w:rsidRPr="00AE0FFB">
              <w:rPr>
                <w:rFonts w:ascii="Arial Narrow" w:hAnsi="Arial Narrow"/>
                <w:sz w:val="20"/>
                <w:vertAlign w:val="superscript"/>
              </w:rPr>
              <w:t>a</w:t>
            </w:r>
          </w:p>
        </w:tc>
        <w:tc>
          <w:tcPr>
            <w:tcW w:w="0" w:type="auto"/>
            <w:tcBorders>
              <w:top w:val="dotted" w:sz="4" w:space="0" w:color="auto"/>
              <w:bottom w:val="double" w:sz="4" w:space="0" w:color="auto"/>
            </w:tcBorders>
          </w:tcPr>
          <w:p w:rsidR="003B4926" w:rsidRPr="00AE0FFB" w:rsidRDefault="003B4926" w:rsidP="003B4926">
            <w:pPr>
              <w:jc w:val="center"/>
              <w:rPr>
                <w:rFonts w:ascii="Arial Narrow" w:hAnsi="Arial Narrow"/>
                <w:sz w:val="20"/>
              </w:rPr>
            </w:pPr>
            <w:r w:rsidRPr="00AE0FFB">
              <w:rPr>
                <w:rFonts w:ascii="Arial Narrow" w:hAnsi="Arial Narrow"/>
                <w:sz w:val="20"/>
              </w:rPr>
              <w:t>-21.2%</w:t>
            </w:r>
          </w:p>
          <w:p w:rsidR="003B4926" w:rsidRPr="00AE0FFB" w:rsidRDefault="003B4926" w:rsidP="003B4926">
            <w:pPr>
              <w:jc w:val="center"/>
              <w:rPr>
                <w:rFonts w:ascii="Arial Narrow" w:hAnsi="Arial Narrow"/>
                <w:sz w:val="20"/>
              </w:rPr>
            </w:pPr>
            <w:r w:rsidRPr="00AE0FFB">
              <w:rPr>
                <w:rFonts w:ascii="Arial Narrow" w:hAnsi="Arial Narrow"/>
                <w:sz w:val="20"/>
              </w:rPr>
              <w:t>(-41.2 to -1.1)</w:t>
            </w:r>
          </w:p>
        </w:tc>
        <w:tc>
          <w:tcPr>
            <w:tcW w:w="0" w:type="auto"/>
            <w:tcBorders>
              <w:top w:val="dotted" w:sz="4" w:space="0" w:color="auto"/>
              <w:bottom w:val="double" w:sz="4" w:space="0" w:color="auto"/>
            </w:tcBorders>
          </w:tcPr>
          <w:p w:rsidR="003B4926" w:rsidRPr="00AE0FFB" w:rsidRDefault="003B4926" w:rsidP="003B4926">
            <w:pPr>
              <w:jc w:val="center"/>
              <w:rPr>
                <w:rFonts w:ascii="Arial Narrow" w:hAnsi="Arial Narrow"/>
                <w:sz w:val="20"/>
              </w:rPr>
            </w:pPr>
            <w:r w:rsidRPr="00AE0FFB">
              <w:rPr>
                <w:rFonts w:ascii="Arial Narrow" w:hAnsi="Arial Narrow"/>
                <w:sz w:val="20"/>
              </w:rPr>
              <w:t>3.0%</w:t>
            </w:r>
          </w:p>
          <w:p w:rsidR="003B4926" w:rsidRPr="00AE0FFB" w:rsidRDefault="003B4926" w:rsidP="003B4926">
            <w:pPr>
              <w:jc w:val="center"/>
              <w:rPr>
                <w:rFonts w:ascii="Arial Narrow" w:hAnsi="Arial Narrow"/>
                <w:sz w:val="20"/>
              </w:rPr>
            </w:pPr>
            <w:r w:rsidRPr="00AE0FFB">
              <w:rPr>
                <w:rFonts w:ascii="Arial Narrow" w:hAnsi="Arial Narrow"/>
                <w:sz w:val="20"/>
              </w:rPr>
              <w:t>(-19.7 to 23.0)</w:t>
            </w:r>
          </w:p>
        </w:tc>
        <w:tc>
          <w:tcPr>
            <w:tcW w:w="1781" w:type="dxa"/>
            <w:tcBorders>
              <w:top w:val="dotted" w:sz="4" w:space="0" w:color="auto"/>
              <w:bottom w:val="double" w:sz="4" w:space="0" w:color="auto"/>
            </w:tcBorders>
            <w:vAlign w:val="center"/>
          </w:tcPr>
          <w:p w:rsidR="00167F3D" w:rsidRDefault="003B4926" w:rsidP="003B4926">
            <w:pPr>
              <w:jc w:val="center"/>
              <w:rPr>
                <w:rFonts w:ascii="Arial Narrow" w:hAnsi="Arial Narrow"/>
                <w:b/>
                <w:sz w:val="20"/>
              </w:rPr>
            </w:pPr>
            <w:r w:rsidRPr="00AE0FFB">
              <w:rPr>
                <w:rFonts w:ascii="Arial Narrow" w:hAnsi="Arial Narrow"/>
                <w:b/>
                <w:sz w:val="20"/>
              </w:rPr>
              <w:t xml:space="preserve">-22.6% </w:t>
            </w:r>
          </w:p>
          <w:p w:rsidR="003B4926" w:rsidRPr="00AE0FFB" w:rsidRDefault="003B4926" w:rsidP="003B4926">
            <w:pPr>
              <w:jc w:val="center"/>
              <w:rPr>
                <w:rFonts w:ascii="Arial Narrow" w:hAnsi="Arial Narrow"/>
                <w:b/>
                <w:sz w:val="20"/>
              </w:rPr>
            </w:pPr>
            <w:r w:rsidRPr="00AE0FFB">
              <w:rPr>
                <w:rFonts w:ascii="Arial Narrow" w:hAnsi="Arial Narrow"/>
                <w:b/>
                <w:sz w:val="20"/>
              </w:rPr>
              <w:t>(-36.1%, -8.2%)</w:t>
            </w:r>
          </w:p>
        </w:tc>
        <w:tc>
          <w:tcPr>
            <w:tcW w:w="1417" w:type="dxa"/>
            <w:tcBorders>
              <w:top w:val="dotted" w:sz="4" w:space="0" w:color="auto"/>
              <w:bottom w:val="double" w:sz="4" w:space="0" w:color="auto"/>
            </w:tcBorders>
            <w:vAlign w:val="center"/>
          </w:tcPr>
          <w:p w:rsidR="003B4926" w:rsidRPr="00AE0FFB" w:rsidRDefault="003B4926" w:rsidP="003B4926">
            <w:pPr>
              <w:jc w:val="center"/>
              <w:rPr>
                <w:rFonts w:ascii="Arial Narrow" w:hAnsi="Arial Narrow"/>
                <w:sz w:val="20"/>
              </w:rPr>
            </w:pPr>
            <w:r>
              <w:rPr>
                <w:rFonts w:ascii="Arial Narrow" w:hAnsi="Arial Narrow"/>
                <w:sz w:val="20"/>
              </w:rPr>
              <w:t>NA</w:t>
            </w:r>
          </w:p>
        </w:tc>
      </w:tr>
      <w:tr w:rsidR="003B4926" w:rsidRPr="00AE0FFB" w:rsidTr="00E92E37">
        <w:trPr>
          <w:trHeight w:val="227"/>
        </w:trPr>
        <w:tc>
          <w:tcPr>
            <w:tcW w:w="8363" w:type="dxa"/>
            <w:gridSpan w:val="5"/>
            <w:tcBorders>
              <w:top w:val="double" w:sz="4" w:space="0" w:color="auto"/>
            </w:tcBorders>
          </w:tcPr>
          <w:p w:rsidR="003B4926" w:rsidRPr="00AE0FFB" w:rsidRDefault="003B4926" w:rsidP="003B4926">
            <w:pPr>
              <w:jc w:val="left"/>
              <w:rPr>
                <w:rFonts w:ascii="Arial Narrow" w:hAnsi="Arial Narrow"/>
                <w:sz w:val="20"/>
              </w:rPr>
            </w:pPr>
            <w:r w:rsidRPr="00AE0FFB">
              <w:rPr>
                <w:rFonts w:ascii="Arial Narrow" w:hAnsi="Arial Narrow"/>
                <w:b/>
                <w:sz w:val="20"/>
              </w:rPr>
              <w:t>Secondary outcomes</w:t>
            </w:r>
          </w:p>
        </w:tc>
      </w:tr>
      <w:tr w:rsidR="003B4926" w:rsidRPr="00AE0FFB" w:rsidTr="00E92E37">
        <w:trPr>
          <w:trHeight w:val="227"/>
        </w:trPr>
        <w:tc>
          <w:tcPr>
            <w:tcW w:w="8363" w:type="dxa"/>
            <w:gridSpan w:val="5"/>
            <w:tcBorders>
              <w:bottom w:val="single" w:sz="4" w:space="0" w:color="auto"/>
            </w:tcBorders>
          </w:tcPr>
          <w:p w:rsidR="003B4926" w:rsidRPr="00AE0FFB" w:rsidRDefault="003B4926" w:rsidP="003B4926">
            <w:pPr>
              <w:jc w:val="left"/>
              <w:rPr>
                <w:rFonts w:ascii="Arial Narrow" w:hAnsi="Arial Narrow"/>
                <w:sz w:val="20"/>
              </w:rPr>
            </w:pPr>
            <w:r w:rsidRPr="00AE0FFB">
              <w:rPr>
                <w:rFonts w:ascii="Arial Narrow" w:hAnsi="Arial Narrow"/>
                <w:sz w:val="20"/>
              </w:rPr>
              <w:t>Change in uterine volume from screening to Week 13, cm</w:t>
            </w:r>
            <w:r w:rsidRPr="00AE0FFB">
              <w:rPr>
                <w:rFonts w:ascii="Arial Narrow" w:hAnsi="Arial Narrow"/>
                <w:sz w:val="20"/>
                <w:vertAlign w:val="superscript"/>
              </w:rPr>
              <w:t>3</w:t>
            </w:r>
          </w:p>
        </w:tc>
      </w:tr>
      <w:tr w:rsidR="003B4926" w:rsidRPr="00AE0FFB" w:rsidTr="00E92E37">
        <w:trPr>
          <w:trHeight w:val="455"/>
        </w:trPr>
        <w:tc>
          <w:tcPr>
            <w:tcW w:w="0" w:type="auto"/>
            <w:tcBorders>
              <w:bottom w:val="double" w:sz="4" w:space="0" w:color="auto"/>
            </w:tcBorders>
          </w:tcPr>
          <w:p w:rsidR="003B4926" w:rsidRPr="00AE0FFB" w:rsidRDefault="003B4926" w:rsidP="003B4926">
            <w:pPr>
              <w:ind w:left="109"/>
              <w:jc w:val="left"/>
              <w:rPr>
                <w:rFonts w:ascii="Arial Narrow" w:hAnsi="Arial Narrow"/>
                <w:sz w:val="20"/>
              </w:rPr>
            </w:pPr>
            <w:r w:rsidRPr="00AE0FFB">
              <w:rPr>
                <w:rFonts w:ascii="Arial Narrow" w:hAnsi="Arial Narrow"/>
                <w:sz w:val="20"/>
              </w:rPr>
              <w:t>% change, mean (SD)</w:t>
            </w:r>
          </w:p>
          <w:p w:rsidR="003B4926" w:rsidRPr="00AE0FFB" w:rsidRDefault="003B4926" w:rsidP="003B4926">
            <w:pPr>
              <w:ind w:left="109"/>
              <w:jc w:val="left"/>
              <w:rPr>
                <w:rFonts w:ascii="Arial Narrow" w:hAnsi="Arial Narrow"/>
                <w:i/>
                <w:sz w:val="20"/>
                <w:vertAlign w:val="superscript"/>
              </w:rPr>
            </w:pPr>
            <w:r w:rsidRPr="00AE0FFB">
              <w:rPr>
                <w:rFonts w:ascii="Arial Narrow" w:hAnsi="Arial Narrow"/>
                <w:sz w:val="20"/>
              </w:rPr>
              <w:t>Change, log</w:t>
            </w:r>
            <w:r w:rsidRPr="00AE0FFB">
              <w:rPr>
                <w:rFonts w:ascii="Arial Narrow" w:hAnsi="Arial Narrow"/>
                <w:sz w:val="20"/>
                <w:vertAlign w:val="subscript"/>
              </w:rPr>
              <w:t>10</w:t>
            </w:r>
            <w:r w:rsidRPr="00AE0FFB">
              <w:rPr>
                <w:rFonts w:ascii="Arial Narrow" w:hAnsi="Arial Narrow"/>
                <w:sz w:val="20"/>
              </w:rPr>
              <w:t xml:space="preserve"> total volume (SE)</w:t>
            </w:r>
            <w:r w:rsidRPr="00AE0FFB">
              <w:rPr>
                <w:rFonts w:ascii="Arial Narrow" w:hAnsi="Arial Narrow"/>
                <w:sz w:val="20"/>
                <w:vertAlign w:val="superscript"/>
              </w:rPr>
              <w:t>b</w:t>
            </w:r>
          </w:p>
        </w:tc>
        <w:tc>
          <w:tcPr>
            <w:tcW w:w="0" w:type="auto"/>
            <w:tcBorders>
              <w:bottom w:val="double" w:sz="4" w:space="0" w:color="auto"/>
            </w:tcBorders>
          </w:tcPr>
          <w:p w:rsidR="003B4926" w:rsidRPr="00AE0FFB" w:rsidRDefault="003B4926" w:rsidP="003B4926">
            <w:pPr>
              <w:jc w:val="center"/>
              <w:rPr>
                <w:rFonts w:ascii="Arial Narrow" w:hAnsi="Arial Narrow"/>
                <w:sz w:val="20"/>
              </w:rPr>
            </w:pPr>
            <w:r w:rsidRPr="00AE0FFB">
              <w:rPr>
                <w:rFonts w:ascii="Arial Narrow" w:hAnsi="Arial Narrow"/>
                <w:sz w:val="20"/>
              </w:rPr>
              <w:t>-8.67% (34.4)</w:t>
            </w:r>
          </w:p>
          <w:p w:rsidR="003B4926" w:rsidRPr="00AE0FFB" w:rsidRDefault="003B4926" w:rsidP="003B4926">
            <w:pPr>
              <w:jc w:val="center"/>
              <w:rPr>
                <w:rFonts w:ascii="Arial Narrow" w:hAnsi="Arial Narrow"/>
                <w:sz w:val="20"/>
              </w:rPr>
            </w:pPr>
            <w:r w:rsidRPr="00AE0FFB">
              <w:rPr>
                <w:rFonts w:ascii="Arial Narrow" w:hAnsi="Arial Narrow"/>
                <w:sz w:val="20"/>
              </w:rPr>
              <w:t>-0.072 (0.015)</w:t>
            </w:r>
          </w:p>
        </w:tc>
        <w:tc>
          <w:tcPr>
            <w:tcW w:w="0" w:type="auto"/>
            <w:tcBorders>
              <w:bottom w:val="double" w:sz="4" w:space="0" w:color="auto"/>
            </w:tcBorders>
          </w:tcPr>
          <w:p w:rsidR="003B4926" w:rsidRPr="00AE0FFB" w:rsidRDefault="003B4926" w:rsidP="003B4926">
            <w:pPr>
              <w:jc w:val="center"/>
              <w:rPr>
                <w:rFonts w:ascii="Arial Narrow" w:hAnsi="Arial Narrow"/>
                <w:sz w:val="20"/>
              </w:rPr>
            </w:pPr>
            <w:r w:rsidRPr="00AE0FFB">
              <w:rPr>
                <w:rFonts w:ascii="Arial Narrow" w:hAnsi="Arial Narrow"/>
                <w:sz w:val="20"/>
              </w:rPr>
              <w:t>5.91% (20.1)</w:t>
            </w:r>
          </w:p>
          <w:p w:rsidR="003B4926" w:rsidRPr="00AE0FFB" w:rsidRDefault="003B4926" w:rsidP="003B4926">
            <w:pPr>
              <w:jc w:val="center"/>
              <w:rPr>
                <w:rFonts w:ascii="Arial Narrow" w:hAnsi="Arial Narrow"/>
                <w:sz w:val="20"/>
              </w:rPr>
            </w:pPr>
            <w:r w:rsidRPr="00AE0FFB">
              <w:rPr>
                <w:rFonts w:ascii="Arial Narrow" w:hAnsi="Arial Narrow"/>
                <w:sz w:val="20"/>
              </w:rPr>
              <w:t>0.007 (0.019)</w:t>
            </w:r>
          </w:p>
        </w:tc>
        <w:tc>
          <w:tcPr>
            <w:tcW w:w="1781" w:type="dxa"/>
            <w:tcBorders>
              <w:bottom w:val="double" w:sz="4" w:space="0" w:color="auto"/>
            </w:tcBorders>
          </w:tcPr>
          <w:p w:rsidR="003B4926" w:rsidRPr="00AE0FFB" w:rsidRDefault="003B4926" w:rsidP="003B4926">
            <w:pPr>
              <w:jc w:val="center"/>
              <w:rPr>
                <w:rFonts w:ascii="Arial Narrow" w:hAnsi="Arial Narrow"/>
                <w:sz w:val="20"/>
              </w:rPr>
            </w:pPr>
          </w:p>
          <w:p w:rsidR="003B4926" w:rsidRPr="00AE0FFB" w:rsidRDefault="003B4926" w:rsidP="003B4926">
            <w:pPr>
              <w:jc w:val="center"/>
              <w:rPr>
                <w:rFonts w:ascii="Arial Narrow" w:hAnsi="Arial Narrow"/>
                <w:b/>
                <w:sz w:val="20"/>
              </w:rPr>
            </w:pPr>
            <w:r w:rsidRPr="00AE0FFB">
              <w:rPr>
                <w:rFonts w:ascii="Arial Narrow" w:hAnsi="Arial Narrow"/>
                <w:b/>
                <w:sz w:val="20"/>
              </w:rPr>
              <w:t>-0.079 (-0.131. -0.028)</w:t>
            </w:r>
          </w:p>
        </w:tc>
        <w:tc>
          <w:tcPr>
            <w:tcW w:w="1417" w:type="dxa"/>
            <w:tcBorders>
              <w:bottom w:val="double" w:sz="4" w:space="0" w:color="auto"/>
            </w:tcBorders>
            <w:vAlign w:val="center"/>
          </w:tcPr>
          <w:p w:rsidR="003B4926" w:rsidRPr="00AE0FFB" w:rsidRDefault="003B4926" w:rsidP="003B4926">
            <w:pPr>
              <w:jc w:val="center"/>
              <w:rPr>
                <w:rFonts w:ascii="Arial Narrow" w:hAnsi="Arial Narrow"/>
                <w:sz w:val="20"/>
              </w:rPr>
            </w:pPr>
            <w:r>
              <w:rPr>
                <w:rFonts w:ascii="Arial Narrow" w:hAnsi="Arial Narrow"/>
                <w:sz w:val="20"/>
              </w:rPr>
              <w:t>NA</w:t>
            </w:r>
          </w:p>
        </w:tc>
      </w:tr>
      <w:tr w:rsidR="003B4926" w:rsidRPr="00AE0FFB" w:rsidTr="00E92E37">
        <w:trPr>
          <w:trHeight w:val="212"/>
        </w:trPr>
        <w:tc>
          <w:tcPr>
            <w:tcW w:w="8363" w:type="dxa"/>
            <w:gridSpan w:val="5"/>
            <w:tcBorders>
              <w:top w:val="double" w:sz="4" w:space="0" w:color="auto"/>
              <w:bottom w:val="single" w:sz="4" w:space="0" w:color="auto"/>
            </w:tcBorders>
          </w:tcPr>
          <w:p w:rsidR="003B4926" w:rsidRPr="00AE0FFB" w:rsidRDefault="003B4926" w:rsidP="003B4926">
            <w:pPr>
              <w:jc w:val="left"/>
              <w:rPr>
                <w:rFonts w:ascii="Arial Narrow" w:hAnsi="Arial Narrow"/>
                <w:sz w:val="20"/>
              </w:rPr>
            </w:pPr>
            <w:r w:rsidRPr="00AE0FFB">
              <w:rPr>
                <w:rFonts w:ascii="Arial Narrow" w:hAnsi="Arial Narrow"/>
                <w:sz w:val="20"/>
              </w:rPr>
              <w:t>Change in haemoglobin from baseline to Week 13 (LOCF)</w:t>
            </w:r>
          </w:p>
        </w:tc>
      </w:tr>
      <w:tr w:rsidR="003B4926" w:rsidRPr="00AE0FFB" w:rsidTr="00E92E37">
        <w:trPr>
          <w:trHeight w:val="698"/>
        </w:trPr>
        <w:tc>
          <w:tcPr>
            <w:tcW w:w="0" w:type="auto"/>
            <w:tcBorders>
              <w:bottom w:val="dotted" w:sz="4" w:space="0" w:color="auto"/>
            </w:tcBorders>
          </w:tcPr>
          <w:p w:rsidR="003B4926" w:rsidRPr="00AE0FFB" w:rsidRDefault="003B4926" w:rsidP="003B4926">
            <w:pPr>
              <w:jc w:val="left"/>
              <w:rPr>
                <w:rFonts w:ascii="Arial Narrow" w:hAnsi="Arial Narrow"/>
                <w:sz w:val="20"/>
                <w:vertAlign w:val="superscript"/>
              </w:rPr>
            </w:pPr>
            <w:r w:rsidRPr="00AE0FFB">
              <w:rPr>
                <w:rFonts w:ascii="Arial Narrow" w:hAnsi="Arial Narrow"/>
                <w:sz w:val="20"/>
              </w:rPr>
              <w:t>Haemoglobin, g/dL, mean (SD)</w:t>
            </w:r>
          </w:p>
          <w:p w:rsidR="003B4926" w:rsidRPr="00AE0FFB" w:rsidRDefault="003B4926" w:rsidP="003B4926">
            <w:pPr>
              <w:ind w:left="109"/>
              <w:jc w:val="left"/>
              <w:rPr>
                <w:rFonts w:ascii="Arial Narrow" w:hAnsi="Arial Narrow"/>
                <w:sz w:val="20"/>
              </w:rPr>
            </w:pPr>
            <w:r w:rsidRPr="00AE0FFB">
              <w:rPr>
                <w:rFonts w:ascii="Arial Narrow" w:hAnsi="Arial Narrow"/>
                <w:sz w:val="20"/>
              </w:rPr>
              <w:t>Baseline</w:t>
            </w:r>
          </w:p>
          <w:p w:rsidR="003B4926" w:rsidRPr="00AE0FFB" w:rsidRDefault="003B4926" w:rsidP="003B4926">
            <w:pPr>
              <w:ind w:left="109"/>
              <w:jc w:val="left"/>
              <w:rPr>
                <w:rFonts w:ascii="Arial Narrow" w:hAnsi="Arial Narrow"/>
                <w:sz w:val="20"/>
              </w:rPr>
            </w:pPr>
            <w:r w:rsidRPr="00AE0FFB">
              <w:rPr>
                <w:rFonts w:ascii="Arial Narrow" w:hAnsi="Arial Narrow"/>
                <w:sz w:val="20"/>
              </w:rPr>
              <w:t>Week 13</w:t>
            </w:r>
          </w:p>
        </w:tc>
        <w:tc>
          <w:tcPr>
            <w:tcW w:w="0" w:type="auto"/>
            <w:tcBorders>
              <w:bottom w:val="dotted" w:sz="4" w:space="0" w:color="auto"/>
            </w:tcBorders>
          </w:tcPr>
          <w:p w:rsidR="003B4926" w:rsidRPr="00AE0FFB" w:rsidRDefault="003B4926" w:rsidP="003B4926">
            <w:pPr>
              <w:jc w:val="center"/>
              <w:rPr>
                <w:rFonts w:ascii="Arial Narrow" w:hAnsi="Arial Narrow" w:cs="Times New Roman"/>
                <w:sz w:val="20"/>
                <w:szCs w:val="16"/>
              </w:rPr>
            </w:pPr>
          </w:p>
          <w:p w:rsidR="003B4926" w:rsidRPr="00AE0FFB" w:rsidRDefault="003B4926" w:rsidP="003B4926">
            <w:pPr>
              <w:jc w:val="center"/>
              <w:rPr>
                <w:rFonts w:ascii="Arial Narrow" w:hAnsi="Arial Narrow" w:cs="Times New Roman"/>
                <w:sz w:val="20"/>
                <w:szCs w:val="16"/>
              </w:rPr>
            </w:pPr>
            <w:r w:rsidRPr="00AE0FFB">
              <w:rPr>
                <w:rFonts w:ascii="Arial Narrow" w:hAnsi="Arial Narrow" w:cs="Times New Roman"/>
                <w:sz w:val="20"/>
                <w:szCs w:val="16"/>
              </w:rPr>
              <w:t>9.32 (1.50)</w:t>
            </w:r>
          </w:p>
          <w:p w:rsidR="003B4926" w:rsidRPr="00AE0FFB" w:rsidRDefault="003B4926" w:rsidP="003B4926">
            <w:pPr>
              <w:jc w:val="center"/>
              <w:rPr>
                <w:rFonts w:ascii="Arial Narrow" w:hAnsi="Arial Narrow" w:cs="Times New Roman"/>
                <w:sz w:val="20"/>
                <w:szCs w:val="16"/>
              </w:rPr>
            </w:pPr>
            <w:r w:rsidRPr="00AE0FFB">
              <w:rPr>
                <w:rFonts w:ascii="Arial Narrow" w:hAnsi="Arial Narrow"/>
                <w:sz w:val="20"/>
              </w:rPr>
              <w:t xml:space="preserve">13.50 (1.32) </w:t>
            </w:r>
          </w:p>
        </w:tc>
        <w:tc>
          <w:tcPr>
            <w:tcW w:w="0" w:type="auto"/>
            <w:tcBorders>
              <w:bottom w:val="dotted" w:sz="4" w:space="0" w:color="auto"/>
            </w:tcBorders>
          </w:tcPr>
          <w:p w:rsidR="003B4926" w:rsidRPr="00AE0FFB" w:rsidRDefault="003B4926" w:rsidP="003B4926">
            <w:pPr>
              <w:jc w:val="center"/>
              <w:rPr>
                <w:rFonts w:ascii="Arial Narrow" w:hAnsi="Arial Narrow"/>
                <w:sz w:val="20"/>
              </w:rPr>
            </w:pPr>
          </w:p>
          <w:p w:rsidR="003B4926" w:rsidRPr="00AE0FFB" w:rsidRDefault="003B4926" w:rsidP="003B4926">
            <w:pPr>
              <w:jc w:val="center"/>
              <w:rPr>
                <w:rFonts w:ascii="Arial Narrow" w:hAnsi="Arial Narrow" w:cs="Times New Roman"/>
                <w:sz w:val="20"/>
                <w:szCs w:val="16"/>
              </w:rPr>
            </w:pPr>
            <w:r w:rsidRPr="00AE0FFB">
              <w:rPr>
                <w:rFonts w:ascii="Arial Narrow" w:hAnsi="Arial Narrow" w:cs="Times New Roman"/>
                <w:sz w:val="20"/>
                <w:szCs w:val="16"/>
              </w:rPr>
              <w:t>9.55 (1.18)</w:t>
            </w:r>
          </w:p>
          <w:p w:rsidR="003B4926" w:rsidRPr="00AE0FFB" w:rsidRDefault="003B4926" w:rsidP="003B4926">
            <w:pPr>
              <w:jc w:val="center"/>
              <w:rPr>
                <w:rFonts w:ascii="Arial Narrow" w:hAnsi="Arial Narrow"/>
                <w:sz w:val="20"/>
              </w:rPr>
            </w:pPr>
            <w:r w:rsidRPr="00AE0FFB">
              <w:rPr>
                <w:rFonts w:ascii="Arial Narrow" w:hAnsi="Arial Narrow" w:cs="Times New Roman"/>
                <w:sz w:val="20"/>
                <w:szCs w:val="16"/>
              </w:rPr>
              <w:t>12.61 (1.30)</w:t>
            </w:r>
          </w:p>
        </w:tc>
        <w:tc>
          <w:tcPr>
            <w:tcW w:w="1781" w:type="dxa"/>
            <w:tcBorders>
              <w:bottom w:val="dotted" w:sz="4" w:space="0" w:color="auto"/>
            </w:tcBorders>
          </w:tcPr>
          <w:p w:rsidR="003B4926" w:rsidRPr="00AE0FFB" w:rsidRDefault="003B4926" w:rsidP="003B4926">
            <w:pPr>
              <w:jc w:val="center"/>
              <w:rPr>
                <w:rFonts w:ascii="Arial Narrow" w:hAnsi="Arial Narrow"/>
                <w:sz w:val="20"/>
              </w:rPr>
            </w:pPr>
          </w:p>
          <w:p w:rsidR="003B4926" w:rsidRPr="00AE0FFB" w:rsidRDefault="003B4926" w:rsidP="003B4926">
            <w:pPr>
              <w:jc w:val="center"/>
              <w:rPr>
                <w:rFonts w:ascii="Arial Narrow" w:hAnsi="Arial Narrow"/>
                <w:sz w:val="20"/>
              </w:rPr>
            </w:pPr>
          </w:p>
          <w:p w:rsidR="003B4926" w:rsidRPr="00AE0FFB" w:rsidRDefault="003B4926" w:rsidP="003B4926">
            <w:pPr>
              <w:jc w:val="center"/>
              <w:rPr>
                <w:rFonts w:ascii="Arial Narrow" w:hAnsi="Arial Narrow"/>
                <w:sz w:val="20"/>
              </w:rPr>
            </w:pPr>
          </w:p>
        </w:tc>
        <w:tc>
          <w:tcPr>
            <w:tcW w:w="1417" w:type="dxa"/>
            <w:tcBorders>
              <w:bottom w:val="dotted" w:sz="4" w:space="0" w:color="auto"/>
            </w:tcBorders>
          </w:tcPr>
          <w:p w:rsidR="003B4926" w:rsidRPr="00AE0FFB" w:rsidRDefault="003B4926" w:rsidP="003B4926">
            <w:pPr>
              <w:jc w:val="center"/>
              <w:rPr>
                <w:rFonts w:ascii="Arial Narrow" w:hAnsi="Arial Narrow"/>
                <w:sz w:val="20"/>
              </w:rPr>
            </w:pPr>
          </w:p>
        </w:tc>
      </w:tr>
      <w:tr w:rsidR="003B4926" w:rsidRPr="00AE0FFB" w:rsidTr="00E92E37">
        <w:trPr>
          <w:trHeight w:val="227"/>
        </w:trPr>
        <w:tc>
          <w:tcPr>
            <w:tcW w:w="0" w:type="auto"/>
            <w:tcBorders>
              <w:top w:val="dotted" w:sz="4" w:space="0" w:color="auto"/>
              <w:bottom w:val="double" w:sz="4" w:space="0" w:color="auto"/>
            </w:tcBorders>
          </w:tcPr>
          <w:p w:rsidR="003B4926" w:rsidRPr="00AE0FFB" w:rsidRDefault="003B4926" w:rsidP="003B4926">
            <w:pPr>
              <w:jc w:val="left"/>
              <w:rPr>
                <w:rFonts w:ascii="Arial Narrow" w:hAnsi="Arial Narrow"/>
                <w:sz w:val="20"/>
                <w:vertAlign w:val="superscript"/>
              </w:rPr>
            </w:pPr>
            <w:r w:rsidRPr="00AE0FFB">
              <w:rPr>
                <w:rFonts w:ascii="Arial Narrow" w:hAnsi="Arial Narrow"/>
                <w:sz w:val="20"/>
              </w:rPr>
              <w:t xml:space="preserve">Mean change </w:t>
            </w:r>
          </w:p>
        </w:tc>
        <w:tc>
          <w:tcPr>
            <w:tcW w:w="0" w:type="auto"/>
            <w:tcBorders>
              <w:top w:val="dotted" w:sz="4" w:space="0" w:color="auto"/>
              <w:bottom w:val="double" w:sz="4" w:space="0" w:color="auto"/>
            </w:tcBorders>
          </w:tcPr>
          <w:p w:rsidR="003B4926" w:rsidRPr="00AE0FFB" w:rsidRDefault="003B4926" w:rsidP="003B4926">
            <w:pPr>
              <w:jc w:val="center"/>
              <w:rPr>
                <w:rFonts w:ascii="Arial Narrow" w:hAnsi="Arial Narrow"/>
                <w:sz w:val="20"/>
              </w:rPr>
            </w:pPr>
            <w:r w:rsidRPr="00AE0FFB">
              <w:rPr>
                <w:rFonts w:ascii="Arial Narrow" w:hAnsi="Arial Narrow"/>
                <w:sz w:val="20"/>
              </w:rPr>
              <w:t>4.25 (1.90)</w:t>
            </w:r>
          </w:p>
        </w:tc>
        <w:tc>
          <w:tcPr>
            <w:tcW w:w="0" w:type="auto"/>
            <w:tcBorders>
              <w:top w:val="dotted" w:sz="4" w:space="0" w:color="auto"/>
              <w:bottom w:val="double" w:sz="4" w:space="0" w:color="auto"/>
            </w:tcBorders>
          </w:tcPr>
          <w:p w:rsidR="003B4926" w:rsidRPr="00AE0FFB" w:rsidRDefault="003B4926" w:rsidP="003B4926">
            <w:pPr>
              <w:jc w:val="center"/>
              <w:rPr>
                <w:rFonts w:ascii="Arial Narrow" w:hAnsi="Arial Narrow"/>
                <w:sz w:val="20"/>
              </w:rPr>
            </w:pPr>
            <w:r w:rsidRPr="00AE0FFB">
              <w:rPr>
                <w:rFonts w:ascii="Arial Narrow" w:hAnsi="Arial Narrow"/>
                <w:sz w:val="20"/>
              </w:rPr>
              <w:t>3.10 (1.68)</w:t>
            </w:r>
          </w:p>
        </w:tc>
        <w:tc>
          <w:tcPr>
            <w:tcW w:w="1781" w:type="dxa"/>
            <w:tcBorders>
              <w:top w:val="dotted" w:sz="4" w:space="0" w:color="auto"/>
              <w:bottom w:val="double" w:sz="4" w:space="0" w:color="auto"/>
            </w:tcBorders>
          </w:tcPr>
          <w:p w:rsidR="003B4926" w:rsidRPr="00AE0FFB" w:rsidRDefault="003B4926" w:rsidP="003B4926">
            <w:pPr>
              <w:jc w:val="center"/>
              <w:rPr>
                <w:rFonts w:ascii="Arial Narrow" w:hAnsi="Arial Narrow"/>
                <w:sz w:val="20"/>
                <w:vertAlign w:val="superscript"/>
              </w:rPr>
            </w:pPr>
            <w:r w:rsidRPr="00AE0FFB">
              <w:rPr>
                <w:rFonts w:ascii="Arial Narrow" w:hAnsi="Arial Narrow"/>
                <w:b/>
                <w:sz w:val="20"/>
              </w:rPr>
              <w:t>0.92 (0.39, 1.44)</w:t>
            </w:r>
          </w:p>
        </w:tc>
        <w:tc>
          <w:tcPr>
            <w:tcW w:w="1417" w:type="dxa"/>
            <w:tcBorders>
              <w:top w:val="dotted" w:sz="4" w:space="0" w:color="auto"/>
              <w:bottom w:val="double" w:sz="4" w:space="0" w:color="auto"/>
            </w:tcBorders>
          </w:tcPr>
          <w:p w:rsidR="003B4926" w:rsidRPr="00AE0FFB" w:rsidRDefault="003B4926" w:rsidP="003B4926">
            <w:pPr>
              <w:jc w:val="center"/>
              <w:rPr>
                <w:rFonts w:ascii="Arial Narrow" w:hAnsi="Arial Narrow"/>
                <w:sz w:val="20"/>
              </w:rPr>
            </w:pPr>
            <w:r>
              <w:rPr>
                <w:rFonts w:ascii="Arial Narrow" w:hAnsi="Arial Narrow"/>
                <w:sz w:val="20"/>
              </w:rPr>
              <w:t>NA</w:t>
            </w:r>
          </w:p>
        </w:tc>
      </w:tr>
      <w:tr w:rsidR="003B4926" w:rsidRPr="00AE0FFB" w:rsidTr="00E92E37">
        <w:trPr>
          <w:trHeight w:val="212"/>
        </w:trPr>
        <w:tc>
          <w:tcPr>
            <w:tcW w:w="0" w:type="auto"/>
            <w:tcBorders>
              <w:top w:val="double" w:sz="4" w:space="0" w:color="auto"/>
              <w:bottom w:val="dotted" w:sz="4" w:space="0" w:color="auto"/>
            </w:tcBorders>
          </w:tcPr>
          <w:p w:rsidR="003B4926" w:rsidRPr="00AE0FFB" w:rsidRDefault="003B4926" w:rsidP="003B4926">
            <w:pPr>
              <w:jc w:val="left"/>
              <w:rPr>
                <w:rFonts w:ascii="Arial Narrow" w:hAnsi="Arial Narrow"/>
                <w:sz w:val="20"/>
              </w:rPr>
            </w:pPr>
            <w:r w:rsidRPr="00AE0FFB">
              <w:rPr>
                <w:rFonts w:ascii="Arial Narrow" w:hAnsi="Arial Narrow"/>
                <w:sz w:val="20"/>
              </w:rPr>
              <w:t>Underwent surgery</w:t>
            </w:r>
            <w:r w:rsidRPr="00AE0FFB">
              <w:rPr>
                <w:rFonts w:ascii="Arial Narrow" w:hAnsi="Arial Narrow"/>
                <w:sz w:val="20"/>
                <w:vertAlign w:val="superscript"/>
              </w:rPr>
              <w:t>a</w:t>
            </w:r>
          </w:p>
        </w:tc>
        <w:tc>
          <w:tcPr>
            <w:tcW w:w="0" w:type="auto"/>
            <w:tcBorders>
              <w:top w:val="double" w:sz="4" w:space="0" w:color="auto"/>
              <w:bottom w:val="dotted" w:sz="4" w:space="0" w:color="auto"/>
            </w:tcBorders>
          </w:tcPr>
          <w:p w:rsidR="003B4926" w:rsidRPr="00AE0FFB" w:rsidRDefault="003B4926" w:rsidP="003B4926">
            <w:pPr>
              <w:jc w:val="center"/>
              <w:rPr>
                <w:rFonts w:ascii="Arial Narrow" w:hAnsi="Arial Narrow" w:cs="Times New Roman"/>
                <w:b/>
                <w:sz w:val="20"/>
                <w:szCs w:val="16"/>
              </w:rPr>
            </w:pPr>
            <w:r w:rsidRPr="00AE0FFB">
              <w:rPr>
                <w:rFonts w:ascii="Arial Narrow" w:hAnsi="Arial Narrow"/>
                <w:sz w:val="20"/>
                <w:szCs w:val="16"/>
              </w:rPr>
              <w:t>41 (43.2%)</w:t>
            </w:r>
          </w:p>
        </w:tc>
        <w:tc>
          <w:tcPr>
            <w:tcW w:w="0" w:type="auto"/>
            <w:tcBorders>
              <w:top w:val="double" w:sz="4" w:space="0" w:color="auto"/>
              <w:bottom w:val="dotted" w:sz="4" w:space="0" w:color="auto"/>
            </w:tcBorders>
          </w:tcPr>
          <w:p w:rsidR="003B4926" w:rsidRPr="00AE0FFB" w:rsidRDefault="003B4926" w:rsidP="003B4926">
            <w:pPr>
              <w:jc w:val="center"/>
              <w:rPr>
                <w:rFonts w:ascii="Arial Narrow" w:hAnsi="Arial Narrow"/>
                <w:sz w:val="20"/>
              </w:rPr>
            </w:pPr>
            <w:r w:rsidRPr="00AE0FFB">
              <w:rPr>
                <w:rFonts w:ascii="Arial Narrow" w:hAnsi="Arial Narrow"/>
                <w:sz w:val="20"/>
              </w:rPr>
              <w:t>19 (39.6%)</w:t>
            </w:r>
          </w:p>
        </w:tc>
        <w:tc>
          <w:tcPr>
            <w:tcW w:w="1781" w:type="dxa"/>
            <w:tcBorders>
              <w:top w:val="double" w:sz="4" w:space="0" w:color="auto"/>
              <w:bottom w:val="dotted" w:sz="4" w:space="0" w:color="auto"/>
            </w:tcBorders>
          </w:tcPr>
          <w:p w:rsidR="003B4926" w:rsidRPr="00FA78A9" w:rsidRDefault="003B4926" w:rsidP="003B4926">
            <w:pPr>
              <w:jc w:val="center"/>
              <w:rPr>
                <w:rFonts w:ascii="Arial Narrow" w:hAnsi="Arial Narrow"/>
                <w:sz w:val="20"/>
              </w:rPr>
            </w:pPr>
            <w:r w:rsidRPr="00FA78A9">
              <w:rPr>
                <w:rFonts w:ascii="Arial Narrow" w:hAnsi="Arial Narrow"/>
                <w:sz w:val="20"/>
              </w:rPr>
              <w:t>0.04 (-0.13, 0.21)</w:t>
            </w:r>
            <w:r w:rsidR="00FA78A9" w:rsidRPr="00FA78A9">
              <w:rPr>
                <w:rFonts w:ascii="Arial Narrow" w:hAnsi="Arial Narrow"/>
                <w:sz w:val="20"/>
              </w:rPr>
              <w:t>^</w:t>
            </w:r>
          </w:p>
        </w:tc>
        <w:tc>
          <w:tcPr>
            <w:tcW w:w="1417" w:type="dxa"/>
            <w:tcBorders>
              <w:top w:val="double" w:sz="4" w:space="0" w:color="auto"/>
              <w:bottom w:val="dotted" w:sz="4" w:space="0" w:color="auto"/>
            </w:tcBorders>
          </w:tcPr>
          <w:p w:rsidR="003B4926" w:rsidRPr="00FA78A9" w:rsidRDefault="003B4926" w:rsidP="003B4926">
            <w:pPr>
              <w:jc w:val="center"/>
              <w:rPr>
                <w:rFonts w:ascii="Arial Narrow" w:hAnsi="Arial Narrow"/>
                <w:sz w:val="20"/>
              </w:rPr>
            </w:pPr>
            <w:r w:rsidRPr="00FA78A9">
              <w:rPr>
                <w:rFonts w:ascii="Arial Narrow" w:hAnsi="Arial Narrow"/>
                <w:sz w:val="20"/>
              </w:rPr>
              <w:t>1.09 (0.72, 1.66)</w:t>
            </w:r>
          </w:p>
        </w:tc>
      </w:tr>
      <w:tr w:rsidR="003B4926" w:rsidRPr="00AE0FFB" w:rsidTr="00E92E37">
        <w:trPr>
          <w:trHeight w:val="925"/>
        </w:trPr>
        <w:tc>
          <w:tcPr>
            <w:tcW w:w="0" w:type="auto"/>
            <w:tcBorders>
              <w:top w:val="dotted" w:sz="4" w:space="0" w:color="auto"/>
              <w:bottom w:val="single" w:sz="4" w:space="0" w:color="auto"/>
            </w:tcBorders>
          </w:tcPr>
          <w:p w:rsidR="003B4926" w:rsidRPr="00AE0FFB" w:rsidRDefault="003B4926" w:rsidP="003B4926">
            <w:pPr>
              <w:ind w:left="251" w:hanging="142"/>
              <w:rPr>
                <w:rFonts w:ascii="Arial Narrow" w:hAnsi="Arial Narrow"/>
                <w:sz w:val="20"/>
              </w:rPr>
            </w:pPr>
            <w:r w:rsidRPr="00AE0FFB">
              <w:rPr>
                <w:rFonts w:ascii="Arial Narrow" w:hAnsi="Arial Narrow"/>
                <w:sz w:val="20"/>
              </w:rPr>
              <w:t>Laparotomic hysterectomy</w:t>
            </w:r>
          </w:p>
          <w:p w:rsidR="003B4926" w:rsidRPr="00AE0FFB" w:rsidRDefault="003B4926" w:rsidP="003B4926">
            <w:pPr>
              <w:ind w:left="251" w:hanging="142"/>
              <w:rPr>
                <w:rFonts w:ascii="Arial Narrow" w:hAnsi="Arial Narrow"/>
                <w:sz w:val="20"/>
              </w:rPr>
            </w:pPr>
            <w:r w:rsidRPr="00AE0FFB">
              <w:rPr>
                <w:rFonts w:ascii="Arial Narrow" w:hAnsi="Arial Narrow"/>
                <w:sz w:val="20"/>
              </w:rPr>
              <w:t>Vaginal/laparoscopic hysterectomy</w:t>
            </w:r>
          </w:p>
          <w:p w:rsidR="003B4926" w:rsidRPr="00AE0FFB" w:rsidRDefault="003B4926" w:rsidP="003B4926">
            <w:pPr>
              <w:ind w:left="109"/>
              <w:rPr>
                <w:rFonts w:ascii="Arial Narrow" w:hAnsi="Arial Narrow"/>
                <w:sz w:val="20"/>
              </w:rPr>
            </w:pPr>
            <w:r w:rsidRPr="00AE0FFB">
              <w:rPr>
                <w:rFonts w:ascii="Arial Narrow" w:hAnsi="Arial Narrow"/>
                <w:sz w:val="20"/>
              </w:rPr>
              <w:t>Myomectomy</w:t>
            </w:r>
          </w:p>
          <w:p w:rsidR="003B4926" w:rsidRPr="00AE0FFB" w:rsidRDefault="003B4926" w:rsidP="003B4926">
            <w:pPr>
              <w:ind w:left="109"/>
              <w:jc w:val="left"/>
              <w:rPr>
                <w:rFonts w:ascii="Arial Narrow" w:hAnsi="Arial Narrow"/>
                <w:sz w:val="20"/>
              </w:rPr>
            </w:pPr>
            <w:r w:rsidRPr="00AE0FFB">
              <w:rPr>
                <w:rFonts w:ascii="Arial Narrow" w:hAnsi="Arial Narrow"/>
                <w:sz w:val="20"/>
              </w:rPr>
              <w:t>UAE</w:t>
            </w:r>
          </w:p>
        </w:tc>
        <w:tc>
          <w:tcPr>
            <w:tcW w:w="0" w:type="auto"/>
            <w:tcBorders>
              <w:top w:val="dotted" w:sz="4" w:space="0" w:color="auto"/>
              <w:bottom w:val="single" w:sz="4" w:space="0" w:color="auto"/>
            </w:tcBorders>
          </w:tcPr>
          <w:p w:rsidR="003B4926" w:rsidRPr="00AE0FFB" w:rsidRDefault="003B4926" w:rsidP="003B4926">
            <w:pPr>
              <w:jc w:val="center"/>
              <w:rPr>
                <w:rFonts w:ascii="Arial Narrow" w:hAnsi="Arial Narrow"/>
                <w:sz w:val="20"/>
                <w:szCs w:val="16"/>
              </w:rPr>
            </w:pPr>
            <w:r w:rsidRPr="00AE0FFB">
              <w:rPr>
                <w:rFonts w:ascii="Arial Narrow" w:hAnsi="Arial Narrow"/>
                <w:sz w:val="20"/>
                <w:szCs w:val="16"/>
              </w:rPr>
              <w:t>11</w:t>
            </w:r>
            <w:r w:rsidR="00745AA9">
              <w:rPr>
                <w:rFonts w:ascii="Arial Narrow" w:hAnsi="Arial Narrow"/>
                <w:sz w:val="20"/>
                <w:szCs w:val="16"/>
              </w:rPr>
              <w:t xml:space="preserve"> (11.6%)</w:t>
            </w:r>
          </w:p>
          <w:p w:rsidR="003B4926" w:rsidRPr="00AE0FFB" w:rsidRDefault="003B4926" w:rsidP="003B4926">
            <w:pPr>
              <w:jc w:val="center"/>
              <w:rPr>
                <w:rFonts w:ascii="Arial Narrow" w:hAnsi="Arial Narrow"/>
                <w:sz w:val="20"/>
                <w:szCs w:val="16"/>
              </w:rPr>
            </w:pPr>
            <w:r w:rsidRPr="00AE0FFB">
              <w:rPr>
                <w:rFonts w:ascii="Arial Narrow" w:hAnsi="Arial Narrow"/>
                <w:sz w:val="20"/>
                <w:szCs w:val="16"/>
              </w:rPr>
              <w:t>7</w:t>
            </w:r>
            <w:r w:rsidR="00745AA9">
              <w:rPr>
                <w:rFonts w:ascii="Arial Narrow" w:hAnsi="Arial Narrow"/>
                <w:sz w:val="20"/>
                <w:szCs w:val="16"/>
              </w:rPr>
              <w:t xml:space="preserve"> (7.4%)</w:t>
            </w:r>
          </w:p>
          <w:p w:rsidR="003B4926" w:rsidRPr="00AE0FFB" w:rsidRDefault="003B4926" w:rsidP="003B4926">
            <w:pPr>
              <w:jc w:val="center"/>
              <w:rPr>
                <w:rFonts w:ascii="Arial Narrow" w:hAnsi="Arial Narrow"/>
                <w:sz w:val="20"/>
                <w:szCs w:val="16"/>
              </w:rPr>
            </w:pPr>
            <w:r w:rsidRPr="00AE0FFB">
              <w:rPr>
                <w:rFonts w:ascii="Arial Narrow" w:hAnsi="Arial Narrow"/>
                <w:sz w:val="20"/>
                <w:szCs w:val="16"/>
              </w:rPr>
              <w:t>12</w:t>
            </w:r>
            <w:r w:rsidR="00745AA9">
              <w:rPr>
                <w:rFonts w:ascii="Arial Narrow" w:hAnsi="Arial Narrow"/>
                <w:sz w:val="20"/>
                <w:szCs w:val="16"/>
              </w:rPr>
              <w:t xml:space="preserve"> (12.6%)</w:t>
            </w:r>
          </w:p>
          <w:p w:rsidR="003B4926" w:rsidRPr="00AE0FFB" w:rsidRDefault="003B4926" w:rsidP="003B4926">
            <w:pPr>
              <w:jc w:val="center"/>
              <w:rPr>
                <w:rFonts w:ascii="Arial Narrow" w:hAnsi="Arial Narrow"/>
                <w:sz w:val="20"/>
                <w:szCs w:val="16"/>
              </w:rPr>
            </w:pPr>
            <w:r w:rsidRPr="00AE0FFB">
              <w:rPr>
                <w:rFonts w:ascii="Arial Narrow" w:hAnsi="Arial Narrow"/>
                <w:sz w:val="20"/>
                <w:szCs w:val="16"/>
              </w:rPr>
              <w:t>11</w:t>
            </w:r>
            <w:r w:rsidR="00745AA9">
              <w:rPr>
                <w:rFonts w:ascii="Arial Narrow" w:hAnsi="Arial Narrow"/>
                <w:sz w:val="20"/>
                <w:szCs w:val="16"/>
              </w:rPr>
              <w:t xml:space="preserve"> (11.6%)</w:t>
            </w:r>
          </w:p>
        </w:tc>
        <w:tc>
          <w:tcPr>
            <w:tcW w:w="0" w:type="auto"/>
            <w:tcBorders>
              <w:top w:val="dotted" w:sz="4" w:space="0" w:color="auto"/>
              <w:bottom w:val="single" w:sz="4" w:space="0" w:color="auto"/>
            </w:tcBorders>
          </w:tcPr>
          <w:p w:rsidR="003B4926" w:rsidRPr="00AE0FFB" w:rsidRDefault="003B4926" w:rsidP="003B4926">
            <w:pPr>
              <w:jc w:val="center"/>
              <w:rPr>
                <w:rFonts w:ascii="Arial Narrow" w:hAnsi="Arial Narrow"/>
                <w:sz w:val="20"/>
              </w:rPr>
            </w:pPr>
            <w:r w:rsidRPr="00AE0FFB">
              <w:rPr>
                <w:rFonts w:ascii="Arial Narrow" w:hAnsi="Arial Narrow"/>
                <w:sz w:val="20"/>
              </w:rPr>
              <w:t>10</w:t>
            </w:r>
            <w:r w:rsidR="00745AA9">
              <w:rPr>
                <w:rFonts w:ascii="Arial Narrow" w:hAnsi="Arial Narrow"/>
                <w:sz w:val="20"/>
              </w:rPr>
              <w:t xml:space="preserve"> (20.8%)</w:t>
            </w:r>
          </w:p>
          <w:p w:rsidR="003B4926" w:rsidRPr="00AE0FFB" w:rsidRDefault="003B4926" w:rsidP="003B4926">
            <w:pPr>
              <w:jc w:val="center"/>
              <w:rPr>
                <w:rFonts w:ascii="Arial Narrow" w:hAnsi="Arial Narrow"/>
                <w:sz w:val="20"/>
              </w:rPr>
            </w:pPr>
            <w:r>
              <w:rPr>
                <w:rFonts w:ascii="Arial Narrow" w:hAnsi="Arial Narrow"/>
                <w:sz w:val="20"/>
              </w:rPr>
              <w:t>0</w:t>
            </w:r>
            <w:r w:rsidR="00745AA9">
              <w:rPr>
                <w:rFonts w:ascii="Arial Narrow" w:hAnsi="Arial Narrow"/>
                <w:sz w:val="20"/>
              </w:rPr>
              <w:t xml:space="preserve"> (0.0%)</w:t>
            </w:r>
          </w:p>
          <w:p w:rsidR="003B4926" w:rsidRPr="00AE0FFB" w:rsidRDefault="003B4926" w:rsidP="003B4926">
            <w:pPr>
              <w:jc w:val="center"/>
              <w:rPr>
                <w:rFonts w:ascii="Arial Narrow" w:hAnsi="Arial Narrow"/>
                <w:sz w:val="20"/>
              </w:rPr>
            </w:pPr>
            <w:r w:rsidRPr="00AE0FFB">
              <w:rPr>
                <w:rFonts w:ascii="Arial Narrow" w:hAnsi="Arial Narrow"/>
                <w:sz w:val="20"/>
              </w:rPr>
              <w:t>5</w:t>
            </w:r>
            <w:r w:rsidR="00745AA9">
              <w:rPr>
                <w:rFonts w:ascii="Arial Narrow" w:hAnsi="Arial Narrow"/>
                <w:sz w:val="20"/>
              </w:rPr>
              <w:t xml:space="preserve"> (10.4%)</w:t>
            </w:r>
          </w:p>
          <w:p w:rsidR="003B4926" w:rsidRPr="00AE0FFB" w:rsidRDefault="003B4926" w:rsidP="00745AA9">
            <w:pPr>
              <w:jc w:val="center"/>
              <w:rPr>
                <w:rFonts w:ascii="Arial Narrow" w:hAnsi="Arial Narrow"/>
                <w:sz w:val="20"/>
              </w:rPr>
            </w:pPr>
            <w:r w:rsidRPr="00AE0FFB">
              <w:rPr>
                <w:rFonts w:ascii="Arial Narrow" w:hAnsi="Arial Narrow"/>
                <w:sz w:val="20"/>
              </w:rPr>
              <w:t>4</w:t>
            </w:r>
            <w:r w:rsidR="00745AA9">
              <w:rPr>
                <w:rFonts w:ascii="Arial Narrow" w:hAnsi="Arial Narrow"/>
                <w:sz w:val="20"/>
              </w:rPr>
              <w:t xml:space="preserve"> (8.3%)</w:t>
            </w:r>
          </w:p>
        </w:tc>
        <w:tc>
          <w:tcPr>
            <w:tcW w:w="1781" w:type="dxa"/>
            <w:tcBorders>
              <w:top w:val="dotted" w:sz="4" w:space="0" w:color="auto"/>
              <w:bottom w:val="single" w:sz="4" w:space="0" w:color="auto"/>
            </w:tcBorders>
          </w:tcPr>
          <w:p w:rsidR="003B4926" w:rsidRPr="00FA78A9" w:rsidRDefault="003B4926" w:rsidP="003B4926">
            <w:pPr>
              <w:jc w:val="center"/>
              <w:rPr>
                <w:rFonts w:ascii="Arial Narrow" w:hAnsi="Arial Narrow"/>
                <w:sz w:val="20"/>
              </w:rPr>
            </w:pPr>
            <w:r w:rsidRPr="00FA78A9">
              <w:rPr>
                <w:rFonts w:ascii="Arial Narrow" w:hAnsi="Arial Narrow"/>
                <w:sz w:val="20"/>
              </w:rPr>
              <w:t>-0.09 (-0.22, 0.04)</w:t>
            </w:r>
            <w:r w:rsidR="00FA78A9" w:rsidRPr="00FA78A9">
              <w:rPr>
                <w:rFonts w:ascii="Arial Narrow" w:hAnsi="Arial Narrow"/>
                <w:sz w:val="20"/>
              </w:rPr>
              <w:t>^</w:t>
            </w:r>
          </w:p>
          <w:p w:rsidR="003B4926" w:rsidRPr="00FA78A9" w:rsidRDefault="003B4926" w:rsidP="003B4926">
            <w:pPr>
              <w:jc w:val="center"/>
              <w:rPr>
                <w:rFonts w:ascii="Arial Narrow" w:hAnsi="Arial Narrow"/>
                <w:b/>
                <w:sz w:val="20"/>
              </w:rPr>
            </w:pPr>
            <w:r w:rsidRPr="00FA78A9">
              <w:rPr>
                <w:rFonts w:ascii="Arial Narrow" w:hAnsi="Arial Narrow"/>
                <w:b/>
                <w:sz w:val="20"/>
              </w:rPr>
              <w:t>0.07 (0.01, 0.13)</w:t>
            </w:r>
            <w:r w:rsidR="00FA78A9" w:rsidRPr="00FA78A9">
              <w:rPr>
                <w:rFonts w:ascii="Arial Narrow" w:hAnsi="Arial Narrow"/>
                <w:b/>
                <w:sz w:val="20"/>
              </w:rPr>
              <w:t>^</w:t>
            </w:r>
          </w:p>
          <w:p w:rsidR="003B4926" w:rsidRPr="00FA78A9" w:rsidRDefault="003B4926" w:rsidP="003B4926">
            <w:pPr>
              <w:jc w:val="center"/>
              <w:rPr>
                <w:rFonts w:ascii="Arial Narrow" w:hAnsi="Arial Narrow"/>
                <w:sz w:val="20"/>
              </w:rPr>
            </w:pPr>
            <w:r w:rsidRPr="00FA78A9">
              <w:rPr>
                <w:rFonts w:ascii="Arial Narrow" w:hAnsi="Arial Narrow"/>
                <w:sz w:val="20"/>
              </w:rPr>
              <w:t>0.02 (-0.09, 0.13)</w:t>
            </w:r>
            <w:r w:rsidR="00FA78A9" w:rsidRPr="00FA78A9">
              <w:rPr>
                <w:rFonts w:ascii="Arial Narrow" w:hAnsi="Arial Narrow"/>
                <w:sz w:val="20"/>
              </w:rPr>
              <w:t>^</w:t>
            </w:r>
          </w:p>
          <w:p w:rsidR="003B4926" w:rsidRPr="00FA78A9" w:rsidRDefault="003B4926" w:rsidP="003B4926">
            <w:pPr>
              <w:jc w:val="center"/>
              <w:rPr>
                <w:rFonts w:ascii="Arial Narrow" w:hAnsi="Arial Narrow"/>
                <w:b/>
                <w:sz w:val="20"/>
              </w:rPr>
            </w:pPr>
            <w:r w:rsidRPr="00FA78A9">
              <w:rPr>
                <w:rFonts w:ascii="Arial Narrow" w:hAnsi="Arial Narrow"/>
                <w:b/>
                <w:sz w:val="20"/>
              </w:rPr>
              <w:t>0.12 (0.05, 0.19)</w:t>
            </w:r>
            <w:r w:rsidR="00FA78A9" w:rsidRPr="00FA78A9">
              <w:rPr>
                <w:rFonts w:ascii="Arial Narrow" w:hAnsi="Arial Narrow"/>
                <w:b/>
                <w:sz w:val="20"/>
              </w:rPr>
              <w:t>^</w:t>
            </w:r>
          </w:p>
        </w:tc>
        <w:tc>
          <w:tcPr>
            <w:tcW w:w="1417" w:type="dxa"/>
            <w:tcBorders>
              <w:top w:val="dotted" w:sz="4" w:space="0" w:color="auto"/>
              <w:bottom w:val="single" w:sz="4" w:space="0" w:color="auto"/>
            </w:tcBorders>
          </w:tcPr>
          <w:p w:rsidR="003B4926" w:rsidRPr="00FA78A9" w:rsidRDefault="003B4926" w:rsidP="003B4926">
            <w:pPr>
              <w:jc w:val="center"/>
              <w:rPr>
                <w:rFonts w:ascii="Arial Narrow" w:hAnsi="Arial Narrow"/>
                <w:sz w:val="20"/>
              </w:rPr>
            </w:pPr>
            <w:r w:rsidRPr="00FA78A9">
              <w:rPr>
                <w:rFonts w:ascii="Arial Narrow" w:hAnsi="Arial Narrow"/>
                <w:sz w:val="20"/>
              </w:rPr>
              <w:t>0.56 (0.25, 1.22)</w:t>
            </w:r>
          </w:p>
          <w:p w:rsidR="003B4926" w:rsidRPr="00FA78A9" w:rsidRDefault="003B4926" w:rsidP="003B4926">
            <w:pPr>
              <w:jc w:val="center"/>
              <w:rPr>
                <w:rFonts w:ascii="Arial Narrow" w:hAnsi="Arial Narrow"/>
                <w:sz w:val="20"/>
              </w:rPr>
            </w:pPr>
            <w:r w:rsidRPr="00FA78A9">
              <w:rPr>
                <w:rFonts w:ascii="Arial Narrow" w:hAnsi="Arial Narrow"/>
                <w:sz w:val="20"/>
              </w:rPr>
              <w:t>7.66 (0.45, 131.3)</w:t>
            </w:r>
          </w:p>
          <w:p w:rsidR="003B4926" w:rsidRPr="00FA78A9" w:rsidRDefault="003B4926" w:rsidP="003B4926">
            <w:pPr>
              <w:jc w:val="center"/>
              <w:rPr>
                <w:rFonts w:ascii="Arial Narrow" w:hAnsi="Arial Narrow"/>
                <w:sz w:val="20"/>
              </w:rPr>
            </w:pPr>
            <w:r w:rsidRPr="00FA78A9">
              <w:rPr>
                <w:rFonts w:ascii="Arial Narrow" w:hAnsi="Arial Narrow"/>
                <w:sz w:val="20"/>
              </w:rPr>
              <w:t>1.21 (0.45, 3.24)</w:t>
            </w:r>
          </w:p>
          <w:p w:rsidR="003B4926" w:rsidRPr="00FA78A9" w:rsidRDefault="003B4926" w:rsidP="003B4926">
            <w:pPr>
              <w:jc w:val="center"/>
              <w:rPr>
                <w:rFonts w:ascii="Arial Narrow" w:hAnsi="Arial Narrow"/>
                <w:sz w:val="20"/>
              </w:rPr>
            </w:pPr>
            <w:r w:rsidRPr="00FA78A9">
              <w:rPr>
                <w:rFonts w:ascii="Arial Narrow" w:hAnsi="Arial Narrow"/>
                <w:sz w:val="20"/>
              </w:rPr>
              <w:t>11.74 (0.71, 195.1)</w:t>
            </w:r>
          </w:p>
        </w:tc>
      </w:tr>
    </w:tbl>
    <w:p w:rsidR="003B4926" w:rsidRPr="00AE0FFB" w:rsidRDefault="003B4926" w:rsidP="003B4926">
      <w:pPr>
        <w:ind w:left="709"/>
        <w:rPr>
          <w:rFonts w:ascii="Arial Narrow" w:hAnsi="Arial Narrow"/>
          <w:sz w:val="18"/>
        </w:rPr>
      </w:pPr>
      <w:r w:rsidRPr="00AE0FFB">
        <w:rPr>
          <w:rFonts w:ascii="Arial Narrow" w:hAnsi="Arial Narrow"/>
          <w:sz w:val="18"/>
        </w:rPr>
        <w:t xml:space="preserve">CI = confidence interval; ITT = intention to treat; LOCF = last observation carried forward; PBA = pictorial blood-loss assessment; SD = standard deviation; SE = standard error; UAE = uterine artery </w:t>
      </w:r>
      <w:r>
        <w:rPr>
          <w:rFonts w:ascii="Arial Narrow" w:hAnsi="Arial Narrow"/>
          <w:sz w:val="18"/>
        </w:rPr>
        <w:t>emboli</w:t>
      </w:r>
      <w:r w:rsidR="003F4D41">
        <w:rPr>
          <w:rFonts w:ascii="Arial Narrow" w:hAnsi="Arial Narrow"/>
          <w:sz w:val="18"/>
        </w:rPr>
        <w:t>s</w:t>
      </w:r>
      <w:r>
        <w:rPr>
          <w:rFonts w:ascii="Arial Narrow" w:hAnsi="Arial Narrow"/>
          <w:sz w:val="18"/>
        </w:rPr>
        <w:t>ation; LOCF -= last observation carried forward; NA = not applicable</w:t>
      </w:r>
    </w:p>
    <w:p w:rsidR="003B4926" w:rsidRPr="00AE0FFB" w:rsidRDefault="003B4926" w:rsidP="003B4926">
      <w:pPr>
        <w:tabs>
          <w:tab w:val="left" w:pos="284"/>
          <w:tab w:val="left" w:pos="993"/>
        </w:tabs>
        <w:ind w:left="993" w:hanging="284"/>
        <w:rPr>
          <w:rFonts w:ascii="Arial Narrow" w:hAnsi="Arial Narrow"/>
          <w:sz w:val="18"/>
        </w:rPr>
      </w:pPr>
      <w:r w:rsidRPr="00AE0FFB">
        <w:rPr>
          <w:rFonts w:ascii="Arial Narrow" w:hAnsi="Arial Narrow"/>
          <w:sz w:val="18"/>
          <w:vertAlign w:val="superscript"/>
        </w:rPr>
        <w:t>a</w:t>
      </w:r>
      <w:r>
        <w:rPr>
          <w:rFonts w:ascii="Arial Narrow" w:hAnsi="Arial Narrow"/>
          <w:sz w:val="18"/>
        </w:rPr>
        <w:tab/>
      </w:r>
      <w:r w:rsidRPr="00AE0FFB">
        <w:rPr>
          <w:rFonts w:ascii="Arial Narrow" w:hAnsi="Arial Narrow"/>
          <w:sz w:val="18"/>
        </w:rPr>
        <w:t xml:space="preserve">Source: Donnez </w:t>
      </w:r>
      <w:r w:rsidRPr="00AE0FFB">
        <w:rPr>
          <w:rFonts w:ascii="Arial Narrow" w:hAnsi="Arial Narrow"/>
          <w:i/>
          <w:sz w:val="18"/>
        </w:rPr>
        <w:t>et al.</w:t>
      </w:r>
      <w:r w:rsidRPr="00AE0FFB">
        <w:rPr>
          <w:rFonts w:ascii="Arial Narrow" w:hAnsi="Arial Narrow"/>
          <w:sz w:val="18"/>
        </w:rPr>
        <w:t xml:space="preserve"> (2012)</w:t>
      </w:r>
      <w:r w:rsidR="00AF6B43">
        <w:rPr>
          <w:rFonts w:ascii="Arial Narrow" w:hAnsi="Arial Narrow"/>
          <w:sz w:val="18"/>
        </w:rPr>
        <w:t>.</w:t>
      </w:r>
      <w:r>
        <w:rPr>
          <w:rFonts w:ascii="Arial Narrow" w:hAnsi="Arial Narrow"/>
          <w:sz w:val="18"/>
        </w:rPr>
        <w:t xml:space="preserve"> Results are presented based on the Week 38, ITT analysis. </w:t>
      </w:r>
    </w:p>
    <w:p w:rsidR="003B4926" w:rsidRPr="00AE0FFB" w:rsidRDefault="003B4926" w:rsidP="003B4926">
      <w:pPr>
        <w:tabs>
          <w:tab w:val="left" w:pos="284"/>
          <w:tab w:val="left" w:pos="993"/>
        </w:tabs>
        <w:ind w:left="993" w:hanging="284"/>
        <w:rPr>
          <w:rFonts w:ascii="Arial Narrow" w:hAnsi="Arial Narrow"/>
          <w:sz w:val="18"/>
        </w:rPr>
      </w:pPr>
      <w:r w:rsidRPr="00AE0FFB">
        <w:rPr>
          <w:rFonts w:ascii="Arial Narrow" w:hAnsi="Arial Narrow"/>
          <w:sz w:val="18"/>
          <w:vertAlign w:val="superscript"/>
        </w:rPr>
        <w:t>b</w:t>
      </w:r>
      <w:r>
        <w:rPr>
          <w:rFonts w:ascii="Arial Narrow" w:hAnsi="Arial Narrow"/>
          <w:sz w:val="18"/>
        </w:rPr>
        <w:tab/>
      </w:r>
      <w:r w:rsidRPr="00AE0FFB">
        <w:rPr>
          <w:rFonts w:ascii="Arial Narrow" w:hAnsi="Arial Narrow"/>
          <w:sz w:val="18"/>
        </w:rPr>
        <w:t>Source: Table 21, p107 PEARL I CSR</w:t>
      </w:r>
    </w:p>
    <w:p w:rsidR="003B4926" w:rsidRPr="00AE0FFB" w:rsidRDefault="003B4926" w:rsidP="003B4926">
      <w:pPr>
        <w:tabs>
          <w:tab w:val="left" w:pos="284"/>
          <w:tab w:val="left" w:pos="993"/>
        </w:tabs>
        <w:ind w:left="993" w:hanging="284"/>
        <w:rPr>
          <w:rFonts w:ascii="Arial Narrow" w:hAnsi="Arial Narrow"/>
          <w:sz w:val="18"/>
        </w:rPr>
      </w:pPr>
      <w:r w:rsidRPr="00AE0FFB">
        <w:rPr>
          <w:rFonts w:ascii="Arial Narrow" w:hAnsi="Arial Narrow"/>
          <w:sz w:val="18"/>
        </w:rPr>
        <w:t>*</w:t>
      </w:r>
      <w:r>
        <w:rPr>
          <w:rFonts w:ascii="Arial Narrow" w:hAnsi="Arial Narrow"/>
          <w:sz w:val="18"/>
        </w:rPr>
        <w:tab/>
      </w:r>
      <w:r w:rsidRPr="00AE0FFB">
        <w:rPr>
          <w:rFonts w:ascii="Arial Narrow" w:hAnsi="Arial Narrow"/>
          <w:sz w:val="18"/>
        </w:rPr>
        <w:t>Total fibroid volume derived as the sum of the individual fibroid volumes</w:t>
      </w:r>
    </w:p>
    <w:p w:rsidR="003B4926" w:rsidRPr="007352E1" w:rsidRDefault="007352E1" w:rsidP="007352E1">
      <w:pPr>
        <w:tabs>
          <w:tab w:val="left" w:pos="284"/>
          <w:tab w:val="left" w:pos="993"/>
        </w:tabs>
        <w:ind w:left="993" w:hanging="284"/>
        <w:rPr>
          <w:rFonts w:ascii="Arial Narrow" w:hAnsi="Arial Narrow"/>
          <w:sz w:val="18"/>
        </w:rPr>
      </w:pPr>
      <w:r w:rsidRPr="00A42A00">
        <w:rPr>
          <w:rFonts w:ascii="Arial Narrow" w:hAnsi="Arial Narrow"/>
          <w:sz w:val="18"/>
        </w:rPr>
        <w:t>^</w:t>
      </w:r>
      <w:r w:rsidRPr="00A42A00">
        <w:rPr>
          <w:rFonts w:ascii="Arial Narrow" w:hAnsi="Arial Narrow"/>
          <w:sz w:val="18"/>
        </w:rPr>
        <w:tab/>
      </w:r>
      <w:r w:rsidR="003B4926" w:rsidRPr="00A42A00">
        <w:rPr>
          <w:rFonts w:ascii="Arial Narrow" w:hAnsi="Arial Narrow"/>
          <w:sz w:val="18"/>
        </w:rPr>
        <w:t>Figures were estimated during the evaluation using RevMan 5.3</w:t>
      </w:r>
    </w:p>
    <w:p w:rsidR="007352E1" w:rsidRDefault="007352E1" w:rsidP="007352E1">
      <w:pPr>
        <w:ind w:left="709"/>
        <w:rPr>
          <w:rFonts w:ascii="Arial Narrow" w:hAnsi="Arial Narrow"/>
          <w:sz w:val="18"/>
        </w:rPr>
      </w:pPr>
      <w:r w:rsidRPr="00AE0FFB">
        <w:rPr>
          <w:rFonts w:ascii="Arial Narrow" w:hAnsi="Arial Narrow"/>
          <w:sz w:val="18"/>
        </w:rPr>
        <w:t xml:space="preserve">Figures in bold indicate statistically significant </w:t>
      </w:r>
      <w:r>
        <w:rPr>
          <w:rFonts w:ascii="Arial Narrow" w:hAnsi="Arial Narrow"/>
          <w:sz w:val="18"/>
        </w:rPr>
        <w:t>differences</w:t>
      </w:r>
    </w:p>
    <w:p w:rsidR="003B4926" w:rsidRPr="00AE0FFB" w:rsidRDefault="003B4926" w:rsidP="003B4926">
      <w:pPr>
        <w:ind w:left="709"/>
        <w:rPr>
          <w:rFonts w:ascii="Arial Narrow" w:hAnsi="Arial Narrow"/>
          <w:sz w:val="18"/>
        </w:rPr>
      </w:pPr>
      <w:r>
        <w:rPr>
          <w:rFonts w:ascii="Arial Narrow" w:hAnsi="Arial Narrow"/>
          <w:sz w:val="18"/>
        </w:rPr>
        <w:t xml:space="preserve">While the trial also included results for ulipristal 10 mg, since the recommended dose for ulipristal is 5 mg daily, the 10 mg ulipristal treatment arm </w:t>
      </w:r>
      <w:r w:rsidRPr="00314A01">
        <w:rPr>
          <w:rFonts w:ascii="Arial Narrow" w:hAnsi="Arial Narrow"/>
          <w:sz w:val="18"/>
        </w:rPr>
        <w:t xml:space="preserve">results are not presented </w:t>
      </w:r>
    </w:p>
    <w:p w:rsidR="003B4926" w:rsidRDefault="003B4926" w:rsidP="003B4926">
      <w:pPr>
        <w:ind w:left="709"/>
        <w:rPr>
          <w:rFonts w:ascii="Arial Narrow" w:hAnsi="Arial Narrow"/>
          <w:b/>
          <w:sz w:val="20"/>
        </w:rPr>
      </w:pPr>
      <w:r w:rsidRPr="00AE0FFB">
        <w:rPr>
          <w:rFonts w:ascii="Arial Narrow" w:hAnsi="Arial Narrow"/>
          <w:sz w:val="18"/>
        </w:rPr>
        <w:t>Source: Tables B-</w:t>
      </w:r>
      <w:r w:rsidRPr="007C7C8D">
        <w:rPr>
          <w:rFonts w:ascii="Arial Narrow" w:hAnsi="Arial Narrow"/>
          <w:sz w:val="18"/>
        </w:rPr>
        <w:t>17</w:t>
      </w:r>
      <w:r w:rsidRPr="00AE0FFB">
        <w:rPr>
          <w:rFonts w:ascii="Arial Narrow" w:hAnsi="Arial Narrow"/>
          <w:sz w:val="18"/>
        </w:rPr>
        <w:t>, B-</w:t>
      </w:r>
      <w:r w:rsidRPr="007C7C8D">
        <w:rPr>
          <w:rFonts w:ascii="Arial Narrow" w:hAnsi="Arial Narrow"/>
          <w:sz w:val="18"/>
        </w:rPr>
        <w:t>18</w:t>
      </w:r>
      <w:r w:rsidRPr="00AE0FFB">
        <w:rPr>
          <w:rFonts w:ascii="Arial Narrow" w:hAnsi="Arial Narrow"/>
          <w:sz w:val="18"/>
        </w:rPr>
        <w:t>, B-</w:t>
      </w:r>
      <w:r w:rsidRPr="007C7C8D">
        <w:rPr>
          <w:rFonts w:ascii="Arial Narrow" w:hAnsi="Arial Narrow"/>
          <w:sz w:val="18"/>
        </w:rPr>
        <w:t xml:space="preserve">20, B-24 </w:t>
      </w:r>
      <w:r w:rsidRPr="00AE0FFB">
        <w:rPr>
          <w:rFonts w:ascii="Arial Narrow" w:hAnsi="Arial Narrow"/>
          <w:sz w:val="18"/>
        </w:rPr>
        <w:t>and B-</w:t>
      </w:r>
      <w:r w:rsidRPr="007C7C8D">
        <w:rPr>
          <w:rFonts w:ascii="Arial Narrow" w:hAnsi="Arial Narrow"/>
          <w:sz w:val="18"/>
        </w:rPr>
        <w:t>25</w:t>
      </w:r>
      <w:r w:rsidRPr="00AE0FFB">
        <w:rPr>
          <w:rFonts w:ascii="Arial Narrow" w:hAnsi="Arial Narrow"/>
          <w:sz w:val="18"/>
        </w:rPr>
        <w:t>, pp</w:t>
      </w:r>
      <w:r w:rsidRPr="007C7C8D">
        <w:rPr>
          <w:rFonts w:ascii="Arial Narrow" w:hAnsi="Arial Narrow"/>
          <w:sz w:val="18"/>
        </w:rPr>
        <w:t>41</w:t>
      </w:r>
      <w:r w:rsidRPr="00AE0FFB">
        <w:rPr>
          <w:rFonts w:ascii="Arial Narrow" w:hAnsi="Arial Narrow"/>
          <w:sz w:val="18"/>
        </w:rPr>
        <w:t>-</w:t>
      </w:r>
      <w:r w:rsidRPr="007C7C8D">
        <w:rPr>
          <w:rFonts w:ascii="Arial Narrow" w:hAnsi="Arial Narrow"/>
          <w:sz w:val="18"/>
        </w:rPr>
        <w:t>45</w:t>
      </w:r>
      <w:r w:rsidRPr="00AE0FFB">
        <w:rPr>
          <w:rFonts w:ascii="Arial Narrow" w:hAnsi="Arial Narrow"/>
          <w:sz w:val="18"/>
        </w:rPr>
        <w:t xml:space="preserve"> of the </w:t>
      </w:r>
      <w:r w:rsidR="007B08B0">
        <w:rPr>
          <w:rFonts w:ascii="Arial Narrow" w:hAnsi="Arial Narrow"/>
          <w:sz w:val="18"/>
        </w:rPr>
        <w:t>resubmission</w:t>
      </w:r>
      <w:r w:rsidRPr="00AE0FFB">
        <w:rPr>
          <w:rFonts w:ascii="Arial Narrow" w:hAnsi="Arial Narrow"/>
          <w:sz w:val="18"/>
        </w:rPr>
        <w:t>.</w:t>
      </w:r>
    </w:p>
    <w:p w:rsidR="00280AFF" w:rsidRPr="00280AFF" w:rsidRDefault="00280AFF" w:rsidP="00280AFF">
      <w:pPr>
        <w:rPr>
          <w:i/>
        </w:rPr>
      </w:pPr>
    </w:p>
    <w:p w:rsidR="000805AE" w:rsidRPr="002A59CE" w:rsidRDefault="000805AE" w:rsidP="000805AE">
      <w:pPr>
        <w:widowControl/>
        <w:numPr>
          <w:ilvl w:val="1"/>
          <w:numId w:val="3"/>
        </w:numPr>
        <w:contextualSpacing/>
      </w:pPr>
      <w:r w:rsidRPr="002A59CE">
        <w:t>The results indicated that, at week 13:</w:t>
      </w:r>
    </w:p>
    <w:p w:rsidR="000805AE" w:rsidRPr="002A59CE" w:rsidRDefault="000805AE" w:rsidP="000805AE">
      <w:pPr>
        <w:pStyle w:val="ListParagraph"/>
        <w:widowControl/>
        <w:numPr>
          <w:ilvl w:val="0"/>
          <w:numId w:val="15"/>
        </w:numPr>
        <w:ind w:left="1134" w:hanging="283"/>
      </w:pPr>
      <w:r w:rsidRPr="002A59CE">
        <w:t xml:space="preserve">a statistically significantly greater proportion of women treated with ulipristal achieved a pictorial blood-loss assessment chart (PBA-C) score of &lt;75; </w:t>
      </w:r>
    </w:p>
    <w:p w:rsidR="000805AE" w:rsidRPr="002A59CE" w:rsidRDefault="000805AE" w:rsidP="000805AE">
      <w:pPr>
        <w:pStyle w:val="ListParagraph"/>
        <w:widowControl/>
        <w:numPr>
          <w:ilvl w:val="0"/>
          <w:numId w:val="15"/>
        </w:numPr>
        <w:ind w:left="1134" w:hanging="283"/>
      </w:pPr>
      <w:r w:rsidRPr="002A59CE">
        <w:t xml:space="preserve">those treated with ulipristal achieved statistically significant (i) reductions in </w:t>
      </w:r>
      <w:r w:rsidR="000915E8" w:rsidRPr="002A59CE">
        <w:t xml:space="preserve">total fibroid and </w:t>
      </w:r>
      <w:r w:rsidRPr="002A59CE">
        <w:t>uterine volume</w:t>
      </w:r>
      <w:r w:rsidR="000915E8" w:rsidRPr="002A59CE">
        <w:t>,</w:t>
      </w:r>
      <w:r w:rsidRPr="002A59CE">
        <w:t xml:space="preserve"> and (ii) increases in haemoglobin levels; and</w:t>
      </w:r>
    </w:p>
    <w:p w:rsidR="000805AE" w:rsidRPr="002A59CE" w:rsidRDefault="000805AE" w:rsidP="000805AE">
      <w:pPr>
        <w:pStyle w:val="ListParagraph"/>
        <w:widowControl/>
        <w:numPr>
          <w:ilvl w:val="0"/>
          <w:numId w:val="15"/>
        </w:numPr>
        <w:ind w:left="1134" w:hanging="283"/>
      </w:pPr>
      <w:r w:rsidRPr="002A59CE">
        <w:t>there were no consistent statistically significant differences in the proportion of women who underwent surgery or the types of surgery undertaken.</w:t>
      </w:r>
    </w:p>
    <w:p w:rsidR="000805AE" w:rsidRPr="002A59CE" w:rsidRDefault="000805AE" w:rsidP="000805AE">
      <w:pPr>
        <w:widowControl/>
      </w:pPr>
    </w:p>
    <w:p w:rsidR="000805AE" w:rsidRPr="002A59CE" w:rsidRDefault="00314A01" w:rsidP="00585277">
      <w:pPr>
        <w:widowControl/>
        <w:numPr>
          <w:ilvl w:val="1"/>
          <w:numId w:val="3"/>
        </w:numPr>
        <w:contextualSpacing/>
      </w:pPr>
      <w:r w:rsidRPr="002A59CE">
        <w:t>There were n</w:t>
      </w:r>
      <w:r w:rsidR="000805AE" w:rsidRPr="002A59CE">
        <w:t>o statistically significant differences</w:t>
      </w:r>
      <w:r w:rsidR="00BF3255">
        <w:t xml:space="preserve"> in pain</w:t>
      </w:r>
      <w:r w:rsidR="000805AE" w:rsidRPr="002A59CE">
        <w:t xml:space="preserve"> in terms of the change from baseline to week 13 as measured by the Short-form McGill Pain Questionnaire (SF-MPQ) Part A (main component of the questionnaire), Part B (VAS) or Part C (pain intensity) for ulipristal 5</w:t>
      </w:r>
      <w:r w:rsidR="006259D4">
        <w:t xml:space="preserve"> </w:t>
      </w:r>
      <w:r w:rsidR="000805AE" w:rsidRPr="002A59CE">
        <w:t xml:space="preserve">mg compared to placebo in the ITT analysis. </w:t>
      </w:r>
      <w:r w:rsidR="00D52D97">
        <w:t xml:space="preserve">The pre-PBAC response </w:t>
      </w:r>
      <w:r w:rsidR="003403AE">
        <w:t xml:space="preserve">argued </w:t>
      </w:r>
      <w:r w:rsidR="00D52D97">
        <w:t>that u</w:t>
      </w:r>
      <w:r w:rsidR="00D52D97" w:rsidRPr="00585277">
        <w:t xml:space="preserve">lipristal was associated with a significant improvement from baseline with respect to SF-MPQ subscales, the UFS-QoL symptom severity and total scores, all individual EQ-5D domain scores and the EQ-5D VAS through the first cycle of therapy (13 weeks) in both the larger PEARL-III and PEARL-IV studies. </w:t>
      </w:r>
      <w:r w:rsidR="00217BC8">
        <w:t xml:space="preserve">It was also noted that </w:t>
      </w:r>
      <w:r w:rsidR="00D52D97" w:rsidRPr="00585277">
        <w:t xml:space="preserve">these studies were not placebo controlled and included patients receiving ulipristal 10 mg, </w:t>
      </w:r>
      <w:r w:rsidR="00217BC8">
        <w:t xml:space="preserve">however the sponsor considered the results to be </w:t>
      </w:r>
      <w:r w:rsidR="00D52D97" w:rsidRPr="00585277">
        <w:t>relevant.</w:t>
      </w:r>
      <w:r w:rsidR="00D52D97">
        <w:t xml:space="preserve"> The </w:t>
      </w:r>
      <w:r w:rsidR="006259D4">
        <w:t xml:space="preserve">ESC and </w:t>
      </w:r>
      <w:r w:rsidR="00D52D97">
        <w:t>PBAC noted t</w:t>
      </w:r>
      <w:r w:rsidR="00A2239B" w:rsidRPr="002A59CE">
        <w:t xml:space="preserve">here were statistically significant differences across the treatment groups for the change from baseline to week 13 for the Measurement of discomfort due to uterine fibroids questionnaire (MDUFQ). The ESC </w:t>
      </w:r>
      <w:r w:rsidR="00217BC8">
        <w:t xml:space="preserve">and PBAC </w:t>
      </w:r>
      <w:r w:rsidR="00A2239B" w:rsidRPr="002A59CE">
        <w:t>noted this questionnaire was developed by the sponsor</w:t>
      </w:r>
      <w:r w:rsidR="00546BA5" w:rsidRPr="002A59CE">
        <w:t>, however</w:t>
      </w:r>
      <w:r w:rsidR="00A2239B" w:rsidRPr="002A59CE">
        <w:t xml:space="preserve"> no information regarding </w:t>
      </w:r>
      <w:r w:rsidR="00546BA5" w:rsidRPr="002A59CE">
        <w:t>the validation of this questionnaire was provided</w:t>
      </w:r>
      <w:r w:rsidR="00A2239B" w:rsidRPr="002A59CE">
        <w:t>.</w:t>
      </w:r>
      <w:r w:rsidR="00585277">
        <w:t xml:space="preserve"> </w:t>
      </w:r>
    </w:p>
    <w:p w:rsidR="000805AE" w:rsidRPr="002A59CE" w:rsidRDefault="000805AE" w:rsidP="000805AE">
      <w:pPr>
        <w:widowControl/>
        <w:ind w:left="720"/>
        <w:contextualSpacing/>
      </w:pPr>
    </w:p>
    <w:p w:rsidR="000829F9" w:rsidRPr="002A59CE" w:rsidRDefault="00F52A22" w:rsidP="00CF1650">
      <w:pPr>
        <w:widowControl/>
        <w:numPr>
          <w:ilvl w:val="1"/>
          <w:numId w:val="3"/>
        </w:numPr>
        <w:contextualSpacing/>
      </w:pPr>
      <w:r w:rsidRPr="002A59CE">
        <w:t>As for the July 2016</w:t>
      </w:r>
      <w:r w:rsidR="0013601A" w:rsidRPr="002A59CE">
        <w:t xml:space="preserve"> submission</w:t>
      </w:r>
      <w:r w:rsidRPr="002A59CE">
        <w:t xml:space="preserve">, the </w:t>
      </w:r>
      <w:r w:rsidR="007B08B0" w:rsidRPr="002A59CE">
        <w:t>resubmission</w:t>
      </w:r>
      <w:r w:rsidRPr="002A59CE">
        <w:t xml:space="preserve"> provided Week 38 data on </w:t>
      </w:r>
      <w:r w:rsidR="0013601A" w:rsidRPr="002A59CE">
        <w:t xml:space="preserve">the </w:t>
      </w:r>
      <w:r w:rsidRPr="002A59CE">
        <w:t>surgical interventions planned and completed</w:t>
      </w:r>
      <w:r w:rsidR="00024392" w:rsidRPr="002A59CE">
        <w:t xml:space="preserve"> by treatment group for patients in the PEARL I trial</w:t>
      </w:r>
      <w:r w:rsidRPr="002A59CE">
        <w:t xml:space="preserve">. </w:t>
      </w:r>
      <w:r w:rsidR="00024392" w:rsidRPr="002A59CE">
        <w:t xml:space="preserve">This analysis showed that </w:t>
      </w:r>
      <w:r w:rsidR="000829F9" w:rsidRPr="002A59CE">
        <w:t xml:space="preserve">fewer patients in the placebo group compared to the ulipristal group </w:t>
      </w:r>
      <w:r w:rsidR="00745AA9" w:rsidRPr="002A59CE">
        <w:t>underwent</w:t>
      </w:r>
      <w:r w:rsidR="000829F9" w:rsidRPr="002A59CE">
        <w:t xml:space="preserve"> surgery by Week 38, with </w:t>
      </w:r>
      <w:r w:rsidR="00244546" w:rsidRPr="002A59CE">
        <w:t>29/48 (</w:t>
      </w:r>
      <w:r w:rsidR="000829F9" w:rsidRPr="002A59CE">
        <w:t>60.4%</w:t>
      </w:r>
      <w:r w:rsidR="00244546" w:rsidRPr="002A59CE">
        <w:t>)</w:t>
      </w:r>
      <w:r w:rsidR="000829F9" w:rsidRPr="002A59CE">
        <w:t xml:space="preserve"> of the placebo treated patients and</w:t>
      </w:r>
      <w:r w:rsidR="00244546" w:rsidRPr="002A59CE">
        <w:t xml:space="preserve"> 52/95 (</w:t>
      </w:r>
      <w:r w:rsidR="000829F9" w:rsidRPr="002A59CE">
        <w:t>54.7%</w:t>
      </w:r>
      <w:r w:rsidR="00244546" w:rsidRPr="002A59CE">
        <w:t>)</w:t>
      </w:r>
      <w:r w:rsidR="000829F9" w:rsidRPr="002A59CE">
        <w:t xml:space="preserve"> of the ulipristal 5 mg treated patients having no surgery.  </w:t>
      </w:r>
      <w:r w:rsidR="00745AA9" w:rsidRPr="002A59CE">
        <w:t xml:space="preserve">This difference was not statistically significant. </w:t>
      </w:r>
      <w:r w:rsidR="00E16691" w:rsidRPr="002A59CE">
        <w:t>It is not clear why surgery was cancelled more often for placebo treated patients compared to ulipristal treated patients.</w:t>
      </w:r>
      <w:r w:rsidR="00024392" w:rsidRPr="002A59CE">
        <w:t xml:space="preserve"> </w:t>
      </w:r>
    </w:p>
    <w:p w:rsidR="00C92408" w:rsidRPr="002A59CE" w:rsidRDefault="00C92408" w:rsidP="00C92408">
      <w:pPr>
        <w:pStyle w:val="ListParagraph"/>
      </w:pPr>
    </w:p>
    <w:p w:rsidR="007C1D56" w:rsidRPr="002A59CE" w:rsidRDefault="00C92408" w:rsidP="00430959">
      <w:pPr>
        <w:widowControl/>
        <w:numPr>
          <w:ilvl w:val="1"/>
          <w:numId w:val="3"/>
        </w:numPr>
        <w:contextualSpacing/>
      </w:pPr>
      <w:r w:rsidRPr="002A59CE">
        <w:t xml:space="preserve">The </w:t>
      </w:r>
      <w:r w:rsidR="007B08B0" w:rsidRPr="002A59CE">
        <w:t>resubmission</w:t>
      </w:r>
      <w:r w:rsidRPr="002A59CE">
        <w:t xml:space="preserve"> stated that the results from PEARL I indicate</w:t>
      </w:r>
      <w:r w:rsidR="00D868DC" w:rsidRPr="002A59CE">
        <w:t>d</w:t>
      </w:r>
      <w:r w:rsidRPr="002A59CE">
        <w:t xml:space="preserve"> that </w:t>
      </w:r>
      <w:r w:rsidR="00225E50" w:rsidRPr="002A59CE">
        <w:t>the</w:t>
      </w:r>
      <w:r w:rsidRPr="002A59CE">
        <w:t xml:space="preserve"> </w:t>
      </w:r>
      <w:r w:rsidR="00225E50" w:rsidRPr="002A59CE">
        <w:t>proportion of patients who</w:t>
      </w:r>
      <w:r w:rsidR="006259D4">
        <w:t>se</w:t>
      </w:r>
      <w:r w:rsidR="00225E50" w:rsidRPr="002A59CE">
        <w:t xml:space="preserve"> completed surgery involved hysterectomy was lower for ulipristal treated patients compa</w:t>
      </w:r>
      <w:r w:rsidR="006259D4">
        <w:t>red to placebo treated patients.</w:t>
      </w:r>
      <w:r w:rsidR="00225E50" w:rsidRPr="002A59CE">
        <w:t xml:space="preserve"> The </w:t>
      </w:r>
      <w:r w:rsidR="007B08B0" w:rsidRPr="002A59CE">
        <w:t>resubmission</w:t>
      </w:r>
      <w:r w:rsidR="00225E50" w:rsidRPr="002A59CE">
        <w:t xml:space="preserve">‘s statement </w:t>
      </w:r>
      <w:r w:rsidR="00315D26" w:rsidRPr="002A59CE">
        <w:t xml:space="preserve">was </w:t>
      </w:r>
      <w:r w:rsidR="00225E50" w:rsidRPr="002A59CE">
        <w:t>technically correct, since based on surgeries completed, of the 19 patients who had surgery in the placebo group, 52.6% had hysterectomy and of the 4</w:t>
      </w:r>
      <w:r w:rsidR="00DC6FD7" w:rsidRPr="002A59CE">
        <w:t>1</w:t>
      </w:r>
      <w:r w:rsidR="00225E50" w:rsidRPr="002A59CE">
        <w:t xml:space="preserve"> patients who had surgery in the ulipristal 5 mg group, </w:t>
      </w:r>
      <w:r w:rsidR="00FF198F" w:rsidRPr="002A59CE">
        <w:t>4</w:t>
      </w:r>
      <w:r w:rsidR="00DC6FD7" w:rsidRPr="002A59CE">
        <w:t>3.9</w:t>
      </w:r>
      <w:r w:rsidR="00225E50" w:rsidRPr="002A59CE">
        <w:t xml:space="preserve">% had hysterectomy. </w:t>
      </w:r>
      <w:r w:rsidR="005840AF">
        <w:t>A</w:t>
      </w:r>
      <w:r w:rsidR="005840AF" w:rsidRPr="002A59CE">
        <w:t>nalyses conducted during the evaluation indicated</w:t>
      </w:r>
      <w:r w:rsidR="00225E50" w:rsidRPr="002A59CE">
        <w:t xml:space="preserve"> that the difference in rates of hysterectomy were </w:t>
      </w:r>
      <w:r w:rsidR="005840AF">
        <w:t xml:space="preserve">not </w:t>
      </w:r>
      <w:r w:rsidR="00225E50" w:rsidRPr="002A59CE">
        <w:t>statistically significant</w:t>
      </w:r>
      <w:r w:rsidR="006259D4">
        <w:t>.</w:t>
      </w:r>
      <w:r w:rsidR="00B52F43" w:rsidRPr="002A59CE">
        <w:t xml:space="preserve"> </w:t>
      </w:r>
      <w:r w:rsidR="00225E50" w:rsidRPr="002A59CE">
        <w:t xml:space="preserve">In addition, since hysterectomy was actually planned more commonly for the placebo treated patients, differences in the baseline demographics may </w:t>
      </w:r>
      <w:r w:rsidR="00CE20F8" w:rsidRPr="002A59CE">
        <w:t xml:space="preserve">have </w:t>
      </w:r>
      <w:r w:rsidR="00225E50" w:rsidRPr="002A59CE">
        <w:t>partly account</w:t>
      </w:r>
      <w:r w:rsidR="00CE20F8" w:rsidRPr="002A59CE">
        <w:t>ed</w:t>
      </w:r>
      <w:r w:rsidR="00225E50" w:rsidRPr="002A59CE">
        <w:t xml:space="preserve"> for this difference. </w:t>
      </w:r>
    </w:p>
    <w:p w:rsidR="007C1D56" w:rsidRPr="002A59CE" w:rsidRDefault="007C1D56" w:rsidP="007C1D56">
      <w:pPr>
        <w:pStyle w:val="ListParagraph"/>
      </w:pPr>
    </w:p>
    <w:p w:rsidR="007C1D56" w:rsidRPr="002A59CE" w:rsidRDefault="007C1D56" w:rsidP="00CF1650">
      <w:pPr>
        <w:widowControl/>
        <w:numPr>
          <w:ilvl w:val="1"/>
          <w:numId w:val="3"/>
        </w:numPr>
        <w:contextualSpacing/>
      </w:pPr>
      <w:r w:rsidRPr="002A59CE">
        <w:t>Additionally, the surgical outcome results were highly unreliable for the following reasons:</w:t>
      </w:r>
    </w:p>
    <w:p w:rsidR="007C1D56" w:rsidRPr="002A59CE" w:rsidRDefault="007C1D56" w:rsidP="00CF1650">
      <w:pPr>
        <w:pStyle w:val="BodyText"/>
        <w:numPr>
          <w:ilvl w:val="0"/>
          <w:numId w:val="14"/>
        </w:numPr>
        <w:ind w:left="1134" w:hanging="425"/>
      </w:pPr>
      <w:r w:rsidRPr="002A59CE">
        <w:t>They were exploratory endpoints;</w:t>
      </w:r>
    </w:p>
    <w:p w:rsidR="007C1D56" w:rsidRPr="002A59CE" w:rsidRDefault="007C1D56" w:rsidP="00CF1650">
      <w:pPr>
        <w:pStyle w:val="BodyText"/>
        <w:numPr>
          <w:ilvl w:val="0"/>
          <w:numId w:val="14"/>
        </w:numPr>
        <w:ind w:left="1134" w:hanging="425"/>
      </w:pPr>
      <w:r w:rsidRPr="002A59CE">
        <w:t>The results were based on small sample sizes;</w:t>
      </w:r>
    </w:p>
    <w:p w:rsidR="007C1D56" w:rsidRPr="002A59CE" w:rsidRDefault="007C1D56" w:rsidP="00CF1650">
      <w:pPr>
        <w:pStyle w:val="BodyText"/>
        <w:numPr>
          <w:ilvl w:val="0"/>
          <w:numId w:val="14"/>
        </w:numPr>
        <w:ind w:left="1134" w:hanging="425"/>
        <w:jc w:val="both"/>
      </w:pPr>
      <w:r w:rsidRPr="002A59CE">
        <w:t>Long-term outcomes on patients who did not have surgery were not reported, thus the final rate of surgical interventions for both treatment group</w:t>
      </w:r>
      <w:r w:rsidR="00DB1602" w:rsidRPr="002A59CE">
        <w:t>s was not able to be determined;</w:t>
      </w:r>
    </w:p>
    <w:p w:rsidR="007C1D56" w:rsidRPr="002A59CE" w:rsidRDefault="007C1D56" w:rsidP="00CF1650">
      <w:pPr>
        <w:pStyle w:val="BodyText"/>
        <w:numPr>
          <w:ilvl w:val="0"/>
          <w:numId w:val="14"/>
        </w:numPr>
        <w:ind w:left="1134" w:hanging="425"/>
        <w:jc w:val="both"/>
      </w:pPr>
      <w:r w:rsidRPr="002A59CE">
        <w:t xml:space="preserve">The </w:t>
      </w:r>
      <w:r w:rsidR="000104BC">
        <w:t xml:space="preserve">Clinical Study Report </w:t>
      </w:r>
      <w:r w:rsidRPr="002A59CE">
        <w:t xml:space="preserve">noted a strong centre effect (p113) in surgical outcomes across study sites of the multi-national trial. This suggested that surgery rates may have had more to do with clinical decision making in the respective sites </w:t>
      </w:r>
      <w:r w:rsidR="006259D4">
        <w:t xml:space="preserve">rather </w:t>
      </w:r>
      <w:r w:rsidRPr="002A59CE">
        <w:t xml:space="preserve">than </w:t>
      </w:r>
      <w:r w:rsidR="006259D4">
        <w:t xml:space="preserve">be due to </w:t>
      </w:r>
      <w:r w:rsidRPr="002A59CE">
        <w:t xml:space="preserve">ulipristal </w:t>
      </w:r>
      <w:r w:rsidR="006259D4">
        <w:t>treatment</w:t>
      </w:r>
      <w:r w:rsidRPr="002A59CE">
        <w:t>; and</w:t>
      </w:r>
    </w:p>
    <w:p w:rsidR="00C92408" w:rsidRPr="002A59CE" w:rsidRDefault="007C1D56" w:rsidP="00CF1650">
      <w:pPr>
        <w:pStyle w:val="BodyText"/>
        <w:numPr>
          <w:ilvl w:val="0"/>
          <w:numId w:val="14"/>
        </w:numPr>
        <w:ind w:left="1134" w:hanging="425"/>
        <w:jc w:val="both"/>
      </w:pPr>
      <w:r w:rsidRPr="002A59CE">
        <w:t xml:space="preserve">The centre effect also demonstrated it was unlikely that these results would be </w:t>
      </w:r>
      <w:r w:rsidR="005D18C0" w:rsidRPr="002A59CE">
        <w:t xml:space="preserve">directly </w:t>
      </w:r>
      <w:r w:rsidRPr="002A59CE">
        <w:t xml:space="preserve">applicable to the Australian treatment setting. </w:t>
      </w:r>
    </w:p>
    <w:p w:rsidR="002525BC" w:rsidRPr="002A59CE" w:rsidRDefault="00D85156" w:rsidP="00AF15E3">
      <w:pPr>
        <w:widowControl/>
        <w:ind w:left="709"/>
        <w:contextualSpacing/>
      </w:pPr>
      <w:r w:rsidRPr="002A59CE">
        <w:t>The ESC</w:t>
      </w:r>
      <w:r w:rsidR="00FF4C25" w:rsidRPr="002A59CE">
        <w:t xml:space="preserve"> </w:t>
      </w:r>
      <w:r w:rsidR="00BD19E6" w:rsidRPr="002A59CE">
        <w:t>noted</w:t>
      </w:r>
      <w:r w:rsidR="00770F62" w:rsidRPr="002A59CE">
        <w:t xml:space="preserve"> </w:t>
      </w:r>
      <w:r w:rsidR="00DD60BC" w:rsidRPr="002A59CE">
        <w:t xml:space="preserve">that in practice </w:t>
      </w:r>
      <w:r w:rsidR="00770F62" w:rsidRPr="002A59CE">
        <w:t xml:space="preserve">the type of surgery </w:t>
      </w:r>
      <w:r w:rsidR="009A203A" w:rsidRPr="002A59CE">
        <w:t xml:space="preserve">performed </w:t>
      </w:r>
      <w:r w:rsidR="00770F62" w:rsidRPr="002A59CE">
        <w:t xml:space="preserve">would </w:t>
      </w:r>
      <w:r w:rsidR="00BD19E6" w:rsidRPr="002A59CE">
        <w:t xml:space="preserve">also </w:t>
      </w:r>
      <w:r w:rsidR="009B711C" w:rsidRPr="002A59CE">
        <w:t>depend on</w:t>
      </w:r>
      <w:r w:rsidR="00770F62" w:rsidRPr="002A59CE">
        <w:t xml:space="preserve"> </w:t>
      </w:r>
      <w:r w:rsidR="00BD19E6" w:rsidRPr="002A59CE">
        <w:t>clinical factors such as</w:t>
      </w:r>
      <w:r w:rsidR="00770F62" w:rsidRPr="002A59CE">
        <w:t xml:space="preserve"> where the fibroid was located</w:t>
      </w:r>
      <w:r w:rsidR="00626496" w:rsidRPr="002A59CE">
        <w:t xml:space="preserve"> on the uterus</w:t>
      </w:r>
      <w:r w:rsidR="00770F62" w:rsidRPr="002A59CE">
        <w:t xml:space="preserve">, </w:t>
      </w:r>
      <w:r w:rsidR="00DD60BC" w:rsidRPr="002A59CE">
        <w:t xml:space="preserve">clinician and patient preferences, and access/availability </w:t>
      </w:r>
      <w:r w:rsidR="00BD19E6" w:rsidRPr="002A59CE">
        <w:t xml:space="preserve">and </w:t>
      </w:r>
      <w:r w:rsidR="00770F62" w:rsidRPr="002A59CE">
        <w:t>this was no</w:t>
      </w:r>
      <w:r w:rsidR="009A203A" w:rsidRPr="002A59CE">
        <w:t xml:space="preserve">t </w:t>
      </w:r>
      <w:r w:rsidR="00BD19E6" w:rsidRPr="002A59CE">
        <w:t>explored</w:t>
      </w:r>
      <w:r w:rsidR="009A203A" w:rsidRPr="002A59CE">
        <w:t xml:space="preserve"> in the </w:t>
      </w:r>
      <w:r w:rsidR="006259D4">
        <w:t>re</w:t>
      </w:r>
      <w:r w:rsidR="009A203A" w:rsidRPr="002A59CE">
        <w:t>submission</w:t>
      </w:r>
      <w:r w:rsidR="00702343" w:rsidRPr="002A59CE">
        <w:t>.</w:t>
      </w:r>
      <w:r w:rsidR="005840AF">
        <w:t xml:space="preserve"> The ESC also noted that the proposed listing was for patients with factors which would make surgery ‘technically difficult’ and that in these circumstance</w:t>
      </w:r>
      <w:r w:rsidR="00952B48">
        <w:t>s</w:t>
      </w:r>
      <w:r w:rsidR="005840AF">
        <w:t xml:space="preserve"> </w:t>
      </w:r>
      <w:r w:rsidR="005840AF" w:rsidRPr="002A59CE">
        <w:rPr>
          <w:szCs w:val="22"/>
        </w:rPr>
        <w:t>it was considered unlikely that a single course of ulipristal would significantly impact the type of surgery received.</w:t>
      </w:r>
    </w:p>
    <w:p w:rsidR="00D85156" w:rsidRPr="002A59CE" w:rsidRDefault="00D85156" w:rsidP="002525BC">
      <w:pPr>
        <w:widowControl/>
        <w:contextualSpacing/>
      </w:pPr>
    </w:p>
    <w:p w:rsidR="002A0CC1" w:rsidRPr="00DE215B" w:rsidRDefault="00940046" w:rsidP="00E71E96">
      <w:pPr>
        <w:widowControl/>
        <w:numPr>
          <w:ilvl w:val="1"/>
          <w:numId w:val="3"/>
        </w:numPr>
        <w:contextualSpacing/>
      </w:pPr>
      <w:r w:rsidRPr="00DE215B">
        <w:t xml:space="preserve">Overall, </w:t>
      </w:r>
      <w:r w:rsidR="00314A01" w:rsidRPr="00DE215B">
        <w:t>the ESC</w:t>
      </w:r>
      <w:r w:rsidR="005840AF">
        <w:t xml:space="preserve"> and</w:t>
      </w:r>
      <w:r w:rsidR="00314A01" w:rsidRPr="00DE215B">
        <w:t xml:space="preserve"> </w:t>
      </w:r>
      <w:r w:rsidR="008F03E0" w:rsidRPr="00DE215B">
        <w:t xml:space="preserve">PBAC </w:t>
      </w:r>
      <w:r w:rsidR="00314A01" w:rsidRPr="00DE215B">
        <w:t xml:space="preserve">considered </w:t>
      </w:r>
      <w:r w:rsidRPr="00DE215B">
        <w:t>n</w:t>
      </w:r>
      <w:r w:rsidR="00B812A1" w:rsidRPr="00DE215B">
        <w:t xml:space="preserve">one of the </w:t>
      </w:r>
      <w:r w:rsidR="0031719C" w:rsidRPr="00DE215B">
        <w:t>evidence</w:t>
      </w:r>
      <w:r w:rsidR="00B812A1" w:rsidRPr="00DE215B">
        <w:t xml:space="preserve"> presented in the </w:t>
      </w:r>
      <w:r w:rsidR="007B08B0" w:rsidRPr="00DE215B">
        <w:t>resubmission</w:t>
      </w:r>
      <w:r w:rsidR="00B812A1" w:rsidRPr="00DE215B">
        <w:t xml:space="preserve"> </w:t>
      </w:r>
      <w:r w:rsidR="00D868DC" w:rsidRPr="00DE215B">
        <w:t>was</w:t>
      </w:r>
      <w:r w:rsidR="00280AFF" w:rsidRPr="00DE215B">
        <w:t xml:space="preserve"> sufficient to determine treatment-related differences in surgical outcomes, including the potential </w:t>
      </w:r>
      <w:r w:rsidRPr="00DE215B">
        <w:t xml:space="preserve">of ulipristal </w:t>
      </w:r>
      <w:r w:rsidR="001068E8" w:rsidRPr="00DE215B">
        <w:t xml:space="preserve">given pre-operatively </w:t>
      </w:r>
      <w:r w:rsidRPr="00DE215B">
        <w:t xml:space="preserve">for 3 months </w:t>
      </w:r>
      <w:r w:rsidR="00280AFF" w:rsidRPr="00DE215B">
        <w:t xml:space="preserve">to allow </w:t>
      </w:r>
      <w:r w:rsidRPr="00DE215B">
        <w:t xml:space="preserve">for the provision of </w:t>
      </w:r>
      <w:r w:rsidR="00280AFF" w:rsidRPr="00DE215B">
        <w:t>less invasive surgical procedures.</w:t>
      </w:r>
      <w:r w:rsidR="0062630F" w:rsidRPr="00DE215B">
        <w:t xml:space="preserve"> Nevertheless, the rates of surgical interventions completed in each treatment group from PEARL I formed the basis for the rates of surgical interventions for ulipristal and placebo in the economic evaluation. </w:t>
      </w:r>
      <w:r w:rsidR="00BD19E6" w:rsidRPr="00DE215B">
        <w:t xml:space="preserve">The ESC noted </w:t>
      </w:r>
      <w:r w:rsidR="0034677B" w:rsidRPr="00DE215B">
        <w:t xml:space="preserve">that </w:t>
      </w:r>
      <w:r w:rsidR="00BD19E6" w:rsidRPr="00DE215B">
        <w:t>to understand the clinical significance of the reductions in uterine volume observed with ulipristal, information regarding duration of procedures, complication rates, patient satisfaction with the outcome and costs wo</w:t>
      </w:r>
      <w:r w:rsidR="00350C8D">
        <w:t>uld be required, however, this information</w:t>
      </w:r>
      <w:r w:rsidR="00BD19E6" w:rsidRPr="00DE215B">
        <w:t xml:space="preserve"> is not available. </w:t>
      </w:r>
      <w:r w:rsidR="00702343" w:rsidRPr="00DE215B">
        <w:t>Consequently, t</w:t>
      </w:r>
      <w:r w:rsidR="00407660" w:rsidRPr="00DE215B">
        <w:t xml:space="preserve">he </w:t>
      </w:r>
      <w:r w:rsidR="00E40F03" w:rsidRPr="00DE215B">
        <w:t xml:space="preserve">PBAC agreed with the </w:t>
      </w:r>
      <w:r w:rsidR="00407660" w:rsidRPr="00DE215B">
        <w:t>ESC that u</w:t>
      </w:r>
      <w:r w:rsidR="00434113" w:rsidRPr="00DE215B">
        <w:t>lipristal’s clinical benefit may be</w:t>
      </w:r>
      <w:r w:rsidR="00350C8D">
        <w:t xml:space="preserve"> related to</w:t>
      </w:r>
      <w:r w:rsidR="00434113" w:rsidRPr="00DE215B">
        <w:t xml:space="preserve"> improving quality of life while waiting for surgery, rather than affecting the </w:t>
      </w:r>
      <w:r w:rsidR="00163AFA" w:rsidRPr="00DE215B">
        <w:t xml:space="preserve">rate </w:t>
      </w:r>
      <w:r w:rsidR="00702343" w:rsidRPr="00DE215B">
        <w:t xml:space="preserve">or type </w:t>
      </w:r>
      <w:r w:rsidR="00163AFA" w:rsidRPr="00DE215B">
        <w:t>of surgeries performed</w:t>
      </w:r>
      <w:r w:rsidR="00434113" w:rsidRPr="00DE215B">
        <w:t>.</w:t>
      </w:r>
    </w:p>
    <w:p w:rsidR="006C1F8E" w:rsidRPr="002A59CE" w:rsidRDefault="006C1F8E" w:rsidP="006C1F8E">
      <w:pPr>
        <w:widowControl/>
        <w:ind w:left="720"/>
        <w:contextualSpacing/>
      </w:pPr>
    </w:p>
    <w:p w:rsidR="006C1F8E" w:rsidRPr="000F1E7A" w:rsidRDefault="000F1E7A" w:rsidP="00FE36DA">
      <w:pPr>
        <w:widowControl/>
        <w:numPr>
          <w:ilvl w:val="1"/>
          <w:numId w:val="3"/>
        </w:numPr>
        <w:tabs>
          <w:tab w:val="left" w:pos="5670"/>
        </w:tabs>
        <w:contextualSpacing/>
      </w:pPr>
      <w:r w:rsidRPr="000F1E7A">
        <w:t xml:space="preserve">The pre-PBAC response </w:t>
      </w:r>
      <w:r w:rsidR="005840AF">
        <w:t>acknowledged</w:t>
      </w:r>
      <w:r w:rsidRPr="000F1E7A">
        <w:t xml:space="preserve"> the limitations of the exploratory analysis</w:t>
      </w:r>
      <w:r w:rsidR="005840AF">
        <w:t xml:space="preserve"> of</w:t>
      </w:r>
      <w:r w:rsidRPr="000F1E7A">
        <w:t xml:space="preserve"> surgical endpoints in the PEARL-I study, however </w:t>
      </w:r>
      <w:r w:rsidR="005840AF">
        <w:t xml:space="preserve">noted that </w:t>
      </w:r>
      <w:r w:rsidRPr="000F1E7A">
        <w:t xml:space="preserve">these are the only comparative randomised trial data available for these outcomes. </w:t>
      </w:r>
      <w:r w:rsidR="00602D6A" w:rsidRPr="000F1E7A">
        <w:t>T</w:t>
      </w:r>
      <w:r w:rsidR="006C1F8E" w:rsidRPr="000F1E7A">
        <w:t xml:space="preserve">he PSCR </w:t>
      </w:r>
      <w:r w:rsidR="00602D6A" w:rsidRPr="000F1E7A">
        <w:t xml:space="preserve">re-iterates </w:t>
      </w:r>
      <w:r w:rsidR="006C1F8E" w:rsidRPr="000F1E7A">
        <w:t>the sponsor</w:t>
      </w:r>
      <w:r w:rsidR="00602D6A" w:rsidRPr="000F1E7A">
        <w:t>’s</w:t>
      </w:r>
      <w:r w:rsidR="006C1F8E" w:rsidRPr="000F1E7A">
        <w:t xml:space="preserve"> </w:t>
      </w:r>
      <w:r w:rsidR="00602D6A" w:rsidRPr="000F1E7A">
        <w:t>position that</w:t>
      </w:r>
      <w:r w:rsidR="006C1F8E" w:rsidRPr="000F1E7A">
        <w:t xml:space="preserve"> availability of a 3-month course of ulipristal is likely to shift the patterns of surgical intervention in real world clinical practice, resulting in increased use of less invasive, uterine sparing techniques in preference to abdominal hysterectomy, even if it is not possible to demonstrate this with any certainty, given available clinical data.</w:t>
      </w:r>
    </w:p>
    <w:p w:rsidR="005B77FD" w:rsidRPr="002A59CE" w:rsidRDefault="005B77FD" w:rsidP="00FE36DA">
      <w:pPr>
        <w:widowControl/>
        <w:tabs>
          <w:tab w:val="left" w:pos="5670"/>
        </w:tabs>
        <w:ind w:left="720"/>
        <w:contextualSpacing/>
      </w:pPr>
    </w:p>
    <w:p w:rsidR="005B77FD" w:rsidRPr="002A59CE" w:rsidRDefault="005B77FD" w:rsidP="005B77FD">
      <w:pPr>
        <w:widowControl/>
        <w:numPr>
          <w:ilvl w:val="1"/>
          <w:numId w:val="3"/>
        </w:numPr>
        <w:contextualSpacing/>
      </w:pPr>
      <w:r w:rsidRPr="002A59CE">
        <w:t xml:space="preserve">The ESC </w:t>
      </w:r>
      <w:r w:rsidR="00283DDB">
        <w:t xml:space="preserve">and </w:t>
      </w:r>
      <w:r w:rsidR="000F1E7A">
        <w:t xml:space="preserve">PBAC </w:t>
      </w:r>
      <w:r w:rsidRPr="002A59CE">
        <w:t>noted the increase in haemoglobin in both the placebo and ulipristal arms of PEARL I</w:t>
      </w:r>
      <w:r w:rsidR="000915E8" w:rsidRPr="002A59CE">
        <w:t>, with the increase being statistically significantly greater in the ulipristal arm</w:t>
      </w:r>
      <w:r w:rsidRPr="002A59CE">
        <w:t xml:space="preserve"> (Table 4)</w:t>
      </w:r>
      <w:r w:rsidR="000915E8" w:rsidRPr="002A59CE">
        <w:t>.</w:t>
      </w:r>
      <w:r w:rsidRPr="002A59CE">
        <w:t xml:space="preserve"> </w:t>
      </w:r>
      <w:r w:rsidR="00A45A35" w:rsidRPr="002A59CE">
        <w:t>The increase in haemoglobin is</w:t>
      </w:r>
      <w:r w:rsidR="000915E8" w:rsidRPr="002A59CE">
        <w:t xml:space="preserve"> likely to be at least in part due to</w:t>
      </w:r>
      <w:r w:rsidRPr="002A59CE">
        <w:t xml:space="preserve"> high compliance with high doses of iron tablets (80 mg of iron supplementation (256.3 mg of ferrous sulphate). The ESC considered this was unlikely to be reflective of clinical practice as women would unlikely be able to tolerate the</w:t>
      </w:r>
      <w:r w:rsidR="000915E8" w:rsidRPr="002A59CE">
        <w:t xml:space="preserve"> high</w:t>
      </w:r>
      <w:r w:rsidRPr="002A59CE">
        <w:t xml:space="preserve"> iron doses prescribed in the trial. The anaemia outcomes were not discussed in terms of relevance for the economic model.</w:t>
      </w:r>
    </w:p>
    <w:p w:rsidR="00D06FD4" w:rsidRPr="002A59CE" w:rsidRDefault="00D06FD4" w:rsidP="00D06FD4">
      <w:pPr>
        <w:rPr>
          <w:szCs w:val="22"/>
        </w:rPr>
      </w:pPr>
    </w:p>
    <w:p w:rsidR="00CF5B7B" w:rsidRPr="002A59CE" w:rsidRDefault="00CF5B7B" w:rsidP="00CF1650">
      <w:pPr>
        <w:widowControl/>
        <w:numPr>
          <w:ilvl w:val="1"/>
          <w:numId w:val="3"/>
        </w:numPr>
        <w:contextualSpacing/>
      </w:pPr>
      <w:r w:rsidRPr="002A59CE">
        <w:t xml:space="preserve">Results for the PEARL II trial </w:t>
      </w:r>
      <w:r w:rsidR="00283DDB">
        <w:t xml:space="preserve">which compared ulipristal and leuprorelin, </w:t>
      </w:r>
      <w:r w:rsidRPr="002A59CE">
        <w:t xml:space="preserve">were evaluated </w:t>
      </w:r>
      <w:r w:rsidR="00283DDB">
        <w:t>as part of the July 2016 submission. The results were not re-evaluated for the resubmission because</w:t>
      </w:r>
      <w:r w:rsidRPr="002A59CE">
        <w:t xml:space="preserve"> </w:t>
      </w:r>
      <w:r w:rsidR="006C23C8" w:rsidRPr="002A59CE">
        <w:t xml:space="preserve">no new information was provided and </w:t>
      </w:r>
      <w:r w:rsidRPr="002A59CE">
        <w:t>the trial did not compare ulipristal to placebo</w:t>
      </w:r>
      <w:r w:rsidR="00702343" w:rsidRPr="002A59CE">
        <w:t xml:space="preserve"> (a brief summary</w:t>
      </w:r>
      <w:r w:rsidR="00283DDB">
        <w:t xml:space="preserve"> of the results</w:t>
      </w:r>
      <w:r w:rsidR="00702343" w:rsidRPr="002A59CE">
        <w:t xml:space="preserve"> is provided in Table 1 above)</w:t>
      </w:r>
      <w:r w:rsidRPr="002A59CE">
        <w:t>.</w:t>
      </w:r>
    </w:p>
    <w:p w:rsidR="00CF5B7B" w:rsidRPr="002A59CE" w:rsidRDefault="00CF5B7B" w:rsidP="00CF5B7B">
      <w:pPr>
        <w:widowControl/>
        <w:contextualSpacing/>
      </w:pPr>
    </w:p>
    <w:p w:rsidR="00CF5B7B" w:rsidRPr="002A59CE" w:rsidRDefault="00CF5B7B" w:rsidP="00CF1650">
      <w:pPr>
        <w:widowControl/>
        <w:numPr>
          <w:ilvl w:val="1"/>
          <w:numId w:val="3"/>
        </w:numPr>
        <w:contextualSpacing/>
      </w:pPr>
      <w:r w:rsidRPr="002A59CE">
        <w:t>Results of the real</w:t>
      </w:r>
      <w:r w:rsidR="006F7265" w:rsidRPr="002A59CE">
        <w:t>-</w:t>
      </w:r>
      <w:r w:rsidRPr="002A59CE">
        <w:t xml:space="preserve">world non-comparative PREMYA study were not considered to provide any </w:t>
      </w:r>
      <w:r w:rsidR="00283DDB">
        <w:t xml:space="preserve">relevant </w:t>
      </w:r>
      <w:r w:rsidRPr="002A59CE">
        <w:t xml:space="preserve">information </w:t>
      </w:r>
      <w:r w:rsidR="00283DDB">
        <w:t>for the resubmission</w:t>
      </w:r>
      <w:r w:rsidR="00E71F3D" w:rsidRPr="002A59CE">
        <w:t xml:space="preserve"> </w:t>
      </w:r>
      <w:r w:rsidR="00167F3D" w:rsidRPr="002A59CE">
        <w:t xml:space="preserve">as patients enrolled in the study were not required to be planning surgery and </w:t>
      </w:r>
      <w:r w:rsidR="00E71F3D" w:rsidRPr="002A59CE">
        <w:t xml:space="preserve">the duration of treatment </w:t>
      </w:r>
      <w:r w:rsidR="00167F3D" w:rsidRPr="002A59CE">
        <w:t xml:space="preserve">with ulipristal </w:t>
      </w:r>
      <w:r w:rsidR="00E71F3D" w:rsidRPr="002A59CE">
        <w:t>was not limited to 3 months.</w:t>
      </w:r>
    </w:p>
    <w:p w:rsidR="003445F5" w:rsidRDefault="003445F5" w:rsidP="002A0CC1">
      <w:pPr>
        <w:rPr>
          <w:i/>
        </w:rPr>
      </w:pPr>
    </w:p>
    <w:p w:rsidR="00B60939" w:rsidRPr="00497F10" w:rsidRDefault="00B60939" w:rsidP="00497F10">
      <w:pPr>
        <w:pStyle w:val="Heading2"/>
        <w:rPr>
          <w:i/>
        </w:rPr>
      </w:pPr>
      <w:bookmarkStart w:id="12" w:name="_Toc472349031"/>
      <w:r w:rsidRPr="00497F10">
        <w:rPr>
          <w:i/>
        </w:rPr>
        <w:t>Comparative harms</w:t>
      </w:r>
      <w:bookmarkEnd w:id="12"/>
    </w:p>
    <w:p w:rsidR="00B60939" w:rsidRPr="00882085" w:rsidRDefault="00B60939" w:rsidP="00B60939">
      <w:pPr>
        <w:ind w:left="720" w:hanging="720"/>
        <w:rPr>
          <w:szCs w:val="22"/>
        </w:rPr>
      </w:pPr>
    </w:p>
    <w:p w:rsidR="00280AFF" w:rsidRPr="00280AFF" w:rsidRDefault="00280AFF" w:rsidP="00CF1650">
      <w:pPr>
        <w:widowControl/>
        <w:numPr>
          <w:ilvl w:val="1"/>
          <w:numId w:val="3"/>
        </w:numPr>
        <w:contextualSpacing/>
        <w:rPr>
          <w:szCs w:val="22"/>
        </w:rPr>
      </w:pPr>
      <w:r w:rsidRPr="00280AFF">
        <w:rPr>
          <w:szCs w:val="22"/>
        </w:rPr>
        <w:t xml:space="preserve">The key adverse events (AEs) in PEARL I are summarised </w:t>
      </w:r>
      <w:r w:rsidR="00B52F43">
        <w:rPr>
          <w:szCs w:val="22"/>
        </w:rPr>
        <w:t xml:space="preserve">in Table </w:t>
      </w:r>
      <w:r w:rsidR="00D5321D">
        <w:rPr>
          <w:szCs w:val="22"/>
        </w:rPr>
        <w:t>5</w:t>
      </w:r>
      <w:r w:rsidRPr="00280AFF">
        <w:rPr>
          <w:szCs w:val="22"/>
        </w:rPr>
        <w:t xml:space="preserve">. </w:t>
      </w:r>
      <w:r w:rsidRPr="00280AFF">
        <w:t xml:space="preserve">The most frequent treatment-emergent AEs (TEAEs) in the ulipristal treatment arm were headache, and gastrointestinal AEs. </w:t>
      </w:r>
      <w:r w:rsidR="00B52F43">
        <w:t xml:space="preserve"> </w:t>
      </w:r>
      <w:r w:rsidRPr="00280AFF">
        <w:t>Hot flushes were reported in 2.1% and 0% of patients in the ulipristal 5 mg and placebo groups respectively.</w:t>
      </w:r>
    </w:p>
    <w:p w:rsidR="00280AFF" w:rsidRPr="00280AFF" w:rsidRDefault="00280AFF" w:rsidP="00280AFF">
      <w:pPr>
        <w:widowControl/>
        <w:jc w:val="left"/>
        <w:rPr>
          <w:rFonts w:ascii="Arial Narrow" w:hAnsi="Arial Narrow"/>
          <w:b/>
          <w:sz w:val="20"/>
        </w:rPr>
      </w:pPr>
    </w:p>
    <w:p w:rsidR="00280AFF" w:rsidRPr="00280AFF" w:rsidRDefault="00280AFF" w:rsidP="008630BF">
      <w:pPr>
        <w:keepNext/>
        <w:keepLines/>
        <w:ind w:firstLine="720"/>
        <w:rPr>
          <w:rFonts w:ascii="Arial Narrow" w:hAnsi="Arial Narrow"/>
          <w:b/>
          <w:sz w:val="20"/>
        </w:rPr>
      </w:pPr>
      <w:r w:rsidRPr="00280AFF">
        <w:rPr>
          <w:rFonts w:ascii="Arial Narrow" w:hAnsi="Arial Narrow"/>
          <w:b/>
          <w:sz w:val="20"/>
        </w:rPr>
        <w:t xml:space="preserve">Table </w:t>
      </w:r>
      <w:r w:rsidR="00D5321D">
        <w:rPr>
          <w:rFonts w:ascii="Arial Narrow" w:hAnsi="Arial Narrow"/>
          <w:b/>
          <w:sz w:val="20"/>
        </w:rPr>
        <w:t>5</w:t>
      </w:r>
      <w:r w:rsidRPr="00280AFF">
        <w:rPr>
          <w:rFonts w:ascii="Arial Narrow" w:hAnsi="Arial Narrow"/>
          <w:b/>
          <w:sz w:val="20"/>
        </w:rPr>
        <w:t xml:space="preserve">: Summary of adverse events in the PEARL I (ulipristal versus placebo) </w:t>
      </w:r>
    </w:p>
    <w:tbl>
      <w:tblPr>
        <w:tblW w:w="463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64"/>
        <w:gridCol w:w="1549"/>
        <w:gridCol w:w="1570"/>
        <w:gridCol w:w="2142"/>
      </w:tblGrid>
      <w:tr w:rsidR="00280AFF" w:rsidRPr="00280AFF" w:rsidTr="00280AFF">
        <w:tc>
          <w:tcPr>
            <w:tcW w:w="1878" w:type="pct"/>
            <w:vAlign w:val="center"/>
          </w:tcPr>
          <w:p w:rsidR="00280AFF" w:rsidRPr="00280AFF" w:rsidRDefault="00280AFF" w:rsidP="008630BF">
            <w:pPr>
              <w:keepNext/>
              <w:keepLines/>
              <w:tabs>
                <w:tab w:val="left" w:pos="818"/>
              </w:tabs>
              <w:jc w:val="left"/>
              <w:rPr>
                <w:rFonts w:ascii="Arial Narrow" w:hAnsi="Arial Narrow"/>
                <w:sz w:val="20"/>
              </w:rPr>
            </w:pPr>
            <w:r w:rsidRPr="00280AFF">
              <w:rPr>
                <w:rFonts w:ascii="Arial Narrow" w:hAnsi="Arial Narrow"/>
                <w:b/>
                <w:sz w:val="20"/>
              </w:rPr>
              <w:t>PEARL I</w:t>
            </w:r>
          </w:p>
        </w:tc>
        <w:tc>
          <w:tcPr>
            <w:tcW w:w="919" w:type="pct"/>
            <w:vAlign w:val="center"/>
          </w:tcPr>
          <w:p w:rsidR="00280AFF" w:rsidRPr="00280AFF" w:rsidRDefault="00280AFF" w:rsidP="008630BF">
            <w:pPr>
              <w:keepNext/>
              <w:keepLines/>
              <w:jc w:val="center"/>
              <w:rPr>
                <w:rFonts w:ascii="Arial Narrow" w:hAnsi="Arial Narrow"/>
                <w:b/>
                <w:sz w:val="20"/>
              </w:rPr>
            </w:pPr>
            <w:r w:rsidRPr="00280AFF">
              <w:rPr>
                <w:rFonts w:ascii="Arial Narrow" w:hAnsi="Arial Narrow"/>
                <w:b/>
                <w:sz w:val="20"/>
              </w:rPr>
              <w:t>Ulipristal 5 mg</w:t>
            </w:r>
          </w:p>
          <w:p w:rsidR="00280AFF" w:rsidRPr="00280AFF" w:rsidRDefault="00280AFF" w:rsidP="008630BF">
            <w:pPr>
              <w:keepNext/>
              <w:keepLines/>
              <w:jc w:val="center"/>
              <w:rPr>
                <w:rFonts w:ascii="Arial Narrow" w:hAnsi="Arial Narrow"/>
                <w:b/>
                <w:sz w:val="20"/>
              </w:rPr>
            </w:pPr>
            <w:r w:rsidRPr="00280AFF">
              <w:rPr>
                <w:rFonts w:ascii="Arial Narrow" w:hAnsi="Arial Narrow"/>
                <w:b/>
                <w:sz w:val="20"/>
              </w:rPr>
              <w:t>n (%)</w:t>
            </w:r>
          </w:p>
          <w:p w:rsidR="00280AFF" w:rsidRPr="00280AFF" w:rsidRDefault="00280AFF" w:rsidP="008630BF">
            <w:pPr>
              <w:keepNext/>
              <w:keepLines/>
              <w:jc w:val="center"/>
              <w:rPr>
                <w:rFonts w:ascii="Arial Narrow" w:hAnsi="Arial Narrow"/>
                <w:sz w:val="20"/>
              </w:rPr>
            </w:pPr>
            <w:r w:rsidRPr="00280AFF">
              <w:rPr>
                <w:rFonts w:ascii="Arial Narrow" w:hAnsi="Arial Narrow"/>
                <w:b/>
                <w:sz w:val="20"/>
              </w:rPr>
              <w:t>N=95</w:t>
            </w:r>
          </w:p>
        </w:tc>
        <w:tc>
          <w:tcPr>
            <w:tcW w:w="932" w:type="pct"/>
            <w:vAlign w:val="center"/>
          </w:tcPr>
          <w:p w:rsidR="00280AFF" w:rsidRPr="00280AFF" w:rsidRDefault="00280AFF" w:rsidP="008630BF">
            <w:pPr>
              <w:keepNext/>
              <w:keepLines/>
              <w:jc w:val="center"/>
              <w:rPr>
                <w:rFonts w:ascii="Arial Narrow" w:hAnsi="Arial Narrow"/>
                <w:b/>
                <w:sz w:val="20"/>
              </w:rPr>
            </w:pPr>
            <w:r w:rsidRPr="00280AFF">
              <w:rPr>
                <w:rFonts w:ascii="Arial Narrow" w:hAnsi="Arial Narrow"/>
                <w:b/>
                <w:sz w:val="20"/>
              </w:rPr>
              <w:t>Placebo</w:t>
            </w:r>
          </w:p>
          <w:p w:rsidR="00280AFF" w:rsidRPr="00280AFF" w:rsidRDefault="00280AFF" w:rsidP="008630BF">
            <w:pPr>
              <w:keepNext/>
              <w:keepLines/>
              <w:jc w:val="center"/>
              <w:rPr>
                <w:rFonts w:ascii="Arial Narrow" w:hAnsi="Arial Narrow"/>
                <w:b/>
                <w:sz w:val="20"/>
              </w:rPr>
            </w:pPr>
            <w:r w:rsidRPr="00280AFF">
              <w:rPr>
                <w:rFonts w:ascii="Arial Narrow" w:hAnsi="Arial Narrow"/>
                <w:b/>
                <w:sz w:val="20"/>
              </w:rPr>
              <w:t>n (%)</w:t>
            </w:r>
          </w:p>
          <w:p w:rsidR="00280AFF" w:rsidRPr="00280AFF" w:rsidRDefault="00280AFF" w:rsidP="008630BF">
            <w:pPr>
              <w:keepNext/>
              <w:keepLines/>
              <w:jc w:val="center"/>
              <w:rPr>
                <w:rFonts w:ascii="Arial Narrow" w:hAnsi="Arial Narrow"/>
                <w:sz w:val="20"/>
              </w:rPr>
            </w:pPr>
            <w:r w:rsidRPr="00280AFF">
              <w:rPr>
                <w:rFonts w:ascii="Arial Narrow" w:hAnsi="Arial Narrow"/>
                <w:b/>
                <w:sz w:val="20"/>
              </w:rPr>
              <w:t>N=48</w:t>
            </w:r>
          </w:p>
        </w:tc>
        <w:tc>
          <w:tcPr>
            <w:tcW w:w="1271" w:type="pct"/>
          </w:tcPr>
          <w:p w:rsidR="00280AFF" w:rsidRPr="00280AFF" w:rsidRDefault="00280AFF" w:rsidP="008630BF">
            <w:pPr>
              <w:keepNext/>
              <w:keepLines/>
              <w:jc w:val="center"/>
              <w:rPr>
                <w:rFonts w:ascii="Arial Narrow" w:hAnsi="Arial Narrow"/>
                <w:b/>
                <w:sz w:val="20"/>
              </w:rPr>
            </w:pPr>
            <w:r w:rsidRPr="00280AFF">
              <w:rPr>
                <w:rFonts w:ascii="Arial Narrow" w:hAnsi="Arial Narrow"/>
                <w:b/>
                <w:sz w:val="20"/>
              </w:rPr>
              <w:t>Absolute difference</w:t>
            </w:r>
            <w:r w:rsidR="00956CC7">
              <w:rPr>
                <w:rFonts w:ascii="Arial Narrow" w:hAnsi="Arial Narrow"/>
                <w:b/>
                <w:sz w:val="20"/>
              </w:rPr>
              <w:t>^</w:t>
            </w:r>
          </w:p>
          <w:p w:rsidR="00280AFF" w:rsidRPr="00280AFF" w:rsidRDefault="00280AFF" w:rsidP="00956CC7">
            <w:pPr>
              <w:keepNext/>
              <w:keepLines/>
              <w:jc w:val="center"/>
              <w:rPr>
                <w:rFonts w:ascii="Arial Narrow" w:hAnsi="Arial Narrow"/>
                <w:b/>
                <w:sz w:val="20"/>
              </w:rPr>
            </w:pPr>
            <w:r w:rsidRPr="00280AFF">
              <w:rPr>
                <w:rFonts w:ascii="Arial Narrow" w:hAnsi="Arial Narrow"/>
                <w:b/>
                <w:sz w:val="20"/>
              </w:rPr>
              <w:t>(95% CI)</w:t>
            </w:r>
          </w:p>
        </w:tc>
      </w:tr>
      <w:tr w:rsidR="00280AFF" w:rsidRPr="00280AFF" w:rsidTr="00280AFF">
        <w:tc>
          <w:tcPr>
            <w:tcW w:w="1878" w:type="pct"/>
            <w:tcBorders>
              <w:bottom w:val="single" w:sz="4" w:space="0" w:color="auto"/>
            </w:tcBorders>
            <w:vAlign w:val="center"/>
          </w:tcPr>
          <w:p w:rsidR="00280AFF" w:rsidRPr="00280AFF" w:rsidRDefault="00280AFF" w:rsidP="008630BF">
            <w:pPr>
              <w:keepNext/>
              <w:keepLines/>
              <w:tabs>
                <w:tab w:val="left" w:pos="960"/>
              </w:tabs>
              <w:jc w:val="left"/>
              <w:rPr>
                <w:rFonts w:ascii="Arial Narrow" w:hAnsi="Arial Narrow"/>
                <w:sz w:val="20"/>
              </w:rPr>
            </w:pPr>
            <w:r w:rsidRPr="00280AFF">
              <w:rPr>
                <w:rFonts w:ascii="Arial Narrow" w:hAnsi="Arial Narrow"/>
                <w:sz w:val="20"/>
              </w:rPr>
              <w:t>At least 1 AE</w:t>
            </w:r>
          </w:p>
          <w:p w:rsidR="00280AFF" w:rsidRPr="00280AFF" w:rsidRDefault="00280AFF" w:rsidP="008630BF">
            <w:pPr>
              <w:keepNext/>
              <w:keepLines/>
              <w:tabs>
                <w:tab w:val="left" w:pos="960"/>
              </w:tabs>
              <w:jc w:val="left"/>
              <w:rPr>
                <w:rFonts w:ascii="Arial Narrow" w:hAnsi="Arial Narrow"/>
                <w:sz w:val="20"/>
              </w:rPr>
            </w:pPr>
            <w:r w:rsidRPr="00280AFF">
              <w:rPr>
                <w:rFonts w:ascii="Arial Narrow" w:hAnsi="Arial Narrow"/>
                <w:sz w:val="20"/>
              </w:rPr>
              <w:t>At least 1 TEAE</w:t>
            </w:r>
          </w:p>
          <w:p w:rsidR="00280AFF" w:rsidRPr="00280AFF" w:rsidRDefault="00280AFF" w:rsidP="008630BF">
            <w:pPr>
              <w:keepNext/>
              <w:keepLines/>
              <w:tabs>
                <w:tab w:val="left" w:pos="960"/>
              </w:tabs>
              <w:jc w:val="left"/>
              <w:rPr>
                <w:rFonts w:ascii="Arial Narrow" w:hAnsi="Arial Narrow"/>
                <w:sz w:val="20"/>
              </w:rPr>
            </w:pPr>
            <w:r w:rsidRPr="00280AFF">
              <w:rPr>
                <w:rFonts w:ascii="Arial Narrow" w:hAnsi="Arial Narrow"/>
                <w:sz w:val="20"/>
              </w:rPr>
              <w:t>Drug-related TEAE</w:t>
            </w:r>
          </w:p>
          <w:p w:rsidR="00280AFF" w:rsidRPr="00280AFF" w:rsidRDefault="00280AFF" w:rsidP="008630BF">
            <w:pPr>
              <w:keepNext/>
              <w:keepLines/>
              <w:tabs>
                <w:tab w:val="left" w:pos="960"/>
              </w:tabs>
              <w:jc w:val="left"/>
              <w:rPr>
                <w:rFonts w:ascii="Arial Narrow" w:hAnsi="Arial Narrow"/>
                <w:sz w:val="20"/>
              </w:rPr>
            </w:pPr>
            <w:r w:rsidRPr="00280AFF">
              <w:rPr>
                <w:rFonts w:ascii="Arial Narrow" w:hAnsi="Arial Narrow"/>
                <w:sz w:val="20"/>
              </w:rPr>
              <w:t>At least 1 Serious TEAE</w:t>
            </w:r>
          </w:p>
          <w:p w:rsidR="00280AFF" w:rsidRPr="00280AFF" w:rsidRDefault="00280AFF" w:rsidP="008630BF">
            <w:pPr>
              <w:keepNext/>
              <w:keepLines/>
              <w:tabs>
                <w:tab w:val="left" w:pos="960"/>
              </w:tabs>
              <w:jc w:val="left"/>
              <w:rPr>
                <w:rFonts w:ascii="Arial Narrow" w:hAnsi="Arial Narrow"/>
                <w:sz w:val="20"/>
              </w:rPr>
            </w:pPr>
            <w:r w:rsidRPr="00280AFF">
              <w:rPr>
                <w:rFonts w:ascii="Arial Narrow" w:hAnsi="Arial Narrow"/>
                <w:sz w:val="20"/>
              </w:rPr>
              <w:t>TEAE leading to discontinuation</w:t>
            </w:r>
          </w:p>
          <w:p w:rsidR="00280AFF" w:rsidRPr="00280AFF" w:rsidRDefault="00280AFF" w:rsidP="008630BF">
            <w:pPr>
              <w:keepNext/>
              <w:keepLines/>
              <w:tabs>
                <w:tab w:val="left" w:pos="960"/>
              </w:tabs>
              <w:jc w:val="left"/>
              <w:rPr>
                <w:rFonts w:ascii="Arial Narrow" w:hAnsi="Arial Narrow"/>
                <w:sz w:val="20"/>
              </w:rPr>
            </w:pPr>
            <w:r w:rsidRPr="00280AFF">
              <w:rPr>
                <w:rFonts w:ascii="Arial Narrow" w:hAnsi="Arial Narrow"/>
                <w:sz w:val="20"/>
              </w:rPr>
              <w:t>TEAE leading to study withdrawal</w:t>
            </w:r>
          </w:p>
          <w:p w:rsidR="00280AFF" w:rsidRPr="00280AFF" w:rsidRDefault="00280AFF" w:rsidP="008630BF">
            <w:pPr>
              <w:keepNext/>
              <w:keepLines/>
              <w:tabs>
                <w:tab w:val="left" w:pos="109"/>
              </w:tabs>
              <w:jc w:val="left"/>
              <w:rPr>
                <w:rFonts w:ascii="Arial Narrow" w:hAnsi="Arial Narrow"/>
                <w:sz w:val="20"/>
              </w:rPr>
            </w:pPr>
            <w:r w:rsidRPr="00280AFF">
              <w:rPr>
                <w:rFonts w:ascii="Arial Narrow" w:hAnsi="Arial Narrow"/>
                <w:sz w:val="20"/>
              </w:rPr>
              <w:t>Serious TEAE in follow-up (Week 17-38)</w:t>
            </w:r>
          </w:p>
        </w:tc>
        <w:tc>
          <w:tcPr>
            <w:tcW w:w="919" w:type="pct"/>
            <w:tcBorders>
              <w:bottom w:val="single" w:sz="4" w:space="0" w:color="auto"/>
            </w:tcBorders>
          </w:tcPr>
          <w:p w:rsidR="00280AFF" w:rsidRPr="00280AFF" w:rsidRDefault="00280AFF" w:rsidP="008630BF">
            <w:pPr>
              <w:keepNext/>
              <w:keepLines/>
              <w:jc w:val="center"/>
              <w:rPr>
                <w:rFonts w:ascii="Arial Narrow" w:hAnsi="Arial Narrow"/>
                <w:sz w:val="20"/>
              </w:rPr>
            </w:pPr>
            <w:r w:rsidRPr="00280AFF">
              <w:rPr>
                <w:rFonts w:ascii="Arial Narrow" w:hAnsi="Arial Narrow"/>
                <w:sz w:val="20"/>
              </w:rPr>
              <w:t>48 (50.5%)</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47 (49.5%)</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18 (18.9%)</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2 (2.1%)</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1 (1.1%)</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0</w:t>
            </w:r>
          </w:p>
          <w:p w:rsidR="00280AFF" w:rsidRPr="00280AFF" w:rsidRDefault="00280AFF" w:rsidP="008630BF">
            <w:pPr>
              <w:keepNext/>
              <w:keepLines/>
              <w:jc w:val="center"/>
              <w:rPr>
                <w:rFonts w:ascii="Arial Narrow" w:hAnsi="Arial Narrow"/>
                <w:sz w:val="20"/>
                <w:vertAlign w:val="superscript"/>
              </w:rPr>
            </w:pPr>
            <w:r w:rsidRPr="00280AFF">
              <w:rPr>
                <w:rFonts w:ascii="Arial Narrow" w:hAnsi="Arial Narrow"/>
                <w:sz w:val="20"/>
              </w:rPr>
              <w:t>0</w:t>
            </w:r>
          </w:p>
        </w:tc>
        <w:tc>
          <w:tcPr>
            <w:tcW w:w="932" w:type="pct"/>
            <w:tcBorders>
              <w:bottom w:val="single" w:sz="4" w:space="0" w:color="auto"/>
            </w:tcBorders>
          </w:tcPr>
          <w:p w:rsidR="00280AFF" w:rsidRPr="00280AFF" w:rsidRDefault="00280AFF" w:rsidP="008630BF">
            <w:pPr>
              <w:keepNext/>
              <w:keepLines/>
              <w:jc w:val="center"/>
              <w:rPr>
                <w:rFonts w:ascii="Arial Narrow" w:hAnsi="Arial Narrow"/>
                <w:sz w:val="20"/>
              </w:rPr>
            </w:pPr>
            <w:r w:rsidRPr="00280AFF">
              <w:rPr>
                <w:rFonts w:ascii="Arial Narrow" w:hAnsi="Arial Narrow"/>
                <w:sz w:val="20"/>
              </w:rPr>
              <w:t>24 (50.0%)</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22 (45.8%)</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4 (8.3%)</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2 (4.2%)</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1 (2.1%)</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0</w:t>
            </w:r>
          </w:p>
          <w:p w:rsidR="00280AFF" w:rsidRPr="00280AFF" w:rsidRDefault="00280AFF" w:rsidP="008630BF">
            <w:pPr>
              <w:keepNext/>
              <w:keepLines/>
              <w:jc w:val="center"/>
              <w:rPr>
                <w:rFonts w:ascii="Arial Narrow" w:hAnsi="Arial Narrow"/>
                <w:sz w:val="20"/>
                <w:vertAlign w:val="superscript"/>
              </w:rPr>
            </w:pPr>
            <w:r w:rsidRPr="00280AFF">
              <w:rPr>
                <w:rFonts w:ascii="Arial Narrow" w:hAnsi="Arial Narrow"/>
                <w:sz w:val="20"/>
              </w:rPr>
              <w:t>1 (2.1%)</w:t>
            </w:r>
          </w:p>
        </w:tc>
        <w:tc>
          <w:tcPr>
            <w:tcW w:w="1271" w:type="pct"/>
            <w:tcBorders>
              <w:bottom w:val="single" w:sz="4" w:space="0" w:color="auto"/>
            </w:tcBorders>
          </w:tcPr>
          <w:p w:rsidR="00280AFF" w:rsidRPr="00430515" w:rsidRDefault="00280AFF" w:rsidP="008630BF">
            <w:pPr>
              <w:keepNext/>
              <w:keepLines/>
              <w:jc w:val="center"/>
              <w:rPr>
                <w:rFonts w:ascii="Arial Narrow" w:hAnsi="Arial Narrow"/>
                <w:sz w:val="20"/>
              </w:rPr>
            </w:pPr>
            <w:r w:rsidRPr="00430515">
              <w:rPr>
                <w:rFonts w:ascii="Arial Narrow" w:hAnsi="Arial Narrow"/>
                <w:sz w:val="20"/>
              </w:rPr>
              <w:t>0.5% (-16.8%, 17.9%)</w:t>
            </w:r>
          </w:p>
          <w:p w:rsidR="00280AFF" w:rsidRPr="00430515" w:rsidRDefault="00280AFF" w:rsidP="008630BF">
            <w:pPr>
              <w:keepNext/>
              <w:keepLines/>
              <w:jc w:val="center"/>
              <w:rPr>
                <w:rFonts w:ascii="Arial Narrow" w:hAnsi="Arial Narrow"/>
                <w:sz w:val="20"/>
              </w:rPr>
            </w:pPr>
            <w:r w:rsidRPr="00430515">
              <w:rPr>
                <w:rFonts w:ascii="Arial Narrow" w:hAnsi="Arial Narrow"/>
                <w:sz w:val="20"/>
              </w:rPr>
              <w:t>3.6% (-13.7%, 21.0%)</w:t>
            </w:r>
          </w:p>
          <w:p w:rsidR="00280AFF" w:rsidRPr="00430515" w:rsidRDefault="00280AFF" w:rsidP="008630BF">
            <w:pPr>
              <w:keepNext/>
              <w:keepLines/>
              <w:jc w:val="center"/>
              <w:rPr>
                <w:rFonts w:ascii="Arial Narrow" w:hAnsi="Arial Narrow"/>
                <w:sz w:val="20"/>
              </w:rPr>
            </w:pPr>
            <w:r w:rsidRPr="00430515">
              <w:rPr>
                <w:rFonts w:ascii="Arial Narrow" w:hAnsi="Arial Narrow"/>
                <w:sz w:val="20"/>
              </w:rPr>
              <w:t>10.6% (-0.5%, 21.7%)</w:t>
            </w:r>
          </w:p>
          <w:p w:rsidR="00280AFF" w:rsidRPr="00430515" w:rsidRDefault="00280AFF" w:rsidP="008630BF">
            <w:pPr>
              <w:keepNext/>
              <w:keepLines/>
              <w:jc w:val="center"/>
              <w:rPr>
                <w:rFonts w:ascii="Arial Narrow" w:hAnsi="Arial Narrow"/>
                <w:sz w:val="20"/>
              </w:rPr>
            </w:pPr>
            <w:r w:rsidRPr="00430515">
              <w:rPr>
                <w:rFonts w:ascii="Arial Narrow" w:hAnsi="Arial Narrow"/>
                <w:sz w:val="20"/>
              </w:rPr>
              <w:t>-2.1% (-8.4%, 4.3%)</w:t>
            </w:r>
          </w:p>
          <w:p w:rsidR="00280AFF" w:rsidRPr="00430515" w:rsidRDefault="00280AFF" w:rsidP="008630BF">
            <w:pPr>
              <w:keepNext/>
              <w:keepLines/>
              <w:jc w:val="center"/>
              <w:rPr>
                <w:rFonts w:ascii="Arial Narrow" w:hAnsi="Arial Narrow"/>
                <w:sz w:val="20"/>
              </w:rPr>
            </w:pPr>
            <w:r w:rsidRPr="00430515">
              <w:rPr>
                <w:rFonts w:ascii="Arial Narrow" w:hAnsi="Arial Narrow"/>
                <w:sz w:val="20"/>
              </w:rPr>
              <w:t>-1.0% (-5.6%, 3.5%)</w:t>
            </w:r>
          </w:p>
          <w:p w:rsidR="00280AFF" w:rsidRPr="00430515" w:rsidRDefault="00280AFF" w:rsidP="008630BF">
            <w:pPr>
              <w:keepNext/>
              <w:keepLines/>
              <w:jc w:val="center"/>
              <w:rPr>
                <w:rFonts w:ascii="Arial Narrow" w:hAnsi="Arial Narrow"/>
                <w:sz w:val="20"/>
              </w:rPr>
            </w:pPr>
            <w:r w:rsidRPr="00430515">
              <w:rPr>
                <w:rFonts w:ascii="Arial Narrow" w:hAnsi="Arial Narrow"/>
                <w:sz w:val="20"/>
              </w:rPr>
              <w:t>-</w:t>
            </w:r>
          </w:p>
          <w:p w:rsidR="00280AFF" w:rsidRPr="00280AFF" w:rsidRDefault="00280AFF" w:rsidP="008630BF">
            <w:pPr>
              <w:keepNext/>
              <w:keepLines/>
              <w:jc w:val="center"/>
              <w:rPr>
                <w:rFonts w:ascii="Arial Narrow" w:hAnsi="Arial Narrow"/>
                <w:i/>
                <w:sz w:val="20"/>
              </w:rPr>
            </w:pPr>
            <w:r w:rsidRPr="00430515">
              <w:rPr>
                <w:rFonts w:ascii="Arial Narrow" w:hAnsi="Arial Narrow"/>
                <w:sz w:val="20"/>
              </w:rPr>
              <w:t>-2.1% (-6.1%, 2.0%)</w:t>
            </w:r>
          </w:p>
        </w:tc>
      </w:tr>
      <w:tr w:rsidR="00280AFF" w:rsidRPr="00280AFF" w:rsidTr="00280AFF">
        <w:tc>
          <w:tcPr>
            <w:tcW w:w="5000" w:type="pct"/>
            <w:gridSpan w:val="4"/>
            <w:tcBorders>
              <w:bottom w:val="single" w:sz="4" w:space="0" w:color="auto"/>
            </w:tcBorders>
            <w:vAlign w:val="center"/>
          </w:tcPr>
          <w:p w:rsidR="00280AFF" w:rsidRPr="00280AFF" w:rsidRDefault="00280AFF" w:rsidP="008630BF">
            <w:pPr>
              <w:keepNext/>
              <w:keepLines/>
              <w:jc w:val="left"/>
              <w:rPr>
                <w:rFonts w:ascii="Arial Narrow" w:hAnsi="Arial Narrow"/>
                <w:sz w:val="20"/>
              </w:rPr>
            </w:pPr>
            <w:r w:rsidRPr="00280AFF">
              <w:rPr>
                <w:rFonts w:ascii="Arial Narrow" w:hAnsi="Arial Narrow"/>
                <w:sz w:val="20"/>
              </w:rPr>
              <w:t>TEAEs occurring in at least 3% of the patients in any group</w:t>
            </w:r>
          </w:p>
        </w:tc>
      </w:tr>
      <w:tr w:rsidR="00280AFF" w:rsidRPr="00280AFF" w:rsidTr="00280AFF">
        <w:tc>
          <w:tcPr>
            <w:tcW w:w="1878" w:type="pct"/>
            <w:tcBorders>
              <w:top w:val="single" w:sz="4" w:space="0" w:color="auto"/>
            </w:tcBorders>
            <w:vAlign w:val="center"/>
          </w:tcPr>
          <w:p w:rsidR="00280AFF" w:rsidRPr="00280AFF" w:rsidRDefault="00280AFF" w:rsidP="008630BF">
            <w:pPr>
              <w:keepNext/>
              <w:keepLines/>
              <w:ind w:left="109"/>
              <w:jc w:val="left"/>
              <w:rPr>
                <w:rFonts w:ascii="Arial Narrow" w:hAnsi="Arial Narrow"/>
                <w:sz w:val="20"/>
              </w:rPr>
            </w:pPr>
            <w:r w:rsidRPr="00280AFF">
              <w:rPr>
                <w:rFonts w:ascii="Arial Narrow" w:hAnsi="Arial Narrow"/>
                <w:sz w:val="20"/>
              </w:rPr>
              <w:t>Headache</w:t>
            </w:r>
          </w:p>
          <w:p w:rsidR="00280AFF" w:rsidRPr="00280AFF" w:rsidRDefault="00280AFF" w:rsidP="008630BF">
            <w:pPr>
              <w:keepNext/>
              <w:keepLines/>
              <w:ind w:left="109"/>
              <w:jc w:val="left"/>
              <w:rPr>
                <w:rFonts w:ascii="Arial Narrow" w:hAnsi="Arial Narrow"/>
                <w:sz w:val="20"/>
              </w:rPr>
            </w:pPr>
            <w:r w:rsidRPr="00280AFF">
              <w:rPr>
                <w:rFonts w:ascii="Arial Narrow" w:hAnsi="Arial Narrow"/>
                <w:sz w:val="20"/>
              </w:rPr>
              <w:t>Constipation</w:t>
            </w:r>
          </w:p>
          <w:p w:rsidR="00280AFF" w:rsidRPr="00280AFF" w:rsidRDefault="00280AFF" w:rsidP="008630BF">
            <w:pPr>
              <w:keepNext/>
              <w:keepLines/>
              <w:ind w:left="109"/>
              <w:jc w:val="left"/>
              <w:rPr>
                <w:rFonts w:ascii="Arial Narrow" w:hAnsi="Arial Narrow"/>
                <w:sz w:val="20"/>
              </w:rPr>
            </w:pPr>
            <w:r w:rsidRPr="00280AFF">
              <w:rPr>
                <w:rFonts w:ascii="Arial Narrow" w:hAnsi="Arial Narrow"/>
                <w:sz w:val="20"/>
              </w:rPr>
              <w:t>Pyrexia</w:t>
            </w:r>
          </w:p>
          <w:p w:rsidR="00280AFF" w:rsidRPr="00280AFF" w:rsidRDefault="00280AFF" w:rsidP="008630BF">
            <w:pPr>
              <w:keepNext/>
              <w:keepLines/>
              <w:ind w:left="109"/>
              <w:jc w:val="left"/>
              <w:rPr>
                <w:rFonts w:ascii="Arial Narrow" w:hAnsi="Arial Narrow"/>
                <w:sz w:val="20"/>
              </w:rPr>
            </w:pPr>
            <w:r w:rsidRPr="00280AFF">
              <w:rPr>
                <w:rFonts w:ascii="Arial Narrow" w:hAnsi="Arial Narrow"/>
                <w:sz w:val="20"/>
              </w:rPr>
              <w:t>Hypercholesterolaemia</w:t>
            </w:r>
          </w:p>
          <w:p w:rsidR="00280AFF" w:rsidRPr="00280AFF" w:rsidRDefault="00280AFF" w:rsidP="008630BF">
            <w:pPr>
              <w:keepNext/>
              <w:keepLines/>
              <w:ind w:left="109"/>
              <w:jc w:val="left"/>
              <w:rPr>
                <w:rFonts w:ascii="Arial Narrow" w:hAnsi="Arial Narrow"/>
                <w:sz w:val="20"/>
              </w:rPr>
            </w:pPr>
            <w:r w:rsidRPr="00280AFF">
              <w:rPr>
                <w:rFonts w:ascii="Arial Narrow" w:hAnsi="Arial Narrow"/>
                <w:sz w:val="20"/>
              </w:rPr>
              <w:t>Hypertriglyceridaemia</w:t>
            </w:r>
          </w:p>
          <w:p w:rsidR="00280AFF" w:rsidRPr="00280AFF" w:rsidRDefault="00280AFF" w:rsidP="008630BF">
            <w:pPr>
              <w:keepNext/>
              <w:keepLines/>
              <w:ind w:left="109"/>
              <w:jc w:val="left"/>
              <w:rPr>
                <w:rFonts w:ascii="Arial Narrow" w:hAnsi="Arial Narrow"/>
                <w:sz w:val="20"/>
              </w:rPr>
            </w:pPr>
            <w:r w:rsidRPr="00280AFF">
              <w:rPr>
                <w:rFonts w:ascii="Arial Narrow" w:hAnsi="Arial Narrow"/>
                <w:sz w:val="20"/>
              </w:rPr>
              <w:t>Nasopharyngitis</w:t>
            </w:r>
          </w:p>
          <w:p w:rsidR="00280AFF" w:rsidRPr="00280AFF" w:rsidRDefault="00280AFF" w:rsidP="008630BF">
            <w:pPr>
              <w:keepNext/>
              <w:keepLines/>
              <w:ind w:left="109"/>
              <w:jc w:val="left"/>
              <w:rPr>
                <w:rFonts w:ascii="Arial Narrow" w:hAnsi="Arial Narrow"/>
                <w:sz w:val="20"/>
              </w:rPr>
            </w:pPr>
            <w:r w:rsidRPr="00280AFF">
              <w:rPr>
                <w:rFonts w:ascii="Arial Narrow" w:hAnsi="Arial Narrow"/>
                <w:sz w:val="20"/>
              </w:rPr>
              <w:t>Breast pain or tenderness</w:t>
            </w:r>
          </w:p>
          <w:p w:rsidR="00280AFF" w:rsidRPr="00280AFF" w:rsidRDefault="00280AFF" w:rsidP="008630BF">
            <w:pPr>
              <w:keepNext/>
              <w:keepLines/>
              <w:ind w:left="109"/>
              <w:jc w:val="left"/>
              <w:rPr>
                <w:rFonts w:ascii="Arial Narrow" w:hAnsi="Arial Narrow"/>
                <w:sz w:val="20"/>
              </w:rPr>
            </w:pPr>
            <w:r w:rsidRPr="00280AFF">
              <w:rPr>
                <w:rFonts w:ascii="Arial Narrow" w:hAnsi="Arial Narrow"/>
                <w:sz w:val="20"/>
              </w:rPr>
              <w:t>Abdominal pain</w:t>
            </w:r>
          </w:p>
          <w:p w:rsidR="00280AFF" w:rsidRPr="00280AFF" w:rsidRDefault="00280AFF" w:rsidP="008630BF">
            <w:pPr>
              <w:keepNext/>
              <w:keepLines/>
              <w:ind w:left="109"/>
              <w:jc w:val="left"/>
              <w:rPr>
                <w:rFonts w:ascii="Arial Narrow" w:hAnsi="Arial Narrow"/>
                <w:sz w:val="20"/>
              </w:rPr>
            </w:pPr>
            <w:r w:rsidRPr="00280AFF">
              <w:rPr>
                <w:rFonts w:ascii="Arial Narrow" w:hAnsi="Arial Narrow"/>
                <w:sz w:val="20"/>
              </w:rPr>
              <w:t>Hypothyroidism</w:t>
            </w:r>
          </w:p>
          <w:p w:rsidR="00280AFF" w:rsidRPr="00280AFF" w:rsidRDefault="00280AFF" w:rsidP="008630BF">
            <w:pPr>
              <w:keepNext/>
              <w:keepLines/>
              <w:ind w:left="109"/>
              <w:jc w:val="left"/>
              <w:rPr>
                <w:rFonts w:ascii="Arial Narrow" w:hAnsi="Arial Narrow"/>
                <w:sz w:val="20"/>
              </w:rPr>
            </w:pPr>
            <w:r w:rsidRPr="00280AFF">
              <w:rPr>
                <w:rFonts w:ascii="Arial Narrow" w:hAnsi="Arial Narrow"/>
                <w:sz w:val="20"/>
              </w:rPr>
              <w:t>Influenza</w:t>
            </w:r>
          </w:p>
          <w:p w:rsidR="00280AFF" w:rsidRPr="00280AFF" w:rsidRDefault="00280AFF" w:rsidP="008630BF">
            <w:pPr>
              <w:keepNext/>
              <w:keepLines/>
              <w:ind w:left="109"/>
              <w:jc w:val="left"/>
              <w:rPr>
                <w:rFonts w:ascii="Arial Narrow" w:hAnsi="Arial Narrow"/>
                <w:sz w:val="20"/>
              </w:rPr>
            </w:pPr>
            <w:r w:rsidRPr="00280AFF">
              <w:rPr>
                <w:rFonts w:ascii="Arial Narrow" w:hAnsi="Arial Narrow"/>
                <w:sz w:val="20"/>
              </w:rPr>
              <w:t>Dizziness</w:t>
            </w:r>
          </w:p>
          <w:p w:rsidR="00280AFF" w:rsidRPr="00280AFF" w:rsidRDefault="00280AFF" w:rsidP="008630BF">
            <w:pPr>
              <w:keepNext/>
              <w:keepLines/>
              <w:ind w:left="109"/>
              <w:jc w:val="left"/>
              <w:rPr>
                <w:rFonts w:ascii="Arial Narrow" w:hAnsi="Arial Narrow"/>
                <w:sz w:val="20"/>
              </w:rPr>
            </w:pPr>
            <w:r w:rsidRPr="00280AFF">
              <w:rPr>
                <w:rFonts w:ascii="Arial Narrow" w:hAnsi="Arial Narrow"/>
                <w:sz w:val="20"/>
              </w:rPr>
              <w:t>Dysmenorrhoea</w:t>
            </w:r>
          </w:p>
        </w:tc>
        <w:tc>
          <w:tcPr>
            <w:tcW w:w="919" w:type="pct"/>
            <w:tcBorders>
              <w:top w:val="single" w:sz="4" w:space="0" w:color="auto"/>
            </w:tcBorders>
          </w:tcPr>
          <w:p w:rsidR="00280AFF" w:rsidRPr="00280AFF" w:rsidRDefault="00280AFF" w:rsidP="008630BF">
            <w:pPr>
              <w:keepNext/>
              <w:keepLines/>
              <w:jc w:val="center"/>
              <w:rPr>
                <w:rFonts w:ascii="Arial Narrow" w:hAnsi="Arial Narrow"/>
                <w:sz w:val="20"/>
              </w:rPr>
            </w:pPr>
            <w:r w:rsidRPr="00280AFF">
              <w:rPr>
                <w:rFonts w:ascii="Arial Narrow" w:hAnsi="Arial Narrow"/>
                <w:sz w:val="20"/>
              </w:rPr>
              <w:t>4 (4.2%)</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4 (4.2%)</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3 (3.2%)</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3 (3.2%)</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3 (3.2%)</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3 (3.2%)</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2 (2.1%)</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2 (2.1%)</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2 (2.1%)</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1 (1.1%)</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1 (1.1%)</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0</w:t>
            </w:r>
          </w:p>
        </w:tc>
        <w:tc>
          <w:tcPr>
            <w:tcW w:w="932" w:type="pct"/>
            <w:tcBorders>
              <w:top w:val="single" w:sz="4" w:space="0" w:color="auto"/>
            </w:tcBorders>
          </w:tcPr>
          <w:p w:rsidR="00280AFF" w:rsidRPr="00280AFF" w:rsidRDefault="00280AFF" w:rsidP="008630BF">
            <w:pPr>
              <w:keepNext/>
              <w:keepLines/>
              <w:jc w:val="center"/>
              <w:rPr>
                <w:rFonts w:ascii="Arial Narrow" w:hAnsi="Arial Narrow"/>
                <w:sz w:val="20"/>
              </w:rPr>
            </w:pPr>
            <w:r w:rsidRPr="00280AFF">
              <w:rPr>
                <w:rFonts w:ascii="Arial Narrow" w:hAnsi="Arial Narrow"/>
                <w:sz w:val="20"/>
              </w:rPr>
              <w:t>2 (4.2%)</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1 (2.1%)</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2 (4.2%)</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1 (2.1%)</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1 (2.1%)</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0</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0</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2 (4.2%)</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0</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1 (2.1%)</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0</w:t>
            </w:r>
          </w:p>
          <w:p w:rsidR="00280AFF" w:rsidRPr="00280AFF" w:rsidRDefault="00280AFF" w:rsidP="008630BF">
            <w:pPr>
              <w:keepNext/>
              <w:keepLines/>
              <w:jc w:val="center"/>
              <w:rPr>
                <w:rFonts w:ascii="Arial Narrow" w:hAnsi="Arial Narrow"/>
                <w:sz w:val="20"/>
              </w:rPr>
            </w:pPr>
            <w:r w:rsidRPr="00280AFF">
              <w:rPr>
                <w:rFonts w:ascii="Arial Narrow" w:hAnsi="Arial Narrow"/>
                <w:sz w:val="20"/>
              </w:rPr>
              <w:t>2 (4.2%)</w:t>
            </w:r>
          </w:p>
        </w:tc>
        <w:tc>
          <w:tcPr>
            <w:tcW w:w="1271" w:type="pct"/>
            <w:tcBorders>
              <w:top w:val="single" w:sz="4" w:space="0" w:color="auto"/>
            </w:tcBorders>
          </w:tcPr>
          <w:p w:rsidR="00280AFF" w:rsidRPr="00430515" w:rsidRDefault="00280AFF" w:rsidP="008630BF">
            <w:pPr>
              <w:keepNext/>
              <w:keepLines/>
              <w:jc w:val="center"/>
              <w:rPr>
                <w:rFonts w:ascii="Arial Narrow" w:hAnsi="Arial Narrow"/>
                <w:sz w:val="20"/>
              </w:rPr>
            </w:pPr>
            <w:r w:rsidRPr="00430515">
              <w:rPr>
                <w:rFonts w:ascii="Arial Narrow" w:hAnsi="Arial Narrow"/>
                <w:sz w:val="20"/>
              </w:rPr>
              <w:t>0.0% (-6.9%, 7.0%)</w:t>
            </w:r>
          </w:p>
          <w:p w:rsidR="00280AFF" w:rsidRPr="00430515" w:rsidRDefault="00280AFF" w:rsidP="008630BF">
            <w:pPr>
              <w:keepNext/>
              <w:keepLines/>
              <w:jc w:val="center"/>
              <w:rPr>
                <w:rFonts w:ascii="Arial Narrow" w:hAnsi="Arial Narrow"/>
                <w:sz w:val="20"/>
              </w:rPr>
            </w:pPr>
            <w:r w:rsidRPr="00430515">
              <w:rPr>
                <w:rFonts w:ascii="Arial Narrow" w:hAnsi="Arial Narrow"/>
                <w:sz w:val="20"/>
              </w:rPr>
              <w:t>2.0% (-3.6%, 7.8%)</w:t>
            </w:r>
          </w:p>
          <w:p w:rsidR="00280AFF" w:rsidRPr="00430515" w:rsidRDefault="00280AFF" w:rsidP="008630BF">
            <w:pPr>
              <w:keepNext/>
              <w:keepLines/>
              <w:jc w:val="center"/>
              <w:rPr>
                <w:rFonts w:ascii="Arial Narrow" w:hAnsi="Arial Narrow"/>
                <w:sz w:val="20"/>
              </w:rPr>
            </w:pPr>
            <w:r w:rsidRPr="00430515">
              <w:rPr>
                <w:rFonts w:ascii="Arial Narrow" w:hAnsi="Arial Narrow"/>
                <w:sz w:val="20"/>
              </w:rPr>
              <w:t>-1.0% (-7.7%, 5.6%)</w:t>
            </w:r>
          </w:p>
          <w:p w:rsidR="00280AFF" w:rsidRPr="00430515" w:rsidRDefault="00280AFF" w:rsidP="008630BF">
            <w:pPr>
              <w:keepNext/>
              <w:keepLines/>
              <w:jc w:val="center"/>
              <w:rPr>
                <w:rFonts w:ascii="Arial Narrow" w:hAnsi="Arial Narrow"/>
                <w:sz w:val="20"/>
              </w:rPr>
            </w:pPr>
            <w:r w:rsidRPr="00430515">
              <w:rPr>
                <w:rFonts w:ascii="Arial Narrow" w:hAnsi="Arial Narrow"/>
                <w:sz w:val="20"/>
              </w:rPr>
              <w:t>1.1% (-4.3%, 6.4%)</w:t>
            </w:r>
          </w:p>
          <w:p w:rsidR="00280AFF" w:rsidRPr="00430515" w:rsidRDefault="00280AFF" w:rsidP="008630BF">
            <w:pPr>
              <w:keepNext/>
              <w:keepLines/>
              <w:jc w:val="center"/>
              <w:rPr>
                <w:rFonts w:ascii="Arial Narrow" w:hAnsi="Arial Narrow"/>
                <w:sz w:val="20"/>
              </w:rPr>
            </w:pPr>
            <w:r w:rsidRPr="00430515">
              <w:rPr>
                <w:rFonts w:ascii="Arial Narrow" w:hAnsi="Arial Narrow"/>
                <w:sz w:val="20"/>
              </w:rPr>
              <w:t>1.1% (-4.3%, 6.4%)</w:t>
            </w:r>
          </w:p>
          <w:p w:rsidR="00280AFF" w:rsidRPr="00430515" w:rsidRDefault="00280AFF" w:rsidP="008630BF">
            <w:pPr>
              <w:keepNext/>
              <w:keepLines/>
              <w:jc w:val="center"/>
              <w:rPr>
                <w:rFonts w:ascii="Arial Narrow" w:hAnsi="Arial Narrow"/>
                <w:sz w:val="20"/>
              </w:rPr>
            </w:pPr>
            <w:r w:rsidRPr="00430515">
              <w:rPr>
                <w:rFonts w:ascii="Arial Narrow" w:hAnsi="Arial Narrow"/>
                <w:sz w:val="20"/>
              </w:rPr>
              <w:t>3.2% (-0.4%, 6.7%)</w:t>
            </w:r>
          </w:p>
          <w:p w:rsidR="00280AFF" w:rsidRPr="00430515" w:rsidRDefault="00280AFF" w:rsidP="008630BF">
            <w:pPr>
              <w:keepNext/>
              <w:keepLines/>
              <w:jc w:val="center"/>
              <w:rPr>
                <w:rFonts w:ascii="Arial Narrow" w:hAnsi="Arial Narrow"/>
                <w:sz w:val="20"/>
              </w:rPr>
            </w:pPr>
            <w:r w:rsidRPr="00430515">
              <w:rPr>
                <w:rFonts w:ascii="Arial Narrow" w:hAnsi="Arial Narrow"/>
                <w:sz w:val="20"/>
              </w:rPr>
              <w:t>2.1% (-0.8%, 5.0%)</w:t>
            </w:r>
          </w:p>
          <w:p w:rsidR="00280AFF" w:rsidRPr="00430515" w:rsidRDefault="00280AFF" w:rsidP="008630BF">
            <w:pPr>
              <w:keepNext/>
              <w:keepLines/>
              <w:jc w:val="center"/>
              <w:rPr>
                <w:rFonts w:ascii="Arial Narrow" w:hAnsi="Arial Narrow"/>
                <w:sz w:val="20"/>
              </w:rPr>
            </w:pPr>
            <w:r w:rsidRPr="00430515">
              <w:rPr>
                <w:rFonts w:ascii="Arial Narrow" w:hAnsi="Arial Narrow"/>
                <w:sz w:val="20"/>
              </w:rPr>
              <w:t>-2.1% (-8.4%, 4.3%)</w:t>
            </w:r>
          </w:p>
          <w:p w:rsidR="00280AFF" w:rsidRPr="00430515" w:rsidRDefault="00280AFF" w:rsidP="008630BF">
            <w:pPr>
              <w:keepNext/>
              <w:keepLines/>
              <w:jc w:val="center"/>
              <w:rPr>
                <w:rFonts w:ascii="Arial Narrow" w:hAnsi="Arial Narrow"/>
                <w:sz w:val="20"/>
              </w:rPr>
            </w:pPr>
            <w:r w:rsidRPr="00430515">
              <w:rPr>
                <w:rFonts w:ascii="Arial Narrow" w:hAnsi="Arial Narrow"/>
                <w:sz w:val="20"/>
              </w:rPr>
              <w:t>2.1% (-0.8%, 5.0%)</w:t>
            </w:r>
          </w:p>
          <w:p w:rsidR="00280AFF" w:rsidRPr="00430515" w:rsidRDefault="00280AFF" w:rsidP="008630BF">
            <w:pPr>
              <w:keepNext/>
              <w:keepLines/>
              <w:jc w:val="center"/>
              <w:rPr>
                <w:rFonts w:ascii="Arial Narrow" w:hAnsi="Arial Narrow"/>
                <w:sz w:val="20"/>
              </w:rPr>
            </w:pPr>
            <w:r w:rsidRPr="00430515">
              <w:rPr>
                <w:rFonts w:ascii="Arial Narrow" w:hAnsi="Arial Narrow"/>
                <w:sz w:val="20"/>
              </w:rPr>
              <w:t>-1.0% (-5.6%, 3.5%)</w:t>
            </w:r>
          </w:p>
          <w:p w:rsidR="00280AFF" w:rsidRPr="00430515" w:rsidRDefault="00280AFF" w:rsidP="008630BF">
            <w:pPr>
              <w:keepNext/>
              <w:keepLines/>
              <w:jc w:val="center"/>
              <w:rPr>
                <w:rFonts w:ascii="Arial Narrow" w:hAnsi="Arial Narrow"/>
                <w:sz w:val="20"/>
              </w:rPr>
            </w:pPr>
            <w:r w:rsidRPr="00430515">
              <w:rPr>
                <w:rFonts w:ascii="Arial Narrow" w:hAnsi="Arial Narrow"/>
                <w:sz w:val="20"/>
              </w:rPr>
              <w:t>1.1% (-1.0%, 3.1%)</w:t>
            </w:r>
          </w:p>
          <w:p w:rsidR="00280AFF" w:rsidRPr="00280AFF" w:rsidRDefault="00280AFF" w:rsidP="008630BF">
            <w:pPr>
              <w:keepNext/>
              <w:keepLines/>
              <w:jc w:val="center"/>
              <w:rPr>
                <w:rFonts w:ascii="Arial Narrow" w:hAnsi="Arial Narrow"/>
                <w:i/>
                <w:sz w:val="20"/>
              </w:rPr>
            </w:pPr>
            <w:r w:rsidRPr="00430515">
              <w:rPr>
                <w:rFonts w:ascii="Arial Narrow" w:hAnsi="Arial Narrow"/>
                <w:sz w:val="20"/>
              </w:rPr>
              <w:t>-4.2% (-9.8%, 1.5%)</w:t>
            </w:r>
          </w:p>
        </w:tc>
      </w:tr>
    </w:tbl>
    <w:p w:rsidR="00280AFF" w:rsidRPr="00280AFF" w:rsidRDefault="00280AFF" w:rsidP="008630BF">
      <w:pPr>
        <w:keepNext/>
        <w:keepLines/>
        <w:ind w:left="709"/>
        <w:rPr>
          <w:rFonts w:ascii="Arial Narrow" w:hAnsi="Arial Narrow"/>
          <w:sz w:val="18"/>
        </w:rPr>
      </w:pPr>
      <w:r w:rsidRPr="00280AFF">
        <w:rPr>
          <w:rFonts w:ascii="Arial Narrow" w:hAnsi="Arial Narrow"/>
          <w:sz w:val="18"/>
        </w:rPr>
        <w:t>AE = adverse event; CI = confidence interval; TEAE = treatment-emergent AE</w:t>
      </w:r>
    </w:p>
    <w:p w:rsidR="00280AFF" w:rsidRPr="00F12EB9" w:rsidRDefault="002A7C9E" w:rsidP="008630BF">
      <w:pPr>
        <w:keepNext/>
        <w:keepLines/>
        <w:ind w:left="709"/>
        <w:rPr>
          <w:rFonts w:ascii="Arial Narrow" w:hAnsi="Arial Narrow"/>
          <w:i/>
          <w:sz w:val="18"/>
        </w:rPr>
      </w:pPr>
      <w:r w:rsidRPr="00956CC7">
        <w:rPr>
          <w:rFonts w:ascii="Arial Narrow" w:hAnsi="Arial Narrow"/>
          <w:i/>
          <w:sz w:val="18"/>
        </w:rPr>
        <w:t>^</w:t>
      </w:r>
      <w:r w:rsidR="00430515" w:rsidRPr="00956CC7">
        <w:rPr>
          <w:rFonts w:ascii="Arial Narrow" w:hAnsi="Arial Narrow"/>
          <w:i/>
          <w:sz w:val="18"/>
        </w:rPr>
        <w:t xml:space="preserve"> </w:t>
      </w:r>
      <w:r w:rsidR="00280AFF" w:rsidRPr="00956CC7">
        <w:rPr>
          <w:rFonts w:ascii="Arial Narrow" w:hAnsi="Arial Narrow"/>
          <w:sz w:val="18"/>
        </w:rPr>
        <w:t>Figures were calculated during the evaluation.</w:t>
      </w:r>
    </w:p>
    <w:p w:rsidR="00280AFF" w:rsidRPr="00280AFF" w:rsidRDefault="00280AFF" w:rsidP="008630BF">
      <w:pPr>
        <w:keepNext/>
        <w:keepLines/>
        <w:ind w:left="720"/>
        <w:rPr>
          <w:rFonts w:ascii="Arial Narrow" w:hAnsi="Arial Narrow"/>
          <w:sz w:val="18"/>
        </w:rPr>
      </w:pPr>
      <w:r w:rsidRPr="00280AFF">
        <w:rPr>
          <w:rFonts w:ascii="Arial Narrow" w:hAnsi="Arial Narrow"/>
          <w:sz w:val="18"/>
        </w:rPr>
        <w:t>Source: Tables B-</w:t>
      </w:r>
      <w:r w:rsidR="00543598">
        <w:rPr>
          <w:rFonts w:ascii="Arial Narrow" w:hAnsi="Arial Narrow"/>
          <w:sz w:val="18"/>
        </w:rPr>
        <w:t>2</w:t>
      </w:r>
      <w:r w:rsidR="00713C3D">
        <w:rPr>
          <w:rFonts w:ascii="Arial Narrow" w:hAnsi="Arial Narrow"/>
          <w:sz w:val="18"/>
        </w:rPr>
        <w:t>8</w:t>
      </w:r>
      <w:r w:rsidRPr="00280AFF">
        <w:rPr>
          <w:rFonts w:ascii="Arial Narrow" w:hAnsi="Arial Narrow"/>
          <w:sz w:val="18"/>
        </w:rPr>
        <w:t xml:space="preserve"> and B-</w:t>
      </w:r>
      <w:r w:rsidR="00713C3D">
        <w:rPr>
          <w:rFonts w:ascii="Arial Narrow" w:hAnsi="Arial Narrow"/>
          <w:sz w:val="18"/>
        </w:rPr>
        <w:t>29</w:t>
      </w:r>
      <w:r w:rsidRPr="00280AFF">
        <w:rPr>
          <w:rFonts w:ascii="Arial Narrow" w:hAnsi="Arial Narrow"/>
          <w:sz w:val="18"/>
        </w:rPr>
        <w:t>, pp</w:t>
      </w:r>
      <w:r w:rsidR="00713C3D">
        <w:rPr>
          <w:rFonts w:ascii="Arial Narrow" w:hAnsi="Arial Narrow"/>
          <w:sz w:val="18"/>
        </w:rPr>
        <w:t>48-</w:t>
      </w:r>
      <w:r w:rsidR="00543598">
        <w:rPr>
          <w:rFonts w:ascii="Arial Narrow" w:hAnsi="Arial Narrow"/>
          <w:sz w:val="18"/>
        </w:rPr>
        <w:t>49</w:t>
      </w:r>
      <w:r w:rsidRPr="00280AFF">
        <w:rPr>
          <w:rFonts w:ascii="Arial Narrow" w:hAnsi="Arial Narrow"/>
          <w:sz w:val="18"/>
        </w:rPr>
        <w:t xml:space="preserve"> of the </w:t>
      </w:r>
      <w:r w:rsidR="007B08B0">
        <w:rPr>
          <w:rFonts w:ascii="Arial Narrow" w:hAnsi="Arial Narrow"/>
          <w:sz w:val="18"/>
        </w:rPr>
        <w:t>resubmission</w:t>
      </w:r>
      <w:r w:rsidRPr="00280AFF">
        <w:rPr>
          <w:rFonts w:ascii="Arial Narrow" w:hAnsi="Arial Narrow"/>
          <w:sz w:val="18"/>
        </w:rPr>
        <w:t xml:space="preserve">; Table 3, p418 Donnez </w:t>
      </w:r>
      <w:r w:rsidRPr="00280AFF">
        <w:rPr>
          <w:rFonts w:ascii="Arial Narrow" w:hAnsi="Arial Narrow"/>
          <w:i/>
          <w:sz w:val="18"/>
        </w:rPr>
        <w:t>et al</w:t>
      </w:r>
      <w:r w:rsidRPr="00280AFF">
        <w:rPr>
          <w:rFonts w:ascii="Arial Narrow" w:hAnsi="Arial Narrow"/>
          <w:sz w:val="18"/>
        </w:rPr>
        <w:t xml:space="preserve"> (2012)</w:t>
      </w:r>
      <w:r w:rsidR="009630FA">
        <w:rPr>
          <w:rStyle w:val="FootnoteReference"/>
          <w:rFonts w:ascii="Arial Narrow" w:hAnsi="Arial Narrow"/>
          <w:sz w:val="18"/>
        </w:rPr>
        <w:footnoteReference w:id="1"/>
      </w:r>
    </w:p>
    <w:p w:rsidR="00B60939" w:rsidRDefault="00B60939" w:rsidP="007F1017">
      <w:pPr>
        <w:pStyle w:val="ListParagraph"/>
        <w:ind w:left="0"/>
        <w:rPr>
          <w:szCs w:val="22"/>
        </w:rPr>
      </w:pPr>
    </w:p>
    <w:p w:rsidR="00167F3D" w:rsidRPr="00022F27" w:rsidRDefault="00167F3D" w:rsidP="00CF1650">
      <w:pPr>
        <w:widowControl/>
        <w:numPr>
          <w:ilvl w:val="1"/>
          <w:numId w:val="3"/>
        </w:numPr>
        <w:contextualSpacing/>
      </w:pPr>
      <w:r w:rsidRPr="00022F27">
        <w:t xml:space="preserve">The </w:t>
      </w:r>
      <w:r w:rsidR="007B08B0">
        <w:t>resubmission</w:t>
      </w:r>
      <w:r w:rsidRPr="00022F27">
        <w:t xml:space="preserve"> presented the results from a retrospective analysis of a prospective database reported by Ferrero et al 2016 in its discussion on the extended assessment of comparative harms of ulipristal.  The study suggested that 3-month preoperative treatment with ulipristal may increase the chance of complete myoma resection in patients with high complexity hysteroscopic myomectomy</w:t>
      </w:r>
      <w:r w:rsidR="0065380F" w:rsidRPr="00022F27">
        <w:t>.  However, g</w:t>
      </w:r>
      <w:r w:rsidRPr="00022F27">
        <w:t>iven the retrospective, non-randomised nature of the study, any differences may not be solely attributable to ulipristal treatment.</w:t>
      </w:r>
    </w:p>
    <w:p w:rsidR="00167F3D" w:rsidRDefault="00167F3D" w:rsidP="007F1017">
      <w:pPr>
        <w:pStyle w:val="ListParagraph"/>
        <w:ind w:left="0"/>
        <w:rPr>
          <w:szCs w:val="22"/>
        </w:rPr>
      </w:pPr>
    </w:p>
    <w:p w:rsidR="007F1017" w:rsidRPr="00497F10" w:rsidRDefault="007F1017" w:rsidP="00497F10">
      <w:pPr>
        <w:pStyle w:val="Heading2"/>
        <w:rPr>
          <w:i/>
          <w:szCs w:val="22"/>
        </w:rPr>
      </w:pPr>
      <w:bookmarkStart w:id="13" w:name="_Toc472349032"/>
      <w:r w:rsidRPr="00497F10">
        <w:rPr>
          <w:i/>
        </w:rPr>
        <w:t>Benefits/harms</w:t>
      </w:r>
      <w:bookmarkEnd w:id="13"/>
    </w:p>
    <w:p w:rsidR="007F1017" w:rsidRPr="007F1017" w:rsidRDefault="007F1017" w:rsidP="007F1017">
      <w:pPr>
        <w:pStyle w:val="ListParagraph"/>
        <w:ind w:left="0"/>
        <w:rPr>
          <w:szCs w:val="22"/>
        </w:rPr>
      </w:pPr>
    </w:p>
    <w:p w:rsidR="00EC00C9" w:rsidRDefault="00EC00C9" w:rsidP="00CF1650">
      <w:pPr>
        <w:pStyle w:val="ListParagraph"/>
        <w:widowControl/>
        <w:numPr>
          <w:ilvl w:val="1"/>
          <w:numId w:val="3"/>
        </w:numPr>
        <w:rPr>
          <w:szCs w:val="22"/>
        </w:rPr>
      </w:pPr>
      <w:r w:rsidRPr="00D06FD4">
        <w:rPr>
          <w:szCs w:val="22"/>
        </w:rPr>
        <w:t xml:space="preserve">A summary of the comparative benefits for </w:t>
      </w:r>
      <w:r w:rsidR="006A450B">
        <w:rPr>
          <w:szCs w:val="22"/>
        </w:rPr>
        <w:t xml:space="preserve">ulipristal 5 mg versus placebo (no treatment) </w:t>
      </w:r>
      <w:r w:rsidRPr="00D06FD4">
        <w:rPr>
          <w:szCs w:val="22"/>
        </w:rPr>
        <w:t xml:space="preserve">is presented in </w:t>
      </w:r>
      <w:r w:rsidR="00B52F43">
        <w:rPr>
          <w:szCs w:val="22"/>
        </w:rPr>
        <w:t xml:space="preserve">Table </w:t>
      </w:r>
      <w:r w:rsidR="00D5321D">
        <w:rPr>
          <w:szCs w:val="22"/>
        </w:rPr>
        <w:t>6</w:t>
      </w:r>
      <w:r w:rsidRPr="00D06FD4">
        <w:rPr>
          <w:szCs w:val="22"/>
        </w:rPr>
        <w:t>.</w:t>
      </w:r>
    </w:p>
    <w:p w:rsidR="001E4252" w:rsidRPr="001E4252" w:rsidRDefault="001E4252" w:rsidP="001E4252">
      <w:pPr>
        <w:widowControl/>
        <w:rPr>
          <w:szCs w:val="22"/>
        </w:rPr>
      </w:pPr>
    </w:p>
    <w:p w:rsidR="00D06FD4" w:rsidRPr="00A578DC" w:rsidRDefault="003477CC" w:rsidP="008630BF">
      <w:pPr>
        <w:pStyle w:val="ListParagraph"/>
        <w:keepNext/>
        <w:keepLines/>
        <w:rPr>
          <w:rStyle w:val="CommentReference"/>
        </w:rPr>
      </w:pPr>
      <w:r>
        <w:rPr>
          <w:rStyle w:val="CommentReference"/>
        </w:rPr>
        <w:t xml:space="preserve">Table </w:t>
      </w:r>
      <w:r w:rsidR="00D5321D">
        <w:rPr>
          <w:rStyle w:val="CommentReference"/>
        </w:rPr>
        <w:t>6</w:t>
      </w:r>
      <w:r w:rsidR="00D06FD4" w:rsidRPr="00A578DC">
        <w:rPr>
          <w:rStyle w:val="CommentReference"/>
        </w:rPr>
        <w:t xml:space="preserve">: Summary of comparative benefits and harms for </w:t>
      </w:r>
      <w:r>
        <w:rPr>
          <w:rStyle w:val="CommentReference"/>
        </w:rPr>
        <w:t>ulipristal</w:t>
      </w:r>
      <w:r w:rsidR="00D06FD4" w:rsidRPr="00A578DC">
        <w:rPr>
          <w:rStyle w:val="CommentReference"/>
        </w:rPr>
        <w:t xml:space="preserve"> and </w:t>
      </w:r>
      <w:r>
        <w:rPr>
          <w:rStyle w:val="CommentReference"/>
        </w:rPr>
        <w:t>placebo</w:t>
      </w:r>
    </w:p>
    <w:tbl>
      <w:tblPr>
        <w:tblStyle w:val="TableGrid"/>
        <w:tblW w:w="4700" w:type="pct"/>
        <w:tblInd w:w="698" w:type="dxa"/>
        <w:tblLayout w:type="fixed"/>
        <w:tblCellMar>
          <w:left w:w="28" w:type="dxa"/>
          <w:right w:w="28" w:type="dxa"/>
        </w:tblCellMar>
        <w:tblLook w:val="04A0" w:firstRow="1" w:lastRow="0" w:firstColumn="1" w:lastColumn="0" w:noHBand="0" w:noVBand="1"/>
        <w:tblCaption w:val="Table 6: Summary of comparative benefits and harms for ulipristal and placebo"/>
      </w:tblPr>
      <w:tblGrid>
        <w:gridCol w:w="745"/>
        <w:gridCol w:w="994"/>
        <w:gridCol w:w="70"/>
        <w:gridCol w:w="142"/>
        <w:gridCol w:w="784"/>
        <w:gridCol w:w="138"/>
        <w:gridCol w:w="283"/>
        <w:gridCol w:w="574"/>
        <w:gridCol w:w="987"/>
        <w:gridCol w:w="9"/>
        <w:gridCol w:w="984"/>
        <w:gridCol w:w="12"/>
        <w:gridCol w:w="982"/>
        <w:gridCol w:w="14"/>
        <w:gridCol w:w="1820"/>
      </w:tblGrid>
      <w:tr w:rsidR="00B52F43" w:rsidRPr="00E2771E" w:rsidTr="00FE36DA">
        <w:trPr>
          <w:trHeight w:val="150"/>
          <w:tblHeader/>
        </w:trPr>
        <w:tc>
          <w:tcPr>
            <w:tcW w:w="437" w:type="pct"/>
            <w:vMerge w:val="restart"/>
            <w:shd w:val="clear" w:color="auto" w:fill="auto"/>
            <w:vAlign w:val="center"/>
          </w:tcPr>
          <w:p w:rsidR="003A230F" w:rsidRPr="00E2771E" w:rsidRDefault="003A230F" w:rsidP="008630BF">
            <w:pPr>
              <w:keepNext/>
              <w:keepLines/>
              <w:rPr>
                <w:rFonts w:ascii="Arial Narrow" w:hAnsi="Arial Narrow"/>
                <w:b/>
                <w:color w:val="000000"/>
                <w:sz w:val="20"/>
                <w:szCs w:val="18"/>
              </w:rPr>
            </w:pPr>
            <w:r w:rsidRPr="00E2771E">
              <w:rPr>
                <w:rFonts w:ascii="Arial Narrow" w:hAnsi="Arial Narrow"/>
                <w:b/>
                <w:color w:val="000000"/>
                <w:sz w:val="20"/>
                <w:szCs w:val="18"/>
              </w:rPr>
              <w:t>Trial</w:t>
            </w:r>
          </w:p>
        </w:tc>
        <w:tc>
          <w:tcPr>
            <w:tcW w:w="623" w:type="pct"/>
            <w:gridSpan w:val="2"/>
            <w:vMerge w:val="restart"/>
            <w:vAlign w:val="center"/>
          </w:tcPr>
          <w:p w:rsidR="003A230F" w:rsidRPr="00E2771E" w:rsidRDefault="003A230F" w:rsidP="008630BF">
            <w:pPr>
              <w:keepNext/>
              <w:keepLines/>
              <w:jc w:val="center"/>
              <w:rPr>
                <w:rFonts w:ascii="Arial Narrow" w:hAnsi="Arial Narrow"/>
                <w:b/>
                <w:color w:val="000000"/>
                <w:sz w:val="20"/>
                <w:szCs w:val="18"/>
              </w:rPr>
            </w:pPr>
            <w:r>
              <w:rPr>
                <w:rFonts w:ascii="Arial Narrow" w:hAnsi="Arial Narrow"/>
                <w:b/>
                <w:color w:val="000000"/>
                <w:sz w:val="20"/>
                <w:szCs w:val="18"/>
              </w:rPr>
              <w:t>Ulipristal</w:t>
            </w:r>
          </w:p>
        </w:tc>
        <w:tc>
          <w:tcPr>
            <w:tcW w:w="623" w:type="pct"/>
            <w:gridSpan w:val="3"/>
            <w:vMerge w:val="restart"/>
            <w:vAlign w:val="center"/>
          </w:tcPr>
          <w:p w:rsidR="003A230F" w:rsidRPr="00E2771E" w:rsidRDefault="003A230F" w:rsidP="008630BF">
            <w:pPr>
              <w:keepNext/>
              <w:keepLines/>
              <w:jc w:val="center"/>
              <w:rPr>
                <w:rFonts w:ascii="Arial Narrow" w:hAnsi="Arial Narrow"/>
                <w:b/>
                <w:color w:val="000000"/>
                <w:sz w:val="20"/>
                <w:szCs w:val="18"/>
              </w:rPr>
            </w:pPr>
            <w:r>
              <w:rPr>
                <w:rFonts w:ascii="Arial Narrow" w:hAnsi="Arial Narrow"/>
                <w:b/>
                <w:color w:val="000000"/>
                <w:sz w:val="20"/>
                <w:szCs w:val="18"/>
              </w:rPr>
              <w:t>Placebo</w:t>
            </w:r>
          </w:p>
        </w:tc>
        <w:tc>
          <w:tcPr>
            <w:tcW w:w="1079" w:type="pct"/>
            <w:gridSpan w:val="3"/>
            <w:vMerge w:val="restart"/>
            <w:vAlign w:val="center"/>
          </w:tcPr>
          <w:p w:rsidR="003A230F" w:rsidRPr="00E2771E" w:rsidRDefault="003A230F" w:rsidP="008630BF">
            <w:pPr>
              <w:keepNext/>
              <w:keepLines/>
              <w:jc w:val="center"/>
              <w:rPr>
                <w:rFonts w:ascii="Arial Narrow" w:hAnsi="Arial Narrow"/>
                <w:b/>
                <w:color w:val="000000"/>
                <w:sz w:val="20"/>
                <w:szCs w:val="18"/>
              </w:rPr>
            </w:pPr>
            <w:r w:rsidRPr="00E2771E">
              <w:rPr>
                <w:rFonts w:ascii="Arial Narrow" w:hAnsi="Arial Narrow"/>
                <w:b/>
                <w:color w:val="000000"/>
                <w:sz w:val="20"/>
                <w:szCs w:val="18"/>
              </w:rPr>
              <w:t>RR</w:t>
            </w:r>
            <w:r w:rsidR="00B52F43">
              <w:rPr>
                <w:rFonts w:ascii="Arial Narrow" w:hAnsi="Arial Narrow"/>
                <w:b/>
                <w:color w:val="000000"/>
                <w:sz w:val="20"/>
                <w:szCs w:val="18"/>
              </w:rPr>
              <w:t xml:space="preserve"> </w:t>
            </w:r>
            <w:r w:rsidRPr="00E2771E">
              <w:rPr>
                <w:rFonts w:ascii="Arial Narrow" w:hAnsi="Arial Narrow"/>
                <w:b/>
                <w:color w:val="000000"/>
                <w:sz w:val="20"/>
                <w:szCs w:val="18"/>
              </w:rPr>
              <w:t>(95% CI)</w:t>
            </w:r>
          </w:p>
        </w:tc>
        <w:tc>
          <w:tcPr>
            <w:tcW w:w="1163" w:type="pct"/>
            <w:gridSpan w:val="4"/>
            <w:vAlign w:val="center"/>
          </w:tcPr>
          <w:p w:rsidR="003A230F" w:rsidRPr="00E2771E" w:rsidRDefault="003A230F" w:rsidP="008630BF">
            <w:pPr>
              <w:keepNext/>
              <w:keepLines/>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1074" w:type="pct"/>
            <w:gridSpan w:val="2"/>
            <w:vMerge w:val="restart"/>
            <w:vAlign w:val="center"/>
          </w:tcPr>
          <w:p w:rsidR="003A230F" w:rsidRPr="00E2771E" w:rsidRDefault="003A230F" w:rsidP="008630BF">
            <w:pPr>
              <w:keepNext/>
              <w:keepLines/>
              <w:jc w:val="center"/>
              <w:rPr>
                <w:rFonts w:ascii="Arial Narrow" w:hAnsi="Arial Narrow"/>
                <w:b/>
                <w:color w:val="000000"/>
                <w:sz w:val="20"/>
                <w:szCs w:val="18"/>
              </w:rPr>
            </w:pPr>
            <w:r w:rsidRPr="00E2771E">
              <w:rPr>
                <w:rFonts w:ascii="Arial Narrow" w:hAnsi="Arial Narrow"/>
                <w:b/>
                <w:color w:val="000000"/>
                <w:sz w:val="20"/>
                <w:szCs w:val="18"/>
              </w:rPr>
              <w:t>RD</w:t>
            </w:r>
            <w:r w:rsidR="00B52F43">
              <w:rPr>
                <w:rFonts w:ascii="Arial Narrow" w:hAnsi="Arial Narrow"/>
                <w:b/>
                <w:color w:val="000000"/>
                <w:sz w:val="20"/>
                <w:szCs w:val="18"/>
              </w:rPr>
              <w:t xml:space="preserve"> </w:t>
            </w:r>
            <w:r w:rsidRPr="00E2771E">
              <w:rPr>
                <w:rFonts w:ascii="Arial Narrow" w:hAnsi="Arial Narrow"/>
                <w:b/>
                <w:color w:val="000000"/>
                <w:sz w:val="20"/>
                <w:szCs w:val="18"/>
              </w:rPr>
              <w:t>(95% CI)</w:t>
            </w:r>
          </w:p>
        </w:tc>
      </w:tr>
      <w:tr w:rsidR="00B52F43" w:rsidRPr="00E2771E" w:rsidTr="00FE36DA">
        <w:trPr>
          <w:trHeight w:val="315"/>
          <w:tblHeader/>
        </w:trPr>
        <w:tc>
          <w:tcPr>
            <w:tcW w:w="437" w:type="pct"/>
            <w:vMerge/>
            <w:shd w:val="clear" w:color="auto" w:fill="auto"/>
            <w:vAlign w:val="center"/>
          </w:tcPr>
          <w:p w:rsidR="003A230F" w:rsidRPr="00E2771E" w:rsidRDefault="003A230F" w:rsidP="008630BF">
            <w:pPr>
              <w:keepNext/>
              <w:keepLines/>
              <w:rPr>
                <w:rFonts w:ascii="Arial Narrow" w:hAnsi="Arial Narrow"/>
                <w:b/>
                <w:color w:val="000000"/>
                <w:sz w:val="20"/>
                <w:szCs w:val="18"/>
              </w:rPr>
            </w:pPr>
          </w:p>
        </w:tc>
        <w:tc>
          <w:tcPr>
            <w:tcW w:w="623" w:type="pct"/>
            <w:gridSpan w:val="2"/>
            <w:vMerge/>
            <w:vAlign w:val="center"/>
          </w:tcPr>
          <w:p w:rsidR="003A230F" w:rsidRPr="00E2771E" w:rsidRDefault="003A230F" w:rsidP="008630BF">
            <w:pPr>
              <w:keepNext/>
              <w:keepLines/>
              <w:jc w:val="center"/>
              <w:rPr>
                <w:rFonts w:ascii="Arial Narrow" w:hAnsi="Arial Narrow"/>
                <w:b/>
                <w:color w:val="000000"/>
                <w:sz w:val="20"/>
                <w:szCs w:val="18"/>
              </w:rPr>
            </w:pPr>
          </w:p>
        </w:tc>
        <w:tc>
          <w:tcPr>
            <w:tcW w:w="623" w:type="pct"/>
            <w:gridSpan w:val="3"/>
            <w:vMerge/>
            <w:vAlign w:val="center"/>
          </w:tcPr>
          <w:p w:rsidR="003A230F" w:rsidRPr="00E2771E" w:rsidRDefault="003A230F" w:rsidP="008630BF">
            <w:pPr>
              <w:keepNext/>
              <w:keepLines/>
              <w:jc w:val="center"/>
              <w:rPr>
                <w:rFonts w:ascii="Arial Narrow" w:hAnsi="Arial Narrow"/>
                <w:b/>
                <w:color w:val="000000"/>
                <w:sz w:val="20"/>
                <w:szCs w:val="18"/>
              </w:rPr>
            </w:pPr>
          </w:p>
        </w:tc>
        <w:tc>
          <w:tcPr>
            <w:tcW w:w="1079" w:type="pct"/>
            <w:gridSpan w:val="3"/>
            <w:vMerge/>
            <w:vAlign w:val="center"/>
          </w:tcPr>
          <w:p w:rsidR="003A230F" w:rsidRPr="00E2771E" w:rsidRDefault="003A230F" w:rsidP="008630BF">
            <w:pPr>
              <w:keepNext/>
              <w:keepLines/>
              <w:jc w:val="center"/>
              <w:rPr>
                <w:rFonts w:ascii="Arial Narrow" w:hAnsi="Arial Narrow"/>
                <w:b/>
                <w:color w:val="000000"/>
                <w:sz w:val="20"/>
                <w:szCs w:val="18"/>
              </w:rPr>
            </w:pPr>
          </w:p>
        </w:tc>
        <w:tc>
          <w:tcPr>
            <w:tcW w:w="581" w:type="pct"/>
            <w:gridSpan w:val="2"/>
            <w:vAlign w:val="center"/>
          </w:tcPr>
          <w:p w:rsidR="003A230F" w:rsidRPr="00E2771E" w:rsidRDefault="003A230F" w:rsidP="008630BF">
            <w:pPr>
              <w:keepNext/>
              <w:keepLines/>
              <w:jc w:val="center"/>
              <w:rPr>
                <w:rFonts w:ascii="Arial Narrow" w:hAnsi="Arial Narrow"/>
                <w:b/>
                <w:color w:val="000000"/>
                <w:sz w:val="20"/>
                <w:szCs w:val="18"/>
              </w:rPr>
            </w:pPr>
            <w:r>
              <w:rPr>
                <w:rFonts w:ascii="Arial Narrow" w:hAnsi="Arial Narrow"/>
                <w:b/>
                <w:color w:val="000000"/>
                <w:sz w:val="20"/>
                <w:szCs w:val="18"/>
              </w:rPr>
              <w:t>Ulipristal</w:t>
            </w:r>
          </w:p>
        </w:tc>
        <w:tc>
          <w:tcPr>
            <w:tcW w:w="582" w:type="pct"/>
            <w:gridSpan w:val="2"/>
            <w:vAlign w:val="center"/>
          </w:tcPr>
          <w:p w:rsidR="003A230F" w:rsidRPr="00E2771E" w:rsidRDefault="003A230F" w:rsidP="008630BF">
            <w:pPr>
              <w:keepNext/>
              <w:keepLines/>
              <w:jc w:val="center"/>
              <w:rPr>
                <w:rFonts w:ascii="Arial Narrow" w:hAnsi="Arial Narrow"/>
                <w:b/>
                <w:color w:val="000000"/>
                <w:sz w:val="20"/>
                <w:szCs w:val="18"/>
              </w:rPr>
            </w:pPr>
            <w:r>
              <w:rPr>
                <w:rFonts w:ascii="Arial Narrow" w:hAnsi="Arial Narrow"/>
                <w:b/>
                <w:color w:val="000000"/>
                <w:sz w:val="20"/>
                <w:szCs w:val="18"/>
              </w:rPr>
              <w:t>Placebo</w:t>
            </w:r>
          </w:p>
        </w:tc>
        <w:tc>
          <w:tcPr>
            <w:tcW w:w="1074" w:type="pct"/>
            <w:gridSpan w:val="2"/>
            <w:vMerge/>
            <w:vAlign w:val="center"/>
          </w:tcPr>
          <w:p w:rsidR="003A230F" w:rsidRPr="00E2771E" w:rsidRDefault="003A230F" w:rsidP="008630BF">
            <w:pPr>
              <w:keepNext/>
              <w:keepLines/>
              <w:jc w:val="center"/>
              <w:rPr>
                <w:rFonts w:ascii="Arial Narrow" w:hAnsi="Arial Narrow"/>
                <w:b/>
                <w:color w:val="000000"/>
                <w:sz w:val="20"/>
                <w:szCs w:val="18"/>
              </w:rPr>
            </w:pPr>
          </w:p>
        </w:tc>
      </w:tr>
      <w:tr w:rsidR="003A230F" w:rsidRPr="00E2771E" w:rsidTr="00EF3BBC">
        <w:tc>
          <w:tcPr>
            <w:tcW w:w="5000" w:type="pct"/>
            <w:gridSpan w:val="15"/>
            <w:shd w:val="clear" w:color="auto" w:fill="auto"/>
            <w:vAlign w:val="center"/>
          </w:tcPr>
          <w:p w:rsidR="003A230F" w:rsidRPr="00E2771E" w:rsidRDefault="003A230F" w:rsidP="008630BF">
            <w:pPr>
              <w:keepNext/>
              <w:keepLines/>
              <w:rPr>
                <w:rFonts w:ascii="Arial Narrow" w:hAnsi="Arial Narrow"/>
                <w:b/>
                <w:color w:val="000000"/>
                <w:sz w:val="20"/>
                <w:szCs w:val="18"/>
              </w:rPr>
            </w:pPr>
            <w:r w:rsidRPr="00E2771E">
              <w:rPr>
                <w:rFonts w:ascii="Arial Narrow" w:hAnsi="Arial Narrow"/>
                <w:b/>
                <w:color w:val="000000"/>
                <w:sz w:val="20"/>
                <w:szCs w:val="18"/>
              </w:rPr>
              <w:t>Benefits</w:t>
            </w:r>
          </w:p>
        </w:tc>
      </w:tr>
      <w:tr w:rsidR="003A230F" w:rsidRPr="00E2771E" w:rsidTr="00EF3BBC">
        <w:tc>
          <w:tcPr>
            <w:tcW w:w="5000" w:type="pct"/>
            <w:gridSpan w:val="15"/>
            <w:shd w:val="clear" w:color="auto" w:fill="auto"/>
            <w:vAlign w:val="center"/>
          </w:tcPr>
          <w:p w:rsidR="003A230F" w:rsidRPr="00E2771E" w:rsidRDefault="003A230F" w:rsidP="008630BF">
            <w:pPr>
              <w:keepNext/>
              <w:keepLines/>
              <w:rPr>
                <w:rFonts w:ascii="Arial Narrow" w:hAnsi="Arial Narrow"/>
                <w:b/>
                <w:color w:val="000000"/>
                <w:sz w:val="20"/>
                <w:szCs w:val="18"/>
              </w:rPr>
            </w:pPr>
            <w:r w:rsidRPr="006A450B">
              <w:rPr>
                <w:rFonts w:ascii="Arial Narrow" w:hAnsi="Arial Narrow"/>
                <w:b/>
                <w:sz w:val="20"/>
                <w:lang w:val="en-US"/>
              </w:rPr>
              <w:t>PBA chart score &lt;75 at Week 13, n/N (%), ITT analysis</w:t>
            </w:r>
            <w:r w:rsidRPr="003E417E">
              <w:rPr>
                <w:rFonts w:ascii="Arial Narrow" w:hAnsi="Arial Narrow"/>
                <w:b/>
                <w:sz w:val="20"/>
                <w:vertAlign w:val="superscript"/>
                <w:lang w:val="en-US"/>
              </w:rPr>
              <w:t>a</w:t>
            </w:r>
          </w:p>
        </w:tc>
      </w:tr>
      <w:tr w:rsidR="00B52F43" w:rsidRPr="00E2771E" w:rsidTr="00B52F43">
        <w:tc>
          <w:tcPr>
            <w:tcW w:w="437" w:type="pct"/>
            <w:shd w:val="clear" w:color="auto" w:fill="auto"/>
            <w:vAlign w:val="center"/>
          </w:tcPr>
          <w:p w:rsidR="003A230F" w:rsidRPr="00E2771E" w:rsidRDefault="003A230F" w:rsidP="008630BF">
            <w:pPr>
              <w:keepNext/>
              <w:keepLines/>
              <w:rPr>
                <w:rFonts w:ascii="Arial Narrow" w:hAnsi="Arial Narrow"/>
                <w:color w:val="000000"/>
                <w:sz w:val="20"/>
                <w:szCs w:val="18"/>
              </w:rPr>
            </w:pPr>
            <w:r>
              <w:rPr>
                <w:rFonts w:ascii="Arial Narrow" w:hAnsi="Arial Narrow"/>
                <w:color w:val="000000"/>
                <w:sz w:val="20"/>
                <w:szCs w:val="18"/>
              </w:rPr>
              <w:t>PEARL I</w:t>
            </w:r>
          </w:p>
        </w:tc>
        <w:tc>
          <w:tcPr>
            <w:tcW w:w="706" w:type="pct"/>
            <w:gridSpan w:val="3"/>
            <w:tcBorders>
              <w:bottom w:val="double" w:sz="4" w:space="0" w:color="auto"/>
            </w:tcBorders>
            <w:shd w:val="clear" w:color="auto" w:fill="auto"/>
            <w:vAlign w:val="center"/>
          </w:tcPr>
          <w:p w:rsidR="003A230F" w:rsidRPr="00E2771E" w:rsidRDefault="003A230F" w:rsidP="008630BF">
            <w:pPr>
              <w:keepNext/>
              <w:keepLines/>
              <w:jc w:val="center"/>
              <w:rPr>
                <w:rFonts w:ascii="Arial Narrow" w:hAnsi="Arial Narrow"/>
                <w:color w:val="000000"/>
                <w:sz w:val="20"/>
                <w:szCs w:val="18"/>
              </w:rPr>
            </w:pPr>
            <w:r>
              <w:rPr>
                <w:rFonts w:ascii="Arial Narrow" w:hAnsi="Arial Narrow"/>
                <w:sz w:val="20"/>
              </w:rPr>
              <w:t>86/94</w:t>
            </w:r>
          </w:p>
        </w:tc>
        <w:tc>
          <w:tcPr>
            <w:tcW w:w="706" w:type="pct"/>
            <w:gridSpan w:val="3"/>
            <w:tcBorders>
              <w:bottom w:val="double" w:sz="4" w:space="0" w:color="auto"/>
            </w:tcBorders>
            <w:shd w:val="clear" w:color="auto" w:fill="auto"/>
            <w:vAlign w:val="center"/>
          </w:tcPr>
          <w:p w:rsidR="003A230F" w:rsidRPr="00E2771E" w:rsidRDefault="003A230F" w:rsidP="008630BF">
            <w:pPr>
              <w:keepNext/>
              <w:keepLines/>
              <w:jc w:val="center"/>
              <w:rPr>
                <w:rFonts w:ascii="Arial Narrow" w:hAnsi="Arial Narrow"/>
                <w:color w:val="000000"/>
                <w:sz w:val="20"/>
                <w:szCs w:val="18"/>
              </w:rPr>
            </w:pPr>
            <w:r>
              <w:rPr>
                <w:rFonts w:ascii="Arial Narrow" w:hAnsi="Arial Narrow"/>
                <w:sz w:val="20"/>
              </w:rPr>
              <w:t>9/48</w:t>
            </w:r>
          </w:p>
        </w:tc>
        <w:tc>
          <w:tcPr>
            <w:tcW w:w="914" w:type="pct"/>
            <w:gridSpan w:val="2"/>
            <w:tcBorders>
              <w:bottom w:val="double" w:sz="4" w:space="0" w:color="auto"/>
            </w:tcBorders>
            <w:vAlign w:val="center"/>
          </w:tcPr>
          <w:p w:rsidR="003A230F" w:rsidRPr="00326039" w:rsidRDefault="003A230F" w:rsidP="008630BF">
            <w:pPr>
              <w:keepNext/>
              <w:keepLines/>
              <w:jc w:val="center"/>
              <w:rPr>
                <w:rFonts w:ascii="Arial Narrow" w:hAnsi="Arial Narrow"/>
                <w:color w:val="000000"/>
                <w:sz w:val="20"/>
                <w:szCs w:val="18"/>
              </w:rPr>
            </w:pPr>
            <w:r w:rsidRPr="00326039">
              <w:rPr>
                <w:rFonts w:ascii="Arial Narrow" w:hAnsi="Arial Narrow"/>
                <w:sz w:val="20"/>
              </w:rPr>
              <w:t>4.88 (2.70, 8.82)</w:t>
            </w:r>
            <w:r w:rsidR="00326039" w:rsidRPr="00326039">
              <w:rPr>
                <w:rFonts w:ascii="Arial Narrow" w:hAnsi="Arial Narrow"/>
                <w:sz w:val="20"/>
              </w:rPr>
              <w:t>^</w:t>
            </w:r>
          </w:p>
        </w:tc>
        <w:tc>
          <w:tcPr>
            <w:tcW w:w="581" w:type="pct"/>
            <w:gridSpan w:val="2"/>
            <w:tcBorders>
              <w:bottom w:val="double" w:sz="4" w:space="0" w:color="auto"/>
            </w:tcBorders>
            <w:vAlign w:val="center"/>
          </w:tcPr>
          <w:p w:rsidR="003A230F" w:rsidRPr="00E2771E" w:rsidRDefault="003A230F" w:rsidP="008630BF">
            <w:pPr>
              <w:keepNext/>
              <w:keepLines/>
              <w:jc w:val="center"/>
              <w:rPr>
                <w:rFonts w:ascii="Arial Narrow" w:hAnsi="Arial Narrow"/>
                <w:color w:val="000000"/>
                <w:sz w:val="20"/>
                <w:szCs w:val="18"/>
              </w:rPr>
            </w:pPr>
            <w:r>
              <w:rPr>
                <w:rFonts w:ascii="Arial Narrow" w:hAnsi="Arial Narrow"/>
                <w:color w:val="000000"/>
                <w:sz w:val="20"/>
                <w:szCs w:val="18"/>
              </w:rPr>
              <w:t>91.5</w:t>
            </w:r>
          </w:p>
        </w:tc>
        <w:tc>
          <w:tcPr>
            <w:tcW w:w="582" w:type="pct"/>
            <w:gridSpan w:val="2"/>
            <w:tcBorders>
              <w:bottom w:val="double" w:sz="4" w:space="0" w:color="auto"/>
            </w:tcBorders>
            <w:vAlign w:val="center"/>
          </w:tcPr>
          <w:p w:rsidR="003A230F" w:rsidRPr="00E2771E" w:rsidRDefault="003A230F" w:rsidP="008630BF">
            <w:pPr>
              <w:keepNext/>
              <w:keepLines/>
              <w:jc w:val="center"/>
              <w:rPr>
                <w:rFonts w:ascii="Arial Narrow" w:hAnsi="Arial Narrow"/>
                <w:color w:val="000000"/>
                <w:sz w:val="20"/>
                <w:szCs w:val="18"/>
              </w:rPr>
            </w:pPr>
            <w:r>
              <w:rPr>
                <w:rFonts w:ascii="Arial Narrow" w:hAnsi="Arial Narrow"/>
                <w:color w:val="000000"/>
                <w:sz w:val="20"/>
                <w:szCs w:val="18"/>
              </w:rPr>
              <w:t>18.8</w:t>
            </w:r>
          </w:p>
        </w:tc>
        <w:tc>
          <w:tcPr>
            <w:tcW w:w="1074" w:type="pct"/>
            <w:gridSpan w:val="2"/>
            <w:tcBorders>
              <w:bottom w:val="double" w:sz="4" w:space="0" w:color="auto"/>
            </w:tcBorders>
            <w:vAlign w:val="center"/>
          </w:tcPr>
          <w:p w:rsidR="003A230F" w:rsidRPr="00E2771E" w:rsidRDefault="003A230F" w:rsidP="008630BF">
            <w:pPr>
              <w:keepNext/>
              <w:keepLines/>
              <w:jc w:val="center"/>
              <w:rPr>
                <w:rFonts w:ascii="Arial Narrow" w:hAnsi="Arial Narrow"/>
                <w:color w:val="000000"/>
                <w:sz w:val="20"/>
                <w:szCs w:val="18"/>
              </w:rPr>
            </w:pPr>
            <w:r>
              <w:rPr>
                <w:rFonts w:ascii="Arial Narrow" w:hAnsi="Arial Narrow"/>
                <w:color w:val="000000"/>
                <w:sz w:val="20"/>
                <w:szCs w:val="18"/>
              </w:rPr>
              <w:t>0.727 (</w:t>
            </w:r>
            <w:r w:rsidR="00B52F43">
              <w:rPr>
                <w:rFonts w:ascii="Arial Narrow" w:hAnsi="Arial Narrow"/>
                <w:color w:val="000000"/>
                <w:sz w:val="20"/>
                <w:szCs w:val="18"/>
              </w:rPr>
              <w:t>0</w:t>
            </w:r>
            <w:r>
              <w:rPr>
                <w:rFonts w:ascii="Arial Narrow" w:hAnsi="Arial Narrow"/>
                <w:color w:val="000000"/>
                <w:sz w:val="20"/>
                <w:szCs w:val="18"/>
              </w:rPr>
              <w:t xml:space="preserve">.551, </w:t>
            </w:r>
            <w:r w:rsidR="00B52F43">
              <w:rPr>
                <w:rFonts w:ascii="Arial Narrow" w:hAnsi="Arial Narrow"/>
                <w:color w:val="000000"/>
                <w:sz w:val="20"/>
                <w:szCs w:val="18"/>
              </w:rPr>
              <w:t>0</w:t>
            </w:r>
            <w:r>
              <w:rPr>
                <w:rFonts w:ascii="Arial Narrow" w:hAnsi="Arial Narrow"/>
                <w:color w:val="000000"/>
                <w:sz w:val="20"/>
                <w:szCs w:val="18"/>
              </w:rPr>
              <w:t>.832)</w:t>
            </w:r>
          </w:p>
        </w:tc>
      </w:tr>
      <w:tr w:rsidR="003A230F" w:rsidRPr="00E2771E" w:rsidTr="00EF3BBC">
        <w:tc>
          <w:tcPr>
            <w:tcW w:w="5000" w:type="pct"/>
            <w:gridSpan w:val="15"/>
            <w:tcBorders>
              <w:top w:val="double" w:sz="4" w:space="0" w:color="auto"/>
            </w:tcBorders>
            <w:shd w:val="clear" w:color="auto" w:fill="auto"/>
            <w:vAlign w:val="center"/>
          </w:tcPr>
          <w:p w:rsidR="003A230F" w:rsidRPr="00E2771E" w:rsidRDefault="003A230F" w:rsidP="008630BF">
            <w:pPr>
              <w:keepNext/>
              <w:keepLines/>
              <w:rPr>
                <w:rFonts w:ascii="Arial Narrow" w:hAnsi="Arial Narrow"/>
                <w:b/>
                <w:color w:val="000000"/>
                <w:sz w:val="20"/>
                <w:szCs w:val="18"/>
              </w:rPr>
            </w:pPr>
            <w:r w:rsidRPr="003E417E">
              <w:rPr>
                <w:rFonts w:ascii="Arial Narrow" w:hAnsi="Arial Narrow"/>
                <w:b/>
                <w:sz w:val="20"/>
                <w:lang w:val="en-US"/>
              </w:rPr>
              <w:t>% change in total fibroid volume from screening to Week 13 (cm</w:t>
            </w:r>
            <w:r w:rsidRPr="003E417E">
              <w:rPr>
                <w:rFonts w:ascii="Arial Narrow" w:hAnsi="Arial Narrow"/>
                <w:b/>
                <w:sz w:val="20"/>
                <w:vertAlign w:val="superscript"/>
                <w:lang w:val="en-US"/>
              </w:rPr>
              <w:t>3</w:t>
            </w:r>
            <w:r w:rsidRPr="003E417E">
              <w:rPr>
                <w:rFonts w:ascii="Arial Narrow" w:hAnsi="Arial Narrow"/>
                <w:b/>
                <w:sz w:val="20"/>
                <w:lang w:val="en-US"/>
              </w:rPr>
              <w:t>)</w:t>
            </w:r>
            <w:r>
              <w:rPr>
                <w:rFonts w:ascii="Arial Narrow" w:hAnsi="Arial Narrow"/>
                <w:b/>
                <w:sz w:val="20"/>
                <w:vertAlign w:val="superscript"/>
                <w:lang w:val="en-US"/>
              </w:rPr>
              <w:t>b</w:t>
            </w:r>
          </w:p>
        </w:tc>
      </w:tr>
      <w:tr w:rsidR="003A230F" w:rsidRPr="00E2771E" w:rsidTr="00B52F43">
        <w:trPr>
          <w:trHeight w:val="225"/>
        </w:trPr>
        <w:tc>
          <w:tcPr>
            <w:tcW w:w="437" w:type="pct"/>
            <w:vMerge w:val="restart"/>
            <w:shd w:val="clear" w:color="auto" w:fill="auto"/>
            <w:vAlign w:val="center"/>
          </w:tcPr>
          <w:p w:rsidR="003A230F" w:rsidRPr="00E2771E" w:rsidRDefault="003A230F" w:rsidP="008630BF">
            <w:pPr>
              <w:keepNext/>
              <w:keepLines/>
              <w:rPr>
                <w:rFonts w:ascii="Arial Narrow" w:hAnsi="Arial Narrow"/>
                <w:color w:val="000000"/>
                <w:sz w:val="20"/>
                <w:szCs w:val="18"/>
              </w:rPr>
            </w:pPr>
          </w:p>
        </w:tc>
        <w:tc>
          <w:tcPr>
            <w:tcW w:w="1747" w:type="pct"/>
            <w:gridSpan w:val="7"/>
            <w:vAlign w:val="center"/>
          </w:tcPr>
          <w:p w:rsidR="003A230F" w:rsidRPr="00E2771E" w:rsidRDefault="003A230F" w:rsidP="008630BF">
            <w:pPr>
              <w:keepNext/>
              <w:keepLines/>
              <w:jc w:val="center"/>
              <w:rPr>
                <w:rFonts w:ascii="Arial Narrow" w:hAnsi="Arial Narrow"/>
                <w:color w:val="000000"/>
                <w:sz w:val="20"/>
                <w:szCs w:val="18"/>
              </w:rPr>
            </w:pPr>
            <w:r>
              <w:rPr>
                <w:rFonts w:ascii="Arial Narrow" w:hAnsi="Arial Narrow"/>
                <w:b/>
                <w:color w:val="000000"/>
                <w:sz w:val="20"/>
                <w:szCs w:val="18"/>
              </w:rPr>
              <w:t>Ulipristal</w:t>
            </w:r>
          </w:p>
        </w:tc>
        <w:tc>
          <w:tcPr>
            <w:tcW w:w="1748" w:type="pct"/>
            <w:gridSpan w:val="6"/>
            <w:vAlign w:val="center"/>
          </w:tcPr>
          <w:p w:rsidR="003A230F" w:rsidRPr="00E2771E" w:rsidRDefault="003A230F" w:rsidP="008630BF">
            <w:pPr>
              <w:keepNext/>
              <w:keepLines/>
              <w:jc w:val="center"/>
              <w:rPr>
                <w:rFonts w:ascii="Arial Narrow" w:hAnsi="Arial Narrow"/>
                <w:color w:val="000000"/>
                <w:sz w:val="20"/>
                <w:szCs w:val="18"/>
              </w:rPr>
            </w:pPr>
            <w:r>
              <w:rPr>
                <w:rFonts w:ascii="Arial Narrow" w:hAnsi="Arial Narrow"/>
                <w:b/>
                <w:color w:val="000000"/>
                <w:sz w:val="20"/>
                <w:szCs w:val="18"/>
              </w:rPr>
              <w:t>Placebo</w:t>
            </w:r>
          </w:p>
        </w:tc>
        <w:tc>
          <w:tcPr>
            <w:tcW w:w="1067" w:type="pct"/>
            <w:vMerge w:val="restart"/>
            <w:vAlign w:val="center"/>
          </w:tcPr>
          <w:p w:rsidR="003A230F" w:rsidRPr="00E2771E" w:rsidRDefault="003A230F" w:rsidP="008630BF">
            <w:pPr>
              <w:keepNext/>
              <w:keepLines/>
              <w:jc w:val="center"/>
              <w:rPr>
                <w:rFonts w:ascii="Arial Narrow" w:hAnsi="Arial Narrow"/>
                <w:b/>
                <w:sz w:val="20"/>
                <w:szCs w:val="18"/>
              </w:rPr>
            </w:pPr>
            <w:r w:rsidRPr="00E2771E">
              <w:rPr>
                <w:rFonts w:ascii="Arial Narrow" w:hAnsi="Arial Narrow"/>
                <w:b/>
                <w:sz w:val="20"/>
                <w:szCs w:val="18"/>
              </w:rPr>
              <w:t xml:space="preserve">Mean difference*: </w:t>
            </w:r>
          </w:p>
          <w:p w:rsidR="003A230F" w:rsidRPr="00E2771E" w:rsidRDefault="003A230F" w:rsidP="008630BF">
            <w:pPr>
              <w:keepNext/>
              <w:keepLines/>
              <w:jc w:val="center"/>
              <w:rPr>
                <w:rFonts w:ascii="Arial Narrow" w:hAnsi="Arial Narrow"/>
                <w:b/>
                <w:sz w:val="20"/>
                <w:szCs w:val="18"/>
              </w:rPr>
            </w:pPr>
            <w:r>
              <w:rPr>
                <w:rFonts w:ascii="Arial Narrow" w:hAnsi="Arial Narrow"/>
                <w:b/>
                <w:sz w:val="20"/>
                <w:szCs w:val="18"/>
              </w:rPr>
              <w:t>Ulipristal vs. placebo</w:t>
            </w:r>
          </w:p>
          <w:p w:rsidR="003A230F" w:rsidRPr="00E2771E" w:rsidRDefault="003A230F" w:rsidP="008630BF">
            <w:pPr>
              <w:keepNext/>
              <w:keepLines/>
              <w:jc w:val="center"/>
              <w:rPr>
                <w:rFonts w:ascii="Arial Narrow" w:hAnsi="Arial Narrow"/>
                <w:b/>
                <w:sz w:val="20"/>
                <w:szCs w:val="18"/>
              </w:rPr>
            </w:pPr>
            <w:r w:rsidRPr="00E2771E">
              <w:rPr>
                <w:rFonts w:ascii="Arial Narrow" w:hAnsi="Arial Narrow"/>
                <w:b/>
                <w:sz w:val="20"/>
                <w:szCs w:val="18"/>
              </w:rPr>
              <w:t>(95% CI)</w:t>
            </w:r>
          </w:p>
        </w:tc>
      </w:tr>
      <w:tr w:rsidR="003A230F" w:rsidRPr="00E2771E" w:rsidTr="00B52F43">
        <w:trPr>
          <w:trHeight w:val="225"/>
        </w:trPr>
        <w:tc>
          <w:tcPr>
            <w:tcW w:w="437" w:type="pct"/>
            <w:vMerge/>
            <w:shd w:val="clear" w:color="auto" w:fill="auto"/>
            <w:vAlign w:val="center"/>
          </w:tcPr>
          <w:p w:rsidR="003A230F" w:rsidRPr="00E2771E" w:rsidRDefault="003A230F" w:rsidP="008630BF">
            <w:pPr>
              <w:keepNext/>
              <w:keepLines/>
              <w:rPr>
                <w:rFonts w:ascii="Arial Narrow" w:hAnsi="Arial Narrow"/>
                <w:color w:val="000000"/>
                <w:sz w:val="20"/>
                <w:szCs w:val="18"/>
              </w:rPr>
            </w:pPr>
          </w:p>
        </w:tc>
        <w:tc>
          <w:tcPr>
            <w:tcW w:w="582" w:type="pct"/>
            <w:vAlign w:val="center"/>
          </w:tcPr>
          <w:p w:rsidR="003A230F" w:rsidRPr="00E2771E" w:rsidRDefault="003A230F" w:rsidP="008630BF">
            <w:pPr>
              <w:keepNext/>
              <w:keepLines/>
              <w:jc w:val="center"/>
              <w:rPr>
                <w:rFonts w:ascii="Arial Narrow" w:hAnsi="Arial Narrow"/>
                <w:b/>
                <w:color w:val="000000"/>
                <w:sz w:val="20"/>
                <w:szCs w:val="18"/>
              </w:rPr>
            </w:pPr>
            <w:r w:rsidRPr="00E2771E">
              <w:rPr>
                <w:rFonts w:ascii="Arial Narrow" w:hAnsi="Arial Narrow"/>
                <w:b/>
                <w:color w:val="000000"/>
                <w:sz w:val="20"/>
                <w:szCs w:val="18"/>
              </w:rPr>
              <w:t>n</w:t>
            </w:r>
          </w:p>
        </w:tc>
        <w:tc>
          <w:tcPr>
            <w:tcW w:w="583" w:type="pct"/>
            <w:gridSpan w:val="3"/>
            <w:vAlign w:val="center"/>
          </w:tcPr>
          <w:p w:rsidR="003A230F" w:rsidRPr="00E2771E" w:rsidRDefault="003A230F" w:rsidP="008630BF">
            <w:pPr>
              <w:keepNext/>
              <w:keepLines/>
              <w:jc w:val="center"/>
              <w:rPr>
                <w:rFonts w:ascii="Arial Narrow" w:hAnsi="Arial Narrow"/>
                <w:b/>
                <w:sz w:val="20"/>
                <w:szCs w:val="18"/>
              </w:rPr>
            </w:pPr>
            <w:r w:rsidRPr="00E2771E">
              <w:rPr>
                <w:rFonts w:ascii="Arial Narrow" w:hAnsi="Arial Narrow"/>
                <w:b/>
                <w:sz w:val="20"/>
                <w:szCs w:val="18"/>
              </w:rPr>
              <w:t xml:space="preserve">Mean ∆ baseline </w:t>
            </w:r>
          </w:p>
        </w:tc>
        <w:tc>
          <w:tcPr>
            <w:tcW w:w="583" w:type="pct"/>
            <w:gridSpan w:val="3"/>
            <w:vAlign w:val="center"/>
          </w:tcPr>
          <w:p w:rsidR="003A230F" w:rsidRPr="00E2771E" w:rsidRDefault="003A230F" w:rsidP="008630BF">
            <w:pPr>
              <w:keepNext/>
              <w:keepLines/>
              <w:jc w:val="center"/>
              <w:rPr>
                <w:rFonts w:ascii="Arial Narrow" w:hAnsi="Arial Narrow"/>
                <w:b/>
                <w:sz w:val="20"/>
                <w:szCs w:val="18"/>
              </w:rPr>
            </w:pPr>
            <w:r w:rsidRPr="00E2771E">
              <w:rPr>
                <w:rFonts w:ascii="Arial Narrow" w:hAnsi="Arial Narrow"/>
                <w:b/>
                <w:sz w:val="20"/>
                <w:szCs w:val="18"/>
              </w:rPr>
              <w:t>SD</w:t>
            </w:r>
          </w:p>
        </w:tc>
        <w:tc>
          <w:tcPr>
            <w:tcW w:w="583" w:type="pct"/>
            <w:gridSpan w:val="2"/>
            <w:vAlign w:val="center"/>
          </w:tcPr>
          <w:p w:rsidR="003A230F" w:rsidRPr="00E2771E" w:rsidRDefault="008B47A9" w:rsidP="008630BF">
            <w:pPr>
              <w:keepNext/>
              <w:keepLines/>
              <w:jc w:val="center"/>
              <w:rPr>
                <w:rFonts w:ascii="Arial Narrow" w:hAnsi="Arial Narrow"/>
                <w:b/>
                <w:color w:val="000000"/>
                <w:sz w:val="20"/>
                <w:szCs w:val="18"/>
              </w:rPr>
            </w:pPr>
            <w:r w:rsidRPr="00E2771E">
              <w:rPr>
                <w:rFonts w:ascii="Arial Narrow" w:hAnsi="Arial Narrow"/>
                <w:b/>
                <w:color w:val="000000"/>
                <w:sz w:val="20"/>
                <w:szCs w:val="18"/>
              </w:rPr>
              <w:t>N</w:t>
            </w:r>
          </w:p>
        </w:tc>
        <w:tc>
          <w:tcPr>
            <w:tcW w:w="583" w:type="pct"/>
            <w:gridSpan w:val="2"/>
            <w:vAlign w:val="center"/>
          </w:tcPr>
          <w:p w:rsidR="003A230F" w:rsidRPr="00E2771E" w:rsidRDefault="003A230F" w:rsidP="008630BF">
            <w:pPr>
              <w:keepNext/>
              <w:keepLines/>
              <w:jc w:val="center"/>
              <w:rPr>
                <w:rFonts w:ascii="Arial Narrow" w:hAnsi="Arial Narrow"/>
                <w:b/>
                <w:sz w:val="20"/>
                <w:szCs w:val="18"/>
              </w:rPr>
            </w:pPr>
            <w:r w:rsidRPr="00E2771E">
              <w:rPr>
                <w:rFonts w:ascii="Arial Narrow" w:hAnsi="Arial Narrow"/>
                <w:b/>
                <w:sz w:val="20"/>
                <w:szCs w:val="18"/>
              </w:rPr>
              <w:t xml:space="preserve">Mean ∆ baseline </w:t>
            </w:r>
          </w:p>
        </w:tc>
        <w:tc>
          <w:tcPr>
            <w:tcW w:w="583" w:type="pct"/>
            <w:gridSpan w:val="2"/>
            <w:vAlign w:val="center"/>
          </w:tcPr>
          <w:p w:rsidR="003A230F" w:rsidRPr="00E2771E" w:rsidRDefault="003A230F" w:rsidP="008630BF">
            <w:pPr>
              <w:keepNext/>
              <w:keepLines/>
              <w:jc w:val="center"/>
              <w:rPr>
                <w:rFonts w:ascii="Arial Narrow" w:hAnsi="Arial Narrow"/>
                <w:b/>
                <w:sz w:val="20"/>
                <w:szCs w:val="18"/>
              </w:rPr>
            </w:pPr>
            <w:r w:rsidRPr="00E2771E">
              <w:rPr>
                <w:rFonts w:ascii="Arial Narrow" w:hAnsi="Arial Narrow"/>
                <w:b/>
                <w:sz w:val="20"/>
                <w:szCs w:val="18"/>
              </w:rPr>
              <w:t>SD</w:t>
            </w:r>
          </w:p>
        </w:tc>
        <w:tc>
          <w:tcPr>
            <w:tcW w:w="1067" w:type="pct"/>
            <w:vMerge/>
            <w:vAlign w:val="center"/>
          </w:tcPr>
          <w:p w:rsidR="003A230F" w:rsidRPr="00E2771E" w:rsidRDefault="003A230F" w:rsidP="008630BF">
            <w:pPr>
              <w:keepNext/>
              <w:keepLines/>
              <w:jc w:val="center"/>
              <w:rPr>
                <w:rFonts w:ascii="Arial Narrow" w:hAnsi="Arial Narrow"/>
                <w:b/>
                <w:sz w:val="20"/>
                <w:szCs w:val="18"/>
              </w:rPr>
            </w:pPr>
          </w:p>
        </w:tc>
      </w:tr>
      <w:tr w:rsidR="003A230F" w:rsidRPr="00E2771E" w:rsidTr="00B52F43">
        <w:tc>
          <w:tcPr>
            <w:tcW w:w="437" w:type="pct"/>
            <w:shd w:val="clear" w:color="auto" w:fill="auto"/>
            <w:vAlign w:val="center"/>
          </w:tcPr>
          <w:p w:rsidR="003A230F" w:rsidRPr="00E2771E" w:rsidRDefault="00A06653" w:rsidP="008630BF">
            <w:pPr>
              <w:keepNext/>
              <w:keepLines/>
              <w:rPr>
                <w:rFonts w:ascii="Arial Narrow" w:hAnsi="Arial Narrow"/>
                <w:color w:val="000000"/>
                <w:sz w:val="20"/>
                <w:szCs w:val="18"/>
              </w:rPr>
            </w:pPr>
            <w:r>
              <w:rPr>
                <w:rFonts w:ascii="Arial Narrow" w:hAnsi="Arial Narrow"/>
                <w:color w:val="000000"/>
                <w:sz w:val="20"/>
                <w:szCs w:val="18"/>
              </w:rPr>
              <w:t>PEARL I</w:t>
            </w:r>
          </w:p>
        </w:tc>
        <w:tc>
          <w:tcPr>
            <w:tcW w:w="582" w:type="pct"/>
            <w:vAlign w:val="center"/>
          </w:tcPr>
          <w:p w:rsidR="003A230F" w:rsidRPr="00E2771E" w:rsidRDefault="003A230F" w:rsidP="008630BF">
            <w:pPr>
              <w:keepNext/>
              <w:keepLines/>
              <w:jc w:val="center"/>
              <w:rPr>
                <w:rFonts w:ascii="Arial Narrow" w:hAnsi="Arial Narrow"/>
                <w:color w:val="000000"/>
                <w:sz w:val="20"/>
                <w:szCs w:val="18"/>
              </w:rPr>
            </w:pPr>
            <w:r>
              <w:rPr>
                <w:rFonts w:ascii="Arial Narrow" w:hAnsi="Arial Narrow"/>
                <w:color w:val="000000"/>
                <w:sz w:val="20"/>
                <w:szCs w:val="18"/>
              </w:rPr>
              <w:t>95</w:t>
            </w:r>
          </w:p>
        </w:tc>
        <w:tc>
          <w:tcPr>
            <w:tcW w:w="583" w:type="pct"/>
            <w:gridSpan w:val="3"/>
            <w:vAlign w:val="center"/>
          </w:tcPr>
          <w:p w:rsidR="003A230F" w:rsidRPr="00E2771E" w:rsidRDefault="003A230F" w:rsidP="008630BF">
            <w:pPr>
              <w:keepNext/>
              <w:keepLines/>
              <w:jc w:val="center"/>
              <w:rPr>
                <w:rFonts w:ascii="Arial Narrow" w:hAnsi="Arial Narrow"/>
                <w:color w:val="000000"/>
                <w:sz w:val="20"/>
                <w:szCs w:val="18"/>
              </w:rPr>
            </w:pPr>
            <w:r>
              <w:rPr>
                <w:rFonts w:ascii="Arial Narrow" w:hAnsi="Arial Narrow"/>
                <w:color w:val="000000"/>
                <w:sz w:val="20"/>
                <w:szCs w:val="18"/>
              </w:rPr>
              <w:t>142.5</w:t>
            </w:r>
          </w:p>
        </w:tc>
        <w:tc>
          <w:tcPr>
            <w:tcW w:w="583" w:type="pct"/>
            <w:gridSpan w:val="3"/>
            <w:vAlign w:val="center"/>
          </w:tcPr>
          <w:p w:rsidR="003A230F" w:rsidRPr="00E2771E" w:rsidRDefault="003A230F" w:rsidP="008630BF">
            <w:pPr>
              <w:keepNext/>
              <w:keepLines/>
              <w:jc w:val="center"/>
              <w:rPr>
                <w:rFonts w:ascii="Arial Narrow" w:hAnsi="Arial Narrow"/>
                <w:color w:val="000000"/>
                <w:sz w:val="20"/>
                <w:szCs w:val="18"/>
              </w:rPr>
            </w:pPr>
            <w:r>
              <w:rPr>
                <w:rFonts w:ascii="Arial Narrow" w:hAnsi="Arial Narrow"/>
                <w:color w:val="000000"/>
                <w:sz w:val="20"/>
                <w:szCs w:val="18"/>
              </w:rPr>
              <w:t>133.3</w:t>
            </w:r>
          </w:p>
        </w:tc>
        <w:tc>
          <w:tcPr>
            <w:tcW w:w="583" w:type="pct"/>
            <w:gridSpan w:val="2"/>
            <w:vAlign w:val="center"/>
          </w:tcPr>
          <w:p w:rsidR="003A230F" w:rsidRPr="00E2771E" w:rsidRDefault="003A230F" w:rsidP="008630BF">
            <w:pPr>
              <w:keepNext/>
              <w:keepLines/>
              <w:jc w:val="center"/>
              <w:rPr>
                <w:rFonts w:ascii="Arial Narrow" w:hAnsi="Arial Narrow"/>
                <w:color w:val="000000"/>
                <w:sz w:val="20"/>
                <w:szCs w:val="18"/>
              </w:rPr>
            </w:pPr>
            <w:r>
              <w:rPr>
                <w:rFonts w:ascii="Arial Narrow" w:hAnsi="Arial Narrow"/>
                <w:color w:val="000000"/>
                <w:sz w:val="20"/>
                <w:szCs w:val="18"/>
              </w:rPr>
              <w:t>48</w:t>
            </w:r>
          </w:p>
        </w:tc>
        <w:tc>
          <w:tcPr>
            <w:tcW w:w="583" w:type="pct"/>
            <w:gridSpan w:val="2"/>
            <w:vAlign w:val="center"/>
          </w:tcPr>
          <w:p w:rsidR="003A230F" w:rsidRPr="00E2771E" w:rsidRDefault="003A230F" w:rsidP="008630BF">
            <w:pPr>
              <w:keepNext/>
              <w:keepLines/>
              <w:jc w:val="center"/>
              <w:rPr>
                <w:rFonts w:ascii="Arial Narrow" w:hAnsi="Arial Narrow"/>
                <w:color w:val="000000"/>
                <w:sz w:val="20"/>
                <w:szCs w:val="18"/>
              </w:rPr>
            </w:pPr>
            <w:r>
              <w:rPr>
                <w:rFonts w:ascii="Arial Narrow" w:hAnsi="Arial Narrow"/>
                <w:color w:val="000000"/>
                <w:sz w:val="20"/>
                <w:szCs w:val="18"/>
              </w:rPr>
              <w:t>136.0</w:t>
            </w:r>
          </w:p>
        </w:tc>
        <w:tc>
          <w:tcPr>
            <w:tcW w:w="583" w:type="pct"/>
            <w:gridSpan w:val="2"/>
            <w:vAlign w:val="center"/>
          </w:tcPr>
          <w:p w:rsidR="003A230F" w:rsidRPr="00E2771E" w:rsidRDefault="003A230F" w:rsidP="008630BF">
            <w:pPr>
              <w:keepNext/>
              <w:keepLines/>
              <w:jc w:val="center"/>
              <w:rPr>
                <w:rFonts w:ascii="Arial Narrow" w:hAnsi="Arial Narrow"/>
                <w:color w:val="000000"/>
                <w:sz w:val="20"/>
                <w:szCs w:val="18"/>
              </w:rPr>
            </w:pPr>
            <w:r>
              <w:rPr>
                <w:rFonts w:ascii="Arial Narrow" w:hAnsi="Arial Narrow"/>
                <w:color w:val="000000"/>
                <w:sz w:val="20"/>
                <w:szCs w:val="18"/>
              </w:rPr>
              <w:t>191.4</w:t>
            </w:r>
          </w:p>
        </w:tc>
        <w:tc>
          <w:tcPr>
            <w:tcW w:w="1067" w:type="pct"/>
            <w:vAlign w:val="center"/>
          </w:tcPr>
          <w:p w:rsidR="003A230F" w:rsidRPr="00E2771E" w:rsidRDefault="003A230F" w:rsidP="008630BF">
            <w:pPr>
              <w:keepNext/>
              <w:keepLines/>
              <w:jc w:val="center"/>
              <w:rPr>
                <w:rFonts w:ascii="Arial Narrow" w:hAnsi="Arial Narrow"/>
                <w:sz w:val="20"/>
                <w:szCs w:val="18"/>
              </w:rPr>
            </w:pPr>
            <w:r>
              <w:rPr>
                <w:rFonts w:ascii="Arial Narrow" w:hAnsi="Arial Narrow"/>
                <w:sz w:val="20"/>
                <w:szCs w:val="18"/>
              </w:rPr>
              <w:t>-0.22</w:t>
            </w:r>
            <w:r w:rsidR="00F82A0E">
              <w:rPr>
                <w:rFonts w:ascii="Arial Narrow" w:hAnsi="Arial Narrow"/>
                <w:sz w:val="20"/>
                <w:szCs w:val="18"/>
              </w:rPr>
              <w:t>6</w:t>
            </w:r>
            <w:r w:rsidRPr="00E2771E">
              <w:rPr>
                <w:rFonts w:ascii="Arial Narrow" w:hAnsi="Arial Narrow"/>
                <w:sz w:val="20"/>
                <w:szCs w:val="18"/>
              </w:rPr>
              <w:t xml:space="preserve"> (-</w:t>
            </w:r>
            <w:r>
              <w:rPr>
                <w:rFonts w:ascii="Arial Narrow" w:hAnsi="Arial Narrow"/>
                <w:sz w:val="20"/>
                <w:szCs w:val="18"/>
              </w:rPr>
              <w:t>0.361</w:t>
            </w:r>
            <w:r w:rsidRPr="00E2771E">
              <w:rPr>
                <w:rFonts w:ascii="Arial Narrow" w:hAnsi="Arial Narrow"/>
                <w:sz w:val="20"/>
                <w:szCs w:val="18"/>
              </w:rPr>
              <w:t>,</w:t>
            </w:r>
            <w:r>
              <w:rPr>
                <w:rFonts w:ascii="Arial Narrow" w:hAnsi="Arial Narrow"/>
                <w:sz w:val="20"/>
                <w:szCs w:val="18"/>
              </w:rPr>
              <w:t>-0.082</w:t>
            </w:r>
            <w:r w:rsidRPr="00E2771E">
              <w:rPr>
                <w:rFonts w:ascii="Arial Narrow" w:hAnsi="Arial Narrow"/>
                <w:sz w:val="20"/>
                <w:szCs w:val="18"/>
              </w:rPr>
              <w:t>)</w:t>
            </w:r>
          </w:p>
        </w:tc>
      </w:tr>
    </w:tbl>
    <w:p w:rsidR="003E417E" w:rsidRPr="00280AFF" w:rsidRDefault="003E417E" w:rsidP="008630BF">
      <w:pPr>
        <w:keepNext/>
        <w:keepLines/>
        <w:tabs>
          <w:tab w:val="left" w:pos="993"/>
        </w:tabs>
        <w:ind w:left="709"/>
        <w:rPr>
          <w:rFonts w:ascii="Arial Narrow" w:hAnsi="Arial Narrow"/>
          <w:sz w:val="18"/>
        </w:rPr>
      </w:pPr>
      <w:r w:rsidRPr="00280AFF">
        <w:rPr>
          <w:rFonts w:ascii="Arial Narrow" w:hAnsi="Arial Narrow"/>
          <w:sz w:val="18"/>
          <w:vertAlign w:val="superscript"/>
        </w:rPr>
        <w:t>a</w:t>
      </w:r>
      <w:r w:rsidR="00B52F43">
        <w:rPr>
          <w:rFonts w:ascii="Arial Narrow" w:hAnsi="Arial Narrow"/>
          <w:sz w:val="18"/>
        </w:rPr>
        <w:tab/>
      </w:r>
      <w:r w:rsidRPr="00280AFF">
        <w:rPr>
          <w:rFonts w:ascii="Arial Narrow" w:hAnsi="Arial Narrow"/>
          <w:sz w:val="18"/>
        </w:rPr>
        <w:t>Last observation carried forward</w:t>
      </w:r>
      <w:r w:rsidR="00AF6B43">
        <w:rPr>
          <w:rFonts w:ascii="Arial Narrow" w:hAnsi="Arial Narrow"/>
          <w:sz w:val="18"/>
        </w:rPr>
        <w:t>.</w:t>
      </w:r>
    </w:p>
    <w:p w:rsidR="003E417E" w:rsidRPr="00280AFF" w:rsidRDefault="003E417E" w:rsidP="008630BF">
      <w:pPr>
        <w:keepNext/>
        <w:keepLines/>
        <w:tabs>
          <w:tab w:val="left" w:pos="993"/>
        </w:tabs>
        <w:ind w:left="709"/>
        <w:rPr>
          <w:rFonts w:ascii="Arial Narrow" w:hAnsi="Arial Narrow"/>
          <w:sz w:val="18"/>
        </w:rPr>
      </w:pPr>
      <w:r w:rsidRPr="00280AFF">
        <w:rPr>
          <w:rFonts w:ascii="Arial Narrow" w:hAnsi="Arial Narrow"/>
          <w:sz w:val="18"/>
          <w:vertAlign w:val="superscript"/>
        </w:rPr>
        <w:t>b</w:t>
      </w:r>
      <w:r w:rsidR="00B52F43">
        <w:rPr>
          <w:rFonts w:ascii="Arial Narrow" w:hAnsi="Arial Narrow"/>
          <w:sz w:val="18"/>
        </w:rPr>
        <w:tab/>
      </w:r>
      <w:r w:rsidRPr="00280AFF">
        <w:rPr>
          <w:rFonts w:ascii="Arial Narrow" w:hAnsi="Arial Narrow"/>
          <w:sz w:val="18"/>
        </w:rPr>
        <w:t>Change in total fibroid volume, defined as the sum of all the individual fibroid volumes</w:t>
      </w:r>
      <w:r>
        <w:rPr>
          <w:rFonts w:ascii="Arial Narrow" w:hAnsi="Arial Narrow"/>
          <w:sz w:val="18"/>
        </w:rPr>
        <w:t>: Median results</w:t>
      </w:r>
      <w:r w:rsidR="00AF6B43">
        <w:rPr>
          <w:rFonts w:ascii="Arial Narrow" w:hAnsi="Arial Narrow"/>
          <w:sz w:val="18"/>
        </w:rPr>
        <w:t>.</w:t>
      </w:r>
    </w:p>
    <w:p w:rsidR="00D06FD4" w:rsidRPr="00FD3C1D" w:rsidRDefault="00326039" w:rsidP="008630BF">
      <w:pPr>
        <w:keepNext/>
        <w:keepLines/>
        <w:ind w:left="709"/>
        <w:rPr>
          <w:rFonts w:ascii="Arial Narrow" w:hAnsi="Arial Narrow"/>
          <w:i/>
          <w:sz w:val="18"/>
        </w:rPr>
      </w:pPr>
      <w:r w:rsidRPr="00956CC7">
        <w:rPr>
          <w:rFonts w:ascii="Arial Narrow" w:hAnsi="Arial Narrow"/>
          <w:sz w:val="18"/>
        </w:rPr>
        <w:t xml:space="preserve">^ </w:t>
      </w:r>
      <w:r w:rsidR="00220C52" w:rsidRPr="00956CC7">
        <w:rPr>
          <w:rFonts w:ascii="Arial Narrow" w:hAnsi="Arial Narrow"/>
          <w:sz w:val="18"/>
        </w:rPr>
        <w:t>Figures were calculated during the evaluation.</w:t>
      </w:r>
      <w:r w:rsidR="00FD3C1D" w:rsidRPr="00956CC7">
        <w:rPr>
          <w:rFonts w:ascii="Arial Narrow" w:hAnsi="Arial Narrow"/>
          <w:i/>
          <w:sz w:val="18"/>
        </w:rPr>
        <w:t xml:space="preserve"> </w:t>
      </w:r>
      <w:r w:rsidR="00D06FD4" w:rsidRPr="00956CC7">
        <w:rPr>
          <w:rFonts w:ascii="Arial Narrow" w:hAnsi="Arial Narrow"/>
          <w:sz w:val="18"/>
          <w:szCs w:val="18"/>
        </w:rPr>
        <w:t>RD</w:t>
      </w:r>
      <w:r w:rsidR="00D06FD4" w:rsidRPr="00FD3C1D">
        <w:rPr>
          <w:rFonts w:ascii="Arial Narrow" w:hAnsi="Arial Narrow"/>
          <w:sz w:val="18"/>
          <w:szCs w:val="18"/>
        </w:rPr>
        <w:t xml:space="preserve"> = risk difference; RR = r</w:t>
      </w:r>
      <w:r w:rsidR="00AA5317" w:rsidRPr="00FD3C1D">
        <w:rPr>
          <w:rFonts w:ascii="Arial Narrow" w:hAnsi="Arial Narrow"/>
          <w:sz w:val="18"/>
          <w:szCs w:val="18"/>
        </w:rPr>
        <w:t>elative risk</w:t>
      </w:r>
      <w:r w:rsidR="00AF6B43">
        <w:rPr>
          <w:rFonts w:ascii="Arial Narrow" w:hAnsi="Arial Narrow"/>
          <w:sz w:val="18"/>
          <w:szCs w:val="18"/>
        </w:rPr>
        <w:t>.</w:t>
      </w:r>
    </w:p>
    <w:p w:rsidR="00D06FD4" w:rsidRPr="0072416F" w:rsidRDefault="00D06FD4" w:rsidP="008630BF">
      <w:pPr>
        <w:pStyle w:val="TableFooter"/>
        <w:keepNext/>
        <w:keepLines/>
        <w:ind w:left="720"/>
      </w:pPr>
      <w:r w:rsidRPr="0072416F">
        <w:t>Source:</w:t>
      </w:r>
      <w:r w:rsidR="00AA5317">
        <w:t xml:space="preserve"> Compiled during the evaluation</w:t>
      </w:r>
      <w:r w:rsidR="00AF6B43">
        <w:t>.</w:t>
      </w:r>
    </w:p>
    <w:p w:rsidR="00162913" w:rsidRDefault="00162913" w:rsidP="007F1017">
      <w:pPr>
        <w:widowControl/>
        <w:ind w:left="709"/>
        <w:rPr>
          <w:szCs w:val="22"/>
        </w:rPr>
      </w:pPr>
    </w:p>
    <w:p w:rsidR="00FC1884" w:rsidRPr="002A59CE" w:rsidRDefault="00EC00C9" w:rsidP="00CF1650">
      <w:pPr>
        <w:pStyle w:val="ListParagraph"/>
        <w:widowControl/>
        <w:numPr>
          <w:ilvl w:val="1"/>
          <w:numId w:val="3"/>
        </w:numPr>
        <w:rPr>
          <w:szCs w:val="22"/>
        </w:rPr>
      </w:pPr>
      <w:r w:rsidRPr="00CF6EE4">
        <w:t xml:space="preserve">On the </w:t>
      </w:r>
      <w:r w:rsidRPr="002A59CE">
        <w:t xml:space="preserve">basis of </w:t>
      </w:r>
      <w:r w:rsidR="00C523CC" w:rsidRPr="002A59CE">
        <w:t>direct</w:t>
      </w:r>
      <w:r w:rsidRPr="002A59CE">
        <w:t xml:space="preserve"> evidence presented by the </w:t>
      </w:r>
      <w:r w:rsidR="007B08B0" w:rsidRPr="002A59CE">
        <w:t>resubmission</w:t>
      </w:r>
      <w:r w:rsidRPr="002A59CE">
        <w:t xml:space="preserve">, </w:t>
      </w:r>
      <w:r w:rsidR="007B6702" w:rsidRPr="002A59CE">
        <w:t xml:space="preserve">the comparison of </w:t>
      </w:r>
      <w:r w:rsidR="00EF2382" w:rsidRPr="002A59CE">
        <w:t xml:space="preserve">13 weeks of treatment with </w:t>
      </w:r>
      <w:r w:rsidR="007B6702" w:rsidRPr="002A59CE">
        <w:t xml:space="preserve">ulipristal 5 mg once daily and placebo resulted in: </w:t>
      </w:r>
    </w:p>
    <w:p w:rsidR="00A1579C" w:rsidRPr="002A59CE" w:rsidRDefault="007B6702" w:rsidP="00C31BD0">
      <w:pPr>
        <w:pStyle w:val="ListParagraph"/>
        <w:widowControl/>
        <w:numPr>
          <w:ilvl w:val="0"/>
          <w:numId w:val="2"/>
        </w:numPr>
        <w:ind w:left="993" w:hanging="284"/>
      </w:pPr>
      <w:r w:rsidRPr="002A59CE">
        <w:t>A reduction in blood loss. For every 100 patients treated with ulipristal in comparison to placebo</w:t>
      </w:r>
      <w:r w:rsidR="00EF2382" w:rsidRPr="002A59CE">
        <w:t>,</w:t>
      </w:r>
      <w:r w:rsidRPr="002A59CE">
        <w:t xml:space="preserve"> a</w:t>
      </w:r>
      <w:r w:rsidR="00FC1884" w:rsidRPr="002A59CE">
        <w:t xml:space="preserve">pproximately </w:t>
      </w:r>
      <w:r w:rsidR="00C523CC" w:rsidRPr="002A59CE">
        <w:t>73</w:t>
      </w:r>
      <w:r w:rsidR="00FC1884" w:rsidRPr="002A59CE">
        <w:t xml:space="preserve"> additional patients would have </w:t>
      </w:r>
      <w:r w:rsidR="00C523CC" w:rsidRPr="002A59CE">
        <w:t xml:space="preserve">a </w:t>
      </w:r>
      <w:r w:rsidRPr="002A59CE">
        <w:t>pictorial b</w:t>
      </w:r>
      <w:r w:rsidR="000915E8" w:rsidRPr="002A59CE">
        <w:t>l</w:t>
      </w:r>
      <w:r w:rsidRPr="002A59CE">
        <w:t>ood loss assessment (</w:t>
      </w:r>
      <w:r w:rsidR="00C523CC" w:rsidRPr="002A59CE">
        <w:t>PBA</w:t>
      </w:r>
      <w:r w:rsidRPr="002A59CE">
        <w:t>)</w:t>
      </w:r>
      <w:r w:rsidR="00C523CC" w:rsidRPr="002A59CE">
        <w:t xml:space="preserve"> chart score of less than 75</w:t>
      </w:r>
      <w:r w:rsidR="00C31BD0" w:rsidRPr="002A59CE">
        <w:t xml:space="preserve"> (a score which is considered to be within the normal range of menstrual blood loss) </w:t>
      </w:r>
      <w:r w:rsidR="00C523CC" w:rsidRPr="002A59CE">
        <w:t xml:space="preserve">at </w:t>
      </w:r>
      <w:r w:rsidR="00385FEA" w:rsidRPr="002A59CE">
        <w:t>W</w:t>
      </w:r>
      <w:r w:rsidR="00C523CC" w:rsidRPr="002A59CE">
        <w:t>eek 13</w:t>
      </w:r>
      <w:r w:rsidR="00C31BD0" w:rsidRPr="002A59CE">
        <w:t>.</w:t>
      </w:r>
    </w:p>
    <w:p w:rsidR="00EF2382" w:rsidRPr="002A59CE" w:rsidRDefault="00EF2382" w:rsidP="00EF2382">
      <w:pPr>
        <w:pStyle w:val="ListParagraph"/>
        <w:widowControl/>
        <w:numPr>
          <w:ilvl w:val="0"/>
          <w:numId w:val="2"/>
        </w:numPr>
        <w:ind w:left="993" w:hanging="284"/>
      </w:pPr>
      <w:r w:rsidRPr="002A59CE">
        <w:t xml:space="preserve">A reduction in total fibroid and uterine volume. On average the reduction in total fibroid volume </w:t>
      </w:r>
      <w:r w:rsidR="009D4F6A" w:rsidRPr="002A59CE">
        <w:t>at</w:t>
      </w:r>
      <w:r w:rsidRPr="002A59CE">
        <w:t xml:space="preserve"> 13 weeks is 22.6% greater with ulipristal compared with placebo.  The resubmission did not indicate what difference in total fibroid volume was considered to be clinically meaningful.</w:t>
      </w:r>
    </w:p>
    <w:p w:rsidR="00EF2382" w:rsidRPr="002A59CE" w:rsidRDefault="00EF2382" w:rsidP="00EF2382">
      <w:pPr>
        <w:pStyle w:val="ListParagraph"/>
        <w:widowControl/>
        <w:numPr>
          <w:ilvl w:val="0"/>
          <w:numId w:val="2"/>
        </w:numPr>
        <w:ind w:left="993" w:hanging="284"/>
      </w:pPr>
      <w:r w:rsidRPr="002A59CE">
        <w:rPr>
          <w:lang w:val="en-US"/>
        </w:rPr>
        <w:t xml:space="preserve">No statistically significant differences in the proportion of patients proceeding to surgery and no consistent differences in the types of surgeries performed. The ESC noted </w:t>
      </w:r>
      <w:r w:rsidR="0037322C" w:rsidRPr="002A59CE">
        <w:rPr>
          <w:lang w:val="en-US"/>
        </w:rPr>
        <w:t>a difference in surgery</w:t>
      </w:r>
      <w:r w:rsidRPr="002A59CE">
        <w:rPr>
          <w:lang w:val="en-US"/>
        </w:rPr>
        <w:t xml:space="preserve"> did not form part of the clinical </w:t>
      </w:r>
      <w:r w:rsidR="008630BF" w:rsidRPr="002A59CE">
        <w:rPr>
          <w:lang w:val="en-US"/>
        </w:rPr>
        <w:t>claim;</w:t>
      </w:r>
      <w:r w:rsidRPr="002A59CE">
        <w:rPr>
          <w:lang w:val="en-US"/>
        </w:rPr>
        <w:t xml:space="preserve"> however </w:t>
      </w:r>
      <w:r w:rsidR="00FF4C25" w:rsidRPr="002A59CE">
        <w:rPr>
          <w:lang w:val="en-US"/>
        </w:rPr>
        <w:t xml:space="preserve">it </w:t>
      </w:r>
      <w:r w:rsidRPr="002A59CE">
        <w:rPr>
          <w:lang w:val="en-US"/>
        </w:rPr>
        <w:t>was included in the economic model.</w:t>
      </w:r>
    </w:p>
    <w:p w:rsidR="00B573C8" w:rsidRPr="002A59CE" w:rsidRDefault="00C31BD0" w:rsidP="00C31BD0">
      <w:pPr>
        <w:pStyle w:val="ListParagraph"/>
        <w:widowControl/>
        <w:numPr>
          <w:ilvl w:val="0"/>
          <w:numId w:val="2"/>
        </w:numPr>
        <w:ind w:left="993" w:hanging="284"/>
        <w:rPr>
          <w:lang w:val="en-US"/>
        </w:rPr>
      </w:pPr>
      <w:r w:rsidRPr="002A59CE">
        <w:rPr>
          <w:lang w:val="en-US"/>
        </w:rPr>
        <w:t xml:space="preserve">A greater number of drug-related treatment emergent adverse events for patients treated with ulipristal (18.9%) compared to placebo (8.3%), although the difference was not statistically significant. </w:t>
      </w:r>
    </w:p>
    <w:p w:rsidR="00B60939" w:rsidRPr="00882085" w:rsidRDefault="00B60939" w:rsidP="00FC1884"/>
    <w:p w:rsidR="00B60939" w:rsidRDefault="00B60939" w:rsidP="00D06FD4">
      <w:pPr>
        <w:pStyle w:val="Heading2"/>
        <w:rPr>
          <w:i/>
        </w:rPr>
      </w:pPr>
      <w:bookmarkStart w:id="14" w:name="_Toc472349033"/>
      <w:r w:rsidRPr="00497F10">
        <w:rPr>
          <w:i/>
        </w:rPr>
        <w:t>Clinical claim</w:t>
      </w:r>
      <w:bookmarkEnd w:id="14"/>
    </w:p>
    <w:p w:rsidR="006F2060" w:rsidRPr="006F2060" w:rsidRDefault="006F2060" w:rsidP="006F2060"/>
    <w:p w:rsidR="00416765" w:rsidRPr="002A59CE" w:rsidRDefault="00416765" w:rsidP="00CF1650">
      <w:pPr>
        <w:pStyle w:val="ListParagraph"/>
        <w:widowControl/>
        <w:numPr>
          <w:ilvl w:val="1"/>
          <w:numId w:val="3"/>
        </w:numPr>
      </w:pPr>
      <w:r w:rsidRPr="00022F27">
        <w:t xml:space="preserve">The </w:t>
      </w:r>
      <w:r w:rsidR="007B08B0" w:rsidRPr="002A59CE">
        <w:t>resubmission</w:t>
      </w:r>
      <w:r w:rsidRPr="002A59CE">
        <w:t xml:space="preserve"> described ulipristal as superior in terms of comparative effectiveness to placebo as a proxy for an equivalent period of conservative management, with an acceptable and comparable safety and tolerability profile. </w:t>
      </w:r>
    </w:p>
    <w:p w:rsidR="00526287" w:rsidRPr="002A59CE" w:rsidRDefault="00416765" w:rsidP="00526287">
      <w:pPr>
        <w:pStyle w:val="ListParagraph"/>
        <w:numPr>
          <w:ilvl w:val="0"/>
          <w:numId w:val="18"/>
        </w:numPr>
        <w:ind w:left="993" w:hanging="284"/>
      </w:pPr>
      <w:r w:rsidRPr="002A59CE">
        <w:t>This claim was adequately supported in relation to effectiveness for controlling abnormal uterine bleeding and reducing both fibroid and uterine volume in pre-menopausal women eligible for surgery. This claim was accepted by the PBAC at the July 2016 PBAC meeting, and additional evidence available since this time d</w:t>
      </w:r>
      <w:r w:rsidR="00FB7D02" w:rsidRPr="002A59CE">
        <w:t>id</w:t>
      </w:r>
      <w:r w:rsidR="00526287" w:rsidRPr="002A59CE">
        <w:t xml:space="preserve"> not counter this claim.</w:t>
      </w:r>
    </w:p>
    <w:p w:rsidR="00526287" w:rsidRPr="002A59CE" w:rsidRDefault="00E264F5" w:rsidP="00526287">
      <w:pPr>
        <w:pStyle w:val="ListParagraph"/>
        <w:numPr>
          <w:ilvl w:val="0"/>
          <w:numId w:val="18"/>
        </w:numPr>
        <w:ind w:left="993" w:hanging="284"/>
      </w:pPr>
      <w:r w:rsidRPr="002A59CE">
        <w:t xml:space="preserve">The evidence presented in the </w:t>
      </w:r>
      <w:r w:rsidR="007B08B0" w:rsidRPr="002A59CE">
        <w:t>resubmission</w:t>
      </w:r>
      <w:r w:rsidRPr="002A59CE">
        <w:t xml:space="preserve"> indicated no statistically significant differences between ulipristal 5 mg and placebo with regard to surgery rates or types of surgery performed. </w:t>
      </w:r>
      <w:r w:rsidR="00FB7D02" w:rsidRPr="002A59CE">
        <w:t>T</w:t>
      </w:r>
      <w:r w:rsidR="004D182E" w:rsidRPr="002A59CE">
        <w:t>hus, t</w:t>
      </w:r>
      <w:r w:rsidR="00416765" w:rsidRPr="002A59CE">
        <w:t xml:space="preserve">here </w:t>
      </w:r>
      <w:r w:rsidR="00FB7D02" w:rsidRPr="002A59CE">
        <w:t>wa</w:t>
      </w:r>
      <w:r w:rsidR="00416765" w:rsidRPr="002A59CE">
        <w:t xml:space="preserve">s </w:t>
      </w:r>
      <w:r w:rsidR="00B75B4C" w:rsidRPr="002A59CE">
        <w:t>in</w:t>
      </w:r>
      <w:r w:rsidR="00416765" w:rsidRPr="002A59CE">
        <w:t xml:space="preserve">sufficient data to indicate that ulipristal has the potential to facilitate less invasive surgical techniques. </w:t>
      </w:r>
    </w:p>
    <w:p w:rsidR="00526287" w:rsidRPr="006211EC" w:rsidRDefault="00526287" w:rsidP="00497F10">
      <w:pPr>
        <w:pStyle w:val="ListParagraph"/>
        <w:keepNext/>
        <w:keepLines/>
        <w:numPr>
          <w:ilvl w:val="0"/>
          <w:numId w:val="18"/>
        </w:numPr>
        <w:ind w:left="993" w:hanging="284"/>
        <w:rPr>
          <w:szCs w:val="22"/>
        </w:rPr>
      </w:pPr>
      <w:r w:rsidRPr="002A59CE">
        <w:t xml:space="preserve">In relation to safety, although </w:t>
      </w:r>
      <w:r w:rsidR="008B47A9" w:rsidRPr="002A59CE">
        <w:t xml:space="preserve">the differences were not statistically significant, </w:t>
      </w:r>
      <w:r w:rsidRPr="002A59CE">
        <w:t>there were numerically greater numbers of adverse</w:t>
      </w:r>
      <w:r w:rsidR="008B47A9" w:rsidRPr="002A59CE">
        <w:t xml:space="preserve"> events in the ulipristal group</w:t>
      </w:r>
      <w:r w:rsidRPr="002A59CE">
        <w:t>.</w:t>
      </w:r>
      <w:r w:rsidR="00384E4A" w:rsidRPr="002A59CE">
        <w:t xml:space="preserve"> The ESC </w:t>
      </w:r>
      <w:r w:rsidR="008C2EA8" w:rsidRPr="002A59CE">
        <w:t>consider</w:t>
      </w:r>
      <w:r w:rsidR="00FC2CE3" w:rsidRPr="002A59CE">
        <w:t>ed there was insufficient data to support the claim that</w:t>
      </w:r>
      <w:r w:rsidR="008C2EA8" w:rsidRPr="002A59CE">
        <w:t xml:space="preserve"> </w:t>
      </w:r>
      <w:r w:rsidR="00384E4A" w:rsidRPr="002A59CE">
        <w:t xml:space="preserve">ulipristal </w:t>
      </w:r>
      <w:r w:rsidR="00FC2CE3" w:rsidRPr="002A59CE">
        <w:t>i</w:t>
      </w:r>
      <w:r w:rsidR="00F778C5" w:rsidRPr="002A59CE">
        <w:t xml:space="preserve">s </w:t>
      </w:r>
      <w:r w:rsidR="00384E4A" w:rsidRPr="002A59CE">
        <w:t xml:space="preserve">non-inferior to placebo in terms of comparative safety. </w:t>
      </w:r>
      <w:bookmarkStart w:id="15" w:name="_Toc472349034"/>
    </w:p>
    <w:p w:rsidR="006211EC" w:rsidRPr="006211EC" w:rsidRDefault="006211EC" w:rsidP="006211EC"/>
    <w:p w:rsidR="00F8401A" w:rsidRPr="0058519E" w:rsidRDefault="003A6ED8" w:rsidP="00BA3D05">
      <w:pPr>
        <w:pStyle w:val="ListParagraph"/>
        <w:widowControl/>
        <w:numPr>
          <w:ilvl w:val="1"/>
          <w:numId w:val="3"/>
        </w:numPr>
        <w:rPr>
          <w:szCs w:val="22"/>
        </w:rPr>
      </w:pPr>
      <w:r w:rsidRPr="0058519E">
        <w:rPr>
          <w:szCs w:val="22"/>
        </w:rPr>
        <w:t xml:space="preserve">The PBAC </w:t>
      </w:r>
      <w:r w:rsidR="00E02C0C">
        <w:rPr>
          <w:szCs w:val="22"/>
        </w:rPr>
        <w:t xml:space="preserve">considered </w:t>
      </w:r>
      <w:r w:rsidRPr="0058519E">
        <w:rPr>
          <w:szCs w:val="22"/>
        </w:rPr>
        <w:t xml:space="preserve">the claim of superior comparative effectiveness </w:t>
      </w:r>
      <w:r w:rsidR="0058519E" w:rsidRPr="0058519E">
        <w:rPr>
          <w:szCs w:val="22"/>
        </w:rPr>
        <w:t xml:space="preserve">of ulipristal over placebo </w:t>
      </w:r>
      <w:r w:rsidR="00E02C0C">
        <w:rPr>
          <w:szCs w:val="22"/>
        </w:rPr>
        <w:t xml:space="preserve">was reasonable for the outcomes of </w:t>
      </w:r>
      <w:r w:rsidR="0058519E" w:rsidRPr="0058519E">
        <w:rPr>
          <w:lang w:val="en-US"/>
        </w:rPr>
        <w:t>controlling abnormal uterine bleeding and reducing both fibroid and uterine volume.</w:t>
      </w:r>
      <w:r w:rsidR="00350C8D">
        <w:rPr>
          <w:lang w:val="en-US"/>
        </w:rPr>
        <w:t xml:space="preserve"> </w:t>
      </w:r>
      <w:r w:rsidR="00E02C0C">
        <w:rPr>
          <w:szCs w:val="22"/>
        </w:rPr>
        <w:t xml:space="preserve">The PBAC considered the claim of superior effectiveness was not adequately supported for the surgical or quality of life outcomes. </w:t>
      </w:r>
    </w:p>
    <w:p w:rsidR="00F8401A" w:rsidRPr="00A20B3C" w:rsidRDefault="00F8401A" w:rsidP="00F8401A">
      <w:pPr>
        <w:pStyle w:val="ListParagraph"/>
        <w:rPr>
          <w:bCs/>
          <w:szCs w:val="22"/>
        </w:rPr>
      </w:pPr>
    </w:p>
    <w:p w:rsidR="00297031" w:rsidRDefault="007F6640" w:rsidP="00297031">
      <w:pPr>
        <w:pStyle w:val="ListParagraph"/>
        <w:widowControl/>
        <w:numPr>
          <w:ilvl w:val="1"/>
          <w:numId w:val="3"/>
        </w:numPr>
        <w:rPr>
          <w:szCs w:val="22"/>
        </w:rPr>
      </w:pPr>
      <w:r>
        <w:rPr>
          <w:szCs w:val="22"/>
        </w:rPr>
        <w:t xml:space="preserve">The </w:t>
      </w:r>
      <w:r w:rsidR="00297031" w:rsidRPr="00A20B3C">
        <w:rPr>
          <w:szCs w:val="22"/>
        </w:rPr>
        <w:t>PBAC considered that the claim of non-inferior comparative safety was not adequately supported by the data.</w:t>
      </w:r>
    </w:p>
    <w:p w:rsidR="00F8401A" w:rsidRPr="00F8401A" w:rsidRDefault="00F8401A" w:rsidP="00F8401A"/>
    <w:p w:rsidR="00B60939" w:rsidRPr="00497F10" w:rsidRDefault="00B60939" w:rsidP="00497F10">
      <w:pPr>
        <w:pStyle w:val="Heading2"/>
        <w:rPr>
          <w:i/>
        </w:rPr>
      </w:pPr>
      <w:r w:rsidRPr="00497F10">
        <w:rPr>
          <w:i/>
        </w:rPr>
        <w:t>Economic analysis</w:t>
      </w:r>
      <w:bookmarkEnd w:id="15"/>
      <w:r w:rsidR="00491B3A" w:rsidRPr="00497F10">
        <w:rPr>
          <w:i/>
        </w:rPr>
        <w:t xml:space="preserve"> </w:t>
      </w:r>
    </w:p>
    <w:p w:rsidR="00B60939" w:rsidRPr="00882085" w:rsidRDefault="00B60939" w:rsidP="00B60939">
      <w:pPr>
        <w:ind w:left="720" w:hanging="720"/>
        <w:rPr>
          <w:szCs w:val="22"/>
        </w:rPr>
      </w:pPr>
    </w:p>
    <w:p w:rsidR="004B0160" w:rsidRPr="002A59CE" w:rsidRDefault="004B0160" w:rsidP="00CF1650">
      <w:pPr>
        <w:pStyle w:val="ListParagraph"/>
        <w:widowControl/>
        <w:numPr>
          <w:ilvl w:val="1"/>
          <w:numId w:val="3"/>
        </w:numPr>
        <w:rPr>
          <w:szCs w:val="22"/>
        </w:rPr>
      </w:pPr>
      <w:r w:rsidRPr="00C742AE">
        <w:t xml:space="preserve">The </w:t>
      </w:r>
      <w:r w:rsidR="007B08B0" w:rsidRPr="002A59CE">
        <w:t>resubmission</w:t>
      </w:r>
      <w:r w:rsidRPr="002A59CE">
        <w:t xml:space="preserve"> presented an economic model to evaluate the cost-effectiveness of ulipristal followed by surgery versus conservative management followed by surgery.</w:t>
      </w:r>
    </w:p>
    <w:p w:rsidR="004B0160" w:rsidRPr="002A59CE" w:rsidRDefault="004B0160" w:rsidP="004B0160">
      <w:pPr>
        <w:pStyle w:val="ListParagraph"/>
        <w:widowControl/>
        <w:rPr>
          <w:szCs w:val="22"/>
        </w:rPr>
      </w:pPr>
    </w:p>
    <w:p w:rsidR="008B47A9" w:rsidRPr="002A59CE" w:rsidRDefault="004B0160" w:rsidP="00546BA5">
      <w:pPr>
        <w:pStyle w:val="ListParagraph"/>
        <w:widowControl/>
        <w:numPr>
          <w:ilvl w:val="1"/>
          <w:numId w:val="3"/>
        </w:numPr>
        <w:rPr>
          <w:szCs w:val="22"/>
        </w:rPr>
      </w:pPr>
      <w:r w:rsidRPr="002A59CE">
        <w:rPr>
          <w:szCs w:val="22"/>
        </w:rPr>
        <w:t xml:space="preserve">The summary of model structure and rationale is presented in Table </w:t>
      </w:r>
      <w:r w:rsidR="00D5321D" w:rsidRPr="002A59CE">
        <w:rPr>
          <w:szCs w:val="22"/>
        </w:rPr>
        <w:t>7</w:t>
      </w:r>
      <w:r w:rsidRPr="002A59CE">
        <w:rPr>
          <w:szCs w:val="22"/>
        </w:rPr>
        <w:t>.</w:t>
      </w:r>
      <w:r w:rsidR="008B47A9" w:rsidRPr="002A59CE">
        <w:rPr>
          <w:szCs w:val="22"/>
        </w:rPr>
        <w:t xml:space="preserve"> Regarding the model structure, the ESC considered the health states used within the model were treatment outcomes rather than health outcomes</w:t>
      </w:r>
      <w:r w:rsidR="00546BA5" w:rsidRPr="002A59CE">
        <w:rPr>
          <w:szCs w:val="22"/>
        </w:rPr>
        <w:t>,</w:t>
      </w:r>
      <w:r w:rsidR="00546BA5" w:rsidRPr="002A59CE">
        <w:t xml:space="preserve"> and it was</w:t>
      </w:r>
      <w:r w:rsidR="00546BA5" w:rsidRPr="002A59CE">
        <w:rPr>
          <w:szCs w:val="22"/>
        </w:rPr>
        <w:t xml:space="preserve"> </w:t>
      </w:r>
      <w:r w:rsidR="007966F7" w:rsidRPr="002A59CE">
        <w:rPr>
          <w:szCs w:val="22"/>
        </w:rPr>
        <w:t>considered complicated</w:t>
      </w:r>
      <w:r w:rsidR="00546BA5" w:rsidRPr="002A59CE">
        <w:rPr>
          <w:szCs w:val="22"/>
        </w:rPr>
        <w:t xml:space="preserve"> given the</w:t>
      </w:r>
      <w:r w:rsidR="0040641B" w:rsidRPr="002A59CE">
        <w:rPr>
          <w:szCs w:val="22"/>
        </w:rPr>
        <w:t xml:space="preserve"> available</w:t>
      </w:r>
      <w:r w:rsidR="00546BA5" w:rsidRPr="002A59CE">
        <w:rPr>
          <w:szCs w:val="22"/>
        </w:rPr>
        <w:t xml:space="preserve"> </w:t>
      </w:r>
      <w:r w:rsidR="00643044" w:rsidRPr="002A59CE">
        <w:rPr>
          <w:szCs w:val="22"/>
        </w:rPr>
        <w:t>data</w:t>
      </w:r>
      <w:r w:rsidR="008B47A9" w:rsidRPr="002A59CE">
        <w:rPr>
          <w:szCs w:val="22"/>
        </w:rPr>
        <w:t>.</w:t>
      </w:r>
      <w:r w:rsidR="00EB7015" w:rsidRPr="002A59CE">
        <w:rPr>
          <w:szCs w:val="22"/>
        </w:rPr>
        <w:t xml:space="preserve"> The ESC noted costs associated with </w:t>
      </w:r>
      <w:r w:rsidR="00CD0ABC" w:rsidRPr="002A59CE">
        <w:rPr>
          <w:szCs w:val="22"/>
        </w:rPr>
        <w:t>conservative management for the treatment of symptoms were not included in the model.</w:t>
      </w:r>
    </w:p>
    <w:p w:rsidR="004B0160" w:rsidRDefault="004B0160" w:rsidP="004B0160">
      <w:pPr>
        <w:widowControl/>
        <w:rPr>
          <w:szCs w:val="22"/>
        </w:rPr>
      </w:pPr>
    </w:p>
    <w:p w:rsidR="004B0160" w:rsidRDefault="004B0160" w:rsidP="004B0160">
      <w:pPr>
        <w:ind w:firstLine="720"/>
        <w:rPr>
          <w:rStyle w:val="CommentReference"/>
        </w:rPr>
      </w:pPr>
      <w:r w:rsidRPr="00A56B6A">
        <w:rPr>
          <w:rStyle w:val="CommentReference"/>
        </w:rPr>
        <w:t xml:space="preserve">Table </w:t>
      </w:r>
      <w:r w:rsidR="00D5321D">
        <w:rPr>
          <w:rStyle w:val="CommentReference"/>
        </w:rPr>
        <w:t>7</w:t>
      </w:r>
      <w:r w:rsidRPr="00A56B6A">
        <w:rPr>
          <w:rStyle w:val="CommentReference"/>
        </w:rPr>
        <w:t>: Summary of model structure and rationale</w:t>
      </w:r>
    </w:p>
    <w:tbl>
      <w:tblPr>
        <w:tblW w:w="832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82"/>
        <w:gridCol w:w="5642"/>
      </w:tblGrid>
      <w:tr w:rsidR="004B0160" w:rsidRPr="004E2ADC" w:rsidTr="008F70AF">
        <w:trPr>
          <w:trHeight w:val="240"/>
        </w:trPr>
        <w:tc>
          <w:tcPr>
            <w:tcW w:w="2682" w:type="dxa"/>
            <w:shd w:val="clear" w:color="auto" w:fill="auto"/>
          </w:tcPr>
          <w:p w:rsidR="004B0160" w:rsidRPr="004E2ADC" w:rsidRDefault="004B0160" w:rsidP="00EF3E6D">
            <w:pPr>
              <w:rPr>
                <w:rFonts w:ascii="Arial Narrow" w:hAnsi="Arial Narrow"/>
                <w:sz w:val="20"/>
              </w:rPr>
            </w:pPr>
            <w:r w:rsidRPr="004E2ADC">
              <w:rPr>
                <w:rFonts w:ascii="Arial Narrow" w:hAnsi="Arial Narrow"/>
                <w:sz w:val="20"/>
              </w:rPr>
              <w:t>Time horizon</w:t>
            </w:r>
          </w:p>
        </w:tc>
        <w:tc>
          <w:tcPr>
            <w:tcW w:w="5642" w:type="dxa"/>
            <w:shd w:val="clear" w:color="auto" w:fill="auto"/>
          </w:tcPr>
          <w:p w:rsidR="004B0160" w:rsidRPr="00A422B7" w:rsidRDefault="004B0160" w:rsidP="00A67928">
            <w:pPr>
              <w:rPr>
                <w:rFonts w:ascii="Arial Narrow" w:hAnsi="Arial Narrow"/>
                <w:sz w:val="20"/>
              </w:rPr>
            </w:pPr>
            <w:r w:rsidRPr="00A422B7">
              <w:rPr>
                <w:rFonts w:ascii="Arial Narrow" w:hAnsi="Arial Narrow"/>
                <w:sz w:val="20"/>
              </w:rPr>
              <w:t>5 years in the model base case, based on 13</w:t>
            </w:r>
            <w:r>
              <w:rPr>
                <w:rFonts w:ascii="Arial Narrow" w:hAnsi="Arial Narrow"/>
                <w:sz w:val="20"/>
              </w:rPr>
              <w:t>-</w:t>
            </w:r>
            <w:r w:rsidRPr="00A422B7">
              <w:rPr>
                <w:rFonts w:ascii="Arial Narrow" w:hAnsi="Arial Narrow"/>
                <w:sz w:val="20"/>
              </w:rPr>
              <w:t xml:space="preserve">week </w:t>
            </w:r>
            <w:r>
              <w:rPr>
                <w:rFonts w:ascii="Arial Narrow" w:hAnsi="Arial Narrow"/>
                <w:sz w:val="20"/>
              </w:rPr>
              <w:t xml:space="preserve">PBA-C </w:t>
            </w:r>
            <w:r w:rsidRPr="00A422B7">
              <w:rPr>
                <w:rFonts w:ascii="Arial Narrow" w:hAnsi="Arial Narrow"/>
                <w:sz w:val="20"/>
              </w:rPr>
              <w:t xml:space="preserve">data from PEARL </w:t>
            </w:r>
            <w:r>
              <w:rPr>
                <w:rFonts w:ascii="Arial Narrow" w:hAnsi="Arial Narrow"/>
                <w:sz w:val="20"/>
              </w:rPr>
              <w:t>I</w:t>
            </w:r>
            <w:r w:rsidRPr="00A422B7">
              <w:rPr>
                <w:rFonts w:ascii="Arial Narrow" w:hAnsi="Arial Narrow"/>
                <w:sz w:val="20"/>
              </w:rPr>
              <w:t>.</w:t>
            </w:r>
            <w:r>
              <w:rPr>
                <w:rFonts w:ascii="Arial Narrow" w:hAnsi="Arial Narrow"/>
                <w:sz w:val="20"/>
              </w:rPr>
              <w:t xml:space="preserve">; and </w:t>
            </w:r>
            <w:r w:rsidR="00A67928">
              <w:rPr>
                <w:rFonts w:ascii="Arial Narrow" w:hAnsi="Arial Narrow"/>
                <w:sz w:val="20"/>
              </w:rPr>
              <w:t>W</w:t>
            </w:r>
            <w:r>
              <w:rPr>
                <w:rFonts w:ascii="Arial Narrow" w:hAnsi="Arial Narrow"/>
                <w:sz w:val="20"/>
              </w:rPr>
              <w:t>eek 13 and 38 surgical outcomes</w:t>
            </w:r>
          </w:p>
        </w:tc>
      </w:tr>
      <w:tr w:rsidR="004B0160" w:rsidRPr="004E2ADC" w:rsidTr="008F70AF">
        <w:trPr>
          <w:trHeight w:val="77"/>
        </w:trPr>
        <w:tc>
          <w:tcPr>
            <w:tcW w:w="2682" w:type="dxa"/>
            <w:shd w:val="clear" w:color="auto" w:fill="auto"/>
          </w:tcPr>
          <w:p w:rsidR="004B0160" w:rsidRPr="004E2ADC" w:rsidRDefault="004B0160" w:rsidP="00EF3E6D">
            <w:pPr>
              <w:rPr>
                <w:rFonts w:ascii="Arial Narrow" w:hAnsi="Arial Narrow"/>
                <w:sz w:val="20"/>
              </w:rPr>
            </w:pPr>
            <w:r w:rsidRPr="004E2ADC">
              <w:rPr>
                <w:rFonts w:ascii="Arial Narrow" w:hAnsi="Arial Narrow"/>
                <w:sz w:val="20"/>
              </w:rPr>
              <w:t>Outcomes</w:t>
            </w:r>
          </w:p>
        </w:tc>
        <w:tc>
          <w:tcPr>
            <w:tcW w:w="5642" w:type="dxa"/>
            <w:shd w:val="clear" w:color="auto" w:fill="auto"/>
          </w:tcPr>
          <w:p w:rsidR="004B0160" w:rsidRPr="00A422B7" w:rsidRDefault="004B0160" w:rsidP="00EF3E6D">
            <w:pPr>
              <w:rPr>
                <w:rFonts w:ascii="Arial Narrow" w:hAnsi="Arial Narrow"/>
                <w:sz w:val="20"/>
              </w:rPr>
            </w:pPr>
            <w:r w:rsidRPr="00A422B7">
              <w:rPr>
                <w:rFonts w:ascii="Arial Narrow" w:hAnsi="Arial Narrow"/>
                <w:sz w:val="20"/>
              </w:rPr>
              <w:t>QALYs</w:t>
            </w:r>
          </w:p>
        </w:tc>
      </w:tr>
      <w:tr w:rsidR="004B0160" w:rsidRPr="004E2ADC" w:rsidTr="008F70AF">
        <w:trPr>
          <w:trHeight w:val="70"/>
        </w:trPr>
        <w:tc>
          <w:tcPr>
            <w:tcW w:w="2682" w:type="dxa"/>
            <w:shd w:val="clear" w:color="auto" w:fill="auto"/>
          </w:tcPr>
          <w:p w:rsidR="004B0160" w:rsidRPr="004E2ADC" w:rsidRDefault="004B0160" w:rsidP="00EF3E6D">
            <w:pPr>
              <w:rPr>
                <w:rFonts w:ascii="Arial Narrow" w:hAnsi="Arial Narrow"/>
                <w:sz w:val="20"/>
              </w:rPr>
            </w:pPr>
            <w:r w:rsidRPr="004E2ADC">
              <w:rPr>
                <w:rFonts w:ascii="Arial Narrow" w:hAnsi="Arial Narrow"/>
                <w:sz w:val="20"/>
              </w:rPr>
              <w:t>Methods used to generate results</w:t>
            </w:r>
          </w:p>
        </w:tc>
        <w:tc>
          <w:tcPr>
            <w:tcW w:w="5642" w:type="dxa"/>
            <w:shd w:val="clear" w:color="auto" w:fill="auto"/>
          </w:tcPr>
          <w:p w:rsidR="004B0160" w:rsidRPr="00A422B7" w:rsidRDefault="004B0160" w:rsidP="00A67928">
            <w:pPr>
              <w:rPr>
                <w:rFonts w:ascii="Arial Narrow" w:hAnsi="Arial Narrow"/>
                <w:sz w:val="20"/>
              </w:rPr>
            </w:pPr>
            <w:r>
              <w:rPr>
                <w:rFonts w:ascii="Arial Narrow" w:hAnsi="Arial Narrow"/>
                <w:sz w:val="20"/>
              </w:rPr>
              <w:t>Markov Cohort expected value analysis</w:t>
            </w:r>
          </w:p>
        </w:tc>
      </w:tr>
      <w:tr w:rsidR="004B0160" w:rsidRPr="004E2ADC" w:rsidTr="008F70AF">
        <w:trPr>
          <w:trHeight w:val="225"/>
        </w:trPr>
        <w:tc>
          <w:tcPr>
            <w:tcW w:w="2682" w:type="dxa"/>
            <w:shd w:val="clear" w:color="auto" w:fill="auto"/>
          </w:tcPr>
          <w:p w:rsidR="004B0160" w:rsidRPr="004E2ADC" w:rsidRDefault="004B0160" w:rsidP="00EF3E6D">
            <w:pPr>
              <w:rPr>
                <w:rFonts w:ascii="Arial Narrow" w:hAnsi="Arial Narrow"/>
                <w:sz w:val="20"/>
              </w:rPr>
            </w:pPr>
            <w:r w:rsidRPr="004E2ADC">
              <w:rPr>
                <w:rFonts w:ascii="Arial Narrow" w:hAnsi="Arial Narrow"/>
                <w:sz w:val="20"/>
              </w:rPr>
              <w:t>Cycle length</w:t>
            </w:r>
          </w:p>
        </w:tc>
        <w:tc>
          <w:tcPr>
            <w:tcW w:w="5642" w:type="dxa"/>
            <w:shd w:val="clear" w:color="auto" w:fill="auto"/>
          </w:tcPr>
          <w:p w:rsidR="004B0160" w:rsidRPr="00A422B7" w:rsidRDefault="004B0160" w:rsidP="00EF3E6D">
            <w:pPr>
              <w:rPr>
                <w:rFonts w:ascii="Arial Narrow" w:hAnsi="Arial Narrow"/>
                <w:sz w:val="20"/>
              </w:rPr>
            </w:pPr>
            <w:r w:rsidRPr="00A422B7">
              <w:rPr>
                <w:rFonts w:ascii="Arial Narrow" w:hAnsi="Arial Narrow"/>
                <w:sz w:val="20"/>
              </w:rPr>
              <w:t>13 weeks</w:t>
            </w:r>
          </w:p>
        </w:tc>
      </w:tr>
      <w:tr w:rsidR="004B0160" w:rsidRPr="004E2ADC" w:rsidTr="008F70AF">
        <w:trPr>
          <w:trHeight w:val="448"/>
        </w:trPr>
        <w:tc>
          <w:tcPr>
            <w:tcW w:w="2682" w:type="dxa"/>
            <w:shd w:val="clear" w:color="auto" w:fill="auto"/>
          </w:tcPr>
          <w:p w:rsidR="004B0160" w:rsidRPr="004E2ADC" w:rsidRDefault="004B0160" w:rsidP="00EF3E6D">
            <w:pPr>
              <w:rPr>
                <w:rFonts w:ascii="Arial Narrow" w:hAnsi="Arial Narrow"/>
                <w:sz w:val="20"/>
              </w:rPr>
            </w:pPr>
            <w:r w:rsidRPr="004E2ADC">
              <w:rPr>
                <w:rFonts w:ascii="Arial Narrow" w:hAnsi="Arial Narrow"/>
                <w:sz w:val="20"/>
              </w:rPr>
              <w:t>Transition probabilities</w:t>
            </w:r>
          </w:p>
        </w:tc>
        <w:tc>
          <w:tcPr>
            <w:tcW w:w="5642" w:type="dxa"/>
            <w:shd w:val="clear" w:color="auto" w:fill="auto"/>
          </w:tcPr>
          <w:p w:rsidR="004B0160" w:rsidRPr="00A422B7" w:rsidRDefault="004B0160" w:rsidP="00EF3E6D">
            <w:pPr>
              <w:rPr>
                <w:rFonts w:ascii="Arial Narrow" w:hAnsi="Arial Narrow"/>
                <w:sz w:val="20"/>
              </w:rPr>
            </w:pPr>
            <w:r w:rsidRPr="00A422B7">
              <w:rPr>
                <w:rFonts w:ascii="Arial Narrow" w:hAnsi="Arial Narrow"/>
                <w:sz w:val="20"/>
              </w:rPr>
              <w:t>Health states based on event – based transitions such as medical management, expectant management, surgical management, post non-invasive surgery, post-invasive surgery, death</w:t>
            </w:r>
          </w:p>
        </w:tc>
      </w:tr>
      <w:tr w:rsidR="004B0160" w:rsidRPr="004E2ADC" w:rsidTr="008F70AF">
        <w:trPr>
          <w:trHeight w:val="240"/>
        </w:trPr>
        <w:tc>
          <w:tcPr>
            <w:tcW w:w="2682" w:type="dxa"/>
            <w:shd w:val="clear" w:color="auto" w:fill="auto"/>
          </w:tcPr>
          <w:p w:rsidR="004B0160" w:rsidRPr="004E2ADC" w:rsidRDefault="004B0160" w:rsidP="00EF3E6D">
            <w:pPr>
              <w:rPr>
                <w:rFonts w:ascii="Arial Narrow" w:hAnsi="Arial Narrow"/>
                <w:sz w:val="20"/>
              </w:rPr>
            </w:pPr>
            <w:r w:rsidRPr="004E2ADC">
              <w:rPr>
                <w:rFonts w:ascii="Arial Narrow" w:hAnsi="Arial Narrow"/>
                <w:sz w:val="20"/>
              </w:rPr>
              <w:t>Discount rate</w:t>
            </w:r>
          </w:p>
        </w:tc>
        <w:tc>
          <w:tcPr>
            <w:tcW w:w="5642" w:type="dxa"/>
            <w:shd w:val="clear" w:color="auto" w:fill="auto"/>
          </w:tcPr>
          <w:p w:rsidR="004B0160" w:rsidRPr="00A422B7" w:rsidRDefault="004B0160" w:rsidP="00EF3E6D">
            <w:pPr>
              <w:rPr>
                <w:rFonts w:ascii="Arial Narrow" w:hAnsi="Arial Narrow"/>
                <w:sz w:val="20"/>
              </w:rPr>
            </w:pPr>
            <w:r w:rsidRPr="00A422B7">
              <w:rPr>
                <w:rFonts w:ascii="Arial Narrow" w:hAnsi="Arial Narrow"/>
                <w:sz w:val="20"/>
              </w:rPr>
              <w:t>5% for costs and outcomes</w:t>
            </w:r>
          </w:p>
        </w:tc>
      </w:tr>
      <w:tr w:rsidR="004B0160" w:rsidRPr="004E2ADC" w:rsidTr="008F70AF">
        <w:trPr>
          <w:trHeight w:val="225"/>
        </w:trPr>
        <w:tc>
          <w:tcPr>
            <w:tcW w:w="2682" w:type="dxa"/>
            <w:shd w:val="clear" w:color="auto" w:fill="auto"/>
          </w:tcPr>
          <w:p w:rsidR="004B0160" w:rsidRPr="004E2ADC" w:rsidRDefault="004B0160" w:rsidP="00EF3E6D">
            <w:pPr>
              <w:rPr>
                <w:rFonts w:ascii="Arial Narrow" w:hAnsi="Arial Narrow"/>
                <w:sz w:val="20"/>
              </w:rPr>
            </w:pPr>
            <w:r w:rsidRPr="004E2ADC">
              <w:rPr>
                <w:rFonts w:ascii="Arial Narrow" w:hAnsi="Arial Narrow"/>
                <w:sz w:val="20"/>
              </w:rPr>
              <w:t>Software package</w:t>
            </w:r>
          </w:p>
        </w:tc>
        <w:tc>
          <w:tcPr>
            <w:tcW w:w="5642" w:type="dxa"/>
            <w:shd w:val="clear" w:color="auto" w:fill="auto"/>
          </w:tcPr>
          <w:p w:rsidR="004B0160" w:rsidRPr="00A422B7" w:rsidRDefault="004B0160" w:rsidP="00EF3E6D">
            <w:pPr>
              <w:rPr>
                <w:rFonts w:ascii="Arial Narrow" w:hAnsi="Arial Narrow"/>
                <w:sz w:val="20"/>
              </w:rPr>
            </w:pPr>
            <w:r w:rsidRPr="00A422B7">
              <w:rPr>
                <w:rFonts w:ascii="Arial Narrow" w:hAnsi="Arial Narrow"/>
                <w:sz w:val="20"/>
              </w:rPr>
              <w:t>TreeAge 201</w:t>
            </w:r>
            <w:r>
              <w:rPr>
                <w:rFonts w:ascii="Arial Narrow" w:hAnsi="Arial Narrow"/>
                <w:sz w:val="20"/>
              </w:rPr>
              <w:t>6</w:t>
            </w:r>
            <w:r w:rsidRPr="00A422B7">
              <w:rPr>
                <w:rFonts w:ascii="Arial Narrow" w:hAnsi="Arial Narrow"/>
                <w:sz w:val="20"/>
              </w:rPr>
              <w:t xml:space="preserve"> </w:t>
            </w:r>
          </w:p>
        </w:tc>
      </w:tr>
    </w:tbl>
    <w:p w:rsidR="004B0160" w:rsidRPr="00D13A3E" w:rsidRDefault="004B0160" w:rsidP="004B0160">
      <w:pPr>
        <w:pStyle w:val="TableFooter"/>
        <w:ind w:left="720"/>
      </w:pPr>
      <w:r w:rsidRPr="00D13A3E">
        <w:t xml:space="preserve">Source: </w:t>
      </w:r>
      <w:r w:rsidR="00A67928">
        <w:t>C</w:t>
      </w:r>
      <w:r w:rsidRPr="00D13A3E">
        <w:t>onstructed during the evaluation</w:t>
      </w:r>
      <w:r>
        <w:t>. PBA-C = pictorial bl</w:t>
      </w:r>
      <w:r w:rsidR="002A27B2">
        <w:t>ood-loss</w:t>
      </w:r>
      <w:r>
        <w:t xml:space="preserve"> assessment chart</w:t>
      </w:r>
    </w:p>
    <w:p w:rsidR="004B0160" w:rsidRPr="00275C5A" w:rsidRDefault="004B0160" w:rsidP="004B0160">
      <w:pPr>
        <w:widowControl/>
        <w:rPr>
          <w:szCs w:val="22"/>
        </w:rPr>
      </w:pPr>
    </w:p>
    <w:p w:rsidR="004B0160" w:rsidRPr="00B608CF" w:rsidRDefault="004B0160" w:rsidP="00CF1650">
      <w:pPr>
        <w:pStyle w:val="ListParagraph"/>
        <w:widowControl/>
        <w:numPr>
          <w:ilvl w:val="1"/>
          <w:numId w:val="3"/>
        </w:numPr>
        <w:rPr>
          <w:szCs w:val="22"/>
        </w:rPr>
      </w:pPr>
      <w:r>
        <w:t>The two key drivers of the model were</w:t>
      </w:r>
      <w:r w:rsidR="00350C8D">
        <w:t>:</w:t>
      </w:r>
      <w:r>
        <w:t xml:space="preserve"> </w:t>
      </w:r>
    </w:p>
    <w:p w:rsidR="004B0160" w:rsidRPr="00022F27" w:rsidRDefault="004B0160" w:rsidP="00CF1650">
      <w:pPr>
        <w:pStyle w:val="ListParagraph"/>
        <w:numPr>
          <w:ilvl w:val="0"/>
          <w:numId w:val="7"/>
        </w:numPr>
        <w:tabs>
          <w:tab w:val="left" w:pos="993"/>
        </w:tabs>
        <w:ind w:left="993" w:hanging="284"/>
      </w:pPr>
      <w:r w:rsidRPr="00022F27">
        <w:t>differences in total QALYs in the first 13-week cycle of the model derived from (i) differences in rates of bleeding from the PEARL I trial, and (ii) utility values sourced from the literature.</w:t>
      </w:r>
    </w:p>
    <w:p w:rsidR="004B0160" w:rsidRPr="00022F27" w:rsidRDefault="004B0160" w:rsidP="00CF1650">
      <w:pPr>
        <w:pStyle w:val="ListParagraph"/>
        <w:numPr>
          <w:ilvl w:val="0"/>
          <w:numId w:val="7"/>
        </w:numPr>
        <w:tabs>
          <w:tab w:val="left" w:pos="993"/>
        </w:tabs>
        <w:ind w:left="993" w:hanging="284"/>
      </w:pPr>
      <w:r w:rsidRPr="00022F27">
        <w:t>differences in surgery rates for the types of surgeries performed and derived from PEARL I Part A and B surgery rates</w:t>
      </w:r>
      <w:r w:rsidR="004D182E" w:rsidRPr="00022F27">
        <w:t>, despite these being non-statistically significantly different</w:t>
      </w:r>
      <w:r w:rsidRPr="00022F27">
        <w:t>.</w:t>
      </w:r>
    </w:p>
    <w:p w:rsidR="00D353D9" w:rsidRDefault="00D353D9">
      <w:pPr>
        <w:widowControl/>
        <w:jc w:val="left"/>
        <w:rPr>
          <w:szCs w:val="22"/>
        </w:rPr>
      </w:pPr>
      <w:r>
        <w:rPr>
          <w:szCs w:val="22"/>
        </w:rPr>
        <w:br w:type="page"/>
      </w:r>
    </w:p>
    <w:p w:rsidR="004B0160" w:rsidRDefault="004B0160" w:rsidP="004B0160">
      <w:pPr>
        <w:ind w:firstLine="720"/>
        <w:rPr>
          <w:rStyle w:val="CommentReference"/>
        </w:rPr>
      </w:pPr>
      <w:r w:rsidRPr="00A56B6A">
        <w:rPr>
          <w:rStyle w:val="CommentReference"/>
        </w:rPr>
        <w:t xml:space="preserve">Table </w:t>
      </w:r>
      <w:r w:rsidR="00D5321D">
        <w:rPr>
          <w:rStyle w:val="CommentReference"/>
        </w:rPr>
        <w:t>8</w:t>
      </w:r>
      <w:r>
        <w:rPr>
          <w:rStyle w:val="CommentReference"/>
        </w:rPr>
        <w:t>:</w:t>
      </w:r>
      <w:r w:rsidRPr="00A56B6A">
        <w:rPr>
          <w:rStyle w:val="CommentReference"/>
        </w:rPr>
        <w:t xml:space="preserve">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3543"/>
        <w:gridCol w:w="2250"/>
      </w:tblGrid>
      <w:tr w:rsidR="004B0160" w:rsidRPr="00E2771E" w:rsidTr="00EF3E6D">
        <w:trPr>
          <w:tblHeader/>
        </w:trPr>
        <w:tc>
          <w:tcPr>
            <w:tcW w:w="1529" w:type="pct"/>
            <w:shd w:val="clear" w:color="auto" w:fill="auto"/>
            <w:vAlign w:val="center"/>
          </w:tcPr>
          <w:p w:rsidR="004B0160" w:rsidRPr="00E2771E" w:rsidRDefault="004B0160" w:rsidP="00EF3E6D">
            <w:pPr>
              <w:jc w:val="left"/>
              <w:rPr>
                <w:rFonts w:ascii="Arial Narrow" w:hAnsi="Arial Narrow"/>
                <w:b/>
                <w:sz w:val="20"/>
                <w:lang w:val="en-US"/>
              </w:rPr>
            </w:pPr>
            <w:r w:rsidRPr="00E2771E">
              <w:rPr>
                <w:rFonts w:ascii="Arial Narrow" w:hAnsi="Arial Narrow"/>
                <w:b/>
                <w:sz w:val="20"/>
                <w:lang w:val="en-US"/>
              </w:rPr>
              <w:t>Description</w:t>
            </w:r>
          </w:p>
        </w:tc>
        <w:tc>
          <w:tcPr>
            <w:tcW w:w="2123" w:type="pct"/>
            <w:shd w:val="clear" w:color="auto" w:fill="auto"/>
            <w:vAlign w:val="center"/>
          </w:tcPr>
          <w:p w:rsidR="004B0160" w:rsidRPr="00E2771E" w:rsidRDefault="004B0160" w:rsidP="00EF3E6D">
            <w:pPr>
              <w:jc w:val="center"/>
              <w:rPr>
                <w:rFonts w:ascii="Arial Narrow" w:hAnsi="Arial Narrow"/>
                <w:b/>
                <w:sz w:val="20"/>
                <w:lang w:val="en-US"/>
              </w:rPr>
            </w:pPr>
            <w:r w:rsidRPr="00E2771E">
              <w:rPr>
                <w:rFonts w:ascii="Arial Narrow" w:hAnsi="Arial Narrow"/>
                <w:b/>
                <w:sz w:val="20"/>
                <w:lang w:val="en-US"/>
              </w:rPr>
              <w:t>Method/Value</w:t>
            </w:r>
          </w:p>
        </w:tc>
        <w:tc>
          <w:tcPr>
            <w:tcW w:w="1348" w:type="pct"/>
            <w:shd w:val="clear" w:color="auto" w:fill="auto"/>
            <w:vAlign w:val="center"/>
          </w:tcPr>
          <w:p w:rsidR="004B0160" w:rsidRPr="00E2771E" w:rsidRDefault="004B0160" w:rsidP="00EF3E6D">
            <w:pPr>
              <w:jc w:val="center"/>
              <w:rPr>
                <w:rFonts w:ascii="Arial Narrow" w:hAnsi="Arial Narrow"/>
                <w:b/>
                <w:sz w:val="20"/>
                <w:lang w:val="en-US"/>
              </w:rPr>
            </w:pPr>
            <w:r w:rsidRPr="00E2771E">
              <w:rPr>
                <w:rFonts w:ascii="Arial Narrow" w:hAnsi="Arial Narrow"/>
                <w:b/>
                <w:sz w:val="20"/>
                <w:lang w:val="en-US"/>
              </w:rPr>
              <w:t>Impact</w:t>
            </w:r>
          </w:p>
        </w:tc>
      </w:tr>
      <w:tr w:rsidR="004B0160" w:rsidRPr="00E2771E" w:rsidTr="00EF3E6D">
        <w:tc>
          <w:tcPr>
            <w:tcW w:w="1529" w:type="pct"/>
            <w:shd w:val="clear" w:color="auto" w:fill="auto"/>
            <w:vAlign w:val="center"/>
          </w:tcPr>
          <w:p w:rsidR="004B0160" w:rsidRPr="00E2771E" w:rsidRDefault="004B0160" w:rsidP="00EF3E6D">
            <w:pPr>
              <w:jc w:val="left"/>
              <w:rPr>
                <w:rFonts w:ascii="Arial Narrow" w:hAnsi="Arial Narrow"/>
                <w:sz w:val="20"/>
                <w:lang w:val="en-US"/>
              </w:rPr>
            </w:pPr>
            <w:r>
              <w:rPr>
                <w:rFonts w:ascii="Arial Narrow" w:hAnsi="Arial Narrow"/>
                <w:sz w:val="20"/>
                <w:lang w:val="en-US"/>
              </w:rPr>
              <w:t>Surgical outcomes</w:t>
            </w:r>
          </w:p>
        </w:tc>
        <w:tc>
          <w:tcPr>
            <w:tcW w:w="2123" w:type="pct"/>
            <w:shd w:val="clear" w:color="auto" w:fill="auto"/>
            <w:vAlign w:val="center"/>
          </w:tcPr>
          <w:p w:rsidR="004B0160" w:rsidRPr="00E2771E" w:rsidRDefault="004B0160" w:rsidP="00EF3E6D">
            <w:pPr>
              <w:jc w:val="center"/>
              <w:rPr>
                <w:rFonts w:ascii="Arial Narrow" w:hAnsi="Arial Narrow"/>
                <w:sz w:val="20"/>
                <w:lang w:val="en-US"/>
              </w:rPr>
            </w:pPr>
            <w:r>
              <w:rPr>
                <w:rFonts w:ascii="Arial Narrow" w:hAnsi="Arial Narrow"/>
                <w:sz w:val="20"/>
                <w:lang w:val="en-US"/>
              </w:rPr>
              <w:t>Modeled differences in proportion of patients proceeding to surgery; and differences in types of less and more invasive surgeries.</w:t>
            </w:r>
          </w:p>
        </w:tc>
        <w:tc>
          <w:tcPr>
            <w:tcW w:w="1348" w:type="pct"/>
            <w:shd w:val="clear" w:color="auto" w:fill="auto"/>
            <w:vAlign w:val="center"/>
          </w:tcPr>
          <w:p w:rsidR="004B0160" w:rsidRPr="00E2771E" w:rsidRDefault="004B0160" w:rsidP="00EF3E6D">
            <w:pPr>
              <w:jc w:val="center"/>
              <w:rPr>
                <w:rFonts w:ascii="Arial Narrow" w:hAnsi="Arial Narrow"/>
                <w:sz w:val="20"/>
                <w:lang w:val="en-US"/>
              </w:rPr>
            </w:pPr>
            <w:r>
              <w:rPr>
                <w:rFonts w:ascii="Arial Narrow" w:hAnsi="Arial Narrow"/>
                <w:sz w:val="20"/>
                <w:lang w:val="en-US"/>
              </w:rPr>
              <w:t>High, favoured ulipristal</w:t>
            </w:r>
          </w:p>
        </w:tc>
      </w:tr>
      <w:tr w:rsidR="004B0160" w:rsidRPr="00E2771E" w:rsidTr="00EF3E6D">
        <w:tc>
          <w:tcPr>
            <w:tcW w:w="1529" w:type="pct"/>
            <w:shd w:val="clear" w:color="auto" w:fill="auto"/>
            <w:vAlign w:val="center"/>
          </w:tcPr>
          <w:p w:rsidR="004B0160" w:rsidRPr="00E2771E" w:rsidRDefault="004B0160" w:rsidP="00EF3E6D">
            <w:pPr>
              <w:jc w:val="left"/>
              <w:rPr>
                <w:rFonts w:ascii="Arial Narrow" w:hAnsi="Arial Narrow"/>
                <w:sz w:val="20"/>
                <w:lang w:val="en-US"/>
              </w:rPr>
            </w:pPr>
            <w:r>
              <w:rPr>
                <w:rFonts w:ascii="Arial Narrow" w:hAnsi="Arial Narrow"/>
                <w:sz w:val="20"/>
                <w:lang w:val="en-US"/>
              </w:rPr>
              <w:t>Utility values for controlled and uncontrolled bleeding</w:t>
            </w:r>
          </w:p>
        </w:tc>
        <w:tc>
          <w:tcPr>
            <w:tcW w:w="2123" w:type="pct"/>
            <w:shd w:val="clear" w:color="auto" w:fill="auto"/>
            <w:vAlign w:val="center"/>
          </w:tcPr>
          <w:p w:rsidR="004B0160" w:rsidRPr="00E2771E" w:rsidRDefault="004B0160" w:rsidP="00EF3E6D">
            <w:pPr>
              <w:jc w:val="center"/>
              <w:rPr>
                <w:rFonts w:ascii="Arial Narrow" w:hAnsi="Arial Narrow"/>
                <w:sz w:val="20"/>
                <w:lang w:val="en-US"/>
              </w:rPr>
            </w:pPr>
            <w:r>
              <w:rPr>
                <w:rFonts w:ascii="Arial Narrow" w:hAnsi="Arial Narrow"/>
                <w:sz w:val="20"/>
                <w:lang w:val="en-US"/>
              </w:rPr>
              <w:t>0.73 for controlled bleeding, and 0.55 for uncontrolled bleeding, based on Hux 2015</w:t>
            </w:r>
            <w:r w:rsidR="00AF6B43">
              <w:rPr>
                <w:rFonts w:ascii="Arial Narrow" w:hAnsi="Arial Narrow"/>
                <w:sz w:val="20"/>
                <w:lang w:val="en-US"/>
              </w:rPr>
              <w:t>.</w:t>
            </w:r>
          </w:p>
        </w:tc>
        <w:tc>
          <w:tcPr>
            <w:tcW w:w="1348" w:type="pct"/>
            <w:shd w:val="clear" w:color="auto" w:fill="auto"/>
            <w:vAlign w:val="center"/>
          </w:tcPr>
          <w:p w:rsidR="004B0160" w:rsidRPr="00E2771E" w:rsidRDefault="004B0160" w:rsidP="003D1026">
            <w:pPr>
              <w:jc w:val="center"/>
              <w:rPr>
                <w:rFonts w:ascii="Arial Narrow" w:hAnsi="Arial Narrow"/>
                <w:sz w:val="20"/>
                <w:lang w:val="en-US"/>
              </w:rPr>
            </w:pPr>
            <w:r>
              <w:rPr>
                <w:rFonts w:ascii="Arial Narrow" w:hAnsi="Arial Narrow"/>
                <w:sz w:val="20"/>
                <w:lang w:val="en-US"/>
              </w:rPr>
              <w:t>High, favoured ulipristal</w:t>
            </w:r>
          </w:p>
        </w:tc>
      </w:tr>
      <w:tr w:rsidR="004B0160" w:rsidRPr="00E2771E" w:rsidTr="00EF3E6D">
        <w:tc>
          <w:tcPr>
            <w:tcW w:w="1529" w:type="pct"/>
            <w:shd w:val="clear" w:color="auto" w:fill="auto"/>
            <w:vAlign w:val="center"/>
          </w:tcPr>
          <w:p w:rsidR="004B0160" w:rsidRPr="00E2771E" w:rsidRDefault="004B0160" w:rsidP="00EF3E6D">
            <w:pPr>
              <w:jc w:val="left"/>
              <w:rPr>
                <w:rFonts w:ascii="Arial Narrow" w:hAnsi="Arial Narrow"/>
                <w:sz w:val="20"/>
                <w:lang w:val="en-US"/>
              </w:rPr>
            </w:pPr>
            <w:r>
              <w:rPr>
                <w:rFonts w:ascii="Arial Narrow" w:hAnsi="Arial Narrow"/>
                <w:sz w:val="20"/>
                <w:lang w:val="en-US"/>
              </w:rPr>
              <w:t>Time horizon</w:t>
            </w:r>
          </w:p>
        </w:tc>
        <w:tc>
          <w:tcPr>
            <w:tcW w:w="2123" w:type="pct"/>
            <w:shd w:val="clear" w:color="auto" w:fill="auto"/>
            <w:vAlign w:val="center"/>
          </w:tcPr>
          <w:p w:rsidR="004B0160" w:rsidRPr="00E2771E" w:rsidRDefault="004B0160" w:rsidP="00EF3E6D">
            <w:pPr>
              <w:jc w:val="center"/>
              <w:rPr>
                <w:rFonts w:ascii="Arial Narrow" w:hAnsi="Arial Narrow"/>
                <w:sz w:val="20"/>
                <w:lang w:val="en-US"/>
              </w:rPr>
            </w:pPr>
            <w:r>
              <w:rPr>
                <w:rFonts w:ascii="Arial Narrow" w:hAnsi="Arial Narrow"/>
                <w:sz w:val="20"/>
                <w:lang w:val="en-US"/>
              </w:rPr>
              <w:t>5 years</w:t>
            </w:r>
          </w:p>
        </w:tc>
        <w:tc>
          <w:tcPr>
            <w:tcW w:w="1348" w:type="pct"/>
            <w:shd w:val="clear" w:color="auto" w:fill="auto"/>
            <w:vAlign w:val="center"/>
          </w:tcPr>
          <w:p w:rsidR="004B0160" w:rsidRPr="00E2771E" w:rsidRDefault="004B0160" w:rsidP="00EF3E6D">
            <w:pPr>
              <w:jc w:val="center"/>
              <w:rPr>
                <w:rFonts w:ascii="Arial Narrow" w:hAnsi="Arial Narrow"/>
                <w:sz w:val="20"/>
                <w:lang w:val="en-US"/>
              </w:rPr>
            </w:pPr>
            <w:r>
              <w:rPr>
                <w:rFonts w:ascii="Arial Narrow" w:hAnsi="Arial Narrow"/>
                <w:sz w:val="20"/>
                <w:lang w:val="en-US"/>
              </w:rPr>
              <w:t>High, favoured ulipristal</w:t>
            </w:r>
          </w:p>
        </w:tc>
      </w:tr>
    </w:tbl>
    <w:p w:rsidR="004B0160" w:rsidRPr="00D110BD" w:rsidRDefault="00F12EB9" w:rsidP="004B0160">
      <w:pPr>
        <w:pStyle w:val="TableFooter"/>
        <w:ind w:firstLine="720"/>
      </w:pPr>
      <w:r>
        <w:t>Source: C</w:t>
      </w:r>
      <w:r w:rsidR="004B0160" w:rsidRPr="00D110BD">
        <w:t>ompiled during the evaluation</w:t>
      </w:r>
    </w:p>
    <w:p w:rsidR="004B0160" w:rsidRPr="00275C5A" w:rsidRDefault="004B0160" w:rsidP="004B0160">
      <w:pPr>
        <w:widowControl/>
        <w:rPr>
          <w:szCs w:val="22"/>
        </w:rPr>
      </w:pPr>
    </w:p>
    <w:p w:rsidR="004B0160" w:rsidRPr="00022F27" w:rsidRDefault="004B0160" w:rsidP="00CF1650">
      <w:pPr>
        <w:pStyle w:val="ListParagraph"/>
        <w:widowControl/>
        <w:numPr>
          <w:ilvl w:val="1"/>
          <w:numId w:val="3"/>
        </w:numPr>
        <w:rPr>
          <w:szCs w:val="22"/>
        </w:rPr>
      </w:pPr>
      <w:r w:rsidRPr="00022F27">
        <w:t xml:space="preserve">The PBAC </w:t>
      </w:r>
      <w:r w:rsidR="00E02C0C">
        <w:t>considered n</w:t>
      </w:r>
      <w:r w:rsidR="00E02C0C" w:rsidRPr="00022F27">
        <w:t xml:space="preserve">o new convincing evidence was provided in the </w:t>
      </w:r>
      <w:r w:rsidR="00E02C0C">
        <w:t>resubmission</w:t>
      </w:r>
      <w:r w:rsidR="00E02C0C" w:rsidRPr="00022F27">
        <w:t xml:space="preserve"> </w:t>
      </w:r>
      <w:r w:rsidR="00E02C0C">
        <w:t xml:space="preserve">to alter its previous view </w:t>
      </w:r>
      <w:r w:rsidR="007A594A">
        <w:t>that</w:t>
      </w:r>
      <w:r w:rsidRPr="00022F27">
        <w:t xml:space="preserve"> </w:t>
      </w:r>
      <w:r w:rsidRPr="00022F27">
        <w:rPr>
          <w:lang w:eastAsia="en-AU"/>
        </w:rPr>
        <w:t>“there was no comparative evidence for the effectiveness of a single course of ulipristal in terms of surgical outcomes, including the potential to facilitate less invasive surgical techniques”</w:t>
      </w:r>
      <w:r w:rsidRPr="00022F27">
        <w:t xml:space="preserve"> (</w:t>
      </w:r>
      <w:r w:rsidR="004D182E" w:rsidRPr="00022F27">
        <w:t>U</w:t>
      </w:r>
      <w:r w:rsidRPr="00022F27">
        <w:t xml:space="preserve">lipristal July 2016 PSD, paragraph 6.33). </w:t>
      </w:r>
    </w:p>
    <w:p w:rsidR="004B0160" w:rsidRPr="00022F27" w:rsidRDefault="004B0160" w:rsidP="004B0160">
      <w:pPr>
        <w:pStyle w:val="ListParagraph"/>
        <w:widowControl/>
        <w:rPr>
          <w:szCs w:val="22"/>
        </w:rPr>
      </w:pPr>
    </w:p>
    <w:p w:rsidR="00FE71E9" w:rsidRPr="009F3FB6" w:rsidRDefault="0089402D" w:rsidP="00FE71E9">
      <w:pPr>
        <w:pStyle w:val="ListParagraph"/>
        <w:widowControl/>
        <w:numPr>
          <w:ilvl w:val="1"/>
          <w:numId w:val="3"/>
        </w:numPr>
        <w:rPr>
          <w:szCs w:val="22"/>
        </w:rPr>
      </w:pPr>
      <w:r>
        <w:t xml:space="preserve">The resubmission did not adequately address how improvements </w:t>
      </w:r>
      <w:r w:rsidR="004B0160" w:rsidRPr="00022F27">
        <w:t xml:space="preserve">in controlling bleeding would translate to utility gains in a cost-utility model, and there was a high risk that </w:t>
      </w:r>
      <w:r w:rsidR="00792E91">
        <w:t xml:space="preserve">the </w:t>
      </w:r>
      <w:r w:rsidR="004B0160" w:rsidRPr="00022F27">
        <w:t>utility gains were overestimated.</w:t>
      </w:r>
    </w:p>
    <w:p w:rsidR="005D78D2" w:rsidRPr="005D78D2" w:rsidRDefault="005D78D2" w:rsidP="005D78D2">
      <w:pPr>
        <w:pStyle w:val="ListParagraph"/>
        <w:rPr>
          <w:szCs w:val="22"/>
        </w:rPr>
      </w:pPr>
    </w:p>
    <w:p w:rsidR="00C64D9E" w:rsidRDefault="005D78D2" w:rsidP="00CF1650">
      <w:pPr>
        <w:pStyle w:val="ListParagraph"/>
        <w:widowControl/>
        <w:numPr>
          <w:ilvl w:val="1"/>
          <w:numId w:val="3"/>
        </w:numPr>
        <w:rPr>
          <w:szCs w:val="22"/>
        </w:rPr>
      </w:pPr>
      <w:r w:rsidRPr="002A59CE">
        <w:rPr>
          <w:szCs w:val="22"/>
        </w:rPr>
        <w:t>The utility values used in the economic evaluation are summarised in Table 9.</w:t>
      </w:r>
      <w:r w:rsidR="00D24D19" w:rsidRPr="002A59CE">
        <w:rPr>
          <w:szCs w:val="22"/>
        </w:rPr>
        <w:t xml:space="preserve"> </w:t>
      </w:r>
    </w:p>
    <w:p w:rsidR="00460880" w:rsidRPr="00460880" w:rsidRDefault="00460880" w:rsidP="00460880">
      <w:pPr>
        <w:pStyle w:val="ListParagraph"/>
        <w:rPr>
          <w:szCs w:val="22"/>
        </w:rPr>
      </w:pPr>
    </w:p>
    <w:p w:rsidR="00460880" w:rsidRPr="005D78D2" w:rsidRDefault="00460880" w:rsidP="00460880">
      <w:pPr>
        <w:ind w:left="709"/>
        <w:rPr>
          <w:rFonts w:ascii="Arial Narrow" w:hAnsi="Arial Narrow"/>
          <w:b/>
          <w:sz w:val="20"/>
          <w:szCs w:val="16"/>
        </w:rPr>
      </w:pPr>
      <w:r w:rsidRPr="005D78D2">
        <w:rPr>
          <w:rFonts w:ascii="Arial Narrow" w:hAnsi="Arial Narrow"/>
          <w:b/>
          <w:sz w:val="20"/>
          <w:szCs w:val="16"/>
        </w:rPr>
        <w:t xml:space="preserve">Table </w:t>
      </w:r>
      <w:r>
        <w:rPr>
          <w:rFonts w:ascii="Arial Narrow" w:hAnsi="Arial Narrow"/>
          <w:b/>
          <w:sz w:val="20"/>
          <w:szCs w:val="16"/>
        </w:rPr>
        <w:t>9</w:t>
      </w:r>
      <w:r w:rsidRPr="005D78D2">
        <w:rPr>
          <w:rFonts w:ascii="Arial Narrow" w:hAnsi="Arial Narrow"/>
          <w:b/>
          <w:sz w:val="20"/>
          <w:szCs w:val="16"/>
        </w:rPr>
        <w:t>: Utility values used in the economic evaluation</w:t>
      </w:r>
    </w:p>
    <w:tbl>
      <w:tblPr>
        <w:tblStyle w:val="TableGrid"/>
        <w:tblW w:w="8222" w:type="dxa"/>
        <w:tblInd w:w="737" w:type="dxa"/>
        <w:tblLayout w:type="fixed"/>
        <w:tblCellMar>
          <w:left w:w="28" w:type="dxa"/>
          <w:right w:w="28" w:type="dxa"/>
        </w:tblCellMar>
        <w:tblLook w:val="04A0" w:firstRow="1" w:lastRow="0" w:firstColumn="1" w:lastColumn="0" w:noHBand="0" w:noVBand="1"/>
        <w:tblCaption w:val="Table 9: Utility values used in the economic evaluation"/>
      </w:tblPr>
      <w:tblGrid>
        <w:gridCol w:w="1729"/>
        <w:gridCol w:w="709"/>
        <w:gridCol w:w="1276"/>
        <w:gridCol w:w="4508"/>
      </w:tblGrid>
      <w:tr w:rsidR="00460880" w:rsidRPr="0029481C" w:rsidTr="00FE36DA">
        <w:trPr>
          <w:tblHeader/>
        </w:trPr>
        <w:tc>
          <w:tcPr>
            <w:tcW w:w="1729" w:type="dxa"/>
            <w:vAlign w:val="center"/>
          </w:tcPr>
          <w:p w:rsidR="00460880" w:rsidRPr="0029481C" w:rsidRDefault="00460880" w:rsidP="00952B48">
            <w:pPr>
              <w:jc w:val="left"/>
              <w:rPr>
                <w:rFonts w:ascii="Arial Narrow" w:hAnsi="Arial Narrow"/>
                <w:b/>
                <w:sz w:val="20"/>
              </w:rPr>
            </w:pPr>
            <w:r w:rsidRPr="0029481C">
              <w:rPr>
                <w:rFonts w:ascii="Arial Narrow" w:hAnsi="Arial Narrow"/>
                <w:b/>
                <w:sz w:val="20"/>
              </w:rPr>
              <w:t>State</w:t>
            </w:r>
          </w:p>
        </w:tc>
        <w:tc>
          <w:tcPr>
            <w:tcW w:w="709" w:type="dxa"/>
          </w:tcPr>
          <w:p w:rsidR="00460880" w:rsidRPr="0029481C" w:rsidRDefault="00460880" w:rsidP="00952B48">
            <w:pPr>
              <w:rPr>
                <w:rFonts w:ascii="Arial Narrow" w:hAnsi="Arial Narrow"/>
                <w:b/>
                <w:sz w:val="20"/>
              </w:rPr>
            </w:pPr>
            <w:r w:rsidRPr="0029481C">
              <w:rPr>
                <w:rFonts w:ascii="Arial Narrow" w:hAnsi="Arial Narrow"/>
                <w:b/>
                <w:sz w:val="20"/>
              </w:rPr>
              <w:t>Value</w:t>
            </w:r>
          </w:p>
        </w:tc>
        <w:tc>
          <w:tcPr>
            <w:tcW w:w="1276" w:type="dxa"/>
            <w:vAlign w:val="center"/>
          </w:tcPr>
          <w:p w:rsidR="00460880" w:rsidRPr="0029481C" w:rsidRDefault="00460880" w:rsidP="00952B48">
            <w:pPr>
              <w:jc w:val="center"/>
              <w:rPr>
                <w:rFonts w:ascii="Arial Narrow" w:hAnsi="Arial Narrow"/>
                <w:b/>
                <w:sz w:val="20"/>
              </w:rPr>
            </w:pPr>
            <w:r w:rsidRPr="0029481C">
              <w:rPr>
                <w:rFonts w:ascii="Arial Narrow" w:hAnsi="Arial Narrow"/>
                <w:b/>
                <w:sz w:val="20"/>
              </w:rPr>
              <w:t>Source:</w:t>
            </w:r>
          </w:p>
        </w:tc>
        <w:tc>
          <w:tcPr>
            <w:tcW w:w="4508" w:type="dxa"/>
          </w:tcPr>
          <w:p w:rsidR="00460880" w:rsidRPr="0029481C" w:rsidRDefault="00460880" w:rsidP="00952B48">
            <w:pPr>
              <w:rPr>
                <w:rFonts w:ascii="Arial Narrow" w:hAnsi="Arial Narrow"/>
                <w:b/>
                <w:sz w:val="20"/>
              </w:rPr>
            </w:pPr>
            <w:r w:rsidRPr="0029481C">
              <w:rPr>
                <w:rFonts w:ascii="Arial Narrow" w:hAnsi="Arial Narrow"/>
                <w:b/>
                <w:sz w:val="20"/>
              </w:rPr>
              <w:t>Description</w:t>
            </w:r>
          </w:p>
        </w:tc>
      </w:tr>
      <w:tr w:rsidR="00460880" w:rsidRPr="0029481C" w:rsidTr="00952B48">
        <w:tc>
          <w:tcPr>
            <w:tcW w:w="8222" w:type="dxa"/>
            <w:gridSpan w:val="4"/>
            <w:vAlign w:val="center"/>
          </w:tcPr>
          <w:p w:rsidR="00460880" w:rsidRPr="0029481C" w:rsidRDefault="00460880" w:rsidP="00952B48">
            <w:pPr>
              <w:jc w:val="left"/>
              <w:rPr>
                <w:rFonts w:ascii="Arial Narrow" w:hAnsi="Arial Narrow"/>
                <w:sz w:val="20"/>
              </w:rPr>
            </w:pPr>
            <w:r w:rsidRPr="0029481C">
              <w:rPr>
                <w:rFonts w:ascii="Arial Narrow" w:hAnsi="Arial Narrow"/>
                <w:sz w:val="20"/>
              </w:rPr>
              <w:t>Medical health states</w:t>
            </w:r>
          </w:p>
        </w:tc>
      </w:tr>
      <w:tr w:rsidR="00460880" w:rsidRPr="0029481C" w:rsidTr="00952B48">
        <w:trPr>
          <w:trHeight w:val="339"/>
        </w:trPr>
        <w:tc>
          <w:tcPr>
            <w:tcW w:w="1729" w:type="dxa"/>
            <w:vAlign w:val="center"/>
          </w:tcPr>
          <w:p w:rsidR="00460880" w:rsidRPr="0029481C" w:rsidRDefault="00460880" w:rsidP="00952B48">
            <w:pPr>
              <w:jc w:val="left"/>
              <w:rPr>
                <w:rFonts w:ascii="Arial Narrow" w:hAnsi="Arial Narrow"/>
                <w:sz w:val="20"/>
              </w:rPr>
            </w:pPr>
            <w:r w:rsidRPr="0029481C">
              <w:rPr>
                <w:rFonts w:ascii="Arial Narrow" w:hAnsi="Arial Narrow"/>
                <w:sz w:val="20"/>
              </w:rPr>
              <w:t xml:space="preserve">Controlled bleeding </w:t>
            </w:r>
          </w:p>
        </w:tc>
        <w:tc>
          <w:tcPr>
            <w:tcW w:w="709" w:type="dxa"/>
            <w:vAlign w:val="center"/>
          </w:tcPr>
          <w:p w:rsidR="00460880" w:rsidRPr="0029481C" w:rsidRDefault="00460880" w:rsidP="00952B48">
            <w:pPr>
              <w:jc w:val="center"/>
              <w:rPr>
                <w:rFonts w:ascii="Arial Narrow" w:hAnsi="Arial Narrow"/>
                <w:sz w:val="20"/>
              </w:rPr>
            </w:pPr>
            <w:r w:rsidRPr="0029481C">
              <w:rPr>
                <w:rFonts w:ascii="Arial Narrow" w:hAnsi="Arial Narrow"/>
                <w:sz w:val="20"/>
              </w:rPr>
              <w:t>0.73</w:t>
            </w:r>
          </w:p>
        </w:tc>
        <w:tc>
          <w:tcPr>
            <w:tcW w:w="1276" w:type="dxa"/>
            <w:vMerge w:val="restart"/>
            <w:vAlign w:val="center"/>
          </w:tcPr>
          <w:p w:rsidR="00460880" w:rsidRPr="0029481C" w:rsidRDefault="00460880" w:rsidP="00952B48">
            <w:pPr>
              <w:jc w:val="center"/>
              <w:rPr>
                <w:rFonts w:ascii="Wingdings" w:hAnsi="Wingdings"/>
                <w:i/>
                <w:sz w:val="20"/>
              </w:rPr>
            </w:pPr>
            <w:r w:rsidRPr="0029481C">
              <w:rPr>
                <w:rFonts w:ascii="Arial Narrow" w:hAnsi="Arial Narrow"/>
                <w:sz w:val="20"/>
              </w:rPr>
              <w:t>Hux 2015</w:t>
            </w:r>
          </w:p>
        </w:tc>
        <w:tc>
          <w:tcPr>
            <w:tcW w:w="4508" w:type="dxa"/>
            <w:vMerge w:val="restart"/>
          </w:tcPr>
          <w:p w:rsidR="00460880" w:rsidRPr="005D78D2" w:rsidRDefault="00460880" w:rsidP="00952B48">
            <w:pPr>
              <w:rPr>
                <w:rFonts w:ascii="Arial Narrow" w:hAnsi="Arial Narrow"/>
                <w:sz w:val="20"/>
              </w:rPr>
            </w:pPr>
            <w:r w:rsidRPr="005D78D2">
              <w:rPr>
                <w:rFonts w:ascii="Wingdings" w:hAnsi="Wingdings"/>
                <w:sz w:val="20"/>
              </w:rPr>
              <w:t></w:t>
            </w:r>
            <w:r w:rsidRPr="005D78D2">
              <w:rPr>
                <w:rFonts w:ascii="Arial Narrow" w:hAnsi="Arial Narrow"/>
                <w:sz w:val="20"/>
              </w:rPr>
              <w:t>Community values (i.e. general public as responders, not patients)</w:t>
            </w:r>
          </w:p>
          <w:p w:rsidR="00460880" w:rsidRPr="005D78D2" w:rsidRDefault="00460880" w:rsidP="00952B48">
            <w:pPr>
              <w:rPr>
                <w:rFonts w:ascii="Arial Narrow" w:hAnsi="Arial Narrow"/>
                <w:sz w:val="20"/>
              </w:rPr>
            </w:pPr>
            <w:r w:rsidRPr="005D78D2">
              <w:rPr>
                <w:rFonts w:ascii="Wingdings" w:hAnsi="Wingdings"/>
                <w:sz w:val="20"/>
              </w:rPr>
              <w:t></w:t>
            </w:r>
            <w:r w:rsidRPr="005D78D2">
              <w:rPr>
                <w:rFonts w:ascii="Arial Narrow" w:hAnsi="Arial Narrow"/>
                <w:sz w:val="20"/>
              </w:rPr>
              <w:t>Canadian population</w:t>
            </w:r>
          </w:p>
          <w:p w:rsidR="00460880" w:rsidRPr="005D78D2" w:rsidRDefault="00460880" w:rsidP="00952B48">
            <w:pPr>
              <w:rPr>
                <w:rFonts w:ascii="Arial Narrow" w:hAnsi="Arial Narrow"/>
                <w:sz w:val="20"/>
              </w:rPr>
            </w:pPr>
            <w:r w:rsidRPr="005D78D2">
              <w:rPr>
                <w:rFonts w:ascii="Wingdings" w:hAnsi="Wingdings"/>
                <w:sz w:val="20"/>
              </w:rPr>
              <w:t></w:t>
            </w:r>
            <w:r w:rsidRPr="005D78D2">
              <w:rPr>
                <w:rFonts w:ascii="Arial Narrow" w:hAnsi="Arial Narrow"/>
                <w:sz w:val="20"/>
              </w:rPr>
              <w:t>Descriptions based on focus groups and made to align with EQ-5D</w:t>
            </w:r>
          </w:p>
        </w:tc>
      </w:tr>
      <w:tr w:rsidR="00460880" w:rsidRPr="0029481C" w:rsidTr="00952B48">
        <w:trPr>
          <w:trHeight w:val="340"/>
        </w:trPr>
        <w:tc>
          <w:tcPr>
            <w:tcW w:w="1729" w:type="dxa"/>
            <w:vAlign w:val="center"/>
          </w:tcPr>
          <w:p w:rsidR="00460880" w:rsidRPr="0029481C" w:rsidRDefault="00460880" w:rsidP="00952B48">
            <w:pPr>
              <w:jc w:val="left"/>
              <w:rPr>
                <w:rFonts w:ascii="Arial Narrow" w:hAnsi="Arial Narrow"/>
                <w:sz w:val="20"/>
              </w:rPr>
            </w:pPr>
            <w:r w:rsidRPr="0029481C">
              <w:rPr>
                <w:rFonts w:ascii="Arial Narrow" w:hAnsi="Arial Narrow"/>
                <w:sz w:val="20"/>
              </w:rPr>
              <w:t>Uncontrolled bleeding</w:t>
            </w:r>
          </w:p>
        </w:tc>
        <w:tc>
          <w:tcPr>
            <w:tcW w:w="709" w:type="dxa"/>
            <w:vAlign w:val="center"/>
          </w:tcPr>
          <w:p w:rsidR="00460880" w:rsidRPr="0029481C" w:rsidRDefault="00460880" w:rsidP="00952B48">
            <w:pPr>
              <w:jc w:val="center"/>
              <w:rPr>
                <w:rFonts w:ascii="Arial Narrow" w:hAnsi="Arial Narrow"/>
                <w:sz w:val="20"/>
              </w:rPr>
            </w:pPr>
            <w:r w:rsidRPr="0029481C">
              <w:rPr>
                <w:rFonts w:ascii="Arial Narrow" w:hAnsi="Arial Narrow"/>
                <w:sz w:val="20"/>
              </w:rPr>
              <w:t>0.55</w:t>
            </w:r>
          </w:p>
        </w:tc>
        <w:tc>
          <w:tcPr>
            <w:tcW w:w="1276" w:type="dxa"/>
            <w:vMerge/>
            <w:vAlign w:val="center"/>
          </w:tcPr>
          <w:p w:rsidR="00460880" w:rsidRPr="0029481C" w:rsidRDefault="00460880" w:rsidP="00952B48">
            <w:pPr>
              <w:jc w:val="center"/>
              <w:rPr>
                <w:rFonts w:ascii="Arial Narrow" w:hAnsi="Arial Narrow"/>
                <w:sz w:val="20"/>
              </w:rPr>
            </w:pPr>
          </w:p>
        </w:tc>
        <w:tc>
          <w:tcPr>
            <w:tcW w:w="4508" w:type="dxa"/>
            <w:vMerge/>
          </w:tcPr>
          <w:p w:rsidR="00460880" w:rsidRPr="005D78D2" w:rsidRDefault="00460880" w:rsidP="00952B48">
            <w:pPr>
              <w:rPr>
                <w:rFonts w:ascii="Wingdings" w:hAnsi="Wingdings"/>
                <w:sz w:val="20"/>
              </w:rPr>
            </w:pPr>
          </w:p>
        </w:tc>
      </w:tr>
      <w:tr w:rsidR="00460880" w:rsidRPr="0029481C" w:rsidTr="00952B48">
        <w:tc>
          <w:tcPr>
            <w:tcW w:w="8222" w:type="dxa"/>
            <w:gridSpan w:val="4"/>
            <w:vAlign w:val="center"/>
          </w:tcPr>
          <w:p w:rsidR="00460880" w:rsidRPr="00B25487" w:rsidRDefault="00460880" w:rsidP="00952B48">
            <w:pPr>
              <w:jc w:val="left"/>
              <w:rPr>
                <w:rFonts w:ascii="Arial Narrow" w:hAnsi="Arial Narrow"/>
                <w:sz w:val="20"/>
              </w:rPr>
            </w:pPr>
            <w:r w:rsidRPr="00B25487">
              <w:rPr>
                <w:rFonts w:ascii="Arial Narrow" w:hAnsi="Arial Narrow"/>
                <w:sz w:val="20"/>
              </w:rPr>
              <w:t>Surgery health states</w:t>
            </w:r>
          </w:p>
        </w:tc>
      </w:tr>
      <w:tr w:rsidR="00460880" w:rsidRPr="0029481C" w:rsidTr="00952B48">
        <w:tc>
          <w:tcPr>
            <w:tcW w:w="1729" w:type="dxa"/>
            <w:vAlign w:val="center"/>
          </w:tcPr>
          <w:p w:rsidR="00460880" w:rsidRPr="00B25487" w:rsidRDefault="00460880" w:rsidP="00952B48">
            <w:pPr>
              <w:jc w:val="left"/>
              <w:rPr>
                <w:rFonts w:ascii="Arial Narrow" w:hAnsi="Arial Narrow"/>
                <w:sz w:val="20"/>
              </w:rPr>
            </w:pPr>
            <w:r w:rsidRPr="00B25487">
              <w:rPr>
                <w:rFonts w:ascii="Arial Narrow" w:hAnsi="Arial Narrow"/>
                <w:sz w:val="20"/>
              </w:rPr>
              <w:t>Surgery</w:t>
            </w:r>
          </w:p>
        </w:tc>
        <w:tc>
          <w:tcPr>
            <w:tcW w:w="709" w:type="dxa"/>
            <w:vAlign w:val="center"/>
          </w:tcPr>
          <w:p w:rsidR="00460880" w:rsidRPr="00B25487" w:rsidRDefault="00460880" w:rsidP="00952B48">
            <w:pPr>
              <w:jc w:val="center"/>
              <w:rPr>
                <w:rFonts w:ascii="Arial Narrow" w:hAnsi="Arial Narrow"/>
                <w:sz w:val="20"/>
              </w:rPr>
            </w:pPr>
            <w:r w:rsidRPr="00B25487">
              <w:rPr>
                <w:rFonts w:ascii="Arial Narrow" w:hAnsi="Arial Narrow"/>
                <w:sz w:val="20"/>
              </w:rPr>
              <w:t>0.65</w:t>
            </w:r>
          </w:p>
        </w:tc>
        <w:tc>
          <w:tcPr>
            <w:tcW w:w="1276" w:type="dxa"/>
            <w:vAlign w:val="center"/>
          </w:tcPr>
          <w:p w:rsidR="00460880" w:rsidRPr="00B25487" w:rsidRDefault="00460880" w:rsidP="00952B48">
            <w:pPr>
              <w:jc w:val="center"/>
              <w:rPr>
                <w:rFonts w:ascii="Arial Narrow" w:hAnsi="Arial Narrow"/>
                <w:sz w:val="20"/>
              </w:rPr>
            </w:pPr>
            <w:r w:rsidRPr="00B25487">
              <w:rPr>
                <w:rFonts w:ascii="Arial Narrow" w:hAnsi="Arial Narrow"/>
                <w:sz w:val="20"/>
              </w:rPr>
              <w:t>Nagy 2014</w:t>
            </w:r>
          </w:p>
        </w:tc>
        <w:tc>
          <w:tcPr>
            <w:tcW w:w="4508" w:type="dxa"/>
          </w:tcPr>
          <w:p w:rsidR="00460880" w:rsidRPr="00B25487" w:rsidRDefault="00460880" w:rsidP="00952B48">
            <w:pPr>
              <w:rPr>
                <w:rFonts w:ascii="Arial Narrow" w:hAnsi="Arial Narrow"/>
                <w:sz w:val="20"/>
              </w:rPr>
            </w:pPr>
            <w:r w:rsidRPr="00B25487">
              <w:rPr>
                <w:rFonts w:ascii="Arial Narrow" w:hAnsi="Arial Narrow"/>
                <w:sz w:val="20"/>
              </w:rPr>
              <w:t>Estimation of EQ-5D utilities of hysterectomy and myomectomy using UFS-QOL responses in PEARL I by Rowen &amp; Brazier 2011 (no further detail presented).</w:t>
            </w:r>
          </w:p>
        </w:tc>
      </w:tr>
      <w:tr w:rsidR="00460880" w:rsidRPr="0029481C" w:rsidTr="00952B48">
        <w:tc>
          <w:tcPr>
            <w:tcW w:w="8222" w:type="dxa"/>
            <w:gridSpan w:val="4"/>
            <w:vAlign w:val="center"/>
          </w:tcPr>
          <w:p w:rsidR="00460880" w:rsidRPr="005D78D2" w:rsidRDefault="00460880" w:rsidP="00952B48">
            <w:pPr>
              <w:jc w:val="left"/>
              <w:rPr>
                <w:rFonts w:ascii="Arial Narrow" w:hAnsi="Arial Narrow"/>
                <w:sz w:val="20"/>
              </w:rPr>
            </w:pPr>
            <w:r w:rsidRPr="005D78D2">
              <w:rPr>
                <w:rFonts w:ascii="Arial Narrow" w:hAnsi="Arial Narrow"/>
                <w:sz w:val="20"/>
              </w:rPr>
              <w:t>Complications (utility decrement)</w:t>
            </w:r>
          </w:p>
        </w:tc>
      </w:tr>
      <w:tr w:rsidR="00460880" w:rsidRPr="0029481C" w:rsidTr="00952B48">
        <w:tc>
          <w:tcPr>
            <w:tcW w:w="1729" w:type="dxa"/>
            <w:vAlign w:val="center"/>
          </w:tcPr>
          <w:p w:rsidR="00460880" w:rsidRPr="0029481C" w:rsidRDefault="00460880" w:rsidP="00952B48">
            <w:pPr>
              <w:jc w:val="left"/>
              <w:rPr>
                <w:rFonts w:ascii="Arial Narrow" w:hAnsi="Arial Narrow"/>
                <w:sz w:val="20"/>
              </w:rPr>
            </w:pPr>
            <w:r w:rsidRPr="0029481C">
              <w:rPr>
                <w:rFonts w:ascii="Arial Narrow" w:hAnsi="Arial Narrow"/>
                <w:sz w:val="20"/>
              </w:rPr>
              <w:t xml:space="preserve">Major </w:t>
            </w:r>
          </w:p>
        </w:tc>
        <w:tc>
          <w:tcPr>
            <w:tcW w:w="709" w:type="dxa"/>
            <w:vAlign w:val="center"/>
          </w:tcPr>
          <w:p w:rsidR="00460880" w:rsidRPr="0029481C" w:rsidRDefault="00460880" w:rsidP="00952B48">
            <w:pPr>
              <w:jc w:val="center"/>
              <w:rPr>
                <w:rFonts w:ascii="Arial Narrow" w:hAnsi="Arial Narrow"/>
                <w:sz w:val="20"/>
              </w:rPr>
            </w:pPr>
            <w:r w:rsidRPr="0029481C">
              <w:rPr>
                <w:rFonts w:ascii="Arial Narrow" w:hAnsi="Arial Narrow"/>
                <w:sz w:val="20"/>
              </w:rPr>
              <w:t>-0.013</w:t>
            </w:r>
          </w:p>
        </w:tc>
        <w:tc>
          <w:tcPr>
            <w:tcW w:w="1276" w:type="dxa"/>
            <w:vAlign w:val="center"/>
          </w:tcPr>
          <w:p w:rsidR="00460880" w:rsidRPr="0029481C" w:rsidRDefault="00460880" w:rsidP="00952B48">
            <w:pPr>
              <w:jc w:val="center"/>
              <w:rPr>
                <w:rFonts w:ascii="Wingdings" w:hAnsi="Wingdings"/>
                <w:i/>
                <w:sz w:val="20"/>
              </w:rPr>
            </w:pPr>
            <w:r w:rsidRPr="0029481C">
              <w:rPr>
                <w:rFonts w:ascii="Arial Narrow" w:hAnsi="Arial Narrow"/>
                <w:sz w:val="20"/>
              </w:rPr>
              <w:t>Hirst 2008</w:t>
            </w:r>
          </w:p>
        </w:tc>
        <w:tc>
          <w:tcPr>
            <w:tcW w:w="4508" w:type="dxa"/>
          </w:tcPr>
          <w:p w:rsidR="00460880" w:rsidRPr="005D78D2" w:rsidRDefault="00460880" w:rsidP="00952B48">
            <w:pPr>
              <w:rPr>
                <w:rFonts w:ascii="Arial Narrow" w:hAnsi="Arial Narrow"/>
                <w:sz w:val="20"/>
              </w:rPr>
            </w:pPr>
            <w:r w:rsidRPr="005D78D2">
              <w:rPr>
                <w:rFonts w:ascii="Arial Narrow" w:hAnsi="Arial Narrow"/>
                <w:sz w:val="20"/>
              </w:rPr>
              <w:t>The authors assumed that major or severe complications would result in a utility decrement of 0.16 from the utility of successful procedure over a period of 28 days. Similarly, a utility decrement of 0.08 over a period of 14 days was applied to those who experienced minor complications.</w:t>
            </w:r>
          </w:p>
        </w:tc>
      </w:tr>
      <w:tr w:rsidR="00460880" w:rsidRPr="0029481C" w:rsidTr="00952B48">
        <w:tc>
          <w:tcPr>
            <w:tcW w:w="1729" w:type="dxa"/>
            <w:vAlign w:val="center"/>
          </w:tcPr>
          <w:p w:rsidR="00460880" w:rsidRPr="0029481C" w:rsidRDefault="00460880" w:rsidP="00952B48">
            <w:pPr>
              <w:jc w:val="left"/>
              <w:rPr>
                <w:rFonts w:ascii="Arial Narrow" w:hAnsi="Arial Narrow"/>
                <w:sz w:val="20"/>
              </w:rPr>
            </w:pPr>
            <w:r w:rsidRPr="0029481C">
              <w:rPr>
                <w:rFonts w:ascii="Arial Narrow" w:hAnsi="Arial Narrow"/>
                <w:sz w:val="20"/>
              </w:rPr>
              <w:t>Minor</w:t>
            </w:r>
          </w:p>
        </w:tc>
        <w:tc>
          <w:tcPr>
            <w:tcW w:w="709" w:type="dxa"/>
          </w:tcPr>
          <w:p w:rsidR="00460880" w:rsidRPr="0029481C" w:rsidRDefault="00460880" w:rsidP="00952B48">
            <w:pPr>
              <w:jc w:val="center"/>
              <w:rPr>
                <w:rFonts w:ascii="Arial Narrow" w:hAnsi="Arial Narrow"/>
                <w:sz w:val="20"/>
              </w:rPr>
            </w:pPr>
            <w:r w:rsidRPr="0029481C">
              <w:rPr>
                <w:rFonts w:ascii="Arial Narrow" w:hAnsi="Arial Narrow"/>
                <w:sz w:val="20"/>
              </w:rPr>
              <w:t>-0.003</w:t>
            </w:r>
          </w:p>
        </w:tc>
        <w:tc>
          <w:tcPr>
            <w:tcW w:w="1276" w:type="dxa"/>
            <w:vAlign w:val="center"/>
          </w:tcPr>
          <w:p w:rsidR="00460880" w:rsidRPr="0029481C" w:rsidRDefault="00460880" w:rsidP="00952B48">
            <w:pPr>
              <w:jc w:val="center"/>
              <w:rPr>
                <w:rFonts w:ascii="Arial Narrow" w:hAnsi="Arial Narrow"/>
                <w:sz w:val="20"/>
              </w:rPr>
            </w:pPr>
          </w:p>
        </w:tc>
        <w:tc>
          <w:tcPr>
            <w:tcW w:w="4508" w:type="dxa"/>
          </w:tcPr>
          <w:p w:rsidR="00460880" w:rsidRPr="005D78D2" w:rsidRDefault="00460880" w:rsidP="00952B48">
            <w:pPr>
              <w:rPr>
                <w:rFonts w:ascii="Wingdings" w:hAnsi="Wingdings"/>
                <w:sz w:val="20"/>
              </w:rPr>
            </w:pPr>
          </w:p>
        </w:tc>
      </w:tr>
      <w:tr w:rsidR="00460880" w:rsidRPr="0029481C" w:rsidTr="00952B48">
        <w:tc>
          <w:tcPr>
            <w:tcW w:w="8222" w:type="dxa"/>
            <w:gridSpan w:val="4"/>
            <w:vAlign w:val="center"/>
          </w:tcPr>
          <w:p w:rsidR="00460880" w:rsidRPr="005D78D2" w:rsidRDefault="00460880" w:rsidP="00952B48">
            <w:pPr>
              <w:jc w:val="left"/>
              <w:rPr>
                <w:rFonts w:ascii="Arial Narrow" w:hAnsi="Arial Narrow"/>
                <w:sz w:val="20"/>
              </w:rPr>
            </w:pPr>
            <w:r w:rsidRPr="005D78D2">
              <w:rPr>
                <w:rFonts w:ascii="Arial Narrow" w:hAnsi="Arial Narrow"/>
                <w:sz w:val="20"/>
              </w:rPr>
              <w:t>Post-surgery health states</w:t>
            </w:r>
          </w:p>
        </w:tc>
      </w:tr>
      <w:tr w:rsidR="00460880" w:rsidRPr="0029481C" w:rsidTr="00952B48">
        <w:tc>
          <w:tcPr>
            <w:tcW w:w="1729" w:type="dxa"/>
            <w:vAlign w:val="center"/>
          </w:tcPr>
          <w:p w:rsidR="00460880" w:rsidRPr="00AA2AAF" w:rsidRDefault="00460880" w:rsidP="00952B48">
            <w:pPr>
              <w:jc w:val="left"/>
              <w:rPr>
                <w:rFonts w:ascii="Arial Narrow" w:hAnsi="Arial Narrow"/>
                <w:sz w:val="20"/>
              </w:rPr>
            </w:pPr>
            <w:r w:rsidRPr="00AA2AAF">
              <w:rPr>
                <w:rFonts w:ascii="Arial Narrow" w:hAnsi="Arial Narrow"/>
                <w:sz w:val="20"/>
              </w:rPr>
              <w:t>Post-Surgery</w:t>
            </w:r>
          </w:p>
        </w:tc>
        <w:tc>
          <w:tcPr>
            <w:tcW w:w="709" w:type="dxa"/>
            <w:vAlign w:val="center"/>
          </w:tcPr>
          <w:p w:rsidR="00460880" w:rsidRPr="00AA2AAF" w:rsidRDefault="00460880" w:rsidP="00952B48">
            <w:pPr>
              <w:jc w:val="center"/>
              <w:rPr>
                <w:rFonts w:ascii="Arial Narrow" w:hAnsi="Arial Narrow"/>
                <w:sz w:val="20"/>
              </w:rPr>
            </w:pPr>
            <w:r w:rsidRPr="00AA2AAF">
              <w:rPr>
                <w:rFonts w:ascii="Arial Narrow" w:hAnsi="Arial Narrow"/>
                <w:sz w:val="20"/>
              </w:rPr>
              <w:t>0.81</w:t>
            </w:r>
          </w:p>
        </w:tc>
        <w:tc>
          <w:tcPr>
            <w:tcW w:w="1276" w:type="dxa"/>
            <w:vAlign w:val="center"/>
          </w:tcPr>
          <w:p w:rsidR="00460880" w:rsidRPr="00AA2AAF" w:rsidRDefault="00460880" w:rsidP="00952B48">
            <w:pPr>
              <w:jc w:val="center"/>
              <w:rPr>
                <w:rFonts w:ascii="Arial Narrow" w:hAnsi="Arial Narrow"/>
                <w:sz w:val="20"/>
              </w:rPr>
            </w:pPr>
            <w:r w:rsidRPr="00AA2AAF">
              <w:rPr>
                <w:rFonts w:ascii="Arial Narrow" w:hAnsi="Arial Narrow"/>
                <w:sz w:val="20"/>
              </w:rPr>
              <w:t>Hawthorne</w:t>
            </w:r>
            <w:r>
              <w:rPr>
                <w:rFonts w:ascii="Arial Narrow" w:hAnsi="Arial Narrow"/>
                <w:sz w:val="20"/>
              </w:rPr>
              <w:t xml:space="preserve"> 2013</w:t>
            </w:r>
          </w:p>
        </w:tc>
        <w:tc>
          <w:tcPr>
            <w:tcW w:w="4508" w:type="dxa"/>
          </w:tcPr>
          <w:p w:rsidR="00460880" w:rsidRPr="005D78D2" w:rsidRDefault="00460880" w:rsidP="00952B48">
            <w:pPr>
              <w:rPr>
                <w:rFonts w:ascii="Arial Narrow" w:hAnsi="Arial Narrow"/>
                <w:sz w:val="20"/>
              </w:rPr>
            </w:pPr>
            <w:r w:rsidRPr="005D78D2">
              <w:rPr>
                <w:rFonts w:ascii="Arial Narrow" w:hAnsi="Arial Narrow"/>
                <w:sz w:val="20"/>
              </w:rPr>
              <w:t>Population norms for the AQoL derived from the 2007 Australian National Survey of Mental Health and Wellbeing, based on the assumption that post-surgery utilities would be the same as those of the general population.</w:t>
            </w:r>
          </w:p>
        </w:tc>
      </w:tr>
    </w:tbl>
    <w:p w:rsidR="00C64D9E" w:rsidRPr="00C64D9E" w:rsidRDefault="00C64D9E" w:rsidP="00C64D9E">
      <w:pPr>
        <w:pStyle w:val="ListParagraph"/>
        <w:rPr>
          <w:szCs w:val="22"/>
        </w:rPr>
      </w:pPr>
    </w:p>
    <w:p w:rsidR="005D78D2" w:rsidRPr="002A59CE" w:rsidRDefault="0030516D" w:rsidP="00CF1650">
      <w:pPr>
        <w:pStyle w:val="ListParagraph"/>
        <w:widowControl/>
        <w:numPr>
          <w:ilvl w:val="1"/>
          <w:numId w:val="3"/>
        </w:numPr>
        <w:rPr>
          <w:szCs w:val="22"/>
        </w:rPr>
      </w:pPr>
      <w:r w:rsidRPr="002A59CE">
        <w:rPr>
          <w:szCs w:val="22"/>
        </w:rPr>
        <w:t xml:space="preserve">The </w:t>
      </w:r>
      <w:r w:rsidR="00713999">
        <w:rPr>
          <w:szCs w:val="22"/>
        </w:rPr>
        <w:t xml:space="preserve">PBAC agreed with </w:t>
      </w:r>
      <w:r w:rsidR="006749BE">
        <w:rPr>
          <w:szCs w:val="22"/>
        </w:rPr>
        <w:t xml:space="preserve">the </w:t>
      </w:r>
      <w:r w:rsidRPr="002A59CE">
        <w:rPr>
          <w:szCs w:val="22"/>
        </w:rPr>
        <w:t xml:space="preserve">ESC </w:t>
      </w:r>
      <w:r w:rsidR="00713999">
        <w:rPr>
          <w:szCs w:val="22"/>
        </w:rPr>
        <w:t xml:space="preserve">that </w:t>
      </w:r>
      <w:r w:rsidRPr="002A59CE">
        <w:rPr>
          <w:szCs w:val="22"/>
        </w:rPr>
        <w:t>it</w:t>
      </w:r>
      <w:r w:rsidR="00713999">
        <w:rPr>
          <w:szCs w:val="22"/>
        </w:rPr>
        <w:t xml:space="preserve"> was</w:t>
      </w:r>
      <w:r w:rsidR="00D24D19" w:rsidRPr="002A59CE">
        <w:rPr>
          <w:szCs w:val="22"/>
        </w:rPr>
        <w:t xml:space="preserve"> unclear whether the utilities applied to the controlled and uncontrolled bleeding health states in the base case presented in the resubmission were relevant to how the health states were defined in the model (i.e. PBA-C score of &lt;75 and ≥75 for controlled and uncontrolled bleeding, respectively).</w:t>
      </w:r>
      <w:r w:rsidR="00C64D9E" w:rsidRPr="002A59CE">
        <w:rPr>
          <w:szCs w:val="22"/>
        </w:rPr>
        <w:t xml:space="preserve"> The ESC further noted the relatively large difference in the utility values for the bleeding health states is inconsistent with the non-significant differences observed in PEARL I for the </w:t>
      </w:r>
      <w:r w:rsidR="00C64D9E" w:rsidRPr="002A59CE">
        <w:t>SF-MPQ.</w:t>
      </w:r>
      <w:r w:rsidR="00C64D9E" w:rsidRPr="002A59CE">
        <w:rPr>
          <w:szCs w:val="22"/>
        </w:rPr>
        <w:t xml:space="preserve"> </w:t>
      </w:r>
    </w:p>
    <w:p w:rsidR="00C64D9E" w:rsidRPr="002A59CE" w:rsidRDefault="00C64D9E" w:rsidP="00C64D9E">
      <w:pPr>
        <w:pStyle w:val="ListParagraph"/>
        <w:rPr>
          <w:szCs w:val="22"/>
        </w:rPr>
      </w:pPr>
    </w:p>
    <w:p w:rsidR="00C64D9E" w:rsidRPr="002A59CE" w:rsidRDefault="00C64D9E" w:rsidP="00CF1650">
      <w:pPr>
        <w:pStyle w:val="ListParagraph"/>
        <w:widowControl/>
        <w:numPr>
          <w:ilvl w:val="1"/>
          <w:numId w:val="3"/>
        </w:numPr>
        <w:rPr>
          <w:szCs w:val="22"/>
        </w:rPr>
      </w:pPr>
      <w:r w:rsidRPr="002A59CE">
        <w:rPr>
          <w:szCs w:val="22"/>
        </w:rPr>
        <w:t xml:space="preserve">Regarding the utility value for the surgery health state, the ESC </w:t>
      </w:r>
      <w:r w:rsidR="00792E91">
        <w:rPr>
          <w:szCs w:val="22"/>
        </w:rPr>
        <w:t xml:space="preserve">and </w:t>
      </w:r>
      <w:r w:rsidR="00C276B6">
        <w:rPr>
          <w:szCs w:val="22"/>
        </w:rPr>
        <w:t xml:space="preserve">PBAC </w:t>
      </w:r>
      <w:r w:rsidRPr="002A59CE">
        <w:rPr>
          <w:szCs w:val="22"/>
        </w:rPr>
        <w:t xml:space="preserve">noted the same value was applied regardless of the </w:t>
      </w:r>
      <w:r w:rsidR="003760CE" w:rsidRPr="002A59CE">
        <w:rPr>
          <w:szCs w:val="22"/>
        </w:rPr>
        <w:t>type of surgery received.</w:t>
      </w:r>
    </w:p>
    <w:p w:rsidR="003760CE" w:rsidRPr="002A59CE" w:rsidRDefault="003760CE" w:rsidP="003760CE">
      <w:pPr>
        <w:pStyle w:val="ListParagraph"/>
        <w:rPr>
          <w:szCs w:val="22"/>
        </w:rPr>
      </w:pPr>
    </w:p>
    <w:p w:rsidR="003760CE" w:rsidRPr="002A59CE" w:rsidRDefault="003760CE" w:rsidP="00CF1650">
      <w:pPr>
        <w:pStyle w:val="ListParagraph"/>
        <w:widowControl/>
        <w:numPr>
          <w:ilvl w:val="1"/>
          <w:numId w:val="3"/>
        </w:numPr>
        <w:rPr>
          <w:szCs w:val="22"/>
        </w:rPr>
      </w:pPr>
      <w:r w:rsidRPr="002A59CE">
        <w:rPr>
          <w:szCs w:val="22"/>
        </w:rPr>
        <w:t xml:space="preserve">Regarding the utility value for the post-surgery health state (0.81), the ESC </w:t>
      </w:r>
      <w:r w:rsidR="00792E91">
        <w:rPr>
          <w:szCs w:val="22"/>
        </w:rPr>
        <w:t xml:space="preserve">and </w:t>
      </w:r>
      <w:r w:rsidR="003B2362">
        <w:rPr>
          <w:szCs w:val="22"/>
        </w:rPr>
        <w:t xml:space="preserve">PBAC </w:t>
      </w:r>
      <w:r w:rsidRPr="002A59CE">
        <w:rPr>
          <w:szCs w:val="22"/>
        </w:rPr>
        <w:t>noted that this was substantially higher than for the controlled bleeding health state (0.73) and that it may have been more appropriate to use the 0.</w:t>
      </w:r>
      <w:r w:rsidR="00CD0ABC" w:rsidRPr="002A59CE">
        <w:rPr>
          <w:szCs w:val="22"/>
        </w:rPr>
        <w:t>73 value for post-surgery state</w:t>
      </w:r>
      <w:r w:rsidRPr="002A59CE">
        <w:rPr>
          <w:szCs w:val="22"/>
        </w:rPr>
        <w:t>.</w:t>
      </w:r>
    </w:p>
    <w:p w:rsidR="005D78D2" w:rsidRPr="00333F34" w:rsidRDefault="005D78D2" w:rsidP="00333F34">
      <w:pPr>
        <w:pStyle w:val="ListParagraph"/>
        <w:rPr>
          <w:szCs w:val="22"/>
        </w:rPr>
      </w:pPr>
    </w:p>
    <w:p w:rsidR="004B0160" w:rsidRPr="00014292" w:rsidRDefault="004B0160" w:rsidP="00CF1650">
      <w:pPr>
        <w:pStyle w:val="ListParagraph"/>
        <w:widowControl/>
        <w:numPr>
          <w:ilvl w:val="1"/>
          <w:numId w:val="3"/>
        </w:numPr>
        <w:rPr>
          <w:szCs w:val="22"/>
        </w:rPr>
      </w:pPr>
      <w:r w:rsidRPr="00014292">
        <w:t xml:space="preserve">Table </w:t>
      </w:r>
      <w:r w:rsidR="00782217">
        <w:t>10</w:t>
      </w:r>
      <w:r w:rsidRPr="00014292">
        <w:t xml:space="preserve"> presents the results of the economic evaluation.</w:t>
      </w:r>
    </w:p>
    <w:p w:rsidR="004B0160" w:rsidRDefault="004B0160" w:rsidP="004B0160">
      <w:pPr>
        <w:widowControl/>
        <w:rPr>
          <w:szCs w:val="22"/>
        </w:rPr>
      </w:pPr>
    </w:p>
    <w:p w:rsidR="004B0160" w:rsidRDefault="004B0160" w:rsidP="004B0160">
      <w:pPr>
        <w:ind w:firstLine="720"/>
        <w:rPr>
          <w:rStyle w:val="CommentReference"/>
        </w:rPr>
      </w:pPr>
      <w:r>
        <w:rPr>
          <w:rStyle w:val="CommentReference"/>
        </w:rPr>
        <w:t xml:space="preserve">Table </w:t>
      </w:r>
      <w:r w:rsidR="00782217">
        <w:rPr>
          <w:rStyle w:val="CommentReference"/>
        </w:rPr>
        <w:t>10</w:t>
      </w:r>
      <w:r w:rsidRPr="001222FC">
        <w:rPr>
          <w:rStyle w:val="CommentReference"/>
        </w:rPr>
        <w:t>: Results of the economic evaluation</w:t>
      </w:r>
    </w:p>
    <w:tbl>
      <w:tblPr>
        <w:tblW w:w="4592"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13"/>
        <w:gridCol w:w="2381"/>
        <w:gridCol w:w="2319"/>
        <w:gridCol w:w="2129"/>
      </w:tblGrid>
      <w:tr w:rsidR="004B0160" w:rsidRPr="004E2ADC" w:rsidTr="00EF3E6D">
        <w:tc>
          <w:tcPr>
            <w:tcW w:w="907" w:type="pct"/>
          </w:tcPr>
          <w:p w:rsidR="004B0160" w:rsidRPr="004E2ADC" w:rsidRDefault="004B0160" w:rsidP="00EF3E6D">
            <w:pPr>
              <w:rPr>
                <w:rFonts w:ascii="Arial Narrow" w:hAnsi="Arial Narrow"/>
                <w:b/>
                <w:sz w:val="20"/>
              </w:rPr>
            </w:pPr>
            <w:r w:rsidRPr="004E2ADC">
              <w:rPr>
                <w:rFonts w:ascii="Arial Narrow" w:hAnsi="Arial Narrow"/>
                <w:b/>
                <w:sz w:val="20"/>
              </w:rPr>
              <w:t>Component</w:t>
            </w:r>
          </w:p>
        </w:tc>
        <w:tc>
          <w:tcPr>
            <w:tcW w:w="1427" w:type="pct"/>
          </w:tcPr>
          <w:p w:rsidR="004B0160" w:rsidRPr="004E2ADC" w:rsidRDefault="004B0160" w:rsidP="00EF3E6D">
            <w:pPr>
              <w:jc w:val="center"/>
              <w:rPr>
                <w:rFonts w:ascii="Arial Narrow" w:hAnsi="Arial Narrow"/>
                <w:b/>
                <w:sz w:val="20"/>
              </w:rPr>
            </w:pPr>
            <w:r>
              <w:rPr>
                <w:rFonts w:ascii="Arial Narrow" w:hAnsi="Arial Narrow"/>
                <w:b/>
                <w:sz w:val="20"/>
              </w:rPr>
              <w:t>Ulipristal</w:t>
            </w:r>
          </w:p>
        </w:tc>
        <w:tc>
          <w:tcPr>
            <w:tcW w:w="1390" w:type="pct"/>
          </w:tcPr>
          <w:p w:rsidR="004B0160" w:rsidRPr="004E2ADC" w:rsidRDefault="004B0160" w:rsidP="00EF3E6D">
            <w:pPr>
              <w:jc w:val="center"/>
              <w:rPr>
                <w:rFonts w:ascii="Arial Narrow" w:hAnsi="Arial Narrow"/>
                <w:b/>
                <w:sz w:val="20"/>
              </w:rPr>
            </w:pPr>
            <w:r>
              <w:rPr>
                <w:rFonts w:ascii="Arial Narrow" w:hAnsi="Arial Narrow"/>
                <w:b/>
                <w:sz w:val="20"/>
              </w:rPr>
              <w:t>Conservative management</w:t>
            </w:r>
          </w:p>
        </w:tc>
        <w:tc>
          <w:tcPr>
            <w:tcW w:w="1276" w:type="pct"/>
          </w:tcPr>
          <w:p w:rsidR="004B0160" w:rsidRPr="004E2ADC" w:rsidRDefault="004B0160" w:rsidP="00EF3E6D">
            <w:pPr>
              <w:jc w:val="center"/>
              <w:rPr>
                <w:rFonts w:ascii="Arial Narrow" w:hAnsi="Arial Narrow"/>
                <w:b/>
                <w:sz w:val="20"/>
              </w:rPr>
            </w:pPr>
            <w:r w:rsidRPr="004E2ADC">
              <w:rPr>
                <w:rFonts w:ascii="Arial Narrow" w:hAnsi="Arial Narrow"/>
                <w:b/>
                <w:sz w:val="20"/>
              </w:rPr>
              <w:t>Increment</w:t>
            </w:r>
          </w:p>
        </w:tc>
      </w:tr>
      <w:tr w:rsidR="004B0160" w:rsidRPr="004E2ADC" w:rsidTr="00EF3E6D">
        <w:tc>
          <w:tcPr>
            <w:tcW w:w="907" w:type="pct"/>
          </w:tcPr>
          <w:p w:rsidR="004B0160" w:rsidRPr="004E2ADC" w:rsidRDefault="004B0160" w:rsidP="00EF3E6D">
            <w:pPr>
              <w:rPr>
                <w:rFonts w:ascii="Arial Narrow" w:hAnsi="Arial Narrow"/>
                <w:sz w:val="20"/>
              </w:rPr>
            </w:pPr>
            <w:r w:rsidRPr="004E2ADC">
              <w:rPr>
                <w:rFonts w:ascii="Arial Narrow" w:hAnsi="Arial Narrow"/>
                <w:sz w:val="20"/>
              </w:rPr>
              <w:t>Costs</w:t>
            </w:r>
          </w:p>
        </w:tc>
        <w:tc>
          <w:tcPr>
            <w:tcW w:w="1427" w:type="pct"/>
          </w:tcPr>
          <w:p w:rsidR="004B0160" w:rsidRPr="004E2ADC" w:rsidRDefault="004B0160" w:rsidP="00EF3E6D">
            <w:pPr>
              <w:jc w:val="center"/>
              <w:rPr>
                <w:rFonts w:ascii="Arial Narrow" w:hAnsi="Arial Narrow"/>
                <w:sz w:val="20"/>
              </w:rPr>
            </w:pPr>
            <w:r>
              <w:rPr>
                <w:rFonts w:ascii="Arial Narrow" w:hAnsi="Arial Narrow"/>
                <w:sz w:val="20"/>
              </w:rPr>
              <w:t>$</w:t>
            </w:r>
            <w:r w:rsidR="006C091A">
              <w:rPr>
                <w:rFonts w:ascii="Arial Narrow" w:hAnsi="Arial Narrow"/>
                <w:noProof/>
                <w:color w:val="000000"/>
                <w:sz w:val="20"/>
                <w:highlight w:val="black"/>
              </w:rPr>
              <w:t>''''''''''''''</w:t>
            </w:r>
          </w:p>
        </w:tc>
        <w:tc>
          <w:tcPr>
            <w:tcW w:w="1390" w:type="pct"/>
          </w:tcPr>
          <w:p w:rsidR="004B0160" w:rsidRPr="004E2ADC" w:rsidRDefault="004B0160" w:rsidP="00EF3E6D">
            <w:pPr>
              <w:jc w:val="center"/>
              <w:rPr>
                <w:rFonts w:ascii="Arial Narrow" w:hAnsi="Arial Narrow"/>
                <w:sz w:val="20"/>
              </w:rPr>
            </w:pPr>
            <w:r>
              <w:rPr>
                <w:rFonts w:ascii="Arial Narrow" w:hAnsi="Arial Narrow"/>
                <w:sz w:val="20"/>
              </w:rPr>
              <w:t>$</w:t>
            </w:r>
            <w:r w:rsidR="006C091A">
              <w:rPr>
                <w:rFonts w:ascii="Arial Narrow" w:hAnsi="Arial Narrow"/>
                <w:noProof/>
                <w:color w:val="000000"/>
                <w:sz w:val="20"/>
                <w:highlight w:val="black"/>
              </w:rPr>
              <w:t>''''''''''''''</w:t>
            </w:r>
          </w:p>
        </w:tc>
        <w:tc>
          <w:tcPr>
            <w:tcW w:w="1276" w:type="pct"/>
          </w:tcPr>
          <w:p w:rsidR="004B0160" w:rsidRPr="004E2ADC" w:rsidRDefault="004B0160" w:rsidP="00EF3E6D">
            <w:pPr>
              <w:jc w:val="center"/>
              <w:rPr>
                <w:rFonts w:ascii="Arial Narrow" w:hAnsi="Arial Narrow"/>
                <w:sz w:val="20"/>
              </w:rPr>
            </w:pPr>
            <w:r>
              <w:rPr>
                <w:rFonts w:ascii="Arial Narrow" w:hAnsi="Arial Narrow"/>
                <w:sz w:val="20"/>
              </w:rPr>
              <w:t>$</w:t>
            </w:r>
            <w:r w:rsidR="006C091A">
              <w:rPr>
                <w:rFonts w:ascii="Arial Narrow" w:hAnsi="Arial Narrow"/>
                <w:noProof/>
                <w:color w:val="000000"/>
                <w:sz w:val="20"/>
                <w:highlight w:val="black"/>
              </w:rPr>
              <w:t>''''''''</w:t>
            </w:r>
          </w:p>
        </w:tc>
      </w:tr>
      <w:tr w:rsidR="004B0160" w:rsidRPr="004E2ADC" w:rsidTr="00EF3E6D">
        <w:trPr>
          <w:trHeight w:val="90"/>
        </w:trPr>
        <w:tc>
          <w:tcPr>
            <w:tcW w:w="907" w:type="pct"/>
          </w:tcPr>
          <w:p w:rsidR="004B0160" w:rsidRPr="004E2ADC" w:rsidRDefault="004B0160" w:rsidP="00EF3E6D">
            <w:pPr>
              <w:rPr>
                <w:rFonts w:ascii="Arial Narrow" w:hAnsi="Arial Narrow"/>
                <w:sz w:val="20"/>
              </w:rPr>
            </w:pPr>
            <w:r>
              <w:rPr>
                <w:rFonts w:ascii="Arial Narrow" w:hAnsi="Arial Narrow"/>
                <w:sz w:val="20"/>
              </w:rPr>
              <w:t>QALYs</w:t>
            </w:r>
          </w:p>
        </w:tc>
        <w:tc>
          <w:tcPr>
            <w:tcW w:w="1427" w:type="pct"/>
          </w:tcPr>
          <w:p w:rsidR="004B0160" w:rsidRPr="006C091A" w:rsidRDefault="006C091A" w:rsidP="00EF3E6D">
            <w:pPr>
              <w:jc w:val="center"/>
              <w:rPr>
                <w:rFonts w:ascii="Arial Narrow" w:hAnsi="Arial Narrow"/>
                <w:sz w:val="20"/>
                <w:highlight w:val="black"/>
              </w:rPr>
            </w:pPr>
            <w:r>
              <w:rPr>
                <w:rFonts w:ascii="Arial Narrow" w:hAnsi="Arial Narrow"/>
                <w:noProof/>
                <w:color w:val="000000"/>
                <w:sz w:val="20"/>
                <w:highlight w:val="black"/>
              </w:rPr>
              <w:t>''''''''''''''''</w:t>
            </w:r>
          </w:p>
        </w:tc>
        <w:tc>
          <w:tcPr>
            <w:tcW w:w="1390" w:type="pct"/>
          </w:tcPr>
          <w:p w:rsidR="004B0160" w:rsidRPr="006C091A" w:rsidRDefault="006C091A" w:rsidP="00EF3E6D">
            <w:pPr>
              <w:jc w:val="center"/>
              <w:rPr>
                <w:rFonts w:ascii="Arial Narrow" w:hAnsi="Arial Narrow"/>
                <w:sz w:val="20"/>
                <w:highlight w:val="black"/>
              </w:rPr>
            </w:pPr>
            <w:r>
              <w:rPr>
                <w:rFonts w:ascii="Arial Narrow" w:hAnsi="Arial Narrow"/>
                <w:noProof/>
                <w:color w:val="000000"/>
                <w:sz w:val="20"/>
                <w:highlight w:val="black"/>
              </w:rPr>
              <w:t>''''''''''''''''</w:t>
            </w:r>
          </w:p>
        </w:tc>
        <w:tc>
          <w:tcPr>
            <w:tcW w:w="1276" w:type="pct"/>
          </w:tcPr>
          <w:p w:rsidR="004B0160" w:rsidRPr="006C091A" w:rsidRDefault="006C091A" w:rsidP="00EF3E6D">
            <w:pPr>
              <w:jc w:val="center"/>
              <w:rPr>
                <w:rFonts w:ascii="Arial Narrow" w:hAnsi="Arial Narrow"/>
                <w:sz w:val="20"/>
                <w:highlight w:val="black"/>
              </w:rPr>
            </w:pPr>
            <w:r>
              <w:rPr>
                <w:rFonts w:ascii="Arial Narrow" w:hAnsi="Arial Narrow"/>
                <w:noProof/>
                <w:color w:val="000000"/>
                <w:sz w:val="20"/>
                <w:highlight w:val="black"/>
              </w:rPr>
              <w:t>'''''''''''''''''</w:t>
            </w:r>
          </w:p>
        </w:tc>
      </w:tr>
      <w:tr w:rsidR="004B0160" w:rsidRPr="004E2ADC" w:rsidTr="00EF3E6D">
        <w:trPr>
          <w:trHeight w:val="90"/>
        </w:trPr>
        <w:tc>
          <w:tcPr>
            <w:tcW w:w="3724" w:type="pct"/>
            <w:gridSpan w:val="3"/>
          </w:tcPr>
          <w:p w:rsidR="004B0160" w:rsidRPr="004E2ADC" w:rsidRDefault="004B0160" w:rsidP="00EF3E6D">
            <w:pPr>
              <w:rPr>
                <w:rFonts w:ascii="Arial Narrow" w:hAnsi="Arial Narrow"/>
                <w:b/>
                <w:sz w:val="20"/>
              </w:rPr>
            </w:pPr>
            <w:r>
              <w:rPr>
                <w:rFonts w:ascii="Arial Narrow" w:hAnsi="Arial Narrow"/>
                <w:b/>
                <w:sz w:val="20"/>
              </w:rPr>
              <w:t xml:space="preserve">Incremental cost/extra QALY </w:t>
            </w:r>
            <w:r w:rsidRPr="004E2ADC">
              <w:rPr>
                <w:rFonts w:ascii="Arial Narrow" w:hAnsi="Arial Narrow"/>
                <w:b/>
                <w:sz w:val="20"/>
              </w:rPr>
              <w:t>gained</w:t>
            </w:r>
          </w:p>
        </w:tc>
        <w:tc>
          <w:tcPr>
            <w:tcW w:w="1276" w:type="pct"/>
          </w:tcPr>
          <w:p w:rsidR="004B0160" w:rsidRPr="004E2ADC" w:rsidRDefault="004B0160" w:rsidP="00EF3E6D">
            <w:pPr>
              <w:jc w:val="center"/>
              <w:rPr>
                <w:rFonts w:ascii="Arial Narrow" w:hAnsi="Arial Narrow"/>
                <w:b/>
                <w:sz w:val="20"/>
              </w:rPr>
            </w:pPr>
            <w:r>
              <w:rPr>
                <w:rFonts w:ascii="Arial Narrow" w:hAnsi="Arial Narrow"/>
                <w:b/>
                <w:sz w:val="20"/>
              </w:rPr>
              <w:t>$</w:t>
            </w:r>
            <w:r w:rsidR="006C091A">
              <w:rPr>
                <w:rFonts w:ascii="Arial Narrow" w:hAnsi="Arial Narrow"/>
                <w:b/>
                <w:noProof/>
                <w:color w:val="000000"/>
                <w:sz w:val="20"/>
                <w:highlight w:val="black"/>
              </w:rPr>
              <w:t>'''''''''''</w:t>
            </w:r>
          </w:p>
        </w:tc>
      </w:tr>
    </w:tbl>
    <w:p w:rsidR="004B0160" w:rsidRPr="00D13A3E" w:rsidRDefault="004B0160" w:rsidP="004B0160">
      <w:pPr>
        <w:pStyle w:val="TableFooter"/>
        <w:ind w:left="720"/>
      </w:pPr>
      <w:r w:rsidRPr="00D13A3E">
        <w:t xml:space="preserve">Source: </w:t>
      </w:r>
      <w:r>
        <w:t>Table D.11, p97 of the</w:t>
      </w:r>
      <w:r w:rsidR="000C5823">
        <w:t xml:space="preserve"> </w:t>
      </w:r>
      <w:r w:rsidR="007B08B0">
        <w:t>resubmission</w:t>
      </w:r>
    </w:p>
    <w:p w:rsidR="004B0160" w:rsidRPr="00022F27" w:rsidRDefault="004B0160" w:rsidP="006F1BEE">
      <w:pPr>
        <w:rPr>
          <w:szCs w:val="22"/>
        </w:rPr>
      </w:pPr>
    </w:p>
    <w:p w:rsidR="002C10F5" w:rsidRPr="002A59CE" w:rsidRDefault="002C10F5" w:rsidP="008B47A9">
      <w:pPr>
        <w:pStyle w:val="ListParagraph"/>
        <w:widowControl/>
        <w:numPr>
          <w:ilvl w:val="1"/>
          <w:numId w:val="3"/>
        </w:numPr>
        <w:rPr>
          <w:szCs w:val="22"/>
        </w:rPr>
      </w:pPr>
      <w:r w:rsidRPr="002A59CE">
        <w:rPr>
          <w:szCs w:val="22"/>
        </w:rPr>
        <w:t xml:space="preserve">The PSCR acknowledged the error in the economic model identified during the evaluation </w:t>
      </w:r>
      <w:r w:rsidR="008B47A9" w:rsidRPr="002A59CE">
        <w:rPr>
          <w:szCs w:val="22"/>
        </w:rPr>
        <w:t>where the rate of minor complications was applied to the sub-state of major complications and vice versa</w:t>
      </w:r>
      <w:r w:rsidRPr="002A59CE">
        <w:rPr>
          <w:szCs w:val="22"/>
        </w:rPr>
        <w:t xml:space="preserve">. </w:t>
      </w:r>
      <w:r w:rsidR="008B47A9" w:rsidRPr="002A59CE">
        <w:rPr>
          <w:szCs w:val="22"/>
        </w:rPr>
        <w:t>T</w:t>
      </w:r>
      <w:r w:rsidRPr="002A59CE">
        <w:rPr>
          <w:szCs w:val="22"/>
        </w:rPr>
        <w:t>he</w:t>
      </w:r>
      <w:r w:rsidR="008B47A9" w:rsidRPr="002A59CE">
        <w:rPr>
          <w:szCs w:val="22"/>
        </w:rPr>
        <w:t xml:space="preserve"> corrected</w:t>
      </w:r>
      <w:r w:rsidRPr="002A59CE">
        <w:rPr>
          <w:szCs w:val="22"/>
        </w:rPr>
        <w:t xml:space="preserve"> base case ICER </w:t>
      </w:r>
      <w:r w:rsidR="008B47A9" w:rsidRPr="002A59CE">
        <w:rPr>
          <w:szCs w:val="22"/>
        </w:rPr>
        <w:t xml:space="preserve">was </w:t>
      </w:r>
      <w:r w:rsidRPr="002A59CE">
        <w:rPr>
          <w:szCs w:val="22"/>
        </w:rPr>
        <w:t xml:space="preserve">slightly </w:t>
      </w:r>
      <w:r w:rsidR="008B47A9" w:rsidRPr="002A59CE">
        <w:rPr>
          <w:szCs w:val="22"/>
        </w:rPr>
        <w:t>lower (</w:t>
      </w:r>
      <w:r w:rsidR="00317735">
        <w:rPr>
          <w:szCs w:val="22"/>
        </w:rPr>
        <w:t>less than $15,000 per QALY</w:t>
      </w:r>
      <w:r w:rsidR="008B47A9" w:rsidRPr="002A59CE">
        <w:rPr>
          <w:szCs w:val="22"/>
        </w:rPr>
        <w:t>)</w:t>
      </w:r>
      <w:r w:rsidR="00B64E46" w:rsidRPr="002A59CE">
        <w:rPr>
          <w:szCs w:val="22"/>
        </w:rPr>
        <w:t xml:space="preserve"> than that presented in the resubmission (</w:t>
      </w:r>
      <w:r w:rsidR="00317735">
        <w:rPr>
          <w:szCs w:val="22"/>
        </w:rPr>
        <w:t>less than $15,000 per QALY</w:t>
      </w:r>
      <w:r w:rsidR="00B64E46" w:rsidRPr="002A59CE">
        <w:rPr>
          <w:szCs w:val="22"/>
        </w:rPr>
        <w:t>)</w:t>
      </w:r>
      <w:r w:rsidRPr="002A59CE">
        <w:rPr>
          <w:szCs w:val="22"/>
        </w:rPr>
        <w:t xml:space="preserve">. The base case ICER was not revised during the evaluation because of the small </w:t>
      </w:r>
      <w:r w:rsidR="00B64E46" w:rsidRPr="002A59CE">
        <w:rPr>
          <w:szCs w:val="22"/>
        </w:rPr>
        <w:t>difference.</w:t>
      </w:r>
    </w:p>
    <w:p w:rsidR="002C10F5" w:rsidRPr="002A59CE" w:rsidRDefault="002C10F5" w:rsidP="002C10F5">
      <w:pPr>
        <w:pStyle w:val="ListParagraph"/>
        <w:widowControl/>
        <w:rPr>
          <w:szCs w:val="22"/>
        </w:rPr>
      </w:pPr>
    </w:p>
    <w:p w:rsidR="00595430" w:rsidRPr="002A59CE" w:rsidRDefault="009B5F54" w:rsidP="00C64F05">
      <w:pPr>
        <w:pStyle w:val="ListParagraph"/>
        <w:widowControl/>
        <w:numPr>
          <w:ilvl w:val="1"/>
          <w:numId w:val="3"/>
        </w:numPr>
        <w:rPr>
          <w:szCs w:val="22"/>
        </w:rPr>
      </w:pPr>
      <w:r w:rsidRPr="002A59CE">
        <w:rPr>
          <w:szCs w:val="22"/>
        </w:rPr>
        <w:t xml:space="preserve">Removing surgeries from the model </w:t>
      </w:r>
      <w:r w:rsidR="00792E91">
        <w:rPr>
          <w:szCs w:val="22"/>
        </w:rPr>
        <w:t>i</w:t>
      </w:r>
      <w:r w:rsidRPr="002A59CE">
        <w:rPr>
          <w:szCs w:val="22"/>
        </w:rPr>
        <w:t xml:space="preserve">s consistent with no differences in surgical outcomes. </w:t>
      </w:r>
      <w:r w:rsidR="00C64F05" w:rsidRPr="002A59CE">
        <w:rPr>
          <w:szCs w:val="22"/>
        </w:rPr>
        <w:t>It was acknowledged in the PSCR that there are clear limitations in the available clinical data describing the impact of ulipristal treatment on surgical outcomes and how these can be applied to an economic evaluation. However the sponsor does not believe these limitations are sufficient to warrant simply ignoring this potential treatment effect and removing surgery from the</w:t>
      </w:r>
      <w:r w:rsidR="00350C8D">
        <w:rPr>
          <w:szCs w:val="22"/>
        </w:rPr>
        <w:t xml:space="preserve"> structure of the model. It wa</w:t>
      </w:r>
      <w:r w:rsidR="00C64F05" w:rsidRPr="002A59CE">
        <w:rPr>
          <w:szCs w:val="22"/>
        </w:rPr>
        <w:t xml:space="preserve">s suggested in the PSCR that the uncertainty could be better assessed via other, less restrictive sensitivity analyses.  </w:t>
      </w:r>
      <w:r w:rsidR="006D5ECB" w:rsidRPr="002A59CE">
        <w:rPr>
          <w:szCs w:val="22"/>
        </w:rPr>
        <w:t xml:space="preserve">The ESC </w:t>
      </w:r>
      <w:r w:rsidR="00792E91">
        <w:rPr>
          <w:szCs w:val="22"/>
        </w:rPr>
        <w:t xml:space="preserve">and PBAC </w:t>
      </w:r>
      <w:r w:rsidR="00C64F05" w:rsidRPr="002A59CE">
        <w:rPr>
          <w:szCs w:val="22"/>
        </w:rPr>
        <w:t>considered</w:t>
      </w:r>
      <w:r w:rsidR="00E30BB8" w:rsidRPr="002A59CE">
        <w:rPr>
          <w:szCs w:val="22"/>
        </w:rPr>
        <w:t xml:space="preserve"> </w:t>
      </w:r>
      <w:r w:rsidR="006D5ECB" w:rsidRPr="002A59CE">
        <w:rPr>
          <w:szCs w:val="22"/>
        </w:rPr>
        <w:t>that</w:t>
      </w:r>
      <w:r w:rsidR="00036D07" w:rsidRPr="002A59CE">
        <w:rPr>
          <w:szCs w:val="22"/>
        </w:rPr>
        <w:t xml:space="preserve"> there was insufficient clinical data to support inclusion of surgical outcomes in the </w:t>
      </w:r>
      <w:r w:rsidR="00B64E46" w:rsidRPr="002A59CE">
        <w:rPr>
          <w:szCs w:val="22"/>
        </w:rPr>
        <w:t xml:space="preserve">base case </w:t>
      </w:r>
      <w:r w:rsidR="00036D07" w:rsidRPr="002A59CE">
        <w:rPr>
          <w:szCs w:val="22"/>
        </w:rPr>
        <w:t xml:space="preserve">economic </w:t>
      </w:r>
      <w:r w:rsidR="00B64E46" w:rsidRPr="002A59CE">
        <w:rPr>
          <w:szCs w:val="22"/>
        </w:rPr>
        <w:t>evaluation</w:t>
      </w:r>
      <w:r w:rsidR="00036D07" w:rsidRPr="002A59CE">
        <w:rPr>
          <w:szCs w:val="22"/>
        </w:rPr>
        <w:t>.</w:t>
      </w:r>
      <w:r w:rsidR="00255510" w:rsidRPr="002A59CE">
        <w:rPr>
          <w:szCs w:val="22"/>
        </w:rPr>
        <w:t xml:space="preserve"> </w:t>
      </w:r>
    </w:p>
    <w:p w:rsidR="00595430" w:rsidRPr="002A59CE" w:rsidRDefault="00595430" w:rsidP="00595430">
      <w:pPr>
        <w:pStyle w:val="ListParagraph"/>
        <w:widowControl/>
        <w:rPr>
          <w:szCs w:val="22"/>
        </w:rPr>
      </w:pPr>
    </w:p>
    <w:p w:rsidR="006F1BEE" w:rsidRPr="002A59CE" w:rsidRDefault="009B5F54" w:rsidP="00CF1650">
      <w:pPr>
        <w:pStyle w:val="ListParagraph"/>
        <w:widowControl/>
        <w:numPr>
          <w:ilvl w:val="1"/>
          <w:numId w:val="3"/>
        </w:numPr>
        <w:rPr>
          <w:szCs w:val="22"/>
        </w:rPr>
      </w:pPr>
      <w:r w:rsidRPr="002A59CE">
        <w:rPr>
          <w:szCs w:val="22"/>
        </w:rPr>
        <w:t xml:space="preserve">Table </w:t>
      </w:r>
      <w:r w:rsidR="0087704C" w:rsidRPr="002A59CE">
        <w:rPr>
          <w:szCs w:val="22"/>
        </w:rPr>
        <w:t>1</w:t>
      </w:r>
      <w:r w:rsidR="00782217" w:rsidRPr="002A59CE">
        <w:rPr>
          <w:szCs w:val="22"/>
        </w:rPr>
        <w:t>1</w:t>
      </w:r>
      <w:r w:rsidRPr="002A59CE">
        <w:rPr>
          <w:szCs w:val="22"/>
        </w:rPr>
        <w:t xml:space="preserve"> presents the results of the economic evaluation only considering the first 13 weeks of the model</w:t>
      </w:r>
      <w:r w:rsidR="00B64E46" w:rsidRPr="002A59CE">
        <w:rPr>
          <w:szCs w:val="22"/>
        </w:rPr>
        <w:t xml:space="preserve"> </w:t>
      </w:r>
      <w:r w:rsidR="008630BF" w:rsidRPr="002A59CE">
        <w:rPr>
          <w:szCs w:val="22"/>
        </w:rPr>
        <w:t>i.e.</w:t>
      </w:r>
      <w:r w:rsidR="00B64E46" w:rsidRPr="002A59CE">
        <w:rPr>
          <w:szCs w:val="22"/>
        </w:rPr>
        <w:t xml:space="preserve">, with </w:t>
      </w:r>
      <w:r w:rsidR="00602D6A" w:rsidRPr="002A59CE">
        <w:rPr>
          <w:szCs w:val="22"/>
        </w:rPr>
        <w:t xml:space="preserve">consideration of </w:t>
      </w:r>
      <w:r w:rsidR="00B64E46" w:rsidRPr="002A59CE">
        <w:rPr>
          <w:szCs w:val="22"/>
        </w:rPr>
        <w:t>surgery removed</w:t>
      </w:r>
      <w:r w:rsidRPr="002A59CE">
        <w:rPr>
          <w:szCs w:val="22"/>
        </w:rPr>
        <w:t xml:space="preserve">. </w:t>
      </w:r>
      <w:r w:rsidR="005D347D" w:rsidRPr="002A59CE">
        <w:rPr>
          <w:szCs w:val="22"/>
        </w:rPr>
        <w:t>U</w:t>
      </w:r>
      <w:r w:rsidRPr="002A59CE">
        <w:rPr>
          <w:szCs w:val="22"/>
        </w:rPr>
        <w:t>sing the utilities nominated by the resubmission and assuming that the transition from the ‘uncontrolled’ to ‘controlled’ bleeding state occurs at the beginning of the first 13-week cycle results in a significantly increased ICER (</w:t>
      </w:r>
      <w:r w:rsidR="00027E64">
        <w:rPr>
          <w:szCs w:val="22"/>
        </w:rPr>
        <w:t>$15,000/QALY - $45,000/QALY</w:t>
      </w:r>
      <w:r w:rsidR="001D0900">
        <w:rPr>
          <w:szCs w:val="22"/>
        </w:rPr>
        <w:t xml:space="preserve"> compared with </w:t>
      </w:r>
      <w:r w:rsidR="00027E64">
        <w:rPr>
          <w:szCs w:val="22"/>
        </w:rPr>
        <w:t>less than $15,000 per QALY</w:t>
      </w:r>
      <w:r w:rsidR="00350C8D">
        <w:rPr>
          <w:szCs w:val="22"/>
        </w:rPr>
        <w:t xml:space="preserve"> for the submission’s base case</w:t>
      </w:r>
      <w:r w:rsidRPr="002A59CE">
        <w:rPr>
          <w:szCs w:val="22"/>
        </w:rPr>
        <w:t>).</w:t>
      </w:r>
      <w:r w:rsidR="00F64FFD" w:rsidRPr="002A59CE">
        <w:rPr>
          <w:szCs w:val="22"/>
        </w:rPr>
        <w:t xml:space="preserve"> </w:t>
      </w:r>
    </w:p>
    <w:p w:rsidR="006F1BEE" w:rsidRDefault="006F1BEE" w:rsidP="006F1BEE">
      <w:pPr>
        <w:widowControl/>
        <w:rPr>
          <w:szCs w:val="22"/>
        </w:rPr>
      </w:pPr>
    </w:p>
    <w:p w:rsidR="00F933DD" w:rsidRPr="002A59CE" w:rsidRDefault="00F933DD" w:rsidP="00E92E37">
      <w:pPr>
        <w:keepNext/>
        <w:keepLines/>
        <w:ind w:firstLine="709"/>
        <w:jc w:val="left"/>
        <w:rPr>
          <w:rFonts w:ascii="Arial Narrow" w:hAnsi="Arial Narrow"/>
          <w:b/>
          <w:sz w:val="20"/>
          <w:szCs w:val="16"/>
        </w:rPr>
      </w:pPr>
      <w:r w:rsidRPr="002A59CE">
        <w:rPr>
          <w:rFonts w:ascii="Arial Narrow" w:hAnsi="Arial Narrow"/>
          <w:b/>
          <w:sz w:val="20"/>
          <w:szCs w:val="16"/>
        </w:rPr>
        <w:t xml:space="preserve">Table </w:t>
      </w:r>
      <w:r w:rsidR="00782217" w:rsidRPr="002A59CE">
        <w:rPr>
          <w:rFonts w:ascii="Arial Narrow" w:hAnsi="Arial Narrow"/>
          <w:b/>
          <w:sz w:val="20"/>
          <w:szCs w:val="16"/>
        </w:rPr>
        <w:t>11</w:t>
      </w:r>
      <w:r w:rsidRPr="002A59CE">
        <w:rPr>
          <w:rFonts w:ascii="Arial Narrow" w:hAnsi="Arial Narrow"/>
          <w:b/>
          <w:sz w:val="20"/>
          <w:szCs w:val="16"/>
        </w:rPr>
        <w:t>: Results of select sensitivity analyses on 13-week model</w:t>
      </w:r>
    </w:p>
    <w:tbl>
      <w:tblPr>
        <w:tblW w:w="461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06"/>
        <w:gridCol w:w="1275"/>
        <w:gridCol w:w="1136"/>
        <w:gridCol w:w="1258"/>
      </w:tblGrid>
      <w:tr w:rsidR="00F933DD" w:rsidRPr="002A59CE" w:rsidTr="00E92E37">
        <w:trPr>
          <w:cantSplit/>
        </w:trPr>
        <w:tc>
          <w:tcPr>
            <w:tcW w:w="2810" w:type="pct"/>
            <w:tcBorders>
              <w:top w:val="single" w:sz="4" w:space="0" w:color="auto"/>
              <w:left w:val="single" w:sz="4" w:space="0" w:color="auto"/>
              <w:bottom w:val="single" w:sz="4" w:space="0" w:color="auto"/>
              <w:right w:val="single" w:sz="4" w:space="0" w:color="auto"/>
            </w:tcBorders>
            <w:vAlign w:val="center"/>
          </w:tcPr>
          <w:p w:rsidR="00F933DD" w:rsidRPr="002A59CE" w:rsidRDefault="00F933DD" w:rsidP="00E92E37">
            <w:pPr>
              <w:keepNext/>
              <w:keepLines/>
              <w:jc w:val="left"/>
              <w:rPr>
                <w:rFonts w:ascii="Arial Narrow" w:hAnsi="Arial Narrow"/>
                <w:sz w:val="20"/>
              </w:rPr>
            </w:pPr>
            <w:r w:rsidRPr="002A59CE">
              <w:rPr>
                <w:rFonts w:ascii="Arial Narrow" w:hAnsi="Arial Narrow"/>
                <w:b/>
                <w:sz w:val="20"/>
              </w:rPr>
              <w:t>Analyses</w:t>
            </w:r>
          </w:p>
        </w:tc>
        <w:tc>
          <w:tcPr>
            <w:tcW w:w="761" w:type="pct"/>
            <w:tcBorders>
              <w:top w:val="single" w:sz="4" w:space="0" w:color="auto"/>
              <w:left w:val="single" w:sz="4" w:space="0" w:color="auto"/>
              <w:bottom w:val="single" w:sz="4" w:space="0" w:color="auto"/>
              <w:right w:val="single" w:sz="4" w:space="0" w:color="auto"/>
            </w:tcBorders>
            <w:vAlign w:val="center"/>
          </w:tcPr>
          <w:p w:rsidR="00F933DD" w:rsidRPr="002A59CE" w:rsidRDefault="00F933DD" w:rsidP="00E92E37">
            <w:pPr>
              <w:keepNext/>
              <w:keepLines/>
              <w:jc w:val="center"/>
              <w:rPr>
                <w:rFonts w:ascii="Arial Narrow" w:hAnsi="Arial Narrow"/>
                <w:sz w:val="20"/>
              </w:rPr>
            </w:pPr>
            <w:r w:rsidRPr="002A59CE">
              <w:rPr>
                <w:rFonts w:ascii="Arial Narrow" w:hAnsi="Arial Narrow"/>
                <w:b/>
                <w:sz w:val="20"/>
              </w:rPr>
              <w:t>Incremental costs</w:t>
            </w:r>
          </w:p>
        </w:tc>
        <w:tc>
          <w:tcPr>
            <w:tcW w:w="678" w:type="pct"/>
            <w:tcBorders>
              <w:top w:val="single" w:sz="4" w:space="0" w:color="auto"/>
              <w:left w:val="single" w:sz="4" w:space="0" w:color="auto"/>
              <w:bottom w:val="single" w:sz="4" w:space="0" w:color="auto"/>
              <w:right w:val="single" w:sz="4" w:space="0" w:color="auto"/>
            </w:tcBorders>
            <w:vAlign w:val="center"/>
          </w:tcPr>
          <w:p w:rsidR="00F933DD" w:rsidRPr="002A59CE" w:rsidRDefault="00F933DD" w:rsidP="00E92E37">
            <w:pPr>
              <w:keepNext/>
              <w:keepLines/>
              <w:jc w:val="center"/>
              <w:rPr>
                <w:rFonts w:ascii="Arial Narrow" w:hAnsi="Arial Narrow"/>
                <w:sz w:val="20"/>
              </w:rPr>
            </w:pPr>
            <w:r w:rsidRPr="002A59CE">
              <w:rPr>
                <w:rFonts w:ascii="Arial Narrow" w:hAnsi="Arial Narrow"/>
                <w:b/>
                <w:sz w:val="20"/>
              </w:rPr>
              <w:t xml:space="preserve">Incremental </w:t>
            </w:r>
            <w:r w:rsidR="001D0900">
              <w:rPr>
                <w:rFonts w:ascii="Arial Narrow" w:hAnsi="Arial Narrow"/>
                <w:b/>
                <w:sz w:val="20"/>
              </w:rPr>
              <w:t>QALYs</w:t>
            </w:r>
          </w:p>
        </w:tc>
        <w:tc>
          <w:tcPr>
            <w:tcW w:w="751" w:type="pct"/>
            <w:tcBorders>
              <w:top w:val="single" w:sz="4" w:space="0" w:color="auto"/>
              <w:left w:val="single" w:sz="4" w:space="0" w:color="auto"/>
              <w:bottom w:val="single" w:sz="4" w:space="0" w:color="auto"/>
              <w:right w:val="single" w:sz="4" w:space="0" w:color="auto"/>
            </w:tcBorders>
            <w:vAlign w:val="center"/>
          </w:tcPr>
          <w:p w:rsidR="00F933DD" w:rsidRPr="002A59CE" w:rsidRDefault="00F933DD" w:rsidP="00E92E37">
            <w:pPr>
              <w:keepNext/>
              <w:keepLines/>
              <w:jc w:val="center"/>
              <w:rPr>
                <w:rFonts w:ascii="Arial Narrow" w:hAnsi="Arial Narrow"/>
                <w:sz w:val="20"/>
              </w:rPr>
            </w:pPr>
            <w:r w:rsidRPr="002A59CE">
              <w:rPr>
                <w:rFonts w:ascii="Arial Narrow" w:hAnsi="Arial Narrow"/>
                <w:b/>
                <w:sz w:val="20"/>
              </w:rPr>
              <w:t>ICER</w:t>
            </w:r>
          </w:p>
        </w:tc>
      </w:tr>
      <w:tr w:rsidR="00F933DD" w:rsidRPr="002A59CE" w:rsidTr="00E92E37">
        <w:trPr>
          <w:cantSplit/>
        </w:trPr>
        <w:tc>
          <w:tcPr>
            <w:tcW w:w="5000" w:type="pct"/>
            <w:gridSpan w:val="4"/>
            <w:tcBorders>
              <w:top w:val="single" w:sz="4" w:space="0" w:color="auto"/>
              <w:left w:val="single" w:sz="4" w:space="0" w:color="auto"/>
              <w:bottom w:val="single" w:sz="4" w:space="0" w:color="auto"/>
              <w:right w:val="single" w:sz="4" w:space="0" w:color="auto"/>
            </w:tcBorders>
          </w:tcPr>
          <w:p w:rsidR="00F933DD" w:rsidRPr="002A59CE" w:rsidRDefault="00F933DD" w:rsidP="00E92E37">
            <w:pPr>
              <w:keepNext/>
              <w:keepLines/>
              <w:jc w:val="left"/>
              <w:rPr>
                <w:rFonts w:ascii="Arial Narrow" w:hAnsi="Arial Narrow"/>
                <w:sz w:val="20"/>
              </w:rPr>
            </w:pPr>
            <w:r w:rsidRPr="002A59CE">
              <w:rPr>
                <w:rFonts w:ascii="Arial Narrow" w:hAnsi="Arial Narrow"/>
                <w:sz w:val="20"/>
              </w:rPr>
              <w:t>Assuming transition to “controlled” bleeding occurs at the beginning of the first 13-week cycle</w:t>
            </w:r>
          </w:p>
        </w:tc>
      </w:tr>
      <w:tr w:rsidR="00F933DD" w:rsidRPr="002A59CE" w:rsidTr="00E92E37">
        <w:trPr>
          <w:cantSplit/>
        </w:trPr>
        <w:tc>
          <w:tcPr>
            <w:tcW w:w="2810" w:type="pct"/>
            <w:tcBorders>
              <w:top w:val="single" w:sz="4" w:space="0" w:color="auto"/>
              <w:left w:val="single" w:sz="4" w:space="0" w:color="auto"/>
              <w:bottom w:val="single" w:sz="4" w:space="0" w:color="auto"/>
              <w:right w:val="single" w:sz="4" w:space="0" w:color="auto"/>
            </w:tcBorders>
            <w:vAlign w:val="center"/>
          </w:tcPr>
          <w:p w:rsidR="00F933DD" w:rsidRPr="002A59CE" w:rsidRDefault="00F933DD" w:rsidP="00E92E37">
            <w:pPr>
              <w:keepNext/>
              <w:keepLines/>
              <w:jc w:val="left"/>
              <w:rPr>
                <w:rFonts w:ascii="Arial Narrow" w:hAnsi="Arial Narrow"/>
                <w:sz w:val="20"/>
              </w:rPr>
            </w:pPr>
            <w:r w:rsidRPr="002A59CE">
              <w:rPr>
                <w:rFonts w:ascii="Arial Narrow" w:hAnsi="Arial Narrow"/>
                <w:sz w:val="20"/>
              </w:rPr>
              <w:t>13 week  horizon scenario</w:t>
            </w:r>
          </w:p>
        </w:tc>
        <w:tc>
          <w:tcPr>
            <w:tcW w:w="761" w:type="pct"/>
            <w:tcBorders>
              <w:top w:val="single" w:sz="4" w:space="0" w:color="auto"/>
              <w:left w:val="single" w:sz="4" w:space="0" w:color="auto"/>
              <w:bottom w:val="single" w:sz="4" w:space="0" w:color="auto"/>
              <w:right w:val="single" w:sz="4" w:space="0" w:color="auto"/>
            </w:tcBorders>
            <w:vAlign w:val="center"/>
          </w:tcPr>
          <w:p w:rsidR="00F933DD" w:rsidRPr="002A59CE" w:rsidRDefault="00F933DD" w:rsidP="00E92E37">
            <w:pPr>
              <w:keepNext/>
              <w:keepLines/>
              <w:jc w:val="center"/>
              <w:rPr>
                <w:rFonts w:ascii="Arial Narrow" w:hAnsi="Arial Narrow"/>
                <w:b/>
                <w:sz w:val="20"/>
              </w:rPr>
            </w:pPr>
            <w:r w:rsidRPr="002A59CE">
              <w:rPr>
                <w:rFonts w:ascii="Arial Narrow" w:hAnsi="Arial Narrow"/>
                <w:b/>
                <w:sz w:val="20"/>
              </w:rPr>
              <w:t>$</w:t>
            </w:r>
            <w:r w:rsidR="006C091A">
              <w:rPr>
                <w:rFonts w:ascii="Arial Narrow" w:hAnsi="Arial Narrow"/>
                <w:b/>
                <w:noProof/>
                <w:color w:val="000000"/>
                <w:sz w:val="20"/>
                <w:highlight w:val="black"/>
              </w:rPr>
              <w:t>'''''''''</w:t>
            </w:r>
          </w:p>
        </w:tc>
        <w:tc>
          <w:tcPr>
            <w:tcW w:w="678" w:type="pct"/>
            <w:tcBorders>
              <w:top w:val="single" w:sz="4" w:space="0" w:color="auto"/>
              <w:left w:val="single" w:sz="4" w:space="0" w:color="auto"/>
              <w:bottom w:val="single" w:sz="4" w:space="0" w:color="auto"/>
              <w:right w:val="single" w:sz="4" w:space="0" w:color="auto"/>
            </w:tcBorders>
            <w:vAlign w:val="center"/>
          </w:tcPr>
          <w:p w:rsidR="00F933DD" w:rsidRPr="006C091A" w:rsidRDefault="006C091A" w:rsidP="00E92E37">
            <w:pPr>
              <w:keepNext/>
              <w:keepLines/>
              <w:jc w:val="center"/>
              <w:rPr>
                <w:rFonts w:ascii="Arial Narrow" w:hAnsi="Arial Narrow"/>
                <w:b/>
                <w:sz w:val="20"/>
                <w:highlight w:val="black"/>
              </w:rPr>
            </w:pPr>
            <w:r>
              <w:rPr>
                <w:rFonts w:ascii="Arial Narrow" w:hAnsi="Arial Narrow"/>
                <w:b/>
                <w:noProof/>
                <w:color w:val="000000"/>
                <w:sz w:val="20"/>
                <w:highlight w:val="black"/>
              </w:rPr>
              <w:t>''''''''''''</w:t>
            </w:r>
          </w:p>
        </w:tc>
        <w:tc>
          <w:tcPr>
            <w:tcW w:w="751" w:type="pct"/>
            <w:tcBorders>
              <w:top w:val="single" w:sz="4" w:space="0" w:color="auto"/>
              <w:left w:val="single" w:sz="4" w:space="0" w:color="auto"/>
              <w:bottom w:val="single" w:sz="4" w:space="0" w:color="auto"/>
              <w:right w:val="single" w:sz="4" w:space="0" w:color="auto"/>
            </w:tcBorders>
            <w:vAlign w:val="center"/>
          </w:tcPr>
          <w:p w:rsidR="00F933DD" w:rsidRPr="002A59CE" w:rsidRDefault="00F933DD" w:rsidP="00E92E37">
            <w:pPr>
              <w:keepNext/>
              <w:keepLines/>
              <w:jc w:val="center"/>
              <w:rPr>
                <w:rFonts w:ascii="Arial Narrow" w:hAnsi="Arial Narrow"/>
                <w:sz w:val="20"/>
              </w:rPr>
            </w:pPr>
            <w:r w:rsidRPr="002A59CE">
              <w:rPr>
                <w:rFonts w:ascii="Arial Narrow" w:hAnsi="Arial Narrow"/>
                <w:b/>
                <w:sz w:val="20"/>
              </w:rPr>
              <w:t>$</w:t>
            </w:r>
            <w:r w:rsidR="006C091A">
              <w:rPr>
                <w:rFonts w:ascii="Arial Narrow" w:hAnsi="Arial Narrow"/>
                <w:b/>
                <w:noProof/>
                <w:color w:val="000000"/>
                <w:sz w:val="20"/>
                <w:highlight w:val="black"/>
              </w:rPr>
              <w:t>''''''''''''</w:t>
            </w:r>
          </w:p>
        </w:tc>
      </w:tr>
      <w:tr w:rsidR="00F933DD" w:rsidRPr="002A59CE" w:rsidTr="00E92E37">
        <w:trPr>
          <w:cantSplit/>
        </w:trPr>
        <w:tc>
          <w:tcPr>
            <w:tcW w:w="2810" w:type="pct"/>
            <w:tcBorders>
              <w:top w:val="single" w:sz="4" w:space="0" w:color="auto"/>
              <w:left w:val="single" w:sz="4" w:space="0" w:color="auto"/>
              <w:bottom w:val="single" w:sz="4" w:space="0" w:color="auto"/>
              <w:right w:val="single" w:sz="4" w:space="0" w:color="auto"/>
            </w:tcBorders>
            <w:vAlign w:val="center"/>
          </w:tcPr>
          <w:p w:rsidR="00F933DD" w:rsidRPr="002A59CE" w:rsidRDefault="00F933DD" w:rsidP="00E92E37">
            <w:pPr>
              <w:keepNext/>
              <w:keepLines/>
              <w:jc w:val="left"/>
              <w:rPr>
                <w:rFonts w:ascii="Arial Narrow" w:hAnsi="Arial Narrow"/>
                <w:sz w:val="20"/>
              </w:rPr>
            </w:pPr>
            <w:r w:rsidRPr="002A59CE">
              <w:rPr>
                <w:rFonts w:ascii="Arial Narrow" w:hAnsi="Arial Narrow"/>
                <w:sz w:val="20"/>
              </w:rPr>
              <w:t>13 weeks &amp; Nagy 2014 utilities (0.72 &amp; 0.83)</w:t>
            </w:r>
          </w:p>
        </w:tc>
        <w:tc>
          <w:tcPr>
            <w:tcW w:w="761" w:type="pct"/>
            <w:tcBorders>
              <w:top w:val="single" w:sz="4" w:space="0" w:color="auto"/>
              <w:left w:val="single" w:sz="4" w:space="0" w:color="auto"/>
              <w:bottom w:val="single" w:sz="4" w:space="0" w:color="auto"/>
              <w:right w:val="single" w:sz="4" w:space="0" w:color="auto"/>
            </w:tcBorders>
            <w:vAlign w:val="center"/>
          </w:tcPr>
          <w:p w:rsidR="00F933DD" w:rsidRPr="002A59CE" w:rsidRDefault="00F933DD" w:rsidP="00E92E37">
            <w:pPr>
              <w:keepNext/>
              <w:keepLines/>
              <w:jc w:val="center"/>
              <w:rPr>
                <w:rFonts w:ascii="Arial Narrow" w:hAnsi="Arial Narrow"/>
                <w:sz w:val="20"/>
              </w:rPr>
            </w:pPr>
            <w:r w:rsidRPr="002A59CE">
              <w:rPr>
                <w:rFonts w:ascii="Arial Narrow" w:hAnsi="Arial Narrow"/>
                <w:sz w:val="20"/>
              </w:rPr>
              <w:t>$</w:t>
            </w:r>
            <w:r w:rsidR="006C091A">
              <w:rPr>
                <w:rFonts w:ascii="Arial Narrow" w:hAnsi="Arial Narrow"/>
                <w:noProof/>
                <w:color w:val="000000"/>
                <w:sz w:val="20"/>
                <w:highlight w:val="black"/>
              </w:rPr>
              <w:t>''''''''''</w:t>
            </w:r>
          </w:p>
        </w:tc>
        <w:tc>
          <w:tcPr>
            <w:tcW w:w="678" w:type="pct"/>
            <w:tcBorders>
              <w:top w:val="single" w:sz="4" w:space="0" w:color="auto"/>
              <w:left w:val="single" w:sz="4" w:space="0" w:color="auto"/>
              <w:bottom w:val="single" w:sz="4" w:space="0" w:color="auto"/>
              <w:right w:val="single" w:sz="4" w:space="0" w:color="auto"/>
            </w:tcBorders>
            <w:vAlign w:val="center"/>
          </w:tcPr>
          <w:p w:rsidR="00F933DD" w:rsidRPr="006C091A" w:rsidRDefault="006C091A" w:rsidP="00E92E37">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751" w:type="pct"/>
            <w:tcBorders>
              <w:top w:val="single" w:sz="4" w:space="0" w:color="auto"/>
              <w:left w:val="single" w:sz="4" w:space="0" w:color="auto"/>
              <w:bottom w:val="single" w:sz="4" w:space="0" w:color="auto"/>
              <w:right w:val="single" w:sz="4" w:space="0" w:color="auto"/>
            </w:tcBorders>
            <w:vAlign w:val="center"/>
          </w:tcPr>
          <w:p w:rsidR="00F933DD" w:rsidRPr="002A59CE" w:rsidRDefault="00F933DD" w:rsidP="00E92E37">
            <w:pPr>
              <w:keepNext/>
              <w:keepLines/>
              <w:jc w:val="center"/>
              <w:rPr>
                <w:rFonts w:ascii="Arial Narrow" w:hAnsi="Arial Narrow"/>
                <w:sz w:val="20"/>
              </w:rPr>
            </w:pPr>
            <w:r w:rsidRPr="002A59CE">
              <w:rPr>
                <w:rFonts w:ascii="Arial Narrow" w:hAnsi="Arial Narrow"/>
                <w:sz w:val="20"/>
              </w:rPr>
              <w:t>$</w:t>
            </w:r>
            <w:r w:rsidR="006C091A">
              <w:rPr>
                <w:rFonts w:ascii="Arial Narrow" w:hAnsi="Arial Narrow"/>
                <w:noProof/>
                <w:color w:val="000000"/>
                <w:sz w:val="20"/>
                <w:highlight w:val="black"/>
              </w:rPr>
              <w:t>'''''''''''''''''</w:t>
            </w:r>
          </w:p>
        </w:tc>
      </w:tr>
      <w:tr w:rsidR="00F933DD" w:rsidRPr="002A59CE" w:rsidTr="00E92E37">
        <w:trPr>
          <w:cantSplit/>
        </w:trPr>
        <w:tc>
          <w:tcPr>
            <w:tcW w:w="2810" w:type="pct"/>
            <w:tcBorders>
              <w:top w:val="single" w:sz="4" w:space="0" w:color="auto"/>
              <w:left w:val="single" w:sz="4" w:space="0" w:color="auto"/>
              <w:bottom w:val="single" w:sz="4" w:space="0" w:color="auto"/>
              <w:right w:val="single" w:sz="4" w:space="0" w:color="auto"/>
            </w:tcBorders>
            <w:vAlign w:val="center"/>
          </w:tcPr>
          <w:p w:rsidR="00F933DD" w:rsidRPr="002A59CE" w:rsidRDefault="00F933DD" w:rsidP="00E92E37">
            <w:pPr>
              <w:keepNext/>
              <w:keepLines/>
              <w:jc w:val="left"/>
              <w:rPr>
                <w:rFonts w:ascii="Arial Narrow" w:hAnsi="Arial Narrow"/>
                <w:sz w:val="20"/>
              </w:rPr>
            </w:pPr>
            <w:r w:rsidRPr="002A59CE">
              <w:rPr>
                <w:rFonts w:ascii="Arial Narrow" w:hAnsi="Arial Narrow"/>
                <w:sz w:val="20"/>
              </w:rPr>
              <w:t>13 weeks &amp; O’Sullivan 2009 utilities (0.67 &amp; 0.76)</w:t>
            </w:r>
          </w:p>
        </w:tc>
        <w:tc>
          <w:tcPr>
            <w:tcW w:w="761" w:type="pct"/>
            <w:tcBorders>
              <w:top w:val="single" w:sz="4" w:space="0" w:color="auto"/>
              <w:left w:val="single" w:sz="4" w:space="0" w:color="auto"/>
              <w:bottom w:val="single" w:sz="4" w:space="0" w:color="auto"/>
              <w:right w:val="single" w:sz="4" w:space="0" w:color="auto"/>
            </w:tcBorders>
            <w:vAlign w:val="center"/>
          </w:tcPr>
          <w:p w:rsidR="00F933DD" w:rsidRPr="002A59CE" w:rsidRDefault="00F933DD" w:rsidP="00E92E37">
            <w:pPr>
              <w:keepNext/>
              <w:keepLines/>
              <w:jc w:val="center"/>
              <w:rPr>
                <w:rFonts w:ascii="Arial Narrow" w:hAnsi="Arial Narrow"/>
                <w:sz w:val="20"/>
              </w:rPr>
            </w:pPr>
            <w:r w:rsidRPr="002A59CE">
              <w:rPr>
                <w:rFonts w:ascii="Arial Narrow" w:hAnsi="Arial Narrow"/>
                <w:sz w:val="20"/>
              </w:rPr>
              <w:t>$</w:t>
            </w:r>
            <w:r w:rsidR="006C091A">
              <w:rPr>
                <w:rFonts w:ascii="Arial Narrow" w:hAnsi="Arial Narrow"/>
                <w:noProof/>
                <w:color w:val="000000"/>
                <w:sz w:val="20"/>
                <w:highlight w:val="black"/>
              </w:rPr>
              <w:t>'''''''''</w:t>
            </w:r>
          </w:p>
        </w:tc>
        <w:tc>
          <w:tcPr>
            <w:tcW w:w="678" w:type="pct"/>
            <w:tcBorders>
              <w:top w:val="single" w:sz="4" w:space="0" w:color="auto"/>
              <w:left w:val="single" w:sz="4" w:space="0" w:color="auto"/>
              <w:bottom w:val="single" w:sz="4" w:space="0" w:color="auto"/>
              <w:right w:val="single" w:sz="4" w:space="0" w:color="auto"/>
            </w:tcBorders>
            <w:vAlign w:val="center"/>
          </w:tcPr>
          <w:p w:rsidR="00F933DD" w:rsidRPr="006C091A" w:rsidRDefault="006C091A" w:rsidP="00E92E37">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751" w:type="pct"/>
            <w:tcBorders>
              <w:top w:val="single" w:sz="4" w:space="0" w:color="auto"/>
              <w:left w:val="single" w:sz="4" w:space="0" w:color="auto"/>
              <w:bottom w:val="single" w:sz="4" w:space="0" w:color="auto"/>
              <w:right w:val="single" w:sz="4" w:space="0" w:color="auto"/>
            </w:tcBorders>
            <w:vAlign w:val="center"/>
          </w:tcPr>
          <w:p w:rsidR="00F933DD" w:rsidRPr="002A59CE" w:rsidRDefault="00F933DD" w:rsidP="00E92E37">
            <w:pPr>
              <w:keepNext/>
              <w:keepLines/>
              <w:jc w:val="center"/>
              <w:rPr>
                <w:rFonts w:ascii="Arial Narrow" w:hAnsi="Arial Narrow"/>
                <w:sz w:val="20"/>
              </w:rPr>
            </w:pPr>
            <w:r w:rsidRPr="002A59CE">
              <w:rPr>
                <w:rFonts w:ascii="Arial Narrow" w:hAnsi="Arial Narrow"/>
                <w:sz w:val="20"/>
              </w:rPr>
              <w:t>$</w:t>
            </w:r>
            <w:r w:rsidR="006C091A">
              <w:rPr>
                <w:rFonts w:ascii="Arial Narrow" w:hAnsi="Arial Narrow"/>
                <w:noProof/>
                <w:color w:val="000000"/>
                <w:sz w:val="20"/>
                <w:highlight w:val="black"/>
              </w:rPr>
              <w:t>''''''''''''''''</w:t>
            </w:r>
          </w:p>
        </w:tc>
      </w:tr>
    </w:tbl>
    <w:p w:rsidR="00F933DD" w:rsidRPr="002A59CE" w:rsidRDefault="00782217" w:rsidP="00E92E37">
      <w:pPr>
        <w:keepNext/>
        <w:keepLines/>
        <w:ind w:firstLine="709"/>
        <w:rPr>
          <w:rFonts w:ascii="Arial Narrow" w:hAnsi="Arial Narrow"/>
          <w:sz w:val="18"/>
        </w:rPr>
      </w:pPr>
      <w:r w:rsidRPr="002A59CE">
        <w:rPr>
          <w:rFonts w:ascii="Arial Narrow" w:hAnsi="Arial Narrow"/>
          <w:sz w:val="18"/>
        </w:rPr>
        <w:t>I</w:t>
      </w:r>
      <w:r w:rsidR="00F933DD" w:rsidRPr="002A59CE">
        <w:rPr>
          <w:rFonts w:ascii="Arial Narrow" w:hAnsi="Arial Narrow"/>
          <w:sz w:val="18"/>
        </w:rPr>
        <w:t>CER = incremental cost-effectiveness ratio</w:t>
      </w:r>
    </w:p>
    <w:p w:rsidR="00595430" w:rsidRDefault="00595430" w:rsidP="006F1BEE">
      <w:pPr>
        <w:widowControl/>
        <w:rPr>
          <w:i/>
          <w:szCs w:val="22"/>
        </w:rPr>
      </w:pPr>
    </w:p>
    <w:p w:rsidR="00035E23" w:rsidRPr="00035E23" w:rsidRDefault="00035E23" w:rsidP="00035E23">
      <w:pPr>
        <w:widowControl/>
        <w:ind w:left="709" w:firstLine="11"/>
        <w:rPr>
          <w:szCs w:val="22"/>
        </w:rPr>
      </w:pPr>
      <w:r>
        <w:rPr>
          <w:szCs w:val="22"/>
        </w:rPr>
        <w:t>The redacted table shows ICERs in the range of $15,000/QALY - $75,000/QALY.</w:t>
      </w:r>
    </w:p>
    <w:p w:rsidR="00C362B9" w:rsidRDefault="005D347D" w:rsidP="00732F48">
      <w:pPr>
        <w:pStyle w:val="ListParagraph"/>
        <w:widowControl/>
        <w:numPr>
          <w:ilvl w:val="1"/>
          <w:numId w:val="3"/>
        </w:numPr>
        <w:rPr>
          <w:szCs w:val="22"/>
        </w:rPr>
      </w:pPr>
      <w:r w:rsidRPr="00792E91">
        <w:rPr>
          <w:szCs w:val="22"/>
        </w:rPr>
        <w:t>The ESC noted the ICER was sensitive to the utility values used.</w:t>
      </w:r>
      <w:r w:rsidR="00792E91">
        <w:rPr>
          <w:szCs w:val="22"/>
        </w:rPr>
        <w:t xml:space="preserve"> </w:t>
      </w:r>
      <w:r w:rsidR="0030557B" w:rsidRPr="0036367E">
        <w:rPr>
          <w:szCs w:val="22"/>
        </w:rPr>
        <w:t xml:space="preserve">Use of </w:t>
      </w:r>
      <w:r w:rsidR="0030516D" w:rsidRPr="0036367E">
        <w:rPr>
          <w:szCs w:val="22"/>
        </w:rPr>
        <w:t xml:space="preserve">the </w:t>
      </w:r>
      <w:r w:rsidR="0030557B" w:rsidRPr="0036367E">
        <w:rPr>
          <w:szCs w:val="22"/>
        </w:rPr>
        <w:t>alternative utilit</w:t>
      </w:r>
      <w:r w:rsidR="0030516D" w:rsidRPr="0036367E">
        <w:rPr>
          <w:szCs w:val="22"/>
        </w:rPr>
        <w:t xml:space="preserve">y values presented in the resubmission </w:t>
      </w:r>
      <w:r w:rsidR="0030557B" w:rsidRPr="0036367E">
        <w:rPr>
          <w:szCs w:val="22"/>
        </w:rPr>
        <w:t xml:space="preserve">in </w:t>
      </w:r>
      <w:r w:rsidR="0030516D" w:rsidRPr="0036367E">
        <w:rPr>
          <w:szCs w:val="22"/>
        </w:rPr>
        <w:t>the 13-week model increased the</w:t>
      </w:r>
      <w:r w:rsidR="0030557B" w:rsidRPr="0036367E">
        <w:rPr>
          <w:szCs w:val="22"/>
        </w:rPr>
        <w:t xml:space="preserve"> ICER </w:t>
      </w:r>
      <w:r w:rsidR="0030516D" w:rsidRPr="0036367E">
        <w:rPr>
          <w:szCs w:val="22"/>
        </w:rPr>
        <w:t xml:space="preserve">to up to </w:t>
      </w:r>
      <w:r w:rsidR="00374540">
        <w:rPr>
          <w:szCs w:val="22"/>
        </w:rPr>
        <w:t xml:space="preserve">$45,000/QALY - $75,000/QALY </w:t>
      </w:r>
      <w:r w:rsidR="0030557B" w:rsidRPr="0036367E">
        <w:rPr>
          <w:szCs w:val="22"/>
        </w:rPr>
        <w:t>gained.</w:t>
      </w:r>
      <w:r w:rsidR="009B5F54" w:rsidRPr="0036367E">
        <w:rPr>
          <w:szCs w:val="22"/>
        </w:rPr>
        <w:t xml:space="preserve"> </w:t>
      </w:r>
      <w:r w:rsidR="005E0E52" w:rsidRPr="0036367E">
        <w:rPr>
          <w:szCs w:val="22"/>
        </w:rPr>
        <w:t xml:space="preserve">The PSCR argued that the utility values from Hux 2015 were the most robust and appropriate of the </w:t>
      </w:r>
      <w:r w:rsidR="0030516D" w:rsidRPr="0036367E">
        <w:rPr>
          <w:szCs w:val="22"/>
        </w:rPr>
        <w:t>values identified</w:t>
      </w:r>
      <w:r w:rsidR="005E0E52" w:rsidRPr="0036367E">
        <w:rPr>
          <w:szCs w:val="22"/>
        </w:rPr>
        <w:t>.</w:t>
      </w:r>
      <w:r w:rsidR="0030516D" w:rsidRPr="0036367E">
        <w:rPr>
          <w:szCs w:val="22"/>
        </w:rPr>
        <w:t xml:space="preserve"> </w:t>
      </w:r>
      <w:r w:rsidR="00C64F05" w:rsidRPr="0036367E">
        <w:rPr>
          <w:szCs w:val="22"/>
        </w:rPr>
        <w:t xml:space="preserve">It was noted the values in Nagy 2014 were obtained by expert opinion, and lacked rigour and applicability compared with those reported by Hux 2015. The values used in O'Sullivan 2009 and Babashov 2015 were noted to be based on unpublished data, with unclear analytical methods, from a clinical trial of </w:t>
      </w:r>
      <w:r w:rsidR="000E5F0F" w:rsidRPr="0036367E">
        <w:rPr>
          <w:szCs w:val="22"/>
        </w:rPr>
        <w:t>Magnetic Resonance Guided Focused Ultrasound (</w:t>
      </w:r>
      <w:r w:rsidR="00C64F05" w:rsidRPr="0036367E">
        <w:rPr>
          <w:szCs w:val="22"/>
        </w:rPr>
        <w:t>MRgFUS</w:t>
      </w:r>
      <w:r w:rsidR="000E5F0F" w:rsidRPr="0036367E">
        <w:rPr>
          <w:szCs w:val="22"/>
        </w:rPr>
        <w:t>)</w:t>
      </w:r>
      <w:r w:rsidR="00C64F05" w:rsidRPr="0036367E">
        <w:rPr>
          <w:szCs w:val="22"/>
        </w:rPr>
        <w:t xml:space="preserve"> rather than medical management. It was further noted that use of other alternative utility values identified in the submission, but not cited in the commentary, reduced the ICER </w:t>
      </w:r>
      <w:r w:rsidR="00CF1D26" w:rsidRPr="0036367E">
        <w:rPr>
          <w:szCs w:val="22"/>
        </w:rPr>
        <w:t xml:space="preserve">to </w:t>
      </w:r>
      <w:r w:rsidR="005D3ADF">
        <w:rPr>
          <w:szCs w:val="22"/>
        </w:rPr>
        <w:t>less than $15,000 per QALY</w:t>
      </w:r>
      <w:r w:rsidR="00CF1D26" w:rsidRPr="0036367E">
        <w:rPr>
          <w:szCs w:val="22"/>
        </w:rPr>
        <w:t>.</w:t>
      </w:r>
      <w:r w:rsidR="00281A44" w:rsidRPr="0036367E">
        <w:rPr>
          <w:szCs w:val="22"/>
        </w:rPr>
        <w:t xml:space="preserve"> </w:t>
      </w:r>
    </w:p>
    <w:p w:rsidR="00B76046" w:rsidRDefault="00B76046" w:rsidP="00B76046">
      <w:pPr>
        <w:pStyle w:val="ListParagraph"/>
        <w:widowControl/>
        <w:rPr>
          <w:szCs w:val="22"/>
        </w:rPr>
      </w:pPr>
    </w:p>
    <w:p w:rsidR="00B76046" w:rsidRPr="001D0900" w:rsidRDefault="001D0900" w:rsidP="001D0900">
      <w:pPr>
        <w:pStyle w:val="ListParagraph"/>
        <w:numPr>
          <w:ilvl w:val="1"/>
          <w:numId w:val="3"/>
        </w:numPr>
        <w:rPr>
          <w:szCs w:val="22"/>
        </w:rPr>
      </w:pPr>
      <w:r>
        <w:t xml:space="preserve">The </w:t>
      </w:r>
      <w:r w:rsidRPr="001D0900">
        <w:t xml:space="preserve">sponsor </w:t>
      </w:r>
      <w:r>
        <w:t>considered</w:t>
      </w:r>
      <w:r w:rsidRPr="001D0900">
        <w:t xml:space="preserve"> </w:t>
      </w:r>
      <w:r>
        <w:t>the 13-week model</w:t>
      </w:r>
      <w:r w:rsidRPr="001D0900">
        <w:t xml:space="preserve"> represents an extremely conservative approach with respect to valuing the clinical benefits of pre-surgical ulipristal treatment</w:t>
      </w:r>
      <w:r>
        <w:t>.</w:t>
      </w:r>
      <w:r w:rsidRPr="001D0900">
        <w:t xml:space="preserve"> </w:t>
      </w:r>
      <w:r>
        <w:t>However, in t</w:t>
      </w:r>
      <w:r w:rsidR="008E4384">
        <w:t xml:space="preserve">he pre-PBAC </w:t>
      </w:r>
      <w:r>
        <w:t>response the sponsor</w:t>
      </w:r>
      <w:r w:rsidR="008E4384">
        <w:t xml:space="preserve"> presented a</w:t>
      </w:r>
      <w:r>
        <w:t xml:space="preserve"> 13-week</w:t>
      </w:r>
      <w:r w:rsidR="008E4384">
        <w:t xml:space="preserve"> analysis using the</w:t>
      </w:r>
      <w:r w:rsidR="008E4384" w:rsidRPr="00DA5AB5">
        <w:t xml:space="preserve"> EQ-5D VAS scores for pre-</w:t>
      </w:r>
      <w:r w:rsidR="00350C8D">
        <w:t>treatment</w:t>
      </w:r>
      <w:r w:rsidR="008E4384">
        <w:t xml:space="preserve"> (0.744)</w:t>
      </w:r>
      <w:r w:rsidR="008E4384" w:rsidRPr="00DA5AB5">
        <w:t xml:space="preserve"> and post-treatment</w:t>
      </w:r>
      <w:r w:rsidR="008E4384">
        <w:t xml:space="preserve"> (0.843)</w:t>
      </w:r>
      <w:r w:rsidR="008E4384" w:rsidRPr="00DA5AB5">
        <w:t xml:space="preserve"> with ulipristal 5 mg in the PEARL-IV study as proxy utility weights for controlled and uncontrolled bleeding</w:t>
      </w:r>
      <w:r>
        <w:t>.</w:t>
      </w:r>
      <w:r w:rsidR="008E4384" w:rsidRPr="00DA5AB5">
        <w:t xml:space="preserve"> </w:t>
      </w:r>
      <w:r w:rsidR="008E4384">
        <w:t>The resulting</w:t>
      </w:r>
      <w:r w:rsidR="008E4384" w:rsidRPr="00DA5AB5">
        <w:t xml:space="preserve"> ICER </w:t>
      </w:r>
      <w:r w:rsidR="008E4384">
        <w:t>was</w:t>
      </w:r>
      <w:r w:rsidR="008E4384" w:rsidRPr="00DA5AB5">
        <w:t xml:space="preserve"> </w:t>
      </w:r>
      <w:r w:rsidR="00243AF6">
        <w:t xml:space="preserve">$15,000/QALY - $45,000/QALY </w:t>
      </w:r>
      <w:r>
        <w:t>gained</w:t>
      </w:r>
      <w:r w:rsidR="008E4384" w:rsidRPr="00DA5AB5">
        <w:t xml:space="preserve">. The sponsor proposed reducing the requested DPMQ by </w:t>
      </w:r>
      <w:r w:rsidR="006C091A">
        <w:rPr>
          <w:noProof/>
          <w:color w:val="000000"/>
          <w:highlight w:val="black"/>
        </w:rPr>
        <w:t>'''''''</w:t>
      </w:r>
      <w:r w:rsidR="008E4384" w:rsidRPr="00DA5AB5">
        <w:t>%, to $</w:t>
      </w:r>
      <w:r w:rsidR="006C091A">
        <w:rPr>
          <w:noProof/>
          <w:color w:val="000000"/>
          <w:highlight w:val="black"/>
        </w:rPr>
        <w:t>''''''''''''''''</w:t>
      </w:r>
      <w:r w:rsidR="008E4384" w:rsidRPr="00DA5AB5">
        <w:t xml:space="preserve"> per pack ($</w:t>
      </w:r>
      <w:r w:rsidR="006C091A">
        <w:rPr>
          <w:noProof/>
          <w:color w:val="000000"/>
          <w:highlight w:val="black"/>
        </w:rPr>
        <w:t>''''''''''''''''</w:t>
      </w:r>
      <w:r w:rsidR="008E4384" w:rsidRPr="00DA5AB5">
        <w:t xml:space="preserve"> per course) to reduce the ICER to</w:t>
      </w:r>
      <w:r w:rsidR="00BB0F80">
        <w:t xml:space="preserve"> </w:t>
      </w:r>
      <w:r w:rsidR="008F2C87">
        <w:t>$15,000/QALY to $45,000/QALY</w:t>
      </w:r>
      <w:r w:rsidR="00E675F4">
        <w:t>.</w:t>
      </w:r>
    </w:p>
    <w:p w:rsidR="0036367E" w:rsidRPr="002A59CE" w:rsidRDefault="0036367E" w:rsidP="0036367E">
      <w:pPr>
        <w:widowControl/>
      </w:pPr>
    </w:p>
    <w:p w:rsidR="0036367E" w:rsidRDefault="0036367E" w:rsidP="0014358A">
      <w:pPr>
        <w:pStyle w:val="ListParagraph"/>
        <w:numPr>
          <w:ilvl w:val="1"/>
          <w:numId w:val="3"/>
        </w:numPr>
      </w:pPr>
      <w:r w:rsidRPr="002A59CE">
        <w:t>The ESC noted the model applied the improvement in quality of life associated with controlled bleeding from the first day of treatment and this was maintained for the 13 weeks. Assuming transition to “controlled” bleeding occurs in the middle of the first 13-week cycle (at 6.5 weeks) increase</w:t>
      </w:r>
      <w:r w:rsidR="00B76046">
        <w:t>d</w:t>
      </w:r>
      <w:r w:rsidRPr="002A59CE">
        <w:t xml:space="preserve"> the ICER </w:t>
      </w:r>
      <w:r w:rsidR="00B76046">
        <w:t xml:space="preserve">from </w:t>
      </w:r>
      <w:r w:rsidR="00AC32AD">
        <w:t xml:space="preserve">$15,000/QALY - $45,000/QALY </w:t>
      </w:r>
      <w:r w:rsidR="00B76046">
        <w:t xml:space="preserve">to </w:t>
      </w:r>
      <w:r w:rsidR="008414BA">
        <w:t>$45,000/QALY - $75,000/QALY</w:t>
      </w:r>
      <w:r w:rsidRPr="002A59CE">
        <w:t>. This approach is equivalent to using a mid-cycle correction technique as described by Naimark et al. (2008).</w:t>
      </w:r>
      <w:r w:rsidR="0014358A">
        <w:t xml:space="preserve"> The pre-PBAC </w:t>
      </w:r>
      <w:r w:rsidR="0014358A" w:rsidRPr="0014358A">
        <w:t>noted the model applies the assumed improvement in quality of life from the first day of treatment, but also abruptly truncates any clinical effect at the end of 13 weeks</w:t>
      </w:r>
      <w:r w:rsidR="007C48F4">
        <w:t xml:space="preserve"> even though there is</w:t>
      </w:r>
      <w:r w:rsidR="0014358A" w:rsidRPr="0014358A">
        <w:t xml:space="preserve"> evidence </w:t>
      </w:r>
      <w:r w:rsidR="007C48F4">
        <w:t>that</w:t>
      </w:r>
      <w:r w:rsidR="0014358A" w:rsidRPr="0014358A">
        <w:t xml:space="preserve"> indicates that bleeding and bulk symptoms</w:t>
      </w:r>
      <w:r w:rsidR="00BB0F80">
        <w:t>,</w:t>
      </w:r>
      <w:r w:rsidR="0014358A" w:rsidRPr="0014358A">
        <w:t xml:space="preserve"> and health related quality of life revert only gradually following cessation of treatment.</w:t>
      </w:r>
      <w:r w:rsidR="007C48F4">
        <w:t xml:space="preserve"> The PBAC considered it reasonable to assume a quality of life benefit for the entire 13 week duration of the model noting that the full benefit would not be realised from day 1 but also that the benefit extends beyond 13 weeks.</w:t>
      </w:r>
    </w:p>
    <w:p w:rsidR="00022A4B" w:rsidRPr="002A59CE" w:rsidRDefault="00022A4B" w:rsidP="00022A4B">
      <w:pPr>
        <w:pStyle w:val="ListParagraph"/>
        <w:widowControl/>
      </w:pPr>
    </w:p>
    <w:p w:rsidR="00B13F23" w:rsidRDefault="00B13F23">
      <w:pPr>
        <w:widowControl/>
        <w:jc w:val="left"/>
        <w:rPr>
          <w:b/>
          <w:i/>
        </w:rPr>
      </w:pPr>
      <w:bookmarkStart w:id="16" w:name="_Toc472349035"/>
      <w:r>
        <w:rPr>
          <w:i/>
        </w:rPr>
        <w:br w:type="page"/>
      </w:r>
    </w:p>
    <w:p w:rsidR="004B0160" w:rsidRPr="00497F10" w:rsidRDefault="004B0160" w:rsidP="004B0160">
      <w:pPr>
        <w:pStyle w:val="Heading2"/>
        <w:rPr>
          <w:i/>
          <w:szCs w:val="22"/>
        </w:rPr>
      </w:pPr>
      <w:r>
        <w:rPr>
          <w:i/>
        </w:rPr>
        <w:t>Drug cost/patient/</w:t>
      </w:r>
      <w:r w:rsidR="008F70AF">
        <w:rPr>
          <w:i/>
        </w:rPr>
        <w:t>course</w:t>
      </w:r>
      <w:r w:rsidRPr="00497F10">
        <w:rPr>
          <w:i/>
        </w:rPr>
        <w:t xml:space="preserve">: </w:t>
      </w:r>
      <w:r w:rsidR="00DB0CDC" w:rsidRPr="00DB0CDC">
        <w:rPr>
          <w:i/>
        </w:rPr>
        <w:t>$</w:t>
      </w:r>
      <w:bookmarkEnd w:id="16"/>
      <w:r w:rsidR="006C091A">
        <w:rPr>
          <w:i/>
          <w:noProof/>
          <w:color w:val="000000"/>
          <w:highlight w:val="black"/>
        </w:rPr>
        <w:t>''''''''''''''</w:t>
      </w:r>
      <w:r w:rsidR="007C48F4">
        <w:rPr>
          <w:i/>
        </w:rPr>
        <w:t xml:space="preserve"> (</w:t>
      </w:r>
      <w:r w:rsidR="00A84C5D">
        <w:rPr>
          <w:i/>
        </w:rPr>
        <w:t xml:space="preserve">based on </w:t>
      </w:r>
      <w:r w:rsidR="007C48F4">
        <w:rPr>
          <w:i/>
        </w:rPr>
        <w:t>revised price requested in the pre-PBAC response)</w:t>
      </w:r>
    </w:p>
    <w:p w:rsidR="004B0160" w:rsidRPr="00C25D9C" w:rsidRDefault="004B0160" w:rsidP="004B0160">
      <w:pPr>
        <w:widowControl/>
        <w:rPr>
          <w:szCs w:val="22"/>
        </w:rPr>
      </w:pPr>
    </w:p>
    <w:p w:rsidR="004B0160" w:rsidRPr="00710319" w:rsidRDefault="00482CDA" w:rsidP="00CF1650">
      <w:pPr>
        <w:pStyle w:val="ListParagraph"/>
        <w:widowControl/>
        <w:numPr>
          <w:ilvl w:val="1"/>
          <w:numId w:val="3"/>
        </w:numPr>
      </w:pPr>
      <w:r>
        <w:t>The drug cost/patient/</w:t>
      </w:r>
      <w:r w:rsidR="004D19A6">
        <w:t>course</w:t>
      </w:r>
      <w:r w:rsidR="004B0160" w:rsidRPr="004B0160">
        <w:t xml:space="preserve"> was based on one 3-month cycle of treatment per patient </w:t>
      </w:r>
      <w:r w:rsidR="004B0160" w:rsidRPr="00710319">
        <w:rPr>
          <w:szCs w:val="22"/>
        </w:rPr>
        <w:t>per</w:t>
      </w:r>
      <w:r w:rsidR="004B0160" w:rsidRPr="00710319">
        <w:t xml:space="preserve"> </w:t>
      </w:r>
      <w:r w:rsidR="008F70AF">
        <w:t>course</w:t>
      </w:r>
      <w:r w:rsidR="00710319">
        <w:t xml:space="preserve">, </w:t>
      </w:r>
      <w:r w:rsidR="00710319" w:rsidRPr="00710319">
        <w:t xml:space="preserve">with the </w:t>
      </w:r>
      <w:r w:rsidR="007B08B0">
        <w:t>resubmission</w:t>
      </w:r>
      <w:r w:rsidR="00710319" w:rsidRPr="00710319">
        <w:t xml:space="preserve"> proposing restricting use of ulipristal to one course every 18 months</w:t>
      </w:r>
      <w:r w:rsidR="008F70AF" w:rsidRPr="00710319">
        <w:t>.</w:t>
      </w:r>
    </w:p>
    <w:p w:rsidR="00B60939" w:rsidRPr="00882085" w:rsidRDefault="00B60939" w:rsidP="001456B0">
      <w:pPr>
        <w:rPr>
          <w:szCs w:val="22"/>
        </w:rPr>
      </w:pPr>
    </w:p>
    <w:p w:rsidR="00B60939" w:rsidRPr="00497F10" w:rsidRDefault="00B60939" w:rsidP="00497F10">
      <w:pPr>
        <w:pStyle w:val="Heading2"/>
        <w:rPr>
          <w:i/>
        </w:rPr>
      </w:pPr>
      <w:bookmarkStart w:id="17" w:name="_Toc472349036"/>
      <w:r w:rsidRPr="00497F10">
        <w:rPr>
          <w:i/>
        </w:rPr>
        <w:t>Estimated PBS usage &amp; financial implications</w:t>
      </w:r>
      <w:bookmarkEnd w:id="17"/>
    </w:p>
    <w:p w:rsidR="00B60939" w:rsidRPr="00882085" w:rsidRDefault="00B60939" w:rsidP="00497F10"/>
    <w:p w:rsidR="00891018" w:rsidRDefault="00891018" w:rsidP="00891018">
      <w:pPr>
        <w:pStyle w:val="ListParagraph"/>
        <w:widowControl/>
        <w:numPr>
          <w:ilvl w:val="1"/>
          <w:numId w:val="3"/>
        </w:numPr>
        <w:rPr>
          <w:szCs w:val="22"/>
        </w:rPr>
      </w:pPr>
      <w:r>
        <w:t xml:space="preserve">This re-submission </w:t>
      </w:r>
      <w:r w:rsidR="00284ECD">
        <w:t xml:space="preserve">was </w:t>
      </w:r>
      <w:r>
        <w:t>considered by DUSC.</w:t>
      </w:r>
    </w:p>
    <w:p w:rsidR="000145EE" w:rsidRDefault="000145EE">
      <w:pPr>
        <w:widowControl/>
        <w:jc w:val="left"/>
        <w:rPr>
          <w:rFonts w:ascii="Arial Narrow" w:hAnsi="Arial Narrow"/>
          <w:b/>
          <w:sz w:val="20"/>
        </w:rPr>
      </w:pPr>
    </w:p>
    <w:p w:rsidR="00F86029" w:rsidRPr="00843F45" w:rsidRDefault="00F86029" w:rsidP="00F86029">
      <w:pPr>
        <w:ind w:firstLine="720"/>
        <w:rPr>
          <w:rFonts w:ascii="Arial Narrow" w:hAnsi="Arial Narrow"/>
          <w:b/>
          <w:sz w:val="20"/>
        </w:rPr>
      </w:pPr>
      <w:r>
        <w:rPr>
          <w:rFonts w:ascii="Arial Narrow" w:hAnsi="Arial Narrow"/>
          <w:b/>
          <w:sz w:val="20"/>
        </w:rPr>
        <w:t>Table 1</w:t>
      </w:r>
      <w:r w:rsidR="001E128F">
        <w:rPr>
          <w:rFonts w:ascii="Arial Narrow" w:hAnsi="Arial Narrow"/>
          <w:b/>
          <w:sz w:val="20"/>
        </w:rPr>
        <w:t>2</w:t>
      </w:r>
      <w:r w:rsidRPr="00843F45">
        <w:rPr>
          <w:rFonts w:ascii="Arial Narrow" w:hAnsi="Arial Narrow"/>
          <w:b/>
          <w:sz w:val="20"/>
        </w:rPr>
        <w:t xml:space="preserve">: Estimated </w:t>
      </w:r>
      <w:r>
        <w:rPr>
          <w:rFonts w:ascii="Arial Narrow" w:hAnsi="Arial Narrow"/>
          <w:b/>
          <w:sz w:val="20"/>
        </w:rPr>
        <w:t>number of patients to be treated and packs to be dispensed</w:t>
      </w:r>
    </w:p>
    <w:tbl>
      <w:tblPr>
        <w:tblStyle w:val="TableGrid"/>
        <w:tblW w:w="8392" w:type="dxa"/>
        <w:tblInd w:w="737" w:type="dxa"/>
        <w:tblCellMar>
          <w:left w:w="28" w:type="dxa"/>
          <w:right w:w="28" w:type="dxa"/>
        </w:tblCellMar>
        <w:tblLook w:val="04A0" w:firstRow="1" w:lastRow="0" w:firstColumn="1" w:lastColumn="0" w:noHBand="0" w:noVBand="1"/>
        <w:tblCaption w:val="Table 12: Estimated number of patients to be treated and packs to be dispensed"/>
      </w:tblPr>
      <w:tblGrid>
        <w:gridCol w:w="3270"/>
        <w:gridCol w:w="1024"/>
        <w:gridCol w:w="1024"/>
        <w:gridCol w:w="1025"/>
        <w:gridCol w:w="1024"/>
        <w:gridCol w:w="1025"/>
      </w:tblGrid>
      <w:tr w:rsidR="00F86029" w:rsidRPr="0056411D" w:rsidTr="00FE36DA">
        <w:trPr>
          <w:trHeight w:val="230"/>
          <w:tblHeader/>
        </w:trPr>
        <w:tc>
          <w:tcPr>
            <w:tcW w:w="3270" w:type="dxa"/>
          </w:tcPr>
          <w:p w:rsidR="00F86029" w:rsidRPr="0056411D" w:rsidRDefault="00F86029" w:rsidP="00996BBE">
            <w:pPr>
              <w:jc w:val="center"/>
              <w:rPr>
                <w:rFonts w:ascii="Arial Narrow" w:hAnsi="Arial Narrow"/>
                <w:b/>
                <w:sz w:val="20"/>
              </w:rPr>
            </w:pPr>
          </w:p>
        </w:tc>
        <w:tc>
          <w:tcPr>
            <w:tcW w:w="1024" w:type="dxa"/>
          </w:tcPr>
          <w:p w:rsidR="00F86029" w:rsidRPr="0056411D" w:rsidRDefault="00F86029" w:rsidP="00996BBE">
            <w:pPr>
              <w:jc w:val="center"/>
              <w:rPr>
                <w:rFonts w:ascii="Arial Narrow" w:hAnsi="Arial Narrow"/>
                <w:b/>
                <w:sz w:val="20"/>
              </w:rPr>
            </w:pPr>
            <w:r w:rsidRPr="0056411D">
              <w:rPr>
                <w:rFonts w:ascii="Arial Narrow" w:hAnsi="Arial Narrow"/>
                <w:b/>
                <w:sz w:val="20"/>
              </w:rPr>
              <w:t>Year 1</w:t>
            </w:r>
          </w:p>
        </w:tc>
        <w:tc>
          <w:tcPr>
            <w:tcW w:w="1024" w:type="dxa"/>
          </w:tcPr>
          <w:p w:rsidR="00F86029" w:rsidRPr="0056411D" w:rsidRDefault="00F86029" w:rsidP="00996BBE">
            <w:pPr>
              <w:jc w:val="center"/>
              <w:rPr>
                <w:rFonts w:ascii="Arial Narrow" w:hAnsi="Arial Narrow"/>
                <w:b/>
                <w:sz w:val="20"/>
              </w:rPr>
            </w:pPr>
            <w:r w:rsidRPr="0056411D">
              <w:rPr>
                <w:rFonts w:ascii="Arial Narrow" w:hAnsi="Arial Narrow"/>
                <w:b/>
                <w:sz w:val="20"/>
              </w:rPr>
              <w:t>Year 2</w:t>
            </w:r>
          </w:p>
        </w:tc>
        <w:tc>
          <w:tcPr>
            <w:tcW w:w="1025" w:type="dxa"/>
          </w:tcPr>
          <w:p w:rsidR="00F86029" w:rsidRPr="0056411D" w:rsidRDefault="00F86029" w:rsidP="00996BBE">
            <w:pPr>
              <w:jc w:val="center"/>
              <w:rPr>
                <w:rFonts w:ascii="Arial Narrow" w:hAnsi="Arial Narrow"/>
                <w:b/>
                <w:sz w:val="20"/>
              </w:rPr>
            </w:pPr>
            <w:r w:rsidRPr="0056411D">
              <w:rPr>
                <w:rFonts w:ascii="Arial Narrow" w:hAnsi="Arial Narrow"/>
                <w:b/>
                <w:sz w:val="20"/>
              </w:rPr>
              <w:t>Year 3</w:t>
            </w:r>
          </w:p>
        </w:tc>
        <w:tc>
          <w:tcPr>
            <w:tcW w:w="1024" w:type="dxa"/>
          </w:tcPr>
          <w:p w:rsidR="00F86029" w:rsidRPr="0056411D" w:rsidRDefault="00F86029" w:rsidP="00996BBE">
            <w:pPr>
              <w:jc w:val="center"/>
              <w:rPr>
                <w:rFonts w:ascii="Arial Narrow" w:hAnsi="Arial Narrow"/>
                <w:b/>
                <w:sz w:val="20"/>
              </w:rPr>
            </w:pPr>
            <w:r w:rsidRPr="0056411D">
              <w:rPr>
                <w:rFonts w:ascii="Arial Narrow" w:hAnsi="Arial Narrow"/>
                <w:b/>
                <w:sz w:val="20"/>
              </w:rPr>
              <w:t>Year 4</w:t>
            </w:r>
          </w:p>
        </w:tc>
        <w:tc>
          <w:tcPr>
            <w:tcW w:w="1025" w:type="dxa"/>
          </w:tcPr>
          <w:p w:rsidR="00F86029" w:rsidRPr="0056411D" w:rsidRDefault="00F86029" w:rsidP="00996BBE">
            <w:pPr>
              <w:jc w:val="center"/>
              <w:rPr>
                <w:rFonts w:ascii="Arial Narrow" w:hAnsi="Arial Narrow"/>
                <w:b/>
                <w:sz w:val="20"/>
              </w:rPr>
            </w:pPr>
            <w:r w:rsidRPr="0056411D">
              <w:rPr>
                <w:rFonts w:ascii="Arial Narrow" w:hAnsi="Arial Narrow"/>
                <w:b/>
                <w:sz w:val="20"/>
              </w:rPr>
              <w:t>Year 5</w:t>
            </w:r>
          </w:p>
        </w:tc>
      </w:tr>
      <w:tr w:rsidR="00F86029" w:rsidRPr="0080375F" w:rsidTr="000F2DCD">
        <w:trPr>
          <w:trHeight w:val="459"/>
        </w:trPr>
        <w:tc>
          <w:tcPr>
            <w:tcW w:w="3270" w:type="dxa"/>
          </w:tcPr>
          <w:p w:rsidR="00F86029" w:rsidRPr="001C01C4" w:rsidRDefault="00F86029" w:rsidP="00996BBE">
            <w:pPr>
              <w:jc w:val="left"/>
              <w:rPr>
                <w:rFonts w:ascii="Arial Narrow" w:hAnsi="Arial Narrow"/>
                <w:sz w:val="20"/>
              </w:rPr>
            </w:pPr>
            <w:r w:rsidRPr="001C01C4">
              <w:rPr>
                <w:rFonts w:ascii="Arial Narrow" w:hAnsi="Arial Narrow"/>
                <w:sz w:val="20"/>
              </w:rPr>
              <w:t>Patients eligible for pre-surgery management with ulipristal</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F86029" w:rsidRPr="006C091A" w:rsidRDefault="006C091A" w:rsidP="00996BBE">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F86029" w:rsidRPr="006C091A" w:rsidRDefault="006C091A" w:rsidP="00996BBE">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86029" w:rsidRPr="006C091A" w:rsidRDefault="006C091A" w:rsidP="00996BBE">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F86029" w:rsidRPr="006C091A" w:rsidRDefault="006C091A" w:rsidP="00996BBE">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86029" w:rsidRPr="006C091A" w:rsidRDefault="006C091A" w:rsidP="00996BBE">
            <w:pPr>
              <w:jc w:val="center"/>
              <w:rPr>
                <w:rFonts w:ascii="Arial Narrow" w:hAnsi="Arial Narrow"/>
                <w:color w:val="000000"/>
                <w:sz w:val="20"/>
                <w:highlight w:val="black"/>
              </w:rPr>
            </w:pPr>
            <w:r>
              <w:rPr>
                <w:rFonts w:ascii="Arial Narrow" w:hAnsi="Arial Narrow"/>
                <w:noProof/>
                <w:color w:val="000000"/>
                <w:sz w:val="20"/>
                <w:highlight w:val="black"/>
              </w:rPr>
              <w:t>'''''''''''''''''</w:t>
            </w:r>
          </w:p>
        </w:tc>
      </w:tr>
      <w:tr w:rsidR="00F86029" w:rsidRPr="0080375F" w:rsidTr="000F2DCD">
        <w:trPr>
          <w:trHeight w:val="459"/>
        </w:trPr>
        <w:tc>
          <w:tcPr>
            <w:tcW w:w="3270" w:type="dxa"/>
            <w:shd w:val="clear" w:color="auto" w:fill="D9D9D9" w:themeFill="background1" w:themeFillShade="D9"/>
          </w:tcPr>
          <w:p w:rsidR="00F86029" w:rsidRPr="001C01C4" w:rsidRDefault="00F86029" w:rsidP="00996BBE">
            <w:pPr>
              <w:jc w:val="left"/>
              <w:rPr>
                <w:rFonts w:ascii="Arial Narrow" w:hAnsi="Arial Narrow"/>
                <w:sz w:val="20"/>
              </w:rPr>
            </w:pPr>
            <w:r>
              <w:rPr>
                <w:rFonts w:ascii="Arial Narrow" w:hAnsi="Arial Narrow"/>
                <w:sz w:val="20"/>
              </w:rPr>
              <w:t>A</w:t>
            </w:r>
            <w:r w:rsidRPr="00727153">
              <w:rPr>
                <w:rFonts w:ascii="Arial Narrow" w:hAnsi="Arial Narrow"/>
                <w:sz w:val="20"/>
              </w:rPr>
              <w:t>ppropriate for short term treatment (July 2016 submission)</w:t>
            </w:r>
            <w:r>
              <w:rPr>
                <w:rFonts w:ascii="Arial Narrow" w:hAnsi="Arial Narrow"/>
                <w:sz w:val="20"/>
              </w:rPr>
              <w:t>**</w:t>
            </w:r>
          </w:p>
        </w:tc>
        <w:tc>
          <w:tcPr>
            <w:tcW w:w="1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6029" w:rsidRPr="006C091A" w:rsidRDefault="006C091A" w:rsidP="00996BB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6029" w:rsidRPr="006C091A" w:rsidRDefault="006C091A" w:rsidP="00996BB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6029" w:rsidRPr="006C091A" w:rsidRDefault="006C091A" w:rsidP="00996BB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6029" w:rsidRPr="006C091A" w:rsidRDefault="006C091A" w:rsidP="00996BB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6029" w:rsidRPr="006C091A" w:rsidRDefault="006C091A" w:rsidP="00996BBE">
            <w:pPr>
              <w:widowControl/>
              <w:jc w:val="center"/>
              <w:rPr>
                <w:rFonts w:ascii="Arial Narrow" w:hAnsi="Arial Narrow"/>
                <w:sz w:val="20"/>
                <w:highlight w:val="black"/>
              </w:rPr>
            </w:pPr>
            <w:r>
              <w:rPr>
                <w:rFonts w:ascii="Arial Narrow" w:hAnsi="Arial Narrow"/>
                <w:noProof/>
                <w:color w:val="000000"/>
                <w:sz w:val="20"/>
                <w:highlight w:val="black"/>
              </w:rPr>
              <w:t>'''''''''''''''</w:t>
            </w:r>
          </w:p>
        </w:tc>
      </w:tr>
      <w:tr w:rsidR="00F86029" w:rsidRPr="0080375F" w:rsidTr="000F2DCD">
        <w:trPr>
          <w:trHeight w:val="230"/>
        </w:trPr>
        <w:tc>
          <w:tcPr>
            <w:tcW w:w="3270" w:type="dxa"/>
          </w:tcPr>
          <w:p w:rsidR="00F86029" w:rsidRDefault="00F86029" w:rsidP="00996BBE">
            <w:pPr>
              <w:jc w:val="left"/>
              <w:rPr>
                <w:rFonts w:ascii="Arial Narrow" w:hAnsi="Arial Narrow"/>
                <w:sz w:val="20"/>
              </w:rPr>
            </w:pPr>
            <w:r>
              <w:rPr>
                <w:rFonts w:ascii="Arial Narrow" w:hAnsi="Arial Narrow"/>
                <w:sz w:val="20"/>
              </w:rPr>
              <w:t>Uptake rate: public hospital patients</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F86029" w:rsidRDefault="006C091A" w:rsidP="00996BBE">
            <w:pPr>
              <w:jc w:val="center"/>
              <w:rPr>
                <w:rFonts w:ascii="Arial Narrow" w:hAnsi="Arial Narrow"/>
                <w:color w:val="000000"/>
                <w:sz w:val="20"/>
              </w:rPr>
            </w:pPr>
            <w:r>
              <w:rPr>
                <w:rFonts w:ascii="Arial Narrow" w:hAnsi="Arial Narrow"/>
                <w:noProof/>
                <w:color w:val="000000"/>
                <w:sz w:val="20"/>
                <w:highlight w:val="black"/>
              </w:rPr>
              <w:t>''''''</w:t>
            </w:r>
            <w:r w:rsidR="00F86029">
              <w:rPr>
                <w:rFonts w:ascii="Arial Narrow" w:hAnsi="Arial Narrow"/>
                <w:color w:val="000000"/>
                <w:sz w:val="20"/>
              </w:rPr>
              <w:t>%</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F86029" w:rsidRDefault="006C091A" w:rsidP="00996BBE">
            <w:pPr>
              <w:jc w:val="center"/>
              <w:rPr>
                <w:rFonts w:ascii="Arial Narrow" w:hAnsi="Arial Narrow"/>
                <w:color w:val="000000"/>
                <w:sz w:val="20"/>
              </w:rPr>
            </w:pPr>
            <w:r>
              <w:rPr>
                <w:rFonts w:ascii="Arial Narrow" w:hAnsi="Arial Narrow"/>
                <w:noProof/>
                <w:color w:val="000000"/>
                <w:sz w:val="20"/>
                <w:highlight w:val="black"/>
              </w:rPr>
              <w:t>''''''</w:t>
            </w:r>
            <w:r w:rsidR="00F86029">
              <w:rPr>
                <w:rFonts w:ascii="Arial Narrow" w:hAnsi="Arial Narrow"/>
                <w:color w:val="000000"/>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86029" w:rsidRDefault="006C091A" w:rsidP="00996BBE">
            <w:pPr>
              <w:jc w:val="center"/>
              <w:rPr>
                <w:rFonts w:ascii="Arial Narrow" w:hAnsi="Arial Narrow"/>
                <w:color w:val="000000"/>
                <w:sz w:val="20"/>
              </w:rPr>
            </w:pPr>
            <w:r>
              <w:rPr>
                <w:rFonts w:ascii="Arial Narrow" w:hAnsi="Arial Narrow"/>
                <w:noProof/>
                <w:color w:val="000000"/>
                <w:sz w:val="20"/>
                <w:highlight w:val="black"/>
              </w:rPr>
              <w:t>''''''</w:t>
            </w:r>
            <w:r w:rsidR="00F86029">
              <w:rPr>
                <w:rFonts w:ascii="Arial Narrow" w:hAnsi="Arial Narrow"/>
                <w:color w:val="000000"/>
                <w:sz w:val="20"/>
              </w:rPr>
              <w:t>%</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F86029" w:rsidRDefault="006C091A" w:rsidP="00996BBE">
            <w:pPr>
              <w:jc w:val="center"/>
              <w:rPr>
                <w:rFonts w:ascii="Arial Narrow" w:hAnsi="Arial Narrow"/>
                <w:color w:val="000000"/>
                <w:sz w:val="20"/>
              </w:rPr>
            </w:pPr>
            <w:r>
              <w:rPr>
                <w:rFonts w:ascii="Arial Narrow" w:hAnsi="Arial Narrow"/>
                <w:noProof/>
                <w:color w:val="000000"/>
                <w:sz w:val="20"/>
                <w:highlight w:val="black"/>
              </w:rPr>
              <w:t>''''''</w:t>
            </w:r>
            <w:r w:rsidR="00F86029">
              <w:rPr>
                <w:rFonts w:ascii="Arial Narrow" w:hAnsi="Arial Narrow"/>
                <w:color w:val="000000"/>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86029" w:rsidRDefault="006C091A" w:rsidP="00996BBE">
            <w:pPr>
              <w:jc w:val="center"/>
              <w:rPr>
                <w:rFonts w:ascii="Arial Narrow" w:hAnsi="Arial Narrow"/>
                <w:color w:val="000000"/>
                <w:sz w:val="20"/>
              </w:rPr>
            </w:pPr>
            <w:r>
              <w:rPr>
                <w:rFonts w:ascii="Arial Narrow" w:hAnsi="Arial Narrow"/>
                <w:noProof/>
                <w:color w:val="000000"/>
                <w:sz w:val="20"/>
                <w:highlight w:val="black"/>
              </w:rPr>
              <w:t>''''''''</w:t>
            </w:r>
            <w:r w:rsidR="00F86029">
              <w:rPr>
                <w:rFonts w:ascii="Arial Narrow" w:hAnsi="Arial Narrow"/>
                <w:color w:val="000000"/>
                <w:sz w:val="20"/>
              </w:rPr>
              <w:t>%</w:t>
            </w:r>
          </w:p>
        </w:tc>
      </w:tr>
      <w:tr w:rsidR="00F86029" w:rsidRPr="0080375F" w:rsidTr="000F2DCD">
        <w:trPr>
          <w:trHeight w:val="230"/>
        </w:trPr>
        <w:tc>
          <w:tcPr>
            <w:tcW w:w="3270" w:type="dxa"/>
          </w:tcPr>
          <w:p w:rsidR="00F86029" w:rsidRDefault="00F86029" w:rsidP="00996BBE">
            <w:pPr>
              <w:jc w:val="left"/>
              <w:rPr>
                <w:rFonts w:ascii="Arial Narrow" w:hAnsi="Arial Narrow"/>
                <w:sz w:val="20"/>
              </w:rPr>
            </w:pPr>
            <w:r>
              <w:rPr>
                <w:rFonts w:ascii="Arial Narrow" w:hAnsi="Arial Narrow"/>
                <w:sz w:val="20"/>
              </w:rPr>
              <w:t>Uptake rate: private hospital patients</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F86029" w:rsidRDefault="006C091A" w:rsidP="00996BBE">
            <w:pPr>
              <w:jc w:val="center"/>
              <w:rPr>
                <w:rFonts w:ascii="Arial Narrow" w:hAnsi="Arial Narrow"/>
                <w:color w:val="000000"/>
                <w:sz w:val="20"/>
              </w:rPr>
            </w:pPr>
            <w:r>
              <w:rPr>
                <w:rFonts w:ascii="Arial Narrow" w:hAnsi="Arial Narrow"/>
                <w:noProof/>
                <w:color w:val="000000"/>
                <w:sz w:val="20"/>
                <w:highlight w:val="black"/>
              </w:rPr>
              <w:t>''''''</w:t>
            </w:r>
            <w:r w:rsidR="00F86029">
              <w:rPr>
                <w:rFonts w:ascii="Arial Narrow" w:hAnsi="Arial Narrow"/>
                <w:color w:val="000000"/>
                <w:sz w:val="20"/>
              </w:rPr>
              <w:t>%</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F86029" w:rsidRDefault="006C091A" w:rsidP="00996BBE">
            <w:pPr>
              <w:jc w:val="center"/>
              <w:rPr>
                <w:rFonts w:ascii="Arial Narrow" w:hAnsi="Arial Narrow"/>
                <w:color w:val="000000"/>
                <w:sz w:val="20"/>
              </w:rPr>
            </w:pPr>
            <w:r>
              <w:rPr>
                <w:rFonts w:ascii="Arial Narrow" w:hAnsi="Arial Narrow"/>
                <w:noProof/>
                <w:color w:val="000000"/>
                <w:sz w:val="20"/>
                <w:highlight w:val="black"/>
              </w:rPr>
              <w:t>'''''''''''</w:t>
            </w:r>
            <w:r w:rsidR="00F86029">
              <w:rPr>
                <w:rFonts w:ascii="Arial Narrow" w:hAnsi="Arial Narrow"/>
                <w:color w:val="000000"/>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86029" w:rsidRDefault="006C091A" w:rsidP="00996BBE">
            <w:pPr>
              <w:jc w:val="center"/>
              <w:rPr>
                <w:rFonts w:ascii="Arial Narrow" w:hAnsi="Arial Narrow"/>
                <w:color w:val="000000"/>
                <w:sz w:val="20"/>
              </w:rPr>
            </w:pPr>
            <w:r>
              <w:rPr>
                <w:rFonts w:ascii="Arial Narrow" w:hAnsi="Arial Narrow"/>
                <w:noProof/>
                <w:color w:val="000000"/>
                <w:sz w:val="20"/>
                <w:highlight w:val="black"/>
              </w:rPr>
              <w:t>''''''</w:t>
            </w:r>
            <w:r w:rsidR="00F86029">
              <w:rPr>
                <w:rFonts w:ascii="Arial Narrow" w:hAnsi="Arial Narrow"/>
                <w:color w:val="000000"/>
                <w:sz w:val="20"/>
              </w:rPr>
              <w:t>%</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F86029" w:rsidRDefault="006C091A" w:rsidP="00996BBE">
            <w:pPr>
              <w:jc w:val="center"/>
              <w:rPr>
                <w:rFonts w:ascii="Arial Narrow" w:hAnsi="Arial Narrow"/>
                <w:color w:val="000000"/>
                <w:sz w:val="20"/>
              </w:rPr>
            </w:pPr>
            <w:r>
              <w:rPr>
                <w:rFonts w:ascii="Arial Narrow" w:hAnsi="Arial Narrow"/>
                <w:noProof/>
                <w:color w:val="000000"/>
                <w:sz w:val="20"/>
                <w:highlight w:val="black"/>
              </w:rPr>
              <w:t>''''''''''</w:t>
            </w:r>
            <w:r w:rsidR="00F86029">
              <w:rPr>
                <w:rFonts w:ascii="Arial Narrow" w:hAnsi="Arial Narrow"/>
                <w:color w:val="000000"/>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86029" w:rsidRDefault="006C091A" w:rsidP="00996BBE">
            <w:pPr>
              <w:jc w:val="center"/>
              <w:rPr>
                <w:rFonts w:ascii="Arial Narrow" w:hAnsi="Arial Narrow"/>
                <w:color w:val="000000"/>
                <w:sz w:val="20"/>
              </w:rPr>
            </w:pPr>
            <w:r>
              <w:rPr>
                <w:rFonts w:ascii="Arial Narrow" w:hAnsi="Arial Narrow"/>
                <w:noProof/>
                <w:color w:val="000000"/>
                <w:sz w:val="20"/>
                <w:highlight w:val="black"/>
              </w:rPr>
              <w:t>'''''''</w:t>
            </w:r>
            <w:r w:rsidR="00F86029">
              <w:rPr>
                <w:rFonts w:ascii="Arial Narrow" w:hAnsi="Arial Narrow"/>
                <w:color w:val="000000"/>
                <w:sz w:val="20"/>
              </w:rPr>
              <w:t>%</w:t>
            </w:r>
          </w:p>
        </w:tc>
      </w:tr>
      <w:tr w:rsidR="00F86029" w:rsidRPr="0080375F" w:rsidTr="000F2DCD">
        <w:trPr>
          <w:trHeight w:val="459"/>
        </w:trPr>
        <w:tc>
          <w:tcPr>
            <w:tcW w:w="3270" w:type="dxa"/>
          </w:tcPr>
          <w:p w:rsidR="00F86029" w:rsidRDefault="00F86029" w:rsidP="00996BBE">
            <w:pPr>
              <w:jc w:val="left"/>
              <w:rPr>
                <w:rFonts w:ascii="Arial Narrow" w:hAnsi="Arial Narrow"/>
                <w:sz w:val="20"/>
              </w:rPr>
            </w:pPr>
            <w:r>
              <w:rPr>
                <w:rFonts w:ascii="Arial Narrow" w:hAnsi="Arial Narrow"/>
                <w:sz w:val="20"/>
              </w:rPr>
              <w:t>Overall uptake rate based on 42.4/57.6 split of public to private patients</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F86029" w:rsidRDefault="006C091A" w:rsidP="00996BBE">
            <w:pPr>
              <w:jc w:val="center"/>
              <w:rPr>
                <w:rFonts w:ascii="Arial Narrow" w:hAnsi="Arial Narrow"/>
                <w:color w:val="000000"/>
                <w:sz w:val="20"/>
              </w:rPr>
            </w:pPr>
            <w:r>
              <w:rPr>
                <w:rFonts w:ascii="Arial Narrow" w:hAnsi="Arial Narrow"/>
                <w:noProof/>
                <w:color w:val="000000"/>
                <w:sz w:val="20"/>
                <w:highlight w:val="black"/>
              </w:rPr>
              <w:t>''''''</w:t>
            </w:r>
            <w:r w:rsidR="00F86029">
              <w:rPr>
                <w:rFonts w:ascii="Arial Narrow" w:hAnsi="Arial Narrow"/>
                <w:color w:val="000000"/>
                <w:sz w:val="20"/>
              </w:rPr>
              <w:t>%</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F86029" w:rsidRDefault="006C091A" w:rsidP="00996BBE">
            <w:pPr>
              <w:jc w:val="center"/>
              <w:rPr>
                <w:rFonts w:ascii="Arial Narrow" w:hAnsi="Arial Narrow"/>
                <w:color w:val="000000"/>
                <w:sz w:val="20"/>
              </w:rPr>
            </w:pPr>
            <w:r>
              <w:rPr>
                <w:rFonts w:ascii="Arial Narrow" w:hAnsi="Arial Narrow"/>
                <w:noProof/>
                <w:color w:val="000000"/>
                <w:sz w:val="20"/>
                <w:highlight w:val="black"/>
              </w:rPr>
              <w:t>'''''''</w:t>
            </w:r>
            <w:r w:rsidR="00F86029">
              <w:rPr>
                <w:rFonts w:ascii="Arial Narrow" w:hAnsi="Arial Narrow"/>
                <w:color w:val="000000"/>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86029" w:rsidRDefault="006C091A" w:rsidP="00996BBE">
            <w:pPr>
              <w:jc w:val="center"/>
              <w:rPr>
                <w:rFonts w:ascii="Arial Narrow" w:hAnsi="Arial Narrow"/>
                <w:color w:val="000000"/>
                <w:sz w:val="20"/>
              </w:rPr>
            </w:pPr>
            <w:r>
              <w:rPr>
                <w:rFonts w:ascii="Arial Narrow" w:hAnsi="Arial Narrow"/>
                <w:noProof/>
                <w:color w:val="000000"/>
                <w:sz w:val="20"/>
                <w:highlight w:val="black"/>
              </w:rPr>
              <w:t>''''''</w:t>
            </w:r>
            <w:r w:rsidR="00F86029">
              <w:rPr>
                <w:rFonts w:ascii="Arial Narrow" w:hAnsi="Arial Narrow"/>
                <w:color w:val="000000"/>
                <w:sz w:val="20"/>
              </w:rPr>
              <w:t>%</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F86029" w:rsidRDefault="006C091A" w:rsidP="00996BBE">
            <w:pPr>
              <w:jc w:val="center"/>
              <w:rPr>
                <w:rFonts w:ascii="Arial Narrow" w:hAnsi="Arial Narrow"/>
                <w:color w:val="000000"/>
                <w:sz w:val="20"/>
              </w:rPr>
            </w:pPr>
            <w:r>
              <w:rPr>
                <w:rFonts w:ascii="Arial Narrow" w:hAnsi="Arial Narrow"/>
                <w:noProof/>
                <w:color w:val="000000"/>
                <w:sz w:val="20"/>
                <w:highlight w:val="black"/>
              </w:rPr>
              <w:t>'''''</w:t>
            </w:r>
            <w:r w:rsidR="00F86029">
              <w:rPr>
                <w:rFonts w:ascii="Arial Narrow" w:hAnsi="Arial Narrow"/>
                <w:color w:val="000000"/>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86029" w:rsidRDefault="006C091A" w:rsidP="00996BBE">
            <w:pPr>
              <w:jc w:val="center"/>
              <w:rPr>
                <w:rFonts w:ascii="Arial Narrow" w:hAnsi="Arial Narrow"/>
                <w:color w:val="000000"/>
                <w:sz w:val="20"/>
              </w:rPr>
            </w:pPr>
            <w:r>
              <w:rPr>
                <w:rFonts w:ascii="Arial Narrow" w:hAnsi="Arial Narrow"/>
                <w:noProof/>
                <w:color w:val="000000"/>
                <w:sz w:val="20"/>
                <w:highlight w:val="black"/>
              </w:rPr>
              <w:t>''''''</w:t>
            </w:r>
            <w:r w:rsidR="00F86029">
              <w:rPr>
                <w:rFonts w:ascii="Arial Narrow" w:hAnsi="Arial Narrow"/>
                <w:color w:val="000000"/>
                <w:sz w:val="20"/>
              </w:rPr>
              <w:t>%</w:t>
            </w:r>
          </w:p>
        </w:tc>
      </w:tr>
      <w:tr w:rsidR="00F86029" w:rsidRPr="0080375F" w:rsidTr="000F2DCD">
        <w:trPr>
          <w:trHeight w:val="230"/>
        </w:trPr>
        <w:tc>
          <w:tcPr>
            <w:tcW w:w="3270" w:type="dxa"/>
            <w:shd w:val="clear" w:color="auto" w:fill="D9D9D9" w:themeFill="background1" w:themeFillShade="D9"/>
            <w:vAlign w:val="center"/>
          </w:tcPr>
          <w:p w:rsidR="00F86029" w:rsidRPr="00E7057B" w:rsidRDefault="00F86029" w:rsidP="00996BBE">
            <w:pPr>
              <w:tabs>
                <w:tab w:val="left" w:pos="142"/>
              </w:tabs>
              <w:ind w:right="93"/>
              <w:jc w:val="left"/>
              <w:rPr>
                <w:rFonts w:ascii="Arial Narrow" w:hAnsi="Arial Narrow"/>
                <w:color w:val="000000" w:themeColor="text1"/>
                <w:sz w:val="20"/>
              </w:rPr>
            </w:pPr>
            <w:r w:rsidRPr="00E7057B">
              <w:rPr>
                <w:rFonts w:ascii="Arial Narrow" w:hAnsi="Arial Narrow"/>
                <w:color w:val="000000" w:themeColor="text1"/>
                <w:sz w:val="20"/>
              </w:rPr>
              <w:t>Uptake rate July 2016</w:t>
            </w:r>
          </w:p>
        </w:tc>
        <w:tc>
          <w:tcPr>
            <w:tcW w:w="1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6029" w:rsidRPr="00E7057B" w:rsidRDefault="00F86029" w:rsidP="00996BBE">
            <w:pPr>
              <w:ind w:right="93"/>
              <w:jc w:val="center"/>
              <w:rPr>
                <w:rFonts w:ascii="Arial Narrow" w:hAnsi="Arial Narrow"/>
                <w:color w:val="000000" w:themeColor="text1"/>
                <w:sz w:val="20"/>
              </w:rPr>
            </w:pPr>
            <w:r w:rsidRPr="00E7057B">
              <w:rPr>
                <w:rFonts w:ascii="Arial Narrow" w:hAnsi="Arial Narrow"/>
                <w:color w:val="000000" w:themeColor="text1"/>
                <w:sz w:val="20"/>
              </w:rPr>
              <w:t>10%</w:t>
            </w:r>
          </w:p>
        </w:tc>
        <w:tc>
          <w:tcPr>
            <w:tcW w:w="102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86029" w:rsidRPr="00E7057B" w:rsidRDefault="00F86029" w:rsidP="00996BBE">
            <w:pPr>
              <w:ind w:right="93"/>
              <w:jc w:val="center"/>
              <w:rPr>
                <w:rFonts w:ascii="Arial Narrow" w:hAnsi="Arial Narrow"/>
                <w:color w:val="000000" w:themeColor="text1"/>
                <w:sz w:val="20"/>
              </w:rPr>
            </w:pPr>
            <w:r w:rsidRPr="00E7057B">
              <w:rPr>
                <w:rFonts w:ascii="Arial Narrow" w:hAnsi="Arial Narrow"/>
                <w:color w:val="000000" w:themeColor="text1"/>
                <w:sz w:val="20"/>
              </w:rPr>
              <w:t>20%</w:t>
            </w:r>
          </w:p>
        </w:tc>
        <w:tc>
          <w:tcPr>
            <w:tcW w:w="10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86029" w:rsidRPr="00E7057B" w:rsidRDefault="00F86029" w:rsidP="00996BBE">
            <w:pPr>
              <w:ind w:right="93"/>
              <w:jc w:val="center"/>
              <w:rPr>
                <w:rFonts w:ascii="Arial Narrow" w:hAnsi="Arial Narrow"/>
                <w:color w:val="000000" w:themeColor="text1"/>
                <w:sz w:val="20"/>
              </w:rPr>
            </w:pPr>
            <w:r w:rsidRPr="00E7057B">
              <w:rPr>
                <w:rFonts w:ascii="Arial Narrow" w:hAnsi="Arial Narrow"/>
                <w:color w:val="000000" w:themeColor="text1"/>
                <w:sz w:val="20"/>
              </w:rPr>
              <w:t>30%</w:t>
            </w:r>
          </w:p>
        </w:tc>
        <w:tc>
          <w:tcPr>
            <w:tcW w:w="102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86029" w:rsidRPr="00E7057B" w:rsidRDefault="00F86029" w:rsidP="00996BBE">
            <w:pPr>
              <w:ind w:right="93"/>
              <w:jc w:val="center"/>
              <w:rPr>
                <w:rFonts w:ascii="Arial Narrow" w:hAnsi="Arial Narrow"/>
                <w:color w:val="000000" w:themeColor="text1"/>
                <w:sz w:val="20"/>
              </w:rPr>
            </w:pPr>
            <w:r w:rsidRPr="00E7057B">
              <w:rPr>
                <w:rFonts w:ascii="Arial Narrow" w:hAnsi="Arial Narrow"/>
                <w:color w:val="000000" w:themeColor="text1"/>
                <w:sz w:val="20"/>
              </w:rPr>
              <w:t>40%</w:t>
            </w:r>
          </w:p>
        </w:tc>
        <w:tc>
          <w:tcPr>
            <w:tcW w:w="10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86029" w:rsidRPr="00E7057B" w:rsidRDefault="00F86029" w:rsidP="00996BBE">
            <w:pPr>
              <w:ind w:right="93"/>
              <w:jc w:val="center"/>
              <w:rPr>
                <w:rFonts w:ascii="Arial Narrow" w:hAnsi="Arial Narrow"/>
                <w:color w:val="000000" w:themeColor="text1"/>
                <w:sz w:val="20"/>
              </w:rPr>
            </w:pPr>
            <w:r w:rsidRPr="00E7057B">
              <w:rPr>
                <w:rFonts w:ascii="Arial Narrow" w:hAnsi="Arial Narrow"/>
                <w:color w:val="000000" w:themeColor="text1"/>
                <w:sz w:val="20"/>
              </w:rPr>
              <w:t>50%</w:t>
            </w:r>
          </w:p>
        </w:tc>
      </w:tr>
      <w:tr w:rsidR="00F86029" w:rsidRPr="0080375F" w:rsidTr="000F2DCD">
        <w:trPr>
          <w:trHeight w:val="230"/>
        </w:trPr>
        <w:tc>
          <w:tcPr>
            <w:tcW w:w="3270" w:type="dxa"/>
          </w:tcPr>
          <w:p w:rsidR="00F86029" w:rsidRPr="001C01C4" w:rsidRDefault="00F86029" w:rsidP="00996BBE">
            <w:pPr>
              <w:jc w:val="left"/>
              <w:rPr>
                <w:rFonts w:ascii="Arial Narrow" w:hAnsi="Arial Narrow"/>
                <w:sz w:val="20"/>
              </w:rPr>
            </w:pPr>
            <w:r w:rsidRPr="001C01C4">
              <w:rPr>
                <w:rFonts w:ascii="Arial Narrow" w:hAnsi="Arial Narrow"/>
                <w:sz w:val="20"/>
              </w:rPr>
              <w:t>Estimated number of patients treated</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F86029" w:rsidRPr="006C091A" w:rsidRDefault="006C091A" w:rsidP="00996BBE">
            <w:pPr>
              <w:widowControl/>
              <w:jc w:val="center"/>
              <w:rPr>
                <w:rFonts w:ascii="Arial Narrow" w:hAnsi="Arial Narrow"/>
                <w:snapToGrid/>
                <w:color w:val="000000"/>
                <w:sz w:val="18"/>
                <w:szCs w:val="18"/>
                <w:highlight w:val="black"/>
                <w:lang w:eastAsia="en-AU"/>
              </w:rPr>
            </w:pPr>
            <w:r>
              <w:rPr>
                <w:rFonts w:ascii="Arial Narrow" w:hAnsi="Arial Narrow"/>
                <w:noProof/>
                <w:color w:val="000000"/>
                <w:sz w:val="20"/>
                <w:highlight w:val="black"/>
              </w:rPr>
              <w:t>'''''''''''''''''</w:t>
            </w:r>
          </w:p>
        </w:tc>
        <w:tc>
          <w:tcPr>
            <w:tcW w:w="1024" w:type="dxa"/>
            <w:tcBorders>
              <w:top w:val="single" w:sz="4" w:space="0" w:color="auto"/>
              <w:left w:val="nil"/>
              <w:bottom w:val="single" w:sz="4" w:space="0" w:color="auto"/>
              <w:right w:val="single" w:sz="4" w:space="0" w:color="auto"/>
            </w:tcBorders>
            <w:shd w:val="clear" w:color="auto" w:fill="auto"/>
            <w:vAlign w:val="center"/>
          </w:tcPr>
          <w:p w:rsidR="00F86029" w:rsidRPr="006C091A" w:rsidRDefault="006C091A" w:rsidP="00996BB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1025" w:type="dxa"/>
            <w:tcBorders>
              <w:top w:val="single" w:sz="4" w:space="0" w:color="auto"/>
              <w:left w:val="nil"/>
              <w:bottom w:val="single" w:sz="4" w:space="0" w:color="auto"/>
              <w:right w:val="single" w:sz="4" w:space="0" w:color="auto"/>
            </w:tcBorders>
            <w:shd w:val="clear" w:color="auto" w:fill="auto"/>
            <w:vAlign w:val="center"/>
          </w:tcPr>
          <w:p w:rsidR="00F86029" w:rsidRPr="006C091A" w:rsidRDefault="006C091A" w:rsidP="00996BB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1024" w:type="dxa"/>
            <w:tcBorders>
              <w:top w:val="single" w:sz="4" w:space="0" w:color="auto"/>
              <w:left w:val="nil"/>
              <w:bottom w:val="single" w:sz="4" w:space="0" w:color="auto"/>
              <w:right w:val="single" w:sz="4" w:space="0" w:color="auto"/>
            </w:tcBorders>
            <w:shd w:val="clear" w:color="auto" w:fill="auto"/>
            <w:vAlign w:val="center"/>
          </w:tcPr>
          <w:p w:rsidR="00F86029" w:rsidRPr="006C091A" w:rsidRDefault="006C091A" w:rsidP="00996BB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1025" w:type="dxa"/>
            <w:tcBorders>
              <w:top w:val="single" w:sz="4" w:space="0" w:color="auto"/>
              <w:left w:val="nil"/>
              <w:bottom w:val="single" w:sz="4" w:space="0" w:color="auto"/>
              <w:right w:val="single" w:sz="4" w:space="0" w:color="auto"/>
            </w:tcBorders>
            <w:shd w:val="clear" w:color="auto" w:fill="auto"/>
            <w:vAlign w:val="center"/>
          </w:tcPr>
          <w:p w:rsidR="00F86029" w:rsidRPr="006C091A" w:rsidRDefault="006C091A" w:rsidP="00996BB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r>
      <w:tr w:rsidR="00F86029" w:rsidRPr="0080375F" w:rsidTr="000F2DCD">
        <w:trPr>
          <w:trHeight w:val="230"/>
        </w:trPr>
        <w:tc>
          <w:tcPr>
            <w:tcW w:w="3270" w:type="dxa"/>
            <w:shd w:val="clear" w:color="auto" w:fill="D9D9D9" w:themeFill="background1" w:themeFillShade="D9"/>
            <w:vAlign w:val="center"/>
          </w:tcPr>
          <w:p w:rsidR="00F86029" w:rsidRPr="00E7057B" w:rsidRDefault="00F86029" w:rsidP="00996BBE">
            <w:pPr>
              <w:tabs>
                <w:tab w:val="left" w:pos="142"/>
              </w:tabs>
              <w:ind w:right="93"/>
              <w:jc w:val="left"/>
              <w:rPr>
                <w:rFonts w:ascii="Arial Narrow" w:hAnsi="Arial Narrow"/>
                <w:color w:val="000000" w:themeColor="text1"/>
                <w:sz w:val="20"/>
              </w:rPr>
            </w:pPr>
            <w:r w:rsidRPr="00E7057B">
              <w:rPr>
                <w:rFonts w:ascii="Arial Narrow" w:hAnsi="Arial Narrow"/>
                <w:color w:val="000000" w:themeColor="text1"/>
                <w:sz w:val="20"/>
              </w:rPr>
              <w:t>Number treated – July 2016*</w:t>
            </w:r>
            <w:r>
              <w:rPr>
                <w:rFonts w:ascii="Arial Narrow" w:hAnsi="Arial Narrow"/>
                <w:color w:val="000000" w:themeColor="text1"/>
                <w:sz w:val="20"/>
              </w:rPr>
              <w:t>*</w:t>
            </w:r>
          </w:p>
        </w:tc>
        <w:tc>
          <w:tcPr>
            <w:tcW w:w="1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6029" w:rsidRPr="006C091A" w:rsidRDefault="006C091A" w:rsidP="00996BBE">
            <w:pPr>
              <w:jc w:val="center"/>
              <w:rPr>
                <w:rFonts w:ascii="Arial Narrow" w:hAnsi="Arial Narrow"/>
                <w:bCs/>
                <w:color w:val="000000"/>
                <w:sz w:val="20"/>
                <w:highlight w:val="black"/>
              </w:rPr>
            </w:pPr>
            <w:r>
              <w:rPr>
                <w:rFonts w:ascii="Arial Narrow" w:hAnsi="Arial Narrow"/>
                <w:noProof/>
                <w:color w:val="000000"/>
                <w:sz w:val="20"/>
                <w:highlight w:val="black"/>
                <w:lang w:eastAsia="en-AU"/>
              </w:rPr>
              <w:t xml:space="preserve">'''''''''''''' </w:t>
            </w:r>
          </w:p>
        </w:tc>
        <w:tc>
          <w:tcPr>
            <w:tcW w:w="1024" w:type="dxa"/>
            <w:tcBorders>
              <w:top w:val="single" w:sz="4" w:space="0" w:color="auto"/>
              <w:left w:val="nil"/>
              <w:bottom w:val="single" w:sz="4" w:space="0" w:color="auto"/>
              <w:right w:val="single" w:sz="4" w:space="0" w:color="auto"/>
            </w:tcBorders>
            <w:shd w:val="clear" w:color="auto" w:fill="D9D9D9" w:themeFill="background1" w:themeFillShade="D9"/>
          </w:tcPr>
          <w:p w:rsidR="00F86029" w:rsidRPr="006C091A" w:rsidRDefault="006C091A" w:rsidP="00996BBE">
            <w:pPr>
              <w:jc w:val="center"/>
              <w:rPr>
                <w:rFonts w:ascii="Arial Narrow" w:hAnsi="Arial Narrow"/>
                <w:bCs/>
                <w:color w:val="000000"/>
                <w:sz w:val="20"/>
                <w:highlight w:val="black"/>
              </w:rPr>
            </w:pPr>
            <w:r>
              <w:rPr>
                <w:rFonts w:ascii="Arial Narrow" w:hAnsi="Arial Narrow"/>
                <w:noProof/>
                <w:color w:val="000000"/>
                <w:sz w:val="20"/>
                <w:highlight w:val="black"/>
                <w:lang w:eastAsia="en-AU"/>
              </w:rPr>
              <w:t xml:space="preserve">'''''''''''' </w:t>
            </w:r>
          </w:p>
        </w:tc>
        <w:tc>
          <w:tcPr>
            <w:tcW w:w="1025" w:type="dxa"/>
            <w:tcBorders>
              <w:top w:val="single" w:sz="4" w:space="0" w:color="auto"/>
              <w:left w:val="nil"/>
              <w:bottom w:val="single" w:sz="4" w:space="0" w:color="auto"/>
              <w:right w:val="single" w:sz="4" w:space="0" w:color="auto"/>
            </w:tcBorders>
            <w:shd w:val="clear" w:color="auto" w:fill="D9D9D9" w:themeFill="background1" w:themeFillShade="D9"/>
          </w:tcPr>
          <w:p w:rsidR="00F86029" w:rsidRPr="006C091A" w:rsidRDefault="006C091A" w:rsidP="00996BBE">
            <w:pPr>
              <w:jc w:val="center"/>
              <w:rPr>
                <w:rFonts w:ascii="Arial Narrow" w:hAnsi="Arial Narrow"/>
                <w:bCs/>
                <w:color w:val="000000"/>
                <w:sz w:val="20"/>
                <w:highlight w:val="black"/>
              </w:rPr>
            </w:pPr>
            <w:r>
              <w:rPr>
                <w:rFonts w:ascii="Arial Narrow" w:hAnsi="Arial Narrow"/>
                <w:noProof/>
                <w:color w:val="000000"/>
                <w:sz w:val="20"/>
                <w:highlight w:val="black"/>
                <w:lang w:eastAsia="en-AU"/>
              </w:rPr>
              <w:t xml:space="preserve">'''''''''''''' </w:t>
            </w:r>
          </w:p>
        </w:tc>
        <w:tc>
          <w:tcPr>
            <w:tcW w:w="1024" w:type="dxa"/>
            <w:tcBorders>
              <w:top w:val="single" w:sz="4" w:space="0" w:color="auto"/>
              <w:left w:val="nil"/>
              <w:bottom w:val="single" w:sz="4" w:space="0" w:color="auto"/>
              <w:right w:val="single" w:sz="4" w:space="0" w:color="auto"/>
            </w:tcBorders>
            <w:shd w:val="clear" w:color="auto" w:fill="D9D9D9" w:themeFill="background1" w:themeFillShade="D9"/>
          </w:tcPr>
          <w:p w:rsidR="00F86029" w:rsidRPr="006C091A" w:rsidRDefault="006C091A" w:rsidP="00996BBE">
            <w:pPr>
              <w:jc w:val="center"/>
              <w:rPr>
                <w:rFonts w:ascii="Arial Narrow" w:hAnsi="Arial Narrow"/>
                <w:bCs/>
                <w:color w:val="000000"/>
                <w:sz w:val="20"/>
                <w:highlight w:val="black"/>
              </w:rPr>
            </w:pPr>
            <w:r>
              <w:rPr>
                <w:rFonts w:ascii="Arial Narrow" w:hAnsi="Arial Narrow"/>
                <w:noProof/>
                <w:color w:val="000000"/>
                <w:sz w:val="20"/>
                <w:highlight w:val="black"/>
                <w:lang w:eastAsia="en-AU"/>
              </w:rPr>
              <w:t xml:space="preserve">''''''''''''' </w:t>
            </w:r>
          </w:p>
        </w:tc>
        <w:tc>
          <w:tcPr>
            <w:tcW w:w="1025" w:type="dxa"/>
            <w:tcBorders>
              <w:top w:val="single" w:sz="4" w:space="0" w:color="auto"/>
              <w:left w:val="nil"/>
              <w:bottom w:val="single" w:sz="4" w:space="0" w:color="auto"/>
              <w:right w:val="single" w:sz="4" w:space="0" w:color="auto"/>
            </w:tcBorders>
            <w:shd w:val="clear" w:color="auto" w:fill="D9D9D9" w:themeFill="background1" w:themeFillShade="D9"/>
          </w:tcPr>
          <w:p w:rsidR="00F86029" w:rsidRPr="006C091A" w:rsidRDefault="006C091A" w:rsidP="00996BBE">
            <w:pPr>
              <w:jc w:val="center"/>
              <w:rPr>
                <w:rFonts w:ascii="Arial Narrow" w:hAnsi="Arial Narrow"/>
                <w:bCs/>
                <w:color w:val="000000"/>
                <w:sz w:val="20"/>
                <w:highlight w:val="black"/>
              </w:rPr>
            </w:pPr>
            <w:r>
              <w:rPr>
                <w:rFonts w:ascii="Arial Narrow" w:hAnsi="Arial Narrow"/>
                <w:noProof/>
                <w:color w:val="000000"/>
                <w:sz w:val="20"/>
                <w:highlight w:val="black"/>
                <w:lang w:eastAsia="en-AU"/>
              </w:rPr>
              <w:t xml:space="preserve">''''''''''''''' </w:t>
            </w:r>
          </w:p>
        </w:tc>
      </w:tr>
      <w:tr w:rsidR="00F86029" w:rsidRPr="0080375F" w:rsidTr="000F2DCD">
        <w:trPr>
          <w:trHeight w:val="245"/>
        </w:trPr>
        <w:tc>
          <w:tcPr>
            <w:tcW w:w="3270" w:type="dxa"/>
          </w:tcPr>
          <w:p w:rsidR="00F86029" w:rsidRPr="003A0F46" w:rsidRDefault="00F86029" w:rsidP="00996BBE">
            <w:pPr>
              <w:jc w:val="left"/>
              <w:rPr>
                <w:rFonts w:ascii="Arial Narrow" w:hAnsi="Arial Narrow"/>
                <w:sz w:val="20"/>
              </w:rPr>
            </w:pPr>
            <w:r w:rsidRPr="003A0F46">
              <w:rPr>
                <w:rFonts w:ascii="Arial Narrow" w:hAnsi="Arial Narrow"/>
                <w:sz w:val="20"/>
              </w:rPr>
              <w:t>Packs of ulipristal dispensed per year***</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F86029" w:rsidRPr="006C091A" w:rsidRDefault="006C091A" w:rsidP="00996BBE">
            <w:pPr>
              <w:widowControl/>
              <w:jc w:val="center"/>
              <w:rPr>
                <w:rFonts w:ascii="Arial Narrow" w:hAnsi="Arial Narrow"/>
                <w:snapToGrid/>
                <w:color w:val="000000"/>
                <w:sz w:val="20"/>
                <w:highlight w:val="black"/>
                <w:lang w:eastAsia="en-AU"/>
              </w:rPr>
            </w:pPr>
            <w:r>
              <w:rPr>
                <w:rFonts w:ascii="Arial Narrow" w:hAnsi="Arial Narrow"/>
                <w:noProof/>
                <w:color w:val="000000"/>
                <w:sz w:val="20"/>
                <w:highlight w:val="black"/>
              </w:rPr>
              <w:t>''''''''''''''''''</w:t>
            </w:r>
          </w:p>
        </w:tc>
        <w:tc>
          <w:tcPr>
            <w:tcW w:w="1024" w:type="dxa"/>
            <w:tcBorders>
              <w:top w:val="single" w:sz="4" w:space="0" w:color="auto"/>
              <w:left w:val="nil"/>
              <w:bottom w:val="single" w:sz="4" w:space="0" w:color="auto"/>
              <w:right w:val="single" w:sz="4" w:space="0" w:color="auto"/>
            </w:tcBorders>
            <w:shd w:val="clear" w:color="auto" w:fill="auto"/>
            <w:vAlign w:val="center"/>
          </w:tcPr>
          <w:p w:rsidR="00F86029" w:rsidRPr="006C091A" w:rsidRDefault="006C091A" w:rsidP="00996BBE">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025" w:type="dxa"/>
            <w:tcBorders>
              <w:top w:val="single" w:sz="4" w:space="0" w:color="auto"/>
              <w:left w:val="nil"/>
              <w:bottom w:val="single" w:sz="4" w:space="0" w:color="auto"/>
              <w:right w:val="single" w:sz="4" w:space="0" w:color="auto"/>
            </w:tcBorders>
            <w:shd w:val="clear" w:color="auto" w:fill="auto"/>
            <w:vAlign w:val="center"/>
          </w:tcPr>
          <w:p w:rsidR="00F86029" w:rsidRPr="006C091A" w:rsidRDefault="006C091A" w:rsidP="00996BBE">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024" w:type="dxa"/>
            <w:tcBorders>
              <w:top w:val="single" w:sz="4" w:space="0" w:color="auto"/>
              <w:left w:val="nil"/>
              <w:bottom w:val="single" w:sz="4" w:space="0" w:color="auto"/>
              <w:right w:val="single" w:sz="4" w:space="0" w:color="auto"/>
            </w:tcBorders>
            <w:shd w:val="clear" w:color="auto" w:fill="auto"/>
            <w:vAlign w:val="center"/>
          </w:tcPr>
          <w:p w:rsidR="00F86029" w:rsidRPr="006C091A" w:rsidRDefault="006C091A" w:rsidP="00996BBE">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025" w:type="dxa"/>
            <w:tcBorders>
              <w:top w:val="single" w:sz="4" w:space="0" w:color="auto"/>
              <w:left w:val="nil"/>
              <w:bottom w:val="single" w:sz="4" w:space="0" w:color="auto"/>
              <w:right w:val="single" w:sz="4" w:space="0" w:color="auto"/>
            </w:tcBorders>
            <w:shd w:val="clear" w:color="auto" w:fill="auto"/>
            <w:vAlign w:val="center"/>
          </w:tcPr>
          <w:p w:rsidR="00F86029" w:rsidRPr="006C091A" w:rsidRDefault="006C091A" w:rsidP="00996BBE">
            <w:pPr>
              <w:jc w:val="center"/>
              <w:rPr>
                <w:rFonts w:ascii="Arial Narrow" w:hAnsi="Arial Narrow"/>
                <w:color w:val="000000"/>
                <w:sz w:val="20"/>
                <w:highlight w:val="black"/>
              </w:rPr>
            </w:pPr>
            <w:r>
              <w:rPr>
                <w:rFonts w:ascii="Arial Narrow" w:hAnsi="Arial Narrow"/>
                <w:noProof/>
                <w:color w:val="000000"/>
                <w:sz w:val="20"/>
                <w:highlight w:val="black"/>
              </w:rPr>
              <w:t>''''''''''''''''</w:t>
            </w:r>
          </w:p>
        </w:tc>
      </w:tr>
    </w:tbl>
    <w:p w:rsidR="00F86029" w:rsidRPr="00D75134" w:rsidRDefault="00F86029" w:rsidP="00F86029">
      <w:pPr>
        <w:ind w:firstLine="709"/>
        <w:rPr>
          <w:rFonts w:ascii="Arial Narrow" w:hAnsi="Arial Narrow"/>
          <w:sz w:val="18"/>
          <w:szCs w:val="18"/>
        </w:rPr>
      </w:pPr>
      <w:r w:rsidRPr="00D75134">
        <w:rPr>
          <w:rFonts w:ascii="Arial Narrow" w:hAnsi="Arial Narrow"/>
          <w:color w:val="000000"/>
          <w:sz w:val="18"/>
          <w:szCs w:val="18"/>
          <w:lang w:eastAsia="en-AU"/>
        </w:rPr>
        <w:t xml:space="preserve">Source: Table E.2.2 7.08.COM.50. </w:t>
      </w:r>
      <w:r w:rsidRPr="00D75134">
        <w:rPr>
          <w:rFonts w:ascii="Arial Narrow" w:hAnsi="Arial Narrow"/>
          <w:sz w:val="18"/>
          <w:szCs w:val="18"/>
        </w:rPr>
        <w:t>Amended in DUSC Advice.</w:t>
      </w:r>
    </w:p>
    <w:p w:rsidR="00F86029" w:rsidRPr="00D75134" w:rsidRDefault="00F86029" w:rsidP="00F86029">
      <w:pPr>
        <w:ind w:left="993" w:hanging="273"/>
        <w:rPr>
          <w:rFonts w:ascii="Arial Narrow" w:hAnsi="Arial Narrow"/>
          <w:sz w:val="18"/>
        </w:rPr>
      </w:pPr>
      <w:r w:rsidRPr="00D75134">
        <w:rPr>
          <w:rFonts w:ascii="Arial Narrow" w:hAnsi="Arial Narrow"/>
          <w:sz w:val="18"/>
        </w:rPr>
        <w:t xml:space="preserve">* </w:t>
      </w:r>
      <w:r w:rsidRPr="00D75134">
        <w:rPr>
          <w:rFonts w:ascii="Arial Narrow" w:hAnsi="Arial Narrow"/>
          <w:sz w:val="18"/>
        </w:rPr>
        <w:tab/>
        <w:t>Corrected in DUSC Advice to apply additional 15% for the prevalent pool to public hospital patients only instead of to the whole eligible population. This aligns with the submission text (p100).</w:t>
      </w:r>
    </w:p>
    <w:p w:rsidR="00F86029" w:rsidRPr="00D75134" w:rsidRDefault="00F86029" w:rsidP="00F86029">
      <w:pPr>
        <w:tabs>
          <w:tab w:val="left" w:pos="993"/>
        </w:tabs>
        <w:ind w:left="993" w:hanging="284"/>
        <w:rPr>
          <w:rFonts w:ascii="Arial Narrow" w:hAnsi="Arial Narrow"/>
          <w:sz w:val="18"/>
        </w:rPr>
      </w:pPr>
      <w:r w:rsidRPr="00D75134">
        <w:rPr>
          <w:rFonts w:ascii="Arial Narrow" w:hAnsi="Arial Narrow"/>
          <w:sz w:val="18"/>
        </w:rPr>
        <w:t xml:space="preserve">** </w:t>
      </w:r>
      <w:r w:rsidRPr="00D75134">
        <w:rPr>
          <w:rFonts w:ascii="Arial Narrow" w:hAnsi="Arial Narrow"/>
          <w:sz w:val="18"/>
        </w:rPr>
        <w:tab/>
        <w:t>Patients treated from the July 2016 submission were for the pre-surgery acute state.</w:t>
      </w:r>
    </w:p>
    <w:p w:rsidR="00F86029" w:rsidRPr="00E7057B" w:rsidRDefault="00F86029" w:rsidP="00F86029">
      <w:pPr>
        <w:tabs>
          <w:tab w:val="left" w:pos="993"/>
        </w:tabs>
        <w:ind w:left="993" w:hanging="284"/>
        <w:rPr>
          <w:rFonts w:ascii="Arial Narrow" w:hAnsi="Arial Narrow"/>
          <w:sz w:val="18"/>
        </w:rPr>
      </w:pPr>
      <w:r w:rsidRPr="00D75134">
        <w:rPr>
          <w:rFonts w:ascii="Arial Narrow" w:hAnsi="Arial Narrow"/>
          <w:sz w:val="18"/>
        </w:rPr>
        <w:t xml:space="preserve">*** </w:t>
      </w:r>
      <w:r w:rsidRPr="00D75134">
        <w:rPr>
          <w:rFonts w:ascii="Arial Narrow" w:hAnsi="Arial Narrow"/>
          <w:sz w:val="18"/>
        </w:rPr>
        <w:tab/>
        <w:t>Assuming three prescriptions per patient.</w:t>
      </w:r>
    </w:p>
    <w:p w:rsidR="00891018" w:rsidRDefault="00891018" w:rsidP="00891018">
      <w:pPr>
        <w:widowControl/>
        <w:rPr>
          <w:szCs w:val="22"/>
        </w:rPr>
      </w:pPr>
    </w:p>
    <w:p w:rsidR="00415241" w:rsidRDefault="00415241" w:rsidP="00B669FC">
      <w:pPr>
        <w:widowControl/>
        <w:ind w:left="709" w:firstLine="11"/>
        <w:rPr>
          <w:szCs w:val="22"/>
        </w:rPr>
      </w:pPr>
      <w:r>
        <w:rPr>
          <w:szCs w:val="22"/>
        </w:rPr>
        <w:t>The redacted table shows that at year 5, the estimated number of patients treated was 10,000 – 50,000, and the estimated number of packs dispensed was 10,000 – 50,000.</w:t>
      </w:r>
    </w:p>
    <w:p w:rsidR="00415241" w:rsidRPr="00C25D9C" w:rsidRDefault="00415241" w:rsidP="00891018">
      <w:pPr>
        <w:widowControl/>
        <w:rPr>
          <w:szCs w:val="22"/>
        </w:rPr>
      </w:pPr>
    </w:p>
    <w:p w:rsidR="00891018" w:rsidRPr="00E00EE0" w:rsidRDefault="00EF7A16" w:rsidP="00891018">
      <w:pPr>
        <w:pStyle w:val="ListParagraph"/>
        <w:widowControl/>
        <w:numPr>
          <w:ilvl w:val="1"/>
          <w:numId w:val="3"/>
        </w:numPr>
        <w:rPr>
          <w:color w:val="000000" w:themeColor="text1"/>
          <w:szCs w:val="22"/>
        </w:rPr>
      </w:pPr>
      <w:r w:rsidRPr="00E00EE0">
        <w:rPr>
          <w:color w:val="000000" w:themeColor="text1"/>
        </w:rPr>
        <w:t xml:space="preserve">The PBAC </w:t>
      </w:r>
      <w:r w:rsidR="00704B93">
        <w:rPr>
          <w:color w:val="000000" w:themeColor="text1"/>
        </w:rPr>
        <w:t xml:space="preserve">agreed with </w:t>
      </w:r>
      <w:r w:rsidR="005E0DB0">
        <w:rPr>
          <w:color w:val="000000" w:themeColor="text1"/>
        </w:rPr>
        <w:t xml:space="preserve">the </w:t>
      </w:r>
      <w:r w:rsidR="00704B93">
        <w:rPr>
          <w:color w:val="000000" w:themeColor="text1"/>
        </w:rPr>
        <w:t xml:space="preserve">DUSC and </w:t>
      </w:r>
      <w:r w:rsidRPr="00E00EE0">
        <w:rPr>
          <w:color w:val="000000" w:themeColor="text1"/>
        </w:rPr>
        <w:t>considered t</w:t>
      </w:r>
      <w:r w:rsidR="00891018" w:rsidRPr="00E00EE0">
        <w:rPr>
          <w:color w:val="000000" w:themeColor="text1"/>
        </w:rPr>
        <w:t>he financial estimates highly uncertain and may be underestimated.  In particular:</w:t>
      </w:r>
    </w:p>
    <w:p w:rsidR="00891018" w:rsidRPr="00E00EE0" w:rsidRDefault="00C44FFB" w:rsidP="00F949BA">
      <w:pPr>
        <w:pStyle w:val="ListParagraph"/>
        <w:widowControl/>
        <w:numPr>
          <w:ilvl w:val="0"/>
          <w:numId w:val="40"/>
        </w:numPr>
        <w:rPr>
          <w:color w:val="000000" w:themeColor="text1"/>
          <w:szCs w:val="22"/>
        </w:rPr>
      </w:pPr>
      <w:r w:rsidRPr="00A152C3">
        <w:t>There was a high degree of uncertainty regarding the number of patients who would be eligible for ulipristal under the proposed restriction</w:t>
      </w:r>
      <w:r>
        <w:t xml:space="preserve">. </w:t>
      </w:r>
      <w:r w:rsidR="00004DBE">
        <w:rPr>
          <w:color w:val="000000" w:themeColor="text1"/>
        </w:rPr>
        <w:t>The DUSC noted that n</w:t>
      </w:r>
      <w:r w:rsidR="00004DBE" w:rsidRPr="00004DBE">
        <w:t>o clear basis was provided for the chosen proportion of procedures that were for uterine fibroids. Calibration of these proportions to the procedure mix in the PEARL</w:t>
      </w:r>
      <w:r w:rsidR="00B61D16">
        <w:t xml:space="preserve"> </w:t>
      </w:r>
      <w:r w:rsidR="00004DBE" w:rsidRPr="00004DBE">
        <w:t>I trial did not reduce uncertainty given that the procedure mix in PEARL</w:t>
      </w:r>
      <w:r w:rsidR="00B61D16">
        <w:t xml:space="preserve"> </w:t>
      </w:r>
      <w:r w:rsidR="00004DBE" w:rsidRPr="00004DBE">
        <w:t>II differed greatly from PEARL</w:t>
      </w:r>
      <w:r w:rsidR="00B61D16">
        <w:t xml:space="preserve"> </w:t>
      </w:r>
      <w:r w:rsidR="00004DBE" w:rsidRPr="00004DBE">
        <w:t>I.</w:t>
      </w:r>
      <w:r w:rsidR="00004DBE">
        <w:rPr>
          <w:i/>
        </w:rPr>
        <w:t xml:space="preserve"> </w:t>
      </w:r>
      <w:r w:rsidRPr="00E00EE0">
        <w:rPr>
          <w:color w:val="000000" w:themeColor="text1"/>
        </w:rPr>
        <w:t>The re-submission’s approach using the PEARL I trial for calibration led to a higher estimate of patient numbers.</w:t>
      </w:r>
    </w:p>
    <w:p w:rsidR="00FF5620" w:rsidRPr="00FF5620" w:rsidRDefault="00FF5620" w:rsidP="00F949BA">
      <w:pPr>
        <w:pStyle w:val="ListParagraph"/>
        <w:widowControl/>
        <w:numPr>
          <w:ilvl w:val="0"/>
          <w:numId w:val="40"/>
        </w:numPr>
        <w:rPr>
          <w:color w:val="000000" w:themeColor="text1"/>
          <w:szCs w:val="22"/>
        </w:rPr>
      </w:pPr>
      <w:r>
        <w:rPr>
          <w:szCs w:val="22"/>
        </w:rPr>
        <w:t>The re</w:t>
      </w:r>
      <w:r w:rsidRPr="0099166A">
        <w:rPr>
          <w:szCs w:val="22"/>
        </w:rPr>
        <w:t>submission made a 15% prevalence adjustment to the number of patients undergoing surgery in Year 1</w:t>
      </w:r>
      <w:r>
        <w:rPr>
          <w:szCs w:val="22"/>
        </w:rPr>
        <w:t xml:space="preserve">. </w:t>
      </w:r>
      <w:r>
        <w:rPr>
          <w:color w:val="000000" w:themeColor="text1"/>
        </w:rPr>
        <w:t>The pre-PBAC response confirmed the DUSC correction that t</w:t>
      </w:r>
      <w:r w:rsidRPr="00715230">
        <w:rPr>
          <w:color w:val="000000" w:themeColor="text1"/>
        </w:rPr>
        <w:t xml:space="preserve">he prevalence adjustment </w:t>
      </w:r>
      <w:r w:rsidR="00D759D1">
        <w:rPr>
          <w:color w:val="000000" w:themeColor="text1"/>
        </w:rPr>
        <w:t xml:space="preserve">was </w:t>
      </w:r>
      <w:r w:rsidRPr="00715230">
        <w:rPr>
          <w:color w:val="000000" w:themeColor="text1"/>
        </w:rPr>
        <w:t xml:space="preserve">intended to be applied to public hospital patients only </w:t>
      </w:r>
      <w:r w:rsidR="00D759D1">
        <w:rPr>
          <w:color w:val="000000" w:themeColor="text1"/>
        </w:rPr>
        <w:t xml:space="preserve">but </w:t>
      </w:r>
      <w:r w:rsidRPr="00715230">
        <w:rPr>
          <w:color w:val="000000" w:themeColor="text1"/>
        </w:rPr>
        <w:t>was applied to the whole eligible population</w:t>
      </w:r>
      <w:r>
        <w:rPr>
          <w:color w:val="000000" w:themeColor="text1"/>
        </w:rPr>
        <w:t xml:space="preserve">. The PBAC noted </w:t>
      </w:r>
      <w:r w:rsidR="006F1C1B">
        <w:rPr>
          <w:color w:val="000000" w:themeColor="text1"/>
        </w:rPr>
        <w:t xml:space="preserve">that </w:t>
      </w:r>
      <w:r w:rsidR="006F1C1B" w:rsidRPr="0099166A">
        <w:rPr>
          <w:szCs w:val="22"/>
        </w:rPr>
        <w:t>no justi</w:t>
      </w:r>
      <w:r w:rsidR="006F1C1B">
        <w:rPr>
          <w:szCs w:val="22"/>
        </w:rPr>
        <w:t>fication was provided in the re</w:t>
      </w:r>
      <w:r w:rsidR="006F1C1B" w:rsidRPr="0099166A">
        <w:rPr>
          <w:szCs w:val="22"/>
        </w:rPr>
        <w:t xml:space="preserve">submission </w:t>
      </w:r>
      <w:r w:rsidR="00D759D1">
        <w:rPr>
          <w:szCs w:val="22"/>
        </w:rPr>
        <w:t>regarding</w:t>
      </w:r>
      <w:r w:rsidR="006F1C1B" w:rsidRPr="0099166A">
        <w:rPr>
          <w:szCs w:val="22"/>
        </w:rPr>
        <w:t xml:space="preserve"> the prevalence adjustment </w:t>
      </w:r>
      <w:r w:rsidR="00D759D1">
        <w:rPr>
          <w:szCs w:val="22"/>
        </w:rPr>
        <w:t>being</w:t>
      </w:r>
      <w:r w:rsidR="006F1C1B" w:rsidRPr="0099166A">
        <w:rPr>
          <w:szCs w:val="22"/>
        </w:rPr>
        <w:t xml:space="preserve"> 15%</w:t>
      </w:r>
      <w:r>
        <w:rPr>
          <w:color w:val="000000" w:themeColor="text1"/>
        </w:rPr>
        <w:t>.</w:t>
      </w:r>
    </w:p>
    <w:p w:rsidR="00891018" w:rsidRPr="00DD4F2A" w:rsidRDefault="00891018" w:rsidP="00F949BA">
      <w:pPr>
        <w:pStyle w:val="ListParagraph"/>
        <w:widowControl/>
        <w:numPr>
          <w:ilvl w:val="0"/>
          <w:numId w:val="40"/>
        </w:numPr>
        <w:rPr>
          <w:color w:val="000000" w:themeColor="text1"/>
          <w:szCs w:val="22"/>
        </w:rPr>
      </w:pPr>
      <w:r w:rsidRPr="00DD4F2A">
        <w:rPr>
          <w:color w:val="000000" w:themeColor="text1"/>
        </w:rPr>
        <w:t xml:space="preserve">While the uptake rate was also appropriately higher than that used in the July 2016 submission, in-line with the DUSC advice for the July 2016 PBAC meeting (5.14.DUSC ADV.1), there was still uncertainty surrounding the treated patient population. It is possible that the uptake rate in the private hospital system would be higher than anticipated. </w:t>
      </w:r>
      <w:r w:rsidR="00216CC2" w:rsidRPr="00DD4F2A">
        <w:rPr>
          <w:color w:val="000000" w:themeColor="text1"/>
        </w:rPr>
        <w:t xml:space="preserve">The DUSC noted that it is unclear how clinician and patient preference might change if ulipristal were subsidised; it could become standard pre-surgery practice if there is a perception of reduced surgical </w:t>
      </w:r>
      <w:r w:rsidR="00DB0C2D" w:rsidRPr="00DD4F2A">
        <w:rPr>
          <w:color w:val="000000" w:themeColor="text1"/>
        </w:rPr>
        <w:t>morbidity.</w:t>
      </w:r>
      <w:r w:rsidR="00DB0C2D">
        <w:rPr>
          <w:color w:val="000000" w:themeColor="text1"/>
        </w:rPr>
        <w:t xml:space="preserve"> The</w:t>
      </w:r>
      <w:r w:rsidR="00F232A9">
        <w:rPr>
          <w:color w:val="000000" w:themeColor="text1"/>
        </w:rPr>
        <w:t xml:space="preserve"> pre-PBAC response argued that</w:t>
      </w:r>
      <w:r w:rsidR="00F232A9" w:rsidRPr="00F232A9">
        <w:rPr>
          <w:color w:val="000000" w:themeColor="text1"/>
        </w:rPr>
        <w:t xml:space="preserve"> clinical experts working in the private sector suggest</w:t>
      </w:r>
      <w:r w:rsidR="00291ADE">
        <w:rPr>
          <w:color w:val="000000" w:themeColor="text1"/>
        </w:rPr>
        <w:t>ed</w:t>
      </w:r>
      <w:r w:rsidR="00F232A9" w:rsidRPr="00F232A9">
        <w:rPr>
          <w:color w:val="000000" w:themeColor="text1"/>
        </w:rPr>
        <w:t xml:space="preserve"> ulipristal is unlikely to be widely prescribed in order to delay or prevent surgery, but will typically be reserved for cases where debulking of the fibroids is clearly indicated to facilitate less invasive surgery and</w:t>
      </w:r>
      <w:r w:rsidR="00370E77">
        <w:rPr>
          <w:color w:val="000000" w:themeColor="text1"/>
        </w:rPr>
        <w:t>/or improve patient outcomes.</w:t>
      </w:r>
      <w:r w:rsidR="00F232A9" w:rsidRPr="00F232A9">
        <w:rPr>
          <w:color w:val="000000" w:themeColor="text1"/>
        </w:rPr>
        <w:t xml:space="preserve"> </w:t>
      </w:r>
    </w:p>
    <w:p w:rsidR="00715230" w:rsidRPr="00DD4F2A" w:rsidRDefault="00BA22A1" w:rsidP="008C7B1A">
      <w:pPr>
        <w:pStyle w:val="ListParagraph"/>
        <w:widowControl/>
        <w:numPr>
          <w:ilvl w:val="0"/>
          <w:numId w:val="40"/>
        </w:numPr>
        <w:rPr>
          <w:color w:val="000000" w:themeColor="text1"/>
          <w:szCs w:val="22"/>
        </w:rPr>
      </w:pPr>
      <w:r w:rsidRPr="005666F6">
        <w:t xml:space="preserve">The DUSC noted that the requested restriction </w:t>
      </w:r>
      <w:r w:rsidR="008C7B1A" w:rsidRPr="005666F6">
        <w:t xml:space="preserve">permits treatment more than once in a lifetime. </w:t>
      </w:r>
      <w:r w:rsidR="00001193">
        <w:t>G</w:t>
      </w:r>
      <w:r w:rsidR="00150B00">
        <w:t>i</w:t>
      </w:r>
      <w:r w:rsidR="00BA3310">
        <w:t xml:space="preserve">ven </w:t>
      </w:r>
      <w:r>
        <w:t>that t</w:t>
      </w:r>
      <w:r w:rsidR="00715230" w:rsidRPr="00DD4F2A">
        <w:rPr>
          <w:szCs w:val="22"/>
        </w:rPr>
        <w:t>he financial estimates did not account for patients who do not proceed with planned surgery and are re-treated with ulipristal</w:t>
      </w:r>
      <w:r w:rsidR="00001193">
        <w:rPr>
          <w:szCs w:val="22"/>
        </w:rPr>
        <w:t xml:space="preserve">, the DUSC </w:t>
      </w:r>
      <w:r w:rsidR="00001193">
        <w:t>considered that</w:t>
      </w:r>
      <w:r w:rsidR="00001193" w:rsidRPr="005666F6">
        <w:t xml:space="preserve"> women potentially using ulipristal more than once in a lifetime w</w:t>
      </w:r>
      <w:r w:rsidR="00001193">
        <w:t>ere not</w:t>
      </w:r>
      <w:r w:rsidR="00001193" w:rsidRPr="005666F6">
        <w:t xml:space="preserve"> accounted for in assessing cost effectiveness and financial costs</w:t>
      </w:r>
      <w:r w:rsidR="00715230" w:rsidRPr="00DD4F2A">
        <w:rPr>
          <w:szCs w:val="22"/>
        </w:rPr>
        <w:t>.</w:t>
      </w:r>
      <w:r w:rsidR="00C232A3">
        <w:rPr>
          <w:szCs w:val="22"/>
        </w:rPr>
        <w:t xml:space="preserve"> The pre-PBAC response </w:t>
      </w:r>
      <w:r w:rsidR="00370E77">
        <w:rPr>
          <w:szCs w:val="22"/>
        </w:rPr>
        <w:t>argued that e</w:t>
      </w:r>
      <w:r w:rsidR="00C232A3" w:rsidRPr="00C232A3">
        <w:rPr>
          <w:szCs w:val="22"/>
        </w:rPr>
        <w:t xml:space="preserve">vidence from across the ulipristal clinical development program indicates that symptoms of uterine fibroids are likely to relapse to baseline levels within a few months of completing a single course of ulipristal.  Hence the highly intermittent regimen suggested by DUSC is </w:t>
      </w:r>
      <w:r w:rsidR="00AF6B43" w:rsidRPr="00C232A3">
        <w:rPr>
          <w:szCs w:val="22"/>
        </w:rPr>
        <w:t>neither clinically appropriate nor</w:t>
      </w:r>
      <w:r w:rsidR="00C232A3" w:rsidRPr="00C232A3">
        <w:rPr>
          <w:szCs w:val="22"/>
        </w:rPr>
        <w:t xml:space="preserve"> likely to emerge in practice. </w:t>
      </w:r>
      <w:r w:rsidR="00370E77">
        <w:rPr>
          <w:szCs w:val="22"/>
        </w:rPr>
        <w:t xml:space="preserve">The pre-PBAC response further noted that </w:t>
      </w:r>
      <w:r w:rsidR="00C232A3" w:rsidRPr="00C232A3">
        <w:rPr>
          <w:szCs w:val="22"/>
        </w:rPr>
        <w:t>the proposed 18-month interval is reasonably arbitrary, and represents a pragmatic limitation considered sufficient to discourage de facto use as a long-term intermittent regimen while not excluding treatment of the significant proportion of patients who experience a recurrence of their fibroids following surgery or surgical substitute interventions.</w:t>
      </w:r>
    </w:p>
    <w:p w:rsidR="00DD4F2A" w:rsidRDefault="00891018" w:rsidP="00F949BA">
      <w:pPr>
        <w:pStyle w:val="ListParagraph"/>
        <w:widowControl/>
        <w:numPr>
          <w:ilvl w:val="0"/>
          <w:numId w:val="40"/>
        </w:numPr>
        <w:rPr>
          <w:color w:val="000000" w:themeColor="text1"/>
          <w:szCs w:val="22"/>
        </w:rPr>
      </w:pPr>
      <w:r w:rsidRPr="00E00EE0">
        <w:rPr>
          <w:color w:val="000000" w:themeColor="text1"/>
          <w:szCs w:val="22"/>
        </w:rPr>
        <w:t xml:space="preserve">The cost-offsets expected due to less intensive surgical procedures were not supported by the available evidence and may not be </w:t>
      </w:r>
      <w:r w:rsidRPr="00D75134">
        <w:rPr>
          <w:color w:val="000000" w:themeColor="text1"/>
          <w:szCs w:val="22"/>
        </w:rPr>
        <w:t>realised</w:t>
      </w:r>
      <w:r w:rsidR="008D4AD0" w:rsidRPr="00D75134">
        <w:rPr>
          <w:color w:val="000000" w:themeColor="text1"/>
          <w:szCs w:val="22"/>
        </w:rPr>
        <w:t xml:space="preserve"> (Table </w:t>
      </w:r>
      <w:r w:rsidR="001E128F" w:rsidRPr="00D75134">
        <w:rPr>
          <w:color w:val="000000" w:themeColor="text1"/>
          <w:szCs w:val="22"/>
        </w:rPr>
        <w:t>13</w:t>
      </w:r>
      <w:r w:rsidR="008D4AD0">
        <w:rPr>
          <w:color w:val="000000" w:themeColor="text1"/>
          <w:szCs w:val="22"/>
        </w:rPr>
        <w:t>)</w:t>
      </w:r>
      <w:r w:rsidRPr="00E00EE0">
        <w:rPr>
          <w:color w:val="000000" w:themeColor="text1"/>
          <w:szCs w:val="22"/>
        </w:rPr>
        <w:t xml:space="preserve">. </w:t>
      </w:r>
    </w:p>
    <w:p w:rsidR="00350C8D" w:rsidRDefault="00350C8D" w:rsidP="00350C8D">
      <w:pPr>
        <w:pStyle w:val="ListParagraph"/>
        <w:widowControl/>
        <w:ind w:left="1080"/>
        <w:rPr>
          <w:color w:val="000000" w:themeColor="text1"/>
          <w:szCs w:val="22"/>
        </w:rPr>
      </w:pPr>
    </w:p>
    <w:p w:rsidR="008D4AD0" w:rsidRPr="00E92E37" w:rsidRDefault="008D4AD0" w:rsidP="00E92E37">
      <w:pPr>
        <w:ind w:firstLine="720"/>
        <w:rPr>
          <w:rFonts w:ascii="Arial Narrow" w:hAnsi="Arial Narrow"/>
          <w:b/>
          <w:sz w:val="20"/>
        </w:rPr>
      </w:pPr>
      <w:r w:rsidRPr="00E92E37">
        <w:rPr>
          <w:rFonts w:ascii="Arial Narrow" w:hAnsi="Arial Narrow"/>
          <w:b/>
          <w:sz w:val="20"/>
        </w:rPr>
        <w:t xml:space="preserve">Table </w:t>
      </w:r>
      <w:r w:rsidR="001E128F" w:rsidRPr="00E92E37">
        <w:rPr>
          <w:rFonts w:ascii="Arial Narrow" w:hAnsi="Arial Narrow"/>
          <w:b/>
          <w:sz w:val="20"/>
        </w:rPr>
        <w:t>13</w:t>
      </w:r>
      <w:r w:rsidRPr="00E92E37">
        <w:rPr>
          <w:rFonts w:ascii="Arial Narrow" w:hAnsi="Arial Narrow"/>
          <w:b/>
          <w:sz w:val="20"/>
        </w:rPr>
        <w:t>: Estimated net cost</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1140"/>
        <w:gridCol w:w="1133"/>
        <w:gridCol w:w="1133"/>
        <w:gridCol w:w="1135"/>
        <w:gridCol w:w="1252"/>
      </w:tblGrid>
      <w:tr w:rsidR="008D4AD0" w:rsidRPr="00E7057B" w:rsidTr="00996BBE">
        <w:trPr>
          <w:tblHeader/>
        </w:trPr>
        <w:tc>
          <w:tcPr>
            <w:tcW w:w="1529" w:type="pct"/>
            <w:shd w:val="clear" w:color="auto" w:fill="auto"/>
            <w:vAlign w:val="center"/>
          </w:tcPr>
          <w:p w:rsidR="008D4AD0" w:rsidRPr="00E7057B" w:rsidRDefault="008D4AD0" w:rsidP="00996BBE">
            <w:pPr>
              <w:tabs>
                <w:tab w:val="left" w:pos="142"/>
              </w:tabs>
              <w:ind w:right="93"/>
              <w:jc w:val="left"/>
              <w:rPr>
                <w:rFonts w:ascii="Arial Narrow" w:hAnsi="Arial Narrow"/>
                <w:b/>
                <w:sz w:val="20"/>
              </w:rPr>
            </w:pPr>
          </w:p>
        </w:tc>
        <w:tc>
          <w:tcPr>
            <w:tcW w:w="683" w:type="pct"/>
            <w:shd w:val="clear" w:color="auto" w:fill="auto"/>
            <w:vAlign w:val="center"/>
          </w:tcPr>
          <w:p w:rsidR="008D4AD0" w:rsidRPr="00E7057B" w:rsidRDefault="008D4AD0" w:rsidP="00996BBE">
            <w:pPr>
              <w:ind w:right="93"/>
              <w:jc w:val="center"/>
              <w:rPr>
                <w:rFonts w:ascii="Arial Narrow" w:hAnsi="Arial Narrow"/>
                <w:b/>
                <w:sz w:val="20"/>
              </w:rPr>
            </w:pPr>
            <w:r w:rsidRPr="00E7057B">
              <w:rPr>
                <w:rFonts w:ascii="Arial Narrow" w:hAnsi="Arial Narrow"/>
                <w:b/>
                <w:sz w:val="20"/>
              </w:rPr>
              <w:t>Year 1</w:t>
            </w:r>
          </w:p>
        </w:tc>
        <w:tc>
          <w:tcPr>
            <w:tcW w:w="679" w:type="pct"/>
            <w:shd w:val="clear" w:color="auto" w:fill="auto"/>
            <w:vAlign w:val="center"/>
          </w:tcPr>
          <w:p w:rsidR="008D4AD0" w:rsidRPr="00E7057B" w:rsidRDefault="008D4AD0" w:rsidP="00996BBE">
            <w:pPr>
              <w:ind w:right="93"/>
              <w:jc w:val="center"/>
              <w:rPr>
                <w:rFonts w:ascii="Arial Narrow" w:hAnsi="Arial Narrow"/>
                <w:b/>
                <w:sz w:val="20"/>
              </w:rPr>
            </w:pPr>
            <w:r w:rsidRPr="00E7057B">
              <w:rPr>
                <w:rFonts w:ascii="Arial Narrow" w:hAnsi="Arial Narrow"/>
                <w:b/>
                <w:sz w:val="20"/>
              </w:rPr>
              <w:t>Year 2</w:t>
            </w:r>
          </w:p>
        </w:tc>
        <w:tc>
          <w:tcPr>
            <w:tcW w:w="679" w:type="pct"/>
            <w:shd w:val="clear" w:color="auto" w:fill="auto"/>
            <w:vAlign w:val="center"/>
          </w:tcPr>
          <w:p w:rsidR="008D4AD0" w:rsidRPr="00E7057B" w:rsidRDefault="008D4AD0" w:rsidP="00996BBE">
            <w:pPr>
              <w:ind w:right="93"/>
              <w:jc w:val="center"/>
              <w:rPr>
                <w:rFonts w:ascii="Arial Narrow" w:hAnsi="Arial Narrow"/>
                <w:b/>
                <w:sz w:val="20"/>
              </w:rPr>
            </w:pPr>
            <w:r w:rsidRPr="00E7057B">
              <w:rPr>
                <w:rFonts w:ascii="Arial Narrow" w:hAnsi="Arial Narrow"/>
                <w:b/>
                <w:sz w:val="20"/>
              </w:rPr>
              <w:t>Year 3</w:t>
            </w:r>
          </w:p>
        </w:tc>
        <w:tc>
          <w:tcPr>
            <w:tcW w:w="680" w:type="pct"/>
            <w:shd w:val="clear" w:color="auto" w:fill="auto"/>
            <w:vAlign w:val="center"/>
          </w:tcPr>
          <w:p w:rsidR="008D4AD0" w:rsidRPr="00E7057B" w:rsidRDefault="008D4AD0" w:rsidP="00996BBE">
            <w:pPr>
              <w:ind w:right="93"/>
              <w:jc w:val="center"/>
              <w:rPr>
                <w:rFonts w:ascii="Arial Narrow" w:hAnsi="Arial Narrow"/>
                <w:b/>
                <w:sz w:val="20"/>
              </w:rPr>
            </w:pPr>
            <w:r w:rsidRPr="00E7057B">
              <w:rPr>
                <w:rFonts w:ascii="Arial Narrow" w:hAnsi="Arial Narrow"/>
                <w:b/>
                <w:sz w:val="20"/>
              </w:rPr>
              <w:t>Year 4</w:t>
            </w:r>
          </w:p>
        </w:tc>
        <w:tc>
          <w:tcPr>
            <w:tcW w:w="750" w:type="pct"/>
            <w:shd w:val="clear" w:color="auto" w:fill="auto"/>
            <w:vAlign w:val="center"/>
          </w:tcPr>
          <w:p w:rsidR="008D4AD0" w:rsidRPr="00E7057B" w:rsidRDefault="008D4AD0" w:rsidP="00996BBE">
            <w:pPr>
              <w:ind w:right="93"/>
              <w:jc w:val="center"/>
              <w:rPr>
                <w:rFonts w:ascii="Arial Narrow" w:hAnsi="Arial Narrow"/>
                <w:b/>
                <w:sz w:val="20"/>
              </w:rPr>
            </w:pPr>
            <w:r w:rsidRPr="00E7057B">
              <w:rPr>
                <w:rFonts w:ascii="Arial Narrow" w:hAnsi="Arial Narrow"/>
                <w:b/>
                <w:sz w:val="20"/>
              </w:rPr>
              <w:t>Year 5</w:t>
            </w:r>
          </w:p>
        </w:tc>
      </w:tr>
      <w:tr w:rsidR="008D4AD0" w:rsidRPr="00E7057B" w:rsidTr="00996BBE">
        <w:tc>
          <w:tcPr>
            <w:tcW w:w="1529" w:type="pct"/>
            <w:shd w:val="clear" w:color="auto" w:fill="auto"/>
            <w:vAlign w:val="center"/>
          </w:tcPr>
          <w:p w:rsidR="008D4AD0" w:rsidRPr="00E7057B" w:rsidRDefault="008D4AD0" w:rsidP="00996BBE">
            <w:pPr>
              <w:tabs>
                <w:tab w:val="left" w:pos="142"/>
              </w:tabs>
              <w:ind w:right="93"/>
              <w:jc w:val="left"/>
              <w:rPr>
                <w:rFonts w:ascii="Arial Narrow" w:hAnsi="Arial Narrow"/>
                <w:sz w:val="20"/>
              </w:rPr>
            </w:pPr>
            <w:r w:rsidRPr="00E7057B">
              <w:rPr>
                <w:rFonts w:ascii="Arial Narrow" w:hAnsi="Arial Narrow"/>
                <w:sz w:val="20"/>
              </w:rPr>
              <w:t xml:space="preserve">Net cost to PBS </w:t>
            </w:r>
          </w:p>
        </w:tc>
        <w:tc>
          <w:tcPr>
            <w:tcW w:w="683" w:type="pct"/>
            <w:vAlign w:val="bottom"/>
          </w:tcPr>
          <w:p w:rsidR="008D4AD0" w:rsidRPr="006E68C7" w:rsidRDefault="008D4AD0" w:rsidP="00996BBE">
            <w:pPr>
              <w:widowControl/>
              <w:jc w:val="center"/>
              <w:rPr>
                <w:rFonts w:ascii="Arial Narrow" w:hAnsi="Arial Narrow" w:cstheme="majorBidi"/>
                <w:snapToGrid/>
                <w:color w:val="000000"/>
                <w:sz w:val="20"/>
                <w:szCs w:val="22"/>
                <w:lang w:eastAsia="en-AU" w:bidi="en-US"/>
              </w:rPr>
            </w:pPr>
            <w:r w:rsidRPr="006E68C7">
              <w:rPr>
                <w:rFonts w:ascii="Arial Narrow" w:eastAsiaTheme="majorEastAsia" w:hAnsi="Arial Narrow" w:cs="Calibri"/>
                <w:snapToGrid/>
                <w:color w:val="000000"/>
                <w:sz w:val="20"/>
                <w:lang w:bidi="en-US"/>
              </w:rPr>
              <w:t>$</w:t>
            </w:r>
            <w:r w:rsidR="006C091A">
              <w:rPr>
                <w:rFonts w:ascii="Arial Narrow" w:eastAsiaTheme="majorEastAsia" w:hAnsi="Arial Narrow" w:cs="Calibri"/>
                <w:noProof/>
                <w:snapToGrid/>
                <w:color w:val="000000"/>
                <w:sz w:val="20"/>
                <w:highlight w:val="black"/>
                <w:lang w:bidi="en-US"/>
              </w:rPr>
              <w:t>'''''''''''''''''''''''</w:t>
            </w:r>
            <w:r w:rsidR="0076663C" w:rsidRPr="006E68C7">
              <w:rPr>
                <w:rFonts w:ascii="Arial Narrow" w:eastAsiaTheme="majorEastAsia" w:hAnsi="Arial Narrow" w:cs="Calibri"/>
                <w:snapToGrid/>
                <w:color w:val="000000"/>
                <w:sz w:val="20"/>
                <w:lang w:bidi="en-US"/>
              </w:rPr>
              <w:t>*</w:t>
            </w:r>
          </w:p>
        </w:tc>
        <w:tc>
          <w:tcPr>
            <w:tcW w:w="679" w:type="pct"/>
            <w:vAlign w:val="bottom"/>
          </w:tcPr>
          <w:p w:rsidR="008D4AD0" w:rsidRPr="00E7057B" w:rsidRDefault="008D4AD0" w:rsidP="00996BBE">
            <w:pPr>
              <w:widowControl/>
              <w:jc w:val="center"/>
              <w:rPr>
                <w:rFonts w:ascii="Arial Narrow" w:hAnsi="Arial Narrow" w:cstheme="majorBidi"/>
                <w:snapToGrid/>
                <w:color w:val="000000"/>
                <w:sz w:val="20"/>
                <w:szCs w:val="22"/>
                <w:lang w:eastAsia="en-AU" w:bidi="en-US"/>
              </w:rPr>
            </w:pPr>
            <w:r w:rsidRPr="00E7057B">
              <w:rPr>
                <w:rFonts w:ascii="Arial Narrow" w:eastAsiaTheme="majorEastAsia" w:hAnsi="Arial Narrow" w:cs="Calibri"/>
                <w:snapToGrid/>
                <w:color w:val="000000"/>
                <w:sz w:val="20"/>
                <w:lang w:bidi="en-US"/>
              </w:rPr>
              <w:t>$</w:t>
            </w:r>
            <w:r w:rsidR="006C091A">
              <w:rPr>
                <w:rFonts w:ascii="Arial Narrow" w:eastAsiaTheme="majorEastAsia" w:hAnsi="Arial Narrow" w:cs="Calibri"/>
                <w:noProof/>
                <w:snapToGrid/>
                <w:color w:val="000000"/>
                <w:sz w:val="20"/>
                <w:highlight w:val="black"/>
                <w:lang w:bidi="en-US"/>
              </w:rPr>
              <w:t>'''''''''''''''''''''''''</w:t>
            </w:r>
          </w:p>
        </w:tc>
        <w:tc>
          <w:tcPr>
            <w:tcW w:w="679" w:type="pct"/>
            <w:vAlign w:val="bottom"/>
          </w:tcPr>
          <w:p w:rsidR="008D4AD0" w:rsidRPr="00E7057B" w:rsidRDefault="008D4AD0" w:rsidP="00996BBE">
            <w:pPr>
              <w:widowControl/>
              <w:jc w:val="center"/>
              <w:rPr>
                <w:rFonts w:ascii="Arial Narrow" w:hAnsi="Arial Narrow" w:cstheme="majorBidi"/>
                <w:snapToGrid/>
                <w:color w:val="000000"/>
                <w:sz w:val="20"/>
                <w:szCs w:val="22"/>
                <w:lang w:eastAsia="en-AU" w:bidi="en-US"/>
              </w:rPr>
            </w:pPr>
            <w:r w:rsidRPr="00E7057B">
              <w:rPr>
                <w:rFonts w:ascii="Arial Narrow" w:eastAsiaTheme="majorEastAsia" w:hAnsi="Arial Narrow" w:cs="Calibri"/>
                <w:snapToGrid/>
                <w:color w:val="000000"/>
                <w:sz w:val="20"/>
                <w:lang w:bidi="en-US"/>
              </w:rPr>
              <w:t>$</w:t>
            </w:r>
            <w:r w:rsidR="006C091A">
              <w:rPr>
                <w:rFonts w:ascii="Arial Narrow" w:eastAsiaTheme="majorEastAsia" w:hAnsi="Arial Narrow" w:cs="Calibri"/>
                <w:noProof/>
                <w:snapToGrid/>
                <w:color w:val="000000"/>
                <w:sz w:val="20"/>
                <w:highlight w:val="black"/>
                <w:lang w:bidi="en-US"/>
              </w:rPr>
              <w:t>''''''''''''''''''''''</w:t>
            </w:r>
          </w:p>
        </w:tc>
        <w:tc>
          <w:tcPr>
            <w:tcW w:w="680" w:type="pct"/>
            <w:vAlign w:val="bottom"/>
          </w:tcPr>
          <w:p w:rsidR="008D4AD0" w:rsidRPr="00E7057B" w:rsidRDefault="008D4AD0" w:rsidP="00996BBE">
            <w:pPr>
              <w:widowControl/>
              <w:jc w:val="center"/>
              <w:rPr>
                <w:rFonts w:ascii="Arial Narrow" w:hAnsi="Arial Narrow" w:cstheme="majorBidi"/>
                <w:snapToGrid/>
                <w:color w:val="000000"/>
                <w:sz w:val="20"/>
                <w:szCs w:val="22"/>
                <w:lang w:eastAsia="en-AU" w:bidi="en-US"/>
              </w:rPr>
            </w:pPr>
            <w:r w:rsidRPr="00E7057B">
              <w:rPr>
                <w:rFonts w:ascii="Arial Narrow" w:eastAsiaTheme="majorEastAsia" w:hAnsi="Arial Narrow" w:cs="Calibri"/>
                <w:snapToGrid/>
                <w:color w:val="000000"/>
                <w:sz w:val="20"/>
                <w:lang w:bidi="en-US"/>
              </w:rPr>
              <w:t>$</w:t>
            </w:r>
            <w:r w:rsidR="006C091A">
              <w:rPr>
                <w:rFonts w:ascii="Arial Narrow" w:eastAsiaTheme="majorEastAsia" w:hAnsi="Arial Narrow" w:cs="Calibri"/>
                <w:noProof/>
                <w:snapToGrid/>
                <w:color w:val="000000"/>
                <w:sz w:val="20"/>
                <w:highlight w:val="black"/>
                <w:lang w:bidi="en-US"/>
              </w:rPr>
              <w:t>''''''''''''''''''''''''''</w:t>
            </w:r>
          </w:p>
        </w:tc>
        <w:tc>
          <w:tcPr>
            <w:tcW w:w="750" w:type="pct"/>
            <w:vAlign w:val="bottom"/>
          </w:tcPr>
          <w:p w:rsidR="008D4AD0" w:rsidRPr="00E7057B" w:rsidRDefault="008D4AD0" w:rsidP="00996BBE">
            <w:pPr>
              <w:widowControl/>
              <w:jc w:val="center"/>
              <w:rPr>
                <w:rFonts w:ascii="Arial Narrow" w:hAnsi="Arial Narrow" w:cstheme="majorBidi"/>
                <w:snapToGrid/>
                <w:color w:val="000000"/>
                <w:sz w:val="20"/>
                <w:szCs w:val="22"/>
                <w:lang w:eastAsia="en-AU" w:bidi="en-US"/>
              </w:rPr>
            </w:pPr>
            <w:r w:rsidRPr="00E7057B">
              <w:rPr>
                <w:rFonts w:ascii="Arial Narrow" w:eastAsiaTheme="majorEastAsia" w:hAnsi="Arial Narrow" w:cs="Calibri"/>
                <w:snapToGrid/>
                <w:color w:val="000000"/>
                <w:sz w:val="20"/>
                <w:lang w:bidi="en-US"/>
              </w:rPr>
              <w:t>$</w:t>
            </w:r>
            <w:r w:rsidR="006C091A">
              <w:rPr>
                <w:rFonts w:ascii="Arial Narrow" w:eastAsiaTheme="majorEastAsia" w:hAnsi="Arial Narrow" w:cs="Calibri"/>
                <w:noProof/>
                <w:snapToGrid/>
                <w:color w:val="000000"/>
                <w:sz w:val="20"/>
                <w:highlight w:val="black"/>
                <w:lang w:bidi="en-US"/>
              </w:rPr>
              <w:t>'''''''''''''''''''''''</w:t>
            </w:r>
          </w:p>
        </w:tc>
      </w:tr>
      <w:tr w:rsidR="008D4AD0" w:rsidRPr="00E7057B" w:rsidTr="00996BBE">
        <w:tc>
          <w:tcPr>
            <w:tcW w:w="1529" w:type="pct"/>
            <w:shd w:val="clear" w:color="auto" w:fill="D9D9D9" w:themeFill="background1" w:themeFillShade="D9"/>
            <w:vAlign w:val="center"/>
          </w:tcPr>
          <w:p w:rsidR="008D4AD0" w:rsidRPr="00E7057B" w:rsidRDefault="008D4AD0" w:rsidP="00996BBE">
            <w:pPr>
              <w:tabs>
                <w:tab w:val="left" w:pos="142"/>
              </w:tabs>
              <w:ind w:right="93"/>
              <w:jc w:val="left"/>
              <w:rPr>
                <w:rFonts w:ascii="Arial Narrow" w:hAnsi="Arial Narrow"/>
                <w:color w:val="000000" w:themeColor="text1"/>
                <w:sz w:val="20"/>
              </w:rPr>
            </w:pPr>
            <w:r>
              <w:rPr>
                <w:rFonts w:ascii="Arial Narrow" w:hAnsi="Arial Narrow"/>
                <w:color w:val="000000" w:themeColor="text1"/>
                <w:sz w:val="20"/>
              </w:rPr>
              <w:t>Net cost to PBS July 2016</w:t>
            </w:r>
          </w:p>
        </w:tc>
        <w:tc>
          <w:tcPr>
            <w:tcW w:w="683" w:type="pct"/>
            <w:shd w:val="clear" w:color="auto" w:fill="D9D9D9" w:themeFill="background1" w:themeFillShade="D9"/>
          </w:tcPr>
          <w:p w:rsidR="008D4AD0" w:rsidRPr="00E7057B" w:rsidRDefault="008D4AD0" w:rsidP="00996BBE">
            <w:pPr>
              <w:widowControl/>
              <w:jc w:val="center"/>
              <w:rPr>
                <w:rFonts w:ascii="Arial Narrow" w:hAnsi="Arial Narrow" w:cstheme="majorBidi"/>
                <w:snapToGrid/>
                <w:color w:val="000000"/>
                <w:sz w:val="20"/>
                <w:lang w:eastAsia="en-AU" w:bidi="en-US"/>
              </w:rPr>
            </w:pPr>
            <w:r w:rsidRPr="00E7057B">
              <w:rPr>
                <w:rFonts w:ascii="Arial Narrow" w:eastAsiaTheme="majorEastAsia" w:hAnsi="Arial Narrow" w:cstheme="majorBidi"/>
                <w:snapToGrid/>
                <w:color w:val="000000"/>
                <w:sz w:val="20"/>
                <w:lang w:bidi="en-US"/>
              </w:rPr>
              <w:t>$</w:t>
            </w:r>
            <w:r w:rsidR="006C091A">
              <w:rPr>
                <w:rFonts w:ascii="Arial Narrow" w:eastAsiaTheme="majorEastAsia" w:hAnsi="Arial Narrow" w:cstheme="majorBidi"/>
                <w:noProof/>
                <w:snapToGrid/>
                <w:color w:val="000000"/>
                <w:sz w:val="20"/>
                <w:highlight w:val="black"/>
                <w:lang w:bidi="en-US"/>
              </w:rPr>
              <w:t>'''''''''''''''''''''''''</w:t>
            </w:r>
          </w:p>
        </w:tc>
        <w:tc>
          <w:tcPr>
            <w:tcW w:w="679" w:type="pct"/>
            <w:shd w:val="clear" w:color="auto" w:fill="D9D9D9" w:themeFill="background1" w:themeFillShade="D9"/>
          </w:tcPr>
          <w:p w:rsidR="008D4AD0" w:rsidRPr="00E7057B" w:rsidRDefault="008D4AD0" w:rsidP="00996BBE">
            <w:pPr>
              <w:widowControl/>
              <w:jc w:val="center"/>
              <w:rPr>
                <w:rFonts w:ascii="Arial Narrow" w:hAnsi="Arial Narrow" w:cstheme="majorBidi"/>
                <w:snapToGrid/>
                <w:color w:val="000000"/>
                <w:sz w:val="20"/>
                <w:lang w:eastAsia="en-AU" w:bidi="en-US"/>
              </w:rPr>
            </w:pPr>
            <w:r w:rsidRPr="00E7057B">
              <w:rPr>
                <w:rFonts w:ascii="Arial Narrow" w:eastAsiaTheme="majorEastAsia" w:hAnsi="Arial Narrow" w:cstheme="majorBidi"/>
                <w:snapToGrid/>
                <w:color w:val="000000"/>
                <w:sz w:val="20"/>
                <w:lang w:bidi="en-US"/>
              </w:rPr>
              <w:t>$</w:t>
            </w:r>
            <w:r w:rsidR="006C091A">
              <w:rPr>
                <w:rFonts w:ascii="Arial Narrow" w:eastAsiaTheme="majorEastAsia" w:hAnsi="Arial Narrow" w:cstheme="majorBidi"/>
                <w:noProof/>
                <w:snapToGrid/>
                <w:color w:val="000000"/>
                <w:sz w:val="20"/>
                <w:highlight w:val="black"/>
                <w:lang w:bidi="en-US"/>
              </w:rPr>
              <w:t>''''''''''''''''''''''''</w:t>
            </w:r>
          </w:p>
        </w:tc>
        <w:tc>
          <w:tcPr>
            <w:tcW w:w="679" w:type="pct"/>
            <w:shd w:val="clear" w:color="auto" w:fill="D9D9D9" w:themeFill="background1" w:themeFillShade="D9"/>
          </w:tcPr>
          <w:p w:rsidR="008D4AD0" w:rsidRPr="00E7057B" w:rsidRDefault="008D4AD0" w:rsidP="00996BBE">
            <w:pPr>
              <w:widowControl/>
              <w:jc w:val="center"/>
              <w:rPr>
                <w:rFonts w:ascii="Arial Narrow" w:hAnsi="Arial Narrow" w:cstheme="majorBidi"/>
                <w:snapToGrid/>
                <w:color w:val="000000"/>
                <w:sz w:val="20"/>
                <w:lang w:eastAsia="en-AU" w:bidi="en-US"/>
              </w:rPr>
            </w:pPr>
            <w:r w:rsidRPr="00E7057B">
              <w:rPr>
                <w:rFonts w:ascii="Arial Narrow" w:eastAsiaTheme="majorEastAsia" w:hAnsi="Arial Narrow" w:cstheme="majorBidi"/>
                <w:snapToGrid/>
                <w:color w:val="000000"/>
                <w:sz w:val="20"/>
                <w:lang w:bidi="en-US"/>
              </w:rPr>
              <w:t>$</w:t>
            </w:r>
            <w:r w:rsidR="006C091A">
              <w:rPr>
                <w:rFonts w:ascii="Arial Narrow" w:eastAsiaTheme="majorEastAsia" w:hAnsi="Arial Narrow" w:cstheme="majorBidi"/>
                <w:noProof/>
                <w:snapToGrid/>
                <w:color w:val="000000"/>
                <w:sz w:val="20"/>
                <w:highlight w:val="black"/>
                <w:lang w:bidi="en-US"/>
              </w:rPr>
              <w:t>'''''''''''''''''''''''</w:t>
            </w:r>
          </w:p>
        </w:tc>
        <w:tc>
          <w:tcPr>
            <w:tcW w:w="680" w:type="pct"/>
            <w:shd w:val="clear" w:color="auto" w:fill="D9D9D9" w:themeFill="background1" w:themeFillShade="D9"/>
          </w:tcPr>
          <w:p w:rsidR="008D4AD0" w:rsidRPr="00E7057B" w:rsidRDefault="008D4AD0" w:rsidP="00996BBE">
            <w:pPr>
              <w:widowControl/>
              <w:jc w:val="center"/>
              <w:rPr>
                <w:rFonts w:ascii="Arial Narrow" w:hAnsi="Arial Narrow" w:cstheme="majorBidi"/>
                <w:snapToGrid/>
                <w:color w:val="000000"/>
                <w:sz w:val="20"/>
                <w:lang w:eastAsia="en-AU" w:bidi="en-US"/>
              </w:rPr>
            </w:pPr>
            <w:r w:rsidRPr="00E7057B">
              <w:rPr>
                <w:rFonts w:ascii="Arial Narrow" w:eastAsiaTheme="majorEastAsia" w:hAnsi="Arial Narrow" w:cstheme="majorBidi"/>
                <w:snapToGrid/>
                <w:color w:val="000000"/>
                <w:sz w:val="20"/>
                <w:lang w:bidi="en-US"/>
              </w:rPr>
              <w:t>$</w:t>
            </w:r>
            <w:r w:rsidR="006C091A">
              <w:rPr>
                <w:rFonts w:ascii="Arial Narrow" w:eastAsiaTheme="majorEastAsia" w:hAnsi="Arial Narrow" w:cstheme="majorBidi"/>
                <w:noProof/>
                <w:snapToGrid/>
                <w:color w:val="000000"/>
                <w:sz w:val="20"/>
                <w:highlight w:val="black"/>
                <w:lang w:bidi="en-US"/>
              </w:rPr>
              <w:t>''''''''''''''''''''''''''</w:t>
            </w:r>
          </w:p>
        </w:tc>
        <w:tc>
          <w:tcPr>
            <w:tcW w:w="750" w:type="pct"/>
            <w:shd w:val="clear" w:color="auto" w:fill="D9D9D9" w:themeFill="background1" w:themeFillShade="D9"/>
          </w:tcPr>
          <w:p w:rsidR="008D4AD0" w:rsidRPr="00E7057B" w:rsidRDefault="008D4AD0" w:rsidP="00996BBE">
            <w:pPr>
              <w:widowControl/>
              <w:jc w:val="center"/>
              <w:rPr>
                <w:rFonts w:ascii="Arial Narrow" w:hAnsi="Arial Narrow" w:cstheme="majorBidi"/>
                <w:snapToGrid/>
                <w:color w:val="000000"/>
                <w:sz w:val="20"/>
                <w:lang w:eastAsia="en-AU" w:bidi="en-US"/>
              </w:rPr>
            </w:pPr>
            <w:r w:rsidRPr="00E7057B">
              <w:rPr>
                <w:rFonts w:ascii="Arial Narrow" w:eastAsiaTheme="majorEastAsia" w:hAnsi="Arial Narrow" w:cstheme="majorBidi"/>
                <w:snapToGrid/>
                <w:color w:val="000000"/>
                <w:sz w:val="20"/>
                <w:lang w:bidi="en-US"/>
              </w:rPr>
              <w:t>$</w:t>
            </w:r>
            <w:r w:rsidR="006C091A">
              <w:rPr>
                <w:rFonts w:ascii="Arial Narrow" w:eastAsiaTheme="majorEastAsia" w:hAnsi="Arial Narrow" w:cstheme="majorBidi"/>
                <w:noProof/>
                <w:snapToGrid/>
                <w:color w:val="000000"/>
                <w:sz w:val="20"/>
                <w:highlight w:val="black"/>
                <w:lang w:bidi="en-US"/>
              </w:rPr>
              <w:t>'''''''''''''''''''''''''</w:t>
            </w:r>
          </w:p>
        </w:tc>
      </w:tr>
      <w:tr w:rsidR="008D4AD0" w:rsidRPr="00E7057B" w:rsidTr="00996BBE">
        <w:tc>
          <w:tcPr>
            <w:tcW w:w="1529" w:type="pct"/>
            <w:shd w:val="clear" w:color="auto" w:fill="auto"/>
            <w:vAlign w:val="center"/>
          </w:tcPr>
          <w:p w:rsidR="008D4AD0" w:rsidRPr="00E7057B" w:rsidRDefault="008D4AD0" w:rsidP="00996BBE">
            <w:pPr>
              <w:tabs>
                <w:tab w:val="left" w:pos="142"/>
              </w:tabs>
              <w:ind w:right="93"/>
              <w:jc w:val="left"/>
              <w:rPr>
                <w:rFonts w:ascii="Arial Narrow" w:hAnsi="Arial Narrow"/>
                <w:color w:val="000000" w:themeColor="text1"/>
                <w:sz w:val="20"/>
              </w:rPr>
            </w:pPr>
            <w:r w:rsidRPr="00E7057B">
              <w:rPr>
                <w:rFonts w:ascii="Arial Narrow" w:hAnsi="Arial Narrow"/>
                <w:color w:val="000000" w:themeColor="text1"/>
                <w:sz w:val="20"/>
              </w:rPr>
              <w:t>Net cost to MBS</w:t>
            </w:r>
          </w:p>
        </w:tc>
        <w:tc>
          <w:tcPr>
            <w:tcW w:w="683" w:type="pct"/>
            <w:shd w:val="clear" w:color="auto" w:fill="FFFFFF" w:themeFill="background1"/>
            <w:vAlign w:val="bottom"/>
          </w:tcPr>
          <w:p w:rsidR="008D4AD0" w:rsidRPr="00331E39" w:rsidRDefault="008D4AD0" w:rsidP="00996BBE">
            <w:pPr>
              <w:widowControl/>
              <w:jc w:val="center"/>
              <w:rPr>
                <w:rFonts w:ascii="Arial Narrow" w:hAnsi="Arial Narrow" w:cstheme="majorBidi"/>
                <w:snapToGrid/>
                <w:color w:val="000000"/>
                <w:sz w:val="20"/>
                <w:szCs w:val="22"/>
                <w:lang w:eastAsia="en-AU" w:bidi="en-US"/>
              </w:rPr>
            </w:pPr>
            <w:r w:rsidRPr="00331E39">
              <w:rPr>
                <w:rFonts w:ascii="Arial Narrow" w:eastAsiaTheme="majorEastAsia" w:hAnsi="Arial Narrow" w:cs="Calibri"/>
                <w:snapToGrid/>
                <w:color w:val="000000"/>
                <w:sz w:val="20"/>
                <w:lang w:bidi="en-US"/>
              </w:rPr>
              <w:t>-$</w:t>
            </w:r>
            <w:r w:rsidR="006C091A">
              <w:rPr>
                <w:rFonts w:ascii="Arial Narrow" w:eastAsiaTheme="majorEastAsia" w:hAnsi="Arial Narrow" w:cs="Calibri"/>
                <w:noProof/>
                <w:snapToGrid/>
                <w:color w:val="000000"/>
                <w:sz w:val="20"/>
                <w:highlight w:val="black"/>
                <w:lang w:bidi="en-US"/>
              </w:rPr>
              <w:t>''''''''''''''''</w:t>
            </w:r>
            <w:r w:rsidR="00331E39" w:rsidRPr="00331E39">
              <w:rPr>
                <w:rFonts w:ascii="Arial Narrow" w:eastAsiaTheme="majorEastAsia" w:hAnsi="Arial Narrow" w:cs="Calibri"/>
                <w:snapToGrid/>
                <w:color w:val="000000"/>
                <w:sz w:val="20"/>
                <w:lang w:bidi="en-US"/>
              </w:rPr>
              <w:t>*</w:t>
            </w:r>
          </w:p>
        </w:tc>
        <w:tc>
          <w:tcPr>
            <w:tcW w:w="679" w:type="pct"/>
            <w:shd w:val="clear" w:color="auto" w:fill="FFFFFF" w:themeFill="background1"/>
            <w:vAlign w:val="bottom"/>
          </w:tcPr>
          <w:p w:rsidR="008D4AD0" w:rsidRPr="00E7057B" w:rsidRDefault="008D4AD0" w:rsidP="00996BBE">
            <w:pPr>
              <w:widowControl/>
              <w:jc w:val="center"/>
              <w:rPr>
                <w:rFonts w:ascii="Arial Narrow" w:hAnsi="Arial Narrow" w:cstheme="majorBidi"/>
                <w:snapToGrid/>
                <w:color w:val="000000"/>
                <w:sz w:val="20"/>
                <w:szCs w:val="22"/>
                <w:lang w:eastAsia="en-AU" w:bidi="en-US"/>
              </w:rPr>
            </w:pPr>
            <w:r w:rsidRPr="00E7057B">
              <w:rPr>
                <w:rFonts w:ascii="Arial Narrow" w:eastAsiaTheme="majorEastAsia" w:hAnsi="Arial Narrow" w:cs="Calibri"/>
                <w:snapToGrid/>
                <w:color w:val="000000"/>
                <w:sz w:val="20"/>
                <w:lang w:bidi="en-US"/>
              </w:rPr>
              <w:t>-$</w:t>
            </w:r>
            <w:r w:rsidR="006C091A">
              <w:rPr>
                <w:rFonts w:ascii="Arial Narrow" w:eastAsiaTheme="majorEastAsia" w:hAnsi="Arial Narrow" w:cs="Calibri"/>
                <w:noProof/>
                <w:snapToGrid/>
                <w:color w:val="000000"/>
                <w:sz w:val="20"/>
                <w:highlight w:val="black"/>
                <w:lang w:bidi="en-US"/>
              </w:rPr>
              <w:t>''''''''''''''''''</w:t>
            </w:r>
          </w:p>
        </w:tc>
        <w:tc>
          <w:tcPr>
            <w:tcW w:w="679" w:type="pct"/>
            <w:shd w:val="clear" w:color="auto" w:fill="FFFFFF" w:themeFill="background1"/>
            <w:vAlign w:val="bottom"/>
          </w:tcPr>
          <w:p w:rsidR="008D4AD0" w:rsidRPr="00E7057B" w:rsidRDefault="008D4AD0" w:rsidP="00996BBE">
            <w:pPr>
              <w:widowControl/>
              <w:jc w:val="center"/>
              <w:rPr>
                <w:rFonts w:ascii="Arial Narrow" w:hAnsi="Arial Narrow" w:cstheme="majorBidi"/>
                <w:snapToGrid/>
                <w:color w:val="000000"/>
                <w:sz w:val="20"/>
                <w:szCs w:val="22"/>
                <w:lang w:eastAsia="en-AU" w:bidi="en-US"/>
              </w:rPr>
            </w:pPr>
            <w:r w:rsidRPr="00E7057B">
              <w:rPr>
                <w:rFonts w:ascii="Arial Narrow" w:eastAsiaTheme="majorEastAsia" w:hAnsi="Arial Narrow" w:cs="Calibri"/>
                <w:snapToGrid/>
                <w:color w:val="000000"/>
                <w:sz w:val="20"/>
                <w:lang w:bidi="en-US"/>
              </w:rPr>
              <w:t>-$</w:t>
            </w:r>
            <w:r w:rsidR="006C091A">
              <w:rPr>
                <w:rFonts w:ascii="Arial Narrow" w:eastAsiaTheme="majorEastAsia" w:hAnsi="Arial Narrow" w:cs="Calibri"/>
                <w:noProof/>
                <w:snapToGrid/>
                <w:color w:val="000000"/>
                <w:sz w:val="20"/>
                <w:highlight w:val="black"/>
                <w:lang w:bidi="en-US"/>
              </w:rPr>
              <w:t>''''''''''''''''</w:t>
            </w:r>
          </w:p>
        </w:tc>
        <w:tc>
          <w:tcPr>
            <w:tcW w:w="680" w:type="pct"/>
            <w:shd w:val="clear" w:color="auto" w:fill="FFFFFF" w:themeFill="background1"/>
            <w:vAlign w:val="bottom"/>
          </w:tcPr>
          <w:p w:rsidR="008D4AD0" w:rsidRPr="00E7057B" w:rsidRDefault="008D4AD0" w:rsidP="00996BBE">
            <w:pPr>
              <w:widowControl/>
              <w:jc w:val="center"/>
              <w:rPr>
                <w:rFonts w:ascii="Arial Narrow" w:hAnsi="Arial Narrow" w:cstheme="majorBidi"/>
                <w:snapToGrid/>
                <w:color w:val="000000"/>
                <w:sz w:val="20"/>
                <w:szCs w:val="22"/>
                <w:lang w:eastAsia="en-AU" w:bidi="en-US"/>
              </w:rPr>
            </w:pPr>
            <w:r w:rsidRPr="00E7057B">
              <w:rPr>
                <w:rFonts w:ascii="Arial Narrow" w:eastAsiaTheme="majorEastAsia" w:hAnsi="Arial Narrow" w:cs="Calibri"/>
                <w:snapToGrid/>
                <w:color w:val="000000"/>
                <w:sz w:val="20"/>
                <w:lang w:bidi="en-US"/>
              </w:rPr>
              <w:t>-$</w:t>
            </w:r>
            <w:r w:rsidR="006C091A">
              <w:rPr>
                <w:rFonts w:ascii="Arial Narrow" w:eastAsiaTheme="majorEastAsia" w:hAnsi="Arial Narrow" w:cs="Calibri"/>
                <w:noProof/>
                <w:snapToGrid/>
                <w:color w:val="000000"/>
                <w:sz w:val="20"/>
                <w:highlight w:val="black"/>
                <w:lang w:bidi="en-US"/>
              </w:rPr>
              <w:t>''''''''''''''''''</w:t>
            </w:r>
          </w:p>
        </w:tc>
        <w:tc>
          <w:tcPr>
            <w:tcW w:w="750" w:type="pct"/>
            <w:shd w:val="clear" w:color="auto" w:fill="FFFFFF" w:themeFill="background1"/>
            <w:vAlign w:val="bottom"/>
          </w:tcPr>
          <w:p w:rsidR="008D4AD0" w:rsidRPr="00E7057B" w:rsidRDefault="008D4AD0" w:rsidP="00996BBE">
            <w:pPr>
              <w:widowControl/>
              <w:jc w:val="center"/>
              <w:rPr>
                <w:rFonts w:ascii="Arial Narrow" w:hAnsi="Arial Narrow" w:cstheme="majorBidi"/>
                <w:snapToGrid/>
                <w:color w:val="000000"/>
                <w:sz w:val="20"/>
                <w:szCs w:val="22"/>
                <w:lang w:eastAsia="en-AU" w:bidi="en-US"/>
              </w:rPr>
            </w:pPr>
            <w:r w:rsidRPr="00E7057B">
              <w:rPr>
                <w:rFonts w:ascii="Arial Narrow" w:eastAsiaTheme="majorEastAsia" w:hAnsi="Arial Narrow" w:cs="Calibri"/>
                <w:snapToGrid/>
                <w:color w:val="000000"/>
                <w:sz w:val="20"/>
                <w:lang w:bidi="en-US"/>
              </w:rPr>
              <w:t>-$</w:t>
            </w:r>
            <w:r w:rsidR="006C091A">
              <w:rPr>
                <w:rFonts w:ascii="Arial Narrow" w:eastAsiaTheme="majorEastAsia" w:hAnsi="Arial Narrow" w:cs="Calibri"/>
                <w:noProof/>
                <w:snapToGrid/>
                <w:color w:val="000000"/>
                <w:sz w:val="20"/>
                <w:highlight w:val="black"/>
                <w:lang w:bidi="en-US"/>
              </w:rPr>
              <w:t>'''''''''''''''''''</w:t>
            </w:r>
          </w:p>
        </w:tc>
      </w:tr>
      <w:tr w:rsidR="008D4AD0" w:rsidRPr="00E7057B" w:rsidTr="00996BBE">
        <w:tc>
          <w:tcPr>
            <w:tcW w:w="1529" w:type="pct"/>
            <w:shd w:val="clear" w:color="auto" w:fill="D9D9D9" w:themeFill="background1" w:themeFillShade="D9"/>
            <w:vAlign w:val="center"/>
          </w:tcPr>
          <w:p w:rsidR="008D4AD0" w:rsidRPr="00E7057B" w:rsidRDefault="008D4AD0" w:rsidP="00996BBE">
            <w:pPr>
              <w:tabs>
                <w:tab w:val="left" w:pos="142"/>
              </w:tabs>
              <w:ind w:right="93"/>
              <w:jc w:val="left"/>
              <w:rPr>
                <w:rFonts w:ascii="Arial Narrow" w:hAnsi="Arial Narrow"/>
                <w:color w:val="000000" w:themeColor="text1"/>
                <w:sz w:val="20"/>
              </w:rPr>
            </w:pPr>
            <w:r w:rsidRPr="00E7057B">
              <w:rPr>
                <w:rFonts w:ascii="Arial Narrow" w:hAnsi="Arial Narrow"/>
                <w:color w:val="000000" w:themeColor="text1"/>
                <w:sz w:val="20"/>
              </w:rPr>
              <w:t>Net cost to MBS July 2016</w:t>
            </w:r>
          </w:p>
        </w:tc>
        <w:tc>
          <w:tcPr>
            <w:tcW w:w="683" w:type="pct"/>
            <w:shd w:val="clear" w:color="auto" w:fill="D9D9D9" w:themeFill="background1" w:themeFillShade="D9"/>
            <w:vAlign w:val="center"/>
          </w:tcPr>
          <w:p w:rsidR="008D4AD0" w:rsidRPr="00E7057B" w:rsidRDefault="008D4AD0" w:rsidP="00996BBE">
            <w:pPr>
              <w:ind w:right="93"/>
              <w:jc w:val="center"/>
              <w:rPr>
                <w:rFonts w:ascii="Arial Narrow" w:hAnsi="Arial Narrow"/>
                <w:bCs/>
                <w:color w:val="000000" w:themeColor="text1"/>
                <w:sz w:val="20"/>
              </w:rPr>
            </w:pPr>
            <w:r w:rsidRPr="00E7057B">
              <w:rPr>
                <w:rFonts w:ascii="Arial Narrow" w:hAnsi="Arial Narrow"/>
                <w:bCs/>
                <w:color w:val="000000" w:themeColor="text1"/>
                <w:sz w:val="20"/>
              </w:rPr>
              <w:t>-</w:t>
            </w:r>
          </w:p>
        </w:tc>
        <w:tc>
          <w:tcPr>
            <w:tcW w:w="679" w:type="pct"/>
            <w:shd w:val="clear" w:color="auto" w:fill="D9D9D9" w:themeFill="background1" w:themeFillShade="D9"/>
            <w:vAlign w:val="center"/>
          </w:tcPr>
          <w:p w:rsidR="008D4AD0" w:rsidRPr="00E7057B" w:rsidRDefault="008D4AD0" w:rsidP="00996BBE">
            <w:pPr>
              <w:ind w:right="93"/>
              <w:jc w:val="center"/>
              <w:rPr>
                <w:rFonts w:ascii="Arial Narrow" w:hAnsi="Arial Narrow"/>
                <w:bCs/>
                <w:color w:val="000000" w:themeColor="text1"/>
                <w:sz w:val="20"/>
              </w:rPr>
            </w:pPr>
            <w:r w:rsidRPr="00E7057B">
              <w:rPr>
                <w:rFonts w:ascii="Arial Narrow" w:hAnsi="Arial Narrow"/>
                <w:bCs/>
                <w:color w:val="000000" w:themeColor="text1"/>
                <w:sz w:val="20"/>
              </w:rPr>
              <w:t>-</w:t>
            </w:r>
          </w:p>
        </w:tc>
        <w:tc>
          <w:tcPr>
            <w:tcW w:w="679" w:type="pct"/>
            <w:shd w:val="clear" w:color="auto" w:fill="D9D9D9" w:themeFill="background1" w:themeFillShade="D9"/>
            <w:vAlign w:val="center"/>
          </w:tcPr>
          <w:p w:rsidR="008D4AD0" w:rsidRPr="00E7057B" w:rsidRDefault="008D4AD0" w:rsidP="00996BBE">
            <w:pPr>
              <w:ind w:right="93"/>
              <w:jc w:val="center"/>
              <w:rPr>
                <w:rFonts w:ascii="Arial Narrow" w:hAnsi="Arial Narrow"/>
                <w:bCs/>
                <w:color w:val="000000" w:themeColor="text1"/>
                <w:sz w:val="20"/>
              </w:rPr>
            </w:pPr>
            <w:r w:rsidRPr="00E7057B">
              <w:rPr>
                <w:rFonts w:ascii="Arial Narrow" w:hAnsi="Arial Narrow"/>
                <w:bCs/>
                <w:color w:val="000000" w:themeColor="text1"/>
                <w:sz w:val="20"/>
              </w:rPr>
              <w:t>-</w:t>
            </w:r>
          </w:p>
        </w:tc>
        <w:tc>
          <w:tcPr>
            <w:tcW w:w="680" w:type="pct"/>
            <w:shd w:val="clear" w:color="auto" w:fill="D9D9D9" w:themeFill="background1" w:themeFillShade="D9"/>
            <w:vAlign w:val="center"/>
          </w:tcPr>
          <w:p w:rsidR="008D4AD0" w:rsidRPr="00E7057B" w:rsidRDefault="008D4AD0" w:rsidP="00996BBE">
            <w:pPr>
              <w:ind w:right="93"/>
              <w:jc w:val="center"/>
              <w:rPr>
                <w:rFonts w:ascii="Arial Narrow" w:hAnsi="Arial Narrow"/>
                <w:bCs/>
                <w:color w:val="000000" w:themeColor="text1"/>
                <w:sz w:val="20"/>
              </w:rPr>
            </w:pPr>
            <w:r w:rsidRPr="00E7057B">
              <w:rPr>
                <w:rFonts w:ascii="Arial Narrow" w:hAnsi="Arial Narrow"/>
                <w:bCs/>
                <w:color w:val="000000" w:themeColor="text1"/>
                <w:sz w:val="20"/>
              </w:rPr>
              <w:t>-</w:t>
            </w:r>
          </w:p>
        </w:tc>
        <w:tc>
          <w:tcPr>
            <w:tcW w:w="750" w:type="pct"/>
            <w:shd w:val="clear" w:color="auto" w:fill="D9D9D9" w:themeFill="background1" w:themeFillShade="D9"/>
            <w:vAlign w:val="center"/>
          </w:tcPr>
          <w:p w:rsidR="008D4AD0" w:rsidRPr="00E7057B" w:rsidRDefault="008D4AD0" w:rsidP="00996BBE">
            <w:pPr>
              <w:ind w:right="93"/>
              <w:jc w:val="center"/>
              <w:rPr>
                <w:rFonts w:ascii="Arial Narrow" w:hAnsi="Arial Narrow"/>
                <w:bCs/>
                <w:color w:val="000000" w:themeColor="text1"/>
                <w:sz w:val="20"/>
              </w:rPr>
            </w:pPr>
            <w:r w:rsidRPr="00E7057B">
              <w:rPr>
                <w:rFonts w:ascii="Arial Narrow" w:hAnsi="Arial Narrow"/>
                <w:bCs/>
                <w:color w:val="000000" w:themeColor="text1"/>
                <w:sz w:val="20"/>
              </w:rPr>
              <w:t>-</w:t>
            </w:r>
          </w:p>
        </w:tc>
      </w:tr>
      <w:tr w:rsidR="008D4AD0" w:rsidRPr="00E7057B" w:rsidTr="00996BBE">
        <w:tc>
          <w:tcPr>
            <w:tcW w:w="1529" w:type="pct"/>
            <w:shd w:val="clear" w:color="auto" w:fill="auto"/>
            <w:vAlign w:val="center"/>
          </w:tcPr>
          <w:p w:rsidR="008D4AD0" w:rsidRPr="00E7057B" w:rsidRDefault="008D4AD0" w:rsidP="00996BBE">
            <w:pPr>
              <w:tabs>
                <w:tab w:val="left" w:pos="142"/>
              </w:tabs>
              <w:ind w:right="93"/>
              <w:jc w:val="left"/>
              <w:rPr>
                <w:rFonts w:ascii="Arial Narrow" w:hAnsi="Arial Narrow"/>
                <w:b/>
                <w:color w:val="000000" w:themeColor="text1"/>
                <w:sz w:val="20"/>
              </w:rPr>
            </w:pPr>
            <w:r w:rsidRPr="00E7057B">
              <w:rPr>
                <w:rFonts w:ascii="Arial Narrow" w:hAnsi="Arial Narrow"/>
                <w:b/>
                <w:bCs/>
                <w:color w:val="000000" w:themeColor="text1"/>
                <w:sz w:val="20"/>
              </w:rPr>
              <w:t>Net cost PBS/MBS</w:t>
            </w:r>
          </w:p>
        </w:tc>
        <w:tc>
          <w:tcPr>
            <w:tcW w:w="683" w:type="pct"/>
            <w:vAlign w:val="bottom"/>
          </w:tcPr>
          <w:p w:rsidR="008D4AD0" w:rsidRPr="00331E39" w:rsidRDefault="008D4AD0" w:rsidP="00996BBE">
            <w:pPr>
              <w:widowControl/>
              <w:jc w:val="center"/>
              <w:rPr>
                <w:rFonts w:ascii="Arial Narrow" w:hAnsi="Arial Narrow" w:cstheme="majorBidi"/>
                <w:snapToGrid/>
                <w:color w:val="000000"/>
                <w:sz w:val="20"/>
                <w:szCs w:val="22"/>
                <w:lang w:eastAsia="en-AU" w:bidi="en-US"/>
              </w:rPr>
            </w:pPr>
            <w:r w:rsidRPr="00331E39">
              <w:rPr>
                <w:rFonts w:ascii="Arial Narrow" w:eastAsiaTheme="majorEastAsia" w:hAnsi="Arial Narrow" w:cs="Calibri"/>
                <w:snapToGrid/>
                <w:color w:val="000000"/>
                <w:sz w:val="20"/>
                <w:lang w:bidi="en-US"/>
              </w:rPr>
              <w:t>$</w:t>
            </w:r>
            <w:r w:rsidR="006C091A">
              <w:rPr>
                <w:rFonts w:ascii="Arial Narrow" w:eastAsiaTheme="majorEastAsia" w:hAnsi="Arial Narrow" w:cs="Calibri"/>
                <w:noProof/>
                <w:snapToGrid/>
                <w:color w:val="000000"/>
                <w:sz w:val="20"/>
                <w:highlight w:val="black"/>
                <w:lang w:bidi="en-US"/>
              </w:rPr>
              <w:t>''''''''''''''''''''''''''</w:t>
            </w:r>
            <w:r w:rsidR="00331E39" w:rsidRPr="00331E39">
              <w:rPr>
                <w:rFonts w:ascii="Arial Narrow" w:eastAsiaTheme="majorEastAsia" w:hAnsi="Arial Narrow" w:cs="Calibri"/>
                <w:snapToGrid/>
                <w:color w:val="000000"/>
                <w:sz w:val="20"/>
                <w:lang w:bidi="en-US"/>
              </w:rPr>
              <w:t>*</w:t>
            </w:r>
          </w:p>
        </w:tc>
        <w:tc>
          <w:tcPr>
            <w:tcW w:w="679" w:type="pct"/>
            <w:vAlign w:val="bottom"/>
          </w:tcPr>
          <w:p w:rsidR="008D4AD0" w:rsidRPr="00E7057B" w:rsidRDefault="008D4AD0" w:rsidP="00996BBE">
            <w:pPr>
              <w:widowControl/>
              <w:jc w:val="center"/>
              <w:rPr>
                <w:rFonts w:ascii="Arial Narrow" w:hAnsi="Arial Narrow" w:cstheme="majorBidi"/>
                <w:snapToGrid/>
                <w:color w:val="000000"/>
                <w:sz w:val="20"/>
                <w:szCs w:val="22"/>
                <w:lang w:eastAsia="en-AU" w:bidi="en-US"/>
              </w:rPr>
            </w:pPr>
            <w:r w:rsidRPr="00E7057B">
              <w:rPr>
                <w:rFonts w:ascii="Arial Narrow" w:eastAsiaTheme="majorEastAsia" w:hAnsi="Arial Narrow" w:cs="Calibri"/>
                <w:snapToGrid/>
                <w:color w:val="000000"/>
                <w:sz w:val="20"/>
                <w:lang w:bidi="en-US"/>
              </w:rPr>
              <w:t>$</w:t>
            </w:r>
            <w:r w:rsidR="006C091A">
              <w:rPr>
                <w:rFonts w:ascii="Arial Narrow" w:eastAsiaTheme="majorEastAsia" w:hAnsi="Arial Narrow" w:cs="Calibri"/>
                <w:noProof/>
                <w:snapToGrid/>
                <w:color w:val="000000"/>
                <w:sz w:val="20"/>
                <w:highlight w:val="black"/>
                <w:lang w:bidi="en-US"/>
              </w:rPr>
              <w:t>'''''''''''''''''''''''''</w:t>
            </w:r>
          </w:p>
        </w:tc>
        <w:tc>
          <w:tcPr>
            <w:tcW w:w="679" w:type="pct"/>
            <w:vAlign w:val="bottom"/>
          </w:tcPr>
          <w:p w:rsidR="008D4AD0" w:rsidRPr="00E7057B" w:rsidRDefault="008D4AD0" w:rsidP="00996BBE">
            <w:pPr>
              <w:widowControl/>
              <w:jc w:val="center"/>
              <w:rPr>
                <w:rFonts w:ascii="Arial Narrow" w:hAnsi="Arial Narrow" w:cstheme="majorBidi"/>
                <w:snapToGrid/>
                <w:color w:val="000000"/>
                <w:sz w:val="20"/>
                <w:szCs w:val="22"/>
                <w:lang w:eastAsia="en-AU" w:bidi="en-US"/>
              </w:rPr>
            </w:pPr>
            <w:r w:rsidRPr="00E7057B">
              <w:rPr>
                <w:rFonts w:ascii="Arial Narrow" w:eastAsiaTheme="majorEastAsia" w:hAnsi="Arial Narrow" w:cs="Calibri"/>
                <w:snapToGrid/>
                <w:color w:val="000000"/>
                <w:sz w:val="20"/>
                <w:lang w:bidi="en-US"/>
              </w:rPr>
              <w:t>$</w:t>
            </w:r>
            <w:r w:rsidR="006C091A">
              <w:rPr>
                <w:rFonts w:ascii="Arial Narrow" w:eastAsiaTheme="majorEastAsia" w:hAnsi="Arial Narrow" w:cs="Calibri"/>
                <w:noProof/>
                <w:snapToGrid/>
                <w:color w:val="000000"/>
                <w:sz w:val="20"/>
                <w:highlight w:val="black"/>
                <w:lang w:bidi="en-US"/>
              </w:rPr>
              <w:t>''''''''''''''''''''''</w:t>
            </w:r>
          </w:p>
        </w:tc>
        <w:tc>
          <w:tcPr>
            <w:tcW w:w="680" w:type="pct"/>
            <w:vAlign w:val="bottom"/>
          </w:tcPr>
          <w:p w:rsidR="008D4AD0" w:rsidRPr="00E7057B" w:rsidRDefault="008D4AD0" w:rsidP="00996BBE">
            <w:pPr>
              <w:widowControl/>
              <w:jc w:val="center"/>
              <w:rPr>
                <w:rFonts w:ascii="Arial Narrow" w:hAnsi="Arial Narrow" w:cstheme="majorBidi"/>
                <w:snapToGrid/>
                <w:color w:val="000000"/>
                <w:sz w:val="20"/>
                <w:szCs w:val="22"/>
                <w:lang w:eastAsia="en-AU" w:bidi="en-US"/>
              </w:rPr>
            </w:pPr>
            <w:r w:rsidRPr="00E7057B">
              <w:rPr>
                <w:rFonts w:ascii="Arial Narrow" w:eastAsiaTheme="majorEastAsia" w:hAnsi="Arial Narrow" w:cs="Calibri"/>
                <w:snapToGrid/>
                <w:color w:val="000000"/>
                <w:sz w:val="20"/>
                <w:lang w:bidi="en-US"/>
              </w:rPr>
              <w:t>$</w:t>
            </w:r>
            <w:r w:rsidR="006C091A">
              <w:rPr>
                <w:rFonts w:ascii="Arial Narrow" w:eastAsiaTheme="majorEastAsia" w:hAnsi="Arial Narrow" w:cs="Calibri"/>
                <w:noProof/>
                <w:snapToGrid/>
                <w:color w:val="000000"/>
                <w:sz w:val="20"/>
                <w:highlight w:val="black"/>
                <w:lang w:bidi="en-US"/>
              </w:rPr>
              <w:t>'''''''''''''''''''''</w:t>
            </w:r>
          </w:p>
        </w:tc>
        <w:tc>
          <w:tcPr>
            <w:tcW w:w="750" w:type="pct"/>
            <w:vAlign w:val="bottom"/>
          </w:tcPr>
          <w:p w:rsidR="008D4AD0" w:rsidRPr="00E7057B" w:rsidRDefault="008D4AD0" w:rsidP="00996BBE">
            <w:pPr>
              <w:widowControl/>
              <w:jc w:val="center"/>
              <w:rPr>
                <w:rFonts w:ascii="Arial Narrow" w:hAnsi="Arial Narrow" w:cstheme="majorBidi"/>
                <w:snapToGrid/>
                <w:color w:val="000000"/>
                <w:sz w:val="20"/>
                <w:szCs w:val="22"/>
                <w:lang w:eastAsia="en-AU" w:bidi="en-US"/>
              </w:rPr>
            </w:pPr>
            <w:r w:rsidRPr="00E7057B">
              <w:rPr>
                <w:rFonts w:ascii="Arial Narrow" w:eastAsiaTheme="majorEastAsia" w:hAnsi="Arial Narrow" w:cs="Calibri"/>
                <w:snapToGrid/>
                <w:color w:val="000000"/>
                <w:sz w:val="20"/>
                <w:lang w:bidi="en-US"/>
              </w:rPr>
              <w:t>$</w:t>
            </w:r>
            <w:r w:rsidR="006C091A">
              <w:rPr>
                <w:rFonts w:ascii="Arial Narrow" w:eastAsiaTheme="majorEastAsia" w:hAnsi="Arial Narrow" w:cs="Calibri"/>
                <w:noProof/>
                <w:snapToGrid/>
                <w:color w:val="000000"/>
                <w:sz w:val="20"/>
                <w:highlight w:val="black"/>
                <w:lang w:bidi="en-US"/>
              </w:rPr>
              <w:t>'''''''''''''''''''''''''</w:t>
            </w:r>
          </w:p>
        </w:tc>
      </w:tr>
      <w:tr w:rsidR="008D4AD0" w:rsidRPr="00E7057B" w:rsidTr="00996BBE">
        <w:tc>
          <w:tcPr>
            <w:tcW w:w="1529" w:type="pct"/>
            <w:shd w:val="clear" w:color="auto" w:fill="D9D9D9" w:themeFill="background1" w:themeFillShade="D9"/>
            <w:vAlign w:val="center"/>
          </w:tcPr>
          <w:p w:rsidR="008D4AD0" w:rsidRPr="00E7057B" w:rsidRDefault="008D4AD0" w:rsidP="00996BBE">
            <w:pPr>
              <w:tabs>
                <w:tab w:val="left" w:pos="142"/>
              </w:tabs>
              <w:ind w:right="93"/>
              <w:jc w:val="left"/>
              <w:rPr>
                <w:rFonts w:ascii="Arial Narrow" w:hAnsi="Arial Narrow"/>
                <w:color w:val="000000" w:themeColor="text1"/>
                <w:sz w:val="20"/>
              </w:rPr>
            </w:pPr>
            <w:r w:rsidRPr="00E7057B">
              <w:rPr>
                <w:rFonts w:ascii="Arial Narrow" w:hAnsi="Arial Narrow"/>
                <w:bCs/>
                <w:color w:val="000000" w:themeColor="text1"/>
                <w:sz w:val="20"/>
              </w:rPr>
              <w:t>Net cost PBS/MBS July 2016</w:t>
            </w:r>
          </w:p>
        </w:tc>
        <w:tc>
          <w:tcPr>
            <w:tcW w:w="683" w:type="pct"/>
            <w:shd w:val="clear" w:color="auto" w:fill="D9D9D9" w:themeFill="background1" w:themeFillShade="D9"/>
          </w:tcPr>
          <w:p w:rsidR="008D4AD0" w:rsidRPr="00E7057B" w:rsidRDefault="008D4AD0" w:rsidP="00996BBE">
            <w:pPr>
              <w:widowControl/>
              <w:jc w:val="center"/>
              <w:rPr>
                <w:rFonts w:ascii="Arial Narrow" w:hAnsi="Arial Narrow" w:cstheme="majorBidi"/>
                <w:snapToGrid/>
                <w:color w:val="000000"/>
                <w:sz w:val="20"/>
                <w:lang w:eastAsia="en-AU" w:bidi="en-US"/>
              </w:rPr>
            </w:pPr>
            <w:r w:rsidRPr="00E7057B">
              <w:rPr>
                <w:rFonts w:ascii="Arial Narrow" w:eastAsiaTheme="majorEastAsia" w:hAnsi="Arial Narrow" w:cstheme="majorBidi"/>
                <w:snapToGrid/>
                <w:color w:val="000000"/>
                <w:sz w:val="20"/>
                <w:lang w:bidi="en-US"/>
              </w:rPr>
              <w:t>$</w:t>
            </w:r>
            <w:r w:rsidR="006C091A">
              <w:rPr>
                <w:rFonts w:ascii="Arial Narrow" w:eastAsiaTheme="majorEastAsia" w:hAnsi="Arial Narrow" w:cstheme="majorBidi"/>
                <w:noProof/>
                <w:snapToGrid/>
                <w:color w:val="000000"/>
                <w:sz w:val="20"/>
                <w:highlight w:val="black"/>
                <w:lang w:bidi="en-US"/>
              </w:rPr>
              <w:t>'''''''''''''''''''''''</w:t>
            </w:r>
          </w:p>
        </w:tc>
        <w:tc>
          <w:tcPr>
            <w:tcW w:w="679" w:type="pct"/>
            <w:shd w:val="clear" w:color="auto" w:fill="D9D9D9" w:themeFill="background1" w:themeFillShade="D9"/>
          </w:tcPr>
          <w:p w:rsidR="008D4AD0" w:rsidRPr="00E7057B" w:rsidRDefault="008D4AD0" w:rsidP="00996BBE">
            <w:pPr>
              <w:widowControl/>
              <w:jc w:val="center"/>
              <w:rPr>
                <w:rFonts w:ascii="Arial Narrow" w:hAnsi="Arial Narrow" w:cstheme="majorBidi"/>
                <w:snapToGrid/>
                <w:color w:val="000000"/>
                <w:sz w:val="20"/>
                <w:lang w:eastAsia="en-AU" w:bidi="en-US"/>
              </w:rPr>
            </w:pPr>
            <w:r w:rsidRPr="00E7057B">
              <w:rPr>
                <w:rFonts w:ascii="Arial Narrow" w:eastAsiaTheme="majorEastAsia" w:hAnsi="Arial Narrow" w:cstheme="majorBidi"/>
                <w:snapToGrid/>
                <w:color w:val="000000"/>
                <w:sz w:val="20"/>
                <w:lang w:bidi="en-US"/>
              </w:rPr>
              <w:t>$</w:t>
            </w:r>
            <w:r w:rsidR="006C091A">
              <w:rPr>
                <w:rFonts w:ascii="Arial Narrow" w:eastAsiaTheme="majorEastAsia" w:hAnsi="Arial Narrow" w:cstheme="majorBidi"/>
                <w:noProof/>
                <w:snapToGrid/>
                <w:color w:val="000000"/>
                <w:sz w:val="20"/>
                <w:highlight w:val="black"/>
                <w:lang w:bidi="en-US"/>
              </w:rPr>
              <w:t>'''''''''''''''''''''''''</w:t>
            </w:r>
          </w:p>
        </w:tc>
        <w:tc>
          <w:tcPr>
            <w:tcW w:w="679" w:type="pct"/>
            <w:shd w:val="clear" w:color="auto" w:fill="D9D9D9" w:themeFill="background1" w:themeFillShade="D9"/>
          </w:tcPr>
          <w:p w:rsidR="008D4AD0" w:rsidRPr="00E7057B" w:rsidRDefault="008D4AD0" w:rsidP="00996BBE">
            <w:pPr>
              <w:widowControl/>
              <w:jc w:val="center"/>
              <w:rPr>
                <w:rFonts w:ascii="Arial Narrow" w:hAnsi="Arial Narrow" w:cstheme="majorBidi"/>
                <w:snapToGrid/>
                <w:color w:val="000000"/>
                <w:sz w:val="20"/>
                <w:lang w:eastAsia="en-AU" w:bidi="en-US"/>
              </w:rPr>
            </w:pPr>
            <w:r w:rsidRPr="00E7057B">
              <w:rPr>
                <w:rFonts w:ascii="Arial Narrow" w:eastAsiaTheme="majorEastAsia" w:hAnsi="Arial Narrow" w:cstheme="majorBidi"/>
                <w:snapToGrid/>
                <w:color w:val="000000"/>
                <w:sz w:val="20"/>
                <w:lang w:bidi="en-US"/>
              </w:rPr>
              <w:t>$</w:t>
            </w:r>
            <w:r w:rsidR="006C091A">
              <w:rPr>
                <w:rFonts w:ascii="Arial Narrow" w:eastAsiaTheme="majorEastAsia" w:hAnsi="Arial Narrow" w:cstheme="majorBidi"/>
                <w:noProof/>
                <w:snapToGrid/>
                <w:color w:val="000000"/>
                <w:sz w:val="20"/>
                <w:highlight w:val="black"/>
                <w:lang w:bidi="en-US"/>
              </w:rPr>
              <w:t>'''''''''''''''''''''''</w:t>
            </w:r>
          </w:p>
        </w:tc>
        <w:tc>
          <w:tcPr>
            <w:tcW w:w="680" w:type="pct"/>
            <w:shd w:val="clear" w:color="auto" w:fill="D9D9D9" w:themeFill="background1" w:themeFillShade="D9"/>
          </w:tcPr>
          <w:p w:rsidR="008D4AD0" w:rsidRPr="00E7057B" w:rsidRDefault="008D4AD0" w:rsidP="00996BBE">
            <w:pPr>
              <w:widowControl/>
              <w:jc w:val="center"/>
              <w:rPr>
                <w:rFonts w:ascii="Arial Narrow" w:hAnsi="Arial Narrow" w:cstheme="majorBidi"/>
                <w:snapToGrid/>
                <w:color w:val="000000"/>
                <w:sz w:val="20"/>
                <w:lang w:eastAsia="en-AU" w:bidi="en-US"/>
              </w:rPr>
            </w:pPr>
            <w:r w:rsidRPr="00E7057B">
              <w:rPr>
                <w:rFonts w:ascii="Arial Narrow" w:eastAsiaTheme="majorEastAsia" w:hAnsi="Arial Narrow" w:cstheme="majorBidi"/>
                <w:snapToGrid/>
                <w:color w:val="000000"/>
                <w:sz w:val="20"/>
                <w:lang w:bidi="en-US"/>
              </w:rPr>
              <w:t>$</w:t>
            </w:r>
            <w:r w:rsidR="006C091A">
              <w:rPr>
                <w:rFonts w:ascii="Arial Narrow" w:eastAsiaTheme="majorEastAsia" w:hAnsi="Arial Narrow" w:cstheme="majorBidi"/>
                <w:noProof/>
                <w:snapToGrid/>
                <w:color w:val="000000"/>
                <w:sz w:val="20"/>
                <w:highlight w:val="black"/>
                <w:lang w:bidi="en-US"/>
              </w:rPr>
              <w:t>'''''''''''''''''''''''</w:t>
            </w:r>
          </w:p>
        </w:tc>
        <w:tc>
          <w:tcPr>
            <w:tcW w:w="750" w:type="pct"/>
            <w:shd w:val="clear" w:color="auto" w:fill="D9D9D9" w:themeFill="background1" w:themeFillShade="D9"/>
          </w:tcPr>
          <w:p w:rsidR="008D4AD0" w:rsidRPr="00E7057B" w:rsidRDefault="008D4AD0" w:rsidP="00996BBE">
            <w:pPr>
              <w:widowControl/>
              <w:jc w:val="center"/>
              <w:rPr>
                <w:rFonts w:ascii="Arial Narrow" w:hAnsi="Arial Narrow" w:cstheme="majorBidi"/>
                <w:snapToGrid/>
                <w:color w:val="000000"/>
                <w:sz w:val="20"/>
                <w:lang w:eastAsia="en-AU" w:bidi="en-US"/>
              </w:rPr>
            </w:pPr>
            <w:r w:rsidRPr="00E7057B">
              <w:rPr>
                <w:rFonts w:ascii="Arial Narrow" w:eastAsiaTheme="majorEastAsia" w:hAnsi="Arial Narrow" w:cstheme="majorBidi"/>
                <w:snapToGrid/>
                <w:color w:val="000000"/>
                <w:sz w:val="20"/>
                <w:lang w:bidi="en-US"/>
              </w:rPr>
              <w:t>$</w:t>
            </w:r>
            <w:r w:rsidR="006C091A">
              <w:rPr>
                <w:rFonts w:ascii="Arial Narrow" w:eastAsiaTheme="majorEastAsia" w:hAnsi="Arial Narrow" w:cstheme="majorBidi"/>
                <w:noProof/>
                <w:snapToGrid/>
                <w:color w:val="000000"/>
                <w:sz w:val="20"/>
                <w:highlight w:val="black"/>
                <w:lang w:bidi="en-US"/>
              </w:rPr>
              <w:t>'''''''''''''''''''''''''</w:t>
            </w:r>
          </w:p>
        </w:tc>
      </w:tr>
    </w:tbl>
    <w:p w:rsidR="00D75134" w:rsidRDefault="008D4AD0" w:rsidP="00222746">
      <w:pPr>
        <w:ind w:firstLine="720"/>
        <w:rPr>
          <w:rFonts w:ascii="Arial Narrow" w:hAnsi="Arial Narrow"/>
          <w:sz w:val="18"/>
        </w:rPr>
      </w:pPr>
      <w:r w:rsidRPr="00222746">
        <w:rPr>
          <w:rFonts w:ascii="Arial Narrow" w:hAnsi="Arial Narrow"/>
          <w:sz w:val="18"/>
        </w:rPr>
        <w:t xml:space="preserve">Source: 7.08.COM.13, Table 10. </w:t>
      </w:r>
    </w:p>
    <w:p w:rsidR="008D4AD0" w:rsidRPr="00222746" w:rsidRDefault="0076663C" w:rsidP="00222746">
      <w:pPr>
        <w:ind w:firstLine="720"/>
        <w:rPr>
          <w:rFonts w:ascii="Arial Narrow" w:hAnsi="Arial Narrow"/>
          <w:i/>
          <w:sz w:val="18"/>
          <w:szCs w:val="22"/>
        </w:rPr>
      </w:pPr>
      <w:r w:rsidRPr="000145EE">
        <w:rPr>
          <w:rFonts w:ascii="Arial Narrow" w:hAnsi="Arial Narrow"/>
          <w:sz w:val="18"/>
        </w:rPr>
        <w:t>*</w:t>
      </w:r>
      <w:r w:rsidR="008D4AD0" w:rsidRPr="000145EE">
        <w:rPr>
          <w:rFonts w:ascii="Arial Narrow" w:hAnsi="Arial Narrow"/>
          <w:sz w:val="18"/>
        </w:rPr>
        <w:t xml:space="preserve">Amended in DUSC Advice to correct application of prevalent pool (see Table </w:t>
      </w:r>
      <w:r w:rsidR="00793B4D" w:rsidRPr="000145EE">
        <w:rPr>
          <w:rFonts w:ascii="Arial Narrow" w:hAnsi="Arial Narrow"/>
          <w:sz w:val="18"/>
        </w:rPr>
        <w:t>12</w:t>
      </w:r>
      <w:r w:rsidR="008D4AD0" w:rsidRPr="000145EE">
        <w:rPr>
          <w:rFonts w:ascii="Arial Narrow" w:hAnsi="Arial Narrow"/>
          <w:sz w:val="18"/>
        </w:rPr>
        <w:t>).</w:t>
      </w:r>
    </w:p>
    <w:p w:rsidR="008D4AD0" w:rsidRDefault="008D4AD0" w:rsidP="00222746">
      <w:pPr>
        <w:widowControl/>
        <w:rPr>
          <w:color w:val="000000" w:themeColor="text1"/>
          <w:szCs w:val="22"/>
        </w:rPr>
      </w:pPr>
    </w:p>
    <w:p w:rsidR="00B669FC" w:rsidRDefault="00B669FC" w:rsidP="00B669FC">
      <w:pPr>
        <w:widowControl/>
        <w:ind w:left="720"/>
        <w:rPr>
          <w:color w:val="000000" w:themeColor="text1"/>
          <w:szCs w:val="22"/>
        </w:rPr>
      </w:pPr>
      <w:r>
        <w:rPr>
          <w:color w:val="000000" w:themeColor="text1"/>
          <w:szCs w:val="22"/>
        </w:rPr>
        <w:t>The redacted table shows that at year 5, the estimated net cost to the PBS was less than $10 million per year.</w:t>
      </w:r>
    </w:p>
    <w:p w:rsidR="00B669FC" w:rsidRPr="00222746" w:rsidRDefault="00B669FC" w:rsidP="00222746">
      <w:pPr>
        <w:widowControl/>
        <w:rPr>
          <w:color w:val="000000" w:themeColor="text1"/>
          <w:szCs w:val="22"/>
        </w:rPr>
      </w:pPr>
    </w:p>
    <w:p w:rsidR="00891018" w:rsidRPr="00E00EE0" w:rsidRDefault="00891018" w:rsidP="00891018">
      <w:pPr>
        <w:pStyle w:val="ListParagraph"/>
        <w:widowControl/>
        <w:numPr>
          <w:ilvl w:val="1"/>
          <w:numId w:val="3"/>
        </w:numPr>
        <w:rPr>
          <w:szCs w:val="22"/>
        </w:rPr>
      </w:pPr>
      <w:r w:rsidRPr="00E00EE0">
        <w:rPr>
          <w:color w:val="000000" w:themeColor="text1"/>
        </w:rPr>
        <w:t xml:space="preserve">The results of the univariate sensitivity analysis presented in the re-submission indicated that the 5-year cost of ulipristal to the government would increase from </w:t>
      </w:r>
      <w:r w:rsidR="00921C74">
        <w:rPr>
          <w:color w:val="000000" w:themeColor="text1"/>
        </w:rPr>
        <w:t>$30 - $60</w:t>
      </w:r>
      <w:r w:rsidRPr="00E00EE0">
        <w:rPr>
          <w:color w:val="000000" w:themeColor="text1"/>
        </w:rPr>
        <w:t xml:space="preserve"> million in the base case, to </w:t>
      </w:r>
      <w:r w:rsidR="00921C74">
        <w:rPr>
          <w:color w:val="000000" w:themeColor="text1"/>
        </w:rPr>
        <w:t xml:space="preserve">$30 - $60 </w:t>
      </w:r>
      <w:r w:rsidRPr="00E00EE0">
        <w:rPr>
          <w:color w:val="000000" w:themeColor="text1"/>
        </w:rPr>
        <w:t xml:space="preserve">million if utilisation in private hospitals was the same as public hospitals and to </w:t>
      </w:r>
      <w:r w:rsidR="00FD01D1">
        <w:rPr>
          <w:color w:val="000000" w:themeColor="text1"/>
        </w:rPr>
        <w:t>$30 - $60</w:t>
      </w:r>
      <w:r w:rsidRPr="00E00EE0">
        <w:rPr>
          <w:color w:val="000000" w:themeColor="text1"/>
        </w:rPr>
        <w:t xml:space="preserve"> million assuming the number of patients undergoing UAE/EA and hysterectomy for uterine fibroids was </w:t>
      </w:r>
      <w:r w:rsidR="006C091A">
        <w:rPr>
          <w:noProof/>
          <w:color w:val="000000"/>
          <w:highlight w:val="black"/>
        </w:rPr>
        <w:t>''''''</w:t>
      </w:r>
      <w:r w:rsidRPr="00E00EE0">
        <w:rPr>
          <w:color w:val="000000" w:themeColor="text1"/>
        </w:rPr>
        <w:t xml:space="preserve">%, rather than </w:t>
      </w:r>
      <w:r w:rsidR="006C091A">
        <w:rPr>
          <w:noProof/>
          <w:color w:val="000000"/>
          <w:highlight w:val="black"/>
        </w:rPr>
        <w:t>''''''''''</w:t>
      </w:r>
      <w:r w:rsidRPr="00E00EE0">
        <w:rPr>
          <w:color w:val="000000" w:themeColor="text1"/>
        </w:rPr>
        <w:t xml:space="preserve">% and </w:t>
      </w:r>
      <w:r w:rsidR="006C091A">
        <w:rPr>
          <w:noProof/>
          <w:color w:val="000000"/>
          <w:highlight w:val="black"/>
        </w:rPr>
        <w:t>''''''''''</w:t>
      </w:r>
      <w:r w:rsidRPr="00E00EE0">
        <w:rPr>
          <w:color w:val="000000" w:themeColor="text1"/>
        </w:rPr>
        <w:t xml:space="preserve">% as estimated by the resubmission. </w:t>
      </w:r>
    </w:p>
    <w:p w:rsidR="00D32E2C" w:rsidRDefault="00D32E2C" w:rsidP="00E92E37">
      <w:pPr>
        <w:keepNext/>
        <w:keepLines/>
        <w:widowControl/>
        <w:jc w:val="left"/>
        <w:rPr>
          <w:rStyle w:val="CommentReference"/>
        </w:rPr>
      </w:pPr>
    </w:p>
    <w:p w:rsidR="009C38FC" w:rsidRPr="003A0F46" w:rsidRDefault="009C38FC" w:rsidP="00E92E37">
      <w:pPr>
        <w:keepNext/>
        <w:keepLines/>
        <w:ind w:firstLine="720"/>
        <w:rPr>
          <w:rFonts w:ascii="Arial Narrow" w:hAnsi="Arial Narrow"/>
          <w:b/>
          <w:sz w:val="20"/>
        </w:rPr>
      </w:pPr>
      <w:r w:rsidRPr="00D75134">
        <w:rPr>
          <w:rFonts w:ascii="Arial Narrow" w:hAnsi="Arial Narrow"/>
          <w:b/>
          <w:sz w:val="20"/>
        </w:rPr>
        <w:t xml:space="preserve">Table </w:t>
      </w:r>
      <w:r w:rsidR="006B1E54" w:rsidRPr="00D75134">
        <w:rPr>
          <w:rFonts w:ascii="Arial Narrow" w:hAnsi="Arial Narrow"/>
          <w:b/>
          <w:sz w:val="20"/>
        </w:rPr>
        <w:t>14</w:t>
      </w:r>
      <w:r w:rsidRPr="00D75134">
        <w:rPr>
          <w:rFonts w:ascii="Arial Narrow" w:hAnsi="Arial Narrow"/>
          <w:b/>
          <w:sz w:val="20"/>
        </w:rPr>
        <w:t>:</w:t>
      </w:r>
      <w:r w:rsidRPr="00843F45">
        <w:rPr>
          <w:rFonts w:ascii="Arial Narrow" w:hAnsi="Arial Narrow"/>
          <w:b/>
          <w:sz w:val="20"/>
        </w:rPr>
        <w:t xml:space="preserve"> </w:t>
      </w:r>
      <w:r>
        <w:rPr>
          <w:rFonts w:ascii="Arial Narrow" w:hAnsi="Arial Narrow"/>
          <w:b/>
          <w:sz w:val="20"/>
        </w:rPr>
        <w:t>Updated sensitivity analyses</w:t>
      </w:r>
    </w:p>
    <w:tbl>
      <w:tblPr>
        <w:tblStyle w:val="TableGrid"/>
        <w:tblW w:w="7669" w:type="dxa"/>
        <w:tblInd w:w="817" w:type="dxa"/>
        <w:tblLayout w:type="fixed"/>
        <w:tblLook w:val="00A0" w:firstRow="1" w:lastRow="0" w:firstColumn="1" w:lastColumn="0" w:noHBand="0" w:noVBand="0"/>
        <w:tblCaption w:val="Table 14: Updated sensitivity analyses"/>
      </w:tblPr>
      <w:tblGrid>
        <w:gridCol w:w="2059"/>
        <w:gridCol w:w="1209"/>
        <w:gridCol w:w="1015"/>
        <w:gridCol w:w="1128"/>
        <w:gridCol w:w="1129"/>
        <w:gridCol w:w="1129"/>
      </w:tblGrid>
      <w:tr w:rsidR="009C38FC" w:rsidRPr="00377C63" w:rsidTr="00FE36DA">
        <w:trPr>
          <w:trHeight w:val="263"/>
          <w:tblHeader/>
        </w:trPr>
        <w:tc>
          <w:tcPr>
            <w:tcW w:w="2059" w:type="dxa"/>
            <w:vMerge w:val="restart"/>
            <w:shd w:val="clear" w:color="auto" w:fill="A6A6A6" w:themeFill="background1" w:themeFillShade="A6"/>
          </w:tcPr>
          <w:p w:rsidR="009C38FC" w:rsidRPr="00377C63" w:rsidRDefault="009C38FC" w:rsidP="00E92E37">
            <w:pPr>
              <w:pStyle w:val="Table"/>
              <w:keepNext/>
              <w:keepLines/>
              <w:rPr>
                <w:rStyle w:val="Small"/>
                <w:rFonts w:ascii="Arial Narrow" w:hAnsi="Arial Narrow"/>
                <w:szCs w:val="20"/>
              </w:rPr>
            </w:pPr>
            <w:r w:rsidRPr="00377C63">
              <w:rPr>
                <w:rStyle w:val="Small"/>
                <w:rFonts w:ascii="Arial Narrow" w:hAnsi="Arial Narrow"/>
                <w:szCs w:val="20"/>
              </w:rPr>
              <w:t>Analysis</w:t>
            </w:r>
          </w:p>
        </w:tc>
        <w:tc>
          <w:tcPr>
            <w:tcW w:w="1209" w:type="dxa"/>
            <w:shd w:val="clear" w:color="auto" w:fill="A6A6A6" w:themeFill="background1" w:themeFillShade="A6"/>
          </w:tcPr>
          <w:p w:rsidR="009C38FC" w:rsidRPr="00377C63" w:rsidRDefault="009C38FC" w:rsidP="00E92E37">
            <w:pPr>
              <w:pStyle w:val="TableCentre"/>
              <w:keepNext/>
              <w:keepLines/>
              <w:rPr>
                <w:rStyle w:val="Small"/>
                <w:rFonts w:ascii="Arial Narrow" w:hAnsi="Arial Narrow"/>
                <w:szCs w:val="20"/>
              </w:rPr>
            </w:pPr>
            <w:r w:rsidRPr="00377C63">
              <w:rPr>
                <w:rStyle w:val="Small"/>
                <w:rFonts w:ascii="Arial Narrow" w:hAnsi="Arial Narrow"/>
                <w:szCs w:val="20"/>
              </w:rPr>
              <w:t>Base Case</w:t>
            </w:r>
          </w:p>
        </w:tc>
        <w:tc>
          <w:tcPr>
            <w:tcW w:w="2143" w:type="dxa"/>
            <w:gridSpan w:val="2"/>
            <w:shd w:val="clear" w:color="auto" w:fill="A6A6A6" w:themeFill="background1" w:themeFillShade="A6"/>
          </w:tcPr>
          <w:p w:rsidR="009C38FC" w:rsidRPr="00377C63" w:rsidRDefault="009C38FC" w:rsidP="00E92E37">
            <w:pPr>
              <w:pStyle w:val="TableCentre"/>
              <w:keepNext/>
              <w:keepLines/>
              <w:rPr>
                <w:rStyle w:val="Small"/>
                <w:rFonts w:ascii="Arial Narrow" w:hAnsi="Arial Narrow"/>
                <w:szCs w:val="20"/>
              </w:rPr>
            </w:pPr>
            <w:r w:rsidRPr="00377C63">
              <w:rPr>
                <w:rStyle w:val="Small"/>
                <w:rFonts w:ascii="Arial Narrow" w:hAnsi="Arial Narrow"/>
                <w:szCs w:val="20"/>
              </w:rPr>
              <w:t>Worst Case</w:t>
            </w:r>
          </w:p>
        </w:tc>
        <w:tc>
          <w:tcPr>
            <w:tcW w:w="2258" w:type="dxa"/>
            <w:gridSpan w:val="2"/>
            <w:shd w:val="clear" w:color="auto" w:fill="A6A6A6" w:themeFill="background1" w:themeFillShade="A6"/>
          </w:tcPr>
          <w:p w:rsidR="009C38FC" w:rsidRPr="00377C63" w:rsidRDefault="009C38FC" w:rsidP="00E92E37">
            <w:pPr>
              <w:pStyle w:val="TableCentre"/>
              <w:keepNext/>
              <w:keepLines/>
              <w:rPr>
                <w:rStyle w:val="Small"/>
                <w:rFonts w:ascii="Arial Narrow" w:hAnsi="Arial Narrow"/>
                <w:szCs w:val="20"/>
              </w:rPr>
            </w:pPr>
            <w:r w:rsidRPr="00377C63">
              <w:rPr>
                <w:rStyle w:val="Small"/>
                <w:rFonts w:ascii="Arial Narrow" w:hAnsi="Arial Narrow"/>
                <w:szCs w:val="20"/>
              </w:rPr>
              <w:t>Best Case</w:t>
            </w:r>
          </w:p>
        </w:tc>
      </w:tr>
      <w:tr w:rsidR="009C38FC" w:rsidRPr="00377C63" w:rsidTr="00FE36DA">
        <w:trPr>
          <w:trHeight w:val="263"/>
          <w:tblHeader/>
        </w:trPr>
        <w:tc>
          <w:tcPr>
            <w:tcW w:w="2059" w:type="dxa"/>
            <w:vMerge/>
            <w:shd w:val="clear" w:color="auto" w:fill="A6A6A6" w:themeFill="background1" w:themeFillShade="A6"/>
          </w:tcPr>
          <w:p w:rsidR="009C38FC" w:rsidRPr="00377C63" w:rsidRDefault="009C38FC" w:rsidP="00E92E37">
            <w:pPr>
              <w:pStyle w:val="Table"/>
              <w:keepNext/>
              <w:keepLines/>
              <w:rPr>
                <w:rFonts w:ascii="Arial Narrow" w:hAnsi="Arial Narrow"/>
                <w:szCs w:val="20"/>
              </w:rPr>
            </w:pPr>
          </w:p>
        </w:tc>
        <w:tc>
          <w:tcPr>
            <w:tcW w:w="1209" w:type="dxa"/>
            <w:shd w:val="clear" w:color="auto" w:fill="A6A6A6" w:themeFill="background1" w:themeFillShade="A6"/>
          </w:tcPr>
          <w:p w:rsidR="009C38FC" w:rsidRPr="00377C63" w:rsidRDefault="009C38FC" w:rsidP="00E92E37">
            <w:pPr>
              <w:pStyle w:val="TableCentre"/>
              <w:keepNext/>
              <w:keepLines/>
              <w:rPr>
                <w:rFonts w:ascii="Arial Narrow" w:hAnsi="Arial Narrow"/>
                <w:szCs w:val="20"/>
              </w:rPr>
            </w:pPr>
            <w:r w:rsidRPr="00377C63">
              <w:rPr>
                <w:rFonts w:ascii="Arial Narrow" w:hAnsi="Arial Narrow"/>
                <w:szCs w:val="20"/>
              </w:rPr>
              <w:t>Value</w:t>
            </w:r>
          </w:p>
        </w:tc>
        <w:tc>
          <w:tcPr>
            <w:tcW w:w="1015" w:type="dxa"/>
            <w:shd w:val="clear" w:color="auto" w:fill="A6A6A6" w:themeFill="background1" w:themeFillShade="A6"/>
          </w:tcPr>
          <w:p w:rsidR="009C38FC" w:rsidRPr="00377C63" w:rsidRDefault="009C38FC" w:rsidP="00E92E37">
            <w:pPr>
              <w:pStyle w:val="TableCentre"/>
              <w:keepNext/>
              <w:keepLines/>
              <w:rPr>
                <w:rFonts w:ascii="Arial Narrow" w:hAnsi="Arial Narrow"/>
                <w:szCs w:val="20"/>
              </w:rPr>
            </w:pPr>
            <w:r w:rsidRPr="00377C63">
              <w:rPr>
                <w:rFonts w:ascii="Arial Narrow" w:hAnsi="Arial Narrow"/>
                <w:szCs w:val="20"/>
              </w:rPr>
              <w:t>Value</w:t>
            </w:r>
          </w:p>
        </w:tc>
        <w:tc>
          <w:tcPr>
            <w:tcW w:w="1128" w:type="dxa"/>
            <w:shd w:val="clear" w:color="auto" w:fill="A6A6A6" w:themeFill="background1" w:themeFillShade="A6"/>
          </w:tcPr>
          <w:p w:rsidR="009C38FC" w:rsidRPr="00377C63" w:rsidRDefault="009C38FC" w:rsidP="00E92E37">
            <w:pPr>
              <w:pStyle w:val="TableCentre"/>
              <w:keepNext/>
              <w:keepLines/>
              <w:rPr>
                <w:rFonts w:ascii="Arial Narrow" w:hAnsi="Arial Narrow"/>
                <w:szCs w:val="20"/>
              </w:rPr>
            </w:pPr>
            <w:r w:rsidRPr="00377C63">
              <w:rPr>
                <w:rFonts w:ascii="Arial Narrow" w:hAnsi="Arial Narrow"/>
                <w:szCs w:val="20"/>
              </w:rPr>
              <w:t>Net cost</w:t>
            </w:r>
            <w:r w:rsidR="0076663C">
              <w:rPr>
                <w:rFonts w:ascii="Arial Narrow" w:hAnsi="Arial Narrow"/>
                <w:szCs w:val="20"/>
              </w:rPr>
              <w:t>*</w:t>
            </w:r>
          </w:p>
        </w:tc>
        <w:tc>
          <w:tcPr>
            <w:tcW w:w="1129" w:type="dxa"/>
            <w:shd w:val="clear" w:color="auto" w:fill="A6A6A6" w:themeFill="background1" w:themeFillShade="A6"/>
          </w:tcPr>
          <w:p w:rsidR="009C38FC" w:rsidRPr="00377C63" w:rsidRDefault="009C38FC" w:rsidP="00E92E37">
            <w:pPr>
              <w:pStyle w:val="TableCentre"/>
              <w:keepNext/>
              <w:keepLines/>
              <w:rPr>
                <w:rFonts w:ascii="Arial Narrow" w:hAnsi="Arial Narrow"/>
                <w:szCs w:val="20"/>
              </w:rPr>
            </w:pPr>
            <w:r w:rsidRPr="00377C63">
              <w:rPr>
                <w:rFonts w:ascii="Arial Narrow" w:hAnsi="Arial Narrow"/>
                <w:szCs w:val="20"/>
              </w:rPr>
              <w:t>Value</w:t>
            </w:r>
          </w:p>
        </w:tc>
        <w:tc>
          <w:tcPr>
            <w:tcW w:w="1129" w:type="dxa"/>
            <w:shd w:val="clear" w:color="auto" w:fill="A6A6A6" w:themeFill="background1" w:themeFillShade="A6"/>
          </w:tcPr>
          <w:p w:rsidR="009C38FC" w:rsidRPr="00377C63" w:rsidRDefault="009C38FC" w:rsidP="00E92E37">
            <w:pPr>
              <w:pStyle w:val="TableCentre"/>
              <w:keepNext/>
              <w:keepLines/>
              <w:rPr>
                <w:rFonts w:ascii="Arial Narrow" w:hAnsi="Arial Narrow"/>
                <w:szCs w:val="20"/>
              </w:rPr>
            </w:pPr>
            <w:r w:rsidRPr="00377C63">
              <w:rPr>
                <w:rFonts w:ascii="Arial Narrow" w:hAnsi="Arial Narrow"/>
                <w:szCs w:val="20"/>
              </w:rPr>
              <w:t>Net cost</w:t>
            </w:r>
            <w:r w:rsidR="0076663C">
              <w:rPr>
                <w:rFonts w:ascii="Arial Narrow" w:hAnsi="Arial Narrow"/>
                <w:szCs w:val="20"/>
              </w:rPr>
              <w:t>*</w:t>
            </w:r>
          </w:p>
        </w:tc>
      </w:tr>
      <w:tr w:rsidR="009C38FC" w:rsidRPr="00377C63" w:rsidTr="00E92E37">
        <w:trPr>
          <w:trHeight w:val="263"/>
        </w:trPr>
        <w:tc>
          <w:tcPr>
            <w:tcW w:w="2059" w:type="dxa"/>
          </w:tcPr>
          <w:p w:rsidR="009C38FC" w:rsidRPr="00377C63" w:rsidRDefault="009C38FC" w:rsidP="00E92E37">
            <w:pPr>
              <w:pStyle w:val="Table"/>
              <w:keepNext/>
              <w:keepLines/>
              <w:rPr>
                <w:rFonts w:ascii="Arial Narrow" w:hAnsi="Arial Narrow"/>
                <w:szCs w:val="20"/>
              </w:rPr>
            </w:pPr>
            <w:r w:rsidRPr="00377C63">
              <w:rPr>
                <w:rFonts w:ascii="Arial Narrow" w:hAnsi="Arial Narrow"/>
                <w:szCs w:val="20"/>
              </w:rPr>
              <w:t>Base case</w:t>
            </w:r>
            <w:r w:rsidR="006E68C7">
              <w:rPr>
                <w:rFonts w:ascii="Arial Narrow" w:hAnsi="Arial Narrow"/>
                <w:szCs w:val="20"/>
              </w:rPr>
              <w:t>*</w:t>
            </w:r>
          </w:p>
        </w:tc>
        <w:tc>
          <w:tcPr>
            <w:tcW w:w="5610" w:type="dxa"/>
            <w:gridSpan w:val="5"/>
          </w:tcPr>
          <w:p w:rsidR="009C38FC" w:rsidRPr="006E68C7" w:rsidRDefault="009C38FC" w:rsidP="00E92E37">
            <w:pPr>
              <w:keepNext/>
              <w:keepLines/>
              <w:jc w:val="center"/>
              <w:rPr>
                <w:rFonts w:ascii="Arial Narrow" w:hAnsi="Arial Narrow"/>
                <w:color w:val="000000"/>
                <w:sz w:val="20"/>
              </w:rPr>
            </w:pPr>
            <w:r w:rsidRPr="006E68C7">
              <w:rPr>
                <w:rFonts w:ascii="Arial Narrow" w:hAnsi="Arial Narrow"/>
                <w:color w:val="000000"/>
                <w:sz w:val="20"/>
              </w:rPr>
              <w:t>$</w:t>
            </w:r>
            <w:r w:rsidR="006C091A">
              <w:rPr>
                <w:rFonts w:ascii="Arial Narrow" w:hAnsi="Arial Narrow"/>
                <w:noProof/>
                <w:color w:val="000000"/>
                <w:sz w:val="20"/>
                <w:highlight w:val="black"/>
              </w:rPr>
              <w:t>''''''''''''''''</w:t>
            </w:r>
          </w:p>
        </w:tc>
      </w:tr>
      <w:tr w:rsidR="009C38FC" w:rsidRPr="00377C63" w:rsidTr="00E92E37">
        <w:trPr>
          <w:trHeight w:val="263"/>
        </w:trPr>
        <w:tc>
          <w:tcPr>
            <w:tcW w:w="7669" w:type="dxa"/>
            <w:gridSpan w:val="6"/>
            <w:shd w:val="clear" w:color="auto" w:fill="D9D9D9" w:themeFill="background1" w:themeFillShade="D9"/>
          </w:tcPr>
          <w:p w:rsidR="009C38FC" w:rsidRPr="00377C63" w:rsidRDefault="009C38FC" w:rsidP="00E92E37">
            <w:pPr>
              <w:pStyle w:val="Table"/>
              <w:keepNext/>
              <w:keepLines/>
              <w:rPr>
                <w:rFonts w:ascii="Arial Narrow" w:hAnsi="Arial Narrow"/>
                <w:color w:val="000000"/>
                <w:szCs w:val="20"/>
              </w:rPr>
            </w:pPr>
            <w:r w:rsidRPr="00377C63">
              <w:rPr>
                <w:rFonts w:ascii="Arial Narrow" w:hAnsi="Arial Narrow"/>
                <w:szCs w:val="20"/>
              </w:rPr>
              <w:t>Procedures due to fibroids</w:t>
            </w:r>
          </w:p>
        </w:tc>
      </w:tr>
      <w:tr w:rsidR="009C38FC" w:rsidRPr="00377C63" w:rsidTr="00E92E37">
        <w:trPr>
          <w:trHeight w:val="263"/>
        </w:trPr>
        <w:tc>
          <w:tcPr>
            <w:tcW w:w="2059" w:type="dxa"/>
            <w:vAlign w:val="bottom"/>
          </w:tcPr>
          <w:p w:rsidR="009C38FC" w:rsidRPr="00377C63" w:rsidRDefault="009C38FC" w:rsidP="00E92E37">
            <w:pPr>
              <w:pStyle w:val="Table"/>
              <w:keepNext/>
              <w:keepLines/>
              <w:rPr>
                <w:rFonts w:ascii="Arial Narrow" w:hAnsi="Arial Narrow"/>
                <w:szCs w:val="20"/>
              </w:rPr>
            </w:pPr>
            <w:r w:rsidRPr="00377C63">
              <w:rPr>
                <w:rFonts w:ascii="Arial Narrow" w:hAnsi="Arial Narrow" w:cs="Calibri"/>
                <w:color w:val="000000"/>
                <w:szCs w:val="20"/>
              </w:rPr>
              <w:t>Non-invasive (UAE/EA)</w:t>
            </w:r>
          </w:p>
        </w:tc>
        <w:tc>
          <w:tcPr>
            <w:tcW w:w="1209" w:type="dxa"/>
            <w:vAlign w:val="bottom"/>
          </w:tcPr>
          <w:p w:rsidR="009C38FC" w:rsidRPr="00377C63" w:rsidRDefault="009C38FC" w:rsidP="00E92E37">
            <w:pPr>
              <w:pStyle w:val="TableCentre"/>
              <w:keepNext/>
              <w:keepLines/>
              <w:rPr>
                <w:rFonts w:ascii="Arial Narrow" w:hAnsi="Arial Narrow"/>
                <w:szCs w:val="20"/>
              </w:rPr>
            </w:pPr>
            <w:r w:rsidRPr="009E5965">
              <w:rPr>
                <w:rFonts w:ascii="Arial Narrow" w:hAnsi="Arial Narrow" w:cs="Calibri"/>
                <w:szCs w:val="20"/>
              </w:rPr>
              <w:t>27.5</w:t>
            </w:r>
            <w:r w:rsidRPr="00377C63">
              <w:rPr>
                <w:rFonts w:ascii="Arial Narrow" w:hAnsi="Arial Narrow" w:cs="Calibri"/>
                <w:szCs w:val="20"/>
              </w:rPr>
              <w:t>%</w:t>
            </w:r>
          </w:p>
        </w:tc>
        <w:tc>
          <w:tcPr>
            <w:tcW w:w="1015" w:type="dxa"/>
            <w:vAlign w:val="bottom"/>
          </w:tcPr>
          <w:p w:rsidR="009C38FC" w:rsidRPr="00377C63" w:rsidRDefault="009C38FC" w:rsidP="00E92E37">
            <w:pPr>
              <w:pStyle w:val="TableCentre"/>
              <w:keepNext/>
              <w:keepLines/>
              <w:rPr>
                <w:rFonts w:ascii="Arial Narrow" w:hAnsi="Arial Narrow"/>
                <w:szCs w:val="20"/>
              </w:rPr>
            </w:pPr>
            <w:r w:rsidRPr="009E5965">
              <w:rPr>
                <w:rFonts w:ascii="Arial Narrow" w:hAnsi="Arial Narrow" w:cs="Calibri"/>
                <w:szCs w:val="20"/>
              </w:rPr>
              <w:t>40.0</w:t>
            </w:r>
            <w:r w:rsidRPr="00377C63">
              <w:rPr>
                <w:rFonts w:ascii="Arial Narrow" w:hAnsi="Arial Narrow" w:cs="Calibri"/>
                <w:szCs w:val="20"/>
              </w:rPr>
              <w:t>%</w:t>
            </w:r>
          </w:p>
        </w:tc>
        <w:tc>
          <w:tcPr>
            <w:tcW w:w="1128" w:type="dxa"/>
            <w:vMerge w:val="restart"/>
            <w:vAlign w:val="center"/>
          </w:tcPr>
          <w:p w:rsidR="009C38FC" w:rsidRPr="006E68C7" w:rsidRDefault="009C38FC" w:rsidP="00E92E37">
            <w:pPr>
              <w:keepNext/>
              <w:keepLines/>
              <w:jc w:val="center"/>
              <w:rPr>
                <w:rFonts w:ascii="Arial Narrow" w:hAnsi="Arial Narrow"/>
                <w:color w:val="000000"/>
                <w:sz w:val="20"/>
              </w:rPr>
            </w:pPr>
            <w:r w:rsidRPr="006E68C7">
              <w:rPr>
                <w:rFonts w:ascii="Arial Narrow" w:hAnsi="Arial Narrow"/>
                <w:color w:val="000000"/>
                <w:sz w:val="20"/>
              </w:rPr>
              <w:t>$</w:t>
            </w:r>
            <w:r w:rsidR="006C091A">
              <w:rPr>
                <w:rFonts w:ascii="Arial Narrow" w:hAnsi="Arial Narrow"/>
                <w:noProof/>
                <w:color w:val="000000"/>
                <w:sz w:val="20"/>
                <w:highlight w:val="black"/>
              </w:rPr>
              <w:t>''''''''''''''</w:t>
            </w:r>
          </w:p>
        </w:tc>
        <w:tc>
          <w:tcPr>
            <w:tcW w:w="1129" w:type="dxa"/>
            <w:vAlign w:val="bottom"/>
          </w:tcPr>
          <w:p w:rsidR="009C38FC" w:rsidRPr="00377C63" w:rsidRDefault="006C091A" w:rsidP="00E92E37">
            <w:pPr>
              <w:pStyle w:val="TableCentre"/>
              <w:keepNext/>
              <w:keepLines/>
              <w:rPr>
                <w:rFonts w:ascii="Arial Narrow" w:hAnsi="Arial Narrow"/>
                <w:szCs w:val="20"/>
              </w:rPr>
            </w:pPr>
            <w:r>
              <w:rPr>
                <w:rFonts w:ascii="Arial Narrow" w:hAnsi="Arial Narrow" w:cs="Calibri"/>
                <w:noProof/>
                <w:color w:val="000000"/>
                <w:szCs w:val="20"/>
                <w:highlight w:val="black"/>
              </w:rPr>
              <w:t>'''''''''''</w:t>
            </w:r>
            <w:r w:rsidR="009C38FC" w:rsidRPr="00377C63">
              <w:rPr>
                <w:rFonts w:ascii="Arial Narrow" w:hAnsi="Arial Narrow" w:cs="Calibri"/>
                <w:szCs w:val="20"/>
              </w:rPr>
              <w:t>%</w:t>
            </w:r>
          </w:p>
        </w:tc>
        <w:tc>
          <w:tcPr>
            <w:tcW w:w="1129" w:type="dxa"/>
            <w:vMerge w:val="restart"/>
            <w:vAlign w:val="center"/>
          </w:tcPr>
          <w:p w:rsidR="009C38FC" w:rsidRPr="006E68C7" w:rsidRDefault="009C38FC" w:rsidP="00E92E37">
            <w:pPr>
              <w:keepNext/>
              <w:keepLines/>
              <w:jc w:val="center"/>
              <w:rPr>
                <w:rFonts w:ascii="Arial Narrow" w:hAnsi="Arial Narrow"/>
                <w:color w:val="000000"/>
                <w:sz w:val="20"/>
              </w:rPr>
            </w:pPr>
            <w:r w:rsidRPr="006E68C7">
              <w:rPr>
                <w:rFonts w:ascii="Arial Narrow" w:hAnsi="Arial Narrow"/>
                <w:color w:val="000000"/>
                <w:sz w:val="20"/>
              </w:rPr>
              <w:t>$</w:t>
            </w:r>
            <w:r w:rsidR="006C091A">
              <w:rPr>
                <w:rFonts w:ascii="Arial Narrow" w:hAnsi="Arial Narrow"/>
                <w:noProof/>
                <w:color w:val="000000"/>
                <w:sz w:val="20"/>
                <w:highlight w:val="black"/>
              </w:rPr>
              <w:t>''''''''''''''</w:t>
            </w:r>
          </w:p>
        </w:tc>
      </w:tr>
      <w:tr w:rsidR="009C38FC" w:rsidRPr="00377C63" w:rsidTr="00E92E37">
        <w:trPr>
          <w:trHeight w:val="263"/>
        </w:trPr>
        <w:tc>
          <w:tcPr>
            <w:tcW w:w="2059" w:type="dxa"/>
            <w:vAlign w:val="bottom"/>
          </w:tcPr>
          <w:p w:rsidR="009C38FC" w:rsidRPr="00377C63" w:rsidRDefault="009C38FC" w:rsidP="00E92E37">
            <w:pPr>
              <w:pStyle w:val="Table"/>
              <w:keepNext/>
              <w:keepLines/>
              <w:rPr>
                <w:rFonts w:ascii="Arial Narrow" w:hAnsi="Arial Narrow"/>
                <w:szCs w:val="20"/>
              </w:rPr>
            </w:pPr>
            <w:r w:rsidRPr="00377C63">
              <w:rPr>
                <w:rFonts w:ascii="Arial Narrow" w:hAnsi="Arial Narrow" w:cs="Calibri"/>
                <w:color w:val="000000"/>
                <w:szCs w:val="20"/>
              </w:rPr>
              <w:t>Myomectomy</w:t>
            </w:r>
          </w:p>
        </w:tc>
        <w:tc>
          <w:tcPr>
            <w:tcW w:w="1209" w:type="dxa"/>
            <w:vAlign w:val="bottom"/>
          </w:tcPr>
          <w:p w:rsidR="009C38FC" w:rsidRPr="00377C63" w:rsidRDefault="006C091A" w:rsidP="00E92E37">
            <w:pPr>
              <w:pStyle w:val="TableCentre"/>
              <w:keepNext/>
              <w:keepLines/>
              <w:rPr>
                <w:rFonts w:ascii="Arial Narrow" w:hAnsi="Arial Narrow"/>
                <w:szCs w:val="20"/>
              </w:rPr>
            </w:pPr>
            <w:r>
              <w:rPr>
                <w:rFonts w:ascii="Arial Narrow" w:hAnsi="Arial Narrow" w:cs="Calibri"/>
                <w:noProof/>
                <w:color w:val="000000"/>
                <w:szCs w:val="20"/>
                <w:highlight w:val="black"/>
              </w:rPr>
              <w:t>''''''''''''</w:t>
            </w:r>
            <w:r w:rsidR="009C38FC" w:rsidRPr="00377C63">
              <w:rPr>
                <w:rFonts w:ascii="Arial Narrow" w:hAnsi="Arial Narrow" w:cs="Calibri"/>
                <w:szCs w:val="20"/>
              </w:rPr>
              <w:t>%</w:t>
            </w:r>
          </w:p>
        </w:tc>
        <w:tc>
          <w:tcPr>
            <w:tcW w:w="1015" w:type="dxa"/>
            <w:vAlign w:val="bottom"/>
          </w:tcPr>
          <w:p w:rsidR="009C38FC" w:rsidRPr="00377C63" w:rsidRDefault="006C091A" w:rsidP="00E92E37">
            <w:pPr>
              <w:pStyle w:val="TableCentre"/>
              <w:keepNext/>
              <w:keepLines/>
              <w:rPr>
                <w:rFonts w:ascii="Arial Narrow" w:hAnsi="Arial Narrow"/>
                <w:szCs w:val="20"/>
              </w:rPr>
            </w:pPr>
            <w:r>
              <w:rPr>
                <w:rFonts w:ascii="Arial Narrow" w:hAnsi="Arial Narrow" w:cs="Calibri"/>
                <w:noProof/>
                <w:color w:val="000000"/>
                <w:szCs w:val="20"/>
                <w:highlight w:val="black"/>
              </w:rPr>
              <w:t>'''''''''''''</w:t>
            </w:r>
            <w:r w:rsidR="009C38FC" w:rsidRPr="00377C63">
              <w:rPr>
                <w:rFonts w:ascii="Arial Narrow" w:hAnsi="Arial Narrow" w:cs="Calibri"/>
                <w:szCs w:val="20"/>
              </w:rPr>
              <w:t>%</w:t>
            </w:r>
          </w:p>
        </w:tc>
        <w:tc>
          <w:tcPr>
            <w:tcW w:w="1128" w:type="dxa"/>
            <w:vMerge/>
          </w:tcPr>
          <w:p w:rsidR="009C38FC" w:rsidRPr="00377C63" w:rsidRDefault="009C38FC" w:rsidP="00E92E37">
            <w:pPr>
              <w:keepNext/>
              <w:keepLines/>
              <w:jc w:val="center"/>
              <w:rPr>
                <w:rFonts w:ascii="Arial Narrow" w:hAnsi="Arial Narrow"/>
                <w:color w:val="000000"/>
                <w:sz w:val="20"/>
              </w:rPr>
            </w:pPr>
          </w:p>
        </w:tc>
        <w:tc>
          <w:tcPr>
            <w:tcW w:w="1129" w:type="dxa"/>
            <w:vAlign w:val="bottom"/>
          </w:tcPr>
          <w:p w:rsidR="009C38FC" w:rsidRPr="00377C63" w:rsidRDefault="006C091A" w:rsidP="00E92E37">
            <w:pPr>
              <w:pStyle w:val="TableCentre"/>
              <w:keepNext/>
              <w:keepLines/>
              <w:rPr>
                <w:rFonts w:ascii="Arial Narrow" w:hAnsi="Arial Narrow"/>
                <w:szCs w:val="20"/>
              </w:rPr>
            </w:pPr>
            <w:r>
              <w:rPr>
                <w:rFonts w:ascii="Arial Narrow" w:hAnsi="Arial Narrow" w:cs="Calibri"/>
                <w:noProof/>
                <w:color w:val="000000"/>
                <w:szCs w:val="20"/>
                <w:highlight w:val="black"/>
              </w:rPr>
              <w:t>''''''''''</w:t>
            </w:r>
            <w:r w:rsidR="009C38FC" w:rsidRPr="00377C63">
              <w:rPr>
                <w:rFonts w:ascii="Arial Narrow" w:hAnsi="Arial Narrow" w:cs="Calibri"/>
                <w:szCs w:val="20"/>
              </w:rPr>
              <w:t>%</w:t>
            </w:r>
          </w:p>
        </w:tc>
        <w:tc>
          <w:tcPr>
            <w:tcW w:w="1129" w:type="dxa"/>
            <w:vMerge/>
          </w:tcPr>
          <w:p w:rsidR="009C38FC" w:rsidRPr="00377C63" w:rsidRDefault="009C38FC" w:rsidP="00E92E37">
            <w:pPr>
              <w:keepNext/>
              <w:keepLines/>
              <w:jc w:val="center"/>
              <w:rPr>
                <w:rFonts w:ascii="Arial Narrow" w:hAnsi="Arial Narrow"/>
                <w:color w:val="000000"/>
                <w:sz w:val="20"/>
              </w:rPr>
            </w:pPr>
          </w:p>
        </w:tc>
      </w:tr>
      <w:tr w:rsidR="009C38FC" w:rsidRPr="00377C63" w:rsidTr="00E92E37">
        <w:trPr>
          <w:trHeight w:val="263"/>
        </w:trPr>
        <w:tc>
          <w:tcPr>
            <w:tcW w:w="2059" w:type="dxa"/>
            <w:vAlign w:val="bottom"/>
          </w:tcPr>
          <w:p w:rsidR="009C38FC" w:rsidRPr="00377C63" w:rsidRDefault="009C38FC" w:rsidP="00E92E37">
            <w:pPr>
              <w:pStyle w:val="Table"/>
              <w:keepNext/>
              <w:keepLines/>
              <w:rPr>
                <w:rFonts w:ascii="Arial Narrow" w:hAnsi="Arial Narrow"/>
                <w:szCs w:val="20"/>
              </w:rPr>
            </w:pPr>
            <w:r w:rsidRPr="00377C63">
              <w:rPr>
                <w:rFonts w:ascii="Arial Narrow" w:hAnsi="Arial Narrow" w:cs="Calibri"/>
                <w:color w:val="000000"/>
                <w:szCs w:val="20"/>
              </w:rPr>
              <w:t>Hysterectomy</w:t>
            </w:r>
          </w:p>
        </w:tc>
        <w:tc>
          <w:tcPr>
            <w:tcW w:w="1209" w:type="dxa"/>
            <w:vAlign w:val="bottom"/>
          </w:tcPr>
          <w:p w:rsidR="009C38FC" w:rsidRPr="00377C63" w:rsidRDefault="009C38FC" w:rsidP="00E92E37">
            <w:pPr>
              <w:pStyle w:val="TableCentre"/>
              <w:keepNext/>
              <w:keepLines/>
              <w:rPr>
                <w:rFonts w:ascii="Arial Narrow" w:hAnsi="Arial Narrow"/>
                <w:szCs w:val="20"/>
              </w:rPr>
            </w:pPr>
            <w:r w:rsidRPr="009E5965">
              <w:rPr>
                <w:rFonts w:ascii="Arial Narrow" w:hAnsi="Arial Narrow" w:cs="Calibri"/>
                <w:szCs w:val="20"/>
              </w:rPr>
              <w:t>25.5</w:t>
            </w:r>
            <w:r w:rsidRPr="00377C63">
              <w:rPr>
                <w:rFonts w:ascii="Arial Narrow" w:hAnsi="Arial Narrow" w:cs="Calibri"/>
                <w:szCs w:val="20"/>
              </w:rPr>
              <w:t>%</w:t>
            </w:r>
          </w:p>
        </w:tc>
        <w:tc>
          <w:tcPr>
            <w:tcW w:w="1015" w:type="dxa"/>
            <w:vAlign w:val="bottom"/>
          </w:tcPr>
          <w:p w:rsidR="009C38FC" w:rsidRPr="00377C63" w:rsidRDefault="009C38FC" w:rsidP="00E92E37">
            <w:pPr>
              <w:pStyle w:val="TableCentre"/>
              <w:keepNext/>
              <w:keepLines/>
              <w:rPr>
                <w:rFonts w:ascii="Arial Narrow" w:hAnsi="Arial Narrow"/>
                <w:szCs w:val="20"/>
              </w:rPr>
            </w:pPr>
            <w:r w:rsidRPr="009E5965">
              <w:rPr>
                <w:rFonts w:ascii="Arial Narrow" w:hAnsi="Arial Narrow" w:cs="Calibri"/>
                <w:szCs w:val="20"/>
              </w:rPr>
              <w:t>40.0</w:t>
            </w:r>
            <w:r w:rsidRPr="00377C63">
              <w:rPr>
                <w:rFonts w:ascii="Arial Narrow" w:hAnsi="Arial Narrow" w:cs="Calibri"/>
                <w:szCs w:val="20"/>
              </w:rPr>
              <w:t>%</w:t>
            </w:r>
          </w:p>
        </w:tc>
        <w:tc>
          <w:tcPr>
            <w:tcW w:w="1128" w:type="dxa"/>
            <w:vMerge/>
          </w:tcPr>
          <w:p w:rsidR="009C38FC" w:rsidRPr="00377C63" w:rsidRDefault="009C38FC" w:rsidP="00E92E37">
            <w:pPr>
              <w:keepNext/>
              <w:keepLines/>
              <w:jc w:val="center"/>
              <w:rPr>
                <w:rFonts w:ascii="Arial Narrow" w:hAnsi="Arial Narrow"/>
                <w:color w:val="000000"/>
                <w:sz w:val="20"/>
              </w:rPr>
            </w:pPr>
          </w:p>
        </w:tc>
        <w:tc>
          <w:tcPr>
            <w:tcW w:w="1129" w:type="dxa"/>
            <w:vAlign w:val="bottom"/>
          </w:tcPr>
          <w:p w:rsidR="009C38FC" w:rsidRPr="00377C63" w:rsidRDefault="006C091A" w:rsidP="00E92E37">
            <w:pPr>
              <w:pStyle w:val="TableCentre"/>
              <w:keepNext/>
              <w:keepLines/>
              <w:rPr>
                <w:rFonts w:ascii="Arial Narrow" w:hAnsi="Arial Narrow"/>
                <w:szCs w:val="20"/>
              </w:rPr>
            </w:pPr>
            <w:r>
              <w:rPr>
                <w:rFonts w:ascii="Arial Narrow" w:hAnsi="Arial Narrow" w:cs="Calibri"/>
                <w:noProof/>
                <w:color w:val="000000"/>
                <w:szCs w:val="20"/>
                <w:highlight w:val="black"/>
              </w:rPr>
              <w:t>'''''''''''</w:t>
            </w:r>
            <w:r w:rsidR="009C38FC" w:rsidRPr="00377C63">
              <w:rPr>
                <w:rFonts w:ascii="Arial Narrow" w:hAnsi="Arial Narrow" w:cs="Calibri"/>
                <w:szCs w:val="20"/>
              </w:rPr>
              <w:t>%</w:t>
            </w:r>
          </w:p>
        </w:tc>
        <w:tc>
          <w:tcPr>
            <w:tcW w:w="1129" w:type="dxa"/>
            <w:vMerge/>
          </w:tcPr>
          <w:p w:rsidR="009C38FC" w:rsidRPr="00377C63" w:rsidRDefault="009C38FC" w:rsidP="00E92E37">
            <w:pPr>
              <w:keepNext/>
              <w:keepLines/>
              <w:jc w:val="center"/>
              <w:rPr>
                <w:rFonts w:ascii="Arial Narrow" w:hAnsi="Arial Narrow"/>
                <w:color w:val="000000"/>
                <w:sz w:val="20"/>
              </w:rPr>
            </w:pPr>
          </w:p>
        </w:tc>
      </w:tr>
      <w:tr w:rsidR="009C38FC" w:rsidRPr="00377C63" w:rsidTr="00E92E37">
        <w:trPr>
          <w:trHeight w:val="263"/>
        </w:trPr>
        <w:tc>
          <w:tcPr>
            <w:tcW w:w="7669" w:type="dxa"/>
            <w:gridSpan w:val="6"/>
            <w:shd w:val="clear" w:color="auto" w:fill="D9D9D9" w:themeFill="background1" w:themeFillShade="D9"/>
          </w:tcPr>
          <w:p w:rsidR="009C38FC" w:rsidRPr="00377C63" w:rsidRDefault="009C38FC" w:rsidP="00E92E37">
            <w:pPr>
              <w:pStyle w:val="Table"/>
              <w:keepNext/>
              <w:keepLines/>
              <w:rPr>
                <w:rFonts w:ascii="Arial Narrow" w:hAnsi="Arial Narrow"/>
                <w:color w:val="000000"/>
                <w:szCs w:val="20"/>
              </w:rPr>
            </w:pPr>
            <w:r w:rsidRPr="00377C63">
              <w:rPr>
                <w:rFonts w:ascii="Arial Narrow" w:hAnsi="Arial Narrow"/>
                <w:szCs w:val="20"/>
              </w:rPr>
              <w:t>Uptake of ulipristal</w:t>
            </w:r>
          </w:p>
        </w:tc>
      </w:tr>
      <w:tr w:rsidR="009C38FC" w:rsidRPr="00377C63" w:rsidTr="00E92E37">
        <w:trPr>
          <w:trHeight w:val="263"/>
        </w:trPr>
        <w:tc>
          <w:tcPr>
            <w:tcW w:w="2059" w:type="dxa"/>
          </w:tcPr>
          <w:p w:rsidR="009C38FC" w:rsidRPr="00377C63" w:rsidRDefault="009C38FC" w:rsidP="00E92E37">
            <w:pPr>
              <w:pStyle w:val="Table"/>
              <w:keepNext/>
              <w:keepLines/>
              <w:rPr>
                <w:rFonts w:ascii="Arial Narrow" w:hAnsi="Arial Narrow"/>
                <w:szCs w:val="20"/>
              </w:rPr>
            </w:pPr>
            <w:r w:rsidRPr="00377C63">
              <w:rPr>
                <w:rFonts w:ascii="Arial Narrow" w:hAnsi="Arial Narrow"/>
                <w:szCs w:val="20"/>
              </w:rPr>
              <w:t>Public</w:t>
            </w:r>
          </w:p>
        </w:tc>
        <w:tc>
          <w:tcPr>
            <w:tcW w:w="1209" w:type="dxa"/>
          </w:tcPr>
          <w:p w:rsidR="009C38FC" w:rsidRPr="00377C63" w:rsidRDefault="006C091A" w:rsidP="00E92E37">
            <w:pPr>
              <w:pStyle w:val="TableCentre"/>
              <w:keepNext/>
              <w:keepLines/>
              <w:rPr>
                <w:rFonts w:ascii="Arial Narrow" w:hAnsi="Arial Narrow"/>
                <w:szCs w:val="20"/>
              </w:rPr>
            </w:pPr>
            <w:r>
              <w:rPr>
                <w:rFonts w:ascii="Arial Narrow" w:hAnsi="Arial Narrow"/>
                <w:noProof/>
                <w:color w:val="000000"/>
                <w:szCs w:val="20"/>
                <w:highlight w:val="black"/>
              </w:rPr>
              <w:t>''''''''''''''''''</w:t>
            </w:r>
            <w:r w:rsidR="009C38FC" w:rsidRPr="00377C63">
              <w:rPr>
                <w:rFonts w:ascii="Arial Narrow" w:hAnsi="Arial Narrow"/>
                <w:szCs w:val="20"/>
              </w:rPr>
              <w:t>%</w:t>
            </w:r>
          </w:p>
        </w:tc>
        <w:tc>
          <w:tcPr>
            <w:tcW w:w="1015" w:type="dxa"/>
            <w:shd w:val="clear" w:color="auto" w:fill="FFFFFF" w:themeFill="background1"/>
          </w:tcPr>
          <w:p w:rsidR="009C38FC" w:rsidRPr="00377C63" w:rsidRDefault="006C091A" w:rsidP="00E92E37">
            <w:pPr>
              <w:pStyle w:val="TableCentre"/>
              <w:keepNext/>
              <w:keepLines/>
              <w:rPr>
                <w:rStyle w:val="Small"/>
                <w:rFonts w:ascii="Arial Narrow" w:hAnsi="Arial Narrow"/>
                <w:szCs w:val="20"/>
              </w:rPr>
            </w:pPr>
            <w:r>
              <w:rPr>
                <w:rFonts w:ascii="Arial Narrow" w:hAnsi="Arial Narrow"/>
                <w:noProof/>
                <w:color w:val="000000"/>
                <w:szCs w:val="20"/>
                <w:highlight w:val="black"/>
              </w:rPr>
              <w:t>'''''''''''''''''</w:t>
            </w:r>
            <w:r w:rsidR="009C38FC" w:rsidRPr="00377C63">
              <w:rPr>
                <w:rFonts w:ascii="Arial Narrow" w:hAnsi="Arial Narrow"/>
                <w:szCs w:val="20"/>
              </w:rPr>
              <w:t>%</w:t>
            </w:r>
          </w:p>
        </w:tc>
        <w:tc>
          <w:tcPr>
            <w:tcW w:w="1128" w:type="dxa"/>
            <w:vMerge w:val="restart"/>
            <w:vAlign w:val="center"/>
          </w:tcPr>
          <w:p w:rsidR="009C38FC" w:rsidRPr="006E68C7" w:rsidRDefault="009C38FC" w:rsidP="00E92E37">
            <w:pPr>
              <w:keepNext/>
              <w:keepLines/>
              <w:jc w:val="center"/>
              <w:rPr>
                <w:rFonts w:ascii="Arial Narrow" w:hAnsi="Arial Narrow"/>
                <w:color w:val="000000"/>
                <w:sz w:val="20"/>
              </w:rPr>
            </w:pPr>
            <w:r w:rsidRPr="006E68C7">
              <w:rPr>
                <w:rFonts w:ascii="Arial Narrow" w:hAnsi="Arial Narrow"/>
                <w:color w:val="000000"/>
                <w:sz w:val="20"/>
              </w:rPr>
              <w:t>$</w:t>
            </w:r>
            <w:r w:rsidR="006C091A">
              <w:rPr>
                <w:rFonts w:ascii="Arial Narrow" w:hAnsi="Arial Narrow"/>
                <w:noProof/>
                <w:color w:val="000000"/>
                <w:sz w:val="20"/>
                <w:highlight w:val="black"/>
              </w:rPr>
              <w:t>'''''''''''''</w:t>
            </w:r>
          </w:p>
        </w:tc>
        <w:tc>
          <w:tcPr>
            <w:tcW w:w="1129" w:type="dxa"/>
          </w:tcPr>
          <w:p w:rsidR="009C38FC" w:rsidRPr="00377C63" w:rsidRDefault="006C091A" w:rsidP="00E92E37">
            <w:pPr>
              <w:pStyle w:val="TableCentre"/>
              <w:keepNext/>
              <w:keepLines/>
              <w:rPr>
                <w:rFonts w:ascii="Arial Narrow" w:hAnsi="Arial Narrow"/>
                <w:szCs w:val="20"/>
              </w:rPr>
            </w:pPr>
            <w:r>
              <w:rPr>
                <w:rFonts w:ascii="Arial Narrow" w:hAnsi="Arial Narrow"/>
                <w:noProof/>
                <w:color w:val="000000"/>
                <w:szCs w:val="20"/>
                <w:highlight w:val="black"/>
              </w:rPr>
              <w:t>''''''''''''''</w:t>
            </w:r>
            <w:r w:rsidR="009C38FC" w:rsidRPr="00377C63">
              <w:rPr>
                <w:rFonts w:ascii="Arial Narrow" w:hAnsi="Arial Narrow"/>
                <w:szCs w:val="20"/>
              </w:rPr>
              <w:t>%</w:t>
            </w:r>
          </w:p>
        </w:tc>
        <w:tc>
          <w:tcPr>
            <w:tcW w:w="1129" w:type="dxa"/>
            <w:vMerge w:val="restart"/>
            <w:vAlign w:val="center"/>
          </w:tcPr>
          <w:p w:rsidR="009C38FC" w:rsidRPr="006E68C7" w:rsidRDefault="009C38FC" w:rsidP="00E92E37">
            <w:pPr>
              <w:keepNext/>
              <w:keepLines/>
              <w:jc w:val="center"/>
              <w:rPr>
                <w:rFonts w:ascii="Arial Narrow" w:hAnsi="Arial Narrow"/>
                <w:color w:val="000000"/>
                <w:sz w:val="20"/>
              </w:rPr>
            </w:pPr>
            <w:r w:rsidRPr="006E68C7">
              <w:rPr>
                <w:rFonts w:ascii="Arial Narrow" w:hAnsi="Arial Narrow"/>
                <w:color w:val="000000"/>
                <w:sz w:val="20"/>
              </w:rPr>
              <w:t>$</w:t>
            </w:r>
            <w:r w:rsidR="006C091A">
              <w:rPr>
                <w:rFonts w:ascii="Arial Narrow" w:hAnsi="Arial Narrow"/>
                <w:noProof/>
                <w:color w:val="000000"/>
                <w:sz w:val="20"/>
                <w:highlight w:val="black"/>
              </w:rPr>
              <w:t>'''''''''''''''</w:t>
            </w:r>
          </w:p>
        </w:tc>
      </w:tr>
      <w:tr w:rsidR="009C38FC" w:rsidRPr="00377C63" w:rsidTr="00E92E37">
        <w:trPr>
          <w:trHeight w:val="263"/>
        </w:trPr>
        <w:tc>
          <w:tcPr>
            <w:tcW w:w="2059" w:type="dxa"/>
          </w:tcPr>
          <w:p w:rsidR="009C38FC" w:rsidRPr="00377C63" w:rsidRDefault="009C38FC" w:rsidP="00E92E37">
            <w:pPr>
              <w:pStyle w:val="Table"/>
              <w:keepNext/>
              <w:keepLines/>
              <w:rPr>
                <w:rFonts w:ascii="Arial Narrow" w:hAnsi="Arial Narrow"/>
                <w:szCs w:val="20"/>
              </w:rPr>
            </w:pPr>
            <w:r w:rsidRPr="00377C63">
              <w:rPr>
                <w:rFonts w:ascii="Arial Narrow" w:hAnsi="Arial Narrow"/>
                <w:szCs w:val="20"/>
              </w:rPr>
              <w:t>Private</w:t>
            </w:r>
          </w:p>
        </w:tc>
        <w:tc>
          <w:tcPr>
            <w:tcW w:w="1209" w:type="dxa"/>
          </w:tcPr>
          <w:p w:rsidR="009C38FC" w:rsidRPr="00377C63" w:rsidRDefault="006C091A" w:rsidP="00E92E37">
            <w:pPr>
              <w:pStyle w:val="TableCentre"/>
              <w:keepNext/>
              <w:keepLines/>
              <w:rPr>
                <w:rStyle w:val="Small"/>
                <w:rFonts w:ascii="Arial Narrow" w:hAnsi="Arial Narrow"/>
                <w:szCs w:val="20"/>
              </w:rPr>
            </w:pPr>
            <w:r>
              <w:rPr>
                <w:rStyle w:val="Small"/>
                <w:rFonts w:ascii="Arial Narrow" w:hAnsi="Arial Narrow"/>
                <w:noProof/>
                <w:color w:val="000000"/>
                <w:szCs w:val="20"/>
                <w:highlight w:val="black"/>
              </w:rPr>
              <w:t>'''''''''''''''</w:t>
            </w:r>
            <w:r w:rsidR="009C38FC" w:rsidRPr="00377C63">
              <w:rPr>
                <w:rStyle w:val="Small"/>
                <w:rFonts w:ascii="Arial Narrow" w:hAnsi="Arial Narrow"/>
                <w:szCs w:val="20"/>
              </w:rPr>
              <w:t>%</w:t>
            </w:r>
          </w:p>
        </w:tc>
        <w:tc>
          <w:tcPr>
            <w:tcW w:w="1015" w:type="dxa"/>
            <w:shd w:val="clear" w:color="auto" w:fill="FFFFFF" w:themeFill="background1"/>
          </w:tcPr>
          <w:p w:rsidR="009C38FC" w:rsidRPr="00377C63" w:rsidRDefault="006C091A" w:rsidP="00E92E37">
            <w:pPr>
              <w:pStyle w:val="TableCentre"/>
              <w:keepNext/>
              <w:keepLines/>
              <w:rPr>
                <w:rStyle w:val="Small"/>
                <w:rFonts w:ascii="Arial Narrow" w:hAnsi="Arial Narrow"/>
                <w:szCs w:val="20"/>
                <w:highlight w:val="yellow"/>
              </w:rPr>
            </w:pPr>
            <w:r>
              <w:rPr>
                <w:rFonts w:ascii="Arial Narrow" w:hAnsi="Arial Narrow"/>
                <w:noProof/>
                <w:color w:val="000000"/>
                <w:szCs w:val="20"/>
                <w:highlight w:val="black"/>
              </w:rPr>
              <w:t>''''''''''''''''</w:t>
            </w:r>
            <w:r w:rsidR="009C38FC" w:rsidRPr="00377C63">
              <w:rPr>
                <w:rFonts w:ascii="Arial Narrow" w:hAnsi="Arial Narrow"/>
                <w:szCs w:val="20"/>
              </w:rPr>
              <w:t>%</w:t>
            </w:r>
          </w:p>
        </w:tc>
        <w:tc>
          <w:tcPr>
            <w:tcW w:w="1128" w:type="dxa"/>
            <w:vMerge/>
          </w:tcPr>
          <w:p w:rsidR="009C38FC" w:rsidRPr="00377C63" w:rsidRDefault="009C38FC" w:rsidP="00E92E37">
            <w:pPr>
              <w:keepNext/>
              <w:keepLines/>
              <w:jc w:val="center"/>
              <w:rPr>
                <w:rFonts w:ascii="Arial Narrow" w:hAnsi="Arial Narrow"/>
                <w:color w:val="000000"/>
                <w:sz w:val="20"/>
              </w:rPr>
            </w:pPr>
          </w:p>
        </w:tc>
        <w:tc>
          <w:tcPr>
            <w:tcW w:w="1129" w:type="dxa"/>
          </w:tcPr>
          <w:p w:rsidR="009C38FC" w:rsidRPr="00377C63" w:rsidRDefault="006C091A" w:rsidP="00E92E37">
            <w:pPr>
              <w:pStyle w:val="TableCentre"/>
              <w:keepNext/>
              <w:keepLines/>
              <w:rPr>
                <w:rFonts w:ascii="Arial Narrow" w:hAnsi="Arial Narrow"/>
                <w:szCs w:val="20"/>
              </w:rPr>
            </w:pPr>
            <w:r>
              <w:rPr>
                <w:rStyle w:val="Small"/>
                <w:rFonts w:ascii="Arial Narrow" w:hAnsi="Arial Narrow"/>
                <w:noProof/>
                <w:color w:val="000000"/>
                <w:szCs w:val="20"/>
                <w:highlight w:val="black"/>
              </w:rPr>
              <w:t>'''''''''''''''</w:t>
            </w:r>
            <w:r w:rsidR="009C38FC" w:rsidRPr="00377C63">
              <w:rPr>
                <w:rStyle w:val="Small"/>
                <w:rFonts w:ascii="Arial Narrow" w:hAnsi="Arial Narrow"/>
                <w:szCs w:val="20"/>
              </w:rPr>
              <w:t>%</w:t>
            </w:r>
          </w:p>
        </w:tc>
        <w:tc>
          <w:tcPr>
            <w:tcW w:w="1129" w:type="dxa"/>
            <w:vMerge/>
          </w:tcPr>
          <w:p w:rsidR="009C38FC" w:rsidRPr="00377C63" w:rsidRDefault="009C38FC" w:rsidP="00E92E37">
            <w:pPr>
              <w:keepNext/>
              <w:keepLines/>
              <w:jc w:val="center"/>
              <w:rPr>
                <w:rFonts w:ascii="Arial Narrow" w:hAnsi="Arial Narrow"/>
                <w:color w:val="000000"/>
                <w:sz w:val="20"/>
              </w:rPr>
            </w:pPr>
          </w:p>
        </w:tc>
      </w:tr>
      <w:tr w:rsidR="009C38FC" w:rsidRPr="00377C63" w:rsidTr="00E92E37">
        <w:trPr>
          <w:trHeight w:val="263"/>
        </w:trPr>
        <w:tc>
          <w:tcPr>
            <w:tcW w:w="7669" w:type="dxa"/>
            <w:gridSpan w:val="6"/>
            <w:shd w:val="clear" w:color="auto" w:fill="D9D9D9" w:themeFill="background1" w:themeFillShade="D9"/>
          </w:tcPr>
          <w:p w:rsidR="009C38FC" w:rsidRPr="00377C63" w:rsidRDefault="009C38FC" w:rsidP="00E92E37">
            <w:pPr>
              <w:pStyle w:val="Table"/>
              <w:keepNext/>
              <w:keepLines/>
              <w:rPr>
                <w:rFonts w:ascii="Arial Narrow" w:hAnsi="Arial Narrow"/>
                <w:color w:val="000000"/>
                <w:szCs w:val="20"/>
              </w:rPr>
            </w:pPr>
            <w:r w:rsidRPr="00377C63">
              <w:rPr>
                <w:rFonts w:ascii="Arial Narrow" w:hAnsi="Arial Narrow"/>
                <w:szCs w:val="20"/>
              </w:rPr>
              <w:t>Future procedures mix</w:t>
            </w:r>
          </w:p>
        </w:tc>
      </w:tr>
      <w:tr w:rsidR="009C38FC" w:rsidRPr="00377C63" w:rsidTr="00E92E37">
        <w:trPr>
          <w:trHeight w:val="263"/>
        </w:trPr>
        <w:tc>
          <w:tcPr>
            <w:tcW w:w="2059" w:type="dxa"/>
            <w:vAlign w:val="bottom"/>
          </w:tcPr>
          <w:p w:rsidR="009C38FC" w:rsidRPr="00377C63" w:rsidRDefault="009C38FC" w:rsidP="00E92E37">
            <w:pPr>
              <w:pStyle w:val="Table"/>
              <w:keepNext/>
              <w:keepLines/>
              <w:rPr>
                <w:rFonts w:ascii="Arial Narrow" w:hAnsi="Arial Narrow"/>
                <w:szCs w:val="20"/>
              </w:rPr>
            </w:pPr>
            <w:r w:rsidRPr="00377C63">
              <w:rPr>
                <w:rFonts w:ascii="Arial Narrow" w:hAnsi="Arial Narrow" w:cs="Calibri"/>
                <w:color w:val="000000"/>
                <w:szCs w:val="20"/>
              </w:rPr>
              <w:t>As Non-invasive</w:t>
            </w:r>
          </w:p>
        </w:tc>
        <w:tc>
          <w:tcPr>
            <w:tcW w:w="1209" w:type="dxa"/>
            <w:vAlign w:val="bottom"/>
          </w:tcPr>
          <w:p w:rsidR="009C38FC" w:rsidRPr="00377C63" w:rsidRDefault="006C091A" w:rsidP="00E92E37">
            <w:pPr>
              <w:pStyle w:val="TableCentre"/>
              <w:keepNext/>
              <w:keepLines/>
              <w:rPr>
                <w:rStyle w:val="Small"/>
                <w:rFonts w:ascii="Arial Narrow" w:hAnsi="Arial Narrow"/>
                <w:szCs w:val="20"/>
              </w:rPr>
            </w:pPr>
            <w:r>
              <w:rPr>
                <w:rFonts w:ascii="Arial Narrow" w:hAnsi="Arial Narrow" w:cs="Calibri"/>
                <w:noProof/>
                <w:color w:val="000000"/>
                <w:szCs w:val="20"/>
                <w:highlight w:val="black"/>
              </w:rPr>
              <w:t>''''''''''''</w:t>
            </w:r>
            <w:r w:rsidR="009C38FC" w:rsidRPr="00377C63">
              <w:rPr>
                <w:rFonts w:ascii="Arial Narrow" w:hAnsi="Arial Narrow" w:cs="Calibri"/>
                <w:szCs w:val="20"/>
              </w:rPr>
              <w:t>%</w:t>
            </w:r>
          </w:p>
        </w:tc>
        <w:tc>
          <w:tcPr>
            <w:tcW w:w="1015" w:type="dxa"/>
            <w:vAlign w:val="bottom"/>
          </w:tcPr>
          <w:p w:rsidR="009C38FC" w:rsidRPr="00377C63" w:rsidRDefault="006C091A" w:rsidP="00E92E37">
            <w:pPr>
              <w:pStyle w:val="TableCentre"/>
              <w:keepNext/>
              <w:keepLines/>
              <w:rPr>
                <w:rFonts w:ascii="Arial Narrow" w:hAnsi="Arial Narrow"/>
                <w:szCs w:val="20"/>
                <w:highlight w:val="yellow"/>
              </w:rPr>
            </w:pPr>
            <w:r>
              <w:rPr>
                <w:rFonts w:ascii="Arial Narrow" w:hAnsi="Arial Narrow"/>
                <w:noProof/>
                <w:color w:val="000000"/>
                <w:szCs w:val="20"/>
                <w:highlight w:val="black"/>
              </w:rPr>
              <w:t>'''''''''''</w:t>
            </w:r>
            <w:r w:rsidR="009C38FC" w:rsidRPr="00377C63">
              <w:rPr>
                <w:rFonts w:ascii="Arial Narrow" w:hAnsi="Arial Narrow"/>
                <w:szCs w:val="20"/>
              </w:rPr>
              <w:t>%</w:t>
            </w:r>
          </w:p>
        </w:tc>
        <w:tc>
          <w:tcPr>
            <w:tcW w:w="1128" w:type="dxa"/>
            <w:vMerge w:val="restart"/>
            <w:vAlign w:val="center"/>
          </w:tcPr>
          <w:p w:rsidR="009C38FC" w:rsidRPr="006E68C7" w:rsidRDefault="009C38FC" w:rsidP="00E92E37">
            <w:pPr>
              <w:keepNext/>
              <w:keepLines/>
              <w:jc w:val="center"/>
              <w:rPr>
                <w:rFonts w:ascii="Arial Narrow" w:hAnsi="Arial Narrow"/>
                <w:color w:val="000000"/>
                <w:sz w:val="20"/>
              </w:rPr>
            </w:pPr>
            <w:r w:rsidRPr="006E68C7">
              <w:rPr>
                <w:rFonts w:ascii="Arial Narrow" w:hAnsi="Arial Narrow"/>
                <w:color w:val="000000"/>
                <w:sz w:val="20"/>
              </w:rPr>
              <w:t>$</w:t>
            </w:r>
            <w:r w:rsidR="006C091A">
              <w:rPr>
                <w:rFonts w:ascii="Arial Narrow" w:hAnsi="Arial Narrow"/>
                <w:noProof/>
                <w:color w:val="000000"/>
                <w:sz w:val="20"/>
                <w:highlight w:val="black"/>
              </w:rPr>
              <w:t>''''''''''''''</w:t>
            </w:r>
          </w:p>
        </w:tc>
        <w:tc>
          <w:tcPr>
            <w:tcW w:w="1129" w:type="dxa"/>
            <w:vAlign w:val="bottom"/>
          </w:tcPr>
          <w:p w:rsidR="009C38FC" w:rsidRPr="00377C63" w:rsidRDefault="006C091A" w:rsidP="00E92E37">
            <w:pPr>
              <w:pStyle w:val="TableCentre"/>
              <w:keepNext/>
              <w:keepLines/>
              <w:rPr>
                <w:rFonts w:ascii="Arial Narrow" w:hAnsi="Arial Narrow"/>
                <w:szCs w:val="20"/>
              </w:rPr>
            </w:pPr>
            <w:r>
              <w:rPr>
                <w:rFonts w:ascii="Arial Narrow" w:hAnsi="Arial Narrow"/>
                <w:noProof/>
                <w:color w:val="000000"/>
                <w:szCs w:val="20"/>
                <w:highlight w:val="black"/>
              </w:rPr>
              <w:t>'''''''''''</w:t>
            </w:r>
            <w:r w:rsidR="009C38FC" w:rsidRPr="00377C63">
              <w:rPr>
                <w:rFonts w:ascii="Arial Narrow" w:hAnsi="Arial Narrow"/>
                <w:szCs w:val="20"/>
              </w:rPr>
              <w:t>%</w:t>
            </w:r>
          </w:p>
        </w:tc>
        <w:tc>
          <w:tcPr>
            <w:tcW w:w="1129" w:type="dxa"/>
            <w:vMerge w:val="restart"/>
            <w:vAlign w:val="center"/>
          </w:tcPr>
          <w:p w:rsidR="009C38FC" w:rsidRPr="006E68C7" w:rsidRDefault="009C38FC" w:rsidP="00E92E37">
            <w:pPr>
              <w:keepNext/>
              <w:keepLines/>
              <w:jc w:val="center"/>
              <w:rPr>
                <w:rFonts w:ascii="Arial Narrow" w:hAnsi="Arial Narrow"/>
                <w:color w:val="000000"/>
                <w:sz w:val="20"/>
              </w:rPr>
            </w:pPr>
            <w:r w:rsidRPr="006E68C7">
              <w:rPr>
                <w:rFonts w:ascii="Arial Narrow" w:hAnsi="Arial Narrow"/>
                <w:color w:val="000000"/>
                <w:sz w:val="20"/>
              </w:rPr>
              <w:t>$</w:t>
            </w:r>
            <w:r w:rsidR="006C091A">
              <w:rPr>
                <w:rFonts w:ascii="Arial Narrow" w:hAnsi="Arial Narrow"/>
                <w:noProof/>
                <w:color w:val="000000"/>
                <w:sz w:val="20"/>
                <w:highlight w:val="black"/>
              </w:rPr>
              <w:t>''''''''''''''</w:t>
            </w:r>
          </w:p>
        </w:tc>
      </w:tr>
      <w:tr w:rsidR="009C38FC" w:rsidRPr="00377C63" w:rsidTr="00E92E37">
        <w:trPr>
          <w:trHeight w:val="263"/>
        </w:trPr>
        <w:tc>
          <w:tcPr>
            <w:tcW w:w="2059" w:type="dxa"/>
            <w:vAlign w:val="bottom"/>
          </w:tcPr>
          <w:p w:rsidR="009C38FC" w:rsidRPr="00377C63" w:rsidRDefault="009C38FC" w:rsidP="00E92E37">
            <w:pPr>
              <w:pStyle w:val="Table"/>
              <w:keepNext/>
              <w:keepLines/>
              <w:rPr>
                <w:rFonts w:ascii="Arial Narrow" w:hAnsi="Arial Narrow"/>
                <w:szCs w:val="20"/>
              </w:rPr>
            </w:pPr>
            <w:r w:rsidRPr="00377C63">
              <w:rPr>
                <w:rFonts w:ascii="Arial Narrow" w:hAnsi="Arial Narrow" w:cs="Calibri"/>
                <w:color w:val="000000"/>
                <w:szCs w:val="20"/>
              </w:rPr>
              <w:t>As Myomectomy</w:t>
            </w:r>
          </w:p>
        </w:tc>
        <w:tc>
          <w:tcPr>
            <w:tcW w:w="1209" w:type="dxa"/>
            <w:vAlign w:val="bottom"/>
          </w:tcPr>
          <w:p w:rsidR="009C38FC" w:rsidRPr="00377C63" w:rsidRDefault="006C091A" w:rsidP="00E92E37">
            <w:pPr>
              <w:pStyle w:val="TableCentre"/>
              <w:keepNext/>
              <w:keepLines/>
              <w:rPr>
                <w:rStyle w:val="Small"/>
                <w:rFonts w:ascii="Arial Narrow" w:hAnsi="Arial Narrow"/>
                <w:szCs w:val="20"/>
              </w:rPr>
            </w:pPr>
            <w:r>
              <w:rPr>
                <w:rFonts w:ascii="Arial Narrow" w:hAnsi="Arial Narrow" w:cs="Calibri"/>
                <w:noProof/>
                <w:color w:val="000000"/>
                <w:szCs w:val="20"/>
                <w:highlight w:val="black"/>
              </w:rPr>
              <w:t>'''''''''''</w:t>
            </w:r>
            <w:r w:rsidR="009C38FC" w:rsidRPr="00377C63">
              <w:rPr>
                <w:rFonts w:ascii="Arial Narrow" w:hAnsi="Arial Narrow" w:cs="Calibri"/>
                <w:szCs w:val="20"/>
              </w:rPr>
              <w:t>%</w:t>
            </w:r>
          </w:p>
        </w:tc>
        <w:tc>
          <w:tcPr>
            <w:tcW w:w="1015" w:type="dxa"/>
            <w:vAlign w:val="bottom"/>
          </w:tcPr>
          <w:p w:rsidR="009C38FC" w:rsidRPr="00377C63" w:rsidRDefault="006C091A" w:rsidP="00E92E37">
            <w:pPr>
              <w:pStyle w:val="TableCentre"/>
              <w:keepNext/>
              <w:keepLines/>
              <w:rPr>
                <w:rFonts w:ascii="Arial Narrow" w:hAnsi="Arial Narrow"/>
                <w:szCs w:val="20"/>
                <w:highlight w:val="yellow"/>
              </w:rPr>
            </w:pPr>
            <w:r>
              <w:rPr>
                <w:rFonts w:ascii="Arial Narrow" w:hAnsi="Arial Narrow"/>
                <w:noProof/>
                <w:color w:val="000000"/>
                <w:szCs w:val="20"/>
                <w:highlight w:val="black"/>
              </w:rPr>
              <w:t>''''''''''</w:t>
            </w:r>
            <w:r w:rsidR="009C38FC" w:rsidRPr="00377C63">
              <w:rPr>
                <w:rFonts w:ascii="Arial Narrow" w:hAnsi="Arial Narrow"/>
                <w:szCs w:val="20"/>
              </w:rPr>
              <w:t>%</w:t>
            </w:r>
          </w:p>
        </w:tc>
        <w:tc>
          <w:tcPr>
            <w:tcW w:w="1128" w:type="dxa"/>
            <w:vMerge/>
          </w:tcPr>
          <w:p w:rsidR="009C38FC" w:rsidRPr="00377C63" w:rsidRDefault="009C38FC" w:rsidP="00E92E37">
            <w:pPr>
              <w:keepNext/>
              <w:keepLines/>
              <w:jc w:val="center"/>
              <w:rPr>
                <w:rFonts w:ascii="Arial Narrow" w:hAnsi="Arial Narrow"/>
                <w:color w:val="000000"/>
                <w:sz w:val="20"/>
              </w:rPr>
            </w:pPr>
          </w:p>
        </w:tc>
        <w:tc>
          <w:tcPr>
            <w:tcW w:w="1129" w:type="dxa"/>
            <w:vAlign w:val="bottom"/>
          </w:tcPr>
          <w:p w:rsidR="009C38FC" w:rsidRPr="00377C63" w:rsidRDefault="006C091A" w:rsidP="00E92E37">
            <w:pPr>
              <w:pStyle w:val="TableCentre"/>
              <w:keepNext/>
              <w:keepLines/>
              <w:rPr>
                <w:rFonts w:ascii="Arial Narrow" w:hAnsi="Arial Narrow"/>
                <w:szCs w:val="20"/>
              </w:rPr>
            </w:pPr>
            <w:r>
              <w:rPr>
                <w:rFonts w:ascii="Arial Narrow" w:hAnsi="Arial Narrow"/>
                <w:noProof/>
                <w:color w:val="000000"/>
                <w:szCs w:val="20"/>
                <w:highlight w:val="black"/>
              </w:rPr>
              <w:t>'''''''''''</w:t>
            </w:r>
            <w:r w:rsidR="009C38FC" w:rsidRPr="00377C63">
              <w:rPr>
                <w:rFonts w:ascii="Arial Narrow" w:hAnsi="Arial Narrow"/>
                <w:szCs w:val="20"/>
              </w:rPr>
              <w:t>%</w:t>
            </w:r>
          </w:p>
        </w:tc>
        <w:tc>
          <w:tcPr>
            <w:tcW w:w="1129" w:type="dxa"/>
            <w:vMerge/>
          </w:tcPr>
          <w:p w:rsidR="009C38FC" w:rsidRPr="00377C63" w:rsidRDefault="009C38FC" w:rsidP="00E92E37">
            <w:pPr>
              <w:keepNext/>
              <w:keepLines/>
              <w:jc w:val="center"/>
              <w:rPr>
                <w:rFonts w:ascii="Arial Narrow" w:hAnsi="Arial Narrow"/>
                <w:color w:val="000000"/>
                <w:sz w:val="20"/>
              </w:rPr>
            </w:pPr>
          </w:p>
        </w:tc>
      </w:tr>
      <w:tr w:rsidR="009C38FC" w:rsidRPr="00377C63" w:rsidTr="00E92E37">
        <w:trPr>
          <w:trHeight w:val="263"/>
        </w:trPr>
        <w:tc>
          <w:tcPr>
            <w:tcW w:w="2059" w:type="dxa"/>
            <w:vAlign w:val="bottom"/>
          </w:tcPr>
          <w:p w:rsidR="009C38FC" w:rsidRPr="00377C63" w:rsidRDefault="009C38FC" w:rsidP="00E92E37">
            <w:pPr>
              <w:pStyle w:val="Table"/>
              <w:keepNext/>
              <w:keepLines/>
              <w:rPr>
                <w:rFonts w:ascii="Arial Narrow" w:hAnsi="Arial Narrow"/>
                <w:szCs w:val="20"/>
              </w:rPr>
            </w:pPr>
            <w:r w:rsidRPr="00377C63">
              <w:rPr>
                <w:rFonts w:ascii="Arial Narrow" w:hAnsi="Arial Narrow" w:cs="Calibri"/>
                <w:color w:val="000000"/>
                <w:szCs w:val="20"/>
              </w:rPr>
              <w:t>As Non-invasive</w:t>
            </w:r>
          </w:p>
        </w:tc>
        <w:tc>
          <w:tcPr>
            <w:tcW w:w="1209" w:type="dxa"/>
            <w:vAlign w:val="bottom"/>
          </w:tcPr>
          <w:p w:rsidR="009C38FC" w:rsidRPr="00377C63" w:rsidRDefault="006C091A" w:rsidP="00E92E37">
            <w:pPr>
              <w:pStyle w:val="TableCentre"/>
              <w:keepNext/>
              <w:keepLines/>
              <w:rPr>
                <w:rStyle w:val="Small"/>
                <w:rFonts w:ascii="Arial Narrow" w:hAnsi="Arial Narrow"/>
                <w:szCs w:val="20"/>
              </w:rPr>
            </w:pPr>
            <w:r>
              <w:rPr>
                <w:rFonts w:ascii="Arial Narrow" w:hAnsi="Arial Narrow" w:cs="Calibri"/>
                <w:noProof/>
                <w:color w:val="000000"/>
                <w:szCs w:val="20"/>
                <w:highlight w:val="black"/>
              </w:rPr>
              <w:t>''''''''''</w:t>
            </w:r>
            <w:r w:rsidR="009C38FC" w:rsidRPr="00377C63">
              <w:rPr>
                <w:rFonts w:ascii="Arial Narrow" w:hAnsi="Arial Narrow" w:cs="Calibri"/>
                <w:szCs w:val="20"/>
              </w:rPr>
              <w:t>%</w:t>
            </w:r>
          </w:p>
        </w:tc>
        <w:tc>
          <w:tcPr>
            <w:tcW w:w="1015" w:type="dxa"/>
            <w:vAlign w:val="bottom"/>
          </w:tcPr>
          <w:p w:rsidR="009C38FC" w:rsidRPr="00377C63" w:rsidRDefault="006C091A" w:rsidP="00E92E37">
            <w:pPr>
              <w:pStyle w:val="TableCentre"/>
              <w:keepNext/>
              <w:keepLines/>
              <w:rPr>
                <w:rFonts w:ascii="Arial Narrow" w:hAnsi="Arial Narrow"/>
                <w:szCs w:val="20"/>
                <w:highlight w:val="yellow"/>
              </w:rPr>
            </w:pPr>
            <w:r>
              <w:rPr>
                <w:rFonts w:ascii="Arial Narrow" w:hAnsi="Arial Narrow"/>
                <w:noProof/>
                <w:color w:val="000000"/>
                <w:szCs w:val="20"/>
                <w:highlight w:val="black"/>
              </w:rPr>
              <w:t>'''''''''''</w:t>
            </w:r>
            <w:r w:rsidR="009C38FC" w:rsidRPr="00377C63">
              <w:rPr>
                <w:rFonts w:ascii="Arial Narrow" w:hAnsi="Arial Narrow"/>
                <w:szCs w:val="20"/>
              </w:rPr>
              <w:t>%</w:t>
            </w:r>
          </w:p>
        </w:tc>
        <w:tc>
          <w:tcPr>
            <w:tcW w:w="1128" w:type="dxa"/>
            <w:vMerge/>
          </w:tcPr>
          <w:p w:rsidR="009C38FC" w:rsidRPr="00377C63" w:rsidRDefault="009C38FC" w:rsidP="00E92E37">
            <w:pPr>
              <w:keepNext/>
              <w:keepLines/>
              <w:jc w:val="center"/>
              <w:rPr>
                <w:rFonts w:ascii="Arial Narrow" w:hAnsi="Arial Narrow"/>
                <w:color w:val="000000"/>
                <w:sz w:val="20"/>
              </w:rPr>
            </w:pPr>
          </w:p>
        </w:tc>
        <w:tc>
          <w:tcPr>
            <w:tcW w:w="1129" w:type="dxa"/>
            <w:vAlign w:val="bottom"/>
          </w:tcPr>
          <w:p w:rsidR="009C38FC" w:rsidRPr="00377C63" w:rsidRDefault="006C091A" w:rsidP="00E92E37">
            <w:pPr>
              <w:pStyle w:val="TableCentre"/>
              <w:keepNext/>
              <w:keepLines/>
              <w:rPr>
                <w:rFonts w:ascii="Arial Narrow" w:hAnsi="Arial Narrow"/>
                <w:szCs w:val="20"/>
              </w:rPr>
            </w:pPr>
            <w:r>
              <w:rPr>
                <w:rFonts w:ascii="Arial Narrow" w:hAnsi="Arial Narrow"/>
                <w:noProof/>
                <w:color w:val="000000"/>
                <w:szCs w:val="20"/>
                <w:highlight w:val="black"/>
              </w:rPr>
              <w:t>'''''''''''</w:t>
            </w:r>
            <w:r w:rsidR="009C38FC" w:rsidRPr="00377C63">
              <w:rPr>
                <w:rFonts w:ascii="Arial Narrow" w:hAnsi="Arial Narrow"/>
                <w:szCs w:val="20"/>
              </w:rPr>
              <w:t>%</w:t>
            </w:r>
          </w:p>
        </w:tc>
        <w:tc>
          <w:tcPr>
            <w:tcW w:w="1129" w:type="dxa"/>
            <w:vMerge/>
          </w:tcPr>
          <w:p w:rsidR="009C38FC" w:rsidRPr="00377C63" w:rsidRDefault="009C38FC" w:rsidP="00E92E37">
            <w:pPr>
              <w:keepNext/>
              <w:keepLines/>
              <w:jc w:val="center"/>
              <w:rPr>
                <w:rFonts w:ascii="Arial Narrow" w:hAnsi="Arial Narrow"/>
                <w:color w:val="000000"/>
                <w:sz w:val="20"/>
              </w:rPr>
            </w:pPr>
          </w:p>
        </w:tc>
      </w:tr>
    </w:tbl>
    <w:p w:rsidR="00D75134" w:rsidRPr="0018715A" w:rsidRDefault="009C38FC" w:rsidP="00E92E37">
      <w:pPr>
        <w:keepNext/>
        <w:keepLines/>
        <w:ind w:left="720"/>
        <w:rPr>
          <w:rFonts w:ascii="Arial Narrow" w:hAnsi="Arial Narrow"/>
          <w:sz w:val="18"/>
          <w:szCs w:val="18"/>
        </w:rPr>
      </w:pPr>
      <w:r w:rsidRPr="0018715A">
        <w:rPr>
          <w:rFonts w:ascii="Arial Narrow" w:hAnsi="Arial Narrow"/>
          <w:sz w:val="18"/>
          <w:szCs w:val="18"/>
        </w:rPr>
        <w:t>Source: Table E-10 re-submission p111.</w:t>
      </w:r>
      <w:r w:rsidRPr="0018715A">
        <w:rPr>
          <w:rFonts w:ascii="Arial Narrow" w:hAnsi="Arial Narrow"/>
          <w:i/>
          <w:sz w:val="18"/>
          <w:szCs w:val="18"/>
        </w:rPr>
        <w:t xml:space="preserve"> </w:t>
      </w:r>
    </w:p>
    <w:p w:rsidR="009C38FC" w:rsidRPr="0018715A" w:rsidRDefault="0076663C" w:rsidP="00E92E37">
      <w:pPr>
        <w:keepNext/>
        <w:keepLines/>
        <w:ind w:left="720"/>
        <w:rPr>
          <w:rFonts w:ascii="Arial Narrow" w:hAnsi="Arial Narrow"/>
          <w:i/>
          <w:sz w:val="18"/>
          <w:szCs w:val="18"/>
        </w:rPr>
      </w:pPr>
      <w:r w:rsidRPr="0018715A">
        <w:rPr>
          <w:rFonts w:ascii="Arial Narrow" w:hAnsi="Arial Narrow"/>
          <w:i/>
          <w:sz w:val="18"/>
          <w:szCs w:val="18"/>
        </w:rPr>
        <w:t>*</w:t>
      </w:r>
      <w:r w:rsidR="00D75134" w:rsidRPr="0018715A">
        <w:rPr>
          <w:rFonts w:ascii="Arial Narrow" w:hAnsi="Arial Narrow"/>
          <w:i/>
          <w:sz w:val="18"/>
          <w:szCs w:val="18"/>
        </w:rPr>
        <w:t xml:space="preserve"> </w:t>
      </w:r>
      <w:r w:rsidR="009C38FC" w:rsidRPr="0018715A">
        <w:rPr>
          <w:rFonts w:ascii="Arial Narrow" w:hAnsi="Arial Narrow"/>
          <w:sz w:val="18"/>
          <w:szCs w:val="18"/>
        </w:rPr>
        <w:t xml:space="preserve">Amended in DUSC Advice to correct application of prevalent pool (see Table </w:t>
      </w:r>
      <w:r w:rsidRPr="0018715A">
        <w:rPr>
          <w:rFonts w:ascii="Arial Narrow" w:hAnsi="Arial Narrow"/>
          <w:sz w:val="18"/>
          <w:szCs w:val="18"/>
        </w:rPr>
        <w:t>12</w:t>
      </w:r>
      <w:r w:rsidR="009C38FC" w:rsidRPr="0018715A">
        <w:rPr>
          <w:rFonts w:ascii="Arial Narrow" w:hAnsi="Arial Narrow"/>
          <w:sz w:val="18"/>
          <w:szCs w:val="18"/>
        </w:rPr>
        <w:t>).</w:t>
      </w:r>
    </w:p>
    <w:p w:rsidR="00986F6C" w:rsidRDefault="00986F6C" w:rsidP="00B159D8">
      <w:pPr>
        <w:widowControl/>
        <w:jc w:val="left"/>
        <w:rPr>
          <w:rStyle w:val="CommentReference"/>
        </w:rPr>
      </w:pPr>
    </w:p>
    <w:p w:rsidR="000651EE" w:rsidRPr="000651EE" w:rsidRDefault="00A010B6" w:rsidP="0092541A">
      <w:pPr>
        <w:widowControl/>
        <w:ind w:left="720"/>
        <w:jc w:val="left"/>
        <w:rPr>
          <w:rStyle w:val="CommentReference"/>
          <w:rFonts w:ascii="Arial" w:hAnsi="Arial"/>
          <w:b w:val="0"/>
          <w:sz w:val="22"/>
        </w:rPr>
      </w:pPr>
      <w:r>
        <w:rPr>
          <w:rStyle w:val="CommentReference"/>
          <w:rFonts w:ascii="Arial" w:hAnsi="Arial"/>
          <w:b w:val="0"/>
          <w:sz w:val="22"/>
        </w:rPr>
        <w:t>The redacted table shows best case net costs in the range of $10 - $60 million, and worst case net costs in the range of $30 - $60 million.</w:t>
      </w:r>
    </w:p>
    <w:p w:rsidR="000651EE" w:rsidRDefault="000651EE" w:rsidP="00B159D8">
      <w:pPr>
        <w:widowControl/>
        <w:jc w:val="left"/>
        <w:rPr>
          <w:rStyle w:val="CommentReference"/>
        </w:rPr>
      </w:pPr>
    </w:p>
    <w:p w:rsidR="00576972" w:rsidRPr="00497F10" w:rsidRDefault="00576972" w:rsidP="00497F10">
      <w:pPr>
        <w:pStyle w:val="Heading2"/>
        <w:rPr>
          <w:i/>
        </w:rPr>
      </w:pPr>
      <w:bookmarkStart w:id="18" w:name="_Toc472349037"/>
      <w:r w:rsidRPr="00497F10">
        <w:rPr>
          <w:i/>
        </w:rPr>
        <w:t>Quality Use of Medicines</w:t>
      </w:r>
      <w:bookmarkEnd w:id="18"/>
    </w:p>
    <w:p w:rsidR="00576972" w:rsidRPr="00AC4650" w:rsidRDefault="00576972" w:rsidP="00576972">
      <w:pPr>
        <w:widowControl/>
        <w:rPr>
          <w:color w:val="000000" w:themeColor="text1"/>
          <w:szCs w:val="22"/>
        </w:rPr>
      </w:pPr>
    </w:p>
    <w:p w:rsidR="00576972" w:rsidRPr="005D2A43" w:rsidRDefault="00AC4650" w:rsidP="00CF1650">
      <w:pPr>
        <w:pStyle w:val="ListParagraph"/>
        <w:widowControl/>
        <w:numPr>
          <w:ilvl w:val="1"/>
          <w:numId w:val="3"/>
        </w:numPr>
        <w:rPr>
          <w:color w:val="000000" w:themeColor="text1"/>
          <w:szCs w:val="22"/>
        </w:rPr>
      </w:pPr>
      <w:r w:rsidRPr="00AC4650">
        <w:rPr>
          <w:color w:val="000000" w:themeColor="text1"/>
        </w:rPr>
        <w:t xml:space="preserve">The </w:t>
      </w:r>
      <w:r w:rsidR="007B08B0">
        <w:rPr>
          <w:color w:val="000000" w:themeColor="text1"/>
        </w:rPr>
        <w:t>resubmission</w:t>
      </w:r>
      <w:r w:rsidRPr="00AC4650">
        <w:rPr>
          <w:color w:val="000000" w:themeColor="text1"/>
        </w:rPr>
        <w:t xml:space="preserve"> suggested that </w:t>
      </w:r>
      <w:r w:rsidR="005D2A43">
        <w:rPr>
          <w:color w:val="000000" w:themeColor="text1"/>
        </w:rPr>
        <w:t xml:space="preserve">some sub-optimal alternatives (such as goserelin and leuprorelin) are currently used for patients with uterine fibroids who are planning surgery and that these have recognised safety issues and limited clinical effectiveness. With a PBS listing for ulipristal, the </w:t>
      </w:r>
      <w:r w:rsidR="007B08B0">
        <w:rPr>
          <w:color w:val="000000" w:themeColor="text1"/>
        </w:rPr>
        <w:t>resubmission</w:t>
      </w:r>
      <w:r w:rsidR="005D2A43">
        <w:rPr>
          <w:color w:val="000000" w:themeColor="text1"/>
        </w:rPr>
        <w:t xml:space="preserve"> suggested that this would lead to less invasive surgical interventions and less use of sub-optimal alternatives, resulting in more efficient use of resources</w:t>
      </w:r>
      <w:r w:rsidR="005D2A43" w:rsidRPr="00022F27">
        <w:rPr>
          <w:color w:val="000000" w:themeColor="text1"/>
        </w:rPr>
        <w:t xml:space="preserve">. These assertions were not supported by the evidence presented in the </w:t>
      </w:r>
      <w:r w:rsidR="007B08B0">
        <w:rPr>
          <w:color w:val="000000" w:themeColor="text1"/>
        </w:rPr>
        <w:t>resubmission</w:t>
      </w:r>
      <w:r w:rsidR="005D2A43" w:rsidRPr="00022F27">
        <w:rPr>
          <w:color w:val="000000" w:themeColor="text1"/>
        </w:rPr>
        <w:t>.</w:t>
      </w:r>
    </w:p>
    <w:p w:rsidR="00576972" w:rsidRDefault="00576972" w:rsidP="00576972">
      <w:pPr>
        <w:widowControl/>
        <w:rPr>
          <w:szCs w:val="22"/>
        </w:rPr>
      </w:pPr>
    </w:p>
    <w:p w:rsidR="00576972" w:rsidRPr="00497F10" w:rsidRDefault="00576972" w:rsidP="00497F10">
      <w:pPr>
        <w:pStyle w:val="Heading2"/>
        <w:rPr>
          <w:i/>
          <w:szCs w:val="22"/>
        </w:rPr>
      </w:pPr>
      <w:bookmarkStart w:id="19" w:name="_Toc472349038"/>
      <w:r w:rsidRPr="00497F10">
        <w:rPr>
          <w:i/>
        </w:rPr>
        <w:t>Financial Management – Risk Sharing Arrangements</w:t>
      </w:r>
      <w:bookmarkEnd w:id="19"/>
    </w:p>
    <w:p w:rsidR="00C25D9C" w:rsidRPr="00576972" w:rsidRDefault="00C25D9C" w:rsidP="00576972">
      <w:pPr>
        <w:widowControl/>
        <w:rPr>
          <w:szCs w:val="22"/>
        </w:rPr>
      </w:pPr>
    </w:p>
    <w:p w:rsidR="009118F2" w:rsidRPr="00F60AB3" w:rsidRDefault="00BA63C4" w:rsidP="0047152A">
      <w:pPr>
        <w:pStyle w:val="ListParagraph"/>
        <w:widowControl/>
        <w:numPr>
          <w:ilvl w:val="1"/>
          <w:numId w:val="3"/>
        </w:numPr>
      </w:pPr>
      <w:r w:rsidRPr="00986F6C">
        <w:rPr>
          <w:color w:val="000000" w:themeColor="text1"/>
        </w:rPr>
        <w:t xml:space="preserve">Due to the uncertainty surrounding the financial estimates and </w:t>
      </w:r>
      <w:r w:rsidR="009C3CE4" w:rsidRPr="00986F6C">
        <w:rPr>
          <w:color w:val="000000" w:themeColor="text1"/>
        </w:rPr>
        <w:t>in line</w:t>
      </w:r>
      <w:r w:rsidR="00AC4650" w:rsidRPr="00986F6C">
        <w:rPr>
          <w:color w:val="000000" w:themeColor="text1"/>
        </w:rPr>
        <w:t xml:space="preserve"> with the advice from the PBAC for the July 2016 submission</w:t>
      </w:r>
      <w:r w:rsidRPr="00986F6C">
        <w:rPr>
          <w:color w:val="000000" w:themeColor="text1"/>
        </w:rPr>
        <w:t xml:space="preserve"> (</w:t>
      </w:r>
      <w:r w:rsidR="004D182E" w:rsidRPr="00986F6C">
        <w:rPr>
          <w:color w:val="000000" w:themeColor="text1"/>
        </w:rPr>
        <w:t>U</w:t>
      </w:r>
      <w:r w:rsidR="00216397" w:rsidRPr="00986F6C">
        <w:rPr>
          <w:color w:val="000000" w:themeColor="text1"/>
        </w:rPr>
        <w:t>lipristal PSD, July 2016, paragraph 6.45)</w:t>
      </w:r>
      <w:r w:rsidR="00AC4650" w:rsidRPr="00986F6C">
        <w:rPr>
          <w:color w:val="000000" w:themeColor="text1"/>
        </w:rPr>
        <w:t xml:space="preserve"> the </w:t>
      </w:r>
      <w:r w:rsidR="007B08B0" w:rsidRPr="00986F6C">
        <w:rPr>
          <w:color w:val="000000" w:themeColor="text1"/>
        </w:rPr>
        <w:t>resubmission</w:t>
      </w:r>
      <w:r w:rsidR="00AC4650" w:rsidRPr="00986F6C">
        <w:rPr>
          <w:color w:val="000000" w:themeColor="text1"/>
        </w:rPr>
        <w:t xml:space="preserve"> proposed a Risk Share Arrangement</w:t>
      </w:r>
      <w:r w:rsidRPr="00986F6C">
        <w:rPr>
          <w:color w:val="000000" w:themeColor="text1"/>
        </w:rPr>
        <w:t xml:space="preserve"> (RSA)</w:t>
      </w:r>
      <w:r w:rsidR="00AC4650" w:rsidRPr="00986F6C">
        <w:rPr>
          <w:color w:val="000000" w:themeColor="text1"/>
        </w:rPr>
        <w:t xml:space="preserve">.  </w:t>
      </w:r>
      <w:r w:rsidR="006C1F8E" w:rsidRPr="00986F6C">
        <w:rPr>
          <w:color w:val="000000" w:themeColor="text1"/>
        </w:rPr>
        <w:t xml:space="preserve">The RSA was amended in the PSCR to be that if utilisation exceeds finally agreed estimates by any more than </w:t>
      </w:r>
      <w:r w:rsidR="006C091A">
        <w:rPr>
          <w:noProof/>
          <w:color w:val="000000"/>
          <w:highlight w:val="black"/>
        </w:rPr>
        <w:t>'''''''</w:t>
      </w:r>
      <w:r w:rsidR="006C1F8E" w:rsidRPr="00986F6C">
        <w:rPr>
          <w:color w:val="000000" w:themeColor="text1"/>
        </w:rPr>
        <w:t xml:space="preserve">% in any of the first </w:t>
      </w:r>
      <w:r w:rsidR="006C091A">
        <w:rPr>
          <w:noProof/>
          <w:color w:val="000000"/>
          <w:highlight w:val="black"/>
        </w:rPr>
        <w:t>''''</w:t>
      </w:r>
      <w:r w:rsidR="006C1F8E" w:rsidRPr="00986F6C">
        <w:rPr>
          <w:color w:val="000000" w:themeColor="text1"/>
        </w:rPr>
        <w:t xml:space="preserve"> years of listing, the sponsor would repay </w:t>
      </w:r>
      <w:r w:rsidR="006C091A">
        <w:rPr>
          <w:noProof/>
          <w:color w:val="000000"/>
          <w:highlight w:val="black"/>
        </w:rPr>
        <w:t>''''''</w:t>
      </w:r>
      <w:r w:rsidR="006C1F8E" w:rsidRPr="00986F6C">
        <w:rPr>
          <w:color w:val="000000" w:themeColor="text1"/>
        </w:rPr>
        <w:t>% of the net cost to the Australian Government of the difference between actual and predicted expenditure at the end of each year this occurs.</w:t>
      </w:r>
      <w:r w:rsidR="00986F6C" w:rsidRPr="00986F6C">
        <w:rPr>
          <w:color w:val="000000" w:themeColor="text1"/>
        </w:rPr>
        <w:t xml:space="preserve"> </w:t>
      </w:r>
      <w:r w:rsidR="0047152A">
        <w:rPr>
          <w:color w:val="000000" w:themeColor="text1"/>
        </w:rPr>
        <w:t xml:space="preserve">The PBAC agreed with </w:t>
      </w:r>
      <w:r w:rsidR="0047152A" w:rsidRPr="0047152A">
        <w:rPr>
          <w:color w:val="000000" w:themeColor="text1"/>
        </w:rPr>
        <w:t xml:space="preserve">DUSC that the proposed risk share arrangement </w:t>
      </w:r>
      <w:r w:rsidR="0047152A">
        <w:rPr>
          <w:color w:val="000000" w:themeColor="text1"/>
        </w:rPr>
        <w:t>is</w:t>
      </w:r>
      <w:r w:rsidR="0047152A" w:rsidRPr="0047152A">
        <w:rPr>
          <w:color w:val="000000" w:themeColor="text1"/>
        </w:rPr>
        <w:t xml:space="preserve"> not sufficient to manage the extent of uncertainty</w:t>
      </w:r>
      <w:r w:rsidR="0047152A">
        <w:rPr>
          <w:color w:val="000000" w:themeColor="text1"/>
        </w:rPr>
        <w:t xml:space="preserve"> associated </w:t>
      </w:r>
      <w:r w:rsidR="00986F6C" w:rsidRPr="00986F6C">
        <w:rPr>
          <w:color w:val="000000" w:themeColor="text1"/>
        </w:rPr>
        <w:t xml:space="preserve">with the </w:t>
      </w:r>
      <w:r w:rsidR="00F83569">
        <w:rPr>
          <w:color w:val="000000" w:themeColor="text1"/>
        </w:rPr>
        <w:t>cost effectiveness of ulipristal</w:t>
      </w:r>
      <w:r w:rsidR="00FA4590">
        <w:rPr>
          <w:color w:val="000000" w:themeColor="text1"/>
        </w:rPr>
        <w:t>.</w:t>
      </w:r>
    </w:p>
    <w:p w:rsidR="00D32E2C" w:rsidRDefault="00D32E2C" w:rsidP="0059313D">
      <w:pPr>
        <w:rPr>
          <w:highlight w:val="yellow"/>
        </w:rPr>
      </w:pPr>
    </w:p>
    <w:p w:rsidR="00F60AB3" w:rsidRPr="0059313D" w:rsidRDefault="00F60AB3" w:rsidP="0059313D">
      <w:pPr>
        <w:ind w:firstLine="720"/>
        <w:rPr>
          <w:i/>
        </w:rPr>
      </w:pPr>
      <w:r w:rsidRPr="0059313D">
        <w:rPr>
          <w:i/>
        </w:rPr>
        <w:t>For more detail on PBAC’s view, see section 7 “PBAC outcome”</w:t>
      </w:r>
    </w:p>
    <w:p w:rsidR="00F60AB3" w:rsidRDefault="00F60AB3" w:rsidP="0059313D"/>
    <w:p w:rsidR="00D32E2C" w:rsidRPr="0059313D" w:rsidRDefault="00D32E2C" w:rsidP="0059313D"/>
    <w:p w:rsidR="00D32E2C" w:rsidRPr="0059313D" w:rsidRDefault="00D32E2C" w:rsidP="0059313D">
      <w:pPr>
        <w:pStyle w:val="PBACheading1"/>
        <w:rPr>
          <w:b/>
        </w:rPr>
      </w:pPr>
      <w:r w:rsidRPr="0059313D">
        <w:rPr>
          <w:b/>
        </w:rPr>
        <w:t>PBAC Outcome</w:t>
      </w:r>
    </w:p>
    <w:p w:rsidR="00D32E2C" w:rsidRPr="00004A24" w:rsidRDefault="00D32E2C" w:rsidP="00D32E2C">
      <w:pPr>
        <w:rPr>
          <w:b/>
          <w:bCs/>
          <w:lang w:val="en-GB"/>
        </w:rPr>
      </w:pPr>
    </w:p>
    <w:p w:rsidR="007731D9" w:rsidRPr="0044781E" w:rsidRDefault="007731D9" w:rsidP="00535329">
      <w:pPr>
        <w:numPr>
          <w:ilvl w:val="1"/>
          <w:numId w:val="3"/>
        </w:numPr>
        <w:rPr>
          <w:bCs/>
          <w:lang w:val="en-GB"/>
        </w:rPr>
      </w:pPr>
      <w:r w:rsidRPr="00004A24">
        <w:rPr>
          <w:bCs/>
          <w:lang w:val="en-GB"/>
        </w:rPr>
        <w:t xml:space="preserve">The </w:t>
      </w:r>
      <w:r w:rsidR="00535329" w:rsidRPr="00535329">
        <w:t xml:space="preserve">PBAC did not recommend the listing of ulipristal on </w:t>
      </w:r>
      <w:r w:rsidR="00C73E74">
        <w:t>the PBS</w:t>
      </w:r>
      <w:r w:rsidR="00535329" w:rsidRPr="00535329">
        <w:t xml:space="preserve"> for the treatment of moderate to severe symptoms of uterine fibroids prior to planned surgery on the basis that the clinical place </w:t>
      </w:r>
      <w:r w:rsidR="00C73E74">
        <w:t xml:space="preserve">in therapy </w:t>
      </w:r>
      <w:r w:rsidR="00535329" w:rsidRPr="00535329">
        <w:t>was unclear</w:t>
      </w:r>
      <w:r w:rsidR="00C73E74">
        <w:t xml:space="preserve"> </w:t>
      </w:r>
      <w:r w:rsidR="00D66A61">
        <w:t>due to</w:t>
      </w:r>
      <w:r w:rsidR="00535329" w:rsidRPr="00535329">
        <w:t xml:space="preserve"> </w:t>
      </w:r>
      <w:r w:rsidR="00C73E74">
        <w:t>the impact of treatment on surgical outcomes versus placebo (no treatment) being unknown and the benefits in terms of symptom control compared with currently used alternatives not</w:t>
      </w:r>
      <w:r w:rsidR="00D66A61">
        <w:t xml:space="preserve"> being</w:t>
      </w:r>
      <w:r w:rsidR="00C73E74">
        <w:t xml:space="preserve"> assessed. </w:t>
      </w:r>
    </w:p>
    <w:p w:rsidR="00D32E2C" w:rsidRPr="009352AD" w:rsidRDefault="00D32E2C" w:rsidP="00D32E2C">
      <w:pPr>
        <w:rPr>
          <w:bCs/>
          <w:lang w:val="en-GB"/>
        </w:rPr>
      </w:pPr>
    </w:p>
    <w:p w:rsidR="002E4F2A" w:rsidRDefault="002E4F2A" w:rsidP="0058519E">
      <w:pPr>
        <w:numPr>
          <w:ilvl w:val="1"/>
          <w:numId w:val="3"/>
        </w:numPr>
        <w:rPr>
          <w:bCs/>
          <w:lang w:val="en-GB"/>
        </w:rPr>
      </w:pPr>
      <w:r w:rsidRPr="00DD4F2A">
        <w:rPr>
          <w:color w:val="000000" w:themeColor="text1"/>
        </w:rPr>
        <w:t>The</w:t>
      </w:r>
      <w:r>
        <w:rPr>
          <w:color w:val="000000" w:themeColor="text1"/>
        </w:rPr>
        <w:t xml:space="preserve"> PBAC </w:t>
      </w:r>
      <w:r w:rsidR="00113488">
        <w:rPr>
          <w:color w:val="000000" w:themeColor="text1"/>
        </w:rPr>
        <w:t xml:space="preserve">considered the proposed restriction did not clearly identify the patients likely to benefit from treatment with ulipristal and </w:t>
      </w:r>
      <w:r>
        <w:rPr>
          <w:color w:val="000000" w:themeColor="text1"/>
        </w:rPr>
        <w:t>agreed with</w:t>
      </w:r>
      <w:r w:rsidRPr="00DD4F2A">
        <w:rPr>
          <w:color w:val="000000" w:themeColor="text1"/>
        </w:rPr>
        <w:t xml:space="preserve"> DUSC that it is unclear how clinician and patient preference might change if ulipristal </w:t>
      </w:r>
      <w:r w:rsidR="00113488">
        <w:rPr>
          <w:color w:val="000000" w:themeColor="text1"/>
        </w:rPr>
        <w:t>was</w:t>
      </w:r>
      <w:r w:rsidRPr="00DD4F2A">
        <w:rPr>
          <w:color w:val="000000" w:themeColor="text1"/>
        </w:rPr>
        <w:t xml:space="preserve"> subsidised</w:t>
      </w:r>
      <w:r w:rsidR="00113488">
        <w:rPr>
          <w:color w:val="000000" w:themeColor="text1"/>
        </w:rPr>
        <w:t>.</w:t>
      </w:r>
      <w:r w:rsidRPr="00DD4F2A">
        <w:rPr>
          <w:color w:val="000000" w:themeColor="text1"/>
        </w:rPr>
        <w:t xml:space="preserve"> </w:t>
      </w:r>
      <w:r w:rsidR="00113488">
        <w:rPr>
          <w:color w:val="000000" w:themeColor="text1"/>
        </w:rPr>
        <w:t>The pre-PBAC response argued that</w:t>
      </w:r>
      <w:r w:rsidR="00113488" w:rsidRPr="00F232A9">
        <w:rPr>
          <w:color w:val="000000" w:themeColor="text1"/>
        </w:rPr>
        <w:t xml:space="preserve"> clinical experts working in the private sector suggest</w:t>
      </w:r>
      <w:r w:rsidR="00113488">
        <w:rPr>
          <w:color w:val="000000" w:themeColor="text1"/>
        </w:rPr>
        <w:t>ed</w:t>
      </w:r>
      <w:r w:rsidR="00113488" w:rsidRPr="00F232A9">
        <w:rPr>
          <w:color w:val="000000" w:themeColor="text1"/>
        </w:rPr>
        <w:t xml:space="preserve"> ulipristal is unlikely to be widely prescribed in order to delay or prevent surgery, but will typically be reserved for cases where debulking of the fibroids is clearly indicated to facilitate less invasive surgery and</w:t>
      </w:r>
      <w:r w:rsidR="00113488">
        <w:rPr>
          <w:color w:val="000000" w:themeColor="text1"/>
        </w:rPr>
        <w:t xml:space="preserve">/or improve patient outcomes. The PBAC considered </w:t>
      </w:r>
      <w:r w:rsidR="00D66A61">
        <w:rPr>
          <w:color w:val="000000" w:themeColor="text1"/>
        </w:rPr>
        <w:t xml:space="preserve">there is a risk that </w:t>
      </w:r>
      <w:r w:rsidR="00113488">
        <w:rPr>
          <w:color w:val="000000" w:themeColor="text1"/>
        </w:rPr>
        <w:t xml:space="preserve">ulipristal </w:t>
      </w:r>
      <w:r w:rsidR="00D66A61">
        <w:rPr>
          <w:color w:val="000000" w:themeColor="text1"/>
        </w:rPr>
        <w:t xml:space="preserve">would </w:t>
      </w:r>
      <w:r w:rsidR="00113488">
        <w:rPr>
          <w:color w:val="000000" w:themeColor="text1"/>
        </w:rPr>
        <w:t>be used routinely prior to surgery in patients with uterine fibroids</w:t>
      </w:r>
      <w:r w:rsidR="00D66A61">
        <w:rPr>
          <w:color w:val="000000" w:themeColor="text1"/>
        </w:rPr>
        <w:t xml:space="preserve"> and considered this inappropriate</w:t>
      </w:r>
      <w:r w:rsidR="004035B1">
        <w:rPr>
          <w:color w:val="000000" w:themeColor="text1"/>
        </w:rPr>
        <w:t xml:space="preserve"> given the lack of evidence demonstrating an impact on surgical outcomes</w:t>
      </w:r>
      <w:r w:rsidR="00113488">
        <w:rPr>
          <w:color w:val="000000" w:themeColor="text1"/>
        </w:rPr>
        <w:t xml:space="preserve">. </w:t>
      </w:r>
    </w:p>
    <w:p w:rsidR="002E4F2A" w:rsidRDefault="002E4F2A" w:rsidP="002E4F2A">
      <w:pPr>
        <w:pStyle w:val="ListParagraph"/>
        <w:rPr>
          <w:bCs/>
          <w:lang w:val="en-GB"/>
        </w:rPr>
      </w:pPr>
    </w:p>
    <w:p w:rsidR="00287783" w:rsidRDefault="00287783" w:rsidP="0058519E">
      <w:pPr>
        <w:numPr>
          <w:ilvl w:val="1"/>
          <w:numId w:val="3"/>
        </w:numPr>
        <w:rPr>
          <w:bCs/>
          <w:lang w:val="en-GB"/>
        </w:rPr>
      </w:pPr>
      <w:r>
        <w:rPr>
          <w:bCs/>
          <w:lang w:val="en-GB"/>
        </w:rPr>
        <w:t xml:space="preserve">The PBAC </w:t>
      </w:r>
      <w:r w:rsidR="004035B1">
        <w:rPr>
          <w:bCs/>
          <w:lang w:val="en-GB"/>
        </w:rPr>
        <w:t xml:space="preserve">noted the issues raised by ESC and DUSC relating to </w:t>
      </w:r>
      <w:r w:rsidR="00504913">
        <w:rPr>
          <w:bCs/>
          <w:lang w:val="en-GB"/>
        </w:rPr>
        <w:t>restricting treatment to three months with</w:t>
      </w:r>
      <w:r w:rsidR="004035B1">
        <w:rPr>
          <w:bCs/>
          <w:lang w:val="en-GB"/>
        </w:rPr>
        <w:t>in</w:t>
      </w:r>
      <w:r w:rsidR="00504913">
        <w:rPr>
          <w:bCs/>
          <w:lang w:val="en-GB"/>
        </w:rPr>
        <w:t xml:space="preserve"> an 18</w:t>
      </w:r>
      <w:r w:rsidR="004035B1">
        <w:rPr>
          <w:bCs/>
          <w:lang w:val="en-GB"/>
        </w:rPr>
        <w:t xml:space="preserve"> period</w:t>
      </w:r>
      <w:r w:rsidR="00A031A1">
        <w:rPr>
          <w:bCs/>
          <w:lang w:val="en-GB"/>
        </w:rPr>
        <w:t>, and the comments included in t</w:t>
      </w:r>
      <w:r w:rsidR="0058519E" w:rsidRPr="0058519E">
        <w:rPr>
          <w:bCs/>
          <w:lang w:val="en-GB"/>
        </w:rPr>
        <w:t xml:space="preserve">he pre-PBAC response that a single </w:t>
      </w:r>
      <w:r w:rsidR="00375764">
        <w:rPr>
          <w:bCs/>
          <w:lang w:val="en-GB"/>
        </w:rPr>
        <w:t>three</w:t>
      </w:r>
      <w:r w:rsidR="0058519E" w:rsidRPr="0058519E">
        <w:rPr>
          <w:bCs/>
          <w:lang w:val="en-GB"/>
        </w:rPr>
        <w:t xml:space="preserve"> month course is consistent with the available clinical data, and will generally provide four to six months relief from moderate to severe symptoms of fibroids.</w:t>
      </w:r>
      <w:r w:rsidR="00D66A61">
        <w:rPr>
          <w:bCs/>
          <w:lang w:val="en-GB"/>
        </w:rPr>
        <w:t xml:space="preserve"> </w:t>
      </w:r>
      <w:r w:rsidR="00A031A1">
        <w:rPr>
          <w:bCs/>
          <w:lang w:val="en-GB"/>
        </w:rPr>
        <w:t>T</w:t>
      </w:r>
      <w:r w:rsidR="0058519E" w:rsidRPr="0058519E">
        <w:rPr>
          <w:bCs/>
          <w:lang w:val="en-GB"/>
        </w:rPr>
        <w:t xml:space="preserve">he PBAC </w:t>
      </w:r>
      <w:r w:rsidR="002E75D6">
        <w:rPr>
          <w:lang w:val="en-US"/>
        </w:rPr>
        <w:t>noted the proposed 18 month period was arbitrarily selected and that</w:t>
      </w:r>
      <w:r w:rsidR="00A031A1">
        <w:rPr>
          <w:lang w:val="en-US"/>
        </w:rPr>
        <w:t xml:space="preserve"> RANZCOG </w:t>
      </w:r>
      <w:r w:rsidR="00900CC3">
        <w:rPr>
          <w:lang w:val="en-US"/>
        </w:rPr>
        <w:t xml:space="preserve">considered repeated </w:t>
      </w:r>
      <w:r w:rsidR="00D66A61">
        <w:rPr>
          <w:lang w:val="en-US"/>
        </w:rPr>
        <w:t xml:space="preserve">three </w:t>
      </w:r>
      <w:r w:rsidR="00900CC3">
        <w:rPr>
          <w:lang w:val="en-US"/>
        </w:rPr>
        <w:t xml:space="preserve">month courses may have a role in the long-term management of fibroids and </w:t>
      </w:r>
      <w:r w:rsidR="002E75D6">
        <w:rPr>
          <w:lang w:val="en-US"/>
        </w:rPr>
        <w:t xml:space="preserve">retreatment is not precluded in </w:t>
      </w:r>
      <w:r w:rsidR="00900CC3">
        <w:rPr>
          <w:lang w:val="en-US"/>
        </w:rPr>
        <w:t>the ulipr</w:t>
      </w:r>
      <w:r w:rsidR="00AF6B43">
        <w:rPr>
          <w:lang w:val="en-US"/>
        </w:rPr>
        <w:t>i</w:t>
      </w:r>
      <w:r w:rsidR="00900CC3">
        <w:rPr>
          <w:lang w:val="en-US"/>
        </w:rPr>
        <w:t xml:space="preserve">stal </w:t>
      </w:r>
      <w:r w:rsidR="00350C8D">
        <w:rPr>
          <w:lang w:val="en-US"/>
        </w:rPr>
        <w:t>P</w:t>
      </w:r>
      <w:r w:rsidR="00900CC3">
        <w:rPr>
          <w:lang w:val="en-US"/>
        </w:rPr>
        <w:t xml:space="preserve">roduct </w:t>
      </w:r>
      <w:r w:rsidR="00350C8D">
        <w:rPr>
          <w:lang w:val="en-US"/>
        </w:rPr>
        <w:t>I</w:t>
      </w:r>
      <w:r w:rsidR="00900CC3">
        <w:rPr>
          <w:lang w:val="en-US"/>
        </w:rPr>
        <w:t>nformation</w:t>
      </w:r>
      <w:r w:rsidR="009A4D07">
        <w:rPr>
          <w:lang w:val="en-US"/>
        </w:rPr>
        <w:t>.</w:t>
      </w:r>
    </w:p>
    <w:p w:rsidR="00287783" w:rsidRDefault="00287783" w:rsidP="00287783">
      <w:pPr>
        <w:pStyle w:val="ListParagraph"/>
        <w:rPr>
          <w:bCs/>
          <w:lang w:val="en-GB"/>
        </w:rPr>
      </w:pPr>
    </w:p>
    <w:p w:rsidR="0028317D" w:rsidRPr="002A59CE" w:rsidRDefault="001874AB" w:rsidP="0028317D">
      <w:pPr>
        <w:pStyle w:val="ListParagraph"/>
        <w:widowControl/>
        <w:numPr>
          <w:ilvl w:val="1"/>
          <w:numId w:val="3"/>
        </w:numPr>
        <w:rPr>
          <w:color w:val="000000" w:themeColor="text1"/>
        </w:rPr>
      </w:pPr>
      <w:r>
        <w:rPr>
          <w:bCs/>
          <w:lang w:val="en-GB"/>
        </w:rPr>
        <w:t>The</w:t>
      </w:r>
      <w:r w:rsidR="0028317D">
        <w:rPr>
          <w:bCs/>
          <w:lang w:val="en-GB"/>
        </w:rPr>
        <w:t xml:space="preserve"> PBAC noted the</w:t>
      </w:r>
      <w:r>
        <w:rPr>
          <w:bCs/>
          <w:lang w:val="en-GB"/>
        </w:rPr>
        <w:t xml:space="preserve"> </w:t>
      </w:r>
      <w:r w:rsidR="0028317D">
        <w:rPr>
          <w:bCs/>
          <w:lang w:val="en-GB"/>
        </w:rPr>
        <w:t>re</w:t>
      </w:r>
      <w:r>
        <w:rPr>
          <w:bCs/>
          <w:lang w:val="en-GB"/>
        </w:rPr>
        <w:t xml:space="preserve">submission </w:t>
      </w:r>
      <w:r w:rsidRPr="001874AB">
        <w:rPr>
          <w:bCs/>
          <w:lang w:val="en-GB"/>
        </w:rPr>
        <w:t>nominated placebo (no treatment) prior to planned</w:t>
      </w:r>
      <w:r>
        <w:rPr>
          <w:bCs/>
          <w:lang w:val="en-GB"/>
        </w:rPr>
        <w:t xml:space="preserve"> surgery as the main comparator</w:t>
      </w:r>
      <w:r w:rsidR="00D66A61">
        <w:rPr>
          <w:bCs/>
          <w:lang w:val="en-GB"/>
        </w:rPr>
        <w:t>,</w:t>
      </w:r>
      <w:r w:rsidR="0028317D">
        <w:rPr>
          <w:bCs/>
          <w:lang w:val="en-GB"/>
        </w:rPr>
        <w:t xml:space="preserve"> and this was considered in the resubmission to be consistent with </w:t>
      </w:r>
      <w:r>
        <w:rPr>
          <w:bCs/>
          <w:lang w:val="en-GB"/>
        </w:rPr>
        <w:t>the PBAC</w:t>
      </w:r>
      <w:r w:rsidR="0028317D">
        <w:rPr>
          <w:bCs/>
          <w:lang w:val="en-GB"/>
        </w:rPr>
        <w:t>’s advice for the July 2016 submission.</w:t>
      </w:r>
      <w:r>
        <w:rPr>
          <w:bCs/>
          <w:lang w:val="en-GB"/>
        </w:rPr>
        <w:t xml:space="preserve"> </w:t>
      </w:r>
      <w:r w:rsidR="0028317D">
        <w:rPr>
          <w:bCs/>
          <w:lang w:val="en-GB"/>
        </w:rPr>
        <w:t>The PBAC also noted the benefits claimed in the resubmission related to (i) facilitating less i</w:t>
      </w:r>
      <w:r w:rsidR="00350C8D">
        <w:rPr>
          <w:bCs/>
          <w:lang w:val="en-GB"/>
        </w:rPr>
        <w:t>nvasive surgery and (ii) reducing</w:t>
      </w:r>
      <w:r w:rsidR="0028317D">
        <w:rPr>
          <w:bCs/>
          <w:lang w:val="en-GB"/>
        </w:rPr>
        <w:t xml:space="preserve"> symptoms in the 3 month period prior to surgery. For the benefit relating to surgery the PBAC reiterated its previous advice that placebo is the appropriate comparator. In terms of reducing symptoms the PBAC noted that alternative treatments such as </w:t>
      </w:r>
      <w:r w:rsidR="002E4F2A" w:rsidRPr="002A59CE">
        <w:t>as tran</w:t>
      </w:r>
      <w:r w:rsidR="002E4F2A">
        <w:t>e</w:t>
      </w:r>
      <w:r w:rsidR="002E4F2A" w:rsidRPr="002A59CE">
        <w:t>x</w:t>
      </w:r>
      <w:r w:rsidR="002E4F2A">
        <w:t>a</w:t>
      </w:r>
      <w:r w:rsidR="002E4F2A" w:rsidRPr="002A59CE">
        <w:t>mic acid, nonsteroidal anti-inflammatory</w:t>
      </w:r>
      <w:r w:rsidR="002E4F2A">
        <w:t xml:space="preserve"> (NSAI)</w:t>
      </w:r>
      <w:r w:rsidR="002E4F2A" w:rsidRPr="002A59CE">
        <w:t xml:space="preserve"> drug, oral contraceptive pills and intrauterine devices</w:t>
      </w:r>
      <w:r w:rsidR="002E4F2A">
        <w:t xml:space="preserve"> (IUDs)</w:t>
      </w:r>
      <w:r w:rsidR="002E4F2A" w:rsidRPr="002A59CE">
        <w:t xml:space="preserve"> </w:t>
      </w:r>
      <w:r w:rsidR="002E4F2A">
        <w:t>a</w:t>
      </w:r>
      <w:r w:rsidR="0028317D">
        <w:rPr>
          <w:bCs/>
          <w:lang w:val="en-GB"/>
        </w:rPr>
        <w:t>re</w:t>
      </w:r>
      <w:r w:rsidR="002E4F2A">
        <w:rPr>
          <w:bCs/>
          <w:lang w:val="en-GB"/>
        </w:rPr>
        <w:t xml:space="preserve"> used in the clinical practice</w:t>
      </w:r>
      <w:r w:rsidR="0028317D">
        <w:rPr>
          <w:bCs/>
          <w:lang w:val="en-GB"/>
        </w:rPr>
        <w:t xml:space="preserve"> </w:t>
      </w:r>
      <w:r w:rsidR="002E4F2A">
        <w:rPr>
          <w:bCs/>
          <w:lang w:val="en-GB"/>
        </w:rPr>
        <w:t>and should be considered.</w:t>
      </w:r>
      <w:r w:rsidR="004035B1">
        <w:rPr>
          <w:bCs/>
          <w:lang w:val="en-GB"/>
        </w:rPr>
        <w:t xml:space="preserve"> The PBAC considered the substantial reduction in hysterectomy rates over time suggests that treatment practices have changed and there are </w:t>
      </w:r>
      <w:r w:rsidR="00350C8D">
        <w:rPr>
          <w:bCs/>
          <w:lang w:val="en-GB"/>
        </w:rPr>
        <w:t xml:space="preserve">effective </w:t>
      </w:r>
      <w:r w:rsidR="004035B1">
        <w:rPr>
          <w:bCs/>
          <w:lang w:val="en-GB"/>
        </w:rPr>
        <w:t xml:space="preserve">alternatives to surgery for patients with uterine fibroids. </w:t>
      </w:r>
      <w:r w:rsidR="00D66A61">
        <w:t>T</w:t>
      </w:r>
      <w:r w:rsidR="0028317D">
        <w:t xml:space="preserve">he PBAC considered the appropriate comparison would be ulipristal plus </w:t>
      </w:r>
      <w:r w:rsidR="00350C8D">
        <w:t>conservative</w:t>
      </w:r>
      <w:r w:rsidR="0028317D">
        <w:t xml:space="preserve"> management versus placebo plus </w:t>
      </w:r>
      <w:r w:rsidR="00350C8D">
        <w:t>conservative</w:t>
      </w:r>
      <w:r w:rsidR="0028317D">
        <w:t xml:space="preserve"> management.</w:t>
      </w:r>
    </w:p>
    <w:p w:rsidR="0028317D" w:rsidRDefault="0028317D" w:rsidP="0028317D">
      <w:pPr>
        <w:rPr>
          <w:i/>
          <w:color w:val="000000" w:themeColor="text1"/>
        </w:rPr>
      </w:pPr>
    </w:p>
    <w:p w:rsidR="009E7CC1" w:rsidRPr="009E7CC1" w:rsidRDefault="0028317D" w:rsidP="0028317D">
      <w:pPr>
        <w:pStyle w:val="ListParagraph"/>
        <w:numPr>
          <w:ilvl w:val="1"/>
          <w:numId w:val="3"/>
        </w:numPr>
      </w:pPr>
      <w:r w:rsidRPr="00D96986">
        <w:rPr>
          <w:bCs/>
          <w:lang w:val="en-GB"/>
        </w:rPr>
        <w:t xml:space="preserve">The PBAC </w:t>
      </w:r>
      <w:r w:rsidR="00D66A61">
        <w:rPr>
          <w:bCs/>
          <w:lang w:val="en-GB"/>
        </w:rPr>
        <w:t>recalled</w:t>
      </w:r>
      <w:r w:rsidR="00D66A61" w:rsidRPr="00D96986">
        <w:rPr>
          <w:bCs/>
          <w:lang w:val="en-GB"/>
        </w:rPr>
        <w:t xml:space="preserve"> </w:t>
      </w:r>
      <w:r w:rsidRPr="00D96986">
        <w:rPr>
          <w:bCs/>
          <w:lang w:val="en-GB"/>
        </w:rPr>
        <w:t>that ulipristal is effective at</w:t>
      </w:r>
      <w:r w:rsidR="00350C8D">
        <w:rPr>
          <w:bCs/>
          <w:lang w:val="en-GB"/>
        </w:rPr>
        <w:t xml:space="preserve"> controlling uterine bleeding and reducing fibroid and uterine</w:t>
      </w:r>
      <w:r w:rsidRPr="00D96986">
        <w:rPr>
          <w:bCs/>
          <w:lang w:val="en-GB"/>
        </w:rPr>
        <w:t xml:space="preserve"> volume</w:t>
      </w:r>
      <w:r w:rsidR="002E75D6">
        <w:rPr>
          <w:bCs/>
          <w:lang w:val="en-GB"/>
        </w:rPr>
        <w:t>, and increasing haemoglobin levels. It was noted that fibroids can have physical effect</w:t>
      </w:r>
      <w:r w:rsidR="00350C8D">
        <w:rPr>
          <w:bCs/>
          <w:lang w:val="en-GB"/>
        </w:rPr>
        <w:t>s</w:t>
      </w:r>
      <w:r w:rsidR="002E75D6">
        <w:rPr>
          <w:bCs/>
          <w:lang w:val="en-GB"/>
        </w:rPr>
        <w:t xml:space="preserve"> due to their size and hence a reduction in symptoms could be expected due to the reduction in the size of the fibroids. However, the PBAC noted the data supporting </w:t>
      </w:r>
      <w:r w:rsidR="006D0EE5">
        <w:rPr>
          <w:bCs/>
          <w:lang w:val="en-GB"/>
        </w:rPr>
        <w:t>a reduction in symptoms and improved quality of life</w:t>
      </w:r>
      <w:r w:rsidR="002E75D6">
        <w:rPr>
          <w:bCs/>
          <w:lang w:val="en-GB"/>
        </w:rPr>
        <w:t xml:space="preserve"> </w:t>
      </w:r>
      <w:r w:rsidR="006D0EE5">
        <w:rPr>
          <w:bCs/>
          <w:lang w:val="en-GB"/>
        </w:rPr>
        <w:t xml:space="preserve">from the PEARL I trial </w:t>
      </w:r>
      <w:r w:rsidR="00350C8D">
        <w:rPr>
          <w:bCs/>
          <w:lang w:val="en-GB"/>
        </w:rPr>
        <w:t>were</w:t>
      </w:r>
      <w:r w:rsidR="002E75D6">
        <w:rPr>
          <w:bCs/>
          <w:lang w:val="en-GB"/>
        </w:rPr>
        <w:t xml:space="preserve"> limited with no statistically significant differences in pain</w:t>
      </w:r>
      <w:r w:rsidR="006D0EE5">
        <w:rPr>
          <w:bCs/>
          <w:lang w:val="en-GB"/>
        </w:rPr>
        <w:t xml:space="preserve"> from baseline to week 13 based on</w:t>
      </w:r>
      <w:r w:rsidR="002E75D6">
        <w:rPr>
          <w:bCs/>
          <w:lang w:val="en-GB"/>
        </w:rPr>
        <w:t xml:space="preserve"> the Short-form McGill Pain </w:t>
      </w:r>
      <w:r w:rsidR="006D0EE5">
        <w:rPr>
          <w:bCs/>
          <w:lang w:val="en-GB"/>
        </w:rPr>
        <w:t>Questionnaire. Although there were statistically significant differences across the treatment groups for the Measure of Discomfort due to Uterine Fibroids Questionnaire (MDUFQ)</w:t>
      </w:r>
      <w:r w:rsidR="00211EC5">
        <w:rPr>
          <w:bCs/>
          <w:lang w:val="en-GB"/>
        </w:rPr>
        <w:t xml:space="preserve"> the PBAC noted the ESC’s concern regarding the lack of formal validation of the questionnaire.</w:t>
      </w:r>
    </w:p>
    <w:p w:rsidR="009E7CC1" w:rsidRPr="009E7CC1" w:rsidRDefault="009E7CC1" w:rsidP="009E7CC1">
      <w:pPr>
        <w:pStyle w:val="ListParagraph"/>
      </w:pPr>
    </w:p>
    <w:p w:rsidR="009E7CC1" w:rsidRDefault="00211EC5" w:rsidP="0028317D">
      <w:pPr>
        <w:pStyle w:val="ListParagraph"/>
        <w:numPr>
          <w:ilvl w:val="1"/>
          <w:numId w:val="3"/>
        </w:numPr>
      </w:pPr>
      <w:r>
        <w:rPr>
          <w:bCs/>
          <w:lang w:val="en-GB"/>
        </w:rPr>
        <w:t>The</w:t>
      </w:r>
      <w:r w:rsidR="009E7CC1">
        <w:rPr>
          <w:bCs/>
          <w:lang w:val="en-GB"/>
        </w:rPr>
        <w:t xml:space="preserve"> PBAC noted the resubmission included additional data on surgical outcomes from the PEARL </w:t>
      </w:r>
      <w:r w:rsidR="00350C8D">
        <w:rPr>
          <w:bCs/>
          <w:lang w:val="en-GB"/>
        </w:rPr>
        <w:t>I</w:t>
      </w:r>
      <w:r w:rsidR="009E7CC1">
        <w:rPr>
          <w:bCs/>
          <w:lang w:val="en-GB"/>
        </w:rPr>
        <w:t xml:space="preserve"> trial. The PBAC </w:t>
      </w:r>
      <w:r w:rsidR="00765E60">
        <w:rPr>
          <w:bCs/>
          <w:lang w:val="en-GB"/>
        </w:rPr>
        <w:t xml:space="preserve">noted </w:t>
      </w:r>
      <w:r w:rsidR="0028317D" w:rsidRPr="00D96986">
        <w:rPr>
          <w:bCs/>
          <w:lang w:val="en-GB"/>
        </w:rPr>
        <w:t xml:space="preserve">that there </w:t>
      </w:r>
      <w:r w:rsidR="00765E60">
        <w:rPr>
          <w:bCs/>
          <w:lang w:val="en-GB"/>
        </w:rPr>
        <w:t>were</w:t>
      </w:r>
      <w:r w:rsidR="0028317D" w:rsidRPr="00D96986">
        <w:rPr>
          <w:bCs/>
          <w:lang w:val="en-GB"/>
        </w:rPr>
        <w:t xml:space="preserve"> no statistically significant difference</w:t>
      </w:r>
      <w:r w:rsidR="00765E60">
        <w:rPr>
          <w:bCs/>
          <w:lang w:val="en-GB"/>
        </w:rPr>
        <w:t>s</w:t>
      </w:r>
      <w:r w:rsidR="0028317D" w:rsidRPr="00D96986">
        <w:rPr>
          <w:bCs/>
          <w:lang w:val="en-GB"/>
        </w:rPr>
        <w:t xml:space="preserve"> in the proportion of patients receiving surgery or types of surgery performed</w:t>
      </w:r>
      <w:r>
        <w:rPr>
          <w:bCs/>
          <w:lang w:val="en-GB"/>
        </w:rPr>
        <w:t xml:space="preserve">, and it was unclear why surgery was cancelled </w:t>
      </w:r>
      <w:r w:rsidR="00350C8D">
        <w:rPr>
          <w:bCs/>
          <w:lang w:val="en-GB"/>
        </w:rPr>
        <w:t>more often for placebo treated</w:t>
      </w:r>
      <w:r>
        <w:rPr>
          <w:bCs/>
          <w:lang w:val="en-GB"/>
        </w:rPr>
        <w:t xml:space="preserve"> patients compared with ulipristal treated patients</w:t>
      </w:r>
      <w:r w:rsidR="0028317D" w:rsidRPr="00D96986">
        <w:rPr>
          <w:bCs/>
          <w:lang w:val="en-GB"/>
        </w:rPr>
        <w:t xml:space="preserve">. </w:t>
      </w:r>
      <w:r w:rsidR="009E7CC1">
        <w:rPr>
          <w:bCs/>
          <w:lang w:val="en-GB"/>
        </w:rPr>
        <w:t xml:space="preserve">The PBAC agreed with ESC that the </w:t>
      </w:r>
      <w:r w:rsidR="009E7CC1" w:rsidRPr="002A59CE">
        <w:t>type of surgery performed would depend on clinical factors such as where the fibroid was located on the uterus, clinician and patient preferences, and access/availability</w:t>
      </w:r>
      <w:r w:rsidR="009E7CC1">
        <w:t xml:space="preserve">, </w:t>
      </w:r>
      <w:r>
        <w:t xml:space="preserve">and possibly </w:t>
      </w:r>
      <w:r w:rsidR="009E7CC1">
        <w:t>related to this noted the difference in surgery rates across the trial centres.</w:t>
      </w:r>
      <w:r w:rsidR="009E7CC1" w:rsidRPr="002A59CE">
        <w:t xml:space="preserve"> </w:t>
      </w:r>
      <w:r w:rsidR="009E7CC1">
        <w:t xml:space="preserve">The PBAC further agreed with ESC that </w:t>
      </w:r>
      <w:r w:rsidR="009E7CC1" w:rsidRPr="00DE215B">
        <w:t>to understand the clinical significance of the reductions in uterine volume observed with ulipristal, information regarding duration of procedures, complication rates, patient satisfaction with the outcome and costs would be required</w:t>
      </w:r>
      <w:r w:rsidR="009E7CC1">
        <w:t>.</w:t>
      </w:r>
    </w:p>
    <w:p w:rsidR="009E7CC1" w:rsidRDefault="009E7CC1" w:rsidP="00211EC5">
      <w:pPr>
        <w:pStyle w:val="ListParagraph"/>
      </w:pPr>
    </w:p>
    <w:p w:rsidR="00211EC5" w:rsidRPr="0058519E" w:rsidRDefault="00396D75" w:rsidP="00211EC5">
      <w:pPr>
        <w:pStyle w:val="ListParagraph"/>
        <w:widowControl/>
        <w:numPr>
          <w:ilvl w:val="1"/>
          <w:numId w:val="3"/>
        </w:numPr>
        <w:rPr>
          <w:szCs w:val="22"/>
        </w:rPr>
      </w:pPr>
      <w:r>
        <w:rPr>
          <w:szCs w:val="22"/>
        </w:rPr>
        <w:t>Overall, t</w:t>
      </w:r>
      <w:r w:rsidR="00211EC5" w:rsidRPr="0058519E">
        <w:rPr>
          <w:szCs w:val="22"/>
        </w:rPr>
        <w:t xml:space="preserve">he PBAC </w:t>
      </w:r>
      <w:r w:rsidR="00211EC5">
        <w:rPr>
          <w:szCs w:val="22"/>
        </w:rPr>
        <w:t xml:space="preserve">considered </w:t>
      </w:r>
      <w:r w:rsidR="00211EC5" w:rsidRPr="0058519E">
        <w:rPr>
          <w:szCs w:val="22"/>
        </w:rPr>
        <w:t xml:space="preserve">the claim of superior comparative effectiveness of ulipristal over placebo </w:t>
      </w:r>
      <w:r w:rsidR="00211EC5">
        <w:rPr>
          <w:szCs w:val="22"/>
        </w:rPr>
        <w:t xml:space="preserve">was reasonable for the outcomes of </w:t>
      </w:r>
      <w:r w:rsidR="00211EC5" w:rsidRPr="0058519E">
        <w:rPr>
          <w:lang w:val="en-US"/>
        </w:rPr>
        <w:t>controlling abnormal uterine bleeding and reducing both fibroid and uterine volume.</w:t>
      </w:r>
      <w:r w:rsidR="00211EC5">
        <w:rPr>
          <w:lang w:val="en-US"/>
        </w:rPr>
        <w:t xml:space="preserve"> </w:t>
      </w:r>
      <w:r w:rsidR="00211EC5">
        <w:rPr>
          <w:szCs w:val="22"/>
        </w:rPr>
        <w:t xml:space="preserve">The PBAC considered the claim of superior effectiveness was not adequately supported for the surgical or quality of life outcomes. </w:t>
      </w:r>
    </w:p>
    <w:p w:rsidR="00211EC5" w:rsidRPr="00A20B3C" w:rsidRDefault="00211EC5" w:rsidP="00211EC5">
      <w:pPr>
        <w:pStyle w:val="ListParagraph"/>
        <w:rPr>
          <w:bCs/>
          <w:szCs w:val="22"/>
        </w:rPr>
      </w:pPr>
    </w:p>
    <w:p w:rsidR="00211EC5" w:rsidRDefault="00211EC5" w:rsidP="00211EC5">
      <w:pPr>
        <w:pStyle w:val="ListParagraph"/>
        <w:widowControl/>
        <w:numPr>
          <w:ilvl w:val="1"/>
          <w:numId w:val="3"/>
        </w:numPr>
        <w:rPr>
          <w:szCs w:val="22"/>
        </w:rPr>
      </w:pPr>
      <w:r>
        <w:rPr>
          <w:szCs w:val="22"/>
        </w:rPr>
        <w:t xml:space="preserve">The </w:t>
      </w:r>
      <w:r w:rsidRPr="00A20B3C">
        <w:rPr>
          <w:szCs w:val="22"/>
        </w:rPr>
        <w:t xml:space="preserve">PBAC </w:t>
      </w:r>
      <w:r w:rsidR="00CD72E6">
        <w:rPr>
          <w:szCs w:val="22"/>
        </w:rPr>
        <w:t xml:space="preserve">noted treatment related adverse events that were considered to be drug related were more frequent in the ulipristal arm </w:t>
      </w:r>
      <w:r w:rsidR="00396D75">
        <w:rPr>
          <w:szCs w:val="22"/>
        </w:rPr>
        <w:t xml:space="preserve">(18.9%) </w:t>
      </w:r>
      <w:r w:rsidR="00CD72E6">
        <w:rPr>
          <w:szCs w:val="22"/>
        </w:rPr>
        <w:t xml:space="preserve">compared with the placebo arm </w:t>
      </w:r>
      <w:r w:rsidR="00396D75">
        <w:rPr>
          <w:szCs w:val="22"/>
        </w:rPr>
        <w:t xml:space="preserve">(8.3%) </w:t>
      </w:r>
      <w:r w:rsidR="00350C8D">
        <w:rPr>
          <w:szCs w:val="22"/>
        </w:rPr>
        <w:t>of PEARL I</w:t>
      </w:r>
      <w:r w:rsidR="00396D75">
        <w:rPr>
          <w:szCs w:val="22"/>
        </w:rPr>
        <w:t xml:space="preserve">, although the difference was not statistically significant. Overall, </w:t>
      </w:r>
      <w:r w:rsidRPr="00A20B3C">
        <w:rPr>
          <w:szCs w:val="22"/>
        </w:rPr>
        <w:t>the claim of non-inferior comparative safety was</w:t>
      </w:r>
      <w:r w:rsidR="00396D75">
        <w:rPr>
          <w:szCs w:val="22"/>
        </w:rPr>
        <w:t xml:space="preserve"> considered by the PBAC to</w:t>
      </w:r>
      <w:r w:rsidRPr="00A20B3C">
        <w:rPr>
          <w:szCs w:val="22"/>
        </w:rPr>
        <w:t xml:space="preserve"> not</w:t>
      </w:r>
      <w:r w:rsidR="00396D75">
        <w:rPr>
          <w:szCs w:val="22"/>
        </w:rPr>
        <w:t xml:space="preserve"> be</w:t>
      </w:r>
      <w:r w:rsidRPr="00A20B3C">
        <w:rPr>
          <w:szCs w:val="22"/>
        </w:rPr>
        <w:t xml:space="preserve"> adequately supported by the data.</w:t>
      </w:r>
    </w:p>
    <w:p w:rsidR="0058519E" w:rsidRPr="0058519E" w:rsidRDefault="0058519E" w:rsidP="0058519E">
      <w:pPr>
        <w:pStyle w:val="ListParagraph"/>
        <w:rPr>
          <w:szCs w:val="22"/>
        </w:rPr>
      </w:pPr>
    </w:p>
    <w:p w:rsidR="009F3FB6" w:rsidRPr="009F3FB6" w:rsidRDefault="0058519E" w:rsidP="001C5ABB">
      <w:pPr>
        <w:pStyle w:val="ListParagraph"/>
        <w:numPr>
          <w:ilvl w:val="1"/>
          <w:numId w:val="3"/>
        </w:numPr>
        <w:rPr>
          <w:szCs w:val="22"/>
        </w:rPr>
      </w:pPr>
      <w:r w:rsidRPr="009F3FB6">
        <w:rPr>
          <w:szCs w:val="22"/>
        </w:rPr>
        <w:t xml:space="preserve">The PBAC </w:t>
      </w:r>
      <w:r w:rsidR="009F3FB6" w:rsidRPr="009F3FB6">
        <w:rPr>
          <w:szCs w:val="22"/>
        </w:rPr>
        <w:t xml:space="preserve">considered </w:t>
      </w:r>
      <w:r w:rsidR="00396D75">
        <w:rPr>
          <w:szCs w:val="22"/>
        </w:rPr>
        <w:t>including</w:t>
      </w:r>
      <w:r w:rsidR="009F3FB6" w:rsidRPr="009F3FB6">
        <w:t xml:space="preserve"> surgical outcomes in the base case of the </w:t>
      </w:r>
      <w:r w:rsidR="00396D75">
        <w:t xml:space="preserve">economic </w:t>
      </w:r>
      <w:r w:rsidR="009F3FB6" w:rsidRPr="009F3FB6">
        <w:t xml:space="preserve">model was not reasonable </w:t>
      </w:r>
      <w:r w:rsidR="001C5ABB">
        <w:t xml:space="preserve">as there </w:t>
      </w:r>
      <w:r w:rsidR="001C5ABB" w:rsidRPr="001C5ABB">
        <w:t xml:space="preserve">were no consistent statistically significant differences in the proportion of women who underwent surgery or the types of surgery undertaken </w:t>
      </w:r>
      <w:r w:rsidR="001C5ABB">
        <w:t>demonstrated in the PEARL I</w:t>
      </w:r>
      <w:r w:rsidR="00396D75">
        <w:t xml:space="preserve"> trial. The PBAC noted removing surgical outcomes from the model increased the ICER substantially from </w:t>
      </w:r>
      <w:r w:rsidR="00DE6D1B">
        <w:t>less than $15,000 per QALY</w:t>
      </w:r>
      <w:r w:rsidR="00396D75">
        <w:t xml:space="preserve"> to </w:t>
      </w:r>
      <w:r w:rsidR="00DE6D1B">
        <w:t>$15,000 - $45,000</w:t>
      </w:r>
      <w:r w:rsidR="00396D75">
        <w:t xml:space="preserve"> per QALY gained.</w:t>
      </w:r>
    </w:p>
    <w:p w:rsidR="009F3FB6" w:rsidRPr="00F844B6" w:rsidRDefault="009F3FB6" w:rsidP="009F3FB6">
      <w:pPr>
        <w:pStyle w:val="ListParagraph"/>
      </w:pPr>
    </w:p>
    <w:p w:rsidR="00D155C4" w:rsidRPr="00D155C4" w:rsidRDefault="00D21142" w:rsidP="009F3FB6">
      <w:pPr>
        <w:pStyle w:val="ListParagraph"/>
        <w:numPr>
          <w:ilvl w:val="1"/>
          <w:numId w:val="3"/>
        </w:numPr>
        <w:rPr>
          <w:szCs w:val="22"/>
        </w:rPr>
      </w:pPr>
      <w:r>
        <w:t>The PBAC discussed that t</w:t>
      </w:r>
      <w:r w:rsidR="009F3FB6" w:rsidRPr="00F844B6">
        <w:t>he</w:t>
      </w:r>
      <w:r w:rsidR="00396D75">
        <w:t xml:space="preserve"> results of the 13 week</w:t>
      </w:r>
      <w:r w:rsidR="009F3FB6" w:rsidRPr="00F844B6">
        <w:t xml:space="preserve"> model</w:t>
      </w:r>
      <w:r w:rsidR="00396D75">
        <w:t xml:space="preserve"> with surgical outcomes removed</w:t>
      </w:r>
      <w:r w:rsidR="009F3FB6" w:rsidRPr="00F844B6">
        <w:t xml:space="preserve"> was </w:t>
      </w:r>
      <w:r w:rsidR="00396D75">
        <w:t>very</w:t>
      </w:r>
      <w:r w:rsidR="009F3FB6" w:rsidRPr="00F844B6">
        <w:t xml:space="preserve"> sensitive to the utility values</w:t>
      </w:r>
      <w:r w:rsidR="00396D75">
        <w:t xml:space="preserve"> used</w:t>
      </w:r>
      <w:r w:rsidR="009F3FB6" w:rsidRPr="00F844B6">
        <w:t xml:space="preserve"> for the controlled and uncontrolled bleeding health states.</w:t>
      </w:r>
      <w:r w:rsidR="00515BE8">
        <w:t xml:space="preserve"> The PBAC noted the utility values used in the resubmission of 0.73 and 0.55, respectively, resulted in an ICER of </w:t>
      </w:r>
      <w:r w:rsidR="00DA36EF">
        <w:t>$15,000 - $45,000</w:t>
      </w:r>
      <w:r w:rsidR="00515BE8">
        <w:t xml:space="preserve"> per QALY gained whereas the utility values </w:t>
      </w:r>
      <w:r w:rsidR="00D155C4">
        <w:t xml:space="preserve">presented </w:t>
      </w:r>
      <w:r w:rsidR="00515BE8">
        <w:t xml:space="preserve">in the pre-PBAC response (0.843 and 0.744) resulted in an ICER of </w:t>
      </w:r>
      <w:r w:rsidR="000E793B">
        <w:t>$15,000 - $45,000</w:t>
      </w:r>
      <w:r w:rsidR="00515BE8">
        <w:t xml:space="preserve"> per QALY gained with a </w:t>
      </w:r>
      <w:r w:rsidR="006C091A">
        <w:rPr>
          <w:noProof/>
          <w:color w:val="000000"/>
          <w:highlight w:val="black"/>
        </w:rPr>
        <w:t>''''''''</w:t>
      </w:r>
      <w:r w:rsidR="00515BE8">
        <w:t xml:space="preserve">% reduction in the dispensed price for ulipristal. </w:t>
      </w:r>
    </w:p>
    <w:p w:rsidR="00D155C4" w:rsidRDefault="00D155C4" w:rsidP="00D155C4">
      <w:pPr>
        <w:pStyle w:val="ListParagraph"/>
      </w:pPr>
    </w:p>
    <w:p w:rsidR="001C5ABB" w:rsidRDefault="001C5ABB" w:rsidP="001C5ABB">
      <w:pPr>
        <w:pStyle w:val="ListParagraph"/>
        <w:numPr>
          <w:ilvl w:val="1"/>
          <w:numId w:val="3"/>
        </w:numPr>
      </w:pPr>
      <w:r>
        <w:t xml:space="preserve">The PBAC noted </w:t>
      </w:r>
      <w:r w:rsidR="00B630AC">
        <w:t xml:space="preserve">the </w:t>
      </w:r>
      <w:r>
        <w:t xml:space="preserve">ESC presented alternative scenarios assuming the </w:t>
      </w:r>
      <w:r w:rsidRPr="002A59CE">
        <w:t>transition to controlled bleeding occurs in the middle of the first 13-week cycle (at 6.5 weeks)</w:t>
      </w:r>
      <w:r>
        <w:t>.</w:t>
      </w:r>
      <w:r w:rsidRPr="002A59CE">
        <w:t xml:space="preserve"> </w:t>
      </w:r>
      <w:r>
        <w:t>The PBAC considered it reasonable to assume a quality of life benefit for the entire 13 week duration of the model noting that the full benefit would not be realised from day 1 but also that the benefit extends beyond 13 weeks.</w:t>
      </w:r>
    </w:p>
    <w:p w:rsidR="001C5ABB" w:rsidRPr="00CB7619" w:rsidRDefault="001C5ABB" w:rsidP="001C5ABB">
      <w:pPr>
        <w:rPr>
          <w:highlight w:val="cyan"/>
        </w:rPr>
      </w:pPr>
    </w:p>
    <w:p w:rsidR="009F3FB6" w:rsidRPr="00F844B6" w:rsidRDefault="00515BE8" w:rsidP="001C5ABB">
      <w:pPr>
        <w:pStyle w:val="ListParagraph"/>
        <w:numPr>
          <w:ilvl w:val="1"/>
          <w:numId w:val="3"/>
        </w:numPr>
        <w:rPr>
          <w:szCs w:val="22"/>
        </w:rPr>
      </w:pPr>
      <w:r>
        <w:t xml:space="preserve">The PBAC considered </w:t>
      </w:r>
      <w:r w:rsidR="00D155C4">
        <w:t>the</w:t>
      </w:r>
      <w:r>
        <w:t xml:space="preserve"> </w:t>
      </w:r>
      <w:r w:rsidR="00D155C4">
        <w:t xml:space="preserve">value of the </w:t>
      </w:r>
      <w:r>
        <w:t>analysis</w:t>
      </w:r>
      <w:r w:rsidR="00D155C4">
        <w:t xml:space="preserve"> based on the 13 week model</w:t>
      </w:r>
      <w:r>
        <w:t xml:space="preserve"> was limited because alternative treatments to reduce the symptoms associated with fibroids were not considered and </w:t>
      </w:r>
      <w:r w:rsidR="001C5ABB">
        <w:t>t</w:t>
      </w:r>
      <w:r w:rsidR="001C5ABB" w:rsidRPr="001C5ABB">
        <w:t>he resubmission did not adequately address how improvements in controlling bleeding would translate to utility gains</w:t>
      </w:r>
      <w:r>
        <w:t xml:space="preserve">. </w:t>
      </w:r>
    </w:p>
    <w:p w:rsidR="009F3FB6" w:rsidRPr="00F844B6" w:rsidRDefault="009F3FB6" w:rsidP="009F3FB6">
      <w:pPr>
        <w:pStyle w:val="ListParagraph"/>
      </w:pPr>
    </w:p>
    <w:p w:rsidR="00A12548" w:rsidRDefault="00136ADD" w:rsidP="00A12548">
      <w:pPr>
        <w:pStyle w:val="ListParagraph"/>
        <w:widowControl/>
        <w:numPr>
          <w:ilvl w:val="1"/>
          <w:numId w:val="3"/>
        </w:numPr>
        <w:rPr>
          <w:szCs w:val="22"/>
        </w:rPr>
      </w:pPr>
      <w:r>
        <w:rPr>
          <w:szCs w:val="22"/>
        </w:rPr>
        <w:t xml:space="preserve">The PBAC considered the financial estimates were highly uncertain and </w:t>
      </w:r>
      <w:r w:rsidR="00D155C4">
        <w:rPr>
          <w:szCs w:val="22"/>
        </w:rPr>
        <w:t>likely to</w:t>
      </w:r>
      <w:r>
        <w:rPr>
          <w:szCs w:val="22"/>
        </w:rPr>
        <w:t xml:space="preserve"> be underestimated. </w:t>
      </w:r>
      <w:r w:rsidR="00D155C4">
        <w:rPr>
          <w:szCs w:val="22"/>
        </w:rPr>
        <w:t xml:space="preserve">The PBAC noted that there was no clear basis for the </w:t>
      </w:r>
      <w:r w:rsidR="001E0508">
        <w:rPr>
          <w:szCs w:val="22"/>
        </w:rPr>
        <w:t>chosen proportion</w:t>
      </w:r>
      <w:r w:rsidR="00D155C4">
        <w:rPr>
          <w:szCs w:val="22"/>
        </w:rPr>
        <w:t xml:space="preserve"> of the procedures</w:t>
      </w:r>
      <w:r w:rsidR="001E0508">
        <w:rPr>
          <w:szCs w:val="22"/>
        </w:rPr>
        <w:t xml:space="preserve"> that were for uterine fibroids, </w:t>
      </w:r>
      <w:r w:rsidR="00A610B2">
        <w:rPr>
          <w:szCs w:val="22"/>
        </w:rPr>
        <w:t xml:space="preserve">for the magnitude </w:t>
      </w:r>
      <w:r w:rsidR="00C15730">
        <w:rPr>
          <w:szCs w:val="22"/>
        </w:rPr>
        <w:t xml:space="preserve">of the </w:t>
      </w:r>
      <w:r w:rsidR="001E0508">
        <w:rPr>
          <w:szCs w:val="22"/>
        </w:rPr>
        <w:t xml:space="preserve">15% prevalence adjustment in year 1 or </w:t>
      </w:r>
      <w:r w:rsidR="001C5ABB">
        <w:rPr>
          <w:szCs w:val="22"/>
        </w:rPr>
        <w:t xml:space="preserve">for </w:t>
      </w:r>
      <w:r w:rsidR="001E0508">
        <w:rPr>
          <w:szCs w:val="22"/>
        </w:rPr>
        <w:t>the assumed uptake rates.</w:t>
      </w:r>
      <w:r w:rsidR="00D155C4">
        <w:rPr>
          <w:szCs w:val="22"/>
        </w:rPr>
        <w:t xml:space="preserve"> </w:t>
      </w:r>
      <w:r w:rsidR="001C5ABB">
        <w:rPr>
          <w:szCs w:val="22"/>
        </w:rPr>
        <w:t>I</w:t>
      </w:r>
      <w:r w:rsidR="001E0508">
        <w:rPr>
          <w:szCs w:val="22"/>
        </w:rPr>
        <w:t>t was further noted that</w:t>
      </w:r>
      <w:r w:rsidR="00C467F0">
        <w:rPr>
          <w:szCs w:val="22"/>
        </w:rPr>
        <w:t xml:space="preserve"> the financial estimates did not account for patients who are re-treated with ulipristal</w:t>
      </w:r>
      <w:r w:rsidR="001C5ABB">
        <w:rPr>
          <w:szCs w:val="22"/>
        </w:rPr>
        <w:t xml:space="preserve"> </w:t>
      </w:r>
      <w:r w:rsidR="001E0508">
        <w:rPr>
          <w:szCs w:val="22"/>
        </w:rPr>
        <w:t>and the</w:t>
      </w:r>
      <w:r w:rsidR="001C5ABB">
        <w:rPr>
          <w:szCs w:val="22"/>
        </w:rPr>
        <w:t xml:space="preserve"> estimated</w:t>
      </w:r>
      <w:r w:rsidR="001E0508">
        <w:rPr>
          <w:szCs w:val="22"/>
        </w:rPr>
        <w:t xml:space="preserve"> cost offsets associated with a reduction in surgery may not be </w:t>
      </w:r>
      <w:r w:rsidR="001C5ABB">
        <w:rPr>
          <w:szCs w:val="22"/>
        </w:rPr>
        <w:t xml:space="preserve">fully </w:t>
      </w:r>
      <w:r w:rsidR="001E0508">
        <w:rPr>
          <w:szCs w:val="22"/>
        </w:rPr>
        <w:t>realised given the uncertain impact of ulipristal on surgical outcomes</w:t>
      </w:r>
      <w:r w:rsidR="00D114FF">
        <w:rPr>
          <w:szCs w:val="22"/>
        </w:rPr>
        <w:t>.</w:t>
      </w:r>
      <w:r w:rsidR="006A3AD2">
        <w:rPr>
          <w:szCs w:val="22"/>
        </w:rPr>
        <w:t xml:space="preserve"> </w:t>
      </w:r>
    </w:p>
    <w:p w:rsidR="00342EF7" w:rsidRPr="00342EF7" w:rsidRDefault="00342EF7" w:rsidP="00342EF7">
      <w:pPr>
        <w:pStyle w:val="ListParagraph"/>
        <w:rPr>
          <w:szCs w:val="22"/>
        </w:rPr>
      </w:pPr>
    </w:p>
    <w:p w:rsidR="00342EF7" w:rsidRPr="00633BF2" w:rsidRDefault="00342EF7" w:rsidP="00342EF7">
      <w:pPr>
        <w:pStyle w:val="ListParagraph"/>
        <w:numPr>
          <w:ilvl w:val="1"/>
          <w:numId w:val="3"/>
        </w:numPr>
        <w:rPr>
          <w:szCs w:val="22"/>
        </w:rPr>
      </w:pPr>
      <w:r w:rsidRPr="00633BF2">
        <w:rPr>
          <w:szCs w:val="22"/>
        </w:rPr>
        <w:t>The PBAC considered that a</w:t>
      </w:r>
      <w:r w:rsidR="001E0508">
        <w:rPr>
          <w:szCs w:val="22"/>
        </w:rPr>
        <w:t>ny resubmission should</w:t>
      </w:r>
      <w:r w:rsidR="001C5ABB">
        <w:rPr>
          <w:szCs w:val="22"/>
        </w:rPr>
        <w:t xml:space="preserve"> be a</w:t>
      </w:r>
      <w:r w:rsidRPr="00633BF2">
        <w:rPr>
          <w:szCs w:val="22"/>
        </w:rPr>
        <w:t xml:space="preserve"> major submission </w:t>
      </w:r>
      <w:r w:rsidR="001C5ABB">
        <w:rPr>
          <w:szCs w:val="22"/>
        </w:rPr>
        <w:t>with</w:t>
      </w:r>
      <w:r w:rsidRPr="00633BF2">
        <w:rPr>
          <w:szCs w:val="22"/>
        </w:rPr>
        <w:t xml:space="preserve"> the clinical place </w:t>
      </w:r>
      <w:r w:rsidR="001E0508">
        <w:rPr>
          <w:szCs w:val="22"/>
        </w:rPr>
        <w:t xml:space="preserve">and benefits of </w:t>
      </w:r>
      <w:r w:rsidRPr="00633BF2">
        <w:rPr>
          <w:szCs w:val="22"/>
        </w:rPr>
        <w:t>ulipristal</w:t>
      </w:r>
      <w:r w:rsidR="001E0508">
        <w:rPr>
          <w:szCs w:val="22"/>
        </w:rPr>
        <w:t xml:space="preserve"> clearly defined compared with the treatments currently utilised in clinical practice</w:t>
      </w:r>
      <w:r w:rsidRPr="00633BF2">
        <w:rPr>
          <w:szCs w:val="22"/>
        </w:rPr>
        <w:t xml:space="preserve">. </w:t>
      </w:r>
    </w:p>
    <w:p w:rsidR="00342EF7" w:rsidRPr="00342EF7" w:rsidRDefault="00342EF7" w:rsidP="00342EF7">
      <w:pPr>
        <w:pStyle w:val="ListParagraph"/>
        <w:rPr>
          <w:szCs w:val="22"/>
        </w:rPr>
      </w:pPr>
    </w:p>
    <w:p w:rsidR="00342EF7" w:rsidRPr="00342EF7" w:rsidRDefault="00342EF7" w:rsidP="00342EF7">
      <w:pPr>
        <w:pStyle w:val="ListParagraph"/>
        <w:numPr>
          <w:ilvl w:val="1"/>
          <w:numId w:val="3"/>
        </w:numPr>
        <w:rPr>
          <w:szCs w:val="22"/>
        </w:rPr>
      </w:pPr>
      <w:r w:rsidRPr="00342EF7">
        <w:rPr>
          <w:szCs w:val="22"/>
        </w:rPr>
        <w:t xml:space="preserve">The PBAC noted that this submission is eligible for an Independent Review. </w:t>
      </w:r>
    </w:p>
    <w:p w:rsidR="00D32E2C" w:rsidRPr="0069654D" w:rsidRDefault="00D32E2C" w:rsidP="00D32E2C">
      <w:pPr>
        <w:rPr>
          <w:bCs/>
          <w:highlight w:val="yellow"/>
          <w:lang w:val="en-GB"/>
        </w:rPr>
      </w:pPr>
    </w:p>
    <w:p w:rsidR="00D32E2C" w:rsidRPr="00D849DD" w:rsidRDefault="00D32E2C" w:rsidP="00D32E2C">
      <w:pPr>
        <w:rPr>
          <w:b/>
          <w:bCs/>
          <w:lang w:val="en-GB"/>
        </w:rPr>
      </w:pPr>
      <w:r w:rsidRPr="00D849DD">
        <w:rPr>
          <w:b/>
          <w:bCs/>
          <w:lang w:val="en-GB"/>
        </w:rPr>
        <w:t>Outcome:</w:t>
      </w:r>
    </w:p>
    <w:p w:rsidR="00D32E2C" w:rsidRDefault="00D32E2C" w:rsidP="00D32E2C">
      <w:pPr>
        <w:rPr>
          <w:bCs/>
          <w:lang w:val="en-GB"/>
        </w:rPr>
      </w:pPr>
      <w:r w:rsidRPr="00D849DD">
        <w:rPr>
          <w:bCs/>
          <w:lang w:val="en-GB"/>
        </w:rPr>
        <w:t>Rejected</w:t>
      </w:r>
    </w:p>
    <w:p w:rsidR="00691769" w:rsidRDefault="00691769" w:rsidP="00D32E2C">
      <w:pPr>
        <w:rPr>
          <w:bCs/>
          <w:lang w:val="en-GB"/>
        </w:rPr>
      </w:pPr>
    </w:p>
    <w:p w:rsidR="00A161AB" w:rsidRDefault="00A161AB" w:rsidP="00D32E2C">
      <w:pPr>
        <w:rPr>
          <w:bCs/>
          <w:lang w:val="en-GB"/>
        </w:rPr>
      </w:pPr>
    </w:p>
    <w:p w:rsidR="00691769" w:rsidRDefault="00691769" w:rsidP="00691769">
      <w:pPr>
        <w:pStyle w:val="PBACHeading10"/>
        <w:numPr>
          <w:ilvl w:val="0"/>
          <w:numId w:val="3"/>
        </w:numPr>
        <w:ind w:left="709" w:hanging="709"/>
        <w:outlineLvl w:val="0"/>
      </w:pPr>
      <w:r w:rsidRPr="00485DD3">
        <w:t>Context for Decision</w:t>
      </w:r>
    </w:p>
    <w:p w:rsidR="00691769" w:rsidRDefault="00691769" w:rsidP="00691769">
      <w:pPr>
        <w:ind w:left="709"/>
      </w:pPr>
    </w:p>
    <w:p w:rsidR="00691769" w:rsidRDefault="00691769" w:rsidP="00691769">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91769" w:rsidRDefault="00691769" w:rsidP="00691769">
      <w:pPr>
        <w:ind w:left="709"/>
      </w:pPr>
    </w:p>
    <w:p w:rsidR="00691769" w:rsidRDefault="00691769" w:rsidP="00691769">
      <w:pPr>
        <w:ind w:left="709"/>
      </w:pPr>
    </w:p>
    <w:p w:rsidR="00691769" w:rsidRPr="00B0280B" w:rsidRDefault="00691769" w:rsidP="00691769">
      <w:pPr>
        <w:pStyle w:val="PBACHeading10"/>
        <w:numPr>
          <w:ilvl w:val="0"/>
          <w:numId w:val="3"/>
        </w:numPr>
        <w:ind w:left="709" w:hanging="709"/>
        <w:outlineLvl w:val="0"/>
      </w:pPr>
      <w:r w:rsidRPr="00485DD3">
        <w:t>Sponsor’s Comment</w:t>
      </w:r>
    </w:p>
    <w:p w:rsidR="00691769" w:rsidRDefault="00691769" w:rsidP="00691769">
      <w:pPr>
        <w:ind w:left="709"/>
        <w:rPr>
          <w:bCs/>
          <w:highlight w:val="yellow"/>
          <w:lang w:val="en-GB"/>
        </w:rPr>
      </w:pPr>
    </w:p>
    <w:p w:rsidR="00186EF2" w:rsidRPr="00186EF2" w:rsidRDefault="00186EF2" w:rsidP="00186EF2">
      <w:pPr>
        <w:spacing w:after="120"/>
        <w:ind w:left="709"/>
        <w:rPr>
          <w:bCs/>
        </w:rPr>
      </w:pPr>
      <w:r w:rsidRPr="00186EF2">
        <w:rPr>
          <w:bCs/>
        </w:rPr>
        <w:t xml:space="preserve">Ulipristal (5 mg tablets) is a rapidly emerging standard of care for treatment of moderate to severe uterine fibroids, in both short-term pre-surgical and longer-term intermittent treatment settings, and is now widely reimbursed for such use across Europe.  </w:t>
      </w:r>
    </w:p>
    <w:p w:rsidR="00186EF2" w:rsidRPr="00186EF2" w:rsidRDefault="00186EF2" w:rsidP="00186EF2">
      <w:pPr>
        <w:spacing w:after="120"/>
        <w:ind w:left="709"/>
        <w:rPr>
          <w:bCs/>
        </w:rPr>
      </w:pPr>
      <w:r w:rsidRPr="00186EF2">
        <w:rPr>
          <w:bCs/>
        </w:rPr>
        <w:t>Vifor Pharma is therefore greatly disappointed with the PBAC’s decision to reject Ulipristal for a second time, and unclear as to how PBS listing could realistically be achieved, given existing, planned and practic</w:t>
      </w:r>
      <w:r w:rsidR="005A3608">
        <w:rPr>
          <w:bCs/>
        </w:rPr>
        <w:t>ally feasible clinical trials.</w:t>
      </w:r>
    </w:p>
    <w:p w:rsidR="00186EF2" w:rsidRPr="00186EF2" w:rsidRDefault="00186EF2" w:rsidP="00186EF2">
      <w:pPr>
        <w:spacing w:after="120"/>
        <w:ind w:left="709"/>
        <w:rPr>
          <w:bCs/>
          <w:lang w:val="en-GB"/>
        </w:rPr>
      </w:pPr>
      <w:r w:rsidRPr="00186EF2">
        <w:rPr>
          <w:bCs/>
        </w:rPr>
        <w:t>Notwithstanding this, Vifor remains committed to ensuring this important medicine is made available in some way to Australian patients with moderate to severe symptoms of uterine fibroids, and will continue to work towards this aim.</w:t>
      </w:r>
    </w:p>
    <w:p w:rsidR="00691769" w:rsidRPr="00952B48" w:rsidRDefault="00691769" w:rsidP="00186EF2">
      <w:pPr>
        <w:spacing w:after="120"/>
        <w:ind w:left="709"/>
        <w:rPr>
          <w:rStyle w:val="IntenseReference"/>
          <w:b w:val="0"/>
          <w:smallCaps w:val="0"/>
          <w:color w:val="auto"/>
          <w:spacing w:val="0"/>
          <w:u w:val="none"/>
          <w:lang w:val="en-GB"/>
        </w:rPr>
      </w:pPr>
    </w:p>
    <w:sectPr w:rsidR="00691769" w:rsidRPr="00952B48" w:rsidSect="00E21358">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82702F" w15:done="0"/>
  <w15:commentEx w15:paraId="136B0AB0" w15:done="0"/>
  <w15:commentEx w15:paraId="0680D8B1" w15:done="0"/>
  <w15:commentEx w15:paraId="68C17A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91A" w:rsidRDefault="006C091A" w:rsidP="00124A51">
      <w:r>
        <w:separator/>
      </w:r>
    </w:p>
  </w:endnote>
  <w:endnote w:type="continuationSeparator" w:id="0">
    <w:p w:rsidR="006C091A" w:rsidRDefault="006C091A"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Arial"/>
    <w:panose1 w:val="020B0704020202020204"/>
    <w:charset w:val="59"/>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1A" w:rsidRDefault="006C09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C" w:rsidRPr="00D13A3E" w:rsidRDefault="001D1A4C" w:rsidP="00015886">
    <w:pPr>
      <w:ind w:right="360"/>
      <w:jc w:val="center"/>
      <w:rPr>
        <w:b/>
        <w:sz w:val="20"/>
      </w:rPr>
    </w:pPr>
  </w:p>
  <w:p w:rsidR="001D1A4C" w:rsidRPr="00015886" w:rsidRDefault="001D1A4C" w:rsidP="00304BE0">
    <w:pPr>
      <w:ind w:right="360"/>
      <w:jc w:val="center"/>
      <w:rPr>
        <w:b/>
        <w:sz w:val="20"/>
      </w:rPr>
    </w:pPr>
    <w:r>
      <w:rPr>
        <w:sz w:val="20"/>
      </w:rPr>
      <w:tab/>
    </w:r>
    <w:r w:rsidRPr="00651169">
      <w:rPr>
        <w:sz w:val="20"/>
      </w:rPr>
      <w:fldChar w:fldCharType="begin"/>
    </w:r>
    <w:r w:rsidRPr="00651169">
      <w:rPr>
        <w:sz w:val="20"/>
      </w:rPr>
      <w:instrText xml:space="preserve"> PAGE   \* MERGEFORMAT </w:instrText>
    </w:r>
    <w:r w:rsidRPr="00651169">
      <w:rPr>
        <w:sz w:val="20"/>
      </w:rPr>
      <w:fldChar w:fldCharType="separate"/>
    </w:r>
    <w:r w:rsidR="006C091A">
      <w:rPr>
        <w:noProof/>
        <w:sz w:val="20"/>
      </w:rPr>
      <w:t>24</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1A" w:rsidRDefault="006C0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91A" w:rsidRDefault="006C091A" w:rsidP="00124A51">
      <w:r>
        <w:separator/>
      </w:r>
    </w:p>
  </w:footnote>
  <w:footnote w:type="continuationSeparator" w:id="0">
    <w:p w:rsidR="006C091A" w:rsidRDefault="006C091A" w:rsidP="00124A51">
      <w:r>
        <w:continuationSeparator/>
      </w:r>
    </w:p>
  </w:footnote>
  <w:footnote w:id="1">
    <w:p w:rsidR="001D1A4C" w:rsidRDefault="001D1A4C" w:rsidP="006A450B">
      <w:pPr>
        <w:pStyle w:val="FootnoteText"/>
        <w:ind w:left="720"/>
      </w:pPr>
      <w:r w:rsidRPr="00E264F5">
        <w:rPr>
          <w:rStyle w:val="FootnoteReference"/>
          <w:rFonts w:ascii="Arial Narrow" w:hAnsi="Arial Narrow"/>
        </w:rPr>
        <w:footnoteRef/>
      </w:r>
      <w:r w:rsidRPr="00E264F5">
        <w:rPr>
          <w:rFonts w:ascii="Arial Narrow" w:hAnsi="Arial Narrow"/>
        </w:rPr>
        <w:t xml:space="preserve"> </w:t>
      </w:r>
      <w:r w:rsidRPr="00E264F5">
        <w:rPr>
          <w:rFonts w:ascii="Arial Narrow" w:hAnsi="Arial Narrow"/>
          <w:sz w:val="18"/>
          <w:szCs w:val="18"/>
        </w:rPr>
        <w:t>Donnez J, Tatarchuk TF</w:t>
      </w:r>
      <w:r w:rsidRPr="00E264F5">
        <w:rPr>
          <w:rFonts w:ascii="Arial Narrow" w:hAnsi="Arial Narrow"/>
          <w:i/>
          <w:sz w:val="18"/>
          <w:szCs w:val="18"/>
        </w:rPr>
        <w:t>, et al.</w:t>
      </w:r>
      <w:r w:rsidRPr="00E264F5">
        <w:rPr>
          <w:rFonts w:ascii="Arial Narrow" w:hAnsi="Arial Narrow"/>
          <w:sz w:val="18"/>
          <w:szCs w:val="18"/>
        </w:rPr>
        <w:t xml:space="preserve"> Ulipristal acetate versus placebo for fibroid treatment before surgery</w:t>
      </w:r>
      <w:r w:rsidRPr="00E264F5">
        <w:rPr>
          <w:rFonts w:ascii="Arial Narrow" w:hAnsi="Arial Narrow"/>
        </w:rPr>
        <w:t xml:space="preserve">. </w:t>
      </w:r>
      <w:r w:rsidRPr="00E264F5">
        <w:rPr>
          <w:rFonts w:ascii="Arial Narrow" w:hAnsi="Arial Narrow"/>
          <w:i/>
        </w:rPr>
        <w:t xml:space="preserve">N Engl J </w:t>
      </w:r>
      <w:r w:rsidRPr="00E264F5">
        <w:rPr>
          <w:rFonts w:ascii="Arial Narrow" w:hAnsi="Arial Narrow"/>
          <w:i/>
          <w:sz w:val="18"/>
          <w:szCs w:val="18"/>
        </w:rPr>
        <w:t>Med</w:t>
      </w:r>
      <w:r w:rsidRPr="00E264F5">
        <w:rPr>
          <w:rFonts w:ascii="Arial Narrow" w:hAnsi="Arial Narrow"/>
          <w:sz w:val="18"/>
          <w:szCs w:val="18"/>
        </w:rPr>
        <w:t>. 2012; 366 (5):409-20.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1A" w:rsidRDefault="006C09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C" w:rsidRPr="00DF217D" w:rsidRDefault="001D1A4C" w:rsidP="0059313D">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March 2017 </w:t>
    </w:r>
    <w:r w:rsidRPr="00DF217D">
      <w:rPr>
        <w:i/>
        <w:color w:val="808080"/>
      </w:rPr>
      <w:t>PBAC</w:t>
    </w:r>
    <w:r>
      <w:rPr>
        <w:i/>
        <w:color w:val="808080"/>
      </w:rPr>
      <w:t xml:space="preserve"> </w:t>
    </w:r>
    <w:r w:rsidRPr="00DF217D">
      <w:rPr>
        <w:i/>
        <w:color w:val="808080"/>
      </w:rPr>
      <w:t>Meeting</w:t>
    </w:r>
  </w:p>
  <w:p w:rsidR="001D1A4C" w:rsidRPr="008C7ECB" w:rsidRDefault="001D1A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1A" w:rsidRDefault="006C09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74E7BC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DB6EC1"/>
    <w:multiLevelType w:val="hybridMultilevel"/>
    <w:tmpl w:val="C7FCC2DC"/>
    <w:lvl w:ilvl="0" w:tplc="04090001">
      <w:start w:val="1"/>
      <w:numFmt w:val="bullet"/>
      <w:lvlText w:val=""/>
      <w:lvlJc w:val="left"/>
      <w:pPr>
        <w:ind w:left="720" w:hanging="360"/>
      </w:pPr>
      <w:rPr>
        <w:rFonts w:ascii="Symbol" w:hAnsi="Symbol" w:hint="default"/>
      </w:rPr>
    </w:lvl>
    <w:lvl w:ilvl="1" w:tplc="E31ADBC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D0A9D"/>
    <w:multiLevelType w:val="hybridMultilevel"/>
    <w:tmpl w:val="91362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3106A3"/>
    <w:multiLevelType w:val="hybridMultilevel"/>
    <w:tmpl w:val="484CDA9A"/>
    <w:lvl w:ilvl="0" w:tplc="0C090011">
      <w:start w:val="1"/>
      <w:numFmt w:val="decimal"/>
      <w:lvlText w:val="%1)"/>
      <w:lvlJc w:val="lef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
    <w:nsid w:val="08491718"/>
    <w:multiLevelType w:val="hybridMultilevel"/>
    <w:tmpl w:val="484CDA9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D9F3C2F"/>
    <w:multiLevelType w:val="hybridMultilevel"/>
    <w:tmpl w:val="C72A09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1115C32"/>
    <w:multiLevelType w:val="hybridMultilevel"/>
    <w:tmpl w:val="5282CA4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1937964"/>
    <w:multiLevelType w:val="hybridMultilevel"/>
    <w:tmpl w:val="22BAAA8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B3865D8"/>
    <w:multiLevelType w:val="hybridMultilevel"/>
    <w:tmpl w:val="A606E8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793F8D"/>
    <w:multiLevelType w:val="hybridMultilevel"/>
    <w:tmpl w:val="6D664740"/>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3">
    <w:nsid w:val="27B92AA7"/>
    <w:multiLevelType w:val="hybridMultilevel"/>
    <w:tmpl w:val="11DEB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D65E5E"/>
    <w:multiLevelType w:val="hybridMultilevel"/>
    <w:tmpl w:val="ECC62962"/>
    <w:lvl w:ilvl="0" w:tplc="FB241C3E">
      <w:start w:val="1"/>
      <w:numFmt w:val="bullet"/>
      <w:lvlText w:val="•"/>
      <w:lvlJc w:val="left"/>
      <w:pPr>
        <w:tabs>
          <w:tab w:val="num" w:pos="720"/>
        </w:tabs>
        <w:ind w:left="720" w:hanging="360"/>
      </w:pPr>
      <w:rPr>
        <w:rFonts w:ascii="Arial" w:hAnsi="Arial" w:hint="default"/>
      </w:rPr>
    </w:lvl>
    <w:lvl w:ilvl="1" w:tplc="ED82245A" w:tentative="1">
      <w:start w:val="1"/>
      <w:numFmt w:val="bullet"/>
      <w:lvlText w:val="•"/>
      <w:lvlJc w:val="left"/>
      <w:pPr>
        <w:tabs>
          <w:tab w:val="num" w:pos="1440"/>
        </w:tabs>
        <w:ind w:left="1440" w:hanging="360"/>
      </w:pPr>
      <w:rPr>
        <w:rFonts w:ascii="Arial" w:hAnsi="Arial" w:hint="default"/>
      </w:rPr>
    </w:lvl>
    <w:lvl w:ilvl="2" w:tplc="D5E088B8" w:tentative="1">
      <w:start w:val="1"/>
      <w:numFmt w:val="bullet"/>
      <w:lvlText w:val="•"/>
      <w:lvlJc w:val="left"/>
      <w:pPr>
        <w:tabs>
          <w:tab w:val="num" w:pos="2160"/>
        </w:tabs>
        <w:ind w:left="2160" w:hanging="360"/>
      </w:pPr>
      <w:rPr>
        <w:rFonts w:ascii="Arial" w:hAnsi="Arial" w:hint="default"/>
      </w:rPr>
    </w:lvl>
    <w:lvl w:ilvl="3" w:tplc="7FB82012" w:tentative="1">
      <w:start w:val="1"/>
      <w:numFmt w:val="bullet"/>
      <w:lvlText w:val="•"/>
      <w:lvlJc w:val="left"/>
      <w:pPr>
        <w:tabs>
          <w:tab w:val="num" w:pos="2880"/>
        </w:tabs>
        <w:ind w:left="2880" w:hanging="360"/>
      </w:pPr>
      <w:rPr>
        <w:rFonts w:ascii="Arial" w:hAnsi="Arial" w:hint="default"/>
      </w:rPr>
    </w:lvl>
    <w:lvl w:ilvl="4" w:tplc="C0983B02" w:tentative="1">
      <w:start w:val="1"/>
      <w:numFmt w:val="bullet"/>
      <w:lvlText w:val="•"/>
      <w:lvlJc w:val="left"/>
      <w:pPr>
        <w:tabs>
          <w:tab w:val="num" w:pos="3600"/>
        </w:tabs>
        <w:ind w:left="3600" w:hanging="360"/>
      </w:pPr>
      <w:rPr>
        <w:rFonts w:ascii="Arial" w:hAnsi="Arial" w:hint="default"/>
      </w:rPr>
    </w:lvl>
    <w:lvl w:ilvl="5" w:tplc="14E29C36" w:tentative="1">
      <w:start w:val="1"/>
      <w:numFmt w:val="bullet"/>
      <w:lvlText w:val="•"/>
      <w:lvlJc w:val="left"/>
      <w:pPr>
        <w:tabs>
          <w:tab w:val="num" w:pos="4320"/>
        </w:tabs>
        <w:ind w:left="4320" w:hanging="360"/>
      </w:pPr>
      <w:rPr>
        <w:rFonts w:ascii="Arial" w:hAnsi="Arial" w:hint="default"/>
      </w:rPr>
    </w:lvl>
    <w:lvl w:ilvl="6" w:tplc="70026F40" w:tentative="1">
      <w:start w:val="1"/>
      <w:numFmt w:val="bullet"/>
      <w:lvlText w:val="•"/>
      <w:lvlJc w:val="left"/>
      <w:pPr>
        <w:tabs>
          <w:tab w:val="num" w:pos="5040"/>
        </w:tabs>
        <w:ind w:left="5040" w:hanging="360"/>
      </w:pPr>
      <w:rPr>
        <w:rFonts w:ascii="Arial" w:hAnsi="Arial" w:hint="default"/>
      </w:rPr>
    </w:lvl>
    <w:lvl w:ilvl="7" w:tplc="56B4B3DE" w:tentative="1">
      <w:start w:val="1"/>
      <w:numFmt w:val="bullet"/>
      <w:lvlText w:val="•"/>
      <w:lvlJc w:val="left"/>
      <w:pPr>
        <w:tabs>
          <w:tab w:val="num" w:pos="5760"/>
        </w:tabs>
        <w:ind w:left="5760" w:hanging="360"/>
      </w:pPr>
      <w:rPr>
        <w:rFonts w:ascii="Arial" w:hAnsi="Arial" w:hint="default"/>
      </w:rPr>
    </w:lvl>
    <w:lvl w:ilvl="8" w:tplc="BD9A6FC0" w:tentative="1">
      <w:start w:val="1"/>
      <w:numFmt w:val="bullet"/>
      <w:lvlText w:val="•"/>
      <w:lvlJc w:val="left"/>
      <w:pPr>
        <w:tabs>
          <w:tab w:val="num" w:pos="6480"/>
        </w:tabs>
        <w:ind w:left="6480" w:hanging="360"/>
      </w:pPr>
      <w:rPr>
        <w:rFonts w:ascii="Arial" w:hAnsi="Arial" w:hint="default"/>
      </w:rPr>
    </w:lvl>
  </w:abstractNum>
  <w:abstractNum w:abstractNumId="15">
    <w:nsid w:val="2DB11F8F"/>
    <w:multiLevelType w:val="hybridMultilevel"/>
    <w:tmpl w:val="CCB4BCFC"/>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9461BF"/>
    <w:multiLevelType w:val="hybridMultilevel"/>
    <w:tmpl w:val="431C01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55F4A5B"/>
    <w:multiLevelType w:val="multilevel"/>
    <w:tmpl w:val="8D6865E6"/>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B7C34E2"/>
    <w:multiLevelType w:val="hybridMultilevel"/>
    <w:tmpl w:val="F6E097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3BF27DE5"/>
    <w:multiLevelType w:val="hybridMultilevel"/>
    <w:tmpl w:val="F652431A"/>
    <w:lvl w:ilvl="0" w:tplc="A08E0218">
      <w:start w:val="1"/>
      <w:numFmt w:val="bullet"/>
      <w:lvlText w:val="–"/>
      <w:lvlJc w:val="left"/>
      <w:pPr>
        <w:tabs>
          <w:tab w:val="num" w:pos="720"/>
        </w:tabs>
        <w:ind w:left="720" w:hanging="360"/>
      </w:pPr>
      <w:rPr>
        <w:rFonts w:ascii="Arial" w:hAnsi="Arial" w:hint="default"/>
      </w:rPr>
    </w:lvl>
    <w:lvl w:ilvl="1" w:tplc="ACB2CD26">
      <w:start w:val="1"/>
      <w:numFmt w:val="bullet"/>
      <w:lvlText w:val="–"/>
      <w:lvlJc w:val="left"/>
      <w:pPr>
        <w:tabs>
          <w:tab w:val="num" w:pos="1440"/>
        </w:tabs>
        <w:ind w:left="1440" w:hanging="360"/>
      </w:pPr>
      <w:rPr>
        <w:rFonts w:ascii="Arial" w:hAnsi="Arial" w:hint="default"/>
      </w:rPr>
    </w:lvl>
    <w:lvl w:ilvl="2" w:tplc="DC5AF862" w:tentative="1">
      <w:start w:val="1"/>
      <w:numFmt w:val="bullet"/>
      <w:lvlText w:val="–"/>
      <w:lvlJc w:val="left"/>
      <w:pPr>
        <w:tabs>
          <w:tab w:val="num" w:pos="2160"/>
        </w:tabs>
        <w:ind w:left="2160" w:hanging="360"/>
      </w:pPr>
      <w:rPr>
        <w:rFonts w:ascii="Arial" w:hAnsi="Arial" w:hint="default"/>
      </w:rPr>
    </w:lvl>
    <w:lvl w:ilvl="3" w:tplc="4BFEC7A0" w:tentative="1">
      <w:start w:val="1"/>
      <w:numFmt w:val="bullet"/>
      <w:lvlText w:val="–"/>
      <w:lvlJc w:val="left"/>
      <w:pPr>
        <w:tabs>
          <w:tab w:val="num" w:pos="2880"/>
        </w:tabs>
        <w:ind w:left="2880" w:hanging="360"/>
      </w:pPr>
      <w:rPr>
        <w:rFonts w:ascii="Arial" w:hAnsi="Arial" w:hint="default"/>
      </w:rPr>
    </w:lvl>
    <w:lvl w:ilvl="4" w:tplc="E870CA68" w:tentative="1">
      <w:start w:val="1"/>
      <w:numFmt w:val="bullet"/>
      <w:lvlText w:val="–"/>
      <w:lvlJc w:val="left"/>
      <w:pPr>
        <w:tabs>
          <w:tab w:val="num" w:pos="3600"/>
        </w:tabs>
        <w:ind w:left="3600" w:hanging="360"/>
      </w:pPr>
      <w:rPr>
        <w:rFonts w:ascii="Arial" w:hAnsi="Arial" w:hint="default"/>
      </w:rPr>
    </w:lvl>
    <w:lvl w:ilvl="5" w:tplc="A7BE95DC" w:tentative="1">
      <w:start w:val="1"/>
      <w:numFmt w:val="bullet"/>
      <w:lvlText w:val="–"/>
      <w:lvlJc w:val="left"/>
      <w:pPr>
        <w:tabs>
          <w:tab w:val="num" w:pos="4320"/>
        </w:tabs>
        <w:ind w:left="4320" w:hanging="360"/>
      </w:pPr>
      <w:rPr>
        <w:rFonts w:ascii="Arial" w:hAnsi="Arial" w:hint="default"/>
      </w:rPr>
    </w:lvl>
    <w:lvl w:ilvl="6" w:tplc="BDCE0D62" w:tentative="1">
      <w:start w:val="1"/>
      <w:numFmt w:val="bullet"/>
      <w:lvlText w:val="–"/>
      <w:lvlJc w:val="left"/>
      <w:pPr>
        <w:tabs>
          <w:tab w:val="num" w:pos="5040"/>
        </w:tabs>
        <w:ind w:left="5040" w:hanging="360"/>
      </w:pPr>
      <w:rPr>
        <w:rFonts w:ascii="Arial" w:hAnsi="Arial" w:hint="default"/>
      </w:rPr>
    </w:lvl>
    <w:lvl w:ilvl="7" w:tplc="AEF8F434" w:tentative="1">
      <w:start w:val="1"/>
      <w:numFmt w:val="bullet"/>
      <w:lvlText w:val="–"/>
      <w:lvlJc w:val="left"/>
      <w:pPr>
        <w:tabs>
          <w:tab w:val="num" w:pos="5760"/>
        </w:tabs>
        <w:ind w:left="5760" w:hanging="360"/>
      </w:pPr>
      <w:rPr>
        <w:rFonts w:ascii="Arial" w:hAnsi="Arial" w:hint="default"/>
      </w:rPr>
    </w:lvl>
    <w:lvl w:ilvl="8" w:tplc="29621FB4" w:tentative="1">
      <w:start w:val="1"/>
      <w:numFmt w:val="bullet"/>
      <w:lvlText w:val="–"/>
      <w:lvlJc w:val="left"/>
      <w:pPr>
        <w:tabs>
          <w:tab w:val="num" w:pos="6480"/>
        </w:tabs>
        <w:ind w:left="6480" w:hanging="360"/>
      </w:pPr>
      <w:rPr>
        <w:rFonts w:ascii="Arial" w:hAnsi="Arial" w:hint="default"/>
      </w:rPr>
    </w:lvl>
  </w:abstractNum>
  <w:abstractNum w:abstractNumId="20">
    <w:nsid w:val="3F270F4E"/>
    <w:multiLevelType w:val="hybridMultilevel"/>
    <w:tmpl w:val="CC2C7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0B6ECC"/>
    <w:multiLevelType w:val="hybridMultilevel"/>
    <w:tmpl w:val="C1A8C6B8"/>
    <w:lvl w:ilvl="0" w:tplc="DEFAC1A4">
      <w:start w:val="1"/>
      <w:numFmt w:val="bullet"/>
      <w:pStyle w:val="NormalBulletList"/>
      <w:lvlText w:val=""/>
      <w:lvlJc w:val="left"/>
      <w:pPr>
        <w:ind w:left="2428" w:hanging="360"/>
      </w:pPr>
      <w:rPr>
        <w:rFonts w:ascii="Symbol" w:hAnsi="Symbol" w:hint="default"/>
      </w:rPr>
    </w:lvl>
    <w:lvl w:ilvl="1" w:tplc="853CC43C">
      <w:start w:val="1"/>
      <w:numFmt w:val="bullet"/>
      <w:pStyle w:val="NormalBulletList2"/>
      <w:lvlText w:val="o"/>
      <w:lvlJc w:val="left"/>
      <w:pPr>
        <w:ind w:left="3225" w:hanging="360"/>
      </w:pPr>
      <w:rPr>
        <w:rFonts w:ascii="Courier New" w:hAnsi="Courier New" w:cs="Courier New" w:hint="default"/>
      </w:rPr>
    </w:lvl>
    <w:lvl w:ilvl="2" w:tplc="61E61A46">
      <w:start w:val="1"/>
      <w:numFmt w:val="bullet"/>
      <w:lvlText w:val=""/>
      <w:lvlJc w:val="left"/>
      <w:pPr>
        <w:ind w:left="3945" w:hanging="360"/>
      </w:pPr>
      <w:rPr>
        <w:rFonts w:ascii="Wingdings" w:hAnsi="Wingdings" w:hint="default"/>
      </w:rPr>
    </w:lvl>
    <w:lvl w:ilvl="3" w:tplc="48E8658E" w:tentative="1">
      <w:start w:val="1"/>
      <w:numFmt w:val="bullet"/>
      <w:lvlText w:val=""/>
      <w:lvlJc w:val="left"/>
      <w:pPr>
        <w:ind w:left="4665" w:hanging="360"/>
      </w:pPr>
      <w:rPr>
        <w:rFonts w:ascii="Symbol" w:hAnsi="Symbol" w:hint="default"/>
      </w:rPr>
    </w:lvl>
    <w:lvl w:ilvl="4" w:tplc="4EE87910" w:tentative="1">
      <w:start w:val="1"/>
      <w:numFmt w:val="bullet"/>
      <w:lvlText w:val="o"/>
      <w:lvlJc w:val="left"/>
      <w:pPr>
        <w:ind w:left="5385" w:hanging="360"/>
      </w:pPr>
      <w:rPr>
        <w:rFonts w:ascii="Courier New" w:hAnsi="Courier New" w:cs="Courier New" w:hint="default"/>
      </w:rPr>
    </w:lvl>
    <w:lvl w:ilvl="5" w:tplc="E2D8FC36" w:tentative="1">
      <w:start w:val="1"/>
      <w:numFmt w:val="bullet"/>
      <w:lvlText w:val=""/>
      <w:lvlJc w:val="left"/>
      <w:pPr>
        <w:ind w:left="6105" w:hanging="360"/>
      </w:pPr>
      <w:rPr>
        <w:rFonts w:ascii="Wingdings" w:hAnsi="Wingdings" w:hint="default"/>
      </w:rPr>
    </w:lvl>
    <w:lvl w:ilvl="6" w:tplc="4B22A9DC" w:tentative="1">
      <w:start w:val="1"/>
      <w:numFmt w:val="bullet"/>
      <w:lvlText w:val=""/>
      <w:lvlJc w:val="left"/>
      <w:pPr>
        <w:ind w:left="6825" w:hanging="360"/>
      </w:pPr>
      <w:rPr>
        <w:rFonts w:ascii="Symbol" w:hAnsi="Symbol" w:hint="default"/>
      </w:rPr>
    </w:lvl>
    <w:lvl w:ilvl="7" w:tplc="02445202" w:tentative="1">
      <w:start w:val="1"/>
      <w:numFmt w:val="bullet"/>
      <w:lvlText w:val="o"/>
      <w:lvlJc w:val="left"/>
      <w:pPr>
        <w:ind w:left="7545" w:hanging="360"/>
      </w:pPr>
      <w:rPr>
        <w:rFonts w:ascii="Courier New" w:hAnsi="Courier New" w:cs="Courier New" w:hint="default"/>
      </w:rPr>
    </w:lvl>
    <w:lvl w:ilvl="8" w:tplc="947490A4" w:tentative="1">
      <w:start w:val="1"/>
      <w:numFmt w:val="bullet"/>
      <w:lvlText w:val=""/>
      <w:lvlJc w:val="left"/>
      <w:pPr>
        <w:ind w:left="8265" w:hanging="360"/>
      </w:pPr>
      <w:rPr>
        <w:rFonts w:ascii="Wingdings" w:hAnsi="Wingdings" w:hint="default"/>
      </w:rPr>
    </w:lvl>
  </w:abstractNum>
  <w:abstractNum w:abstractNumId="22">
    <w:nsid w:val="44C31CBC"/>
    <w:multiLevelType w:val="hybridMultilevel"/>
    <w:tmpl w:val="285CB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44792A"/>
    <w:multiLevelType w:val="hybridMultilevel"/>
    <w:tmpl w:val="22BAAA8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9AB5E94"/>
    <w:multiLevelType w:val="hybridMultilevel"/>
    <w:tmpl w:val="726875B4"/>
    <w:lvl w:ilvl="0" w:tplc="007876D6">
      <w:start w:val="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4C70254A"/>
    <w:multiLevelType w:val="hybridMultilevel"/>
    <w:tmpl w:val="6004CEBE"/>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6">
    <w:nsid w:val="4F331C97"/>
    <w:multiLevelType w:val="hybridMultilevel"/>
    <w:tmpl w:val="19206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FDF5102"/>
    <w:multiLevelType w:val="hybridMultilevel"/>
    <w:tmpl w:val="0158090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58E7024"/>
    <w:multiLevelType w:val="hybridMultilevel"/>
    <w:tmpl w:val="B72EDA4C"/>
    <w:lvl w:ilvl="0" w:tplc="53C05AAC">
      <w:start w:val="1"/>
      <w:numFmt w:val="bullet"/>
      <w:lvlText w:val="•"/>
      <w:lvlJc w:val="left"/>
      <w:pPr>
        <w:tabs>
          <w:tab w:val="num" w:pos="720"/>
        </w:tabs>
        <w:ind w:left="720" w:hanging="360"/>
      </w:pPr>
      <w:rPr>
        <w:rFonts w:ascii="Arial" w:hAnsi="Arial" w:hint="default"/>
      </w:rPr>
    </w:lvl>
    <w:lvl w:ilvl="1" w:tplc="D31206FA">
      <w:start w:val="2799"/>
      <w:numFmt w:val="bullet"/>
      <w:lvlText w:val="–"/>
      <w:lvlJc w:val="left"/>
      <w:pPr>
        <w:tabs>
          <w:tab w:val="num" w:pos="1440"/>
        </w:tabs>
        <w:ind w:left="1440" w:hanging="360"/>
      </w:pPr>
      <w:rPr>
        <w:rFonts w:ascii="Arial" w:hAnsi="Arial" w:hint="default"/>
      </w:rPr>
    </w:lvl>
    <w:lvl w:ilvl="2" w:tplc="E6D2B0BC" w:tentative="1">
      <w:start w:val="1"/>
      <w:numFmt w:val="bullet"/>
      <w:lvlText w:val="•"/>
      <w:lvlJc w:val="left"/>
      <w:pPr>
        <w:tabs>
          <w:tab w:val="num" w:pos="2160"/>
        </w:tabs>
        <w:ind w:left="2160" w:hanging="360"/>
      </w:pPr>
      <w:rPr>
        <w:rFonts w:ascii="Arial" w:hAnsi="Arial" w:hint="default"/>
      </w:rPr>
    </w:lvl>
    <w:lvl w:ilvl="3" w:tplc="D340F62A" w:tentative="1">
      <w:start w:val="1"/>
      <w:numFmt w:val="bullet"/>
      <w:lvlText w:val="•"/>
      <w:lvlJc w:val="left"/>
      <w:pPr>
        <w:tabs>
          <w:tab w:val="num" w:pos="2880"/>
        </w:tabs>
        <w:ind w:left="2880" w:hanging="360"/>
      </w:pPr>
      <w:rPr>
        <w:rFonts w:ascii="Arial" w:hAnsi="Arial" w:hint="default"/>
      </w:rPr>
    </w:lvl>
    <w:lvl w:ilvl="4" w:tplc="6D6C43AE" w:tentative="1">
      <w:start w:val="1"/>
      <w:numFmt w:val="bullet"/>
      <w:lvlText w:val="•"/>
      <w:lvlJc w:val="left"/>
      <w:pPr>
        <w:tabs>
          <w:tab w:val="num" w:pos="3600"/>
        </w:tabs>
        <w:ind w:left="3600" w:hanging="360"/>
      </w:pPr>
      <w:rPr>
        <w:rFonts w:ascii="Arial" w:hAnsi="Arial" w:hint="default"/>
      </w:rPr>
    </w:lvl>
    <w:lvl w:ilvl="5" w:tplc="B7A849C8" w:tentative="1">
      <w:start w:val="1"/>
      <w:numFmt w:val="bullet"/>
      <w:lvlText w:val="•"/>
      <w:lvlJc w:val="left"/>
      <w:pPr>
        <w:tabs>
          <w:tab w:val="num" w:pos="4320"/>
        </w:tabs>
        <w:ind w:left="4320" w:hanging="360"/>
      </w:pPr>
      <w:rPr>
        <w:rFonts w:ascii="Arial" w:hAnsi="Arial" w:hint="default"/>
      </w:rPr>
    </w:lvl>
    <w:lvl w:ilvl="6" w:tplc="F0860186" w:tentative="1">
      <w:start w:val="1"/>
      <w:numFmt w:val="bullet"/>
      <w:lvlText w:val="•"/>
      <w:lvlJc w:val="left"/>
      <w:pPr>
        <w:tabs>
          <w:tab w:val="num" w:pos="5040"/>
        </w:tabs>
        <w:ind w:left="5040" w:hanging="360"/>
      </w:pPr>
      <w:rPr>
        <w:rFonts w:ascii="Arial" w:hAnsi="Arial" w:hint="default"/>
      </w:rPr>
    </w:lvl>
    <w:lvl w:ilvl="7" w:tplc="C7A0E70C" w:tentative="1">
      <w:start w:val="1"/>
      <w:numFmt w:val="bullet"/>
      <w:lvlText w:val="•"/>
      <w:lvlJc w:val="left"/>
      <w:pPr>
        <w:tabs>
          <w:tab w:val="num" w:pos="5760"/>
        </w:tabs>
        <w:ind w:left="5760" w:hanging="360"/>
      </w:pPr>
      <w:rPr>
        <w:rFonts w:ascii="Arial" w:hAnsi="Arial" w:hint="default"/>
      </w:rPr>
    </w:lvl>
    <w:lvl w:ilvl="8" w:tplc="4FB08B22" w:tentative="1">
      <w:start w:val="1"/>
      <w:numFmt w:val="bullet"/>
      <w:lvlText w:val="•"/>
      <w:lvlJc w:val="left"/>
      <w:pPr>
        <w:tabs>
          <w:tab w:val="num" w:pos="6480"/>
        </w:tabs>
        <w:ind w:left="6480" w:hanging="360"/>
      </w:pPr>
      <w:rPr>
        <w:rFonts w:ascii="Arial" w:hAnsi="Arial" w:hint="default"/>
      </w:rPr>
    </w:lvl>
  </w:abstractNum>
  <w:abstractNum w:abstractNumId="30">
    <w:nsid w:val="55F731AC"/>
    <w:multiLevelType w:val="hybridMultilevel"/>
    <w:tmpl w:val="85C8A8C8"/>
    <w:lvl w:ilvl="0" w:tplc="A26A3E88">
      <w:start w:val="1"/>
      <w:numFmt w:val="bullet"/>
      <w:lvlText w:val="•"/>
      <w:lvlJc w:val="left"/>
      <w:pPr>
        <w:tabs>
          <w:tab w:val="num" w:pos="720"/>
        </w:tabs>
        <w:ind w:left="720" w:hanging="360"/>
      </w:pPr>
      <w:rPr>
        <w:rFonts w:ascii="Arial" w:hAnsi="Arial" w:hint="default"/>
      </w:rPr>
    </w:lvl>
    <w:lvl w:ilvl="1" w:tplc="35A2EBCC" w:tentative="1">
      <w:start w:val="1"/>
      <w:numFmt w:val="bullet"/>
      <w:lvlText w:val="•"/>
      <w:lvlJc w:val="left"/>
      <w:pPr>
        <w:tabs>
          <w:tab w:val="num" w:pos="1440"/>
        </w:tabs>
        <w:ind w:left="1440" w:hanging="360"/>
      </w:pPr>
      <w:rPr>
        <w:rFonts w:ascii="Arial" w:hAnsi="Arial" w:hint="default"/>
      </w:rPr>
    </w:lvl>
    <w:lvl w:ilvl="2" w:tplc="7A4AF3A0" w:tentative="1">
      <w:start w:val="1"/>
      <w:numFmt w:val="bullet"/>
      <w:lvlText w:val="•"/>
      <w:lvlJc w:val="left"/>
      <w:pPr>
        <w:tabs>
          <w:tab w:val="num" w:pos="2160"/>
        </w:tabs>
        <w:ind w:left="2160" w:hanging="360"/>
      </w:pPr>
      <w:rPr>
        <w:rFonts w:ascii="Arial" w:hAnsi="Arial" w:hint="default"/>
      </w:rPr>
    </w:lvl>
    <w:lvl w:ilvl="3" w:tplc="F1EEED9E" w:tentative="1">
      <w:start w:val="1"/>
      <w:numFmt w:val="bullet"/>
      <w:lvlText w:val="•"/>
      <w:lvlJc w:val="left"/>
      <w:pPr>
        <w:tabs>
          <w:tab w:val="num" w:pos="2880"/>
        </w:tabs>
        <w:ind w:left="2880" w:hanging="360"/>
      </w:pPr>
      <w:rPr>
        <w:rFonts w:ascii="Arial" w:hAnsi="Arial" w:hint="default"/>
      </w:rPr>
    </w:lvl>
    <w:lvl w:ilvl="4" w:tplc="52C83C7E" w:tentative="1">
      <w:start w:val="1"/>
      <w:numFmt w:val="bullet"/>
      <w:lvlText w:val="•"/>
      <w:lvlJc w:val="left"/>
      <w:pPr>
        <w:tabs>
          <w:tab w:val="num" w:pos="3600"/>
        </w:tabs>
        <w:ind w:left="3600" w:hanging="360"/>
      </w:pPr>
      <w:rPr>
        <w:rFonts w:ascii="Arial" w:hAnsi="Arial" w:hint="default"/>
      </w:rPr>
    </w:lvl>
    <w:lvl w:ilvl="5" w:tplc="195A16D8" w:tentative="1">
      <w:start w:val="1"/>
      <w:numFmt w:val="bullet"/>
      <w:lvlText w:val="•"/>
      <w:lvlJc w:val="left"/>
      <w:pPr>
        <w:tabs>
          <w:tab w:val="num" w:pos="4320"/>
        </w:tabs>
        <w:ind w:left="4320" w:hanging="360"/>
      </w:pPr>
      <w:rPr>
        <w:rFonts w:ascii="Arial" w:hAnsi="Arial" w:hint="default"/>
      </w:rPr>
    </w:lvl>
    <w:lvl w:ilvl="6" w:tplc="E0F22520" w:tentative="1">
      <w:start w:val="1"/>
      <w:numFmt w:val="bullet"/>
      <w:lvlText w:val="•"/>
      <w:lvlJc w:val="left"/>
      <w:pPr>
        <w:tabs>
          <w:tab w:val="num" w:pos="5040"/>
        </w:tabs>
        <w:ind w:left="5040" w:hanging="360"/>
      </w:pPr>
      <w:rPr>
        <w:rFonts w:ascii="Arial" w:hAnsi="Arial" w:hint="default"/>
      </w:rPr>
    </w:lvl>
    <w:lvl w:ilvl="7" w:tplc="C81ECE04" w:tentative="1">
      <w:start w:val="1"/>
      <w:numFmt w:val="bullet"/>
      <w:lvlText w:val="•"/>
      <w:lvlJc w:val="left"/>
      <w:pPr>
        <w:tabs>
          <w:tab w:val="num" w:pos="5760"/>
        </w:tabs>
        <w:ind w:left="5760" w:hanging="360"/>
      </w:pPr>
      <w:rPr>
        <w:rFonts w:ascii="Arial" w:hAnsi="Arial" w:hint="default"/>
      </w:rPr>
    </w:lvl>
    <w:lvl w:ilvl="8" w:tplc="EDCAFD2A" w:tentative="1">
      <w:start w:val="1"/>
      <w:numFmt w:val="bullet"/>
      <w:lvlText w:val="•"/>
      <w:lvlJc w:val="left"/>
      <w:pPr>
        <w:tabs>
          <w:tab w:val="num" w:pos="6480"/>
        </w:tabs>
        <w:ind w:left="6480" w:hanging="360"/>
      </w:pPr>
      <w:rPr>
        <w:rFonts w:ascii="Arial" w:hAnsi="Arial" w:hint="default"/>
      </w:rPr>
    </w:lvl>
  </w:abstractNum>
  <w:abstractNum w:abstractNumId="31">
    <w:nsid w:val="59863191"/>
    <w:multiLevelType w:val="hybridMultilevel"/>
    <w:tmpl w:val="0B38C3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AB81D2B"/>
    <w:multiLevelType w:val="hybridMultilevel"/>
    <w:tmpl w:val="44F4B060"/>
    <w:lvl w:ilvl="0" w:tplc="F00CB5BE">
      <w:start w:val="1"/>
      <w:numFmt w:val="bullet"/>
      <w:lvlText w:val="•"/>
      <w:lvlJc w:val="left"/>
      <w:pPr>
        <w:tabs>
          <w:tab w:val="num" w:pos="720"/>
        </w:tabs>
        <w:ind w:left="720" w:hanging="360"/>
      </w:pPr>
      <w:rPr>
        <w:rFonts w:ascii="Arial" w:hAnsi="Arial" w:hint="default"/>
      </w:rPr>
    </w:lvl>
    <w:lvl w:ilvl="1" w:tplc="C4C42604">
      <w:start w:val="3150"/>
      <w:numFmt w:val="bullet"/>
      <w:lvlText w:val="•"/>
      <w:lvlJc w:val="left"/>
      <w:pPr>
        <w:tabs>
          <w:tab w:val="num" w:pos="1440"/>
        </w:tabs>
        <w:ind w:left="1440" w:hanging="360"/>
      </w:pPr>
      <w:rPr>
        <w:rFonts w:ascii="Arial" w:hAnsi="Arial" w:hint="default"/>
      </w:rPr>
    </w:lvl>
    <w:lvl w:ilvl="2" w:tplc="B7F01BF8" w:tentative="1">
      <w:start w:val="1"/>
      <w:numFmt w:val="bullet"/>
      <w:lvlText w:val="•"/>
      <w:lvlJc w:val="left"/>
      <w:pPr>
        <w:tabs>
          <w:tab w:val="num" w:pos="2160"/>
        </w:tabs>
        <w:ind w:left="2160" w:hanging="360"/>
      </w:pPr>
      <w:rPr>
        <w:rFonts w:ascii="Arial" w:hAnsi="Arial" w:hint="default"/>
      </w:rPr>
    </w:lvl>
    <w:lvl w:ilvl="3" w:tplc="48149FC0" w:tentative="1">
      <w:start w:val="1"/>
      <w:numFmt w:val="bullet"/>
      <w:lvlText w:val="•"/>
      <w:lvlJc w:val="left"/>
      <w:pPr>
        <w:tabs>
          <w:tab w:val="num" w:pos="2880"/>
        </w:tabs>
        <w:ind w:left="2880" w:hanging="360"/>
      </w:pPr>
      <w:rPr>
        <w:rFonts w:ascii="Arial" w:hAnsi="Arial" w:hint="default"/>
      </w:rPr>
    </w:lvl>
    <w:lvl w:ilvl="4" w:tplc="37A29D6E" w:tentative="1">
      <w:start w:val="1"/>
      <w:numFmt w:val="bullet"/>
      <w:lvlText w:val="•"/>
      <w:lvlJc w:val="left"/>
      <w:pPr>
        <w:tabs>
          <w:tab w:val="num" w:pos="3600"/>
        </w:tabs>
        <w:ind w:left="3600" w:hanging="360"/>
      </w:pPr>
      <w:rPr>
        <w:rFonts w:ascii="Arial" w:hAnsi="Arial" w:hint="default"/>
      </w:rPr>
    </w:lvl>
    <w:lvl w:ilvl="5" w:tplc="25187996" w:tentative="1">
      <w:start w:val="1"/>
      <w:numFmt w:val="bullet"/>
      <w:lvlText w:val="•"/>
      <w:lvlJc w:val="left"/>
      <w:pPr>
        <w:tabs>
          <w:tab w:val="num" w:pos="4320"/>
        </w:tabs>
        <w:ind w:left="4320" w:hanging="360"/>
      </w:pPr>
      <w:rPr>
        <w:rFonts w:ascii="Arial" w:hAnsi="Arial" w:hint="default"/>
      </w:rPr>
    </w:lvl>
    <w:lvl w:ilvl="6" w:tplc="0D8AA7FC" w:tentative="1">
      <w:start w:val="1"/>
      <w:numFmt w:val="bullet"/>
      <w:lvlText w:val="•"/>
      <w:lvlJc w:val="left"/>
      <w:pPr>
        <w:tabs>
          <w:tab w:val="num" w:pos="5040"/>
        </w:tabs>
        <w:ind w:left="5040" w:hanging="360"/>
      </w:pPr>
      <w:rPr>
        <w:rFonts w:ascii="Arial" w:hAnsi="Arial" w:hint="default"/>
      </w:rPr>
    </w:lvl>
    <w:lvl w:ilvl="7" w:tplc="F19C99AE" w:tentative="1">
      <w:start w:val="1"/>
      <w:numFmt w:val="bullet"/>
      <w:lvlText w:val="•"/>
      <w:lvlJc w:val="left"/>
      <w:pPr>
        <w:tabs>
          <w:tab w:val="num" w:pos="5760"/>
        </w:tabs>
        <w:ind w:left="5760" w:hanging="360"/>
      </w:pPr>
      <w:rPr>
        <w:rFonts w:ascii="Arial" w:hAnsi="Arial" w:hint="default"/>
      </w:rPr>
    </w:lvl>
    <w:lvl w:ilvl="8" w:tplc="25B4D32A" w:tentative="1">
      <w:start w:val="1"/>
      <w:numFmt w:val="bullet"/>
      <w:lvlText w:val="•"/>
      <w:lvlJc w:val="left"/>
      <w:pPr>
        <w:tabs>
          <w:tab w:val="num" w:pos="6480"/>
        </w:tabs>
        <w:ind w:left="6480" w:hanging="360"/>
      </w:pPr>
      <w:rPr>
        <w:rFonts w:ascii="Arial" w:hAnsi="Arial" w:hint="default"/>
      </w:rPr>
    </w:lvl>
  </w:abstractNum>
  <w:abstractNum w:abstractNumId="33">
    <w:nsid w:val="611401A1"/>
    <w:multiLevelType w:val="hybridMultilevel"/>
    <w:tmpl w:val="71065E72"/>
    <w:lvl w:ilvl="0" w:tplc="D2F475D2">
      <w:start w:val="1"/>
      <w:numFmt w:val="bullet"/>
      <w:lvlText w:val="•"/>
      <w:lvlJc w:val="left"/>
      <w:pPr>
        <w:tabs>
          <w:tab w:val="num" w:pos="720"/>
        </w:tabs>
        <w:ind w:left="720" w:hanging="360"/>
      </w:pPr>
      <w:rPr>
        <w:rFonts w:ascii="Arial" w:hAnsi="Arial" w:hint="default"/>
      </w:rPr>
    </w:lvl>
    <w:lvl w:ilvl="1" w:tplc="53DCB426" w:tentative="1">
      <w:start w:val="1"/>
      <w:numFmt w:val="bullet"/>
      <w:lvlText w:val="•"/>
      <w:lvlJc w:val="left"/>
      <w:pPr>
        <w:tabs>
          <w:tab w:val="num" w:pos="1440"/>
        </w:tabs>
        <w:ind w:left="1440" w:hanging="360"/>
      </w:pPr>
      <w:rPr>
        <w:rFonts w:ascii="Arial" w:hAnsi="Arial" w:hint="default"/>
      </w:rPr>
    </w:lvl>
    <w:lvl w:ilvl="2" w:tplc="9AAC4E3E" w:tentative="1">
      <w:start w:val="1"/>
      <w:numFmt w:val="bullet"/>
      <w:lvlText w:val="•"/>
      <w:lvlJc w:val="left"/>
      <w:pPr>
        <w:tabs>
          <w:tab w:val="num" w:pos="2160"/>
        </w:tabs>
        <w:ind w:left="2160" w:hanging="360"/>
      </w:pPr>
      <w:rPr>
        <w:rFonts w:ascii="Arial" w:hAnsi="Arial" w:hint="default"/>
      </w:rPr>
    </w:lvl>
    <w:lvl w:ilvl="3" w:tplc="34B2DCA0" w:tentative="1">
      <w:start w:val="1"/>
      <w:numFmt w:val="bullet"/>
      <w:lvlText w:val="•"/>
      <w:lvlJc w:val="left"/>
      <w:pPr>
        <w:tabs>
          <w:tab w:val="num" w:pos="2880"/>
        </w:tabs>
        <w:ind w:left="2880" w:hanging="360"/>
      </w:pPr>
      <w:rPr>
        <w:rFonts w:ascii="Arial" w:hAnsi="Arial" w:hint="default"/>
      </w:rPr>
    </w:lvl>
    <w:lvl w:ilvl="4" w:tplc="88803D2A" w:tentative="1">
      <w:start w:val="1"/>
      <w:numFmt w:val="bullet"/>
      <w:lvlText w:val="•"/>
      <w:lvlJc w:val="left"/>
      <w:pPr>
        <w:tabs>
          <w:tab w:val="num" w:pos="3600"/>
        </w:tabs>
        <w:ind w:left="3600" w:hanging="360"/>
      </w:pPr>
      <w:rPr>
        <w:rFonts w:ascii="Arial" w:hAnsi="Arial" w:hint="default"/>
      </w:rPr>
    </w:lvl>
    <w:lvl w:ilvl="5" w:tplc="BE72B2FA" w:tentative="1">
      <w:start w:val="1"/>
      <w:numFmt w:val="bullet"/>
      <w:lvlText w:val="•"/>
      <w:lvlJc w:val="left"/>
      <w:pPr>
        <w:tabs>
          <w:tab w:val="num" w:pos="4320"/>
        </w:tabs>
        <w:ind w:left="4320" w:hanging="360"/>
      </w:pPr>
      <w:rPr>
        <w:rFonts w:ascii="Arial" w:hAnsi="Arial" w:hint="default"/>
      </w:rPr>
    </w:lvl>
    <w:lvl w:ilvl="6" w:tplc="9154ED40" w:tentative="1">
      <w:start w:val="1"/>
      <w:numFmt w:val="bullet"/>
      <w:lvlText w:val="•"/>
      <w:lvlJc w:val="left"/>
      <w:pPr>
        <w:tabs>
          <w:tab w:val="num" w:pos="5040"/>
        </w:tabs>
        <w:ind w:left="5040" w:hanging="360"/>
      </w:pPr>
      <w:rPr>
        <w:rFonts w:ascii="Arial" w:hAnsi="Arial" w:hint="default"/>
      </w:rPr>
    </w:lvl>
    <w:lvl w:ilvl="7" w:tplc="3A66DF0E" w:tentative="1">
      <w:start w:val="1"/>
      <w:numFmt w:val="bullet"/>
      <w:lvlText w:val="•"/>
      <w:lvlJc w:val="left"/>
      <w:pPr>
        <w:tabs>
          <w:tab w:val="num" w:pos="5760"/>
        </w:tabs>
        <w:ind w:left="5760" w:hanging="360"/>
      </w:pPr>
      <w:rPr>
        <w:rFonts w:ascii="Arial" w:hAnsi="Arial" w:hint="default"/>
      </w:rPr>
    </w:lvl>
    <w:lvl w:ilvl="8" w:tplc="9D323258" w:tentative="1">
      <w:start w:val="1"/>
      <w:numFmt w:val="bullet"/>
      <w:lvlText w:val="•"/>
      <w:lvlJc w:val="left"/>
      <w:pPr>
        <w:tabs>
          <w:tab w:val="num" w:pos="6480"/>
        </w:tabs>
        <w:ind w:left="6480" w:hanging="360"/>
      </w:pPr>
      <w:rPr>
        <w:rFonts w:ascii="Arial" w:hAnsi="Arial" w:hint="default"/>
      </w:rPr>
    </w:lvl>
  </w:abstractNum>
  <w:abstractNum w:abstractNumId="34">
    <w:nsid w:val="62D269EA"/>
    <w:multiLevelType w:val="hybridMultilevel"/>
    <w:tmpl w:val="B066BE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666F794B"/>
    <w:multiLevelType w:val="hybridMultilevel"/>
    <w:tmpl w:val="01A21AC6"/>
    <w:lvl w:ilvl="0" w:tplc="8DC66644">
      <w:start w:val="1"/>
      <w:numFmt w:val="bullet"/>
      <w:lvlText w:val="•"/>
      <w:lvlJc w:val="left"/>
      <w:pPr>
        <w:tabs>
          <w:tab w:val="num" w:pos="720"/>
        </w:tabs>
        <w:ind w:left="720" w:hanging="360"/>
      </w:pPr>
      <w:rPr>
        <w:rFonts w:ascii="Arial" w:hAnsi="Arial" w:hint="default"/>
      </w:rPr>
    </w:lvl>
    <w:lvl w:ilvl="1" w:tplc="C234BC28" w:tentative="1">
      <w:start w:val="1"/>
      <w:numFmt w:val="bullet"/>
      <w:lvlText w:val="•"/>
      <w:lvlJc w:val="left"/>
      <w:pPr>
        <w:tabs>
          <w:tab w:val="num" w:pos="1440"/>
        </w:tabs>
        <w:ind w:left="1440" w:hanging="360"/>
      </w:pPr>
      <w:rPr>
        <w:rFonts w:ascii="Arial" w:hAnsi="Arial" w:hint="default"/>
      </w:rPr>
    </w:lvl>
    <w:lvl w:ilvl="2" w:tplc="C0CA7FF6" w:tentative="1">
      <w:start w:val="1"/>
      <w:numFmt w:val="bullet"/>
      <w:lvlText w:val="•"/>
      <w:lvlJc w:val="left"/>
      <w:pPr>
        <w:tabs>
          <w:tab w:val="num" w:pos="2160"/>
        </w:tabs>
        <w:ind w:left="2160" w:hanging="360"/>
      </w:pPr>
      <w:rPr>
        <w:rFonts w:ascii="Arial" w:hAnsi="Arial" w:hint="default"/>
      </w:rPr>
    </w:lvl>
    <w:lvl w:ilvl="3" w:tplc="88D868CC" w:tentative="1">
      <w:start w:val="1"/>
      <w:numFmt w:val="bullet"/>
      <w:lvlText w:val="•"/>
      <w:lvlJc w:val="left"/>
      <w:pPr>
        <w:tabs>
          <w:tab w:val="num" w:pos="2880"/>
        </w:tabs>
        <w:ind w:left="2880" w:hanging="360"/>
      </w:pPr>
      <w:rPr>
        <w:rFonts w:ascii="Arial" w:hAnsi="Arial" w:hint="default"/>
      </w:rPr>
    </w:lvl>
    <w:lvl w:ilvl="4" w:tplc="D5E8D4BA" w:tentative="1">
      <w:start w:val="1"/>
      <w:numFmt w:val="bullet"/>
      <w:lvlText w:val="•"/>
      <w:lvlJc w:val="left"/>
      <w:pPr>
        <w:tabs>
          <w:tab w:val="num" w:pos="3600"/>
        </w:tabs>
        <w:ind w:left="3600" w:hanging="360"/>
      </w:pPr>
      <w:rPr>
        <w:rFonts w:ascii="Arial" w:hAnsi="Arial" w:hint="default"/>
      </w:rPr>
    </w:lvl>
    <w:lvl w:ilvl="5" w:tplc="988CBD52" w:tentative="1">
      <w:start w:val="1"/>
      <w:numFmt w:val="bullet"/>
      <w:lvlText w:val="•"/>
      <w:lvlJc w:val="left"/>
      <w:pPr>
        <w:tabs>
          <w:tab w:val="num" w:pos="4320"/>
        </w:tabs>
        <w:ind w:left="4320" w:hanging="360"/>
      </w:pPr>
      <w:rPr>
        <w:rFonts w:ascii="Arial" w:hAnsi="Arial" w:hint="default"/>
      </w:rPr>
    </w:lvl>
    <w:lvl w:ilvl="6" w:tplc="9FE23824" w:tentative="1">
      <w:start w:val="1"/>
      <w:numFmt w:val="bullet"/>
      <w:lvlText w:val="•"/>
      <w:lvlJc w:val="left"/>
      <w:pPr>
        <w:tabs>
          <w:tab w:val="num" w:pos="5040"/>
        </w:tabs>
        <w:ind w:left="5040" w:hanging="360"/>
      </w:pPr>
      <w:rPr>
        <w:rFonts w:ascii="Arial" w:hAnsi="Arial" w:hint="default"/>
      </w:rPr>
    </w:lvl>
    <w:lvl w:ilvl="7" w:tplc="1D2EE852" w:tentative="1">
      <w:start w:val="1"/>
      <w:numFmt w:val="bullet"/>
      <w:lvlText w:val="•"/>
      <w:lvlJc w:val="left"/>
      <w:pPr>
        <w:tabs>
          <w:tab w:val="num" w:pos="5760"/>
        </w:tabs>
        <w:ind w:left="5760" w:hanging="360"/>
      </w:pPr>
      <w:rPr>
        <w:rFonts w:ascii="Arial" w:hAnsi="Arial" w:hint="default"/>
      </w:rPr>
    </w:lvl>
    <w:lvl w:ilvl="8" w:tplc="443C1CA8" w:tentative="1">
      <w:start w:val="1"/>
      <w:numFmt w:val="bullet"/>
      <w:lvlText w:val="•"/>
      <w:lvlJc w:val="left"/>
      <w:pPr>
        <w:tabs>
          <w:tab w:val="num" w:pos="6480"/>
        </w:tabs>
        <w:ind w:left="6480" w:hanging="360"/>
      </w:pPr>
      <w:rPr>
        <w:rFonts w:ascii="Arial" w:hAnsi="Arial" w:hint="default"/>
      </w:rPr>
    </w:lvl>
  </w:abstractNum>
  <w:abstractNum w:abstractNumId="36">
    <w:nsid w:val="69E83BF9"/>
    <w:multiLevelType w:val="hybridMultilevel"/>
    <w:tmpl w:val="484CDA9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FB535C9"/>
    <w:multiLevelType w:val="hybridMultilevel"/>
    <w:tmpl w:val="911E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84D033C"/>
    <w:multiLevelType w:val="multilevel"/>
    <w:tmpl w:val="5DFC0256"/>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96E53AD"/>
    <w:multiLevelType w:val="hybridMultilevel"/>
    <w:tmpl w:val="9B905BAA"/>
    <w:lvl w:ilvl="0" w:tplc="F0FCBCEE">
      <w:start w:val="1"/>
      <w:numFmt w:val="bullet"/>
      <w:lvlText w:val="•"/>
      <w:lvlJc w:val="left"/>
      <w:pPr>
        <w:tabs>
          <w:tab w:val="num" w:pos="720"/>
        </w:tabs>
        <w:ind w:left="720" w:hanging="360"/>
      </w:pPr>
      <w:rPr>
        <w:rFonts w:ascii="Arial" w:hAnsi="Arial" w:hint="default"/>
      </w:rPr>
    </w:lvl>
    <w:lvl w:ilvl="1" w:tplc="915639F6" w:tentative="1">
      <w:start w:val="1"/>
      <w:numFmt w:val="bullet"/>
      <w:lvlText w:val="•"/>
      <w:lvlJc w:val="left"/>
      <w:pPr>
        <w:tabs>
          <w:tab w:val="num" w:pos="1440"/>
        </w:tabs>
        <w:ind w:left="1440" w:hanging="360"/>
      </w:pPr>
      <w:rPr>
        <w:rFonts w:ascii="Arial" w:hAnsi="Arial" w:hint="default"/>
      </w:rPr>
    </w:lvl>
    <w:lvl w:ilvl="2" w:tplc="2090B73C" w:tentative="1">
      <w:start w:val="1"/>
      <w:numFmt w:val="bullet"/>
      <w:lvlText w:val="•"/>
      <w:lvlJc w:val="left"/>
      <w:pPr>
        <w:tabs>
          <w:tab w:val="num" w:pos="2160"/>
        </w:tabs>
        <w:ind w:left="2160" w:hanging="360"/>
      </w:pPr>
      <w:rPr>
        <w:rFonts w:ascii="Arial" w:hAnsi="Arial" w:hint="default"/>
      </w:rPr>
    </w:lvl>
    <w:lvl w:ilvl="3" w:tplc="00562838" w:tentative="1">
      <w:start w:val="1"/>
      <w:numFmt w:val="bullet"/>
      <w:lvlText w:val="•"/>
      <w:lvlJc w:val="left"/>
      <w:pPr>
        <w:tabs>
          <w:tab w:val="num" w:pos="2880"/>
        </w:tabs>
        <w:ind w:left="2880" w:hanging="360"/>
      </w:pPr>
      <w:rPr>
        <w:rFonts w:ascii="Arial" w:hAnsi="Arial" w:hint="default"/>
      </w:rPr>
    </w:lvl>
    <w:lvl w:ilvl="4" w:tplc="5C36FE3E" w:tentative="1">
      <w:start w:val="1"/>
      <w:numFmt w:val="bullet"/>
      <w:lvlText w:val="•"/>
      <w:lvlJc w:val="left"/>
      <w:pPr>
        <w:tabs>
          <w:tab w:val="num" w:pos="3600"/>
        </w:tabs>
        <w:ind w:left="3600" w:hanging="360"/>
      </w:pPr>
      <w:rPr>
        <w:rFonts w:ascii="Arial" w:hAnsi="Arial" w:hint="default"/>
      </w:rPr>
    </w:lvl>
    <w:lvl w:ilvl="5" w:tplc="1C66EF06" w:tentative="1">
      <w:start w:val="1"/>
      <w:numFmt w:val="bullet"/>
      <w:lvlText w:val="•"/>
      <w:lvlJc w:val="left"/>
      <w:pPr>
        <w:tabs>
          <w:tab w:val="num" w:pos="4320"/>
        </w:tabs>
        <w:ind w:left="4320" w:hanging="360"/>
      </w:pPr>
      <w:rPr>
        <w:rFonts w:ascii="Arial" w:hAnsi="Arial" w:hint="default"/>
      </w:rPr>
    </w:lvl>
    <w:lvl w:ilvl="6" w:tplc="3CA62788" w:tentative="1">
      <w:start w:val="1"/>
      <w:numFmt w:val="bullet"/>
      <w:lvlText w:val="•"/>
      <w:lvlJc w:val="left"/>
      <w:pPr>
        <w:tabs>
          <w:tab w:val="num" w:pos="5040"/>
        </w:tabs>
        <w:ind w:left="5040" w:hanging="360"/>
      </w:pPr>
      <w:rPr>
        <w:rFonts w:ascii="Arial" w:hAnsi="Arial" w:hint="default"/>
      </w:rPr>
    </w:lvl>
    <w:lvl w:ilvl="7" w:tplc="07A49DA4" w:tentative="1">
      <w:start w:val="1"/>
      <w:numFmt w:val="bullet"/>
      <w:lvlText w:val="•"/>
      <w:lvlJc w:val="left"/>
      <w:pPr>
        <w:tabs>
          <w:tab w:val="num" w:pos="5760"/>
        </w:tabs>
        <w:ind w:left="5760" w:hanging="360"/>
      </w:pPr>
      <w:rPr>
        <w:rFonts w:ascii="Arial" w:hAnsi="Arial" w:hint="default"/>
      </w:rPr>
    </w:lvl>
    <w:lvl w:ilvl="8" w:tplc="0D4A2A5C"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2"/>
  </w:num>
  <w:num w:numId="3">
    <w:abstractNumId w:val="38"/>
  </w:num>
  <w:num w:numId="4">
    <w:abstractNumId w:val="17"/>
  </w:num>
  <w:num w:numId="5">
    <w:abstractNumId w:val="21"/>
  </w:num>
  <w:num w:numId="6">
    <w:abstractNumId w:val="37"/>
  </w:num>
  <w:num w:numId="7">
    <w:abstractNumId w:val="15"/>
  </w:num>
  <w:num w:numId="8">
    <w:abstractNumId w:val="3"/>
  </w:num>
  <w:num w:numId="9">
    <w:abstractNumId w:val="12"/>
  </w:num>
  <w:num w:numId="10">
    <w:abstractNumId w:val="5"/>
  </w:num>
  <w:num w:numId="11">
    <w:abstractNumId w:val="23"/>
  </w:num>
  <w:num w:numId="12">
    <w:abstractNumId w:val="27"/>
  </w:num>
  <w:num w:numId="13">
    <w:abstractNumId w:val="0"/>
  </w:num>
  <w:num w:numId="14">
    <w:abstractNumId w:val="20"/>
  </w:num>
  <w:num w:numId="15">
    <w:abstractNumId w:val="25"/>
  </w:num>
  <w:num w:numId="16">
    <w:abstractNumId w:val="22"/>
  </w:num>
  <w:num w:numId="17">
    <w:abstractNumId w:val="13"/>
  </w:num>
  <w:num w:numId="18">
    <w:abstractNumId w:val="34"/>
  </w:num>
  <w:num w:numId="19">
    <w:abstractNumId w:val="31"/>
  </w:num>
  <w:num w:numId="20">
    <w:abstractNumId w:val="8"/>
  </w:num>
  <w:num w:numId="21">
    <w:abstractNumId w:val="10"/>
  </w:num>
  <w:num w:numId="22">
    <w:abstractNumId w:val="4"/>
  </w:num>
  <w:num w:numId="23">
    <w:abstractNumId w:val="9"/>
  </w:num>
  <w:num w:numId="24">
    <w:abstractNumId w:val="26"/>
  </w:num>
  <w:num w:numId="25">
    <w:abstractNumId w:val="36"/>
  </w:num>
  <w:num w:numId="26">
    <w:abstractNumId w:val="7"/>
  </w:num>
  <w:num w:numId="27">
    <w:abstractNumId w:val="24"/>
  </w:num>
  <w:num w:numId="28">
    <w:abstractNumId w:val="28"/>
  </w:num>
  <w:num w:numId="29">
    <w:abstractNumId w:val="6"/>
  </w:num>
  <w:num w:numId="30">
    <w:abstractNumId w:val="1"/>
  </w:num>
  <w:num w:numId="31">
    <w:abstractNumId w:val="11"/>
  </w:num>
  <w:num w:numId="32">
    <w:abstractNumId w:val="39"/>
  </w:num>
  <w:num w:numId="33">
    <w:abstractNumId w:val="35"/>
  </w:num>
  <w:num w:numId="34">
    <w:abstractNumId w:val="14"/>
  </w:num>
  <w:num w:numId="35">
    <w:abstractNumId w:val="19"/>
  </w:num>
  <w:num w:numId="36">
    <w:abstractNumId w:val="29"/>
  </w:num>
  <w:num w:numId="37">
    <w:abstractNumId w:val="30"/>
  </w:num>
  <w:num w:numId="38">
    <w:abstractNumId w:val="32"/>
  </w:num>
  <w:num w:numId="39">
    <w:abstractNumId w:val="33"/>
  </w:num>
  <w:num w:numId="40">
    <w:abstractNumId w:val="16"/>
  </w:num>
  <w:num w:numId="41">
    <w:abstractNumId w:val="3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hy Mihalopoulos">
    <w15:presenceInfo w15:providerId="AD" w15:userId="S-1-5-21-248963057-614103661-3067232799-24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193"/>
    <w:rsid w:val="0000404C"/>
    <w:rsid w:val="00004988"/>
    <w:rsid w:val="00004A24"/>
    <w:rsid w:val="00004DBE"/>
    <w:rsid w:val="0000544C"/>
    <w:rsid w:val="000104BC"/>
    <w:rsid w:val="00013247"/>
    <w:rsid w:val="0001423D"/>
    <w:rsid w:val="000145EE"/>
    <w:rsid w:val="00014F0E"/>
    <w:rsid w:val="00015886"/>
    <w:rsid w:val="000162EF"/>
    <w:rsid w:val="00016360"/>
    <w:rsid w:val="00016AF3"/>
    <w:rsid w:val="00016DF5"/>
    <w:rsid w:val="000176B0"/>
    <w:rsid w:val="00020AB3"/>
    <w:rsid w:val="00020B1C"/>
    <w:rsid w:val="0002156F"/>
    <w:rsid w:val="00021B88"/>
    <w:rsid w:val="00021CF0"/>
    <w:rsid w:val="0002225F"/>
    <w:rsid w:val="00022488"/>
    <w:rsid w:val="00022A4B"/>
    <w:rsid w:val="00022F27"/>
    <w:rsid w:val="000230CB"/>
    <w:rsid w:val="00023763"/>
    <w:rsid w:val="000242CE"/>
    <w:rsid w:val="00024392"/>
    <w:rsid w:val="00024623"/>
    <w:rsid w:val="00025EFD"/>
    <w:rsid w:val="00027E64"/>
    <w:rsid w:val="00030144"/>
    <w:rsid w:val="000314DE"/>
    <w:rsid w:val="000319AF"/>
    <w:rsid w:val="00033545"/>
    <w:rsid w:val="00033D52"/>
    <w:rsid w:val="0003447A"/>
    <w:rsid w:val="00035E23"/>
    <w:rsid w:val="00036D07"/>
    <w:rsid w:val="00036F80"/>
    <w:rsid w:val="0003733A"/>
    <w:rsid w:val="00037A85"/>
    <w:rsid w:val="00037F3C"/>
    <w:rsid w:val="00040895"/>
    <w:rsid w:val="00041722"/>
    <w:rsid w:val="00042129"/>
    <w:rsid w:val="0004231D"/>
    <w:rsid w:val="00043C37"/>
    <w:rsid w:val="00044808"/>
    <w:rsid w:val="00044954"/>
    <w:rsid w:val="00044A81"/>
    <w:rsid w:val="000452B4"/>
    <w:rsid w:val="000456B3"/>
    <w:rsid w:val="0004582C"/>
    <w:rsid w:val="00045F72"/>
    <w:rsid w:val="000469D0"/>
    <w:rsid w:val="00046B73"/>
    <w:rsid w:val="00047DBD"/>
    <w:rsid w:val="000500C1"/>
    <w:rsid w:val="0005060D"/>
    <w:rsid w:val="000514F5"/>
    <w:rsid w:val="00051733"/>
    <w:rsid w:val="00052074"/>
    <w:rsid w:val="00052700"/>
    <w:rsid w:val="000532C5"/>
    <w:rsid w:val="000546D7"/>
    <w:rsid w:val="0005700F"/>
    <w:rsid w:val="00057455"/>
    <w:rsid w:val="000601DE"/>
    <w:rsid w:val="0006040C"/>
    <w:rsid w:val="00060D34"/>
    <w:rsid w:val="00060E86"/>
    <w:rsid w:val="00061512"/>
    <w:rsid w:val="00061ADE"/>
    <w:rsid w:val="00064F1D"/>
    <w:rsid w:val="000651EE"/>
    <w:rsid w:val="00065BCD"/>
    <w:rsid w:val="000667C7"/>
    <w:rsid w:val="00066900"/>
    <w:rsid w:val="00066B5E"/>
    <w:rsid w:val="00066D02"/>
    <w:rsid w:val="00067C88"/>
    <w:rsid w:val="00067CD9"/>
    <w:rsid w:val="00070CCE"/>
    <w:rsid w:val="00071248"/>
    <w:rsid w:val="0007151B"/>
    <w:rsid w:val="000720B9"/>
    <w:rsid w:val="0007349D"/>
    <w:rsid w:val="0007526B"/>
    <w:rsid w:val="000753F5"/>
    <w:rsid w:val="00076C0E"/>
    <w:rsid w:val="000775E8"/>
    <w:rsid w:val="000800A2"/>
    <w:rsid w:val="000805AE"/>
    <w:rsid w:val="000812CA"/>
    <w:rsid w:val="00081BD0"/>
    <w:rsid w:val="000828AE"/>
    <w:rsid w:val="000829F9"/>
    <w:rsid w:val="00083912"/>
    <w:rsid w:val="00084281"/>
    <w:rsid w:val="00084866"/>
    <w:rsid w:val="00084F78"/>
    <w:rsid w:val="000854FC"/>
    <w:rsid w:val="00086512"/>
    <w:rsid w:val="000872AE"/>
    <w:rsid w:val="00090C7E"/>
    <w:rsid w:val="00090CE5"/>
    <w:rsid w:val="00090F04"/>
    <w:rsid w:val="000915E8"/>
    <w:rsid w:val="00093CD6"/>
    <w:rsid w:val="00093CE4"/>
    <w:rsid w:val="00094389"/>
    <w:rsid w:val="00094820"/>
    <w:rsid w:val="0009544C"/>
    <w:rsid w:val="00096BD9"/>
    <w:rsid w:val="00097968"/>
    <w:rsid w:val="00097D2D"/>
    <w:rsid w:val="000A078D"/>
    <w:rsid w:val="000A0A5A"/>
    <w:rsid w:val="000A1052"/>
    <w:rsid w:val="000A1FAB"/>
    <w:rsid w:val="000A250B"/>
    <w:rsid w:val="000A299A"/>
    <w:rsid w:val="000A2B84"/>
    <w:rsid w:val="000A2E61"/>
    <w:rsid w:val="000A444A"/>
    <w:rsid w:val="000A5705"/>
    <w:rsid w:val="000A7157"/>
    <w:rsid w:val="000A7173"/>
    <w:rsid w:val="000B3DFA"/>
    <w:rsid w:val="000B4504"/>
    <w:rsid w:val="000B4DFD"/>
    <w:rsid w:val="000B5079"/>
    <w:rsid w:val="000B7BB0"/>
    <w:rsid w:val="000C1096"/>
    <w:rsid w:val="000C242B"/>
    <w:rsid w:val="000C26F0"/>
    <w:rsid w:val="000C4BEC"/>
    <w:rsid w:val="000C57E7"/>
    <w:rsid w:val="000C5823"/>
    <w:rsid w:val="000C6088"/>
    <w:rsid w:val="000C661C"/>
    <w:rsid w:val="000D0354"/>
    <w:rsid w:val="000D0CFD"/>
    <w:rsid w:val="000D1BFC"/>
    <w:rsid w:val="000D1CAF"/>
    <w:rsid w:val="000D1FDD"/>
    <w:rsid w:val="000D346D"/>
    <w:rsid w:val="000D387F"/>
    <w:rsid w:val="000D3FD6"/>
    <w:rsid w:val="000D5CE2"/>
    <w:rsid w:val="000D5E1B"/>
    <w:rsid w:val="000D6988"/>
    <w:rsid w:val="000D7701"/>
    <w:rsid w:val="000D7CD6"/>
    <w:rsid w:val="000E0D38"/>
    <w:rsid w:val="000E0FFF"/>
    <w:rsid w:val="000E4C91"/>
    <w:rsid w:val="000E5E7F"/>
    <w:rsid w:val="000E5F0F"/>
    <w:rsid w:val="000E5FC5"/>
    <w:rsid w:val="000E6489"/>
    <w:rsid w:val="000E793B"/>
    <w:rsid w:val="000E7EF3"/>
    <w:rsid w:val="000F12B5"/>
    <w:rsid w:val="000F1AC5"/>
    <w:rsid w:val="000F1E7A"/>
    <w:rsid w:val="000F2540"/>
    <w:rsid w:val="000F25E8"/>
    <w:rsid w:val="000F264F"/>
    <w:rsid w:val="000F2DCD"/>
    <w:rsid w:val="000F2DD6"/>
    <w:rsid w:val="000F34F3"/>
    <w:rsid w:val="000F3BA9"/>
    <w:rsid w:val="000F5BDF"/>
    <w:rsid w:val="000F6B0E"/>
    <w:rsid w:val="000F6EF3"/>
    <w:rsid w:val="000F7DD1"/>
    <w:rsid w:val="00100CFB"/>
    <w:rsid w:val="00100F8A"/>
    <w:rsid w:val="0010110F"/>
    <w:rsid w:val="00101DE2"/>
    <w:rsid w:val="00104D34"/>
    <w:rsid w:val="0010562C"/>
    <w:rsid w:val="001068E8"/>
    <w:rsid w:val="0010693D"/>
    <w:rsid w:val="0010783C"/>
    <w:rsid w:val="0011032E"/>
    <w:rsid w:val="00112011"/>
    <w:rsid w:val="001123F3"/>
    <w:rsid w:val="00112734"/>
    <w:rsid w:val="00113488"/>
    <w:rsid w:val="0011386D"/>
    <w:rsid w:val="001153C2"/>
    <w:rsid w:val="00116942"/>
    <w:rsid w:val="001170DD"/>
    <w:rsid w:val="00117D03"/>
    <w:rsid w:val="00117E75"/>
    <w:rsid w:val="00117F75"/>
    <w:rsid w:val="0012157A"/>
    <w:rsid w:val="00121715"/>
    <w:rsid w:val="00121799"/>
    <w:rsid w:val="001222FC"/>
    <w:rsid w:val="00122957"/>
    <w:rsid w:val="00122A8F"/>
    <w:rsid w:val="001237B5"/>
    <w:rsid w:val="00124A51"/>
    <w:rsid w:val="001254F1"/>
    <w:rsid w:val="00125ECF"/>
    <w:rsid w:val="00126621"/>
    <w:rsid w:val="00126B15"/>
    <w:rsid w:val="001301E9"/>
    <w:rsid w:val="00131A75"/>
    <w:rsid w:val="00131D13"/>
    <w:rsid w:val="00134182"/>
    <w:rsid w:val="00134931"/>
    <w:rsid w:val="00135985"/>
    <w:rsid w:val="0013601A"/>
    <w:rsid w:val="00136ADD"/>
    <w:rsid w:val="00136D97"/>
    <w:rsid w:val="00137645"/>
    <w:rsid w:val="00137A21"/>
    <w:rsid w:val="0014015A"/>
    <w:rsid w:val="00140E99"/>
    <w:rsid w:val="00142879"/>
    <w:rsid w:val="0014358A"/>
    <w:rsid w:val="001440F2"/>
    <w:rsid w:val="00144BAE"/>
    <w:rsid w:val="001456B0"/>
    <w:rsid w:val="00146D83"/>
    <w:rsid w:val="0014717D"/>
    <w:rsid w:val="00147362"/>
    <w:rsid w:val="001508D7"/>
    <w:rsid w:val="00150B00"/>
    <w:rsid w:val="001514E5"/>
    <w:rsid w:val="0015256B"/>
    <w:rsid w:val="00152F61"/>
    <w:rsid w:val="00155F88"/>
    <w:rsid w:val="00156052"/>
    <w:rsid w:val="001568DD"/>
    <w:rsid w:val="00157130"/>
    <w:rsid w:val="00160D54"/>
    <w:rsid w:val="00162838"/>
    <w:rsid w:val="00162913"/>
    <w:rsid w:val="001635E4"/>
    <w:rsid w:val="00163AFA"/>
    <w:rsid w:val="00163B61"/>
    <w:rsid w:val="00163EFF"/>
    <w:rsid w:val="00165D8F"/>
    <w:rsid w:val="001661FB"/>
    <w:rsid w:val="001666B5"/>
    <w:rsid w:val="001670B4"/>
    <w:rsid w:val="00167F3D"/>
    <w:rsid w:val="001701DD"/>
    <w:rsid w:val="00171084"/>
    <w:rsid w:val="00171398"/>
    <w:rsid w:val="001718B1"/>
    <w:rsid w:val="0017264A"/>
    <w:rsid w:val="0017358D"/>
    <w:rsid w:val="00175201"/>
    <w:rsid w:val="001760A6"/>
    <w:rsid w:val="001765D8"/>
    <w:rsid w:val="00176840"/>
    <w:rsid w:val="00182073"/>
    <w:rsid w:val="0018338E"/>
    <w:rsid w:val="0018394B"/>
    <w:rsid w:val="001850C4"/>
    <w:rsid w:val="001869B2"/>
    <w:rsid w:val="00186C38"/>
    <w:rsid w:val="00186D61"/>
    <w:rsid w:val="00186EF2"/>
    <w:rsid w:val="0018715A"/>
    <w:rsid w:val="001874AB"/>
    <w:rsid w:val="00191889"/>
    <w:rsid w:val="00191CEE"/>
    <w:rsid w:val="00192023"/>
    <w:rsid w:val="0019283B"/>
    <w:rsid w:val="0019351A"/>
    <w:rsid w:val="00193A88"/>
    <w:rsid w:val="0019423A"/>
    <w:rsid w:val="001945FB"/>
    <w:rsid w:val="0019511D"/>
    <w:rsid w:val="00195222"/>
    <w:rsid w:val="001958E0"/>
    <w:rsid w:val="001971A6"/>
    <w:rsid w:val="001975D8"/>
    <w:rsid w:val="00197805"/>
    <w:rsid w:val="001A425D"/>
    <w:rsid w:val="001A48EB"/>
    <w:rsid w:val="001A4E30"/>
    <w:rsid w:val="001A50B7"/>
    <w:rsid w:val="001A5A9F"/>
    <w:rsid w:val="001B02C1"/>
    <w:rsid w:val="001B1209"/>
    <w:rsid w:val="001B2D68"/>
    <w:rsid w:val="001B2EF6"/>
    <w:rsid w:val="001B316F"/>
    <w:rsid w:val="001B3443"/>
    <w:rsid w:val="001B435B"/>
    <w:rsid w:val="001B6188"/>
    <w:rsid w:val="001B6A10"/>
    <w:rsid w:val="001B745E"/>
    <w:rsid w:val="001B7850"/>
    <w:rsid w:val="001C1030"/>
    <w:rsid w:val="001C1651"/>
    <w:rsid w:val="001C37D6"/>
    <w:rsid w:val="001C5A2F"/>
    <w:rsid w:val="001C5ABB"/>
    <w:rsid w:val="001C6D76"/>
    <w:rsid w:val="001C6E66"/>
    <w:rsid w:val="001C7816"/>
    <w:rsid w:val="001C78D0"/>
    <w:rsid w:val="001D0900"/>
    <w:rsid w:val="001D0F97"/>
    <w:rsid w:val="001D112E"/>
    <w:rsid w:val="001D17E3"/>
    <w:rsid w:val="001D1A4C"/>
    <w:rsid w:val="001D3E23"/>
    <w:rsid w:val="001D3FDC"/>
    <w:rsid w:val="001D5307"/>
    <w:rsid w:val="001D5C38"/>
    <w:rsid w:val="001D5CFD"/>
    <w:rsid w:val="001E0508"/>
    <w:rsid w:val="001E0796"/>
    <w:rsid w:val="001E128F"/>
    <w:rsid w:val="001E140B"/>
    <w:rsid w:val="001E1902"/>
    <w:rsid w:val="001E238E"/>
    <w:rsid w:val="001E25E5"/>
    <w:rsid w:val="001E2C98"/>
    <w:rsid w:val="001E2FF7"/>
    <w:rsid w:val="001E4252"/>
    <w:rsid w:val="001E5085"/>
    <w:rsid w:val="001E52EB"/>
    <w:rsid w:val="001E740C"/>
    <w:rsid w:val="001E79BB"/>
    <w:rsid w:val="001F1235"/>
    <w:rsid w:val="001F19F7"/>
    <w:rsid w:val="001F1AA1"/>
    <w:rsid w:val="001F1CB3"/>
    <w:rsid w:val="001F1D6B"/>
    <w:rsid w:val="001F2494"/>
    <w:rsid w:val="001F2ACA"/>
    <w:rsid w:val="001F2C59"/>
    <w:rsid w:val="001F2CB3"/>
    <w:rsid w:val="001F325F"/>
    <w:rsid w:val="001F3A94"/>
    <w:rsid w:val="001F42A5"/>
    <w:rsid w:val="001F7361"/>
    <w:rsid w:val="002007F2"/>
    <w:rsid w:val="00202314"/>
    <w:rsid w:val="0020238E"/>
    <w:rsid w:val="002025FE"/>
    <w:rsid w:val="0020465F"/>
    <w:rsid w:val="00205DEF"/>
    <w:rsid w:val="002063AF"/>
    <w:rsid w:val="00206CA5"/>
    <w:rsid w:val="002073E7"/>
    <w:rsid w:val="002105C1"/>
    <w:rsid w:val="0021177C"/>
    <w:rsid w:val="0021199E"/>
    <w:rsid w:val="00211EC5"/>
    <w:rsid w:val="00216397"/>
    <w:rsid w:val="00216CC2"/>
    <w:rsid w:val="00217520"/>
    <w:rsid w:val="00217BC8"/>
    <w:rsid w:val="00220C01"/>
    <w:rsid w:val="00220C52"/>
    <w:rsid w:val="00221A0F"/>
    <w:rsid w:val="002223F1"/>
    <w:rsid w:val="00222665"/>
    <w:rsid w:val="00222746"/>
    <w:rsid w:val="00223B49"/>
    <w:rsid w:val="00223C89"/>
    <w:rsid w:val="002242CE"/>
    <w:rsid w:val="00224874"/>
    <w:rsid w:val="00224995"/>
    <w:rsid w:val="00224DD4"/>
    <w:rsid w:val="00225E50"/>
    <w:rsid w:val="00226E90"/>
    <w:rsid w:val="002309CC"/>
    <w:rsid w:val="00231FCD"/>
    <w:rsid w:val="00232548"/>
    <w:rsid w:val="0023398D"/>
    <w:rsid w:val="00233E5A"/>
    <w:rsid w:val="002368EF"/>
    <w:rsid w:val="00236B18"/>
    <w:rsid w:val="00236DDC"/>
    <w:rsid w:val="00237635"/>
    <w:rsid w:val="0023799D"/>
    <w:rsid w:val="00237DB8"/>
    <w:rsid w:val="002407F4"/>
    <w:rsid w:val="002409F9"/>
    <w:rsid w:val="00241905"/>
    <w:rsid w:val="00241B70"/>
    <w:rsid w:val="002426A0"/>
    <w:rsid w:val="002438FF"/>
    <w:rsid w:val="00243AF6"/>
    <w:rsid w:val="00244546"/>
    <w:rsid w:val="00244926"/>
    <w:rsid w:val="00244AA9"/>
    <w:rsid w:val="00245F45"/>
    <w:rsid w:val="002462A6"/>
    <w:rsid w:val="00246A28"/>
    <w:rsid w:val="00247829"/>
    <w:rsid w:val="00247E55"/>
    <w:rsid w:val="00250D43"/>
    <w:rsid w:val="002525BC"/>
    <w:rsid w:val="00253E46"/>
    <w:rsid w:val="0025534B"/>
    <w:rsid w:val="00255510"/>
    <w:rsid w:val="00255BB7"/>
    <w:rsid w:val="0025692A"/>
    <w:rsid w:val="002570C5"/>
    <w:rsid w:val="00262003"/>
    <w:rsid w:val="00262165"/>
    <w:rsid w:val="002623E7"/>
    <w:rsid w:val="00262A87"/>
    <w:rsid w:val="00264050"/>
    <w:rsid w:val="002641EF"/>
    <w:rsid w:val="00264CC5"/>
    <w:rsid w:val="002674CA"/>
    <w:rsid w:val="00270E58"/>
    <w:rsid w:val="0027412C"/>
    <w:rsid w:val="00275C5A"/>
    <w:rsid w:val="00275DE9"/>
    <w:rsid w:val="00276DD4"/>
    <w:rsid w:val="002772D2"/>
    <w:rsid w:val="00280AFF"/>
    <w:rsid w:val="00281A44"/>
    <w:rsid w:val="00281AA3"/>
    <w:rsid w:val="00282942"/>
    <w:rsid w:val="0028317D"/>
    <w:rsid w:val="00283A9D"/>
    <w:rsid w:val="00283DDB"/>
    <w:rsid w:val="00284ECD"/>
    <w:rsid w:val="00285EA6"/>
    <w:rsid w:val="00287783"/>
    <w:rsid w:val="00287A84"/>
    <w:rsid w:val="00291ADE"/>
    <w:rsid w:val="00292807"/>
    <w:rsid w:val="00292C76"/>
    <w:rsid w:val="0029481C"/>
    <w:rsid w:val="00295C9B"/>
    <w:rsid w:val="00296115"/>
    <w:rsid w:val="0029681E"/>
    <w:rsid w:val="00296E8C"/>
    <w:rsid w:val="00296EA5"/>
    <w:rsid w:val="00297031"/>
    <w:rsid w:val="002A0584"/>
    <w:rsid w:val="002A0CC1"/>
    <w:rsid w:val="002A14AB"/>
    <w:rsid w:val="002A256D"/>
    <w:rsid w:val="002A27B2"/>
    <w:rsid w:val="002A567E"/>
    <w:rsid w:val="002A59CE"/>
    <w:rsid w:val="002A61DF"/>
    <w:rsid w:val="002A698E"/>
    <w:rsid w:val="002A6F28"/>
    <w:rsid w:val="002A7C9E"/>
    <w:rsid w:val="002B1C1F"/>
    <w:rsid w:val="002B22E8"/>
    <w:rsid w:val="002B2F6B"/>
    <w:rsid w:val="002B432F"/>
    <w:rsid w:val="002B6715"/>
    <w:rsid w:val="002B6CCE"/>
    <w:rsid w:val="002C0476"/>
    <w:rsid w:val="002C10F5"/>
    <w:rsid w:val="002C209B"/>
    <w:rsid w:val="002C2573"/>
    <w:rsid w:val="002C27C1"/>
    <w:rsid w:val="002C2AFE"/>
    <w:rsid w:val="002C38D1"/>
    <w:rsid w:val="002C3917"/>
    <w:rsid w:val="002C4432"/>
    <w:rsid w:val="002C6360"/>
    <w:rsid w:val="002D0C20"/>
    <w:rsid w:val="002D1B29"/>
    <w:rsid w:val="002D230E"/>
    <w:rsid w:val="002D3CF8"/>
    <w:rsid w:val="002D4FAF"/>
    <w:rsid w:val="002D75D5"/>
    <w:rsid w:val="002D79AD"/>
    <w:rsid w:val="002E0BF8"/>
    <w:rsid w:val="002E18C6"/>
    <w:rsid w:val="002E2E03"/>
    <w:rsid w:val="002E3408"/>
    <w:rsid w:val="002E4F2A"/>
    <w:rsid w:val="002E5810"/>
    <w:rsid w:val="002E75D6"/>
    <w:rsid w:val="002F08E2"/>
    <w:rsid w:val="002F24AC"/>
    <w:rsid w:val="002F2DDE"/>
    <w:rsid w:val="002F33E8"/>
    <w:rsid w:val="002F563A"/>
    <w:rsid w:val="002F59F2"/>
    <w:rsid w:val="002F704B"/>
    <w:rsid w:val="00300AA4"/>
    <w:rsid w:val="00300E9E"/>
    <w:rsid w:val="00301017"/>
    <w:rsid w:val="0030115B"/>
    <w:rsid w:val="00303129"/>
    <w:rsid w:val="00304BE0"/>
    <w:rsid w:val="0030516D"/>
    <w:rsid w:val="0030557B"/>
    <w:rsid w:val="0030567C"/>
    <w:rsid w:val="00306783"/>
    <w:rsid w:val="00307712"/>
    <w:rsid w:val="0030786C"/>
    <w:rsid w:val="00307ACB"/>
    <w:rsid w:val="0031031A"/>
    <w:rsid w:val="0031058D"/>
    <w:rsid w:val="00310B26"/>
    <w:rsid w:val="003125BD"/>
    <w:rsid w:val="00313B3B"/>
    <w:rsid w:val="00314A01"/>
    <w:rsid w:val="003152BD"/>
    <w:rsid w:val="0031532D"/>
    <w:rsid w:val="00315498"/>
    <w:rsid w:val="0031572B"/>
    <w:rsid w:val="00315D26"/>
    <w:rsid w:val="00315FBA"/>
    <w:rsid w:val="003160BF"/>
    <w:rsid w:val="0031719C"/>
    <w:rsid w:val="00317735"/>
    <w:rsid w:val="00317A11"/>
    <w:rsid w:val="00323697"/>
    <w:rsid w:val="003247A8"/>
    <w:rsid w:val="00324FF6"/>
    <w:rsid w:val="003250CB"/>
    <w:rsid w:val="00326039"/>
    <w:rsid w:val="00327E16"/>
    <w:rsid w:val="003306C4"/>
    <w:rsid w:val="00331292"/>
    <w:rsid w:val="00331B53"/>
    <w:rsid w:val="00331E39"/>
    <w:rsid w:val="003326B1"/>
    <w:rsid w:val="003333C3"/>
    <w:rsid w:val="00333F34"/>
    <w:rsid w:val="00335285"/>
    <w:rsid w:val="00336055"/>
    <w:rsid w:val="003366C9"/>
    <w:rsid w:val="003403AE"/>
    <w:rsid w:val="003417E8"/>
    <w:rsid w:val="003421C1"/>
    <w:rsid w:val="00342380"/>
    <w:rsid w:val="00342EF7"/>
    <w:rsid w:val="0034367D"/>
    <w:rsid w:val="003445F5"/>
    <w:rsid w:val="00344B01"/>
    <w:rsid w:val="003456C6"/>
    <w:rsid w:val="00345ABB"/>
    <w:rsid w:val="0034677B"/>
    <w:rsid w:val="003477CC"/>
    <w:rsid w:val="0035052D"/>
    <w:rsid w:val="00350C8D"/>
    <w:rsid w:val="00350D84"/>
    <w:rsid w:val="0035379B"/>
    <w:rsid w:val="00353999"/>
    <w:rsid w:val="00353FEA"/>
    <w:rsid w:val="0035491E"/>
    <w:rsid w:val="0035620E"/>
    <w:rsid w:val="0035722E"/>
    <w:rsid w:val="00361115"/>
    <w:rsid w:val="003633D4"/>
    <w:rsid w:val="0036367E"/>
    <w:rsid w:val="00363B3D"/>
    <w:rsid w:val="00363BA2"/>
    <w:rsid w:val="00363D6A"/>
    <w:rsid w:val="00364C97"/>
    <w:rsid w:val="00366376"/>
    <w:rsid w:val="00367386"/>
    <w:rsid w:val="00367AF2"/>
    <w:rsid w:val="00370E77"/>
    <w:rsid w:val="0037187B"/>
    <w:rsid w:val="0037322C"/>
    <w:rsid w:val="00373489"/>
    <w:rsid w:val="003735B8"/>
    <w:rsid w:val="00374540"/>
    <w:rsid w:val="00375764"/>
    <w:rsid w:val="003757E2"/>
    <w:rsid w:val="003760CE"/>
    <w:rsid w:val="00376601"/>
    <w:rsid w:val="003773E6"/>
    <w:rsid w:val="0038004D"/>
    <w:rsid w:val="00380132"/>
    <w:rsid w:val="0038040F"/>
    <w:rsid w:val="003808D1"/>
    <w:rsid w:val="00380C0F"/>
    <w:rsid w:val="00381893"/>
    <w:rsid w:val="00382B96"/>
    <w:rsid w:val="00382E05"/>
    <w:rsid w:val="0038365C"/>
    <w:rsid w:val="00384053"/>
    <w:rsid w:val="0038428A"/>
    <w:rsid w:val="00384E4A"/>
    <w:rsid w:val="00385ED2"/>
    <w:rsid w:val="00385FEA"/>
    <w:rsid w:val="00386CC8"/>
    <w:rsid w:val="003874F0"/>
    <w:rsid w:val="00390A9B"/>
    <w:rsid w:val="00390DBF"/>
    <w:rsid w:val="003926E4"/>
    <w:rsid w:val="00393F75"/>
    <w:rsid w:val="00395409"/>
    <w:rsid w:val="00395461"/>
    <w:rsid w:val="003955FC"/>
    <w:rsid w:val="00395A1A"/>
    <w:rsid w:val="00395AFE"/>
    <w:rsid w:val="00396D75"/>
    <w:rsid w:val="00396FD0"/>
    <w:rsid w:val="00397766"/>
    <w:rsid w:val="003A1264"/>
    <w:rsid w:val="003A15F0"/>
    <w:rsid w:val="003A15FE"/>
    <w:rsid w:val="003A1A7A"/>
    <w:rsid w:val="003A1C0D"/>
    <w:rsid w:val="003A230F"/>
    <w:rsid w:val="003A2A8E"/>
    <w:rsid w:val="003A2C74"/>
    <w:rsid w:val="003A4808"/>
    <w:rsid w:val="003A589A"/>
    <w:rsid w:val="003A611F"/>
    <w:rsid w:val="003A6775"/>
    <w:rsid w:val="003A6ED8"/>
    <w:rsid w:val="003A7A16"/>
    <w:rsid w:val="003A7B02"/>
    <w:rsid w:val="003B005A"/>
    <w:rsid w:val="003B08FB"/>
    <w:rsid w:val="003B2362"/>
    <w:rsid w:val="003B4926"/>
    <w:rsid w:val="003B5792"/>
    <w:rsid w:val="003B5F03"/>
    <w:rsid w:val="003C1A62"/>
    <w:rsid w:val="003C23DB"/>
    <w:rsid w:val="003C2D9A"/>
    <w:rsid w:val="003C3D05"/>
    <w:rsid w:val="003C41CC"/>
    <w:rsid w:val="003D06DB"/>
    <w:rsid w:val="003D0C36"/>
    <w:rsid w:val="003D1026"/>
    <w:rsid w:val="003D1828"/>
    <w:rsid w:val="003D2422"/>
    <w:rsid w:val="003D2787"/>
    <w:rsid w:val="003D3133"/>
    <w:rsid w:val="003D34D8"/>
    <w:rsid w:val="003D47F7"/>
    <w:rsid w:val="003D53DE"/>
    <w:rsid w:val="003E088D"/>
    <w:rsid w:val="003E0C97"/>
    <w:rsid w:val="003E380B"/>
    <w:rsid w:val="003E417E"/>
    <w:rsid w:val="003E41BF"/>
    <w:rsid w:val="003E7B4F"/>
    <w:rsid w:val="003F229D"/>
    <w:rsid w:val="003F4156"/>
    <w:rsid w:val="003F424C"/>
    <w:rsid w:val="003F433C"/>
    <w:rsid w:val="003F4D41"/>
    <w:rsid w:val="003F51F2"/>
    <w:rsid w:val="003F53C6"/>
    <w:rsid w:val="003F5714"/>
    <w:rsid w:val="003F59AC"/>
    <w:rsid w:val="003F6965"/>
    <w:rsid w:val="003F7059"/>
    <w:rsid w:val="003F756E"/>
    <w:rsid w:val="004035B1"/>
    <w:rsid w:val="00403D33"/>
    <w:rsid w:val="00404ECC"/>
    <w:rsid w:val="0040641B"/>
    <w:rsid w:val="00407660"/>
    <w:rsid w:val="004102AF"/>
    <w:rsid w:val="004108B8"/>
    <w:rsid w:val="00410EC7"/>
    <w:rsid w:val="00412A85"/>
    <w:rsid w:val="00413854"/>
    <w:rsid w:val="00413C67"/>
    <w:rsid w:val="00414476"/>
    <w:rsid w:val="00415241"/>
    <w:rsid w:val="0041585B"/>
    <w:rsid w:val="00416765"/>
    <w:rsid w:val="004167FC"/>
    <w:rsid w:val="00417C0F"/>
    <w:rsid w:val="00417C4E"/>
    <w:rsid w:val="00417F15"/>
    <w:rsid w:val="00417FC3"/>
    <w:rsid w:val="00420860"/>
    <w:rsid w:val="00420B9F"/>
    <w:rsid w:val="00423754"/>
    <w:rsid w:val="00425B0F"/>
    <w:rsid w:val="00425CB2"/>
    <w:rsid w:val="00426DDA"/>
    <w:rsid w:val="00427F37"/>
    <w:rsid w:val="00430515"/>
    <w:rsid w:val="00430830"/>
    <w:rsid w:val="00430959"/>
    <w:rsid w:val="0043190A"/>
    <w:rsid w:val="004319F8"/>
    <w:rsid w:val="004324AD"/>
    <w:rsid w:val="00433AAF"/>
    <w:rsid w:val="00434113"/>
    <w:rsid w:val="004343F0"/>
    <w:rsid w:val="0043529C"/>
    <w:rsid w:val="00436306"/>
    <w:rsid w:val="00437985"/>
    <w:rsid w:val="004402D2"/>
    <w:rsid w:val="00440EA5"/>
    <w:rsid w:val="00441EB0"/>
    <w:rsid w:val="0044324D"/>
    <w:rsid w:val="004443A7"/>
    <w:rsid w:val="00445B54"/>
    <w:rsid w:val="004464EB"/>
    <w:rsid w:val="0044781E"/>
    <w:rsid w:val="00450504"/>
    <w:rsid w:val="004507A6"/>
    <w:rsid w:val="00450F14"/>
    <w:rsid w:val="00452333"/>
    <w:rsid w:val="0045313A"/>
    <w:rsid w:val="004534BF"/>
    <w:rsid w:val="00453AD8"/>
    <w:rsid w:val="004542DD"/>
    <w:rsid w:val="00454917"/>
    <w:rsid w:val="0045515B"/>
    <w:rsid w:val="004551F0"/>
    <w:rsid w:val="00455513"/>
    <w:rsid w:val="00455D45"/>
    <w:rsid w:val="00456470"/>
    <w:rsid w:val="004567D5"/>
    <w:rsid w:val="00460880"/>
    <w:rsid w:val="004608AD"/>
    <w:rsid w:val="004621A4"/>
    <w:rsid w:val="00462BE4"/>
    <w:rsid w:val="0046340F"/>
    <w:rsid w:val="00463A14"/>
    <w:rsid w:val="0046412E"/>
    <w:rsid w:val="00464595"/>
    <w:rsid w:val="0046634B"/>
    <w:rsid w:val="00466F46"/>
    <w:rsid w:val="0046708F"/>
    <w:rsid w:val="00467583"/>
    <w:rsid w:val="0047152A"/>
    <w:rsid w:val="00472359"/>
    <w:rsid w:val="0047374F"/>
    <w:rsid w:val="00473B62"/>
    <w:rsid w:val="0047456A"/>
    <w:rsid w:val="00475242"/>
    <w:rsid w:val="00476A84"/>
    <w:rsid w:val="0048006D"/>
    <w:rsid w:val="00482CDA"/>
    <w:rsid w:val="0048303E"/>
    <w:rsid w:val="004858D7"/>
    <w:rsid w:val="004867E2"/>
    <w:rsid w:val="004877E9"/>
    <w:rsid w:val="004879DD"/>
    <w:rsid w:val="00487DA9"/>
    <w:rsid w:val="004911E0"/>
    <w:rsid w:val="00491B3A"/>
    <w:rsid w:val="00491D0D"/>
    <w:rsid w:val="004924DB"/>
    <w:rsid w:val="0049301E"/>
    <w:rsid w:val="004930C7"/>
    <w:rsid w:val="0049368A"/>
    <w:rsid w:val="0049454B"/>
    <w:rsid w:val="004945C3"/>
    <w:rsid w:val="00497F10"/>
    <w:rsid w:val="004A008D"/>
    <w:rsid w:val="004A0DA1"/>
    <w:rsid w:val="004A174B"/>
    <w:rsid w:val="004A33E5"/>
    <w:rsid w:val="004A4186"/>
    <w:rsid w:val="004A47C1"/>
    <w:rsid w:val="004A6597"/>
    <w:rsid w:val="004A7116"/>
    <w:rsid w:val="004A7338"/>
    <w:rsid w:val="004A7F32"/>
    <w:rsid w:val="004B0160"/>
    <w:rsid w:val="004B2B14"/>
    <w:rsid w:val="004B2F18"/>
    <w:rsid w:val="004B3DDB"/>
    <w:rsid w:val="004B3FA4"/>
    <w:rsid w:val="004B44FD"/>
    <w:rsid w:val="004B4AE1"/>
    <w:rsid w:val="004B5CFC"/>
    <w:rsid w:val="004B68DD"/>
    <w:rsid w:val="004B7284"/>
    <w:rsid w:val="004B787C"/>
    <w:rsid w:val="004C0511"/>
    <w:rsid w:val="004C082E"/>
    <w:rsid w:val="004C0C2A"/>
    <w:rsid w:val="004C491E"/>
    <w:rsid w:val="004C4AED"/>
    <w:rsid w:val="004C59A7"/>
    <w:rsid w:val="004C5AE7"/>
    <w:rsid w:val="004C5CA4"/>
    <w:rsid w:val="004C648C"/>
    <w:rsid w:val="004C6B89"/>
    <w:rsid w:val="004D136D"/>
    <w:rsid w:val="004D182E"/>
    <w:rsid w:val="004D19A6"/>
    <w:rsid w:val="004D284F"/>
    <w:rsid w:val="004D2FDE"/>
    <w:rsid w:val="004D3383"/>
    <w:rsid w:val="004D3768"/>
    <w:rsid w:val="004D58E6"/>
    <w:rsid w:val="004D6B7F"/>
    <w:rsid w:val="004D7E5D"/>
    <w:rsid w:val="004E0EB8"/>
    <w:rsid w:val="004E2145"/>
    <w:rsid w:val="004E2ADC"/>
    <w:rsid w:val="004E3306"/>
    <w:rsid w:val="004E38E6"/>
    <w:rsid w:val="004E4FF7"/>
    <w:rsid w:val="004E5A17"/>
    <w:rsid w:val="004E65D5"/>
    <w:rsid w:val="004E6AD9"/>
    <w:rsid w:val="004E7110"/>
    <w:rsid w:val="004E734E"/>
    <w:rsid w:val="004F0759"/>
    <w:rsid w:val="004F1D02"/>
    <w:rsid w:val="004F2679"/>
    <w:rsid w:val="004F26A9"/>
    <w:rsid w:val="004F2782"/>
    <w:rsid w:val="004F3244"/>
    <w:rsid w:val="004F41BC"/>
    <w:rsid w:val="004F5CEB"/>
    <w:rsid w:val="00500165"/>
    <w:rsid w:val="00501697"/>
    <w:rsid w:val="00503C06"/>
    <w:rsid w:val="00504913"/>
    <w:rsid w:val="005059E8"/>
    <w:rsid w:val="00506E16"/>
    <w:rsid w:val="00506FFC"/>
    <w:rsid w:val="00507E13"/>
    <w:rsid w:val="00510980"/>
    <w:rsid w:val="0051131B"/>
    <w:rsid w:val="005115FB"/>
    <w:rsid w:val="00512AAB"/>
    <w:rsid w:val="005135E2"/>
    <w:rsid w:val="00513993"/>
    <w:rsid w:val="005152B5"/>
    <w:rsid w:val="00515BE8"/>
    <w:rsid w:val="0051689E"/>
    <w:rsid w:val="00516E7C"/>
    <w:rsid w:val="00517BC0"/>
    <w:rsid w:val="005202EE"/>
    <w:rsid w:val="00520E94"/>
    <w:rsid w:val="00521319"/>
    <w:rsid w:val="00521760"/>
    <w:rsid w:val="0052213A"/>
    <w:rsid w:val="00523A04"/>
    <w:rsid w:val="00523AF6"/>
    <w:rsid w:val="00523C28"/>
    <w:rsid w:val="00524C8A"/>
    <w:rsid w:val="00525793"/>
    <w:rsid w:val="00525FE9"/>
    <w:rsid w:val="00526287"/>
    <w:rsid w:val="005263D0"/>
    <w:rsid w:val="00530047"/>
    <w:rsid w:val="005326F9"/>
    <w:rsid w:val="00532D8B"/>
    <w:rsid w:val="005333C6"/>
    <w:rsid w:val="00533CD5"/>
    <w:rsid w:val="00534F59"/>
    <w:rsid w:val="00535329"/>
    <w:rsid w:val="0053582D"/>
    <w:rsid w:val="00535B82"/>
    <w:rsid w:val="00535EB8"/>
    <w:rsid w:val="00535FAB"/>
    <w:rsid w:val="0053762F"/>
    <w:rsid w:val="0053798B"/>
    <w:rsid w:val="00537E83"/>
    <w:rsid w:val="005406E9"/>
    <w:rsid w:val="005418C2"/>
    <w:rsid w:val="0054194D"/>
    <w:rsid w:val="00543598"/>
    <w:rsid w:val="00543D5E"/>
    <w:rsid w:val="0054412E"/>
    <w:rsid w:val="0054434B"/>
    <w:rsid w:val="005458C9"/>
    <w:rsid w:val="005459D0"/>
    <w:rsid w:val="00546BA5"/>
    <w:rsid w:val="00547348"/>
    <w:rsid w:val="005473D2"/>
    <w:rsid w:val="00547E03"/>
    <w:rsid w:val="00550E62"/>
    <w:rsid w:val="0055212C"/>
    <w:rsid w:val="00553752"/>
    <w:rsid w:val="00553B5B"/>
    <w:rsid w:val="00554D16"/>
    <w:rsid w:val="00555109"/>
    <w:rsid w:val="00555AA1"/>
    <w:rsid w:val="00555FAC"/>
    <w:rsid w:val="00556848"/>
    <w:rsid w:val="00556D1D"/>
    <w:rsid w:val="0055719E"/>
    <w:rsid w:val="00557A9C"/>
    <w:rsid w:val="0056276A"/>
    <w:rsid w:val="0056388F"/>
    <w:rsid w:val="0056411D"/>
    <w:rsid w:val="005641CF"/>
    <w:rsid w:val="0056470E"/>
    <w:rsid w:val="00564F5D"/>
    <w:rsid w:val="0056650E"/>
    <w:rsid w:val="005666F6"/>
    <w:rsid w:val="0056696F"/>
    <w:rsid w:val="00572430"/>
    <w:rsid w:val="00572787"/>
    <w:rsid w:val="00572A22"/>
    <w:rsid w:val="00573F53"/>
    <w:rsid w:val="00574511"/>
    <w:rsid w:val="00574F5B"/>
    <w:rsid w:val="0057540B"/>
    <w:rsid w:val="00576972"/>
    <w:rsid w:val="00576F1A"/>
    <w:rsid w:val="005771A5"/>
    <w:rsid w:val="00577717"/>
    <w:rsid w:val="005801E9"/>
    <w:rsid w:val="005804F7"/>
    <w:rsid w:val="005807F4"/>
    <w:rsid w:val="00580919"/>
    <w:rsid w:val="00583699"/>
    <w:rsid w:val="005840AF"/>
    <w:rsid w:val="005842C9"/>
    <w:rsid w:val="00584B83"/>
    <w:rsid w:val="0058519E"/>
    <w:rsid w:val="00585277"/>
    <w:rsid w:val="00586562"/>
    <w:rsid w:val="0059007C"/>
    <w:rsid w:val="0059114F"/>
    <w:rsid w:val="0059313D"/>
    <w:rsid w:val="005937B5"/>
    <w:rsid w:val="0059397E"/>
    <w:rsid w:val="0059430E"/>
    <w:rsid w:val="00594894"/>
    <w:rsid w:val="005950D7"/>
    <w:rsid w:val="00595430"/>
    <w:rsid w:val="00596CC4"/>
    <w:rsid w:val="005971A7"/>
    <w:rsid w:val="00597310"/>
    <w:rsid w:val="0059737C"/>
    <w:rsid w:val="005A3608"/>
    <w:rsid w:val="005A4617"/>
    <w:rsid w:val="005A4A73"/>
    <w:rsid w:val="005A6FD5"/>
    <w:rsid w:val="005A7709"/>
    <w:rsid w:val="005A7A61"/>
    <w:rsid w:val="005A7A69"/>
    <w:rsid w:val="005B073A"/>
    <w:rsid w:val="005B1002"/>
    <w:rsid w:val="005B21A1"/>
    <w:rsid w:val="005B2736"/>
    <w:rsid w:val="005B2A83"/>
    <w:rsid w:val="005B3B8D"/>
    <w:rsid w:val="005B48DE"/>
    <w:rsid w:val="005B52D8"/>
    <w:rsid w:val="005B5857"/>
    <w:rsid w:val="005B77FD"/>
    <w:rsid w:val="005C00CC"/>
    <w:rsid w:val="005C0E28"/>
    <w:rsid w:val="005C1B83"/>
    <w:rsid w:val="005C21FA"/>
    <w:rsid w:val="005C346B"/>
    <w:rsid w:val="005C34A9"/>
    <w:rsid w:val="005C3F00"/>
    <w:rsid w:val="005C6D60"/>
    <w:rsid w:val="005C779E"/>
    <w:rsid w:val="005C7CB6"/>
    <w:rsid w:val="005C7DD1"/>
    <w:rsid w:val="005D0600"/>
    <w:rsid w:val="005D0CE3"/>
    <w:rsid w:val="005D13C2"/>
    <w:rsid w:val="005D18AD"/>
    <w:rsid w:val="005D18C0"/>
    <w:rsid w:val="005D2A43"/>
    <w:rsid w:val="005D347D"/>
    <w:rsid w:val="005D3ADF"/>
    <w:rsid w:val="005D78D2"/>
    <w:rsid w:val="005D7E3E"/>
    <w:rsid w:val="005E0DB0"/>
    <w:rsid w:val="005E0E52"/>
    <w:rsid w:val="005E1444"/>
    <w:rsid w:val="005E15F8"/>
    <w:rsid w:val="005E197B"/>
    <w:rsid w:val="005E1A33"/>
    <w:rsid w:val="005E6130"/>
    <w:rsid w:val="005E797E"/>
    <w:rsid w:val="005F0B50"/>
    <w:rsid w:val="005F136B"/>
    <w:rsid w:val="005F16B5"/>
    <w:rsid w:val="005F19B1"/>
    <w:rsid w:val="005F25E3"/>
    <w:rsid w:val="005F2706"/>
    <w:rsid w:val="005F2A3A"/>
    <w:rsid w:val="005F40FA"/>
    <w:rsid w:val="005F6A8F"/>
    <w:rsid w:val="005F6CF0"/>
    <w:rsid w:val="00602D6A"/>
    <w:rsid w:val="00603E0D"/>
    <w:rsid w:val="00604C00"/>
    <w:rsid w:val="00605A7A"/>
    <w:rsid w:val="0060616A"/>
    <w:rsid w:val="00607669"/>
    <w:rsid w:val="00610979"/>
    <w:rsid w:val="00611B66"/>
    <w:rsid w:val="00612F97"/>
    <w:rsid w:val="00613346"/>
    <w:rsid w:val="006146E2"/>
    <w:rsid w:val="006146E9"/>
    <w:rsid w:val="00616043"/>
    <w:rsid w:val="00616802"/>
    <w:rsid w:val="00617628"/>
    <w:rsid w:val="00617E12"/>
    <w:rsid w:val="00620686"/>
    <w:rsid w:val="00620845"/>
    <w:rsid w:val="006211EC"/>
    <w:rsid w:val="00621477"/>
    <w:rsid w:val="00622A88"/>
    <w:rsid w:val="006235BD"/>
    <w:rsid w:val="0062360C"/>
    <w:rsid w:val="00623F0F"/>
    <w:rsid w:val="006259D4"/>
    <w:rsid w:val="00626083"/>
    <w:rsid w:val="006260A4"/>
    <w:rsid w:val="0062630F"/>
    <w:rsid w:val="00626496"/>
    <w:rsid w:val="006302DE"/>
    <w:rsid w:val="00631D6B"/>
    <w:rsid w:val="00632F2C"/>
    <w:rsid w:val="00633911"/>
    <w:rsid w:val="00633BF2"/>
    <w:rsid w:val="0063479F"/>
    <w:rsid w:val="006364A1"/>
    <w:rsid w:val="00637BFD"/>
    <w:rsid w:val="006408BC"/>
    <w:rsid w:val="00641CFF"/>
    <w:rsid w:val="00643044"/>
    <w:rsid w:val="006437B6"/>
    <w:rsid w:val="00646EFA"/>
    <w:rsid w:val="00646F30"/>
    <w:rsid w:val="006471CC"/>
    <w:rsid w:val="0065079F"/>
    <w:rsid w:val="00650A32"/>
    <w:rsid w:val="006519D4"/>
    <w:rsid w:val="006521C3"/>
    <w:rsid w:val="0065380F"/>
    <w:rsid w:val="00653D27"/>
    <w:rsid w:val="0065659E"/>
    <w:rsid w:val="0065763B"/>
    <w:rsid w:val="0065795F"/>
    <w:rsid w:val="00660804"/>
    <w:rsid w:val="00662272"/>
    <w:rsid w:val="006637FA"/>
    <w:rsid w:val="00663E3B"/>
    <w:rsid w:val="0066531B"/>
    <w:rsid w:val="00665EE7"/>
    <w:rsid w:val="00666C9A"/>
    <w:rsid w:val="006671E0"/>
    <w:rsid w:val="006710B8"/>
    <w:rsid w:val="00672EE9"/>
    <w:rsid w:val="006734BB"/>
    <w:rsid w:val="0067371F"/>
    <w:rsid w:val="00674681"/>
    <w:rsid w:val="006749BE"/>
    <w:rsid w:val="00674E42"/>
    <w:rsid w:val="00675D35"/>
    <w:rsid w:val="00676D7D"/>
    <w:rsid w:val="006779E9"/>
    <w:rsid w:val="00677E56"/>
    <w:rsid w:val="00680245"/>
    <w:rsid w:val="0068157C"/>
    <w:rsid w:val="00681874"/>
    <w:rsid w:val="00682112"/>
    <w:rsid w:val="00684186"/>
    <w:rsid w:val="00685272"/>
    <w:rsid w:val="00686F40"/>
    <w:rsid w:val="00691069"/>
    <w:rsid w:val="006912CF"/>
    <w:rsid w:val="00691769"/>
    <w:rsid w:val="00691E39"/>
    <w:rsid w:val="0069246D"/>
    <w:rsid w:val="00692CB9"/>
    <w:rsid w:val="00692D53"/>
    <w:rsid w:val="00694BE6"/>
    <w:rsid w:val="00694C1B"/>
    <w:rsid w:val="00694F44"/>
    <w:rsid w:val="006958B1"/>
    <w:rsid w:val="0069793D"/>
    <w:rsid w:val="006A0454"/>
    <w:rsid w:val="006A3AD2"/>
    <w:rsid w:val="006A450B"/>
    <w:rsid w:val="006A45FE"/>
    <w:rsid w:val="006A7076"/>
    <w:rsid w:val="006A79E0"/>
    <w:rsid w:val="006A7E50"/>
    <w:rsid w:val="006A7EC9"/>
    <w:rsid w:val="006B10BF"/>
    <w:rsid w:val="006B1E54"/>
    <w:rsid w:val="006B2377"/>
    <w:rsid w:val="006B390D"/>
    <w:rsid w:val="006B5961"/>
    <w:rsid w:val="006B5C7A"/>
    <w:rsid w:val="006B754A"/>
    <w:rsid w:val="006C091A"/>
    <w:rsid w:val="006C1F8E"/>
    <w:rsid w:val="006C23C8"/>
    <w:rsid w:val="006C2A8E"/>
    <w:rsid w:val="006C38DD"/>
    <w:rsid w:val="006C5BFF"/>
    <w:rsid w:val="006C7A9A"/>
    <w:rsid w:val="006C7C55"/>
    <w:rsid w:val="006D01AE"/>
    <w:rsid w:val="006D0588"/>
    <w:rsid w:val="006D0EB6"/>
    <w:rsid w:val="006D0EE5"/>
    <w:rsid w:val="006D1AAB"/>
    <w:rsid w:val="006D1C92"/>
    <w:rsid w:val="006D24BD"/>
    <w:rsid w:val="006D3C7D"/>
    <w:rsid w:val="006D5ECB"/>
    <w:rsid w:val="006D67AD"/>
    <w:rsid w:val="006D6B97"/>
    <w:rsid w:val="006D70CD"/>
    <w:rsid w:val="006D727C"/>
    <w:rsid w:val="006E13C2"/>
    <w:rsid w:val="006E2484"/>
    <w:rsid w:val="006E3BCC"/>
    <w:rsid w:val="006E68C7"/>
    <w:rsid w:val="006F1BEE"/>
    <w:rsid w:val="006F1C1B"/>
    <w:rsid w:val="006F2060"/>
    <w:rsid w:val="006F3658"/>
    <w:rsid w:val="006F40F9"/>
    <w:rsid w:val="006F53B2"/>
    <w:rsid w:val="006F552F"/>
    <w:rsid w:val="006F6084"/>
    <w:rsid w:val="006F63A5"/>
    <w:rsid w:val="006F7265"/>
    <w:rsid w:val="006F77A4"/>
    <w:rsid w:val="006F77F7"/>
    <w:rsid w:val="00700D7A"/>
    <w:rsid w:val="00702343"/>
    <w:rsid w:val="0070276E"/>
    <w:rsid w:val="00704B93"/>
    <w:rsid w:val="007058BB"/>
    <w:rsid w:val="00706A33"/>
    <w:rsid w:val="00707CBB"/>
    <w:rsid w:val="00710319"/>
    <w:rsid w:val="007112E8"/>
    <w:rsid w:val="00711A36"/>
    <w:rsid w:val="00711CCE"/>
    <w:rsid w:val="00713617"/>
    <w:rsid w:val="00713999"/>
    <w:rsid w:val="00713C3D"/>
    <w:rsid w:val="0071419F"/>
    <w:rsid w:val="00714947"/>
    <w:rsid w:val="00714A86"/>
    <w:rsid w:val="00715230"/>
    <w:rsid w:val="00715430"/>
    <w:rsid w:val="00716C84"/>
    <w:rsid w:val="007172AD"/>
    <w:rsid w:val="007207E5"/>
    <w:rsid w:val="007209E6"/>
    <w:rsid w:val="0072190D"/>
    <w:rsid w:val="0072419C"/>
    <w:rsid w:val="00724B34"/>
    <w:rsid w:val="00725953"/>
    <w:rsid w:val="007265FB"/>
    <w:rsid w:val="00727BED"/>
    <w:rsid w:val="0073003D"/>
    <w:rsid w:val="00730633"/>
    <w:rsid w:val="00730650"/>
    <w:rsid w:val="007309F5"/>
    <w:rsid w:val="00732843"/>
    <w:rsid w:val="00732F48"/>
    <w:rsid w:val="00734ABE"/>
    <w:rsid w:val="00734E1F"/>
    <w:rsid w:val="00734E3F"/>
    <w:rsid w:val="007352E1"/>
    <w:rsid w:val="00735328"/>
    <w:rsid w:val="007353E5"/>
    <w:rsid w:val="00735C45"/>
    <w:rsid w:val="0073685B"/>
    <w:rsid w:val="00736E80"/>
    <w:rsid w:val="00737ACD"/>
    <w:rsid w:val="00740A2E"/>
    <w:rsid w:val="00740CC6"/>
    <w:rsid w:val="00744705"/>
    <w:rsid w:val="00745AA9"/>
    <w:rsid w:val="00746B53"/>
    <w:rsid w:val="00746CFD"/>
    <w:rsid w:val="007474AD"/>
    <w:rsid w:val="00747DC1"/>
    <w:rsid w:val="007505A3"/>
    <w:rsid w:val="00754F9E"/>
    <w:rsid w:val="00756344"/>
    <w:rsid w:val="007564AD"/>
    <w:rsid w:val="00757E30"/>
    <w:rsid w:val="00762C23"/>
    <w:rsid w:val="00763025"/>
    <w:rsid w:val="00765E60"/>
    <w:rsid w:val="0076663C"/>
    <w:rsid w:val="007666C4"/>
    <w:rsid w:val="007671FB"/>
    <w:rsid w:val="00767F00"/>
    <w:rsid w:val="00770F62"/>
    <w:rsid w:val="0077125C"/>
    <w:rsid w:val="007722BF"/>
    <w:rsid w:val="00772431"/>
    <w:rsid w:val="007728D7"/>
    <w:rsid w:val="00772A25"/>
    <w:rsid w:val="007731D9"/>
    <w:rsid w:val="0077398B"/>
    <w:rsid w:val="00773E0F"/>
    <w:rsid w:val="00774B51"/>
    <w:rsid w:val="00776815"/>
    <w:rsid w:val="00777366"/>
    <w:rsid w:val="0078196F"/>
    <w:rsid w:val="00782217"/>
    <w:rsid w:val="0078256E"/>
    <w:rsid w:val="007847FB"/>
    <w:rsid w:val="00784E84"/>
    <w:rsid w:val="00785DF7"/>
    <w:rsid w:val="00787734"/>
    <w:rsid w:val="00787BFA"/>
    <w:rsid w:val="00787DF4"/>
    <w:rsid w:val="00790070"/>
    <w:rsid w:val="0079044A"/>
    <w:rsid w:val="007905F6"/>
    <w:rsid w:val="00790D39"/>
    <w:rsid w:val="007910DC"/>
    <w:rsid w:val="007913FB"/>
    <w:rsid w:val="00792E91"/>
    <w:rsid w:val="007931CC"/>
    <w:rsid w:val="00793B4D"/>
    <w:rsid w:val="00794291"/>
    <w:rsid w:val="00794C14"/>
    <w:rsid w:val="00795407"/>
    <w:rsid w:val="007966F7"/>
    <w:rsid w:val="007A30D5"/>
    <w:rsid w:val="007A3DFB"/>
    <w:rsid w:val="007A594A"/>
    <w:rsid w:val="007A66C0"/>
    <w:rsid w:val="007A67A1"/>
    <w:rsid w:val="007A70A0"/>
    <w:rsid w:val="007B046C"/>
    <w:rsid w:val="007B08B0"/>
    <w:rsid w:val="007B1289"/>
    <w:rsid w:val="007B1C48"/>
    <w:rsid w:val="007B1D81"/>
    <w:rsid w:val="007B251D"/>
    <w:rsid w:val="007B2F88"/>
    <w:rsid w:val="007B44BA"/>
    <w:rsid w:val="007B55B1"/>
    <w:rsid w:val="007B6235"/>
    <w:rsid w:val="007B6702"/>
    <w:rsid w:val="007B6BD2"/>
    <w:rsid w:val="007B7111"/>
    <w:rsid w:val="007B77D1"/>
    <w:rsid w:val="007B7A00"/>
    <w:rsid w:val="007C1181"/>
    <w:rsid w:val="007C1A5C"/>
    <w:rsid w:val="007C1D56"/>
    <w:rsid w:val="007C338C"/>
    <w:rsid w:val="007C372A"/>
    <w:rsid w:val="007C3D35"/>
    <w:rsid w:val="007C4543"/>
    <w:rsid w:val="007C48F4"/>
    <w:rsid w:val="007C653E"/>
    <w:rsid w:val="007C6D95"/>
    <w:rsid w:val="007C7C8D"/>
    <w:rsid w:val="007D0B38"/>
    <w:rsid w:val="007D36EE"/>
    <w:rsid w:val="007D44D8"/>
    <w:rsid w:val="007D7A72"/>
    <w:rsid w:val="007D7D27"/>
    <w:rsid w:val="007E018B"/>
    <w:rsid w:val="007E01BD"/>
    <w:rsid w:val="007E0D11"/>
    <w:rsid w:val="007E136B"/>
    <w:rsid w:val="007E37B7"/>
    <w:rsid w:val="007E39C9"/>
    <w:rsid w:val="007E484F"/>
    <w:rsid w:val="007E4CE3"/>
    <w:rsid w:val="007E51DF"/>
    <w:rsid w:val="007E578B"/>
    <w:rsid w:val="007E63E5"/>
    <w:rsid w:val="007E6963"/>
    <w:rsid w:val="007E7793"/>
    <w:rsid w:val="007E7C25"/>
    <w:rsid w:val="007F05D3"/>
    <w:rsid w:val="007F1017"/>
    <w:rsid w:val="007F1468"/>
    <w:rsid w:val="007F1D27"/>
    <w:rsid w:val="007F2CF9"/>
    <w:rsid w:val="007F34F9"/>
    <w:rsid w:val="007F4A3F"/>
    <w:rsid w:val="007F54DC"/>
    <w:rsid w:val="007F6640"/>
    <w:rsid w:val="00801F45"/>
    <w:rsid w:val="00802241"/>
    <w:rsid w:val="00802BCD"/>
    <w:rsid w:val="0080375F"/>
    <w:rsid w:val="00804811"/>
    <w:rsid w:val="00805142"/>
    <w:rsid w:val="00805273"/>
    <w:rsid w:val="00807A8B"/>
    <w:rsid w:val="00807C24"/>
    <w:rsid w:val="00810951"/>
    <w:rsid w:val="008116D6"/>
    <w:rsid w:val="00812149"/>
    <w:rsid w:val="00812814"/>
    <w:rsid w:val="008128ED"/>
    <w:rsid w:val="008142D2"/>
    <w:rsid w:val="00814A2D"/>
    <w:rsid w:val="00815957"/>
    <w:rsid w:val="00815C8D"/>
    <w:rsid w:val="008166EF"/>
    <w:rsid w:val="00816B4D"/>
    <w:rsid w:val="0081719D"/>
    <w:rsid w:val="00822B5C"/>
    <w:rsid w:val="00823A3C"/>
    <w:rsid w:val="00825123"/>
    <w:rsid w:val="008264EB"/>
    <w:rsid w:val="008274E8"/>
    <w:rsid w:val="00827F12"/>
    <w:rsid w:val="008303A7"/>
    <w:rsid w:val="00830CF5"/>
    <w:rsid w:val="0083169A"/>
    <w:rsid w:val="00831B5A"/>
    <w:rsid w:val="008320C4"/>
    <w:rsid w:val="0083289D"/>
    <w:rsid w:val="00835084"/>
    <w:rsid w:val="008363F9"/>
    <w:rsid w:val="00836887"/>
    <w:rsid w:val="00837545"/>
    <w:rsid w:val="0083789A"/>
    <w:rsid w:val="00837A79"/>
    <w:rsid w:val="008405C5"/>
    <w:rsid w:val="00840CA2"/>
    <w:rsid w:val="008414BA"/>
    <w:rsid w:val="00841F9C"/>
    <w:rsid w:val="00843E74"/>
    <w:rsid w:val="00843F45"/>
    <w:rsid w:val="008441E6"/>
    <w:rsid w:val="00846521"/>
    <w:rsid w:val="00851A86"/>
    <w:rsid w:val="008524BC"/>
    <w:rsid w:val="00853430"/>
    <w:rsid w:val="00853946"/>
    <w:rsid w:val="00853CC2"/>
    <w:rsid w:val="00854C4F"/>
    <w:rsid w:val="00856E9A"/>
    <w:rsid w:val="00862C6D"/>
    <w:rsid w:val="008630BF"/>
    <w:rsid w:val="00863331"/>
    <w:rsid w:val="00865329"/>
    <w:rsid w:val="0086660C"/>
    <w:rsid w:val="00867584"/>
    <w:rsid w:val="00870215"/>
    <w:rsid w:val="00870917"/>
    <w:rsid w:val="00870A1F"/>
    <w:rsid w:val="00870BAB"/>
    <w:rsid w:val="00872CFE"/>
    <w:rsid w:val="008749DD"/>
    <w:rsid w:val="00875131"/>
    <w:rsid w:val="0087583B"/>
    <w:rsid w:val="008762D1"/>
    <w:rsid w:val="0087704C"/>
    <w:rsid w:val="00877951"/>
    <w:rsid w:val="008801CB"/>
    <w:rsid w:val="00880F2F"/>
    <w:rsid w:val="008810FE"/>
    <w:rsid w:val="00882874"/>
    <w:rsid w:val="00883064"/>
    <w:rsid w:val="0088308F"/>
    <w:rsid w:val="00883787"/>
    <w:rsid w:val="00884314"/>
    <w:rsid w:val="00886B72"/>
    <w:rsid w:val="00891018"/>
    <w:rsid w:val="00891817"/>
    <w:rsid w:val="0089192C"/>
    <w:rsid w:val="00892CBE"/>
    <w:rsid w:val="00892D8B"/>
    <w:rsid w:val="00893A39"/>
    <w:rsid w:val="00893D5C"/>
    <w:rsid w:val="00893DB0"/>
    <w:rsid w:val="0089402D"/>
    <w:rsid w:val="008948F1"/>
    <w:rsid w:val="008957BF"/>
    <w:rsid w:val="00895F56"/>
    <w:rsid w:val="008963A5"/>
    <w:rsid w:val="00896E63"/>
    <w:rsid w:val="008A0111"/>
    <w:rsid w:val="008A0670"/>
    <w:rsid w:val="008A2363"/>
    <w:rsid w:val="008A3C3E"/>
    <w:rsid w:val="008A40AB"/>
    <w:rsid w:val="008A5E12"/>
    <w:rsid w:val="008A6B2F"/>
    <w:rsid w:val="008A6CD2"/>
    <w:rsid w:val="008A74D2"/>
    <w:rsid w:val="008A78A6"/>
    <w:rsid w:val="008A79DE"/>
    <w:rsid w:val="008A7D58"/>
    <w:rsid w:val="008B24EB"/>
    <w:rsid w:val="008B295B"/>
    <w:rsid w:val="008B41FF"/>
    <w:rsid w:val="008B47A9"/>
    <w:rsid w:val="008B4CB0"/>
    <w:rsid w:val="008B5EE5"/>
    <w:rsid w:val="008B5FA8"/>
    <w:rsid w:val="008B7D7E"/>
    <w:rsid w:val="008C13FF"/>
    <w:rsid w:val="008C19B3"/>
    <w:rsid w:val="008C2EA8"/>
    <w:rsid w:val="008C30BE"/>
    <w:rsid w:val="008C5A71"/>
    <w:rsid w:val="008C7692"/>
    <w:rsid w:val="008C7820"/>
    <w:rsid w:val="008C7AA3"/>
    <w:rsid w:val="008C7B1A"/>
    <w:rsid w:val="008C7ECB"/>
    <w:rsid w:val="008D39D6"/>
    <w:rsid w:val="008D3DAE"/>
    <w:rsid w:val="008D49E4"/>
    <w:rsid w:val="008D4AD0"/>
    <w:rsid w:val="008D50DA"/>
    <w:rsid w:val="008D516F"/>
    <w:rsid w:val="008D6454"/>
    <w:rsid w:val="008D75A1"/>
    <w:rsid w:val="008E1420"/>
    <w:rsid w:val="008E1A51"/>
    <w:rsid w:val="008E1B9E"/>
    <w:rsid w:val="008E1F6D"/>
    <w:rsid w:val="008E2D89"/>
    <w:rsid w:val="008E3173"/>
    <w:rsid w:val="008E4384"/>
    <w:rsid w:val="008E63A1"/>
    <w:rsid w:val="008E64BD"/>
    <w:rsid w:val="008E6669"/>
    <w:rsid w:val="008E730D"/>
    <w:rsid w:val="008E76F3"/>
    <w:rsid w:val="008E795C"/>
    <w:rsid w:val="008F01D7"/>
    <w:rsid w:val="008F03E0"/>
    <w:rsid w:val="008F16E7"/>
    <w:rsid w:val="008F2C87"/>
    <w:rsid w:val="008F3858"/>
    <w:rsid w:val="008F48EB"/>
    <w:rsid w:val="008F4A35"/>
    <w:rsid w:val="008F4C5F"/>
    <w:rsid w:val="008F4F0B"/>
    <w:rsid w:val="008F6BCB"/>
    <w:rsid w:val="008F70AF"/>
    <w:rsid w:val="009001DE"/>
    <w:rsid w:val="00900CC3"/>
    <w:rsid w:val="00901478"/>
    <w:rsid w:val="00902A05"/>
    <w:rsid w:val="00903190"/>
    <w:rsid w:val="00905418"/>
    <w:rsid w:val="00905B5B"/>
    <w:rsid w:val="009062A5"/>
    <w:rsid w:val="00907560"/>
    <w:rsid w:val="00910EEC"/>
    <w:rsid w:val="00911037"/>
    <w:rsid w:val="00911272"/>
    <w:rsid w:val="009118F2"/>
    <w:rsid w:val="00911E61"/>
    <w:rsid w:val="00913591"/>
    <w:rsid w:val="009136BA"/>
    <w:rsid w:val="009152FC"/>
    <w:rsid w:val="00916AAF"/>
    <w:rsid w:val="0091709E"/>
    <w:rsid w:val="009175D3"/>
    <w:rsid w:val="00921C74"/>
    <w:rsid w:val="00921F6F"/>
    <w:rsid w:val="00922655"/>
    <w:rsid w:val="00922BCC"/>
    <w:rsid w:val="0092541A"/>
    <w:rsid w:val="00926B8D"/>
    <w:rsid w:val="009276EB"/>
    <w:rsid w:val="00927DF7"/>
    <w:rsid w:val="00930B90"/>
    <w:rsid w:val="00931411"/>
    <w:rsid w:val="00931A20"/>
    <w:rsid w:val="00931EA2"/>
    <w:rsid w:val="00933DA6"/>
    <w:rsid w:val="009341B4"/>
    <w:rsid w:val="00934287"/>
    <w:rsid w:val="0093508F"/>
    <w:rsid w:val="009352AD"/>
    <w:rsid w:val="009373A2"/>
    <w:rsid w:val="00940046"/>
    <w:rsid w:val="00940F1B"/>
    <w:rsid w:val="009422C0"/>
    <w:rsid w:val="00944827"/>
    <w:rsid w:val="00947023"/>
    <w:rsid w:val="0095040C"/>
    <w:rsid w:val="00950C6C"/>
    <w:rsid w:val="0095100A"/>
    <w:rsid w:val="0095113D"/>
    <w:rsid w:val="00952313"/>
    <w:rsid w:val="0095289F"/>
    <w:rsid w:val="00952A77"/>
    <w:rsid w:val="00952B48"/>
    <w:rsid w:val="0095420A"/>
    <w:rsid w:val="00954E9C"/>
    <w:rsid w:val="00955CCB"/>
    <w:rsid w:val="0095658C"/>
    <w:rsid w:val="009569DE"/>
    <w:rsid w:val="009569F2"/>
    <w:rsid w:val="00956CC7"/>
    <w:rsid w:val="00956FD8"/>
    <w:rsid w:val="00957168"/>
    <w:rsid w:val="009608E3"/>
    <w:rsid w:val="00961950"/>
    <w:rsid w:val="00961AF9"/>
    <w:rsid w:val="00962007"/>
    <w:rsid w:val="00962754"/>
    <w:rsid w:val="00962CB9"/>
    <w:rsid w:val="009630FA"/>
    <w:rsid w:val="0096314B"/>
    <w:rsid w:val="00963654"/>
    <w:rsid w:val="00964312"/>
    <w:rsid w:val="00965247"/>
    <w:rsid w:val="009655BF"/>
    <w:rsid w:val="00966A47"/>
    <w:rsid w:val="00966B3E"/>
    <w:rsid w:val="0096721E"/>
    <w:rsid w:val="009674D5"/>
    <w:rsid w:val="00967666"/>
    <w:rsid w:val="0097048F"/>
    <w:rsid w:val="00971A6B"/>
    <w:rsid w:val="00973397"/>
    <w:rsid w:val="00975EED"/>
    <w:rsid w:val="0097605B"/>
    <w:rsid w:val="009761D7"/>
    <w:rsid w:val="00976F48"/>
    <w:rsid w:val="0098002F"/>
    <w:rsid w:val="0098128F"/>
    <w:rsid w:val="00983E57"/>
    <w:rsid w:val="00984257"/>
    <w:rsid w:val="00986F6C"/>
    <w:rsid w:val="00987151"/>
    <w:rsid w:val="0099067B"/>
    <w:rsid w:val="009909F8"/>
    <w:rsid w:val="009915CB"/>
    <w:rsid w:val="0099382C"/>
    <w:rsid w:val="00995026"/>
    <w:rsid w:val="0099566A"/>
    <w:rsid w:val="00996487"/>
    <w:rsid w:val="00996B1A"/>
    <w:rsid w:val="00996BBE"/>
    <w:rsid w:val="00996FE3"/>
    <w:rsid w:val="00997112"/>
    <w:rsid w:val="0099771F"/>
    <w:rsid w:val="00997FAC"/>
    <w:rsid w:val="009A0AB7"/>
    <w:rsid w:val="009A0EF5"/>
    <w:rsid w:val="009A203A"/>
    <w:rsid w:val="009A24CB"/>
    <w:rsid w:val="009A25D6"/>
    <w:rsid w:val="009A2788"/>
    <w:rsid w:val="009A3038"/>
    <w:rsid w:val="009A30C6"/>
    <w:rsid w:val="009A334B"/>
    <w:rsid w:val="009A36C6"/>
    <w:rsid w:val="009A4D07"/>
    <w:rsid w:val="009A5349"/>
    <w:rsid w:val="009A54D2"/>
    <w:rsid w:val="009A5544"/>
    <w:rsid w:val="009B3E26"/>
    <w:rsid w:val="009B55BF"/>
    <w:rsid w:val="009B5665"/>
    <w:rsid w:val="009B5F54"/>
    <w:rsid w:val="009B68C3"/>
    <w:rsid w:val="009B711C"/>
    <w:rsid w:val="009C3263"/>
    <w:rsid w:val="009C38FC"/>
    <w:rsid w:val="009C3CE4"/>
    <w:rsid w:val="009C6178"/>
    <w:rsid w:val="009D0F14"/>
    <w:rsid w:val="009D14D0"/>
    <w:rsid w:val="009D14FB"/>
    <w:rsid w:val="009D15DE"/>
    <w:rsid w:val="009D165F"/>
    <w:rsid w:val="009D1AA9"/>
    <w:rsid w:val="009D4F6A"/>
    <w:rsid w:val="009D5B91"/>
    <w:rsid w:val="009D60ED"/>
    <w:rsid w:val="009D6281"/>
    <w:rsid w:val="009D67CC"/>
    <w:rsid w:val="009D720C"/>
    <w:rsid w:val="009D7C05"/>
    <w:rsid w:val="009E2726"/>
    <w:rsid w:val="009E2C14"/>
    <w:rsid w:val="009E3138"/>
    <w:rsid w:val="009E3D8A"/>
    <w:rsid w:val="009E484F"/>
    <w:rsid w:val="009E4C07"/>
    <w:rsid w:val="009E4DA6"/>
    <w:rsid w:val="009E5507"/>
    <w:rsid w:val="009E5965"/>
    <w:rsid w:val="009E6482"/>
    <w:rsid w:val="009E7CC1"/>
    <w:rsid w:val="009F3745"/>
    <w:rsid w:val="009F3BF6"/>
    <w:rsid w:val="009F3FB6"/>
    <w:rsid w:val="009F49B0"/>
    <w:rsid w:val="009F4BBC"/>
    <w:rsid w:val="009F5BB9"/>
    <w:rsid w:val="009F60A0"/>
    <w:rsid w:val="009F6E20"/>
    <w:rsid w:val="009F70E7"/>
    <w:rsid w:val="009F74CB"/>
    <w:rsid w:val="009F7600"/>
    <w:rsid w:val="00A010B6"/>
    <w:rsid w:val="00A022F4"/>
    <w:rsid w:val="00A0235F"/>
    <w:rsid w:val="00A02391"/>
    <w:rsid w:val="00A02D29"/>
    <w:rsid w:val="00A02DE7"/>
    <w:rsid w:val="00A0315B"/>
    <w:rsid w:val="00A031A1"/>
    <w:rsid w:val="00A03D43"/>
    <w:rsid w:val="00A04380"/>
    <w:rsid w:val="00A047EE"/>
    <w:rsid w:val="00A04A1C"/>
    <w:rsid w:val="00A055D4"/>
    <w:rsid w:val="00A05B1F"/>
    <w:rsid w:val="00A05EB4"/>
    <w:rsid w:val="00A06653"/>
    <w:rsid w:val="00A0671E"/>
    <w:rsid w:val="00A11487"/>
    <w:rsid w:val="00A12548"/>
    <w:rsid w:val="00A1261A"/>
    <w:rsid w:val="00A12634"/>
    <w:rsid w:val="00A128DD"/>
    <w:rsid w:val="00A133C0"/>
    <w:rsid w:val="00A13476"/>
    <w:rsid w:val="00A1379A"/>
    <w:rsid w:val="00A13948"/>
    <w:rsid w:val="00A14185"/>
    <w:rsid w:val="00A1525C"/>
    <w:rsid w:val="00A1579C"/>
    <w:rsid w:val="00A161AB"/>
    <w:rsid w:val="00A177BD"/>
    <w:rsid w:val="00A20B3C"/>
    <w:rsid w:val="00A21098"/>
    <w:rsid w:val="00A22131"/>
    <w:rsid w:val="00A2239B"/>
    <w:rsid w:val="00A225AC"/>
    <w:rsid w:val="00A22BB6"/>
    <w:rsid w:val="00A235EB"/>
    <w:rsid w:val="00A23BAA"/>
    <w:rsid w:val="00A24652"/>
    <w:rsid w:val="00A2493E"/>
    <w:rsid w:val="00A25484"/>
    <w:rsid w:val="00A260E5"/>
    <w:rsid w:val="00A264C4"/>
    <w:rsid w:val="00A26E90"/>
    <w:rsid w:val="00A272BD"/>
    <w:rsid w:val="00A27AEC"/>
    <w:rsid w:val="00A30329"/>
    <w:rsid w:val="00A30428"/>
    <w:rsid w:val="00A31E54"/>
    <w:rsid w:val="00A32BE3"/>
    <w:rsid w:val="00A33840"/>
    <w:rsid w:val="00A35D16"/>
    <w:rsid w:val="00A37F5D"/>
    <w:rsid w:val="00A4273A"/>
    <w:rsid w:val="00A4286C"/>
    <w:rsid w:val="00A42A00"/>
    <w:rsid w:val="00A43B53"/>
    <w:rsid w:val="00A43C59"/>
    <w:rsid w:val="00A44703"/>
    <w:rsid w:val="00A4539D"/>
    <w:rsid w:val="00A45A35"/>
    <w:rsid w:val="00A50ECD"/>
    <w:rsid w:val="00A5151F"/>
    <w:rsid w:val="00A51C1A"/>
    <w:rsid w:val="00A52729"/>
    <w:rsid w:val="00A52A48"/>
    <w:rsid w:val="00A52DD9"/>
    <w:rsid w:val="00A53675"/>
    <w:rsid w:val="00A5409A"/>
    <w:rsid w:val="00A55593"/>
    <w:rsid w:val="00A55D50"/>
    <w:rsid w:val="00A56622"/>
    <w:rsid w:val="00A5686F"/>
    <w:rsid w:val="00A56B6A"/>
    <w:rsid w:val="00A56FBA"/>
    <w:rsid w:val="00A578DC"/>
    <w:rsid w:val="00A602DD"/>
    <w:rsid w:val="00A606B5"/>
    <w:rsid w:val="00A610B2"/>
    <w:rsid w:val="00A6155F"/>
    <w:rsid w:val="00A6332D"/>
    <w:rsid w:val="00A65596"/>
    <w:rsid w:val="00A66605"/>
    <w:rsid w:val="00A66955"/>
    <w:rsid w:val="00A66B11"/>
    <w:rsid w:val="00A66B47"/>
    <w:rsid w:val="00A6725B"/>
    <w:rsid w:val="00A67928"/>
    <w:rsid w:val="00A71015"/>
    <w:rsid w:val="00A734FF"/>
    <w:rsid w:val="00A75B73"/>
    <w:rsid w:val="00A77470"/>
    <w:rsid w:val="00A77A6D"/>
    <w:rsid w:val="00A80197"/>
    <w:rsid w:val="00A80C67"/>
    <w:rsid w:val="00A81966"/>
    <w:rsid w:val="00A82061"/>
    <w:rsid w:val="00A82233"/>
    <w:rsid w:val="00A845C6"/>
    <w:rsid w:val="00A84922"/>
    <w:rsid w:val="00A84A62"/>
    <w:rsid w:val="00A84C5D"/>
    <w:rsid w:val="00A86E8B"/>
    <w:rsid w:val="00A87865"/>
    <w:rsid w:val="00A90177"/>
    <w:rsid w:val="00A91457"/>
    <w:rsid w:val="00A917B7"/>
    <w:rsid w:val="00A92FD3"/>
    <w:rsid w:val="00A93072"/>
    <w:rsid w:val="00A95347"/>
    <w:rsid w:val="00A95A35"/>
    <w:rsid w:val="00A96612"/>
    <w:rsid w:val="00A972C0"/>
    <w:rsid w:val="00AA0197"/>
    <w:rsid w:val="00AA0204"/>
    <w:rsid w:val="00AA0A07"/>
    <w:rsid w:val="00AA0B4D"/>
    <w:rsid w:val="00AA24C4"/>
    <w:rsid w:val="00AA2BF8"/>
    <w:rsid w:val="00AA482A"/>
    <w:rsid w:val="00AA5317"/>
    <w:rsid w:val="00AA5498"/>
    <w:rsid w:val="00AA585E"/>
    <w:rsid w:val="00AA74AC"/>
    <w:rsid w:val="00AA7821"/>
    <w:rsid w:val="00AB042A"/>
    <w:rsid w:val="00AB1D8E"/>
    <w:rsid w:val="00AB23F5"/>
    <w:rsid w:val="00AB3430"/>
    <w:rsid w:val="00AB414F"/>
    <w:rsid w:val="00AB4E01"/>
    <w:rsid w:val="00AB72FA"/>
    <w:rsid w:val="00AB7CFA"/>
    <w:rsid w:val="00AC07E9"/>
    <w:rsid w:val="00AC127C"/>
    <w:rsid w:val="00AC2761"/>
    <w:rsid w:val="00AC32AD"/>
    <w:rsid w:val="00AC331A"/>
    <w:rsid w:val="00AC36E8"/>
    <w:rsid w:val="00AC4650"/>
    <w:rsid w:val="00AC4873"/>
    <w:rsid w:val="00AC49E5"/>
    <w:rsid w:val="00AC6961"/>
    <w:rsid w:val="00AD0E15"/>
    <w:rsid w:val="00AD1048"/>
    <w:rsid w:val="00AD3BED"/>
    <w:rsid w:val="00AD3D85"/>
    <w:rsid w:val="00AD41E0"/>
    <w:rsid w:val="00AD5551"/>
    <w:rsid w:val="00AD70C0"/>
    <w:rsid w:val="00AE0FFB"/>
    <w:rsid w:val="00AE190F"/>
    <w:rsid w:val="00AE386F"/>
    <w:rsid w:val="00AE3C76"/>
    <w:rsid w:val="00AE3DDD"/>
    <w:rsid w:val="00AE4222"/>
    <w:rsid w:val="00AE4C9C"/>
    <w:rsid w:val="00AE5D58"/>
    <w:rsid w:val="00AE61D0"/>
    <w:rsid w:val="00AE7E2B"/>
    <w:rsid w:val="00AF08B6"/>
    <w:rsid w:val="00AF0FF3"/>
    <w:rsid w:val="00AF115F"/>
    <w:rsid w:val="00AF15E3"/>
    <w:rsid w:val="00AF3045"/>
    <w:rsid w:val="00AF3514"/>
    <w:rsid w:val="00AF4117"/>
    <w:rsid w:val="00AF5360"/>
    <w:rsid w:val="00AF58D7"/>
    <w:rsid w:val="00AF5C76"/>
    <w:rsid w:val="00AF6B43"/>
    <w:rsid w:val="00AF7762"/>
    <w:rsid w:val="00B00D1B"/>
    <w:rsid w:val="00B00D71"/>
    <w:rsid w:val="00B05848"/>
    <w:rsid w:val="00B05EA4"/>
    <w:rsid w:val="00B064E6"/>
    <w:rsid w:val="00B0657B"/>
    <w:rsid w:val="00B07116"/>
    <w:rsid w:val="00B1010A"/>
    <w:rsid w:val="00B104B0"/>
    <w:rsid w:val="00B12113"/>
    <w:rsid w:val="00B122C2"/>
    <w:rsid w:val="00B13D83"/>
    <w:rsid w:val="00B13F23"/>
    <w:rsid w:val="00B1521B"/>
    <w:rsid w:val="00B159D8"/>
    <w:rsid w:val="00B1613E"/>
    <w:rsid w:val="00B16424"/>
    <w:rsid w:val="00B1653B"/>
    <w:rsid w:val="00B20371"/>
    <w:rsid w:val="00B2203A"/>
    <w:rsid w:val="00B233F7"/>
    <w:rsid w:val="00B237DC"/>
    <w:rsid w:val="00B25068"/>
    <w:rsid w:val="00B25487"/>
    <w:rsid w:val="00B25E61"/>
    <w:rsid w:val="00B26363"/>
    <w:rsid w:val="00B26848"/>
    <w:rsid w:val="00B26B3C"/>
    <w:rsid w:val="00B307B4"/>
    <w:rsid w:val="00B30C47"/>
    <w:rsid w:val="00B3103A"/>
    <w:rsid w:val="00B3185B"/>
    <w:rsid w:val="00B32871"/>
    <w:rsid w:val="00B32B0E"/>
    <w:rsid w:val="00B32E56"/>
    <w:rsid w:val="00B34B36"/>
    <w:rsid w:val="00B35B46"/>
    <w:rsid w:val="00B3622F"/>
    <w:rsid w:val="00B365FE"/>
    <w:rsid w:val="00B3666B"/>
    <w:rsid w:val="00B36BBF"/>
    <w:rsid w:val="00B37B9B"/>
    <w:rsid w:val="00B404B0"/>
    <w:rsid w:val="00B41CFC"/>
    <w:rsid w:val="00B42851"/>
    <w:rsid w:val="00B4374F"/>
    <w:rsid w:val="00B443D6"/>
    <w:rsid w:val="00B44450"/>
    <w:rsid w:val="00B44BA3"/>
    <w:rsid w:val="00B4528E"/>
    <w:rsid w:val="00B45433"/>
    <w:rsid w:val="00B457A1"/>
    <w:rsid w:val="00B461AC"/>
    <w:rsid w:val="00B4737C"/>
    <w:rsid w:val="00B5274C"/>
    <w:rsid w:val="00B52F43"/>
    <w:rsid w:val="00B5454B"/>
    <w:rsid w:val="00B54B5B"/>
    <w:rsid w:val="00B55301"/>
    <w:rsid w:val="00B5562E"/>
    <w:rsid w:val="00B57000"/>
    <w:rsid w:val="00B5706D"/>
    <w:rsid w:val="00B573C8"/>
    <w:rsid w:val="00B57F5C"/>
    <w:rsid w:val="00B60895"/>
    <w:rsid w:val="00B608CF"/>
    <w:rsid w:val="00B60939"/>
    <w:rsid w:val="00B60AFD"/>
    <w:rsid w:val="00B61D16"/>
    <w:rsid w:val="00B62204"/>
    <w:rsid w:val="00B62715"/>
    <w:rsid w:val="00B6299E"/>
    <w:rsid w:val="00B62ACC"/>
    <w:rsid w:val="00B630AC"/>
    <w:rsid w:val="00B64714"/>
    <w:rsid w:val="00B64E46"/>
    <w:rsid w:val="00B653BC"/>
    <w:rsid w:val="00B65DEF"/>
    <w:rsid w:val="00B669FC"/>
    <w:rsid w:val="00B6735F"/>
    <w:rsid w:val="00B674A7"/>
    <w:rsid w:val="00B71789"/>
    <w:rsid w:val="00B71A98"/>
    <w:rsid w:val="00B71E0A"/>
    <w:rsid w:val="00B721FF"/>
    <w:rsid w:val="00B741D2"/>
    <w:rsid w:val="00B74487"/>
    <w:rsid w:val="00B7464A"/>
    <w:rsid w:val="00B75245"/>
    <w:rsid w:val="00B75B4C"/>
    <w:rsid w:val="00B76046"/>
    <w:rsid w:val="00B7753C"/>
    <w:rsid w:val="00B77A3A"/>
    <w:rsid w:val="00B810C7"/>
    <w:rsid w:val="00B812A1"/>
    <w:rsid w:val="00B81358"/>
    <w:rsid w:val="00B818A4"/>
    <w:rsid w:val="00B81B41"/>
    <w:rsid w:val="00B81BE6"/>
    <w:rsid w:val="00B81BED"/>
    <w:rsid w:val="00B82662"/>
    <w:rsid w:val="00B836F6"/>
    <w:rsid w:val="00B8649C"/>
    <w:rsid w:val="00B900B1"/>
    <w:rsid w:val="00B9188B"/>
    <w:rsid w:val="00B922D2"/>
    <w:rsid w:val="00B92D0B"/>
    <w:rsid w:val="00B9326C"/>
    <w:rsid w:val="00B948C6"/>
    <w:rsid w:val="00B94945"/>
    <w:rsid w:val="00B94D6C"/>
    <w:rsid w:val="00B94D73"/>
    <w:rsid w:val="00B97A37"/>
    <w:rsid w:val="00BA006E"/>
    <w:rsid w:val="00BA1A66"/>
    <w:rsid w:val="00BA22A1"/>
    <w:rsid w:val="00BA3310"/>
    <w:rsid w:val="00BA3D05"/>
    <w:rsid w:val="00BA3FD7"/>
    <w:rsid w:val="00BA4014"/>
    <w:rsid w:val="00BA4DA8"/>
    <w:rsid w:val="00BA63C4"/>
    <w:rsid w:val="00BA642C"/>
    <w:rsid w:val="00BA68D2"/>
    <w:rsid w:val="00BA730F"/>
    <w:rsid w:val="00BB0658"/>
    <w:rsid w:val="00BB0F80"/>
    <w:rsid w:val="00BB15B5"/>
    <w:rsid w:val="00BB3780"/>
    <w:rsid w:val="00BB3B89"/>
    <w:rsid w:val="00BB5235"/>
    <w:rsid w:val="00BB5E09"/>
    <w:rsid w:val="00BB60AB"/>
    <w:rsid w:val="00BB7CE8"/>
    <w:rsid w:val="00BC1407"/>
    <w:rsid w:val="00BC17D2"/>
    <w:rsid w:val="00BC219E"/>
    <w:rsid w:val="00BC3C77"/>
    <w:rsid w:val="00BC3F5B"/>
    <w:rsid w:val="00BC48B4"/>
    <w:rsid w:val="00BC5219"/>
    <w:rsid w:val="00BC546A"/>
    <w:rsid w:val="00BC5DB1"/>
    <w:rsid w:val="00BC7440"/>
    <w:rsid w:val="00BC7F33"/>
    <w:rsid w:val="00BD01EB"/>
    <w:rsid w:val="00BD0FAD"/>
    <w:rsid w:val="00BD196D"/>
    <w:rsid w:val="00BD19E6"/>
    <w:rsid w:val="00BD1CAF"/>
    <w:rsid w:val="00BD3595"/>
    <w:rsid w:val="00BD3665"/>
    <w:rsid w:val="00BD49C7"/>
    <w:rsid w:val="00BD5788"/>
    <w:rsid w:val="00BD7FE4"/>
    <w:rsid w:val="00BE0235"/>
    <w:rsid w:val="00BE2180"/>
    <w:rsid w:val="00BE4275"/>
    <w:rsid w:val="00BE58A8"/>
    <w:rsid w:val="00BE681D"/>
    <w:rsid w:val="00BE71E1"/>
    <w:rsid w:val="00BE737B"/>
    <w:rsid w:val="00BE73DC"/>
    <w:rsid w:val="00BF023B"/>
    <w:rsid w:val="00BF1302"/>
    <w:rsid w:val="00BF2255"/>
    <w:rsid w:val="00BF23ED"/>
    <w:rsid w:val="00BF2433"/>
    <w:rsid w:val="00BF3255"/>
    <w:rsid w:val="00BF367C"/>
    <w:rsid w:val="00BF4975"/>
    <w:rsid w:val="00BF61C9"/>
    <w:rsid w:val="00BF6EA5"/>
    <w:rsid w:val="00BF7473"/>
    <w:rsid w:val="00BF7F47"/>
    <w:rsid w:val="00C013D2"/>
    <w:rsid w:val="00C015B9"/>
    <w:rsid w:val="00C01C3B"/>
    <w:rsid w:val="00C032A6"/>
    <w:rsid w:val="00C0383B"/>
    <w:rsid w:val="00C03882"/>
    <w:rsid w:val="00C04696"/>
    <w:rsid w:val="00C04B1A"/>
    <w:rsid w:val="00C04C2D"/>
    <w:rsid w:val="00C05044"/>
    <w:rsid w:val="00C05214"/>
    <w:rsid w:val="00C05318"/>
    <w:rsid w:val="00C06281"/>
    <w:rsid w:val="00C06AE4"/>
    <w:rsid w:val="00C10934"/>
    <w:rsid w:val="00C12B37"/>
    <w:rsid w:val="00C12E69"/>
    <w:rsid w:val="00C139A9"/>
    <w:rsid w:val="00C14E23"/>
    <w:rsid w:val="00C15014"/>
    <w:rsid w:val="00C15493"/>
    <w:rsid w:val="00C15730"/>
    <w:rsid w:val="00C17514"/>
    <w:rsid w:val="00C200D7"/>
    <w:rsid w:val="00C232A3"/>
    <w:rsid w:val="00C23DF2"/>
    <w:rsid w:val="00C240B6"/>
    <w:rsid w:val="00C24101"/>
    <w:rsid w:val="00C25418"/>
    <w:rsid w:val="00C25D9C"/>
    <w:rsid w:val="00C26466"/>
    <w:rsid w:val="00C27046"/>
    <w:rsid w:val="00C276B6"/>
    <w:rsid w:val="00C30922"/>
    <w:rsid w:val="00C310F9"/>
    <w:rsid w:val="00C3130F"/>
    <w:rsid w:val="00C31649"/>
    <w:rsid w:val="00C3184D"/>
    <w:rsid w:val="00C31BD0"/>
    <w:rsid w:val="00C33ABD"/>
    <w:rsid w:val="00C3470B"/>
    <w:rsid w:val="00C34CF1"/>
    <w:rsid w:val="00C362B9"/>
    <w:rsid w:val="00C363AA"/>
    <w:rsid w:val="00C37C6E"/>
    <w:rsid w:val="00C40385"/>
    <w:rsid w:val="00C41B2E"/>
    <w:rsid w:val="00C41C93"/>
    <w:rsid w:val="00C41F7B"/>
    <w:rsid w:val="00C43D85"/>
    <w:rsid w:val="00C44855"/>
    <w:rsid w:val="00C44C36"/>
    <w:rsid w:val="00C44FFB"/>
    <w:rsid w:val="00C45D1D"/>
    <w:rsid w:val="00C4675E"/>
    <w:rsid w:val="00C467F0"/>
    <w:rsid w:val="00C5002A"/>
    <w:rsid w:val="00C5032C"/>
    <w:rsid w:val="00C5057D"/>
    <w:rsid w:val="00C51F5B"/>
    <w:rsid w:val="00C523CC"/>
    <w:rsid w:val="00C52AB3"/>
    <w:rsid w:val="00C52D02"/>
    <w:rsid w:val="00C5556C"/>
    <w:rsid w:val="00C57D1A"/>
    <w:rsid w:val="00C60294"/>
    <w:rsid w:val="00C60B4A"/>
    <w:rsid w:val="00C62E91"/>
    <w:rsid w:val="00C63D15"/>
    <w:rsid w:val="00C64D9E"/>
    <w:rsid w:val="00C64F05"/>
    <w:rsid w:val="00C65576"/>
    <w:rsid w:val="00C65626"/>
    <w:rsid w:val="00C656DD"/>
    <w:rsid w:val="00C65B60"/>
    <w:rsid w:val="00C66165"/>
    <w:rsid w:val="00C66F43"/>
    <w:rsid w:val="00C67A7C"/>
    <w:rsid w:val="00C67FB7"/>
    <w:rsid w:val="00C72291"/>
    <w:rsid w:val="00C725B8"/>
    <w:rsid w:val="00C72708"/>
    <w:rsid w:val="00C73E74"/>
    <w:rsid w:val="00C75ABC"/>
    <w:rsid w:val="00C760F6"/>
    <w:rsid w:val="00C77532"/>
    <w:rsid w:val="00C803CD"/>
    <w:rsid w:val="00C81403"/>
    <w:rsid w:val="00C8204B"/>
    <w:rsid w:val="00C8213F"/>
    <w:rsid w:val="00C842A3"/>
    <w:rsid w:val="00C85B6A"/>
    <w:rsid w:val="00C869D9"/>
    <w:rsid w:val="00C870AF"/>
    <w:rsid w:val="00C8797A"/>
    <w:rsid w:val="00C87EE4"/>
    <w:rsid w:val="00C92408"/>
    <w:rsid w:val="00C92522"/>
    <w:rsid w:val="00C9273A"/>
    <w:rsid w:val="00C92E74"/>
    <w:rsid w:val="00C935F0"/>
    <w:rsid w:val="00C938AF"/>
    <w:rsid w:val="00C938CF"/>
    <w:rsid w:val="00C93E34"/>
    <w:rsid w:val="00C93FDF"/>
    <w:rsid w:val="00C94237"/>
    <w:rsid w:val="00C9438A"/>
    <w:rsid w:val="00C94848"/>
    <w:rsid w:val="00C95741"/>
    <w:rsid w:val="00CA1129"/>
    <w:rsid w:val="00CA1D16"/>
    <w:rsid w:val="00CA43DE"/>
    <w:rsid w:val="00CA50E6"/>
    <w:rsid w:val="00CA523A"/>
    <w:rsid w:val="00CA5245"/>
    <w:rsid w:val="00CA5921"/>
    <w:rsid w:val="00CA5F01"/>
    <w:rsid w:val="00CA645C"/>
    <w:rsid w:val="00CA646D"/>
    <w:rsid w:val="00CA7B09"/>
    <w:rsid w:val="00CB136E"/>
    <w:rsid w:val="00CB55DD"/>
    <w:rsid w:val="00CB5808"/>
    <w:rsid w:val="00CB5B1A"/>
    <w:rsid w:val="00CB72F6"/>
    <w:rsid w:val="00CB7457"/>
    <w:rsid w:val="00CB7619"/>
    <w:rsid w:val="00CB7F3D"/>
    <w:rsid w:val="00CC238E"/>
    <w:rsid w:val="00CC27EB"/>
    <w:rsid w:val="00CC2B9A"/>
    <w:rsid w:val="00CC50A0"/>
    <w:rsid w:val="00CC5B53"/>
    <w:rsid w:val="00CC5C77"/>
    <w:rsid w:val="00CC7D46"/>
    <w:rsid w:val="00CC7DFE"/>
    <w:rsid w:val="00CD0ABC"/>
    <w:rsid w:val="00CD1073"/>
    <w:rsid w:val="00CD2AAD"/>
    <w:rsid w:val="00CD3164"/>
    <w:rsid w:val="00CD4D91"/>
    <w:rsid w:val="00CD5391"/>
    <w:rsid w:val="00CD5B22"/>
    <w:rsid w:val="00CD5EF4"/>
    <w:rsid w:val="00CD6722"/>
    <w:rsid w:val="00CD6ADC"/>
    <w:rsid w:val="00CD6D8C"/>
    <w:rsid w:val="00CD729C"/>
    <w:rsid w:val="00CD72E6"/>
    <w:rsid w:val="00CD7782"/>
    <w:rsid w:val="00CE0043"/>
    <w:rsid w:val="00CE07FB"/>
    <w:rsid w:val="00CE20F8"/>
    <w:rsid w:val="00CE2434"/>
    <w:rsid w:val="00CE311E"/>
    <w:rsid w:val="00CE3300"/>
    <w:rsid w:val="00CE3414"/>
    <w:rsid w:val="00CE4001"/>
    <w:rsid w:val="00CE41B0"/>
    <w:rsid w:val="00CE6274"/>
    <w:rsid w:val="00CE678A"/>
    <w:rsid w:val="00CE7BD9"/>
    <w:rsid w:val="00CF00EC"/>
    <w:rsid w:val="00CF0B60"/>
    <w:rsid w:val="00CF1650"/>
    <w:rsid w:val="00CF1D26"/>
    <w:rsid w:val="00CF2659"/>
    <w:rsid w:val="00CF28E0"/>
    <w:rsid w:val="00CF36DD"/>
    <w:rsid w:val="00CF41E8"/>
    <w:rsid w:val="00CF456B"/>
    <w:rsid w:val="00CF4F5B"/>
    <w:rsid w:val="00CF58B0"/>
    <w:rsid w:val="00CF5A22"/>
    <w:rsid w:val="00CF5B7B"/>
    <w:rsid w:val="00CF777C"/>
    <w:rsid w:val="00D02468"/>
    <w:rsid w:val="00D024F9"/>
    <w:rsid w:val="00D0262E"/>
    <w:rsid w:val="00D03D1F"/>
    <w:rsid w:val="00D04624"/>
    <w:rsid w:val="00D04C42"/>
    <w:rsid w:val="00D06064"/>
    <w:rsid w:val="00D06FD4"/>
    <w:rsid w:val="00D10A50"/>
    <w:rsid w:val="00D110BD"/>
    <w:rsid w:val="00D11475"/>
    <w:rsid w:val="00D114FF"/>
    <w:rsid w:val="00D11945"/>
    <w:rsid w:val="00D11ADF"/>
    <w:rsid w:val="00D12AF5"/>
    <w:rsid w:val="00D13C7C"/>
    <w:rsid w:val="00D1531D"/>
    <w:rsid w:val="00D155C4"/>
    <w:rsid w:val="00D166D0"/>
    <w:rsid w:val="00D166DC"/>
    <w:rsid w:val="00D16AA9"/>
    <w:rsid w:val="00D171BA"/>
    <w:rsid w:val="00D1773C"/>
    <w:rsid w:val="00D178C7"/>
    <w:rsid w:val="00D17AD1"/>
    <w:rsid w:val="00D17D6C"/>
    <w:rsid w:val="00D17FC9"/>
    <w:rsid w:val="00D20E25"/>
    <w:rsid w:val="00D21142"/>
    <w:rsid w:val="00D21902"/>
    <w:rsid w:val="00D2226F"/>
    <w:rsid w:val="00D2290C"/>
    <w:rsid w:val="00D23615"/>
    <w:rsid w:val="00D23EFC"/>
    <w:rsid w:val="00D24D19"/>
    <w:rsid w:val="00D262A9"/>
    <w:rsid w:val="00D270C6"/>
    <w:rsid w:val="00D31971"/>
    <w:rsid w:val="00D31C56"/>
    <w:rsid w:val="00D32E2C"/>
    <w:rsid w:val="00D34AB4"/>
    <w:rsid w:val="00D3501B"/>
    <w:rsid w:val="00D353D9"/>
    <w:rsid w:val="00D357E1"/>
    <w:rsid w:val="00D40141"/>
    <w:rsid w:val="00D407FF"/>
    <w:rsid w:val="00D40985"/>
    <w:rsid w:val="00D4231D"/>
    <w:rsid w:val="00D42E56"/>
    <w:rsid w:val="00D45B78"/>
    <w:rsid w:val="00D50284"/>
    <w:rsid w:val="00D5232F"/>
    <w:rsid w:val="00D5285D"/>
    <w:rsid w:val="00D52C54"/>
    <w:rsid w:val="00D52D97"/>
    <w:rsid w:val="00D5321D"/>
    <w:rsid w:val="00D567DD"/>
    <w:rsid w:val="00D56DEB"/>
    <w:rsid w:val="00D61359"/>
    <w:rsid w:val="00D634EE"/>
    <w:rsid w:val="00D6454A"/>
    <w:rsid w:val="00D64DB5"/>
    <w:rsid w:val="00D653AE"/>
    <w:rsid w:val="00D65BF1"/>
    <w:rsid w:val="00D6624E"/>
    <w:rsid w:val="00D66A61"/>
    <w:rsid w:val="00D66D7F"/>
    <w:rsid w:val="00D70D34"/>
    <w:rsid w:val="00D728D2"/>
    <w:rsid w:val="00D72CBC"/>
    <w:rsid w:val="00D73949"/>
    <w:rsid w:val="00D74559"/>
    <w:rsid w:val="00D75134"/>
    <w:rsid w:val="00D759D1"/>
    <w:rsid w:val="00D76064"/>
    <w:rsid w:val="00D7665E"/>
    <w:rsid w:val="00D76A44"/>
    <w:rsid w:val="00D81565"/>
    <w:rsid w:val="00D83587"/>
    <w:rsid w:val="00D839AD"/>
    <w:rsid w:val="00D849DD"/>
    <w:rsid w:val="00D84BED"/>
    <w:rsid w:val="00D85156"/>
    <w:rsid w:val="00D868DC"/>
    <w:rsid w:val="00D9110C"/>
    <w:rsid w:val="00D911EA"/>
    <w:rsid w:val="00D92699"/>
    <w:rsid w:val="00D93753"/>
    <w:rsid w:val="00D93D3C"/>
    <w:rsid w:val="00D95E3B"/>
    <w:rsid w:val="00D95F40"/>
    <w:rsid w:val="00D96370"/>
    <w:rsid w:val="00D96426"/>
    <w:rsid w:val="00D96986"/>
    <w:rsid w:val="00D96A8D"/>
    <w:rsid w:val="00DA20B7"/>
    <w:rsid w:val="00DA2868"/>
    <w:rsid w:val="00DA2A02"/>
    <w:rsid w:val="00DA36EF"/>
    <w:rsid w:val="00DA39FF"/>
    <w:rsid w:val="00DA48CF"/>
    <w:rsid w:val="00DA5AB5"/>
    <w:rsid w:val="00DA77A5"/>
    <w:rsid w:val="00DA7803"/>
    <w:rsid w:val="00DA7A29"/>
    <w:rsid w:val="00DA7D7E"/>
    <w:rsid w:val="00DB0629"/>
    <w:rsid w:val="00DB0C2D"/>
    <w:rsid w:val="00DB0CDC"/>
    <w:rsid w:val="00DB1602"/>
    <w:rsid w:val="00DB186D"/>
    <w:rsid w:val="00DB256A"/>
    <w:rsid w:val="00DB4F6B"/>
    <w:rsid w:val="00DB56AE"/>
    <w:rsid w:val="00DB5B1B"/>
    <w:rsid w:val="00DB6A32"/>
    <w:rsid w:val="00DB71AE"/>
    <w:rsid w:val="00DB78ED"/>
    <w:rsid w:val="00DC1BD3"/>
    <w:rsid w:val="00DC477D"/>
    <w:rsid w:val="00DC4E50"/>
    <w:rsid w:val="00DC5501"/>
    <w:rsid w:val="00DC5D79"/>
    <w:rsid w:val="00DC67FE"/>
    <w:rsid w:val="00DC6FD7"/>
    <w:rsid w:val="00DC7D01"/>
    <w:rsid w:val="00DD0119"/>
    <w:rsid w:val="00DD1421"/>
    <w:rsid w:val="00DD2072"/>
    <w:rsid w:val="00DD3F28"/>
    <w:rsid w:val="00DD4274"/>
    <w:rsid w:val="00DD4537"/>
    <w:rsid w:val="00DD4AF1"/>
    <w:rsid w:val="00DD4E15"/>
    <w:rsid w:val="00DD4EA3"/>
    <w:rsid w:val="00DD4F2A"/>
    <w:rsid w:val="00DD60BC"/>
    <w:rsid w:val="00DD71E5"/>
    <w:rsid w:val="00DD7888"/>
    <w:rsid w:val="00DE08C1"/>
    <w:rsid w:val="00DE0F4E"/>
    <w:rsid w:val="00DE1AAE"/>
    <w:rsid w:val="00DE215B"/>
    <w:rsid w:val="00DE27F7"/>
    <w:rsid w:val="00DE2A91"/>
    <w:rsid w:val="00DE497B"/>
    <w:rsid w:val="00DE4FCB"/>
    <w:rsid w:val="00DE52EB"/>
    <w:rsid w:val="00DE66E3"/>
    <w:rsid w:val="00DE6D1B"/>
    <w:rsid w:val="00DF0771"/>
    <w:rsid w:val="00DF1DB7"/>
    <w:rsid w:val="00DF44E3"/>
    <w:rsid w:val="00DF53B2"/>
    <w:rsid w:val="00DF6FA7"/>
    <w:rsid w:val="00DF7053"/>
    <w:rsid w:val="00DF74D0"/>
    <w:rsid w:val="00DF7A35"/>
    <w:rsid w:val="00DF7B15"/>
    <w:rsid w:val="00E00EE0"/>
    <w:rsid w:val="00E0138C"/>
    <w:rsid w:val="00E01398"/>
    <w:rsid w:val="00E01648"/>
    <w:rsid w:val="00E02C0C"/>
    <w:rsid w:val="00E03CF8"/>
    <w:rsid w:val="00E03D05"/>
    <w:rsid w:val="00E040BF"/>
    <w:rsid w:val="00E05958"/>
    <w:rsid w:val="00E07491"/>
    <w:rsid w:val="00E079DA"/>
    <w:rsid w:val="00E10149"/>
    <w:rsid w:val="00E109D0"/>
    <w:rsid w:val="00E1103B"/>
    <w:rsid w:val="00E11C2F"/>
    <w:rsid w:val="00E12A3C"/>
    <w:rsid w:val="00E12DCD"/>
    <w:rsid w:val="00E157F6"/>
    <w:rsid w:val="00E15B64"/>
    <w:rsid w:val="00E16372"/>
    <w:rsid w:val="00E16691"/>
    <w:rsid w:val="00E172B0"/>
    <w:rsid w:val="00E17689"/>
    <w:rsid w:val="00E20ED6"/>
    <w:rsid w:val="00E21358"/>
    <w:rsid w:val="00E2249B"/>
    <w:rsid w:val="00E23B2F"/>
    <w:rsid w:val="00E24E31"/>
    <w:rsid w:val="00E257EE"/>
    <w:rsid w:val="00E264F5"/>
    <w:rsid w:val="00E26DF5"/>
    <w:rsid w:val="00E26F62"/>
    <w:rsid w:val="00E27234"/>
    <w:rsid w:val="00E2771E"/>
    <w:rsid w:val="00E2791D"/>
    <w:rsid w:val="00E279AF"/>
    <w:rsid w:val="00E30B74"/>
    <w:rsid w:val="00E30BB8"/>
    <w:rsid w:val="00E316B0"/>
    <w:rsid w:val="00E31824"/>
    <w:rsid w:val="00E345C2"/>
    <w:rsid w:val="00E3487B"/>
    <w:rsid w:val="00E35857"/>
    <w:rsid w:val="00E35D8E"/>
    <w:rsid w:val="00E37569"/>
    <w:rsid w:val="00E37EC8"/>
    <w:rsid w:val="00E40CF4"/>
    <w:rsid w:val="00E40F03"/>
    <w:rsid w:val="00E41E30"/>
    <w:rsid w:val="00E41F76"/>
    <w:rsid w:val="00E420DF"/>
    <w:rsid w:val="00E42201"/>
    <w:rsid w:val="00E42595"/>
    <w:rsid w:val="00E43130"/>
    <w:rsid w:val="00E44608"/>
    <w:rsid w:val="00E452BB"/>
    <w:rsid w:val="00E45662"/>
    <w:rsid w:val="00E469F4"/>
    <w:rsid w:val="00E47B2C"/>
    <w:rsid w:val="00E50E12"/>
    <w:rsid w:val="00E51475"/>
    <w:rsid w:val="00E53E9B"/>
    <w:rsid w:val="00E55424"/>
    <w:rsid w:val="00E5577E"/>
    <w:rsid w:val="00E56058"/>
    <w:rsid w:val="00E561CA"/>
    <w:rsid w:val="00E5628E"/>
    <w:rsid w:val="00E569FC"/>
    <w:rsid w:val="00E570A3"/>
    <w:rsid w:val="00E57A7F"/>
    <w:rsid w:val="00E60C0C"/>
    <w:rsid w:val="00E6184C"/>
    <w:rsid w:val="00E63916"/>
    <w:rsid w:val="00E64E7C"/>
    <w:rsid w:val="00E65669"/>
    <w:rsid w:val="00E65BD5"/>
    <w:rsid w:val="00E65C87"/>
    <w:rsid w:val="00E65E79"/>
    <w:rsid w:val="00E67416"/>
    <w:rsid w:val="00E675F4"/>
    <w:rsid w:val="00E7072C"/>
    <w:rsid w:val="00E71346"/>
    <w:rsid w:val="00E7136D"/>
    <w:rsid w:val="00E718B6"/>
    <w:rsid w:val="00E71E2D"/>
    <w:rsid w:val="00E71E96"/>
    <w:rsid w:val="00E71F3D"/>
    <w:rsid w:val="00E721E7"/>
    <w:rsid w:val="00E73581"/>
    <w:rsid w:val="00E744B3"/>
    <w:rsid w:val="00E74EB6"/>
    <w:rsid w:val="00E74F20"/>
    <w:rsid w:val="00E774B3"/>
    <w:rsid w:val="00E775EB"/>
    <w:rsid w:val="00E7775B"/>
    <w:rsid w:val="00E77A38"/>
    <w:rsid w:val="00E77B13"/>
    <w:rsid w:val="00E80D21"/>
    <w:rsid w:val="00E80FA7"/>
    <w:rsid w:val="00E828B7"/>
    <w:rsid w:val="00E835A3"/>
    <w:rsid w:val="00E83BDF"/>
    <w:rsid w:val="00E83C57"/>
    <w:rsid w:val="00E84731"/>
    <w:rsid w:val="00E875DE"/>
    <w:rsid w:val="00E9036E"/>
    <w:rsid w:val="00E91794"/>
    <w:rsid w:val="00E91AC4"/>
    <w:rsid w:val="00E91C81"/>
    <w:rsid w:val="00E92D03"/>
    <w:rsid w:val="00E92E37"/>
    <w:rsid w:val="00E94DFC"/>
    <w:rsid w:val="00E95C0A"/>
    <w:rsid w:val="00E9635F"/>
    <w:rsid w:val="00E9690D"/>
    <w:rsid w:val="00EA10B9"/>
    <w:rsid w:val="00EA3864"/>
    <w:rsid w:val="00EA692C"/>
    <w:rsid w:val="00EA6BF3"/>
    <w:rsid w:val="00EA7F6D"/>
    <w:rsid w:val="00EB027F"/>
    <w:rsid w:val="00EB0517"/>
    <w:rsid w:val="00EB09A2"/>
    <w:rsid w:val="00EB0C14"/>
    <w:rsid w:val="00EB1B6A"/>
    <w:rsid w:val="00EB2D38"/>
    <w:rsid w:val="00EB3124"/>
    <w:rsid w:val="00EB313C"/>
    <w:rsid w:val="00EB54A4"/>
    <w:rsid w:val="00EB54ED"/>
    <w:rsid w:val="00EB6AA9"/>
    <w:rsid w:val="00EB6F86"/>
    <w:rsid w:val="00EB7015"/>
    <w:rsid w:val="00EC00C9"/>
    <w:rsid w:val="00EC08D8"/>
    <w:rsid w:val="00EC160A"/>
    <w:rsid w:val="00EC1EFD"/>
    <w:rsid w:val="00EC2666"/>
    <w:rsid w:val="00EC2A11"/>
    <w:rsid w:val="00EC39F0"/>
    <w:rsid w:val="00EC5649"/>
    <w:rsid w:val="00ED1349"/>
    <w:rsid w:val="00ED3A37"/>
    <w:rsid w:val="00ED58EE"/>
    <w:rsid w:val="00ED709E"/>
    <w:rsid w:val="00EE04E1"/>
    <w:rsid w:val="00EE07D3"/>
    <w:rsid w:val="00EE121D"/>
    <w:rsid w:val="00EE1667"/>
    <w:rsid w:val="00EE1E08"/>
    <w:rsid w:val="00EE2306"/>
    <w:rsid w:val="00EE297D"/>
    <w:rsid w:val="00EE3758"/>
    <w:rsid w:val="00EE3E13"/>
    <w:rsid w:val="00EE744A"/>
    <w:rsid w:val="00EE75CA"/>
    <w:rsid w:val="00EF1025"/>
    <w:rsid w:val="00EF136E"/>
    <w:rsid w:val="00EF2382"/>
    <w:rsid w:val="00EF2DAE"/>
    <w:rsid w:val="00EF373C"/>
    <w:rsid w:val="00EF38BF"/>
    <w:rsid w:val="00EF3BBC"/>
    <w:rsid w:val="00EF3E6D"/>
    <w:rsid w:val="00EF7A16"/>
    <w:rsid w:val="00EF7E2E"/>
    <w:rsid w:val="00F01261"/>
    <w:rsid w:val="00F022F4"/>
    <w:rsid w:val="00F02CE5"/>
    <w:rsid w:val="00F058C9"/>
    <w:rsid w:val="00F067A2"/>
    <w:rsid w:val="00F06B24"/>
    <w:rsid w:val="00F06E66"/>
    <w:rsid w:val="00F06EE6"/>
    <w:rsid w:val="00F10CD7"/>
    <w:rsid w:val="00F112F0"/>
    <w:rsid w:val="00F11363"/>
    <w:rsid w:val="00F1154E"/>
    <w:rsid w:val="00F11F1E"/>
    <w:rsid w:val="00F12DD7"/>
    <w:rsid w:val="00F12EB9"/>
    <w:rsid w:val="00F157F9"/>
    <w:rsid w:val="00F206B5"/>
    <w:rsid w:val="00F21A30"/>
    <w:rsid w:val="00F21EC9"/>
    <w:rsid w:val="00F225DE"/>
    <w:rsid w:val="00F232A9"/>
    <w:rsid w:val="00F23E0C"/>
    <w:rsid w:val="00F24837"/>
    <w:rsid w:val="00F2517B"/>
    <w:rsid w:val="00F2575F"/>
    <w:rsid w:val="00F307C2"/>
    <w:rsid w:val="00F30FAF"/>
    <w:rsid w:val="00F338FF"/>
    <w:rsid w:val="00F33DE9"/>
    <w:rsid w:val="00F3548E"/>
    <w:rsid w:val="00F3619A"/>
    <w:rsid w:val="00F36558"/>
    <w:rsid w:val="00F37842"/>
    <w:rsid w:val="00F401FE"/>
    <w:rsid w:val="00F40B67"/>
    <w:rsid w:val="00F40E1F"/>
    <w:rsid w:val="00F41798"/>
    <w:rsid w:val="00F42107"/>
    <w:rsid w:val="00F42AA7"/>
    <w:rsid w:val="00F42C00"/>
    <w:rsid w:val="00F4313B"/>
    <w:rsid w:val="00F434AE"/>
    <w:rsid w:val="00F446B2"/>
    <w:rsid w:val="00F45C77"/>
    <w:rsid w:val="00F45FF4"/>
    <w:rsid w:val="00F46CB6"/>
    <w:rsid w:val="00F5030B"/>
    <w:rsid w:val="00F51132"/>
    <w:rsid w:val="00F527A2"/>
    <w:rsid w:val="00F52A22"/>
    <w:rsid w:val="00F52C75"/>
    <w:rsid w:val="00F532A3"/>
    <w:rsid w:val="00F53DD9"/>
    <w:rsid w:val="00F53FD3"/>
    <w:rsid w:val="00F54A12"/>
    <w:rsid w:val="00F55C48"/>
    <w:rsid w:val="00F55E73"/>
    <w:rsid w:val="00F55FEA"/>
    <w:rsid w:val="00F5610F"/>
    <w:rsid w:val="00F60AB3"/>
    <w:rsid w:val="00F6209B"/>
    <w:rsid w:val="00F646B6"/>
    <w:rsid w:val="00F64CEB"/>
    <w:rsid w:val="00F64DBE"/>
    <w:rsid w:val="00F64F0E"/>
    <w:rsid w:val="00F64FFD"/>
    <w:rsid w:val="00F66086"/>
    <w:rsid w:val="00F66246"/>
    <w:rsid w:val="00F67F57"/>
    <w:rsid w:val="00F72DDA"/>
    <w:rsid w:val="00F73D8B"/>
    <w:rsid w:val="00F73EFA"/>
    <w:rsid w:val="00F74D28"/>
    <w:rsid w:val="00F76C8B"/>
    <w:rsid w:val="00F778C5"/>
    <w:rsid w:val="00F80E5D"/>
    <w:rsid w:val="00F819F2"/>
    <w:rsid w:val="00F82850"/>
    <w:rsid w:val="00F82A0E"/>
    <w:rsid w:val="00F82CDE"/>
    <w:rsid w:val="00F82FC0"/>
    <w:rsid w:val="00F83569"/>
    <w:rsid w:val="00F836CA"/>
    <w:rsid w:val="00F8401A"/>
    <w:rsid w:val="00F844B6"/>
    <w:rsid w:val="00F84C37"/>
    <w:rsid w:val="00F851CE"/>
    <w:rsid w:val="00F86029"/>
    <w:rsid w:val="00F862DF"/>
    <w:rsid w:val="00F86775"/>
    <w:rsid w:val="00F86BCF"/>
    <w:rsid w:val="00F86BF0"/>
    <w:rsid w:val="00F9201D"/>
    <w:rsid w:val="00F9234E"/>
    <w:rsid w:val="00F933DD"/>
    <w:rsid w:val="00F93DC7"/>
    <w:rsid w:val="00F93FB6"/>
    <w:rsid w:val="00F949BA"/>
    <w:rsid w:val="00F958E8"/>
    <w:rsid w:val="00F967D6"/>
    <w:rsid w:val="00F97A78"/>
    <w:rsid w:val="00FA035B"/>
    <w:rsid w:val="00FA0760"/>
    <w:rsid w:val="00FA09BA"/>
    <w:rsid w:val="00FA1B23"/>
    <w:rsid w:val="00FA246F"/>
    <w:rsid w:val="00FA3437"/>
    <w:rsid w:val="00FA424A"/>
    <w:rsid w:val="00FA436D"/>
    <w:rsid w:val="00FA4590"/>
    <w:rsid w:val="00FA4BE5"/>
    <w:rsid w:val="00FA4FDF"/>
    <w:rsid w:val="00FA78A9"/>
    <w:rsid w:val="00FB0175"/>
    <w:rsid w:val="00FB0310"/>
    <w:rsid w:val="00FB0A54"/>
    <w:rsid w:val="00FB17B2"/>
    <w:rsid w:val="00FB1CDE"/>
    <w:rsid w:val="00FB2FCB"/>
    <w:rsid w:val="00FB61A8"/>
    <w:rsid w:val="00FB62E2"/>
    <w:rsid w:val="00FB6A1C"/>
    <w:rsid w:val="00FB7208"/>
    <w:rsid w:val="00FB7D02"/>
    <w:rsid w:val="00FC1074"/>
    <w:rsid w:val="00FC1884"/>
    <w:rsid w:val="00FC2645"/>
    <w:rsid w:val="00FC2C7C"/>
    <w:rsid w:val="00FC2CE3"/>
    <w:rsid w:val="00FC38A7"/>
    <w:rsid w:val="00FC48FE"/>
    <w:rsid w:val="00FC5148"/>
    <w:rsid w:val="00FC60DB"/>
    <w:rsid w:val="00FC6994"/>
    <w:rsid w:val="00FC703E"/>
    <w:rsid w:val="00FC7D1E"/>
    <w:rsid w:val="00FD01D1"/>
    <w:rsid w:val="00FD06B0"/>
    <w:rsid w:val="00FD175C"/>
    <w:rsid w:val="00FD1A4D"/>
    <w:rsid w:val="00FD1F7B"/>
    <w:rsid w:val="00FD2100"/>
    <w:rsid w:val="00FD244E"/>
    <w:rsid w:val="00FD2B4C"/>
    <w:rsid w:val="00FD3C1D"/>
    <w:rsid w:val="00FD446D"/>
    <w:rsid w:val="00FD6CC7"/>
    <w:rsid w:val="00FD6D4F"/>
    <w:rsid w:val="00FD733C"/>
    <w:rsid w:val="00FE1237"/>
    <w:rsid w:val="00FE1412"/>
    <w:rsid w:val="00FE1688"/>
    <w:rsid w:val="00FE1C07"/>
    <w:rsid w:val="00FE36DA"/>
    <w:rsid w:val="00FE446F"/>
    <w:rsid w:val="00FE48D2"/>
    <w:rsid w:val="00FE52BB"/>
    <w:rsid w:val="00FE6A3E"/>
    <w:rsid w:val="00FE70B2"/>
    <w:rsid w:val="00FE71E9"/>
    <w:rsid w:val="00FE7403"/>
    <w:rsid w:val="00FF148B"/>
    <w:rsid w:val="00FF198F"/>
    <w:rsid w:val="00FF332C"/>
    <w:rsid w:val="00FF3DCF"/>
    <w:rsid w:val="00FF4C25"/>
    <w:rsid w:val="00FF5620"/>
    <w:rsid w:val="00FF5AA3"/>
    <w:rsid w:val="00FF6BCF"/>
    <w:rsid w:val="00FF7937"/>
    <w:rsid w:val="00FF7F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93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34F9"/>
    <w:pPr>
      <w:widowControl w:val="0"/>
      <w:jc w:val="both"/>
    </w:pPr>
    <w:rPr>
      <w:rFonts w:ascii="Arial" w:hAnsi="Arial" w:cs="Arial"/>
      <w:snapToGrid w:val="0"/>
      <w:sz w:val="22"/>
      <w:lang w:eastAsia="en-US"/>
    </w:rPr>
  </w:style>
  <w:style w:type="paragraph" w:styleId="Heading1">
    <w:name w:val="heading 1"/>
    <w:aliases w:val="Outline1,p1,H1"/>
    <w:basedOn w:val="Normal"/>
    <w:next w:val="Normal"/>
    <w:link w:val="Heading1Char"/>
    <w:uiPriority w:val="1"/>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4"/>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link w:val="Caption"/>
    <w:uiPriority w:val="10"/>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EB6AA9"/>
    <w:pPr>
      <w:numPr>
        <w:numId w:val="3"/>
      </w:numPr>
      <w:outlineLvl w:val="0"/>
    </w:pPr>
    <w:rPr>
      <w:rFonts w:ascii="Arial" w:hAnsi="Arial" w:cs="Arial"/>
      <w:snapToGrid w:val="0"/>
      <w:sz w:val="22"/>
      <w:szCs w:val="22"/>
      <w:lang w:eastAsia="en-US"/>
    </w:rPr>
  </w:style>
  <w:style w:type="character" w:customStyle="1" w:styleId="ListParagraphChar">
    <w:name w:val="List Paragraph Char"/>
    <w:aliases w:val="BulletPoints Char"/>
    <w:basedOn w:val="DefaultParagraphFont"/>
    <w:link w:val="ListParagraph"/>
    <w:uiPriority w:val="34"/>
    <w:rsid w:val="00D20E25"/>
    <w:rPr>
      <w:rFonts w:ascii="Arial" w:hAnsi="Arial" w:cs="Arial"/>
      <w:snapToGrid w:val="0"/>
      <w:sz w:val="22"/>
      <w:lang w:eastAsia="en-US"/>
    </w:rPr>
  </w:style>
  <w:style w:type="paragraph" w:customStyle="1" w:styleId="TableLeft">
    <w:name w:val="Table Left"/>
    <w:basedOn w:val="Normal"/>
    <w:link w:val="TableLeftChar"/>
    <w:uiPriority w:val="99"/>
    <w:qFormat/>
    <w:rsid w:val="009D60ED"/>
    <w:pPr>
      <w:widowControl/>
      <w:jc w:val="left"/>
    </w:pPr>
    <w:rPr>
      <w:rFonts w:ascii="Candara" w:hAnsi="Candara" w:cs="Times New Roman"/>
      <w:snapToGrid/>
      <w:sz w:val="20"/>
      <w:szCs w:val="22"/>
    </w:rPr>
  </w:style>
  <w:style w:type="character" w:customStyle="1" w:styleId="TableLeftChar">
    <w:name w:val="Table Left Char"/>
    <w:basedOn w:val="DefaultParagraphFont"/>
    <w:link w:val="TableLeft"/>
    <w:uiPriority w:val="99"/>
    <w:locked/>
    <w:rsid w:val="009D60ED"/>
    <w:rPr>
      <w:rFonts w:ascii="Candara" w:hAnsi="Candara"/>
      <w:szCs w:val="22"/>
      <w:lang w:eastAsia="en-US"/>
    </w:rPr>
  </w:style>
  <w:style w:type="paragraph" w:customStyle="1" w:styleId="NormalBulletList">
    <w:name w:val="Normal Bullet List"/>
    <w:basedOn w:val="Normal"/>
    <w:uiPriority w:val="3"/>
    <w:qFormat/>
    <w:rsid w:val="004911E0"/>
    <w:pPr>
      <w:widowControl/>
      <w:numPr>
        <w:numId w:val="5"/>
      </w:numPr>
      <w:spacing w:after="240" w:line="276" w:lineRule="auto"/>
      <w:contextualSpacing/>
      <w:jc w:val="left"/>
    </w:pPr>
    <w:rPr>
      <w:rFonts w:ascii="Candara" w:eastAsiaTheme="majorEastAsia" w:hAnsi="Candara" w:cstheme="majorBidi"/>
      <w:snapToGrid/>
      <w:sz w:val="24"/>
      <w:szCs w:val="22"/>
      <w:lang w:bidi="en-US"/>
    </w:rPr>
  </w:style>
  <w:style w:type="paragraph" w:customStyle="1" w:styleId="NormalBulletList2">
    <w:name w:val="Normal Bullet List 2"/>
    <w:basedOn w:val="NormalBulletList"/>
    <w:qFormat/>
    <w:rsid w:val="004911E0"/>
    <w:pPr>
      <w:numPr>
        <w:ilvl w:val="1"/>
      </w:numPr>
      <w:spacing w:after="0"/>
      <w:ind w:left="1151" w:hanging="357"/>
    </w:pPr>
  </w:style>
  <w:style w:type="paragraph" w:customStyle="1" w:styleId="TableCentre">
    <w:name w:val="Table Centre"/>
    <w:basedOn w:val="Normal"/>
    <w:qFormat/>
    <w:rsid w:val="006B5C7A"/>
    <w:pPr>
      <w:widowControl/>
      <w:jc w:val="center"/>
    </w:pPr>
    <w:rPr>
      <w:rFonts w:ascii="Candara" w:eastAsiaTheme="majorEastAsia" w:hAnsi="Candara" w:cstheme="majorBidi"/>
      <w:snapToGrid/>
      <w:sz w:val="20"/>
      <w:szCs w:val="22"/>
      <w:lang w:bidi="en-US"/>
    </w:rPr>
  </w:style>
  <w:style w:type="paragraph" w:customStyle="1" w:styleId="Table">
    <w:name w:val="Table"/>
    <w:basedOn w:val="Normal"/>
    <w:link w:val="TableChar"/>
    <w:qFormat/>
    <w:rsid w:val="006B5C7A"/>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6B5C7A"/>
    <w:rPr>
      <w:rFonts w:ascii="Candara" w:eastAsiaTheme="majorEastAsia" w:hAnsi="Candara" w:cstheme="majorBidi"/>
      <w:szCs w:val="22"/>
      <w:lang w:eastAsia="en-US" w:bidi="en-US"/>
    </w:rPr>
  </w:style>
  <w:style w:type="character" w:customStyle="1" w:styleId="Small">
    <w:name w:val="Small"/>
    <w:basedOn w:val="DefaultParagraphFont"/>
    <w:uiPriority w:val="4"/>
    <w:qFormat/>
    <w:rsid w:val="00F42107"/>
    <w:rPr>
      <w:rFonts w:ascii="Candara" w:hAnsi="Candara"/>
      <w:sz w:val="20"/>
    </w:rPr>
  </w:style>
  <w:style w:type="paragraph" w:customStyle="1" w:styleId="CaptionFootnote">
    <w:name w:val="Caption Footnote"/>
    <w:basedOn w:val="Caption"/>
    <w:qFormat/>
    <w:rsid w:val="00F42107"/>
    <w:pPr>
      <w:spacing w:after="0"/>
      <w:jc w:val="left"/>
    </w:pPr>
    <w:rPr>
      <w:rFonts w:ascii="Candara" w:eastAsiaTheme="majorEastAsia" w:hAnsi="Candara" w:cstheme="majorBidi"/>
      <w:b w:val="0"/>
      <w:snapToGrid/>
      <w:color w:val="auto"/>
      <w:sz w:val="16"/>
      <w:lang w:bidi="en-US"/>
    </w:rPr>
  </w:style>
  <w:style w:type="character" w:customStyle="1" w:styleId="SmallBold">
    <w:name w:val="Small Bold"/>
    <w:basedOn w:val="Small"/>
    <w:uiPriority w:val="4"/>
    <w:qFormat/>
    <w:rsid w:val="00CC2B9A"/>
    <w:rPr>
      <w:rFonts w:ascii="Candara" w:hAnsi="Candara"/>
      <w:b/>
      <w:sz w:val="20"/>
      <w:lang w:val="en-AU"/>
    </w:rPr>
  </w:style>
  <w:style w:type="table" w:customStyle="1" w:styleId="Summarybox1">
    <w:name w:val="Summary box1"/>
    <w:basedOn w:val="TableNormal"/>
    <w:next w:val="TableGrid"/>
    <w:uiPriority w:val="59"/>
    <w:rsid w:val="003456C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893D5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4877E9"/>
    <w:pPr>
      <w:ind w:left="720" w:hanging="720"/>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280AFF"/>
    <w:rPr>
      <w:sz w:val="20"/>
    </w:rPr>
  </w:style>
  <w:style w:type="character" w:customStyle="1" w:styleId="FootnoteTextChar">
    <w:name w:val="Footnote Text Char"/>
    <w:basedOn w:val="DefaultParagraphFont"/>
    <w:link w:val="FootnoteText"/>
    <w:semiHidden/>
    <w:rsid w:val="00280AFF"/>
    <w:rPr>
      <w:rFonts w:ascii="Arial" w:hAnsi="Arial" w:cs="Arial"/>
      <w:snapToGrid w:val="0"/>
      <w:lang w:eastAsia="en-US"/>
    </w:rPr>
  </w:style>
  <w:style w:type="character" w:styleId="FootnoteReference">
    <w:name w:val="footnote reference"/>
    <w:basedOn w:val="DefaultParagraphFont"/>
    <w:semiHidden/>
    <w:unhideWhenUsed/>
    <w:rsid w:val="00280AFF"/>
    <w:rPr>
      <w:vertAlign w:val="superscript"/>
    </w:rPr>
  </w:style>
  <w:style w:type="paragraph" w:styleId="DocumentMap">
    <w:name w:val="Document Map"/>
    <w:basedOn w:val="Normal"/>
    <w:link w:val="DocumentMapChar"/>
    <w:semiHidden/>
    <w:unhideWhenUsed/>
    <w:rsid w:val="0029481C"/>
    <w:rPr>
      <w:rFonts w:ascii="Lucida Grande" w:hAnsi="Lucida Grande" w:cs="Lucida Grande"/>
      <w:sz w:val="24"/>
      <w:szCs w:val="24"/>
    </w:rPr>
  </w:style>
  <w:style w:type="character" w:customStyle="1" w:styleId="DocumentMapChar">
    <w:name w:val="Document Map Char"/>
    <w:basedOn w:val="DefaultParagraphFont"/>
    <w:link w:val="DocumentMap"/>
    <w:semiHidden/>
    <w:rsid w:val="0029481C"/>
    <w:rPr>
      <w:rFonts w:ascii="Lucida Grande" w:hAnsi="Lucida Grande" w:cs="Lucida Grande"/>
      <w:snapToGrid w:val="0"/>
      <w:sz w:val="24"/>
      <w:szCs w:val="24"/>
      <w:lang w:eastAsia="en-US"/>
    </w:rPr>
  </w:style>
  <w:style w:type="paragraph" w:styleId="ListBullet">
    <w:name w:val="List Bullet"/>
    <w:basedOn w:val="Normal"/>
    <w:unhideWhenUsed/>
    <w:rsid w:val="007C1D56"/>
    <w:pPr>
      <w:numPr>
        <w:numId w:val="13"/>
      </w:numPr>
      <w:contextualSpacing/>
    </w:p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06281"/>
    <w:pPr>
      <w:widowControl/>
      <w:spacing w:after="160" w:line="240" w:lineRule="exact"/>
      <w:jc w:val="left"/>
    </w:pPr>
    <w:rPr>
      <w:rFonts w:ascii="Verdana" w:eastAsia="MS Mincho" w:hAnsi="Verdana" w:cs="Verdana"/>
      <w:snapToGrid/>
      <w:sz w:val="20"/>
      <w:lang w:val="en-US"/>
    </w:rPr>
  </w:style>
  <w:style w:type="character" w:customStyle="1" w:styleId="st1">
    <w:name w:val="st1"/>
    <w:basedOn w:val="DefaultParagraphFont"/>
    <w:rsid w:val="00385ED2"/>
  </w:style>
  <w:style w:type="character" w:customStyle="1" w:styleId="Heading1Char">
    <w:name w:val="Heading 1 Char"/>
    <w:aliases w:val="Outline1 Char,p1 Char,H1 Char"/>
    <w:basedOn w:val="DefaultParagraphFont"/>
    <w:link w:val="Heading1"/>
    <w:uiPriority w:val="1"/>
    <w:rsid w:val="004343F0"/>
    <w:rPr>
      <w:rFonts w:ascii="Arial Bold" w:hAnsi="Arial Bold" w:cs="Arial"/>
      <w:b/>
      <w:caps/>
      <w:snapToGrid w:val="0"/>
      <w:sz w:val="22"/>
      <w:lang w:eastAsia="en-US"/>
    </w:rPr>
  </w:style>
  <w:style w:type="paragraph" w:styleId="Subtitle">
    <w:name w:val="Subtitle"/>
    <w:aliases w:val="PBAC Paragraph"/>
    <w:basedOn w:val="ListParagraph"/>
    <w:next w:val="Normal"/>
    <w:link w:val="SubtitleChar"/>
    <w:uiPriority w:val="11"/>
    <w:qFormat/>
    <w:rsid w:val="00F8401A"/>
    <w:pPr>
      <w:widowControl/>
      <w:spacing w:before="240" w:after="120"/>
      <w:ind w:hanging="720"/>
      <w:contextualSpacing w:val="0"/>
    </w:pPr>
    <w:rPr>
      <w:rFonts w:ascii="Times New Roman" w:eastAsiaTheme="majorEastAsia" w:hAnsi="Times New Roman"/>
      <w:sz w:val="24"/>
      <w:szCs w:val="24"/>
    </w:rPr>
  </w:style>
  <w:style w:type="character" w:customStyle="1" w:styleId="SubtitleChar">
    <w:name w:val="Subtitle Char"/>
    <w:aliases w:val="PBAC Paragraph Char"/>
    <w:basedOn w:val="DefaultParagraphFont"/>
    <w:link w:val="Subtitle"/>
    <w:uiPriority w:val="11"/>
    <w:rsid w:val="00F8401A"/>
    <w:rPr>
      <w:rFonts w:eastAsiaTheme="majorEastAsia" w:cs="Arial"/>
      <w:snapToGrid w:val="0"/>
      <w:sz w:val="24"/>
      <w:szCs w:val="24"/>
      <w:lang w:eastAsia="en-US"/>
    </w:rPr>
  </w:style>
  <w:style w:type="character" w:styleId="IntenseReference">
    <w:name w:val="Intense Reference"/>
    <w:basedOn w:val="DefaultParagraphFont"/>
    <w:uiPriority w:val="32"/>
    <w:rsid w:val="00D32E2C"/>
    <w:rPr>
      <w:b/>
      <w:bCs/>
      <w:smallCaps/>
      <w:color w:val="C0504D" w:themeColor="accent2"/>
      <w:spacing w:val="5"/>
      <w:u w:val="single"/>
    </w:rPr>
  </w:style>
  <w:style w:type="character" w:customStyle="1" w:styleId="Font">
    <w:name w:val="Font"/>
    <w:basedOn w:val="DefaultParagraphFont"/>
    <w:uiPriority w:val="1"/>
    <w:qFormat/>
    <w:rsid w:val="00D83587"/>
    <w:rPr>
      <w:rFonts w:ascii="Candara" w:hAnsi="Candara"/>
      <w:sz w:val="22"/>
    </w:rPr>
  </w:style>
  <w:style w:type="paragraph" w:customStyle="1" w:styleId="Default">
    <w:name w:val="Default"/>
    <w:rsid w:val="0044781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34F9"/>
    <w:pPr>
      <w:widowControl w:val="0"/>
      <w:jc w:val="both"/>
    </w:pPr>
    <w:rPr>
      <w:rFonts w:ascii="Arial" w:hAnsi="Arial" w:cs="Arial"/>
      <w:snapToGrid w:val="0"/>
      <w:sz w:val="22"/>
      <w:lang w:eastAsia="en-US"/>
    </w:rPr>
  </w:style>
  <w:style w:type="paragraph" w:styleId="Heading1">
    <w:name w:val="heading 1"/>
    <w:aliases w:val="Outline1,p1,H1"/>
    <w:basedOn w:val="Normal"/>
    <w:next w:val="Normal"/>
    <w:link w:val="Heading1Char"/>
    <w:uiPriority w:val="1"/>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4"/>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link w:val="Caption"/>
    <w:uiPriority w:val="10"/>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EB6AA9"/>
    <w:pPr>
      <w:numPr>
        <w:numId w:val="3"/>
      </w:numPr>
      <w:outlineLvl w:val="0"/>
    </w:pPr>
    <w:rPr>
      <w:rFonts w:ascii="Arial" w:hAnsi="Arial" w:cs="Arial"/>
      <w:snapToGrid w:val="0"/>
      <w:sz w:val="22"/>
      <w:szCs w:val="22"/>
      <w:lang w:eastAsia="en-US"/>
    </w:rPr>
  </w:style>
  <w:style w:type="character" w:customStyle="1" w:styleId="ListParagraphChar">
    <w:name w:val="List Paragraph Char"/>
    <w:aliases w:val="BulletPoints Char"/>
    <w:basedOn w:val="DefaultParagraphFont"/>
    <w:link w:val="ListParagraph"/>
    <w:uiPriority w:val="34"/>
    <w:rsid w:val="00D20E25"/>
    <w:rPr>
      <w:rFonts w:ascii="Arial" w:hAnsi="Arial" w:cs="Arial"/>
      <w:snapToGrid w:val="0"/>
      <w:sz w:val="22"/>
      <w:lang w:eastAsia="en-US"/>
    </w:rPr>
  </w:style>
  <w:style w:type="paragraph" w:customStyle="1" w:styleId="TableLeft">
    <w:name w:val="Table Left"/>
    <w:basedOn w:val="Normal"/>
    <w:link w:val="TableLeftChar"/>
    <w:uiPriority w:val="99"/>
    <w:qFormat/>
    <w:rsid w:val="009D60ED"/>
    <w:pPr>
      <w:widowControl/>
      <w:jc w:val="left"/>
    </w:pPr>
    <w:rPr>
      <w:rFonts w:ascii="Candara" w:hAnsi="Candara" w:cs="Times New Roman"/>
      <w:snapToGrid/>
      <w:sz w:val="20"/>
      <w:szCs w:val="22"/>
    </w:rPr>
  </w:style>
  <w:style w:type="character" w:customStyle="1" w:styleId="TableLeftChar">
    <w:name w:val="Table Left Char"/>
    <w:basedOn w:val="DefaultParagraphFont"/>
    <w:link w:val="TableLeft"/>
    <w:uiPriority w:val="99"/>
    <w:locked/>
    <w:rsid w:val="009D60ED"/>
    <w:rPr>
      <w:rFonts w:ascii="Candara" w:hAnsi="Candara"/>
      <w:szCs w:val="22"/>
      <w:lang w:eastAsia="en-US"/>
    </w:rPr>
  </w:style>
  <w:style w:type="paragraph" w:customStyle="1" w:styleId="NormalBulletList">
    <w:name w:val="Normal Bullet List"/>
    <w:basedOn w:val="Normal"/>
    <w:uiPriority w:val="3"/>
    <w:qFormat/>
    <w:rsid w:val="004911E0"/>
    <w:pPr>
      <w:widowControl/>
      <w:numPr>
        <w:numId w:val="5"/>
      </w:numPr>
      <w:spacing w:after="240" w:line="276" w:lineRule="auto"/>
      <w:contextualSpacing/>
      <w:jc w:val="left"/>
    </w:pPr>
    <w:rPr>
      <w:rFonts w:ascii="Candara" w:eastAsiaTheme="majorEastAsia" w:hAnsi="Candara" w:cstheme="majorBidi"/>
      <w:snapToGrid/>
      <w:sz w:val="24"/>
      <w:szCs w:val="22"/>
      <w:lang w:bidi="en-US"/>
    </w:rPr>
  </w:style>
  <w:style w:type="paragraph" w:customStyle="1" w:styleId="NormalBulletList2">
    <w:name w:val="Normal Bullet List 2"/>
    <w:basedOn w:val="NormalBulletList"/>
    <w:qFormat/>
    <w:rsid w:val="004911E0"/>
    <w:pPr>
      <w:numPr>
        <w:ilvl w:val="1"/>
      </w:numPr>
      <w:spacing w:after="0"/>
      <w:ind w:left="1151" w:hanging="357"/>
    </w:pPr>
  </w:style>
  <w:style w:type="paragraph" w:customStyle="1" w:styleId="TableCentre">
    <w:name w:val="Table Centre"/>
    <w:basedOn w:val="Normal"/>
    <w:qFormat/>
    <w:rsid w:val="006B5C7A"/>
    <w:pPr>
      <w:widowControl/>
      <w:jc w:val="center"/>
    </w:pPr>
    <w:rPr>
      <w:rFonts w:ascii="Candara" w:eastAsiaTheme="majorEastAsia" w:hAnsi="Candara" w:cstheme="majorBidi"/>
      <w:snapToGrid/>
      <w:sz w:val="20"/>
      <w:szCs w:val="22"/>
      <w:lang w:bidi="en-US"/>
    </w:rPr>
  </w:style>
  <w:style w:type="paragraph" w:customStyle="1" w:styleId="Table">
    <w:name w:val="Table"/>
    <w:basedOn w:val="Normal"/>
    <w:link w:val="TableChar"/>
    <w:qFormat/>
    <w:rsid w:val="006B5C7A"/>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6B5C7A"/>
    <w:rPr>
      <w:rFonts w:ascii="Candara" w:eastAsiaTheme="majorEastAsia" w:hAnsi="Candara" w:cstheme="majorBidi"/>
      <w:szCs w:val="22"/>
      <w:lang w:eastAsia="en-US" w:bidi="en-US"/>
    </w:rPr>
  </w:style>
  <w:style w:type="character" w:customStyle="1" w:styleId="Small">
    <w:name w:val="Small"/>
    <w:basedOn w:val="DefaultParagraphFont"/>
    <w:uiPriority w:val="4"/>
    <w:qFormat/>
    <w:rsid w:val="00F42107"/>
    <w:rPr>
      <w:rFonts w:ascii="Candara" w:hAnsi="Candara"/>
      <w:sz w:val="20"/>
    </w:rPr>
  </w:style>
  <w:style w:type="paragraph" w:customStyle="1" w:styleId="CaptionFootnote">
    <w:name w:val="Caption Footnote"/>
    <w:basedOn w:val="Caption"/>
    <w:qFormat/>
    <w:rsid w:val="00F42107"/>
    <w:pPr>
      <w:spacing w:after="0"/>
      <w:jc w:val="left"/>
    </w:pPr>
    <w:rPr>
      <w:rFonts w:ascii="Candara" w:eastAsiaTheme="majorEastAsia" w:hAnsi="Candara" w:cstheme="majorBidi"/>
      <w:b w:val="0"/>
      <w:snapToGrid/>
      <w:color w:val="auto"/>
      <w:sz w:val="16"/>
      <w:lang w:bidi="en-US"/>
    </w:rPr>
  </w:style>
  <w:style w:type="character" w:customStyle="1" w:styleId="SmallBold">
    <w:name w:val="Small Bold"/>
    <w:basedOn w:val="Small"/>
    <w:uiPriority w:val="4"/>
    <w:qFormat/>
    <w:rsid w:val="00CC2B9A"/>
    <w:rPr>
      <w:rFonts w:ascii="Candara" w:hAnsi="Candara"/>
      <w:b/>
      <w:sz w:val="20"/>
      <w:lang w:val="en-AU"/>
    </w:rPr>
  </w:style>
  <w:style w:type="table" w:customStyle="1" w:styleId="Summarybox1">
    <w:name w:val="Summary box1"/>
    <w:basedOn w:val="TableNormal"/>
    <w:next w:val="TableGrid"/>
    <w:uiPriority w:val="59"/>
    <w:rsid w:val="003456C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893D5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4877E9"/>
    <w:pPr>
      <w:ind w:left="720" w:hanging="720"/>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280AFF"/>
    <w:rPr>
      <w:sz w:val="20"/>
    </w:rPr>
  </w:style>
  <w:style w:type="character" w:customStyle="1" w:styleId="FootnoteTextChar">
    <w:name w:val="Footnote Text Char"/>
    <w:basedOn w:val="DefaultParagraphFont"/>
    <w:link w:val="FootnoteText"/>
    <w:semiHidden/>
    <w:rsid w:val="00280AFF"/>
    <w:rPr>
      <w:rFonts w:ascii="Arial" w:hAnsi="Arial" w:cs="Arial"/>
      <w:snapToGrid w:val="0"/>
      <w:lang w:eastAsia="en-US"/>
    </w:rPr>
  </w:style>
  <w:style w:type="character" w:styleId="FootnoteReference">
    <w:name w:val="footnote reference"/>
    <w:basedOn w:val="DefaultParagraphFont"/>
    <w:semiHidden/>
    <w:unhideWhenUsed/>
    <w:rsid w:val="00280AFF"/>
    <w:rPr>
      <w:vertAlign w:val="superscript"/>
    </w:rPr>
  </w:style>
  <w:style w:type="paragraph" w:styleId="DocumentMap">
    <w:name w:val="Document Map"/>
    <w:basedOn w:val="Normal"/>
    <w:link w:val="DocumentMapChar"/>
    <w:semiHidden/>
    <w:unhideWhenUsed/>
    <w:rsid w:val="0029481C"/>
    <w:rPr>
      <w:rFonts w:ascii="Lucida Grande" w:hAnsi="Lucida Grande" w:cs="Lucida Grande"/>
      <w:sz w:val="24"/>
      <w:szCs w:val="24"/>
    </w:rPr>
  </w:style>
  <w:style w:type="character" w:customStyle="1" w:styleId="DocumentMapChar">
    <w:name w:val="Document Map Char"/>
    <w:basedOn w:val="DefaultParagraphFont"/>
    <w:link w:val="DocumentMap"/>
    <w:semiHidden/>
    <w:rsid w:val="0029481C"/>
    <w:rPr>
      <w:rFonts w:ascii="Lucida Grande" w:hAnsi="Lucida Grande" w:cs="Lucida Grande"/>
      <w:snapToGrid w:val="0"/>
      <w:sz w:val="24"/>
      <w:szCs w:val="24"/>
      <w:lang w:eastAsia="en-US"/>
    </w:rPr>
  </w:style>
  <w:style w:type="paragraph" w:styleId="ListBullet">
    <w:name w:val="List Bullet"/>
    <w:basedOn w:val="Normal"/>
    <w:unhideWhenUsed/>
    <w:rsid w:val="007C1D56"/>
    <w:pPr>
      <w:numPr>
        <w:numId w:val="13"/>
      </w:numPr>
      <w:contextualSpacing/>
    </w:p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06281"/>
    <w:pPr>
      <w:widowControl/>
      <w:spacing w:after="160" w:line="240" w:lineRule="exact"/>
      <w:jc w:val="left"/>
    </w:pPr>
    <w:rPr>
      <w:rFonts w:ascii="Verdana" w:eastAsia="MS Mincho" w:hAnsi="Verdana" w:cs="Verdana"/>
      <w:snapToGrid/>
      <w:sz w:val="20"/>
      <w:lang w:val="en-US"/>
    </w:rPr>
  </w:style>
  <w:style w:type="character" w:customStyle="1" w:styleId="st1">
    <w:name w:val="st1"/>
    <w:basedOn w:val="DefaultParagraphFont"/>
    <w:rsid w:val="00385ED2"/>
  </w:style>
  <w:style w:type="character" w:customStyle="1" w:styleId="Heading1Char">
    <w:name w:val="Heading 1 Char"/>
    <w:aliases w:val="Outline1 Char,p1 Char,H1 Char"/>
    <w:basedOn w:val="DefaultParagraphFont"/>
    <w:link w:val="Heading1"/>
    <w:uiPriority w:val="1"/>
    <w:rsid w:val="004343F0"/>
    <w:rPr>
      <w:rFonts w:ascii="Arial Bold" w:hAnsi="Arial Bold" w:cs="Arial"/>
      <w:b/>
      <w:caps/>
      <w:snapToGrid w:val="0"/>
      <w:sz w:val="22"/>
      <w:lang w:eastAsia="en-US"/>
    </w:rPr>
  </w:style>
  <w:style w:type="paragraph" w:styleId="Subtitle">
    <w:name w:val="Subtitle"/>
    <w:aliases w:val="PBAC Paragraph"/>
    <w:basedOn w:val="ListParagraph"/>
    <w:next w:val="Normal"/>
    <w:link w:val="SubtitleChar"/>
    <w:uiPriority w:val="11"/>
    <w:qFormat/>
    <w:rsid w:val="00F8401A"/>
    <w:pPr>
      <w:widowControl/>
      <w:spacing w:before="240" w:after="120"/>
      <w:ind w:hanging="720"/>
      <w:contextualSpacing w:val="0"/>
    </w:pPr>
    <w:rPr>
      <w:rFonts w:ascii="Times New Roman" w:eastAsiaTheme="majorEastAsia" w:hAnsi="Times New Roman"/>
      <w:sz w:val="24"/>
      <w:szCs w:val="24"/>
    </w:rPr>
  </w:style>
  <w:style w:type="character" w:customStyle="1" w:styleId="SubtitleChar">
    <w:name w:val="Subtitle Char"/>
    <w:aliases w:val="PBAC Paragraph Char"/>
    <w:basedOn w:val="DefaultParagraphFont"/>
    <w:link w:val="Subtitle"/>
    <w:uiPriority w:val="11"/>
    <w:rsid w:val="00F8401A"/>
    <w:rPr>
      <w:rFonts w:eastAsiaTheme="majorEastAsia" w:cs="Arial"/>
      <w:snapToGrid w:val="0"/>
      <w:sz w:val="24"/>
      <w:szCs w:val="24"/>
      <w:lang w:eastAsia="en-US"/>
    </w:rPr>
  </w:style>
  <w:style w:type="character" w:styleId="IntenseReference">
    <w:name w:val="Intense Reference"/>
    <w:basedOn w:val="DefaultParagraphFont"/>
    <w:uiPriority w:val="32"/>
    <w:rsid w:val="00D32E2C"/>
    <w:rPr>
      <w:b/>
      <w:bCs/>
      <w:smallCaps/>
      <w:color w:val="C0504D" w:themeColor="accent2"/>
      <w:spacing w:val="5"/>
      <w:u w:val="single"/>
    </w:rPr>
  </w:style>
  <w:style w:type="character" w:customStyle="1" w:styleId="Font">
    <w:name w:val="Font"/>
    <w:basedOn w:val="DefaultParagraphFont"/>
    <w:uiPriority w:val="1"/>
    <w:qFormat/>
    <w:rsid w:val="00D83587"/>
    <w:rPr>
      <w:rFonts w:ascii="Candara" w:hAnsi="Candara"/>
      <w:sz w:val="22"/>
    </w:rPr>
  </w:style>
  <w:style w:type="paragraph" w:customStyle="1" w:styleId="Default">
    <w:name w:val="Default"/>
    <w:rsid w:val="0044781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60136">
      <w:bodyDiv w:val="1"/>
      <w:marLeft w:val="0"/>
      <w:marRight w:val="0"/>
      <w:marTop w:val="0"/>
      <w:marBottom w:val="0"/>
      <w:divBdr>
        <w:top w:val="none" w:sz="0" w:space="0" w:color="auto"/>
        <w:left w:val="none" w:sz="0" w:space="0" w:color="auto"/>
        <w:bottom w:val="none" w:sz="0" w:space="0" w:color="auto"/>
        <w:right w:val="none" w:sz="0" w:space="0" w:color="auto"/>
      </w:divBdr>
      <w:divsChild>
        <w:div w:id="540172621">
          <w:marLeft w:val="547"/>
          <w:marRight w:val="0"/>
          <w:marTop w:val="130"/>
          <w:marBottom w:val="0"/>
          <w:divBdr>
            <w:top w:val="none" w:sz="0" w:space="0" w:color="auto"/>
            <w:left w:val="none" w:sz="0" w:space="0" w:color="auto"/>
            <w:bottom w:val="none" w:sz="0" w:space="0" w:color="auto"/>
            <w:right w:val="none" w:sz="0" w:space="0" w:color="auto"/>
          </w:divBdr>
        </w:div>
        <w:div w:id="1146049132">
          <w:marLeft w:val="1166"/>
          <w:marRight w:val="0"/>
          <w:marTop w:val="115"/>
          <w:marBottom w:val="0"/>
          <w:divBdr>
            <w:top w:val="none" w:sz="0" w:space="0" w:color="auto"/>
            <w:left w:val="none" w:sz="0" w:space="0" w:color="auto"/>
            <w:bottom w:val="none" w:sz="0" w:space="0" w:color="auto"/>
            <w:right w:val="none" w:sz="0" w:space="0" w:color="auto"/>
          </w:divBdr>
        </w:div>
        <w:div w:id="171377101">
          <w:marLeft w:val="1166"/>
          <w:marRight w:val="0"/>
          <w:marTop w:val="115"/>
          <w:marBottom w:val="0"/>
          <w:divBdr>
            <w:top w:val="none" w:sz="0" w:space="0" w:color="auto"/>
            <w:left w:val="none" w:sz="0" w:space="0" w:color="auto"/>
            <w:bottom w:val="none" w:sz="0" w:space="0" w:color="auto"/>
            <w:right w:val="none" w:sz="0" w:space="0" w:color="auto"/>
          </w:divBdr>
        </w:div>
      </w:divsChild>
    </w:div>
    <w:div w:id="348218567">
      <w:bodyDiv w:val="1"/>
      <w:marLeft w:val="0"/>
      <w:marRight w:val="0"/>
      <w:marTop w:val="0"/>
      <w:marBottom w:val="0"/>
      <w:divBdr>
        <w:top w:val="none" w:sz="0" w:space="0" w:color="auto"/>
        <w:left w:val="none" w:sz="0" w:space="0" w:color="auto"/>
        <w:bottom w:val="none" w:sz="0" w:space="0" w:color="auto"/>
        <w:right w:val="none" w:sz="0" w:space="0" w:color="auto"/>
      </w:divBdr>
      <w:divsChild>
        <w:div w:id="353306013">
          <w:marLeft w:val="1166"/>
          <w:marRight w:val="0"/>
          <w:marTop w:val="115"/>
          <w:marBottom w:val="0"/>
          <w:divBdr>
            <w:top w:val="none" w:sz="0" w:space="0" w:color="auto"/>
            <w:left w:val="none" w:sz="0" w:space="0" w:color="auto"/>
            <w:bottom w:val="none" w:sz="0" w:space="0" w:color="auto"/>
            <w:right w:val="none" w:sz="0" w:space="0" w:color="auto"/>
          </w:divBdr>
        </w:div>
        <w:div w:id="520558940">
          <w:marLeft w:val="1166"/>
          <w:marRight w:val="0"/>
          <w:marTop w:val="115"/>
          <w:marBottom w:val="0"/>
          <w:divBdr>
            <w:top w:val="none" w:sz="0" w:space="0" w:color="auto"/>
            <w:left w:val="none" w:sz="0" w:space="0" w:color="auto"/>
            <w:bottom w:val="none" w:sz="0" w:space="0" w:color="auto"/>
            <w:right w:val="none" w:sz="0" w:space="0" w:color="auto"/>
          </w:divBdr>
        </w:div>
        <w:div w:id="822962723">
          <w:marLeft w:val="1166"/>
          <w:marRight w:val="0"/>
          <w:marTop w:val="115"/>
          <w:marBottom w:val="0"/>
          <w:divBdr>
            <w:top w:val="none" w:sz="0" w:space="0" w:color="auto"/>
            <w:left w:val="none" w:sz="0" w:space="0" w:color="auto"/>
            <w:bottom w:val="none" w:sz="0" w:space="0" w:color="auto"/>
            <w:right w:val="none" w:sz="0" w:space="0" w:color="auto"/>
          </w:divBdr>
        </w:div>
        <w:div w:id="1796556920">
          <w:marLeft w:val="1166"/>
          <w:marRight w:val="0"/>
          <w:marTop w:val="115"/>
          <w:marBottom w:val="0"/>
          <w:divBdr>
            <w:top w:val="none" w:sz="0" w:space="0" w:color="auto"/>
            <w:left w:val="none" w:sz="0" w:space="0" w:color="auto"/>
            <w:bottom w:val="none" w:sz="0" w:space="0" w:color="auto"/>
            <w:right w:val="none" w:sz="0" w:space="0" w:color="auto"/>
          </w:divBdr>
        </w:div>
        <w:div w:id="1773354689">
          <w:marLeft w:val="1166"/>
          <w:marRight w:val="0"/>
          <w:marTop w:val="115"/>
          <w:marBottom w:val="0"/>
          <w:divBdr>
            <w:top w:val="none" w:sz="0" w:space="0" w:color="auto"/>
            <w:left w:val="none" w:sz="0" w:space="0" w:color="auto"/>
            <w:bottom w:val="none" w:sz="0" w:space="0" w:color="auto"/>
            <w:right w:val="none" w:sz="0" w:space="0" w:color="auto"/>
          </w:divBdr>
        </w:div>
      </w:divsChild>
    </w:div>
    <w:div w:id="369497368">
      <w:bodyDiv w:val="1"/>
      <w:marLeft w:val="0"/>
      <w:marRight w:val="0"/>
      <w:marTop w:val="0"/>
      <w:marBottom w:val="0"/>
      <w:divBdr>
        <w:top w:val="none" w:sz="0" w:space="0" w:color="auto"/>
        <w:left w:val="none" w:sz="0" w:space="0" w:color="auto"/>
        <w:bottom w:val="none" w:sz="0" w:space="0" w:color="auto"/>
        <w:right w:val="none" w:sz="0" w:space="0" w:color="auto"/>
      </w:divBdr>
      <w:divsChild>
        <w:div w:id="1762801385">
          <w:marLeft w:val="547"/>
          <w:marRight w:val="0"/>
          <w:marTop w:val="115"/>
          <w:marBottom w:val="0"/>
          <w:divBdr>
            <w:top w:val="none" w:sz="0" w:space="0" w:color="auto"/>
            <w:left w:val="none" w:sz="0" w:space="0" w:color="auto"/>
            <w:bottom w:val="none" w:sz="0" w:space="0" w:color="auto"/>
            <w:right w:val="none" w:sz="0" w:space="0" w:color="auto"/>
          </w:divBdr>
        </w:div>
      </w:divsChild>
    </w:div>
    <w:div w:id="473760001">
      <w:bodyDiv w:val="1"/>
      <w:marLeft w:val="0"/>
      <w:marRight w:val="0"/>
      <w:marTop w:val="0"/>
      <w:marBottom w:val="0"/>
      <w:divBdr>
        <w:top w:val="none" w:sz="0" w:space="0" w:color="auto"/>
        <w:left w:val="none" w:sz="0" w:space="0" w:color="auto"/>
        <w:bottom w:val="none" w:sz="0" w:space="0" w:color="auto"/>
        <w:right w:val="none" w:sz="0" w:space="0" w:color="auto"/>
      </w:divBdr>
      <w:divsChild>
        <w:div w:id="1136876166">
          <w:marLeft w:val="547"/>
          <w:marRight w:val="0"/>
          <w:marTop w:val="115"/>
          <w:marBottom w:val="0"/>
          <w:divBdr>
            <w:top w:val="none" w:sz="0" w:space="0" w:color="auto"/>
            <w:left w:val="none" w:sz="0" w:space="0" w:color="auto"/>
            <w:bottom w:val="none" w:sz="0" w:space="0" w:color="auto"/>
            <w:right w:val="none" w:sz="0" w:space="0" w:color="auto"/>
          </w:divBdr>
        </w:div>
        <w:div w:id="1977372135">
          <w:marLeft w:val="547"/>
          <w:marRight w:val="0"/>
          <w:marTop w:val="115"/>
          <w:marBottom w:val="0"/>
          <w:divBdr>
            <w:top w:val="none" w:sz="0" w:space="0" w:color="auto"/>
            <w:left w:val="none" w:sz="0" w:space="0" w:color="auto"/>
            <w:bottom w:val="none" w:sz="0" w:space="0" w:color="auto"/>
            <w:right w:val="none" w:sz="0" w:space="0" w:color="auto"/>
          </w:divBdr>
        </w:div>
        <w:div w:id="745692074">
          <w:marLeft w:val="547"/>
          <w:marRight w:val="0"/>
          <w:marTop w:val="115"/>
          <w:marBottom w:val="0"/>
          <w:divBdr>
            <w:top w:val="none" w:sz="0" w:space="0" w:color="auto"/>
            <w:left w:val="none" w:sz="0" w:space="0" w:color="auto"/>
            <w:bottom w:val="none" w:sz="0" w:space="0" w:color="auto"/>
            <w:right w:val="none" w:sz="0" w:space="0" w:color="auto"/>
          </w:divBdr>
        </w:div>
        <w:div w:id="242955513">
          <w:marLeft w:val="547"/>
          <w:marRight w:val="0"/>
          <w:marTop w:val="115"/>
          <w:marBottom w:val="0"/>
          <w:divBdr>
            <w:top w:val="none" w:sz="0" w:space="0" w:color="auto"/>
            <w:left w:val="none" w:sz="0" w:space="0" w:color="auto"/>
            <w:bottom w:val="none" w:sz="0" w:space="0" w:color="auto"/>
            <w:right w:val="none" w:sz="0" w:space="0" w:color="auto"/>
          </w:divBdr>
        </w:div>
        <w:div w:id="3747921">
          <w:marLeft w:val="547"/>
          <w:marRight w:val="0"/>
          <w:marTop w:val="115"/>
          <w:marBottom w:val="0"/>
          <w:divBdr>
            <w:top w:val="none" w:sz="0" w:space="0" w:color="auto"/>
            <w:left w:val="none" w:sz="0" w:space="0" w:color="auto"/>
            <w:bottom w:val="none" w:sz="0" w:space="0" w:color="auto"/>
            <w:right w:val="none" w:sz="0" w:space="0" w:color="auto"/>
          </w:divBdr>
        </w:div>
      </w:divsChild>
    </w:div>
    <w:div w:id="688138748">
      <w:bodyDiv w:val="1"/>
      <w:marLeft w:val="0"/>
      <w:marRight w:val="0"/>
      <w:marTop w:val="0"/>
      <w:marBottom w:val="0"/>
      <w:divBdr>
        <w:top w:val="none" w:sz="0" w:space="0" w:color="auto"/>
        <w:left w:val="none" w:sz="0" w:space="0" w:color="auto"/>
        <w:bottom w:val="none" w:sz="0" w:space="0" w:color="auto"/>
        <w:right w:val="none" w:sz="0" w:space="0" w:color="auto"/>
      </w:divBdr>
    </w:div>
    <w:div w:id="997536951">
      <w:bodyDiv w:val="1"/>
      <w:marLeft w:val="0"/>
      <w:marRight w:val="0"/>
      <w:marTop w:val="0"/>
      <w:marBottom w:val="0"/>
      <w:divBdr>
        <w:top w:val="none" w:sz="0" w:space="0" w:color="auto"/>
        <w:left w:val="none" w:sz="0" w:space="0" w:color="auto"/>
        <w:bottom w:val="none" w:sz="0" w:space="0" w:color="auto"/>
        <w:right w:val="none" w:sz="0" w:space="0" w:color="auto"/>
      </w:divBdr>
      <w:divsChild>
        <w:div w:id="478426247">
          <w:marLeft w:val="547"/>
          <w:marRight w:val="0"/>
          <w:marTop w:val="154"/>
          <w:marBottom w:val="0"/>
          <w:divBdr>
            <w:top w:val="none" w:sz="0" w:space="0" w:color="auto"/>
            <w:left w:val="none" w:sz="0" w:space="0" w:color="auto"/>
            <w:bottom w:val="none" w:sz="0" w:space="0" w:color="auto"/>
            <w:right w:val="none" w:sz="0" w:space="0" w:color="auto"/>
          </w:divBdr>
        </w:div>
      </w:divsChild>
    </w:div>
    <w:div w:id="1067532982">
      <w:bodyDiv w:val="1"/>
      <w:marLeft w:val="0"/>
      <w:marRight w:val="0"/>
      <w:marTop w:val="0"/>
      <w:marBottom w:val="0"/>
      <w:divBdr>
        <w:top w:val="none" w:sz="0" w:space="0" w:color="auto"/>
        <w:left w:val="none" w:sz="0" w:space="0" w:color="auto"/>
        <w:bottom w:val="none" w:sz="0" w:space="0" w:color="auto"/>
        <w:right w:val="none" w:sz="0" w:space="0" w:color="auto"/>
      </w:divBdr>
      <w:divsChild>
        <w:div w:id="496657346">
          <w:marLeft w:val="547"/>
          <w:marRight w:val="0"/>
          <w:marTop w:val="115"/>
          <w:marBottom w:val="0"/>
          <w:divBdr>
            <w:top w:val="none" w:sz="0" w:space="0" w:color="auto"/>
            <w:left w:val="none" w:sz="0" w:space="0" w:color="auto"/>
            <w:bottom w:val="none" w:sz="0" w:space="0" w:color="auto"/>
            <w:right w:val="none" w:sz="0" w:space="0" w:color="auto"/>
          </w:divBdr>
        </w:div>
      </w:divsChild>
    </w:div>
    <w:div w:id="1502625594">
      <w:bodyDiv w:val="1"/>
      <w:marLeft w:val="0"/>
      <w:marRight w:val="0"/>
      <w:marTop w:val="0"/>
      <w:marBottom w:val="0"/>
      <w:divBdr>
        <w:top w:val="none" w:sz="0" w:space="0" w:color="auto"/>
        <w:left w:val="none" w:sz="0" w:space="0" w:color="auto"/>
        <w:bottom w:val="none" w:sz="0" w:space="0" w:color="auto"/>
        <w:right w:val="none" w:sz="0" w:space="0" w:color="auto"/>
      </w:divBdr>
      <w:divsChild>
        <w:div w:id="1500805041">
          <w:marLeft w:val="0"/>
          <w:marRight w:val="0"/>
          <w:marTop w:val="0"/>
          <w:marBottom w:val="0"/>
          <w:divBdr>
            <w:top w:val="none" w:sz="0" w:space="0" w:color="auto"/>
            <w:left w:val="none" w:sz="0" w:space="0" w:color="auto"/>
            <w:bottom w:val="none" w:sz="0" w:space="0" w:color="auto"/>
            <w:right w:val="none" w:sz="0" w:space="0" w:color="auto"/>
          </w:divBdr>
          <w:divsChild>
            <w:div w:id="626355026">
              <w:marLeft w:val="0"/>
              <w:marRight w:val="0"/>
              <w:marTop w:val="0"/>
              <w:marBottom w:val="0"/>
              <w:divBdr>
                <w:top w:val="none" w:sz="0" w:space="0" w:color="auto"/>
                <w:left w:val="none" w:sz="0" w:space="0" w:color="auto"/>
                <w:bottom w:val="none" w:sz="0" w:space="0" w:color="auto"/>
                <w:right w:val="none" w:sz="0" w:space="0" w:color="auto"/>
              </w:divBdr>
              <w:divsChild>
                <w:div w:id="1219394069">
                  <w:marLeft w:val="0"/>
                  <w:marRight w:val="0"/>
                  <w:marTop w:val="0"/>
                  <w:marBottom w:val="0"/>
                  <w:divBdr>
                    <w:top w:val="none" w:sz="0" w:space="0" w:color="auto"/>
                    <w:left w:val="none" w:sz="0" w:space="0" w:color="auto"/>
                    <w:bottom w:val="none" w:sz="0" w:space="0" w:color="auto"/>
                    <w:right w:val="none" w:sz="0" w:space="0" w:color="auto"/>
                  </w:divBdr>
                  <w:divsChild>
                    <w:div w:id="278951080">
                      <w:marLeft w:val="0"/>
                      <w:marRight w:val="0"/>
                      <w:marTop w:val="0"/>
                      <w:marBottom w:val="0"/>
                      <w:divBdr>
                        <w:top w:val="none" w:sz="0" w:space="0" w:color="auto"/>
                        <w:left w:val="none" w:sz="0" w:space="0" w:color="auto"/>
                        <w:bottom w:val="none" w:sz="0" w:space="0" w:color="auto"/>
                        <w:right w:val="none" w:sz="0" w:space="0" w:color="auto"/>
                      </w:divBdr>
                      <w:divsChild>
                        <w:div w:id="1575553685">
                          <w:marLeft w:val="0"/>
                          <w:marRight w:val="0"/>
                          <w:marTop w:val="0"/>
                          <w:marBottom w:val="0"/>
                          <w:divBdr>
                            <w:top w:val="none" w:sz="0" w:space="0" w:color="auto"/>
                            <w:left w:val="none" w:sz="0" w:space="0" w:color="auto"/>
                            <w:bottom w:val="none" w:sz="0" w:space="0" w:color="auto"/>
                            <w:right w:val="none" w:sz="0" w:space="0" w:color="auto"/>
                          </w:divBdr>
                        </w:div>
                      </w:divsChild>
                    </w:div>
                    <w:div w:id="1033072403">
                      <w:marLeft w:val="0"/>
                      <w:marRight w:val="0"/>
                      <w:marTop w:val="0"/>
                      <w:marBottom w:val="0"/>
                      <w:divBdr>
                        <w:top w:val="none" w:sz="0" w:space="0" w:color="auto"/>
                        <w:left w:val="none" w:sz="0" w:space="0" w:color="auto"/>
                        <w:bottom w:val="none" w:sz="0" w:space="0" w:color="auto"/>
                        <w:right w:val="none" w:sz="0" w:space="0" w:color="auto"/>
                      </w:divBdr>
                      <w:divsChild>
                        <w:div w:id="981539341">
                          <w:marLeft w:val="0"/>
                          <w:marRight w:val="0"/>
                          <w:marTop w:val="0"/>
                          <w:marBottom w:val="0"/>
                          <w:divBdr>
                            <w:top w:val="none" w:sz="0" w:space="0" w:color="auto"/>
                            <w:left w:val="none" w:sz="0" w:space="0" w:color="auto"/>
                            <w:bottom w:val="none" w:sz="0" w:space="0" w:color="auto"/>
                            <w:right w:val="none" w:sz="0" w:space="0" w:color="auto"/>
                          </w:divBdr>
                          <w:divsChild>
                            <w:div w:id="73011599">
                              <w:marLeft w:val="0"/>
                              <w:marRight w:val="0"/>
                              <w:marTop w:val="0"/>
                              <w:marBottom w:val="0"/>
                              <w:divBdr>
                                <w:top w:val="none" w:sz="0" w:space="0" w:color="auto"/>
                                <w:left w:val="none" w:sz="0" w:space="0" w:color="auto"/>
                                <w:bottom w:val="none" w:sz="0" w:space="0" w:color="auto"/>
                                <w:right w:val="none" w:sz="0" w:space="0" w:color="auto"/>
                              </w:divBdr>
                            </w:div>
                          </w:divsChild>
                        </w:div>
                        <w:div w:id="789784320">
                          <w:marLeft w:val="0"/>
                          <w:marRight w:val="0"/>
                          <w:marTop w:val="0"/>
                          <w:marBottom w:val="0"/>
                          <w:divBdr>
                            <w:top w:val="none" w:sz="0" w:space="0" w:color="auto"/>
                            <w:left w:val="none" w:sz="0" w:space="0" w:color="auto"/>
                            <w:bottom w:val="none" w:sz="0" w:space="0" w:color="auto"/>
                            <w:right w:val="none" w:sz="0" w:space="0" w:color="auto"/>
                          </w:divBdr>
                          <w:divsChild>
                            <w:div w:id="18729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617021">
          <w:marLeft w:val="0"/>
          <w:marRight w:val="0"/>
          <w:marTop w:val="0"/>
          <w:marBottom w:val="0"/>
          <w:divBdr>
            <w:top w:val="none" w:sz="0" w:space="0" w:color="auto"/>
            <w:left w:val="none" w:sz="0" w:space="0" w:color="auto"/>
            <w:bottom w:val="none" w:sz="0" w:space="0" w:color="auto"/>
            <w:right w:val="none" w:sz="0" w:space="0" w:color="auto"/>
          </w:divBdr>
          <w:divsChild>
            <w:div w:id="1947809604">
              <w:marLeft w:val="0"/>
              <w:marRight w:val="0"/>
              <w:marTop w:val="0"/>
              <w:marBottom w:val="0"/>
              <w:divBdr>
                <w:top w:val="none" w:sz="0" w:space="0" w:color="auto"/>
                <w:left w:val="none" w:sz="0" w:space="0" w:color="auto"/>
                <w:bottom w:val="none" w:sz="0" w:space="0" w:color="auto"/>
                <w:right w:val="none" w:sz="0" w:space="0" w:color="auto"/>
              </w:divBdr>
            </w:div>
          </w:divsChild>
        </w:div>
        <w:div w:id="534584213">
          <w:marLeft w:val="0"/>
          <w:marRight w:val="0"/>
          <w:marTop w:val="0"/>
          <w:marBottom w:val="0"/>
          <w:divBdr>
            <w:top w:val="none" w:sz="0" w:space="0" w:color="auto"/>
            <w:left w:val="none" w:sz="0" w:space="0" w:color="auto"/>
            <w:bottom w:val="none" w:sz="0" w:space="0" w:color="auto"/>
            <w:right w:val="none" w:sz="0" w:space="0" w:color="auto"/>
          </w:divBdr>
          <w:divsChild>
            <w:div w:id="644696620">
              <w:marLeft w:val="0"/>
              <w:marRight w:val="0"/>
              <w:marTop w:val="0"/>
              <w:marBottom w:val="0"/>
              <w:divBdr>
                <w:top w:val="none" w:sz="0" w:space="0" w:color="auto"/>
                <w:left w:val="none" w:sz="0" w:space="0" w:color="auto"/>
                <w:bottom w:val="none" w:sz="0" w:space="0" w:color="auto"/>
                <w:right w:val="none" w:sz="0" w:space="0" w:color="auto"/>
              </w:divBdr>
            </w:div>
          </w:divsChild>
        </w:div>
        <w:div w:id="559290866">
          <w:marLeft w:val="0"/>
          <w:marRight w:val="0"/>
          <w:marTop w:val="0"/>
          <w:marBottom w:val="0"/>
          <w:divBdr>
            <w:top w:val="none" w:sz="0" w:space="0" w:color="auto"/>
            <w:left w:val="none" w:sz="0" w:space="0" w:color="auto"/>
            <w:bottom w:val="none" w:sz="0" w:space="0" w:color="auto"/>
            <w:right w:val="none" w:sz="0" w:space="0" w:color="auto"/>
          </w:divBdr>
        </w:div>
        <w:div w:id="406617556">
          <w:marLeft w:val="0"/>
          <w:marRight w:val="0"/>
          <w:marTop w:val="0"/>
          <w:marBottom w:val="0"/>
          <w:divBdr>
            <w:top w:val="none" w:sz="0" w:space="0" w:color="auto"/>
            <w:left w:val="none" w:sz="0" w:space="0" w:color="auto"/>
            <w:bottom w:val="none" w:sz="0" w:space="0" w:color="auto"/>
            <w:right w:val="none" w:sz="0" w:space="0" w:color="auto"/>
          </w:divBdr>
          <w:divsChild>
            <w:div w:id="1037662090">
              <w:marLeft w:val="0"/>
              <w:marRight w:val="0"/>
              <w:marTop w:val="0"/>
              <w:marBottom w:val="0"/>
              <w:divBdr>
                <w:top w:val="none" w:sz="0" w:space="0" w:color="auto"/>
                <w:left w:val="none" w:sz="0" w:space="0" w:color="auto"/>
                <w:bottom w:val="none" w:sz="0" w:space="0" w:color="auto"/>
                <w:right w:val="none" w:sz="0" w:space="0" w:color="auto"/>
              </w:divBdr>
              <w:divsChild>
                <w:div w:id="521363523">
                  <w:marLeft w:val="0"/>
                  <w:marRight w:val="0"/>
                  <w:marTop w:val="0"/>
                  <w:marBottom w:val="0"/>
                  <w:divBdr>
                    <w:top w:val="none" w:sz="0" w:space="0" w:color="auto"/>
                    <w:left w:val="none" w:sz="0" w:space="0" w:color="auto"/>
                    <w:bottom w:val="none" w:sz="0" w:space="0" w:color="auto"/>
                    <w:right w:val="none" w:sz="0" w:space="0" w:color="auto"/>
                  </w:divBdr>
                </w:div>
                <w:div w:id="898398068">
                  <w:marLeft w:val="0"/>
                  <w:marRight w:val="0"/>
                  <w:marTop w:val="0"/>
                  <w:marBottom w:val="0"/>
                  <w:divBdr>
                    <w:top w:val="none" w:sz="0" w:space="0" w:color="auto"/>
                    <w:left w:val="none" w:sz="0" w:space="0" w:color="auto"/>
                    <w:bottom w:val="none" w:sz="0" w:space="0" w:color="auto"/>
                    <w:right w:val="none" w:sz="0" w:space="0" w:color="auto"/>
                  </w:divBdr>
                  <w:divsChild>
                    <w:div w:id="1922906684">
                      <w:marLeft w:val="0"/>
                      <w:marRight w:val="0"/>
                      <w:marTop w:val="0"/>
                      <w:marBottom w:val="0"/>
                      <w:divBdr>
                        <w:top w:val="none" w:sz="0" w:space="0" w:color="auto"/>
                        <w:left w:val="none" w:sz="0" w:space="0" w:color="auto"/>
                        <w:bottom w:val="none" w:sz="0" w:space="0" w:color="auto"/>
                        <w:right w:val="none" w:sz="0" w:space="0" w:color="auto"/>
                      </w:divBdr>
                      <w:divsChild>
                        <w:div w:id="2631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012235">
      <w:bodyDiv w:val="1"/>
      <w:marLeft w:val="0"/>
      <w:marRight w:val="0"/>
      <w:marTop w:val="0"/>
      <w:marBottom w:val="0"/>
      <w:divBdr>
        <w:top w:val="none" w:sz="0" w:space="0" w:color="auto"/>
        <w:left w:val="none" w:sz="0" w:space="0" w:color="auto"/>
        <w:bottom w:val="none" w:sz="0" w:space="0" w:color="auto"/>
        <w:right w:val="none" w:sz="0" w:space="0" w:color="auto"/>
      </w:divBdr>
      <w:divsChild>
        <w:div w:id="952328128">
          <w:marLeft w:val="547"/>
          <w:marRight w:val="0"/>
          <w:marTop w:val="115"/>
          <w:marBottom w:val="0"/>
          <w:divBdr>
            <w:top w:val="none" w:sz="0" w:space="0" w:color="auto"/>
            <w:left w:val="none" w:sz="0" w:space="0" w:color="auto"/>
            <w:bottom w:val="none" w:sz="0" w:space="0" w:color="auto"/>
            <w:right w:val="none" w:sz="0" w:space="0" w:color="auto"/>
          </w:divBdr>
        </w:div>
        <w:div w:id="635060902">
          <w:marLeft w:val="547"/>
          <w:marRight w:val="0"/>
          <w:marTop w:val="115"/>
          <w:marBottom w:val="0"/>
          <w:divBdr>
            <w:top w:val="none" w:sz="0" w:space="0" w:color="auto"/>
            <w:left w:val="none" w:sz="0" w:space="0" w:color="auto"/>
            <w:bottom w:val="none" w:sz="0" w:space="0" w:color="auto"/>
            <w:right w:val="none" w:sz="0" w:space="0" w:color="auto"/>
          </w:divBdr>
        </w:div>
        <w:div w:id="429816328">
          <w:marLeft w:val="547"/>
          <w:marRight w:val="0"/>
          <w:marTop w:val="115"/>
          <w:marBottom w:val="0"/>
          <w:divBdr>
            <w:top w:val="none" w:sz="0" w:space="0" w:color="auto"/>
            <w:left w:val="none" w:sz="0" w:space="0" w:color="auto"/>
            <w:bottom w:val="none" w:sz="0" w:space="0" w:color="auto"/>
            <w:right w:val="none" w:sz="0" w:space="0" w:color="auto"/>
          </w:divBdr>
        </w:div>
        <w:div w:id="115954820">
          <w:marLeft w:val="547"/>
          <w:marRight w:val="0"/>
          <w:marTop w:val="115"/>
          <w:marBottom w:val="0"/>
          <w:divBdr>
            <w:top w:val="none" w:sz="0" w:space="0" w:color="auto"/>
            <w:left w:val="none" w:sz="0" w:space="0" w:color="auto"/>
            <w:bottom w:val="none" w:sz="0" w:space="0" w:color="auto"/>
            <w:right w:val="none" w:sz="0" w:space="0" w:color="auto"/>
          </w:divBdr>
        </w:div>
      </w:divsChild>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051149643">
      <w:bodyDiv w:val="1"/>
      <w:marLeft w:val="0"/>
      <w:marRight w:val="0"/>
      <w:marTop w:val="0"/>
      <w:marBottom w:val="0"/>
      <w:divBdr>
        <w:top w:val="none" w:sz="0" w:space="0" w:color="auto"/>
        <w:left w:val="none" w:sz="0" w:space="0" w:color="auto"/>
        <w:bottom w:val="none" w:sz="0" w:space="0" w:color="auto"/>
        <w:right w:val="none" w:sz="0" w:space="0" w:color="auto"/>
      </w:divBdr>
      <w:divsChild>
        <w:div w:id="2046369281">
          <w:marLeft w:val="547"/>
          <w:marRight w:val="0"/>
          <w:marTop w:val="120"/>
          <w:marBottom w:val="0"/>
          <w:divBdr>
            <w:top w:val="none" w:sz="0" w:space="0" w:color="auto"/>
            <w:left w:val="none" w:sz="0" w:space="0" w:color="auto"/>
            <w:bottom w:val="none" w:sz="0" w:space="0" w:color="auto"/>
            <w:right w:val="none" w:sz="0" w:space="0" w:color="auto"/>
          </w:divBdr>
        </w:div>
        <w:div w:id="535044714">
          <w:marLeft w:val="547"/>
          <w:marRight w:val="0"/>
          <w:marTop w:val="106"/>
          <w:marBottom w:val="0"/>
          <w:divBdr>
            <w:top w:val="none" w:sz="0" w:space="0" w:color="auto"/>
            <w:left w:val="none" w:sz="0" w:space="0" w:color="auto"/>
            <w:bottom w:val="none" w:sz="0" w:space="0" w:color="auto"/>
            <w:right w:val="none" w:sz="0" w:space="0" w:color="auto"/>
          </w:divBdr>
        </w:div>
        <w:div w:id="181240579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JournalArticle</b:SourceType>
    <b:Guid>{DE51DECB-5EC3-4FEE-BB0C-EBC5F041E98A}</b:Guid>
    <b:Author>
      <b:Author>
        <b:Corporate>NICE</b:Corporate>
      </b:Author>
    </b:Author>
    <b:Title>Heavy menstrual bleeding: assessment and management (update)</b:Title>
    <b:Year>2016</b:Year>
    <b:RefOrder>10</b:RefOrder>
  </b:Source>
  <b:Source>
    <b:Tag>Vil15</b:Tag>
    <b:SourceType>JournalArticle</b:SourceType>
    <b:Guid>{9B7AB8A9-983B-45CE-BA72-F383191BF2EA}</b:Guid>
    <b:Author>
      <b:Author>
        <b:NameList>
          <b:Person>
            <b:Last>Vilos</b:Last>
            <b:First>G</b:First>
          </b:Person>
          <b:Person>
            <b:Last>Allaire</b:Last>
            <b:First>C</b:First>
          </b:Person>
          <b:Person>
            <b:Last>Laberge</b:Last>
            <b:First>P</b:First>
          </b:Person>
          <b:Person>
            <b:Last>Leyland</b:Last>
            <b:First>N</b:First>
          </b:Person>
          <b:Person>
            <b:Last>Murji</b:Last>
            <b:First>A</b:First>
          </b:Person>
          <b:Person>
            <b:Last>Chen</b:Last>
            <b:First>I</b:First>
          </b:Person>
        </b:NameList>
      </b:Author>
    </b:Author>
    <b:Title>The management of uterine leiomyomas</b:Title>
    <b:JournalName>J Obstet Gynaecol Can</b:JournalName>
    <b:Year>2015</b:Year>
    <b:Pages>37(2):157-81</b:Pages>
    <b:RefOrder>12</b:RefOrder>
  </b:Source>
  <b:Source>
    <b:Tag>Bru14</b:Tag>
    <b:SourceType>JournalArticle</b:SourceType>
    <b:Guid>{8FD968EC-39BB-42C1-BB2C-825847CDE9B2}</b:Guid>
    <b:Author>
      <b:Author>
        <b:NameList>
          <b:Person>
            <b:Last>Brun</b:Last>
            <b:First>J</b:First>
          </b:Person>
          <b:Person>
            <b:Last>Fritel</b:Last>
            <b:First>X</b:First>
          </b:Person>
          <b:Person>
            <b:Last>Aubard</b:Last>
            <b:First>Y</b:First>
          </b:Person>
          <b:Person>
            <b:Last>Borghese</b:Last>
            <b:First>B</b:First>
          </b:Person>
          <b:Person>
            <b:Last>Bourdel</b:Last>
            <b:First>N</b:First>
          </b:Person>
          <b:Person>
            <b:Last>Chabbert-Buffet</b:Last>
            <b:First>N</b:First>
          </b:Person>
        </b:NameList>
      </b:Author>
    </b:Author>
    <b:Title>Management of presumed benign ovarian tumors: updated French guidelines</b:Title>
    <b:JournalName>Eur J Obstet Gynecol Reprod Biol</b:JournalName>
    <b:Year>2014</b:Year>
    <b:Pages>183:52-8</b:Pages>
    <b:RefOrder>13</b:RefOrder>
  </b:Source>
  <b:Source>
    <b:Tag>Ste15</b:Tag>
    <b:SourceType>JournalArticle</b:SourceType>
    <b:Guid>{0224C374-57DC-462A-8AEA-E8D7A87869DB}</b:Guid>
    <b:Author>
      <b:Author>
        <b:NameList>
          <b:Person>
            <b:Last>Stewart</b:Last>
            <b:First>E</b:First>
          </b:Person>
        </b:NameList>
      </b:Author>
    </b:Author>
    <b:Title>Clinical practice: Uterine fibroids</b:Title>
    <b:JournalName>N Engl J Med</b:JournalName>
    <b:Year>2015</b:Year>
    <b:Pages>372(17):1646-55</b:Pages>
    <b:RefOrder>2</b:RefOrder>
  </b:Source>
  <b:Source>
    <b:Tag>Pér14</b:Tag>
    <b:SourceType>JournalArticle</b:SourceType>
    <b:Guid>{955058CC-18F3-4F1D-B872-06DC9CD2306E}</b:Guid>
    <b:Author>
      <b:Author>
        <b:NameList>
          <b:Person>
            <b:Last>Pérez-López</b:Last>
            <b:First>F</b:First>
          </b:Person>
          <b:Person>
            <b:Last>Ornat</b:Last>
            <b:First>L</b:First>
          </b:Person>
          <b:Person>
            <b:Last>Ceausu</b:Last>
            <b:First>I</b:First>
          </b:Person>
          <b:Person>
            <b:Last>Depypere</b:Last>
            <b:First>H</b:First>
          </b:Person>
          <b:Person>
            <b:Last>Erel</b:Last>
            <b:First>C</b:First>
          </b:Person>
          <b:Person>
            <b:Last>Lambrinoudaki</b:Last>
            <b:First>I</b:First>
          </b:Person>
        </b:NameList>
      </b:Author>
    </b:Author>
    <b:Title>EMAS position statement: management of uterine fibroids</b:Title>
    <b:JournalName>Maturitas</b:JournalName>
    <b:Year>2014</b:Year>
    <b:Pages>79(1):106-16</b:Pages>
    <b:RefOrder>14</b:RefOrder>
  </b:Source>
  <b:Source>
    <b:Tag>Sin15</b:Tag>
    <b:SourceType>JournalArticle</b:SourceType>
    <b:Guid>{5F2C690E-D52C-4240-9317-A535754F55BD}</b:Guid>
    <b:Author>
      <b:Author>
        <b:NameList>
          <b:Person>
            <b:Last>Singh</b:Last>
            <b:First>S</b:First>
          </b:Person>
          <b:Person>
            <b:Last>Belland</b:Last>
            <b:First>L</b:First>
          </b:Person>
        </b:NameList>
      </b:Author>
    </b:Author>
    <b:Title>Contemporary management of uterine fibroids: focus on emerging medical treatments</b:Title>
    <b:JournalName>Curr Med Res Opin</b:JournalName>
    <b:Year>2015</b:Year>
    <b:Pages>31(1):1-12</b:Pages>
    <b:RefOrder>8</b:RefOrder>
  </b:Source>
  <b:Source>
    <b:Tag>Mor14</b:Tag>
    <b:SourceType>JournalArticle</b:SourceType>
    <b:Guid>{BBC13608-8F50-4B6A-BA1D-669AAFBCC908}</b:Guid>
    <b:Author>
      <b:Author>
        <b:NameList>
          <b:Person>
            <b:Last>Moroni</b:Last>
            <b:First>R</b:First>
          </b:Person>
          <b:Person>
            <b:Last>Vieira</b:Last>
            <b:First>C</b:First>
          </b:Person>
          <b:Person>
            <b:Last>Ferriani</b:Last>
            <b:First>R</b:First>
          </b:Person>
          <b:Person>
            <b:Last>CAndido-dos-Reis</b:Last>
          </b:Person>
          <b:Person>
            <b:Last>Brito</b:Last>
            <b:First>L</b:First>
          </b:Person>
        </b:NameList>
      </b:Author>
    </b:Author>
    <b:Title>Pharmacological treatment of uterine fibroids</b:Title>
    <b:JournalName>Ann Med Health Sci Res</b:JournalName>
    <b:Year>2014</b:Year>
    <b:Pages>4(Suppl 3):S185-92</b:Pages>
    <b:RefOrder>15</b:RefOrder>
  </b:Source>
  <b:Source>
    <b:Tag>Dan121</b:Tag>
    <b:SourceType>JournalArticle</b:SourceType>
    <b:Guid>{0CF89F4D-BC5B-443E-8609-C74609F4E714}</b:Guid>
    <b:Author>
      <b:Author>
        <b:NameList>
          <b:Person>
            <b:Last>Daniels</b:Last>
            <b:First>B</b:First>
          </b:Person>
          <b:Person>
            <b:Last>Robson</b:Last>
            <b:First>S</b:First>
          </b:Person>
        </b:NameList>
      </b:Author>
    </b:Author>
    <b:Title>Uterine fibroids</b:Title>
    <b:JournalName>O&amp;G Magazine</b:JournalName>
    <b:Year>2012</b:Year>
    <b:Pages>14(2):58</b:Pages>
    <b:RefOrder>16</b:RefOrder>
  </b:Source>
  <b:Source>
    <b:Tag>Vol98</b:Tag>
    <b:SourceType>JournalArticle</b:SourceType>
    <b:Guid>{F51CC8E2-956B-46DA-9F81-3B77116694D5}</b:Guid>
    <b:Author>
      <b:Author>
        <b:NameList>
          <b:Person>
            <b:Last>Vollenhoven</b:Last>
            <b:First>B</b:First>
          </b:Person>
        </b:NameList>
      </b:Author>
    </b:Author>
    <b:Title>Introduction: the epidemiology of uterine leiomyomas</b:Title>
    <b:JournalName>Balliere's Clinical Obstetrics and Gunaecology</b:JournalName>
    <b:Year>1998</b:Year>
    <b:Pages>12(2):169</b:Pages>
    <b:RefOrder>17</b:RefOrder>
  </b:Source>
  <b:Source>
    <b:Tag>Wal04</b:Tag>
    <b:SourceType>JournalArticle</b:SourceType>
    <b:Guid>{09A71143-CF5C-4902-915E-ECF5C84A2404}</b:Guid>
    <b:Author>
      <b:Author>
        <b:NameList>
          <b:Person>
            <b:Last>Wallach</b:Last>
            <b:First>E</b:First>
          </b:Person>
          <b:Person>
            <b:Last>Vlahos</b:Last>
            <b:First>N</b:First>
          </b:Person>
        </b:NameList>
      </b:Author>
    </b:Author>
    <b:Title>Uterine myomas: an overview of development, clinical features, and management</b:Title>
    <b:JournalName>Obstet Gynecol</b:JournalName>
    <b:Year>2004</b:Year>
    <b:Pages>104(2):393-406</b:Pages>
    <b:RefOrder>7</b:RefOrder>
  </b:Source>
  <b:Source>
    <b:Tag>Dob12</b:Tag>
    <b:SourceType>JournalArticle</b:SourceType>
    <b:Guid>{055F244E-62B1-4B48-B1FA-64385F28E238}</b:Guid>
    <b:Author>
      <b:Author>
        <b:NameList>
          <b:Person>
            <b:Last>Dobrotwir</b:Last>
            <b:First>A</b:First>
          </b:Person>
          <b:Person>
            <b:Last>Pun</b:Last>
            <b:First>E</b:First>
          </b:Person>
        </b:NameList>
      </b:Author>
    </b:Author>
    <b:Title>Clinical 24 month experience of the first MRgFUS unit for treatment of uterine fibroids in Australia</b:Title>
    <b:JournalName>J Med Imaging Radiat Oncol</b:JournalName>
    <b:Year>2012</b:Year>
    <b:Pages>56(4):409-16</b:Pages>
    <b:RefOrder>32</b:RefOrder>
  </b:Source>
</b:Sources>
</file>

<file path=customXml/itemProps1.xml><?xml version="1.0" encoding="utf-8"?>
<ds:datastoreItem xmlns:ds="http://schemas.openxmlformats.org/officeDocument/2006/customXml" ds:itemID="{5FEFCFF5-DC1F-4B72-A97E-4F151678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9954</Words>
  <Characters>56248</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2017-06-19T07:49:00Z</dcterms:created>
  <dcterms:modified xsi:type="dcterms:W3CDTF">2017-06-19T07:50:00Z</dcterms:modified>
</cp:coreProperties>
</file>