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042C" w:rsidRDefault="00C5042C" w:rsidP="00C5042C">
      <w:bookmarkStart w:id="0" w:name="_Toc392858187"/>
      <w:bookmarkStart w:id="1" w:name="_Toc472494390"/>
      <w:bookmarkStart w:id="2" w:name="_Toc392858223"/>
    </w:p>
    <w:p w:rsidR="00F61688" w:rsidRPr="00207D00" w:rsidRDefault="00C806A4" w:rsidP="00C5042C">
      <w:pPr>
        <w:pStyle w:val="Heading1"/>
        <w:jc w:val="left"/>
        <w:rPr>
          <w:sz w:val="28"/>
        </w:rPr>
      </w:pPr>
      <w:r>
        <w:rPr>
          <w:sz w:val="28"/>
        </w:rPr>
        <w:t>5</w:t>
      </w:r>
      <w:r w:rsidR="00F61688">
        <w:rPr>
          <w:sz w:val="28"/>
        </w:rPr>
        <w:t>.</w:t>
      </w:r>
      <w:r w:rsidR="00E0634A">
        <w:rPr>
          <w:sz w:val="28"/>
        </w:rPr>
        <w:t>0</w:t>
      </w:r>
      <w:r>
        <w:rPr>
          <w:sz w:val="28"/>
        </w:rPr>
        <w:t>9</w:t>
      </w:r>
      <w:r w:rsidR="00F61688" w:rsidRPr="00207D00">
        <w:rPr>
          <w:sz w:val="28"/>
        </w:rPr>
        <w:tab/>
      </w:r>
      <w:r w:rsidR="00F61688">
        <w:rPr>
          <w:sz w:val="28"/>
        </w:rPr>
        <w:t>VENETOCLAX</w:t>
      </w:r>
      <w:r w:rsidR="00F61688" w:rsidRPr="00207D00">
        <w:rPr>
          <w:sz w:val="28"/>
        </w:rPr>
        <w:t xml:space="preserve">, </w:t>
      </w:r>
      <w:r w:rsidR="00C5042C">
        <w:rPr>
          <w:sz w:val="28"/>
        </w:rPr>
        <w:br/>
      </w:r>
      <w:r w:rsidR="00F61688">
        <w:rPr>
          <w:sz w:val="28"/>
        </w:rPr>
        <w:t>t</w:t>
      </w:r>
      <w:r w:rsidR="00F61688">
        <w:rPr>
          <w:caps w:val="0"/>
          <w:sz w:val="28"/>
        </w:rPr>
        <w:t>ablet 10</w:t>
      </w:r>
      <w:r w:rsidR="00F4177C">
        <w:rPr>
          <w:caps w:val="0"/>
          <w:sz w:val="28"/>
        </w:rPr>
        <w:t> </w:t>
      </w:r>
      <w:r w:rsidR="00F61688">
        <w:rPr>
          <w:caps w:val="0"/>
          <w:sz w:val="28"/>
        </w:rPr>
        <w:t>mg, 50</w:t>
      </w:r>
      <w:r w:rsidR="00F4177C">
        <w:rPr>
          <w:caps w:val="0"/>
          <w:sz w:val="28"/>
        </w:rPr>
        <w:t> mg and 100 </w:t>
      </w:r>
      <w:r w:rsidR="00F61688">
        <w:rPr>
          <w:caps w:val="0"/>
          <w:sz w:val="28"/>
        </w:rPr>
        <w:t>mg</w:t>
      </w:r>
      <w:r w:rsidR="00F61688" w:rsidRPr="00207D00">
        <w:rPr>
          <w:sz w:val="28"/>
        </w:rPr>
        <w:t xml:space="preserve">, </w:t>
      </w:r>
      <w:r w:rsidR="00C5042C">
        <w:rPr>
          <w:sz w:val="28"/>
        </w:rPr>
        <w:br/>
      </w:r>
      <w:r w:rsidR="00F61688">
        <w:rPr>
          <w:sz w:val="28"/>
        </w:rPr>
        <w:t>V</w:t>
      </w:r>
      <w:r w:rsidR="00F61688">
        <w:rPr>
          <w:caps w:val="0"/>
          <w:sz w:val="28"/>
        </w:rPr>
        <w:t>enclexta</w:t>
      </w:r>
      <w:r w:rsidR="00F61688" w:rsidRPr="00207D00">
        <w:rPr>
          <w:sz w:val="28"/>
          <w:vertAlign w:val="superscript"/>
        </w:rPr>
        <w:t>®</w:t>
      </w:r>
      <w:r w:rsidR="00F61688" w:rsidRPr="00207D00">
        <w:rPr>
          <w:sz w:val="28"/>
        </w:rPr>
        <w:t xml:space="preserve">, </w:t>
      </w:r>
      <w:r w:rsidR="00F61688">
        <w:rPr>
          <w:sz w:val="28"/>
        </w:rPr>
        <w:t>A</w:t>
      </w:r>
      <w:r w:rsidR="00F61688">
        <w:rPr>
          <w:caps w:val="0"/>
          <w:sz w:val="28"/>
        </w:rPr>
        <w:t>bbVie Pty Ltd</w:t>
      </w:r>
      <w:r w:rsidR="00F61688" w:rsidRPr="00207D00">
        <w:rPr>
          <w:sz w:val="28"/>
        </w:rPr>
        <w:t>.</w:t>
      </w:r>
      <w:bookmarkEnd w:id="0"/>
      <w:bookmarkEnd w:id="1"/>
    </w:p>
    <w:p w:rsidR="00F61688" w:rsidRDefault="00F61688" w:rsidP="00F61688"/>
    <w:p w:rsidR="00C5042C" w:rsidRDefault="00C5042C" w:rsidP="00F61688"/>
    <w:p w:rsidR="00F61688" w:rsidRPr="00407F2D" w:rsidRDefault="00F61688" w:rsidP="00F61688">
      <w:pPr>
        <w:pStyle w:val="PBACHeading1"/>
      </w:pPr>
      <w:bookmarkStart w:id="3" w:name="_Toc392858189"/>
      <w:bookmarkStart w:id="4" w:name="_Toc472494392"/>
      <w:r w:rsidRPr="00407F2D">
        <w:t>Purpose of Application</w:t>
      </w:r>
      <w:bookmarkEnd w:id="3"/>
      <w:bookmarkEnd w:id="4"/>
    </w:p>
    <w:p w:rsidR="00F61688" w:rsidRPr="00882085" w:rsidRDefault="00F61688" w:rsidP="00F61688">
      <w:pPr>
        <w:rPr>
          <w:szCs w:val="22"/>
        </w:rPr>
      </w:pPr>
    </w:p>
    <w:p w:rsidR="00F61688" w:rsidRDefault="00F61688" w:rsidP="001011FE">
      <w:pPr>
        <w:pStyle w:val="ListParagraph"/>
        <w:numPr>
          <w:ilvl w:val="1"/>
          <w:numId w:val="3"/>
        </w:numPr>
      </w:pPr>
      <w:r w:rsidRPr="003F52EC">
        <w:t xml:space="preserve">The submission requested a Section 85 Authority Required PBS listing for </w:t>
      </w:r>
      <w:r>
        <w:t xml:space="preserve">venetoclax </w:t>
      </w:r>
      <w:r w:rsidRPr="003F52EC">
        <w:t>for the treatment o</w:t>
      </w:r>
      <w:r>
        <w:t>f relapsed/refractory chronic lymphocytic leukaemia (CLL) in patients with 17p deletion/TP53 mutation and patients with highly refractory disease.</w:t>
      </w:r>
    </w:p>
    <w:p w:rsidR="00F61688" w:rsidRDefault="00F61688" w:rsidP="00F61688"/>
    <w:p w:rsidR="00C5042C" w:rsidRDefault="00C5042C" w:rsidP="00F61688"/>
    <w:p w:rsidR="00F61688" w:rsidRPr="00407F2D" w:rsidRDefault="00F61688" w:rsidP="00F61688">
      <w:pPr>
        <w:pStyle w:val="PBACHeading1"/>
      </w:pPr>
      <w:bookmarkStart w:id="5" w:name="_Toc392858190"/>
      <w:bookmarkStart w:id="6" w:name="_Toc472494393"/>
      <w:r w:rsidRPr="00407F2D">
        <w:t>Requested listing</w:t>
      </w:r>
      <w:bookmarkEnd w:id="5"/>
      <w:bookmarkEnd w:id="6"/>
    </w:p>
    <w:p w:rsidR="00F61688" w:rsidRPr="00F4177C" w:rsidRDefault="00F61688" w:rsidP="00F4177C">
      <w:pPr>
        <w:widowControl/>
        <w:rPr>
          <w:szCs w:val="22"/>
        </w:rPr>
      </w:pPr>
    </w:p>
    <w:tbl>
      <w:tblPr>
        <w:tblW w:w="4604" w:type="pct"/>
        <w:tblInd w:w="737" w:type="dxa"/>
        <w:tblLayout w:type="fixed"/>
        <w:tblCellMar>
          <w:left w:w="28" w:type="dxa"/>
          <w:right w:w="28" w:type="dxa"/>
        </w:tblCellMar>
        <w:tblLook w:val="0000" w:firstRow="0" w:lastRow="0" w:firstColumn="0" w:lastColumn="0" w:noHBand="0" w:noVBand="0"/>
      </w:tblPr>
      <w:tblGrid>
        <w:gridCol w:w="3537"/>
        <w:gridCol w:w="572"/>
        <w:gridCol w:w="999"/>
        <w:gridCol w:w="1569"/>
        <w:gridCol w:w="1686"/>
      </w:tblGrid>
      <w:tr w:rsidR="00F61688" w:rsidRPr="00C5042C" w:rsidTr="00E73A7B">
        <w:trPr>
          <w:cantSplit/>
          <w:trHeight w:val="463"/>
        </w:trPr>
        <w:tc>
          <w:tcPr>
            <w:tcW w:w="2115" w:type="pct"/>
            <w:tcBorders>
              <w:bottom w:val="single" w:sz="4" w:space="0" w:color="auto"/>
            </w:tcBorders>
            <w:vAlign w:val="center"/>
          </w:tcPr>
          <w:p w:rsidR="00F61688" w:rsidRPr="00C5042C" w:rsidRDefault="00F61688" w:rsidP="00E73A7B">
            <w:pPr>
              <w:keepNext/>
              <w:jc w:val="left"/>
              <w:rPr>
                <w:rFonts w:ascii="Arial Narrow" w:hAnsi="Arial Narrow"/>
                <w:szCs w:val="22"/>
              </w:rPr>
            </w:pPr>
            <w:r w:rsidRPr="00C5042C">
              <w:rPr>
                <w:rFonts w:ascii="Arial Narrow" w:hAnsi="Arial Narrow"/>
                <w:szCs w:val="22"/>
              </w:rPr>
              <w:t>Name, Restriction,</w:t>
            </w:r>
          </w:p>
          <w:p w:rsidR="00F61688" w:rsidRPr="00C5042C" w:rsidRDefault="00F61688" w:rsidP="00E73A7B">
            <w:pPr>
              <w:keepNext/>
              <w:jc w:val="left"/>
              <w:rPr>
                <w:rFonts w:ascii="Arial Narrow" w:hAnsi="Arial Narrow"/>
                <w:szCs w:val="22"/>
              </w:rPr>
            </w:pPr>
            <w:r w:rsidRPr="00C5042C">
              <w:rPr>
                <w:rFonts w:ascii="Arial Narrow" w:hAnsi="Arial Narrow"/>
                <w:szCs w:val="22"/>
              </w:rPr>
              <w:t>Manner of administration and form</w:t>
            </w:r>
          </w:p>
        </w:tc>
        <w:tc>
          <w:tcPr>
            <w:tcW w:w="342" w:type="pct"/>
            <w:tcBorders>
              <w:bottom w:val="single" w:sz="4" w:space="0" w:color="auto"/>
            </w:tcBorders>
            <w:vAlign w:val="center"/>
          </w:tcPr>
          <w:p w:rsidR="00F61688" w:rsidRPr="00C5042C" w:rsidRDefault="00F61688" w:rsidP="00E73A7B">
            <w:pPr>
              <w:keepNext/>
              <w:jc w:val="center"/>
              <w:rPr>
                <w:rFonts w:ascii="Arial Narrow" w:hAnsi="Arial Narrow"/>
                <w:szCs w:val="22"/>
              </w:rPr>
            </w:pPr>
            <w:r w:rsidRPr="00C5042C">
              <w:rPr>
                <w:rFonts w:ascii="Arial Narrow" w:hAnsi="Arial Narrow"/>
                <w:szCs w:val="22"/>
              </w:rPr>
              <w:t>Max.</w:t>
            </w:r>
          </w:p>
          <w:p w:rsidR="00F61688" w:rsidRPr="00C5042C" w:rsidRDefault="00F61688" w:rsidP="00E73A7B">
            <w:pPr>
              <w:keepNext/>
              <w:jc w:val="center"/>
              <w:rPr>
                <w:rFonts w:ascii="Arial Narrow" w:hAnsi="Arial Narrow"/>
                <w:szCs w:val="22"/>
              </w:rPr>
            </w:pPr>
            <w:r w:rsidRPr="00C5042C">
              <w:rPr>
                <w:rFonts w:ascii="Arial Narrow" w:hAnsi="Arial Narrow"/>
                <w:szCs w:val="22"/>
              </w:rPr>
              <w:t>Qty</w:t>
            </w:r>
          </w:p>
        </w:tc>
        <w:tc>
          <w:tcPr>
            <w:tcW w:w="597" w:type="pct"/>
            <w:tcBorders>
              <w:bottom w:val="single" w:sz="4" w:space="0" w:color="auto"/>
            </w:tcBorders>
            <w:vAlign w:val="center"/>
          </w:tcPr>
          <w:p w:rsidR="00F61688" w:rsidRPr="00C5042C" w:rsidRDefault="00F61688" w:rsidP="00E73A7B">
            <w:pPr>
              <w:keepNext/>
              <w:jc w:val="center"/>
              <w:rPr>
                <w:rFonts w:ascii="Arial Narrow" w:hAnsi="Arial Narrow"/>
                <w:szCs w:val="22"/>
              </w:rPr>
            </w:pPr>
            <w:r w:rsidRPr="00C5042C">
              <w:rPr>
                <w:rFonts w:ascii="Arial Narrow" w:hAnsi="Arial Narrow"/>
                <w:szCs w:val="22"/>
              </w:rPr>
              <w:t>№.of</w:t>
            </w:r>
          </w:p>
          <w:p w:rsidR="00F61688" w:rsidRPr="00C5042C" w:rsidRDefault="00F61688" w:rsidP="00E73A7B">
            <w:pPr>
              <w:keepNext/>
              <w:jc w:val="center"/>
              <w:rPr>
                <w:rFonts w:ascii="Arial Narrow" w:hAnsi="Arial Narrow"/>
                <w:szCs w:val="22"/>
              </w:rPr>
            </w:pPr>
            <w:r w:rsidRPr="00C5042C">
              <w:rPr>
                <w:rFonts w:ascii="Arial Narrow" w:hAnsi="Arial Narrow"/>
                <w:szCs w:val="22"/>
              </w:rPr>
              <w:t>Rpts</w:t>
            </w:r>
          </w:p>
        </w:tc>
        <w:tc>
          <w:tcPr>
            <w:tcW w:w="938" w:type="pct"/>
            <w:tcBorders>
              <w:bottom w:val="single" w:sz="4" w:space="0" w:color="auto"/>
            </w:tcBorders>
            <w:vAlign w:val="center"/>
          </w:tcPr>
          <w:p w:rsidR="00F61688" w:rsidRPr="00C5042C" w:rsidRDefault="00F61688" w:rsidP="00E73A7B">
            <w:pPr>
              <w:keepNext/>
              <w:jc w:val="center"/>
              <w:rPr>
                <w:rFonts w:ascii="Arial Narrow" w:hAnsi="Arial Narrow"/>
                <w:szCs w:val="22"/>
              </w:rPr>
            </w:pPr>
            <w:r w:rsidRPr="00C5042C">
              <w:rPr>
                <w:rFonts w:ascii="Arial Narrow" w:hAnsi="Arial Narrow"/>
                <w:szCs w:val="22"/>
              </w:rPr>
              <w:t xml:space="preserve">Published (Effective) </w:t>
            </w:r>
          </w:p>
          <w:p w:rsidR="00F61688" w:rsidRPr="00C5042C" w:rsidRDefault="00F61688" w:rsidP="00E73A7B">
            <w:pPr>
              <w:keepNext/>
              <w:jc w:val="center"/>
              <w:rPr>
                <w:rFonts w:ascii="Arial Narrow" w:hAnsi="Arial Narrow"/>
                <w:szCs w:val="22"/>
              </w:rPr>
            </w:pPr>
            <w:r w:rsidRPr="00C5042C">
              <w:rPr>
                <w:rFonts w:ascii="Arial Narrow" w:hAnsi="Arial Narrow"/>
                <w:szCs w:val="22"/>
              </w:rPr>
              <w:t>DPMQ</w:t>
            </w:r>
          </w:p>
        </w:tc>
        <w:tc>
          <w:tcPr>
            <w:tcW w:w="1009" w:type="pct"/>
            <w:tcBorders>
              <w:bottom w:val="single" w:sz="4" w:space="0" w:color="auto"/>
            </w:tcBorders>
            <w:vAlign w:val="center"/>
          </w:tcPr>
          <w:p w:rsidR="00F61688" w:rsidRPr="00C5042C" w:rsidRDefault="00F61688" w:rsidP="00E73A7B">
            <w:pPr>
              <w:keepNext/>
              <w:jc w:val="center"/>
              <w:rPr>
                <w:rFonts w:ascii="Arial Narrow" w:hAnsi="Arial Narrow"/>
                <w:szCs w:val="22"/>
                <w:lang w:val="fr-FR"/>
              </w:rPr>
            </w:pPr>
            <w:r w:rsidRPr="00C5042C">
              <w:rPr>
                <w:rFonts w:ascii="Arial Narrow" w:hAnsi="Arial Narrow"/>
                <w:szCs w:val="22"/>
              </w:rPr>
              <w:t>Proprietary Name and Manufacturer</w:t>
            </w:r>
          </w:p>
        </w:tc>
      </w:tr>
      <w:tr w:rsidR="00F61688" w:rsidRPr="00C5042C" w:rsidTr="00E73A7B">
        <w:trPr>
          <w:cantSplit/>
          <w:trHeight w:val="567"/>
        </w:trPr>
        <w:tc>
          <w:tcPr>
            <w:tcW w:w="2115" w:type="pct"/>
            <w:tcBorders>
              <w:top w:val="single" w:sz="4" w:space="0" w:color="auto"/>
            </w:tcBorders>
            <w:vAlign w:val="center"/>
          </w:tcPr>
          <w:p w:rsidR="00F61688" w:rsidRPr="00C5042C" w:rsidRDefault="00F61688" w:rsidP="00E73A7B">
            <w:pPr>
              <w:keepNext/>
              <w:jc w:val="left"/>
              <w:rPr>
                <w:rFonts w:ascii="Arial Narrow" w:hAnsi="Arial Narrow"/>
                <w:szCs w:val="22"/>
              </w:rPr>
            </w:pPr>
            <w:r w:rsidRPr="00C5042C">
              <w:rPr>
                <w:rFonts w:ascii="Arial Narrow" w:hAnsi="Arial Narrow"/>
                <w:smallCaps/>
                <w:szCs w:val="22"/>
              </w:rPr>
              <w:t>Venetoclax</w:t>
            </w:r>
          </w:p>
          <w:p w:rsidR="00F61688" w:rsidRPr="00C5042C" w:rsidRDefault="00F61688" w:rsidP="00F4177C">
            <w:pPr>
              <w:keepNext/>
              <w:jc w:val="left"/>
              <w:rPr>
                <w:rFonts w:ascii="Arial Narrow" w:hAnsi="Arial Narrow"/>
                <w:szCs w:val="22"/>
              </w:rPr>
            </w:pPr>
            <w:r w:rsidRPr="00C5042C">
              <w:rPr>
                <w:rFonts w:ascii="Arial Narrow" w:hAnsi="Arial Narrow"/>
                <w:szCs w:val="22"/>
              </w:rPr>
              <w:t xml:space="preserve">Tablets, titration pack </w:t>
            </w:r>
            <w:r w:rsidRPr="00C5042C">
              <w:rPr>
                <w:rFonts w:ascii="Arial Narrow" w:hAnsi="Arial Narrow"/>
                <w:szCs w:val="22"/>
              </w:rPr>
              <w:br/>
              <w:t>(10</w:t>
            </w:r>
            <w:r w:rsidR="00F4177C" w:rsidRPr="00C5042C">
              <w:rPr>
                <w:rFonts w:ascii="Arial Narrow" w:hAnsi="Arial Narrow"/>
                <w:szCs w:val="22"/>
              </w:rPr>
              <w:t> </w:t>
            </w:r>
            <w:r w:rsidRPr="00C5042C">
              <w:rPr>
                <w:rFonts w:ascii="Arial Narrow" w:hAnsi="Arial Narrow"/>
                <w:szCs w:val="22"/>
              </w:rPr>
              <w:t>mg × 14, 50</w:t>
            </w:r>
            <w:r w:rsidR="00F4177C" w:rsidRPr="00C5042C">
              <w:rPr>
                <w:rFonts w:ascii="Arial Narrow" w:hAnsi="Arial Narrow"/>
                <w:szCs w:val="22"/>
              </w:rPr>
              <w:t> mg × 7, 100 </w:t>
            </w:r>
            <w:r w:rsidRPr="00C5042C">
              <w:rPr>
                <w:rFonts w:ascii="Arial Narrow" w:hAnsi="Arial Narrow"/>
                <w:szCs w:val="22"/>
              </w:rPr>
              <w:t>mg × 21)</w:t>
            </w:r>
          </w:p>
        </w:tc>
        <w:tc>
          <w:tcPr>
            <w:tcW w:w="342" w:type="pct"/>
            <w:tcBorders>
              <w:top w:val="single" w:sz="4" w:space="0" w:color="auto"/>
            </w:tcBorders>
            <w:vAlign w:val="center"/>
          </w:tcPr>
          <w:p w:rsidR="00F61688" w:rsidRPr="00C5042C" w:rsidRDefault="00F61688" w:rsidP="00E73A7B">
            <w:pPr>
              <w:keepNext/>
              <w:jc w:val="center"/>
              <w:rPr>
                <w:rFonts w:ascii="Arial Narrow" w:hAnsi="Arial Narrow"/>
                <w:szCs w:val="22"/>
              </w:rPr>
            </w:pPr>
            <w:r w:rsidRPr="00C5042C">
              <w:rPr>
                <w:rFonts w:ascii="Arial Narrow" w:hAnsi="Arial Narrow"/>
                <w:szCs w:val="22"/>
              </w:rPr>
              <w:t>1</w:t>
            </w:r>
          </w:p>
        </w:tc>
        <w:tc>
          <w:tcPr>
            <w:tcW w:w="597" w:type="pct"/>
            <w:tcBorders>
              <w:top w:val="single" w:sz="4" w:space="0" w:color="auto"/>
            </w:tcBorders>
            <w:vAlign w:val="center"/>
          </w:tcPr>
          <w:p w:rsidR="00F61688" w:rsidRPr="00C5042C" w:rsidRDefault="00F61688" w:rsidP="00E73A7B">
            <w:pPr>
              <w:keepNext/>
              <w:jc w:val="center"/>
              <w:rPr>
                <w:rFonts w:ascii="Arial Narrow" w:hAnsi="Arial Narrow"/>
                <w:szCs w:val="22"/>
              </w:rPr>
            </w:pPr>
            <w:r w:rsidRPr="00C5042C">
              <w:rPr>
                <w:rFonts w:ascii="Arial Narrow" w:hAnsi="Arial Narrow"/>
                <w:szCs w:val="22"/>
              </w:rPr>
              <w:t>0</w:t>
            </w:r>
          </w:p>
        </w:tc>
        <w:tc>
          <w:tcPr>
            <w:tcW w:w="938" w:type="pct"/>
            <w:tcBorders>
              <w:top w:val="single" w:sz="4" w:space="0" w:color="auto"/>
            </w:tcBorders>
            <w:vAlign w:val="center"/>
          </w:tcPr>
          <w:p w:rsidR="00F61688" w:rsidRPr="00C5042C" w:rsidRDefault="00F61688" w:rsidP="00E73A7B">
            <w:pPr>
              <w:keepNext/>
              <w:jc w:val="center"/>
              <w:rPr>
                <w:rFonts w:ascii="Arial Narrow" w:hAnsi="Arial Narrow"/>
                <w:szCs w:val="22"/>
              </w:rPr>
            </w:pPr>
            <w:r w:rsidRPr="00C5042C">
              <w:rPr>
                <w:rFonts w:ascii="Arial Narrow" w:hAnsi="Arial Narrow"/>
                <w:szCs w:val="22"/>
              </w:rPr>
              <w:t>$</w:t>
            </w:r>
            <w:r w:rsidR="00204548">
              <w:rPr>
                <w:rFonts w:ascii="Arial Narrow" w:hAnsi="Arial Narrow"/>
                <w:noProof/>
                <w:color w:val="000000"/>
                <w:szCs w:val="22"/>
                <w:highlight w:val="black"/>
              </w:rPr>
              <w:t>'''''''''''''''''''</w:t>
            </w:r>
            <w:r w:rsidRPr="00C5042C">
              <w:rPr>
                <w:rFonts w:ascii="Arial Narrow" w:hAnsi="Arial Narrow"/>
                <w:szCs w:val="22"/>
              </w:rPr>
              <w:t xml:space="preserve"> ($</w:t>
            </w:r>
            <w:r w:rsidR="00204548">
              <w:rPr>
                <w:rFonts w:ascii="Arial Narrow" w:hAnsi="Arial Narrow"/>
                <w:noProof/>
                <w:color w:val="000000"/>
                <w:szCs w:val="22"/>
                <w:highlight w:val="black"/>
              </w:rPr>
              <w:t>''''''''''''''''''''</w:t>
            </w:r>
            <w:r w:rsidRPr="00C5042C">
              <w:rPr>
                <w:rFonts w:ascii="Arial Narrow" w:hAnsi="Arial Narrow"/>
                <w:szCs w:val="22"/>
              </w:rPr>
              <w:t>)</w:t>
            </w:r>
          </w:p>
        </w:tc>
        <w:tc>
          <w:tcPr>
            <w:tcW w:w="1009" w:type="pct"/>
            <w:vMerge w:val="restart"/>
            <w:tcBorders>
              <w:top w:val="single" w:sz="4" w:space="0" w:color="auto"/>
            </w:tcBorders>
            <w:vAlign w:val="center"/>
          </w:tcPr>
          <w:p w:rsidR="00F61688" w:rsidRPr="00C5042C" w:rsidRDefault="00F61688" w:rsidP="00E73A7B">
            <w:pPr>
              <w:keepNext/>
              <w:jc w:val="center"/>
              <w:rPr>
                <w:rFonts w:ascii="Arial Narrow" w:hAnsi="Arial Narrow"/>
                <w:szCs w:val="22"/>
              </w:rPr>
            </w:pPr>
            <w:r w:rsidRPr="00C5042C">
              <w:rPr>
                <w:rFonts w:ascii="Arial Narrow" w:hAnsi="Arial Narrow"/>
                <w:szCs w:val="22"/>
              </w:rPr>
              <w:t>Venclexta®</w:t>
            </w:r>
          </w:p>
          <w:p w:rsidR="00F61688" w:rsidRPr="00C5042C" w:rsidRDefault="00F61688" w:rsidP="00E73A7B">
            <w:pPr>
              <w:keepNext/>
              <w:jc w:val="center"/>
              <w:rPr>
                <w:rFonts w:ascii="Arial Narrow" w:hAnsi="Arial Narrow"/>
                <w:szCs w:val="22"/>
              </w:rPr>
            </w:pPr>
            <w:r w:rsidRPr="00C5042C">
              <w:rPr>
                <w:rFonts w:ascii="Arial Narrow" w:hAnsi="Arial Narrow"/>
                <w:szCs w:val="22"/>
              </w:rPr>
              <w:t>AbbVie</w:t>
            </w:r>
          </w:p>
        </w:tc>
      </w:tr>
      <w:tr w:rsidR="00F61688" w:rsidRPr="00C5042C" w:rsidTr="00E73A7B">
        <w:trPr>
          <w:cantSplit/>
          <w:trHeight w:val="567"/>
        </w:trPr>
        <w:tc>
          <w:tcPr>
            <w:tcW w:w="2115" w:type="pct"/>
            <w:vAlign w:val="center"/>
          </w:tcPr>
          <w:p w:rsidR="00F61688" w:rsidRPr="00C5042C" w:rsidRDefault="00F61688" w:rsidP="00E73A7B">
            <w:pPr>
              <w:keepNext/>
              <w:jc w:val="left"/>
              <w:rPr>
                <w:rFonts w:ascii="Arial Narrow" w:hAnsi="Arial Narrow"/>
                <w:szCs w:val="22"/>
              </w:rPr>
            </w:pPr>
            <w:r w:rsidRPr="00C5042C">
              <w:rPr>
                <w:rFonts w:ascii="Arial Narrow" w:hAnsi="Arial Narrow"/>
                <w:szCs w:val="22"/>
              </w:rPr>
              <w:t>Tablets, 10</w:t>
            </w:r>
            <w:r w:rsidR="00F4177C" w:rsidRPr="00C5042C">
              <w:rPr>
                <w:rFonts w:ascii="Arial Narrow" w:hAnsi="Arial Narrow"/>
                <w:szCs w:val="22"/>
              </w:rPr>
              <w:t> </w:t>
            </w:r>
            <w:r w:rsidRPr="00C5042C">
              <w:rPr>
                <w:rFonts w:ascii="Arial Narrow" w:hAnsi="Arial Narrow"/>
                <w:szCs w:val="22"/>
              </w:rPr>
              <w:t>mg dose hold pack</w:t>
            </w:r>
          </w:p>
          <w:p w:rsidR="00F61688" w:rsidRPr="00C5042C" w:rsidRDefault="00F4177C" w:rsidP="00E73A7B">
            <w:pPr>
              <w:keepNext/>
              <w:jc w:val="left"/>
              <w:rPr>
                <w:rFonts w:ascii="Arial Narrow" w:hAnsi="Arial Narrow"/>
                <w:smallCaps/>
                <w:szCs w:val="22"/>
              </w:rPr>
            </w:pPr>
            <w:r w:rsidRPr="00C5042C">
              <w:rPr>
                <w:rFonts w:ascii="Arial Narrow" w:hAnsi="Arial Narrow"/>
                <w:szCs w:val="22"/>
              </w:rPr>
              <w:t>(10 </w:t>
            </w:r>
            <w:r w:rsidR="00F61688" w:rsidRPr="00C5042C">
              <w:rPr>
                <w:rFonts w:ascii="Arial Narrow" w:hAnsi="Arial Narrow"/>
                <w:szCs w:val="22"/>
              </w:rPr>
              <w:t>mg × 14)</w:t>
            </w:r>
          </w:p>
        </w:tc>
        <w:tc>
          <w:tcPr>
            <w:tcW w:w="342" w:type="pct"/>
            <w:vAlign w:val="center"/>
          </w:tcPr>
          <w:p w:rsidR="00F61688" w:rsidRPr="00C5042C" w:rsidRDefault="00F61688" w:rsidP="00E73A7B">
            <w:pPr>
              <w:keepNext/>
              <w:jc w:val="center"/>
              <w:rPr>
                <w:rFonts w:ascii="Arial Narrow" w:hAnsi="Arial Narrow"/>
                <w:szCs w:val="22"/>
              </w:rPr>
            </w:pPr>
            <w:r w:rsidRPr="00C5042C">
              <w:rPr>
                <w:rFonts w:ascii="Arial Narrow" w:hAnsi="Arial Narrow"/>
                <w:szCs w:val="22"/>
              </w:rPr>
              <w:t>1</w:t>
            </w:r>
          </w:p>
        </w:tc>
        <w:tc>
          <w:tcPr>
            <w:tcW w:w="597" w:type="pct"/>
            <w:vAlign w:val="center"/>
          </w:tcPr>
          <w:p w:rsidR="00F61688" w:rsidRPr="00C5042C" w:rsidRDefault="00F61688" w:rsidP="00E73A7B">
            <w:pPr>
              <w:keepNext/>
              <w:jc w:val="center"/>
              <w:rPr>
                <w:rFonts w:ascii="Arial Narrow" w:hAnsi="Arial Narrow"/>
                <w:szCs w:val="22"/>
              </w:rPr>
            </w:pPr>
            <w:r w:rsidRPr="00C5042C">
              <w:rPr>
                <w:rFonts w:ascii="Arial Narrow" w:hAnsi="Arial Narrow"/>
                <w:szCs w:val="22"/>
              </w:rPr>
              <w:t>0</w:t>
            </w:r>
          </w:p>
        </w:tc>
        <w:tc>
          <w:tcPr>
            <w:tcW w:w="938" w:type="pct"/>
            <w:vAlign w:val="center"/>
          </w:tcPr>
          <w:p w:rsidR="00F61688" w:rsidRPr="00C5042C" w:rsidRDefault="00F61688" w:rsidP="00E73A7B">
            <w:pPr>
              <w:keepNext/>
              <w:jc w:val="center"/>
              <w:rPr>
                <w:rFonts w:ascii="Arial Narrow" w:hAnsi="Arial Narrow"/>
                <w:szCs w:val="22"/>
              </w:rPr>
            </w:pPr>
            <w:r w:rsidRPr="00C5042C">
              <w:rPr>
                <w:rFonts w:ascii="Arial Narrow" w:hAnsi="Arial Narrow"/>
                <w:szCs w:val="22"/>
              </w:rPr>
              <w:t>$</w:t>
            </w:r>
            <w:r w:rsidR="00204548">
              <w:rPr>
                <w:rFonts w:ascii="Arial Narrow" w:hAnsi="Arial Narrow"/>
                <w:noProof/>
                <w:color w:val="000000"/>
                <w:szCs w:val="22"/>
                <w:highlight w:val="black"/>
              </w:rPr>
              <w:t>'''''''''''''''</w:t>
            </w:r>
            <w:r w:rsidRPr="00C5042C">
              <w:rPr>
                <w:rFonts w:ascii="Arial Narrow" w:hAnsi="Arial Narrow"/>
                <w:szCs w:val="22"/>
              </w:rPr>
              <w:t xml:space="preserve"> ($</w:t>
            </w:r>
            <w:r w:rsidR="00204548">
              <w:rPr>
                <w:rFonts w:ascii="Arial Narrow" w:hAnsi="Arial Narrow"/>
                <w:noProof/>
                <w:color w:val="000000"/>
                <w:szCs w:val="22"/>
                <w:highlight w:val="black"/>
              </w:rPr>
              <w:t>''''''''''''''''</w:t>
            </w:r>
            <w:r w:rsidRPr="00C5042C">
              <w:rPr>
                <w:rFonts w:ascii="Arial Narrow" w:hAnsi="Arial Narrow"/>
                <w:szCs w:val="22"/>
              </w:rPr>
              <w:t>)</w:t>
            </w:r>
          </w:p>
        </w:tc>
        <w:tc>
          <w:tcPr>
            <w:tcW w:w="1009" w:type="pct"/>
            <w:vMerge/>
            <w:vAlign w:val="center"/>
          </w:tcPr>
          <w:p w:rsidR="00F61688" w:rsidRPr="00C5042C" w:rsidRDefault="00F61688" w:rsidP="00E73A7B">
            <w:pPr>
              <w:keepNext/>
              <w:jc w:val="center"/>
              <w:rPr>
                <w:rFonts w:ascii="Arial Narrow" w:hAnsi="Arial Narrow"/>
                <w:szCs w:val="22"/>
              </w:rPr>
            </w:pPr>
          </w:p>
        </w:tc>
      </w:tr>
      <w:tr w:rsidR="00F61688" w:rsidRPr="00C5042C" w:rsidTr="00E73A7B">
        <w:trPr>
          <w:cantSplit/>
          <w:trHeight w:val="567"/>
        </w:trPr>
        <w:tc>
          <w:tcPr>
            <w:tcW w:w="2115" w:type="pct"/>
            <w:vAlign w:val="center"/>
          </w:tcPr>
          <w:p w:rsidR="00F61688" w:rsidRPr="00C5042C" w:rsidRDefault="00F61688" w:rsidP="00E73A7B">
            <w:pPr>
              <w:keepNext/>
              <w:jc w:val="left"/>
              <w:rPr>
                <w:rFonts w:ascii="Arial Narrow" w:hAnsi="Arial Narrow"/>
                <w:szCs w:val="22"/>
              </w:rPr>
            </w:pPr>
            <w:r w:rsidRPr="00C5042C">
              <w:rPr>
                <w:rFonts w:ascii="Arial Narrow" w:hAnsi="Arial Narrow"/>
                <w:szCs w:val="22"/>
              </w:rPr>
              <w:t>Tablets, 50</w:t>
            </w:r>
            <w:r w:rsidR="00F4177C" w:rsidRPr="00C5042C">
              <w:rPr>
                <w:rFonts w:ascii="Arial Narrow" w:hAnsi="Arial Narrow"/>
                <w:szCs w:val="22"/>
              </w:rPr>
              <w:t> </w:t>
            </w:r>
            <w:r w:rsidRPr="00C5042C">
              <w:rPr>
                <w:rFonts w:ascii="Arial Narrow" w:hAnsi="Arial Narrow"/>
                <w:szCs w:val="22"/>
              </w:rPr>
              <w:t>mg dose hold pack</w:t>
            </w:r>
          </w:p>
          <w:p w:rsidR="00F61688" w:rsidRPr="00C5042C" w:rsidRDefault="00F61688" w:rsidP="00F4177C">
            <w:pPr>
              <w:keepNext/>
              <w:jc w:val="left"/>
              <w:rPr>
                <w:rFonts w:ascii="Arial Narrow" w:hAnsi="Arial Narrow"/>
                <w:szCs w:val="22"/>
              </w:rPr>
            </w:pPr>
            <w:r w:rsidRPr="00C5042C">
              <w:rPr>
                <w:rFonts w:ascii="Arial Narrow" w:hAnsi="Arial Narrow"/>
                <w:szCs w:val="22"/>
              </w:rPr>
              <w:t>(50</w:t>
            </w:r>
            <w:r w:rsidR="00F4177C" w:rsidRPr="00C5042C">
              <w:rPr>
                <w:rFonts w:ascii="Arial Narrow" w:hAnsi="Arial Narrow"/>
                <w:szCs w:val="22"/>
              </w:rPr>
              <w:t> </w:t>
            </w:r>
            <w:r w:rsidRPr="00C5042C">
              <w:rPr>
                <w:rFonts w:ascii="Arial Narrow" w:hAnsi="Arial Narrow"/>
                <w:szCs w:val="22"/>
              </w:rPr>
              <w:t>mg × 7)</w:t>
            </w:r>
          </w:p>
        </w:tc>
        <w:tc>
          <w:tcPr>
            <w:tcW w:w="342" w:type="pct"/>
            <w:vAlign w:val="center"/>
          </w:tcPr>
          <w:p w:rsidR="00F61688" w:rsidRPr="00C5042C" w:rsidRDefault="00F61688" w:rsidP="00E73A7B">
            <w:pPr>
              <w:keepNext/>
              <w:jc w:val="center"/>
              <w:rPr>
                <w:rFonts w:ascii="Arial Narrow" w:hAnsi="Arial Narrow"/>
                <w:szCs w:val="22"/>
              </w:rPr>
            </w:pPr>
            <w:r w:rsidRPr="00C5042C">
              <w:rPr>
                <w:rFonts w:ascii="Arial Narrow" w:hAnsi="Arial Narrow"/>
                <w:szCs w:val="22"/>
              </w:rPr>
              <w:t>1</w:t>
            </w:r>
          </w:p>
        </w:tc>
        <w:tc>
          <w:tcPr>
            <w:tcW w:w="597" w:type="pct"/>
            <w:vAlign w:val="center"/>
          </w:tcPr>
          <w:p w:rsidR="00F61688" w:rsidRPr="00C5042C" w:rsidRDefault="00F61688" w:rsidP="00E73A7B">
            <w:pPr>
              <w:keepNext/>
              <w:jc w:val="center"/>
              <w:rPr>
                <w:rFonts w:ascii="Arial Narrow" w:hAnsi="Arial Narrow"/>
                <w:szCs w:val="22"/>
              </w:rPr>
            </w:pPr>
            <w:r w:rsidRPr="00C5042C">
              <w:rPr>
                <w:rFonts w:ascii="Arial Narrow" w:hAnsi="Arial Narrow"/>
                <w:szCs w:val="22"/>
              </w:rPr>
              <w:t>0</w:t>
            </w:r>
          </w:p>
        </w:tc>
        <w:tc>
          <w:tcPr>
            <w:tcW w:w="938" w:type="pct"/>
            <w:vAlign w:val="center"/>
          </w:tcPr>
          <w:p w:rsidR="00F61688" w:rsidRPr="00C5042C" w:rsidRDefault="00F61688" w:rsidP="00E73A7B">
            <w:pPr>
              <w:keepNext/>
              <w:jc w:val="center"/>
              <w:rPr>
                <w:rFonts w:ascii="Arial Narrow" w:hAnsi="Arial Narrow"/>
                <w:szCs w:val="22"/>
              </w:rPr>
            </w:pPr>
            <w:r w:rsidRPr="00C5042C">
              <w:rPr>
                <w:rFonts w:ascii="Arial Narrow" w:hAnsi="Arial Narrow"/>
                <w:szCs w:val="22"/>
              </w:rPr>
              <w:t>$</w:t>
            </w:r>
            <w:r w:rsidR="00204548">
              <w:rPr>
                <w:rFonts w:ascii="Arial Narrow" w:hAnsi="Arial Narrow"/>
                <w:noProof/>
                <w:color w:val="000000"/>
                <w:szCs w:val="22"/>
                <w:highlight w:val="black"/>
              </w:rPr>
              <w:t>'''''''''''''''''</w:t>
            </w:r>
            <w:r w:rsidRPr="00C5042C">
              <w:rPr>
                <w:rFonts w:ascii="Arial Narrow" w:hAnsi="Arial Narrow"/>
                <w:szCs w:val="22"/>
              </w:rPr>
              <w:t xml:space="preserve"> ($</w:t>
            </w:r>
            <w:r w:rsidR="00204548">
              <w:rPr>
                <w:rFonts w:ascii="Arial Narrow" w:hAnsi="Arial Narrow"/>
                <w:noProof/>
                <w:color w:val="000000"/>
                <w:szCs w:val="22"/>
                <w:highlight w:val="black"/>
              </w:rPr>
              <w:t>'''''''''''''''''</w:t>
            </w:r>
            <w:r w:rsidRPr="00C5042C">
              <w:rPr>
                <w:rFonts w:ascii="Arial Narrow" w:hAnsi="Arial Narrow"/>
                <w:szCs w:val="22"/>
              </w:rPr>
              <w:t>)</w:t>
            </w:r>
          </w:p>
        </w:tc>
        <w:tc>
          <w:tcPr>
            <w:tcW w:w="1009" w:type="pct"/>
            <w:vMerge/>
            <w:vAlign w:val="center"/>
          </w:tcPr>
          <w:p w:rsidR="00F61688" w:rsidRPr="00C5042C" w:rsidRDefault="00F61688" w:rsidP="00E73A7B">
            <w:pPr>
              <w:keepNext/>
              <w:jc w:val="center"/>
              <w:rPr>
                <w:rFonts w:ascii="Arial Narrow" w:hAnsi="Arial Narrow"/>
                <w:szCs w:val="22"/>
              </w:rPr>
            </w:pPr>
          </w:p>
        </w:tc>
      </w:tr>
      <w:tr w:rsidR="00F61688" w:rsidRPr="00C5042C" w:rsidTr="00E73A7B">
        <w:trPr>
          <w:cantSplit/>
          <w:trHeight w:val="567"/>
        </w:trPr>
        <w:tc>
          <w:tcPr>
            <w:tcW w:w="2115" w:type="pct"/>
            <w:vAlign w:val="center"/>
          </w:tcPr>
          <w:p w:rsidR="00F61688" w:rsidRPr="00C5042C" w:rsidRDefault="00F61688" w:rsidP="00F4177C">
            <w:pPr>
              <w:keepNext/>
              <w:jc w:val="left"/>
              <w:rPr>
                <w:rFonts w:ascii="Arial Narrow" w:hAnsi="Arial Narrow"/>
                <w:szCs w:val="22"/>
              </w:rPr>
            </w:pPr>
            <w:r w:rsidRPr="00C5042C">
              <w:rPr>
                <w:rFonts w:ascii="Arial Narrow" w:hAnsi="Arial Narrow"/>
                <w:szCs w:val="22"/>
              </w:rPr>
              <w:t xml:space="preserve">Tablets, maintenance pack </w:t>
            </w:r>
            <w:r w:rsidRPr="00C5042C">
              <w:rPr>
                <w:rFonts w:ascii="Arial Narrow" w:hAnsi="Arial Narrow"/>
                <w:szCs w:val="22"/>
              </w:rPr>
              <w:br/>
              <w:t>(100</w:t>
            </w:r>
            <w:r w:rsidR="00F4177C" w:rsidRPr="00C5042C">
              <w:rPr>
                <w:rFonts w:ascii="Arial Narrow" w:hAnsi="Arial Narrow"/>
                <w:szCs w:val="22"/>
              </w:rPr>
              <w:t> </w:t>
            </w:r>
            <w:r w:rsidRPr="00C5042C">
              <w:rPr>
                <w:rFonts w:ascii="Arial Narrow" w:hAnsi="Arial Narrow"/>
                <w:szCs w:val="22"/>
              </w:rPr>
              <w:t>mg × 120)</w:t>
            </w:r>
          </w:p>
        </w:tc>
        <w:tc>
          <w:tcPr>
            <w:tcW w:w="342" w:type="pct"/>
            <w:vAlign w:val="center"/>
          </w:tcPr>
          <w:p w:rsidR="00F61688" w:rsidRPr="00C5042C" w:rsidRDefault="00F61688" w:rsidP="00E73A7B">
            <w:pPr>
              <w:keepNext/>
              <w:jc w:val="center"/>
              <w:rPr>
                <w:rFonts w:ascii="Arial Narrow" w:hAnsi="Arial Narrow"/>
                <w:szCs w:val="22"/>
              </w:rPr>
            </w:pPr>
            <w:r w:rsidRPr="00C5042C">
              <w:rPr>
                <w:rFonts w:ascii="Arial Narrow" w:hAnsi="Arial Narrow"/>
                <w:szCs w:val="22"/>
              </w:rPr>
              <w:t>1</w:t>
            </w:r>
          </w:p>
        </w:tc>
        <w:tc>
          <w:tcPr>
            <w:tcW w:w="597" w:type="pct"/>
            <w:vAlign w:val="center"/>
          </w:tcPr>
          <w:p w:rsidR="00F61688" w:rsidRPr="00C5042C" w:rsidRDefault="00F61688" w:rsidP="00E73A7B">
            <w:pPr>
              <w:keepNext/>
              <w:jc w:val="center"/>
              <w:rPr>
                <w:rFonts w:ascii="Arial Narrow" w:hAnsi="Arial Narrow"/>
                <w:szCs w:val="22"/>
              </w:rPr>
            </w:pPr>
            <w:r w:rsidRPr="00C5042C">
              <w:rPr>
                <w:rFonts w:ascii="Arial Narrow" w:hAnsi="Arial Narrow"/>
                <w:szCs w:val="22"/>
              </w:rPr>
              <w:t>5</w:t>
            </w:r>
          </w:p>
        </w:tc>
        <w:tc>
          <w:tcPr>
            <w:tcW w:w="938" w:type="pct"/>
            <w:vAlign w:val="center"/>
          </w:tcPr>
          <w:p w:rsidR="00F61688" w:rsidRPr="00C5042C" w:rsidRDefault="00F61688" w:rsidP="00E73A7B">
            <w:pPr>
              <w:keepNext/>
              <w:jc w:val="center"/>
              <w:rPr>
                <w:rFonts w:ascii="Arial Narrow" w:hAnsi="Arial Narrow"/>
                <w:szCs w:val="22"/>
              </w:rPr>
            </w:pPr>
            <w:r w:rsidRPr="00C5042C">
              <w:rPr>
                <w:rFonts w:ascii="Arial Narrow" w:hAnsi="Arial Narrow"/>
                <w:szCs w:val="22"/>
              </w:rPr>
              <w:t>$</w:t>
            </w:r>
            <w:r w:rsidR="00204548">
              <w:rPr>
                <w:rFonts w:ascii="Arial Narrow" w:hAnsi="Arial Narrow"/>
                <w:noProof/>
                <w:color w:val="000000"/>
                <w:szCs w:val="22"/>
                <w:highlight w:val="black"/>
              </w:rPr>
              <w:t>'''''''''''''''''''</w:t>
            </w:r>
            <w:r w:rsidRPr="00C5042C">
              <w:rPr>
                <w:rFonts w:ascii="Arial Narrow" w:hAnsi="Arial Narrow"/>
                <w:szCs w:val="22"/>
              </w:rPr>
              <w:t xml:space="preserve"> ($</w:t>
            </w:r>
            <w:r w:rsidR="00204548">
              <w:rPr>
                <w:rFonts w:ascii="Arial Narrow" w:hAnsi="Arial Narrow"/>
                <w:noProof/>
                <w:color w:val="000000"/>
                <w:szCs w:val="22"/>
                <w:highlight w:val="black"/>
              </w:rPr>
              <w:t>'''''''''''''''''''</w:t>
            </w:r>
            <w:r w:rsidRPr="00C5042C">
              <w:rPr>
                <w:rFonts w:ascii="Arial Narrow" w:hAnsi="Arial Narrow"/>
                <w:szCs w:val="22"/>
              </w:rPr>
              <w:t>)</w:t>
            </w:r>
          </w:p>
        </w:tc>
        <w:tc>
          <w:tcPr>
            <w:tcW w:w="1009" w:type="pct"/>
            <w:vMerge/>
            <w:vAlign w:val="center"/>
          </w:tcPr>
          <w:p w:rsidR="00F61688" w:rsidRPr="00C5042C" w:rsidRDefault="00F61688" w:rsidP="00E73A7B">
            <w:pPr>
              <w:keepNext/>
              <w:jc w:val="center"/>
              <w:rPr>
                <w:rFonts w:ascii="Arial Narrow" w:hAnsi="Arial Narrow"/>
                <w:szCs w:val="22"/>
              </w:rPr>
            </w:pPr>
          </w:p>
        </w:tc>
      </w:tr>
      <w:tr w:rsidR="00F61688" w:rsidRPr="00C5042C" w:rsidTr="00E73A7B">
        <w:trPr>
          <w:cantSplit/>
          <w:trHeight w:val="354"/>
        </w:trPr>
        <w:tc>
          <w:tcPr>
            <w:tcW w:w="5000" w:type="pct"/>
            <w:gridSpan w:val="5"/>
            <w:vAlign w:val="center"/>
          </w:tcPr>
          <w:p w:rsidR="00F61688" w:rsidRPr="00C5042C" w:rsidRDefault="00F61688" w:rsidP="00E73A7B">
            <w:pPr>
              <w:jc w:val="left"/>
              <w:rPr>
                <w:rFonts w:ascii="Arial Narrow" w:hAnsi="Arial Narrow"/>
                <w:szCs w:val="22"/>
              </w:rPr>
            </w:pPr>
            <w:r w:rsidRPr="00C5042C">
              <w:rPr>
                <w:rFonts w:ascii="Arial Narrow" w:hAnsi="Arial Narrow"/>
                <w:b/>
                <w:szCs w:val="22"/>
                <w:u w:val="single"/>
              </w:rPr>
              <w:t>Authority Required</w:t>
            </w:r>
            <w:r w:rsidR="0024158A" w:rsidRPr="00C5042C">
              <w:rPr>
                <w:rFonts w:ascii="Arial Narrow" w:hAnsi="Arial Narrow"/>
                <w:b/>
                <w:szCs w:val="22"/>
              </w:rPr>
              <w:t xml:space="preserve"> (abbreviated)</w:t>
            </w:r>
          </w:p>
        </w:tc>
      </w:tr>
    </w:tbl>
    <w:p w:rsidR="0024158A" w:rsidRPr="00C5042C" w:rsidRDefault="00F61688" w:rsidP="00F61688">
      <w:pPr>
        <w:ind w:left="720"/>
        <w:rPr>
          <w:rFonts w:ascii="Arial Narrow" w:hAnsi="Arial Narrow"/>
          <w:szCs w:val="22"/>
        </w:rPr>
      </w:pPr>
      <w:r w:rsidRPr="00C5042C">
        <w:rPr>
          <w:rFonts w:ascii="Arial Narrow" w:hAnsi="Arial Narrow"/>
          <w:szCs w:val="22"/>
        </w:rPr>
        <w:t>Relapsed/refractory chronic lymphocytic leukaemia</w:t>
      </w:r>
      <w:r w:rsidR="0024158A" w:rsidRPr="00C5042C">
        <w:rPr>
          <w:rFonts w:ascii="Arial Narrow" w:hAnsi="Arial Narrow"/>
          <w:szCs w:val="22"/>
        </w:rPr>
        <w:t xml:space="preserve"> in</w:t>
      </w:r>
    </w:p>
    <w:p w:rsidR="0024158A" w:rsidRPr="00C5042C" w:rsidRDefault="00F61688" w:rsidP="0024158A">
      <w:pPr>
        <w:pStyle w:val="ListParagraph"/>
        <w:numPr>
          <w:ilvl w:val="0"/>
          <w:numId w:val="24"/>
        </w:numPr>
        <w:rPr>
          <w:rFonts w:ascii="Arial Narrow" w:hAnsi="Arial Narrow"/>
          <w:szCs w:val="22"/>
        </w:rPr>
      </w:pPr>
      <w:r w:rsidRPr="00C5042C">
        <w:rPr>
          <w:rFonts w:ascii="Arial Narrow" w:hAnsi="Arial Narrow"/>
          <w:szCs w:val="22"/>
        </w:rPr>
        <w:t>patients with 17p deletion AND/OR TP53 mutation</w:t>
      </w:r>
      <w:r w:rsidR="00231CEA" w:rsidRPr="00C5042C">
        <w:rPr>
          <w:rFonts w:ascii="Arial Narrow" w:hAnsi="Arial Narrow"/>
          <w:szCs w:val="22"/>
        </w:rPr>
        <w:t xml:space="preserve"> OR</w:t>
      </w:r>
    </w:p>
    <w:p w:rsidR="00F61688" w:rsidRPr="00C5042C" w:rsidRDefault="00F61688" w:rsidP="0024158A">
      <w:pPr>
        <w:pStyle w:val="ListParagraph"/>
        <w:numPr>
          <w:ilvl w:val="0"/>
          <w:numId w:val="24"/>
        </w:numPr>
        <w:rPr>
          <w:rFonts w:ascii="Arial Narrow" w:hAnsi="Arial Narrow"/>
          <w:szCs w:val="22"/>
        </w:rPr>
      </w:pPr>
      <w:r w:rsidRPr="00C5042C">
        <w:rPr>
          <w:rFonts w:ascii="Arial Narrow" w:hAnsi="Arial Narrow"/>
          <w:szCs w:val="22"/>
        </w:rPr>
        <w:t>patients with highly refractory disease (refractory to fludarabine-based regimens OR intolerant/inadequate response to B-cell receptor signal inhibitors OR received at least two prior lines of therapy (unless contraindicated)</w:t>
      </w:r>
      <w:r w:rsidR="0024158A" w:rsidRPr="00C5042C">
        <w:rPr>
          <w:rFonts w:ascii="Arial Narrow" w:hAnsi="Arial Narrow"/>
          <w:szCs w:val="22"/>
        </w:rPr>
        <w:t>,</w:t>
      </w:r>
      <w:r w:rsidRPr="00C5042C">
        <w:rPr>
          <w:rFonts w:ascii="Arial Narrow" w:hAnsi="Arial Narrow"/>
          <w:szCs w:val="22"/>
        </w:rPr>
        <w:t xml:space="preserve"> including at least one line of chemoimmunotherapy).</w:t>
      </w:r>
    </w:p>
    <w:p w:rsidR="00F61688" w:rsidRPr="007C609A" w:rsidRDefault="00F61688" w:rsidP="00F61688"/>
    <w:p w:rsidR="00F61688" w:rsidRPr="00200930" w:rsidRDefault="00276D21" w:rsidP="001011FE">
      <w:pPr>
        <w:pStyle w:val="ListParagraph"/>
        <w:widowControl/>
        <w:numPr>
          <w:ilvl w:val="1"/>
          <w:numId w:val="3"/>
        </w:numPr>
        <w:rPr>
          <w:szCs w:val="22"/>
        </w:rPr>
      </w:pPr>
      <w:r w:rsidRPr="00200930">
        <w:t>The evidence provided to support the listing of v</w:t>
      </w:r>
      <w:r w:rsidR="00C806A4" w:rsidRPr="00200930">
        <w:t xml:space="preserve">enetoclax </w:t>
      </w:r>
      <w:r w:rsidRPr="00200930">
        <w:t xml:space="preserve">was limited to its use as </w:t>
      </w:r>
      <w:r w:rsidR="00C806A4" w:rsidRPr="00200930">
        <w:t>monotherapy. It may be appropriate to specify this in the restriction</w:t>
      </w:r>
      <w:r w:rsidR="00124351" w:rsidRPr="00200930">
        <w:t xml:space="preserve"> because</w:t>
      </w:r>
      <w:r w:rsidR="00C806A4" w:rsidRPr="00200930">
        <w:t xml:space="preserve">, although not </w:t>
      </w:r>
      <w:r w:rsidR="00F61688" w:rsidRPr="00200930">
        <w:rPr>
          <w:szCs w:val="22"/>
        </w:rPr>
        <w:t>explicitly requested in the submission</w:t>
      </w:r>
      <w:r w:rsidR="00124351" w:rsidRPr="00200930">
        <w:rPr>
          <w:szCs w:val="22"/>
        </w:rPr>
        <w:t>,</w:t>
      </w:r>
      <w:r w:rsidR="00F61688" w:rsidRPr="00200930">
        <w:rPr>
          <w:szCs w:val="22"/>
        </w:rPr>
        <w:t xml:space="preserve"> the proposed listing would allow the use of venetoclax in combination with other therapies (e.g. rituximab)</w:t>
      </w:r>
      <w:r w:rsidR="00231CEA">
        <w:rPr>
          <w:szCs w:val="22"/>
        </w:rPr>
        <w:t xml:space="preserve"> and there is an ongoing trial involving venetoclax in combination with rituximab</w:t>
      </w:r>
      <w:r w:rsidR="00F61688" w:rsidRPr="00200930">
        <w:rPr>
          <w:szCs w:val="22"/>
        </w:rPr>
        <w:t>.</w:t>
      </w:r>
    </w:p>
    <w:p w:rsidR="00F61688" w:rsidRPr="00200930" w:rsidRDefault="00F61688" w:rsidP="00F61688">
      <w:pPr>
        <w:widowControl/>
        <w:rPr>
          <w:szCs w:val="22"/>
        </w:rPr>
      </w:pPr>
    </w:p>
    <w:p w:rsidR="00F61688" w:rsidRPr="00200930" w:rsidRDefault="00F61688" w:rsidP="001011FE">
      <w:pPr>
        <w:pStyle w:val="ListParagraph"/>
        <w:widowControl/>
        <w:numPr>
          <w:ilvl w:val="1"/>
          <w:numId w:val="3"/>
        </w:numPr>
        <w:rPr>
          <w:szCs w:val="22"/>
        </w:rPr>
      </w:pPr>
      <w:r w:rsidRPr="00200930">
        <w:rPr>
          <w:szCs w:val="22"/>
        </w:rPr>
        <w:t>The submission acknowledged that there were limited data to support the use of venetoclax in the subgroup of patients with TP53 mutation only (i.e. in</w:t>
      </w:r>
      <w:r w:rsidR="00124351" w:rsidRPr="00200930">
        <w:rPr>
          <w:szCs w:val="22"/>
        </w:rPr>
        <w:t xml:space="preserve"> the absence of 17p deletion).</w:t>
      </w:r>
      <w:r w:rsidR="00837FBF" w:rsidRPr="00200930">
        <w:rPr>
          <w:szCs w:val="22"/>
        </w:rPr>
        <w:t xml:space="preserve"> The ESC noted that</w:t>
      </w:r>
      <w:r w:rsidR="009205D5" w:rsidRPr="00200930">
        <w:rPr>
          <w:szCs w:val="22"/>
        </w:rPr>
        <w:t>, in the August 2016 addendum to the July 2016 PSD for idelalisib, PBAC had recommended priority be given to listing with reference to the 17p deletion over the TP53 mutation, with the latter recommended to be added for patients testing negative for the 17p deletion when it subsequently becomes available through the Medicare Benefits Schedule.</w:t>
      </w:r>
    </w:p>
    <w:p w:rsidR="00F61688" w:rsidRPr="00200930" w:rsidRDefault="00F61688" w:rsidP="00F61688">
      <w:pPr>
        <w:widowControl/>
        <w:rPr>
          <w:szCs w:val="22"/>
        </w:rPr>
      </w:pPr>
    </w:p>
    <w:p w:rsidR="00F61688" w:rsidRPr="00200930" w:rsidRDefault="00F61688" w:rsidP="001011FE">
      <w:pPr>
        <w:pStyle w:val="ListParagraph"/>
        <w:widowControl/>
        <w:numPr>
          <w:ilvl w:val="1"/>
          <w:numId w:val="3"/>
        </w:numPr>
        <w:rPr>
          <w:szCs w:val="22"/>
        </w:rPr>
      </w:pPr>
      <w:r w:rsidRPr="00200930">
        <w:rPr>
          <w:szCs w:val="22"/>
        </w:rPr>
        <w:lastRenderedPageBreak/>
        <w:t xml:space="preserve">The proposed PBS restriction for </w:t>
      </w:r>
      <w:r w:rsidR="001152B6" w:rsidRPr="00200930">
        <w:rPr>
          <w:szCs w:val="22"/>
        </w:rPr>
        <w:t>“</w:t>
      </w:r>
      <w:r w:rsidRPr="00200930">
        <w:rPr>
          <w:szCs w:val="22"/>
        </w:rPr>
        <w:t>highly refractory</w:t>
      </w:r>
      <w:r w:rsidR="001152B6" w:rsidRPr="00200930">
        <w:rPr>
          <w:szCs w:val="22"/>
        </w:rPr>
        <w:t>”</w:t>
      </w:r>
      <w:r w:rsidRPr="00200930">
        <w:rPr>
          <w:szCs w:val="22"/>
        </w:rPr>
        <w:t xml:space="preserve"> disease was intended to identify a patient population with no other suitable treatment options. However, the current wording would potentially allow venetoclax treatment as a second-line rather than last-line option in many patients with relapsed/refractory CLL.</w:t>
      </w:r>
      <w:r w:rsidR="00A61682" w:rsidRPr="00200930">
        <w:rPr>
          <w:szCs w:val="22"/>
        </w:rPr>
        <w:t xml:space="preserve"> The ESC noted that the incurable nature of CLL meant </w:t>
      </w:r>
      <w:r w:rsidR="009205D5" w:rsidRPr="00200930">
        <w:rPr>
          <w:szCs w:val="22"/>
        </w:rPr>
        <w:t xml:space="preserve">that </w:t>
      </w:r>
      <w:r w:rsidR="00A61682" w:rsidRPr="00200930">
        <w:rPr>
          <w:szCs w:val="22"/>
        </w:rPr>
        <w:t>patients were likely to cycle through all available treatments.</w:t>
      </w:r>
    </w:p>
    <w:p w:rsidR="00F61688" w:rsidRPr="00200930" w:rsidRDefault="00F61688" w:rsidP="00F61688">
      <w:pPr>
        <w:widowControl/>
        <w:rPr>
          <w:szCs w:val="22"/>
        </w:rPr>
      </w:pPr>
    </w:p>
    <w:p w:rsidR="00F61688" w:rsidRPr="00200930" w:rsidRDefault="00F61688" w:rsidP="00C77889">
      <w:pPr>
        <w:pStyle w:val="ListParagraph"/>
        <w:widowControl/>
        <w:numPr>
          <w:ilvl w:val="1"/>
          <w:numId w:val="3"/>
        </w:numPr>
        <w:rPr>
          <w:szCs w:val="22"/>
        </w:rPr>
      </w:pPr>
      <w:r w:rsidRPr="00200930">
        <w:rPr>
          <w:szCs w:val="22"/>
        </w:rPr>
        <w:t>Listing was requested on a cost-effectiveness basis compared to ofatumumab monotherapy (in patients with 17p deletion/TP53 mutation) and rituximab monotherapy (in patients with highly refractory disease).</w:t>
      </w:r>
      <w:r w:rsidR="00A61682" w:rsidRPr="00200930">
        <w:rPr>
          <w:szCs w:val="22"/>
        </w:rPr>
        <w:t xml:space="preserve"> Given the differences between the</w:t>
      </w:r>
      <w:r w:rsidR="004C24EA">
        <w:rPr>
          <w:szCs w:val="22"/>
        </w:rPr>
        <w:t xml:space="preserve"> PBS</w:t>
      </w:r>
      <w:r w:rsidR="00A61682" w:rsidRPr="00200930">
        <w:rPr>
          <w:szCs w:val="22"/>
        </w:rPr>
        <w:t xml:space="preserve"> </w:t>
      </w:r>
      <w:r w:rsidR="009205D5" w:rsidRPr="00200930">
        <w:rPr>
          <w:szCs w:val="22"/>
        </w:rPr>
        <w:t xml:space="preserve">listed </w:t>
      </w:r>
      <w:r w:rsidR="00A61682" w:rsidRPr="00200930">
        <w:rPr>
          <w:szCs w:val="22"/>
        </w:rPr>
        <w:t>ofatumumab population and the proposed venetoclax population the comparison against ofatumumab was not considered relevant (see comparator section, below).</w:t>
      </w:r>
      <w:r w:rsidR="00C77889">
        <w:rPr>
          <w:szCs w:val="22"/>
        </w:rPr>
        <w:t xml:space="preserve"> </w:t>
      </w:r>
    </w:p>
    <w:p w:rsidR="00F22D54" w:rsidRDefault="00F22D54">
      <w:pPr>
        <w:widowControl/>
        <w:jc w:val="left"/>
      </w:pPr>
    </w:p>
    <w:p w:rsidR="00360E88" w:rsidRPr="0005234D" w:rsidRDefault="00360E88" w:rsidP="00360E88">
      <w:pPr>
        <w:ind w:firstLine="720"/>
        <w:rPr>
          <w:bCs/>
          <w:szCs w:val="22"/>
        </w:rPr>
      </w:pPr>
      <w:r w:rsidRPr="00C77889">
        <w:rPr>
          <w:bCs/>
          <w:i/>
          <w:szCs w:val="22"/>
        </w:rPr>
        <w:t>For more detail on PBAC’s view, see section 7 “PBAC outcome”</w:t>
      </w:r>
      <w:r w:rsidR="00231CEA">
        <w:rPr>
          <w:bCs/>
          <w:i/>
          <w:szCs w:val="22"/>
        </w:rPr>
        <w:t>.</w:t>
      </w:r>
    </w:p>
    <w:p w:rsidR="00F61688" w:rsidRDefault="00F61688" w:rsidP="00F61688"/>
    <w:p w:rsidR="00C5042C" w:rsidRPr="00882085" w:rsidRDefault="00C5042C" w:rsidP="00F61688"/>
    <w:p w:rsidR="00F61688" w:rsidRPr="00407F2D" w:rsidRDefault="00F61688" w:rsidP="00F61688">
      <w:pPr>
        <w:pStyle w:val="PBACHeading1"/>
      </w:pPr>
      <w:bookmarkStart w:id="7" w:name="_Toc392858191"/>
      <w:bookmarkStart w:id="8" w:name="_Toc472494394"/>
      <w:r w:rsidRPr="00407F2D">
        <w:t>Background</w:t>
      </w:r>
      <w:bookmarkEnd w:id="7"/>
      <w:bookmarkEnd w:id="8"/>
    </w:p>
    <w:p w:rsidR="00F61688" w:rsidRPr="00882085" w:rsidRDefault="00F61688" w:rsidP="00F61688">
      <w:pPr>
        <w:rPr>
          <w:szCs w:val="22"/>
        </w:rPr>
      </w:pPr>
    </w:p>
    <w:p w:rsidR="00A81535" w:rsidRPr="00A61682" w:rsidRDefault="00F61688" w:rsidP="00A61682">
      <w:pPr>
        <w:pStyle w:val="ListParagraph"/>
        <w:widowControl/>
        <w:numPr>
          <w:ilvl w:val="1"/>
          <w:numId w:val="3"/>
        </w:numPr>
      </w:pPr>
      <w:r w:rsidRPr="00A61682">
        <w:t xml:space="preserve">The submission was made under the TGA/PBAC Parallel Process. </w:t>
      </w:r>
      <w:r w:rsidR="00A81535" w:rsidRPr="00A61682">
        <w:t>The clinical evaluation report and delegate’s overview were a</w:t>
      </w:r>
      <w:r w:rsidR="00231CEA">
        <w:t>vailable during the evaluation.</w:t>
      </w:r>
    </w:p>
    <w:p w:rsidR="00A81535" w:rsidRPr="00231CEA" w:rsidRDefault="00A81535" w:rsidP="00A81535">
      <w:pPr>
        <w:widowControl/>
        <w:rPr>
          <w:bCs/>
          <w:szCs w:val="22"/>
        </w:rPr>
      </w:pPr>
    </w:p>
    <w:p w:rsidR="00A61682" w:rsidRDefault="00A81535" w:rsidP="00F07E56">
      <w:pPr>
        <w:pStyle w:val="ListParagraph"/>
        <w:widowControl/>
        <w:numPr>
          <w:ilvl w:val="1"/>
          <w:numId w:val="3"/>
        </w:numPr>
      </w:pPr>
      <w:r w:rsidRPr="00A61682">
        <w:t>Venetoclax was registered on the ARTG on 5 January 2017 for:</w:t>
      </w:r>
    </w:p>
    <w:p w:rsidR="00A61682" w:rsidRPr="0083720A" w:rsidRDefault="00A61682" w:rsidP="00F07E56">
      <w:pPr>
        <w:widowControl/>
        <w:numPr>
          <w:ilvl w:val="0"/>
          <w:numId w:val="28"/>
        </w:numPr>
        <w:ind w:left="1418" w:hanging="284"/>
        <w:contextualSpacing/>
        <w:jc w:val="left"/>
      </w:pPr>
      <w:r w:rsidRPr="0083720A">
        <w:t>patients with relapsed or refractory chronic lymphocytic leukaemia (CLL) with 17p deletion, or</w:t>
      </w:r>
    </w:p>
    <w:p w:rsidR="00A61682" w:rsidRPr="0083720A" w:rsidRDefault="00A61682" w:rsidP="00F07E56">
      <w:pPr>
        <w:widowControl/>
        <w:numPr>
          <w:ilvl w:val="0"/>
          <w:numId w:val="28"/>
        </w:numPr>
        <w:ind w:left="1418" w:hanging="284"/>
        <w:contextualSpacing/>
        <w:jc w:val="left"/>
      </w:pPr>
      <w:r w:rsidRPr="0083720A">
        <w:t>patients with relapsed or refractory CLL for whom there are no other suitable treatment options.</w:t>
      </w:r>
    </w:p>
    <w:p w:rsidR="00F07E56" w:rsidRDefault="00F07E56" w:rsidP="00F07E56">
      <w:pPr>
        <w:widowControl/>
      </w:pPr>
    </w:p>
    <w:p w:rsidR="00F61688" w:rsidRPr="00A61682" w:rsidRDefault="00F61688" w:rsidP="00F07E56">
      <w:pPr>
        <w:pStyle w:val="ListParagraph"/>
        <w:widowControl/>
        <w:numPr>
          <w:ilvl w:val="1"/>
          <w:numId w:val="3"/>
        </w:numPr>
      </w:pPr>
      <w:r w:rsidRPr="00A61682">
        <w:t xml:space="preserve">The </w:t>
      </w:r>
      <w:r w:rsidR="00A81535" w:rsidRPr="00A61682">
        <w:t>approve</w:t>
      </w:r>
      <w:r w:rsidRPr="00A61682">
        <w:t xml:space="preserve">d TGA indication notes </w:t>
      </w:r>
      <w:r w:rsidR="00A61682">
        <w:t>“</w:t>
      </w:r>
      <w:r w:rsidRPr="00A61682">
        <w:t>the indications are based on overall response rates. Duration of response and improvements in overall survival, progression-free survival or health-related quality of life have not been established</w:t>
      </w:r>
      <w:r w:rsidR="00CE2DEA">
        <w:t>”</w:t>
      </w:r>
      <w:r w:rsidR="009205D5">
        <w:t>.</w:t>
      </w:r>
    </w:p>
    <w:p w:rsidR="00F61688" w:rsidRPr="00A61682" w:rsidRDefault="00F61688" w:rsidP="00F61688">
      <w:pPr>
        <w:rPr>
          <w:szCs w:val="22"/>
        </w:rPr>
      </w:pPr>
    </w:p>
    <w:p w:rsidR="00F61688" w:rsidRPr="00A61682" w:rsidRDefault="00F61688" w:rsidP="001011FE">
      <w:pPr>
        <w:pStyle w:val="ListParagraph"/>
        <w:numPr>
          <w:ilvl w:val="1"/>
          <w:numId w:val="3"/>
        </w:numPr>
        <w:rPr>
          <w:szCs w:val="22"/>
        </w:rPr>
      </w:pPr>
      <w:r w:rsidRPr="00A61682">
        <w:rPr>
          <w:szCs w:val="22"/>
        </w:rPr>
        <w:t>The PBAC has not previously considered venetoclax.</w:t>
      </w:r>
    </w:p>
    <w:p w:rsidR="00F61688" w:rsidRPr="00A61682" w:rsidRDefault="00F61688" w:rsidP="00F61688">
      <w:pPr>
        <w:rPr>
          <w:szCs w:val="22"/>
        </w:rPr>
      </w:pPr>
    </w:p>
    <w:p w:rsidR="00F61688" w:rsidRPr="00A61682" w:rsidRDefault="00F61688" w:rsidP="001011FE">
      <w:pPr>
        <w:pStyle w:val="ListParagraph"/>
        <w:numPr>
          <w:ilvl w:val="1"/>
          <w:numId w:val="3"/>
        </w:numPr>
        <w:rPr>
          <w:szCs w:val="22"/>
        </w:rPr>
      </w:pPr>
      <w:r w:rsidRPr="00A61682">
        <w:rPr>
          <w:szCs w:val="22"/>
        </w:rPr>
        <w:t>The sponsor has lodged a submission for consideration by MSAC under the streamlined co-dependent assessment pathway requesting MBS coverage of 17p deletion and TP53 mutation testing.</w:t>
      </w:r>
    </w:p>
    <w:p w:rsidR="00360E88" w:rsidRDefault="00360E88" w:rsidP="00F61688"/>
    <w:p w:rsidR="00F61688" w:rsidRPr="00882085" w:rsidRDefault="00F61688" w:rsidP="006E3608">
      <w:pPr>
        <w:widowControl/>
        <w:jc w:val="left"/>
      </w:pPr>
    </w:p>
    <w:p w:rsidR="00F61688" w:rsidRPr="00407F2D" w:rsidRDefault="00F61688" w:rsidP="00F61688">
      <w:pPr>
        <w:pStyle w:val="PBACHeading1"/>
      </w:pPr>
      <w:bookmarkStart w:id="9" w:name="_Toc392858192"/>
      <w:bookmarkStart w:id="10" w:name="_Toc472494395"/>
      <w:r w:rsidRPr="00407F2D">
        <w:t>Clinical place for the proposed therapy</w:t>
      </w:r>
      <w:bookmarkEnd w:id="9"/>
      <w:bookmarkEnd w:id="10"/>
    </w:p>
    <w:p w:rsidR="00F61688" w:rsidRPr="00504EF8" w:rsidRDefault="00F61688" w:rsidP="00F61688">
      <w:pPr>
        <w:rPr>
          <w:szCs w:val="22"/>
        </w:rPr>
      </w:pPr>
    </w:p>
    <w:p w:rsidR="00F61688" w:rsidRPr="00DD1DEA" w:rsidRDefault="00F61688" w:rsidP="001011FE">
      <w:pPr>
        <w:pStyle w:val="ListParagraph"/>
        <w:widowControl/>
        <w:numPr>
          <w:ilvl w:val="1"/>
          <w:numId w:val="3"/>
        </w:numPr>
        <w:rPr>
          <w:szCs w:val="22"/>
        </w:rPr>
      </w:pPr>
      <w:r w:rsidRPr="00504EF8">
        <w:rPr>
          <w:szCs w:val="22"/>
        </w:rPr>
        <w:t xml:space="preserve">Chronic lymphocytic leukaemia (CLL) is the most common form of leukaemia and is </w:t>
      </w:r>
      <w:r w:rsidRPr="00504EF8">
        <w:t>characteri</w:t>
      </w:r>
      <w:r>
        <w:t>s</w:t>
      </w:r>
      <w:r w:rsidRPr="00504EF8">
        <w:t xml:space="preserve">ed by the proliferation and accumulation of B-lymphocytes in the blood, bone marrow, lymph nodes, and spleen. Typical symptoms associated with CLL include swollen lymph nodes, pain, anaemia, infections, increased or unexplained bleeding/bruising, excessive nocturnal sweating and unintentional weight loss. </w:t>
      </w:r>
      <w:r w:rsidRPr="00DD1DEA">
        <w:t>Chronic lymphocytic leukaemia is generally a slowly progressing cancer with many patients managed with watchful waiting until symptoms develop. Treatment is typically non-curative with patients potentially receiving multiple lines of therapy as their disease becomes relapsed/refractory to their current treatment. Advanced CLL is associated with an increased risk of premature death.</w:t>
      </w:r>
    </w:p>
    <w:p w:rsidR="00F61688" w:rsidRPr="00DD1DEA" w:rsidRDefault="00F61688" w:rsidP="00F61688">
      <w:pPr>
        <w:widowControl/>
        <w:rPr>
          <w:szCs w:val="22"/>
        </w:rPr>
      </w:pPr>
    </w:p>
    <w:p w:rsidR="00F61688" w:rsidRPr="00DD1DEA" w:rsidRDefault="00F61688" w:rsidP="00124351">
      <w:pPr>
        <w:pStyle w:val="ListParagraph"/>
        <w:widowControl/>
        <w:numPr>
          <w:ilvl w:val="1"/>
          <w:numId w:val="3"/>
        </w:numPr>
        <w:rPr>
          <w:szCs w:val="22"/>
        </w:rPr>
      </w:pPr>
      <w:r w:rsidRPr="00DD1DEA">
        <w:rPr>
          <w:szCs w:val="22"/>
        </w:rPr>
        <w:t>The presence of a 17p deletion or TP53 mutation is associated with increased resistance to fludarabine-based therapies (typically used in first-line treatment regimens). Genetic markers are assessed at multiple time points over the disease course as mutation status may change over time (and exposure to active therapies) due to clonal evolution.</w:t>
      </w:r>
    </w:p>
    <w:p w:rsidR="00F61688" w:rsidRPr="00DD1DEA" w:rsidRDefault="00F61688" w:rsidP="00F61688">
      <w:pPr>
        <w:widowControl/>
        <w:rPr>
          <w:szCs w:val="22"/>
        </w:rPr>
      </w:pPr>
    </w:p>
    <w:p w:rsidR="00F61688" w:rsidRDefault="00F61688" w:rsidP="00F61688">
      <w:pPr>
        <w:pStyle w:val="ListParagraph"/>
        <w:numPr>
          <w:ilvl w:val="1"/>
          <w:numId w:val="3"/>
        </w:numPr>
        <w:rPr>
          <w:szCs w:val="22"/>
        </w:rPr>
      </w:pPr>
      <w:r w:rsidRPr="00DD1DEA">
        <w:rPr>
          <w:szCs w:val="22"/>
        </w:rPr>
        <w:t>The submission positioned venetoclax as a second-line treatment option in patients with relapsed/refractory CLL who have a 17p deletion or TP53 mutation.</w:t>
      </w:r>
      <w:r w:rsidR="00124351" w:rsidRPr="00DD1DEA">
        <w:rPr>
          <w:szCs w:val="22"/>
        </w:rPr>
        <w:t xml:space="preserve"> T</w:t>
      </w:r>
      <w:r w:rsidRPr="00DD1DEA">
        <w:rPr>
          <w:szCs w:val="22"/>
        </w:rPr>
        <w:t xml:space="preserve">he submission </w:t>
      </w:r>
      <w:r w:rsidR="00124351" w:rsidRPr="00DD1DEA">
        <w:rPr>
          <w:szCs w:val="22"/>
        </w:rPr>
        <w:t xml:space="preserve">also </w:t>
      </w:r>
      <w:r w:rsidRPr="00DD1DEA">
        <w:rPr>
          <w:szCs w:val="22"/>
        </w:rPr>
        <w:t>positioned venetoclax as a third-line treatment option in patients with relapsed/refractory CLL without a 17p deletion or TP53 mutation. The submission noted that the intended place for venetoclax in this population is for patients with no other suitable treatment options.</w:t>
      </w:r>
    </w:p>
    <w:p w:rsidR="00C77889" w:rsidRPr="00231CEA" w:rsidRDefault="00C77889" w:rsidP="00C77889">
      <w:pPr>
        <w:rPr>
          <w:szCs w:val="22"/>
        </w:rPr>
      </w:pPr>
    </w:p>
    <w:p w:rsidR="00C77889" w:rsidRPr="00DD1DEA" w:rsidRDefault="00C77889" w:rsidP="00F61688">
      <w:pPr>
        <w:pStyle w:val="ListParagraph"/>
        <w:numPr>
          <w:ilvl w:val="1"/>
          <w:numId w:val="3"/>
        </w:numPr>
        <w:rPr>
          <w:szCs w:val="22"/>
        </w:rPr>
      </w:pPr>
      <w:r>
        <w:rPr>
          <w:szCs w:val="22"/>
        </w:rPr>
        <w:t>The PBAC considered that uncertainty remained around the likely place of venetoclax in clinical practice, specifically with regard to the possibility of its use as combination therapy</w:t>
      </w:r>
      <w:r w:rsidR="000B358A">
        <w:rPr>
          <w:szCs w:val="22"/>
        </w:rPr>
        <w:t>,</w:t>
      </w:r>
      <w:r>
        <w:rPr>
          <w:szCs w:val="22"/>
        </w:rPr>
        <w:t xml:space="preserve"> </w:t>
      </w:r>
      <w:r w:rsidR="00780254">
        <w:rPr>
          <w:szCs w:val="22"/>
        </w:rPr>
        <w:t xml:space="preserve">whether it would be used in an earlier line of therapy than the </w:t>
      </w:r>
      <w:r w:rsidR="00231CEA">
        <w:rPr>
          <w:szCs w:val="22"/>
        </w:rPr>
        <w:t xml:space="preserve">third </w:t>
      </w:r>
      <w:r w:rsidR="00780254">
        <w:rPr>
          <w:szCs w:val="22"/>
        </w:rPr>
        <w:t xml:space="preserve">line </w:t>
      </w:r>
      <w:r w:rsidR="000B358A">
        <w:rPr>
          <w:szCs w:val="22"/>
        </w:rPr>
        <w:t xml:space="preserve">for relapsed/refractory CLL </w:t>
      </w:r>
      <w:r w:rsidR="00780254">
        <w:rPr>
          <w:szCs w:val="22"/>
        </w:rPr>
        <w:t>proposed in the submission</w:t>
      </w:r>
      <w:r w:rsidR="00F86AB3">
        <w:rPr>
          <w:szCs w:val="22"/>
        </w:rPr>
        <w:t xml:space="preserve">, and the relative place in comparison to </w:t>
      </w:r>
      <w:r w:rsidR="00F86AB3" w:rsidRPr="00C77889">
        <w:rPr>
          <w:szCs w:val="22"/>
        </w:rPr>
        <w:t>ibrutinib and idelalisib</w:t>
      </w:r>
      <w:r w:rsidR="00F86AB3">
        <w:rPr>
          <w:szCs w:val="22"/>
        </w:rPr>
        <w:t xml:space="preserve"> if they were </w:t>
      </w:r>
      <w:r w:rsidR="00B5069D">
        <w:rPr>
          <w:szCs w:val="22"/>
        </w:rPr>
        <w:t>listed on the PBS</w:t>
      </w:r>
      <w:r w:rsidR="00780254">
        <w:rPr>
          <w:szCs w:val="22"/>
        </w:rPr>
        <w:t>.</w:t>
      </w:r>
    </w:p>
    <w:p w:rsidR="00F61688" w:rsidRDefault="00F61688" w:rsidP="00F61688">
      <w:pPr>
        <w:pStyle w:val="Header"/>
        <w:rPr>
          <w:szCs w:val="22"/>
        </w:rPr>
      </w:pPr>
    </w:p>
    <w:p w:rsidR="00360E88" w:rsidRPr="0005234D" w:rsidRDefault="00360E88" w:rsidP="00360E88">
      <w:pPr>
        <w:ind w:firstLine="720"/>
        <w:rPr>
          <w:bCs/>
          <w:szCs w:val="22"/>
        </w:rPr>
      </w:pPr>
      <w:r w:rsidRPr="00780254">
        <w:rPr>
          <w:bCs/>
          <w:i/>
          <w:szCs w:val="22"/>
        </w:rPr>
        <w:t>For more detail on PBAC’s view, see section 7 “PBAC outcome”</w:t>
      </w:r>
      <w:r w:rsidR="00231CEA">
        <w:rPr>
          <w:bCs/>
          <w:i/>
          <w:szCs w:val="22"/>
        </w:rPr>
        <w:t>.</w:t>
      </w:r>
    </w:p>
    <w:p w:rsidR="00F61688" w:rsidRDefault="00F61688" w:rsidP="00F61688">
      <w:pPr>
        <w:pStyle w:val="Header"/>
        <w:rPr>
          <w:szCs w:val="22"/>
        </w:rPr>
      </w:pPr>
    </w:p>
    <w:p w:rsidR="006E3608" w:rsidRPr="00882085" w:rsidRDefault="006E3608" w:rsidP="00F61688">
      <w:pPr>
        <w:pStyle w:val="Header"/>
        <w:rPr>
          <w:szCs w:val="22"/>
        </w:rPr>
      </w:pPr>
    </w:p>
    <w:p w:rsidR="00F61688" w:rsidRPr="00E0634A" w:rsidRDefault="00F61688" w:rsidP="00E0634A">
      <w:pPr>
        <w:pStyle w:val="PBACHeading1"/>
      </w:pPr>
      <w:bookmarkStart w:id="11" w:name="_Toc472494396"/>
      <w:r w:rsidRPr="00E0634A">
        <w:t>Comparator</w:t>
      </w:r>
      <w:bookmarkEnd w:id="11"/>
    </w:p>
    <w:p w:rsidR="00F61688" w:rsidRPr="00882085" w:rsidRDefault="00F61688" w:rsidP="00F61688"/>
    <w:p w:rsidR="00CE2DEA" w:rsidRPr="00200930" w:rsidRDefault="00F61688" w:rsidP="00966647">
      <w:pPr>
        <w:pStyle w:val="ListParagraph"/>
        <w:widowControl/>
        <w:numPr>
          <w:ilvl w:val="1"/>
          <w:numId w:val="3"/>
        </w:numPr>
        <w:rPr>
          <w:szCs w:val="22"/>
        </w:rPr>
      </w:pPr>
      <w:r w:rsidRPr="00200930">
        <w:t>The submission nominated ofatumumab monotherapy as the main comparator in patients with 17p deletion/TP53 mutation. This was not an appropriate comparator as ofatumumab is only PBS-listed for first</w:t>
      </w:r>
      <w:r w:rsidR="00551AD2" w:rsidRPr="00200930">
        <w:t>-</w:t>
      </w:r>
      <w:r w:rsidRPr="00200930">
        <w:t>line therapy in combination with chlorambucil (i.e. there is no overlap between the current PBS restriction of ofatumumab and the propos</w:t>
      </w:r>
      <w:r w:rsidR="00231CEA">
        <w:t>ed PBS listing for venetoclax).</w:t>
      </w:r>
    </w:p>
    <w:p w:rsidR="00CE2DEA" w:rsidRPr="00200930" w:rsidRDefault="00CE2DEA" w:rsidP="00CE2DEA">
      <w:pPr>
        <w:widowControl/>
      </w:pPr>
    </w:p>
    <w:p w:rsidR="00F61688" w:rsidRDefault="00CE2DEA" w:rsidP="00231CEA">
      <w:pPr>
        <w:pStyle w:val="ListParagraph"/>
        <w:widowControl/>
        <w:numPr>
          <w:ilvl w:val="1"/>
          <w:numId w:val="3"/>
        </w:numPr>
      </w:pPr>
      <w:r w:rsidRPr="00200930">
        <w:t>The ESC considered that the most relevant comparators to inform the cost effectiveness of venetoclax in the requested PBS population were idelalisib and ibrutinib, both of which ha</w:t>
      </w:r>
      <w:r w:rsidR="009205D5" w:rsidRPr="00200930">
        <w:t>ve</w:t>
      </w:r>
      <w:r w:rsidRPr="00200930">
        <w:t xml:space="preserve"> been under recent consideration by the PBAC for similar patient populations. In the </w:t>
      </w:r>
      <w:r w:rsidR="009205D5" w:rsidRPr="00200930">
        <w:t>event that n</w:t>
      </w:r>
      <w:r w:rsidRPr="00200930">
        <w:t xml:space="preserve">either of these products </w:t>
      </w:r>
      <w:r w:rsidR="009205D5" w:rsidRPr="00200930">
        <w:t xml:space="preserve">is subsequently listed, </w:t>
      </w:r>
      <w:r w:rsidRPr="00200930">
        <w:t>the ESC agreed that a comparison against standard care would also be informative</w:t>
      </w:r>
      <w:r w:rsidR="00AC49BA" w:rsidRPr="00200930">
        <w:t xml:space="preserve">. </w:t>
      </w:r>
      <w:r w:rsidR="00966647" w:rsidRPr="00200930">
        <w:t>The July 2016 PBAC meeting recommended the listing of idelalisib, in combination with rituximab, for an overlapping population</w:t>
      </w:r>
      <w:r w:rsidR="00F61688" w:rsidRPr="00200930">
        <w:t>.</w:t>
      </w:r>
      <w:r w:rsidR="00966647" w:rsidRPr="00200930">
        <w:t xml:space="preserve"> </w:t>
      </w:r>
      <w:r w:rsidR="00204548">
        <w:rPr>
          <w:noProof/>
          <w:color w:val="000000"/>
          <w:highlight w:val="black"/>
        </w:rPr>
        <w:t>'''''''''' '''' '''''''''''''''''''''''''' '''''''''' ''''''' '''''''''''''''''''' ''''''''''''''''' '''''''''''''''''''''' '''' ''''''' ''''''''''''''''''''''''' '''''''''''''' ''''''''''''''''''''''''''' '''''''''' ''''''''''''''''''' '''''''' ''''''''' '''''''''''''''''''''''''' '''' '''''''''''''''''''''''' '''''''''''''''''' '''''' ''''''''''''''''''''''''' '''' '''''''''''''''''''''''''''''</w:t>
      </w:r>
    </w:p>
    <w:p w:rsidR="00F61688" w:rsidRPr="00200930" w:rsidRDefault="00F61688" w:rsidP="00F61688">
      <w:pPr>
        <w:widowControl/>
        <w:rPr>
          <w:szCs w:val="22"/>
        </w:rPr>
      </w:pPr>
    </w:p>
    <w:p w:rsidR="00F61688" w:rsidRPr="00200930" w:rsidRDefault="00F61688" w:rsidP="001011FE">
      <w:pPr>
        <w:pStyle w:val="ListParagraph"/>
        <w:widowControl/>
        <w:numPr>
          <w:ilvl w:val="1"/>
          <w:numId w:val="3"/>
        </w:numPr>
      </w:pPr>
      <w:r w:rsidRPr="00200930">
        <w:t>The submission nominated rituximab monotherapy (as a proxy for best supportive care) as the main comparator in patients with highly refractory disease. Best supportive care is an appropriate comparator in patients with no other suitable treatment options. The PBAC has previously accepted that survival outcomes for rituximab monotherapy (but not costs or treatment-related utilities) may be a proxy for best supportive care given the absence of evidence supporting a survival benefit for rituximab monotherapy (March and November 2015 idelalisib Public Summary Documents).</w:t>
      </w:r>
    </w:p>
    <w:p w:rsidR="00F61688" w:rsidRPr="00200930" w:rsidRDefault="00F61688" w:rsidP="00F61688"/>
    <w:p w:rsidR="00F61688" w:rsidRPr="00200930" w:rsidRDefault="00F61688" w:rsidP="0024158A">
      <w:pPr>
        <w:pStyle w:val="ListParagraph"/>
        <w:widowControl/>
        <w:numPr>
          <w:ilvl w:val="1"/>
          <w:numId w:val="3"/>
        </w:numPr>
      </w:pPr>
      <w:r w:rsidRPr="00200930">
        <w:rPr>
          <w:szCs w:val="22"/>
        </w:rPr>
        <w:t xml:space="preserve">The current wording of the proposed restriction for </w:t>
      </w:r>
      <w:r w:rsidR="00DE0329" w:rsidRPr="00200930">
        <w:rPr>
          <w:szCs w:val="22"/>
        </w:rPr>
        <w:t>“</w:t>
      </w:r>
      <w:r w:rsidRPr="00200930">
        <w:rPr>
          <w:szCs w:val="22"/>
        </w:rPr>
        <w:t>highly refractory</w:t>
      </w:r>
      <w:r w:rsidR="00DE0329" w:rsidRPr="00200930">
        <w:rPr>
          <w:szCs w:val="22"/>
        </w:rPr>
        <w:t>”</w:t>
      </w:r>
      <w:r w:rsidRPr="00200930">
        <w:rPr>
          <w:szCs w:val="22"/>
        </w:rPr>
        <w:t xml:space="preserve"> patients would potentially allow venetoclax treatment as a second-line treatment option. The appropriate comparator </w:t>
      </w:r>
      <w:r w:rsidR="00F23C38">
        <w:rPr>
          <w:szCs w:val="22"/>
        </w:rPr>
        <w:t>in</w:t>
      </w:r>
      <w:r w:rsidR="00F23C38" w:rsidRPr="00200930">
        <w:rPr>
          <w:szCs w:val="22"/>
        </w:rPr>
        <w:t xml:space="preserve"> </w:t>
      </w:r>
      <w:r w:rsidRPr="00200930">
        <w:rPr>
          <w:szCs w:val="22"/>
        </w:rPr>
        <w:t xml:space="preserve">this </w:t>
      </w:r>
      <w:r w:rsidR="00966647" w:rsidRPr="00200930">
        <w:rPr>
          <w:szCs w:val="22"/>
        </w:rPr>
        <w:t>sub</w:t>
      </w:r>
      <w:r w:rsidRPr="00200930">
        <w:rPr>
          <w:szCs w:val="22"/>
        </w:rPr>
        <w:t>population is unclear.</w:t>
      </w:r>
    </w:p>
    <w:p w:rsidR="00F61688" w:rsidRPr="00200930" w:rsidRDefault="00F61688" w:rsidP="005914AF"/>
    <w:p w:rsidR="00463C4F" w:rsidRPr="00200930" w:rsidRDefault="00F61688" w:rsidP="00231CEA">
      <w:pPr>
        <w:pStyle w:val="ListParagraph"/>
        <w:widowControl/>
        <w:numPr>
          <w:ilvl w:val="1"/>
          <w:numId w:val="3"/>
        </w:numPr>
        <w:rPr>
          <w:szCs w:val="22"/>
        </w:rPr>
      </w:pPr>
      <w:r w:rsidRPr="00200930">
        <w:t>The submission nominated ibrutinib and idelalisib with rituximab as secondary comparators. These were appropriate comparators.</w:t>
      </w:r>
      <w:r w:rsidR="00463C4F" w:rsidRPr="00463C4F">
        <w:rPr>
          <w:szCs w:val="22"/>
        </w:rPr>
        <w:t xml:space="preserve"> </w:t>
      </w:r>
      <w:r w:rsidR="00463C4F" w:rsidRPr="00C77889">
        <w:rPr>
          <w:szCs w:val="22"/>
        </w:rPr>
        <w:t xml:space="preserve">The PBAC considered that the </w:t>
      </w:r>
      <w:r w:rsidR="00463C4F">
        <w:rPr>
          <w:szCs w:val="22"/>
        </w:rPr>
        <w:t xml:space="preserve">main </w:t>
      </w:r>
      <w:r w:rsidR="00463C4F" w:rsidRPr="00C77889">
        <w:rPr>
          <w:szCs w:val="22"/>
        </w:rPr>
        <w:t xml:space="preserve">comparator </w:t>
      </w:r>
      <w:r w:rsidR="00231CEA">
        <w:rPr>
          <w:szCs w:val="22"/>
        </w:rPr>
        <w:t xml:space="preserve">of ofatumumab </w:t>
      </w:r>
      <w:r w:rsidR="00463C4F" w:rsidRPr="00C77889">
        <w:rPr>
          <w:szCs w:val="22"/>
        </w:rPr>
        <w:t>nominated in the submission was not relevant</w:t>
      </w:r>
      <w:r w:rsidR="00231CEA">
        <w:rPr>
          <w:szCs w:val="22"/>
        </w:rPr>
        <w:t xml:space="preserve"> because there is no overlap in the treated populations</w:t>
      </w:r>
      <w:r w:rsidR="00994239">
        <w:rPr>
          <w:szCs w:val="22"/>
        </w:rPr>
        <w:t xml:space="preserve"> for PBS funded use</w:t>
      </w:r>
      <w:r w:rsidR="00231CEA">
        <w:rPr>
          <w:szCs w:val="22"/>
        </w:rPr>
        <w:t xml:space="preserve">. The PBAC instead </w:t>
      </w:r>
      <w:r w:rsidR="00ED0D85">
        <w:rPr>
          <w:szCs w:val="22"/>
        </w:rPr>
        <w:t xml:space="preserve">considered </w:t>
      </w:r>
      <w:r w:rsidR="00ED0D85" w:rsidRPr="00C77889">
        <w:rPr>
          <w:szCs w:val="22"/>
        </w:rPr>
        <w:t>ibrutinib and idelalisib</w:t>
      </w:r>
      <w:r w:rsidR="00ED0D85">
        <w:rPr>
          <w:szCs w:val="22"/>
        </w:rPr>
        <w:t xml:space="preserve"> to be more relevant comparators</w:t>
      </w:r>
      <w:r w:rsidR="00463C4F" w:rsidRPr="00C77889">
        <w:rPr>
          <w:szCs w:val="22"/>
        </w:rPr>
        <w:t xml:space="preserve">, given the PBAC’s recent considerations of </w:t>
      </w:r>
      <w:r w:rsidR="00ED0D85">
        <w:rPr>
          <w:szCs w:val="22"/>
        </w:rPr>
        <w:t>these medicines</w:t>
      </w:r>
      <w:r w:rsidR="00591AEA">
        <w:rPr>
          <w:szCs w:val="22"/>
        </w:rPr>
        <w:t xml:space="preserve"> </w:t>
      </w:r>
      <w:r w:rsidR="00463C4F" w:rsidRPr="00C77889">
        <w:rPr>
          <w:szCs w:val="22"/>
        </w:rPr>
        <w:t>in similar CLL populations.</w:t>
      </w:r>
    </w:p>
    <w:p w:rsidR="00F61688" w:rsidRDefault="00F61688" w:rsidP="00F61688">
      <w:pPr>
        <w:rPr>
          <w:szCs w:val="22"/>
        </w:rPr>
      </w:pPr>
    </w:p>
    <w:p w:rsidR="00360E88" w:rsidRPr="0005234D" w:rsidRDefault="00360E88" w:rsidP="00360E88">
      <w:pPr>
        <w:ind w:firstLine="720"/>
        <w:rPr>
          <w:bCs/>
          <w:szCs w:val="22"/>
        </w:rPr>
      </w:pPr>
      <w:r w:rsidRPr="00696A04">
        <w:rPr>
          <w:bCs/>
          <w:i/>
          <w:szCs w:val="22"/>
        </w:rPr>
        <w:t>For more detail on PBAC’s view, see section 7 “PBAC outcome”</w:t>
      </w:r>
      <w:r w:rsidR="00ED0D85">
        <w:rPr>
          <w:bCs/>
          <w:i/>
          <w:szCs w:val="22"/>
        </w:rPr>
        <w:t>.</w:t>
      </w:r>
    </w:p>
    <w:p w:rsidR="00F61688" w:rsidRDefault="00F61688" w:rsidP="00F61688">
      <w:pPr>
        <w:rPr>
          <w:szCs w:val="22"/>
        </w:rPr>
      </w:pPr>
    </w:p>
    <w:p w:rsidR="006E3608" w:rsidRPr="00DF5D2B" w:rsidRDefault="006E3608" w:rsidP="00F61688">
      <w:pPr>
        <w:rPr>
          <w:szCs w:val="22"/>
        </w:rPr>
      </w:pPr>
    </w:p>
    <w:p w:rsidR="00F61688" w:rsidRPr="00407F2D" w:rsidRDefault="00F61688" w:rsidP="00F61688">
      <w:pPr>
        <w:pStyle w:val="PBACHeading1"/>
      </w:pPr>
      <w:bookmarkStart w:id="12" w:name="_Toc392858193"/>
      <w:bookmarkStart w:id="13" w:name="_Toc472494397"/>
      <w:r>
        <w:t>C</w:t>
      </w:r>
      <w:r w:rsidRPr="00407F2D">
        <w:t>onsideration of the evidence</w:t>
      </w:r>
      <w:bookmarkEnd w:id="12"/>
      <w:bookmarkEnd w:id="13"/>
    </w:p>
    <w:p w:rsidR="00F61688" w:rsidRDefault="00F61688" w:rsidP="00F61688"/>
    <w:p w:rsidR="00064500" w:rsidRPr="006E3608" w:rsidRDefault="00064500" w:rsidP="006E3608">
      <w:pPr>
        <w:pStyle w:val="Heading2"/>
        <w:rPr>
          <w:i/>
        </w:rPr>
      </w:pPr>
      <w:r w:rsidRPr="006E3608">
        <w:rPr>
          <w:i/>
        </w:rPr>
        <w:t>Sponsor hearing</w:t>
      </w:r>
    </w:p>
    <w:p w:rsidR="00064500" w:rsidRPr="00817EFB" w:rsidRDefault="00064500" w:rsidP="00064500">
      <w:pPr>
        <w:rPr>
          <w:b/>
          <w:bCs/>
          <w:szCs w:val="22"/>
          <w:highlight w:val="yellow"/>
        </w:rPr>
      </w:pPr>
    </w:p>
    <w:p w:rsidR="00335DE6" w:rsidRPr="00335DE6" w:rsidRDefault="00696A04" w:rsidP="00696A04">
      <w:pPr>
        <w:widowControl/>
        <w:numPr>
          <w:ilvl w:val="1"/>
          <w:numId w:val="3"/>
        </w:numPr>
        <w:rPr>
          <w:bCs/>
          <w:szCs w:val="22"/>
        </w:rPr>
      </w:pPr>
      <w:r w:rsidRPr="00335DE6">
        <w:rPr>
          <w:bCs/>
          <w:szCs w:val="22"/>
        </w:rPr>
        <w:t>The sponsor requested a hearing for this item. The clinician presented clinical case studies and discussed how the drug would be used in practice, and addressed other matters in response to the Committee’s questions</w:t>
      </w:r>
      <w:r w:rsidR="00ED0D85">
        <w:rPr>
          <w:bCs/>
          <w:szCs w:val="22"/>
        </w:rPr>
        <w:t>.</w:t>
      </w:r>
    </w:p>
    <w:p w:rsidR="00335DE6" w:rsidRPr="00335DE6" w:rsidRDefault="00335DE6" w:rsidP="00ED0D85">
      <w:pPr>
        <w:widowControl/>
        <w:rPr>
          <w:bCs/>
          <w:szCs w:val="22"/>
        </w:rPr>
      </w:pPr>
    </w:p>
    <w:p w:rsidR="00825644" w:rsidRPr="00335DE6" w:rsidRDefault="00696A04" w:rsidP="00ED0D85">
      <w:pPr>
        <w:widowControl/>
        <w:numPr>
          <w:ilvl w:val="1"/>
          <w:numId w:val="3"/>
        </w:numPr>
        <w:rPr>
          <w:bCs/>
          <w:szCs w:val="22"/>
        </w:rPr>
      </w:pPr>
      <w:r w:rsidRPr="00335DE6">
        <w:rPr>
          <w:bCs/>
          <w:szCs w:val="22"/>
        </w:rPr>
        <w:t>In particular, the clinician clarified differences including the side effect profiles of venetoclax, ibrutinib, and idelalisib, and discussed how these might guide prescribing choices in clinical practice.</w:t>
      </w:r>
    </w:p>
    <w:p w:rsidR="00696A04" w:rsidRPr="00335DE6" w:rsidRDefault="00696A04" w:rsidP="00ED0D85">
      <w:pPr>
        <w:widowControl/>
        <w:rPr>
          <w:bCs/>
          <w:szCs w:val="22"/>
        </w:rPr>
      </w:pPr>
    </w:p>
    <w:p w:rsidR="00696A04" w:rsidRPr="00335DE6" w:rsidRDefault="00696A04" w:rsidP="00ED0D85">
      <w:pPr>
        <w:widowControl/>
        <w:numPr>
          <w:ilvl w:val="1"/>
          <w:numId w:val="3"/>
        </w:numPr>
        <w:rPr>
          <w:bCs/>
          <w:szCs w:val="22"/>
        </w:rPr>
      </w:pPr>
      <w:r w:rsidRPr="00335DE6">
        <w:rPr>
          <w:bCs/>
          <w:szCs w:val="22"/>
        </w:rPr>
        <w:t>The clinician also noted that the more lines of therapy a patient has been through</w:t>
      </w:r>
      <w:r w:rsidR="00201591" w:rsidRPr="00335DE6">
        <w:rPr>
          <w:bCs/>
          <w:szCs w:val="22"/>
        </w:rPr>
        <w:t>, the more likely they are to have developed resistance to some treatments. Whether this will impact on the effectiveness of venetoclax, or whether venetoclax would be a more effective treatment if used earlier, remains unclear.</w:t>
      </w:r>
    </w:p>
    <w:p w:rsidR="00201591" w:rsidRPr="00ED0D85" w:rsidRDefault="00201591" w:rsidP="00ED0D85">
      <w:pPr>
        <w:widowControl/>
        <w:jc w:val="left"/>
        <w:rPr>
          <w:bCs/>
          <w:szCs w:val="22"/>
        </w:rPr>
      </w:pPr>
    </w:p>
    <w:p w:rsidR="00201591" w:rsidRPr="00335DE6" w:rsidRDefault="00201591" w:rsidP="00ED0D85">
      <w:pPr>
        <w:widowControl/>
        <w:numPr>
          <w:ilvl w:val="1"/>
          <w:numId w:val="3"/>
        </w:numPr>
        <w:rPr>
          <w:bCs/>
          <w:szCs w:val="22"/>
        </w:rPr>
      </w:pPr>
      <w:r w:rsidRPr="00335DE6">
        <w:rPr>
          <w:bCs/>
          <w:szCs w:val="22"/>
        </w:rPr>
        <w:t>The PBAC considered that the hearing was informative as it provided a clinical perspective on treating patients in this developing setting.</w:t>
      </w:r>
    </w:p>
    <w:p w:rsidR="00064500" w:rsidRPr="00817EFB" w:rsidRDefault="00064500" w:rsidP="00064500">
      <w:pPr>
        <w:rPr>
          <w:bCs/>
          <w:szCs w:val="22"/>
          <w:highlight w:val="yellow"/>
        </w:rPr>
      </w:pPr>
    </w:p>
    <w:p w:rsidR="00064500" w:rsidRPr="006E3608" w:rsidRDefault="00064500" w:rsidP="006E3608">
      <w:pPr>
        <w:pStyle w:val="Heading2"/>
        <w:rPr>
          <w:i/>
        </w:rPr>
      </w:pPr>
      <w:r w:rsidRPr="006E3608">
        <w:rPr>
          <w:i/>
        </w:rPr>
        <w:t>Consumer comments</w:t>
      </w:r>
    </w:p>
    <w:p w:rsidR="00064500" w:rsidRPr="00335DE6" w:rsidRDefault="00064500" w:rsidP="00064500">
      <w:pPr>
        <w:rPr>
          <w:b/>
          <w:bCs/>
          <w:szCs w:val="22"/>
        </w:rPr>
      </w:pPr>
    </w:p>
    <w:p w:rsidR="00064500" w:rsidRPr="00335DE6" w:rsidRDefault="00335DE6" w:rsidP="00ED0D85">
      <w:pPr>
        <w:widowControl/>
        <w:numPr>
          <w:ilvl w:val="1"/>
          <w:numId w:val="3"/>
        </w:numPr>
        <w:rPr>
          <w:bCs/>
          <w:szCs w:val="22"/>
        </w:rPr>
      </w:pPr>
      <w:r w:rsidRPr="00335DE6">
        <w:rPr>
          <w:bCs/>
          <w:szCs w:val="22"/>
        </w:rPr>
        <w:t>The PBAC noted and welcomed the input from individuals (40), health care professionals (2) and organisations (2) via the Consumer Comments facility on the PBS websit</w:t>
      </w:r>
      <w:r w:rsidRPr="00ED0D85">
        <w:rPr>
          <w:bCs/>
          <w:szCs w:val="22"/>
        </w:rPr>
        <w:t>e. T</w:t>
      </w:r>
      <w:r w:rsidRPr="00335DE6">
        <w:rPr>
          <w:bCs/>
          <w:szCs w:val="22"/>
        </w:rPr>
        <w:t>he comments described a range of benefits of treatment with venetoclax including easy administration (being a tablet), providing an additional treatment option for patients who have not had a good response with chemotherapy</w:t>
      </w:r>
      <w:r w:rsidR="00E369DC">
        <w:rPr>
          <w:bCs/>
          <w:szCs w:val="22"/>
        </w:rPr>
        <w:t>, and use of an Australian-developed product</w:t>
      </w:r>
      <w:r w:rsidRPr="00335DE6">
        <w:rPr>
          <w:bCs/>
          <w:szCs w:val="22"/>
        </w:rPr>
        <w:t>.</w:t>
      </w:r>
      <w:r w:rsidR="008A62AF">
        <w:rPr>
          <w:bCs/>
          <w:szCs w:val="22"/>
        </w:rPr>
        <w:t xml:space="preserve"> The PBAC also noted comments that proposed </w:t>
      </w:r>
      <w:r w:rsidR="008A62AF" w:rsidRPr="00335DE6">
        <w:rPr>
          <w:bCs/>
          <w:szCs w:val="22"/>
        </w:rPr>
        <w:t>venetoclax</w:t>
      </w:r>
      <w:r w:rsidR="008A62AF">
        <w:rPr>
          <w:bCs/>
          <w:szCs w:val="22"/>
        </w:rPr>
        <w:t xml:space="preserve"> prolongs survival and improves quality of life with </w:t>
      </w:r>
      <w:r w:rsidR="00EF73BE">
        <w:rPr>
          <w:bCs/>
          <w:szCs w:val="22"/>
        </w:rPr>
        <w:t>few known side effects</w:t>
      </w:r>
      <w:r w:rsidR="00B3436A">
        <w:rPr>
          <w:bCs/>
          <w:szCs w:val="22"/>
        </w:rPr>
        <w:t>; but that the submission did not provide supporting evidence</w:t>
      </w:r>
      <w:r w:rsidR="00EF73BE">
        <w:rPr>
          <w:bCs/>
          <w:szCs w:val="22"/>
        </w:rPr>
        <w:t>.</w:t>
      </w:r>
    </w:p>
    <w:p w:rsidR="00064500" w:rsidRPr="00882085" w:rsidRDefault="00064500" w:rsidP="00F61688"/>
    <w:p w:rsidR="00F61688" w:rsidRPr="002C2775" w:rsidRDefault="00F61688" w:rsidP="00F61688">
      <w:pPr>
        <w:pStyle w:val="Heading2"/>
        <w:rPr>
          <w:i/>
        </w:rPr>
      </w:pPr>
      <w:bookmarkStart w:id="14" w:name="_Toc392858194"/>
      <w:bookmarkStart w:id="15" w:name="_Toc472494398"/>
      <w:r w:rsidRPr="002C2775">
        <w:rPr>
          <w:i/>
        </w:rPr>
        <w:t>Clinical trials</w:t>
      </w:r>
      <w:bookmarkEnd w:id="14"/>
      <w:bookmarkEnd w:id="15"/>
    </w:p>
    <w:p w:rsidR="00F61688" w:rsidRPr="00882085" w:rsidRDefault="00F61688" w:rsidP="00F61688">
      <w:pPr>
        <w:rPr>
          <w:szCs w:val="22"/>
        </w:rPr>
      </w:pPr>
    </w:p>
    <w:p w:rsidR="00F61688" w:rsidRPr="00200930" w:rsidRDefault="00F61688" w:rsidP="001011FE">
      <w:pPr>
        <w:pStyle w:val="ListParagraph"/>
        <w:numPr>
          <w:ilvl w:val="1"/>
          <w:numId w:val="3"/>
        </w:numPr>
        <w:rPr>
          <w:szCs w:val="22"/>
        </w:rPr>
      </w:pPr>
      <w:r w:rsidRPr="00200930">
        <w:rPr>
          <w:szCs w:val="22"/>
        </w:rPr>
        <w:t>No head-to-head trials comparing venetoclax to nominated comparators were available. The submission was based on a series of naïve indirect comparisons:</w:t>
      </w:r>
    </w:p>
    <w:p w:rsidR="00F61688" w:rsidRPr="00200930" w:rsidRDefault="005914AF" w:rsidP="001011FE">
      <w:pPr>
        <w:pStyle w:val="ListParagraph"/>
        <w:numPr>
          <w:ilvl w:val="0"/>
          <w:numId w:val="16"/>
        </w:numPr>
        <w:rPr>
          <w:szCs w:val="22"/>
        </w:rPr>
      </w:pPr>
      <w:r w:rsidRPr="00200930">
        <w:rPr>
          <w:szCs w:val="22"/>
        </w:rPr>
        <w:t>v</w:t>
      </w:r>
      <w:r w:rsidR="00F61688" w:rsidRPr="00200930">
        <w:rPr>
          <w:szCs w:val="22"/>
        </w:rPr>
        <w:t>enetoclax (M12-175, M13-982) versus ofatumumab monotherapy (RESONATE) for patients with a 17p deletion/TP53 mutation;</w:t>
      </w:r>
    </w:p>
    <w:p w:rsidR="00F61688" w:rsidRPr="00200930" w:rsidRDefault="005914AF" w:rsidP="001011FE">
      <w:pPr>
        <w:pStyle w:val="ListParagraph"/>
        <w:numPr>
          <w:ilvl w:val="0"/>
          <w:numId w:val="16"/>
        </w:numPr>
        <w:rPr>
          <w:szCs w:val="22"/>
        </w:rPr>
      </w:pPr>
      <w:r w:rsidRPr="00200930">
        <w:rPr>
          <w:szCs w:val="22"/>
        </w:rPr>
        <w:t>v</w:t>
      </w:r>
      <w:r w:rsidR="00F61688" w:rsidRPr="00200930">
        <w:rPr>
          <w:szCs w:val="22"/>
        </w:rPr>
        <w:t>enetoclax (M12-175, M13-982) versus idelalisib with rituximab (312-0116) for patients with a 17p deletion/TP53 mutation;</w:t>
      </w:r>
    </w:p>
    <w:p w:rsidR="00F61688" w:rsidRPr="00200930" w:rsidRDefault="005914AF" w:rsidP="001011FE">
      <w:pPr>
        <w:pStyle w:val="ListParagraph"/>
        <w:numPr>
          <w:ilvl w:val="0"/>
          <w:numId w:val="16"/>
        </w:numPr>
        <w:rPr>
          <w:szCs w:val="22"/>
        </w:rPr>
      </w:pPr>
      <w:r w:rsidRPr="00200930">
        <w:rPr>
          <w:szCs w:val="22"/>
        </w:rPr>
        <w:t>v</w:t>
      </w:r>
      <w:r w:rsidR="00F61688" w:rsidRPr="00200930">
        <w:rPr>
          <w:szCs w:val="22"/>
        </w:rPr>
        <w:t>enetoclax (M12-175, M13-982) versus ibrutinib (RESONATE, RESONATE-17) for patients with a 17p deletion/TP53 mutation;</w:t>
      </w:r>
    </w:p>
    <w:p w:rsidR="00F61688" w:rsidRPr="00200930" w:rsidRDefault="005914AF" w:rsidP="001011FE">
      <w:pPr>
        <w:pStyle w:val="ListParagraph"/>
        <w:numPr>
          <w:ilvl w:val="0"/>
          <w:numId w:val="16"/>
        </w:numPr>
        <w:rPr>
          <w:szCs w:val="22"/>
        </w:rPr>
      </w:pPr>
      <w:r w:rsidRPr="00200930">
        <w:rPr>
          <w:szCs w:val="22"/>
        </w:rPr>
        <w:t>v</w:t>
      </w:r>
      <w:r w:rsidR="00F61688" w:rsidRPr="00200930">
        <w:rPr>
          <w:szCs w:val="22"/>
        </w:rPr>
        <w:t>enetoclax (M14-032) versus rituximab monotherapy (312-0116) for patients with no other suitable treatment options.</w:t>
      </w:r>
    </w:p>
    <w:p w:rsidR="00F61688" w:rsidRPr="00200930" w:rsidRDefault="00F61688" w:rsidP="00F61688">
      <w:pPr>
        <w:rPr>
          <w:szCs w:val="22"/>
        </w:rPr>
      </w:pPr>
    </w:p>
    <w:p w:rsidR="00F61688" w:rsidRPr="00200930" w:rsidRDefault="00F61688" w:rsidP="00DD1DEA">
      <w:pPr>
        <w:pStyle w:val="ListParagraph"/>
        <w:numPr>
          <w:ilvl w:val="1"/>
          <w:numId w:val="3"/>
        </w:numPr>
        <w:rPr>
          <w:szCs w:val="22"/>
        </w:rPr>
      </w:pPr>
      <w:r w:rsidRPr="00200930">
        <w:rPr>
          <w:szCs w:val="22"/>
        </w:rPr>
        <w:t>The submission did not present literature searches for the two nominated main comparators (ofatumumab monotherapy, rituximab monotherapy). Studies for these treatments appeared to have been found incidentally in literature searches for ibrutinib and idelalisib. It is unclear whether the included studies for ofatumumab and rituximab monotherapy adequately represent their available evidence base.</w:t>
      </w:r>
    </w:p>
    <w:p w:rsidR="00F22D54" w:rsidRPr="00200930" w:rsidRDefault="00F22D54">
      <w:pPr>
        <w:widowControl/>
        <w:jc w:val="left"/>
        <w:rPr>
          <w:szCs w:val="22"/>
        </w:rPr>
      </w:pPr>
    </w:p>
    <w:p w:rsidR="00F61688" w:rsidRDefault="00F61688" w:rsidP="001011FE">
      <w:pPr>
        <w:pStyle w:val="ListParagraph"/>
        <w:widowControl/>
        <w:numPr>
          <w:ilvl w:val="1"/>
          <w:numId w:val="3"/>
        </w:numPr>
        <w:rPr>
          <w:szCs w:val="22"/>
        </w:rPr>
      </w:pPr>
      <w:r w:rsidRPr="00342EA9">
        <w:rPr>
          <w:szCs w:val="22"/>
        </w:rPr>
        <w:t>Details of the studies presented in the submission ar</w:t>
      </w:r>
      <w:r w:rsidR="005914AF">
        <w:rPr>
          <w:szCs w:val="22"/>
        </w:rPr>
        <w:t>e provided in Table 1.</w:t>
      </w:r>
    </w:p>
    <w:p w:rsidR="00F61688" w:rsidRPr="005914AF" w:rsidRDefault="00F61688" w:rsidP="00F61688">
      <w:pPr>
        <w:widowControl/>
        <w:rPr>
          <w:szCs w:val="22"/>
        </w:rPr>
      </w:pPr>
    </w:p>
    <w:p w:rsidR="00B739E7" w:rsidRDefault="00B739E7">
      <w:pPr>
        <w:widowControl/>
        <w:jc w:val="left"/>
        <w:rPr>
          <w:rStyle w:val="CommentReference"/>
        </w:rPr>
      </w:pPr>
      <w:r>
        <w:rPr>
          <w:rStyle w:val="CommentReference"/>
        </w:rPr>
        <w:br w:type="page"/>
      </w:r>
    </w:p>
    <w:p w:rsidR="00F61688" w:rsidRDefault="00F61688" w:rsidP="00F61688">
      <w:pPr>
        <w:ind w:firstLine="720"/>
        <w:rPr>
          <w:rStyle w:val="CommentReference"/>
        </w:rPr>
      </w:pPr>
      <w:r>
        <w:rPr>
          <w:rStyle w:val="CommentReference"/>
        </w:rPr>
        <w:t>Table 1</w:t>
      </w:r>
      <w:r w:rsidRPr="000812CA">
        <w:rPr>
          <w:rStyle w:val="CommentReference"/>
        </w:rPr>
        <w:t>: Trials and associated reports presented in the submission</w:t>
      </w:r>
    </w:p>
    <w:tbl>
      <w:tblPr>
        <w:tblW w:w="4584" w:type="pct"/>
        <w:tblInd w:w="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237"/>
        <w:gridCol w:w="5122"/>
        <w:gridCol w:w="1967"/>
      </w:tblGrid>
      <w:tr w:rsidR="00F61688" w:rsidRPr="007121AF" w:rsidTr="00E73A7B">
        <w:tc>
          <w:tcPr>
            <w:tcW w:w="743" w:type="pct"/>
          </w:tcPr>
          <w:p w:rsidR="00F61688" w:rsidRPr="007121AF" w:rsidRDefault="00F61688" w:rsidP="00E73A7B">
            <w:pPr>
              <w:jc w:val="left"/>
              <w:rPr>
                <w:rFonts w:ascii="Arial Narrow" w:hAnsi="Arial Narrow"/>
                <w:b/>
                <w:sz w:val="20"/>
              </w:rPr>
            </w:pPr>
            <w:r w:rsidRPr="007121AF">
              <w:rPr>
                <w:rFonts w:ascii="Arial Narrow" w:hAnsi="Arial Narrow"/>
                <w:b/>
                <w:sz w:val="20"/>
              </w:rPr>
              <w:t>Trial ID</w:t>
            </w:r>
          </w:p>
        </w:tc>
        <w:tc>
          <w:tcPr>
            <w:tcW w:w="3076" w:type="pct"/>
          </w:tcPr>
          <w:p w:rsidR="00F61688" w:rsidRPr="007121AF" w:rsidRDefault="00F61688" w:rsidP="00E73A7B">
            <w:pPr>
              <w:jc w:val="center"/>
              <w:rPr>
                <w:rFonts w:ascii="Arial Narrow" w:hAnsi="Arial Narrow"/>
                <w:b/>
                <w:sz w:val="20"/>
              </w:rPr>
            </w:pPr>
            <w:r w:rsidRPr="007121AF">
              <w:rPr>
                <w:rFonts w:ascii="Arial Narrow" w:hAnsi="Arial Narrow"/>
                <w:b/>
                <w:sz w:val="20"/>
              </w:rPr>
              <w:t>Protocol title/ Publication title</w:t>
            </w:r>
          </w:p>
        </w:tc>
        <w:tc>
          <w:tcPr>
            <w:tcW w:w="1180" w:type="pct"/>
          </w:tcPr>
          <w:p w:rsidR="00F61688" w:rsidRPr="007121AF" w:rsidRDefault="00F61688" w:rsidP="00E73A7B">
            <w:pPr>
              <w:jc w:val="center"/>
              <w:rPr>
                <w:rFonts w:ascii="Arial Narrow" w:hAnsi="Arial Narrow"/>
                <w:b/>
                <w:sz w:val="20"/>
              </w:rPr>
            </w:pPr>
            <w:r w:rsidRPr="007121AF">
              <w:rPr>
                <w:rFonts w:ascii="Arial Narrow" w:hAnsi="Arial Narrow"/>
                <w:b/>
                <w:sz w:val="20"/>
              </w:rPr>
              <w:t>Publication citation</w:t>
            </w:r>
          </w:p>
        </w:tc>
      </w:tr>
      <w:tr w:rsidR="00F61688" w:rsidRPr="007121AF" w:rsidTr="00E73A7B">
        <w:tc>
          <w:tcPr>
            <w:tcW w:w="5000" w:type="pct"/>
            <w:gridSpan w:val="3"/>
          </w:tcPr>
          <w:p w:rsidR="00F61688" w:rsidRPr="007121AF" w:rsidRDefault="00F61688" w:rsidP="00E73A7B">
            <w:pPr>
              <w:jc w:val="left"/>
              <w:rPr>
                <w:rFonts w:ascii="Arial Narrow" w:hAnsi="Arial Narrow"/>
                <w:b/>
                <w:sz w:val="20"/>
              </w:rPr>
            </w:pPr>
            <w:r w:rsidRPr="007121AF">
              <w:rPr>
                <w:rFonts w:ascii="Arial Narrow" w:hAnsi="Arial Narrow"/>
                <w:b/>
                <w:sz w:val="20"/>
              </w:rPr>
              <w:t>Venetoclax studies</w:t>
            </w:r>
          </w:p>
        </w:tc>
      </w:tr>
      <w:tr w:rsidR="00F61688" w:rsidRPr="007121AF" w:rsidTr="00E73A7B">
        <w:tc>
          <w:tcPr>
            <w:tcW w:w="743" w:type="pct"/>
            <w:vMerge w:val="restart"/>
            <w:vAlign w:val="center"/>
          </w:tcPr>
          <w:p w:rsidR="00F61688" w:rsidRPr="007121AF" w:rsidRDefault="00F61688" w:rsidP="00E73A7B">
            <w:pPr>
              <w:jc w:val="left"/>
              <w:rPr>
                <w:rFonts w:ascii="Arial Narrow" w:hAnsi="Arial Narrow"/>
                <w:sz w:val="20"/>
              </w:rPr>
            </w:pPr>
            <w:r w:rsidRPr="007121AF">
              <w:rPr>
                <w:rFonts w:ascii="Arial Narrow" w:hAnsi="Arial Narrow"/>
                <w:sz w:val="20"/>
              </w:rPr>
              <w:t>M12-175</w:t>
            </w:r>
          </w:p>
        </w:tc>
        <w:tc>
          <w:tcPr>
            <w:tcW w:w="3076" w:type="pct"/>
          </w:tcPr>
          <w:p w:rsidR="00F61688" w:rsidRPr="007121AF" w:rsidRDefault="00A636E1" w:rsidP="00A636E1">
            <w:pPr>
              <w:pStyle w:val="Tabletextcentred"/>
              <w:jc w:val="left"/>
            </w:pPr>
            <w:r w:rsidRPr="007121AF">
              <w:t>Abb</w:t>
            </w:r>
            <w:r>
              <w:t>V</w:t>
            </w:r>
            <w:r w:rsidRPr="007121AF">
              <w:t xml:space="preserve">ie </w:t>
            </w:r>
            <w:r w:rsidR="00F61688" w:rsidRPr="007121AF">
              <w:t xml:space="preserve">Clinical Study Report (2015). A phase 1 study evaluating the safety and pharmacokinetics of ABT-199 in subjects with relapsed or refractory chronic lymphocytic leukemia and non-Hodgkin lymphoma. </w:t>
            </w:r>
          </w:p>
        </w:tc>
        <w:tc>
          <w:tcPr>
            <w:tcW w:w="1180" w:type="pct"/>
            <w:vAlign w:val="center"/>
          </w:tcPr>
          <w:p w:rsidR="00F61688" w:rsidRPr="007121AF" w:rsidRDefault="00F61688" w:rsidP="00E73A7B">
            <w:pPr>
              <w:jc w:val="left"/>
              <w:rPr>
                <w:rFonts w:ascii="Arial Narrow" w:hAnsi="Arial Narrow"/>
                <w:sz w:val="20"/>
              </w:rPr>
            </w:pPr>
            <w:r w:rsidRPr="007121AF">
              <w:rPr>
                <w:rFonts w:ascii="Arial Narrow" w:hAnsi="Arial Narrow"/>
                <w:sz w:val="20"/>
              </w:rPr>
              <w:t>Internal study report</w:t>
            </w:r>
          </w:p>
          <w:p w:rsidR="00F61688" w:rsidRPr="007121AF" w:rsidRDefault="00F61688" w:rsidP="00E73A7B">
            <w:pPr>
              <w:jc w:val="left"/>
              <w:rPr>
                <w:rFonts w:ascii="Arial Narrow" w:hAnsi="Arial Narrow"/>
                <w:b/>
                <w:sz w:val="20"/>
              </w:rPr>
            </w:pPr>
            <w:r w:rsidRPr="007121AF">
              <w:rPr>
                <w:rFonts w:ascii="Arial Narrow" w:hAnsi="Arial Narrow"/>
                <w:sz w:val="20"/>
              </w:rPr>
              <w:t>[Interim results]</w:t>
            </w:r>
          </w:p>
        </w:tc>
      </w:tr>
      <w:tr w:rsidR="00F61688" w:rsidRPr="007121AF" w:rsidTr="00E73A7B">
        <w:tc>
          <w:tcPr>
            <w:tcW w:w="743" w:type="pct"/>
            <w:vMerge/>
            <w:vAlign w:val="center"/>
          </w:tcPr>
          <w:p w:rsidR="00F61688" w:rsidRPr="007121AF" w:rsidRDefault="00F61688" w:rsidP="00E73A7B">
            <w:pPr>
              <w:jc w:val="left"/>
              <w:rPr>
                <w:rFonts w:ascii="Arial Narrow" w:hAnsi="Arial Narrow"/>
                <w:sz w:val="20"/>
              </w:rPr>
            </w:pPr>
          </w:p>
        </w:tc>
        <w:tc>
          <w:tcPr>
            <w:tcW w:w="3076" w:type="pct"/>
          </w:tcPr>
          <w:p w:rsidR="00F61688" w:rsidRPr="007121AF" w:rsidRDefault="00A636E1" w:rsidP="00A636E1">
            <w:pPr>
              <w:pStyle w:val="Tabletextcentred"/>
              <w:jc w:val="left"/>
            </w:pPr>
            <w:r w:rsidRPr="007121AF">
              <w:t>Abb</w:t>
            </w:r>
            <w:r>
              <w:t>V</w:t>
            </w:r>
            <w:r w:rsidRPr="007121AF">
              <w:t xml:space="preserve">ie </w:t>
            </w:r>
            <w:r w:rsidR="00F61688" w:rsidRPr="007121AF">
              <w:t>Clinical Study Update (2016). Updated results of study M12-175 up to 10 June 2016</w:t>
            </w:r>
            <w:r w:rsidR="00FE1EB1">
              <w:t>.</w:t>
            </w:r>
          </w:p>
        </w:tc>
        <w:tc>
          <w:tcPr>
            <w:tcW w:w="1180" w:type="pct"/>
            <w:vAlign w:val="center"/>
          </w:tcPr>
          <w:p w:rsidR="00F61688" w:rsidRPr="007121AF" w:rsidRDefault="00F61688" w:rsidP="00E73A7B">
            <w:pPr>
              <w:jc w:val="left"/>
              <w:rPr>
                <w:rFonts w:ascii="Arial Narrow" w:hAnsi="Arial Narrow"/>
                <w:sz w:val="20"/>
              </w:rPr>
            </w:pPr>
            <w:r w:rsidRPr="007121AF">
              <w:rPr>
                <w:rFonts w:ascii="Arial Narrow" w:hAnsi="Arial Narrow"/>
                <w:sz w:val="20"/>
              </w:rPr>
              <w:t>Internal data</w:t>
            </w:r>
          </w:p>
          <w:p w:rsidR="00F61688" w:rsidRPr="007121AF" w:rsidRDefault="00F61688" w:rsidP="00E73A7B">
            <w:pPr>
              <w:jc w:val="left"/>
              <w:rPr>
                <w:rFonts w:ascii="Arial Narrow" w:hAnsi="Arial Narrow"/>
                <w:sz w:val="20"/>
              </w:rPr>
            </w:pPr>
            <w:r w:rsidRPr="007121AF">
              <w:rPr>
                <w:rFonts w:ascii="Arial Narrow" w:hAnsi="Arial Narrow"/>
                <w:sz w:val="20"/>
              </w:rPr>
              <w:t>[Interim results]</w:t>
            </w:r>
          </w:p>
        </w:tc>
      </w:tr>
      <w:tr w:rsidR="00F61688" w:rsidRPr="007121AF" w:rsidTr="00E73A7B">
        <w:tc>
          <w:tcPr>
            <w:tcW w:w="743" w:type="pct"/>
            <w:vMerge/>
            <w:vAlign w:val="center"/>
          </w:tcPr>
          <w:p w:rsidR="00F61688" w:rsidRPr="007121AF" w:rsidRDefault="00F61688" w:rsidP="00E73A7B">
            <w:pPr>
              <w:jc w:val="left"/>
              <w:rPr>
                <w:rFonts w:ascii="Arial Narrow" w:hAnsi="Arial Narrow"/>
                <w:sz w:val="20"/>
              </w:rPr>
            </w:pPr>
          </w:p>
        </w:tc>
        <w:tc>
          <w:tcPr>
            <w:tcW w:w="3076" w:type="pct"/>
          </w:tcPr>
          <w:p w:rsidR="00F61688" w:rsidRPr="007121AF" w:rsidRDefault="00F61688" w:rsidP="00E73A7B">
            <w:pPr>
              <w:jc w:val="left"/>
              <w:rPr>
                <w:rFonts w:ascii="Arial Narrow" w:hAnsi="Arial Narrow"/>
                <w:b/>
                <w:sz w:val="20"/>
              </w:rPr>
            </w:pPr>
            <w:r w:rsidRPr="007121AF">
              <w:rPr>
                <w:rFonts w:ascii="Arial Narrow" w:hAnsi="Arial Narrow"/>
                <w:sz w:val="20"/>
              </w:rPr>
              <w:t>Roberts AW et al (2016). Targeting BCL2 with venetoclax in relapsed chronic lymphocytic leukemia.</w:t>
            </w:r>
          </w:p>
        </w:tc>
        <w:tc>
          <w:tcPr>
            <w:tcW w:w="1180" w:type="pct"/>
            <w:vAlign w:val="center"/>
          </w:tcPr>
          <w:p w:rsidR="00F61688" w:rsidRPr="007121AF" w:rsidRDefault="00F61688" w:rsidP="00E73A7B">
            <w:pPr>
              <w:jc w:val="left"/>
              <w:rPr>
                <w:rFonts w:ascii="Arial Narrow" w:hAnsi="Arial Narrow"/>
                <w:b/>
                <w:sz w:val="20"/>
              </w:rPr>
            </w:pPr>
            <w:r w:rsidRPr="007121AF">
              <w:rPr>
                <w:rFonts w:ascii="Arial Narrow" w:hAnsi="Arial Narrow"/>
                <w:sz w:val="20"/>
              </w:rPr>
              <w:t>New England Journal of Medicine; 374: 311-322</w:t>
            </w:r>
          </w:p>
        </w:tc>
      </w:tr>
      <w:tr w:rsidR="00F61688" w:rsidRPr="007121AF" w:rsidTr="00E73A7B">
        <w:tc>
          <w:tcPr>
            <w:tcW w:w="743" w:type="pct"/>
            <w:vMerge w:val="restart"/>
            <w:vAlign w:val="center"/>
          </w:tcPr>
          <w:p w:rsidR="00F61688" w:rsidRPr="007121AF" w:rsidRDefault="00F61688" w:rsidP="00E73A7B">
            <w:pPr>
              <w:jc w:val="left"/>
              <w:rPr>
                <w:rFonts w:ascii="Arial Narrow" w:hAnsi="Arial Narrow"/>
                <w:sz w:val="20"/>
              </w:rPr>
            </w:pPr>
            <w:r w:rsidRPr="007121AF">
              <w:rPr>
                <w:rFonts w:ascii="Arial Narrow" w:hAnsi="Arial Narrow"/>
                <w:sz w:val="20"/>
              </w:rPr>
              <w:t>M13-982</w:t>
            </w:r>
          </w:p>
        </w:tc>
        <w:tc>
          <w:tcPr>
            <w:tcW w:w="3076" w:type="pct"/>
          </w:tcPr>
          <w:p w:rsidR="00F61688" w:rsidRPr="007121AF" w:rsidRDefault="00A636E1" w:rsidP="00A636E1">
            <w:pPr>
              <w:jc w:val="left"/>
              <w:rPr>
                <w:rFonts w:ascii="Arial Narrow" w:hAnsi="Arial Narrow"/>
                <w:sz w:val="20"/>
              </w:rPr>
            </w:pPr>
            <w:r w:rsidRPr="007121AF">
              <w:rPr>
                <w:rFonts w:ascii="Arial Narrow" w:hAnsi="Arial Narrow"/>
                <w:sz w:val="20"/>
              </w:rPr>
              <w:t>Abb</w:t>
            </w:r>
            <w:r>
              <w:rPr>
                <w:rFonts w:ascii="Arial Narrow" w:hAnsi="Arial Narrow"/>
                <w:sz w:val="20"/>
              </w:rPr>
              <w:t>V</w:t>
            </w:r>
            <w:r w:rsidRPr="007121AF">
              <w:rPr>
                <w:rFonts w:ascii="Arial Narrow" w:hAnsi="Arial Narrow"/>
                <w:sz w:val="20"/>
              </w:rPr>
              <w:t xml:space="preserve">ie </w:t>
            </w:r>
            <w:r w:rsidR="00F61688" w:rsidRPr="007121AF">
              <w:rPr>
                <w:rFonts w:ascii="Arial Narrow" w:hAnsi="Arial Narrow"/>
                <w:sz w:val="20"/>
              </w:rPr>
              <w:t>Clinical Study Report (2015). A phase 2 open-label study of the efficacy of ABT-199 (GDC-0199) in subjects with relapsed/refractory or previously untreated chronic lymphocytic leukemia harbouring the 17p deletion.</w:t>
            </w:r>
          </w:p>
        </w:tc>
        <w:tc>
          <w:tcPr>
            <w:tcW w:w="1180" w:type="pct"/>
            <w:vAlign w:val="center"/>
          </w:tcPr>
          <w:p w:rsidR="00F61688" w:rsidRPr="007121AF" w:rsidRDefault="00F61688" w:rsidP="00E73A7B">
            <w:pPr>
              <w:jc w:val="left"/>
              <w:rPr>
                <w:rFonts w:ascii="Arial Narrow" w:hAnsi="Arial Narrow"/>
                <w:sz w:val="20"/>
              </w:rPr>
            </w:pPr>
            <w:r w:rsidRPr="007121AF">
              <w:rPr>
                <w:rFonts w:ascii="Arial Narrow" w:hAnsi="Arial Narrow"/>
                <w:sz w:val="20"/>
              </w:rPr>
              <w:t>Internal study report</w:t>
            </w:r>
          </w:p>
          <w:p w:rsidR="00F61688" w:rsidRPr="007121AF" w:rsidRDefault="00F61688" w:rsidP="00E73A7B">
            <w:pPr>
              <w:jc w:val="left"/>
              <w:rPr>
                <w:rFonts w:ascii="Arial Narrow" w:hAnsi="Arial Narrow"/>
                <w:sz w:val="20"/>
              </w:rPr>
            </w:pPr>
            <w:r w:rsidRPr="007121AF">
              <w:rPr>
                <w:rFonts w:ascii="Arial Narrow" w:hAnsi="Arial Narrow"/>
                <w:sz w:val="20"/>
              </w:rPr>
              <w:t>[Interim results]</w:t>
            </w:r>
          </w:p>
        </w:tc>
      </w:tr>
      <w:tr w:rsidR="00F61688" w:rsidRPr="007121AF" w:rsidTr="00E73A7B">
        <w:tc>
          <w:tcPr>
            <w:tcW w:w="743" w:type="pct"/>
            <w:vMerge/>
            <w:vAlign w:val="center"/>
          </w:tcPr>
          <w:p w:rsidR="00F61688" w:rsidRPr="007121AF" w:rsidRDefault="00F61688" w:rsidP="00E73A7B">
            <w:pPr>
              <w:jc w:val="left"/>
              <w:rPr>
                <w:rFonts w:ascii="Arial Narrow" w:hAnsi="Arial Narrow"/>
                <w:sz w:val="20"/>
              </w:rPr>
            </w:pPr>
          </w:p>
        </w:tc>
        <w:tc>
          <w:tcPr>
            <w:tcW w:w="3076" w:type="pct"/>
          </w:tcPr>
          <w:p w:rsidR="00F61688" w:rsidRPr="007121AF" w:rsidRDefault="00A636E1" w:rsidP="00A636E1">
            <w:pPr>
              <w:jc w:val="left"/>
              <w:rPr>
                <w:rFonts w:ascii="Arial Narrow" w:hAnsi="Arial Narrow"/>
                <w:sz w:val="20"/>
              </w:rPr>
            </w:pPr>
            <w:r w:rsidRPr="007121AF">
              <w:rPr>
                <w:rFonts w:ascii="Arial Narrow" w:hAnsi="Arial Narrow"/>
                <w:sz w:val="20"/>
              </w:rPr>
              <w:t>Abb</w:t>
            </w:r>
            <w:r>
              <w:rPr>
                <w:rFonts w:ascii="Arial Narrow" w:hAnsi="Arial Narrow"/>
                <w:sz w:val="20"/>
              </w:rPr>
              <w:t>V</w:t>
            </w:r>
            <w:r w:rsidRPr="007121AF">
              <w:rPr>
                <w:rFonts w:ascii="Arial Narrow" w:hAnsi="Arial Narrow"/>
                <w:sz w:val="20"/>
              </w:rPr>
              <w:t xml:space="preserve">ie </w:t>
            </w:r>
            <w:r w:rsidR="00F61688" w:rsidRPr="007121AF">
              <w:rPr>
                <w:rFonts w:ascii="Arial Narrow" w:hAnsi="Arial Narrow"/>
                <w:sz w:val="20"/>
              </w:rPr>
              <w:t>Clinical Study Update (2016). Updated results of study M13-982 up to 10 June 2016</w:t>
            </w:r>
            <w:r w:rsidR="00FE1EB1">
              <w:rPr>
                <w:rFonts w:ascii="Arial Narrow" w:hAnsi="Arial Narrow"/>
                <w:sz w:val="20"/>
              </w:rPr>
              <w:t>.</w:t>
            </w:r>
          </w:p>
        </w:tc>
        <w:tc>
          <w:tcPr>
            <w:tcW w:w="1180" w:type="pct"/>
            <w:vAlign w:val="center"/>
          </w:tcPr>
          <w:p w:rsidR="00F61688" w:rsidRPr="007121AF" w:rsidRDefault="00F61688" w:rsidP="00E73A7B">
            <w:pPr>
              <w:jc w:val="left"/>
              <w:rPr>
                <w:rFonts w:ascii="Arial Narrow" w:hAnsi="Arial Narrow"/>
                <w:sz w:val="20"/>
              </w:rPr>
            </w:pPr>
            <w:r w:rsidRPr="007121AF">
              <w:rPr>
                <w:rFonts w:ascii="Arial Narrow" w:hAnsi="Arial Narrow"/>
                <w:sz w:val="20"/>
              </w:rPr>
              <w:t>Internal data</w:t>
            </w:r>
          </w:p>
          <w:p w:rsidR="00F61688" w:rsidRPr="007121AF" w:rsidRDefault="00F61688" w:rsidP="00E73A7B">
            <w:pPr>
              <w:jc w:val="left"/>
              <w:rPr>
                <w:rFonts w:ascii="Arial Narrow" w:hAnsi="Arial Narrow"/>
                <w:sz w:val="20"/>
              </w:rPr>
            </w:pPr>
            <w:r w:rsidRPr="007121AF">
              <w:rPr>
                <w:rFonts w:ascii="Arial Narrow" w:hAnsi="Arial Narrow"/>
                <w:sz w:val="20"/>
              </w:rPr>
              <w:t>[Interim results]</w:t>
            </w:r>
          </w:p>
        </w:tc>
      </w:tr>
      <w:tr w:rsidR="00F61688" w:rsidRPr="007121AF" w:rsidTr="00E73A7B">
        <w:tc>
          <w:tcPr>
            <w:tcW w:w="743" w:type="pct"/>
            <w:vMerge/>
            <w:vAlign w:val="center"/>
          </w:tcPr>
          <w:p w:rsidR="00F61688" w:rsidRPr="007121AF" w:rsidRDefault="00F61688" w:rsidP="00E73A7B">
            <w:pPr>
              <w:jc w:val="left"/>
              <w:rPr>
                <w:rFonts w:ascii="Arial Narrow" w:hAnsi="Arial Narrow"/>
                <w:sz w:val="20"/>
              </w:rPr>
            </w:pPr>
          </w:p>
        </w:tc>
        <w:tc>
          <w:tcPr>
            <w:tcW w:w="3076" w:type="pct"/>
          </w:tcPr>
          <w:p w:rsidR="00F61688" w:rsidRPr="007121AF" w:rsidRDefault="00F61688" w:rsidP="00E73A7B">
            <w:pPr>
              <w:jc w:val="left"/>
              <w:rPr>
                <w:rFonts w:ascii="Arial Narrow" w:hAnsi="Arial Narrow"/>
                <w:sz w:val="20"/>
              </w:rPr>
            </w:pPr>
            <w:r w:rsidRPr="007121AF">
              <w:rPr>
                <w:rFonts w:ascii="Arial Narrow" w:hAnsi="Arial Narrow"/>
                <w:sz w:val="20"/>
              </w:rPr>
              <w:t>Stilgenbauer S et al (2016). Venetoclax in relapsed or refractory chronic lymphocytic leukaemia with 17p deletion: a multicentre, open-label, phase 2 study.</w:t>
            </w:r>
          </w:p>
        </w:tc>
        <w:tc>
          <w:tcPr>
            <w:tcW w:w="1180" w:type="pct"/>
            <w:vAlign w:val="center"/>
          </w:tcPr>
          <w:p w:rsidR="00F61688" w:rsidRPr="007121AF" w:rsidRDefault="00F61688" w:rsidP="00E73A7B">
            <w:pPr>
              <w:jc w:val="left"/>
              <w:rPr>
                <w:rFonts w:ascii="Arial Narrow" w:hAnsi="Arial Narrow"/>
                <w:i/>
                <w:sz w:val="20"/>
              </w:rPr>
            </w:pPr>
            <w:r w:rsidRPr="007121AF">
              <w:rPr>
                <w:rFonts w:ascii="Arial Narrow" w:hAnsi="Arial Narrow"/>
                <w:sz w:val="20"/>
              </w:rPr>
              <w:t>The Lancet Oncology; 17(6): 768-778.</w:t>
            </w:r>
          </w:p>
        </w:tc>
      </w:tr>
      <w:tr w:rsidR="00F61688" w:rsidRPr="007121AF" w:rsidTr="00E73A7B">
        <w:tc>
          <w:tcPr>
            <w:tcW w:w="743" w:type="pct"/>
            <w:vMerge w:val="restart"/>
            <w:vAlign w:val="center"/>
          </w:tcPr>
          <w:p w:rsidR="00F61688" w:rsidRPr="007121AF" w:rsidRDefault="00F61688" w:rsidP="00E73A7B">
            <w:pPr>
              <w:jc w:val="left"/>
              <w:rPr>
                <w:rFonts w:ascii="Arial Narrow" w:hAnsi="Arial Narrow"/>
                <w:sz w:val="20"/>
              </w:rPr>
            </w:pPr>
            <w:r w:rsidRPr="007121AF">
              <w:rPr>
                <w:rFonts w:ascii="Arial Narrow" w:hAnsi="Arial Narrow"/>
                <w:sz w:val="20"/>
              </w:rPr>
              <w:t>M14-032</w:t>
            </w:r>
          </w:p>
        </w:tc>
        <w:tc>
          <w:tcPr>
            <w:tcW w:w="3076" w:type="pct"/>
          </w:tcPr>
          <w:p w:rsidR="00F61688" w:rsidRPr="007121AF" w:rsidRDefault="00A636E1" w:rsidP="00A636E1">
            <w:pPr>
              <w:jc w:val="left"/>
              <w:rPr>
                <w:rFonts w:ascii="Arial Narrow" w:hAnsi="Arial Narrow"/>
                <w:sz w:val="20"/>
              </w:rPr>
            </w:pPr>
            <w:r w:rsidRPr="007121AF">
              <w:rPr>
                <w:rFonts w:ascii="Arial Narrow" w:hAnsi="Arial Narrow"/>
                <w:sz w:val="20"/>
              </w:rPr>
              <w:t>Abb</w:t>
            </w:r>
            <w:r>
              <w:rPr>
                <w:rFonts w:ascii="Arial Narrow" w:hAnsi="Arial Narrow"/>
                <w:sz w:val="20"/>
              </w:rPr>
              <w:t>V</w:t>
            </w:r>
            <w:r w:rsidRPr="007121AF">
              <w:rPr>
                <w:rFonts w:ascii="Arial Narrow" w:hAnsi="Arial Narrow"/>
                <w:sz w:val="20"/>
              </w:rPr>
              <w:t xml:space="preserve">ie </w:t>
            </w:r>
            <w:r w:rsidR="00F61688" w:rsidRPr="007121AF">
              <w:rPr>
                <w:rFonts w:ascii="Arial Narrow" w:hAnsi="Arial Narrow"/>
                <w:sz w:val="20"/>
              </w:rPr>
              <w:t>Clinical Study Report (2015). A phase 2 open-label study of the efficacy and safety of venetoclax (ABT-199/GDC-0199) in chronic lymphocytic leukemia subjects with relapsed or refractory to B-cell receptor signalling pathway inhibitor therapy.</w:t>
            </w:r>
          </w:p>
        </w:tc>
        <w:tc>
          <w:tcPr>
            <w:tcW w:w="1180" w:type="pct"/>
            <w:vAlign w:val="center"/>
          </w:tcPr>
          <w:p w:rsidR="00F61688" w:rsidRPr="007121AF" w:rsidRDefault="00F61688" w:rsidP="00E73A7B">
            <w:pPr>
              <w:jc w:val="left"/>
              <w:rPr>
                <w:rFonts w:ascii="Arial Narrow" w:hAnsi="Arial Narrow"/>
                <w:sz w:val="20"/>
              </w:rPr>
            </w:pPr>
            <w:r w:rsidRPr="007121AF">
              <w:rPr>
                <w:rFonts w:ascii="Arial Narrow" w:hAnsi="Arial Narrow"/>
                <w:sz w:val="20"/>
              </w:rPr>
              <w:t>Internal study report</w:t>
            </w:r>
          </w:p>
          <w:p w:rsidR="00F61688" w:rsidRPr="007121AF" w:rsidRDefault="00F61688" w:rsidP="00E73A7B">
            <w:pPr>
              <w:jc w:val="left"/>
              <w:rPr>
                <w:rFonts w:ascii="Arial Narrow" w:hAnsi="Arial Narrow"/>
                <w:i/>
                <w:sz w:val="20"/>
              </w:rPr>
            </w:pPr>
            <w:r w:rsidRPr="007121AF">
              <w:rPr>
                <w:rFonts w:ascii="Arial Narrow" w:hAnsi="Arial Narrow"/>
                <w:sz w:val="20"/>
              </w:rPr>
              <w:t>[Preliminary results]</w:t>
            </w:r>
          </w:p>
        </w:tc>
      </w:tr>
      <w:tr w:rsidR="00F61688" w:rsidRPr="007121AF" w:rsidTr="00E73A7B">
        <w:tc>
          <w:tcPr>
            <w:tcW w:w="743" w:type="pct"/>
            <w:vMerge/>
          </w:tcPr>
          <w:p w:rsidR="00F61688" w:rsidRPr="007121AF" w:rsidRDefault="00F61688" w:rsidP="00E73A7B">
            <w:pPr>
              <w:jc w:val="left"/>
              <w:rPr>
                <w:rFonts w:ascii="Arial Narrow" w:hAnsi="Arial Narrow"/>
                <w:sz w:val="20"/>
              </w:rPr>
            </w:pPr>
          </w:p>
        </w:tc>
        <w:tc>
          <w:tcPr>
            <w:tcW w:w="3076" w:type="pct"/>
          </w:tcPr>
          <w:p w:rsidR="00F61688" w:rsidRPr="007121AF" w:rsidRDefault="00A636E1" w:rsidP="00A636E1">
            <w:pPr>
              <w:jc w:val="left"/>
              <w:rPr>
                <w:rFonts w:ascii="Arial Narrow" w:hAnsi="Arial Narrow"/>
                <w:sz w:val="20"/>
              </w:rPr>
            </w:pPr>
            <w:r w:rsidRPr="007121AF">
              <w:rPr>
                <w:rFonts w:ascii="Arial Narrow" w:hAnsi="Arial Narrow"/>
                <w:sz w:val="20"/>
              </w:rPr>
              <w:t>Abb</w:t>
            </w:r>
            <w:r>
              <w:rPr>
                <w:rFonts w:ascii="Arial Narrow" w:hAnsi="Arial Narrow"/>
                <w:sz w:val="20"/>
              </w:rPr>
              <w:t>V</w:t>
            </w:r>
            <w:r w:rsidRPr="007121AF">
              <w:rPr>
                <w:rFonts w:ascii="Arial Narrow" w:hAnsi="Arial Narrow"/>
                <w:sz w:val="20"/>
              </w:rPr>
              <w:t xml:space="preserve">ie </w:t>
            </w:r>
            <w:r w:rsidR="00F61688" w:rsidRPr="007121AF">
              <w:rPr>
                <w:rFonts w:ascii="Arial Narrow" w:hAnsi="Arial Narrow"/>
                <w:sz w:val="20"/>
              </w:rPr>
              <w:t>Clinical Study Update (2016). Updated results of study M14-032 up to 10 June 2016</w:t>
            </w:r>
            <w:r w:rsidR="00FE1EB1">
              <w:rPr>
                <w:rFonts w:ascii="Arial Narrow" w:hAnsi="Arial Narrow"/>
                <w:sz w:val="20"/>
              </w:rPr>
              <w:t>.</w:t>
            </w:r>
          </w:p>
        </w:tc>
        <w:tc>
          <w:tcPr>
            <w:tcW w:w="1180" w:type="pct"/>
            <w:vAlign w:val="center"/>
          </w:tcPr>
          <w:p w:rsidR="00F61688" w:rsidRPr="007121AF" w:rsidRDefault="00F61688" w:rsidP="00E73A7B">
            <w:pPr>
              <w:jc w:val="left"/>
              <w:rPr>
                <w:rFonts w:ascii="Arial Narrow" w:hAnsi="Arial Narrow"/>
                <w:sz w:val="20"/>
              </w:rPr>
            </w:pPr>
            <w:r w:rsidRPr="007121AF">
              <w:rPr>
                <w:rFonts w:ascii="Arial Narrow" w:hAnsi="Arial Narrow"/>
                <w:sz w:val="20"/>
              </w:rPr>
              <w:t>Internal data</w:t>
            </w:r>
          </w:p>
          <w:p w:rsidR="00F61688" w:rsidRPr="007121AF" w:rsidRDefault="00F61688" w:rsidP="00E73A7B">
            <w:pPr>
              <w:jc w:val="left"/>
              <w:rPr>
                <w:rFonts w:ascii="Arial Narrow" w:hAnsi="Arial Narrow"/>
                <w:sz w:val="20"/>
              </w:rPr>
            </w:pPr>
            <w:r w:rsidRPr="007121AF">
              <w:rPr>
                <w:rFonts w:ascii="Arial Narrow" w:hAnsi="Arial Narrow"/>
                <w:sz w:val="20"/>
              </w:rPr>
              <w:t>[Interim results]</w:t>
            </w:r>
          </w:p>
        </w:tc>
      </w:tr>
      <w:tr w:rsidR="00F61688" w:rsidRPr="007121AF" w:rsidTr="00E73A7B">
        <w:tc>
          <w:tcPr>
            <w:tcW w:w="5000" w:type="pct"/>
            <w:gridSpan w:val="3"/>
          </w:tcPr>
          <w:p w:rsidR="00F61688" w:rsidRPr="007121AF" w:rsidRDefault="00F61688" w:rsidP="00E73A7B">
            <w:pPr>
              <w:jc w:val="left"/>
              <w:rPr>
                <w:rFonts w:ascii="Arial Narrow" w:hAnsi="Arial Narrow"/>
                <w:b/>
                <w:sz w:val="20"/>
              </w:rPr>
            </w:pPr>
            <w:r w:rsidRPr="007121AF">
              <w:rPr>
                <w:rFonts w:ascii="Arial Narrow" w:hAnsi="Arial Narrow"/>
                <w:b/>
                <w:sz w:val="20"/>
              </w:rPr>
              <w:t>Ibrutinib studies</w:t>
            </w:r>
          </w:p>
        </w:tc>
      </w:tr>
      <w:tr w:rsidR="00F61688" w:rsidRPr="007121AF" w:rsidTr="00E73A7B">
        <w:tc>
          <w:tcPr>
            <w:tcW w:w="743" w:type="pct"/>
            <w:vMerge w:val="restart"/>
            <w:vAlign w:val="center"/>
          </w:tcPr>
          <w:p w:rsidR="00F61688" w:rsidRPr="007121AF" w:rsidRDefault="00F61688" w:rsidP="00E73A7B">
            <w:pPr>
              <w:jc w:val="left"/>
              <w:rPr>
                <w:rFonts w:ascii="Arial Narrow" w:hAnsi="Arial Narrow"/>
                <w:sz w:val="20"/>
              </w:rPr>
            </w:pPr>
            <w:r w:rsidRPr="007121AF">
              <w:rPr>
                <w:rFonts w:ascii="Arial Narrow" w:hAnsi="Arial Narrow"/>
                <w:sz w:val="20"/>
              </w:rPr>
              <w:t>RESONATE</w:t>
            </w:r>
          </w:p>
        </w:tc>
        <w:tc>
          <w:tcPr>
            <w:tcW w:w="3076" w:type="pct"/>
          </w:tcPr>
          <w:p w:rsidR="00F61688" w:rsidRPr="007121AF" w:rsidRDefault="00F61688" w:rsidP="00E73A7B">
            <w:pPr>
              <w:jc w:val="left"/>
              <w:rPr>
                <w:rFonts w:ascii="Arial Narrow" w:hAnsi="Arial Narrow"/>
                <w:b/>
                <w:sz w:val="20"/>
              </w:rPr>
            </w:pPr>
            <w:r w:rsidRPr="007121AF">
              <w:rPr>
                <w:rFonts w:ascii="Arial Narrow" w:hAnsi="Arial Narrow"/>
                <w:sz w:val="20"/>
              </w:rPr>
              <w:t xml:space="preserve">Byrd JC et al (2014). Ibrutinib versus ofatumumab in previously treated chronic lymphoid leukemia. </w:t>
            </w:r>
          </w:p>
        </w:tc>
        <w:tc>
          <w:tcPr>
            <w:tcW w:w="1180" w:type="pct"/>
            <w:vAlign w:val="center"/>
          </w:tcPr>
          <w:p w:rsidR="00F61688" w:rsidRPr="007121AF" w:rsidRDefault="00F61688" w:rsidP="00E73A7B">
            <w:pPr>
              <w:jc w:val="left"/>
              <w:rPr>
                <w:rFonts w:ascii="Arial Narrow" w:hAnsi="Arial Narrow"/>
                <w:b/>
                <w:sz w:val="20"/>
              </w:rPr>
            </w:pPr>
            <w:r w:rsidRPr="007121AF">
              <w:rPr>
                <w:rFonts w:ascii="Arial Narrow" w:hAnsi="Arial Narrow"/>
                <w:sz w:val="20"/>
              </w:rPr>
              <w:t xml:space="preserve">New England Journal of Medicine; 371: 213-223. </w:t>
            </w:r>
          </w:p>
        </w:tc>
      </w:tr>
      <w:tr w:rsidR="00F61688" w:rsidRPr="007121AF" w:rsidTr="00E73A7B">
        <w:tc>
          <w:tcPr>
            <w:tcW w:w="743" w:type="pct"/>
            <w:vMerge/>
            <w:vAlign w:val="center"/>
          </w:tcPr>
          <w:p w:rsidR="00F61688" w:rsidRPr="007121AF" w:rsidRDefault="00F61688" w:rsidP="00E73A7B">
            <w:pPr>
              <w:jc w:val="left"/>
              <w:rPr>
                <w:rFonts w:ascii="Arial Narrow" w:hAnsi="Arial Narrow"/>
                <w:sz w:val="20"/>
              </w:rPr>
            </w:pPr>
          </w:p>
        </w:tc>
        <w:tc>
          <w:tcPr>
            <w:tcW w:w="3076" w:type="pct"/>
          </w:tcPr>
          <w:p w:rsidR="00F61688" w:rsidRPr="007121AF" w:rsidRDefault="00F61688" w:rsidP="00E73A7B">
            <w:pPr>
              <w:jc w:val="left"/>
              <w:rPr>
                <w:rFonts w:ascii="Arial Narrow" w:hAnsi="Arial Narrow"/>
                <w:sz w:val="20"/>
              </w:rPr>
            </w:pPr>
            <w:r w:rsidRPr="007121AF">
              <w:rPr>
                <w:rFonts w:ascii="Arial Narrow" w:hAnsi="Arial Narrow"/>
                <w:sz w:val="20"/>
              </w:rPr>
              <w:t>Brown JR et al (2014). Updated efficacy including genetic and clinical subgroup analysis and overall safety in the phase 3 RESONATE</w:t>
            </w:r>
            <w:r w:rsidRPr="007121AF">
              <w:rPr>
                <w:rFonts w:ascii="Arial Narrow" w:hAnsi="Arial Narrow"/>
                <w:sz w:val="20"/>
                <w:vertAlign w:val="superscript"/>
              </w:rPr>
              <w:t>TM</w:t>
            </w:r>
            <w:r w:rsidRPr="007121AF">
              <w:rPr>
                <w:rFonts w:ascii="Arial Narrow" w:hAnsi="Arial Narrow"/>
                <w:sz w:val="20"/>
              </w:rPr>
              <w:t xml:space="preserve"> trial of ibrutinib versus ofatumumab in previously treated chronic lymphocytic leukemia/small lymphocytic lymphoma</w:t>
            </w:r>
            <w:r w:rsidR="00F07E56">
              <w:rPr>
                <w:rFonts w:ascii="Arial Narrow" w:hAnsi="Arial Narrow"/>
                <w:sz w:val="20"/>
              </w:rPr>
              <w:t>.</w:t>
            </w:r>
          </w:p>
        </w:tc>
        <w:tc>
          <w:tcPr>
            <w:tcW w:w="1180" w:type="pct"/>
            <w:vAlign w:val="center"/>
          </w:tcPr>
          <w:p w:rsidR="00F61688" w:rsidRPr="007121AF" w:rsidRDefault="00F61688" w:rsidP="00E73A7B">
            <w:pPr>
              <w:jc w:val="left"/>
              <w:rPr>
                <w:rFonts w:ascii="Arial Narrow" w:hAnsi="Arial Narrow"/>
                <w:sz w:val="20"/>
              </w:rPr>
            </w:pPr>
            <w:r w:rsidRPr="007121AF">
              <w:rPr>
                <w:rFonts w:ascii="Arial Narrow" w:hAnsi="Arial Narrow"/>
                <w:sz w:val="20"/>
              </w:rPr>
              <w:t xml:space="preserve">Blood 124: 3331 </w:t>
            </w:r>
          </w:p>
          <w:p w:rsidR="00F61688" w:rsidRPr="007121AF" w:rsidRDefault="00F61688" w:rsidP="00E73A7B">
            <w:pPr>
              <w:jc w:val="left"/>
              <w:rPr>
                <w:rFonts w:ascii="Arial Narrow" w:hAnsi="Arial Narrow"/>
                <w:sz w:val="20"/>
              </w:rPr>
            </w:pPr>
            <w:r w:rsidRPr="007121AF">
              <w:rPr>
                <w:rFonts w:ascii="Arial Narrow" w:hAnsi="Arial Narrow"/>
                <w:sz w:val="20"/>
              </w:rPr>
              <w:t>[abstract only]</w:t>
            </w:r>
          </w:p>
        </w:tc>
      </w:tr>
      <w:tr w:rsidR="00F61688" w:rsidRPr="007121AF" w:rsidTr="00E73A7B">
        <w:tc>
          <w:tcPr>
            <w:tcW w:w="743" w:type="pct"/>
            <w:vMerge/>
            <w:vAlign w:val="center"/>
          </w:tcPr>
          <w:p w:rsidR="00F61688" w:rsidRPr="007121AF" w:rsidRDefault="00F61688" w:rsidP="00E73A7B">
            <w:pPr>
              <w:jc w:val="left"/>
              <w:rPr>
                <w:rFonts w:ascii="Arial Narrow" w:hAnsi="Arial Narrow"/>
                <w:sz w:val="20"/>
              </w:rPr>
            </w:pPr>
          </w:p>
        </w:tc>
        <w:tc>
          <w:tcPr>
            <w:tcW w:w="3076" w:type="pct"/>
          </w:tcPr>
          <w:p w:rsidR="00F61688" w:rsidRPr="007121AF" w:rsidRDefault="00F61688" w:rsidP="00E73A7B">
            <w:pPr>
              <w:jc w:val="left"/>
              <w:rPr>
                <w:rFonts w:ascii="Arial Narrow" w:hAnsi="Arial Narrow"/>
                <w:sz w:val="20"/>
              </w:rPr>
            </w:pPr>
            <w:r w:rsidRPr="007121AF">
              <w:rPr>
                <w:rFonts w:ascii="Arial Narrow" w:hAnsi="Arial Narrow"/>
                <w:sz w:val="20"/>
              </w:rPr>
              <w:t xml:space="preserve">NICE technology appraisal (2016). Ibrutinib for treating chronic lymphocytic leukaemia. </w:t>
            </w:r>
          </w:p>
        </w:tc>
        <w:tc>
          <w:tcPr>
            <w:tcW w:w="1180" w:type="pct"/>
            <w:vAlign w:val="center"/>
          </w:tcPr>
          <w:p w:rsidR="00F61688" w:rsidRPr="007121AF" w:rsidRDefault="00F61688" w:rsidP="00E73A7B">
            <w:pPr>
              <w:jc w:val="left"/>
              <w:rPr>
                <w:rFonts w:ascii="Arial Narrow" w:hAnsi="Arial Narrow"/>
                <w:sz w:val="20"/>
              </w:rPr>
            </w:pPr>
            <w:r w:rsidRPr="007121AF">
              <w:rPr>
                <w:rFonts w:ascii="Arial Narrow" w:hAnsi="Arial Narrow"/>
                <w:sz w:val="20"/>
              </w:rPr>
              <w:t>NICE website [ID749]</w:t>
            </w:r>
          </w:p>
        </w:tc>
      </w:tr>
      <w:tr w:rsidR="00F61688" w:rsidRPr="007121AF" w:rsidTr="00E73A7B">
        <w:tc>
          <w:tcPr>
            <w:tcW w:w="743" w:type="pct"/>
            <w:vAlign w:val="center"/>
          </w:tcPr>
          <w:p w:rsidR="00F61688" w:rsidRPr="007121AF" w:rsidRDefault="00F61688" w:rsidP="00E73A7B">
            <w:pPr>
              <w:jc w:val="left"/>
              <w:rPr>
                <w:rFonts w:ascii="Arial Narrow" w:hAnsi="Arial Narrow"/>
                <w:sz w:val="20"/>
              </w:rPr>
            </w:pPr>
            <w:r w:rsidRPr="007121AF">
              <w:rPr>
                <w:rFonts w:ascii="Arial Narrow" w:hAnsi="Arial Narrow"/>
                <w:sz w:val="20"/>
              </w:rPr>
              <w:t>RESONATE-17</w:t>
            </w:r>
          </w:p>
        </w:tc>
        <w:tc>
          <w:tcPr>
            <w:tcW w:w="3076" w:type="pct"/>
          </w:tcPr>
          <w:p w:rsidR="00F61688" w:rsidRPr="007121AF" w:rsidRDefault="00F61688" w:rsidP="00E73A7B">
            <w:pPr>
              <w:jc w:val="left"/>
              <w:rPr>
                <w:rFonts w:ascii="Arial Narrow" w:hAnsi="Arial Narrow"/>
                <w:b/>
                <w:sz w:val="20"/>
              </w:rPr>
            </w:pPr>
            <w:r w:rsidRPr="007121AF">
              <w:rPr>
                <w:rFonts w:ascii="Arial Narrow" w:hAnsi="Arial Narrow"/>
                <w:sz w:val="20"/>
              </w:rPr>
              <w:t xml:space="preserve">O'Brien S et al (2016). Ibrutinib for patients with relapsed or refractory chronic lymphocytic leukaemia with 17p deletion (RESONATE-17): a phase 2, open-label, multicentre study. </w:t>
            </w:r>
          </w:p>
        </w:tc>
        <w:tc>
          <w:tcPr>
            <w:tcW w:w="1180" w:type="pct"/>
            <w:vAlign w:val="center"/>
          </w:tcPr>
          <w:p w:rsidR="00F61688" w:rsidRPr="007121AF" w:rsidRDefault="00F61688" w:rsidP="00E73A7B">
            <w:pPr>
              <w:jc w:val="left"/>
              <w:rPr>
                <w:rFonts w:ascii="Arial Narrow" w:hAnsi="Arial Narrow"/>
                <w:b/>
                <w:sz w:val="20"/>
              </w:rPr>
            </w:pPr>
            <w:r w:rsidRPr="007121AF">
              <w:rPr>
                <w:rFonts w:ascii="Arial Narrow" w:hAnsi="Arial Narrow"/>
                <w:sz w:val="20"/>
              </w:rPr>
              <w:t xml:space="preserve">The Lancet Oncology; 17: 1409-1418. </w:t>
            </w:r>
          </w:p>
        </w:tc>
      </w:tr>
      <w:tr w:rsidR="00F61688" w:rsidRPr="007121AF" w:rsidTr="00E73A7B">
        <w:tc>
          <w:tcPr>
            <w:tcW w:w="5000" w:type="pct"/>
            <w:gridSpan w:val="3"/>
          </w:tcPr>
          <w:p w:rsidR="00F61688" w:rsidRPr="007121AF" w:rsidRDefault="00F61688" w:rsidP="00E73A7B">
            <w:pPr>
              <w:jc w:val="left"/>
              <w:rPr>
                <w:rFonts w:ascii="Arial Narrow" w:hAnsi="Arial Narrow"/>
                <w:b/>
                <w:sz w:val="20"/>
              </w:rPr>
            </w:pPr>
            <w:r w:rsidRPr="007121AF">
              <w:rPr>
                <w:rFonts w:ascii="Arial Narrow" w:hAnsi="Arial Narrow"/>
                <w:b/>
                <w:sz w:val="20"/>
              </w:rPr>
              <w:t>Idelalisib + rituximab studies</w:t>
            </w:r>
          </w:p>
        </w:tc>
      </w:tr>
      <w:tr w:rsidR="00F61688" w:rsidRPr="007121AF" w:rsidTr="00E73A7B">
        <w:tc>
          <w:tcPr>
            <w:tcW w:w="743" w:type="pct"/>
            <w:vMerge w:val="restart"/>
            <w:vAlign w:val="center"/>
          </w:tcPr>
          <w:p w:rsidR="00F61688" w:rsidRPr="007121AF" w:rsidRDefault="00F61688" w:rsidP="00E73A7B">
            <w:pPr>
              <w:jc w:val="left"/>
              <w:rPr>
                <w:rFonts w:ascii="Arial Narrow" w:hAnsi="Arial Narrow"/>
                <w:sz w:val="20"/>
              </w:rPr>
            </w:pPr>
            <w:r w:rsidRPr="007121AF">
              <w:rPr>
                <w:rFonts w:ascii="Arial Narrow" w:hAnsi="Arial Narrow"/>
                <w:sz w:val="20"/>
              </w:rPr>
              <w:t>312-0116</w:t>
            </w:r>
          </w:p>
        </w:tc>
        <w:tc>
          <w:tcPr>
            <w:tcW w:w="3076" w:type="pct"/>
          </w:tcPr>
          <w:p w:rsidR="00F61688" w:rsidRPr="007121AF" w:rsidRDefault="00F61688" w:rsidP="00E73A7B">
            <w:pPr>
              <w:jc w:val="left"/>
              <w:rPr>
                <w:rFonts w:ascii="Arial Narrow" w:hAnsi="Arial Narrow"/>
                <w:b/>
                <w:sz w:val="20"/>
              </w:rPr>
            </w:pPr>
            <w:r w:rsidRPr="007121AF">
              <w:rPr>
                <w:rFonts w:ascii="Arial Narrow" w:hAnsi="Arial Narrow"/>
                <w:sz w:val="20"/>
              </w:rPr>
              <w:t xml:space="preserve">Furman RR et al (2014). Idelalisib and rituximab in relapsed chronic lymphocytic leukemia. </w:t>
            </w:r>
          </w:p>
        </w:tc>
        <w:tc>
          <w:tcPr>
            <w:tcW w:w="1180" w:type="pct"/>
            <w:vAlign w:val="center"/>
          </w:tcPr>
          <w:p w:rsidR="00F61688" w:rsidRPr="007121AF" w:rsidRDefault="00F61688" w:rsidP="00E73A7B">
            <w:pPr>
              <w:jc w:val="left"/>
              <w:rPr>
                <w:rFonts w:ascii="Arial Narrow" w:hAnsi="Arial Narrow"/>
                <w:b/>
                <w:sz w:val="20"/>
              </w:rPr>
            </w:pPr>
            <w:r w:rsidRPr="007121AF">
              <w:rPr>
                <w:rFonts w:ascii="Arial Narrow" w:hAnsi="Arial Narrow"/>
                <w:sz w:val="20"/>
              </w:rPr>
              <w:t>New England Journal of Medicine; 370: 997-1007</w:t>
            </w:r>
          </w:p>
        </w:tc>
      </w:tr>
      <w:tr w:rsidR="00F61688" w:rsidRPr="007121AF" w:rsidTr="00E73A7B">
        <w:tc>
          <w:tcPr>
            <w:tcW w:w="743" w:type="pct"/>
            <w:vMerge/>
          </w:tcPr>
          <w:p w:rsidR="00F61688" w:rsidRPr="007121AF" w:rsidRDefault="00F61688" w:rsidP="00E73A7B">
            <w:pPr>
              <w:jc w:val="left"/>
              <w:rPr>
                <w:rFonts w:ascii="Arial Narrow" w:hAnsi="Arial Narrow"/>
                <w:sz w:val="20"/>
              </w:rPr>
            </w:pPr>
          </w:p>
        </w:tc>
        <w:tc>
          <w:tcPr>
            <w:tcW w:w="3076" w:type="pct"/>
          </w:tcPr>
          <w:p w:rsidR="00F61688" w:rsidRPr="007121AF" w:rsidRDefault="00F61688" w:rsidP="00E73A7B">
            <w:pPr>
              <w:jc w:val="left"/>
              <w:rPr>
                <w:rFonts w:ascii="Arial Narrow" w:hAnsi="Arial Narrow"/>
                <w:sz w:val="20"/>
              </w:rPr>
            </w:pPr>
            <w:r w:rsidRPr="007121AF">
              <w:rPr>
                <w:rFonts w:ascii="Arial Narrow" w:hAnsi="Arial Narrow"/>
                <w:sz w:val="20"/>
              </w:rPr>
              <w:t xml:space="preserve">NICE technology appraisal (2015). Idelalisib for treating chronic lymphocytic leukaemia. </w:t>
            </w:r>
          </w:p>
        </w:tc>
        <w:tc>
          <w:tcPr>
            <w:tcW w:w="1180" w:type="pct"/>
            <w:vAlign w:val="center"/>
          </w:tcPr>
          <w:p w:rsidR="00F61688" w:rsidRPr="007121AF" w:rsidRDefault="00F61688" w:rsidP="00E73A7B">
            <w:pPr>
              <w:jc w:val="left"/>
              <w:rPr>
                <w:rFonts w:ascii="Arial Narrow" w:hAnsi="Arial Narrow"/>
                <w:sz w:val="20"/>
              </w:rPr>
            </w:pPr>
            <w:r w:rsidRPr="007121AF">
              <w:rPr>
                <w:rFonts w:ascii="Arial Narrow" w:hAnsi="Arial Narrow"/>
                <w:sz w:val="20"/>
              </w:rPr>
              <w:t>NICE website [ID764]</w:t>
            </w:r>
          </w:p>
        </w:tc>
      </w:tr>
    </w:tbl>
    <w:p w:rsidR="00F61688" w:rsidRPr="00D13A3E" w:rsidRDefault="00F61688" w:rsidP="00F61688">
      <w:pPr>
        <w:pStyle w:val="TableFooter"/>
        <w:ind w:firstLine="720"/>
      </w:pPr>
      <w:r>
        <w:t>Source: Table B-3, p68-70 of the submission</w:t>
      </w:r>
    </w:p>
    <w:p w:rsidR="00B739E7" w:rsidRDefault="00B739E7">
      <w:pPr>
        <w:widowControl/>
        <w:jc w:val="left"/>
        <w:rPr>
          <w:szCs w:val="22"/>
        </w:rPr>
      </w:pPr>
      <w:r>
        <w:rPr>
          <w:szCs w:val="22"/>
        </w:rPr>
        <w:br w:type="page"/>
      </w:r>
    </w:p>
    <w:p w:rsidR="00F61688" w:rsidRDefault="00F61688" w:rsidP="001011FE">
      <w:pPr>
        <w:pStyle w:val="ListParagraph"/>
        <w:widowControl/>
        <w:numPr>
          <w:ilvl w:val="1"/>
          <w:numId w:val="3"/>
        </w:numPr>
        <w:rPr>
          <w:szCs w:val="22"/>
        </w:rPr>
      </w:pPr>
      <w:r w:rsidRPr="00B50DB8">
        <w:rPr>
          <w:szCs w:val="22"/>
        </w:rPr>
        <w:t xml:space="preserve">The key features of the </w:t>
      </w:r>
      <w:r>
        <w:rPr>
          <w:szCs w:val="22"/>
        </w:rPr>
        <w:t xml:space="preserve">included studies </w:t>
      </w:r>
      <w:r w:rsidRPr="00B50DB8">
        <w:rPr>
          <w:szCs w:val="22"/>
        </w:rPr>
        <w:t xml:space="preserve">are summarised in </w:t>
      </w:r>
      <w:r>
        <w:rPr>
          <w:szCs w:val="22"/>
        </w:rPr>
        <w:t>T</w:t>
      </w:r>
      <w:r w:rsidRPr="00B50DB8">
        <w:rPr>
          <w:szCs w:val="22"/>
        </w:rPr>
        <w:t xml:space="preserve">able </w:t>
      </w:r>
      <w:r>
        <w:rPr>
          <w:szCs w:val="22"/>
        </w:rPr>
        <w:t>2.</w:t>
      </w:r>
    </w:p>
    <w:p w:rsidR="00F61688" w:rsidRPr="005914AF" w:rsidRDefault="00F61688" w:rsidP="00F61688">
      <w:pPr>
        <w:widowControl/>
        <w:rPr>
          <w:szCs w:val="22"/>
        </w:rPr>
      </w:pPr>
    </w:p>
    <w:p w:rsidR="00F61688" w:rsidRPr="00E2771E" w:rsidRDefault="00F61688" w:rsidP="00F61688">
      <w:pPr>
        <w:ind w:firstLine="720"/>
        <w:rPr>
          <w:rStyle w:val="CommentReference"/>
        </w:rPr>
      </w:pPr>
      <w:r>
        <w:rPr>
          <w:rStyle w:val="CommentReference"/>
        </w:rPr>
        <w:t>Table 2</w:t>
      </w:r>
      <w:r w:rsidRPr="00E2771E">
        <w:rPr>
          <w:rStyle w:val="CommentReference"/>
        </w:rPr>
        <w:t>: Key features of the included evidence</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40"/>
        <w:gridCol w:w="646"/>
        <w:gridCol w:w="1936"/>
        <w:gridCol w:w="714"/>
        <w:gridCol w:w="1856"/>
        <w:gridCol w:w="856"/>
        <w:gridCol w:w="1097"/>
      </w:tblGrid>
      <w:tr w:rsidR="00F61688" w:rsidRPr="007121AF" w:rsidTr="00E73A7B">
        <w:tc>
          <w:tcPr>
            <w:tcW w:w="743" w:type="pct"/>
            <w:shd w:val="clear" w:color="auto" w:fill="auto"/>
            <w:vAlign w:val="center"/>
          </w:tcPr>
          <w:p w:rsidR="00F61688" w:rsidRPr="007121AF" w:rsidRDefault="00F61688" w:rsidP="00E73A7B">
            <w:pPr>
              <w:jc w:val="left"/>
              <w:rPr>
                <w:rFonts w:ascii="Arial Narrow" w:hAnsi="Arial Narrow"/>
                <w:b/>
                <w:sz w:val="20"/>
                <w:lang w:val="en-US"/>
              </w:rPr>
            </w:pPr>
            <w:r w:rsidRPr="007121AF">
              <w:rPr>
                <w:rFonts w:ascii="Arial Narrow" w:hAnsi="Arial Narrow"/>
                <w:b/>
                <w:sz w:val="20"/>
                <w:lang w:val="en-US"/>
              </w:rPr>
              <w:t>Trial</w:t>
            </w:r>
          </w:p>
        </w:tc>
        <w:tc>
          <w:tcPr>
            <w:tcW w:w="387" w:type="pct"/>
            <w:shd w:val="clear" w:color="auto" w:fill="auto"/>
            <w:vAlign w:val="center"/>
          </w:tcPr>
          <w:p w:rsidR="00F61688" w:rsidRPr="007121AF" w:rsidRDefault="00F61688" w:rsidP="00E73A7B">
            <w:pPr>
              <w:jc w:val="center"/>
              <w:rPr>
                <w:rFonts w:ascii="Arial Narrow" w:hAnsi="Arial Narrow"/>
                <w:b/>
                <w:sz w:val="20"/>
                <w:lang w:val="en-US"/>
              </w:rPr>
            </w:pPr>
            <w:r w:rsidRPr="007121AF">
              <w:rPr>
                <w:rFonts w:ascii="Arial Narrow" w:hAnsi="Arial Narrow"/>
                <w:b/>
                <w:sz w:val="20"/>
                <w:lang w:val="en-US"/>
              </w:rPr>
              <w:t>N</w:t>
            </w:r>
          </w:p>
        </w:tc>
        <w:tc>
          <w:tcPr>
            <w:tcW w:w="1160" w:type="pct"/>
            <w:shd w:val="clear" w:color="auto" w:fill="auto"/>
            <w:vAlign w:val="center"/>
          </w:tcPr>
          <w:p w:rsidR="00F61688" w:rsidRPr="007121AF" w:rsidRDefault="00F61688" w:rsidP="00E73A7B">
            <w:pPr>
              <w:jc w:val="center"/>
              <w:rPr>
                <w:rFonts w:ascii="Arial Narrow" w:hAnsi="Arial Narrow"/>
                <w:b/>
                <w:sz w:val="20"/>
                <w:lang w:val="en-US"/>
              </w:rPr>
            </w:pPr>
            <w:r w:rsidRPr="007121AF">
              <w:rPr>
                <w:rFonts w:ascii="Arial Narrow" w:hAnsi="Arial Narrow"/>
                <w:b/>
                <w:sz w:val="20"/>
                <w:lang w:val="en-US"/>
              </w:rPr>
              <w:t>Design/ duration</w:t>
            </w:r>
          </w:p>
        </w:tc>
        <w:tc>
          <w:tcPr>
            <w:tcW w:w="428" w:type="pct"/>
            <w:shd w:val="clear" w:color="auto" w:fill="auto"/>
            <w:vAlign w:val="center"/>
          </w:tcPr>
          <w:p w:rsidR="00F61688" w:rsidRPr="007121AF" w:rsidRDefault="00F61688" w:rsidP="00E73A7B">
            <w:pPr>
              <w:jc w:val="center"/>
              <w:rPr>
                <w:rFonts w:ascii="Arial Narrow" w:hAnsi="Arial Narrow"/>
                <w:b/>
                <w:sz w:val="20"/>
                <w:lang w:val="en-US"/>
              </w:rPr>
            </w:pPr>
            <w:r w:rsidRPr="007121AF">
              <w:rPr>
                <w:rFonts w:ascii="Arial Narrow" w:hAnsi="Arial Narrow"/>
                <w:b/>
                <w:sz w:val="20"/>
                <w:lang w:val="en-US"/>
              </w:rPr>
              <w:t>Risk of bias</w:t>
            </w:r>
          </w:p>
        </w:tc>
        <w:tc>
          <w:tcPr>
            <w:tcW w:w="1112" w:type="pct"/>
            <w:shd w:val="clear" w:color="auto" w:fill="auto"/>
            <w:vAlign w:val="center"/>
          </w:tcPr>
          <w:p w:rsidR="00F61688" w:rsidRPr="007121AF" w:rsidRDefault="00F61688" w:rsidP="00E73A7B">
            <w:pPr>
              <w:jc w:val="center"/>
              <w:rPr>
                <w:rFonts w:ascii="Arial Narrow" w:hAnsi="Arial Narrow"/>
                <w:b/>
                <w:sz w:val="20"/>
                <w:lang w:val="en-US"/>
              </w:rPr>
            </w:pPr>
            <w:r w:rsidRPr="007121AF">
              <w:rPr>
                <w:rFonts w:ascii="Arial Narrow" w:hAnsi="Arial Narrow"/>
                <w:b/>
                <w:sz w:val="20"/>
                <w:lang w:val="en-US"/>
              </w:rPr>
              <w:t>Patient population</w:t>
            </w:r>
          </w:p>
        </w:tc>
        <w:tc>
          <w:tcPr>
            <w:tcW w:w="513" w:type="pct"/>
            <w:shd w:val="clear" w:color="auto" w:fill="auto"/>
            <w:vAlign w:val="center"/>
          </w:tcPr>
          <w:p w:rsidR="00F61688" w:rsidRPr="007121AF" w:rsidRDefault="00F61688" w:rsidP="00E73A7B">
            <w:pPr>
              <w:jc w:val="center"/>
              <w:rPr>
                <w:rFonts w:ascii="Arial Narrow" w:hAnsi="Arial Narrow"/>
                <w:b/>
                <w:sz w:val="20"/>
                <w:lang w:val="en-US"/>
              </w:rPr>
            </w:pPr>
            <w:r w:rsidRPr="007121AF">
              <w:rPr>
                <w:rFonts w:ascii="Arial Narrow" w:hAnsi="Arial Narrow"/>
                <w:b/>
                <w:sz w:val="20"/>
                <w:lang w:val="en-US"/>
              </w:rPr>
              <w:t>Outcome</w:t>
            </w:r>
          </w:p>
        </w:tc>
        <w:tc>
          <w:tcPr>
            <w:tcW w:w="657" w:type="pct"/>
            <w:shd w:val="clear" w:color="auto" w:fill="auto"/>
            <w:vAlign w:val="center"/>
          </w:tcPr>
          <w:p w:rsidR="00F61688" w:rsidRPr="007121AF" w:rsidRDefault="00F61688" w:rsidP="00E73A7B">
            <w:pPr>
              <w:jc w:val="center"/>
              <w:rPr>
                <w:rFonts w:ascii="Arial Narrow" w:hAnsi="Arial Narrow"/>
                <w:b/>
                <w:sz w:val="20"/>
                <w:lang w:val="en-US"/>
              </w:rPr>
            </w:pPr>
            <w:r w:rsidRPr="007121AF">
              <w:rPr>
                <w:rFonts w:ascii="Arial Narrow" w:hAnsi="Arial Narrow"/>
                <w:b/>
                <w:sz w:val="20"/>
                <w:lang w:val="en-US"/>
              </w:rPr>
              <w:t>Use in modelled evaluation</w:t>
            </w:r>
          </w:p>
        </w:tc>
      </w:tr>
      <w:tr w:rsidR="00F61688" w:rsidRPr="007121AF" w:rsidTr="00E73A7B">
        <w:tc>
          <w:tcPr>
            <w:tcW w:w="5000" w:type="pct"/>
            <w:gridSpan w:val="7"/>
            <w:shd w:val="clear" w:color="auto" w:fill="auto"/>
            <w:vAlign w:val="center"/>
          </w:tcPr>
          <w:p w:rsidR="00F61688" w:rsidRPr="007121AF" w:rsidRDefault="00F61688" w:rsidP="00E73A7B">
            <w:pPr>
              <w:jc w:val="left"/>
              <w:rPr>
                <w:rFonts w:ascii="Arial Narrow" w:hAnsi="Arial Narrow"/>
                <w:b/>
                <w:sz w:val="20"/>
                <w:lang w:val="en-US"/>
              </w:rPr>
            </w:pPr>
            <w:r w:rsidRPr="007121AF">
              <w:rPr>
                <w:rFonts w:ascii="Arial Narrow" w:hAnsi="Arial Narrow"/>
                <w:b/>
                <w:sz w:val="20"/>
                <w:lang w:val="en-US"/>
              </w:rPr>
              <w:t>Venetoclax studies</w:t>
            </w:r>
          </w:p>
        </w:tc>
      </w:tr>
      <w:tr w:rsidR="00F61688" w:rsidRPr="007121AF" w:rsidTr="00E73A7B">
        <w:tc>
          <w:tcPr>
            <w:tcW w:w="743" w:type="pct"/>
            <w:shd w:val="clear" w:color="auto" w:fill="auto"/>
            <w:vAlign w:val="center"/>
          </w:tcPr>
          <w:p w:rsidR="00F61688" w:rsidRPr="007121AF" w:rsidRDefault="00F61688" w:rsidP="00E73A7B">
            <w:pPr>
              <w:jc w:val="left"/>
              <w:rPr>
                <w:rFonts w:ascii="Arial Narrow" w:hAnsi="Arial Narrow"/>
                <w:sz w:val="20"/>
                <w:lang w:val="en-US"/>
              </w:rPr>
            </w:pPr>
            <w:r w:rsidRPr="007121AF">
              <w:rPr>
                <w:rFonts w:ascii="Arial Narrow" w:hAnsi="Arial Narrow"/>
                <w:sz w:val="20"/>
              </w:rPr>
              <w:t>M12-175</w:t>
            </w:r>
          </w:p>
        </w:tc>
        <w:tc>
          <w:tcPr>
            <w:tcW w:w="387" w:type="pct"/>
            <w:shd w:val="clear" w:color="auto" w:fill="auto"/>
            <w:vAlign w:val="center"/>
          </w:tcPr>
          <w:p w:rsidR="00F61688" w:rsidRPr="007121AF" w:rsidRDefault="00F61688" w:rsidP="00E73A7B">
            <w:pPr>
              <w:jc w:val="center"/>
              <w:rPr>
                <w:rFonts w:ascii="Arial Narrow" w:hAnsi="Arial Narrow"/>
                <w:sz w:val="20"/>
                <w:lang w:val="en-US"/>
              </w:rPr>
            </w:pPr>
            <w:r w:rsidRPr="007121AF">
              <w:rPr>
                <w:rFonts w:ascii="Arial Narrow" w:hAnsi="Arial Narrow"/>
                <w:sz w:val="20"/>
                <w:lang w:val="en-US"/>
              </w:rPr>
              <w:t>116</w:t>
            </w:r>
          </w:p>
        </w:tc>
        <w:tc>
          <w:tcPr>
            <w:tcW w:w="1160" w:type="pct"/>
            <w:shd w:val="clear" w:color="auto" w:fill="auto"/>
            <w:vAlign w:val="center"/>
          </w:tcPr>
          <w:p w:rsidR="00F61688" w:rsidRPr="007121AF" w:rsidRDefault="00F61688" w:rsidP="00E73A7B">
            <w:pPr>
              <w:jc w:val="center"/>
              <w:rPr>
                <w:rFonts w:ascii="Arial Narrow" w:hAnsi="Arial Narrow"/>
                <w:sz w:val="20"/>
                <w:lang w:val="en-US"/>
              </w:rPr>
            </w:pPr>
            <w:r w:rsidRPr="007121AF">
              <w:rPr>
                <w:rFonts w:ascii="Arial Narrow" w:hAnsi="Arial Narrow"/>
                <w:sz w:val="20"/>
                <w:lang w:val="en-US"/>
              </w:rPr>
              <w:t>Phase 1, MC, OL</w:t>
            </w:r>
          </w:p>
          <w:p w:rsidR="00F61688" w:rsidRPr="007121AF" w:rsidRDefault="005914AF" w:rsidP="00E73A7B">
            <w:pPr>
              <w:jc w:val="center"/>
              <w:rPr>
                <w:rFonts w:ascii="Arial Narrow" w:hAnsi="Arial Narrow"/>
                <w:sz w:val="20"/>
                <w:lang w:val="en-US"/>
              </w:rPr>
            </w:pPr>
            <w:r>
              <w:rPr>
                <w:rFonts w:ascii="Arial Narrow" w:hAnsi="Arial Narrow"/>
                <w:sz w:val="20"/>
                <w:lang w:val="en-US"/>
              </w:rPr>
              <w:t>Non-comparative</w:t>
            </w:r>
          </w:p>
          <w:p w:rsidR="00F61688" w:rsidRPr="007121AF" w:rsidRDefault="00F61688" w:rsidP="00E73A7B">
            <w:pPr>
              <w:jc w:val="center"/>
              <w:rPr>
                <w:rFonts w:ascii="Arial Narrow" w:hAnsi="Arial Narrow"/>
                <w:sz w:val="20"/>
                <w:lang w:val="en-US"/>
              </w:rPr>
            </w:pPr>
            <w:r w:rsidRPr="007121AF">
              <w:rPr>
                <w:rFonts w:ascii="Arial Narrow" w:hAnsi="Arial Narrow"/>
                <w:sz w:val="20"/>
                <w:lang w:val="en-US"/>
              </w:rPr>
              <w:t>Approximately 2 years median follow-up</w:t>
            </w:r>
          </w:p>
        </w:tc>
        <w:tc>
          <w:tcPr>
            <w:tcW w:w="428" w:type="pct"/>
            <w:shd w:val="clear" w:color="auto" w:fill="auto"/>
            <w:vAlign w:val="center"/>
          </w:tcPr>
          <w:p w:rsidR="00F61688" w:rsidRPr="007121AF" w:rsidRDefault="00F61688" w:rsidP="00E73A7B">
            <w:pPr>
              <w:jc w:val="center"/>
              <w:rPr>
                <w:rFonts w:ascii="Arial Narrow" w:hAnsi="Arial Narrow"/>
                <w:sz w:val="20"/>
                <w:lang w:val="en-US"/>
              </w:rPr>
            </w:pPr>
            <w:r w:rsidRPr="007121AF">
              <w:rPr>
                <w:rFonts w:ascii="Arial Narrow" w:hAnsi="Arial Narrow"/>
                <w:sz w:val="20"/>
                <w:lang w:val="en-US"/>
              </w:rPr>
              <w:t>High</w:t>
            </w:r>
          </w:p>
        </w:tc>
        <w:tc>
          <w:tcPr>
            <w:tcW w:w="1112" w:type="pct"/>
            <w:shd w:val="clear" w:color="auto" w:fill="auto"/>
            <w:vAlign w:val="center"/>
          </w:tcPr>
          <w:p w:rsidR="00F61688" w:rsidRPr="007121AF" w:rsidRDefault="00F61688" w:rsidP="005914AF">
            <w:pPr>
              <w:jc w:val="center"/>
              <w:rPr>
                <w:rFonts w:ascii="Arial Narrow" w:hAnsi="Arial Narrow"/>
                <w:sz w:val="20"/>
                <w:lang w:val="en-US"/>
              </w:rPr>
            </w:pPr>
            <w:r w:rsidRPr="007121AF">
              <w:rPr>
                <w:rFonts w:ascii="Arial Narrow" w:hAnsi="Arial Narrow"/>
                <w:sz w:val="20"/>
                <w:lang w:val="en-US"/>
              </w:rPr>
              <w:t>Relapsed/</w:t>
            </w:r>
            <w:r w:rsidR="005914AF">
              <w:rPr>
                <w:rFonts w:ascii="Arial Narrow" w:hAnsi="Arial Narrow"/>
                <w:sz w:val="20"/>
                <w:lang w:val="en-US"/>
              </w:rPr>
              <w:t>r</w:t>
            </w:r>
            <w:r w:rsidRPr="007121AF">
              <w:rPr>
                <w:rFonts w:ascii="Arial Narrow" w:hAnsi="Arial Narrow"/>
                <w:sz w:val="20"/>
                <w:lang w:val="en-US"/>
              </w:rPr>
              <w:t>efractory CLL</w:t>
            </w:r>
          </w:p>
        </w:tc>
        <w:tc>
          <w:tcPr>
            <w:tcW w:w="513" w:type="pct"/>
            <w:shd w:val="clear" w:color="auto" w:fill="auto"/>
            <w:vAlign w:val="center"/>
          </w:tcPr>
          <w:p w:rsidR="00F61688" w:rsidRPr="007121AF" w:rsidRDefault="00F61688" w:rsidP="00E73A7B">
            <w:pPr>
              <w:jc w:val="center"/>
              <w:rPr>
                <w:rFonts w:ascii="Arial Narrow" w:hAnsi="Arial Narrow"/>
                <w:sz w:val="20"/>
                <w:lang w:val="en-US"/>
              </w:rPr>
            </w:pPr>
            <w:r w:rsidRPr="007121AF">
              <w:rPr>
                <w:rFonts w:ascii="Arial Narrow" w:hAnsi="Arial Narrow"/>
                <w:sz w:val="20"/>
                <w:lang w:val="en-US"/>
              </w:rPr>
              <w:t>Treatment response, PFS, OS</w:t>
            </w:r>
          </w:p>
        </w:tc>
        <w:tc>
          <w:tcPr>
            <w:tcW w:w="657" w:type="pct"/>
            <w:shd w:val="clear" w:color="auto" w:fill="auto"/>
            <w:vAlign w:val="center"/>
          </w:tcPr>
          <w:p w:rsidR="00F61688" w:rsidRPr="007121AF" w:rsidRDefault="00F61688" w:rsidP="00E73A7B">
            <w:pPr>
              <w:jc w:val="center"/>
              <w:rPr>
                <w:rFonts w:ascii="Arial Narrow" w:hAnsi="Arial Narrow"/>
                <w:sz w:val="20"/>
                <w:lang w:val="en-US"/>
              </w:rPr>
            </w:pPr>
            <w:r w:rsidRPr="007121AF">
              <w:rPr>
                <w:rFonts w:ascii="Arial Narrow" w:hAnsi="Arial Narrow"/>
                <w:sz w:val="20"/>
                <w:lang w:val="en-US"/>
              </w:rPr>
              <w:t>Not used</w:t>
            </w:r>
          </w:p>
        </w:tc>
      </w:tr>
      <w:tr w:rsidR="00F61688" w:rsidRPr="007121AF" w:rsidTr="00E73A7B">
        <w:tc>
          <w:tcPr>
            <w:tcW w:w="743" w:type="pct"/>
            <w:shd w:val="clear" w:color="auto" w:fill="auto"/>
            <w:vAlign w:val="center"/>
          </w:tcPr>
          <w:p w:rsidR="00F61688" w:rsidRPr="007121AF" w:rsidRDefault="00F61688" w:rsidP="00E73A7B">
            <w:pPr>
              <w:jc w:val="left"/>
              <w:rPr>
                <w:rFonts w:ascii="Arial Narrow" w:hAnsi="Arial Narrow"/>
                <w:sz w:val="20"/>
                <w:lang w:val="en-US"/>
              </w:rPr>
            </w:pPr>
            <w:r w:rsidRPr="007121AF">
              <w:rPr>
                <w:rFonts w:ascii="Arial Narrow" w:hAnsi="Arial Narrow"/>
                <w:sz w:val="20"/>
              </w:rPr>
              <w:t>M13-982</w:t>
            </w:r>
          </w:p>
        </w:tc>
        <w:tc>
          <w:tcPr>
            <w:tcW w:w="387" w:type="pct"/>
            <w:shd w:val="clear" w:color="auto" w:fill="auto"/>
            <w:vAlign w:val="center"/>
          </w:tcPr>
          <w:p w:rsidR="00F61688" w:rsidRPr="007121AF" w:rsidRDefault="00FC0657" w:rsidP="00FC0657">
            <w:pPr>
              <w:jc w:val="center"/>
              <w:rPr>
                <w:rFonts w:ascii="Arial Narrow" w:hAnsi="Arial Narrow"/>
                <w:sz w:val="20"/>
                <w:lang w:val="en-US"/>
              </w:rPr>
            </w:pPr>
            <w:r w:rsidRPr="007121AF">
              <w:rPr>
                <w:rFonts w:ascii="Arial Narrow" w:hAnsi="Arial Narrow"/>
                <w:sz w:val="20"/>
                <w:lang w:val="en-US"/>
              </w:rPr>
              <w:t>15</w:t>
            </w:r>
            <w:r>
              <w:rPr>
                <w:rFonts w:ascii="Arial Narrow" w:hAnsi="Arial Narrow"/>
                <w:sz w:val="20"/>
                <w:lang w:val="en-US"/>
              </w:rPr>
              <w:t>8</w:t>
            </w:r>
          </w:p>
        </w:tc>
        <w:tc>
          <w:tcPr>
            <w:tcW w:w="1160" w:type="pct"/>
            <w:shd w:val="clear" w:color="auto" w:fill="auto"/>
            <w:vAlign w:val="center"/>
          </w:tcPr>
          <w:p w:rsidR="00F61688" w:rsidRPr="007121AF" w:rsidRDefault="00F61688" w:rsidP="00E73A7B">
            <w:pPr>
              <w:jc w:val="center"/>
              <w:rPr>
                <w:rFonts w:ascii="Arial Narrow" w:hAnsi="Arial Narrow"/>
                <w:sz w:val="20"/>
                <w:lang w:val="en-US"/>
              </w:rPr>
            </w:pPr>
            <w:r w:rsidRPr="007121AF">
              <w:rPr>
                <w:rFonts w:ascii="Arial Narrow" w:hAnsi="Arial Narrow"/>
                <w:sz w:val="20"/>
                <w:lang w:val="en-US"/>
              </w:rPr>
              <w:t>Phase 2, MC, OL</w:t>
            </w:r>
          </w:p>
          <w:p w:rsidR="005914AF" w:rsidRPr="007121AF" w:rsidRDefault="005914AF" w:rsidP="005914AF">
            <w:pPr>
              <w:jc w:val="center"/>
              <w:rPr>
                <w:rFonts w:ascii="Arial Narrow" w:hAnsi="Arial Narrow"/>
                <w:sz w:val="20"/>
                <w:lang w:val="en-US"/>
              </w:rPr>
            </w:pPr>
            <w:r>
              <w:rPr>
                <w:rFonts w:ascii="Arial Narrow" w:hAnsi="Arial Narrow"/>
                <w:sz w:val="20"/>
                <w:lang w:val="en-US"/>
              </w:rPr>
              <w:t>Non-comparative</w:t>
            </w:r>
          </w:p>
          <w:p w:rsidR="00F61688" w:rsidRPr="007121AF" w:rsidRDefault="00F61688" w:rsidP="00E73A7B">
            <w:pPr>
              <w:jc w:val="center"/>
              <w:rPr>
                <w:rFonts w:ascii="Arial Narrow" w:hAnsi="Arial Narrow"/>
                <w:sz w:val="20"/>
                <w:lang w:val="en-US"/>
              </w:rPr>
            </w:pPr>
            <w:r w:rsidRPr="007121AF">
              <w:rPr>
                <w:rFonts w:ascii="Arial Narrow" w:hAnsi="Arial Narrow"/>
                <w:sz w:val="20"/>
                <w:lang w:val="en-US"/>
              </w:rPr>
              <w:t>Approximately 1-2 years median follow-up</w:t>
            </w:r>
          </w:p>
        </w:tc>
        <w:tc>
          <w:tcPr>
            <w:tcW w:w="428" w:type="pct"/>
            <w:shd w:val="clear" w:color="auto" w:fill="auto"/>
            <w:vAlign w:val="center"/>
          </w:tcPr>
          <w:p w:rsidR="00F61688" w:rsidRPr="007121AF" w:rsidRDefault="00F61688" w:rsidP="00E73A7B">
            <w:pPr>
              <w:jc w:val="center"/>
              <w:rPr>
                <w:rFonts w:ascii="Arial Narrow" w:hAnsi="Arial Narrow"/>
                <w:sz w:val="20"/>
                <w:lang w:val="en-US"/>
              </w:rPr>
            </w:pPr>
            <w:r w:rsidRPr="007121AF">
              <w:rPr>
                <w:rFonts w:ascii="Arial Narrow" w:hAnsi="Arial Narrow"/>
                <w:sz w:val="20"/>
                <w:lang w:val="en-US"/>
              </w:rPr>
              <w:t>High</w:t>
            </w:r>
          </w:p>
        </w:tc>
        <w:tc>
          <w:tcPr>
            <w:tcW w:w="1112" w:type="pct"/>
            <w:shd w:val="clear" w:color="auto" w:fill="auto"/>
            <w:vAlign w:val="center"/>
          </w:tcPr>
          <w:p w:rsidR="00F61688" w:rsidRPr="007121AF" w:rsidRDefault="00F61688" w:rsidP="005914AF">
            <w:pPr>
              <w:jc w:val="center"/>
              <w:rPr>
                <w:rFonts w:ascii="Arial Narrow" w:hAnsi="Arial Narrow"/>
                <w:sz w:val="20"/>
                <w:lang w:val="en-US"/>
              </w:rPr>
            </w:pPr>
            <w:r w:rsidRPr="007121AF">
              <w:rPr>
                <w:rFonts w:ascii="Arial Narrow" w:hAnsi="Arial Narrow"/>
                <w:sz w:val="20"/>
                <w:lang w:val="en-US"/>
              </w:rPr>
              <w:t>Relapsed/</w:t>
            </w:r>
            <w:r w:rsidR="005914AF">
              <w:rPr>
                <w:rFonts w:ascii="Arial Narrow" w:hAnsi="Arial Narrow"/>
                <w:sz w:val="20"/>
                <w:lang w:val="en-US"/>
              </w:rPr>
              <w:t>r</w:t>
            </w:r>
            <w:r w:rsidRPr="007121AF">
              <w:rPr>
                <w:rFonts w:ascii="Arial Narrow" w:hAnsi="Arial Narrow"/>
                <w:sz w:val="20"/>
                <w:lang w:val="en-US"/>
              </w:rPr>
              <w:t>efractory CLL with 17p deletion</w:t>
            </w:r>
          </w:p>
        </w:tc>
        <w:tc>
          <w:tcPr>
            <w:tcW w:w="513" w:type="pct"/>
            <w:shd w:val="clear" w:color="auto" w:fill="auto"/>
            <w:vAlign w:val="center"/>
          </w:tcPr>
          <w:p w:rsidR="00F61688" w:rsidRPr="007121AF" w:rsidRDefault="00F61688" w:rsidP="00E73A7B">
            <w:pPr>
              <w:jc w:val="center"/>
              <w:rPr>
                <w:rFonts w:ascii="Arial Narrow" w:hAnsi="Arial Narrow"/>
                <w:sz w:val="20"/>
                <w:lang w:val="en-US"/>
              </w:rPr>
            </w:pPr>
            <w:r w:rsidRPr="007121AF">
              <w:rPr>
                <w:rFonts w:ascii="Arial Narrow" w:hAnsi="Arial Narrow"/>
                <w:sz w:val="20"/>
                <w:lang w:val="en-US"/>
              </w:rPr>
              <w:t>Treatment response, PFS, OS</w:t>
            </w:r>
          </w:p>
        </w:tc>
        <w:tc>
          <w:tcPr>
            <w:tcW w:w="657" w:type="pct"/>
            <w:shd w:val="clear" w:color="auto" w:fill="auto"/>
            <w:vAlign w:val="center"/>
          </w:tcPr>
          <w:p w:rsidR="00F61688" w:rsidRPr="007121AF" w:rsidRDefault="00F61688" w:rsidP="00E73A7B">
            <w:pPr>
              <w:jc w:val="center"/>
              <w:rPr>
                <w:rFonts w:ascii="Arial Narrow" w:hAnsi="Arial Narrow"/>
                <w:sz w:val="20"/>
                <w:lang w:val="en-US"/>
              </w:rPr>
            </w:pPr>
            <w:r w:rsidRPr="007121AF">
              <w:rPr>
                <w:rFonts w:ascii="Arial Narrow" w:hAnsi="Arial Narrow"/>
                <w:sz w:val="20"/>
                <w:lang w:val="en-US"/>
              </w:rPr>
              <w:t>Responder rates</w:t>
            </w:r>
          </w:p>
          <w:p w:rsidR="00F61688" w:rsidRPr="007121AF" w:rsidRDefault="00F61688" w:rsidP="00E73A7B">
            <w:pPr>
              <w:jc w:val="center"/>
              <w:rPr>
                <w:rFonts w:ascii="Arial Narrow" w:hAnsi="Arial Narrow"/>
                <w:sz w:val="20"/>
                <w:lang w:val="en-US"/>
              </w:rPr>
            </w:pPr>
            <w:r w:rsidRPr="007121AF">
              <w:rPr>
                <w:rFonts w:ascii="Arial Narrow" w:hAnsi="Arial Narrow"/>
                <w:sz w:val="20"/>
                <w:lang w:val="en-US"/>
              </w:rPr>
              <w:t>(DD model)</w:t>
            </w:r>
          </w:p>
        </w:tc>
      </w:tr>
      <w:tr w:rsidR="00F61688" w:rsidRPr="007121AF" w:rsidTr="00E73A7B">
        <w:tc>
          <w:tcPr>
            <w:tcW w:w="743" w:type="pct"/>
            <w:shd w:val="clear" w:color="auto" w:fill="auto"/>
            <w:vAlign w:val="center"/>
          </w:tcPr>
          <w:p w:rsidR="00F61688" w:rsidRPr="007121AF" w:rsidRDefault="00F61688" w:rsidP="00E73A7B">
            <w:pPr>
              <w:jc w:val="left"/>
              <w:rPr>
                <w:rFonts w:ascii="Arial Narrow" w:hAnsi="Arial Narrow"/>
                <w:sz w:val="20"/>
                <w:lang w:val="en-US"/>
              </w:rPr>
            </w:pPr>
            <w:r w:rsidRPr="007121AF">
              <w:rPr>
                <w:rFonts w:ascii="Arial Narrow" w:hAnsi="Arial Narrow"/>
                <w:sz w:val="20"/>
              </w:rPr>
              <w:t>M14-032</w:t>
            </w:r>
          </w:p>
        </w:tc>
        <w:tc>
          <w:tcPr>
            <w:tcW w:w="387" w:type="pct"/>
            <w:shd w:val="clear" w:color="auto" w:fill="auto"/>
            <w:vAlign w:val="center"/>
          </w:tcPr>
          <w:p w:rsidR="00F61688" w:rsidRPr="007121AF" w:rsidRDefault="00F61688" w:rsidP="00E73A7B">
            <w:pPr>
              <w:jc w:val="center"/>
              <w:rPr>
                <w:rFonts w:ascii="Arial Narrow" w:hAnsi="Arial Narrow"/>
                <w:sz w:val="20"/>
                <w:lang w:val="en-US"/>
              </w:rPr>
            </w:pPr>
            <w:r w:rsidRPr="007121AF">
              <w:rPr>
                <w:rFonts w:ascii="Arial Narrow" w:hAnsi="Arial Narrow"/>
                <w:sz w:val="20"/>
                <w:lang w:val="en-US"/>
              </w:rPr>
              <w:t>64</w:t>
            </w:r>
          </w:p>
        </w:tc>
        <w:tc>
          <w:tcPr>
            <w:tcW w:w="1160" w:type="pct"/>
            <w:shd w:val="clear" w:color="auto" w:fill="auto"/>
            <w:vAlign w:val="center"/>
          </w:tcPr>
          <w:p w:rsidR="00F61688" w:rsidRPr="007121AF" w:rsidRDefault="00F61688" w:rsidP="00E73A7B">
            <w:pPr>
              <w:jc w:val="center"/>
              <w:rPr>
                <w:rFonts w:ascii="Arial Narrow" w:hAnsi="Arial Narrow"/>
                <w:sz w:val="20"/>
                <w:lang w:val="en-US"/>
              </w:rPr>
            </w:pPr>
            <w:r w:rsidRPr="007121AF">
              <w:rPr>
                <w:rFonts w:ascii="Arial Narrow" w:hAnsi="Arial Narrow"/>
                <w:sz w:val="20"/>
                <w:lang w:val="en-US"/>
              </w:rPr>
              <w:t>Phase 2, MC, OL</w:t>
            </w:r>
          </w:p>
          <w:p w:rsidR="005914AF" w:rsidRPr="007121AF" w:rsidRDefault="005914AF" w:rsidP="005914AF">
            <w:pPr>
              <w:jc w:val="center"/>
              <w:rPr>
                <w:rFonts w:ascii="Arial Narrow" w:hAnsi="Arial Narrow"/>
                <w:sz w:val="20"/>
                <w:lang w:val="en-US"/>
              </w:rPr>
            </w:pPr>
            <w:r>
              <w:rPr>
                <w:rFonts w:ascii="Arial Narrow" w:hAnsi="Arial Narrow"/>
                <w:sz w:val="20"/>
                <w:lang w:val="en-US"/>
              </w:rPr>
              <w:t>Non-comparative</w:t>
            </w:r>
          </w:p>
          <w:p w:rsidR="00F61688" w:rsidRPr="007121AF" w:rsidRDefault="00F61688" w:rsidP="00E73A7B">
            <w:pPr>
              <w:jc w:val="center"/>
              <w:rPr>
                <w:rFonts w:ascii="Arial Narrow" w:hAnsi="Arial Narrow"/>
                <w:sz w:val="20"/>
                <w:lang w:val="en-US"/>
              </w:rPr>
            </w:pPr>
            <w:r w:rsidRPr="007121AF">
              <w:rPr>
                <w:rFonts w:ascii="Arial Narrow" w:hAnsi="Arial Narrow"/>
                <w:sz w:val="20"/>
                <w:lang w:val="en-US"/>
              </w:rPr>
              <w:t>Approximately 9-12 months median follow-up</w:t>
            </w:r>
          </w:p>
        </w:tc>
        <w:tc>
          <w:tcPr>
            <w:tcW w:w="428" w:type="pct"/>
            <w:shd w:val="clear" w:color="auto" w:fill="auto"/>
            <w:vAlign w:val="center"/>
          </w:tcPr>
          <w:p w:rsidR="00F61688" w:rsidRPr="007121AF" w:rsidRDefault="00F61688" w:rsidP="00E73A7B">
            <w:pPr>
              <w:jc w:val="center"/>
              <w:rPr>
                <w:rFonts w:ascii="Arial Narrow" w:hAnsi="Arial Narrow"/>
                <w:sz w:val="20"/>
                <w:lang w:val="en-US"/>
              </w:rPr>
            </w:pPr>
            <w:r w:rsidRPr="007121AF">
              <w:rPr>
                <w:rFonts w:ascii="Arial Narrow" w:hAnsi="Arial Narrow"/>
                <w:sz w:val="20"/>
                <w:lang w:val="en-US"/>
              </w:rPr>
              <w:t>High</w:t>
            </w:r>
          </w:p>
        </w:tc>
        <w:tc>
          <w:tcPr>
            <w:tcW w:w="1112" w:type="pct"/>
            <w:shd w:val="clear" w:color="auto" w:fill="auto"/>
            <w:vAlign w:val="center"/>
          </w:tcPr>
          <w:p w:rsidR="00F61688" w:rsidRPr="007121AF" w:rsidRDefault="00F61688" w:rsidP="005914AF">
            <w:pPr>
              <w:jc w:val="center"/>
              <w:rPr>
                <w:rFonts w:ascii="Arial Narrow" w:hAnsi="Arial Narrow"/>
                <w:sz w:val="20"/>
                <w:lang w:val="en-US"/>
              </w:rPr>
            </w:pPr>
            <w:r w:rsidRPr="007121AF">
              <w:rPr>
                <w:rFonts w:ascii="Arial Narrow" w:hAnsi="Arial Narrow"/>
                <w:sz w:val="20"/>
                <w:lang w:val="en-US"/>
              </w:rPr>
              <w:t>Relapsed/</w:t>
            </w:r>
            <w:r w:rsidR="005914AF">
              <w:rPr>
                <w:rFonts w:ascii="Arial Narrow" w:hAnsi="Arial Narrow"/>
                <w:sz w:val="20"/>
                <w:lang w:val="en-US"/>
              </w:rPr>
              <w:t>r</w:t>
            </w:r>
            <w:r w:rsidRPr="007121AF">
              <w:rPr>
                <w:rFonts w:ascii="Arial Narrow" w:hAnsi="Arial Narrow"/>
                <w:sz w:val="20"/>
                <w:lang w:val="en-US"/>
              </w:rPr>
              <w:t>efractory CLL with prior ibrutinib or idelalisib failure</w:t>
            </w:r>
          </w:p>
        </w:tc>
        <w:tc>
          <w:tcPr>
            <w:tcW w:w="513" w:type="pct"/>
            <w:shd w:val="clear" w:color="auto" w:fill="auto"/>
            <w:vAlign w:val="center"/>
          </w:tcPr>
          <w:p w:rsidR="00F61688" w:rsidRPr="007121AF" w:rsidRDefault="00F61688" w:rsidP="00E73A7B">
            <w:pPr>
              <w:jc w:val="center"/>
              <w:rPr>
                <w:rFonts w:ascii="Arial Narrow" w:hAnsi="Arial Narrow"/>
                <w:sz w:val="20"/>
                <w:lang w:val="en-US"/>
              </w:rPr>
            </w:pPr>
            <w:r w:rsidRPr="007121AF">
              <w:rPr>
                <w:rFonts w:ascii="Arial Narrow" w:hAnsi="Arial Narrow"/>
                <w:sz w:val="20"/>
                <w:lang w:val="en-US"/>
              </w:rPr>
              <w:t>Treatment response, PFS, OS</w:t>
            </w:r>
          </w:p>
        </w:tc>
        <w:tc>
          <w:tcPr>
            <w:tcW w:w="657" w:type="pct"/>
            <w:shd w:val="clear" w:color="auto" w:fill="auto"/>
            <w:vAlign w:val="center"/>
          </w:tcPr>
          <w:p w:rsidR="00F61688" w:rsidRPr="007121AF" w:rsidRDefault="00F61688" w:rsidP="00E73A7B">
            <w:pPr>
              <w:jc w:val="center"/>
              <w:rPr>
                <w:rFonts w:ascii="Arial Narrow" w:hAnsi="Arial Narrow"/>
                <w:sz w:val="20"/>
                <w:lang w:val="en-US"/>
              </w:rPr>
            </w:pPr>
            <w:r w:rsidRPr="007121AF">
              <w:rPr>
                <w:rFonts w:ascii="Arial Narrow" w:hAnsi="Arial Narrow"/>
                <w:sz w:val="20"/>
                <w:lang w:val="en-US"/>
              </w:rPr>
              <w:t xml:space="preserve">Survival </w:t>
            </w:r>
          </w:p>
          <w:p w:rsidR="00F61688" w:rsidRPr="007121AF" w:rsidRDefault="00F61688" w:rsidP="00E73A7B">
            <w:pPr>
              <w:jc w:val="center"/>
              <w:rPr>
                <w:rFonts w:ascii="Arial Narrow" w:hAnsi="Arial Narrow"/>
                <w:sz w:val="20"/>
                <w:lang w:val="en-US"/>
              </w:rPr>
            </w:pPr>
            <w:r w:rsidRPr="007121AF">
              <w:rPr>
                <w:rFonts w:ascii="Arial Narrow" w:hAnsi="Arial Narrow"/>
                <w:sz w:val="20"/>
                <w:lang w:val="en-US"/>
              </w:rPr>
              <w:t>rates</w:t>
            </w:r>
          </w:p>
          <w:p w:rsidR="00F61688" w:rsidRPr="007121AF" w:rsidRDefault="00F61688" w:rsidP="00E73A7B">
            <w:pPr>
              <w:jc w:val="center"/>
              <w:rPr>
                <w:rFonts w:ascii="Arial Narrow" w:hAnsi="Arial Narrow"/>
                <w:sz w:val="20"/>
                <w:lang w:val="en-US"/>
              </w:rPr>
            </w:pPr>
            <w:r w:rsidRPr="007121AF">
              <w:rPr>
                <w:rFonts w:ascii="Arial Narrow" w:hAnsi="Arial Narrow"/>
                <w:sz w:val="20"/>
                <w:lang w:val="en-US"/>
              </w:rPr>
              <w:t>(DDD model)</w:t>
            </w:r>
          </w:p>
        </w:tc>
      </w:tr>
      <w:tr w:rsidR="00F61688" w:rsidRPr="007121AF" w:rsidTr="00E73A7B">
        <w:tc>
          <w:tcPr>
            <w:tcW w:w="743" w:type="pct"/>
            <w:shd w:val="clear" w:color="auto" w:fill="auto"/>
            <w:vAlign w:val="center"/>
          </w:tcPr>
          <w:p w:rsidR="00F61688" w:rsidRPr="007121AF" w:rsidRDefault="00F61688" w:rsidP="0003250C">
            <w:pPr>
              <w:jc w:val="left"/>
              <w:rPr>
                <w:rFonts w:ascii="Arial Narrow" w:hAnsi="Arial Narrow"/>
                <w:sz w:val="20"/>
              </w:rPr>
            </w:pPr>
            <w:r w:rsidRPr="007121AF">
              <w:rPr>
                <w:rFonts w:ascii="Arial Narrow" w:hAnsi="Arial Narrow"/>
                <w:sz w:val="20"/>
              </w:rPr>
              <w:t xml:space="preserve">Pooled </w:t>
            </w:r>
            <w:r w:rsidR="0003250C">
              <w:rPr>
                <w:rFonts w:ascii="Arial Narrow" w:hAnsi="Arial Narrow"/>
                <w:sz w:val="20"/>
              </w:rPr>
              <w:t>subgroups</w:t>
            </w:r>
            <w:r w:rsidRPr="007121AF">
              <w:rPr>
                <w:rFonts w:ascii="Arial Narrow" w:hAnsi="Arial Narrow"/>
                <w:sz w:val="20"/>
              </w:rPr>
              <w:t xml:space="preserve"> (Section C)</w:t>
            </w:r>
          </w:p>
        </w:tc>
        <w:tc>
          <w:tcPr>
            <w:tcW w:w="387" w:type="pct"/>
            <w:shd w:val="clear" w:color="auto" w:fill="auto"/>
            <w:vAlign w:val="center"/>
          </w:tcPr>
          <w:p w:rsidR="00F61688" w:rsidRPr="007121AF" w:rsidRDefault="00F61688" w:rsidP="00E73A7B">
            <w:pPr>
              <w:jc w:val="center"/>
              <w:rPr>
                <w:rFonts w:ascii="Arial Narrow" w:hAnsi="Arial Narrow"/>
                <w:sz w:val="20"/>
                <w:lang w:val="en-US"/>
              </w:rPr>
            </w:pPr>
            <w:r w:rsidRPr="007121AF">
              <w:rPr>
                <w:rFonts w:ascii="Arial Narrow" w:hAnsi="Arial Narrow"/>
                <w:sz w:val="20"/>
                <w:lang w:val="en-US"/>
              </w:rPr>
              <w:t>218</w:t>
            </w:r>
          </w:p>
        </w:tc>
        <w:tc>
          <w:tcPr>
            <w:tcW w:w="3213" w:type="pct"/>
            <w:gridSpan w:val="4"/>
            <w:shd w:val="clear" w:color="auto" w:fill="auto"/>
            <w:vAlign w:val="center"/>
          </w:tcPr>
          <w:p w:rsidR="00F61688" w:rsidRPr="007121AF" w:rsidRDefault="00F61688" w:rsidP="00FC0657">
            <w:pPr>
              <w:jc w:val="center"/>
              <w:rPr>
                <w:rFonts w:ascii="Arial Narrow" w:hAnsi="Arial Narrow"/>
                <w:sz w:val="20"/>
                <w:lang w:val="en-US"/>
              </w:rPr>
            </w:pPr>
            <w:r w:rsidRPr="007121AF">
              <w:rPr>
                <w:rFonts w:ascii="Arial Narrow" w:hAnsi="Arial Narrow"/>
                <w:sz w:val="20"/>
                <w:lang w:val="en-US"/>
              </w:rPr>
              <w:t xml:space="preserve">Pooled analysis of individual patient data for patients with 17p </w:t>
            </w:r>
            <w:r w:rsidR="00FC0657" w:rsidRPr="007121AF">
              <w:rPr>
                <w:rFonts w:ascii="Arial Narrow" w:hAnsi="Arial Narrow"/>
                <w:sz w:val="20"/>
                <w:lang w:val="en-US"/>
              </w:rPr>
              <w:t>deletion</w:t>
            </w:r>
            <w:r w:rsidR="00FC0657">
              <w:rPr>
                <w:rFonts w:ascii="Arial Narrow" w:hAnsi="Arial Narrow"/>
                <w:sz w:val="20"/>
                <w:lang w:val="en-US"/>
              </w:rPr>
              <w:t>/TP53 mutation</w:t>
            </w:r>
            <w:r w:rsidR="00FC0657" w:rsidRPr="007121AF">
              <w:rPr>
                <w:rFonts w:ascii="Arial Narrow" w:hAnsi="Arial Narrow"/>
                <w:sz w:val="20"/>
                <w:lang w:val="en-US"/>
              </w:rPr>
              <w:t xml:space="preserve"> </w:t>
            </w:r>
            <w:r w:rsidRPr="007121AF">
              <w:rPr>
                <w:rFonts w:ascii="Arial Narrow" w:hAnsi="Arial Narrow"/>
                <w:sz w:val="20"/>
                <w:lang w:val="en-US"/>
              </w:rPr>
              <w:t>in the M12-175, M13-982 and M14-032 studies; assessed PFS and OS</w:t>
            </w:r>
          </w:p>
        </w:tc>
        <w:tc>
          <w:tcPr>
            <w:tcW w:w="657" w:type="pct"/>
            <w:shd w:val="clear" w:color="auto" w:fill="auto"/>
            <w:vAlign w:val="center"/>
          </w:tcPr>
          <w:p w:rsidR="00F61688" w:rsidRPr="007121AF" w:rsidRDefault="00F61688" w:rsidP="00E73A7B">
            <w:pPr>
              <w:jc w:val="center"/>
              <w:rPr>
                <w:rFonts w:ascii="Arial Narrow" w:hAnsi="Arial Narrow"/>
                <w:sz w:val="20"/>
                <w:lang w:val="en-US"/>
              </w:rPr>
            </w:pPr>
            <w:r w:rsidRPr="007121AF">
              <w:rPr>
                <w:rFonts w:ascii="Arial Narrow" w:hAnsi="Arial Narrow"/>
                <w:sz w:val="20"/>
                <w:lang w:val="en-US"/>
              </w:rPr>
              <w:t xml:space="preserve">Survival </w:t>
            </w:r>
          </w:p>
          <w:p w:rsidR="00F61688" w:rsidRPr="007121AF" w:rsidRDefault="00F61688" w:rsidP="00E73A7B">
            <w:pPr>
              <w:jc w:val="center"/>
              <w:rPr>
                <w:rFonts w:ascii="Arial Narrow" w:hAnsi="Arial Narrow"/>
                <w:sz w:val="20"/>
                <w:lang w:val="en-US"/>
              </w:rPr>
            </w:pPr>
            <w:r w:rsidRPr="007121AF">
              <w:rPr>
                <w:rFonts w:ascii="Arial Narrow" w:hAnsi="Arial Narrow"/>
                <w:sz w:val="20"/>
                <w:lang w:val="en-US"/>
              </w:rPr>
              <w:t xml:space="preserve">rates </w:t>
            </w:r>
          </w:p>
          <w:p w:rsidR="00F61688" w:rsidRPr="007121AF" w:rsidRDefault="00F61688" w:rsidP="00E73A7B">
            <w:pPr>
              <w:jc w:val="center"/>
              <w:rPr>
                <w:rFonts w:ascii="Arial Narrow" w:hAnsi="Arial Narrow"/>
                <w:sz w:val="20"/>
                <w:lang w:val="en-US"/>
              </w:rPr>
            </w:pPr>
            <w:r w:rsidRPr="007121AF">
              <w:rPr>
                <w:rFonts w:ascii="Arial Narrow" w:hAnsi="Arial Narrow"/>
                <w:sz w:val="20"/>
                <w:lang w:val="en-US"/>
              </w:rPr>
              <w:t>(D model)</w:t>
            </w:r>
          </w:p>
        </w:tc>
      </w:tr>
      <w:tr w:rsidR="00F61688" w:rsidRPr="007121AF" w:rsidTr="00E73A7B">
        <w:tc>
          <w:tcPr>
            <w:tcW w:w="5000" w:type="pct"/>
            <w:gridSpan w:val="7"/>
            <w:shd w:val="clear" w:color="auto" w:fill="auto"/>
            <w:vAlign w:val="center"/>
          </w:tcPr>
          <w:p w:rsidR="00F61688" w:rsidRPr="007121AF" w:rsidRDefault="00F61688" w:rsidP="00E73A7B">
            <w:pPr>
              <w:jc w:val="left"/>
              <w:rPr>
                <w:rFonts w:ascii="Arial Narrow" w:hAnsi="Arial Narrow"/>
                <w:sz w:val="20"/>
                <w:lang w:val="en-US"/>
              </w:rPr>
            </w:pPr>
            <w:r w:rsidRPr="007121AF">
              <w:rPr>
                <w:rFonts w:ascii="Arial Narrow" w:hAnsi="Arial Narrow"/>
                <w:b/>
                <w:sz w:val="20"/>
              </w:rPr>
              <w:t>Ibrutinib studies</w:t>
            </w:r>
          </w:p>
        </w:tc>
      </w:tr>
      <w:tr w:rsidR="00F61688" w:rsidRPr="007121AF" w:rsidTr="00E73A7B">
        <w:tc>
          <w:tcPr>
            <w:tcW w:w="743" w:type="pct"/>
            <w:shd w:val="clear" w:color="auto" w:fill="auto"/>
            <w:vAlign w:val="center"/>
          </w:tcPr>
          <w:p w:rsidR="00F61688" w:rsidRPr="007121AF" w:rsidRDefault="00F61688" w:rsidP="00E73A7B">
            <w:pPr>
              <w:jc w:val="left"/>
              <w:rPr>
                <w:rFonts w:ascii="Arial Narrow" w:hAnsi="Arial Narrow"/>
                <w:sz w:val="20"/>
                <w:lang w:val="en-US"/>
              </w:rPr>
            </w:pPr>
            <w:r w:rsidRPr="007121AF">
              <w:rPr>
                <w:rFonts w:ascii="Arial Narrow" w:hAnsi="Arial Narrow"/>
                <w:sz w:val="20"/>
              </w:rPr>
              <w:t>RESONATE</w:t>
            </w:r>
          </w:p>
        </w:tc>
        <w:tc>
          <w:tcPr>
            <w:tcW w:w="387" w:type="pct"/>
            <w:shd w:val="clear" w:color="auto" w:fill="auto"/>
            <w:vAlign w:val="center"/>
          </w:tcPr>
          <w:p w:rsidR="00F61688" w:rsidRPr="007121AF" w:rsidRDefault="00F61688" w:rsidP="00E73A7B">
            <w:pPr>
              <w:jc w:val="center"/>
              <w:rPr>
                <w:rFonts w:ascii="Arial Narrow" w:hAnsi="Arial Narrow"/>
                <w:sz w:val="20"/>
                <w:lang w:val="en-US"/>
              </w:rPr>
            </w:pPr>
            <w:r w:rsidRPr="007121AF">
              <w:rPr>
                <w:rFonts w:ascii="Arial Narrow" w:hAnsi="Arial Narrow"/>
                <w:sz w:val="20"/>
                <w:lang w:val="en-US"/>
              </w:rPr>
              <w:t>391</w:t>
            </w:r>
          </w:p>
        </w:tc>
        <w:tc>
          <w:tcPr>
            <w:tcW w:w="1160" w:type="pct"/>
            <w:shd w:val="clear" w:color="auto" w:fill="auto"/>
            <w:vAlign w:val="center"/>
          </w:tcPr>
          <w:p w:rsidR="00F61688" w:rsidRPr="007121AF" w:rsidRDefault="00F61688" w:rsidP="00E73A7B">
            <w:pPr>
              <w:jc w:val="center"/>
              <w:rPr>
                <w:rFonts w:ascii="Arial Narrow" w:hAnsi="Arial Narrow"/>
                <w:sz w:val="20"/>
                <w:lang w:val="en-US"/>
              </w:rPr>
            </w:pPr>
            <w:r w:rsidRPr="007121AF">
              <w:rPr>
                <w:rFonts w:ascii="Arial Narrow" w:hAnsi="Arial Narrow"/>
                <w:sz w:val="20"/>
                <w:lang w:val="en-US"/>
              </w:rPr>
              <w:t>Phase 3, MC, R, OL</w:t>
            </w:r>
          </w:p>
          <w:p w:rsidR="00F61688" w:rsidRPr="007121AF" w:rsidRDefault="00F61688" w:rsidP="00E73A7B">
            <w:pPr>
              <w:jc w:val="center"/>
              <w:rPr>
                <w:rFonts w:ascii="Arial Narrow" w:hAnsi="Arial Narrow"/>
                <w:sz w:val="20"/>
                <w:lang w:val="en-US"/>
              </w:rPr>
            </w:pPr>
            <w:r w:rsidRPr="007121AF">
              <w:rPr>
                <w:rFonts w:ascii="Arial Narrow" w:hAnsi="Arial Narrow"/>
                <w:sz w:val="20"/>
                <w:lang w:val="en-US"/>
              </w:rPr>
              <w:t>Ibrutinib vs ofatumumab</w:t>
            </w:r>
          </w:p>
          <w:p w:rsidR="00F61688" w:rsidRPr="007121AF" w:rsidRDefault="00F61688" w:rsidP="00E73A7B">
            <w:pPr>
              <w:jc w:val="center"/>
              <w:rPr>
                <w:rFonts w:ascii="Arial Narrow" w:hAnsi="Arial Narrow"/>
                <w:sz w:val="20"/>
                <w:lang w:val="en-US"/>
              </w:rPr>
            </w:pPr>
            <w:r w:rsidRPr="007121AF">
              <w:rPr>
                <w:rFonts w:ascii="Arial Narrow" w:hAnsi="Arial Narrow"/>
                <w:sz w:val="20"/>
                <w:lang w:val="en-US"/>
              </w:rPr>
              <w:t>Approximately 1-2 years median follow-up</w:t>
            </w:r>
          </w:p>
        </w:tc>
        <w:tc>
          <w:tcPr>
            <w:tcW w:w="428" w:type="pct"/>
            <w:shd w:val="clear" w:color="auto" w:fill="auto"/>
            <w:vAlign w:val="center"/>
          </w:tcPr>
          <w:p w:rsidR="00F61688" w:rsidRPr="007121AF" w:rsidRDefault="00FC0657" w:rsidP="00E73A7B">
            <w:pPr>
              <w:jc w:val="center"/>
              <w:rPr>
                <w:rFonts w:ascii="Arial Narrow" w:hAnsi="Arial Narrow"/>
                <w:sz w:val="20"/>
                <w:lang w:val="en-US"/>
              </w:rPr>
            </w:pPr>
            <w:r>
              <w:rPr>
                <w:rFonts w:ascii="Arial Narrow" w:hAnsi="Arial Narrow"/>
                <w:sz w:val="20"/>
                <w:lang w:val="en-US"/>
              </w:rPr>
              <w:t>Unclear</w:t>
            </w:r>
          </w:p>
        </w:tc>
        <w:tc>
          <w:tcPr>
            <w:tcW w:w="1112" w:type="pct"/>
            <w:shd w:val="clear" w:color="auto" w:fill="auto"/>
            <w:vAlign w:val="center"/>
          </w:tcPr>
          <w:p w:rsidR="00F61688" w:rsidRPr="007121AF" w:rsidRDefault="00F61688" w:rsidP="005914AF">
            <w:pPr>
              <w:jc w:val="center"/>
              <w:rPr>
                <w:rFonts w:ascii="Arial Narrow" w:hAnsi="Arial Narrow"/>
                <w:sz w:val="20"/>
                <w:lang w:val="en-US"/>
              </w:rPr>
            </w:pPr>
            <w:r w:rsidRPr="007121AF">
              <w:rPr>
                <w:rFonts w:ascii="Arial Narrow" w:hAnsi="Arial Narrow"/>
                <w:sz w:val="20"/>
                <w:lang w:val="en-US"/>
              </w:rPr>
              <w:t>Relapsed/</w:t>
            </w:r>
            <w:r w:rsidR="005914AF">
              <w:rPr>
                <w:rFonts w:ascii="Arial Narrow" w:hAnsi="Arial Narrow"/>
                <w:sz w:val="20"/>
                <w:lang w:val="en-US"/>
              </w:rPr>
              <w:t>r</w:t>
            </w:r>
            <w:r w:rsidRPr="007121AF">
              <w:rPr>
                <w:rFonts w:ascii="Arial Narrow" w:hAnsi="Arial Narrow"/>
                <w:sz w:val="20"/>
                <w:lang w:val="en-US"/>
              </w:rPr>
              <w:t>efractory CLL unsuitable for chemoimmunotherapy</w:t>
            </w:r>
          </w:p>
        </w:tc>
        <w:tc>
          <w:tcPr>
            <w:tcW w:w="513" w:type="pct"/>
            <w:shd w:val="clear" w:color="auto" w:fill="auto"/>
            <w:vAlign w:val="center"/>
          </w:tcPr>
          <w:p w:rsidR="00F61688" w:rsidRPr="007121AF" w:rsidRDefault="00F61688" w:rsidP="00E73A7B">
            <w:pPr>
              <w:jc w:val="center"/>
              <w:rPr>
                <w:rFonts w:ascii="Arial Narrow" w:hAnsi="Arial Narrow"/>
                <w:sz w:val="20"/>
                <w:lang w:val="en-US"/>
              </w:rPr>
            </w:pPr>
            <w:r w:rsidRPr="007121AF">
              <w:rPr>
                <w:rFonts w:ascii="Arial Narrow" w:hAnsi="Arial Narrow"/>
                <w:sz w:val="20"/>
                <w:lang w:val="en-US"/>
              </w:rPr>
              <w:t>Treatment response, PFS, OS</w:t>
            </w:r>
          </w:p>
        </w:tc>
        <w:tc>
          <w:tcPr>
            <w:tcW w:w="657" w:type="pct"/>
            <w:shd w:val="clear" w:color="auto" w:fill="auto"/>
            <w:vAlign w:val="center"/>
          </w:tcPr>
          <w:p w:rsidR="00F61688" w:rsidRPr="007121AF" w:rsidRDefault="00F61688" w:rsidP="00E73A7B">
            <w:pPr>
              <w:jc w:val="center"/>
              <w:rPr>
                <w:rFonts w:ascii="Arial Narrow" w:hAnsi="Arial Narrow"/>
                <w:sz w:val="20"/>
                <w:lang w:val="en-US"/>
              </w:rPr>
            </w:pPr>
            <w:r w:rsidRPr="007121AF">
              <w:rPr>
                <w:rFonts w:ascii="Arial Narrow" w:hAnsi="Arial Narrow"/>
                <w:sz w:val="20"/>
                <w:lang w:val="en-US"/>
              </w:rPr>
              <w:t xml:space="preserve">Ofatumumab PFS </w:t>
            </w:r>
          </w:p>
          <w:p w:rsidR="00F61688" w:rsidRPr="007121AF" w:rsidRDefault="00F61688" w:rsidP="00E73A7B">
            <w:pPr>
              <w:jc w:val="center"/>
              <w:rPr>
                <w:rFonts w:ascii="Arial Narrow" w:hAnsi="Arial Narrow"/>
                <w:sz w:val="20"/>
                <w:lang w:val="en-US"/>
              </w:rPr>
            </w:pPr>
            <w:r w:rsidRPr="007121AF">
              <w:rPr>
                <w:rFonts w:ascii="Arial Narrow" w:hAnsi="Arial Narrow"/>
                <w:sz w:val="20"/>
                <w:lang w:val="en-US"/>
              </w:rPr>
              <w:t>(D model)</w:t>
            </w:r>
          </w:p>
        </w:tc>
      </w:tr>
      <w:tr w:rsidR="00F61688" w:rsidRPr="007121AF" w:rsidTr="00E73A7B">
        <w:tc>
          <w:tcPr>
            <w:tcW w:w="743" w:type="pct"/>
            <w:shd w:val="clear" w:color="auto" w:fill="auto"/>
            <w:vAlign w:val="center"/>
          </w:tcPr>
          <w:p w:rsidR="00F61688" w:rsidRPr="007121AF" w:rsidRDefault="00F61688" w:rsidP="00E73A7B">
            <w:pPr>
              <w:jc w:val="left"/>
              <w:rPr>
                <w:rFonts w:ascii="Arial Narrow" w:hAnsi="Arial Narrow"/>
                <w:sz w:val="20"/>
                <w:lang w:val="en-US"/>
              </w:rPr>
            </w:pPr>
            <w:r w:rsidRPr="007121AF">
              <w:rPr>
                <w:rFonts w:ascii="Arial Narrow" w:hAnsi="Arial Narrow"/>
                <w:sz w:val="20"/>
              </w:rPr>
              <w:t>RESONATE-17</w:t>
            </w:r>
          </w:p>
        </w:tc>
        <w:tc>
          <w:tcPr>
            <w:tcW w:w="387" w:type="pct"/>
            <w:shd w:val="clear" w:color="auto" w:fill="auto"/>
            <w:vAlign w:val="center"/>
          </w:tcPr>
          <w:p w:rsidR="00F61688" w:rsidRPr="007121AF" w:rsidRDefault="00F61688" w:rsidP="00E73A7B">
            <w:pPr>
              <w:jc w:val="center"/>
              <w:rPr>
                <w:rFonts w:ascii="Arial Narrow" w:hAnsi="Arial Narrow"/>
                <w:sz w:val="20"/>
                <w:lang w:val="en-US"/>
              </w:rPr>
            </w:pPr>
            <w:r w:rsidRPr="007121AF">
              <w:rPr>
                <w:rFonts w:ascii="Arial Narrow" w:hAnsi="Arial Narrow"/>
                <w:sz w:val="20"/>
                <w:lang w:val="en-US"/>
              </w:rPr>
              <w:t>144</w:t>
            </w:r>
          </w:p>
        </w:tc>
        <w:tc>
          <w:tcPr>
            <w:tcW w:w="1160" w:type="pct"/>
            <w:shd w:val="clear" w:color="auto" w:fill="auto"/>
            <w:vAlign w:val="center"/>
          </w:tcPr>
          <w:p w:rsidR="00F61688" w:rsidRPr="007121AF" w:rsidRDefault="00F61688" w:rsidP="00E73A7B">
            <w:pPr>
              <w:jc w:val="center"/>
              <w:rPr>
                <w:rFonts w:ascii="Arial Narrow" w:hAnsi="Arial Narrow"/>
                <w:sz w:val="20"/>
                <w:lang w:val="en-US"/>
              </w:rPr>
            </w:pPr>
            <w:r w:rsidRPr="007121AF">
              <w:rPr>
                <w:rFonts w:ascii="Arial Narrow" w:hAnsi="Arial Narrow"/>
                <w:sz w:val="20"/>
                <w:lang w:val="en-US"/>
              </w:rPr>
              <w:t>Phase 2, MC, OL</w:t>
            </w:r>
          </w:p>
          <w:p w:rsidR="005914AF" w:rsidRPr="007121AF" w:rsidRDefault="005914AF" w:rsidP="005914AF">
            <w:pPr>
              <w:jc w:val="center"/>
              <w:rPr>
                <w:rFonts w:ascii="Arial Narrow" w:hAnsi="Arial Narrow"/>
                <w:sz w:val="20"/>
                <w:lang w:val="en-US"/>
              </w:rPr>
            </w:pPr>
            <w:r>
              <w:rPr>
                <w:rFonts w:ascii="Arial Narrow" w:hAnsi="Arial Narrow"/>
                <w:sz w:val="20"/>
                <w:lang w:val="en-US"/>
              </w:rPr>
              <w:t>Non-comparative</w:t>
            </w:r>
          </w:p>
          <w:p w:rsidR="00F61688" w:rsidRPr="007121AF" w:rsidRDefault="00F61688" w:rsidP="00E73A7B">
            <w:pPr>
              <w:jc w:val="center"/>
              <w:rPr>
                <w:rFonts w:ascii="Arial Narrow" w:hAnsi="Arial Narrow"/>
                <w:sz w:val="20"/>
                <w:lang w:val="en-US"/>
              </w:rPr>
            </w:pPr>
            <w:r w:rsidRPr="007121AF">
              <w:rPr>
                <w:rFonts w:ascii="Arial Narrow" w:hAnsi="Arial Narrow"/>
                <w:sz w:val="20"/>
                <w:lang w:val="en-US"/>
              </w:rPr>
              <w:t>Approximately 1-2 years median follow-up</w:t>
            </w:r>
          </w:p>
        </w:tc>
        <w:tc>
          <w:tcPr>
            <w:tcW w:w="428" w:type="pct"/>
            <w:shd w:val="clear" w:color="auto" w:fill="auto"/>
            <w:vAlign w:val="center"/>
          </w:tcPr>
          <w:p w:rsidR="00F61688" w:rsidRPr="007121AF" w:rsidRDefault="00F61688" w:rsidP="00E73A7B">
            <w:pPr>
              <w:jc w:val="center"/>
              <w:rPr>
                <w:rFonts w:ascii="Arial Narrow" w:hAnsi="Arial Narrow"/>
                <w:sz w:val="20"/>
                <w:lang w:val="en-US"/>
              </w:rPr>
            </w:pPr>
            <w:r w:rsidRPr="007121AF">
              <w:rPr>
                <w:rFonts w:ascii="Arial Narrow" w:hAnsi="Arial Narrow"/>
                <w:sz w:val="20"/>
                <w:lang w:val="en-US"/>
              </w:rPr>
              <w:t>High</w:t>
            </w:r>
          </w:p>
        </w:tc>
        <w:tc>
          <w:tcPr>
            <w:tcW w:w="1112" w:type="pct"/>
            <w:shd w:val="clear" w:color="auto" w:fill="auto"/>
            <w:vAlign w:val="center"/>
          </w:tcPr>
          <w:p w:rsidR="00F61688" w:rsidRPr="007121AF" w:rsidRDefault="00F61688" w:rsidP="005914AF">
            <w:pPr>
              <w:jc w:val="center"/>
              <w:rPr>
                <w:rFonts w:ascii="Arial Narrow" w:hAnsi="Arial Narrow"/>
                <w:sz w:val="20"/>
                <w:lang w:val="en-US"/>
              </w:rPr>
            </w:pPr>
            <w:r w:rsidRPr="007121AF">
              <w:rPr>
                <w:rFonts w:ascii="Arial Narrow" w:hAnsi="Arial Narrow"/>
                <w:sz w:val="20"/>
                <w:lang w:val="en-US"/>
              </w:rPr>
              <w:t>Relapsed/</w:t>
            </w:r>
            <w:r w:rsidR="005914AF">
              <w:rPr>
                <w:rFonts w:ascii="Arial Narrow" w:hAnsi="Arial Narrow"/>
                <w:sz w:val="20"/>
                <w:lang w:val="en-US"/>
              </w:rPr>
              <w:t>r</w:t>
            </w:r>
            <w:r w:rsidRPr="007121AF">
              <w:rPr>
                <w:rFonts w:ascii="Arial Narrow" w:hAnsi="Arial Narrow"/>
                <w:sz w:val="20"/>
                <w:lang w:val="en-US"/>
              </w:rPr>
              <w:t>efractory CLL with 17p deletion</w:t>
            </w:r>
          </w:p>
        </w:tc>
        <w:tc>
          <w:tcPr>
            <w:tcW w:w="513" w:type="pct"/>
            <w:shd w:val="clear" w:color="auto" w:fill="auto"/>
            <w:vAlign w:val="center"/>
          </w:tcPr>
          <w:p w:rsidR="00F61688" w:rsidRPr="007121AF" w:rsidRDefault="00F61688" w:rsidP="00E73A7B">
            <w:pPr>
              <w:jc w:val="center"/>
              <w:rPr>
                <w:rFonts w:ascii="Arial Narrow" w:hAnsi="Arial Narrow"/>
                <w:sz w:val="20"/>
                <w:lang w:val="en-US"/>
              </w:rPr>
            </w:pPr>
            <w:r w:rsidRPr="007121AF">
              <w:rPr>
                <w:rFonts w:ascii="Arial Narrow" w:hAnsi="Arial Narrow"/>
                <w:sz w:val="20"/>
                <w:lang w:val="en-US"/>
              </w:rPr>
              <w:t>Treatment response, PFS, OS</w:t>
            </w:r>
          </w:p>
        </w:tc>
        <w:tc>
          <w:tcPr>
            <w:tcW w:w="657" w:type="pct"/>
            <w:shd w:val="clear" w:color="auto" w:fill="auto"/>
            <w:vAlign w:val="center"/>
          </w:tcPr>
          <w:p w:rsidR="00F61688" w:rsidRPr="007121AF" w:rsidRDefault="00F61688" w:rsidP="00E73A7B">
            <w:pPr>
              <w:jc w:val="center"/>
              <w:rPr>
                <w:rFonts w:ascii="Arial Narrow" w:hAnsi="Arial Narrow"/>
                <w:sz w:val="20"/>
                <w:lang w:val="en-US"/>
              </w:rPr>
            </w:pPr>
            <w:r w:rsidRPr="007121AF">
              <w:rPr>
                <w:rFonts w:ascii="Arial Narrow" w:hAnsi="Arial Narrow"/>
                <w:sz w:val="20"/>
                <w:lang w:val="en-US"/>
              </w:rPr>
              <w:t>Not used</w:t>
            </w:r>
          </w:p>
        </w:tc>
      </w:tr>
      <w:tr w:rsidR="00F61688" w:rsidRPr="007121AF" w:rsidTr="00E73A7B">
        <w:tc>
          <w:tcPr>
            <w:tcW w:w="5000" w:type="pct"/>
            <w:gridSpan w:val="7"/>
            <w:shd w:val="clear" w:color="auto" w:fill="auto"/>
            <w:vAlign w:val="center"/>
          </w:tcPr>
          <w:p w:rsidR="00F61688" w:rsidRPr="007121AF" w:rsidRDefault="00F61688" w:rsidP="00E73A7B">
            <w:pPr>
              <w:jc w:val="left"/>
              <w:rPr>
                <w:rFonts w:ascii="Arial Narrow" w:hAnsi="Arial Narrow"/>
                <w:sz w:val="20"/>
                <w:lang w:val="en-US"/>
              </w:rPr>
            </w:pPr>
            <w:r w:rsidRPr="007121AF">
              <w:rPr>
                <w:rFonts w:ascii="Arial Narrow" w:hAnsi="Arial Narrow"/>
                <w:b/>
                <w:sz w:val="20"/>
              </w:rPr>
              <w:t>Idelalisib + rituximab studies</w:t>
            </w:r>
          </w:p>
        </w:tc>
      </w:tr>
      <w:tr w:rsidR="00F61688" w:rsidRPr="007121AF" w:rsidTr="00E73A7B">
        <w:tc>
          <w:tcPr>
            <w:tcW w:w="743" w:type="pct"/>
            <w:shd w:val="clear" w:color="auto" w:fill="auto"/>
            <w:vAlign w:val="center"/>
          </w:tcPr>
          <w:p w:rsidR="00F61688" w:rsidRPr="007121AF" w:rsidRDefault="00F61688" w:rsidP="00E73A7B">
            <w:pPr>
              <w:jc w:val="left"/>
              <w:rPr>
                <w:rFonts w:ascii="Arial Narrow" w:hAnsi="Arial Narrow"/>
                <w:sz w:val="20"/>
                <w:lang w:val="en-US"/>
              </w:rPr>
            </w:pPr>
            <w:r w:rsidRPr="007121AF">
              <w:rPr>
                <w:rFonts w:ascii="Arial Narrow" w:hAnsi="Arial Narrow"/>
                <w:sz w:val="20"/>
              </w:rPr>
              <w:t>312-0116</w:t>
            </w:r>
          </w:p>
        </w:tc>
        <w:tc>
          <w:tcPr>
            <w:tcW w:w="387" w:type="pct"/>
            <w:shd w:val="clear" w:color="auto" w:fill="auto"/>
            <w:vAlign w:val="center"/>
          </w:tcPr>
          <w:p w:rsidR="00F61688" w:rsidRPr="007121AF" w:rsidRDefault="00F61688" w:rsidP="00E73A7B">
            <w:pPr>
              <w:jc w:val="center"/>
              <w:rPr>
                <w:rFonts w:ascii="Arial Narrow" w:hAnsi="Arial Narrow"/>
                <w:sz w:val="20"/>
                <w:lang w:val="en-US"/>
              </w:rPr>
            </w:pPr>
            <w:r w:rsidRPr="007121AF">
              <w:rPr>
                <w:rFonts w:ascii="Arial Narrow" w:hAnsi="Arial Narrow"/>
                <w:sz w:val="20"/>
                <w:lang w:val="en-US"/>
              </w:rPr>
              <w:t>220</w:t>
            </w:r>
          </w:p>
        </w:tc>
        <w:tc>
          <w:tcPr>
            <w:tcW w:w="1160" w:type="pct"/>
            <w:shd w:val="clear" w:color="auto" w:fill="auto"/>
            <w:vAlign w:val="center"/>
          </w:tcPr>
          <w:p w:rsidR="00F61688" w:rsidRPr="007121AF" w:rsidRDefault="00F61688" w:rsidP="00E73A7B">
            <w:pPr>
              <w:jc w:val="center"/>
              <w:rPr>
                <w:rFonts w:ascii="Arial Narrow" w:hAnsi="Arial Narrow"/>
                <w:sz w:val="20"/>
                <w:lang w:val="en-US"/>
              </w:rPr>
            </w:pPr>
            <w:r w:rsidRPr="007121AF">
              <w:rPr>
                <w:rFonts w:ascii="Arial Narrow" w:hAnsi="Arial Narrow"/>
                <w:sz w:val="20"/>
                <w:lang w:val="en-US"/>
              </w:rPr>
              <w:t>Phase 3, MC, R, DB</w:t>
            </w:r>
          </w:p>
          <w:p w:rsidR="00F61688" w:rsidRPr="007121AF" w:rsidRDefault="00F61688" w:rsidP="00E73A7B">
            <w:pPr>
              <w:jc w:val="center"/>
              <w:rPr>
                <w:rFonts w:ascii="Arial Narrow" w:hAnsi="Arial Narrow"/>
                <w:sz w:val="20"/>
                <w:lang w:val="en-US"/>
              </w:rPr>
            </w:pPr>
            <w:r w:rsidRPr="007121AF">
              <w:rPr>
                <w:rFonts w:ascii="Arial Narrow" w:hAnsi="Arial Narrow"/>
                <w:sz w:val="20"/>
                <w:lang w:val="en-US"/>
              </w:rPr>
              <w:t>Idelalisib vs placebo (rituximab background)</w:t>
            </w:r>
          </w:p>
          <w:p w:rsidR="00F61688" w:rsidRPr="007121AF" w:rsidRDefault="00F61688" w:rsidP="00E73A7B">
            <w:pPr>
              <w:jc w:val="center"/>
              <w:rPr>
                <w:rFonts w:ascii="Arial Narrow" w:hAnsi="Arial Narrow"/>
                <w:sz w:val="20"/>
                <w:lang w:val="en-US"/>
              </w:rPr>
            </w:pPr>
            <w:r w:rsidRPr="007121AF">
              <w:rPr>
                <w:rFonts w:ascii="Arial Narrow" w:hAnsi="Arial Narrow"/>
                <w:sz w:val="20"/>
                <w:lang w:val="en-US"/>
              </w:rPr>
              <w:t>Approximately 1 year median follow-up</w:t>
            </w:r>
          </w:p>
        </w:tc>
        <w:tc>
          <w:tcPr>
            <w:tcW w:w="428" w:type="pct"/>
            <w:shd w:val="clear" w:color="auto" w:fill="auto"/>
            <w:vAlign w:val="center"/>
          </w:tcPr>
          <w:p w:rsidR="00F61688" w:rsidRPr="007121AF" w:rsidRDefault="00F61688" w:rsidP="00E73A7B">
            <w:pPr>
              <w:jc w:val="center"/>
              <w:rPr>
                <w:rFonts w:ascii="Arial Narrow" w:hAnsi="Arial Narrow"/>
                <w:sz w:val="20"/>
                <w:lang w:val="en-US"/>
              </w:rPr>
            </w:pPr>
            <w:r w:rsidRPr="007121AF">
              <w:rPr>
                <w:rFonts w:ascii="Arial Narrow" w:hAnsi="Arial Narrow"/>
                <w:sz w:val="20"/>
                <w:lang w:val="en-US"/>
              </w:rPr>
              <w:t>Low</w:t>
            </w:r>
          </w:p>
        </w:tc>
        <w:tc>
          <w:tcPr>
            <w:tcW w:w="1112" w:type="pct"/>
            <w:shd w:val="clear" w:color="auto" w:fill="auto"/>
            <w:vAlign w:val="center"/>
          </w:tcPr>
          <w:p w:rsidR="00F61688" w:rsidRPr="007121AF" w:rsidRDefault="00F61688" w:rsidP="005914AF">
            <w:pPr>
              <w:jc w:val="center"/>
              <w:rPr>
                <w:rFonts w:ascii="Arial Narrow" w:hAnsi="Arial Narrow"/>
                <w:sz w:val="20"/>
                <w:lang w:val="en-US"/>
              </w:rPr>
            </w:pPr>
            <w:r w:rsidRPr="007121AF">
              <w:rPr>
                <w:rFonts w:ascii="Arial Narrow" w:hAnsi="Arial Narrow"/>
                <w:sz w:val="20"/>
                <w:lang w:val="en-US"/>
              </w:rPr>
              <w:t>Relapsed/</w:t>
            </w:r>
            <w:r w:rsidR="005914AF">
              <w:rPr>
                <w:rFonts w:ascii="Arial Narrow" w:hAnsi="Arial Narrow"/>
                <w:sz w:val="20"/>
                <w:lang w:val="en-US"/>
              </w:rPr>
              <w:t>r</w:t>
            </w:r>
            <w:r w:rsidRPr="007121AF">
              <w:rPr>
                <w:rFonts w:ascii="Arial Narrow" w:hAnsi="Arial Narrow"/>
                <w:sz w:val="20"/>
                <w:lang w:val="en-US"/>
              </w:rPr>
              <w:t>efractory CLL unsuitable for chemoimmunotherapy</w:t>
            </w:r>
          </w:p>
        </w:tc>
        <w:tc>
          <w:tcPr>
            <w:tcW w:w="513" w:type="pct"/>
            <w:shd w:val="clear" w:color="auto" w:fill="auto"/>
            <w:vAlign w:val="center"/>
          </w:tcPr>
          <w:p w:rsidR="00F61688" w:rsidRPr="007121AF" w:rsidRDefault="00F61688" w:rsidP="00E73A7B">
            <w:pPr>
              <w:jc w:val="center"/>
              <w:rPr>
                <w:rFonts w:ascii="Arial Narrow" w:hAnsi="Arial Narrow"/>
                <w:sz w:val="20"/>
                <w:lang w:val="en-US"/>
              </w:rPr>
            </w:pPr>
            <w:r w:rsidRPr="007121AF">
              <w:rPr>
                <w:rFonts w:ascii="Arial Narrow" w:hAnsi="Arial Narrow"/>
                <w:sz w:val="20"/>
                <w:lang w:val="en-US"/>
              </w:rPr>
              <w:t>Treatment response, PFS, OS</w:t>
            </w:r>
          </w:p>
        </w:tc>
        <w:tc>
          <w:tcPr>
            <w:tcW w:w="657" w:type="pct"/>
            <w:shd w:val="clear" w:color="auto" w:fill="auto"/>
            <w:vAlign w:val="center"/>
          </w:tcPr>
          <w:p w:rsidR="00F61688" w:rsidRPr="007121AF" w:rsidRDefault="00F61688" w:rsidP="00E73A7B">
            <w:pPr>
              <w:jc w:val="center"/>
              <w:rPr>
                <w:rFonts w:ascii="Arial Narrow" w:hAnsi="Arial Narrow"/>
                <w:sz w:val="20"/>
                <w:lang w:val="en-US"/>
              </w:rPr>
            </w:pPr>
            <w:r w:rsidRPr="007121AF">
              <w:rPr>
                <w:rFonts w:ascii="Arial Narrow" w:hAnsi="Arial Narrow"/>
                <w:sz w:val="20"/>
                <w:lang w:val="en-US"/>
              </w:rPr>
              <w:t>Idelalisib responder rates (DD model)</w:t>
            </w:r>
          </w:p>
          <w:p w:rsidR="00F61688" w:rsidRPr="007121AF" w:rsidRDefault="00F61688" w:rsidP="00E73A7B">
            <w:pPr>
              <w:jc w:val="center"/>
              <w:rPr>
                <w:rFonts w:ascii="Arial Narrow" w:hAnsi="Arial Narrow"/>
                <w:sz w:val="20"/>
                <w:lang w:val="en-US"/>
              </w:rPr>
            </w:pPr>
          </w:p>
          <w:p w:rsidR="00F61688" w:rsidRPr="007121AF" w:rsidRDefault="00F61688" w:rsidP="00E73A7B">
            <w:pPr>
              <w:jc w:val="center"/>
              <w:rPr>
                <w:rFonts w:ascii="Arial Narrow" w:hAnsi="Arial Narrow"/>
                <w:sz w:val="20"/>
                <w:lang w:val="en-US"/>
              </w:rPr>
            </w:pPr>
            <w:r w:rsidRPr="007121AF">
              <w:rPr>
                <w:rFonts w:ascii="Arial Narrow" w:hAnsi="Arial Narrow"/>
                <w:sz w:val="20"/>
                <w:lang w:val="en-US"/>
              </w:rPr>
              <w:t>Rituximab survival rates (DDD model)</w:t>
            </w:r>
          </w:p>
        </w:tc>
      </w:tr>
    </w:tbl>
    <w:p w:rsidR="00F61688" w:rsidRPr="0072416F" w:rsidRDefault="00F61688" w:rsidP="00F61688">
      <w:pPr>
        <w:pStyle w:val="TableFooter"/>
        <w:ind w:left="720"/>
      </w:pPr>
      <w:r>
        <w:t>Abbreviations: CLL, chronic lymphocytic leukaemia; DB, double-blind; MC, multi-centre; OL, open-label; OS, overall survival; PFS, progression-free survival; R, randomised</w:t>
      </w:r>
    </w:p>
    <w:p w:rsidR="001152B6" w:rsidRDefault="001152B6" w:rsidP="001152B6">
      <w:pPr>
        <w:pStyle w:val="TableFooter"/>
        <w:ind w:firstLine="720"/>
      </w:pPr>
      <w:r>
        <w:t>Source: Constructed</w:t>
      </w:r>
      <w:r w:rsidRPr="0072416F">
        <w:t xml:space="preserve"> during the evaluation</w:t>
      </w:r>
    </w:p>
    <w:p w:rsidR="00F61688" w:rsidRDefault="00F61688" w:rsidP="00F61688"/>
    <w:p w:rsidR="00F61688" w:rsidRPr="00DD1DEA" w:rsidRDefault="00F61688" w:rsidP="00B3436A">
      <w:pPr>
        <w:pStyle w:val="ListParagraph"/>
        <w:widowControl/>
        <w:numPr>
          <w:ilvl w:val="1"/>
          <w:numId w:val="3"/>
        </w:numPr>
      </w:pPr>
      <w:r w:rsidRPr="00DD1DEA">
        <w:t xml:space="preserve">The evidence base supporting the use of venetoclax is immature and was based on interim results from ongoing </w:t>
      </w:r>
      <w:r w:rsidR="002C0974" w:rsidRPr="00DD1DEA">
        <w:t xml:space="preserve">non-comparative </w:t>
      </w:r>
      <w:r w:rsidRPr="00DD1DEA">
        <w:t xml:space="preserve">Phase 1 and Phase 2 studies. As noted by </w:t>
      </w:r>
      <w:r w:rsidR="00B3436A">
        <w:t xml:space="preserve">the </w:t>
      </w:r>
      <w:r w:rsidR="00B3436A" w:rsidRPr="00B3436A">
        <w:t>Canadian Agency for Drugs and Technologies in He</w:t>
      </w:r>
      <w:r w:rsidR="00B3436A">
        <w:t>alth</w:t>
      </w:r>
      <w:r w:rsidR="00B3436A" w:rsidRPr="00B3436A">
        <w:t xml:space="preserve"> </w:t>
      </w:r>
      <w:r w:rsidR="00B3436A">
        <w:t>(</w:t>
      </w:r>
      <w:r w:rsidRPr="00DD1DEA">
        <w:t>CADTH</w:t>
      </w:r>
      <w:r w:rsidR="00B3436A">
        <w:t>)</w:t>
      </w:r>
      <w:r w:rsidRPr="00DD1DEA">
        <w:t>, many chemotherapy regimens demonstrating positive results in single-arm Phase 2 studies do not translate into positive results in Phase 3 RCTs</w:t>
      </w:r>
      <w:r w:rsidR="00B3436A">
        <w:t>,</w:t>
      </w:r>
      <w:r w:rsidRPr="00DD1DEA">
        <w:t xml:space="preserve"> and it is unclear whether the outcomes observed with venetoclax w</w:t>
      </w:r>
      <w:r w:rsidR="002C0974" w:rsidRPr="00DD1DEA">
        <w:t>ould</w:t>
      </w:r>
      <w:r w:rsidRPr="00DD1DEA">
        <w:t xml:space="preserve"> be consistent in a randomised controlled trial (CADTH pan-Canadian Oncology Drug Review 10087, December 2016). No RCTs of venetoclax monotherapy (either ongoing or completed) were identified during the evaluation. However, one ongoing RCT was identified comparing venetoclax in combination with rituximab versus bendamustine with rituximab (NCT02005471).</w:t>
      </w:r>
    </w:p>
    <w:p w:rsidR="00F61688" w:rsidRPr="005914AF" w:rsidRDefault="00F61688" w:rsidP="00F61688"/>
    <w:p w:rsidR="00F61688" w:rsidRPr="00DD1DEA" w:rsidRDefault="00F61688" w:rsidP="001152B6">
      <w:pPr>
        <w:pStyle w:val="ListParagraph"/>
        <w:widowControl/>
        <w:numPr>
          <w:ilvl w:val="1"/>
          <w:numId w:val="3"/>
        </w:numPr>
      </w:pPr>
      <w:r w:rsidRPr="00DD1DEA">
        <w:t>The included studies may not have been sufficiently similar in terms of study design (Phase 1/2 single arm studies versus Phase 3 RCTs) and patient populations (potential differences in prognostic mutations, prior treatment exposure, patient fitness and disease stage) to justify an indirect comparison.</w:t>
      </w:r>
    </w:p>
    <w:p w:rsidR="00F61688" w:rsidRPr="00882085" w:rsidRDefault="00F61688" w:rsidP="00F61688">
      <w:pPr>
        <w:rPr>
          <w:szCs w:val="22"/>
        </w:rPr>
      </w:pPr>
    </w:p>
    <w:p w:rsidR="00F61688" w:rsidRPr="002C2775" w:rsidRDefault="00F61688" w:rsidP="00F61688">
      <w:pPr>
        <w:pStyle w:val="Heading2"/>
        <w:rPr>
          <w:i/>
        </w:rPr>
      </w:pPr>
      <w:bookmarkStart w:id="16" w:name="_Toc392858195"/>
      <w:bookmarkStart w:id="17" w:name="_Toc472494399"/>
      <w:r w:rsidRPr="002C2775">
        <w:rPr>
          <w:i/>
        </w:rPr>
        <w:t>Comparative effectiveness</w:t>
      </w:r>
      <w:bookmarkEnd w:id="16"/>
      <w:bookmarkEnd w:id="17"/>
    </w:p>
    <w:p w:rsidR="00F61688" w:rsidRPr="00882085" w:rsidRDefault="00F61688" w:rsidP="00F61688">
      <w:pPr>
        <w:rPr>
          <w:szCs w:val="22"/>
        </w:rPr>
      </w:pPr>
    </w:p>
    <w:p w:rsidR="00F61688" w:rsidRPr="00DD1DEA" w:rsidRDefault="002C0974" w:rsidP="001011FE">
      <w:pPr>
        <w:pStyle w:val="ListParagraph"/>
        <w:widowControl/>
        <w:numPr>
          <w:ilvl w:val="1"/>
          <w:numId w:val="3"/>
        </w:numPr>
        <w:rPr>
          <w:szCs w:val="22"/>
        </w:rPr>
      </w:pPr>
      <w:r w:rsidRPr="00DD1DEA">
        <w:rPr>
          <w:szCs w:val="22"/>
        </w:rPr>
        <w:t xml:space="preserve">Comparative effectiveness </w:t>
      </w:r>
      <w:r w:rsidR="00F61688" w:rsidRPr="00DD1DEA">
        <w:rPr>
          <w:szCs w:val="22"/>
        </w:rPr>
        <w:t>estimates reli</w:t>
      </w:r>
      <w:r w:rsidRPr="00DD1DEA">
        <w:rPr>
          <w:szCs w:val="22"/>
        </w:rPr>
        <w:t>ed</w:t>
      </w:r>
      <w:r w:rsidR="00F61688" w:rsidRPr="00DD1DEA">
        <w:rPr>
          <w:szCs w:val="22"/>
        </w:rPr>
        <w:t xml:space="preserve"> on </w:t>
      </w:r>
      <w:r w:rsidRPr="00DD1DEA">
        <w:rPr>
          <w:szCs w:val="22"/>
        </w:rPr>
        <w:t xml:space="preserve">a </w:t>
      </w:r>
      <w:r w:rsidR="00F61688" w:rsidRPr="00DD1DEA">
        <w:rPr>
          <w:szCs w:val="22"/>
        </w:rPr>
        <w:t>naïve indirect comparison</w:t>
      </w:r>
      <w:r w:rsidRPr="00DD1DEA">
        <w:rPr>
          <w:szCs w:val="22"/>
        </w:rPr>
        <w:t>,</w:t>
      </w:r>
      <w:r w:rsidR="00F61688" w:rsidRPr="00DD1DEA">
        <w:rPr>
          <w:szCs w:val="22"/>
        </w:rPr>
        <w:t xml:space="preserve"> which is not a reliable method for assessing comparative efficacy.</w:t>
      </w:r>
    </w:p>
    <w:p w:rsidR="00F61688" w:rsidRPr="002C0974" w:rsidRDefault="00F61688" w:rsidP="00F61688">
      <w:pPr>
        <w:widowControl/>
        <w:rPr>
          <w:szCs w:val="22"/>
        </w:rPr>
      </w:pPr>
    </w:p>
    <w:p w:rsidR="00F61688" w:rsidRPr="004F3560" w:rsidRDefault="00F61688" w:rsidP="001011FE">
      <w:pPr>
        <w:pStyle w:val="ListParagraph"/>
        <w:widowControl/>
        <w:numPr>
          <w:ilvl w:val="1"/>
          <w:numId w:val="3"/>
        </w:numPr>
        <w:rPr>
          <w:szCs w:val="22"/>
        </w:rPr>
      </w:pPr>
      <w:r w:rsidRPr="004F3560">
        <w:rPr>
          <w:szCs w:val="22"/>
        </w:rPr>
        <w:t>The key results of the indirect comparison between venetoclax and ofatumumab monothera</w:t>
      </w:r>
      <w:r>
        <w:rPr>
          <w:szCs w:val="22"/>
        </w:rPr>
        <w:t>py in patients with 17p deletion/TP53 mutation</w:t>
      </w:r>
      <w:r w:rsidRPr="004F3560">
        <w:rPr>
          <w:szCs w:val="22"/>
        </w:rPr>
        <w:t xml:space="preserve"> are summarised in </w:t>
      </w:r>
      <w:r>
        <w:rPr>
          <w:szCs w:val="22"/>
        </w:rPr>
        <w:t>T</w:t>
      </w:r>
      <w:r w:rsidRPr="004F3560">
        <w:rPr>
          <w:szCs w:val="22"/>
        </w:rPr>
        <w:t>able</w:t>
      </w:r>
      <w:r>
        <w:rPr>
          <w:szCs w:val="22"/>
        </w:rPr>
        <w:t xml:space="preserve"> 3</w:t>
      </w:r>
      <w:r w:rsidRPr="004F3560">
        <w:rPr>
          <w:szCs w:val="22"/>
        </w:rPr>
        <w:t>.</w:t>
      </w:r>
    </w:p>
    <w:p w:rsidR="00F61688" w:rsidRDefault="00F61688" w:rsidP="00F61688">
      <w:pPr>
        <w:widowControl/>
        <w:rPr>
          <w:szCs w:val="22"/>
        </w:rPr>
      </w:pPr>
    </w:p>
    <w:p w:rsidR="00F61688" w:rsidRPr="00006210" w:rsidRDefault="00F61688" w:rsidP="00F61688">
      <w:pPr>
        <w:keepNext/>
        <w:ind w:left="720"/>
        <w:rPr>
          <w:rFonts w:ascii="Arial Narrow" w:hAnsi="Arial Narrow"/>
          <w:b/>
          <w:sz w:val="20"/>
        </w:rPr>
      </w:pPr>
      <w:r>
        <w:rPr>
          <w:rFonts w:ascii="Arial Narrow" w:hAnsi="Arial Narrow"/>
          <w:b/>
          <w:sz w:val="20"/>
        </w:rPr>
        <w:t>Table 3: Summary of the most recent efficacy results for venetoclax vs. ofatumumab in patients with 17p deletion/TP53 mutation</w:t>
      </w:r>
    </w:p>
    <w:tbl>
      <w:tblPr>
        <w:tblW w:w="4638"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9"/>
        <w:gridCol w:w="1598"/>
        <w:gridCol w:w="1598"/>
        <w:gridCol w:w="1598"/>
      </w:tblGrid>
      <w:tr w:rsidR="00F61688" w:rsidRPr="007121AF" w:rsidTr="00E73A7B">
        <w:tc>
          <w:tcPr>
            <w:tcW w:w="2204" w:type="pct"/>
            <w:vMerge w:val="restart"/>
            <w:vAlign w:val="center"/>
          </w:tcPr>
          <w:p w:rsidR="00F61688" w:rsidRPr="007121AF" w:rsidRDefault="00F61688" w:rsidP="00E73A7B">
            <w:pPr>
              <w:jc w:val="center"/>
              <w:rPr>
                <w:rFonts w:ascii="Arial Narrow" w:hAnsi="Arial Narrow"/>
                <w:b/>
                <w:sz w:val="20"/>
              </w:rPr>
            </w:pPr>
          </w:p>
        </w:tc>
        <w:tc>
          <w:tcPr>
            <w:tcW w:w="932" w:type="pct"/>
            <w:vAlign w:val="center"/>
          </w:tcPr>
          <w:p w:rsidR="00F61688" w:rsidRPr="007121AF" w:rsidRDefault="00F61688" w:rsidP="00E73A7B">
            <w:pPr>
              <w:jc w:val="center"/>
              <w:rPr>
                <w:rFonts w:ascii="Arial Narrow" w:hAnsi="Arial Narrow"/>
                <w:b/>
                <w:sz w:val="20"/>
              </w:rPr>
            </w:pPr>
            <w:r w:rsidRPr="007121AF">
              <w:rPr>
                <w:rFonts w:ascii="Arial Narrow" w:hAnsi="Arial Narrow"/>
                <w:b/>
                <w:sz w:val="20"/>
              </w:rPr>
              <w:t>M12-175</w:t>
            </w:r>
          </w:p>
        </w:tc>
        <w:tc>
          <w:tcPr>
            <w:tcW w:w="932" w:type="pct"/>
            <w:vAlign w:val="center"/>
          </w:tcPr>
          <w:p w:rsidR="00F61688" w:rsidRPr="007121AF" w:rsidRDefault="00F61688" w:rsidP="00E73A7B">
            <w:pPr>
              <w:jc w:val="center"/>
              <w:rPr>
                <w:rFonts w:ascii="Arial Narrow" w:hAnsi="Arial Narrow"/>
                <w:b/>
                <w:sz w:val="20"/>
              </w:rPr>
            </w:pPr>
            <w:r w:rsidRPr="007121AF">
              <w:rPr>
                <w:rFonts w:ascii="Arial Narrow" w:hAnsi="Arial Narrow"/>
                <w:b/>
                <w:sz w:val="20"/>
              </w:rPr>
              <w:t>M13-982</w:t>
            </w:r>
          </w:p>
        </w:tc>
        <w:tc>
          <w:tcPr>
            <w:tcW w:w="932" w:type="pct"/>
            <w:vAlign w:val="center"/>
          </w:tcPr>
          <w:p w:rsidR="00F61688" w:rsidRPr="007121AF" w:rsidRDefault="00F61688" w:rsidP="00E73A7B">
            <w:pPr>
              <w:pStyle w:val="Tabletextcentred"/>
              <w:rPr>
                <w:b/>
                <w:snapToGrid w:val="0"/>
              </w:rPr>
            </w:pPr>
            <w:r w:rsidRPr="007121AF">
              <w:rPr>
                <w:b/>
                <w:snapToGrid w:val="0"/>
              </w:rPr>
              <w:t>RESONATE</w:t>
            </w:r>
          </w:p>
        </w:tc>
      </w:tr>
      <w:tr w:rsidR="00F61688" w:rsidRPr="007121AF" w:rsidTr="00E73A7B">
        <w:tc>
          <w:tcPr>
            <w:tcW w:w="2204" w:type="pct"/>
            <w:vMerge/>
          </w:tcPr>
          <w:p w:rsidR="00F61688" w:rsidRPr="007121AF" w:rsidRDefault="00F61688" w:rsidP="00E73A7B">
            <w:pPr>
              <w:jc w:val="center"/>
              <w:rPr>
                <w:rFonts w:ascii="Arial Narrow" w:hAnsi="Arial Narrow"/>
                <w:b/>
                <w:sz w:val="20"/>
              </w:rPr>
            </w:pPr>
          </w:p>
        </w:tc>
        <w:tc>
          <w:tcPr>
            <w:tcW w:w="932" w:type="pct"/>
            <w:vAlign w:val="center"/>
          </w:tcPr>
          <w:p w:rsidR="00F61688" w:rsidRPr="007121AF" w:rsidRDefault="00F61688" w:rsidP="00E73A7B">
            <w:pPr>
              <w:jc w:val="center"/>
              <w:rPr>
                <w:rFonts w:ascii="Arial Narrow" w:hAnsi="Arial Narrow"/>
                <w:b/>
                <w:sz w:val="20"/>
              </w:rPr>
            </w:pPr>
            <w:r w:rsidRPr="007121AF">
              <w:rPr>
                <w:rFonts w:ascii="Arial Narrow" w:hAnsi="Arial Narrow"/>
                <w:b/>
                <w:sz w:val="20"/>
              </w:rPr>
              <w:t>VEN</w:t>
            </w:r>
          </w:p>
          <w:p w:rsidR="00F61688" w:rsidRPr="007121AF" w:rsidRDefault="00F61688" w:rsidP="00E73A7B">
            <w:pPr>
              <w:jc w:val="center"/>
              <w:rPr>
                <w:rFonts w:ascii="Arial Narrow" w:hAnsi="Arial Narrow"/>
                <w:b/>
                <w:sz w:val="20"/>
              </w:rPr>
            </w:pPr>
            <w:r w:rsidRPr="007121AF">
              <w:rPr>
                <w:rFonts w:ascii="Arial Narrow" w:hAnsi="Arial Narrow"/>
                <w:b/>
                <w:sz w:val="20"/>
              </w:rPr>
              <w:t>400</w:t>
            </w:r>
            <w:r w:rsidR="002C0974">
              <w:rPr>
                <w:rFonts w:ascii="Arial Narrow" w:hAnsi="Arial Narrow"/>
                <w:b/>
                <w:sz w:val="20"/>
              </w:rPr>
              <w:t> </w:t>
            </w:r>
            <w:r w:rsidRPr="007121AF">
              <w:rPr>
                <w:rFonts w:ascii="Arial Narrow" w:hAnsi="Arial Narrow"/>
                <w:b/>
                <w:sz w:val="20"/>
              </w:rPr>
              <w:t>mg 17p</w:t>
            </w:r>
            <w:r w:rsidR="0003250C">
              <w:rPr>
                <w:rFonts w:ascii="Arial Narrow" w:hAnsi="Arial Narrow"/>
                <w:b/>
                <w:sz w:val="20"/>
              </w:rPr>
              <w:t xml:space="preserve"> del</w:t>
            </w:r>
          </w:p>
          <w:p w:rsidR="00F61688" w:rsidRPr="007121AF" w:rsidRDefault="00F61688" w:rsidP="00E73A7B">
            <w:pPr>
              <w:jc w:val="center"/>
              <w:rPr>
                <w:rFonts w:ascii="Arial Narrow" w:hAnsi="Arial Narrow"/>
                <w:b/>
                <w:sz w:val="20"/>
              </w:rPr>
            </w:pPr>
            <w:r w:rsidRPr="007121AF">
              <w:rPr>
                <w:rFonts w:ascii="Arial Narrow" w:hAnsi="Arial Narrow"/>
                <w:b/>
                <w:sz w:val="20"/>
              </w:rPr>
              <w:t>(N = 14)</w:t>
            </w:r>
          </w:p>
        </w:tc>
        <w:tc>
          <w:tcPr>
            <w:tcW w:w="932" w:type="pct"/>
            <w:vAlign w:val="center"/>
          </w:tcPr>
          <w:p w:rsidR="00F61688" w:rsidRPr="007121AF" w:rsidRDefault="00F61688" w:rsidP="00E73A7B">
            <w:pPr>
              <w:jc w:val="center"/>
              <w:rPr>
                <w:rFonts w:ascii="Arial Narrow" w:hAnsi="Arial Narrow"/>
                <w:b/>
                <w:sz w:val="20"/>
              </w:rPr>
            </w:pPr>
            <w:r w:rsidRPr="007121AF">
              <w:rPr>
                <w:rFonts w:ascii="Arial Narrow" w:hAnsi="Arial Narrow"/>
                <w:b/>
                <w:sz w:val="20"/>
              </w:rPr>
              <w:t>VEN</w:t>
            </w:r>
          </w:p>
          <w:p w:rsidR="00F61688" w:rsidRPr="007121AF" w:rsidRDefault="00F61688" w:rsidP="00E73A7B">
            <w:pPr>
              <w:jc w:val="center"/>
              <w:rPr>
                <w:rFonts w:ascii="Arial Narrow" w:hAnsi="Arial Narrow"/>
                <w:b/>
                <w:sz w:val="20"/>
              </w:rPr>
            </w:pPr>
            <w:r w:rsidRPr="007121AF">
              <w:rPr>
                <w:rFonts w:ascii="Arial Narrow" w:hAnsi="Arial Narrow"/>
                <w:b/>
                <w:sz w:val="20"/>
              </w:rPr>
              <w:t>main cohort</w:t>
            </w:r>
          </w:p>
          <w:p w:rsidR="00F61688" w:rsidRPr="007121AF" w:rsidRDefault="00F61688" w:rsidP="00E73A7B">
            <w:pPr>
              <w:jc w:val="center"/>
              <w:rPr>
                <w:rFonts w:ascii="Arial Narrow" w:hAnsi="Arial Narrow"/>
                <w:b/>
                <w:sz w:val="20"/>
              </w:rPr>
            </w:pPr>
            <w:r w:rsidRPr="007121AF">
              <w:rPr>
                <w:rFonts w:ascii="Arial Narrow" w:hAnsi="Arial Narrow"/>
                <w:b/>
                <w:sz w:val="20"/>
              </w:rPr>
              <w:t>(N = 158)</w:t>
            </w:r>
          </w:p>
        </w:tc>
        <w:tc>
          <w:tcPr>
            <w:tcW w:w="932" w:type="pct"/>
            <w:vAlign w:val="center"/>
          </w:tcPr>
          <w:p w:rsidR="00F61688" w:rsidRPr="007121AF" w:rsidRDefault="00F61688" w:rsidP="00E73A7B">
            <w:pPr>
              <w:pStyle w:val="Tabletextcentred"/>
              <w:rPr>
                <w:b/>
                <w:snapToGrid w:val="0"/>
              </w:rPr>
            </w:pPr>
            <w:r w:rsidRPr="007121AF">
              <w:rPr>
                <w:b/>
                <w:snapToGrid w:val="0"/>
              </w:rPr>
              <w:t>OFAT</w:t>
            </w:r>
          </w:p>
          <w:p w:rsidR="00F61688" w:rsidRPr="007121AF" w:rsidRDefault="00F61688" w:rsidP="00E73A7B">
            <w:pPr>
              <w:pStyle w:val="Tabletextcentred"/>
              <w:rPr>
                <w:b/>
                <w:snapToGrid w:val="0"/>
              </w:rPr>
            </w:pPr>
            <w:r w:rsidRPr="007121AF">
              <w:rPr>
                <w:b/>
                <w:snapToGrid w:val="0"/>
              </w:rPr>
              <w:t>17p</w:t>
            </w:r>
            <w:r w:rsidR="0003250C">
              <w:rPr>
                <w:b/>
                <w:snapToGrid w:val="0"/>
              </w:rPr>
              <w:t xml:space="preserve"> del</w:t>
            </w:r>
          </w:p>
          <w:p w:rsidR="00F61688" w:rsidRPr="007121AF" w:rsidRDefault="00F61688" w:rsidP="00E73A7B">
            <w:pPr>
              <w:pStyle w:val="Tabletextcentred"/>
              <w:rPr>
                <w:b/>
                <w:snapToGrid w:val="0"/>
              </w:rPr>
            </w:pPr>
            <w:r w:rsidRPr="007121AF">
              <w:rPr>
                <w:b/>
                <w:snapToGrid w:val="0"/>
              </w:rPr>
              <w:t>(N = 6</w:t>
            </w:r>
            <w:r w:rsidR="00FC0657">
              <w:rPr>
                <w:b/>
                <w:snapToGrid w:val="0"/>
              </w:rPr>
              <w:t>4</w:t>
            </w:r>
            <w:r w:rsidRPr="007121AF">
              <w:rPr>
                <w:b/>
                <w:snapToGrid w:val="0"/>
              </w:rPr>
              <w:t>)</w:t>
            </w:r>
          </w:p>
        </w:tc>
      </w:tr>
      <w:tr w:rsidR="00F61688" w:rsidRPr="007121AF" w:rsidTr="00E73A7B">
        <w:tc>
          <w:tcPr>
            <w:tcW w:w="2204" w:type="pct"/>
          </w:tcPr>
          <w:p w:rsidR="00F61688" w:rsidRPr="007121AF" w:rsidRDefault="00F61688" w:rsidP="00E73A7B">
            <w:pPr>
              <w:rPr>
                <w:rFonts w:ascii="Arial Narrow" w:hAnsi="Arial Narrow"/>
                <w:sz w:val="20"/>
              </w:rPr>
            </w:pPr>
            <w:r w:rsidRPr="007121AF">
              <w:rPr>
                <w:rFonts w:ascii="Arial Narrow" w:hAnsi="Arial Narrow"/>
                <w:sz w:val="20"/>
              </w:rPr>
              <w:t>Median duration of treatment, months (range)</w:t>
            </w:r>
          </w:p>
        </w:tc>
        <w:tc>
          <w:tcPr>
            <w:tcW w:w="932" w:type="pct"/>
            <w:vAlign w:val="center"/>
          </w:tcPr>
          <w:p w:rsidR="00F61688" w:rsidRPr="00204548" w:rsidRDefault="00204548" w:rsidP="00E73A7B">
            <w:pPr>
              <w:pStyle w:val="TableText0"/>
              <w:spacing w:before="0" w:after="0"/>
              <w:jc w:val="center"/>
              <w:rPr>
                <w:rFonts w:ascii="Arial Narrow" w:hAnsi="Arial Narrow"/>
                <w:szCs w:val="20"/>
                <w:highlight w:val="black"/>
              </w:rPr>
            </w:pPr>
            <w:r>
              <w:rPr>
                <w:rFonts w:ascii="Arial Narrow" w:hAnsi="Arial Narrow"/>
                <w:noProof/>
                <w:color w:val="000000"/>
                <w:szCs w:val="20"/>
                <w:highlight w:val="black"/>
              </w:rPr>
              <w:t>'''''''''' '''''''''''''''''''''''''</w:t>
            </w:r>
          </w:p>
        </w:tc>
        <w:tc>
          <w:tcPr>
            <w:tcW w:w="932" w:type="pct"/>
          </w:tcPr>
          <w:p w:rsidR="00F61688" w:rsidRPr="00204548" w:rsidRDefault="00204548" w:rsidP="00E73A7B">
            <w:pPr>
              <w:jc w:val="center"/>
              <w:rPr>
                <w:rFonts w:ascii="Arial Narrow" w:hAnsi="Arial Narrow"/>
                <w:sz w:val="20"/>
                <w:highlight w:val="black"/>
                <w:lang w:val="en-GB"/>
              </w:rPr>
            </w:pPr>
            <w:r>
              <w:rPr>
                <w:rFonts w:ascii="Arial Narrow" w:hAnsi="Arial Narrow"/>
                <w:noProof/>
                <w:color w:val="000000"/>
                <w:sz w:val="20"/>
                <w:highlight w:val="black"/>
                <w:lang w:val="en-GB"/>
              </w:rPr>
              <w:t>''''''''''' '''''''''''''''''''''''</w:t>
            </w:r>
          </w:p>
        </w:tc>
        <w:tc>
          <w:tcPr>
            <w:tcW w:w="932" w:type="pct"/>
          </w:tcPr>
          <w:p w:rsidR="00F61688" w:rsidRPr="007121AF" w:rsidRDefault="00F61688" w:rsidP="00E73A7B">
            <w:pPr>
              <w:pStyle w:val="Tabletextcentred"/>
              <w:rPr>
                <w:snapToGrid w:val="0"/>
              </w:rPr>
            </w:pPr>
            <w:r w:rsidRPr="007121AF">
              <w:rPr>
                <w:snapToGrid w:val="0"/>
              </w:rPr>
              <w:t>5 (NR)</w:t>
            </w:r>
            <w:r w:rsidRPr="007121AF">
              <w:rPr>
                <w:snapToGrid w:val="0"/>
                <w:vertAlign w:val="superscript"/>
              </w:rPr>
              <w:t>1</w:t>
            </w:r>
          </w:p>
        </w:tc>
      </w:tr>
      <w:tr w:rsidR="00F61688" w:rsidRPr="007121AF" w:rsidTr="00E73A7B">
        <w:tc>
          <w:tcPr>
            <w:tcW w:w="2204" w:type="pct"/>
          </w:tcPr>
          <w:p w:rsidR="00F61688" w:rsidRPr="007121AF" w:rsidRDefault="00F61688" w:rsidP="00E73A7B">
            <w:pPr>
              <w:rPr>
                <w:rFonts w:ascii="Arial Narrow" w:hAnsi="Arial Narrow"/>
                <w:sz w:val="20"/>
              </w:rPr>
            </w:pPr>
            <w:r w:rsidRPr="007121AF">
              <w:rPr>
                <w:rFonts w:ascii="Arial Narrow" w:hAnsi="Arial Narrow"/>
                <w:sz w:val="20"/>
              </w:rPr>
              <w:t>Median duration of follow-up, months (range)</w:t>
            </w:r>
          </w:p>
        </w:tc>
        <w:tc>
          <w:tcPr>
            <w:tcW w:w="932" w:type="pct"/>
            <w:vAlign w:val="center"/>
          </w:tcPr>
          <w:p w:rsidR="00F61688" w:rsidRPr="00204548" w:rsidRDefault="00204548" w:rsidP="00E73A7B">
            <w:pPr>
              <w:pStyle w:val="TableText0"/>
              <w:spacing w:before="0" w:after="0"/>
              <w:jc w:val="center"/>
              <w:rPr>
                <w:rFonts w:ascii="Arial Narrow" w:hAnsi="Arial Narrow"/>
                <w:szCs w:val="20"/>
                <w:highlight w:val="black"/>
              </w:rPr>
            </w:pPr>
            <w:r>
              <w:rPr>
                <w:rFonts w:ascii="Arial Narrow" w:hAnsi="Arial Narrow"/>
                <w:noProof/>
                <w:color w:val="000000"/>
                <w:szCs w:val="20"/>
                <w:highlight w:val="black"/>
              </w:rPr>
              <w:t>'''''''</w:t>
            </w:r>
          </w:p>
        </w:tc>
        <w:tc>
          <w:tcPr>
            <w:tcW w:w="932" w:type="pct"/>
            <w:vAlign w:val="center"/>
          </w:tcPr>
          <w:p w:rsidR="00F61688" w:rsidRPr="00204548" w:rsidRDefault="00204548" w:rsidP="00E73A7B">
            <w:pPr>
              <w:jc w:val="center"/>
              <w:rPr>
                <w:rFonts w:ascii="Arial Narrow" w:hAnsi="Arial Narrow"/>
                <w:sz w:val="20"/>
                <w:highlight w:val="black"/>
              </w:rPr>
            </w:pPr>
            <w:r>
              <w:rPr>
                <w:rFonts w:ascii="Arial Narrow" w:hAnsi="Arial Narrow"/>
                <w:noProof/>
                <w:color w:val="000000"/>
                <w:sz w:val="20"/>
                <w:highlight w:val="black"/>
              </w:rPr>
              <w:t>''''''''</w:t>
            </w:r>
          </w:p>
        </w:tc>
        <w:tc>
          <w:tcPr>
            <w:tcW w:w="932" w:type="pct"/>
            <w:vAlign w:val="center"/>
          </w:tcPr>
          <w:p w:rsidR="00F61688" w:rsidRPr="007121AF" w:rsidRDefault="00F61688" w:rsidP="00E73A7B">
            <w:pPr>
              <w:pStyle w:val="Tabletextcentred"/>
              <w:rPr>
                <w:snapToGrid w:val="0"/>
                <w:vertAlign w:val="superscript"/>
              </w:rPr>
            </w:pPr>
            <w:r w:rsidRPr="007121AF">
              <w:rPr>
                <w:snapToGrid w:val="0"/>
              </w:rPr>
              <w:t>16 (NR)</w:t>
            </w:r>
            <w:r w:rsidRPr="007121AF">
              <w:rPr>
                <w:snapToGrid w:val="0"/>
                <w:vertAlign w:val="superscript"/>
              </w:rPr>
              <w:t>1</w:t>
            </w:r>
          </w:p>
        </w:tc>
      </w:tr>
      <w:tr w:rsidR="00F61688" w:rsidRPr="007121AF" w:rsidTr="00E73A7B">
        <w:tc>
          <w:tcPr>
            <w:tcW w:w="5000" w:type="pct"/>
            <w:gridSpan w:val="4"/>
            <w:vAlign w:val="center"/>
          </w:tcPr>
          <w:p w:rsidR="00F61688" w:rsidRPr="007121AF" w:rsidRDefault="00F61688" w:rsidP="00E73A7B">
            <w:pPr>
              <w:pStyle w:val="TableText0"/>
              <w:spacing w:before="0" w:after="0"/>
              <w:rPr>
                <w:rFonts w:ascii="Arial Narrow" w:hAnsi="Arial Narrow"/>
                <w:b/>
                <w:szCs w:val="20"/>
              </w:rPr>
            </w:pPr>
            <w:r w:rsidRPr="007121AF">
              <w:rPr>
                <w:rFonts w:ascii="Arial Narrow" w:hAnsi="Arial Narrow"/>
                <w:b/>
                <w:szCs w:val="20"/>
              </w:rPr>
              <w:t>Response rates</w:t>
            </w:r>
          </w:p>
        </w:tc>
      </w:tr>
      <w:tr w:rsidR="00F61688" w:rsidRPr="007121AF" w:rsidTr="00E73A7B">
        <w:tc>
          <w:tcPr>
            <w:tcW w:w="2204" w:type="pct"/>
            <w:vAlign w:val="center"/>
          </w:tcPr>
          <w:p w:rsidR="00F61688" w:rsidRPr="007121AF" w:rsidRDefault="00F61688" w:rsidP="00E73A7B">
            <w:pPr>
              <w:pStyle w:val="TableText0"/>
              <w:spacing w:before="0" w:after="0"/>
              <w:rPr>
                <w:rFonts w:ascii="Arial Narrow" w:hAnsi="Arial Narrow"/>
                <w:szCs w:val="20"/>
                <w:vertAlign w:val="superscript"/>
              </w:rPr>
            </w:pPr>
            <w:r w:rsidRPr="007121AF">
              <w:rPr>
                <w:rFonts w:ascii="Arial Narrow" w:hAnsi="Arial Narrow"/>
                <w:szCs w:val="20"/>
              </w:rPr>
              <w:t>Overall response rate, % (95% CI)</w:t>
            </w:r>
          </w:p>
        </w:tc>
        <w:tc>
          <w:tcPr>
            <w:tcW w:w="932" w:type="pct"/>
            <w:vAlign w:val="center"/>
          </w:tcPr>
          <w:p w:rsidR="00F61688" w:rsidRPr="00204548" w:rsidRDefault="00204548" w:rsidP="00E73A7B">
            <w:pPr>
              <w:pStyle w:val="TableText0"/>
              <w:spacing w:before="0" w:after="0"/>
              <w:jc w:val="center"/>
              <w:rPr>
                <w:rFonts w:ascii="Arial Narrow" w:hAnsi="Arial Narrow"/>
                <w:szCs w:val="20"/>
                <w:highlight w:val="black"/>
              </w:rPr>
            </w:pPr>
            <w:r>
              <w:rPr>
                <w:rFonts w:ascii="Arial Narrow" w:hAnsi="Arial Narrow"/>
                <w:noProof/>
                <w:color w:val="000000"/>
                <w:szCs w:val="20"/>
                <w:highlight w:val="black"/>
              </w:rPr>
              <w:t>''''''''''' ''''''''''''''' '''''''''''</w:t>
            </w:r>
          </w:p>
        </w:tc>
        <w:tc>
          <w:tcPr>
            <w:tcW w:w="932" w:type="pct"/>
          </w:tcPr>
          <w:p w:rsidR="00F61688" w:rsidRPr="00204548" w:rsidRDefault="00F61688" w:rsidP="00E73A7B">
            <w:pPr>
              <w:jc w:val="center"/>
              <w:rPr>
                <w:rFonts w:ascii="Arial Narrow" w:hAnsi="Arial Narrow"/>
                <w:sz w:val="20"/>
              </w:rPr>
            </w:pPr>
            <w:r w:rsidRPr="00962298">
              <w:rPr>
                <w:rFonts w:ascii="Arial Narrow" w:hAnsi="Arial Narrow"/>
                <w:sz w:val="20"/>
              </w:rPr>
              <w:t>77.2 (69.9, 83.5)</w:t>
            </w:r>
          </w:p>
        </w:tc>
        <w:tc>
          <w:tcPr>
            <w:tcW w:w="932" w:type="pct"/>
            <w:vAlign w:val="center"/>
          </w:tcPr>
          <w:p w:rsidR="00F61688" w:rsidRPr="007121AF" w:rsidRDefault="00F61688" w:rsidP="00E73A7B">
            <w:pPr>
              <w:pStyle w:val="TableText0"/>
              <w:spacing w:before="0" w:after="0"/>
              <w:jc w:val="center"/>
              <w:rPr>
                <w:rFonts w:ascii="Arial Narrow" w:hAnsi="Arial Narrow"/>
                <w:szCs w:val="20"/>
              </w:rPr>
            </w:pPr>
            <w:r w:rsidRPr="007121AF">
              <w:rPr>
                <w:rFonts w:ascii="Arial Narrow" w:hAnsi="Arial Narrow"/>
                <w:szCs w:val="20"/>
              </w:rPr>
              <w:t>NR</w:t>
            </w:r>
          </w:p>
        </w:tc>
      </w:tr>
      <w:tr w:rsidR="00F61688" w:rsidRPr="007121AF" w:rsidTr="00E73A7B">
        <w:tc>
          <w:tcPr>
            <w:tcW w:w="2204" w:type="pct"/>
            <w:vAlign w:val="center"/>
          </w:tcPr>
          <w:p w:rsidR="00F61688" w:rsidRPr="007121AF" w:rsidRDefault="00F61688" w:rsidP="00E73A7B">
            <w:pPr>
              <w:pStyle w:val="TableText0"/>
              <w:spacing w:before="0" w:after="0"/>
              <w:rPr>
                <w:rFonts w:ascii="Arial Narrow" w:hAnsi="Arial Narrow"/>
                <w:szCs w:val="20"/>
              </w:rPr>
            </w:pPr>
            <w:r w:rsidRPr="007121AF">
              <w:rPr>
                <w:rFonts w:ascii="Arial Narrow" w:hAnsi="Arial Narrow"/>
                <w:szCs w:val="20"/>
              </w:rPr>
              <w:t>- Complete response, n (%)</w:t>
            </w:r>
          </w:p>
        </w:tc>
        <w:tc>
          <w:tcPr>
            <w:tcW w:w="932" w:type="pct"/>
            <w:vAlign w:val="center"/>
          </w:tcPr>
          <w:p w:rsidR="00F61688" w:rsidRPr="00204548" w:rsidRDefault="00204548" w:rsidP="00E73A7B">
            <w:pPr>
              <w:pStyle w:val="TableText0"/>
              <w:spacing w:before="0" w:after="0"/>
              <w:jc w:val="center"/>
              <w:rPr>
                <w:rFonts w:ascii="Arial Narrow" w:hAnsi="Arial Narrow"/>
                <w:szCs w:val="20"/>
                <w:highlight w:val="black"/>
              </w:rPr>
            </w:pPr>
            <w:r>
              <w:rPr>
                <w:rFonts w:ascii="Arial Narrow" w:hAnsi="Arial Narrow"/>
                <w:noProof/>
                <w:color w:val="000000"/>
                <w:szCs w:val="20"/>
                <w:highlight w:val="black"/>
              </w:rPr>
              <w:t>'''</w:t>
            </w:r>
          </w:p>
        </w:tc>
        <w:tc>
          <w:tcPr>
            <w:tcW w:w="932" w:type="pct"/>
            <w:vAlign w:val="center"/>
          </w:tcPr>
          <w:p w:rsidR="00F61688" w:rsidRPr="00204548" w:rsidRDefault="00F61688" w:rsidP="00E73A7B">
            <w:pPr>
              <w:pStyle w:val="TableText0"/>
              <w:spacing w:before="0" w:after="0"/>
              <w:jc w:val="center"/>
              <w:rPr>
                <w:rFonts w:ascii="Arial Narrow" w:hAnsi="Arial Narrow"/>
                <w:szCs w:val="20"/>
              </w:rPr>
            </w:pPr>
            <w:r w:rsidRPr="007D6D20">
              <w:rPr>
                <w:rFonts w:ascii="Arial Narrow" w:hAnsi="Arial Narrow"/>
                <w:szCs w:val="20"/>
              </w:rPr>
              <w:t>29 (18.4)</w:t>
            </w:r>
          </w:p>
        </w:tc>
        <w:tc>
          <w:tcPr>
            <w:tcW w:w="932" w:type="pct"/>
            <w:vAlign w:val="center"/>
          </w:tcPr>
          <w:p w:rsidR="00F61688" w:rsidRPr="007121AF" w:rsidRDefault="00F61688" w:rsidP="00E73A7B">
            <w:pPr>
              <w:pStyle w:val="TableText0"/>
              <w:spacing w:before="0" w:after="0"/>
              <w:jc w:val="center"/>
              <w:rPr>
                <w:rFonts w:ascii="Arial Narrow" w:hAnsi="Arial Narrow"/>
                <w:szCs w:val="20"/>
              </w:rPr>
            </w:pPr>
            <w:r w:rsidRPr="007121AF">
              <w:rPr>
                <w:rFonts w:ascii="Arial Narrow" w:hAnsi="Arial Narrow"/>
                <w:szCs w:val="20"/>
              </w:rPr>
              <w:t>NR</w:t>
            </w:r>
          </w:p>
        </w:tc>
      </w:tr>
      <w:tr w:rsidR="00F61688" w:rsidRPr="007121AF" w:rsidTr="00E73A7B">
        <w:tc>
          <w:tcPr>
            <w:tcW w:w="2204" w:type="pct"/>
            <w:vAlign w:val="center"/>
          </w:tcPr>
          <w:p w:rsidR="00F61688" w:rsidRPr="007121AF" w:rsidRDefault="00F61688" w:rsidP="00E73A7B">
            <w:pPr>
              <w:pStyle w:val="TableText0"/>
              <w:spacing w:before="0" w:after="0"/>
              <w:rPr>
                <w:rFonts w:ascii="Arial Narrow" w:hAnsi="Arial Narrow"/>
                <w:szCs w:val="20"/>
              </w:rPr>
            </w:pPr>
            <w:r w:rsidRPr="007121AF">
              <w:rPr>
                <w:rFonts w:ascii="Arial Narrow" w:hAnsi="Arial Narrow"/>
                <w:szCs w:val="20"/>
              </w:rPr>
              <w:t>- Partial response, n (%)</w:t>
            </w:r>
          </w:p>
        </w:tc>
        <w:tc>
          <w:tcPr>
            <w:tcW w:w="932" w:type="pct"/>
            <w:vAlign w:val="center"/>
          </w:tcPr>
          <w:p w:rsidR="00F61688" w:rsidRPr="00204548" w:rsidRDefault="00204548" w:rsidP="00E73A7B">
            <w:pPr>
              <w:pStyle w:val="TableText0"/>
              <w:spacing w:before="0" w:after="0"/>
              <w:jc w:val="center"/>
              <w:rPr>
                <w:rFonts w:ascii="Arial Narrow" w:hAnsi="Arial Narrow"/>
                <w:szCs w:val="20"/>
                <w:highlight w:val="black"/>
              </w:rPr>
            </w:pPr>
            <w:r>
              <w:rPr>
                <w:rFonts w:ascii="Arial Narrow" w:hAnsi="Arial Narrow"/>
                <w:noProof/>
                <w:color w:val="000000"/>
                <w:szCs w:val="20"/>
                <w:highlight w:val="black"/>
              </w:rPr>
              <w:t xml:space="preserve">'''''' ''''''''''''' </w:t>
            </w:r>
          </w:p>
        </w:tc>
        <w:tc>
          <w:tcPr>
            <w:tcW w:w="932" w:type="pct"/>
            <w:vAlign w:val="center"/>
          </w:tcPr>
          <w:p w:rsidR="00F61688" w:rsidRPr="00204548" w:rsidRDefault="00F61688" w:rsidP="00E73A7B">
            <w:pPr>
              <w:pStyle w:val="TableText0"/>
              <w:spacing w:before="0" w:after="0"/>
              <w:jc w:val="center"/>
              <w:rPr>
                <w:rFonts w:ascii="Arial Narrow" w:hAnsi="Arial Narrow"/>
                <w:szCs w:val="20"/>
              </w:rPr>
            </w:pPr>
            <w:r w:rsidRPr="007D6D20">
              <w:rPr>
                <w:rFonts w:ascii="Arial Narrow" w:hAnsi="Arial Narrow"/>
                <w:szCs w:val="20"/>
              </w:rPr>
              <w:t>93 (58.9)</w:t>
            </w:r>
          </w:p>
        </w:tc>
        <w:tc>
          <w:tcPr>
            <w:tcW w:w="932" w:type="pct"/>
            <w:vAlign w:val="center"/>
          </w:tcPr>
          <w:p w:rsidR="00F61688" w:rsidRPr="007121AF" w:rsidRDefault="00F61688" w:rsidP="00E73A7B">
            <w:pPr>
              <w:pStyle w:val="TableText0"/>
              <w:spacing w:before="0" w:after="0"/>
              <w:jc w:val="center"/>
              <w:rPr>
                <w:rFonts w:ascii="Arial Narrow" w:hAnsi="Arial Narrow"/>
                <w:szCs w:val="20"/>
              </w:rPr>
            </w:pPr>
            <w:r w:rsidRPr="007121AF">
              <w:rPr>
                <w:rFonts w:ascii="Arial Narrow" w:hAnsi="Arial Narrow"/>
                <w:szCs w:val="20"/>
              </w:rPr>
              <w:t>NR</w:t>
            </w:r>
          </w:p>
        </w:tc>
      </w:tr>
      <w:tr w:rsidR="00F61688" w:rsidRPr="007121AF" w:rsidTr="00E73A7B">
        <w:tc>
          <w:tcPr>
            <w:tcW w:w="5000" w:type="pct"/>
            <w:gridSpan w:val="4"/>
          </w:tcPr>
          <w:p w:rsidR="00F61688" w:rsidRPr="007121AF" w:rsidRDefault="00F61688" w:rsidP="00E73A7B">
            <w:pPr>
              <w:pStyle w:val="TableText0"/>
              <w:spacing w:before="0" w:after="0"/>
              <w:rPr>
                <w:rFonts w:ascii="Arial Narrow" w:hAnsi="Arial Narrow"/>
                <w:b/>
                <w:szCs w:val="20"/>
              </w:rPr>
            </w:pPr>
            <w:r w:rsidRPr="007121AF">
              <w:rPr>
                <w:rFonts w:ascii="Arial Narrow" w:hAnsi="Arial Narrow"/>
                <w:b/>
                <w:szCs w:val="20"/>
              </w:rPr>
              <w:t>Progression-free survival</w:t>
            </w:r>
          </w:p>
        </w:tc>
      </w:tr>
      <w:tr w:rsidR="00F61688" w:rsidRPr="007121AF" w:rsidTr="00E73A7B">
        <w:tc>
          <w:tcPr>
            <w:tcW w:w="2204" w:type="pct"/>
          </w:tcPr>
          <w:p w:rsidR="00F61688" w:rsidRPr="007121AF" w:rsidRDefault="00F61688" w:rsidP="00E73A7B">
            <w:pPr>
              <w:rPr>
                <w:rFonts w:ascii="Arial Narrow" w:hAnsi="Arial Narrow"/>
                <w:sz w:val="20"/>
                <w:lang w:val="en-GB"/>
              </w:rPr>
            </w:pPr>
            <w:r w:rsidRPr="007121AF">
              <w:rPr>
                <w:rFonts w:ascii="Arial Narrow" w:hAnsi="Arial Narrow"/>
                <w:sz w:val="20"/>
                <w:lang w:val="en-GB"/>
              </w:rPr>
              <w:t>Events n (%)</w:t>
            </w:r>
          </w:p>
        </w:tc>
        <w:tc>
          <w:tcPr>
            <w:tcW w:w="932" w:type="pct"/>
          </w:tcPr>
          <w:p w:rsidR="00F61688" w:rsidRPr="00204548" w:rsidRDefault="00204548" w:rsidP="00E73A7B">
            <w:pPr>
              <w:jc w:val="center"/>
              <w:rPr>
                <w:rFonts w:ascii="Arial Narrow" w:hAnsi="Arial Narrow"/>
                <w:sz w:val="20"/>
                <w:highlight w:val="black"/>
                <w:lang w:val="en-GB"/>
              </w:rPr>
            </w:pPr>
            <w:r>
              <w:rPr>
                <w:rFonts w:ascii="Arial Narrow" w:hAnsi="Arial Narrow"/>
                <w:noProof/>
                <w:color w:val="000000"/>
                <w:sz w:val="20"/>
                <w:highlight w:val="black"/>
                <w:lang w:val="en-GB"/>
              </w:rPr>
              <w:t>''' ''''''''''''''''''</w:t>
            </w:r>
          </w:p>
        </w:tc>
        <w:tc>
          <w:tcPr>
            <w:tcW w:w="932" w:type="pct"/>
          </w:tcPr>
          <w:p w:rsidR="00F61688" w:rsidRPr="00204548" w:rsidRDefault="00204548" w:rsidP="00C01D78">
            <w:pPr>
              <w:pStyle w:val="TableText0"/>
              <w:spacing w:before="0" w:after="0"/>
              <w:jc w:val="center"/>
              <w:rPr>
                <w:rFonts w:ascii="Arial Narrow" w:hAnsi="Arial Narrow"/>
                <w:szCs w:val="20"/>
                <w:highlight w:val="black"/>
              </w:rPr>
            </w:pPr>
            <w:r>
              <w:rPr>
                <w:rFonts w:ascii="Arial Narrow" w:hAnsi="Arial Narrow"/>
                <w:noProof/>
                <w:color w:val="000000"/>
                <w:szCs w:val="20"/>
                <w:highlight w:val="black"/>
              </w:rPr>
              <w:t>'''''' ''''''''''''''''''</w:t>
            </w:r>
          </w:p>
        </w:tc>
        <w:tc>
          <w:tcPr>
            <w:tcW w:w="932" w:type="pct"/>
          </w:tcPr>
          <w:p w:rsidR="00F61688" w:rsidRPr="007121AF" w:rsidRDefault="00F61688" w:rsidP="00E73A7B">
            <w:pPr>
              <w:pStyle w:val="TableText0"/>
              <w:spacing w:before="0" w:after="0"/>
              <w:jc w:val="center"/>
              <w:rPr>
                <w:rFonts w:ascii="Arial Narrow" w:hAnsi="Arial Narrow"/>
                <w:szCs w:val="20"/>
              </w:rPr>
            </w:pPr>
            <w:r w:rsidRPr="007121AF">
              <w:rPr>
                <w:rFonts w:ascii="Arial Narrow" w:hAnsi="Arial Narrow"/>
                <w:szCs w:val="20"/>
              </w:rPr>
              <w:t>NR</w:t>
            </w:r>
          </w:p>
        </w:tc>
      </w:tr>
      <w:tr w:rsidR="00F61688" w:rsidRPr="007121AF" w:rsidTr="00E73A7B">
        <w:tc>
          <w:tcPr>
            <w:tcW w:w="2204" w:type="pct"/>
            <w:vAlign w:val="center"/>
          </w:tcPr>
          <w:p w:rsidR="00F61688" w:rsidRPr="007121AF" w:rsidRDefault="00F61688" w:rsidP="00E73A7B">
            <w:pPr>
              <w:ind w:right="-108"/>
              <w:rPr>
                <w:rFonts w:ascii="Arial Narrow" w:hAnsi="Arial Narrow"/>
                <w:sz w:val="20"/>
                <w:lang w:val="en-GB"/>
              </w:rPr>
            </w:pPr>
            <w:r w:rsidRPr="007121AF">
              <w:rPr>
                <w:rFonts w:ascii="Arial Narrow" w:hAnsi="Arial Narrow"/>
                <w:sz w:val="20"/>
                <w:lang w:val="en-GB"/>
              </w:rPr>
              <w:t>Median PFS, months (95% CI)</w:t>
            </w:r>
          </w:p>
        </w:tc>
        <w:tc>
          <w:tcPr>
            <w:tcW w:w="932" w:type="pct"/>
            <w:vAlign w:val="center"/>
          </w:tcPr>
          <w:p w:rsidR="00F61688" w:rsidRPr="00204548" w:rsidRDefault="00204548" w:rsidP="002C0974">
            <w:pPr>
              <w:pStyle w:val="TableText0"/>
              <w:spacing w:before="0" w:after="0"/>
              <w:jc w:val="center"/>
              <w:rPr>
                <w:rFonts w:ascii="Arial Narrow" w:hAnsi="Arial Narrow"/>
                <w:szCs w:val="20"/>
                <w:highlight w:val="black"/>
              </w:rPr>
            </w:pPr>
            <w:r>
              <w:rPr>
                <w:rFonts w:ascii="Arial Narrow" w:hAnsi="Arial Narrow"/>
                <w:noProof/>
                <w:color w:val="000000"/>
                <w:szCs w:val="20"/>
                <w:highlight w:val="black"/>
                <w:lang w:val="en-GB"/>
              </w:rPr>
              <w:t>'''''''''' ''''''''''' '''''''''</w:t>
            </w:r>
          </w:p>
        </w:tc>
        <w:tc>
          <w:tcPr>
            <w:tcW w:w="932" w:type="pct"/>
            <w:vAlign w:val="center"/>
          </w:tcPr>
          <w:p w:rsidR="00F61688" w:rsidRPr="00204548" w:rsidRDefault="002C0974" w:rsidP="002C0974">
            <w:pPr>
              <w:pStyle w:val="TableText0"/>
              <w:spacing w:before="0" w:after="0"/>
              <w:jc w:val="center"/>
              <w:rPr>
                <w:rFonts w:ascii="Arial Narrow" w:hAnsi="Arial Narrow"/>
                <w:szCs w:val="20"/>
              </w:rPr>
            </w:pPr>
            <w:r w:rsidRPr="00962298">
              <w:rPr>
                <w:rFonts w:ascii="Arial Narrow" w:hAnsi="Arial Narrow"/>
                <w:szCs w:val="20"/>
                <w:lang w:val="en-GB"/>
              </w:rPr>
              <w:t xml:space="preserve">27.2 </w:t>
            </w:r>
            <w:r w:rsidR="00F61688" w:rsidRPr="00962298">
              <w:rPr>
                <w:rFonts w:ascii="Arial Narrow" w:hAnsi="Arial Narrow"/>
                <w:szCs w:val="20"/>
                <w:lang w:val="en-GB"/>
              </w:rPr>
              <w:t>(21.9, NE)</w:t>
            </w:r>
          </w:p>
        </w:tc>
        <w:tc>
          <w:tcPr>
            <w:tcW w:w="932" w:type="pct"/>
            <w:vAlign w:val="center"/>
          </w:tcPr>
          <w:p w:rsidR="00F61688" w:rsidRPr="007121AF" w:rsidRDefault="002C0974" w:rsidP="002C0974">
            <w:pPr>
              <w:pStyle w:val="TableText0"/>
              <w:spacing w:before="0" w:after="0"/>
              <w:jc w:val="center"/>
              <w:rPr>
                <w:rFonts w:ascii="Arial Narrow" w:hAnsi="Arial Narrow"/>
                <w:szCs w:val="20"/>
                <w:vertAlign w:val="superscript"/>
              </w:rPr>
            </w:pPr>
            <w:r>
              <w:rPr>
                <w:rFonts w:ascii="Arial Narrow" w:hAnsi="Arial Narrow"/>
                <w:szCs w:val="20"/>
              </w:rPr>
              <w:t xml:space="preserve">5.8 </w:t>
            </w:r>
            <w:r w:rsidR="00F61688" w:rsidRPr="007121AF">
              <w:rPr>
                <w:rFonts w:ascii="Arial Narrow" w:hAnsi="Arial Narrow"/>
                <w:szCs w:val="20"/>
              </w:rPr>
              <w:t>(NR)</w:t>
            </w:r>
            <w:r w:rsidR="008E0A47" w:rsidRPr="008E0A47">
              <w:rPr>
                <w:rFonts w:ascii="Arial Narrow" w:hAnsi="Arial Narrow"/>
                <w:szCs w:val="20"/>
                <w:vertAlign w:val="superscript"/>
              </w:rPr>
              <w:t>2</w:t>
            </w:r>
          </w:p>
        </w:tc>
      </w:tr>
      <w:tr w:rsidR="00F61688" w:rsidRPr="007121AF" w:rsidTr="00E73A7B">
        <w:tc>
          <w:tcPr>
            <w:tcW w:w="2204" w:type="pct"/>
          </w:tcPr>
          <w:p w:rsidR="00F61688" w:rsidRPr="007121AF" w:rsidRDefault="00F61688" w:rsidP="00E73A7B">
            <w:pPr>
              <w:ind w:right="-108"/>
              <w:rPr>
                <w:rFonts w:ascii="Arial Narrow" w:hAnsi="Arial Narrow"/>
                <w:sz w:val="20"/>
                <w:lang w:val="en-GB"/>
              </w:rPr>
            </w:pPr>
            <w:r w:rsidRPr="007121AF">
              <w:rPr>
                <w:rFonts w:ascii="Arial Narrow" w:hAnsi="Arial Narrow"/>
                <w:sz w:val="20"/>
                <w:lang w:val="en-GB"/>
              </w:rPr>
              <w:t>KM estimate of PFS at 6 months, % (95% CI)</w:t>
            </w:r>
          </w:p>
        </w:tc>
        <w:tc>
          <w:tcPr>
            <w:tcW w:w="932" w:type="pct"/>
          </w:tcPr>
          <w:p w:rsidR="00F61688" w:rsidRPr="00204548" w:rsidRDefault="00204548" w:rsidP="00E73A7B">
            <w:pPr>
              <w:jc w:val="center"/>
              <w:rPr>
                <w:rFonts w:ascii="Arial Narrow" w:hAnsi="Arial Narrow"/>
                <w:sz w:val="20"/>
                <w:highlight w:val="black"/>
                <w:lang w:val="en-GB"/>
              </w:rPr>
            </w:pPr>
            <w:r>
              <w:rPr>
                <w:rFonts w:ascii="Arial Narrow" w:hAnsi="Arial Narrow"/>
                <w:noProof/>
                <w:color w:val="000000"/>
                <w:sz w:val="20"/>
                <w:highlight w:val="black"/>
                <w:lang w:val="en-GB"/>
              </w:rPr>
              <w:t>'''''' '''''''''' ''''''''</w:t>
            </w:r>
          </w:p>
        </w:tc>
        <w:tc>
          <w:tcPr>
            <w:tcW w:w="932" w:type="pct"/>
          </w:tcPr>
          <w:p w:rsidR="00F61688" w:rsidRPr="00204548" w:rsidRDefault="00204548" w:rsidP="00E73A7B">
            <w:pPr>
              <w:jc w:val="center"/>
              <w:rPr>
                <w:rFonts w:ascii="Arial Narrow" w:hAnsi="Arial Narrow"/>
                <w:sz w:val="20"/>
                <w:highlight w:val="black"/>
                <w:lang w:val="en-GB"/>
              </w:rPr>
            </w:pPr>
            <w:r>
              <w:rPr>
                <w:rFonts w:ascii="Arial Narrow" w:hAnsi="Arial Narrow"/>
                <w:noProof/>
                <w:color w:val="000000"/>
                <w:sz w:val="20"/>
                <w:highlight w:val="black"/>
                <w:lang w:val="en-GB"/>
              </w:rPr>
              <w:t>'''''' ''''''''' ''''''''</w:t>
            </w:r>
          </w:p>
        </w:tc>
        <w:tc>
          <w:tcPr>
            <w:tcW w:w="932" w:type="pct"/>
          </w:tcPr>
          <w:p w:rsidR="00F61688" w:rsidRPr="007121AF" w:rsidRDefault="00F61688" w:rsidP="00E73A7B">
            <w:pPr>
              <w:jc w:val="center"/>
              <w:rPr>
                <w:rFonts w:ascii="Arial Narrow" w:hAnsi="Arial Narrow"/>
                <w:sz w:val="20"/>
                <w:vertAlign w:val="superscript"/>
                <w:lang w:val="en-GB"/>
              </w:rPr>
            </w:pPr>
            <w:r w:rsidRPr="007121AF">
              <w:rPr>
                <w:rFonts w:ascii="Arial Narrow" w:hAnsi="Arial Narrow"/>
                <w:sz w:val="20"/>
                <w:lang w:val="en-GB"/>
              </w:rPr>
              <w:t>NR</w:t>
            </w:r>
          </w:p>
        </w:tc>
      </w:tr>
      <w:tr w:rsidR="00F61688" w:rsidRPr="007121AF" w:rsidTr="00E73A7B">
        <w:tc>
          <w:tcPr>
            <w:tcW w:w="2204" w:type="pct"/>
          </w:tcPr>
          <w:p w:rsidR="00F61688" w:rsidRPr="007121AF" w:rsidRDefault="00F61688" w:rsidP="00E73A7B">
            <w:pPr>
              <w:ind w:right="-108"/>
              <w:rPr>
                <w:rFonts w:ascii="Arial Narrow" w:hAnsi="Arial Narrow"/>
                <w:sz w:val="20"/>
                <w:lang w:val="en-GB"/>
              </w:rPr>
            </w:pPr>
            <w:r w:rsidRPr="007121AF">
              <w:rPr>
                <w:rFonts w:ascii="Arial Narrow" w:hAnsi="Arial Narrow"/>
                <w:sz w:val="20"/>
                <w:lang w:val="en-GB"/>
              </w:rPr>
              <w:t>KM estimate of PFS at 12 months, % (95% CI)</w:t>
            </w:r>
          </w:p>
        </w:tc>
        <w:tc>
          <w:tcPr>
            <w:tcW w:w="932" w:type="pct"/>
          </w:tcPr>
          <w:p w:rsidR="00F61688" w:rsidRPr="00204548" w:rsidRDefault="00204548" w:rsidP="00E73A7B">
            <w:pPr>
              <w:jc w:val="center"/>
              <w:rPr>
                <w:rFonts w:ascii="Arial Narrow" w:hAnsi="Arial Narrow"/>
                <w:sz w:val="20"/>
                <w:highlight w:val="black"/>
                <w:lang w:val="en-GB"/>
              </w:rPr>
            </w:pPr>
            <w:r>
              <w:rPr>
                <w:rFonts w:ascii="Arial Narrow" w:hAnsi="Arial Narrow"/>
                <w:noProof/>
                <w:color w:val="000000"/>
                <w:sz w:val="20"/>
                <w:highlight w:val="black"/>
                <w:lang w:val="en-GB"/>
              </w:rPr>
              <w:t>''''''' '''''''''' ''''''''</w:t>
            </w:r>
          </w:p>
        </w:tc>
        <w:tc>
          <w:tcPr>
            <w:tcW w:w="932" w:type="pct"/>
          </w:tcPr>
          <w:p w:rsidR="00F61688" w:rsidRPr="00204548" w:rsidRDefault="00F61688" w:rsidP="00E73A7B">
            <w:pPr>
              <w:jc w:val="center"/>
              <w:rPr>
                <w:rFonts w:ascii="Arial Narrow" w:hAnsi="Arial Narrow"/>
                <w:sz w:val="20"/>
                <w:lang w:val="en-GB"/>
              </w:rPr>
            </w:pPr>
            <w:r w:rsidRPr="00962298">
              <w:rPr>
                <w:rFonts w:ascii="Arial Narrow" w:hAnsi="Arial Narrow"/>
                <w:sz w:val="20"/>
                <w:lang w:val="en-GB"/>
              </w:rPr>
              <w:t>77 (69, 83)</w:t>
            </w:r>
          </w:p>
        </w:tc>
        <w:tc>
          <w:tcPr>
            <w:tcW w:w="932" w:type="pct"/>
          </w:tcPr>
          <w:p w:rsidR="00F61688" w:rsidRPr="007121AF" w:rsidRDefault="00F61688" w:rsidP="00E73A7B">
            <w:pPr>
              <w:jc w:val="center"/>
              <w:rPr>
                <w:rFonts w:ascii="Arial Narrow" w:hAnsi="Arial Narrow"/>
                <w:sz w:val="20"/>
                <w:lang w:val="en-GB"/>
              </w:rPr>
            </w:pPr>
            <w:r w:rsidRPr="007121AF">
              <w:rPr>
                <w:rFonts w:ascii="Arial Narrow" w:hAnsi="Arial Narrow"/>
                <w:sz w:val="20"/>
                <w:lang w:val="en-GB"/>
              </w:rPr>
              <w:t>17 (NR)</w:t>
            </w:r>
          </w:p>
        </w:tc>
      </w:tr>
      <w:tr w:rsidR="00F61688" w:rsidRPr="007121AF" w:rsidTr="00E73A7B">
        <w:tc>
          <w:tcPr>
            <w:tcW w:w="5000" w:type="pct"/>
            <w:gridSpan w:val="4"/>
          </w:tcPr>
          <w:p w:rsidR="00F61688" w:rsidRPr="007121AF" w:rsidRDefault="00F61688" w:rsidP="00E73A7B">
            <w:pPr>
              <w:pStyle w:val="TableText0"/>
              <w:spacing w:before="0" w:after="0"/>
              <w:rPr>
                <w:rFonts w:ascii="Arial Narrow" w:hAnsi="Arial Narrow"/>
                <w:b/>
                <w:szCs w:val="20"/>
                <w:lang w:val="en-GB"/>
              </w:rPr>
            </w:pPr>
            <w:r w:rsidRPr="007121AF">
              <w:rPr>
                <w:rFonts w:ascii="Arial Narrow" w:hAnsi="Arial Narrow"/>
                <w:b/>
                <w:szCs w:val="20"/>
                <w:lang w:val="en-GB"/>
              </w:rPr>
              <w:t>Overall survival</w:t>
            </w:r>
          </w:p>
        </w:tc>
      </w:tr>
      <w:tr w:rsidR="00F61688" w:rsidRPr="007121AF" w:rsidTr="00E73A7B">
        <w:tc>
          <w:tcPr>
            <w:tcW w:w="2204" w:type="pct"/>
            <w:vAlign w:val="center"/>
          </w:tcPr>
          <w:p w:rsidR="00F61688" w:rsidRPr="007121AF" w:rsidRDefault="00F61688" w:rsidP="00E73A7B">
            <w:pPr>
              <w:ind w:right="-108"/>
              <w:rPr>
                <w:rFonts w:ascii="Arial Narrow" w:hAnsi="Arial Narrow"/>
                <w:sz w:val="20"/>
                <w:lang w:val="en-GB"/>
              </w:rPr>
            </w:pPr>
            <w:r w:rsidRPr="007121AF">
              <w:rPr>
                <w:rFonts w:ascii="Arial Narrow" w:hAnsi="Arial Narrow"/>
                <w:sz w:val="20"/>
                <w:lang w:val="en-GB"/>
              </w:rPr>
              <w:t>Deaths n (%)</w:t>
            </w:r>
          </w:p>
        </w:tc>
        <w:tc>
          <w:tcPr>
            <w:tcW w:w="932" w:type="pct"/>
            <w:vAlign w:val="center"/>
          </w:tcPr>
          <w:p w:rsidR="00F61688" w:rsidRPr="00204548" w:rsidRDefault="00204548" w:rsidP="00E73A7B">
            <w:pPr>
              <w:pStyle w:val="TableText0"/>
              <w:spacing w:before="0" w:after="0"/>
              <w:jc w:val="center"/>
              <w:rPr>
                <w:rFonts w:ascii="Arial Narrow" w:hAnsi="Arial Narrow"/>
                <w:szCs w:val="20"/>
                <w:highlight w:val="black"/>
                <w:lang w:val="en-GB"/>
              </w:rPr>
            </w:pPr>
            <w:r>
              <w:rPr>
                <w:rFonts w:ascii="Arial Narrow" w:hAnsi="Arial Narrow"/>
                <w:noProof/>
                <w:color w:val="000000"/>
                <w:szCs w:val="20"/>
                <w:highlight w:val="black"/>
                <w:lang w:val="en-GB"/>
              </w:rPr>
              <w:t>''' ''''''''''''''</w:t>
            </w:r>
          </w:p>
        </w:tc>
        <w:tc>
          <w:tcPr>
            <w:tcW w:w="932" w:type="pct"/>
            <w:vAlign w:val="center"/>
          </w:tcPr>
          <w:p w:rsidR="00F61688" w:rsidRPr="00204548" w:rsidRDefault="00204548" w:rsidP="00E73A7B">
            <w:pPr>
              <w:pStyle w:val="TableText0"/>
              <w:spacing w:before="0" w:after="0"/>
              <w:jc w:val="center"/>
              <w:rPr>
                <w:rFonts w:ascii="Arial Narrow" w:hAnsi="Arial Narrow"/>
                <w:szCs w:val="20"/>
                <w:highlight w:val="black"/>
              </w:rPr>
            </w:pPr>
            <w:r>
              <w:rPr>
                <w:rFonts w:ascii="Arial Narrow" w:hAnsi="Arial Narrow"/>
                <w:noProof/>
                <w:color w:val="000000"/>
                <w:szCs w:val="20"/>
                <w:highlight w:val="black"/>
                <w:lang w:val="en-GB"/>
              </w:rPr>
              <w:t>'''''' '''''''''''''''</w:t>
            </w:r>
          </w:p>
        </w:tc>
        <w:tc>
          <w:tcPr>
            <w:tcW w:w="932" w:type="pct"/>
            <w:vAlign w:val="center"/>
          </w:tcPr>
          <w:p w:rsidR="00F61688" w:rsidRPr="007121AF" w:rsidRDefault="00F61688" w:rsidP="00E73A7B">
            <w:pPr>
              <w:jc w:val="center"/>
              <w:rPr>
                <w:rFonts w:ascii="Arial Narrow" w:hAnsi="Arial Narrow"/>
                <w:sz w:val="20"/>
                <w:lang w:val="en-GB"/>
              </w:rPr>
            </w:pPr>
            <w:r w:rsidRPr="007121AF">
              <w:rPr>
                <w:rFonts w:ascii="Arial Narrow" w:hAnsi="Arial Narrow"/>
                <w:sz w:val="20"/>
                <w:lang w:val="en-GB"/>
              </w:rPr>
              <w:t>NR</w:t>
            </w:r>
          </w:p>
        </w:tc>
      </w:tr>
      <w:tr w:rsidR="00F61688" w:rsidRPr="007121AF" w:rsidTr="00E73A7B">
        <w:tc>
          <w:tcPr>
            <w:tcW w:w="2204" w:type="pct"/>
            <w:vAlign w:val="center"/>
          </w:tcPr>
          <w:p w:rsidR="00F61688" w:rsidRPr="007121AF" w:rsidRDefault="00F61688" w:rsidP="00E73A7B">
            <w:pPr>
              <w:ind w:right="-108"/>
              <w:rPr>
                <w:rFonts w:ascii="Arial Narrow" w:hAnsi="Arial Narrow"/>
                <w:sz w:val="20"/>
                <w:lang w:val="en-GB"/>
              </w:rPr>
            </w:pPr>
            <w:r w:rsidRPr="007121AF">
              <w:rPr>
                <w:rFonts w:ascii="Arial Narrow" w:hAnsi="Arial Narrow"/>
                <w:sz w:val="20"/>
                <w:lang w:val="en-GB"/>
              </w:rPr>
              <w:t>Median OS, months (95% CI)</w:t>
            </w:r>
          </w:p>
        </w:tc>
        <w:tc>
          <w:tcPr>
            <w:tcW w:w="932" w:type="pct"/>
            <w:vAlign w:val="center"/>
          </w:tcPr>
          <w:p w:rsidR="00F61688" w:rsidRPr="00204548" w:rsidRDefault="00204548" w:rsidP="00E73A7B">
            <w:pPr>
              <w:pStyle w:val="TableText0"/>
              <w:spacing w:before="0" w:after="0"/>
              <w:jc w:val="center"/>
              <w:rPr>
                <w:rFonts w:ascii="Arial Narrow" w:hAnsi="Arial Narrow"/>
                <w:szCs w:val="20"/>
                <w:highlight w:val="black"/>
                <w:lang w:val="en-GB"/>
              </w:rPr>
            </w:pPr>
            <w:r>
              <w:rPr>
                <w:rFonts w:ascii="Arial Narrow" w:hAnsi="Arial Narrow"/>
                <w:noProof/>
                <w:color w:val="000000"/>
                <w:szCs w:val="20"/>
                <w:highlight w:val="black"/>
                <w:lang w:val="en-GB"/>
              </w:rPr>
              <w:t>'''''''' '''''''''''''''''''</w:t>
            </w:r>
          </w:p>
          <w:p w:rsidR="00F61688" w:rsidRPr="00204548" w:rsidRDefault="00204548" w:rsidP="00C01D78">
            <w:pPr>
              <w:pStyle w:val="TableText0"/>
              <w:spacing w:before="0" w:after="0"/>
              <w:jc w:val="center"/>
              <w:rPr>
                <w:rFonts w:ascii="Arial Narrow" w:hAnsi="Arial Narrow"/>
                <w:szCs w:val="20"/>
                <w:highlight w:val="black"/>
              </w:rPr>
            </w:pPr>
            <w:r>
              <w:rPr>
                <w:rFonts w:ascii="Arial Narrow" w:hAnsi="Arial Narrow"/>
                <w:noProof/>
                <w:color w:val="000000"/>
                <w:szCs w:val="20"/>
                <w:highlight w:val="black"/>
                <w:lang w:val="en-GB"/>
              </w:rPr>
              <w:t>'''''''''' ''''''''</w:t>
            </w:r>
          </w:p>
        </w:tc>
        <w:tc>
          <w:tcPr>
            <w:tcW w:w="932" w:type="pct"/>
            <w:vAlign w:val="center"/>
          </w:tcPr>
          <w:p w:rsidR="00F61688" w:rsidRPr="007D6D20" w:rsidRDefault="00F61688" w:rsidP="00E73A7B">
            <w:pPr>
              <w:pStyle w:val="TableText0"/>
              <w:spacing w:before="0" w:after="0"/>
              <w:jc w:val="center"/>
              <w:rPr>
                <w:rFonts w:ascii="Arial Narrow" w:hAnsi="Arial Narrow"/>
                <w:szCs w:val="20"/>
              </w:rPr>
            </w:pPr>
            <w:r w:rsidRPr="007D6D20">
              <w:rPr>
                <w:rFonts w:ascii="Arial Narrow" w:hAnsi="Arial Narrow"/>
                <w:szCs w:val="20"/>
              </w:rPr>
              <w:t xml:space="preserve">Not reached  </w:t>
            </w:r>
          </w:p>
          <w:p w:rsidR="00F61688" w:rsidRPr="00204548" w:rsidRDefault="00204548" w:rsidP="00E73A7B">
            <w:pPr>
              <w:pStyle w:val="TableText0"/>
              <w:spacing w:before="0" w:after="0"/>
              <w:jc w:val="center"/>
              <w:rPr>
                <w:rFonts w:ascii="Arial Narrow" w:hAnsi="Arial Narrow"/>
                <w:szCs w:val="20"/>
                <w:highlight w:val="black"/>
              </w:rPr>
            </w:pPr>
            <w:r>
              <w:rPr>
                <w:rFonts w:ascii="Arial Narrow" w:hAnsi="Arial Narrow"/>
                <w:noProof/>
                <w:color w:val="000000"/>
                <w:szCs w:val="20"/>
                <w:highlight w:val="black"/>
              </w:rPr>
              <w:t>''''''''''''''' ''''''''''</w:t>
            </w:r>
          </w:p>
        </w:tc>
        <w:tc>
          <w:tcPr>
            <w:tcW w:w="932" w:type="pct"/>
            <w:vAlign w:val="center"/>
          </w:tcPr>
          <w:p w:rsidR="00F61688" w:rsidRPr="007121AF" w:rsidRDefault="00F61688" w:rsidP="00E73A7B">
            <w:pPr>
              <w:jc w:val="center"/>
              <w:rPr>
                <w:rFonts w:ascii="Arial Narrow" w:hAnsi="Arial Narrow"/>
                <w:sz w:val="20"/>
                <w:lang w:val="en-GB"/>
              </w:rPr>
            </w:pPr>
            <w:r w:rsidRPr="007121AF">
              <w:rPr>
                <w:rFonts w:ascii="Arial Narrow" w:hAnsi="Arial Narrow"/>
                <w:sz w:val="20"/>
                <w:lang w:val="en-GB"/>
              </w:rPr>
              <w:t>NR</w:t>
            </w:r>
          </w:p>
        </w:tc>
      </w:tr>
      <w:tr w:rsidR="00F61688" w:rsidRPr="007121AF" w:rsidTr="00E73A7B">
        <w:tc>
          <w:tcPr>
            <w:tcW w:w="2204" w:type="pct"/>
          </w:tcPr>
          <w:p w:rsidR="00F61688" w:rsidRPr="007121AF" w:rsidRDefault="00F61688" w:rsidP="00E73A7B">
            <w:pPr>
              <w:ind w:right="-108"/>
              <w:rPr>
                <w:rFonts w:ascii="Arial Narrow" w:hAnsi="Arial Narrow"/>
                <w:sz w:val="20"/>
                <w:lang w:val="en-GB"/>
              </w:rPr>
            </w:pPr>
            <w:r w:rsidRPr="007121AF">
              <w:rPr>
                <w:rFonts w:ascii="Arial Narrow" w:hAnsi="Arial Narrow"/>
                <w:sz w:val="20"/>
                <w:lang w:val="en-GB"/>
              </w:rPr>
              <w:t>KM estimate of OS at 6 months, % (95% CI)</w:t>
            </w:r>
          </w:p>
        </w:tc>
        <w:tc>
          <w:tcPr>
            <w:tcW w:w="932" w:type="pct"/>
          </w:tcPr>
          <w:p w:rsidR="00F61688" w:rsidRPr="00204548" w:rsidRDefault="00204548" w:rsidP="00E73A7B">
            <w:pPr>
              <w:jc w:val="center"/>
              <w:rPr>
                <w:rFonts w:ascii="Arial Narrow" w:hAnsi="Arial Narrow"/>
                <w:sz w:val="20"/>
                <w:highlight w:val="black"/>
                <w:lang w:val="en-GB"/>
              </w:rPr>
            </w:pPr>
            <w:r>
              <w:rPr>
                <w:rFonts w:ascii="Arial Narrow" w:hAnsi="Arial Narrow"/>
                <w:noProof/>
                <w:color w:val="000000"/>
                <w:sz w:val="20"/>
                <w:highlight w:val="black"/>
                <w:lang w:val="en-GB"/>
              </w:rPr>
              <w:t>''''''' ''''''''' ''''''''</w:t>
            </w:r>
          </w:p>
        </w:tc>
        <w:tc>
          <w:tcPr>
            <w:tcW w:w="932" w:type="pct"/>
          </w:tcPr>
          <w:p w:rsidR="00F61688" w:rsidRPr="00204548" w:rsidRDefault="00204548" w:rsidP="00E73A7B">
            <w:pPr>
              <w:jc w:val="center"/>
              <w:rPr>
                <w:rFonts w:ascii="Arial Narrow" w:hAnsi="Arial Narrow"/>
                <w:sz w:val="20"/>
                <w:highlight w:val="black"/>
                <w:lang w:val="en-GB"/>
              </w:rPr>
            </w:pPr>
            <w:r>
              <w:rPr>
                <w:rFonts w:ascii="Arial Narrow" w:hAnsi="Arial Narrow"/>
                <w:noProof/>
                <w:color w:val="000000"/>
                <w:sz w:val="20"/>
                <w:highlight w:val="black"/>
                <w:lang w:val="en-GB"/>
              </w:rPr>
              <w:t>''''' ''''''''' '''''''</w:t>
            </w:r>
          </w:p>
        </w:tc>
        <w:tc>
          <w:tcPr>
            <w:tcW w:w="932" w:type="pct"/>
          </w:tcPr>
          <w:p w:rsidR="00F61688" w:rsidRPr="007121AF" w:rsidRDefault="00F61688" w:rsidP="00E73A7B">
            <w:pPr>
              <w:jc w:val="center"/>
              <w:rPr>
                <w:rFonts w:ascii="Arial Narrow" w:hAnsi="Arial Narrow"/>
                <w:sz w:val="20"/>
                <w:lang w:val="en-GB"/>
              </w:rPr>
            </w:pPr>
            <w:r w:rsidRPr="007121AF">
              <w:rPr>
                <w:rFonts w:ascii="Arial Narrow" w:hAnsi="Arial Narrow"/>
                <w:sz w:val="20"/>
                <w:lang w:val="en-GB"/>
              </w:rPr>
              <w:t>NR</w:t>
            </w:r>
          </w:p>
        </w:tc>
      </w:tr>
      <w:tr w:rsidR="00F61688" w:rsidRPr="007121AF" w:rsidTr="00E73A7B">
        <w:tc>
          <w:tcPr>
            <w:tcW w:w="2204" w:type="pct"/>
          </w:tcPr>
          <w:p w:rsidR="00F61688" w:rsidRPr="007121AF" w:rsidRDefault="00F61688" w:rsidP="00E73A7B">
            <w:pPr>
              <w:ind w:right="-108"/>
              <w:rPr>
                <w:rFonts w:ascii="Arial Narrow" w:hAnsi="Arial Narrow"/>
                <w:sz w:val="20"/>
                <w:lang w:val="en-GB"/>
              </w:rPr>
            </w:pPr>
            <w:r w:rsidRPr="007121AF">
              <w:rPr>
                <w:rFonts w:ascii="Arial Narrow" w:hAnsi="Arial Narrow"/>
                <w:sz w:val="20"/>
                <w:lang w:val="en-GB"/>
              </w:rPr>
              <w:t>KM estimate of OS at 12 months, % (95% CI)</w:t>
            </w:r>
          </w:p>
        </w:tc>
        <w:tc>
          <w:tcPr>
            <w:tcW w:w="932" w:type="pct"/>
          </w:tcPr>
          <w:p w:rsidR="00F61688" w:rsidRPr="00204548" w:rsidRDefault="00204548" w:rsidP="00E73A7B">
            <w:pPr>
              <w:jc w:val="center"/>
              <w:rPr>
                <w:rFonts w:ascii="Arial Narrow" w:hAnsi="Arial Narrow"/>
                <w:sz w:val="20"/>
                <w:highlight w:val="black"/>
                <w:lang w:val="en-GB"/>
              </w:rPr>
            </w:pPr>
            <w:r>
              <w:rPr>
                <w:rFonts w:ascii="Arial Narrow" w:hAnsi="Arial Narrow"/>
                <w:noProof/>
                <w:color w:val="000000"/>
                <w:sz w:val="20"/>
                <w:highlight w:val="black"/>
                <w:lang w:val="en-GB"/>
              </w:rPr>
              <w:t>'''''' ''''''''' '''''''''</w:t>
            </w:r>
          </w:p>
        </w:tc>
        <w:tc>
          <w:tcPr>
            <w:tcW w:w="932" w:type="pct"/>
          </w:tcPr>
          <w:p w:rsidR="00F61688" w:rsidRPr="00204548" w:rsidRDefault="00F61688" w:rsidP="00E73A7B">
            <w:pPr>
              <w:jc w:val="center"/>
              <w:rPr>
                <w:rFonts w:ascii="Arial Narrow" w:hAnsi="Arial Narrow"/>
                <w:sz w:val="20"/>
                <w:lang w:val="en-GB"/>
              </w:rPr>
            </w:pPr>
            <w:r w:rsidRPr="009201C5">
              <w:rPr>
                <w:rFonts w:ascii="Arial Narrow" w:hAnsi="Arial Narrow"/>
                <w:sz w:val="20"/>
                <w:lang w:val="en-GB"/>
              </w:rPr>
              <w:t>87 (80, 91)</w:t>
            </w:r>
          </w:p>
        </w:tc>
        <w:tc>
          <w:tcPr>
            <w:tcW w:w="932" w:type="pct"/>
          </w:tcPr>
          <w:p w:rsidR="00F61688" w:rsidRPr="007121AF" w:rsidRDefault="00F61688" w:rsidP="00E73A7B">
            <w:pPr>
              <w:jc w:val="center"/>
              <w:rPr>
                <w:rFonts w:ascii="Arial Narrow" w:hAnsi="Arial Narrow"/>
                <w:sz w:val="20"/>
                <w:lang w:val="en-GB"/>
              </w:rPr>
            </w:pPr>
            <w:r w:rsidRPr="007121AF">
              <w:rPr>
                <w:rFonts w:ascii="Arial Narrow" w:hAnsi="Arial Narrow"/>
                <w:sz w:val="20"/>
                <w:lang w:val="en-GB"/>
              </w:rPr>
              <w:t>NR</w:t>
            </w:r>
          </w:p>
        </w:tc>
      </w:tr>
    </w:tbl>
    <w:p w:rsidR="00F61688" w:rsidRDefault="00F61688" w:rsidP="00F61688">
      <w:pPr>
        <w:ind w:left="720"/>
        <w:rPr>
          <w:rFonts w:ascii="Arial Narrow" w:hAnsi="Arial Narrow"/>
          <w:sz w:val="18"/>
          <w:szCs w:val="18"/>
        </w:rPr>
      </w:pPr>
      <w:r>
        <w:rPr>
          <w:rFonts w:ascii="Arial Narrow" w:hAnsi="Arial Narrow"/>
          <w:sz w:val="18"/>
          <w:szCs w:val="18"/>
        </w:rPr>
        <w:t xml:space="preserve">Abbreviations: </w:t>
      </w:r>
      <w:r w:rsidR="00FC0657">
        <w:rPr>
          <w:rFonts w:ascii="Arial Narrow" w:hAnsi="Arial Narrow"/>
          <w:sz w:val="18"/>
          <w:szCs w:val="18"/>
        </w:rPr>
        <w:t>17p</w:t>
      </w:r>
      <w:r w:rsidR="0003250C">
        <w:rPr>
          <w:rFonts w:ascii="Arial Narrow" w:hAnsi="Arial Narrow"/>
          <w:sz w:val="18"/>
          <w:szCs w:val="18"/>
        </w:rPr>
        <w:t xml:space="preserve"> del</w:t>
      </w:r>
      <w:r w:rsidR="00FC0657">
        <w:rPr>
          <w:rFonts w:ascii="Arial Narrow" w:hAnsi="Arial Narrow"/>
          <w:sz w:val="18"/>
          <w:szCs w:val="18"/>
        </w:rPr>
        <w:t xml:space="preserve">, 17p </w:t>
      </w:r>
      <w:r w:rsidR="00724266">
        <w:rPr>
          <w:rFonts w:ascii="Arial Narrow" w:hAnsi="Arial Narrow"/>
          <w:sz w:val="18"/>
          <w:szCs w:val="18"/>
        </w:rPr>
        <w:t>deletion subgroup</w:t>
      </w:r>
      <w:r w:rsidR="00FC0657">
        <w:rPr>
          <w:rFonts w:ascii="Arial Narrow" w:hAnsi="Arial Narrow"/>
          <w:sz w:val="18"/>
          <w:szCs w:val="18"/>
        </w:rPr>
        <w:t xml:space="preserve">; </w:t>
      </w:r>
      <w:r>
        <w:rPr>
          <w:rFonts w:ascii="Arial Narrow" w:hAnsi="Arial Narrow"/>
          <w:sz w:val="18"/>
          <w:szCs w:val="18"/>
        </w:rPr>
        <w:t>CI, confidence interval; KM, Kaplan-Meier; NE, not evaluable; NR, not reported; OFAT, ofatumumab; OS, overall survival; PFS, progression</w:t>
      </w:r>
      <w:r w:rsidR="009D11B8">
        <w:rPr>
          <w:rFonts w:ascii="Arial Narrow" w:hAnsi="Arial Narrow"/>
          <w:sz w:val="18"/>
          <w:szCs w:val="18"/>
        </w:rPr>
        <w:t>-</w:t>
      </w:r>
      <w:r>
        <w:rPr>
          <w:rFonts w:ascii="Arial Narrow" w:hAnsi="Arial Narrow"/>
          <w:sz w:val="18"/>
          <w:szCs w:val="18"/>
        </w:rPr>
        <w:t>free survival; VEN, venetoclax</w:t>
      </w:r>
    </w:p>
    <w:p w:rsidR="00F61688" w:rsidRDefault="00F61688" w:rsidP="00F61688">
      <w:pPr>
        <w:ind w:firstLine="720"/>
        <w:rPr>
          <w:rFonts w:ascii="Arial Narrow" w:hAnsi="Arial Narrow"/>
          <w:sz w:val="18"/>
          <w:szCs w:val="18"/>
        </w:rPr>
      </w:pPr>
      <w:r w:rsidRPr="00B72B9B">
        <w:rPr>
          <w:rFonts w:ascii="Arial Narrow" w:hAnsi="Arial Narrow"/>
          <w:sz w:val="18"/>
          <w:szCs w:val="18"/>
          <w:vertAlign w:val="superscript"/>
        </w:rPr>
        <w:t>1</w:t>
      </w:r>
      <w:r w:rsidRPr="00B72B9B">
        <w:rPr>
          <w:rFonts w:ascii="Arial Narrow" w:hAnsi="Arial Narrow"/>
          <w:sz w:val="18"/>
          <w:szCs w:val="18"/>
        </w:rPr>
        <w:t xml:space="preserve"> </w:t>
      </w:r>
      <w:r>
        <w:rPr>
          <w:rFonts w:ascii="Arial Narrow" w:hAnsi="Arial Narrow"/>
          <w:sz w:val="18"/>
          <w:szCs w:val="18"/>
        </w:rPr>
        <w:t>Median duration for all subjects (not reported for the subgroup)</w:t>
      </w:r>
    </w:p>
    <w:p w:rsidR="008E0A47" w:rsidRDefault="008E0A47" w:rsidP="00F61688">
      <w:pPr>
        <w:ind w:firstLine="720"/>
        <w:rPr>
          <w:rFonts w:ascii="Arial Narrow" w:hAnsi="Arial Narrow"/>
          <w:sz w:val="18"/>
          <w:szCs w:val="18"/>
        </w:rPr>
      </w:pPr>
      <w:r w:rsidRPr="008E0A47">
        <w:rPr>
          <w:rFonts w:ascii="Arial Narrow" w:hAnsi="Arial Narrow"/>
          <w:sz w:val="18"/>
          <w:szCs w:val="18"/>
          <w:vertAlign w:val="superscript"/>
        </w:rPr>
        <w:t>2</w:t>
      </w:r>
      <w:r>
        <w:rPr>
          <w:rFonts w:ascii="Arial Narrow" w:hAnsi="Arial Narrow"/>
          <w:sz w:val="18"/>
          <w:szCs w:val="18"/>
        </w:rPr>
        <w:t xml:space="preserve"> Results from 9-month analysis; not reported in 16-month analysis</w:t>
      </w:r>
    </w:p>
    <w:p w:rsidR="001152B6" w:rsidRDefault="001152B6" w:rsidP="001152B6">
      <w:pPr>
        <w:ind w:left="720"/>
        <w:rPr>
          <w:rFonts w:ascii="Arial Narrow" w:hAnsi="Arial Narrow"/>
          <w:sz w:val="18"/>
          <w:szCs w:val="18"/>
        </w:rPr>
      </w:pPr>
      <w:r>
        <w:rPr>
          <w:rFonts w:ascii="Arial Narrow" w:hAnsi="Arial Narrow"/>
          <w:sz w:val="18"/>
          <w:szCs w:val="18"/>
        </w:rPr>
        <w:t xml:space="preserve">Source: Compiled during the evaluation using the most recent investigator-assessed </w:t>
      </w:r>
      <w:r w:rsidR="00C012C5">
        <w:rPr>
          <w:rFonts w:ascii="Arial Narrow" w:hAnsi="Arial Narrow"/>
          <w:sz w:val="18"/>
          <w:szCs w:val="18"/>
        </w:rPr>
        <w:t>outcomes</w:t>
      </w:r>
      <w:r>
        <w:rPr>
          <w:rFonts w:ascii="Arial Narrow" w:hAnsi="Arial Narrow"/>
          <w:sz w:val="18"/>
          <w:szCs w:val="18"/>
        </w:rPr>
        <w:t>.</w:t>
      </w:r>
    </w:p>
    <w:p w:rsidR="00F61688" w:rsidRDefault="00F61688" w:rsidP="00F61688">
      <w:pPr>
        <w:widowControl/>
        <w:rPr>
          <w:szCs w:val="22"/>
        </w:rPr>
      </w:pPr>
    </w:p>
    <w:p w:rsidR="00F61688" w:rsidRPr="00DD1DEA" w:rsidRDefault="00F61688" w:rsidP="002C0974">
      <w:pPr>
        <w:pStyle w:val="ListParagraph"/>
        <w:widowControl/>
        <w:numPr>
          <w:ilvl w:val="1"/>
          <w:numId w:val="3"/>
        </w:numPr>
      </w:pPr>
      <w:r w:rsidRPr="00DD1DEA">
        <w:t>Based on the naïve indirect comparison, the submission claimed that venetoclax treatment was associated with numerically higher progression-free survival compared to ofatumumab monotherapy.</w:t>
      </w:r>
    </w:p>
    <w:p w:rsidR="00F61688" w:rsidRPr="00DD1DEA" w:rsidRDefault="00F61688" w:rsidP="002C0974"/>
    <w:p w:rsidR="00F61688" w:rsidRPr="00DD1DEA" w:rsidRDefault="00F61688" w:rsidP="002C0974">
      <w:pPr>
        <w:pStyle w:val="ListParagraph"/>
        <w:widowControl/>
        <w:numPr>
          <w:ilvl w:val="1"/>
          <w:numId w:val="3"/>
        </w:numPr>
      </w:pPr>
      <w:r w:rsidRPr="00DD1DEA">
        <w:t xml:space="preserve">The submission also claimed to have conducted a matching adjusted indirect comparison of venetoclax (based on a pooled analysis of patients with 17p deletions in the venetoclax studies) versus ofatumumab. This analysis indicated that treatment with venetoclax was associated with substantially longer progression-free survival compared to ofatumumab (adjusted HR </w:t>
      </w:r>
      <w:r w:rsidR="00204548">
        <w:rPr>
          <w:noProof/>
          <w:color w:val="000000"/>
          <w:highlight w:val="black"/>
        </w:rPr>
        <w:t>''''''''''''</w:t>
      </w:r>
      <w:r w:rsidRPr="00DD1DEA">
        <w:t xml:space="preserve">; 95% CI </w:t>
      </w:r>
      <w:r w:rsidR="00204548">
        <w:rPr>
          <w:noProof/>
          <w:color w:val="000000"/>
          <w:highlight w:val="black"/>
        </w:rPr>
        <w:t>'''''''''''</w:t>
      </w:r>
      <w:r w:rsidRPr="00DD1DEA">
        <w:t xml:space="preserve">, </w:t>
      </w:r>
      <w:r w:rsidR="00204548">
        <w:rPr>
          <w:noProof/>
          <w:color w:val="000000"/>
          <w:highlight w:val="black"/>
        </w:rPr>
        <w:t>''''''''''</w:t>
      </w:r>
      <w:r w:rsidRPr="00DD1DEA">
        <w:t>). The</w:t>
      </w:r>
      <w:r w:rsidR="00C012C5" w:rsidRPr="00DD1DEA">
        <w:t xml:space="preserve"> matching adjusted</w:t>
      </w:r>
      <w:r w:rsidRPr="00DD1DEA">
        <w:t xml:space="preserve"> indirect </w:t>
      </w:r>
      <w:r w:rsidR="00C012C5" w:rsidRPr="00DD1DEA">
        <w:t>comparison</w:t>
      </w:r>
      <w:r w:rsidRPr="00DD1DEA">
        <w:t xml:space="preserve"> was poorly documented in the submission and estimates could not be </w:t>
      </w:r>
      <w:r w:rsidR="00A759A7" w:rsidRPr="00DD1DEA">
        <w:t>independently verified</w:t>
      </w:r>
      <w:r w:rsidRPr="00DD1DEA">
        <w:t xml:space="preserve"> during the evaluation.</w:t>
      </w:r>
    </w:p>
    <w:p w:rsidR="00F61688" w:rsidRPr="002C0974" w:rsidRDefault="00F61688" w:rsidP="002C0974">
      <w:pPr>
        <w:pStyle w:val="TableFooter"/>
        <w:rPr>
          <w:rFonts w:ascii="Arial" w:hAnsi="Arial"/>
          <w:sz w:val="22"/>
          <w:szCs w:val="22"/>
        </w:rPr>
      </w:pPr>
    </w:p>
    <w:p w:rsidR="00F61688" w:rsidRPr="000A7108" w:rsidRDefault="00F61688" w:rsidP="001011FE">
      <w:pPr>
        <w:pStyle w:val="ListParagraph"/>
        <w:widowControl/>
        <w:numPr>
          <w:ilvl w:val="1"/>
          <w:numId w:val="3"/>
        </w:numPr>
        <w:rPr>
          <w:szCs w:val="22"/>
        </w:rPr>
      </w:pPr>
      <w:r w:rsidRPr="000A7108">
        <w:rPr>
          <w:szCs w:val="22"/>
        </w:rPr>
        <w:t>The key results of the indirect comparison between venetoclax and idelalisib with rituximab</w:t>
      </w:r>
      <w:r>
        <w:rPr>
          <w:szCs w:val="22"/>
        </w:rPr>
        <w:t xml:space="preserve"> in patients with 17p deletion/TP53 mutation </w:t>
      </w:r>
      <w:r w:rsidRPr="000A7108">
        <w:rPr>
          <w:szCs w:val="22"/>
        </w:rPr>
        <w:t xml:space="preserve">are summarised in </w:t>
      </w:r>
      <w:r>
        <w:rPr>
          <w:szCs w:val="22"/>
        </w:rPr>
        <w:t>T</w:t>
      </w:r>
      <w:r w:rsidRPr="000A7108">
        <w:rPr>
          <w:szCs w:val="22"/>
        </w:rPr>
        <w:t xml:space="preserve">able </w:t>
      </w:r>
      <w:r>
        <w:rPr>
          <w:szCs w:val="22"/>
        </w:rPr>
        <w:t>4.</w:t>
      </w:r>
    </w:p>
    <w:p w:rsidR="00F61688" w:rsidRDefault="00F61688" w:rsidP="00F61688">
      <w:pPr>
        <w:widowControl/>
        <w:rPr>
          <w:szCs w:val="22"/>
        </w:rPr>
      </w:pPr>
    </w:p>
    <w:p w:rsidR="00F61688" w:rsidRPr="00006210" w:rsidRDefault="00F61688" w:rsidP="00F61688">
      <w:pPr>
        <w:keepNext/>
        <w:ind w:left="720"/>
        <w:rPr>
          <w:rFonts w:ascii="Arial Narrow" w:hAnsi="Arial Narrow"/>
          <w:b/>
          <w:sz w:val="20"/>
        </w:rPr>
      </w:pPr>
      <w:r>
        <w:rPr>
          <w:rFonts w:ascii="Arial Narrow" w:hAnsi="Arial Narrow"/>
          <w:b/>
          <w:sz w:val="20"/>
        </w:rPr>
        <w:t>Table 4: Summary of the most recent efficacy results for venetoclax vs. idelalisib with rituximab in patients with 17p deletion/TP53 mutation</w:t>
      </w:r>
    </w:p>
    <w:tbl>
      <w:tblPr>
        <w:tblW w:w="4642" w:type="pct"/>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3"/>
        <w:gridCol w:w="1558"/>
        <w:gridCol w:w="1560"/>
        <w:gridCol w:w="1809"/>
      </w:tblGrid>
      <w:tr w:rsidR="00F61688" w:rsidRPr="007121AF" w:rsidTr="008434BF">
        <w:tc>
          <w:tcPr>
            <w:tcW w:w="2129" w:type="pct"/>
            <w:vMerge w:val="restart"/>
            <w:vAlign w:val="center"/>
          </w:tcPr>
          <w:p w:rsidR="00F61688" w:rsidRPr="007121AF" w:rsidRDefault="00F61688" w:rsidP="00E73A7B">
            <w:pPr>
              <w:jc w:val="center"/>
              <w:rPr>
                <w:rFonts w:ascii="Arial Narrow" w:hAnsi="Arial Narrow"/>
                <w:b/>
                <w:sz w:val="20"/>
              </w:rPr>
            </w:pPr>
          </w:p>
        </w:tc>
        <w:tc>
          <w:tcPr>
            <w:tcW w:w="908" w:type="pct"/>
            <w:vAlign w:val="center"/>
          </w:tcPr>
          <w:p w:rsidR="00F61688" w:rsidRPr="007121AF" w:rsidRDefault="00F61688" w:rsidP="00E73A7B">
            <w:pPr>
              <w:jc w:val="center"/>
              <w:rPr>
                <w:rFonts w:ascii="Arial Narrow" w:hAnsi="Arial Narrow"/>
                <w:b/>
                <w:sz w:val="20"/>
              </w:rPr>
            </w:pPr>
            <w:r w:rsidRPr="007121AF">
              <w:rPr>
                <w:rFonts w:ascii="Arial Narrow" w:hAnsi="Arial Narrow"/>
                <w:b/>
                <w:sz w:val="20"/>
              </w:rPr>
              <w:t>M12-175</w:t>
            </w:r>
          </w:p>
        </w:tc>
        <w:tc>
          <w:tcPr>
            <w:tcW w:w="909" w:type="pct"/>
            <w:vAlign w:val="center"/>
          </w:tcPr>
          <w:p w:rsidR="00F61688" w:rsidRPr="007121AF" w:rsidRDefault="00F61688" w:rsidP="00E73A7B">
            <w:pPr>
              <w:jc w:val="center"/>
              <w:rPr>
                <w:rFonts w:ascii="Arial Narrow" w:hAnsi="Arial Narrow"/>
                <w:b/>
                <w:sz w:val="20"/>
              </w:rPr>
            </w:pPr>
            <w:r w:rsidRPr="007121AF">
              <w:rPr>
                <w:rFonts w:ascii="Arial Narrow" w:hAnsi="Arial Narrow"/>
                <w:b/>
                <w:sz w:val="20"/>
              </w:rPr>
              <w:t>M13-982</w:t>
            </w:r>
          </w:p>
        </w:tc>
        <w:tc>
          <w:tcPr>
            <w:tcW w:w="1055" w:type="pct"/>
            <w:vAlign w:val="center"/>
          </w:tcPr>
          <w:p w:rsidR="00F61688" w:rsidRPr="007121AF" w:rsidRDefault="00F61688" w:rsidP="00E73A7B">
            <w:pPr>
              <w:pStyle w:val="Tabletextcentred"/>
              <w:rPr>
                <w:b/>
                <w:snapToGrid w:val="0"/>
              </w:rPr>
            </w:pPr>
            <w:r w:rsidRPr="007121AF">
              <w:rPr>
                <w:b/>
                <w:snapToGrid w:val="0"/>
              </w:rPr>
              <w:t>312-0116</w:t>
            </w:r>
          </w:p>
        </w:tc>
      </w:tr>
      <w:tr w:rsidR="00F61688" w:rsidRPr="007121AF" w:rsidTr="008434BF">
        <w:tc>
          <w:tcPr>
            <w:tcW w:w="2129" w:type="pct"/>
            <w:vMerge/>
          </w:tcPr>
          <w:p w:rsidR="00F61688" w:rsidRPr="007121AF" w:rsidRDefault="00F61688" w:rsidP="00E73A7B">
            <w:pPr>
              <w:jc w:val="center"/>
              <w:rPr>
                <w:rFonts w:ascii="Arial Narrow" w:hAnsi="Arial Narrow"/>
                <w:b/>
                <w:sz w:val="20"/>
              </w:rPr>
            </w:pPr>
          </w:p>
        </w:tc>
        <w:tc>
          <w:tcPr>
            <w:tcW w:w="908" w:type="pct"/>
            <w:vAlign w:val="center"/>
          </w:tcPr>
          <w:p w:rsidR="00F61688" w:rsidRPr="007121AF" w:rsidRDefault="00F61688" w:rsidP="00E73A7B">
            <w:pPr>
              <w:jc w:val="center"/>
              <w:rPr>
                <w:rFonts w:ascii="Arial Narrow" w:hAnsi="Arial Narrow"/>
                <w:b/>
                <w:sz w:val="20"/>
              </w:rPr>
            </w:pPr>
            <w:r w:rsidRPr="007121AF">
              <w:rPr>
                <w:rFonts w:ascii="Arial Narrow" w:hAnsi="Arial Narrow"/>
                <w:b/>
                <w:sz w:val="20"/>
              </w:rPr>
              <w:t>VEN</w:t>
            </w:r>
          </w:p>
          <w:p w:rsidR="00F61688" w:rsidRPr="007121AF" w:rsidRDefault="00F61688" w:rsidP="00E73A7B">
            <w:pPr>
              <w:jc w:val="center"/>
              <w:rPr>
                <w:rFonts w:ascii="Arial Narrow" w:hAnsi="Arial Narrow"/>
                <w:b/>
                <w:sz w:val="20"/>
              </w:rPr>
            </w:pPr>
            <w:r w:rsidRPr="007121AF">
              <w:rPr>
                <w:rFonts w:ascii="Arial Narrow" w:hAnsi="Arial Narrow"/>
                <w:b/>
                <w:sz w:val="20"/>
              </w:rPr>
              <w:t>400mg 17p</w:t>
            </w:r>
            <w:r w:rsidR="0003250C">
              <w:rPr>
                <w:rFonts w:ascii="Arial Narrow" w:hAnsi="Arial Narrow"/>
                <w:b/>
                <w:sz w:val="20"/>
              </w:rPr>
              <w:t xml:space="preserve"> del</w:t>
            </w:r>
          </w:p>
          <w:p w:rsidR="00F61688" w:rsidRPr="007121AF" w:rsidRDefault="00F61688" w:rsidP="00E73A7B">
            <w:pPr>
              <w:jc w:val="center"/>
              <w:rPr>
                <w:rFonts w:ascii="Arial Narrow" w:hAnsi="Arial Narrow"/>
                <w:b/>
                <w:sz w:val="20"/>
              </w:rPr>
            </w:pPr>
            <w:r w:rsidRPr="007121AF">
              <w:rPr>
                <w:rFonts w:ascii="Arial Narrow" w:hAnsi="Arial Narrow"/>
                <w:b/>
                <w:sz w:val="20"/>
              </w:rPr>
              <w:t>(N = 14)</w:t>
            </w:r>
          </w:p>
        </w:tc>
        <w:tc>
          <w:tcPr>
            <w:tcW w:w="909" w:type="pct"/>
            <w:vAlign w:val="center"/>
          </w:tcPr>
          <w:p w:rsidR="00F61688" w:rsidRPr="007121AF" w:rsidRDefault="00F61688" w:rsidP="00E73A7B">
            <w:pPr>
              <w:jc w:val="center"/>
              <w:rPr>
                <w:rFonts w:ascii="Arial Narrow" w:hAnsi="Arial Narrow"/>
                <w:b/>
                <w:sz w:val="20"/>
              </w:rPr>
            </w:pPr>
            <w:r w:rsidRPr="007121AF">
              <w:rPr>
                <w:rFonts w:ascii="Arial Narrow" w:hAnsi="Arial Narrow"/>
                <w:b/>
                <w:sz w:val="20"/>
              </w:rPr>
              <w:t>VEN</w:t>
            </w:r>
          </w:p>
          <w:p w:rsidR="00F61688" w:rsidRPr="007121AF" w:rsidRDefault="00F61688" w:rsidP="00E73A7B">
            <w:pPr>
              <w:jc w:val="center"/>
              <w:rPr>
                <w:rFonts w:ascii="Arial Narrow" w:hAnsi="Arial Narrow"/>
                <w:b/>
                <w:sz w:val="20"/>
              </w:rPr>
            </w:pPr>
            <w:r w:rsidRPr="007121AF">
              <w:rPr>
                <w:rFonts w:ascii="Arial Narrow" w:hAnsi="Arial Narrow"/>
                <w:b/>
                <w:sz w:val="20"/>
              </w:rPr>
              <w:t>main cohort</w:t>
            </w:r>
          </w:p>
          <w:p w:rsidR="00F61688" w:rsidRPr="007121AF" w:rsidRDefault="00F61688" w:rsidP="00E73A7B">
            <w:pPr>
              <w:jc w:val="center"/>
              <w:rPr>
                <w:rFonts w:ascii="Arial Narrow" w:hAnsi="Arial Narrow"/>
                <w:b/>
                <w:sz w:val="20"/>
              </w:rPr>
            </w:pPr>
            <w:r w:rsidRPr="007121AF">
              <w:rPr>
                <w:rFonts w:ascii="Arial Narrow" w:hAnsi="Arial Narrow"/>
                <w:b/>
                <w:sz w:val="20"/>
              </w:rPr>
              <w:t>(N = 158)</w:t>
            </w:r>
          </w:p>
        </w:tc>
        <w:tc>
          <w:tcPr>
            <w:tcW w:w="1055" w:type="pct"/>
            <w:vAlign w:val="center"/>
          </w:tcPr>
          <w:p w:rsidR="00F61688" w:rsidRPr="007121AF" w:rsidRDefault="00F61688" w:rsidP="00E73A7B">
            <w:pPr>
              <w:pStyle w:val="Tabletextcentred"/>
              <w:rPr>
                <w:b/>
                <w:snapToGrid w:val="0"/>
              </w:rPr>
            </w:pPr>
            <w:r w:rsidRPr="007121AF">
              <w:rPr>
                <w:b/>
                <w:snapToGrid w:val="0"/>
              </w:rPr>
              <w:t>IDEL + RITU</w:t>
            </w:r>
          </w:p>
          <w:p w:rsidR="00F61688" w:rsidRPr="007121AF" w:rsidRDefault="00F61688" w:rsidP="00E73A7B">
            <w:pPr>
              <w:pStyle w:val="Tabletextcentred"/>
              <w:rPr>
                <w:b/>
                <w:snapToGrid w:val="0"/>
              </w:rPr>
            </w:pPr>
            <w:r w:rsidRPr="007121AF">
              <w:rPr>
                <w:b/>
                <w:snapToGrid w:val="0"/>
              </w:rPr>
              <w:t>17p</w:t>
            </w:r>
            <w:r w:rsidR="004E6F9B">
              <w:rPr>
                <w:b/>
                <w:snapToGrid w:val="0"/>
              </w:rPr>
              <w:t>/</w:t>
            </w:r>
            <w:r w:rsidRPr="007121AF">
              <w:rPr>
                <w:b/>
                <w:snapToGrid w:val="0"/>
              </w:rPr>
              <w:t>TP53</w:t>
            </w:r>
            <w:r w:rsidR="008434BF">
              <w:rPr>
                <w:b/>
                <w:snapToGrid w:val="0"/>
              </w:rPr>
              <w:t xml:space="preserve"> subgroup</w:t>
            </w:r>
          </w:p>
          <w:p w:rsidR="00F61688" w:rsidRPr="007121AF" w:rsidRDefault="00F61688" w:rsidP="00E73A7B">
            <w:pPr>
              <w:pStyle w:val="Tabletextcentred"/>
              <w:rPr>
                <w:b/>
                <w:snapToGrid w:val="0"/>
              </w:rPr>
            </w:pPr>
            <w:r w:rsidRPr="007121AF">
              <w:rPr>
                <w:b/>
                <w:snapToGrid w:val="0"/>
              </w:rPr>
              <w:t>(N = 46)</w:t>
            </w:r>
          </w:p>
        </w:tc>
      </w:tr>
      <w:tr w:rsidR="00F61688" w:rsidRPr="007121AF" w:rsidTr="008434BF">
        <w:tc>
          <w:tcPr>
            <w:tcW w:w="2129" w:type="pct"/>
          </w:tcPr>
          <w:p w:rsidR="00F61688" w:rsidRPr="007121AF" w:rsidRDefault="00F61688" w:rsidP="00E73A7B">
            <w:pPr>
              <w:rPr>
                <w:rFonts w:ascii="Arial Narrow" w:hAnsi="Arial Narrow"/>
                <w:sz w:val="20"/>
              </w:rPr>
            </w:pPr>
            <w:r w:rsidRPr="007121AF">
              <w:rPr>
                <w:rFonts w:ascii="Arial Narrow" w:hAnsi="Arial Narrow"/>
                <w:sz w:val="20"/>
              </w:rPr>
              <w:t>Median duration of treatment, months (range)</w:t>
            </w:r>
          </w:p>
        </w:tc>
        <w:tc>
          <w:tcPr>
            <w:tcW w:w="908" w:type="pct"/>
            <w:vAlign w:val="center"/>
          </w:tcPr>
          <w:p w:rsidR="00F61688" w:rsidRPr="00204548" w:rsidRDefault="00204548" w:rsidP="00E73A7B">
            <w:pPr>
              <w:pStyle w:val="TableText0"/>
              <w:spacing w:before="0" w:after="0"/>
              <w:jc w:val="center"/>
              <w:rPr>
                <w:rFonts w:ascii="Arial Narrow" w:hAnsi="Arial Narrow"/>
                <w:szCs w:val="20"/>
                <w:highlight w:val="black"/>
              </w:rPr>
            </w:pPr>
            <w:r>
              <w:rPr>
                <w:rFonts w:ascii="Arial Narrow" w:hAnsi="Arial Narrow"/>
                <w:noProof/>
                <w:color w:val="000000"/>
                <w:szCs w:val="20"/>
                <w:highlight w:val="black"/>
              </w:rPr>
              <w:t>'''''''''' '''''''''''''''''''''''</w:t>
            </w:r>
          </w:p>
        </w:tc>
        <w:tc>
          <w:tcPr>
            <w:tcW w:w="909" w:type="pct"/>
          </w:tcPr>
          <w:p w:rsidR="00F61688" w:rsidRPr="00204548" w:rsidRDefault="00204548" w:rsidP="00E73A7B">
            <w:pPr>
              <w:jc w:val="center"/>
              <w:rPr>
                <w:rFonts w:ascii="Arial Narrow" w:hAnsi="Arial Narrow"/>
                <w:sz w:val="20"/>
                <w:highlight w:val="black"/>
                <w:lang w:val="en-GB"/>
              </w:rPr>
            </w:pPr>
            <w:r>
              <w:rPr>
                <w:rFonts w:ascii="Arial Narrow" w:hAnsi="Arial Narrow"/>
                <w:noProof/>
                <w:color w:val="000000"/>
                <w:sz w:val="20"/>
                <w:highlight w:val="black"/>
                <w:lang w:val="en-GB"/>
              </w:rPr>
              <w:t>'''''''''' '''''''''''''''''''''</w:t>
            </w:r>
          </w:p>
        </w:tc>
        <w:tc>
          <w:tcPr>
            <w:tcW w:w="1055" w:type="pct"/>
          </w:tcPr>
          <w:p w:rsidR="00F61688" w:rsidRPr="007121AF" w:rsidRDefault="00F61688" w:rsidP="009D11B8">
            <w:pPr>
              <w:pStyle w:val="Tabletextcentred"/>
              <w:rPr>
                <w:snapToGrid w:val="0"/>
              </w:rPr>
            </w:pPr>
            <w:r w:rsidRPr="007121AF">
              <w:rPr>
                <w:snapToGrid w:val="0"/>
              </w:rPr>
              <w:t>8.1 (0.3-19.5)</w:t>
            </w:r>
            <w:r w:rsidRPr="007121AF">
              <w:rPr>
                <w:snapToGrid w:val="0"/>
                <w:vertAlign w:val="superscript"/>
              </w:rPr>
              <w:t>1</w:t>
            </w:r>
          </w:p>
        </w:tc>
      </w:tr>
      <w:tr w:rsidR="00F61688" w:rsidRPr="007121AF" w:rsidTr="008434BF">
        <w:tc>
          <w:tcPr>
            <w:tcW w:w="2129" w:type="pct"/>
          </w:tcPr>
          <w:p w:rsidR="00F61688" w:rsidRPr="007121AF" w:rsidRDefault="00F61688" w:rsidP="00E73A7B">
            <w:pPr>
              <w:rPr>
                <w:rFonts w:ascii="Arial Narrow" w:hAnsi="Arial Narrow"/>
                <w:sz w:val="20"/>
              </w:rPr>
            </w:pPr>
            <w:r w:rsidRPr="007121AF">
              <w:rPr>
                <w:rFonts w:ascii="Arial Narrow" w:hAnsi="Arial Narrow"/>
                <w:sz w:val="20"/>
              </w:rPr>
              <w:t>Median duration of follow-up, months (range)</w:t>
            </w:r>
          </w:p>
        </w:tc>
        <w:tc>
          <w:tcPr>
            <w:tcW w:w="908" w:type="pct"/>
            <w:vAlign w:val="center"/>
          </w:tcPr>
          <w:p w:rsidR="00F61688" w:rsidRPr="00204548" w:rsidRDefault="00204548" w:rsidP="00E73A7B">
            <w:pPr>
              <w:pStyle w:val="TableText0"/>
              <w:spacing w:before="0" w:after="0"/>
              <w:jc w:val="center"/>
              <w:rPr>
                <w:rFonts w:ascii="Arial Narrow" w:hAnsi="Arial Narrow"/>
                <w:szCs w:val="20"/>
                <w:highlight w:val="black"/>
              </w:rPr>
            </w:pPr>
            <w:r>
              <w:rPr>
                <w:rFonts w:ascii="Arial Narrow" w:hAnsi="Arial Narrow"/>
                <w:noProof/>
                <w:color w:val="000000"/>
                <w:szCs w:val="20"/>
                <w:highlight w:val="black"/>
              </w:rPr>
              <w:t>''''''''</w:t>
            </w:r>
          </w:p>
        </w:tc>
        <w:tc>
          <w:tcPr>
            <w:tcW w:w="909" w:type="pct"/>
            <w:vAlign w:val="center"/>
          </w:tcPr>
          <w:p w:rsidR="00F61688" w:rsidRPr="00204548" w:rsidRDefault="00204548" w:rsidP="00E73A7B">
            <w:pPr>
              <w:jc w:val="center"/>
              <w:rPr>
                <w:rFonts w:ascii="Arial Narrow" w:hAnsi="Arial Narrow"/>
                <w:sz w:val="20"/>
                <w:highlight w:val="black"/>
              </w:rPr>
            </w:pPr>
            <w:r>
              <w:rPr>
                <w:rFonts w:ascii="Arial Narrow" w:hAnsi="Arial Narrow"/>
                <w:noProof/>
                <w:color w:val="000000"/>
                <w:sz w:val="20"/>
                <w:highlight w:val="black"/>
              </w:rPr>
              <w:t>'''''''</w:t>
            </w:r>
          </w:p>
        </w:tc>
        <w:tc>
          <w:tcPr>
            <w:tcW w:w="1055" w:type="pct"/>
          </w:tcPr>
          <w:p w:rsidR="00F61688" w:rsidRPr="007121AF" w:rsidRDefault="00F61688" w:rsidP="00E73A7B">
            <w:pPr>
              <w:pStyle w:val="Tabletextcentred"/>
              <w:rPr>
                <w:snapToGrid w:val="0"/>
              </w:rPr>
            </w:pPr>
            <w:r w:rsidRPr="007121AF">
              <w:rPr>
                <w:snapToGrid w:val="0"/>
              </w:rPr>
              <w:t>12.5 (0.3-25.1)</w:t>
            </w:r>
            <w:r w:rsidRPr="007121AF">
              <w:rPr>
                <w:snapToGrid w:val="0"/>
                <w:vertAlign w:val="superscript"/>
              </w:rPr>
              <w:t>1</w:t>
            </w:r>
          </w:p>
        </w:tc>
      </w:tr>
      <w:tr w:rsidR="00F61688" w:rsidRPr="007121AF" w:rsidTr="00E73A7B">
        <w:tc>
          <w:tcPr>
            <w:tcW w:w="5000" w:type="pct"/>
            <w:gridSpan w:val="4"/>
            <w:vAlign w:val="center"/>
          </w:tcPr>
          <w:p w:rsidR="00F61688" w:rsidRPr="007121AF" w:rsidRDefault="00F61688" w:rsidP="00E73A7B">
            <w:pPr>
              <w:jc w:val="left"/>
              <w:rPr>
                <w:rFonts w:ascii="Arial Narrow" w:hAnsi="Arial Narrow"/>
                <w:sz w:val="20"/>
              </w:rPr>
            </w:pPr>
            <w:r w:rsidRPr="007121AF">
              <w:rPr>
                <w:rFonts w:ascii="Arial Narrow" w:hAnsi="Arial Narrow"/>
                <w:b/>
                <w:sz w:val="20"/>
              </w:rPr>
              <w:t>Response rates</w:t>
            </w:r>
          </w:p>
        </w:tc>
      </w:tr>
      <w:tr w:rsidR="00F61688" w:rsidRPr="007121AF" w:rsidTr="008434BF">
        <w:tc>
          <w:tcPr>
            <w:tcW w:w="2129" w:type="pct"/>
            <w:vAlign w:val="center"/>
          </w:tcPr>
          <w:p w:rsidR="00F61688" w:rsidRPr="007121AF" w:rsidRDefault="00F61688" w:rsidP="00E73A7B">
            <w:pPr>
              <w:pStyle w:val="TableText0"/>
              <w:spacing w:before="0" w:after="0"/>
              <w:rPr>
                <w:rFonts w:ascii="Arial Narrow" w:hAnsi="Arial Narrow"/>
                <w:szCs w:val="20"/>
                <w:vertAlign w:val="superscript"/>
              </w:rPr>
            </w:pPr>
            <w:r w:rsidRPr="007121AF">
              <w:rPr>
                <w:rFonts w:ascii="Arial Narrow" w:hAnsi="Arial Narrow"/>
                <w:szCs w:val="20"/>
              </w:rPr>
              <w:t>Overall response rate, % (95% CI)</w:t>
            </w:r>
          </w:p>
        </w:tc>
        <w:tc>
          <w:tcPr>
            <w:tcW w:w="908" w:type="pct"/>
            <w:vAlign w:val="center"/>
          </w:tcPr>
          <w:p w:rsidR="00F61688" w:rsidRPr="00204548" w:rsidRDefault="00204548" w:rsidP="00E73A7B">
            <w:pPr>
              <w:pStyle w:val="TableText0"/>
              <w:spacing w:before="0" w:after="0"/>
              <w:jc w:val="center"/>
              <w:rPr>
                <w:rFonts w:ascii="Arial Narrow" w:hAnsi="Arial Narrow"/>
                <w:szCs w:val="20"/>
                <w:highlight w:val="black"/>
              </w:rPr>
            </w:pPr>
            <w:r>
              <w:rPr>
                <w:rFonts w:ascii="Arial Narrow" w:hAnsi="Arial Narrow"/>
                <w:noProof/>
                <w:color w:val="000000"/>
                <w:szCs w:val="20"/>
                <w:highlight w:val="black"/>
              </w:rPr>
              <w:t>''''''''''' ''''''''''''' '''''''''''</w:t>
            </w:r>
          </w:p>
        </w:tc>
        <w:tc>
          <w:tcPr>
            <w:tcW w:w="909" w:type="pct"/>
          </w:tcPr>
          <w:p w:rsidR="00F61688" w:rsidRPr="00204548" w:rsidRDefault="00F61688" w:rsidP="00E73A7B">
            <w:pPr>
              <w:jc w:val="center"/>
              <w:rPr>
                <w:rFonts w:ascii="Arial Narrow" w:hAnsi="Arial Narrow"/>
                <w:sz w:val="20"/>
              </w:rPr>
            </w:pPr>
            <w:r w:rsidRPr="00ED4E7A">
              <w:rPr>
                <w:rFonts w:ascii="Arial Narrow" w:hAnsi="Arial Narrow"/>
                <w:sz w:val="20"/>
              </w:rPr>
              <w:t>77.2 (69.9, 83.5)</w:t>
            </w:r>
          </w:p>
        </w:tc>
        <w:tc>
          <w:tcPr>
            <w:tcW w:w="1055" w:type="pct"/>
            <w:vAlign w:val="center"/>
          </w:tcPr>
          <w:p w:rsidR="00F61688" w:rsidRPr="007121AF" w:rsidRDefault="00F61688" w:rsidP="00E73A7B">
            <w:pPr>
              <w:jc w:val="center"/>
              <w:rPr>
                <w:rFonts w:ascii="Arial Narrow" w:hAnsi="Arial Narrow"/>
                <w:sz w:val="20"/>
              </w:rPr>
            </w:pPr>
            <w:r w:rsidRPr="007121AF">
              <w:rPr>
                <w:rFonts w:ascii="Arial Narrow" w:hAnsi="Arial Narrow"/>
                <w:sz w:val="20"/>
              </w:rPr>
              <w:t>84.8 (NR)</w:t>
            </w:r>
          </w:p>
        </w:tc>
      </w:tr>
      <w:tr w:rsidR="00F61688" w:rsidRPr="007121AF" w:rsidTr="008434BF">
        <w:tc>
          <w:tcPr>
            <w:tcW w:w="2129" w:type="pct"/>
            <w:vAlign w:val="center"/>
          </w:tcPr>
          <w:p w:rsidR="00F61688" w:rsidRPr="007121AF" w:rsidRDefault="00F61688" w:rsidP="00E73A7B">
            <w:pPr>
              <w:pStyle w:val="TableText0"/>
              <w:spacing w:before="0" w:after="0"/>
              <w:rPr>
                <w:rFonts w:ascii="Arial Narrow" w:hAnsi="Arial Narrow"/>
                <w:szCs w:val="20"/>
              </w:rPr>
            </w:pPr>
            <w:r w:rsidRPr="007121AF">
              <w:rPr>
                <w:rFonts w:ascii="Arial Narrow" w:hAnsi="Arial Narrow"/>
                <w:szCs w:val="20"/>
              </w:rPr>
              <w:t>- Complete response, n (%)</w:t>
            </w:r>
          </w:p>
        </w:tc>
        <w:tc>
          <w:tcPr>
            <w:tcW w:w="908" w:type="pct"/>
            <w:vAlign w:val="center"/>
          </w:tcPr>
          <w:p w:rsidR="00F61688" w:rsidRPr="00204548" w:rsidRDefault="00204548" w:rsidP="00E73A7B">
            <w:pPr>
              <w:pStyle w:val="TableText0"/>
              <w:spacing w:before="0" w:after="0"/>
              <w:jc w:val="center"/>
              <w:rPr>
                <w:rFonts w:ascii="Arial Narrow" w:hAnsi="Arial Narrow"/>
                <w:szCs w:val="20"/>
                <w:highlight w:val="black"/>
              </w:rPr>
            </w:pPr>
            <w:r>
              <w:rPr>
                <w:rFonts w:ascii="Arial Narrow" w:hAnsi="Arial Narrow"/>
                <w:noProof/>
                <w:color w:val="000000"/>
                <w:szCs w:val="20"/>
                <w:highlight w:val="black"/>
              </w:rPr>
              <w:t>''''</w:t>
            </w:r>
          </w:p>
        </w:tc>
        <w:tc>
          <w:tcPr>
            <w:tcW w:w="909" w:type="pct"/>
            <w:vAlign w:val="center"/>
          </w:tcPr>
          <w:p w:rsidR="00F61688" w:rsidRPr="00204548" w:rsidRDefault="00F61688" w:rsidP="00E73A7B">
            <w:pPr>
              <w:pStyle w:val="TableText0"/>
              <w:spacing w:before="0" w:after="0"/>
              <w:jc w:val="center"/>
              <w:rPr>
                <w:rFonts w:ascii="Arial Narrow" w:hAnsi="Arial Narrow"/>
                <w:szCs w:val="20"/>
              </w:rPr>
            </w:pPr>
            <w:r w:rsidRPr="008C5373">
              <w:rPr>
                <w:rFonts w:ascii="Arial Narrow" w:hAnsi="Arial Narrow"/>
                <w:szCs w:val="20"/>
              </w:rPr>
              <w:t>29 (18.4)</w:t>
            </w:r>
          </w:p>
        </w:tc>
        <w:tc>
          <w:tcPr>
            <w:tcW w:w="1055" w:type="pct"/>
            <w:vAlign w:val="center"/>
          </w:tcPr>
          <w:p w:rsidR="00F61688" w:rsidRPr="007121AF" w:rsidRDefault="00F61688" w:rsidP="00E73A7B">
            <w:pPr>
              <w:pStyle w:val="TableText0"/>
              <w:spacing w:before="0" w:after="0"/>
              <w:jc w:val="center"/>
              <w:rPr>
                <w:rFonts w:ascii="Arial Narrow" w:hAnsi="Arial Narrow"/>
                <w:szCs w:val="20"/>
              </w:rPr>
            </w:pPr>
            <w:r w:rsidRPr="007121AF">
              <w:rPr>
                <w:rFonts w:ascii="Arial Narrow" w:hAnsi="Arial Narrow"/>
                <w:szCs w:val="20"/>
              </w:rPr>
              <w:t>0</w:t>
            </w:r>
          </w:p>
        </w:tc>
      </w:tr>
      <w:tr w:rsidR="00F61688" w:rsidRPr="007121AF" w:rsidTr="008434BF">
        <w:tc>
          <w:tcPr>
            <w:tcW w:w="2129" w:type="pct"/>
            <w:vAlign w:val="center"/>
          </w:tcPr>
          <w:p w:rsidR="00F61688" w:rsidRPr="007121AF" w:rsidRDefault="00F61688" w:rsidP="00E73A7B">
            <w:pPr>
              <w:pStyle w:val="TableText0"/>
              <w:spacing w:before="0" w:after="0"/>
              <w:rPr>
                <w:rFonts w:ascii="Arial Narrow" w:hAnsi="Arial Narrow"/>
                <w:szCs w:val="20"/>
              </w:rPr>
            </w:pPr>
            <w:r w:rsidRPr="007121AF">
              <w:rPr>
                <w:rFonts w:ascii="Arial Narrow" w:hAnsi="Arial Narrow"/>
                <w:szCs w:val="20"/>
              </w:rPr>
              <w:t>- Partial response, n (%)</w:t>
            </w:r>
          </w:p>
        </w:tc>
        <w:tc>
          <w:tcPr>
            <w:tcW w:w="908" w:type="pct"/>
            <w:vAlign w:val="center"/>
          </w:tcPr>
          <w:p w:rsidR="00F61688" w:rsidRPr="00204548" w:rsidRDefault="00204548" w:rsidP="00E73A7B">
            <w:pPr>
              <w:pStyle w:val="TableText0"/>
              <w:spacing w:before="0" w:after="0"/>
              <w:jc w:val="center"/>
              <w:rPr>
                <w:rFonts w:ascii="Arial Narrow" w:hAnsi="Arial Narrow"/>
                <w:szCs w:val="20"/>
                <w:highlight w:val="black"/>
              </w:rPr>
            </w:pPr>
            <w:r>
              <w:rPr>
                <w:rFonts w:ascii="Arial Narrow" w:hAnsi="Arial Narrow"/>
                <w:noProof/>
                <w:color w:val="000000"/>
                <w:szCs w:val="20"/>
                <w:highlight w:val="black"/>
              </w:rPr>
              <w:t xml:space="preserve">'''''' '''''''''''''' </w:t>
            </w:r>
          </w:p>
        </w:tc>
        <w:tc>
          <w:tcPr>
            <w:tcW w:w="909" w:type="pct"/>
            <w:vAlign w:val="center"/>
          </w:tcPr>
          <w:p w:rsidR="00F61688" w:rsidRPr="00204548" w:rsidRDefault="00F61688" w:rsidP="00E73A7B">
            <w:pPr>
              <w:pStyle w:val="TableText0"/>
              <w:spacing w:before="0" w:after="0"/>
              <w:jc w:val="center"/>
              <w:rPr>
                <w:rFonts w:ascii="Arial Narrow" w:hAnsi="Arial Narrow"/>
                <w:szCs w:val="20"/>
              </w:rPr>
            </w:pPr>
            <w:r w:rsidRPr="008C5373">
              <w:rPr>
                <w:rFonts w:ascii="Arial Narrow" w:hAnsi="Arial Narrow"/>
                <w:szCs w:val="20"/>
              </w:rPr>
              <w:t>93 (58.9)</w:t>
            </w:r>
          </w:p>
        </w:tc>
        <w:tc>
          <w:tcPr>
            <w:tcW w:w="1055" w:type="pct"/>
            <w:vAlign w:val="center"/>
          </w:tcPr>
          <w:p w:rsidR="00F61688" w:rsidRPr="007121AF" w:rsidRDefault="00F61688" w:rsidP="00E73A7B">
            <w:pPr>
              <w:pStyle w:val="TableText0"/>
              <w:spacing w:before="0" w:after="0"/>
              <w:jc w:val="center"/>
              <w:rPr>
                <w:rFonts w:ascii="Arial Narrow" w:hAnsi="Arial Narrow"/>
                <w:szCs w:val="20"/>
              </w:rPr>
            </w:pPr>
            <w:r w:rsidRPr="007121AF">
              <w:rPr>
                <w:rFonts w:ascii="Arial Narrow" w:hAnsi="Arial Narrow"/>
                <w:szCs w:val="20"/>
              </w:rPr>
              <w:t>(84.8)</w:t>
            </w:r>
          </w:p>
        </w:tc>
      </w:tr>
      <w:tr w:rsidR="00F61688" w:rsidRPr="007121AF" w:rsidTr="00E73A7B">
        <w:tc>
          <w:tcPr>
            <w:tcW w:w="5000" w:type="pct"/>
            <w:gridSpan w:val="4"/>
          </w:tcPr>
          <w:p w:rsidR="00F61688" w:rsidRPr="007121AF" w:rsidRDefault="00F61688" w:rsidP="00E73A7B">
            <w:pPr>
              <w:pStyle w:val="TableText0"/>
              <w:spacing w:before="0" w:after="0"/>
              <w:rPr>
                <w:rFonts w:ascii="Arial Narrow" w:hAnsi="Arial Narrow"/>
                <w:szCs w:val="20"/>
              </w:rPr>
            </w:pPr>
            <w:r w:rsidRPr="007121AF">
              <w:rPr>
                <w:rFonts w:ascii="Arial Narrow" w:hAnsi="Arial Narrow"/>
                <w:b/>
                <w:szCs w:val="20"/>
              </w:rPr>
              <w:t>Progression-free survival</w:t>
            </w:r>
          </w:p>
        </w:tc>
      </w:tr>
      <w:tr w:rsidR="00F61688" w:rsidRPr="007121AF" w:rsidTr="008434BF">
        <w:tc>
          <w:tcPr>
            <w:tcW w:w="2129" w:type="pct"/>
          </w:tcPr>
          <w:p w:rsidR="00F61688" w:rsidRPr="007121AF" w:rsidRDefault="00F61688" w:rsidP="00E73A7B">
            <w:pPr>
              <w:rPr>
                <w:rFonts w:ascii="Arial Narrow" w:hAnsi="Arial Narrow"/>
                <w:sz w:val="20"/>
                <w:lang w:val="en-GB"/>
              </w:rPr>
            </w:pPr>
            <w:r w:rsidRPr="007121AF">
              <w:rPr>
                <w:rFonts w:ascii="Arial Narrow" w:hAnsi="Arial Narrow"/>
                <w:sz w:val="20"/>
                <w:lang w:val="en-GB"/>
              </w:rPr>
              <w:t>Events n (%)</w:t>
            </w:r>
          </w:p>
        </w:tc>
        <w:tc>
          <w:tcPr>
            <w:tcW w:w="908" w:type="pct"/>
          </w:tcPr>
          <w:p w:rsidR="00F61688" w:rsidRPr="00204548" w:rsidRDefault="00204548" w:rsidP="00724266">
            <w:pPr>
              <w:jc w:val="center"/>
              <w:rPr>
                <w:rFonts w:ascii="Arial Narrow" w:hAnsi="Arial Narrow"/>
                <w:sz w:val="20"/>
                <w:highlight w:val="black"/>
                <w:lang w:val="en-GB"/>
              </w:rPr>
            </w:pPr>
            <w:r>
              <w:rPr>
                <w:rFonts w:ascii="Arial Narrow" w:hAnsi="Arial Narrow"/>
                <w:noProof/>
                <w:color w:val="000000"/>
                <w:sz w:val="20"/>
                <w:highlight w:val="black"/>
                <w:lang w:val="en-GB"/>
              </w:rPr>
              <w:t>''' ''''''''''''''''''</w:t>
            </w:r>
          </w:p>
        </w:tc>
        <w:tc>
          <w:tcPr>
            <w:tcW w:w="909" w:type="pct"/>
          </w:tcPr>
          <w:p w:rsidR="00F61688" w:rsidRPr="00204548" w:rsidRDefault="00204548" w:rsidP="00724266">
            <w:pPr>
              <w:pStyle w:val="TableText0"/>
              <w:spacing w:before="0" w:after="0"/>
              <w:jc w:val="center"/>
              <w:rPr>
                <w:rFonts w:ascii="Arial Narrow" w:hAnsi="Arial Narrow"/>
                <w:szCs w:val="20"/>
                <w:highlight w:val="black"/>
              </w:rPr>
            </w:pPr>
            <w:r>
              <w:rPr>
                <w:rFonts w:ascii="Arial Narrow" w:hAnsi="Arial Narrow"/>
                <w:noProof/>
                <w:color w:val="000000"/>
                <w:szCs w:val="20"/>
                <w:highlight w:val="black"/>
              </w:rPr>
              <w:t>'''''' ''''''''''''''''''</w:t>
            </w:r>
          </w:p>
        </w:tc>
        <w:tc>
          <w:tcPr>
            <w:tcW w:w="1055" w:type="pct"/>
          </w:tcPr>
          <w:p w:rsidR="00F61688" w:rsidRPr="007121AF" w:rsidRDefault="00F61688" w:rsidP="00E73A7B">
            <w:pPr>
              <w:pStyle w:val="TableText0"/>
              <w:spacing w:before="0" w:after="0"/>
              <w:jc w:val="center"/>
              <w:rPr>
                <w:rFonts w:ascii="Arial Narrow" w:hAnsi="Arial Narrow"/>
                <w:szCs w:val="20"/>
              </w:rPr>
            </w:pPr>
            <w:r w:rsidRPr="007121AF">
              <w:rPr>
                <w:rFonts w:ascii="Arial Narrow" w:hAnsi="Arial Narrow"/>
                <w:szCs w:val="20"/>
              </w:rPr>
              <w:t>NR</w:t>
            </w:r>
          </w:p>
        </w:tc>
      </w:tr>
      <w:tr w:rsidR="00F61688" w:rsidRPr="007121AF" w:rsidTr="008434BF">
        <w:tc>
          <w:tcPr>
            <w:tcW w:w="2129" w:type="pct"/>
            <w:vAlign w:val="center"/>
          </w:tcPr>
          <w:p w:rsidR="00F61688" w:rsidRPr="007121AF" w:rsidRDefault="00F61688" w:rsidP="00E73A7B">
            <w:pPr>
              <w:ind w:right="-108"/>
              <w:rPr>
                <w:rFonts w:ascii="Arial Narrow" w:hAnsi="Arial Narrow"/>
                <w:sz w:val="20"/>
                <w:lang w:val="en-GB"/>
              </w:rPr>
            </w:pPr>
            <w:r w:rsidRPr="007121AF">
              <w:rPr>
                <w:rFonts w:ascii="Arial Narrow" w:hAnsi="Arial Narrow"/>
                <w:sz w:val="20"/>
                <w:lang w:val="en-GB"/>
              </w:rPr>
              <w:t>Median PFS, months (95% CI)</w:t>
            </w:r>
          </w:p>
        </w:tc>
        <w:tc>
          <w:tcPr>
            <w:tcW w:w="908" w:type="pct"/>
            <w:vAlign w:val="center"/>
          </w:tcPr>
          <w:p w:rsidR="00F61688" w:rsidRPr="00204548" w:rsidRDefault="00204548" w:rsidP="009D11B8">
            <w:pPr>
              <w:pStyle w:val="TableText0"/>
              <w:spacing w:before="0" w:after="0"/>
              <w:jc w:val="center"/>
              <w:rPr>
                <w:rFonts w:ascii="Arial Narrow" w:hAnsi="Arial Narrow"/>
                <w:szCs w:val="20"/>
                <w:highlight w:val="black"/>
              </w:rPr>
            </w:pPr>
            <w:r>
              <w:rPr>
                <w:rFonts w:ascii="Arial Narrow" w:hAnsi="Arial Narrow"/>
                <w:noProof/>
                <w:color w:val="000000"/>
                <w:szCs w:val="20"/>
                <w:highlight w:val="black"/>
                <w:lang w:val="en-GB"/>
              </w:rPr>
              <w:t>'''''''''' '''''''''''' ''''''''''</w:t>
            </w:r>
          </w:p>
        </w:tc>
        <w:tc>
          <w:tcPr>
            <w:tcW w:w="909" w:type="pct"/>
            <w:vAlign w:val="center"/>
          </w:tcPr>
          <w:p w:rsidR="00F61688" w:rsidRPr="00204548" w:rsidRDefault="00F61688" w:rsidP="009D11B8">
            <w:pPr>
              <w:pStyle w:val="TableText0"/>
              <w:spacing w:before="0" w:after="0"/>
              <w:jc w:val="center"/>
              <w:rPr>
                <w:rFonts w:ascii="Arial Narrow" w:hAnsi="Arial Narrow"/>
                <w:szCs w:val="20"/>
              </w:rPr>
            </w:pPr>
            <w:r w:rsidRPr="00ED4E7A">
              <w:rPr>
                <w:rFonts w:ascii="Arial Narrow" w:hAnsi="Arial Narrow"/>
                <w:szCs w:val="20"/>
                <w:lang w:val="en-GB"/>
              </w:rPr>
              <w:t>27.2 (21.9, NE)</w:t>
            </w:r>
          </w:p>
        </w:tc>
        <w:tc>
          <w:tcPr>
            <w:tcW w:w="1055" w:type="pct"/>
            <w:vAlign w:val="center"/>
          </w:tcPr>
          <w:p w:rsidR="00F61688" w:rsidRPr="007121AF" w:rsidRDefault="00320B23" w:rsidP="00E73A7B">
            <w:pPr>
              <w:jc w:val="center"/>
              <w:rPr>
                <w:rFonts w:ascii="Arial Narrow" w:hAnsi="Arial Narrow"/>
                <w:sz w:val="20"/>
                <w:lang w:val="en-GB"/>
              </w:rPr>
            </w:pPr>
            <w:r>
              <w:rPr>
                <w:rFonts w:ascii="Arial Narrow" w:hAnsi="Arial Narrow"/>
                <w:sz w:val="20"/>
                <w:lang w:val="en-GB"/>
              </w:rPr>
              <w:t>Not reached</w:t>
            </w:r>
          </w:p>
          <w:p w:rsidR="00F61688" w:rsidRPr="007121AF" w:rsidRDefault="00F61688" w:rsidP="00E73A7B">
            <w:pPr>
              <w:jc w:val="center"/>
              <w:rPr>
                <w:rFonts w:ascii="Arial Narrow" w:hAnsi="Arial Narrow"/>
                <w:sz w:val="20"/>
                <w:lang w:val="en-GB"/>
              </w:rPr>
            </w:pPr>
            <w:r w:rsidRPr="007121AF">
              <w:rPr>
                <w:rFonts w:ascii="Arial Narrow" w:hAnsi="Arial Narrow"/>
                <w:sz w:val="20"/>
                <w:lang w:val="en-GB"/>
              </w:rPr>
              <w:t>(12.3, NE)</w:t>
            </w:r>
          </w:p>
        </w:tc>
      </w:tr>
      <w:tr w:rsidR="00F61688" w:rsidRPr="007121AF" w:rsidTr="008434BF">
        <w:tc>
          <w:tcPr>
            <w:tcW w:w="2129" w:type="pct"/>
          </w:tcPr>
          <w:p w:rsidR="00F61688" w:rsidRPr="007121AF" w:rsidRDefault="00F61688" w:rsidP="00E73A7B">
            <w:pPr>
              <w:ind w:right="-108"/>
              <w:rPr>
                <w:rFonts w:ascii="Arial Narrow" w:hAnsi="Arial Narrow"/>
                <w:sz w:val="20"/>
                <w:lang w:val="en-GB"/>
              </w:rPr>
            </w:pPr>
            <w:r w:rsidRPr="007121AF">
              <w:rPr>
                <w:rFonts w:ascii="Arial Narrow" w:hAnsi="Arial Narrow"/>
                <w:sz w:val="20"/>
                <w:lang w:val="en-GB"/>
              </w:rPr>
              <w:t>KM estimate of PFS at 6 months, % (95% CI)</w:t>
            </w:r>
          </w:p>
        </w:tc>
        <w:tc>
          <w:tcPr>
            <w:tcW w:w="908" w:type="pct"/>
          </w:tcPr>
          <w:p w:rsidR="00F61688" w:rsidRPr="00204548" w:rsidRDefault="00204548" w:rsidP="00E73A7B">
            <w:pPr>
              <w:jc w:val="center"/>
              <w:rPr>
                <w:rFonts w:ascii="Arial Narrow" w:hAnsi="Arial Narrow"/>
                <w:sz w:val="20"/>
                <w:highlight w:val="black"/>
                <w:lang w:val="en-GB"/>
              </w:rPr>
            </w:pPr>
            <w:r>
              <w:rPr>
                <w:rFonts w:ascii="Arial Narrow" w:hAnsi="Arial Narrow"/>
                <w:noProof/>
                <w:color w:val="000000"/>
                <w:sz w:val="20"/>
                <w:highlight w:val="black"/>
                <w:lang w:val="en-GB"/>
              </w:rPr>
              <w:t>''''' '''''''''' ''''''''</w:t>
            </w:r>
          </w:p>
        </w:tc>
        <w:tc>
          <w:tcPr>
            <w:tcW w:w="909" w:type="pct"/>
          </w:tcPr>
          <w:p w:rsidR="00F61688" w:rsidRPr="00204548" w:rsidRDefault="00204548" w:rsidP="00E73A7B">
            <w:pPr>
              <w:jc w:val="center"/>
              <w:rPr>
                <w:rFonts w:ascii="Arial Narrow" w:hAnsi="Arial Narrow"/>
                <w:sz w:val="20"/>
                <w:highlight w:val="black"/>
                <w:lang w:val="en-GB"/>
              </w:rPr>
            </w:pPr>
            <w:r>
              <w:rPr>
                <w:rFonts w:ascii="Arial Narrow" w:hAnsi="Arial Narrow"/>
                <w:noProof/>
                <w:color w:val="000000"/>
                <w:sz w:val="20"/>
                <w:highlight w:val="black"/>
                <w:lang w:val="en-GB"/>
              </w:rPr>
              <w:t>''''' ''''''''' ''''''''</w:t>
            </w:r>
          </w:p>
        </w:tc>
        <w:tc>
          <w:tcPr>
            <w:tcW w:w="1055" w:type="pct"/>
          </w:tcPr>
          <w:p w:rsidR="00F61688" w:rsidRPr="007121AF" w:rsidRDefault="00F61688" w:rsidP="00E73A7B">
            <w:pPr>
              <w:pStyle w:val="TableText0"/>
              <w:spacing w:before="0" w:after="0"/>
              <w:jc w:val="center"/>
              <w:rPr>
                <w:rFonts w:ascii="Arial Narrow" w:hAnsi="Arial Narrow"/>
                <w:szCs w:val="20"/>
                <w:lang w:val="en-GB"/>
              </w:rPr>
            </w:pPr>
            <w:r w:rsidRPr="007121AF">
              <w:rPr>
                <w:rFonts w:ascii="Arial Narrow" w:hAnsi="Arial Narrow"/>
                <w:szCs w:val="20"/>
                <w:lang w:val="en-GB"/>
              </w:rPr>
              <w:t>NR</w:t>
            </w:r>
          </w:p>
        </w:tc>
      </w:tr>
      <w:tr w:rsidR="00F61688" w:rsidRPr="007121AF" w:rsidTr="008434BF">
        <w:tc>
          <w:tcPr>
            <w:tcW w:w="2129" w:type="pct"/>
          </w:tcPr>
          <w:p w:rsidR="00F61688" w:rsidRPr="007121AF" w:rsidRDefault="00F61688" w:rsidP="00E73A7B">
            <w:pPr>
              <w:ind w:right="-108"/>
              <w:rPr>
                <w:rFonts w:ascii="Arial Narrow" w:hAnsi="Arial Narrow"/>
                <w:sz w:val="20"/>
                <w:lang w:val="en-GB"/>
              </w:rPr>
            </w:pPr>
            <w:r w:rsidRPr="007121AF">
              <w:rPr>
                <w:rFonts w:ascii="Arial Narrow" w:hAnsi="Arial Narrow"/>
                <w:sz w:val="20"/>
                <w:lang w:val="en-GB"/>
              </w:rPr>
              <w:t>KM estimate of PFS at 12 months, % (95% CI)</w:t>
            </w:r>
          </w:p>
        </w:tc>
        <w:tc>
          <w:tcPr>
            <w:tcW w:w="908" w:type="pct"/>
          </w:tcPr>
          <w:p w:rsidR="00F61688" w:rsidRPr="00204548" w:rsidRDefault="00204548" w:rsidP="00E73A7B">
            <w:pPr>
              <w:jc w:val="center"/>
              <w:rPr>
                <w:rFonts w:ascii="Arial Narrow" w:hAnsi="Arial Narrow"/>
                <w:sz w:val="20"/>
                <w:highlight w:val="black"/>
                <w:lang w:val="en-GB"/>
              </w:rPr>
            </w:pPr>
            <w:r>
              <w:rPr>
                <w:rFonts w:ascii="Arial Narrow" w:hAnsi="Arial Narrow"/>
                <w:noProof/>
                <w:color w:val="000000"/>
                <w:sz w:val="20"/>
                <w:highlight w:val="black"/>
                <w:lang w:val="en-GB"/>
              </w:rPr>
              <w:t>'''''' '''''''' '''''''</w:t>
            </w:r>
          </w:p>
        </w:tc>
        <w:tc>
          <w:tcPr>
            <w:tcW w:w="909" w:type="pct"/>
          </w:tcPr>
          <w:p w:rsidR="00F61688" w:rsidRPr="00204548" w:rsidRDefault="00F61688" w:rsidP="00E73A7B">
            <w:pPr>
              <w:jc w:val="center"/>
              <w:rPr>
                <w:rFonts w:ascii="Arial Narrow" w:hAnsi="Arial Narrow"/>
                <w:sz w:val="20"/>
                <w:lang w:val="en-GB"/>
              </w:rPr>
            </w:pPr>
            <w:r w:rsidRPr="00ED4E7A">
              <w:rPr>
                <w:rFonts w:ascii="Arial Narrow" w:hAnsi="Arial Narrow"/>
                <w:sz w:val="20"/>
                <w:lang w:val="en-GB"/>
              </w:rPr>
              <w:t>77 (69, 83)</w:t>
            </w:r>
          </w:p>
        </w:tc>
        <w:tc>
          <w:tcPr>
            <w:tcW w:w="1055" w:type="pct"/>
          </w:tcPr>
          <w:p w:rsidR="00F61688" w:rsidRPr="007121AF" w:rsidRDefault="00F61688" w:rsidP="00E73A7B">
            <w:pPr>
              <w:pStyle w:val="TableText0"/>
              <w:spacing w:before="0" w:after="0"/>
              <w:jc w:val="center"/>
              <w:rPr>
                <w:rFonts w:ascii="Arial Narrow" w:hAnsi="Arial Narrow"/>
                <w:szCs w:val="20"/>
                <w:lang w:val="en-GB"/>
              </w:rPr>
            </w:pPr>
            <w:r w:rsidRPr="007121AF">
              <w:rPr>
                <w:rFonts w:ascii="Arial Narrow" w:hAnsi="Arial Narrow"/>
                <w:szCs w:val="20"/>
                <w:lang w:val="en-GB"/>
              </w:rPr>
              <w:t>NR</w:t>
            </w:r>
          </w:p>
        </w:tc>
      </w:tr>
      <w:tr w:rsidR="00F61688" w:rsidRPr="007121AF" w:rsidTr="00E73A7B">
        <w:tc>
          <w:tcPr>
            <w:tcW w:w="5000" w:type="pct"/>
            <w:gridSpan w:val="4"/>
            <w:vAlign w:val="center"/>
          </w:tcPr>
          <w:p w:rsidR="00F61688" w:rsidRPr="007121AF" w:rsidRDefault="00F61688" w:rsidP="00E73A7B">
            <w:pPr>
              <w:jc w:val="left"/>
              <w:rPr>
                <w:rFonts w:ascii="Arial Narrow" w:hAnsi="Arial Narrow"/>
                <w:b/>
                <w:sz w:val="20"/>
                <w:lang w:val="en-GB"/>
              </w:rPr>
            </w:pPr>
            <w:r w:rsidRPr="007121AF">
              <w:rPr>
                <w:rFonts w:ascii="Arial Narrow" w:hAnsi="Arial Narrow"/>
                <w:b/>
                <w:sz w:val="20"/>
                <w:lang w:val="en-GB"/>
              </w:rPr>
              <w:t>Overall survival</w:t>
            </w:r>
          </w:p>
        </w:tc>
      </w:tr>
      <w:tr w:rsidR="00F61688" w:rsidRPr="007121AF" w:rsidTr="008434BF">
        <w:tc>
          <w:tcPr>
            <w:tcW w:w="2129" w:type="pct"/>
            <w:vAlign w:val="center"/>
          </w:tcPr>
          <w:p w:rsidR="00F61688" w:rsidRPr="007121AF" w:rsidRDefault="00F61688" w:rsidP="00E73A7B">
            <w:pPr>
              <w:ind w:right="-108"/>
              <w:rPr>
                <w:rFonts w:ascii="Arial Narrow" w:hAnsi="Arial Narrow"/>
                <w:sz w:val="20"/>
                <w:lang w:val="en-GB"/>
              </w:rPr>
            </w:pPr>
            <w:r w:rsidRPr="007121AF">
              <w:rPr>
                <w:rFonts w:ascii="Arial Narrow" w:hAnsi="Arial Narrow"/>
                <w:sz w:val="20"/>
                <w:lang w:val="en-GB"/>
              </w:rPr>
              <w:t>Deaths n (%)</w:t>
            </w:r>
          </w:p>
        </w:tc>
        <w:tc>
          <w:tcPr>
            <w:tcW w:w="908" w:type="pct"/>
            <w:vAlign w:val="center"/>
          </w:tcPr>
          <w:p w:rsidR="00F61688" w:rsidRPr="00204548" w:rsidRDefault="00204548" w:rsidP="00E73A7B">
            <w:pPr>
              <w:pStyle w:val="TableText0"/>
              <w:spacing w:before="0" w:after="0"/>
              <w:jc w:val="center"/>
              <w:rPr>
                <w:rFonts w:ascii="Arial Narrow" w:hAnsi="Arial Narrow"/>
                <w:szCs w:val="20"/>
                <w:highlight w:val="black"/>
                <w:lang w:val="en-GB"/>
              </w:rPr>
            </w:pPr>
            <w:r>
              <w:rPr>
                <w:rFonts w:ascii="Arial Narrow" w:hAnsi="Arial Narrow"/>
                <w:noProof/>
                <w:color w:val="000000"/>
                <w:szCs w:val="20"/>
                <w:highlight w:val="black"/>
                <w:lang w:val="en-GB"/>
              </w:rPr>
              <w:t>'''' ''''''''''''''</w:t>
            </w:r>
          </w:p>
        </w:tc>
        <w:tc>
          <w:tcPr>
            <w:tcW w:w="909" w:type="pct"/>
            <w:vAlign w:val="center"/>
          </w:tcPr>
          <w:p w:rsidR="00F61688" w:rsidRPr="00204548" w:rsidRDefault="00204548" w:rsidP="00E73A7B">
            <w:pPr>
              <w:pStyle w:val="TableText0"/>
              <w:spacing w:before="0" w:after="0"/>
              <w:jc w:val="center"/>
              <w:rPr>
                <w:rFonts w:ascii="Arial Narrow" w:hAnsi="Arial Narrow"/>
                <w:szCs w:val="20"/>
                <w:highlight w:val="black"/>
              </w:rPr>
            </w:pPr>
            <w:r>
              <w:rPr>
                <w:rFonts w:ascii="Arial Narrow" w:hAnsi="Arial Narrow"/>
                <w:noProof/>
                <w:color w:val="000000"/>
                <w:szCs w:val="20"/>
                <w:highlight w:val="black"/>
                <w:lang w:val="en-GB"/>
              </w:rPr>
              <w:t>'''''' '''''''''''''</w:t>
            </w:r>
          </w:p>
        </w:tc>
        <w:tc>
          <w:tcPr>
            <w:tcW w:w="1055" w:type="pct"/>
            <w:vAlign w:val="center"/>
          </w:tcPr>
          <w:p w:rsidR="00F61688" w:rsidRPr="007121AF" w:rsidRDefault="00F61688" w:rsidP="00E73A7B">
            <w:pPr>
              <w:jc w:val="center"/>
              <w:rPr>
                <w:rFonts w:ascii="Arial Narrow" w:hAnsi="Arial Narrow"/>
                <w:sz w:val="20"/>
                <w:lang w:val="en-GB"/>
              </w:rPr>
            </w:pPr>
            <w:r w:rsidRPr="007121AF">
              <w:rPr>
                <w:rFonts w:ascii="Arial Narrow" w:hAnsi="Arial Narrow"/>
                <w:sz w:val="20"/>
                <w:lang w:val="en-GB"/>
              </w:rPr>
              <w:t>NR</w:t>
            </w:r>
          </w:p>
        </w:tc>
      </w:tr>
      <w:tr w:rsidR="00F61688" w:rsidRPr="007121AF" w:rsidTr="008434BF">
        <w:tc>
          <w:tcPr>
            <w:tcW w:w="2129" w:type="pct"/>
            <w:vAlign w:val="center"/>
          </w:tcPr>
          <w:p w:rsidR="00F61688" w:rsidRPr="007121AF" w:rsidRDefault="00F61688" w:rsidP="00E73A7B">
            <w:pPr>
              <w:ind w:right="-108"/>
              <w:rPr>
                <w:rFonts w:ascii="Arial Narrow" w:hAnsi="Arial Narrow"/>
                <w:sz w:val="20"/>
                <w:lang w:val="en-GB"/>
              </w:rPr>
            </w:pPr>
            <w:r w:rsidRPr="007121AF">
              <w:rPr>
                <w:rFonts w:ascii="Arial Narrow" w:hAnsi="Arial Narrow"/>
                <w:sz w:val="20"/>
                <w:lang w:val="en-GB"/>
              </w:rPr>
              <w:t>Median OS, months (95% CI)</w:t>
            </w:r>
          </w:p>
        </w:tc>
        <w:tc>
          <w:tcPr>
            <w:tcW w:w="908" w:type="pct"/>
            <w:vAlign w:val="center"/>
          </w:tcPr>
          <w:p w:rsidR="00F61688" w:rsidRPr="00204548" w:rsidRDefault="00204548" w:rsidP="00E73A7B">
            <w:pPr>
              <w:pStyle w:val="TableText0"/>
              <w:spacing w:before="0" w:after="0"/>
              <w:jc w:val="center"/>
              <w:rPr>
                <w:rFonts w:ascii="Arial Narrow" w:hAnsi="Arial Narrow"/>
                <w:szCs w:val="20"/>
                <w:highlight w:val="black"/>
                <w:lang w:val="en-GB"/>
              </w:rPr>
            </w:pPr>
            <w:r>
              <w:rPr>
                <w:rFonts w:ascii="Arial Narrow" w:hAnsi="Arial Narrow"/>
                <w:noProof/>
                <w:color w:val="000000"/>
                <w:szCs w:val="20"/>
                <w:highlight w:val="black"/>
                <w:lang w:val="en-GB"/>
              </w:rPr>
              <w:t>''''''''' '''''''''''''''''''</w:t>
            </w:r>
          </w:p>
          <w:p w:rsidR="00F61688" w:rsidRPr="00204548" w:rsidRDefault="00204548" w:rsidP="00320B23">
            <w:pPr>
              <w:pStyle w:val="TableText0"/>
              <w:spacing w:before="0" w:after="0"/>
              <w:jc w:val="center"/>
              <w:rPr>
                <w:rFonts w:ascii="Arial Narrow" w:hAnsi="Arial Narrow"/>
                <w:szCs w:val="20"/>
                <w:highlight w:val="black"/>
              </w:rPr>
            </w:pPr>
            <w:r>
              <w:rPr>
                <w:rFonts w:ascii="Arial Narrow" w:hAnsi="Arial Narrow"/>
                <w:noProof/>
                <w:color w:val="000000"/>
                <w:szCs w:val="20"/>
                <w:highlight w:val="black"/>
                <w:lang w:val="en-GB"/>
              </w:rPr>
              <w:t>''''''''''' ''''''''</w:t>
            </w:r>
          </w:p>
        </w:tc>
        <w:tc>
          <w:tcPr>
            <w:tcW w:w="909" w:type="pct"/>
            <w:vAlign w:val="center"/>
          </w:tcPr>
          <w:p w:rsidR="00320B23" w:rsidRPr="008C5373" w:rsidRDefault="00F61688" w:rsidP="00E73A7B">
            <w:pPr>
              <w:pStyle w:val="TableText0"/>
              <w:spacing w:before="0" w:after="0"/>
              <w:jc w:val="center"/>
              <w:rPr>
                <w:rFonts w:ascii="Arial Narrow" w:hAnsi="Arial Narrow"/>
                <w:szCs w:val="20"/>
              </w:rPr>
            </w:pPr>
            <w:r w:rsidRPr="008C5373">
              <w:rPr>
                <w:rFonts w:ascii="Arial Narrow" w:hAnsi="Arial Narrow"/>
                <w:szCs w:val="20"/>
              </w:rPr>
              <w:t>Not reached</w:t>
            </w:r>
          </w:p>
          <w:p w:rsidR="00F61688" w:rsidRPr="00204548" w:rsidRDefault="00204548" w:rsidP="00E73A7B">
            <w:pPr>
              <w:pStyle w:val="TableText0"/>
              <w:spacing w:before="0" w:after="0"/>
              <w:jc w:val="center"/>
              <w:rPr>
                <w:rFonts w:ascii="Arial Narrow" w:hAnsi="Arial Narrow"/>
                <w:szCs w:val="20"/>
                <w:highlight w:val="black"/>
              </w:rPr>
            </w:pPr>
            <w:r>
              <w:rPr>
                <w:rFonts w:ascii="Arial Narrow" w:hAnsi="Arial Narrow"/>
                <w:noProof/>
                <w:color w:val="000000"/>
                <w:szCs w:val="20"/>
                <w:highlight w:val="black"/>
              </w:rPr>
              <w:t>'''''''''''''' ''''''''''</w:t>
            </w:r>
          </w:p>
        </w:tc>
        <w:tc>
          <w:tcPr>
            <w:tcW w:w="1055" w:type="pct"/>
            <w:vAlign w:val="center"/>
          </w:tcPr>
          <w:p w:rsidR="00F61688" w:rsidRPr="007121AF" w:rsidRDefault="00F61688" w:rsidP="00E73A7B">
            <w:pPr>
              <w:jc w:val="center"/>
              <w:rPr>
                <w:rFonts w:ascii="Arial Narrow" w:hAnsi="Arial Narrow"/>
                <w:sz w:val="20"/>
                <w:lang w:val="en-GB"/>
              </w:rPr>
            </w:pPr>
            <w:r w:rsidRPr="007121AF">
              <w:rPr>
                <w:rFonts w:ascii="Arial Narrow" w:hAnsi="Arial Narrow"/>
                <w:sz w:val="20"/>
                <w:lang w:val="en-GB"/>
              </w:rPr>
              <w:t>Not reached</w:t>
            </w:r>
          </w:p>
          <w:p w:rsidR="00F61688" w:rsidRPr="007121AF" w:rsidRDefault="00F61688" w:rsidP="00E73A7B">
            <w:pPr>
              <w:jc w:val="center"/>
              <w:rPr>
                <w:rFonts w:ascii="Arial Narrow" w:hAnsi="Arial Narrow"/>
                <w:sz w:val="20"/>
                <w:lang w:val="en-GB"/>
              </w:rPr>
            </w:pPr>
            <w:r w:rsidRPr="007121AF">
              <w:rPr>
                <w:rFonts w:ascii="Arial Narrow" w:hAnsi="Arial Narrow"/>
                <w:sz w:val="20"/>
                <w:lang w:val="en-GB"/>
              </w:rPr>
              <w:t>(18.8, NE)</w:t>
            </w:r>
          </w:p>
        </w:tc>
      </w:tr>
      <w:tr w:rsidR="00F61688" w:rsidRPr="007121AF" w:rsidTr="008434BF">
        <w:tc>
          <w:tcPr>
            <w:tcW w:w="2129" w:type="pct"/>
          </w:tcPr>
          <w:p w:rsidR="00F61688" w:rsidRPr="007121AF" w:rsidRDefault="00F61688" w:rsidP="00E73A7B">
            <w:pPr>
              <w:ind w:right="-108"/>
              <w:rPr>
                <w:rFonts w:ascii="Arial Narrow" w:hAnsi="Arial Narrow"/>
                <w:sz w:val="20"/>
                <w:lang w:val="en-GB"/>
              </w:rPr>
            </w:pPr>
            <w:r w:rsidRPr="007121AF">
              <w:rPr>
                <w:rFonts w:ascii="Arial Narrow" w:hAnsi="Arial Narrow"/>
                <w:sz w:val="20"/>
                <w:lang w:val="en-GB"/>
              </w:rPr>
              <w:t>KM estimate of OS at 6 months, % (95% CI)</w:t>
            </w:r>
          </w:p>
        </w:tc>
        <w:tc>
          <w:tcPr>
            <w:tcW w:w="908" w:type="pct"/>
          </w:tcPr>
          <w:p w:rsidR="00F61688" w:rsidRPr="00204548" w:rsidRDefault="00204548" w:rsidP="00E73A7B">
            <w:pPr>
              <w:jc w:val="center"/>
              <w:rPr>
                <w:rFonts w:ascii="Arial Narrow" w:hAnsi="Arial Narrow"/>
                <w:sz w:val="20"/>
                <w:highlight w:val="black"/>
                <w:lang w:val="en-GB"/>
              </w:rPr>
            </w:pPr>
            <w:r>
              <w:rPr>
                <w:rFonts w:ascii="Arial Narrow" w:hAnsi="Arial Narrow"/>
                <w:noProof/>
                <w:color w:val="000000"/>
                <w:sz w:val="20"/>
                <w:highlight w:val="black"/>
                <w:lang w:val="en-GB"/>
              </w:rPr>
              <w:t>'''''' ''''''''' ''''''''</w:t>
            </w:r>
          </w:p>
        </w:tc>
        <w:tc>
          <w:tcPr>
            <w:tcW w:w="909" w:type="pct"/>
          </w:tcPr>
          <w:p w:rsidR="00F61688" w:rsidRPr="00204548" w:rsidRDefault="00204548" w:rsidP="00E73A7B">
            <w:pPr>
              <w:jc w:val="center"/>
              <w:rPr>
                <w:rFonts w:ascii="Arial Narrow" w:hAnsi="Arial Narrow"/>
                <w:sz w:val="20"/>
                <w:highlight w:val="black"/>
                <w:lang w:val="en-GB"/>
              </w:rPr>
            </w:pPr>
            <w:r>
              <w:rPr>
                <w:rFonts w:ascii="Arial Narrow" w:hAnsi="Arial Narrow"/>
                <w:noProof/>
                <w:color w:val="000000"/>
                <w:sz w:val="20"/>
                <w:highlight w:val="black"/>
                <w:lang w:val="en-GB"/>
              </w:rPr>
              <w:t>''''' ''''''''' ''''''''</w:t>
            </w:r>
          </w:p>
        </w:tc>
        <w:tc>
          <w:tcPr>
            <w:tcW w:w="1055" w:type="pct"/>
          </w:tcPr>
          <w:p w:rsidR="00F61688" w:rsidRPr="007121AF" w:rsidRDefault="00F61688" w:rsidP="00E73A7B">
            <w:pPr>
              <w:jc w:val="center"/>
              <w:rPr>
                <w:rFonts w:ascii="Arial Narrow" w:hAnsi="Arial Narrow"/>
                <w:sz w:val="20"/>
                <w:lang w:val="en-GB"/>
              </w:rPr>
            </w:pPr>
            <w:r w:rsidRPr="007121AF">
              <w:rPr>
                <w:rFonts w:ascii="Arial Narrow" w:hAnsi="Arial Narrow"/>
                <w:sz w:val="20"/>
                <w:lang w:val="en-GB"/>
              </w:rPr>
              <w:t>NR</w:t>
            </w:r>
          </w:p>
        </w:tc>
      </w:tr>
      <w:tr w:rsidR="00F61688" w:rsidRPr="007121AF" w:rsidTr="008434BF">
        <w:tc>
          <w:tcPr>
            <w:tcW w:w="2129" w:type="pct"/>
          </w:tcPr>
          <w:p w:rsidR="00F61688" w:rsidRPr="007121AF" w:rsidRDefault="00F61688" w:rsidP="00E73A7B">
            <w:pPr>
              <w:ind w:right="-108"/>
              <w:rPr>
                <w:rFonts w:ascii="Arial Narrow" w:hAnsi="Arial Narrow"/>
                <w:sz w:val="20"/>
                <w:lang w:val="en-GB"/>
              </w:rPr>
            </w:pPr>
            <w:r w:rsidRPr="007121AF">
              <w:rPr>
                <w:rFonts w:ascii="Arial Narrow" w:hAnsi="Arial Narrow"/>
                <w:sz w:val="20"/>
                <w:lang w:val="en-GB"/>
              </w:rPr>
              <w:t>KM estimate of OS at 12 months, % (95% CI)</w:t>
            </w:r>
          </w:p>
        </w:tc>
        <w:tc>
          <w:tcPr>
            <w:tcW w:w="908" w:type="pct"/>
          </w:tcPr>
          <w:p w:rsidR="00F61688" w:rsidRPr="00204548" w:rsidRDefault="00204548" w:rsidP="00E73A7B">
            <w:pPr>
              <w:jc w:val="center"/>
              <w:rPr>
                <w:rFonts w:ascii="Arial Narrow" w:hAnsi="Arial Narrow"/>
                <w:sz w:val="20"/>
                <w:highlight w:val="black"/>
                <w:lang w:val="en-GB"/>
              </w:rPr>
            </w:pPr>
            <w:r>
              <w:rPr>
                <w:rFonts w:ascii="Arial Narrow" w:hAnsi="Arial Narrow"/>
                <w:noProof/>
                <w:color w:val="000000"/>
                <w:sz w:val="20"/>
                <w:highlight w:val="black"/>
                <w:lang w:val="en-GB"/>
              </w:rPr>
              <w:t>''''' '''''''''' ''''''''</w:t>
            </w:r>
          </w:p>
        </w:tc>
        <w:tc>
          <w:tcPr>
            <w:tcW w:w="909" w:type="pct"/>
          </w:tcPr>
          <w:p w:rsidR="00F61688" w:rsidRPr="00204548" w:rsidRDefault="00F61688" w:rsidP="00E73A7B">
            <w:pPr>
              <w:jc w:val="center"/>
              <w:rPr>
                <w:rFonts w:ascii="Arial Narrow" w:hAnsi="Arial Narrow"/>
                <w:sz w:val="20"/>
                <w:lang w:val="en-GB"/>
              </w:rPr>
            </w:pPr>
            <w:r w:rsidRPr="008C5373">
              <w:rPr>
                <w:rFonts w:ascii="Arial Narrow" w:hAnsi="Arial Narrow"/>
                <w:sz w:val="20"/>
                <w:lang w:val="en-GB"/>
              </w:rPr>
              <w:t>87 (80, 91)</w:t>
            </w:r>
          </w:p>
        </w:tc>
        <w:tc>
          <w:tcPr>
            <w:tcW w:w="1055" w:type="pct"/>
          </w:tcPr>
          <w:p w:rsidR="00F61688" w:rsidRPr="007121AF" w:rsidRDefault="00F61688" w:rsidP="00E73A7B">
            <w:pPr>
              <w:jc w:val="center"/>
              <w:rPr>
                <w:rFonts w:ascii="Arial Narrow" w:hAnsi="Arial Narrow"/>
                <w:sz w:val="20"/>
                <w:lang w:val="en-GB"/>
              </w:rPr>
            </w:pPr>
            <w:r w:rsidRPr="007121AF">
              <w:rPr>
                <w:rFonts w:ascii="Arial Narrow" w:hAnsi="Arial Narrow"/>
                <w:sz w:val="20"/>
                <w:lang w:val="en-GB"/>
              </w:rPr>
              <w:t>NR</w:t>
            </w:r>
          </w:p>
        </w:tc>
      </w:tr>
    </w:tbl>
    <w:p w:rsidR="00F61688" w:rsidRDefault="00F61688" w:rsidP="00F61688">
      <w:pPr>
        <w:ind w:left="720"/>
        <w:rPr>
          <w:rFonts w:ascii="Arial Narrow" w:hAnsi="Arial Narrow"/>
          <w:sz w:val="18"/>
          <w:szCs w:val="18"/>
        </w:rPr>
      </w:pPr>
      <w:r>
        <w:rPr>
          <w:rFonts w:ascii="Arial Narrow" w:hAnsi="Arial Narrow"/>
          <w:sz w:val="18"/>
          <w:szCs w:val="18"/>
        </w:rPr>
        <w:t xml:space="preserve">Abbreviations: </w:t>
      </w:r>
      <w:r w:rsidR="004E6F9B">
        <w:rPr>
          <w:rFonts w:ascii="Arial Narrow" w:hAnsi="Arial Narrow"/>
          <w:sz w:val="18"/>
          <w:szCs w:val="18"/>
        </w:rPr>
        <w:t>17p</w:t>
      </w:r>
      <w:r w:rsidR="0003250C">
        <w:rPr>
          <w:rFonts w:ascii="Arial Narrow" w:hAnsi="Arial Narrow"/>
          <w:sz w:val="18"/>
          <w:szCs w:val="18"/>
        </w:rPr>
        <w:t xml:space="preserve"> del</w:t>
      </w:r>
      <w:r w:rsidR="004E6F9B">
        <w:rPr>
          <w:rFonts w:ascii="Arial Narrow" w:hAnsi="Arial Narrow"/>
          <w:sz w:val="18"/>
          <w:szCs w:val="18"/>
        </w:rPr>
        <w:t>, 17p deletion</w:t>
      </w:r>
      <w:r w:rsidR="00724266">
        <w:rPr>
          <w:rFonts w:ascii="Arial Narrow" w:hAnsi="Arial Narrow"/>
          <w:sz w:val="18"/>
          <w:szCs w:val="18"/>
        </w:rPr>
        <w:t xml:space="preserve"> subgroup</w:t>
      </w:r>
      <w:r w:rsidR="004E6F9B">
        <w:rPr>
          <w:rFonts w:ascii="Arial Narrow" w:hAnsi="Arial Narrow"/>
          <w:sz w:val="18"/>
          <w:szCs w:val="18"/>
        </w:rPr>
        <w:t xml:space="preserve">; 17p/TP53, 17p deletion/TP53 mutation subgroup; </w:t>
      </w:r>
      <w:r>
        <w:rPr>
          <w:rFonts w:ascii="Arial Narrow" w:hAnsi="Arial Narrow"/>
          <w:sz w:val="18"/>
          <w:szCs w:val="18"/>
        </w:rPr>
        <w:t xml:space="preserve">CI, confidence interval; IDEL, idelalisib; KM, Kaplan-Meier; NE, not evaluable; NR, not reported; OS, overall survival; PFS, </w:t>
      </w:r>
      <w:r w:rsidR="009D11B8">
        <w:rPr>
          <w:rFonts w:ascii="Arial Narrow" w:hAnsi="Arial Narrow"/>
          <w:sz w:val="18"/>
          <w:szCs w:val="18"/>
        </w:rPr>
        <w:t>progression-</w:t>
      </w:r>
      <w:r>
        <w:rPr>
          <w:rFonts w:ascii="Arial Narrow" w:hAnsi="Arial Narrow"/>
          <w:sz w:val="18"/>
          <w:szCs w:val="18"/>
        </w:rPr>
        <w:t>free survival; RITU, rituximab; VEN, venetoclax</w:t>
      </w:r>
    </w:p>
    <w:p w:rsidR="00F61688" w:rsidRDefault="00F61688" w:rsidP="00F61688">
      <w:pPr>
        <w:ind w:firstLine="720"/>
        <w:rPr>
          <w:rFonts w:ascii="Arial Narrow" w:hAnsi="Arial Narrow"/>
          <w:sz w:val="18"/>
          <w:szCs w:val="18"/>
        </w:rPr>
      </w:pPr>
      <w:r w:rsidRPr="00B72B9B">
        <w:rPr>
          <w:rFonts w:ascii="Arial Narrow" w:hAnsi="Arial Narrow"/>
          <w:sz w:val="18"/>
          <w:szCs w:val="18"/>
          <w:vertAlign w:val="superscript"/>
        </w:rPr>
        <w:t>1</w:t>
      </w:r>
      <w:r w:rsidRPr="00B72B9B">
        <w:rPr>
          <w:rFonts w:ascii="Arial Narrow" w:hAnsi="Arial Narrow"/>
          <w:sz w:val="18"/>
          <w:szCs w:val="18"/>
        </w:rPr>
        <w:t xml:space="preserve"> </w:t>
      </w:r>
      <w:r>
        <w:rPr>
          <w:rFonts w:ascii="Arial Narrow" w:hAnsi="Arial Narrow"/>
          <w:sz w:val="18"/>
          <w:szCs w:val="18"/>
        </w:rPr>
        <w:t>Median duration for all subjects (not reported for the subgroup)</w:t>
      </w:r>
    </w:p>
    <w:p w:rsidR="001152B6" w:rsidRDefault="001152B6" w:rsidP="001152B6">
      <w:pPr>
        <w:ind w:left="720"/>
        <w:rPr>
          <w:rFonts w:ascii="Arial Narrow" w:hAnsi="Arial Narrow"/>
          <w:sz w:val="18"/>
          <w:szCs w:val="18"/>
        </w:rPr>
      </w:pPr>
      <w:r>
        <w:rPr>
          <w:rFonts w:ascii="Arial Narrow" w:hAnsi="Arial Narrow"/>
          <w:sz w:val="18"/>
          <w:szCs w:val="18"/>
        </w:rPr>
        <w:t>Source: Compiled during the evaluation using the most recent investigator- or IRC-assessed outcomes.</w:t>
      </w:r>
    </w:p>
    <w:p w:rsidR="00F61688" w:rsidRDefault="00F61688" w:rsidP="00F61688">
      <w:pPr>
        <w:widowControl/>
        <w:rPr>
          <w:szCs w:val="22"/>
        </w:rPr>
      </w:pPr>
    </w:p>
    <w:p w:rsidR="00F61688" w:rsidRPr="00A759A7" w:rsidRDefault="00F61688" w:rsidP="00A759A7">
      <w:pPr>
        <w:pStyle w:val="ListParagraph"/>
        <w:widowControl/>
        <w:numPr>
          <w:ilvl w:val="1"/>
          <w:numId w:val="3"/>
        </w:numPr>
      </w:pPr>
      <w:r>
        <w:t>Based on the naïve indirect comparison, the submission claimed that venetoclax treatment was associated with numerically higher complete response rates and numerically similar overall response rates comp</w:t>
      </w:r>
      <w:r w:rsidR="00A759A7">
        <w:t>ared idelalisib with rituximab.</w:t>
      </w:r>
    </w:p>
    <w:p w:rsidR="00F61688" w:rsidRDefault="00F61688" w:rsidP="00A759A7">
      <w:pPr>
        <w:widowControl/>
      </w:pPr>
    </w:p>
    <w:p w:rsidR="00F61688" w:rsidRPr="00A56C5C" w:rsidRDefault="00F61688" w:rsidP="001011FE">
      <w:pPr>
        <w:pStyle w:val="ListParagraph"/>
        <w:widowControl/>
        <w:numPr>
          <w:ilvl w:val="1"/>
          <w:numId w:val="3"/>
        </w:numPr>
        <w:rPr>
          <w:szCs w:val="22"/>
        </w:rPr>
      </w:pPr>
      <w:r w:rsidRPr="00A56C5C">
        <w:rPr>
          <w:szCs w:val="22"/>
        </w:rPr>
        <w:t>The key results of the indirect comparison between venetoclax and ibrutinib in patients with</w:t>
      </w:r>
      <w:r>
        <w:rPr>
          <w:szCs w:val="22"/>
        </w:rPr>
        <w:t xml:space="preserve"> 17 deletion/TP53 mutation </w:t>
      </w:r>
      <w:r w:rsidRPr="00A56C5C">
        <w:rPr>
          <w:szCs w:val="22"/>
        </w:rPr>
        <w:t xml:space="preserve">are summarised in </w:t>
      </w:r>
      <w:r>
        <w:rPr>
          <w:szCs w:val="22"/>
        </w:rPr>
        <w:t>T</w:t>
      </w:r>
      <w:r w:rsidRPr="00A56C5C">
        <w:rPr>
          <w:szCs w:val="22"/>
        </w:rPr>
        <w:t xml:space="preserve">able </w:t>
      </w:r>
      <w:r>
        <w:rPr>
          <w:szCs w:val="22"/>
        </w:rPr>
        <w:t>5</w:t>
      </w:r>
      <w:r w:rsidRPr="00A56C5C">
        <w:rPr>
          <w:szCs w:val="22"/>
        </w:rPr>
        <w:t>.</w:t>
      </w:r>
    </w:p>
    <w:p w:rsidR="00841E78" w:rsidRDefault="00841E78">
      <w:pPr>
        <w:widowControl/>
        <w:jc w:val="left"/>
        <w:rPr>
          <w:szCs w:val="22"/>
        </w:rPr>
      </w:pPr>
      <w:r>
        <w:rPr>
          <w:szCs w:val="22"/>
        </w:rPr>
        <w:br w:type="page"/>
      </w:r>
    </w:p>
    <w:p w:rsidR="00F61688" w:rsidRDefault="00F61688" w:rsidP="00F61688">
      <w:pPr>
        <w:widowControl/>
        <w:rPr>
          <w:szCs w:val="22"/>
        </w:rPr>
      </w:pPr>
    </w:p>
    <w:p w:rsidR="00F61688" w:rsidRPr="00006210" w:rsidRDefault="00F61688" w:rsidP="00F61688">
      <w:pPr>
        <w:keepNext/>
        <w:ind w:left="720"/>
        <w:rPr>
          <w:rFonts w:ascii="Arial Narrow" w:hAnsi="Arial Narrow"/>
          <w:b/>
          <w:sz w:val="20"/>
        </w:rPr>
      </w:pPr>
      <w:r>
        <w:rPr>
          <w:rFonts w:ascii="Arial Narrow" w:hAnsi="Arial Narrow"/>
          <w:b/>
          <w:sz w:val="20"/>
        </w:rPr>
        <w:t>Table 5: Summary of the most recent efficacy results for venetoclax vs. ibrutinib in patients with 17p deletion/TP53 mutation</w:t>
      </w:r>
    </w:p>
    <w:tbl>
      <w:tblPr>
        <w:tblW w:w="4607" w:type="pct"/>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50"/>
        <w:gridCol w:w="1191"/>
        <w:gridCol w:w="1192"/>
        <w:gridCol w:w="1191"/>
        <w:gridCol w:w="1192"/>
      </w:tblGrid>
      <w:tr w:rsidR="00F61688" w:rsidRPr="007121AF" w:rsidTr="00E73A7B">
        <w:tc>
          <w:tcPr>
            <w:tcW w:w="2202" w:type="pct"/>
            <w:vMerge w:val="restart"/>
            <w:vAlign w:val="center"/>
          </w:tcPr>
          <w:p w:rsidR="00F61688" w:rsidRPr="007121AF" w:rsidRDefault="00F61688" w:rsidP="00E73A7B">
            <w:pPr>
              <w:jc w:val="center"/>
              <w:rPr>
                <w:rFonts w:ascii="Arial Narrow" w:hAnsi="Arial Narrow"/>
                <w:b/>
                <w:sz w:val="20"/>
              </w:rPr>
            </w:pPr>
          </w:p>
        </w:tc>
        <w:tc>
          <w:tcPr>
            <w:tcW w:w="699" w:type="pct"/>
            <w:vAlign w:val="center"/>
          </w:tcPr>
          <w:p w:rsidR="00F61688" w:rsidRPr="007121AF" w:rsidRDefault="00F61688" w:rsidP="00E73A7B">
            <w:pPr>
              <w:jc w:val="center"/>
              <w:rPr>
                <w:rFonts w:ascii="Arial Narrow" w:hAnsi="Arial Narrow"/>
                <w:b/>
                <w:sz w:val="20"/>
              </w:rPr>
            </w:pPr>
            <w:r w:rsidRPr="007121AF">
              <w:rPr>
                <w:rFonts w:ascii="Arial Narrow" w:hAnsi="Arial Narrow"/>
                <w:b/>
                <w:sz w:val="20"/>
              </w:rPr>
              <w:t>M12-175</w:t>
            </w:r>
          </w:p>
        </w:tc>
        <w:tc>
          <w:tcPr>
            <w:tcW w:w="700" w:type="pct"/>
            <w:vAlign w:val="center"/>
          </w:tcPr>
          <w:p w:rsidR="00F61688" w:rsidRPr="007121AF" w:rsidRDefault="00F61688" w:rsidP="00E73A7B">
            <w:pPr>
              <w:jc w:val="center"/>
              <w:rPr>
                <w:rFonts w:ascii="Arial Narrow" w:hAnsi="Arial Narrow"/>
                <w:b/>
                <w:sz w:val="20"/>
              </w:rPr>
            </w:pPr>
            <w:r w:rsidRPr="007121AF">
              <w:rPr>
                <w:rFonts w:ascii="Arial Narrow" w:hAnsi="Arial Narrow"/>
                <w:b/>
                <w:sz w:val="20"/>
              </w:rPr>
              <w:t>M13-982</w:t>
            </w:r>
          </w:p>
        </w:tc>
        <w:tc>
          <w:tcPr>
            <w:tcW w:w="699" w:type="pct"/>
            <w:vAlign w:val="center"/>
          </w:tcPr>
          <w:p w:rsidR="00F61688" w:rsidRPr="007121AF" w:rsidRDefault="00F61688" w:rsidP="00E73A7B">
            <w:pPr>
              <w:pStyle w:val="Tabletextcentred"/>
              <w:rPr>
                <w:b/>
                <w:snapToGrid w:val="0"/>
              </w:rPr>
            </w:pPr>
            <w:r w:rsidRPr="007121AF">
              <w:rPr>
                <w:b/>
                <w:snapToGrid w:val="0"/>
              </w:rPr>
              <w:t>RESONATE</w:t>
            </w:r>
          </w:p>
        </w:tc>
        <w:tc>
          <w:tcPr>
            <w:tcW w:w="700" w:type="pct"/>
            <w:vAlign w:val="center"/>
          </w:tcPr>
          <w:p w:rsidR="00F61688" w:rsidRPr="007121AF" w:rsidRDefault="00F61688" w:rsidP="00E73A7B">
            <w:pPr>
              <w:pStyle w:val="Tabletextcentred"/>
              <w:rPr>
                <w:b/>
                <w:snapToGrid w:val="0"/>
              </w:rPr>
            </w:pPr>
            <w:r w:rsidRPr="007121AF">
              <w:rPr>
                <w:b/>
                <w:snapToGrid w:val="0"/>
              </w:rPr>
              <w:t>RESONATE17</w:t>
            </w:r>
          </w:p>
        </w:tc>
      </w:tr>
      <w:tr w:rsidR="00F61688" w:rsidRPr="007121AF" w:rsidTr="00E73A7B">
        <w:tc>
          <w:tcPr>
            <w:tcW w:w="2202" w:type="pct"/>
            <w:vMerge/>
          </w:tcPr>
          <w:p w:rsidR="00F61688" w:rsidRPr="007121AF" w:rsidRDefault="00F61688" w:rsidP="00E73A7B">
            <w:pPr>
              <w:jc w:val="center"/>
              <w:rPr>
                <w:rFonts w:ascii="Arial Narrow" w:hAnsi="Arial Narrow"/>
                <w:b/>
                <w:sz w:val="20"/>
              </w:rPr>
            </w:pPr>
          </w:p>
        </w:tc>
        <w:tc>
          <w:tcPr>
            <w:tcW w:w="699" w:type="pct"/>
            <w:vAlign w:val="center"/>
          </w:tcPr>
          <w:p w:rsidR="00F61688" w:rsidRPr="007121AF" w:rsidRDefault="00F61688" w:rsidP="00E73A7B">
            <w:pPr>
              <w:jc w:val="center"/>
              <w:rPr>
                <w:rFonts w:ascii="Arial Narrow" w:hAnsi="Arial Narrow"/>
                <w:b/>
                <w:sz w:val="20"/>
              </w:rPr>
            </w:pPr>
            <w:r w:rsidRPr="007121AF">
              <w:rPr>
                <w:rFonts w:ascii="Arial Narrow" w:hAnsi="Arial Narrow"/>
                <w:b/>
                <w:sz w:val="20"/>
              </w:rPr>
              <w:t>VEN</w:t>
            </w:r>
            <w:r w:rsidR="0003250C">
              <w:rPr>
                <w:rFonts w:ascii="Arial Narrow" w:hAnsi="Arial Narrow"/>
                <w:b/>
                <w:sz w:val="20"/>
              </w:rPr>
              <w:t xml:space="preserve"> </w:t>
            </w:r>
            <w:r w:rsidRPr="007121AF">
              <w:rPr>
                <w:rFonts w:ascii="Arial Narrow" w:hAnsi="Arial Narrow"/>
                <w:b/>
                <w:sz w:val="20"/>
              </w:rPr>
              <w:t>400</w:t>
            </w:r>
            <w:r w:rsidR="0003250C">
              <w:rPr>
                <w:rFonts w:ascii="Arial Narrow" w:hAnsi="Arial Narrow"/>
                <w:b/>
                <w:sz w:val="20"/>
              </w:rPr>
              <w:t> </w:t>
            </w:r>
            <w:r w:rsidRPr="007121AF">
              <w:rPr>
                <w:rFonts w:ascii="Arial Narrow" w:hAnsi="Arial Narrow"/>
                <w:b/>
                <w:sz w:val="20"/>
              </w:rPr>
              <w:t>mg 17p</w:t>
            </w:r>
            <w:r w:rsidR="0003250C">
              <w:rPr>
                <w:rFonts w:ascii="Arial Narrow" w:hAnsi="Arial Narrow"/>
                <w:b/>
                <w:sz w:val="20"/>
              </w:rPr>
              <w:t xml:space="preserve"> del</w:t>
            </w:r>
          </w:p>
          <w:p w:rsidR="00F61688" w:rsidRPr="007121AF" w:rsidRDefault="00F61688" w:rsidP="00E73A7B">
            <w:pPr>
              <w:jc w:val="center"/>
              <w:rPr>
                <w:rFonts w:ascii="Arial Narrow" w:hAnsi="Arial Narrow"/>
                <w:b/>
                <w:sz w:val="20"/>
              </w:rPr>
            </w:pPr>
            <w:r w:rsidRPr="007121AF">
              <w:rPr>
                <w:rFonts w:ascii="Arial Narrow" w:hAnsi="Arial Narrow"/>
                <w:b/>
                <w:sz w:val="20"/>
              </w:rPr>
              <w:t>(N = 14)</w:t>
            </w:r>
          </w:p>
        </w:tc>
        <w:tc>
          <w:tcPr>
            <w:tcW w:w="700" w:type="pct"/>
            <w:vAlign w:val="center"/>
          </w:tcPr>
          <w:p w:rsidR="00F61688" w:rsidRPr="007121AF" w:rsidRDefault="00F61688" w:rsidP="00E73A7B">
            <w:pPr>
              <w:jc w:val="center"/>
              <w:rPr>
                <w:rFonts w:ascii="Arial Narrow" w:hAnsi="Arial Narrow"/>
                <w:b/>
                <w:sz w:val="20"/>
              </w:rPr>
            </w:pPr>
            <w:r w:rsidRPr="007121AF">
              <w:rPr>
                <w:rFonts w:ascii="Arial Narrow" w:hAnsi="Arial Narrow"/>
                <w:b/>
                <w:sz w:val="20"/>
              </w:rPr>
              <w:t>VEN</w:t>
            </w:r>
          </w:p>
          <w:p w:rsidR="00F61688" w:rsidRPr="007121AF" w:rsidRDefault="00F61688" w:rsidP="00E73A7B">
            <w:pPr>
              <w:jc w:val="center"/>
              <w:rPr>
                <w:rFonts w:ascii="Arial Narrow" w:hAnsi="Arial Narrow"/>
                <w:b/>
                <w:sz w:val="20"/>
              </w:rPr>
            </w:pPr>
            <w:r w:rsidRPr="007121AF">
              <w:rPr>
                <w:rFonts w:ascii="Arial Narrow" w:hAnsi="Arial Narrow"/>
                <w:b/>
                <w:sz w:val="20"/>
              </w:rPr>
              <w:t>main cohort</w:t>
            </w:r>
          </w:p>
          <w:p w:rsidR="00F61688" w:rsidRPr="007121AF" w:rsidRDefault="00F61688" w:rsidP="00E73A7B">
            <w:pPr>
              <w:jc w:val="center"/>
              <w:rPr>
                <w:rFonts w:ascii="Arial Narrow" w:hAnsi="Arial Narrow"/>
                <w:b/>
                <w:sz w:val="20"/>
              </w:rPr>
            </w:pPr>
            <w:r w:rsidRPr="007121AF">
              <w:rPr>
                <w:rFonts w:ascii="Arial Narrow" w:hAnsi="Arial Narrow"/>
                <w:b/>
                <w:sz w:val="20"/>
              </w:rPr>
              <w:t>(N = 158)</w:t>
            </w:r>
          </w:p>
        </w:tc>
        <w:tc>
          <w:tcPr>
            <w:tcW w:w="699" w:type="pct"/>
            <w:vAlign w:val="center"/>
          </w:tcPr>
          <w:p w:rsidR="00F61688" w:rsidRPr="007121AF" w:rsidRDefault="00F61688" w:rsidP="00E73A7B">
            <w:pPr>
              <w:pStyle w:val="Tabletextcentred"/>
              <w:rPr>
                <w:b/>
                <w:snapToGrid w:val="0"/>
              </w:rPr>
            </w:pPr>
            <w:r w:rsidRPr="007121AF">
              <w:rPr>
                <w:b/>
                <w:snapToGrid w:val="0"/>
              </w:rPr>
              <w:t>IBRU</w:t>
            </w:r>
          </w:p>
          <w:p w:rsidR="00F61688" w:rsidRPr="007121AF" w:rsidRDefault="00F61688" w:rsidP="00E73A7B">
            <w:pPr>
              <w:pStyle w:val="Tabletextcentred"/>
              <w:rPr>
                <w:b/>
                <w:snapToGrid w:val="0"/>
              </w:rPr>
            </w:pPr>
            <w:r w:rsidRPr="007121AF">
              <w:rPr>
                <w:b/>
                <w:snapToGrid w:val="0"/>
              </w:rPr>
              <w:t>17p</w:t>
            </w:r>
            <w:r w:rsidR="0003250C">
              <w:rPr>
                <w:b/>
                <w:snapToGrid w:val="0"/>
              </w:rPr>
              <w:t xml:space="preserve"> del</w:t>
            </w:r>
          </w:p>
          <w:p w:rsidR="00F61688" w:rsidRPr="007121AF" w:rsidRDefault="00F61688" w:rsidP="00724266">
            <w:pPr>
              <w:pStyle w:val="Tabletextcentred"/>
              <w:rPr>
                <w:b/>
                <w:snapToGrid w:val="0"/>
              </w:rPr>
            </w:pPr>
            <w:r w:rsidRPr="007121AF">
              <w:rPr>
                <w:b/>
                <w:snapToGrid w:val="0"/>
              </w:rPr>
              <w:t xml:space="preserve">(N = </w:t>
            </w:r>
            <w:r w:rsidR="00724266" w:rsidRPr="007121AF">
              <w:rPr>
                <w:b/>
                <w:snapToGrid w:val="0"/>
              </w:rPr>
              <w:t>6</w:t>
            </w:r>
            <w:r w:rsidR="00724266">
              <w:rPr>
                <w:b/>
                <w:snapToGrid w:val="0"/>
              </w:rPr>
              <w:t>3</w:t>
            </w:r>
            <w:r w:rsidRPr="007121AF">
              <w:rPr>
                <w:b/>
                <w:snapToGrid w:val="0"/>
              </w:rPr>
              <w:t>)</w:t>
            </w:r>
          </w:p>
        </w:tc>
        <w:tc>
          <w:tcPr>
            <w:tcW w:w="700" w:type="pct"/>
            <w:vAlign w:val="center"/>
          </w:tcPr>
          <w:p w:rsidR="00F61688" w:rsidRPr="007121AF" w:rsidRDefault="00F61688" w:rsidP="00E73A7B">
            <w:pPr>
              <w:pStyle w:val="Tabletextcentred"/>
              <w:rPr>
                <w:b/>
                <w:snapToGrid w:val="0"/>
              </w:rPr>
            </w:pPr>
            <w:r w:rsidRPr="007121AF">
              <w:rPr>
                <w:b/>
                <w:snapToGrid w:val="0"/>
              </w:rPr>
              <w:t>IBRU</w:t>
            </w:r>
          </w:p>
          <w:p w:rsidR="00F61688" w:rsidRPr="007121AF" w:rsidRDefault="00F61688" w:rsidP="00E73A7B">
            <w:pPr>
              <w:pStyle w:val="Tabletextcentred"/>
              <w:rPr>
                <w:b/>
                <w:snapToGrid w:val="0"/>
              </w:rPr>
            </w:pPr>
            <w:r w:rsidRPr="007121AF">
              <w:rPr>
                <w:b/>
                <w:snapToGrid w:val="0"/>
              </w:rPr>
              <w:t>all subjects</w:t>
            </w:r>
          </w:p>
          <w:p w:rsidR="00F61688" w:rsidRPr="007121AF" w:rsidRDefault="00F61688" w:rsidP="00E73A7B">
            <w:pPr>
              <w:pStyle w:val="Tabletextcentred"/>
              <w:rPr>
                <w:b/>
                <w:snapToGrid w:val="0"/>
              </w:rPr>
            </w:pPr>
            <w:r w:rsidRPr="007121AF">
              <w:rPr>
                <w:b/>
                <w:snapToGrid w:val="0"/>
              </w:rPr>
              <w:t>(N = 144)</w:t>
            </w:r>
          </w:p>
        </w:tc>
      </w:tr>
      <w:tr w:rsidR="00F61688" w:rsidRPr="007121AF" w:rsidTr="00F87D8D">
        <w:tc>
          <w:tcPr>
            <w:tcW w:w="2202" w:type="pct"/>
            <w:vAlign w:val="center"/>
          </w:tcPr>
          <w:p w:rsidR="00F61688" w:rsidRPr="007121AF" w:rsidRDefault="00F61688" w:rsidP="00E73A7B">
            <w:pPr>
              <w:jc w:val="left"/>
              <w:rPr>
                <w:rFonts w:ascii="Arial Narrow" w:hAnsi="Arial Narrow"/>
                <w:sz w:val="20"/>
              </w:rPr>
            </w:pPr>
            <w:r w:rsidRPr="007121AF">
              <w:rPr>
                <w:rFonts w:ascii="Arial Narrow" w:hAnsi="Arial Narrow"/>
                <w:sz w:val="20"/>
              </w:rPr>
              <w:t>Median duration of treatment, months (range)</w:t>
            </w:r>
          </w:p>
        </w:tc>
        <w:tc>
          <w:tcPr>
            <w:tcW w:w="699" w:type="pct"/>
            <w:vAlign w:val="center"/>
          </w:tcPr>
          <w:p w:rsidR="00F61688" w:rsidRPr="00204548" w:rsidRDefault="00204548" w:rsidP="00F87D8D">
            <w:pPr>
              <w:pStyle w:val="TableText0"/>
              <w:spacing w:before="0" w:after="0"/>
              <w:jc w:val="center"/>
              <w:rPr>
                <w:rFonts w:ascii="Arial Narrow" w:hAnsi="Arial Narrow"/>
                <w:szCs w:val="20"/>
                <w:highlight w:val="black"/>
              </w:rPr>
            </w:pPr>
            <w:r>
              <w:rPr>
                <w:rFonts w:ascii="Arial Narrow" w:hAnsi="Arial Narrow"/>
                <w:noProof/>
                <w:color w:val="000000"/>
                <w:szCs w:val="20"/>
                <w:highlight w:val="black"/>
              </w:rPr>
              <w:t>'''''''''''</w:t>
            </w:r>
          </w:p>
          <w:p w:rsidR="00F61688" w:rsidRPr="00204548" w:rsidRDefault="00204548" w:rsidP="00F87D8D">
            <w:pPr>
              <w:pStyle w:val="TableText0"/>
              <w:spacing w:before="0" w:after="0"/>
              <w:jc w:val="center"/>
              <w:rPr>
                <w:rFonts w:ascii="Arial Narrow" w:hAnsi="Arial Narrow"/>
                <w:szCs w:val="20"/>
                <w:highlight w:val="black"/>
              </w:rPr>
            </w:pPr>
            <w:r>
              <w:rPr>
                <w:rFonts w:ascii="Arial Narrow" w:hAnsi="Arial Narrow"/>
                <w:noProof/>
                <w:color w:val="000000"/>
                <w:szCs w:val="20"/>
                <w:highlight w:val="black"/>
              </w:rPr>
              <w:t>'''''''''''''''''''''''''</w:t>
            </w:r>
          </w:p>
        </w:tc>
        <w:tc>
          <w:tcPr>
            <w:tcW w:w="700" w:type="pct"/>
            <w:vAlign w:val="center"/>
          </w:tcPr>
          <w:p w:rsidR="00F61688" w:rsidRPr="00204548" w:rsidRDefault="00204548" w:rsidP="00F87D8D">
            <w:pPr>
              <w:jc w:val="center"/>
              <w:rPr>
                <w:rFonts w:ascii="Arial Narrow" w:hAnsi="Arial Narrow"/>
                <w:sz w:val="20"/>
                <w:highlight w:val="black"/>
                <w:lang w:val="en-GB"/>
              </w:rPr>
            </w:pPr>
            <w:r>
              <w:rPr>
                <w:rFonts w:ascii="Arial Narrow" w:hAnsi="Arial Narrow"/>
                <w:noProof/>
                <w:color w:val="000000"/>
                <w:sz w:val="20"/>
                <w:highlight w:val="black"/>
                <w:lang w:val="en-GB"/>
              </w:rPr>
              <w:t>''''''''''</w:t>
            </w:r>
          </w:p>
          <w:p w:rsidR="00F61688" w:rsidRPr="00204548" w:rsidRDefault="00204548" w:rsidP="00F87D8D">
            <w:pPr>
              <w:jc w:val="center"/>
              <w:rPr>
                <w:rFonts w:ascii="Arial Narrow" w:hAnsi="Arial Narrow"/>
                <w:sz w:val="20"/>
                <w:highlight w:val="black"/>
              </w:rPr>
            </w:pPr>
            <w:r>
              <w:rPr>
                <w:rFonts w:ascii="Arial Narrow" w:hAnsi="Arial Narrow"/>
                <w:noProof/>
                <w:color w:val="000000"/>
                <w:sz w:val="20"/>
                <w:highlight w:val="black"/>
                <w:lang w:val="en-GB"/>
              </w:rPr>
              <w:t>''''''''''''''''''''''</w:t>
            </w:r>
          </w:p>
        </w:tc>
        <w:tc>
          <w:tcPr>
            <w:tcW w:w="699" w:type="pct"/>
            <w:vAlign w:val="center"/>
          </w:tcPr>
          <w:p w:rsidR="00F61688" w:rsidRPr="00F87D8D" w:rsidRDefault="00F61688" w:rsidP="00F87D8D">
            <w:pPr>
              <w:pStyle w:val="Tabletextcentred"/>
              <w:rPr>
                <w:snapToGrid w:val="0"/>
              </w:rPr>
            </w:pPr>
            <w:r w:rsidRPr="00F87D8D">
              <w:rPr>
                <w:snapToGrid w:val="0"/>
              </w:rPr>
              <w:t>16</w:t>
            </w:r>
          </w:p>
          <w:p w:rsidR="00F61688" w:rsidRPr="007121AF" w:rsidRDefault="00F61688" w:rsidP="00F87D8D">
            <w:pPr>
              <w:pStyle w:val="Tabletextcentred"/>
              <w:rPr>
                <w:snapToGrid w:val="0"/>
                <w:vertAlign w:val="superscript"/>
              </w:rPr>
            </w:pPr>
            <w:r w:rsidRPr="00F87D8D">
              <w:rPr>
                <w:snapToGrid w:val="0"/>
              </w:rPr>
              <w:t>(NR)</w:t>
            </w:r>
            <w:r w:rsidRPr="007121AF">
              <w:rPr>
                <w:snapToGrid w:val="0"/>
                <w:vertAlign w:val="superscript"/>
              </w:rPr>
              <w:t>1</w:t>
            </w:r>
          </w:p>
        </w:tc>
        <w:tc>
          <w:tcPr>
            <w:tcW w:w="700" w:type="pct"/>
            <w:vAlign w:val="center"/>
          </w:tcPr>
          <w:p w:rsidR="00F61688" w:rsidRPr="007121AF" w:rsidRDefault="00F61688" w:rsidP="00F87D8D">
            <w:pPr>
              <w:pStyle w:val="Tabletextcentred"/>
              <w:rPr>
                <w:snapToGrid w:val="0"/>
              </w:rPr>
            </w:pPr>
            <w:r w:rsidRPr="00F87D8D">
              <w:rPr>
                <w:snapToGrid w:val="0"/>
              </w:rPr>
              <w:t>NR</w:t>
            </w:r>
          </w:p>
        </w:tc>
      </w:tr>
      <w:tr w:rsidR="00F61688" w:rsidRPr="007121AF" w:rsidTr="00F87D8D">
        <w:tc>
          <w:tcPr>
            <w:tcW w:w="2202" w:type="pct"/>
            <w:vAlign w:val="center"/>
          </w:tcPr>
          <w:p w:rsidR="00F61688" w:rsidRPr="007121AF" w:rsidRDefault="00F61688" w:rsidP="00E73A7B">
            <w:pPr>
              <w:jc w:val="left"/>
              <w:rPr>
                <w:rFonts w:ascii="Arial Narrow" w:hAnsi="Arial Narrow"/>
                <w:sz w:val="20"/>
              </w:rPr>
            </w:pPr>
            <w:r w:rsidRPr="007121AF">
              <w:rPr>
                <w:rFonts w:ascii="Arial Narrow" w:hAnsi="Arial Narrow"/>
                <w:sz w:val="20"/>
              </w:rPr>
              <w:t>Median duration of follow-up, months (range)</w:t>
            </w:r>
          </w:p>
        </w:tc>
        <w:tc>
          <w:tcPr>
            <w:tcW w:w="699" w:type="pct"/>
            <w:vAlign w:val="center"/>
          </w:tcPr>
          <w:p w:rsidR="00F61688" w:rsidRPr="00204548" w:rsidRDefault="00204548" w:rsidP="00F87D8D">
            <w:pPr>
              <w:pStyle w:val="TableText0"/>
              <w:spacing w:before="0" w:after="0"/>
              <w:jc w:val="center"/>
              <w:rPr>
                <w:rFonts w:ascii="Arial Narrow" w:hAnsi="Arial Narrow"/>
                <w:szCs w:val="20"/>
                <w:highlight w:val="black"/>
              </w:rPr>
            </w:pPr>
            <w:r>
              <w:rPr>
                <w:rFonts w:ascii="Arial Narrow" w:hAnsi="Arial Narrow"/>
                <w:noProof/>
                <w:color w:val="000000"/>
                <w:szCs w:val="20"/>
                <w:highlight w:val="black"/>
              </w:rPr>
              <w:t>''''''''</w:t>
            </w:r>
          </w:p>
        </w:tc>
        <w:tc>
          <w:tcPr>
            <w:tcW w:w="700" w:type="pct"/>
            <w:vAlign w:val="center"/>
          </w:tcPr>
          <w:p w:rsidR="00F61688" w:rsidRPr="00204548" w:rsidRDefault="00204548" w:rsidP="00F87D8D">
            <w:pPr>
              <w:jc w:val="center"/>
              <w:rPr>
                <w:rFonts w:ascii="Arial Narrow" w:hAnsi="Arial Narrow"/>
                <w:sz w:val="20"/>
                <w:highlight w:val="black"/>
              </w:rPr>
            </w:pPr>
            <w:r>
              <w:rPr>
                <w:rFonts w:ascii="Arial Narrow" w:hAnsi="Arial Narrow"/>
                <w:noProof/>
                <w:color w:val="000000"/>
                <w:sz w:val="20"/>
                <w:highlight w:val="black"/>
              </w:rPr>
              <w:t>'''''''</w:t>
            </w:r>
          </w:p>
        </w:tc>
        <w:tc>
          <w:tcPr>
            <w:tcW w:w="699" w:type="pct"/>
            <w:vAlign w:val="center"/>
          </w:tcPr>
          <w:p w:rsidR="00F61688" w:rsidRPr="007121AF" w:rsidRDefault="00F61688" w:rsidP="00F87D8D">
            <w:pPr>
              <w:pStyle w:val="Tabletextcentred"/>
              <w:rPr>
                <w:snapToGrid w:val="0"/>
                <w:vertAlign w:val="superscript"/>
              </w:rPr>
            </w:pPr>
            <w:r w:rsidRPr="00F87D8D">
              <w:rPr>
                <w:snapToGrid w:val="0"/>
              </w:rPr>
              <w:t>16 (NR)</w:t>
            </w:r>
            <w:r w:rsidRPr="007121AF">
              <w:rPr>
                <w:snapToGrid w:val="0"/>
                <w:vertAlign w:val="superscript"/>
              </w:rPr>
              <w:t>1</w:t>
            </w:r>
          </w:p>
        </w:tc>
        <w:tc>
          <w:tcPr>
            <w:tcW w:w="700" w:type="pct"/>
            <w:vAlign w:val="center"/>
          </w:tcPr>
          <w:p w:rsidR="00F61688" w:rsidRPr="00F87D8D" w:rsidRDefault="00F61688" w:rsidP="00F87D8D">
            <w:pPr>
              <w:pStyle w:val="Tabletextcentred"/>
              <w:rPr>
                <w:snapToGrid w:val="0"/>
              </w:rPr>
            </w:pPr>
            <w:r w:rsidRPr="00F87D8D">
              <w:rPr>
                <w:snapToGrid w:val="0"/>
              </w:rPr>
              <w:t>27.6</w:t>
            </w:r>
          </w:p>
          <w:p w:rsidR="00F61688" w:rsidRPr="007121AF" w:rsidRDefault="00F61688" w:rsidP="00F87D8D">
            <w:pPr>
              <w:pStyle w:val="Tabletextcentred"/>
              <w:rPr>
                <w:snapToGrid w:val="0"/>
              </w:rPr>
            </w:pPr>
            <w:r w:rsidRPr="00F87D8D">
              <w:rPr>
                <w:snapToGrid w:val="0"/>
              </w:rPr>
              <w:t>(14.6-27.7)</w:t>
            </w:r>
            <w:r w:rsidRPr="007121AF">
              <w:rPr>
                <w:snapToGrid w:val="0"/>
                <w:vertAlign w:val="superscript"/>
              </w:rPr>
              <w:t>1</w:t>
            </w:r>
          </w:p>
        </w:tc>
      </w:tr>
      <w:tr w:rsidR="00F61688" w:rsidRPr="007121AF" w:rsidTr="00E73A7B">
        <w:tc>
          <w:tcPr>
            <w:tcW w:w="5000" w:type="pct"/>
            <w:gridSpan w:val="5"/>
            <w:vAlign w:val="center"/>
          </w:tcPr>
          <w:p w:rsidR="00F61688" w:rsidRPr="007121AF" w:rsidRDefault="00F61688" w:rsidP="00E73A7B">
            <w:pPr>
              <w:rPr>
                <w:rFonts w:ascii="Arial Narrow" w:hAnsi="Arial Narrow"/>
                <w:sz w:val="20"/>
              </w:rPr>
            </w:pPr>
            <w:r w:rsidRPr="007121AF">
              <w:rPr>
                <w:rFonts w:ascii="Arial Narrow" w:hAnsi="Arial Narrow"/>
                <w:b/>
                <w:sz w:val="20"/>
              </w:rPr>
              <w:t>Response rates</w:t>
            </w:r>
          </w:p>
        </w:tc>
      </w:tr>
      <w:tr w:rsidR="00F61688" w:rsidRPr="007121AF" w:rsidTr="00E73A7B">
        <w:tc>
          <w:tcPr>
            <w:tcW w:w="2202" w:type="pct"/>
            <w:vAlign w:val="center"/>
          </w:tcPr>
          <w:p w:rsidR="00F61688" w:rsidRPr="007121AF" w:rsidRDefault="00F61688" w:rsidP="00E73A7B">
            <w:pPr>
              <w:pStyle w:val="TableText0"/>
              <w:spacing w:before="0" w:after="0"/>
              <w:rPr>
                <w:rFonts w:ascii="Arial Narrow" w:hAnsi="Arial Narrow"/>
                <w:szCs w:val="20"/>
                <w:vertAlign w:val="superscript"/>
              </w:rPr>
            </w:pPr>
            <w:r w:rsidRPr="007121AF">
              <w:rPr>
                <w:rFonts w:ascii="Arial Narrow" w:hAnsi="Arial Narrow"/>
                <w:szCs w:val="20"/>
              </w:rPr>
              <w:t>Overall response rate, % (95% CI)</w:t>
            </w:r>
          </w:p>
        </w:tc>
        <w:tc>
          <w:tcPr>
            <w:tcW w:w="699" w:type="pct"/>
            <w:vAlign w:val="center"/>
          </w:tcPr>
          <w:p w:rsidR="00F61688" w:rsidRPr="00204548" w:rsidRDefault="00204548" w:rsidP="00E73A7B">
            <w:pPr>
              <w:pStyle w:val="TableText0"/>
              <w:spacing w:before="0" w:after="0"/>
              <w:jc w:val="center"/>
              <w:rPr>
                <w:rFonts w:ascii="Arial Narrow" w:hAnsi="Arial Narrow"/>
                <w:szCs w:val="20"/>
                <w:highlight w:val="black"/>
              </w:rPr>
            </w:pPr>
            <w:r>
              <w:rPr>
                <w:rFonts w:ascii="Arial Narrow" w:hAnsi="Arial Narrow"/>
                <w:noProof/>
                <w:color w:val="000000"/>
                <w:szCs w:val="20"/>
                <w:highlight w:val="black"/>
              </w:rPr>
              <w:t>''''''''''</w:t>
            </w:r>
          </w:p>
          <w:p w:rsidR="00F61688" w:rsidRPr="00204548" w:rsidRDefault="00204548" w:rsidP="00E73A7B">
            <w:pPr>
              <w:pStyle w:val="TableText0"/>
              <w:spacing w:before="0" w:after="0"/>
              <w:jc w:val="center"/>
              <w:rPr>
                <w:rFonts w:ascii="Arial Narrow" w:hAnsi="Arial Narrow"/>
                <w:szCs w:val="20"/>
                <w:highlight w:val="black"/>
              </w:rPr>
            </w:pPr>
            <w:r>
              <w:rPr>
                <w:rFonts w:ascii="Arial Narrow" w:hAnsi="Arial Narrow"/>
                <w:noProof/>
                <w:color w:val="000000"/>
                <w:szCs w:val="20"/>
                <w:highlight w:val="black"/>
              </w:rPr>
              <w:t>''''''''''''' '''''''''''''</w:t>
            </w:r>
          </w:p>
        </w:tc>
        <w:tc>
          <w:tcPr>
            <w:tcW w:w="700" w:type="pct"/>
          </w:tcPr>
          <w:p w:rsidR="00F61688" w:rsidRPr="005F0517" w:rsidRDefault="00F61688" w:rsidP="00E73A7B">
            <w:pPr>
              <w:jc w:val="center"/>
              <w:rPr>
                <w:rFonts w:ascii="Arial Narrow" w:hAnsi="Arial Narrow"/>
                <w:sz w:val="20"/>
              </w:rPr>
            </w:pPr>
            <w:r w:rsidRPr="005F0517">
              <w:rPr>
                <w:rFonts w:ascii="Arial Narrow" w:hAnsi="Arial Narrow"/>
                <w:sz w:val="20"/>
              </w:rPr>
              <w:t>77.2</w:t>
            </w:r>
          </w:p>
          <w:p w:rsidR="00F61688" w:rsidRPr="00204548" w:rsidRDefault="00F61688" w:rsidP="00E73A7B">
            <w:pPr>
              <w:jc w:val="center"/>
              <w:rPr>
                <w:rFonts w:ascii="Arial Narrow" w:hAnsi="Arial Narrow"/>
                <w:sz w:val="20"/>
              </w:rPr>
            </w:pPr>
            <w:r w:rsidRPr="005F0517">
              <w:rPr>
                <w:rFonts w:ascii="Arial Narrow" w:hAnsi="Arial Narrow"/>
                <w:sz w:val="20"/>
              </w:rPr>
              <w:t>(69.9, 83.5)</w:t>
            </w:r>
          </w:p>
        </w:tc>
        <w:tc>
          <w:tcPr>
            <w:tcW w:w="699" w:type="pct"/>
            <w:vAlign w:val="center"/>
          </w:tcPr>
          <w:p w:rsidR="00F61688" w:rsidRPr="007121AF" w:rsidRDefault="00F61688" w:rsidP="00E73A7B">
            <w:pPr>
              <w:pStyle w:val="TableText0"/>
              <w:spacing w:before="0" w:after="0"/>
              <w:jc w:val="center"/>
              <w:rPr>
                <w:rFonts w:ascii="Arial Narrow" w:hAnsi="Arial Narrow"/>
                <w:szCs w:val="20"/>
              </w:rPr>
            </w:pPr>
            <w:r w:rsidRPr="007121AF">
              <w:rPr>
                <w:rFonts w:ascii="Arial Narrow" w:hAnsi="Arial Narrow"/>
                <w:szCs w:val="20"/>
              </w:rPr>
              <w:t>NR</w:t>
            </w:r>
          </w:p>
        </w:tc>
        <w:tc>
          <w:tcPr>
            <w:tcW w:w="700" w:type="pct"/>
            <w:vAlign w:val="center"/>
          </w:tcPr>
          <w:p w:rsidR="00F61688" w:rsidRPr="007121AF" w:rsidRDefault="00F61688" w:rsidP="00E73A7B">
            <w:pPr>
              <w:jc w:val="center"/>
              <w:rPr>
                <w:rFonts w:ascii="Arial Narrow" w:hAnsi="Arial Narrow"/>
                <w:sz w:val="20"/>
              </w:rPr>
            </w:pPr>
            <w:r w:rsidRPr="007121AF">
              <w:rPr>
                <w:rFonts w:ascii="Arial Narrow" w:hAnsi="Arial Narrow"/>
                <w:sz w:val="20"/>
              </w:rPr>
              <w:t xml:space="preserve">83 </w:t>
            </w:r>
          </w:p>
          <w:p w:rsidR="00F61688" w:rsidRPr="007121AF" w:rsidRDefault="00F61688" w:rsidP="00E73A7B">
            <w:pPr>
              <w:jc w:val="center"/>
              <w:rPr>
                <w:rFonts w:ascii="Arial Narrow" w:hAnsi="Arial Narrow"/>
                <w:sz w:val="20"/>
                <w:vertAlign w:val="superscript"/>
              </w:rPr>
            </w:pPr>
            <w:r w:rsidRPr="007121AF">
              <w:rPr>
                <w:rFonts w:ascii="Arial Narrow" w:hAnsi="Arial Narrow"/>
                <w:sz w:val="20"/>
              </w:rPr>
              <w:t>(76, 89)</w:t>
            </w:r>
            <w:r w:rsidRPr="007121AF">
              <w:rPr>
                <w:rFonts w:ascii="Arial Narrow" w:hAnsi="Arial Narrow"/>
                <w:sz w:val="20"/>
                <w:vertAlign w:val="superscript"/>
              </w:rPr>
              <w:t>2</w:t>
            </w:r>
          </w:p>
        </w:tc>
      </w:tr>
      <w:tr w:rsidR="00F61688" w:rsidRPr="007121AF" w:rsidTr="00E73A7B">
        <w:tc>
          <w:tcPr>
            <w:tcW w:w="2202" w:type="pct"/>
            <w:vAlign w:val="center"/>
          </w:tcPr>
          <w:p w:rsidR="00F61688" w:rsidRPr="007121AF" w:rsidRDefault="00F61688" w:rsidP="00E73A7B">
            <w:pPr>
              <w:pStyle w:val="TableText0"/>
              <w:spacing w:before="0" w:after="0"/>
              <w:rPr>
                <w:rFonts w:ascii="Arial Narrow" w:hAnsi="Arial Narrow"/>
                <w:szCs w:val="20"/>
              </w:rPr>
            </w:pPr>
            <w:r w:rsidRPr="007121AF">
              <w:rPr>
                <w:rFonts w:ascii="Arial Narrow" w:hAnsi="Arial Narrow"/>
                <w:szCs w:val="20"/>
              </w:rPr>
              <w:t>- Complete response, n (%)</w:t>
            </w:r>
          </w:p>
        </w:tc>
        <w:tc>
          <w:tcPr>
            <w:tcW w:w="699" w:type="pct"/>
            <w:vAlign w:val="center"/>
          </w:tcPr>
          <w:p w:rsidR="00F61688" w:rsidRPr="00204548" w:rsidRDefault="00204548" w:rsidP="00E73A7B">
            <w:pPr>
              <w:pStyle w:val="TableText0"/>
              <w:spacing w:before="0" w:after="0"/>
              <w:jc w:val="center"/>
              <w:rPr>
                <w:rFonts w:ascii="Arial Narrow" w:hAnsi="Arial Narrow"/>
                <w:szCs w:val="20"/>
                <w:highlight w:val="black"/>
              </w:rPr>
            </w:pPr>
            <w:r>
              <w:rPr>
                <w:rFonts w:ascii="Arial Narrow" w:hAnsi="Arial Narrow"/>
                <w:noProof/>
                <w:color w:val="000000"/>
                <w:szCs w:val="20"/>
                <w:highlight w:val="black"/>
              </w:rPr>
              <w:t>''''</w:t>
            </w:r>
          </w:p>
        </w:tc>
        <w:tc>
          <w:tcPr>
            <w:tcW w:w="700" w:type="pct"/>
            <w:vAlign w:val="center"/>
          </w:tcPr>
          <w:p w:rsidR="00F61688" w:rsidRPr="00204548" w:rsidRDefault="00F61688" w:rsidP="00E73A7B">
            <w:pPr>
              <w:pStyle w:val="TableText0"/>
              <w:spacing w:before="0" w:after="0"/>
              <w:jc w:val="center"/>
              <w:rPr>
                <w:rFonts w:ascii="Arial Narrow" w:hAnsi="Arial Narrow"/>
                <w:szCs w:val="20"/>
              </w:rPr>
            </w:pPr>
            <w:r w:rsidRPr="007D6D20">
              <w:rPr>
                <w:rFonts w:ascii="Arial Narrow" w:hAnsi="Arial Narrow"/>
                <w:szCs w:val="20"/>
              </w:rPr>
              <w:t>29 (18.4)</w:t>
            </w:r>
          </w:p>
        </w:tc>
        <w:tc>
          <w:tcPr>
            <w:tcW w:w="699" w:type="pct"/>
            <w:vAlign w:val="center"/>
          </w:tcPr>
          <w:p w:rsidR="00F61688" w:rsidRPr="007121AF" w:rsidRDefault="00F61688" w:rsidP="00E73A7B">
            <w:pPr>
              <w:pStyle w:val="TableText0"/>
              <w:spacing w:before="0" w:after="0"/>
              <w:jc w:val="center"/>
              <w:rPr>
                <w:rFonts w:ascii="Arial Narrow" w:hAnsi="Arial Narrow"/>
                <w:szCs w:val="20"/>
              </w:rPr>
            </w:pPr>
            <w:r w:rsidRPr="007121AF">
              <w:rPr>
                <w:rFonts w:ascii="Arial Narrow" w:hAnsi="Arial Narrow"/>
                <w:szCs w:val="20"/>
              </w:rPr>
              <w:t>NR</w:t>
            </w:r>
          </w:p>
        </w:tc>
        <w:tc>
          <w:tcPr>
            <w:tcW w:w="700" w:type="pct"/>
            <w:vAlign w:val="center"/>
          </w:tcPr>
          <w:p w:rsidR="00F61688" w:rsidRPr="007121AF" w:rsidRDefault="00F61688" w:rsidP="00E73A7B">
            <w:pPr>
              <w:pStyle w:val="TableText0"/>
              <w:spacing w:before="0" w:after="0"/>
              <w:jc w:val="center"/>
              <w:rPr>
                <w:rFonts w:ascii="Arial Narrow" w:hAnsi="Arial Narrow"/>
                <w:szCs w:val="20"/>
              </w:rPr>
            </w:pPr>
            <w:r w:rsidRPr="007121AF">
              <w:rPr>
                <w:rFonts w:ascii="Arial Narrow" w:hAnsi="Arial Narrow"/>
                <w:szCs w:val="20"/>
              </w:rPr>
              <w:t>15 (10)</w:t>
            </w:r>
          </w:p>
        </w:tc>
      </w:tr>
      <w:tr w:rsidR="00F61688" w:rsidRPr="007121AF" w:rsidTr="00E73A7B">
        <w:tc>
          <w:tcPr>
            <w:tcW w:w="2202" w:type="pct"/>
            <w:vAlign w:val="center"/>
          </w:tcPr>
          <w:p w:rsidR="00F61688" w:rsidRPr="007121AF" w:rsidRDefault="00F61688" w:rsidP="00E73A7B">
            <w:pPr>
              <w:pStyle w:val="TableText0"/>
              <w:spacing w:before="0" w:after="0"/>
              <w:rPr>
                <w:rFonts w:ascii="Arial Narrow" w:hAnsi="Arial Narrow"/>
                <w:szCs w:val="20"/>
              </w:rPr>
            </w:pPr>
            <w:r w:rsidRPr="007121AF">
              <w:rPr>
                <w:rFonts w:ascii="Arial Narrow" w:hAnsi="Arial Narrow"/>
                <w:szCs w:val="20"/>
              </w:rPr>
              <w:t>- Partial response, n (%)</w:t>
            </w:r>
          </w:p>
        </w:tc>
        <w:tc>
          <w:tcPr>
            <w:tcW w:w="699" w:type="pct"/>
            <w:vAlign w:val="center"/>
          </w:tcPr>
          <w:p w:rsidR="00F61688" w:rsidRPr="00204548" w:rsidRDefault="00204548" w:rsidP="00E73A7B">
            <w:pPr>
              <w:pStyle w:val="TableText0"/>
              <w:spacing w:before="0" w:after="0"/>
              <w:jc w:val="center"/>
              <w:rPr>
                <w:rFonts w:ascii="Arial Narrow" w:hAnsi="Arial Narrow"/>
                <w:szCs w:val="20"/>
                <w:highlight w:val="black"/>
              </w:rPr>
            </w:pPr>
            <w:r>
              <w:rPr>
                <w:rFonts w:ascii="Arial Narrow" w:hAnsi="Arial Narrow"/>
                <w:noProof/>
                <w:color w:val="000000"/>
                <w:szCs w:val="20"/>
                <w:highlight w:val="black"/>
              </w:rPr>
              <w:t xml:space="preserve">''''' '''''''''''''' </w:t>
            </w:r>
          </w:p>
        </w:tc>
        <w:tc>
          <w:tcPr>
            <w:tcW w:w="700" w:type="pct"/>
            <w:vAlign w:val="center"/>
          </w:tcPr>
          <w:p w:rsidR="00F61688" w:rsidRPr="00204548" w:rsidRDefault="00F61688" w:rsidP="00E73A7B">
            <w:pPr>
              <w:pStyle w:val="TableText0"/>
              <w:spacing w:before="0" w:after="0"/>
              <w:jc w:val="center"/>
              <w:rPr>
                <w:rFonts w:ascii="Arial Narrow" w:hAnsi="Arial Narrow"/>
                <w:szCs w:val="20"/>
              </w:rPr>
            </w:pPr>
            <w:r w:rsidRPr="007D6D20">
              <w:rPr>
                <w:rFonts w:ascii="Arial Narrow" w:hAnsi="Arial Narrow"/>
                <w:szCs w:val="20"/>
              </w:rPr>
              <w:t>93 (58.9)</w:t>
            </w:r>
          </w:p>
        </w:tc>
        <w:tc>
          <w:tcPr>
            <w:tcW w:w="699" w:type="pct"/>
            <w:vAlign w:val="center"/>
          </w:tcPr>
          <w:p w:rsidR="00F61688" w:rsidRPr="007121AF" w:rsidRDefault="00F61688" w:rsidP="00E73A7B">
            <w:pPr>
              <w:pStyle w:val="TableText0"/>
              <w:spacing w:before="0" w:after="0"/>
              <w:jc w:val="center"/>
              <w:rPr>
                <w:rFonts w:ascii="Arial Narrow" w:hAnsi="Arial Narrow"/>
                <w:szCs w:val="20"/>
              </w:rPr>
            </w:pPr>
            <w:r w:rsidRPr="007121AF">
              <w:rPr>
                <w:rFonts w:ascii="Arial Narrow" w:hAnsi="Arial Narrow"/>
                <w:szCs w:val="20"/>
              </w:rPr>
              <w:t>NR</w:t>
            </w:r>
          </w:p>
        </w:tc>
        <w:tc>
          <w:tcPr>
            <w:tcW w:w="700" w:type="pct"/>
            <w:vAlign w:val="center"/>
          </w:tcPr>
          <w:p w:rsidR="00F61688" w:rsidRPr="007121AF" w:rsidRDefault="00F61688" w:rsidP="00E73A7B">
            <w:pPr>
              <w:pStyle w:val="TableText0"/>
              <w:spacing w:before="0" w:after="0"/>
              <w:jc w:val="center"/>
              <w:rPr>
                <w:rFonts w:ascii="Arial Narrow" w:hAnsi="Arial Narrow"/>
                <w:szCs w:val="20"/>
                <w:vertAlign w:val="superscript"/>
              </w:rPr>
            </w:pPr>
            <w:r>
              <w:rPr>
                <w:rFonts w:ascii="Arial Narrow" w:hAnsi="Arial Narrow"/>
                <w:szCs w:val="20"/>
              </w:rPr>
              <w:t>105</w:t>
            </w:r>
            <w:r w:rsidRPr="007121AF">
              <w:rPr>
                <w:rFonts w:ascii="Arial Narrow" w:hAnsi="Arial Narrow"/>
                <w:szCs w:val="20"/>
              </w:rPr>
              <w:t xml:space="preserve"> (7</w:t>
            </w:r>
            <w:r>
              <w:rPr>
                <w:rFonts w:ascii="Arial Narrow" w:hAnsi="Arial Narrow"/>
                <w:szCs w:val="20"/>
              </w:rPr>
              <w:t>3</w:t>
            </w:r>
            <w:r w:rsidRPr="007121AF">
              <w:rPr>
                <w:rFonts w:ascii="Arial Narrow" w:hAnsi="Arial Narrow"/>
                <w:szCs w:val="20"/>
              </w:rPr>
              <w:t>)</w:t>
            </w:r>
            <w:r w:rsidRPr="007121AF">
              <w:rPr>
                <w:rFonts w:ascii="Arial Narrow" w:hAnsi="Arial Narrow"/>
                <w:szCs w:val="20"/>
                <w:vertAlign w:val="superscript"/>
              </w:rPr>
              <w:t>2</w:t>
            </w:r>
          </w:p>
        </w:tc>
      </w:tr>
      <w:tr w:rsidR="00F61688" w:rsidRPr="007121AF" w:rsidTr="00E73A7B">
        <w:tc>
          <w:tcPr>
            <w:tcW w:w="5000" w:type="pct"/>
            <w:gridSpan w:val="5"/>
          </w:tcPr>
          <w:p w:rsidR="00F61688" w:rsidRPr="007121AF" w:rsidRDefault="00F61688" w:rsidP="00E73A7B">
            <w:pPr>
              <w:pStyle w:val="TableText0"/>
              <w:spacing w:before="0" w:after="0"/>
              <w:rPr>
                <w:rFonts w:ascii="Arial Narrow" w:hAnsi="Arial Narrow"/>
                <w:szCs w:val="20"/>
              </w:rPr>
            </w:pPr>
            <w:r w:rsidRPr="007121AF">
              <w:rPr>
                <w:rFonts w:ascii="Arial Narrow" w:hAnsi="Arial Narrow"/>
                <w:b/>
                <w:szCs w:val="20"/>
              </w:rPr>
              <w:t>Progression-free survival</w:t>
            </w:r>
          </w:p>
        </w:tc>
      </w:tr>
      <w:tr w:rsidR="00F61688" w:rsidRPr="007121AF" w:rsidTr="00E73A7B">
        <w:tc>
          <w:tcPr>
            <w:tcW w:w="2202" w:type="pct"/>
          </w:tcPr>
          <w:p w:rsidR="00F61688" w:rsidRPr="007121AF" w:rsidRDefault="00F61688" w:rsidP="00E73A7B">
            <w:pPr>
              <w:rPr>
                <w:rFonts w:ascii="Arial Narrow" w:hAnsi="Arial Narrow"/>
                <w:sz w:val="20"/>
                <w:lang w:val="en-GB"/>
              </w:rPr>
            </w:pPr>
            <w:r w:rsidRPr="007121AF">
              <w:rPr>
                <w:rFonts w:ascii="Arial Narrow" w:hAnsi="Arial Narrow"/>
                <w:sz w:val="20"/>
                <w:lang w:val="en-GB"/>
              </w:rPr>
              <w:t>Events n (%)</w:t>
            </w:r>
          </w:p>
        </w:tc>
        <w:tc>
          <w:tcPr>
            <w:tcW w:w="699" w:type="pct"/>
          </w:tcPr>
          <w:p w:rsidR="00F61688" w:rsidRPr="00204548" w:rsidRDefault="00204548" w:rsidP="00E73A7B">
            <w:pPr>
              <w:jc w:val="center"/>
              <w:rPr>
                <w:rFonts w:ascii="Arial Narrow" w:hAnsi="Arial Narrow"/>
                <w:sz w:val="20"/>
                <w:highlight w:val="black"/>
                <w:lang w:val="en-GB"/>
              </w:rPr>
            </w:pPr>
            <w:r>
              <w:rPr>
                <w:rFonts w:ascii="Arial Narrow" w:hAnsi="Arial Narrow"/>
                <w:noProof/>
                <w:color w:val="000000"/>
                <w:sz w:val="20"/>
                <w:highlight w:val="black"/>
                <w:lang w:val="en-GB"/>
              </w:rPr>
              <w:t>''' ''''''''''''''''</w:t>
            </w:r>
          </w:p>
        </w:tc>
        <w:tc>
          <w:tcPr>
            <w:tcW w:w="700" w:type="pct"/>
          </w:tcPr>
          <w:p w:rsidR="00F61688" w:rsidRPr="00204548" w:rsidRDefault="00204548" w:rsidP="00724266">
            <w:pPr>
              <w:pStyle w:val="TableText0"/>
              <w:spacing w:before="0" w:after="0"/>
              <w:jc w:val="center"/>
              <w:rPr>
                <w:rFonts w:ascii="Arial Narrow" w:hAnsi="Arial Narrow"/>
                <w:szCs w:val="20"/>
                <w:highlight w:val="black"/>
              </w:rPr>
            </w:pPr>
            <w:r>
              <w:rPr>
                <w:rFonts w:ascii="Arial Narrow" w:hAnsi="Arial Narrow"/>
                <w:noProof/>
                <w:color w:val="000000"/>
                <w:szCs w:val="20"/>
                <w:highlight w:val="black"/>
              </w:rPr>
              <w:t>'''''' '''''''''''''''''</w:t>
            </w:r>
          </w:p>
        </w:tc>
        <w:tc>
          <w:tcPr>
            <w:tcW w:w="699" w:type="pct"/>
          </w:tcPr>
          <w:p w:rsidR="00F61688" w:rsidRPr="007121AF" w:rsidRDefault="00F61688" w:rsidP="00E73A7B">
            <w:pPr>
              <w:pStyle w:val="TableText0"/>
              <w:spacing w:before="0" w:after="0"/>
              <w:jc w:val="center"/>
              <w:rPr>
                <w:rFonts w:ascii="Arial Narrow" w:hAnsi="Arial Narrow"/>
                <w:szCs w:val="20"/>
              </w:rPr>
            </w:pPr>
            <w:r w:rsidRPr="007121AF">
              <w:rPr>
                <w:rFonts w:ascii="Arial Narrow" w:hAnsi="Arial Narrow"/>
                <w:szCs w:val="20"/>
              </w:rPr>
              <w:t>NR</w:t>
            </w:r>
          </w:p>
        </w:tc>
        <w:tc>
          <w:tcPr>
            <w:tcW w:w="700" w:type="pct"/>
          </w:tcPr>
          <w:p w:rsidR="00F61688" w:rsidRPr="007121AF" w:rsidRDefault="00F61688" w:rsidP="00E73A7B">
            <w:pPr>
              <w:pStyle w:val="TableText0"/>
              <w:spacing w:before="0" w:after="0"/>
              <w:jc w:val="center"/>
              <w:rPr>
                <w:rFonts w:ascii="Arial Narrow" w:hAnsi="Arial Narrow"/>
                <w:szCs w:val="20"/>
              </w:rPr>
            </w:pPr>
            <w:r w:rsidRPr="007121AF">
              <w:rPr>
                <w:rFonts w:ascii="Arial Narrow" w:hAnsi="Arial Narrow"/>
                <w:szCs w:val="20"/>
              </w:rPr>
              <w:t>NR</w:t>
            </w:r>
          </w:p>
        </w:tc>
      </w:tr>
      <w:tr w:rsidR="00F61688" w:rsidRPr="007121AF" w:rsidTr="00E73A7B">
        <w:tc>
          <w:tcPr>
            <w:tcW w:w="2202" w:type="pct"/>
            <w:vAlign w:val="center"/>
          </w:tcPr>
          <w:p w:rsidR="00F61688" w:rsidRPr="007121AF" w:rsidRDefault="00F61688" w:rsidP="00E73A7B">
            <w:pPr>
              <w:ind w:right="-108"/>
              <w:rPr>
                <w:rFonts w:ascii="Arial Narrow" w:hAnsi="Arial Narrow"/>
                <w:sz w:val="20"/>
                <w:lang w:val="en-GB"/>
              </w:rPr>
            </w:pPr>
            <w:r w:rsidRPr="007121AF">
              <w:rPr>
                <w:rFonts w:ascii="Arial Narrow" w:hAnsi="Arial Narrow"/>
                <w:sz w:val="20"/>
                <w:lang w:val="en-GB"/>
              </w:rPr>
              <w:t>Median PFS, months (95% CI)</w:t>
            </w:r>
          </w:p>
        </w:tc>
        <w:tc>
          <w:tcPr>
            <w:tcW w:w="699" w:type="pct"/>
            <w:vAlign w:val="center"/>
          </w:tcPr>
          <w:p w:rsidR="00F61688" w:rsidRPr="00204548" w:rsidRDefault="00204548" w:rsidP="00E73A7B">
            <w:pPr>
              <w:pStyle w:val="TableText0"/>
              <w:spacing w:before="0" w:after="0"/>
              <w:jc w:val="center"/>
              <w:rPr>
                <w:rFonts w:ascii="Arial Narrow" w:hAnsi="Arial Narrow"/>
                <w:szCs w:val="20"/>
                <w:highlight w:val="black"/>
                <w:lang w:val="en-GB"/>
              </w:rPr>
            </w:pPr>
            <w:r>
              <w:rPr>
                <w:rFonts w:ascii="Arial Narrow" w:hAnsi="Arial Narrow"/>
                <w:noProof/>
                <w:color w:val="000000"/>
                <w:szCs w:val="20"/>
                <w:highlight w:val="black"/>
                <w:lang w:val="en-GB"/>
              </w:rPr>
              <w:t xml:space="preserve">'''''''''' </w:t>
            </w:r>
          </w:p>
          <w:p w:rsidR="00F61688" w:rsidRPr="00204548" w:rsidRDefault="00204548" w:rsidP="00E73A7B">
            <w:pPr>
              <w:pStyle w:val="TableText0"/>
              <w:spacing w:before="0" w:after="0"/>
              <w:jc w:val="center"/>
              <w:rPr>
                <w:rFonts w:ascii="Arial Narrow" w:hAnsi="Arial Narrow"/>
                <w:szCs w:val="20"/>
                <w:highlight w:val="black"/>
              </w:rPr>
            </w:pPr>
            <w:r>
              <w:rPr>
                <w:rFonts w:ascii="Arial Narrow" w:hAnsi="Arial Narrow"/>
                <w:noProof/>
                <w:color w:val="000000"/>
                <w:szCs w:val="20"/>
                <w:highlight w:val="black"/>
                <w:lang w:val="en-GB"/>
              </w:rPr>
              <w:t>''''''''''' ''''''''''</w:t>
            </w:r>
          </w:p>
        </w:tc>
        <w:tc>
          <w:tcPr>
            <w:tcW w:w="700" w:type="pct"/>
            <w:vAlign w:val="center"/>
          </w:tcPr>
          <w:p w:rsidR="00F61688" w:rsidRPr="005F0517" w:rsidRDefault="00A759A7" w:rsidP="00E73A7B">
            <w:pPr>
              <w:pStyle w:val="TableText0"/>
              <w:spacing w:before="0" w:after="0"/>
              <w:jc w:val="center"/>
              <w:rPr>
                <w:rFonts w:ascii="Arial Narrow" w:hAnsi="Arial Narrow"/>
                <w:szCs w:val="20"/>
                <w:lang w:val="en-GB"/>
              </w:rPr>
            </w:pPr>
            <w:r w:rsidRPr="005F0517">
              <w:rPr>
                <w:rFonts w:ascii="Arial Narrow" w:hAnsi="Arial Narrow"/>
                <w:szCs w:val="20"/>
                <w:lang w:val="en-GB"/>
              </w:rPr>
              <w:t xml:space="preserve">27.2 </w:t>
            </w:r>
          </w:p>
          <w:p w:rsidR="00F61688" w:rsidRPr="00204548" w:rsidRDefault="00F61688" w:rsidP="00E73A7B">
            <w:pPr>
              <w:pStyle w:val="TableText0"/>
              <w:spacing w:before="0" w:after="0"/>
              <w:jc w:val="center"/>
              <w:rPr>
                <w:rFonts w:ascii="Arial Narrow" w:hAnsi="Arial Narrow"/>
                <w:szCs w:val="20"/>
              </w:rPr>
            </w:pPr>
            <w:r w:rsidRPr="007D6D20">
              <w:rPr>
                <w:rFonts w:ascii="Arial Narrow" w:hAnsi="Arial Narrow"/>
                <w:szCs w:val="20"/>
                <w:lang w:val="en-GB"/>
              </w:rPr>
              <w:t>(21.9, NE)</w:t>
            </w:r>
          </w:p>
        </w:tc>
        <w:tc>
          <w:tcPr>
            <w:tcW w:w="699" w:type="pct"/>
            <w:vAlign w:val="center"/>
          </w:tcPr>
          <w:p w:rsidR="00F61688" w:rsidRPr="007121AF" w:rsidRDefault="00F61688" w:rsidP="00E73A7B">
            <w:pPr>
              <w:pStyle w:val="TableText0"/>
              <w:spacing w:before="0" w:after="0"/>
              <w:jc w:val="center"/>
              <w:rPr>
                <w:rFonts w:ascii="Arial Narrow" w:hAnsi="Arial Narrow"/>
                <w:szCs w:val="20"/>
                <w:vertAlign w:val="superscript"/>
              </w:rPr>
            </w:pPr>
            <w:r w:rsidRPr="007121AF">
              <w:rPr>
                <w:rFonts w:ascii="Arial Narrow" w:hAnsi="Arial Narrow"/>
                <w:szCs w:val="20"/>
              </w:rPr>
              <w:t>Not reached</w:t>
            </w:r>
            <w:r w:rsidR="00FC0657">
              <w:rPr>
                <w:rFonts w:ascii="Arial Narrow" w:hAnsi="Arial Narrow"/>
                <w:szCs w:val="20"/>
              </w:rPr>
              <w:t xml:space="preserve"> (NR)</w:t>
            </w:r>
            <w:r w:rsidR="00FC0657" w:rsidRPr="00FC0657">
              <w:rPr>
                <w:rFonts w:ascii="Arial Narrow" w:hAnsi="Arial Narrow"/>
                <w:szCs w:val="20"/>
                <w:vertAlign w:val="superscript"/>
              </w:rPr>
              <w:t>3</w:t>
            </w:r>
          </w:p>
        </w:tc>
        <w:tc>
          <w:tcPr>
            <w:tcW w:w="700" w:type="pct"/>
            <w:vAlign w:val="center"/>
          </w:tcPr>
          <w:p w:rsidR="00F61688" w:rsidRPr="007121AF" w:rsidRDefault="00F61688" w:rsidP="00E73A7B">
            <w:pPr>
              <w:pStyle w:val="TableText0"/>
              <w:spacing w:before="0" w:after="0"/>
              <w:jc w:val="center"/>
              <w:rPr>
                <w:rFonts w:ascii="Arial Narrow" w:hAnsi="Arial Narrow"/>
                <w:szCs w:val="20"/>
              </w:rPr>
            </w:pPr>
            <w:r w:rsidRPr="007121AF">
              <w:rPr>
                <w:rFonts w:ascii="Arial Narrow" w:hAnsi="Arial Narrow"/>
                <w:szCs w:val="20"/>
              </w:rPr>
              <w:t xml:space="preserve">Not reached </w:t>
            </w:r>
          </w:p>
          <w:p w:rsidR="00F61688" w:rsidRPr="007121AF" w:rsidRDefault="00F61688" w:rsidP="00E73A7B">
            <w:pPr>
              <w:pStyle w:val="TableText0"/>
              <w:spacing w:before="0" w:after="0"/>
              <w:jc w:val="center"/>
              <w:rPr>
                <w:rFonts w:ascii="Arial Narrow" w:hAnsi="Arial Narrow"/>
                <w:szCs w:val="20"/>
              </w:rPr>
            </w:pPr>
            <w:r w:rsidRPr="007121AF">
              <w:rPr>
                <w:rFonts w:ascii="Arial Narrow" w:hAnsi="Arial Narrow"/>
                <w:szCs w:val="20"/>
              </w:rPr>
              <w:t>(27.7, NE)</w:t>
            </w:r>
          </w:p>
        </w:tc>
      </w:tr>
      <w:tr w:rsidR="00F61688" w:rsidRPr="007121AF" w:rsidTr="00E73A7B">
        <w:tc>
          <w:tcPr>
            <w:tcW w:w="2202" w:type="pct"/>
          </w:tcPr>
          <w:p w:rsidR="00F61688" w:rsidRPr="007121AF" w:rsidRDefault="00F61688" w:rsidP="00E73A7B">
            <w:pPr>
              <w:ind w:right="-108"/>
              <w:rPr>
                <w:rFonts w:ascii="Arial Narrow" w:hAnsi="Arial Narrow"/>
                <w:sz w:val="20"/>
                <w:lang w:val="en-GB"/>
              </w:rPr>
            </w:pPr>
            <w:r w:rsidRPr="007121AF">
              <w:rPr>
                <w:rFonts w:ascii="Arial Narrow" w:hAnsi="Arial Narrow"/>
                <w:sz w:val="20"/>
                <w:lang w:val="en-GB"/>
              </w:rPr>
              <w:t>KM estimate of PFS at 6 months, % (95% CI)</w:t>
            </w:r>
          </w:p>
        </w:tc>
        <w:tc>
          <w:tcPr>
            <w:tcW w:w="699" w:type="pct"/>
          </w:tcPr>
          <w:p w:rsidR="00F61688" w:rsidRPr="00204548" w:rsidRDefault="00204548" w:rsidP="00E73A7B">
            <w:pPr>
              <w:jc w:val="center"/>
              <w:rPr>
                <w:rFonts w:ascii="Arial Narrow" w:hAnsi="Arial Narrow"/>
                <w:sz w:val="20"/>
                <w:highlight w:val="black"/>
                <w:lang w:val="en-GB"/>
              </w:rPr>
            </w:pPr>
            <w:r>
              <w:rPr>
                <w:rFonts w:ascii="Arial Narrow" w:hAnsi="Arial Narrow"/>
                <w:noProof/>
                <w:color w:val="000000"/>
                <w:sz w:val="20"/>
                <w:highlight w:val="black"/>
                <w:lang w:val="en-GB"/>
              </w:rPr>
              <w:t>''''''' '''''''''' '''''''''</w:t>
            </w:r>
          </w:p>
        </w:tc>
        <w:tc>
          <w:tcPr>
            <w:tcW w:w="700" w:type="pct"/>
          </w:tcPr>
          <w:p w:rsidR="00F61688" w:rsidRPr="00204548" w:rsidRDefault="00204548" w:rsidP="00E73A7B">
            <w:pPr>
              <w:jc w:val="center"/>
              <w:rPr>
                <w:rFonts w:ascii="Arial Narrow" w:hAnsi="Arial Narrow"/>
                <w:sz w:val="20"/>
                <w:highlight w:val="black"/>
                <w:lang w:val="en-GB"/>
              </w:rPr>
            </w:pPr>
            <w:r>
              <w:rPr>
                <w:rFonts w:ascii="Arial Narrow" w:hAnsi="Arial Narrow"/>
                <w:noProof/>
                <w:color w:val="000000"/>
                <w:sz w:val="20"/>
                <w:highlight w:val="black"/>
                <w:lang w:val="en-GB"/>
              </w:rPr>
              <w:t>''''' ''''''''' '''''''''</w:t>
            </w:r>
          </w:p>
        </w:tc>
        <w:tc>
          <w:tcPr>
            <w:tcW w:w="699" w:type="pct"/>
          </w:tcPr>
          <w:p w:rsidR="00F61688" w:rsidRPr="007121AF" w:rsidRDefault="00F61688" w:rsidP="00E73A7B">
            <w:pPr>
              <w:jc w:val="center"/>
              <w:rPr>
                <w:rFonts w:ascii="Arial Narrow" w:hAnsi="Arial Narrow"/>
                <w:sz w:val="20"/>
                <w:vertAlign w:val="superscript"/>
                <w:lang w:val="en-GB"/>
              </w:rPr>
            </w:pPr>
            <w:r w:rsidRPr="007121AF">
              <w:rPr>
                <w:rFonts w:ascii="Arial Narrow" w:hAnsi="Arial Narrow"/>
                <w:sz w:val="20"/>
                <w:lang w:val="en-GB"/>
              </w:rPr>
              <w:t>NR</w:t>
            </w:r>
          </w:p>
        </w:tc>
        <w:tc>
          <w:tcPr>
            <w:tcW w:w="700" w:type="pct"/>
          </w:tcPr>
          <w:p w:rsidR="00F61688" w:rsidRPr="007121AF" w:rsidRDefault="00F61688" w:rsidP="00E73A7B">
            <w:pPr>
              <w:pStyle w:val="TableText0"/>
              <w:spacing w:before="0" w:after="0"/>
              <w:jc w:val="center"/>
              <w:rPr>
                <w:rFonts w:ascii="Arial Narrow" w:hAnsi="Arial Narrow"/>
                <w:szCs w:val="20"/>
                <w:lang w:val="en-GB"/>
              </w:rPr>
            </w:pPr>
            <w:r w:rsidRPr="007121AF">
              <w:rPr>
                <w:rFonts w:ascii="Arial Narrow" w:hAnsi="Arial Narrow"/>
                <w:szCs w:val="20"/>
                <w:lang w:val="en-GB"/>
              </w:rPr>
              <w:t>NR</w:t>
            </w:r>
          </w:p>
        </w:tc>
      </w:tr>
      <w:tr w:rsidR="00F61688" w:rsidRPr="007121AF" w:rsidTr="00E73A7B">
        <w:tc>
          <w:tcPr>
            <w:tcW w:w="2202" w:type="pct"/>
          </w:tcPr>
          <w:p w:rsidR="00F61688" w:rsidRPr="007121AF" w:rsidRDefault="00F61688" w:rsidP="00E73A7B">
            <w:pPr>
              <w:ind w:right="-108"/>
              <w:rPr>
                <w:rFonts w:ascii="Arial Narrow" w:hAnsi="Arial Narrow"/>
                <w:sz w:val="20"/>
                <w:lang w:val="en-GB"/>
              </w:rPr>
            </w:pPr>
            <w:r w:rsidRPr="007121AF">
              <w:rPr>
                <w:rFonts w:ascii="Arial Narrow" w:hAnsi="Arial Narrow"/>
                <w:sz w:val="20"/>
                <w:lang w:val="en-GB"/>
              </w:rPr>
              <w:t>KM estimate of PFS at 12 months, % (95% CI)</w:t>
            </w:r>
          </w:p>
        </w:tc>
        <w:tc>
          <w:tcPr>
            <w:tcW w:w="699" w:type="pct"/>
          </w:tcPr>
          <w:p w:rsidR="00F61688" w:rsidRPr="00204548" w:rsidRDefault="00204548" w:rsidP="00E73A7B">
            <w:pPr>
              <w:jc w:val="center"/>
              <w:rPr>
                <w:rFonts w:ascii="Arial Narrow" w:hAnsi="Arial Narrow"/>
                <w:sz w:val="20"/>
                <w:highlight w:val="black"/>
                <w:lang w:val="en-GB"/>
              </w:rPr>
            </w:pPr>
            <w:r>
              <w:rPr>
                <w:rFonts w:ascii="Arial Narrow" w:hAnsi="Arial Narrow"/>
                <w:noProof/>
                <w:color w:val="000000"/>
                <w:sz w:val="20"/>
                <w:highlight w:val="black"/>
                <w:lang w:val="en-GB"/>
              </w:rPr>
              <w:t>'''''' ''''''''' ''''''''</w:t>
            </w:r>
          </w:p>
        </w:tc>
        <w:tc>
          <w:tcPr>
            <w:tcW w:w="700" w:type="pct"/>
          </w:tcPr>
          <w:p w:rsidR="00F61688" w:rsidRPr="00204548" w:rsidRDefault="00F61688" w:rsidP="00E73A7B">
            <w:pPr>
              <w:jc w:val="center"/>
              <w:rPr>
                <w:rFonts w:ascii="Arial Narrow" w:hAnsi="Arial Narrow"/>
                <w:sz w:val="20"/>
                <w:lang w:val="en-GB"/>
              </w:rPr>
            </w:pPr>
            <w:r w:rsidRPr="007D6D20">
              <w:rPr>
                <w:rFonts w:ascii="Arial Narrow" w:hAnsi="Arial Narrow"/>
                <w:sz w:val="20"/>
                <w:lang w:val="en-GB"/>
              </w:rPr>
              <w:t>77 (69, 83)</w:t>
            </w:r>
          </w:p>
        </w:tc>
        <w:tc>
          <w:tcPr>
            <w:tcW w:w="699" w:type="pct"/>
          </w:tcPr>
          <w:p w:rsidR="00F61688" w:rsidRPr="007121AF" w:rsidRDefault="00F61688" w:rsidP="00E73A7B">
            <w:pPr>
              <w:pStyle w:val="TableText0"/>
              <w:spacing w:before="0" w:after="0"/>
              <w:jc w:val="center"/>
              <w:rPr>
                <w:rFonts w:ascii="Arial Narrow" w:hAnsi="Arial Narrow"/>
                <w:szCs w:val="20"/>
                <w:lang w:val="en-GB"/>
              </w:rPr>
            </w:pPr>
            <w:r w:rsidRPr="007121AF">
              <w:rPr>
                <w:rFonts w:ascii="Arial Narrow" w:hAnsi="Arial Narrow"/>
                <w:szCs w:val="20"/>
              </w:rPr>
              <w:t>79 (NR)</w:t>
            </w:r>
          </w:p>
        </w:tc>
        <w:tc>
          <w:tcPr>
            <w:tcW w:w="700" w:type="pct"/>
          </w:tcPr>
          <w:p w:rsidR="00F61688" w:rsidRPr="007121AF" w:rsidRDefault="00F61688" w:rsidP="00FC0657">
            <w:pPr>
              <w:pStyle w:val="TableText0"/>
              <w:spacing w:before="0" w:after="0"/>
              <w:jc w:val="center"/>
              <w:rPr>
                <w:rFonts w:ascii="Arial Narrow" w:hAnsi="Arial Narrow"/>
                <w:szCs w:val="20"/>
                <w:lang w:val="en-GB"/>
              </w:rPr>
            </w:pPr>
            <w:r w:rsidRPr="007121AF">
              <w:rPr>
                <w:rFonts w:ascii="Arial Narrow" w:hAnsi="Arial Narrow"/>
                <w:szCs w:val="20"/>
                <w:lang w:val="en-GB"/>
              </w:rPr>
              <w:t>80 (NR)</w:t>
            </w:r>
            <w:r w:rsidR="00FC0657">
              <w:rPr>
                <w:rFonts w:ascii="Arial Narrow" w:hAnsi="Arial Narrow"/>
                <w:szCs w:val="20"/>
                <w:vertAlign w:val="superscript"/>
                <w:lang w:val="en-GB"/>
              </w:rPr>
              <w:t>4</w:t>
            </w:r>
          </w:p>
        </w:tc>
      </w:tr>
      <w:tr w:rsidR="00F61688" w:rsidRPr="007121AF" w:rsidTr="00E73A7B">
        <w:tc>
          <w:tcPr>
            <w:tcW w:w="5000" w:type="pct"/>
            <w:gridSpan w:val="5"/>
          </w:tcPr>
          <w:p w:rsidR="00F61688" w:rsidRPr="007121AF" w:rsidRDefault="00F61688" w:rsidP="00E73A7B">
            <w:pPr>
              <w:pStyle w:val="TableText0"/>
              <w:spacing w:before="0" w:after="0"/>
              <w:rPr>
                <w:rFonts w:ascii="Arial Narrow" w:hAnsi="Arial Narrow"/>
                <w:szCs w:val="20"/>
                <w:lang w:val="en-GB"/>
              </w:rPr>
            </w:pPr>
            <w:r w:rsidRPr="007121AF">
              <w:rPr>
                <w:rFonts w:ascii="Arial Narrow" w:hAnsi="Arial Narrow"/>
                <w:b/>
                <w:szCs w:val="20"/>
                <w:lang w:val="en-GB"/>
              </w:rPr>
              <w:t>Overall survival</w:t>
            </w:r>
          </w:p>
        </w:tc>
      </w:tr>
      <w:tr w:rsidR="00F61688" w:rsidRPr="007121AF" w:rsidTr="00E73A7B">
        <w:tc>
          <w:tcPr>
            <w:tcW w:w="2202" w:type="pct"/>
            <w:vAlign w:val="center"/>
          </w:tcPr>
          <w:p w:rsidR="00F61688" w:rsidRPr="007121AF" w:rsidRDefault="00F61688" w:rsidP="00E73A7B">
            <w:pPr>
              <w:ind w:right="-108"/>
              <w:rPr>
                <w:rFonts w:ascii="Arial Narrow" w:hAnsi="Arial Narrow"/>
                <w:sz w:val="20"/>
                <w:lang w:val="en-GB"/>
              </w:rPr>
            </w:pPr>
            <w:r w:rsidRPr="007121AF">
              <w:rPr>
                <w:rFonts w:ascii="Arial Narrow" w:hAnsi="Arial Narrow"/>
                <w:sz w:val="20"/>
                <w:lang w:val="en-GB"/>
              </w:rPr>
              <w:t>Deaths n (%)</w:t>
            </w:r>
          </w:p>
        </w:tc>
        <w:tc>
          <w:tcPr>
            <w:tcW w:w="699" w:type="pct"/>
            <w:vAlign w:val="center"/>
          </w:tcPr>
          <w:p w:rsidR="00F61688" w:rsidRPr="00204548" w:rsidRDefault="00204548" w:rsidP="00E73A7B">
            <w:pPr>
              <w:pStyle w:val="TableText0"/>
              <w:spacing w:before="0" w:after="0"/>
              <w:jc w:val="center"/>
              <w:rPr>
                <w:rFonts w:ascii="Arial Narrow" w:hAnsi="Arial Narrow"/>
                <w:szCs w:val="20"/>
                <w:highlight w:val="black"/>
                <w:lang w:val="en-GB"/>
              </w:rPr>
            </w:pPr>
            <w:r>
              <w:rPr>
                <w:rFonts w:ascii="Arial Narrow" w:hAnsi="Arial Narrow"/>
                <w:noProof/>
                <w:color w:val="000000"/>
                <w:szCs w:val="20"/>
                <w:highlight w:val="black"/>
                <w:lang w:val="en-GB"/>
              </w:rPr>
              <w:t>'''' '''''''''''''</w:t>
            </w:r>
          </w:p>
        </w:tc>
        <w:tc>
          <w:tcPr>
            <w:tcW w:w="700" w:type="pct"/>
            <w:vAlign w:val="center"/>
          </w:tcPr>
          <w:p w:rsidR="00F61688" w:rsidRPr="00204548" w:rsidRDefault="00204548" w:rsidP="00E73A7B">
            <w:pPr>
              <w:pStyle w:val="TableText0"/>
              <w:spacing w:before="0" w:after="0"/>
              <w:jc w:val="center"/>
              <w:rPr>
                <w:rFonts w:ascii="Arial Narrow" w:hAnsi="Arial Narrow"/>
                <w:szCs w:val="20"/>
                <w:highlight w:val="black"/>
              </w:rPr>
            </w:pPr>
            <w:r>
              <w:rPr>
                <w:rFonts w:ascii="Arial Narrow" w:hAnsi="Arial Narrow"/>
                <w:noProof/>
                <w:color w:val="000000"/>
                <w:szCs w:val="20"/>
                <w:highlight w:val="black"/>
                <w:lang w:val="en-GB"/>
              </w:rPr>
              <w:t>''''' '''''''''''''''</w:t>
            </w:r>
          </w:p>
        </w:tc>
        <w:tc>
          <w:tcPr>
            <w:tcW w:w="699" w:type="pct"/>
            <w:vAlign w:val="center"/>
          </w:tcPr>
          <w:p w:rsidR="00F61688" w:rsidRPr="007121AF" w:rsidRDefault="00F61688" w:rsidP="00E73A7B">
            <w:pPr>
              <w:jc w:val="center"/>
              <w:rPr>
                <w:rFonts w:ascii="Arial Narrow" w:hAnsi="Arial Narrow"/>
                <w:sz w:val="20"/>
                <w:lang w:val="en-GB"/>
              </w:rPr>
            </w:pPr>
            <w:r w:rsidRPr="007121AF">
              <w:rPr>
                <w:rFonts w:ascii="Arial Narrow" w:hAnsi="Arial Narrow"/>
                <w:sz w:val="20"/>
                <w:lang w:val="en-GB"/>
              </w:rPr>
              <w:t>NR</w:t>
            </w:r>
          </w:p>
        </w:tc>
        <w:tc>
          <w:tcPr>
            <w:tcW w:w="700" w:type="pct"/>
            <w:vAlign w:val="center"/>
          </w:tcPr>
          <w:p w:rsidR="00F61688" w:rsidRPr="007121AF" w:rsidRDefault="00F61688" w:rsidP="00E73A7B">
            <w:pPr>
              <w:jc w:val="center"/>
              <w:rPr>
                <w:rFonts w:ascii="Arial Narrow" w:hAnsi="Arial Narrow"/>
                <w:sz w:val="20"/>
                <w:lang w:val="en-GB"/>
              </w:rPr>
            </w:pPr>
            <w:r w:rsidRPr="007121AF">
              <w:rPr>
                <w:rFonts w:ascii="Arial Narrow" w:hAnsi="Arial Narrow"/>
                <w:sz w:val="20"/>
                <w:lang w:val="en-GB"/>
              </w:rPr>
              <w:t>NR</w:t>
            </w:r>
          </w:p>
        </w:tc>
      </w:tr>
      <w:tr w:rsidR="00F61688" w:rsidRPr="007121AF" w:rsidTr="00E73A7B">
        <w:tc>
          <w:tcPr>
            <w:tcW w:w="2202" w:type="pct"/>
            <w:vAlign w:val="center"/>
          </w:tcPr>
          <w:p w:rsidR="00F61688" w:rsidRPr="007121AF" w:rsidRDefault="00F61688" w:rsidP="00E73A7B">
            <w:pPr>
              <w:ind w:right="-108"/>
              <w:rPr>
                <w:rFonts w:ascii="Arial Narrow" w:hAnsi="Arial Narrow"/>
                <w:sz w:val="20"/>
                <w:lang w:val="en-GB"/>
              </w:rPr>
            </w:pPr>
            <w:r w:rsidRPr="007121AF">
              <w:rPr>
                <w:rFonts w:ascii="Arial Narrow" w:hAnsi="Arial Narrow"/>
                <w:sz w:val="20"/>
                <w:lang w:val="en-GB"/>
              </w:rPr>
              <w:t>Median OS, months (95% CI)</w:t>
            </w:r>
          </w:p>
        </w:tc>
        <w:tc>
          <w:tcPr>
            <w:tcW w:w="699" w:type="pct"/>
            <w:vAlign w:val="center"/>
          </w:tcPr>
          <w:p w:rsidR="00F61688" w:rsidRPr="00204548" w:rsidRDefault="00204548" w:rsidP="00E73A7B">
            <w:pPr>
              <w:pStyle w:val="TableText0"/>
              <w:spacing w:before="0" w:after="0"/>
              <w:jc w:val="center"/>
              <w:rPr>
                <w:rFonts w:ascii="Arial Narrow" w:hAnsi="Arial Narrow"/>
                <w:szCs w:val="20"/>
                <w:highlight w:val="black"/>
                <w:lang w:val="en-GB"/>
              </w:rPr>
            </w:pPr>
            <w:r>
              <w:rPr>
                <w:rFonts w:ascii="Arial Narrow" w:hAnsi="Arial Narrow"/>
                <w:noProof/>
                <w:color w:val="000000"/>
                <w:szCs w:val="20"/>
                <w:highlight w:val="black"/>
                <w:lang w:val="en-GB"/>
              </w:rPr>
              <w:t xml:space="preserve">'''''''' ''''''''''''''''''''' </w:t>
            </w:r>
          </w:p>
          <w:p w:rsidR="00F61688" w:rsidRPr="00204548" w:rsidRDefault="00204548" w:rsidP="00724266">
            <w:pPr>
              <w:pStyle w:val="TableText0"/>
              <w:spacing w:before="0" w:after="0"/>
              <w:jc w:val="center"/>
              <w:rPr>
                <w:rFonts w:ascii="Arial Narrow" w:hAnsi="Arial Narrow"/>
                <w:szCs w:val="20"/>
                <w:highlight w:val="black"/>
              </w:rPr>
            </w:pPr>
            <w:r>
              <w:rPr>
                <w:rFonts w:ascii="Arial Narrow" w:hAnsi="Arial Narrow"/>
                <w:noProof/>
                <w:color w:val="000000"/>
                <w:szCs w:val="20"/>
                <w:highlight w:val="black"/>
                <w:lang w:val="en-GB"/>
              </w:rPr>
              <w:t>'''''''''' ''''''''''</w:t>
            </w:r>
          </w:p>
        </w:tc>
        <w:tc>
          <w:tcPr>
            <w:tcW w:w="700" w:type="pct"/>
            <w:vAlign w:val="center"/>
          </w:tcPr>
          <w:p w:rsidR="00A759A7" w:rsidRPr="007D6D20" w:rsidRDefault="00A759A7" w:rsidP="00E73A7B">
            <w:pPr>
              <w:pStyle w:val="TableText0"/>
              <w:spacing w:before="0" w:after="0"/>
              <w:jc w:val="center"/>
              <w:rPr>
                <w:rFonts w:ascii="Arial Narrow" w:hAnsi="Arial Narrow"/>
                <w:szCs w:val="20"/>
              </w:rPr>
            </w:pPr>
            <w:r w:rsidRPr="007D6D20">
              <w:rPr>
                <w:rFonts w:ascii="Arial Narrow" w:hAnsi="Arial Narrow"/>
                <w:szCs w:val="20"/>
              </w:rPr>
              <w:t xml:space="preserve">Not reached </w:t>
            </w:r>
          </w:p>
          <w:p w:rsidR="00F61688" w:rsidRPr="00204548" w:rsidRDefault="00204548" w:rsidP="00E73A7B">
            <w:pPr>
              <w:pStyle w:val="TableText0"/>
              <w:spacing w:before="0" w:after="0"/>
              <w:jc w:val="center"/>
              <w:rPr>
                <w:rFonts w:ascii="Arial Narrow" w:hAnsi="Arial Narrow"/>
                <w:szCs w:val="20"/>
                <w:highlight w:val="black"/>
              </w:rPr>
            </w:pPr>
            <w:r>
              <w:rPr>
                <w:rFonts w:ascii="Arial Narrow" w:hAnsi="Arial Narrow"/>
                <w:noProof/>
                <w:color w:val="000000"/>
                <w:szCs w:val="20"/>
                <w:highlight w:val="black"/>
              </w:rPr>
              <w:t>''''''''''''' ''''''''''</w:t>
            </w:r>
          </w:p>
        </w:tc>
        <w:tc>
          <w:tcPr>
            <w:tcW w:w="699" w:type="pct"/>
            <w:vAlign w:val="center"/>
          </w:tcPr>
          <w:p w:rsidR="00F61688" w:rsidRPr="007121AF" w:rsidRDefault="00F61688" w:rsidP="00E73A7B">
            <w:pPr>
              <w:jc w:val="center"/>
              <w:rPr>
                <w:rFonts w:ascii="Arial Narrow" w:hAnsi="Arial Narrow"/>
                <w:sz w:val="20"/>
                <w:lang w:val="en-GB"/>
              </w:rPr>
            </w:pPr>
            <w:r w:rsidRPr="007121AF">
              <w:rPr>
                <w:rFonts w:ascii="Arial Narrow" w:hAnsi="Arial Narrow"/>
                <w:sz w:val="20"/>
                <w:lang w:val="en-GB"/>
              </w:rPr>
              <w:t>NR</w:t>
            </w:r>
          </w:p>
        </w:tc>
        <w:tc>
          <w:tcPr>
            <w:tcW w:w="700" w:type="pct"/>
            <w:vAlign w:val="center"/>
          </w:tcPr>
          <w:p w:rsidR="00F61688" w:rsidRPr="007121AF" w:rsidRDefault="00F61688" w:rsidP="00E73A7B">
            <w:pPr>
              <w:jc w:val="center"/>
              <w:rPr>
                <w:rFonts w:ascii="Arial Narrow" w:hAnsi="Arial Narrow"/>
                <w:sz w:val="20"/>
                <w:lang w:val="en-GB"/>
              </w:rPr>
            </w:pPr>
            <w:r w:rsidRPr="007121AF">
              <w:rPr>
                <w:rFonts w:ascii="Arial Narrow" w:hAnsi="Arial Narrow"/>
                <w:sz w:val="20"/>
                <w:lang w:val="en-GB"/>
              </w:rPr>
              <w:t xml:space="preserve">Not reached </w:t>
            </w:r>
          </w:p>
          <w:p w:rsidR="00F61688" w:rsidRPr="007121AF" w:rsidRDefault="00F61688" w:rsidP="00E73A7B">
            <w:pPr>
              <w:jc w:val="center"/>
              <w:rPr>
                <w:rFonts w:ascii="Arial Narrow" w:hAnsi="Arial Narrow"/>
                <w:sz w:val="20"/>
                <w:lang w:val="en-GB"/>
              </w:rPr>
            </w:pPr>
            <w:r w:rsidRPr="007121AF">
              <w:rPr>
                <w:rFonts w:ascii="Arial Narrow" w:hAnsi="Arial Narrow"/>
                <w:sz w:val="20"/>
                <w:lang w:val="en-GB"/>
              </w:rPr>
              <w:t>(29.5, NE)</w:t>
            </w:r>
          </w:p>
        </w:tc>
      </w:tr>
      <w:tr w:rsidR="00F61688" w:rsidRPr="007121AF" w:rsidTr="00E73A7B">
        <w:tc>
          <w:tcPr>
            <w:tcW w:w="2202" w:type="pct"/>
          </w:tcPr>
          <w:p w:rsidR="00F61688" w:rsidRPr="007121AF" w:rsidRDefault="00F61688" w:rsidP="00E73A7B">
            <w:pPr>
              <w:ind w:right="-108"/>
              <w:rPr>
                <w:rFonts w:ascii="Arial Narrow" w:hAnsi="Arial Narrow"/>
                <w:sz w:val="20"/>
                <w:lang w:val="en-GB"/>
              </w:rPr>
            </w:pPr>
            <w:r w:rsidRPr="007121AF">
              <w:rPr>
                <w:rFonts w:ascii="Arial Narrow" w:hAnsi="Arial Narrow"/>
                <w:sz w:val="20"/>
                <w:lang w:val="en-GB"/>
              </w:rPr>
              <w:t>KM estimate of OS at 6 months, % (95% CI)</w:t>
            </w:r>
          </w:p>
        </w:tc>
        <w:tc>
          <w:tcPr>
            <w:tcW w:w="699" w:type="pct"/>
          </w:tcPr>
          <w:p w:rsidR="00F61688" w:rsidRPr="00204548" w:rsidRDefault="00204548" w:rsidP="00E73A7B">
            <w:pPr>
              <w:jc w:val="center"/>
              <w:rPr>
                <w:rFonts w:ascii="Arial Narrow" w:hAnsi="Arial Narrow"/>
                <w:sz w:val="20"/>
                <w:highlight w:val="black"/>
                <w:lang w:val="en-GB"/>
              </w:rPr>
            </w:pPr>
            <w:r>
              <w:rPr>
                <w:rFonts w:ascii="Arial Narrow" w:hAnsi="Arial Narrow"/>
                <w:noProof/>
                <w:color w:val="000000"/>
                <w:sz w:val="20"/>
                <w:highlight w:val="black"/>
                <w:lang w:val="en-GB"/>
              </w:rPr>
              <w:t>''''' ''''''''' ''''''''</w:t>
            </w:r>
          </w:p>
        </w:tc>
        <w:tc>
          <w:tcPr>
            <w:tcW w:w="700" w:type="pct"/>
          </w:tcPr>
          <w:p w:rsidR="00F61688" w:rsidRPr="00204548" w:rsidRDefault="00204548" w:rsidP="00E73A7B">
            <w:pPr>
              <w:jc w:val="center"/>
              <w:rPr>
                <w:rFonts w:ascii="Arial Narrow" w:hAnsi="Arial Narrow"/>
                <w:sz w:val="20"/>
                <w:highlight w:val="black"/>
                <w:lang w:val="en-GB"/>
              </w:rPr>
            </w:pPr>
            <w:r>
              <w:rPr>
                <w:rFonts w:ascii="Arial Narrow" w:hAnsi="Arial Narrow"/>
                <w:noProof/>
                <w:color w:val="000000"/>
                <w:sz w:val="20"/>
                <w:highlight w:val="black"/>
                <w:lang w:val="en-GB"/>
              </w:rPr>
              <w:t>''''''' ''''''''' '''''''</w:t>
            </w:r>
          </w:p>
        </w:tc>
        <w:tc>
          <w:tcPr>
            <w:tcW w:w="699" w:type="pct"/>
          </w:tcPr>
          <w:p w:rsidR="00F61688" w:rsidRPr="007121AF" w:rsidRDefault="00F61688" w:rsidP="00E73A7B">
            <w:pPr>
              <w:jc w:val="center"/>
              <w:rPr>
                <w:rFonts w:ascii="Arial Narrow" w:hAnsi="Arial Narrow"/>
                <w:sz w:val="20"/>
                <w:lang w:val="en-GB"/>
              </w:rPr>
            </w:pPr>
            <w:r w:rsidRPr="007121AF">
              <w:rPr>
                <w:rFonts w:ascii="Arial Narrow" w:hAnsi="Arial Narrow"/>
                <w:sz w:val="20"/>
                <w:lang w:val="en-GB"/>
              </w:rPr>
              <w:t>NR</w:t>
            </w:r>
          </w:p>
        </w:tc>
        <w:tc>
          <w:tcPr>
            <w:tcW w:w="700" w:type="pct"/>
          </w:tcPr>
          <w:p w:rsidR="00F61688" w:rsidRPr="007121AF" w:rsidRDefault="00F61688" w:rsidP="00E73A7B">
            <w:pPr>
              <w:jc w:val="center"/>
              <w:rPr>
                <w:rFonts w:ascii="Arial Narrow" w:hAnsi="Arial Narrow"/>
                <w:sz w:val="20"/>
                <w:lang w:val="en-GB"/>
              </w:rPr>
            </w:pPr>
            <w:r w:rsidRPr="007121AF">
              <w:rPr>
                <w:rFonts w:ascii="Arial Narrow" w:hAnsi="Arial Narrow"/>
                <w:sz w:val="20"/>
                <w:lang w:val="en-GB"/>
              </w:rPr>
              <w:t>NR</w:t>
            </w:r>
          </w:p>
        </w:tc>
      </w:tr>
      <w:tr w:rsidR="00F61688" w:rsidRPr="007121AF" w:rsidTr="00E73A7B">
        <w:tc>
          <w:tcPr>
            <w:tcW w:w="2202" w:type="pct"/>
          </w:tcPr>
          <w:p w:rsidR="00F61688" w:rsidRPr="007121AF" w:rsidRDefault="00F61688" w:rsidP="00E73A7B">
            <w:pPr>
              <w:ind w:right="-108"/>
              <w:rPr>
                <w:rFonts w:ascii="Arial Narrow" w:hAnsi="Arial Narrow"/>
                <w:sz w:val="20"/>
                <w:lang w:val="en-GB"/>
              </w:rPr>
            </w:pPr>
            <w:r w:rsidRPr="007121AF">
              <w:rPr>
                <w:rFonts w:ascii="Arial Narrow" w:hAnsi="Arial Narrow"/>
                <w:sz w:val="20"/>
                <w:lang w:val="en-GB"/>
              </w:rPr>
              <w:t>KM estimate of OS at 12 months, % (95% CI)</w:t>
            </w:r>
          </w:p>
        </w:tc>
        <w:tc>
          <w:tcPr>
            <w:tcW w:w="699" w:type="pct"/>
          </w:tcPr>
          <w:p w:rsidR="00F61688" w:rsidRPr="00204548" w:rsidRDefault="00204548" w:rsidP="00E73A7B">
            <w:pPr>
              <w:jc w:val="center"/>
              <w:rPr>
                <w:rFonts w:ascii="Arial Narrow" w:hAnsi="Arial Narrow"/>
                <w:sz w:val="20"/>
                <w:highlight w:val="black"/>
                <w:lang w:val="en-GB"/>
              </w:rPr>
            </w:pPr>
            <w:r>
              <w:rPr>
                <w:rFonts w:ascii="Arial Narrow" w:hAnsi="Arial Narrow"/>
                <w:noProof/>
                <w:color w:val="000000"/>
                <w:sz w:val="20"/>
                <w:highlight w:val="black"/>
                <w:lang w:val="en-GB"/>
              </w:rPr>
              <w:t>'''''' '''''''''' '''''''</w:t>
            </w:r>
          </w:p>
        </w:tc>
        <w:tc>
          <w:tcPr>
            <w:tcW w:w="700" w:type="pct"/>
          </w:tcPr>
          <w:p w:rsidR="00F61688" w:rsidRPr="00204548" w:rsidRDefault="00F61688" w:rsidP="00E73A7B">
            <w:pPr>
              <w:jc w:val="center"/>
              <w:rPr>
                <w:rFonts w:ascii="Arial Narrow" w:hAnsi="Arial Narrow"/>
                <w:sz w:val="20"/>
                <w:lang w:val="en-GB"/>
              </w:rPr>
            </w:pPr>
            <w:r w:rsidRPr="008C5373">
              <w:rPr>
                <w:rFonts w:ascii="Arial Narrow" w:hAnsi="Arial Narrow"/>
                <w:sz w:val="20"/>
                <w:lang w:val="en-GB"/>
              </w:rPr>
              <w:t>87 (80, 91)</w:t>
            </w:r>
          </w:p>
        </w:tc>
        <w:tc>
          <w:tcPr>
            <w:tcW w:w="699" w:type="pct"/>
          </w:tcPr>
          <w:p w:rsidR="00F61688" w:rsidRPr="007121AF" w:rsidRDefault="00F61688" w:rsidP="00E73A7B">
            <w:pPr>
              <w:jc w:val="center"/>
              <w:rPr>
                <w:rFonts w:ascii="Arial Narrow" w:hAnsi="Arial Narrow"/>
                <w:sz w:val="20"/>
                <w:lang w:val="en-GB"/>
              </w:rPr>
            </w:pPr>
            <w:r w:rsidRPr="007121AF">
              <w:rPr>
                <w:rFonts w:ascii="Arial Narrow" w:hAnsi="Arial Narrow"/>
                <w:sz w:val="20"/>
                <w:lang w:val="en-GB"/>
              </w:rPr>
              <w:t>NR</w:t>
            </w:r>
          </w:p>
        </w:tc>
        <w:tc>
          <w:tcPr>
            <w:tcW w:w="700" w:type="pct"/>
          </w:tcPr>
          <w:p w:rsidR="00F61688" w:rsidRPr="007121AF" w:rsidRDefault="00F61688" w:rsidP="00FC0657">
            <w:pPr>
              <w:jc w:val="center"/>
              <w:rPr>
                <w:rFonts w:ascii="Arial Narrow" w:hAnsi="Arial Narrow"/>
                <w:sz w:val="20"/>
                <w:lang w:val="en-GB"/>
              </w:rPr>
            </w:pPr>
            <w:r w:rsidRPr="007121AF">
              <w:rPr>
                <w:rFonts w:ascii="Arial Narrow" w:hAnsi="Arial Narrow"/>
                <w:sz w:val="20"/>
                <w:lang w:val="en-GB"/>
              </w:rPr>
              <w:t>84 (NR)</w:t>
            </w:r>
            <w:r w:rsidR="00FC0657">
              <w:rPr>
                <w:rFonts w:ascii="Arial Narrow" w:hAnsi="Arial Narrow"/>
                <w:sz w:val="20"/>
                <w:vertAlign w:val="superscript"/>
                <w:lang w:val="en-GB"/>
              </w:rPr>
              <w:t>4</w:t>
            </w:r>
          </w:p>
        </w:tc>
      </w:tr>
    </w:tbl>
    <w:p w:rsidR="00F61688" w:rsidRDefault="00F61688" w:rsidP="00F61688">
      <w:pPr>
        <w:ind w:left="720"/>
        <w:rPr>
          <w:rFonts w:ascii="Arial Narrow" w:hAnsi="Arial Narrow"/>
          <w:sz w:val="18"/>
          <w:szCs w:val="18"/>
        </w:rPr>
      </w:pPr>
      <w:r>
        <w:rPr>
          <w:rFonts w:ascii="Arial Narrow" w:hAnsi="Arial Narrow"/>
          <w:sz w:val="18"/>
          <w:szCs w:val="18"/>
        </w:rPr>
        <w:t xml:space="preserve">Abbreviations: </w:t>
      </w:r>
      <w:r w:rsidR="004E6F9B">
        <w:rPr>
          <w:rFonts w:ascii="Arial Narrow" w:hAnsi="Arial Narrow"/>
          <w:sz w:val="18"/>
          <w:szCs w:val="18"/>
        </w:rPr>
        <w:t>17p</w:t>
      </w:r>
      <w:r w:rsidR="0003250C">
        <w:rPr>
          <w:rFonts w:ascii="Arial Narrow" w:hAnsi="Arial Narrow"/>
          <w:sz w:val="18"/>
          <w:szCs w:val="18"/>
        </w:rPr>
        <w:t xml:space="preserve"> del</w:t>
      </w:r>
      <w:r w:rsidR="004E6F9B">
        <w:rPr>
          <w:rFonts w:ascii="Arial Narrow" w:hAnsi="Arial Narrow"/>
          <w:sz w:val="18"/>
          <w:szCs w:val="18"/>
        </w:rPr>
        <w:t xml:space="preserve">, 17 deletion subgroup; </w:t>
      </w:r>
      <w:r>
        <w:rPr>
          <w:rFonts w:ascii="Arial Narrow" w:hAnsi="Arial Narrow"/>
          <w:sz w:val="18"/>
          <w:szCs w:val="18"/>
        </w:rPr>
        <w:t>CI, confidence interval; IBRU, ibrutinib; KM, Kaplan-Meier; NE, not evaluable; NR, not reported; OS, overall survival; PFS, progression free survival; RITU, rituximab; VEN, venetoclax</w:t>
      </w:r>
    </w:p>
    <w:p w:rsidR="00F61688" w:rsidRDefault="00F61688" w:rsidP="00F61688">
      <w:pPr>
        <w:ind w:firstLine="720"/>
        <w:rPr>
          <w:rFonts w:ascii="Arial Narrow" w:hAnsi="Arial Narrow"/>
          <w:sz w:val="18"/>
          <w:szCs w:val="18"/>
        </w:rPr>
      </w:pPr>
      <w:r>
        <w:rPr>
          <w:rFonts w:ascii="Arial Narrow" w:hAnsi="Arial Narrow"/>
          <w:sz w:val="18"/>
          <w:szCs w:val="18"/>
          <w:vertAlign w:val="superscript"/>
        </w:rPr>
        <w:t>1</w:t>
      </w:r>
      <w:r>
        <w:rPr>
          <w:rFonts w:ascii="Arial Narrow" w:hAnsi="Arial Narrow"/>
          <w:sz w:val="18"/>
          <w:szCs w:val="18"/>
        </w:rPr>
        <w:t xml:space="preserve"> Interquartile range</w:t>
      </w:r>
    </w:p>
    <w:p w:rsidR="00F61688" w:rsidRDefault="00F61688" w:rsidP="00F61688">
      <w:pPr>
        <w:ind w:firstLine="720"/>
        <w:rPr>
          <w:rFonts w:ascii="Arial Narrow" w:hAnsi="Arial Narrow"/>
          <w:sz w:val="18"/>
          <w:szCs w:val="18"/>
        </w:rPr>
      </w:pPr>
      <w:r>
        <w:rPr>
          <w:rFonts w:ascii="Arial Narrow" w:hAnsi="Arial Narrow"/>
          <w:sz w:val="18"/>
          <w:szCs w:val="18"/>
          <w:vertAlign w:val="superscript"/>
        </w:rPr>
        <w:t>2</w:t>
      </w:r>
      <w:r>
        <w:rPr>
          <w:rFonts w:ascii="Arial Narrow" w:hAnsi="Arial Narrow"/>
          <w:sz w:val="18"/>
          <w:szCs w:val="18"/>
        </w:rPr>
        <w:t xml:space="preserve"> Includes partial response with lymphocytosis</w:t>
      </w:r>
    </w:p>
    <w:p w:rsidR="00FC0657" w:rsidRDefault="00FC0657" w:rsidP="00FC0657">
      <w:pPr>
        <w:ind w:firstLine="720"/>
        <w:rPr>
          <w:rFonts w:ascii="Arial Narrow" w:hAnsi="Arial Narrow"/>
          <w:sz w:val="18"/>
          <w:szCs w:val="18"/>
        </w:rPr>
      </w:pPr>
      <w:r w:rsidRPr="00FC0657">
        <w:rPr>
          <w:rFonts w:ascii="Arial Narrow" w:hAnsi="Arial Narrow"/>
          <w:sz w:val="18"/>
          <w:szCs w:val="18"/>
          <w:vertAlign w:val="superscript"/>
        </w:rPr>
        <w:t>3</w:t>
      </w:r>
      <w:r>
        <w:rPr>
          <w:rFonts w:ascii="Arial Narrow" w:hAnsi="Arial Narrow"/>
          <w:sz w:val="18"/>
          <w:szCs w:val="18"/>
        </w:rPr>
        <w:t xml:space="preserve"> Results from 9-month analysis; not reported in 16-month analysis</w:t>
      </w:r>
    </w:p>
    <w:p w:rsidR="00F61688" w:rsidRDefault="00FC0657" w:rsidP="00F61688">
      <w:pPr>
        <w:ind w:firstLine="720"/>
        <w:rPr>
          <w:rFonts w:ascii="Arial Narrow" w:hAnsi="Arial Narrow"/>
          <w:sz w:val="18"/>
          <w:szCs w:val="18"/>
        </w:rPr>
      </w:pPr>
      <w:r>
        <w:rPr>
          <w:rFonts w:ascii="Arial Narrow" w:hAnsi="Arial Narrow"/>
          <w:sz w:val="18"/>
          <w:szCs w:val="18"/>
          <w:vertAlign w:val="superscript"/>
        </w:rPr>
        <w:t>4</w:t>
      </w:r>
      <w:r w:rsidR="00F61688">
        <w:rPr>
          <w:rFonts w:ascii="Arial Narrow" w:hAnsi="Arial Narrow"/>
          <w:sz w:val="18"/>
          <w:szCs w:val="18"/>
        </w:rPr>
        <w:t xml:space="preserve"> Based on interpolation of Kaplan-Meier data by the sponsor</w:t>
      </w:r>
    </w:p>
    <w:p w:rsidR="001152B6" w:rsidRDefault="001152B6" w:rsidP="001152B6">
      <w:pPr>
        <w:ind w:left="720"/>
        <w:rPr>
          <w:rFonts w:ascii="Arial Narrow" w:hAnsi="Arial Narrow"/>
          <w:sz w:val="18"/>
          <w:szCs w:val="18"/>
        </w:rPr>
      </w:pPr>
      <w:r>
        <w:rPr>
          <w:rFonts w:ascii="Arial Narrow" w:hAnsi="Arial Narrow"/>
          <w:sz w:val="18"/>
          <w:szCs w:val="18"/>
        </w:rPr>
        <w:t>Source: Compiled during the evaluation using the most recent investigator-assessed outcomes.</w:t>
      </w:r>
    </w:p>
    <w:p w:rsidR="00F61688" w:rsidRPr="00A759A7" w:rsidRDefault="00F61688" w:rsidP="00A759A7">
      <w:pPr>
        <w:widowControl/>
        <w:rPr>
          <w:szCs w:val="22"/>
        </w:rPr>
      </w:pPr>
    </w:p>
    <w:p w:rsidR="00F61688" w:rsidRDefault="00F61688" w:rsidP="00A759A7">
      <w:pPr>
        <w:pStyle w:val="ListParagraph"/>
        <w:widowControl/>
        <w:numPr>
          <w:ilvl w:val="1"/>
          <w:numId w:val="3"/>
        </w:numPr>
      </w:pPr>
      <w:r w:rsidRPr="00A759A7">
        <w:rPr>
          <w:szCs w:val="22"/>
        </w:rPr>
        <w:t>Based</w:t>
      </w:r>
      <w:r>
        <w:t xml:space="preserve"> on the naïve indirect comparison, the submission claimed that venetoclax treatment was associated with numerically higher </w:t>
      </w:r>
      <w:r w:rsidR="00363644">
        <w:t xml:space="preserve">complete </w:t>
      </w:r>
      <w:r>
        <w:t>response rates and numerically similar survival outcomes compared to ibrutinib.</w:t>
      </w:r>
      <w:r w:rsidR="00363644">
        <w:t xml:space="preserve"> It was also noted that venetoclax treatment was associated with numerically lower overall response rates.</w:t>
      </w:r>
    </w:p>
    <w:p w:rsidR="00F61688" w:rsidRPr="007F1017" w:rsidRDefault="00F61688" w:rsidP="00A759A7">
      <w:pPr>
        <w:widowControl/>
      </w:pPr>
    </w:p>
    <w:p w:rsidR="00F61688" w:rsidRPr="001F0B24" w:rsidRDefault="00F61688" w:rsidP="001011FE">
      <w:pPr>
        <w:pStyle w:val="ListParagraph"/>
        <w:widowControl/>
        <w:numPr>
          <w:ilvl w:val="1"/>
          <w:numId w:val="3"/>
        </w:numPr>
        <w:rPr>
          <w:szCs w:val="22"/>
        </w:rPr>
      </w:pPr>
      <w:r w:rsidRPr="001F0B24">
        <w:rPr>
          <w:szCs w:val="22"/>
        </w:rPr>
        <w:t xml:space="preserve">The key results of the </w:t>
      </w:r>
      <w:r w:rsidR="00A759A7">
        <w:t xml:space="preserve">naïve </w:t>
      </w:r>
      <w:r w:rsidRPr="001F0B24">
        <w:rPr>
          <w:szCs w:val="22"/>
        </w:rPr>
        <w:t xml:space="preserve">indirect comparison between venetoclax and rituximab monotherapy in patients with highly refractory disease are summarised in </w:t>
      </w:r>
      <w:r>
        <w:rPr>
          <w:szCs w:val="22"/>
        </w:rPr>
        <w:t>T</w:t>
      </w:r>
      <w:r w:rsidRPr="001F0B24">
        <w:rPr>
          <w:szCs w:val="22"/>
        </w:rPr>
        <w:t>able</w:t>
      </w:r>
      <w:r>
        <w:rPr>
          <w:szCs w:val="22"/>
        </w:rPr>
        <w:t xml:space="preserve"> 6</w:t>
      </w:r>
      <w:r w:rsidRPr="001F0B24">
        <w:rPr>
          <w:szCs w:val="22"/>
        </w:rPr>
        <w:t>.</w:t>
      </w:r>
    </w:p>
    <w:p w:rsidR="00841E78" w:rsidRDefault="00841E78">
      <w:pPr>
        <w:widowControl/>
        <w:jc w:val="left"/>
        <w:rPr>
          <w:szCs w:val="22"/>
        </w:rPr>
      </w:pPr>
      <w:r>
        <w:rPr>
          <w:szCs w:val="22"/>
        </w:rPr>
        <w:br w:type="page"/>
      </w:r>
    </w:p>
    <w:p w:rsidR="00F61688" w:rsidRDefault="00F61688" w:rsidP="00F61688">
      <w:pPr>
        <w:widowControl/>
        <w:rPr>
          <w:szCs w:val="22"/>
        </w:rPr>
      </w:pPr>
    </w:p>
    <w:p w:rsidR="00F61688" w:rsidRPr="00006210" w:rsidRDefault="00F61688" w:rsidP="00F61688">
      <w:pPr>
        <w:keepNext/>
        <w:ind w:left="720"/>
        <w:rPr>
          <w:rFonts w:ascii="Arial Narrow" w:hAnsi="Arial Narrow"/>
          <w:b/>
          <w:sz w:val="20"/>
        </w:rPr>
      </w:pPr>
      <w:r>
        <w:rPr>
          <w:rFonts w:ascii="Arial Narrow" w:hAnsi="Arial Narrow"/>
          <w:b/>
          <w:sz w:val="20"/>
        </w:rPr>
        <w:t>Table 6: Summary of the most recent efficacy results for venetoclax vs. rituximab monotherapy in overall study populations</w:t>
      </w:r>
    </w:p>
    <w:tbl>
      <w:tblPr>
        <w:tblW w:w="4604" w:type="pct"/>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6"/>
        <w:gridCol w:w="2383"/>
        <w:gridCol w:w="2381"/>
      </w:tblGrid>
      <w:tr w:rsidR="00F61688" w:rsidRPr="007121AF" w:rsidTr="00E73A7B">
        <w:tc>
          <w:tcPr>
            <w:tcW w:w="2201" w:type="pct"/>
            <w:vMerge w:val="restart"/>
            <w:vAlign w:val="center"/>
          </w:tcPr>
          <w:p w:rsidR="00F61688" w:rsidRPr="007121AF" w:rsidRDefault="00F61688" w:rsidP="00E73A7B">
            <w:pPr>
              <w:jc w:val="center"/>
              <w:rPr>
                <w:rFonts w:ascii="Arial Narrow" w:hAnsi="Arial Narrow"/>
                <w:b/>
                <w:sz w:val="20"/>
              </w:rPr>
            </w:pPr>
          </w:p>
        </w:tc>
        <w:tc>
          <w:tcPr>
            <w:tcW w:w="1400" w:type="pct"/>
            <w:vAlign w:val="center"/>
          </w:tcPr>
          <w:p w:rsidR="00F61688" w:rsidRPr="007121AF" w:rsidRDefault="00F61688" w:rsidP="00E73A7B">
            <w:pPr>
              <w:jc w:val="center"/>
              <w:rPr>
                <w:rFonts w:ascii="Arial Narrow" w:hAnsi="Arial Narrow"/>
                <w:b/>
                <w:sz w:val="20"/>
              </w:rPr>
            </w:pPr>
            <w:r w:rsidRPr="007121AF">
              <w:rPr>
                <w:rFonts w:ascii="Arial Narrow" w:hAnsi="Arial Narrow"/>
                <w:b/>
                <w:sz w:val="20"/>
              </w:rPr>
              <w:t>M14-032</w:t>
            </w:r>
          </w:p>
        </w:tc>
        <w:tc>
          <w:tcPr>
            <w:tcW w:w="1399" w:type="pct"/>
            <w:vAlign w:val="center"/>
          </w:tcPr>
          <w:p w:rsidR="00F61688" w:rsidRPr="007121AF" w:rsidRDefault="00F61688" w:rsidP="00E73A7B">
            <w:pPr>
              <w:pStyle w:val="Tabletextcentred"/>
              <w:rPr>
                <w:b/>
                <w:snapToGrid w:val="0"/>
              </w:rPr>
            </w:pPr>
            <w:r w:rsidRPr="007121AF">
              <w:rPr>
                <w:b/>
                <w:snapToGrid w:val="0"/>
              </w:rPr>
              <w:t>312-0116</w:t>
            </w:r>
          </w:p>
        </w:tc>
      </w:tr>
      <w:tr w:rsidR="00F61688" w:rsidRPr="007121AF" w:rsidTr="00E73A7B">
        <w:tc>
          <w:tcPr>
            <w:tcW w:w="2201" w:type="pct"/>
            <w:vMerge/>
          </w:tcPr>
          <w:p w:rsidR="00F61688" w:rsidRPr="007121AF" w:rsidRDefault="00F61688" w:rsidP="00E73A7B">
            <w:pPr>
              <w:jc w:val="center"/>
              <w:rPr>
                <w:rFonts w:ascii="Arial Narrow" w:hAnsi="Arial Narrow"/>
                <w:b/>
                <w:sz w:val="20"/>
              </w:rPr>
            </w:pPr>
          </w:p>
        </w:tc>
        <w:tc>
          <w:tcPr>
            <w:tcW w:w="1400" w:type="pct"/>
            <w:vAlign w:val="center"/>
          </w:tcPr>
          <w:p w:rsidR="00F61688" w:rsidRPr="007121AF" w:rsidRDefault="00F61688" w:rsidP="00E73A7B">
            <w:pPr>
              <w:jc w:val="center"/>
              <w:rPr>
                <w:rFonts w:ascii="Arial Narrow" w:hAnsi="Arial Narrow"/>
                <w:b/>
                <w:sz w:val="20"/>
              </w:rPr>
            </w:pPr>
            <w:r w:rsidRPr="007121AF">
              <w:rPr>
                <w:rFonts w:ascii="Arial Narrow" w:hAnsi="Arial Narrow"/>
                <w:b/>
                <w:sz w:val="20"/>
              </w:rPr>
              <w:t>VEN</w:t>
            </w:r>
          </w:p>
          <w:p w:rsidR="00F61688" w:rsidRPr="007121AF" w:rsidRDefault="00F61688" w:rsidP="00E73A7B">
            <w:pPr>
              <w:jc w:val="center"/>
              <w:rPr>
                <w:rFonts w:ascii="Arial Narrow" w:hAnsi="Arial Narrow"/>
                <w:b/>
                <w:sz w:val="20"/>
              </w:rPr>
            </w:pPr>
            <w:r w:rsidRPr="007121AF">
              <w:rPr>
                <w:rFonts w:ascii="Arial Narrow" w:hAnsi="Arial Narrow"/>
                <w:b/>
                <w:sz w:val="20"/>
              </w:rPr>
              <w:t>all subjects</w:t>
            </w:r>
          </w:p>
          <w:p w:rsidR="00F61688" w:rsidRPr="007121AF" w:rsidRDefault="00F61688" w:rsidP="00E73A7B">
            <w:pPr>
              <w:jc w:val="center"/>
              <w:rPr>
                <w:rFonts w:ascii="Arial Narrow" w:hAnsi="Arial Narrow"/>
                <w:b/>
                <w:sz w:val="20"/>
              </w:rPr>
            </w:pPr>
            <w:r w:rsidRPr="007121AF">
              <w:rPr>
                <w:rFonts w:ascii="Arial Narrow" w:hAnsi="Arial Narrow"/>
                <w:b/>
                <w:sz w:val="20"/>
              </w:rPr>
              <w:t xml:space="preserve"> (N = 64)</w:t>
            </w:r>
          </w:p>
        </w:tc>
        <w:tc>
          <w:tcPr>
            <w:tcW w:w="1399" w:type="pct"/>
            <w:vAlign w:val="center"/>
          </w:tcPr>
          <w:p w:rsidR="00F61688" w:rsidRPr="007121AF" w:rsidRDefault="00F61688" w:rsidP="00E73A7B">
            <w:pPr>
              <w:pStyle w:val="Tabletextcentred"/>
              <w:rPr>
                <w:b/>
                <w:snapToGrid w:val="0"/>
              </w:rPr>
            </w:pPr>
            <w:r w:rsidRPr="007121AF">
              <w:rPr>
                <w:b/>
                <w:snapToGrid w:val="0"/>
              </w:rPr>
              <w:t>PBO + RITU</w:t>
            </w:r>
          </w:p>
          <w:p w:rsidR="00F61688" w:rsidRPr="007121AF" w:rsidRDefault="00F61688" w:rsidP="00E73A7B">
            <w:pPr>
              <w:pStyle w:val="Tabletextcentred"/>
              <w:rPr>
                <w:b/>
                <w:snapToGrid w:val="0"/>
              </w:rPr>
            </w:pPr>
            <w:r w:rsidRPr="007121AF">
              <w:rPr>
                <w:b/>
                <w:snapToGrid w:val="0"/>
              </w:rPr>
              <w:t>all subjects</w:t>
            </w:r>
          </w:p>
          <w:p w:rsidR="00F61688" w:rsidRPr="007121AF" w:rsidRDefault="00F61688" w:rsidP="00E73A7B">
            <w:pPr>
              <w:pStyle w:val="Tabletextcentred"/>
              <w:rPr>
                <w:b/>
                <w:snapToGrid w:val="0"/>
              </w:rPr>
            </w:pPr>
            <w:r w:rsidRPr="007121AF">
              <w:rPr>
                <w:b/>
                <w:snapToGrid w:val="0"/>
              </w:rPr>
              <w:t xml:space="preserve"> (N = 110)</w:t>
            </w:r>
          </w:p>
        </w:tc>
      </w:tr>
      <w:tr w:rsidR="00F61688" w:rsidRPr="007121AF" w:rsidTr="00E73A7B">
        <w:tc>
          <w:tcPr>
            <w:tcW w:w="2201" w:type="pct"/>
          </w:tcPr>
          <w:p w:rsidR="00F61688" w:rsidRPr="007121AF" w:rsidRDefault="00F61688" w:rsidP="00E73A7B">
            <w:pPr>
              <w:rPr>
                <w:rFonts w:ascii="Arial Narrow" w:hAnsi="Arial Narrow"/>
                <w:sz w:val="20"/>
              </w:rPr>
            </w:pPr>
            <w:r w:rsidRPr="007121AF">
              <w:rPr>
                <w:rFonts w:ascii="Arial Narrow" w:hAnsi="Arial Narrow"/>
                <w:sz w:val="20"/>
              </w:rPr>
              <w:t>Median duration of treatment, months (range)</w:t>
            </w:r>
          </w:p>
        </w:tc>
        <w:tc>
          <w:tcPr>
            <w:tcW w:w="1400" w:type="pct"/>
            <w:vAlign w:val="center"/>
          </w:tcPr>
          <w:p w:rsidR="00F61688" w:rsidRPr="007121AF" w:rsidRDefault="00F61688" w:rsidP="00E73A7B">
            <w:pPr>
              <w:jc w:val="center"/>
              <w:rPr>
                <w:rFonts w:ascii="Arial Narrow" w:hAnsi="Arial Narrow"/>
                <w:sz w:val="20"/>
                <w:lang w:val="en-GB"/>
              </w:rPr>
            </w:pPr>
            <w:r w:rsidRPr="007121AF">
              <w:rPr>
                <w:rFonts w:ascii="Arial Narrow" w:hAnsi="Arial Narrow"/>
                <w:sz w:val="20"/>
                <w:lang w:val="en-GB"/>
              </w:rPr>
              <w:t>11.7 (0.1-17.9)</w:t>
            </w:r>
          </w:p>
        </w:tc>
        <w:tc>
          <w:tcPr>
            <w:tcW w:w="1399" w:type="pct"/>
          </w:tcPr>
          <w:p w:rsidR="00F61688" w:rsidRPr="007121AF" w:rsidRDefault="00F61688" w:rsidP="00E73A7B">
            <w:pPr>
              <w:pStyle w:val="Tabletextcentred"/>
              <w:rPr>
                <w:snapToGrid w:val="0"/>
              </w:rPr>
            </w:pPr>
            <w:r w:rsidRPr="007121AF">
              <w:rPr>
                <w:snapToGrid w:val="0"/>
              </w:rPr>
              <w:t>4.6 (0.1-14.6)</w:t>
            </w:r>
          </w:p>
        </w:tc>
      </w:tr>
      <w:tr w:rsidR="00F61688" w:rsidRPr="007121AF" w:rsidTr="00E73A7B">
        <w:tc>
          <w:tcPr>
            <w:tcW w:w="2201" w:type="pct"/>
          </w:tcPr>
          <w:p w:rsidR="00F61688" w:rsidRPr="007121AF" w:rsidRDefault="00F61688" w:rsidP="00E73A7B">
            <w:pPr>
              <w:rPr>
                <w:rFonts w:ascii="Arial Narrow" w:hAnsi="Arial Narrow"/>
                <w:sz w:val="20"/>
              </w:rPr>
            </w:pPr>
            <w:r w:rsidRPr="007121AF">
              <w:rPr>
                <w:rFonts w:ascii="Arial Narrow" w:hAnsi="Arial Narrow"/>
                <w:sz w:val="20"/>
              </w:rPr>
              <w:t>Median duration of follow-up, months (range)</w:t>
            </w:r>
          </w:p>
        </w:tc>
        <w:tc>
          <w:tcPr>
            <w:tcW w:w="1400" w:type="pct"/>
            <w:vAlign w:val="center"/>
          </w:tcPr>
          <w:p w:rsidR="00F61688" w:rsidRPr="007121AF" w:rsidRDefault="00F61688" w:rsidP="00E73A7B">
            <w:pPr>
              <w:jc w:val="center"/>
              <w:rPr>
                <w:rFonts w:ascii="Arial Narrow" w:hAnsi="Arial Narrow"/>
                <w:sz w:val="20"/>
                <w:lang w:val="en-GB"/>
              </w:rPr>
            </w:pPr>
            <w:r w:rsidRPr="007121AF">
              <w:rPr>
                <w:rFonts w:ascii="Arial Narrow" w:hAnsi="Arial Narrow"/>
                <w:sz w:val="20"/>
                <w:lang w:val="en-GB"/>
              </w:rPr>
              <w:t>NR</w:t>
            </w:r>
          </w:p>
        </w:tc>
        <w:tc>
          <w:tcPr>
            <w:tcW w:w="1399" w:type="pct"/>
          </w:tcPr>
          <w:p w:rsidR="00F61688" w:rsidRPr="007121AF" w:rsidRDefault="00F61688" w:rsidP="00A759A7">
            <w:pPr>
              <w:pStyle w:val="Tabletextcentred"/>
              <w:rPr>
                <w:snapToGrid w:val="0"/>
              </w:rPr>
            </w:pPr>
            <w:r w:rsidRPr="007121AF">
              <w:rPr>
                <w:snapToGrid w:val="0"/>
              </w:rPr>
              <w:t>1</w:t>
            </w:r>
            <w:r>
              <w:rPr>
                <w:snapToGrid w:val="0"/>
              </w:rPr>
              <w:t>1</w:t>
            </w:r>
            <w:r w:rsidRPr="007121AF">
              <w:rPr>
                <w:snapToGrid w:val="0"/>
              </w:rPr>
              <w:t>.</w:t>
            </w:r>
            <w:r>
              <w:rPr>
                <w:snapToGrid w:val="0"/>
              </w:rPr>
              <w:t>1</w:t>
            </w:r>
            <w:r w:rsidRPr="007121AF">
              <w:rPr>
                <w:snapToGrid w:val="0"/>
              </w:rPr>
              <w:t xml:space="preserve"> (0.</w:t>
            </w:r>
            <w:r>
              <w:rPr>
                <w:snapToGrid w:val="0"/>
              </w:rPr>
              <w:t>2</w:t>
            </w:r>
            <w:r w:rsidRPr="007121AF">
              <w:rPr>
                <w:snapToGrid w:val="0"/>
              </w:rPr>
              <w:t>-</w:t>
            </w:r>
            <w:r>
              <w:rPr>
                <w:snapToGrid w:val="0"/>
              </w:rPr>
              <w:t>24.6</w:t>
            </w:r>
            <w:r w:rsidRPr="007121AF">
              <w:rPr>
                <w:snapToGrid w:val="0"/>
              </w:rPr>
              <w:t>)</w:t>
            </w:r>
          </w:p>
        </w:tc>
      </w:tr>
      <w:tr w:rsidR="00F61688" w:rsidRPr="007121AF" w:rsidTr="00E73A7B">
        <w:tc>
          <w:tcPr>
            <w:tcW w:w="5000" w:type="pct"/>
            <w:gridSpan w:val="3"/>
            <w:vAlign w:val="center"/>
          </w:tcPr>
          <w:p w:rsidR="00F61688" w:rsidRPr="007121AF" w:rsidRDefault="00F61688" w:rsidP="00E73A7B">
            <w:pPr>
              <w:jc w:val="left"/>
              <w:rPr>
                <w:rFonts w:ascii="Arial Narrow" w:hAnsi="Arial Narrow"/>
                <w:sz w:val="20"/>
              </w:rPr>
            </w:pPr>
            <w:r w:rsidRPr="007121AF">
              <w:rPr>
                <w:rFonts w:ascii="Arial Narrow" w:hAnsi="Arial Narrow"/>
                <w:b/>
                <w:sz w:val="20"/>
              </w:rPr>
              <w:t>Response rates</w:t>
            </w:r>
          </w:p>
        </w:tc>
      </w:tr>
      <w:tr w:rsidR="00F61688" w:rsidRPr="007121AF" w:rsidTr="00E73A7B">
        <w:tc>
          <w:tcPr>
            <w:tcW w:w="2201" w:type="pct"/>
            <w:vAlign w:val="center"/>
          </w:tcPr>
          <w:p w:rsidR="00F61688" w:rsidRPr="007121AF" w:rsidRDefault="00F61688" w:rsidP="00E73A7B">
            <w:pPr>
              <w:pStyle w:val="TableText0"/>
              <w:spacing w:before="0" w:after="0"/>
              <w:rPr>
                <w:rFonts w:ascii="Arial Narrow" w:hAnsi="Arial Narrow"/>
                <w:szCs w:val="20"/>
                <w:vertAlign w:val="superscript"/>
              </w:rPr>
            </w:pPr>
            <w:r w:rsidRPr="007121AF">
              <w:rPr>
                <w:rFonts w:ascii="Arial Narrow" w:hAnsi="Arial Narrow"/>
                <w:szCs w:val="20"/>
              </w:rPr>
              <w:t>Overall response rate, % (95% CI)</w:t>
            </w:r>
          </w:p>
        </w:tc>
        <w:tc>
          <w:tcPr>
            <w:tcW w:w="1400" w:type="pct"/>
            <w:vAlign w:val="center"/>
          </w:tcPr>
          <w:p w:rsidR="00F61688" w:rsidRPr="007121AF" w:rsidRDefault="00F61688" w:rsidP="00E73A7B">
            <w:pPr>
              <w:jc w:val="center"/>
              <w:rPr>
                <w:rFonts w:ascii="Arial Narrow" w:hAnsi="Arial Narrow"/>
                <w:sz w:val="20"/>
                <w:lang w:val="en-GB"/>
              </w:rPr>
            </w:pPr>
            <w:r w:rsidRPr="007121AF">
              <w:rPr>
                <w:rFonts w:ascii="Arial Narrow" w:hAnsi="Arial Narrow"/>
                <w:sz w:val="20"/>
                <w:lang w:val="en-GB"/>
              </w:rPr>
              <w:t>67.2 (54.3, 78.4)</w:t>
            </w:r>
          </w:p>
        </w:tc>
        <w:tc>
          <w:tcPr>
            <w:tcW w:w="1399" w:type="pct"/>
            <w:vAlign w:val="center"/>
          </w:tcPr>
          <w:p w:rsidR="00F61688" w:rsidRPr="007121AF" w:rsidRDefault="00F61688" w:rsidP="00E73A7B">
            <w:pPr>
              <w:jc w:val="center"/>
              <w:rPr>
                <w:rFonts w:ascii="Arial Narrow" w:hAnsi="Arial Narrow"/>
                <w:sz w:val="20"/>
              </w:rPr>
            </w:pPr>
            <w:r w:rsidRPr="007121AF">
              <w:rPr>
                <w:rFonts w:ascii="Arial Narrow" w:hAnsi="Arial Narrow"/>
                <w:sz w:val="20"/>
              </w:rPr>
              <w:t>15.5 (9.3, 23.6)</w:t>
            </w:r>
          </w:p>
        </w:tc>
      </w:tr>
      <w:tr w:rsidR="00F61688" w:rsidRPr="007121AF" w:rsidTr="00E73A7B">
        <w:tc>
          <w:tcPr>
            <w:tcW w:w="2201" w:type="pct"/>
            <w:vAlign w:val="center"/>
          </w:tcPr>
          <w:p w:rsidR="00F61688" w:rsidRPr="007121AF" w:rsidRDefault="00F61688" w:rsidP="00E73A7B">
            <w:pPr>
              <w:pStyle w:val="TableText0"/>
              <w:spacing w:before="0" w:after="0"/>
              <w:rPr>
                <w:rFonts w:ascii="Arial Narrow" w:hAnsi="Arial Narrow"/>
                <w:szCs w:val="20"/>
              </w:rPr>
            </w:pPr>
            <w:r w:rsidRPr="007121AF">
              <w:rPr>
                <w:rFonts w:ascii="Arial Narrow" w:hAnsi="Arial Narrow"/>
                <w:szCs w:val="20"/>
              </w:rPr>
              <w:t>- Complete response, n (%)</w:t>
            </w:r>
          </w:p>
        </w:tc>
        <w:tc>
          <w:tcPr>
            <w:tcW w:w="1400" w:type="pct"/>
            <w:vAlign w:val="center"/>
          </w:tcPr>
          <w:p w:rsidR="00F61688" w:rsidRPr="007121AF" w:rsidRDefault="00F61688" w:rsidP="00E73A7B">
            <w:pPr>
              <w:pStyle w:val="Tabletextcentred"/>
            </w:pPr>
            <w:r w:rsidRPr="007121AF">
              <w:t>1 (1.6)</w:t>
            </w:r>
          </w:p>
        </w:tc>
        <w:tc>
          <w:tcPr>
            <w:tcW w:w="1399" w:type="pct"/>
            <w:vAlign w:val="center"/>
          </w:tcPr>
          <w:p w:rsidR="00F61688" w:rsidRPr="007121AF" w:rsidRDefault="00F61688" w:rsidP="00E73A7B">
            <w:pPr>
              <w:pStyle w:val="TableText0"/>
              <w:spacing w:before="0" w:after="0"/>
              <w:jc w:val="center"/>
              <w:rPr>
                <w:rFonts w:ascii="Arial Narrow" w:hAnsi="Arial Narrow"/>
                <w:szCs w:val="20"/>
              </w:rPr>
            </w:pPr>
            <w:r w:rsidRPr="007121AF">
              <w:rPr>
                <w:rFonts w:ascii="Arial Narrow" w:hAnsi="Arial Narrow"/>
                <w:szCs w:val="20"/>
              </w:rPr>
              <w:t>0</w:t>
            </w:r>
          </w:p>
        </w:tc>
      </w:tr>
      <w:tr w:rsidR="00F61688" w:rsidRPr="007121AF" w:rsidTr="00E73A7B">
        <w:tc>
          <w:tcPr>
            <w:tcW w:w="2201" w:type="pct"/>
            <w:vAlign w:val="center"/>
          </w:tcPr>
          <w:p w:rsidR="00F61688" w:rsidRPr="007121AF" w:rsidRDefault="00F61688" w:rsidP="00E73A7B">
            <w:pPr>
              <w:pStyle w:val="TableText0"/>
              <w:spacing w:before="0" w:after="0"/>
              <w:rPr>
                <w:rFonts w:ascii="Arial Narrow" w:hAnsi="Arial Narrow"/>
                <w:szCs w:val="20"/>
              </w:rPr>
            </w:pPr>
            <w:r w:rsidRPr="007121AF">
              <w:rPr>
                <w:rFonts w:ascii="Arial Narrow" w:hAnsi="Arial Narrow"/>
                <w:szCs w:val="20"/>
              </w:rPr>
              <w:t>- Partial response, n (%)</w:t>
            </w:r>
          </w:p>
        </w:tc>
        <w:tc>
          <w:tcPr>
            <w:tcW w:w="1400" w:type="pct"/>
            <w:vAlign w:val="center"/>
          </w:tcPr>
          <w:p w:rsidR="00F61688" w:rsidRPr="007121AF" w:rsidRDefault="00F61688" w:rsidP="00E73A7B">
            <w:pPr>
              <w:pStyle w:val="Tabletextcentred"/>
            </w:pPr>
            <w:r w:rsidRPr="007121AF">
              <w:t>42 (65.6)</w:t>
            </w:r>
          </w:p>
        </w:tc>
        <w:tc>
          <w:tcPr>
            <w:tcW w:w="1399" w:type="pct"/>
            <w:vAlign w:val="center"/>
          </w:tcPr>
          <w:p w:rsidR="00F61688" w:rsidRPr="007121AF" w:rsidRDefault="00F61688" w:rsidP="00E73A7B">
            <w:pPr>
              <w:pStyle w:val="TableText0"/>
              <w:spacing w:before="0" w:after="0"/>
              <w:jc w:val="center"/>
              <w:rPr>
                <w:rFonts w:ascii="Arial Narrow" w:hAnsi="Arial Narrow"/>
                <w:szCs w:val="20"/>
              </w:rPr>
            </w:pPr>
            <w:r w:rsidRPr="007121AF">
              <w:rPr>
                <w:rFonts w:ascii="Arial Narrow" w:hAnsi="Arial Narrow"/>
                <w:szCs w:val="20"/>
              </w:rPr>
              <w:t>(15.5)</w:t>
            </w:r>
          </w:p>
        </w:tc>
      </w:tr>
      <w:tr w:rsidR="00F61688" w:rsidRPr="007121AF" w:rsidTr="00E73A7B">
        <w:tc>
          <w:tcPr>
            <w:tcW w:w="5000" w:type="pct"/>
            <w:gridSpan w:val="3"/>
          </w:tcPr>
          <w:p w:rsidR="00F61688" w:rsidRPr="007121AF" w:rsidRDefault="00F61688" w:rsidP="00E73A7B">
            <w:pPr>
              <w:rPr>
                <w:rFonts w:ascii="Arial Narrow" w:hAnsi="Arial Narrow"/>
                <w:b/>
                <w:sz w:val="20"/>
                <w:lang w:val="en-GB"/>
              </w:rPr>
            </w:pPr>
            <w:r w:rsidRPr="007121AF">
              <w:rPr>
                <w:rFonts w:ascii="Arial Narrow" w:hAnsi="Arial Narrow"/>
                <w:b/>
                <w:sz w:val="20"/>
                <w:lang w:val="en-GB"/>
              </w:rPr>
              <w:t>Progression-free survival</w:t>
            </w:r>
          </w:p>
        </w:tc>
      </w:tr>
      <w:tr w:rsidR="00F61688" w:rsidRPr="007121AF" w:rsidTr="00E73A7B">
        <w:tc>
          <w:tcPr>
            <w:tcW w:w="2201" w:type="pct"/>
          </w:tcPr>
          <w:p w:rsidR="00F61688" w:rsidRPr="007121AF" w:rsidRDefault="00F61688" w:rsidP="00E73A7B">
            <w:pPr>
              <w:rPr>
                <w:rFonts w:ascii="Arial Narrow" w:hAnsi="Arial Narrow"/>
                <w:sz w:val="20"/>
                <w:lang w:val="en-GB"/>
              </w:rPr>
            </w:pPr>
            <w:r w:rsidRPr="007121AF">
              <w:rPr>
                <w:rFonts w:ascii="Arial Narrow" w:hAnsi="Arial Narrow"/>
                <w:sz w:val="20"/>
                <w:lang w:val="en-GB"/>
              </w:rPr>
              <w:t>Events n (%)</w:t>
            </w:r>
          </w:p>
        </w:tc>
        <w:tc>
          <w:tcPr>
            <w:tcW w:w="1400" w:type="pct"/>
          </w:tcPr>
          <w:p w:rsidR="00F61688" w:rsidRPr="007121AF" w:rsidRDefault="00F61688" w:rsidP="00E73A7B">
            <w:pPr>
              <w:jc w:val="center"/>
              <w:rPr>
                <w:rFonts w:ascii="Arial Narrow" w:hAnsi="Arial Narrow"/>
                <w:sz w:val="20"/>
                <w:lang w:val="en-GB"/>
              </w:rPr>
            </w:pPr>
            <w:r w:rsidRPr="007121AF">
              <w:rPr>
                <w:rFonts w:ascii="Arial Narrow" w:hAnsi="Arial Narrow"/>
                <w:sz w:val="20"/>
                <w:lang w:val="en-GB"/>
              </w:rPr>
              <w:t>12 (18.8%)</w:t>
            </w:r>
          </w:p>
        </w:tc>
        <w:tc>
          <w:tcPr>
            <w:tcW w:w="1399" w:type="pct"/>
          </w:tcPr>
          <w:p w:rsidR="00F61688" w:rsidRPr="007121AF" w:rsidRDefault="00F61688" w:rsidP="00E73A7B">
            <w:pPr>
              <w:jc w:val="center"/>
              <w:rPr>
                <w:rFonts w:ascii="Arial Narrow" w:hAnsi="Arial Narrow"/>
                <w:sz w:val="20"/>
                <w:lang w:val="en-GB"/>
              </w:rPr>
            </w:pPr>
            <w:r w:rsidRPr="007121AF">
              <w:rPr>
                <w:rFonts w:ascii="Arial Narrow" w:hAnsi="Arial Narrow"/>
                <w:sz w:val="20"/>
                <w:lang w:val="en-GB"/>
              </w:rPr>
              <w:t>(63.6)</w:t>
            </w:r>
          </w:p>
        </w:tc>
      </w:tr>
      <w:tr w:rsidR="00F61688" w:rsidRPr="007121AF" w:rsidTr="00E73A7B">
        <w:tc>
          <w:tcPr>
            <w:tcW w:w="2201" w:type="pct"/>
            <w:vAlign w:val="center"/>
          </w:tcPr>
          <w:p w:rsidR="00F61688" w:rsidRPr="007121AF" w:rsidRDefault="00F61688" w:rsidP="00E73A7B">
            <w:pPr>
              <w:ind w:right="-108"/>
              <w:rPr>
                <w:rFonts w:ascii="Arial Narrow" w:hAnsi="Arial Narrow"/>
                <w:sz w:val="20"/>
                <w:lang w:val="en-GB"/>
              </w:rPr>
            </w:pPr>
            <w:r w:rsidRPr="007121AF">
              <w:rPr>
                <w:rFonts w:ascii="Arial Narrow" w:hAnsi="Arial Narrow"/>
                <w:sz w:val="20"/>
                <w:lang w:val="en-GB"/>
              </w:rPr>
              <w:t>Median PFS, months (95% CI)</w:t>
            </w:r>
          </w:p>
        </w:tc>
        <w:tc>
          <w:tcPr>
            <w:tcW w:w="1400" w:type="pct"/>
            <w:vAlign w:val="center"/>
          </w:tcPr>
          <w:p w:rsidR="00F61688" w:rsidRPr="007121AF" w:rsidRDefault="00F61688" w:rsidP="00A759A7">
            <w:pPr>
              <w:pStyle w:val="Tabletextcentred"/>
            </w:pPr>
            <w:r w:rsidRPr="007121AF">
              <w:t>Not reached (</w:t>
            </w:r>
            <w:r w:rsidR="00724266">
              <w:t xml:space="preserve">13.2, </w:t>
            </w:r>
            <w:r w:rsidRPr="007121AF">
              <w:t>NE)</w:t>
            </w:r>
          </w:p>
        </w:tc>
        <w:tc>
          <w:tcPr>
            <w:tcW w:w="1399" w:type="pct"/>
            <w:vAlign w:val="center"/>
          </w:tcPr>
          <w:p w:rsidR="00F61688" w:rsidRPr="007121AF" w:rsidRDefault="00F61688" w:rsidP="00A759A7">
            <w:pPr>
              <w:jc w:val="center"/>
              <w:rPr>
                <w:rFonts w:ascii="Arial Narrow" w:hAnsi="Arial Narrow"/>
                <w:sz w:val="20"/>
                <w:lang w:val="en-GB"/>
              </w:rPr>
            </w:pPr>
            <w:r w:rsidRPr="007121AF">
              <w:rPr>
                <w:rFonts w:ascii="Arial Narrow" w:hAnsi="Arial Narrow"/>
                <w:sz w:val="20"/>
                <w:lang w:val="en-GB"/>
              </w:rPr>
              <w:t>6.5 (4.0, 7.3)</w:t>
            </w:r>
          </w:p>
        </w:tc>
      </w:tr>
      <w:tr w:rsidR="00F61688" w:rsidRPr="007121AF" w:rsidTr="00E73A7B">
        <w:tc>
          <w:tcPr>
            <w:tcW w:w="2201" w:type="pct"/>
          </w:tcPr>
          <w:p w:rsidR="00F61688" w:rsidRPr="007121AF" w:rsidRDefault="00F61688" w:rsidP="00E73A7B">
            <w:pPr>
              <w:ind w:right="-108"/>
              <w:rPr>
                <w:rFonts w:ascii="Arial Narrow" w:hAnsi="Arial Narrow"/>
                <w:sz w:val="20"/>
                <w:lang w:val="en-GB"/>
              </w:rPr>
            </w:pPr>
            <w:r w:rsidRPr="007121AF">
              <w:rPr>
                <w:rFonts w:ascii="Arial Narrow" w:hAnsi="Arial Narrow"/>
                <w:sz w:val="20"/>
                <w:lang w:val="en-GB"/>
              </w:rPr>
              <w:t>KM estimate of PFS at 6 months, % (95% CI)</w:t>
            </w:r>
          </w:p>
        </w:tc>
        <w:tc>
          <w:tcPr>
            <w:tcW w:w="1400" w:type="pct"/>
          </w:tcPr>
          <w:p w:rsidR="00F61688" w:rsidRPr="00204548" w:rsidRDefault="00204548" w:rsidP="00E73A7B">
            <w:pPr>
              <w:jc w:val="center"/>
              <w:rPr>
                <w:rFonts w:ascii="Arial Narrow" w:hAnsi="Arial Narrow"/>
                <w:sz w:val="20"/>
                <w:highlight w:val="black"/>
                <w:lang w:val="en-GB"/>
              </w:rPr>
            </w:pPr>
            <w:r>
              <w:rPr>
                <w:rFonts w:ascii="Arial Narrow" w:hAnsi="Arial Narrow"/>
                <w:noProof/>
                <w:color w:val="000000"/>
                <w:sz w:val="20"/>
                <w:highlight w:val="black"/>
                <w:lang w:val="en-GB"/>
              </w:rPr>
              <w:t>''''''' '''''''''' '''''''</w:t>
            </w:r>
          </w:p>
        </w:tc>
        <w:tc>
          <w:tcPr>
            <w:tcW w:w="1399" w:type="pct"/>
          </w:tcPr>
          <w:p w:rsidR="00F61688" w:rsidRPr="007121AF" w:rsidRDefault="00F61688" w:rsidP="00E73A7B">
            <w:pPr>
              <w:jc w:val="center"/>
              <w:rPr>
                <w:rFonts w:ascii="Arial Narrow" w:hAnsi="Arial Narrow"/>
                <w:sz w:val="20"/>
                <w:lang w:val="en-GB"/>
              </w:rPr>
            </w:pPr>
            <w:r w:rsidRPr="007121AF">
              <w:rPr>
                <w:rFonts w:ascii="Arial Narrow" w:hAnsi="Arial Narrow"/>
                <w:sz w:val="20"/>
                <w:lang w:val="en-GB"/>
              </w:rPr>
              <w:t>NR</w:t>
            </w:r>
          </w:p>
        </w:tc>
      </w:tr>
      <w:tr w:rsidR="00F61688" w:rsidRPr="007121AF" w:rsidTr="00E73A7B">
        <w:tc>
          <w:tcPr>
            <w:tcW w:w="2201" w:type="pct"/>
          </w:tcPr>
          <w:p w:rsidR="00F61688" w:rsidRPr="007121AF" w:rsidRDefault="00F61688" w:rsidP="00E73A7B">
            <w:pPr>
              <w:ind w:right="-108"/>
              <w:rPr>
                <w:rFonts w:ascii="Arial Narrow" w:hAnsi="Arial Narrow"/>
                <w:sz w:val="20"/>
                <w:lang w:val="en-GB"/>
              </w:rPr>
            </w:pPr>
            <w:r w:rsidRPr="007121AF">
              <w:rPr>
                <w:rFonts w:ascii="Arial Narrow" w:hAnsi="Arial Narrow"/>
                <w:sz w:val="20"/>
                <w:lang w:val="en-GB"/>
              </w:rPr>
              <w:t>KM estimate of PFS at 12 months, % (95% CI)</w:t>
            </w:r>
          </w:p>
        </w:tc>
        <w:tc>
          <w:tcPr>
            <w:tcW w:w="1400" w:type="pct"/>
          </w:tcPr>
          <w:p w:rsidR="00F61688" w:rsidRPr="007121AF" w:rsidRDefault="00F61688" w:rsidP="00E73A7B">
            <w:pPr>
              <w:jc w:val="center"/>
              <w:rPr>
                <w:rFonts w:ascii="Arial Narrow" w:hAnsi="Arial Narrow"/>
                <w:sz w:val="20"/>
                <w:lang w:val="en-GB"/>
              </w:rPr>
            </w:pPr>
            <w:r w:rsidRPr="00DB7409">
              <w:rPr>
                <w:rFonts w:ascii="Arial Narrow" w:hAnsi="Arial Narrow"/>
                <w:sz w:val="20"/>
                <w:lang w:val="en-GB"/>
              </w:rPr>
              <w:t>81 (68, 89)</w:t>
            </w:r>
          </w:p>
        </w:tc>
        <w:tc>
          <w:tcPr>
            <w:tcW w:w="1399" w:type="pct"/>
          </w:tcPr>
          <w:p w:rsidR="00F61688" w:rsidRPr="007121AF" w:rsidRDefault="00F61688" w:rsidP="00E73A7B">
            <w:pPr>
              <w:jc w:val="center"/>
              <w:rPr>
                <w:rFonts w:ascii="Arial Narrow" w:hAnsi="Arial Narrow"/>
                <w:sz w:val="20"/>
                <w:lang w:val="en-GB"/>
              </w:rPr>
            </w:pPr>
            <w:r w:rsidRPr="007121AF">
              <w:rPr>
                <w:rFonts w:ascii="Arial Narrow" w:hAnsi="Arial Narrow"/>
                <w:sz w:val="20"/>
                <w:lang w:val="en-GB"/>
              </w:rPr>
              <w:t>9</w:t>
            </w:r>
            <w:r>
              <w:rPr>
                <w:rFonts w:ascii="Arial Narrow" w:hAnsi="Arial Narrow"/>
                <w:sz w:val="20"/>
                <w:lang w:val="en-GB"/>
              </w:rPr>
              <w:t>.2</w:t>
            </w:r>
            <w:r w:rsidRPr="007121AF">
              <w:rPr>
                <w:rFonts w:ascii="Arial Narrow" w:hAnsi="Arial Narrow"/>
                <w:sz w:val="20"/>
                <w:lang w:val="en-GB"/>
              </w:rPr>
              <w:t xml:space="preserve"> (NR)</w:t>
            </w:r>
          </w:p>
        </w:tc>
      </w:tr>
      <w:tr w:rsidR="00F61688" w:rsidRPr="007121AF" w:rsidTr="00E73A7B">
        <w:tc>
          <w:tcPr>
            <w:tcW w:w="5000" w:type="pct"/>
            <w:gridSpan w:val="3"/>
            <w:vAlign w:val="center"/>
          </w:tcPr>
          <w:p w:rsidR="00F61688" w:rsidRPr="007121AF" w:rsidRDefault="00F61688" w:rsidP="00E73A7B">
            <w:pPr>
              <w:jc w:val="left"/>
              <w:rPr>
                <w:rFonts w:ascii="Arial Narrow" w:hAnsi="Arial Narrow"/>
                <w:b/>
                <w:sz w:val="20"/>
                <w:lang w:val="en-GB"/>
              </w:rPr>
            </w:pPr>
            <w:r w:rsidRPr="007121AF">
              <w:rPr>
                <w:rFonts w:ascii="Arial Narrow" w:hAnsi="Arial Narrow"/>
                <w:b/>
                <w:sz w:val="20"/>
                <w:lang w:val="en-GB"/>
              </w:rPr>
              <w:t>Overall survival</w:t>
            </w:r>
          </w:p>
        </w:tc>
      </w:tr>
      <w:tr w:rsidR="00F61688" w:rsidRPr="007121AF" w:rsidTr="00E73A7B">
        <w:tc>
          <w:tcPr>
            <w:tcW w:w="2201" w:type="pct"/>
            <w:vAlign w:val="center"/>
          </w:tcPr>
          <w:p w:rsidR="00F61688" w:rsidRPr="007121AF" w:rsidRDefault="00F61688" w:rsidP="00E73A7B">
            <w:pPr>
              <w:ind w:right="-108"/>
              <w:rPr>
                <w:rFonts w:ascii="Arial Narrow" w:hAnsi="Arial Narrow"/>
                <w:sz w:val="20"/>
                <w:lang w:val="en-GB"/>
              </w:rPr>
            </w:pPr>
            <w:r w:rsidRPr="007121AF">
              <w:rPr>
                <w:rFonts w:ascii="Arial Narrow" w:hAnsi="Arial Narrow"/>
                <w:sz w:val="20"/>
                <w:lang w:val="en-GB"/>
              </w:rPr>
              <w:t>Death n (%)</w:t>
            </w:r>
          </w:p>
        </w:tc>
        <w:tc>
          <w:tcPr>
            <w:tcW w:w="1400" w:type="pct"/>
          </w:tcPr>
          <w:p w:rsidR="00F61688" w:rsidRPr="00204548" w:rsidRDefault="00204548" w:rsidP="00E73A7B">
            <w:pPr>
              <w:jc w:val="center"/>
              <w:rPr>
                <w:rFonts w:ascii="Arial Narrow" w:hAnsi="Arial Narrow"/>
                <w:sz w:val="20"/>
                <w:highlight w:val="black"/>
                <w:lang w:val="en-GB"/>
              </w:rPr>
            </w:pPr>
            <w:r>
              <w:rPr>
                <w:rFonts w:ascii="Arial Narrow" w:hAnsi="Arial Narrow"/>
                <w:noProof/>
                <w:color w:val="000000"/>
                <w:sz w:val="20"/>
                <w:highlight w:val="black"/>
                <w:lang w:val="en-GB"/>
              </w:rPr>
              <w:t>''' '''''''''''''''</w:t>
            </w:r>
          </w:p>
        </w:tc>
        <w:tc>
          <w:tcPr>
            <w:tcW w:w="1399" w:type="pct"/>
          </w:tcPr>
          <w:p w:rsidR="00F61688" w:rsidRPr="007121AF" w:rsidRDefault="00F61688" w:rsidP="00E73A7B">
            <w:pPr>
              <w:jc w:val="center"/>
              <w:rPr>
                <w:rFonts w:ascii="Arial Narrow" w:hAnsi="Arial Narrow"/>
                <w:sz w:val="20"/>
                <w:lang w:val="en-GB"/>
              </w:rPr>
            </w:pPr>
            <w:r w:rsidRPr="007121AF">
              <w:rPr>
                <w:rFonts w:ascii="Arial Narrow" w:hAnsi="Arial Narrow"/>
                <w:sz w:val="20"/>
                <w:lang w:val="en-GB"/>
              </w:rPr>
              <w:t>(36.4)</w:t>
            </w:r>
          </w:p>
        </w:tc>
      </w:tr>
      <w:tr w:rsidR="00F61688" w:rsidRPr="007121AF" w:rsidTr="00E73A7B">
        <w:tc>
          <w:tcPr>
            <w:tcW w:w="2201" w:type="pct"/>
            <w:vAlign w:val="center"/>
          </w:tcPr>
          <w:p w:rsidR="00F61688" w:rsidRPr="007121AF" w:rsidRDefault="00F61688" w:rsidP="00E73A7B">
            <w:pPr>
              <w:ind w:right="-108"/>
              <w:rPr>
                <w:rFonts w:ascii="Arial Narrow" w:hAnsi="Arial Narrow"/>
                <w:sz w:val="20"/>
                <w:lang w:val="en-GB"/>
              </w:rPr>
            </w:pPr>
            <w:r w:rsidRPr="007121AF">
              <w:rPr>
                <w:rFonts w:ascii="Arial Narrow" w:hAnsi="Arial Narrow"/>
                <w:sz w:val="20"/>
                <w:lang w:val="en-GB"/>
              </w:rPr>
              <w:t>Median OS, months (95% CI)</w:t>
            </w:r>
          </w:p>
        </w:tc>
        <w:tc>
          <w:tcPr>
            <w:tcW w:w="1400" w:type="pct"/>
          </w:tcPr>
          <w:p w:rsidR="00F61688" w:rsidRPr="00204548" w:rsidRDefault="00204548" w:rsidP="00A759A7">
            <w:pPr>
              <w:jc w:val="center"/>
              <w:rPr>
                <w:rFonts w:ascii="Arial Narrow" w:hAnsi="Arial Narrow"/>
                <w:sz w:val="20"/>
                <w:highlight w:val="black"/>
                <w:lang w:val="en-GB"/>
              </w:rPr>
            </w:pPr>
            <w:r>
              <w:rPr>
                <w:rFonts w:ascii="Arial Narrow" w:hAnsi="Arial Narrow"/>
                <w:noProof/>
                <w:color w:val="000000"/>
                <w:sz w:val="20"/>
                <w:highlight w:val="black"/>
              </w:rPr>
              <w:t>'''''''' '''''''''''''''''' ''''''''''</w:t>
            </w:r>
          </w:p>
        </w:tc>
        <w:tc>
          <w:tcPr>
            <w:tcW w:w="1399" w:type="pct"/>
            <w:vAlign w:val="center"/>
          </w:tcPr>
          <w:p w:rsidR="00F61688" w:rsidRPr="007121AF" w:rsidRDefault="00F61688" w:rsidP="00A759A7">
            <w:pPr>
              <w:jc w:val="center"/>
              <w:rPr>
                <w:rFonts w:ascii="Arial Narrow" w:hAnsi="Arial Narrow"/>
                <w:sz w:val="20"/>
                <w:lang w:val="en-GB"/>
              </w:rPr>
            </w:pPr>
            <w:r w:rsidRPr="007121AF">
              <w:rPr>
                <w:rFonts w:ascii="Arial Narrow" w:hAnsi="Arial Narrow"/>
                <w:sz w:val="20"/>
                <w:lang w:val="en-GB"/>
              </w:rPr>
              <w:t>20.8 (14.8, NE)</w:t>
            </w:r>
          </w:p>
        </w:tc>
      </w:tr>
      <w:tr w:rsidR="00F61688" w:rsidRPr="007121AF" w:rsidTr="00E73A7B">
        <w:tc>
          <w:tcPr>
            <w:tcW w:w="2201" w:type="pct"/>
          </w:tcPr>
          <w:p w:rsidR="00F61688" w:rsidRPr="007121AF" w:rsidRDefault="00F61688" w:rsidP="00E73A7B">
            <w:pPr>
              <w:ind w:right="-108"/>
              <w:rPr>
                <w:rFonts w:ascii="Arial Narrow" w:hAnsi="Arial Narrow"/>
                <w:sz w:val="20"/>
                <w:lang w:val="en-GB"/>
              </w:rPr>
            </w:pPr>
            <w:r w:rsidRPr="007121AF">
              <w:rPr>
                <w:rFonts w:ascii="Arial Narrow" w:hAnsi="Arial Narrow"/>
                <w:sz w:val="20"/>
                <w:lang w:val="en-GB"/>
              </w:rPr>
              <w:t>KM estimate of OS at 6 months, % (95% CI)</w:t>
            </w:r>
          </w:p>
        </w:tc>
        <w:tc>
          <w:tcPr>
            <w:tcW w:w="1400" w:type="pct"/>
          </w:tcPr>
          <w:p w:rsidR="00F61688" w:rsidRPr="00204548" w:rsidRDefault="00204548" w:rsidP="00E73A7B">
            <w:pPr>
              <w:jc w:val="center"/>
              <w:rPr>
                <w:rFonts w:ascii="Arial Narrow" w:hAnsi="Arial Narrow"/>
                <w:sz w:val="20"/>
                <w:highlight w:val="black"/>
                <w:lang w:val="en-GB"/>
              </w:rPr>
            </w:pPr>
            <w:r>
              <w:rPr>
                <w:rFonts w:ascii="Arial Narrow" w:hAnsi="Arial Narrow"/>
                <w:noProof/>
                <w:color w:val="000000"/>
                <w:sz w:val="20"/>
                <w:highlight w:val="black"/>
                <w:lang w:val="en-GB"/>
              </w:rPr>
              <w:t>'''''' '''''''''' '''''''</w:t>
            </w:r>
          </w:p>
        </w:tc>
        <w:tc>
          <w:tcPr>
            <w:tcW w:w="1399" w:type="pct"/>
          </w:tcPr>
          <w:p w:rsidR="00F61688" w:rsidRPr="007121AF" w:rsidRDefault="00F61688" w:rsidP="00E73A7B">
            <w:pPr>
              <w:jc w:val="center"/>
              <w:rPr>
                <w:rFonts w:ascii="Arial Narrow" w:hAnsi="Arial Narrow"/>
                <w:sz w:val="20"/>
                <w:lang w:val="en-GB"/>
              </w:rPr>
            </w:pPr>
            <w:r w:rsidRPr="007121AF">
              <w:rPr>
                <w:rFonts w:ascii="Arial Narrow" w:hAnsi="Arial Narrow"/>
                <w:sz w:val="20"/>
                <w:lang w:val="en-GB"/>
              </w:rPr>
              <w:t>NR</w:t>
            </w:r>
          </w:p>
        </w:tc>
      </w:tr>
      <w:tr w:rsidR="00F61688" w:rsidRPr="007121AF" w:rsidTr="00E73A7B">
        <w:tc>
          <w:tcPr>
            <w:tcW w:w="2201" w:type="pct"/>
          </w:tcPr>
          <w:p w:rsidR="00F61688" w:rsidRPr="007121AF" w:rsidRDefault="00F61688" w:rsidP="00E73A7B">
            <w:pPr>
              <w:ind w:right="-108"/>
              <w:rPr>
                <w:rFonts w:ascii="Arial Narrow" w:hAnsi="Arial Narrow"/>
                <w:sz w:val="20"/>
                <w:lang w:val="en-GB"/>
              </w:rPr>
            </w:pPr>
            <w:r w:rsidRPr="007121AF">
              <w:rPr>
                <w:rFonts w:ascii="Arial Narrow" w:hAnsi="Arial Narrow"/>
                <w:sz w:val="20"/>
                <w:lang w:val="en-GB"/>
              </w:rPr>
              <w:t>KM estimate of OS at 12 months, % (95% CI)</w:t>
            </w:r>
          </w:p>
        </w:tc>
        <w:tc>
          <w:tcPr>
            <w:tcW w:w="1400" w:type="pct"/>
          </w:tcPr>
          <w:p w:rsidR="00F61688" w:rsidRPr="00204548" w:rsidRDefault="00204548" w:rsidP="00E73A7B">
            <w:pPr>
              <w:jc w:val="center"/>
              <w:rPr>
                <w:rFonts w:ascii="Arial Narrow" w:hAnsi="Arial Narrow"/>
                <w:sz w:val="20"/>
                <w:highlight w:val="black"/>
                <w:lang w:val="en-GB"/>
              </w:rPr>
            </w:pPr>
            <w:r>
              <w:rPr>
                <w:rFonts w:ascii="Arial Narrow" w:hAnsi="Arial Narrow"/>
                <w:noProof/>
                <w:color w:val="000000"/>
                <w:sz w:val="20"/>
                <w:highlight w:val="black"/>
                <w:lang w:val="en-GB"/>
              </w:rPr>
              <w:t>''''''' '''''''' ''''''''</w:t>
            </w:r>
          </w:p>
        </w:tc>
        <w:tc>
          <w:tcPr>
            <w:tcW w:w="1399" w:type="pct"/>
          </w:tcPr>
          <w:p w:rsidR="00F61688" w:rsidRPr="007121AF" w:rsidRDefault="00F61688" w:rsidP="00E73A7B">
            <w:pPr>
              <w:jc w:val="center"/>
              <w:rPr>
                <w:rFonts w:ascii="Arial Narrow" w:hAnsi="Arial Narrow"/>
                <w:sz w:val="20"/>
                <w:lang w:val="en-GB"/>
              </w:rPr>
            </w:pPr>
            <w:r w:rsidRPr="007121AF">
              <w:rPr>
                <w:rFonts w:ascii="Arial Narrow" w:hAnsi="Arial Narrow"/>
                <w:sz w:val="20"/>
                <w:lang w:val="en-GB"/>
              </w:rPr>
              <w:t>67 (NR)</w:t>
            </w:r>
          </w:p>
        </w:tc>
      </w:tr>
    </w:tbl>
    <w:p w:rsidR="00F61688" w:rsidRDefault="00F61688" w:rsidP="00F61688">
      <w:pPr>
        <w:ind w:left="720"/>
        <w:rPr>
          <w:rFonts w:ascii="Arial Narrow" w:hAnsi="Arial Narrow"/>
          <w:sz w:val="18"/>
          <w:szCs w:val="18"/>
        </w:rPr>
      </w:pPr>
      <w:r>
        <w:rPr>
          <w:rFonts w:ascii="Arial Narrow" w:hAnsi="Arial Narrow"/>
          <w:sz w:val="18"/>
          <w:szCs w:val="18"/>
        </w:rPr>
        <w:t>Abbreviations: CI, confidence interval; KM, Kaplan-Meier; NE, not evaluable; NR, not reported; OS, overall survival; PBO, placebo; PFS, progression free survival; RITU, rituximab; VEN, venetoclax</w:t>
      </w:r>
    </w:p>
    <w:p w:rsidR="001152B6" w:rsidRDefault="001152B6" w:rsidP="001152B6">
      <w:pPr>
        <w:ind w:left="720"/>
        <w:rPr>
          <w:rFonts w:ascii="Arial Narrow" w:hAnsi="Arial Narrow"/>
          <w:sz w:val="18"/>
          <w:szCs w:val="18"/>
        </w:rPr>
      </w:pPr>
      <w:r>
        <w:rPr>
          <w:rFonts w:ascii="Arial Narrow" w:hAnsi="Arial Narrow"/>
          <w:sz w:val="18"/>
          <w:szCs w:val="18"/>
        </w:rPr>
        <w:t>Source: Compiled during the evaluation using the most recent investigator- or IRC-assessed outcomes.</w:t>
      </w:r>
    </w:p>
    <w:p w:rsidR="00F61688" w:rsidRDefault="00F61688" w:rsidP="00F61688">
      <w:pPr>
        <w:widowControl/>
        <w:rPr>
          <w:szCs w:val="22"/>
        </w:rPr>
      </w:pPr>
    </w:p>
    <w:p w:rsidR="00F61688" w:rsidRPr="00FD28BF" w:rsidRDefault="00F61688" w:rsidP="00A759A7">
      <w:pPr>
        <w:pStyle w:val="ListParagraph"/>
        <w:widowControl/>
        <w:numPr>
          <w:ilvl w:val="1"/>
          <w:numId w:val="3"/>
        </w:numPr>
      </w:pPr>
      <w:r>
        <w:t>Based on the naïve indirect comparison, the submission claimed that venetoclax treatment was associated with numerically higher response rates and survival outcomes compared to rituximab monotherapy.</w:t>
      </w:r>
    </w:p>
    <w:p w:rsidR="00F61688" w:rsidRPr="00882085" w:rsidRDefault="00F61688" w:rsidP="00F61688">
      <w:pPr>
        <w:rPr>
          <w:szCs w:val="22"/>
        </w:rPr>
      </w:pPr>
    </w:p>
    <w:p w:rsidR="00F61688" w:rsidRPr="002C2775" w:rsidRDefault="00F61688" w:rsidP="00F61688">
      <w:pPr>
        <w:pStyle w:val="Heading2"/>
        <w:rPr>
          <w:i/>
        </w:rPr>
      </w:pPr>
      <w:bookmarkStart w:id="18" w:name="_Toc392858196"/>
      <w:bookmarkStart w:id="19" w:name="_Toc472494400"/>
      <w:r w:rsidRPr="002C2775">
        <w:rPr>
          <w:i/>
        </w:rPr>
        <w:t>Comparative harms</w:t>
      </w:r>
      <w:bookmarkEnd w:id="18"/>
      <w:bookmarkEnd w:id="19"/>
    </w:p>
    <w:p w:rsidR="00F61688" w:rsidRPr="00882085" w:rsidRDefault="00F61688" w:rsidP="00F61688">
      <w:pPr>
        <w:ind w:left="720" w:hanging="720"/>
        <w:rPr>
          <w:szCs w:val="22"/>
        </w:rPr>
      </w:pPr>
    </w:p>
    <w:p w:rsidR="00F61688" w:rsidRDefault="00F61688" w:rsidP="001011FE">
      <w:pPr>
        <w:pStyle w:val="ListParagraph"/>
        <w:widowControl/>
        <w:numPr>
          <w:ilvl w:val="1"/>
          <w:numId w:val="3"/>
        </w:numPr>
        <w:rPr>
          <w:szCs w:val="22"/>
        </w:rPr>
      </w:pPr>
      <w:r>
        <w:rPr>
          <w:szCs w:val="22"/>
        </w:rPr>
        <w:t>The most frequently reported events associated with venetoclax treatment were blood and lymphatic disorders (</w:t>
      </w:r>
      <w:r w:rsidRPr="0041606F">
        <w:rPr>
          <w:szCs w:val="22"/>
        </w:rPr>
        <w:t>anaemia, neutropenia</w:t>
      </w:r>
      <w:r>
        <w:rPr>
          <w:szCs w:val="22"/>
        </w:rPr>
        <w:t>, thrombocytopenia), gastrointestinal disorders (</w:t>
      </w:r>
      <w:r w:rsidRPr="0041606F">
        <w:rPr>
          <w:szCs w:val="22"/>
        </w:rPr>
        <w:t>nausea,</w:t>
      </w:r>
      <w:r>
        <w:rPr>
          <w:szCs w:val="22"/>
        </w:rPr>
        <w:t xml:space="preserve"> vomiting, constipation, </w:t>
      </w:r>
      <w:r w:rsidRPr="0041606F">
        <w:rPr>
          <w:szCs w:val="22"/>
        </w:rPr>
        <w:t>diarrhoea</w:t>
      </w:r>
      <w:r>
        <w:rPr>
          <w:szCs w:val="22"/>
        </w:rPr>
        <w:t>), general disorders (</w:t>
      </w:r>
      <w:r w:rsidRPr="0041606F">
        <w:rPr>
          <w:szCs w:val="22"/>
        </w:rPr>
        <w:t>fatigue</w:t>
      </w:r>
      <w:r>
        <w:rPr>
          <w:szCs w:val="22"/>
        </w:rPr>
        <w:t>, pyrexia), infections and infestations (upper respiratory tract infections), metabolism and nutrition disorders (hyperphosphataemia, hypomagnesaemia, hyponatraemia), nervous system disorders (headache), respiratory disorders (cough) and skin and subcutaneous disorders (rash). Many of the adverse events were of mild to moderate severity although approximately half the patients enrolled in the venetoclax trials experienced a serious adverse event (including atrial fibrillation, autoimmune haemolytic anaemia, febrile neutropenia, pyrexia, pneumonia, upper respiratory tract infection, fluid overload, prostate cancer, multi-organ dysfunctio</w:t>
      </w:r>
      <w:r w:rsidR="00A759A7">
        <w:rPr>
          <w:szCs w:val="22"/>
        </w:rPr>
        <w:t>n syndrome, and hyperkalaemia).</w:t>
      </w:r>
    </w:p>
    <w:p w:rsidR="00F61688" w:rsidRPr="00A759A7" w:rsidRDefault="00F61688" w:rsidP="00F61688">
      <w:pPr>
        <w:widowControl/>
        <w:rPr>
          <w:szCs w:val="22"/>
        </w:rPr>
      </w:pPr>
    </w:p>
    <w:p w:rsidR="00F61688" w:rsidRDefault="00F61688" w:rsidP="001011FE">
      <w:pPr>
        <w:pStyle w:val="ListParagraph"/>
        <w:widowControl/>
        <w:numPr>
          <w:ilvl w:val="1"/>
          <w:numId w:val="3"/>
        </w:numPr>
        <w:rPr>
          <w:szCs w:val="22"/>
        </w:rPr>
      </w:pPr>
      <w:r>
        <w:rPr>
          <w:szCs w:val="22"/>
        </w:rPr>
        <w:t>Adverse events leading to premature treatment discontinuation included autoimmune haemolytic anaemia, neutropenia, febrile neutropenia, thrombocytopenia, diarrhoea, vomiting, mucosal inflammation, multiple organ dysfunction syndrome, malignant neoplasm progression, Richter’s syndrome, myelodysplastic syndrome, paraneoplastic pemphigus, respiratory failure and increased creatinine.</w:t>
      </w:r>
    </w:p>
    <w:p w:rsidR="00F61688" w:rsidRPr="00A759A7" w:rsidRDefault="00F61688" w:rsidP="00F61688">
      <w:pPr>
        <w:widowControl/>
        <w:rPr>
          <w:szCs w:val="22"/>
        </w:rPr>
      </w:pPr>
    </w:p>
    <w:p w:rsidR="00F61688" w:rsidRPr="00200930" w:rsidRDefault="00F61688" w:rsidP="001011FE">
      <w:pPr>
        <w:pStyle w:val="ListParagraph"/>
        <w:widowControl/>
        <w:numPr>
          <w:ilvl w:val="1"/>
          <w:numId w:val="3"/>
        </w:numPr>
        <w:rPr>
          <w:szCs w:val="22"/>
        </w:rPr>
      </w:pPr>
      <w:r w:rsidRPr="00DD1DEA">
        <w:rPr>
          <w:szCs w:val="22"/>
        </w:rPr>
        <w:t xml:space="preserve">Treatment-related deaths due to tumour lysis syndrome (TLS) were reported in Study M12-175 which resulted in the development of a TLS monitoring program. No further </w:t>
      </w:r>
      <w:r w:rsidRPr="00200930">
        <w:rPr>
          <w:szCs w:val="22"/>
        </w:rPr>
        <w:t>TLS deaths have been reported in the venetoclax study program.</w:t>
      </w:r>
      <w:r w:rsidR="00AC49BA" w:rsidRPr="00200930">
        <w:rPr>
          <w:szCs w:val="22"/>
        </w:rPr>
        <w:t xml:space="preserve"> The FDA recommended a warning for TLS </w:t>
      </w:r>
      <w:r w:rsidR="004562A5">
        <w:rPr>
          <w:szCs w:val="22"/>
        </w:rPr>
        <w:t xml:space="preserve">for venetoclax </w:t>
      </w:r>
      <w:r w:rsidR="00AC49BA" w:rsidRPr="00200930">
        <w:rPr>
          <w:szCs w:val="22"/>
        </w:rPr>
        <w:t>in the US.</w:t>
      </w:r>
    </w:p>
    <w:p w:rsidR="00F61688" w:rsidRPr="00DD1DEA" w:rsidRDefault="00F61688" w:rsidP="00F61688">
      <w:pPr>
        <w:widowControl/>
        <w:rPr>
          <w:szCs w:val="22"/>
        </w:rPr>
      </w:pPr>
    </w:p>
    <w:p w:rsidR="00F61688" w:rsidRPr="00DD1DEA" w:rsidRDefault="00F61688" w:rsidP="001011FE">
      <w:pPr>
        <w:pStyle w:val="ListParagraph"/>
        <w:numPr>
          <w:ilvl w:val="1"/>
          <w:numId w:val="3"/>
        </w:numPr>
        <w:rPr>
          <w:szCs w:val="22"/>
        </w:rPr>
      </w:pPr>
      <w:r w:rsidRPr="00DD1DEA">
        <w:rPr>
          <w:szCs w:val="22"/>
        </w:rPr>
        <w:t>The submission presented a series of naïve indirect comparisons of safety outcomes between venetoclax and the nominated comparators. This is not a reliable method for assessing comparative safety. The incidence of adverse events was difficult to interpret given the substantial differences in treatment exposure between studies.</w:t>
      </w:r>
    </w:p>
    <w:p w:rsidR="00F61688" w:rsidRPr="00DD1DEA" w:rsidRDefault="00F61688" w:rsidP="00F61688">
      <w:pPr>
        <w:rPr>
          <w:szCs w:val="22"/>
        </w:rPr>
      </w:pPr>
    </w:p>
    <w:p w:rsidR="00F61688" w:rsidRPr="00DD1DEA" w:rsidRDefault="00F61688" w:rsidP="001011FE">
      <w:pPr>
        <w:pStyle w:val="ListParagraph"/>
        <w:numPr>
          <w:ilvl w:val="1"/>
          <w:numId w:val="3"/>
        </w:numPr>
        <w:rPr>
          <w:szCs w:val="22"/>
        </w:rPr>
      </w:pPr>
      <w:r w:rsidRPr="00DD1DEA">
        <w:rPr>
          <w:szCs w:val="22"/>
        </w:rPr>
        <w:t>Based on the naïve indirect comparisons, the submission acknowledged that venetoclax was associated with a numerically higher incidence of Grade 3 or higher severity adverse events (require medical attention) compared to ofatumumab monotherapy and rituximab monotherapy.</w:t>
      </w:r>
    </w:p>
    <w:p w:rsidR="00F61688" w:rsidRPr="00DD1DEA" w:rsidRDefault="00F61688" w:rsidP="00F61688">
      <w:pPr>
        <w:rPr>
          <w:szCs w:val="22"/>
        </w:rPr>
      </w:pPr>
    </w:p>
    <w:p w:rsidR="00F61688" w:rsidRPr="00DD1DEA" w:rsidRDefault="00F61688" w:rsidP="001011FE">
      <w:pPr>
        <w:pStyle w:val="ListParagraph"/>
        <w:numPr>
          <w:ilvl w:val="1"/>
          <w:numId w:val="3"/>
        </w:numPr>
        <w:rPr>
          <w:szCs w:val="22"/>
        </w:rPr>
      </w:pPr>
      <w:r w:rsidRPr="00DD1DEA">
        <w:rPr>
          <w:szCs w:val="22"/>
        </w:rPr>
        <w:t>Based on the naïve indirect comparisons, the submission claimed that venetoclax had a different but noninferior safety profile compared to ibrutinib as well as idelalisib with rituximab. It is unclear whether this claim was reasonable given the limited available data. Treatment with venetoclax appeared to be associated with higher rates of cytopenias that required medical attention compared to comparators:</w:t>
      </w:r>
    </w:p>
    <w:p w:rsidR="00F61688" w:rsidRPr="00DD1DEA" w:rsidRDefault="00A759A7" w:rsidP="001011FE">
      <w:pPr>
        <w:pStyle w:val="ListParagraph"/>
        <w:numPr>
          <w:ilvl w:val="0"/>
          <w:numId w:val="13"/>
        </w:numPr>
        <w:rPr>
          <w:szCs w:val="22"/>
        </w:rPr>
      </w:pPr>
      <w:r w:rsidRPr="00DD1DEA">
        <w:rPr>
          <w:szCs w:val="22"/>
        </w:rPr>
        <w:t>n</w:t>
      </w:r>
      <w:r w:rsidR="00F61688" w:rsidRPr="00DD1DEA">
        <w:rPr>
          <w:szCs w:val="22"/>
        </w:rPr>
        <w:t xml:space="preserve">eutropenia ranged from </w:t>
      </w:r>
      <w:r w:rsidR="00204548">
        <w:rPr>
          <w:noProof/>
          <w:color w:val="000000"/>
          <w:szCs w:val="22"/>
          <w:highlight w:val="black"/>
        </w:rPr>
        <w:t>''''''''''''</w:t>
      </w:r>
      <w:r w:rsidR="00F61688" w:rsidRPr="00DD1DEA">
        <w:rPr>
          <w:szCs w:val="22"/>
        </w:rPr>
        <w:t>% for venetoclax compared to 16% for ibrutinib and 23% for idelalisib with rituximab;</w:t>
      </w:r>
    </w:p>
    <w:p w:rsidR="00F61688" w:rsidRPr="00DD1DEA" w:rsidRDefault="00A759A7" w:rsidP="001011FE">
      <w:pPr>
        <w:pStyle w:val="ListParagraph"/>
        <w:numPr>
          <w:ilvl w:val="0"/>
          <w:numId w:val="13"/>
        </w:numPr>
        <w:rPr>
          <w:szCs w:val="22"/>
        </w:rPr>
      </w:pPr>
      <w:r w:rsidRPr="00DD1DEA">
        <w:rPr>
          <w:szCs w:val="22"/>
        </w:rPr>
        <w:t>a</w:t>
      </w:r>
      <w:r w:rsidR="00F61688" w:rsidRPr="00DD1DEA">
        <w:rPr>
          <w:szCs w:val="22"/>
        </w:rPr>
        <w:t xml:space="preserve">naemia ranged from </w:t>
      </w:r>
      <w:r w:rsidR="00204548">
        <w:rPr>
          <w:noProof/>
          <w:color w:val="000000"/>
          <w:szCs w:val="22"/>
          <w:highlight w:val="black"/>
        </w:rPr>
        <w:t>''''''''''</w:t>
      </w:r>
      <w:r w:rsidR="00F61688" w:rsidRPr="00DD1DEA">
        <w:rPr>
          <w:szCs w:val="22"/>
        </w:rPr>
        <w:t>% for venetoclax compared to 5% for ibrutinib and 7%</w:t>
      </w:r>
      <w:r w:rsidRPr="00DD1DEA">
        <w:rPr>
          <w:szCs w:val="22"/>
        </w:rPr>
        <w:t xml:space="preserve"> for idelalisib with rituximab;</w:t>
      </w:r>
    </w:p>
    <w:p w:rsidR="00F61688" w:rsidRPr="00DD1DEA" w:rsidRDefault="00A759A7" w:rsidP="001011FE">
      <w:pPr>
        <w:pStyle w:val="ListParagraph"/>
        <w:numPr>
          <w:ilvl w:val="0"/>
          <w:numId w:val="13"/>
        </w:numPr>
        <w:rPr>
          <w:szCs w:val="22"/>
        </w:rPr>
      </w:pPr>
      <w:r w:rsidRPr="00DD1DEA">
        <w:rPr>
          <w:szCs w:val="22"/>
        </w:rPr>
        <w:t>t</w:t>
      </w:r>
      <w:r w:rsidR="00F61688" w:rsidRPr="00DD1DEA">
        <w:rPr>
          <w:szCs w:val="22"/>
        </w:rPr>
        <w:t xml:space="preserve">hrombocytopenia ranged from </w:t>
      </w:r>
      <w:r w:rsidR="00204548">
        <w:rPr>
          <w:noProof/>
          <w:color w:val="000000"/>
          <w:szCs w:val="22"/>
          <w:highlight w:val="black"/>
        </w:rPr>
        <w:t>''''''''''''''</w:t>
      </w:r>
      <w:r w:rsidR="00F61688" w:rsidRPr="00DD1DEA">
        <w:rPr>
          <w:szCs w:val="22"/>
        </w:rPr>
        <w:t>% for venetoclax compared to 6% for ibrutinib and 4% for idelalisib with rituximab.</w:t>
      </w:r>
    </w:p>
    <w:p w:rsidR="00591AEA" w:rsidRPr="00591AEA" w:rsidRDefault="00591AEA" w:rsidP="00591AEA">
      <w:pPr>
        <w:rPr>
          <w:szCs w:val="22"/>
        </w:rPr>
      </w:pPr>
    </w:p>
    <w:p w:rsidR="00F61688" w:rsidRPr="00DD1DEA" w:rsidRDefault="00A759A7" w:rsidP="00ED0D85">
      <w:pPr>
        <w:pStyle w:val="ListParagraph"/>
        <w:numPr>
          <w:ilvl w:val="1"/>
          <w:numId w:val="3"/>
        </w:numPr>
        <w:rPr>
          <w:szCs w:val="22"/>
        </w:rPr>
      </w:pPr>
      <w:r w:rsidRPr="00DD1DEA">
        <w:rPr>
          <w:szCs w:val="22"/>
        </w:rPr>
        <w:t>C</w:t>
      </w:r>
      <w:r w:rsidR="00F61688" w:rsidRPr="00DD1DEA">
        <w:rPr>
          <w:szCs w:val="22"/>
        </w:rPr>
        <w:t xml:space="preserve">omparisons of safety between venetoclax, ibrutinib and idelalisib with rituximab may be biased in favour of venetoclax </w:t>
      </w:r>
      <w:r w:rsidRPr="00DD1DEA">
        <w:rPr>
          <w:szCs w:val="22"/>
        </w:rPr>
        <w:t>because</w:t>
      </w:r>
      <w:r w:rsidR="00F61688" w:rsidRPr="00DD1DEA">
        <w:rPr>
          <w:szCs w:val="22"/>
        </w:rPr>
        <w:t xml:space="preserve"> the ibrutinib and idelalisib trials included patients with a higher risk of cytopenias.</w:t>
      </w:r>
    </w:p>
    <w:p w:rsidR="00F61688" w:rsidRPr="00DD1DEA" w:rsidRDefault="00F61688" w:rsidP="00A759A7">
      <w:pPr>
        <w:rPr>
          <w:szCs w:val="22"/>
        </w:rPr>
      </w:pPr>
    </w:p>
    <w:p w:rsidR="00F61688" w:rsidRPr="00DD1DEA" w:rsidRDefault="00F61688" w:rsidP="00A759A7">
      <w:pPr>
        <w:pStyle w:val="ListParagraph"/>
        <w:numPr>
          <w:ilvl w:val="1"/>
          <w:numId w:val="3"/>
        </w:numPr>
        <w:rPr>
          <w:szCs w:val="22"/>
        </w:rPr>
      </w:pPr>
      <w:r w:rsidRPr="00DD1DEA">
        <w:rPr>
          <w:szCs w:val="22"/>
        </w:rPr>
        <w:t>The submission acknowledged that venetoclax may have a higher risk of TLS compared to the other nominated treatments.</w:t>
      </w:r>
    </w:p>
    <w:p w:rsidR="00F61688" w:rsidRPr="00DD1DEA" w:rsidRDefault="00F61688" w:rsidP="00F61688">
      <w:pPr>
        <w:rPr>
          <w:szCs w:val="22"/>
        </w:rPr>
      </w:pPr>
    </w:p>
    <w:p w:rsidR="00F61688" w:rsidRPr="00DD1DEA" w:rsidRDefault="00F61688" w:rsidP="001011FE">
      <w:pPr>
        <w:pStyle w:val="ListParagraph"/>
        <w:numPr>
          <w:ilvl w:val="1"/>
          <w:numId w:val="3"/>
        </w:numPr>
        <w:rPr>
          <w:szCs w:val="22"/>
        </w:rPr>
      </w:pPr>
      <w:r w:rsidRPr="00DD1DEA">
        <w:rPr>
          <w:szCs w:val="22"/>
        </w:rPr>
        <w:t>The submission did not provide an adequate assessment of safety from the broader venetoclax trial program outside the requested restriction. Limited adverse event data (in terms of number of patients treated and duration of therapy) are available for venetoclax</w:t>
      </w:r>
      <w:r w:rsidR="00A759A7" w:rsidRPr="00DD1DEA">
        <w:rPr>
          <w:szCs w:val="22"/>
        </w:rPr>
        <w:t xml:space="preserve"> treatment.</w:t>
      </w:r>
    </w:p>
    <w:p w:rsidR="00F61688" w:rsidRDefault="00F61688" w:rsidP="00F61688">
      <w:pPr>
        <w:pStyle w:val="ListParagraph"/>
        <w:ind w:left="0"/>
        <w:rPr>
          <w:szCs w:val="22"/>
        </w:rPr>
      </w:pPr>
    </w:p>
    <w:p w:rsidR="00F61688" w:rsidRPr="002C2775" w:rsidRDefault="00F61688" w:rsidP="00F61688">
      <w:pPr>
        <w:pStyle w:val="Heading2"/>
        <w:rPr>
          <w:i/>
          <w:szCs w:val="22"/>
        </w:rPr>
      </w:pPr>
      <w:bookmarkStart w:id="20" w:name="_Toc392858197"/>
      <w:bookmarkStart w:id="21" w:name="_Toc472494401"/>
      <w:r w:rsidRPr="002C2775">
        <w:rPr>
          <w:i/>
        </w:rPr>
        <w:t>Benefits/harms</w:t>
      </w:r>
      <w:bookmarkEnd w:id="20"/>
      <w:bookmarkEnd w:id="21"/>
    </w:p>
    <w:p w:rsidR="00F61688" w:rsidRPr="007F1017" w:rsidRDefault="00F61688" w:rsidP="00F61688">
      <w:pPr>
        <w:pStyle w:val="ListParagraph"/>
        <w:ind w:left="0"/>
        <w:rPr>
          <w:szCs w:val="22"/>
        </w:rPr>
      </w:pPr>
    </w:p>
    <w:p w:rsidR="00F61688" w:rsidRPr="00DD1DEA" w:rsidRDefault="00F61688" w:rsidP="001011FE">
      <w:pPr>
        <w:pStyle w:val="ListParagraph"/>
        <w:widowControl/>
        <w:numPr>
          <w:ilvl w:val="1"/>
          <w:numId w:val="3"/>
        </w:numPr>
        <w:rPr>
          <w:szCs w:val="22"/>
        </w:rPr>
      </w:pPr>
      <w:r w:rsidRPr="00DD1DEA">
        <w:rPr>
          <w:szCs w:val="22"/>
        </w:rPr>
        <w:t>There was insufficient information to reliably quantify the benefits and harms of venetoclax compared to the nominated comparators (ofatumumab monotherapy, rituximab monotherapy; ibrutinib; idelalisib with rituximab).</w:t>
      </w:r>
    </w:p>
    <w:p w:rsidR="00F61688" w:rsidRPr="00882085" w:rsidRDefault="00F61688" w:rsidP="00F61688"/>
    <w:p w:rsidR="00F61688" w:rsidRPr="002C2775" w:rsidRDefault="00F61688" w:rsidP="00F61688">
      <w:pPr>
        <w:pStyle w:val="Heading2"/>
        <w:rPr>
          <w:i/>
        </w:rPr>
      </w:pPr>
      <w:bookmarkStart w:id="22" w:name="_Toc392858198"/>
      <w:bookmarkStart w:id="23" w:name="_Toc472494402"/>
      <w:r w:rsidRPr="002C2775">
        <w:rPr>
          <w:i/>
        </w:rPr>
        <w:t>Clinical claim</w:t>
      </w:r>
      <w:bookmarkEnd w:id="22"/>
      <w:bookmarkEnd w:id="23"/>
    </w:p>
    <w:p w:rsidR="00F61688" w:rsidRPr="00882085" w:rsidRDefault="00F61688" w:rsidP="00F61688">
      <w:pPr>
        <w:ind w:left="720" w:hanging="720"/>
        <w:rPr>
          <w:szCs w:val="22"/>
        </w:rPr>
      </w:pPr>
    </w:p>
    <w:p w:rsidR="00F61688" w:rsidRPr="00DD1DEA" w:rsidRDefault="00F61688" w:rsidP="001011FE">
      <w:pPr>
        <w:pStyle w:val="ListParagraph"/>
        <w:widowControl/>
        <w:numPr>
          <w:ilvl w:val="1"/>
          <w:numId w:val="3"/>
        </w:numPr>
        <w:rPr>
          <w:szCs w:val="22"/>
        </w:rPr>
      </w:pPr>
      <w:r w:rsidRPr="00DD1DEA">
        <w:rPr>
          <w:szCs w:val="22"/>
        </w:rPr>
        <w:t xml:space="preserve">The submission described venetoclax as superior in terms of comparative efficacy, with inferior safety compared to ofatumumab in relapsed/refractory patients with a 17p deletion/TP53 </w:t>
      </w:r>
      <w:r w:rsidRPr="00200930">
        <w:rPr>
          <w:szCs w:val="22"/>
        </w:rPr>
        <w:t>mutation. Despite the limited evidence, this claim may be reasonable in terms of efficacy and safety. However, the magnitude of any benefit was unclear.</w:t>
      </w:r>
      <w:r w:rsidR="00AC49BA" w:rsidRPr="00200930">
        <w:rPr>
          <w:szCs w:val="22"/>
        </w:rPr>
        <w:t xml:space="preserve"> Furthermore, th</w:t>
      </w:r>
      <w:r w:rsidR="009378F4" w:rsidRPr="00200930">
        <w:rPr>
          <w:szCs w:val="22"/>
        </w:rPr>
        <w:t xml:space="preserve">is has no direct </w:t>
      </w:r>
      <w:r w:rsidR="00AC49BA" w:rsidRPr="00200930">
        <w:rPr>
          <w:szCs w:val="22"/>
        </w:rPr>
        <w:t>relevance to the requested listing, given that ofatumumab was not a relevant comparator</w:t>
      </w:r>
      <w:r w:rsidR="00AC49BA">
        <w:rPr>
          <w:i/>
          <w:szCs w:val="22"/>
        </w:rPr>
        <w:t>.</w:t>
      </w:r>
    </w:p>
    <w:p w:rsidR="00F61688" w:rsidRPr="00A759A7" w:rsidRDefault="00F61688" w:rsidP="00F61688">
      <w:pPr>
        <w:widowControl/>
        <w:rPr>
          <w:szCs w:val="22"/>
        </w:rPr>
      </w:pPr>
    </w:p>
    <w:p w:rsidR="00F61688" w:rsidRPr="00200930" w:rsidRDefault="00F61688" w:rsidP="001011FE">
      <w:pPr>
        <w:pStyle w:val="ListParagraph"/>
        <w:widowControl/>
        <w:numPr>
          <w:ilvl w:val="1"/>
          <w:numId w:val="3"/>
        </w:numPr>
        <w:rPr>
          <w:szCs w:val="22"/>
        </w:rPr>
      </w:pPr>
      <w:r w:rsidRPr="00DD1DEA">
        <w:rPr>
          <w:szCs w:val="22"/>
        </w:rPr>
        <w:t>The submission described venetoclax as superior in terms of com</w:t>
      </w:r>
      <w:r w:rsidR="005D794A" w:rsidRPr="00DD1DEA">
        <w:rPr>
          <w:szCs w:val="22"/>
        </w:rPr>
        <w:t>parative efficacy, with a non</w:t>
      </w:r>
      <w:r w:rsidRPr="00DD1DEA">
        <w:rPr>
          <w:szCs w:val="22"/>
        </w:rPr>
        <w:t xml:space="preserve">inferior safety profile compared to idelalisib with rituximab in relapsed/ refractory </w:t>
      </w:r>
      <w:r w:rsidRPr="00200930">
        <w:rPr>
          <w:szCs w:val="22"/>
        </w:rPr>
        <w:t xml:space="preserve">patients with a 17p deletion/TP53 mutation. </w:t>
      </w:r>
      <w:r w:rsidR="00AC49BA" w:rsidRPr="00200930">
        <w:rPr>
          <w:szCs w:val="22"/>
        </w:rPr>
        <w:t>The ESC a</w:t>
      </w:r>
      <w:r w:rsidR="009378F4" w:rsidRPr="00200930">
        <w:rPr>
          <w:szCs w:val="22"/>
        </w:rPr>
        <w:t>dvis</w:t>
      </w:r>
      <w:r w:rsidR="00AC49BA" w:rsidRPr="00200930">
        <w:rPr>
          <w:szCs w:val="22"/>
        </w:rPr>
        <w:t>ed that t</w:t>
      </w:r>
      <w:r w:rsidRPr="00200930">
        <w:rPr>
          <w:szCs w:val="22"/>
        </w:rPr>
        <w:t>his claim was not adequately supported in terms of efficacy or safety, due to the limited evidence.</w:t>
      </w:r>
    </w:p>
    <w:p w:rsidR="00F61688" w:rsidRPr="00DD1DEA" w:rsidRDefault="00F61688" w:rsidP="00F61688">
      <w:pPr>
        <w:widowControl/>
        <w:rPr>
          <w:szCs w:val="22"/>
        </w:rPr>
      </w:pPr>
    </w:p>
    <w:p w:rsidR="00F61688" w:rsidRPr="00200930" w:rsidRDefault="00F61688" w:rsidP="001011FE">
      <w:pPr>
        <w:pStyle w:val="ListParagraph"/>
        <w:widowControl/>
        <w:numPr>
          <w:ilvl w:val="1"/>
          <w:numId w:val="3"/>
        </w:numPr>
        <w:rPr>
          <w:szCs w:val="22"/>
        </w:rPr>
      </w:pPr>
      <w:r w:rsidRPr="00DD1DEA">
        <w:rPr>
          <w:szCs w:val="22"/>
        </w:rPr>
        <w:t xml:space="preserve">The submission </w:t>
      </w:r>
      <w:r w:rsidRPr="00200930">
        <w:rPr>
          <w:szCs w:val="22"/>
        </w:rPr>
        <w:t>described venetoclax as equivalent in efficacy and safety to ibrutinib in relapsed/refractory patients with a 17p deletion/TP53 mutation. T</w:t>
      </w:r>
      <w:r w:rsidR="00AC49BA" w:rsidRPr="00200930">
        <w:rPr>
          <w:szCs w:val="22"/>
        </w:rPr>
        <w:t>he ESC a</w:t>
      </w:r>
      <w:r w:rsidR="009378F4" w:rsidRPr="00200930">
        <w:rPr>
          <w:szCs w:val="22"/>
        </w:rPr>
        <w:t>dvis</w:t>
      </w:r>
      <w:r w:rsidR="00AC49BA" w:rsidRPr="00200930">
        <w:rPr>
          <w:szCs w:val="22"/>
        </w:rPr>
        <w:t>ed that t</w:t>
      </w:r>
      <w:r w:rsidRPr="00200930">
        <w:rPr>
          <w:szCs w:val="22"/>
        </w:rPr>
        <w:t>his claim was not adequately supported in terms of efficacy or safety, due to the limited evidence.</w:t>
      </w:r>
    </w:p>
    <w:p w:rsidR="004F79F3" w:rsidRPr="00200930" w:rsidRDefault="004F79F3" w:rsidP="004F79F3">
      <w:pPr>
        <w:ind w:left="709" w:right="135"/>
        <w:rPr>
          <w:szCs w:val="22"/>
        </w:rPr>
      </w:pPr>
    </w:p>
    <w:p w:rsidR="004F79F3" w:rsidRPr="00200930" w:rsidRDefault="004F79F3" w:rsidP="004F79F3">
      <w:pPr>
        <w:pStyle w:val="ListParagraph"/>
        <w:widowControl/>
        <w:numPr>
          <w:ilvl w:val="1"/>
          <w:numId w:val="3"/>
        </w:numPr>
      </w:pPr>
      <w:r w:rsidRPr="00200930">
        <w:rPr>
          <w:szCs w:val="22"/>
        </w:rPr>
        <w:t>Given the issues with the data, the ESC considered it was not possible to reliably assess these claims in relation to the relevant comparators (idelalisib and ibrutinib), which is important given the context of a relatively common cancer, likely small but potentially important difference across these therapies, and stronger evidence being collected.</w:t>
      </w:r>
    </w:p>
    <w:p w:rsidR="00F61688" w:rsidRPr="00200930" w:rsidRDefault="00F61688" w:rsidP="00F61688">
      <w:pPr>
        <w:widowControl/>
        <w:rPr>
          <w:szCs w:val="22"/>
        </w:rPr>
      </w:pPr>
    </w:p>
    <w:p w:rsidR="00F61688" w:rsidRPr="00DD1DEA" w:rsidRDefault="00F61688" w:rsidP="001011FE">
      <w:pPr>
        <w:pStyle w:val="ListParagraph"/>
        <w:widowControl/>
        <w:numPr>
          <w:ilvl w:val="1"/>
          <w:numId w:val="3"/>
        </w:numPr>
        <w:rPr>
          <w:szCs w:val="22"/>
        </w:rPr>
      </w:pPr>
      <w:r w:rsidRPr="00200930">
        <w:rPr>
          <w:szCs w:val="22"/>
        </w:rPr>
        <w:t>The submission described venetoclax as superior in terms of comparative efficacy, with inferior safety compared to rituximab monotherapy in patients with highly refractory disease. Despite the limited evidence, this claim may be reasonable</w:t>
      </w:r>
      <w:r w:rsidRPr="00DD1DEA">
        <w:rPr>
          <w:szCs w:val="22"/>
        </w:rPr>
        <w:t xml:space="preserve"> in terms of efficacy and safety. However, the magnitude of any benefit was unclear.</w:t>
      </w:r>
    </w:p>
    <w:p w:rsidR="00F61688" w:rsidRDefault="00F61688" w:rsidP="00F61688">
      <w:pPr>
        <w:ind w:left="720" w:hanging="720"/>
        <w:rPr>
          <w:szCs w:val="22"/>
        </w:rPr>
      </w:pPr>
    </w:p>
    <w:p w:rsidR="00064500" w:rsidRPr="00591AEA" w:rsidRDefault="00064500" w:rsidP="00ED0D85">
      <w:pPr>
        <w:pStyle w:val="ListParagraph"/>
        <w:widowControl/>
        <w:numPr>
          <w:ilvl w:val="1"/>
          <w:numId w:val="3"/>
        </w:numPr>
        <w:rPr>
          <w:bCs/>
        </w:rPr>
      </w:pPr>
      <w:r w:rsidRPr="00591AEA">
        <w:rPr>
          <w:bCs/>
          <w:szCs w:val="22"/>
        </w:rPr>
        <w:t>The PBAC considered that the claim</w:t>
      </w:r>
      <w:r w:rsidR="00ED0D85" w:rsidRPr="00591AEA">
        <w:rPr>
          <w:bCs/>
          <w:szCs w:val="22"/>
        </w:rPr>
        <w:t>s</w:t>
      </w:r>
      <w:r w:rsidRPr="00591AEA">
        <w:rPr>
          <w:bCs/>
          <w:szCs w:val="22"/>
        </w:rPr>
        <w:t xml:space="preserve"> of comparative effectiveness </w:t>
      </w:r>
      <w:r w:rsidR="00ED0D85" w:rsidRPr="00591AEA">
        <w:rPr>
          <w:bCs/>
          <w:szCs w:val="22"/>
        </w:rPr>
        <w:t>between venetoclax and idelalisib or ibrutinib were</w:t>
      </w:r>
      <w:r w:rsidRPr="00591AEA">
        <w:rPr>
          <w:bCs/>
          <w:szCs w:val="22"/>
        </w:rPr>
        <w:t xml:space="preserve"> not adequately supported by the data.</w:t>
      </w:r>
    </w:p>
    <w:p w:rsidR="00064500" w:rsidRPr="00591AEA" w:rsidRDefault="00064500" w:rsidP="00064500">
      <w:pPr>
        <w:rPr>
          <w:bCs/>
          <w:szCs w:val="22"/>
        </w:rPr>
      </w:pPr>
    </w:p>
    <w:p w:rsidR="00064500" w:rsidRPr="00591AEA" w:rsidRDefault="00064500" w:rsidP="00064500">
      <w:pPr>
        <w:pStyle w:val="ListParagraph"/>
        <w:widowControl/>
        <w:numPr>
          <w:ilvl w:val="1"/>
          <w:numId w:val="3"/>
        </w:numPr>
        <w:rPr>
          <w:szCs w:val="22"/>
        </w:rPr>
      </w:pPr>
      <w:r w:rsidRPr="00591AEA">
        <w:rPr>
          <w:szCs w:val="22"/>
        </w:rPr>
        <w:t>The PBAC considered that the claim</w:t>
      </w:r>
      <w:r w:rsidR="00ED0D85" w:rsidRPr="00591AEA">
        <w:rPr>
          <w:szCs w:val="22"/>
        </w:rPr>
        <w:t>s</w:t>
      </w:r>
      <w:r w:rsidRPr="00591AEA">
        <w:rPr>
          <w:szCs w:val="22"/>
        </w:rPr>
        <w:t xml:space="preserve"> of comparative safety </w:t>
      </w:r>
      <w:r w:rsidR="00ED0D85" w:rsidRPr="00591AEA">
        <w:rPr>
          <w:bCs/>
          <w:szCs w:val="22"/>
        </w:rPr>
        <w:t>between venetoclax and idelalisib or ibrutinib were</w:t>
      </w:r>
      <w:r w:rsidRPr="00591AEA">
        <w:rPr>
          <w:szCs w:val="22"/>
        </w:rPr>
        <w:t xml:space="preserve"> not adequately supported by the data.</w:t>
      </w:r>
    </w:p>
    <w:p w:rsidR="00F07E56" w:rsidRPr="00F07E56" w:rsidRDefault="00F07E56" w:rsidP="006E3608"/>
    <w:p w:rsidR="00F07E56" w:rsidRPr="006E3608" w:rsidRDefault="00F07E56" w:rsidP="006E3608">
      <w:pPr>
        <w:ind w:firstLine="720"/>
        <w:rPr>
          <w:bCs/>
          <w:i/>
          <w:szCs w:val="22"/>
        </w:rPr>
      </w:pPr>
      <w:r w:rsidRPr="006E3608">
        <w:rPr>
          <w:bCs/>
          <w:i/>
          <w:szCs w:val="22"/>
        </w:rPr>
        <w:t>For more detail on PBAC’s view, see section 7 “PBAC outcome”.</w:t>
      </w:r>
    </w:p>
    <w:p w:rsidR="00064500" w:rsidRPr="006E3608" w:rsidRDefault="00064500" w:rsidP="006E3608">
      <w:pPr>
        <w:ind w:firstLine="720"/>
        <w:rPr>
          <w:bCs/>
          <w:i/>
          <w:szCs w:val="22"/>
        </w:rPr>
      </w:pPr>
    </w:p>
    <w:p w:rsidR="00F61688" w:rsidRPr="002C2775" w:rsidRDefault="00F61688" w:rsidP="00F61688">
      <w:pPr>
        <w:pStyle w:val="Heading2"/>
        <w:rPr>
          <w:i/>
        </w:rPr>
      </w:pPr>
      <w:bookmarkStart w:id="24" w:name="_Toc392858199"/>
      <w:bookmarkStart w:id="25" w:name="_Toc472494403"/>
      <w:r w:rsidRPr="002C2775">
        <w:rPr>
          <w:i/>
        </w:rPr>
        <w:t>Economic analysis</w:t>
      </w:r>
      <w:bookmarkEnd w:id="24"/>
      <w:bookmarkEnd w:id="25"/>
    </w:p>
    <w:p w:rsidR="00F61688" w:rsidRPr="00882085" w:rsidRDefault="00F61688" w:rsidP="00F61688">
      <w:pPr>
        <w:ind w:left="720" w:hanging="720"/>
        <w:rPr>
          <w:szCs w:val="22"/>
        </w:rPr>
      </w:pPr>
    </w:p>
    <w:p w:rsidR="00F61688" w:rsidRDefault="00F61688" w:rsidP="001011FE">
      <w:pPr>
        <w:pStyle w:val="ListParagraph"/>
        <w:widowControl/>
        <w:numPr>
          <w:ilvl w:val="1"/>
          <w:numId w:val="3"/>
        </w:numPr>
      </w:pPr>
      <w:r w:rsidRPr="00230CE8">
        <w:t>The submissio</w:t>
      </w:r>
      <w:r>
        <w:t>n included a series of economic evaluations:</w:t>
      </w:r>
    </w:p>
    <w:p w:rsidR="00F61688" w:rsidRDefault="0024158A" w:rsidP="0024158A">
      <w:pPr>
        <w:pStyle w:val="ListParagraph"/>
        <w:numPr>
          <w:ilvl w:val="0"/>
          <w:numId w:val="16"/>
        </w:numPr>
      </w:pPr>
      <w:r>
        <w:t>a</w:t>
      </w:r>
      <w:r w:rsidR="00F61688" w:rsidRPr="00230CE8">
        <w:t xml:space="preserve"> </w:t>
      </w:r>
      <w:r w:rsidR="00F61688" w:rsidRPr="0024158A">
        <w:rPr>
          <w:szCs w:val="22"/>
        </w:rPr>
        <w:t>modelled</w:t>
      </w:r>
      <w:r w:rsidR="00F61688" w:rsidRPr="00230CE8">
        <w:t xml:space="preserve"> cost-utility analysis assessing the value of venetoclax compared to ofatumumab monother</w:t>
      </w:r>
      <w:r w:rsidR="00F61688">
        <w:t>apy in patients with 17p deletion/TP53 mutation</w:t>
      </w:r>
      <w:r>
        <w:t>; and</w:t>
      </w:r>
    </w:p>
    <w:p w:rsidR="00F61688" w:rsidRDefault="0024158A" w:rsidP="0024158A">
      <w:pPr>
        <w:pStyle w:val="ListParagraph"/>
        <w:numPr>
          <w:ilvl w:val="0"/>
          <w:numId w:val="16"/>
        </w:numPr>
      </w:pPr>
      <w:r>
        <w:t>a</w:t>
      </w:r>
      <w:r w:rsidR="00F61688" w:rsidRPr="00230CE8">
        <w:t xml:space="preserve"> modelled cost-utility analysis assessing the value of venetoclax compared to rituximab monotherapy (proxy for best supportive care) in patients with highly refractory</w:t>
      </w:r>
      <w:r w:rsidR="00F61688">
        <w:t xml:space="preserve"> disease.</w:t>
      </w:r>
    </w:p>
    <w:p w:rsidR="00841E78" w:rsidRDefault="00841E78">
      <w:pPr>
        <w:widowControl/>
        <w:jc w:val="left"/>
        <w:rPr>
          <w:szCs w:val="22"/>
        </w:rPr>
      </w:pPr>
      <w:r>
        <w:rPr>
          <w:szCs w:val="22"/>
        </w:rPr>
        <w:br w:type="page"/>
      </w:r>
    </w:p>
    <w:p w:rsidR="00F61688" w:rsidRDefault="00F61688" w:rsidP="0024158A">
      <w:pPr>
        <w:pStyle w:val="ListParagraph"/>
        <w:widowControl/>
        <w:numPr>
          <w:ilvl w:val="1"/>
          <w:numId w:val="3"/>
        </w:numPr>
        <w:rPr>
          <w:szCs w:val="22"/>
        </w:rPr>
      </w:pPr>
      <w:r w:rsidRPr="0024158A">
        <w:t>The</w:t>
      </w:r>
      <w:r>
        <w:rPr>
          <w:szCs w:val="22"/>
        </w:rPr>
        <w:t xml:space="preserve"> general structure of the cost-utility models is summarised in Table 7.</w:t>
      </w:r>
    </w:p>
    <w:p w:rsidR="00F61688" w:rsidRDefault="00F61688" w:rsidP="00F61688">
      <w:pPr>
        <w:widowControl/>
        <w:rPr>
          <w:szCs w:val="22"/>
        </w:rPr>
      </w:pPr>
    </w:p>
    <w:p w:rsidR="00F61688" w:rsidRPr="001661FB" w:rsidRDefault="00F61688" w:rsidP="00F61688">
      <w:pPr>
        <w:ind w:firstLine="720"/>
        <w:rPr>
          <w:rStyle w:val="CommentReference"/>
        </w:rPr>
      </w:pPr>
      <w:r>
        <w:rPr>
          <w:rStyle w:val="CommentReference"/>
        </w:rPr>
        <w:t>Table 7</w:t>
      </w:r>
      <w:r w:rsidRPr="001661FB">
        <w:rPr>
          <w:rStyle w:val="CommentReference"/>
        </w:rPr>
        <w:t>: Summary of model structure and rationale</w:t>
      </w:r>
    </w:p>
    <w:tbl>
      <w:tblPr>
        <w:tblW w:w="8321" w:type="dxa"/>
        <w:tblInd w:w="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534"/>
        <w:gridCol w:w="5787"/>
      </w:tblGrid>
      <w:tr w:rsidR="00F61688" w:rsidRPr="004E2ADC" w:rsidTr="00E73A7B">
        <w:tc>
          <w:tcPr>
            <w:tcW w:w="2534" w:type="dxa"/>
            <w:shd w:val="clear" w:color="auto" w:fill="auto"/>
          </w:tcPr>
          <w:p w:rsidR="00F61688" w:rsidRPr="004E2ADC" w:rsidRDefault="00F61688" w:rsidP="00E73A7B">
            <w:pPr>
              <w:rPr>
                <w:rFonts w:ascii="Arial Narrow" w:hAnsi="Arial Narrow"/>
                <w:sz w:val="20"/>
              </w:rPr>
            </w:pPr>
            <w:r w:rsidRPr="004E2ADC">
              <w:rPr>
                <w:rFonts w:ascii="Arial Narrow" w:hAnsi="Arial Narrow"/>
                <w:sz w:val="20"/>
              </w:rPr>
              <w:t>Methods used to generate results</w:t>
            </w:r>
          </w:p>
        </w:tc>
        <w:tc>
          <w:tcPr>
            <w:tcW w:w="5787" w:type="dxa"/>
            <w:shd w:val="clear" w:color="auto" w:fill="auto"/>
          </w:tcPr>
          <w:p w:rsidR="00F61688" w:rsidRDefault="00F61688" w:rsidP="00E73A7B">
            <w:pPr>
              <w:rPr>
                <w:rFonts w:ascii="Arial Narrow" w:hAnsi="Arial Narrow"/>
                <w:sz w:val="20"/>
              </w:rPr>
            </w:pPr>
            <w:r w:rsidRPr="00081224">
              <w:rPr>
                <w:rFonts w:ascii="Arial Narrow" w:hAnsi="Arial Narrow"/>
                <w:sz w:val="20"/>
              </w:rPr>
              <w:t>Markov cohort expected value analysis</w:t>
            </w:r>
          </w:p>
        </w:tc>
      </w:tr>
      <w:tr w:rsidR="00F61688" w:rsidRPr="004E2ADC" w:rsidTr="00E73A7B">
        <w:tc>
          <w:tcPr>
            <w:tcW w:w="2534" w:type="dxa"/>
            <w:shd w:val="clear" w:color="auto" w:fill="auto"/>
          </w:tcPr>
          <w:p w:rsidR="00F61688" w:rsidRPr="004E2ADC" w:rsidRDefault="00F61688" w:rsidP="00E73A7B">
            <w:pPr>
              <w:rPr>
                <w:rFonts w:ascii="Arial Narrow" w:hAnsi="Arial Narrow"/>
                <w:sz w:val="20"/>
              </w:rPr>
            </w:pPr>
            <w:r w:rsidRPr="004E2ADC">
              <w:rPr>
                <w:rFonts w:ascii="Arial Narrow" w:hAnsi="Arial Narrow"/>
                <w:sz w:val="20"/>
              </w:rPr>
              <w:t>Time horizon</w:t>
            </w:r>
          </w:p>
        </w:tc>
        <w:tc>
          <w:tcPr>
            <w:tcW w:w="5787" w:type="dxa"/>
            <w:shd w:val="clear" w:color="auto" w:fill="auto"/>
          </w:tcPr>
          <w:p w:rsidR="00F61688" w:rsidRPr="00081224" w:rsidRDefault="00F61688" w:rsidP="00E73A7B">
            <w:pPr>
              <w:rPr>
                <w:rFonts w:ascii="Arial Narrow" w:hAnsi="Arial Narrow"/>
                <w:sz w:val="20"/>
              </w:rPr>
            </w:pPr>
            <w:r>
              <w:rPr>
                <w:rFonts w:ascii="Arial Narrow" w:hAnsi="Arial Narrow"/>
                <w:sz w:val="20"/>
              </w:rPr>
              <w:t>10</w:t>
            </w:r>
            <w:r w:rsidRPr="00081224">
              <w:rPr>
                <w:rFonts w:ascii="Arial Narrow" w:hAnsi="Arial Narrow"/>
                <w:sz w:val="20"/>
              </w:rPr>
              <w:t xml:space="preserve"> years</w:t>
            </w:r>
          </w:p>
        </w:tc>
      </w:tr>
      <w:tr w:rsidR="00F61688" w:rsidRPr="004E2ADC" w:rsidTr="00E73A7B">
        <w:tc>
          <w:tcPr>
            <w:tcW w:w="2534" w:type="dxa"/>
            <w:shd w:val="clear" w:color="auto" w:fill="auto"/>
          </w:tcPr>
          <w:p w:rsidR="00F61688" w:rsidRPr="004E2ADC" w:rsidRDefault="00F61688" w:rsidP="00E73A7B">
            <w:pPr>
              <w:rPr>
                <w:rFonts w:ascii="Arial Narrow" w:hAnsi="Arial Narrow"/>
                <w:sz w:val="20"/>
              </w:rPr>
            </w:pPr>
            <w:r w:rsidRPr="004E2ADC">
              <w:rPr>
                <w:rFonts w:ascii="Arial Narrow" w:hAnsi="Arial Narrow"/>
                <w:sz w:val="20"/>
              </w:rPr>
              <w:t>Cycle length</w:t>
            </w:r>
          </w:p>
        </w:tc>
        <w:tc>
          <w:tcPr>
            <w:tcW w:w="5787" w:type="dxa"/>
            <w:shd w:val="clear" w:color="auto" w:fill="auto"/>
          </w:tcPr>
          <w:p w:rsidR="00F61688" w:rsidRDefault="00F61688" w:rsidP="00E73A7B">
            <w:pPr>
              <w:rPr>
                <w:rFonts w:ascii="Arial Narrow" w:hAnsi="Arial Narrow"/>
                <w:sz w:val="20"/>
              </w:rPr>
            </w:pPr>
            <w:r>
              <w:rPr>
                <w:rFonts w:ascii="Arial Narrow" w:hAnsi="Arial Narrow"/>
                <w:sz w:val="20"/>
              </w:rPr>
              <w:t>4 weeks; with half-cycle correction</w:t>
            </w:r>
          </w:p>
        </w:tc>
      </w:tr>
      <w:tr w:rsidR="00F61688" w:rsidRPr="004E2ADC" w:rsidTr="00E73A7B">
        <w:tc>
          <w:tcPr>
            <w:tcW w:w="2534" w:type="dxa"/>
            <w:shd w:val="clear" w:color="auto" w:fill="auto"/>
          </w:tcPr>
          <w:p w:rsidR="00F61688" w:rsidRPr="004E2ADC" w:rsidRDefault="00F61688" w:rsidP="00E73A7B">
            <w:pPr>
              <w:rPr>
                <w:rFonts w:ascii="Arial Narrow" w:hAnsi="Arial Narrow"/>
                <w:sz w:val="20"/>
              </w:rPr>
            </w:pPr>
            <w:r>
              <w:rPr>
                <w:rFonts w:ascii="Arial Narrow" w:hAnsi="Arial Narrow"/>
                <w:sz w:val="20"/>
              </w:rPr>
              <w:t>Health states</w:t>
            </w:r>
          </w:p>
        </w:tc>
        <w:tc>
          <w:tcPr>
            <w:tcW w:w="5787" w:type="dxa"/>
            <w:shd w:val="clear" w:color="auto" w:fill="auto"/>
          </w:tcPr>
          <w:p w:rsidR="00F61688" w:rsidRDefault="00F61688" w:rsidP="00EA5922">
            <w:pPr>
              <w:rPr>
                <w:rFonts w:ascii="Arial Narrow" w:hAnsi="Arial Narrow"/>
                <w:sz w:val="20"/>
              </w:rPr>
            </w:pPr>
            <w:r>
              <w:rPr>
                <w:rFonts w:ascii="Arial Narrow" w:hAnsi="Arial Narrow"/>
                <w:sz w:val="20"/>
              </w:rPr>
              <w:t>P</w:t>
            </w:r>
            <w:r w:rsidR="00370F4C">
              <w:rPr>
                <w:rFonts w:ascii="Arial Narrow" w:hAnsi="Arial Narrow"/>
                <w:sz w:val="20"/>
              </w:rPr>
              <w:t>re-p</w:t>
            </w:r>
            <w:r>
              <w:rPr>
                <w:rFonts w:ascii="Arial Narrow" w:hAnsi="Arial Narrow"/>
                <w:sz w:val="20"/>
              </w:rPr>
              <w:t>rogression, p</w:t>
            </w:r>
            <w:r w:rsidR="00EA5922">
              <w:rPr>
                <w:rFonts w:ascii="Arial Narrow" w:hAnsi="Arial Narrow"/>
                <w:sz w:val="20"/>
              </w:rPr>
              <w:t>ost-p</w:t>
            </w:r>
            <w:r>
              <w:rPr>
                <w:rFonts w:ascii="Arial Narrow" w:hAnsi="Arial Narrow"/>
                <w:sz w:val="20"/>
              </w:rPr>
              <w:t>rogress</w:t>
            </w:r>
            <w:r w:rsidR="00EA5922">
              <w:rPr>
                <w:rFonts w:ascii="Arial Narrow" w:hAnsi="Arial Narrow"/>
                <w:sz w:val="20"/>
              </w:rPr>
              <w:t>ion</w:t>
            </w:r>
            <w:r>
              <w:rPr>
                <w:rFonts w:ascii="Arial Narrow" w:hAnsi="Arial Narrow"/>
                <w:sz w:val="20"/>
              </w:rPr>
              <w:t>, dead</w:t>
            </w:r>
          </w:p>
        </w:tc>
      </w:tr>
      <w:tr w:rsidR="00F61688" w:rsidRPr="004E2ADC" w:rsidTr="00E73A7B">
        <w:tc>
          <w:tcPr>
            <w:tcW w:w="2534" w:type="dxa"/>
            <w:shd w:val="clear" w:color="auto" w:fill="auto"/>
          </w:tcPr>
          <w:p w:rsidR="00F61688" w:rsidRPr="004E2ADC" w:rsidRDefault="00F61688" w:rsidP="00E73A7B">
            <w:pPr>
              <w:rPr>
                <w:rFonts w:ascii="Arial Narrow" w:hAnsi="Arial Narrow"/>
                <w:sz w:val="20"/>
              </w:rPr>
            </w:pPr>
            <w:r w:rsidRPr="004E2ADC">
              <w:rPr>
                <w:rFonts w:ascii="Arial Narrow" w:hAnsi="Arial Narrow"/>
                <w:sz w:val="20"/>
              </w:rPr>
              <w:t>Outcomes</w:t>
            </w:r>
          </w:p>
        </w:tc>
        <w:tc>
          <w:tcPr>
            <w:tcW w:w="5787" w:type="dxa"/>
            <w:shd w:val="clear" w:color="auto" w:fill="auto"/>
          </w:tcPr>
          <w:p w:rsidR="00F61688" w:rsidRPr="00081224" w:rsidRDefault="00F61688" w:rsidP="00E73A7B">
            <w:pPr>
              <w:rPr>
                <w:rFonts w:ascii="Arial Narrow" w:hAnsi="Arial Narrow"/>
                <w:sz w:val="20"/>
              </w:rPr>
            </w:pPr>
            <w:r>
              <w:rPr>
                <w:rFonts w:ascii="Arial Narrow" w:hAnsi="Arial Narrow"/>
                <w:sz w:val="20"/>
              </w:rPr>
              <w:t>Complete responders, life years, quality-adjusted life years</w:t>
            </w:r>
          </w:p>
        </w:tc>
      </w:tr>
      <w:tr w:rsidR="00F61688" w:rsidRPr="004E2ADC" w:rsidTr="00E73A7B">
        <w:tc>
          <w:tcPr>
            <w:tcW w:w="2534" w:type="dxa"/>
            <w:shd w:val="clear" w:color="auto" w:fill="auto"/>
            <w:vAlign w:val="center"/>
          </w:tcPr>
          <w:p w:rsidR="00F61688" w:rsidRDefault="00F61688" w:rsidP="00E73A7B">
            <w:pPr>
              <w:jc w:val="left"/>
              <w:rPr>
                <w:rFonts w:ascii="Arial Narrow" w:hAnsi="Arial Narrow"/>
                <w:sz w:val="20"/>
              </w:rPr>
            </w:pPr>
            <w:r w:rsidRPr="004E2ADC">
              <w:rPr>
                <w:rFonts w:ascii="Arial Narrow" w:hAnsi="Arial Narrow"/>
                <w:sz w:val="20"/>
              </w:rPr>
              <w:t>Transition probabilities</w:t>
            </w:r>
            <w:r>
              <w:rPr>
                <w:rFonts w:ascii="Arial Narrow" w:hAnsi="Arial Narrow"/>
                <w:sz w:val="20"/>
              </w:rPr>
              <w:t>:</w:t>
            </w:r>
          </w:p>
          <w:p w:rsidR="00F61688" w:rsidRPr="004E2ADC" w:rsidRDefault="00F61688" w:rsidP="00E73A7B">
            <w:pPr>
              <w:jc w:val="left"/>
              <w:rPr>
                <w:rFonts w:ascii="Arial Narrow" w:hAnsi="Arial Narrow"/>
                <w:sz w:val="20"/>
              </w:rPr>
            </w:pPr>
            <w:r>
              <w:rPr>
                <w:rFonts w:ascii="Arial Narrow" w:hAnsi="Arial Narrow"/>
                <w:sz w:val="20"/>
              </w:rPr>
              <w:t>Venetoclax vs ofatumumab</w:t>
            </w:r>
          </w:p>
        </w:tc>
        <w:tc>
          <w:tcPr>
            <w:tcW w:w="5787" w:type="dxa"/>
            <w:shd w:val="clear" w:color="auto" w:fill="auto"/>
          </w:tcPr>
          <w:p w:rsidR="00F61688" w:rsidRPr="00081224" w:rsidRDefault="00F61688" w:rsidP="00E73A7B">
            <w:pPr>
              <w:rPr>
                <w:rFonts w:ascii="Arial Narrow" w:hAnsi="Arial Narrow"/>
                <w:sz w:val="20"/>
              </w:rPr>
            </w:pPr>
            <w:r>
              <w:rPr>
                <w:rFonts w:ascii="Arial Narrow" w:hAnsi="Arial Narrow"/>
                <w:sz w:val="20"/>
              </w:rPr>
              <w:t xml:space="preserve">Based on a partitioned survival analysis of venetoclax vs. ofatumumab. Progression-free and overall survival probabilities for venetoclax were derived from extrapolated survival curves from the pooled venetoclax study populations with 17p deletion/TP53 mutation. Progression-free survival probabilities for ofatumumab were derived from the venetoclax survival data based on a matching adjusted indirect comparison between venetoclax and ofatumumab. </w:t>
            </w:r>
            <w:r w:rsidRPr="00D05A09">
              <w:rPr>
                <w:rFonts w:ascii="Arial Narrow" w:hAnsi="Arial Narrow"/>
                <w:sz w:val="20"/>
              </w:rPr>
              <w:t>Overall survival probabilities for ofatumumab were derived from the venetoclax survival data based on an unadjusted indirect comparison between venetoclax and FCR therapy</w:t>
            </w:r>
            <w:r>
              <w:rPr>
                <w:rFonts w:ascii="Arial Narrow" w:hAnsi="Arial Narrow"/>
                <w:sz w:val="20"/>
              </w:rPr>
              <w:t>.</w:t>
            </w:r>
          </w:p>
        </w:tc>
      </w:tr>
      <w:tr w:rsidR="00F61688" w:rsidRPr="004E2ADC" w:rsidTr="00E73A7B">
        <w:tc>
          <w:tcPr>
            <w:tcW w:w="2534" w:type="dxa"/>
            <w:shd w:val="clear" w:color="auto" w:fill="auto"/>
            <w:vAlign w:val="center"/>
          </w:tcPr>
          <w:p w:rsidR="00F61688" w:rsidRDefault="00F61688" w:rsidP="00E73A7B">
            <w:pPr>
              <w:jc w:val="left"/>
              <w:rPr>
                <w:rFonts w:ascii="Arial Narrow" w:hAnsi="Arial Narrow"/>
                <w:sz w:val="20"/>
              </w:rPr>
            </w:pPr>
            <w:r w:rsidRPr="004E2ADC">
              <w:rPr>
                <w:rFonts w:ascii="Arial Narrow" w:hAnsi="Arial Narrow"/>
                <w:sz w:val="20"/>
              </w:rPr>
              <w:t>Transition probabilities</w:t>
            </w:r>
            <w:r>
              <w:rPr>
                <w:rFonts w:ascii="Arial Narrow" w:hAnsi="Arial Narrow"/>
                <w:sz w:val="20"/>
              </w:rPr>
              <w:t>:</w:t>
            </w:r>
          </w:p>
          <w:p w:rsidR="00F61688" w:rsidRPr="004E2ADC" w:rsidRDefault="00F61688" w:rsidP="00E73A7B">
            <w:pPr>
              <w:jc w:val="left"/>
              <w:rPr>
                <w:rFonts w:ascii="Arial Narrow" w:hAnsi="Arial Narrow"/>
                <w:sz w:val="20"/>
              </w:rPr>
            </w:pPr>
            <w:r>
              <w:rPr>
                <w:rFonts w:ascii="Arial Narrow" w:hAnsi="Arial Narrow"/>
                <w:sz w:val="20"/>
              </w:rPr>
              <w:t>Venetoclax vs rituximab</w:t>
            </w:r>
          </w:p>
        </w:tc>
        <w:tc>
          <w:tcPr>
            <w:tcW w:w="5787" w:type="dxa"/>
            <w:shd w:val="clear" w:color="auto" w:fill="auto"/>
          </w:tcPr>
          <w:p w:rsidR="00F61688" w:rsidRPr="00081224" w:rsidRDefault="00F61688" w:rsidP="00E73A7B">
            <w:pPr>
              <w:rPr>
                <w:rFonts w:ascii="Arial Narrow" w:hAnsi="Arial Narrow"/>
                <w:sz w:val="20"/>
              </w:rPr>
            </w:pPr>
            <w:r w:rsidRPr="00D05A09">
              <w:rPr>
                <w:rFonts w:ascii="Arial Narrow" w:hAnsi="Arial Narrow"/>
                <w:sz w:val="20"/>
              </w:rPr>
              <w:t>Based on a partitioned survival analysis</w:t>
            </w:r>
            <w:r>
              <w:rPr>
                <w:rFonts w:ascii="Arial Narrow" w:hAnsi="Arial Narrow"/>
                <w:sz w:val="20"/>
              </w:rPr>
              <w:t xml:space="preserve"> of venetoclax vs. rituximab monotherapy</w:t>
            </w:r>
            <w:r w:rsidRPr="00D05A09">
              <w:rPr>
                <w:rFonts w:ascii="Arial Narrow" w:hAnsi="Arial Narrow"/>
                <w:sz w:val="20"/>
              </w:rPr>
              <w:t>. Progression-free and overall survival probabilities for venetoclax were derived from extrapolated surv</w:t>
            </w:r>
            <w:r>
              <w:rPr>
                <w:rFonts w:ascii="Arial Narrow" w:hAnsi="Arial Narrow"/>
                <w:sz w:val="20"/>
              </w:rPr>
              <w:t>ival curves from Study M14-032</w:t>
            </w:r>
            <w:r w:rsidRPr="00D05A09">
              <w:rPr>
                <w:rFonts w:ascii="Arial Narrow" w:hAnsi="Arial Narrow"/>
                <w:sz w:val="20"/>
              </w:rPr>
              <w:t>. Progression-free and overall survival probabilities for rituximab monotherapy were derived from extrapolated survi</w:t>
            </w:r>
            <w:r>
              <w:rPr>
                <w:rFonts w:ascii="Arial Narrow" w:hAnsi="Arial Narrow"/>
                <w:sz w:val="20"/>
              </w:rPr>
              <w:t>val curves from Trial 312-0116</w:t>
            </w:r>
            <w:r w:rsidRPr="00D05A09">
              <w:rPr>
                <w:rFonts w:ascii="Arial Narrow" w:hAnsi="Arial Narrow"/>
                <w:sz w:val="20"/>
              </w:rPr>
              <w:t>.</w:t>
            </w:r>
          </w:p>
        </w:tc>
      </w:tr>
      <w:tr w:rsidR="00F61688" w:rsidRPr="004E2ADC" w:rsidTr="00E73A7B">
        <w:tc>
          <w:tcPr>
            <w:tcW w:w="2534" w:type="dxa"/>
            <w:shd w:val="clear" w:color="auto" w:fill="auto"/>
          </w:tcPr>
          <w:p w:rsidR="00F61688" w:rsidRPr="004E2ADC" w:rsidRDefault="00F61688" w:rsidP="00E73A7B">
            <w:pPr>
              <w:rPr>
                <w:rFonts w:ascii="Arial Narrow" w:hAnsi="Arial Narrow"/>
                <w:sz w:val="20"/>
              </w:rPr>
            </w:pPr>
            <w:r w:rsidRPr="004E2ADC">
              <w:rPr>
                <w:rFonts w:ascii="Arial Narrow" w:hAnsi="Arial Narrow"/>
                <w:sz w:val="20"/>
              </w:rPr>
              <w:t>Discount rate</w:t>
            </w:r>
          </w:p>
        </w:tc>
        <w:tc>
          <w:tcPr>
            <w:tcW w:w="5787" w:type="dxa"/>
            <w:shd w:val="clear" w:color="auto" w:fill="auto"/>
          </w:tcPr>
          <w:p w:rsidR="00F61688" w:rsidRPr="00081224" w:rsidRDefault="00F61688" w:rsidP="00E73A7B">
            <w:pPr>
              <w:rPr>
                <w:rFonts w:ascii="Arial Narrow" w:hAnsi="Arial Narrow"/>
                <w:sz w:val="20"/>
              </w:rPr>
            </w:pPr>
            <w:r w:rsidRPr="00081224">
              <w:rPr>
                <w:rFonts w:ascii="Arial Narrow" w:hAnsi="Arial Narrow"/>
                <w:sz w:val="20"/>
              </w:rPr>
              <w:t>5% for costs and outcomes</w:t>
            </w:r>
          </w:p>
        </w:tc>
      </w:tr>
      <w:tr w:rsidR="00F61688" w:rsidRPr="004E2ADC" w:rsidTr="00E73A7B">
        <w:tc>
          <w:tcPr>
            <w:tcW w:w="2534" w:type="dxa"/>
            <w:shd w:val="clear" w:color="auto" w:fill="auto"/>
          </w:tcPr>
          <w:p w:rsidR="00F61688" w:rsidRPr="004E2ADC" w:rsidRDefault="00F61688" w:rsidP="00E73A7B">
            <w:pPr>
              <w:rPr>
                <w:rFonts w:ascii="Arial Narrow" w:hAnsi="Arial Narrow"/>
                <w:sz w:val="20"/>
              </w:rPr>
            </w:pPr>
            <w:r w:rsidRPr="004E2ADC">
              <w:rPr>
                <w:rFonts w:ascii="Arial Narrow" w:hAnsi="Arial Narrow"/>
                <w:sz w:val="20"/>
              </w:rPr>
              <w:t>Software package</w:t>
            </w:r>
          </w:p>
        </w:tc>
        <w:tc>
          <w:tcPr>
            <w:tcW w:w="5787" w:type="dxa"/>
            <w:shd w:val="clear" w:color="auto" w:fill="auto"/>
          </w:tcPr>
          <w:p w:rsidR="00F61688" w:rsidRPr="00081224" w:rsidRDefault="00F61688" w:rsidP="00E73A7B">
            <w:pPr>
              <w:rPr>
                <w:rFonts w:ascii="Arial Narrow" w:hAnsi="Arial Narrow"/>
                <w:sz w:val="20"/>
              </w:rPr>
            </w:pPr>
            <w:r>
              <w:rPr>
                <w:rFonts w:ascii="Arial Narrow" w:hAnsi="Arial Narrow"/>
                <w:sz w:val="20"/>
              </w:rPr>
              <w:t>Excel 2013</w:t>
            </w:r>
          </w:p>
        </w:tc>
      </w:tr>
    </w:tbl>
    <w:p w:rsidR="00F61688" w:rsidRDefault="00F61688" w:rsidP="00F61688">
      <w:pPr>
        <w:pStyle w:val="TableFooter"/>
        <w:ind w:firstLine="720"/>
      </w:pPr>
      <w:r>
        <w:t>Abbreviations: FCR, fludarabine, cyclophosphamide, rituximab</w:t>
      </w:r>
    </w:p>
    <w:p w:rsidR="001152B6" w:rsidRPr="00D13A3E" w:rsidRDefault="001152B6" w:rsidP="001152B6">
      <w:pPr>
        <w:pStyle w:val="TableFooter"/>
        <w:ind w:firstLine="720"/>
      </w:pPr>
      <w:r w:rsidRPr="00D13A3E">
        <w:t>Source: constructed during the evaluation</w:t>
      </w:r>
    </w:p>
    <w:p w:rsidR="00F61688" w:rsidRDefault="00F61688" w:rsidP="0024158A">
      <w:pPr>
        <w:widowControl/>
      </w:pPr>
    </w:p>
    <w:p w:rsidR="00F61688" w:rsidRDefault="00F61688" w:rsidP="0024158A">
      <w:pPr>
        <w:pStyle w:val="ListParagraph"/>
        <w:widowControl/>
        <w:numPr>
          <w:ilvl w:val="1"/>
          <w:numId w:val="3"/>
        </w:numPr>
      </w:pPr>
      <w:r w:rsidRPr="0024158A">
        <w:rPr>
          <w:szCs w:val="22"/>
        </w:rPr>
        <w:t>The</w:t>
      </w:r>
      <w:r>
        <w:t xml:space="preserve"> submission also presented a</w:t>
      </w:r>
      <w:r w:rsidRPr="00230CE8">
        <w:t xml:space="preserve"> </w:t>
      </w:r>
      <w:r>
        <w:t xml:space="preserve">simple </w:t>
      </w:r>
      <w:r w:rsidRPr="00230CE8">
        <w:t xml:space="preserve">modelled cost-effectiveness analysis (cost per </w:t>
      </w:r>
      <w:r>
        <w:t xml:space="preserve">complete </w:t>
      </w:r>
      <w:r w:rsidRPr="00230CE8">
        <w:t>responder) assessing the value of venetoclax compared to idelalisib with rituximab in</w:t>
      </w:r>
      <w:r>
        <w:t xml:space="preserve"> patients with</w:t>
      </w:r>
      <w:r w:rsidRPr="00230CE8">
        <w:t xml:space="preserve"> </w:t>
      </w:r>
      <w:r>
        <w:t>17p deletion/TP53 mutation. The model horizon was 2 years (no discounting) and included drug costs, administration costs and monitoring costs.</w:t>
      </w:r>
    </w:p>
    <w:p w:rsidR="00F61688" w:rsidRDefault="00F61688" w:rsidP="00F61688">
      <w:pPr>
        <w:widowControl/>
      </w:pPr>
    </w:p>
    <w:p w:rsidR="00F61688" w:rsidRPr="00DD1DEA" w:rsidRDefault="00FE1EB1" w:rsidP="001152B6">
      <w:pPr>
        <w:pStyle w:val="ListParagraph"/>
        <w:widowControl/>
        <w:numPr>
          <w:ilvl w:val="1"/>
          <w:numId w:val="3"/>
        </w:numPr>
        <w:rPr>
          <w:szCs w:val="22"/>
        </w:rPr>
      </w:pPr>
      <w:r>
        <w:t>The submission did not present an</w:t>
      </w:r>
      <w:r w:rsidR="00F61688" w:rsidRPr="00DD1DEA">
        <w:t xml:space="preserve"> economic analysis </w:t>
      </w:r>
      <w:r>
        <w:t xml:space="preserve">comparing </w:t>
      </w:r>
      <w:r w:rsidR="00F61688" w:rsidRPr="00DD1DEA">
        <w:t xml:space="preserve">venetoclax </w:t>
      </w:r>
      <w:r>
        <w:t>with</w:t>
      </w:r>
      <w:r w:rsidR="00F61688" w:rsidRPr="00DD1DEA">
        <w:t xml:space="preserve"> ibrutinib monotherapy</w:t>
      </w:r>
      <w:r>
        <w:t xml:space="preserve">. The </w:t>
      </w:r>
      <w:r w:rsidR="00834C0E">
        <w:t>p</w:t>
      </w:r>
      <w:r>
        <w:t>re-PBAC response provided a cost-minimisation analysis, assuming the doses of venetoclax monotherapy and ibrutinib monotherapy in the respective studies were equi-effective and accounting for the cost of TLS prophylaxis</w:t>
      </w:r>
      <w:r w:rsidR="00F041A3">
        <w:t xml:space="preserve"> </w:t>
      </w:r>
      <w:r>
        <w:t>with venetoclax</w:t>
      </w:r>
      <w:r w:rsidR="00F61688" w:rsidRPr="00DD1DEA">
        <w:t>.</w:t>
      </w:r>
    </w:p>
    <w:p w:rsidR="00F61688" w:rsidRPr="00200930" w:rsidRDefault="00F61688" w:rsidP="00F61688">
      <w:pPr>
        <w:widowControl/>
        <w:rPr>
          <w:szCs w:val="22"/>
        </w:rPr>
      </w:pPr>
    </w:p>
    <w:p w:rsidR="00F61688" w:rsidRPr="00200930" w:rsidRDefault="00F61688" w:rsidP="001011FE">
      <w:pPr>
        <w:pStyle w:val="ListParagraph"/>
        <w:widowControl/>
        <w:numPr>
          <w:ilvl w:val="1"/>
          <w:numId w:val="3"/>
        </w:numPr>
        <w:rPr>
          <w:szCs w:val="22"/>
        </w:rPr>
      </w:pPr>
      <w:r w:rsidRPr="00200930">
        <w:rPr>
          <w:szCs w:val="22"/>
        </w:rPr>
        <w:t xml:space="preserve">The submission claimed that treatment with venetoclax was associated with a </w:t>
      </w:r>
      <w:r w:rsidR="00EA0A7D">
        <w:rPr>
          <w:szCs w:val="22"/>
        </w:rPr>
        <w:t xml:space="preserve">median </w:t>
      </w:r>
      <w:r w:rsidRPr="00200930">
        <w:rPr>
          <w:szCs w:val="22"/>
        </w:rPr>
        <w:t>overall survival gain of 3.7 years compared to ofatumumab monotherapy (see Figure 1) and 4.0 years compared to rituximab monotherapy (see Figure 2). The estimated survival gain had an overwhelming impact on the economic evaluation with the models being insensitive to all other variables that were not directly related to survival gain.</w:t>
      </w:r>
      <w:r w:rsidR="00AC49BA" w:rsidRPr="00200930">
        <w:rPr>
          <w:szCs w:val="22"/>
        </w:rPr>
        <w:t xml:space="preserve"> The ESC considered that the survival comparisons presented in the submission were un</w:t>
      </w:r>
      <w:r w:rsidR="009F2ECF" w:rsidRPr="00200930">
        <w:rPr>
          <w:szCs w:val="22"/>
        </w:rPr>
        <w:t xml:space="preserve">likely to give a </w:t>
      </w:r>
      <w:r w:rsidR="00AC49BA" w:rsidRPr="00200930">
        <w:rPr>
          <w:szCs w:val="22"/>
        </w:rPr>
        <w:t>reliable</w:t>
      </w:r>
      <w:r w:rsidR="009F2ECF" w:rsidRPr="00200930">
        <w:rPr>
          <w:szCs w:val="22"/>
        </w:rPr>
        <w:t xml:space="preserve"> estimate of any survival benefit associated with venetoclax treatment, given the uncertainty around the </w:t>
      </w:r>
      <w:r w:rsidR="00BE1C7D" w:rsidRPr="00200930">
        <w:rPr>
          <w:szCs w:val="22"/>
        </w:rPr>
        <w:t xml:space="preserve">results </w:t>
      </w:r>
      <w:r w:rsidR="009F2ECF" w:rsidRPr="00200930">
        <w:rPr>
          <w:szCs w:val="22"/>
        </w:rPr>
        <w:t xml:space="preserve">used </w:t>
      </w:r>
      <w:r w:rsidR="00BE1C7D" w:rsidRPr="00200930">
        <w:rPr>
          <w:szCs w:val="22"/>
        </w:rPr>
        <w:t xml:space="preserve">as the basis for the </w:t>
      </w:r>
      <w:r w:rsidR="009F2ECF" w:rsidRPr="00200930">
        <w:rPr>
          <w:szCs w:val="22"/>
        </w:rPr>
        <w:t>extrapolat</w:t>
      </w:r>
      <w:r w:rsidR="00BE1C7D" w:rsidRPr="00200930">
        <w:rPr>
          <w:szCs w:val="22"/>
        </w:rPr>
        <w:t>ion</w:t>
      </w:r>
      <w:r w:rsidR="009F2ECF" w:rsidRPr="00200930">
        <w:rPr>
          <w:szCs w:val="22"/>
        </w:rPr>
        <w:t>.</w:t>
      </w:r>
    </w:p>
    <w:p w:rsidR="00F61688" w:rsidRPr="00200930" w:rsidRDefault="00F61688" w:rsidP="00DD1DEA"/>
    <w:p w:rsidR="001152B6" w:rsidRPr="00340EF0" w:rsidRDefault="001152B6" w:rsidP="00F07E56">
      <w:pPr>
        <w:keepNext/>
        <w:ind w:left="709"/>
        <w:rPr>
          <w:rFonts w:ascii="Arial Narrow" w:hAnsi="Arial Narrow"/>
          <w:b/>
          <w:sz w:val="20"/>
        </w:rPr>
      </w:pPr>
      <w:r>
        <w:rPr>
          <w:rFonts w:ascii="Arial Narrow" w:hAnsi="Arial Narrow"/>
          <w:b/>
          <w:sz w:val="20"/>
        </w:rPr>
        <w:t>Figure 1</w:t>
      </w:r>
      <w:r w:rsidRPr="00340EF0">
        <w:rPr>
          <w:rFonts w:ascii="Arial Narrow" w:hAnsi="Arial Narrow"/>
          <w:b/>
          <w:sz w:val="20"/>
        </w:rPr>
        <w:t xml:space="preserve">: </w:t>
      </w:r>
      <w:r w:rsidR="00732F01">
        <w:rPr>
          <w:rFonts w:ascii="Arial Narrow" w:hAnsi="Arial Narrow"/>
          <w:b/>
          <w:sz w:val="20"/>
        </w:rPr>
        <w:t xml:space="preserve">Modelled </w:t>
      </w:r>
      <w:r w:rsidR="00FE1EB1" w:rsidRPr="00340EF0">
        <w:rPr>
          <w:rFonts w:ascii="Arial Narrow" w:hAnsi="Arial Narrow"/>
          <w:b/>
          <w:sz w:val="20"/>
        </w:rPr>
        <w:t>p</w:t>
      </w:r>
      <w:r w:rsidRPr="00340EF0">
        <w:rPr>
          <w:rFonts w:ascii="Arial Narrow" w:hAnsi="Arial Narrow"/>
          <w:b/>
          <w:sz w:val="20"/>
        </w:rPr>
        <w:t>rogression-free and overall survival for comparison of venetoclax versus ofatumumab</w:t>
      </w:r>
    </w:p>
    <w:p w:rsidR="00F61688" w:rsidRPr="00703975" w:rsidRDefault="00204548" w:rsidP="00F61688">
      <w:pPr>
        <w:jc w:val="right"/>
      </w:pPr>
      <w:r>
        <w:rPr>
          <w:noProof/>
          <w:snapToGrid/>
          <w:lang w:eastAsia="en-AU"/>
        </w:rPr>
        <w:drawing>
          <wp:inline distT="0" distB="0" distL="0" distR="0">
            <wp:extent cx="5309870" cy="3572510"/>
            <wp:effectExtent l="0" t="0" r="5080" b="8890"/>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309870" cy="3572510"/>
                    </a:xfrm>
                    <a:prstGeom prst="rect">
                      <a:avLst/>
                    </a:prstGeom>
                  </pic:spPr>
                </pic:pic>
              </a:graphicData>
            </a:graphic>
          </wp:inline>
        </w:drawing>
      </w:r>
    </w:p>
    <w:p w:rsidR="00F61688" w:rsidRDefault="00F61688" w:rsidP="00F61688">
      <w:pPr>
        <w:ind w:firstLine="720"/>
        <w:rPr>
          <w:rFonts w:ascii="Arial Narrow" w:hAnsi="Arial Narrow"/>
          <w:sz w:val="18"/>
        </w:rPr>
      </w:pPr>
      <w:r>
        <w:rPr>
          <w:rFonts w:ascii="Arial Narrow" w:hAnsi="Arial Narrow"/>
          <w:sz w:val="18"/>
        </w:rPr>
        <w:t>Abbreviations: OFAT, ofatumumab; OS, overall survival; PFS, progression-free survival; VEN, venetoclax</w:t>
      </w:r>
    </w:p>
    <w:p w:rsidR="001152B6" w:rsidRDefault="001152B6" w:rsidP="001152B6">
      <w:pPr>
        <w:ind w:firstLine="720"/>
        <w:rPr>
          <w:rFonts w:ascii="Arial Narrow" w:hAnsi="Arial Narrow"/>
          <w:sz w:val="18"/>
        </w:rPr>
      </w:pPr>
      <w:r w:rsidRPr="00340EF0">
        <w:rPr>
          <w:rFonts w:ascii="Arial Narrow" w:hAnsi="Arial Narrow"/>
          <w:sz w:val="18"/>
        </w:rPr>
        <w:t xml:space="preserve">Source: Constructed during the evaluation using Economic </w:t>
      </w:r>
      <w:r>
        <w:rPr>
          <w:rFonts w:ascii="Arial Narrow" w:hAnsi="Arial Narrow"/>
          <w:sz w:val="18"/>
        </w:rPr>
        <w:t>E</w:t>
      </w:r>
      <w:r w:rsidRPr="00340EF0">
        <w:rPr>
          <w:rFonts w:ascii="Arial Narrow" w:hAnsi="Arial Narrow"/>
          <w:sz w:val="18"/>
        </w:rPr>
        <w:t xml:space="preserve">valuation versus </w:t>
      </w:r>
      <w:r>
        <w:rPr>
          <w:rFonts w:ascii="Arial Narrow" w:hAnsi="Arial Narrow"/>
          <w:sz w:val="18"/>
        </w:rPr>
        <w:t>O</w:t>
      </w:r>
      <w:r w:rsidRPr="00340EF0">
        <w:rPr>
          <w:rFonts w:ascii="Arial Narrow" w:hAnsi="Arial Narrow"/>
          <w:sz w:val="18"/>
        </w:rPr>
        <w:t>fatumumab spreadsheet</w:t>
      </w:r>
    </w:p>
    <w:p w:rsidR="00F61688" w:rsidRPr="001152B6" w:rsidRDefault="00F61688" w:rsidP="001152B6">
      <w:pPr>
        <w:widowControl/>
        <w:rPr>
          <w:szCs w:val="22"/>
        </w:rPr>
      </w:pPr>
    </w:p>
    <w:p w:rsidR="001152B6" w:rsidRPr="00340EF0" w:rsidRDefault="001152B6" w:rsidP="00F07E56">
      <w:pPr>
        <w:keepNext/>
        <w:ind w:left="709"/>
        <w:rPr>
          <w:rFonts w:ascii="Arial Narrow" w:hAnsi="Arial Narrow"/>
          <w:b/>
          <w:sz w:val="20"/>
        </w:rPr>
      </w:pPr>
      <w:r>
        <w:rPr>
          <w:rFonts w:ascii="Arial Narrow" w:hAnsi="Arial Narrow"/>
          <w:b/>
          <w:sz w:val="20"/>
        </w:rPr>
        <w:t>Figure 2</w:t>
      </w:r>
      <w:r w:rsidRPr="00340EF0">
        <w:rPr>
          <w:rFonts w:ascii="Arial Narrow" w:hAnsi="Arial Narrow"/>
          <w:b/>
          <w:sz w:val="20"/>
        </w:rPr>
        <w:t xml:space="preserve">: </w:t>
      </w:r>
      <w:r w:rsidR="00732F01">
        <w:rPr>
          <w:rFonts w:ascii="Arial Narrow" w:hAnsi="Arial Narrow"/>
          <w:b/>
          <w:sz w:val="20"/>
        </w:rPr>
        <w:t xml:space="preserve">Modelled </w:t>
      </w:r>
      <w:r w:rsidR="00FE1EB1" w:rsidRPr="00340EF0">
        <w:rPr>
          <w:rFonts w:ascii="Arial Narrow" w:hAnsi="Arial Narrow"/>
          <w:b/>
          <w:sz w:val="20"/>
        </w:rPr>
        <w:t>p</w:t>
      </w:r>
      <w:r w:rsidRPr="00340EF0">
        <w:rPr>
          <w:rFonts w:ascii="Arial Narrow" w:hAnsi="Arial Narrow"/>
          <w:b/>
          <w:sz w:val="20"/>
        </w:rPr>
        <w:t xml:space="preserve">rogression-free and overall survival for comparison of venetoclax versus </w:t>
      </w:r>
      <w:r>
        <w:rPr>
          <w:rFonts w:ascii="Arial Narrow" w:hAnsi="Arial Narrow"/>
          <w:b/>
          <w:sz w:val="20"/>
        </w:rPr>
        <w:t>rituximab</w:t>
      </w:r>
      <w:r w:rsidR="00204548">
        <w:rPr>
          <w:rFonts w:ascii="Arial Narrow" w:hAnsi="Arial Narrow"/>
          <w:b/>
          <w:noProof/>
          <w:snapToGrid/>
          <w:sz w:val="20"/>
          <w:lang w:eastAsia="en-AU"/>
        </w:rPr>
        <w:drawing>
          <wp:inline distT="0" distB="0" distL="0" distR="0">
            <wp:extent cx="5236845" cy="3499485"/>
            <wp:effectExtent l="0" t="0" r="1905" b="5715"/>
            <wp:docPr id="3"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236845" cy="3499485"/>
                    </a:xfrm>
                    <a:prstGeom prst="rect">
                      <a:avLst/>
                    </a:prstGeom>
                  </pic:spPr>
                </pic:pic>
              </a:graphicData>
            </a:graphic>
          </wp:inline>
        </w:drawing>
      </w:r>
    </w:p>
    <w:p w:rsidR="00F61688" w:rsidRPr="00D6535C" w:rsidRDefault="00F61688" w:rsidP="00F61688">
      <w:pPr>
        <w:ind w:firstLine="720"/>
        <w:rPr>
          <w:rFonts w:ascii="Arial Narrow" w:hAnsi="Arial Narrow"/>
          <w:sz w:val="18"/>
        </w:rPr>
      </w:pPr>
      <w:r>
        <w:rPr>
          <w:rFonts w:ascii="Arial Narrow" w:hAnsi="Arial Narrow"/>
          <w:sz w:val="18"/>
        </w:rPr>
        <w:t>Abbreviations: OS, overall survival; PFS, progression-free survival; RITUX, rituximab; VEN, venetoclax</w:t>
      </w:r>
    </w:p>
    <w:p w:rsidR="001152B6" w:rsidRDefault="001152B6" w:rsidP="001152B6">
      <w:pPr>
        <w:ind w:firstLine="720"/>
        <w:rPr>
          <w:rFonts w:ascii="Arial Narrow" w:hAnsi="Arial Narrow"/>
          <w:sz w:val="18"/>
        </w:rPr>
      </w:pPr>
      <w:r w:rsidRPr="00340EF0">
        <w:rPr>
          <w:rFonts w:ascii="Arial Narrow" w:hAnsi="Arial Narrow"/>
          <w:sz w:val="18"/>
        </w:rPr>
        <w:t xml:space="preserve">Source: Constructed during the evaluation using Economic </w:t>
      </w:r>
      <w:r>
        <w:rPr>
          <w:rFonts w:ascii="Arial Narrow" w:hAnsi="Arial Narrow"/>
          <w:sz w:val="18"/>
        </w:rPr>
        <w:t>E</w:t>
      </w:r>
      <w:r w:rsidRPr="00340EF0">
        <w:rPr>
          <w:rFonts w:ascii="Arial Narrow" w:hAnsi="Arial Narrow"/>
          <w:sz w:val="18"/>
        </w:rPr>
        <w:t xml:space="preserve">valuation versus </w:t>
      </w:r>
      <w:r>
        <w:rPr>
          <w:rFonts w:ascii="Arial Narrow" w:hAnsi="Arial Narrow"/>
          <w:sz w:val="18"/>
        </w:rPr>
        <w:t>BSC</w:t>
      </w:r>
      <w:r w:rsidRPr="00340EF0">
        <w:rPr>
          <w:rFonts w:ascii="Arial Narrow" w:hAnsi="Arial Narrow"/>
          <w:sz w:val="18"/>
        </w:rPr>
        <w:t xml:space="preserve"> spreadsheet</w:t>
      </w:r>
    </w:p>
    <w:p w:rsidR="00F22D54" w:rsidRDefault="00F22D54">
      <w:pPr>
        <w:widowControl/>
        <w:jc w:val="left"/>
        <w:rPr>
          <w:szCs w:val="22"/>
        </w:rPr>
      </w:pPr>
    </w:p>
    <w:p w:rsidR="00F61688" w:rsidRPr="00200930" w:rsidRDefault="00F61688" w:rsidP="001011FE">
      <w:pPr>
        <w:pStyle w:val="ListParagraph"/>
        <w:widowControl/>
        <w:numPr>
          <w:ilvl w:val="1"/>
          <w:numId w:val="3"/>
        </w:numPr>
        <w:rPr>
          <w:szCs w:val="22"/>
        </w:rPr>
      </w:pPr>
      <w:r w:rsidRPr="00703975">
        <w:rPr>
          <w:szCs w:val="22"/>
        </w:rPr>
        <w:t xml:space="preserve">Key issues </w:t>
      </w:r>
      <w:r w:rsidRPr="00200930">
        <w:rPr>
          <w:szCs w:val="22"/>
        </w:rPr>
        <w:t>with the cost utility models are summarised in Table 8.</w:t>
      </w:r>
    </w:p>
    <w:p w:rsidR="00F61688" w:rsidRPr="00200930" w:rsidRDefault="00F61688" w:rsidP="00F61688">
      <w:pPr>
        <w:widowControl/>
        <w:rPr>
          <w:szCs w:val="22"/>
        </w:rPr>
      </w:pPr>
    </w:p>
    <w:p w:rsidR="00F61688" w:rsidRPr="00200930" w:rsidRDefault="00F61688" w:rsidP="00F61688">
      <w:pPr>
        <w:ind w:firstLine="720"/>
        <w:rPr>
          <w:rStyle w:val="CommentReference"/>
        </w:rPr>
      </w:pPr>
      <w:r w:rsidRPr="00200930">
        <w:rPr>
          <w:rStyle w:val="CommentReference"/>
        </w:rPr>
        <w:t>Table 8: Key drivers of the model</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08"/>
        <w:gridCol w:w="5142"/>
        <w:gridCol w:w="2095"/>
      </w:tblGrid>
      <w:tr w:rsidR="00F61688" w:rsidRPr="00200930" w:rsidTr="003764E9">
        <w:trPr>
          <w:tblHeader/>
        </w:trPr>
        <w:tc>
          <w:tcPr>
            <w:tcW w:w="664" w:type="pct"/>
            <w:shd w:val="clear" w:color="auto" w:fill="auto"/>
            <w:vAlign w:val="center"/>
          </w:tcPr>
          <w:p w:rsidR="00F61688" w:rsidRPr="00200930" w:rsidRDefault="00F61688" w:rsidP="00E73A7B">
            <w:pPr>
              <w:jc w:val="left"/>
              <w:rPr>
                <w:rFonts w:ascii="Arial Narrow" w:hAnsi="Arial Narrow"/>
                <w:b/>
                <w:sz w:val="20"/>
                <w:lang w:val="en-US"/>
              </w:rPr>
            </w:pPr>
            <w:r w:rsidRPr="00200930">
              <w:rPr>
                <w:rFonts w:ascii="Arial Narrow" w:hAnsi="Arial Narrow"/>
                <w:b/>
                <w:sz w:val="20"/>
                <w:lang w:val="en-US"/>
              </w:rPr>
              <w:t>Description</w:t>
            </w:r>
          </w:p>
        </w:tc>
        <w:tc>
          <w:tcPr>
            <w:tcW w:w="3081" w:type="pct"/>
            <w:tcBorders>
              <w:bottom w:val="single" w:sz="4" w:space="0" w:color="auto"/>
            </w:tcBorders>
            <w:shd w:val="clear" w:color="auto" w:fill="auto"/>
            <w:vAlign w:val="center"/>
          </w:tcPr>
          <w:p w:rsidR="00F61688" w:rsidRPr="00200930" w:rsidRDefault="00834C0E" w:rsidP="00E73A7B">
            <w:pPr>
              <w:jc w:val="center"/>
              <w:rPr>
                <w:rFonts w:ascii="Arial Narrow" w:hAnsi="Arial Narrow"/>
                <w:b/>
                <w:sz w:val="20"/>
                <w:lang w:val="en-US"/>
              </w:rPr>
            </w:pPr>
            <w:r>
              <w:rPr>
                <w:rFonts w:ascii="Arial Narrow" w:hAnsi="Arial Narrow"/>
                <w:b/>
                <w:sz w:val="20"/>
                <w:lang w:val="en-US"/>
              </w:rPr>
              <w:t xml:space="preserve">Method or </w:t>
            </w:r>
            <w:r w:rsidRPr="00200930">
              <w:rPr>
                <w:rFonts w:ascii="Arial Narrow" w:hAnsi="Arial Narrow"/>
                <w:b/>
                <w:sz w:val="20"/>
                <w:lang w:val="en-US"/>
              </w:rPr>
              <w:t>v</w:t>
            </w:r>
            <w:r w:rsidR="00F61688" w:rsidRPr="00200930">
              <w:rPr>
                <w:rFonts w:ascii="Arial Narrow" w:hAnsi="Arial Narrow"/>
                <w:b/>
                <w:sz w:val="20"/>
                <w:lang w:val="en-US"/>
              </w:rPr>
              <w:t>alue</w:t>
            </w:r>
          </w:p>
        </w:tc>
        <w:tc>
          <w:tcPr>
            <w:tcW w:w="1255" w:type="pct"/>
            <w:tcBorders>
              <w:bottom w:val="single" w:sz="4" w:space="0" w:color="auto"/>
            </w:tcBorders>
            <w:shd w:val="clear" w:color="auto" w:fill="auto"/>
            <w:vAlign w:val="center"/>
          </w:tcPr>
          <w:p w:rsidR="00F61688" w:rsidRPr="00200930" w:rsidRDefault="00F61688" w:rsidP="00E73A7B">
            <w:pPr>
              <w:jc w:val="center"/>
              <w:rPr>
                <w:rFonts w:ascii="Arial Narrow" w:hAnsi="Arial Narrow"/>
                <w:b/>
                <w:sz w:val="20"/>
                <w:lang w:val="en-US"/>
              </w:rPr>
            </w:pPr>
            <w:r w:rsidRPr="00200930">
              <w:rPr>
                <w:rFonts w:ascii="Arial Narrow" w:hAnsi="Arial Narrow"/>
                <w:b/>
                <w:sz w:val="20"/>
                <w:lang w:val="en-US"/>
              </w:rPr>
              <w:t>Impact</w:t>
            </w:r>
          </w:p>
        </w:tc>
      </w:tr>
      <w:tr w:rsidR="003764E9" w:rsidRPr="00200930" w:rsidTr="003764E9">
        <w:trPr>
          <w:trHeight w:val="1246"/>
        </w:trPr>
        <w:tc>
          <w:tcPr>
            <w:tcW w:w="664" w:type="pct"/>
            <w:vMerge w:val="restart"/>
            <w:shd w:val="clear" w:color="auto" w:fill="auto"/>
            <w:vAlign w:val="center"/>
          </w:tcPr>
          <w:p w:rsidR="003764E9" w:rsidRPr="00200930" w:rsidRDefault="003764E9" w:rsidP="00E73A7B">
            <w:pPr>
              <w:jc w:val="left"/>
              <w:rPr>
                <w:rFonts w:ascii="Arial Narrow" w:hAnsi="Arial Narrow"/>
                <w:sz w:val="20"/>
                <w:lang w:val="en-US"/>
              </w:rPr>
            </w:pPr>
            <w:r w:rsidRPr="00200930">
              <w:rPr>
                <w:rFonts w:ascii="Arial Narrow" w:hAnsi="Arial Narrow"/>
                <w:sz w:val="20"/>
                <w:lang w:val="en-US"/>
              </w:rPr>
              <w:t>Treatment efficacy</w:t>
            </w:r>
          </w:p>
        </w:tc>
        <w:tc>
          <w:tcPr>
            <w:tcW w:w="3081" w:type="pct"/>
            <w:tcBorders>
              <w:bottom w:val="nil"/>
            </w:tcBorders>
            <w:shd w:val="clear" w:color="auto" w:fill="auto"/>
            <w:vAlign w:val="center"/>
          </w:tcPr>
          <w:p w:rsidR="003764E9" w:rsidRPr="00200930" w:rsidRDefault="003764E9" w:rsidP="00E73A7B">
            <w:pPr>
              <w:jc w:val="left"/>
              <w:rPr>
                <w:rFonts w:ascii="Arial Narrow" w:hAnsi="Arial Narrow"/>
                <w:sz w:val="20"/>
                <w:lang w:val="en-US"/>
              </w:rPr>
            </w:pPr>
            <w:r w:rsidRPr="00200930">
              <w:rPr>
                <w:rFonts w:ascii="Arial Narrow" w:hAnsi="Arial Narrow"/>
                <w:sz w:val="20"/>
                <w:lang w:val="en-US"/>
              </w:rPr>
              <w:t>Comparative treatment efficacy estimates for patients with 17p deletion/TP53 mutation were derived from a matching adjusted indirect comparison of venetoclax versus ofatumumab monotherapy. The indirect analysis was based on limited data and was poorly documented with inconsistent claims. The results of these analyses should not be considered reliable.</w:t>
            </w:r>
          </w:p>
        </w:tc>
        <w:tc>
          <w:tcPr>
            <w:tcW w:w="1255" w:type="pct"/>
            <w:tcBorders>
              <w:bottom w:val="nil"/>
            </w:tcBorders>
            <w:shd w:val="clear" w:color="auto" w:fill="auto"/>
            <w:vAlign w:val="center"/>
          </w:tcPr>
          <w:p w:rsidR="003764E9" w:rsidRPr="00200930" w:rsidRDefault="003764E9" w:rsidP="003764E9">
            <w:pPr>
              <w:jc w:val="center"/>
              <w:rPr>
                <w:rFonts w:ascii="Arial Narrow" w:hAnsi="Arial Narrow"/>
                <w:sz w:val="20"/>
                <w:lang w:val="en-US"/>
              </w:rPr>
            </w:pPr>
            <w:r w:rsidRPr="00200930">
              <w:rPr>
                <w:rFonts w:ascii="Arial Narrow" w:hAnsi="Arial Narrow"/>
                <w:sz w:val="20"/>
                <w:lang w:val="en-US"/>
              </w:rPr>
              <w:t>High (for ofatumumab comparison), favours venetoclax</w:t>
            </w:r>
          </w:p>
        </w:tc>
      </w:tr>
      <w:tr w:rsidR="003764E9" w:rsidRPr="00200930" w:rsidTr="003764E9">
        <w:trPr>
          <w:trHeight w:val="1246"/>
        </w:trPr>
        <w:tc>
          <w:tcPr>
            <w:tcW w:w="664" w:type="pct"/>
            <w:vMerge/>
            <w:shd w:val="clear" w:color="auto" w:fill="auto"/>
            <w:vAlign w:val="center"/>
          </w:tcPr>
          <w:p w:rsidR="003764E9" w:rsidRPr="00200930" w:rsidRDefault="003764E9" w:rsidP="00E73A7B">
            <w:pPr>
              <w:jc w:val="left"/>
              <w:rPr>
                <w:rFonts w:ascii="Arial Narrow" w:hAnsi="Arial Narrow"/>
                <w:sz w:val="20"/>
                <w:lang w:val="en-US"/>
              </w:rPr>
            </w:pPr>
          </w:p>
        </w:tc>
        <w:tc>
          <w:tcPr>
            <w:tcW w:w="3081" w:type="pct"/>
            <w:tcBorders>
              <w:top w:val="nil"/>
            </w:tcBorders>
            <w:shd w:val="clear" w:color="auto" w:fill="auto"/>
            <w:vAlign w:val="center"/>
          </w:tcPr>
          <w:p w:rsidR="003764E9" w:rsidRPr="00200930" w:rsidRDefault="003764E9" w:rsidP="00E73A7B">
            <w:pPr>
              <w:jc w:val="left"/>
              <w:rPr>
                <w:rFonts w:ascii="Arial Narrow" w:hAnsi="Arial Narrow"/>
                <w:sz w:val="20"/>
                <w:lang w:val="en-US"/>
              </w:rPr>
            </w:pPr>
            <w:r w:rsidRPr="00200930">
              <w:rPr>
                <w:rFonts w:ascii="Arial Narrow" w:hAnsi="Arial Narrow"/>
                <w:sz w:val="20"/>
                <w:lang w:val="en-US"/>
              </w:rPr>
              <w:t>Comparative treatment efficacy estimates for patients with highly refractory disease were derived from a naïve indirect comparison of venetoclax versus rituximab monotherapy. A naïve indirect comparison is not a reliable method for assessing comparative efficacy as it does not account for differences between studies which may affect survival outcomes.</w:t>
            </w:r>
          </w:p>
        </w:tc>
        <w:tc>
          <w:tcPr>
            <w:tcW w:w="1255" w:type="pct"/>
            <w:tcBorders>
              <w:top w:val="nil"/>
              <w:bottom w:val="single" w:sz="4" w:space="0" w:color="auto"/>
            </w:tcBorders>
            <w:shd w:val="clear" w:color="auto" w:fill="auto"/>
            <w:vAlign w:val="center"/>
          </w:tcPr>
          <w:p w:rsidR="003764E9" w:rsidRPr="00200930" w:rsidRDefault="003764E9" w:rsidP="003764E9">
            <w:pPr>
              <w:jc w:val="center"/>
              <w:rPr>
                <w:rFonts w:ascii="Arial Narrow" w:hAnsi="Arial Narrow"/>
                <w:sz w:val="20"/>
                <w:lang w:val="en-US"/>
              </w:rPr>
            </w:pPr>
            <w:r w:rsidRPr="00200930">
              <w:rPr>
                <w:rFonts w:ascii="Arial Narrow" w:hAnsi="Arial Narrow"/>
                <w:sz w:val="20"/>
                <w:lang w:val="en-US"/>
              </w:rPr>
              <w:t>High (for rituximab comparison), favours venetoclax</w:t>
            </w:r>
          </w:p>
          <w:p w:rsidR="003764E9" w:rsidRPr="00200930" w:rsidRDefault="003764E9" w:rsidP="00E73A7B">
            <w:pPr>
              <w:jc w:val="center"/>
              <w:rPr>
                <w:rFonts w:ascii="Arial Narrow" w:hAnsi="Arial Narrow"/>
                <w:sz w:val="20"/>
                <w:lang w:val="en-US"/>
              </w:rPr>
            </w:pPr>
          </w:p>
        </w:tc>
      </w:tr>
      <w:tr w:rsidR="003764E9" w:rsidRPr="00200930" w:rsidTr="003764E9">
        <w:trPr>
          <w:trHeight w:val="2688"/>
        </w:trPr>
        <w:tc>
          <w:tcPr>
            <w:tcW w:w="664" w:type="pct"/>
            <w:vMerge w:val="restart"/>
            <w:shd w:val="clear" w:color="auto" w:fill="auto"/>
            <w:vAlign w:val="center"/>
          </w:tcPr>
          <w:p w:rsidR="003764E9" w:rsidRPr="00200930" w:rsidRDefault="003764E9" w:rsidP="00E73A7B">
            <w:pPr>
              <w:jc w:val="left"/>
              <w:rPr>
                <w:rFonts w:ascii="Arial Narrow" w:hAnsi="Arial Narrow"/>
                <w:sz w:val="20"/>
                <w:lang w:val="en-US"/>
              </w:rPr>
            </w:pPr>
            <w:r w:rsidRPr="00200930">
              <w:rPr>
                <w:rFonts w:ascii="Arial Narrow" w:hAnsi="Arial Narrow"/>
                <w:sz w:val="20"/>
                <w:lang w:val="en-US"/>
              </w:rPr>
              <w:t>Extrapolation method</w:t>
            </w:r>
          </w:p>
        </w:tc>
        <w:tc>
          <w:tcPr>
            <w:tcW w:w="3081" w:type="pct"/>
            <w:vMerge w:val="restart"/>
            <w:shd w:val="clear" w:color="auto" w:fill="auto"/>
            <w:vAlign w:val="center"/>
          </w:tcPr>
          <w:p w:rsidR="003764E9" w:rsidRPr="00200930" w:rsidRDefault="003764E9" w:rsidP="00E73A7B">
            <w:pPr>
              <w:jc w:val="left"/>
              <w:rPr>
                <w:rFonts w:ascii="Arial Narrow" w:hAnsi="Arial Narrow"/>
                <w:sz w:val="20"/>
                <w:lang w:val="en-US"/>
              </w:rPr>
            </w:pPr>
            <w:r w:rsidRPr="00200930">
              <w:rPr>
                <w:rFonts w:ascii="Arial Narrow" w:hAnsi="Arial Narrow"/>
                <w:sz w:val="20"/>
                <w:lang w:val="en-US"/>
              </w:rPr>
              <w:t>The submission used Weibull functions to extrapolate progression-free and overall survival for venetoclax in patients with 17p deletion/TP53 mutation. Extrapolated ofatumumab curves were synthesised based on inverse hazard ratios (see treatment efficacy) applied to the venetoclax survival curves. Survival models were based on limited observed data (a</w:t>
            </w:r>
            <w:r>
              <w:rPr>
                <w:rFonts w:ascii="Arial Narrow" w:hAnsi="Arial Narrow"/>
                <w:sz w:val="20"/>
                <w:lang w:val="en-US"/>
              </w:rPr>
              <w:t>pproximately 1-2 years). It was</w:t>
            </w:r>
            <w:r w:rsidRPr="00200930">
              <w:rPr>
                <w:rFonts w:ascii="Arial Narrow" w:hAnsi="Arial Narrow"/>
                <w:sz w:val="20"/>
                <w:lang w:val="en-US"/>
              </w:rPr>
              <w:t xml:space="preserve"> not reasonable to synthesise an ofatumumab curve based on the matching adjusted indirect comparison.</w:t>
            </w:r>
          </w:p>
          <w:p w:rsidR="003764E9" w:rsidRPr="00200930" w:rsidRDefault="003764E9" w:rsidP="00E73A7B">
            <w:pPr>
              <w:jc w:val="left"/>
              <w:rPr>
                <w:rFonts w:ascii="Arial Narrow" w:hAnsi="Arial Narrow"/>
                <w:sz w:val="20"/>
                <w:lang w:val="en-US"/>
              </w:rPr>
            </w:pPr>
          </w:p>
          <w:p w:rsidR="003764E9" w:rsidRPr="00200930" w:rsidRDefault="003764E9" w:rsidP="00E73A7B">
            <w:pPr>
              <w:jc w:val="left"/>
              <w:rPr>
                <w:rFonts w:ascii="Arial Narrow" w:hAnsi="Arial Narrow"/>
                <w:sz w:val="20"/>
                <w:lang w:val="en-US"/>
              </w:rPr>
            </w:pPr>
            <w:r w:rsidRPr="00200930">
              <w:rPr>
                <w:rFonts w:ascii="Arial Narrow" w:hAnsi="Arial Narrow"/>
                <w:sz w:val="20"/>
                <w:lang w:val="en-US"/>
              </w:rPr>
              <w:t>The submission used exponential functions to extrapolate progression-free and overall survival for venetoclax in patients with highly refractory disease. Survival curves for rituximab monotherapy were independently extrapolated based on a Weibull function. Survival models were based on limited observed data (approximately 9-12 months). Survival curves were likely to be affected by differences in baseline risk between the different sources studies.</w:t>
            </w:r>
          </w:p>
          <w:p w:rsidR="003764E9" w:rsidRPr="00200930" w:rsidRDefault="003764E9" w:rsidP="00E73A7B">
            <w:pPr>
              <w:jc w:val="left"/>
              <w:rPr>
                <w:rFonts w:ascii="Arial Narrow" w:hAnsi="Arial Narrow"/>
                <w:sz w:val="20"/>
                <w:lang w:val="en-US"/>
              </w:rPr>
            </w:pPr>
          </w:p>
          <w:p w:rsidR="003764E9" w:rsidRPr="00200930" w:rsidRDefault="003764E9" w:rsidP="00EA5922">
            <w:pPr>
              <w:jc w:val="left"/>
              <w:rPr>
                <w:rFonts w:ascii="Arial Narrow" w:hAnsi="Arial Narrow"/>
                <w:sz w:val="20"/>
                <w:lang w:val="en-US"/>
              </w:rPr>
            </w:pPr>
            <w:r w:rsidRPr="00200930">
              <w:rPr>
                <w:rFonts w:ascii="Arial Narrow" w:hAnsi="Arial Narrow"/>
                <w:sz w:val="20"/>
                <w:lang w:val="en-US"/>
              </w:rPr>
              <w:t>A substantial proportion of estimated overall survival gain with venetoclax is due to increased survival in the post-progression state which may not be plausible given that treatment is expected to be discontinued at progression.</w:t>
            </w:r>
          </w:p>
        </w:tc>
        <w:tc>
          <w:tcPr>
            <w:tcW w:w="1255" w:type="pct"/>
            <w:tcBorders>
              <w:bottom w:val="nil"/>
            </w:tcBorders>
            <w:shd w:val="clear" w:color="auto" w:fill="auto"/>
            <w:vAlign w:val="center"/>
          </w:tcPr>
          <w:p w:rsidR="003764E9" w:rsidRPr="00200930" w:rsidRDefault="003764E9" w:rsidP="00E73A7B">
            <w:pPr>
              <w:jc w:val="center"/>
              <w:rPr>
                <w:rFonts w:ascii="Arial Narrow" w:hAnsi="Arial Narrow"/>
                <w:sz w:val="20"/>
                <w:lang w:val="en-US"/>
              </w:rPr>
            </w:pPr>
          </w:p>
          <w:p w:rsidR="003764E9" w:rsidRPr="00200930" w:rsidRDefault="003764E9" w:rsidP="00E73A7B">
            <w:pPr>
              <w:jc w:val="center"/>
              <w:rPr>
                <w:rFonts w:ascii="Arial Narrow" w:hAnsi="Arial Narrow"/>
                <w:sz w:val="20"/>
                <w:lang w:val="en-US"/>
              </w:rPr>
            </w:pPr>
            <w:r w:rsidRPr="00200930">
              <w:rPr>
                <w:rFonts w:ascii="Arial Narrow" w:hAnsi="Arial Narrow"/>
                <w:sz w:val="20"/>
                <w:lang w:val="en-US"/>
              </w:rPr>
              <w:t>Low (for ofatumumab comparison), variable direction</w:t>
            </w:r>
          </w:p>
          <w:p w:rsidR="003764E9" w:rsidRPr="00200930" w:rsidRDefault="003764E9" w:rsidP="00E73A7B">
            <w:pPr>
              <w:jc w:val="center"/>
              <w:rPr>
                <w:rFonts w:ascii="Arial Narrow" w:hAnsi="Arial Narrow"/>
                <w:sz w:val="20"/>
                <w:lang w:val="en-US"/>
              </w:rPr>
            </w:pPr>
          </w:p>
        </w:tc>
      </w:tr>
      <w:tr w:rsidR="003764E9" w:rsidRPr="00200930" w:rsidTr="003764E9">
        <w:trPr>
          <w:trHeight w:val="2687"/>
        </w:trPr>
        <w:tc>
          <w:tcPr>
            <w:tcW w:w="664" w:type="pct"/>
            <w:vMerge/>
            <w:shd w:val="clear" w:color="auto" w:fill="auto"/>
            <w:vAlign w:val="center"/>
          </w:tcPr>
          <w:p w:rsidR="003764E9" w:rsidRPr="00200930" w:rsidRDefault="003764E9" w:rsidP="00E73A7B">
            <w:pPr>
              <w:jc w:val="left"/>
              <w:rPr>
                <w:rFonts w:ascii="Arial Narrow" w:hAnsi="Arial Narrow"/>
                <w:sz w:val="20"/>
                <w:lang w:val="en-US"/>
              </w:rPr>
            </w:pPr>
          </w:p>
        </w:tc>
        <w:tc>
          <w:tcPr>
            <w:tcW w:w="3081" w:type="pct"/>
            <w:vMerge/>
            <w:shd w:val="clear" w:color="auto" w:fill="auto"/>
            <w:vAlign w:val="center"/>
          </w:tcPr>
          <w:p w:rsidR="003764E9" w:rsidRPr="00200930" w:rsidRDefault="003764E9" w:rsidP="00E73A7B">
            <w:pPr>
              <w:jc w:val="left"/>
              <w:rPr>
                <w:rFonts w:ascii="Arial Narrow" w:hAnsi="Arial Narrow"/>
                <w:sz w:val="20"/>
                <w:lang w:val="en-US"/>
              </w:rPr>
            </w:pPr>
          </w:p>
        </w:tc>
        <w:tc>
          <w:tcPr>
            <w:tcW w:w="1255" w:type="pct"/>
            <w:tcBorders>
              <w:top w:val="nil"/>
            </w:tcBorders>
            <w:shd w:val="clear" w:color="auto" w:fill="auto"/>
            <w:vAlign w:val="center"/>
          </w:tcPr>
          <w:p w:rsidR="003764E9" w:rsidRPr="00200930" w:rsidRDefault="003764E9" w:rsidP="003764E9">
            <w:pPr>
              <w:jc w:val="center"/>
              <w:rPr>
                <w:rFonts w:ascii="Arial Narrow" w:hAnsi="Arial Narrow"/>
                <w:sz w:val="20"/>
                <w:lang w:val="en-US"/>
              </w:rPr>
            </w:pPr>
            <w:r w:rsidRPr="00200930">
              <w:rPr>
                <w:rFonts w:ascii="Arial Narrow" w:hAnsi="Arial Narrow"/>
                <w:sz w:val="20"/>
                <w:lang w:val="en-US"/>
              </w:rPr>
              <w:t>High (for rituximab comparison), variable direction</w:t>
            </w:r>
          </w:p>
          <w:p w:rsidR="003764E9" w:rsidRPr="00200930" w:rsidRDefault="003764E9" w:rsidP="00E73A7B">
            <w:pPr>
              <w:jc w:val="center"/>
              <w:rPr>
                <w:rFonts w:ascii="Arial Narrow" w:hAnsi="Arial Narrow"/>
                <w:sz w:val="20"/>
                <w:lang w:val="en-US"/>
              </w:rPr>
            </w:pPr>
          </w:p>
        </w:tc>
      </w:tr>
      <w:tr w:rsidR="00F61688" w:rsidRPr="00200930" w:rsidTr="003764E9">
        <w:tc>
          <w:tcPr>
            <w:tcW w:w="664" w:type="pct"/>
            <w:shd w:val="clear" w:color="auto" w:fill="auto"/>
            <w:vAlign w:val="center"/>
          </w:tcPr>
          <w:p w:rsidR="00F61688" w:rsidRPr="00200930" w:rsidRDefault="00EA5922" w:rsidP="00E73A7B">
            <w:pPr>
              <w:jc w:val="left"/>
              <w:rPr>
                <w:rFonts w:ascii="Arial Narrow" w:hAnsi="Arial Narrow"/>
                <w:sz w:val="20"/>
                <w:lang w:val="en-US"/>
              </w:rPr>
            </w:pPr>
            <w:r w:rsidRPr="00200930">
              <w:rPr>
                <w:rFonts w:ascii="Arial Narrow" w:hAnsi="Arial Narrow"/>
                <w:sz w:val="20"/>
                <w:lang w:val="en-US"/>
              </w:rPr>
              <w:t>Post-</w:t>
            </w:r>
            <w:r w:rsidR="00F61688" w:rsidRPr="00200930">
              <w:rPr>
                <w:rFonts w:ascii="Arial Narrow" w:hAnsi="Arial Narrow"/>
                <w:sz w:val="20"/>
                <w:lang w:val="en-US"/>
              </w:rPr>
              <w:t>progression survival</w:t>
            </w:r>
          </w:p>
        </w:tc>
        <w:tc>
          <w:tcPr>
            <w:tcW w:w="3081" w:type="pct"/>
            <w:shd w:val="clear" w:color="auto" w:fill="auto"/>
            <w:vAlign w:val="center"/>
          </w:tcPr>
          <w:p w:rsidR="00F61688" w:rsidRPr="00200930" w:rsidRDefault="00F61688" w:rsidP="00EA5922">
            <w:pPr>
              <w:jc w:val="left"/>
              <w:rPr>
                <w:rFonts w:ascii="Arial Narrow" w:hAnsi="Arial Narrow"/>
                <w:sz w:val="20"/>
                <w:lang w:val="en-US"/>
              </w:rPr>
            </w:pPr>
            <w:r w:rsidRPr="00200930">
              <w:rPr>
                <w:rFonts w:ascii="Arial Narrow" w:hAnsi="Arial Narrow"/>
                <w:sz w:val="20"/>
                <w:lang w:val="en-US"/>
              </w:rPr>
              <w:t xml:space="preserve">Post-progression survival was estimated based on the difference between two independently derived extrapolated survival curves (overall survival and progression-free survival). </w:t>
            </w:r>
            <w:r w:rsidRPr="00200930">
              <w:rPr>
                <w:rFonts w:ascii="Arial Narrow" w:hAnsi="Arial Narrow"/>
                <w:iCs/>
                <w:sz w:val="20"/>
                <w:lang w:val="en-US"/>
              </w:rPr>
              <w:t xml:space="preserve">A substantial proportion of estimated overall survival gain with venetoclax is due to increased survival in the </w:t>
            </w:r>
            <w:r w:rsidR="00EA5922" w:rsidRPr="00200930">
              <w:rPr>
                <w:rFonts w:ascii="Arial Narrow" w:hAnsi="Arial Narrow"/>
                <w:iCs/>
                <w:sz w:val="20"/>
                <w:lang w:val="en-US"/>
              </w:rPr>
              <w:t>post-</w:t>
            </w:r>
            <w:r w:rsidRPr="00200930">
              <w:rPr>
                <w:rFonts w:ascii="Arial Narrow" w:hAnsi="Arial Narrow"/>
                <w:iCs/>
                <w:sz w:val="20"/>
                <w:lang w:val="en-US"/>
              </w:rPr>
              <w:t>progress</w:t>
            </w:r>
            <w:r w:rsidR="00EA5922" w:rsidRPr="00200930">
              <w:rPr>
                <w:rFonts w:ascii="Arial Narrow" w:hAnsi="Arial Narrow"/>
                <w:iCs/>
                <w:sz w:val="20"/>
                <w:lang w:val="en-US"/>
              </w:rPr>
              <w:t>ion</w:t>
            </w:r>
            <w:r w:rsidRPr="00200930">
              <w:rPr>
                <w:rFonts w:ascii="Arial Narrow" w:hAnsi="Arial Narrow"/>
                <w:iCs/>
                <w:sz w:val="20"/>
                <w:lang w:val="en-US"/>
              </w:rPr>
              <w:t xml:space="preserve"> state which may not be reasonable given that treatment is expected to be discontinued at progression.</w:t>
            </w:r>
          </w:p>
        </w:tc>
        <w:tc>
          <w:tcPr>
            <w:tcW w:w="1255" w:type="pct"/>
            <w:shd w:val="clear" w:color="auto" w:fill="auto"/>
            <w:vAlign w:val="center"/>
          </w:tcPr>
          <w:p w:rsidR="00F61688" w:rsidRPr="00200930" w:rsidRDefault="00F61688" w:rsidP="00E73A7B">
            <w:pPr>
              <w:jc w:val="center"/>
              <w:rPr>
                <w:rFonts w:ascii="Arial Narrow" w:hAnsi="Arial Narrow"/>
                <w:sz w:val="20"/>
                <w:lang w:val="en-US"/>
              </w:rPr>
            </w:pPr>
            <w:r w:rsidRPr="00200930">
              <w:rPr>
                <w:rFonts w:ascii="Arial Narrow" w:hAnsi="Arial Narrow"/>
                <w:sz w:val="20"/>
                <w:lang w:val="en-US"/>
              </w:rPr>
              <w:t xml:space="preserve">High (for both comparisons), </w:t>
            </w:r>
            <w:r w:rsidRPr="00200930">
              <w:rPr>
                <w:rFonts w:ascii="Arial Narrow" w:hAnsi="Arial Narrow"/>
                <w:sz w:val="20"/>
              </w:rPr>
              <w:t>favours</w:t>
            </w:r>
            <w:r w:rsidRPr="00200930">
              <w:rPr>
                <w:rFonts w:ascii="Arial Narrow" w:hAnsi="Arial Narrow"/>
                <w:sz w:val="20"/>
                <w:lang w:val="en-US"/>
              </w:rPr>
              <w:t xml:space="preserve"> venetoclax</w:t>
            </w:r>
          </w:p>
        </w:tc>
      </w:tr>
      <w:tr w:rsidR="00F61688" w:rsidRPr="00200930" w:rsidTr="003764E9">
        <w:tc>
          <w:tcPr>
            <w:tcW w:w="664" w:type="pct"/>
            <w:shd w:val="clear" w:color="auto" w:fill="auto"/>
            <w:vAlign w:val="center"/>
          </w:tcPr>
          <w:p w:rsidR="00F61688" w:rsidRPr="00200930" w:rsidRDefault="00F61688" w:rsidP="00E73A7B">
            <w:pPr>
              <w:jc w:val="left"/>
              <w:rPr>
                <w:rFonts w:ascii="Arial Narrow" w:hAnsi="Arial Narrow"/>
                <w:sz w:val="20"/>
                <w:lang w:val="en-US"/>
              </w:rPr>
            </w:pPr>
            <w:r w:rsidRPr="00200930">
              <w:rPr>
                <w:rFonts w:ascii="Arial Narrow" w:hAnsi="Arial Narrow"/>
                <w:sz w:val="20"/>
                <w:lang w:val="en-US"/>
              </w:rPr>
              <w:t>Time horizon</w:t>
            </w:r>
          </w:p>
        </w:tc>
        <w:tc>
          <w:tcPr>
            <w:tcW w:w="3081" w:type="pct"/>
            <w:shd w:val="clear" w:color="auto" w:fill="auto"/>
            <w:vAlign w:val="center"/>
          </w:tcPr>
          <w:p w:rsidR="00F61688" w:rsidRPr="00200930" w:rsidRDefault="00F61688" w:rsidP="00E73A7B">
            <w:pPr>
              <w:jc w:val="left"/>
              <w:rPr>
                <w:rFonts w:ascii="Arial Narrow" w:hAnsi="Arial Narrow"/>
                <w:sz w:val="20"/>
                <w:lang w:val="en-US"/>
              </w:rPr>
            </w:pPr>
            <w:r w:rsidRPr="00200930">
              <w:rPr>
                <w:rFonts w:ascii="Arial Narrow" w:hAnsi="Arial Narrow"/>
                <w:sz w:val="20"/>
                <w:lang w:val="en-US"/>
              </w:rPr>
              <w:t>The submission nominated a 10-year time horizon which was consistent with time horizons previously proposed in the ibrutinib and idelalisib PBAC submissions. The PBAC has suggested that shorter time horizons may be appropriate in populations with relapsed/ refractory CLL.</w:t>
            </w:r>
          </w:p>
        </w:tc>
        <w:tc>
          <w:tcPr>
            <w:tcW w:w="1255" w:type="pct"/>
            <w:shd w:val="clear" w:color="auto" w:fill="auto"/>
            <w:vAlign w:val="center"/>
          </w:tcPr>
          <w:p w:rsidR="00F61688" w:rsidRPr="00200930" w:rsidRDefault="00F61688" w:rsidP="00E73A7B">
            <w:pPr>
              <w:jc w:val="center"/>
              <w:rPr>
                <w:rFonts w:ascii="Arial Narrow" w:hAnsi="Arial Narrow"/>
                <w:sz w:val="20"/>
                <w:lang w:val="en-US"/>
              </w:rPr>
            </w:pPr>
            <w:r w:rsidRPr="00200930">
              <w:rPr>
                <w:rFonts w:ascii="Arial Narrow" w:hAnsi="Arial Narrow"/>
                <w:sz w:val="20"/>
                <w:lang w:val="en-US"/>
              </w:rPr>
              <w:t>Moderate (for ofatumumab comparison), favours venetoclax</w:t>
            </w:r>
          </w:p>
          <w:p w:rsidR="00F61688" w:rsidRPr="00200930" w:rsidRDefault="00F61688" w:rsidP="00E73A7B">
            <w:pPr>
              <w:jc w:val="center"/>
              <w:rPr>
                <w:rFonts w:ascii="Arial Narrow" w:hAnsi="Arial Narrow"/>
                <w:sz w:val="20"/>
                <w:lang w:val="en-US"/>
              </w:rPr>
            </w:pPr>
            <w:r w:rsidRPr="00200930">
              <w:rPr>
                <w:rFonts w:ascii="Arial Narrow" w:hAnsi="Arial Narrow"/>
                <w:sz w:val="20"/>
                <w:lang w:val="en-US"/>
              </w:rPr>
              <w:t>High (for rituximab comparison), favours venetoclax</w:t>
            </w:r>
          </w:p>
        </w:tc>
      </w:tr>
      <w:tr w:rsidR="00F61688" w:rsidRPr="00200930" w:rsidTr="003764E9">
        <w:tc>
          <w:tcPr>
            <w:tcW w:w="664" w:type="pct"/>
            <w:shd w:val="clear" w:color="auto" w:fill="auto"/>
            <w:vAlign w:val="center"/>
          </w:tcPr>
          <w:p w:rsidR="00F61688" w:rsidRPr="00200930" w:rsidRDefault="00F61688" w:rsidP="00E73A7B">
            <w:pPr>
              <w:jc w:val="left"/>
              <w:rPr>
                <w:rFonts w:ascii="Arial Narrow" w:hAnsi="Arial Narrow"/>
                <w:sz w:val="20"/>
                <w:lang w:val="en-US"/>
              </w:rPr>
            </w:pPr>
            <w:r w:rsidRPr="00200930">
              <w:rPr>
                <w:rFonts w:ascii="Arial Narrow" w:hAnsi="Arial Narrow"/>
                <w:sz w:val="20"/>
                <w:lang w:val="en-US"/>
              </w:rPr>
              <w:t>Pre-progression health state utility</w:t>
            </w:r>
          </w:p>
        </w:tc>
        <w:tc>
          <w:tcPr>
            <w:tcW w:w="3081" w:type="pct"/>
            <w:shd w:val="clear" w:color="auto" w:fill="auto"/>
            <w:vAlign w:val="center"/>
          </w:tcPr>
          <w:p w:rsidR="00F61688" w:rsidRPr="00200930" w:rsidRDefault="00F61688" w:rsidP="001152B6">
            <w:pPr>
              <w:jc w:val="left"/>
              <w:rPr>
                <w:rFonts w:ascii="Arial Narrow" w:hAnsi="Arial Narrow"/>
                <w:sz w:val="20"/>
                <w:lang w:val="en-US"/>
              </w:rPr>
            </w:pPr>
            <w:r w:rsidRPr="00200930">
              <w:rPr>
                <w:rFonts w:ascii="Arial Narrow" w:hAnsi="Arial Narrow"/>
                <w:sz w:val="20"/>
                <w:lang w:val="en-US"/>
              </w:rPr>
              <w:t xml:space="preserve">Based on a post-hoc analysis of EQ-5D data from the M13-982 and M14-032 trials. </w:t>
            </w:r>
            <w:r w:rsidRPr="00200930">
              <w:rPr>
                <w:rFonts w:ascii="Arial Narrow" w:hAnsi="Arial Narrow"/>
                <w:iCs/>
                <w:sz w:val="20"/>
                <w:lang w:val="en-US"/>
              </w:rPr>
              <w:t xml:space="preserve">The post-hoc analysis was poorly documented and utility estimates from the venetoclax trials were higher than </w:t>
            </w:r>
            <w:r w:rsidR="00C16F1C" w:rsidRPr="00200930">
              <w:rPr>
                <w:rFonts w:ascii="Arial Narrow" w:hAnsi="Arial Narrow"/>
                <w:iCs/>
                <w:sz w:val="20"/>
                <w:lang w:val="en-US"/>
              </w:rPr>
              <w:t>thos</w:t>
            </w:r>
            <w:r w:rsidRPr="00200930">
              <w:rPr>
                <w:rFonts w:ascii="Arial Narrow" w:hAnsi="Arial Narrow"/>
                <w:iCs/>
                <w:sz w:val="20"/>
                <w:lang w:val="en-US"/>
              </w:rPr>
              <w:t>e presented in other published utility studies for relapsed/refractory CLL</w:t>
            </w:r>
            <w:r w:rsidR="001152B6" w:rsidRPr="00200930">
              <w:rPr>
                <w:rFonts w:ascii="Arial Narrow" w:hAnsi="Arial Narrow"/>
                <w:iCs/>
                <w:sz w:val="20"/>
                <w:lang w:val="en-US"/>
              </w:rPr>
              <w:t>.</w:t>
            </w:r>
          </w:p>
        </w:tc>
        <w:tc>
          <w:tcPr>
            <w:tcW w:w="1255" w:type="pct"/>
            <w:shd w:val="clear" w:color="auto" w:fill="auto"/>
            <w:vAlign w:val="center"/>
          </w:tcPr>
          <w:p w:rsidR="00F61688" w:rsidRPr="00200930" w:rsidRDefault="00F61688" w:rsidP="00E73A7B">
            <w:pPr>
              <w:jc w:val="center"/>
              <w:rPr>
                <w:rFonts w:ascii="Arial Narrow" w:hAnsi="Arial Narrow"/>
                <w:sz w:val="20"/>
                <w:lang w:val="en-US"/>
              </w:rPr>
            </w:pPr>
            <w:r w:rsidRPr="00200930">
              <w:rPr>
                <w:rFonts w:ascii="Arial Narrow" w:hAnsi="Arial Narrow"/>
                <w:sz w:val="20"/>
                <w:lang w:val="en-US"/>
              </w:rPr>
              <w:t>Moderate (for both comparisons), favours venetoclax</w:t>
            </w:r>
          </w:p>
        </w:tc>
      </w:tr>
    </w:tbl>
    <w:p w:rsidR="00F61688" w:rsidRPr="00200930" w:rsidRDefault="00F61688" w:rsidP="00F61688">
      <w:pPr>
        <w:pStyle w:val="TableFooter"/>
        <w:ind w:firstLine="720"/>
      </w:pPr>
      <w:r w:rsidRPr="00200930">
        <w:t>Source: compiled during the evaluation</w:t>
      </w:r>
    </w:p>
    <w:p w:rsidR="00F61688" w:rsidRDefault="00F61688" w:rsidP="00F61688">
      <w:pPr>
        <w:widowControl/>
        <w:rPr>
          <w:szCs w:val="22"/>
        </w:rPr>
      </w:pPr>
    </w:p>
    <w:p w:rsidR="00F61688" w:rsidRPr="00200930" w:rsidRDefault="00F61688" w:rsidP="001152B6">
      <w:pPr>
        <w:pStyle w:val="ListParagraph"/>
        <w:widowControl/>
        <w:numPr>
          <w:ilvl w:val="1"/>
          <w:numId w:val="3"/>
        </w:numPr>
        <w:rPr>
          <w:szCs w:val="22"/>
        </w:rPr>
      </w:pPr>
      <w:r w:rsidRPr="00DD1DEA">
        <w:rPr>
          <w:szCs w:val="22"/>
        </w:rPr>
        <w:t xml:space="preserve">The key issue with the modelled cost-effectiveness analysis (cost per responder) was the choice of health </w:t>
      </w:r>
      <w:r w:rsidRPr="00200930">
        <w:rPr>
          <w:szCs w:val="22"/>
        </w:rPr>
        <w:t>outcome for the venetoclax versus idelalisib with rituximab comparison. The analysis was based on investigator-assessed complete responders</w:t>
      </w:r>
      <w:r w:rsidR="00B739E7">
        <w:rPr>
          <w:szCs w:val="22"/>
        </w:rPr>
        <w:t>,</w:t>
      </w:r>
      <w:bookmarkStart w:id="26" w:name="_GoBack"/>
      <w:bookmarkEnd w:id="26"/>
      <w:r w:rsidRPr="00200930">
        <w:rPr>
          <w:szCs w:val="22"/>
        </w:rPr>
        <w:t xml:space="preserve"> which n</w:t>
      </w:r>
      <w:r w:rsidR="001152B6" w:rsidRPr="00200930">
        <w:rPr>
          <w:szCs w:val="22"/>
        </w:rPr>
        <w:t>umerically favoured venetoclax.</w:t>
      </w:r>
    </w:p>
    <w:p w:rsidR="00F61688" w:rsidRPr="00200930" w:rsidRDefault="00F61688" w:rsidP="001152B6">
      <w:pPr>
        <w:widowControl/>
        <w:rPr>
          <w:szCs w:val="22"/>
        </w:rPr>
      </w:pPr>
    </w:p>
    <w:p w:rsidR="00F61688" w:rsidRPr="00200930" w:rsidRDefault="00F61688" w:rsidP="001152B6">
      <w:pPr>
        <w:pStyle w:val="ListParagraph"/>
        <w:widowControl/>
        <w:numPr>
          <w:ilvl w:val="1"/>
          <w:numId w:val="3"/>
        </w:numPr>
        <w:rPr>
          <w:szCs w:val="22"/>
        </w:rPr>
      </w:pPr>
      <w:r w:rsidRPr="00200930">
        <w:rPr>
          <w:szCs w:val="22"/>
        </w:rPr>
        <w:t>This approach may be unreasonable as it assumes no value for partial responders. Expanding the analysis to overall responders (complete plus partial) switched the direction of the results with venetoclax having numerically lower response rates compared to idelalisib with rituximab. Additionally, investigator-assessed outcomes were generally more favourable than centrally-assessed outcomes for venetoclax (</w:t>
      </w:r>
      <w:r w:rsidRPr="00F406E8">
        <w:rPr>
          <w:szCs w:val="22"/>
        </w:rPr>
        <w:t>18.4</w:t>
      </w:r>
      <w:r w:rsidRPr="00200930">
        <w:rPr>
          <w:szCs w:val="22"/>
        </w:rPr>
        <w:t xml:space="preserve">% vs. </w:t>
      </w:r>
      <w:r w:rsidRPr="00F406E8">
        <w:rPr>
          <w:szCs w:val="22"/>
        </w:rPr>
        <w:t>7.5</w:t>
      </w:r>
      <w:r w:rsidRPr="00200930">
        <w:rPr>
          <w:szCs w:val="22"/>
        </w:rPr>
        <w:t>%). Limiting the analysis to centrally-assessed outcomes substantially reduced the numerical difference in complete response rates between treatments.</w:t>
      </w:r>
    </w:p>
    <w:p w:rsidR="00F61688" w:rsidRPr="00200930" w:rsidRDefault="00F61688" w:rsidP="00F61688">
      <w:pPr>
        <w:widowControl/>
        <w:rPr>
          <w:szCs w:val="22"/>
        </w:rPr>
      </w:pPr>
    </w:p>
    <w:p w:rsidR="00F61688" w:rsidRPr="00DD1DEA" w:rsidRDefault="00F61688" w:rsidP="001011FE">
      <w:pPr>
        <w:pStyle w:val="ListParagraph"/>
        <w:widowControl/>
        <w:numPr>
          <w:ilvl w:val="1"/>
          <w:numId w:val="3"/>
        </w:numPr>
        <w:rPr>
          <w:szCs w:val="22"/>
        </w:rPr>
      </w:pPr>
      <w:r w:rsidRPr="00200930">
        <w:t>The results of the economic analysis comparing venetoclax to ofatumumab monotherapy in 17p deletion/TP53 mutation patients is summarised in Table</w:t>
      </w:r>
      <w:r w:rsidRPr="00DD1DEA">
        <w:t xml:space="preserve"> 9.</w:t>
      </w:r>
    </w:p>
    <w:p w:rsidR="00F61688" w:rsidRDefault="00F61688" w:rsidP="00F61688">
      <w:pPr>
        <w:widowControl/>
        <w:rPr>
          <w:szCs w:val="22"/>
        </w:rPr>
      </w:pPr>
    </w:p>
    <w:p w:rsidR="00F61688" w:rsidRDefault="00F61688" w:rsidP="00F61688">
      <w:pPr>
        <w:ind w:firstLine="720"/>
        <w:rPr>
          <w:rStyle w:val="CommentReference"/>
        </w:rPr>
      </w:pPr>
      <w:r>
        <w:rPr>
          <w:rStyle w:val="CommentReference"/>
        </w:rPr>
        <w:t>Table 9: Modelled economic analyses (venetoclax vs ofatumumab monotherapy)</w:t>
      </w:r>
    </w:p>
    <w:tbl>
      <w:tblPr>
        <w:tblW w:w="4595"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686"/>
        <w:gridCol w:w="1554"/>
        <w:gridCol w:w="1554"/>
        <w:gridCol w:w="1552"/>
      </w:tblGrid>
      <w:tr w:rsidR="00F61688" w:rsidRPr="004E2ADC" w:rsidTr="00E73A7B">
        <w:tc>
          <w:tcPr>
            <w:tcW w:w="2208" w:type="pct"/>
          </w:tcPr>
          <w:p w:rsidR="00F61688" w:rsidRPr="004E2ADC" w:rsidRDefault="00F61688" w:rsidP="00E73A7B">
            <w:pPr>
              <w:rPr>
                <w:rFonts w:ascii="Arial Narrow" w:hAnsi="Arial Narrow"/>
                <w:b/>
                <w:sz w:val="20"/>
              </w:rPr>
            </w:pPr>
          </w:p>
        </w:tc>
        <w:tc>
          <w:tcPr>
            <w:tcW w:w="931" w:type="pct"/>
          </w:tcPr>
          <w:p w:rsidR="00F61688" w:rsidRPr="004E2ADC" w:rsidRDefault="00F61688" w:rsidP="00E73A7B">
            <w:pPr>
              <w:jc w:val="center"/>
              <w:rPr>
                <w:rFonts w:ascii="Arial Narrow" w:hAnsi="Arial Narrow"/>
                <w:b/>
                <w:sz w:val="20"/>
              </w:rPr>
            </w:pPr>
            <w:r>
              <w:rPr>
                <w:rFonts w:ascii="Arial Narrow" w:hAnsi="Arial Narrow"/>
                <w:b/>
                <w:sz w:val="20"/>
              </w:rPr>
              <w:t>Venetoclax</w:t>
            </w:r>
          </w:p>
        </w:tc>
        <w:tc>
          <w:tcPr>
            <w:tcW w:w="931" w:type="pct"/>
          </w:tcPr>
          <w:p w:rsidR="00F61688" w:rsidRPr="004E2ADC" w:rsidRDefault="00F61688" w:rsidP="00E73A7B">
            <w:pPr>
              <w:jc w:val="center"/>
              <w:rPr>
                <w:rFonts w:ascii="Arial Narrow" w:hAnsi="Arial Narrow"/>
                <w:b/>
                <w:sz w:val="20"/>
              </w:rPr>
            </w:pPr>
            <w:r>
              <w:rPr>
                <w:rFonts w:ascii="Arial Narrow" w:hAnsi="Arial Narrow"/>
                <w:b/>
                <w:sz w:val="20"/>
              </w:rPr>
              <w:t>Ofatumumab</w:t>
            </w:r>
          </w:p>
        </w:tc>
        <w:tc>
          <w:tcPr>
            <w:tcW w:w="930" w:type="pct"/>
          </w:tcPr>
          <w:p w:rsidR="00F61688" w:rsidRPr="004E2ADC" w:rsidRDefault="00F61688" w:rsidP="00E73A7B">
            <w:pPr>
              <w:jc w:val="center"/>
              <w:rPr>
                <w:rFonts w:ascii="Arial Narrow" w:hAnsi="Arial Narrow"/>
                <w:b/>
                <w:sz w:val="20"/>
              </w:rPr>
            </w:pPr>
            <w:r w:rsidRPr="004E2ADC">
              <w:rPr>
                <w:rFonts w:ascii="Arial Narrow" w:hAnsi="Arial Narrow"/>
                <w:b/>
                <w:sz w:val="20"/>
              </w:rPr>
              <w:t>Increment</w:t>
            </w:r>
          </w:p>
        </w:tc>
      </w:tr>
      <w:tr w:rsidR="00F61688" w:rsidRPr="004E2ADC" w:rsidTr="00E73A7B">
        <w:tc>
          <w:tcPr>
            <w:tcW w:w="2208" w:type="pct"/>
          </w:tcPr>
          <w:p w:rsidR="00F61688" w:rsidRPr="004E2ADC" w:rsidRDefault="00F61688" w:rsidP="00E73A7B">
            <w:pPr>
              <w:rPr>
                <w:rFonts w:ascii="Arial Narrow" w:hAnsi="Arial Narrow"/>
                <w:sz w:val="20"/>
              </w:rPr>
            </w:pPr>
            <w:r>
              <w:rPr>
                <w:rFonts w:ascii="Arial Narrow" w:hAnsi="Arial Narrow"/>
                <w:sz w:val="20"/>
              </w:rPr>
              <w:t>Costs</w:t>
            </w:r>
          </w:p>
        </w:tc>
        <w:tc>
          <w:tcPr>
            <w:tcW w:w="931" w:type="pct"/>
            <w:vAlign w:val="center"/>
          </w:tcPr>
          <w:p w:rsidR="00F61688" w:rsidRPr="00057425" w:rsidRDefault="00F61688" w:rsidP="00E73A7B">
            <w:pPr>
              <w:jc w:val="center"/>
              <w:rPr>
                <w:rFonts w:ascii="Arial Narrow" w:hAnsi="Arial Narrow"/>
                <w:sz w:val="20"/>
              </w:rPr>
            </w:pPr>
            <w:r w:rsidRPr="003A0C47">
              <w:rPr>
                <w:rFonts w:ascii="Arial Narrow" w:hAnsi="Arial Narrow"/>
                <w:sz w:val="20"/>
              </w:rPr>
              <w:t>$</w:t>
            </w:r>
            <w:r w:rsidR="00204548">
              <w:rPr>
                <w:rFonts w:ascii="Arial Narrow" w:hAnsi="Arial Narrow"/>
                <w:noProof/>
                <w:color w:val="000000"/>
                <w:sz w:val="20"/>
                <w:highlight w:val="black"/>
              </w:rPr>
              <w:t>'''''''''''''''''''</w:t>
            </w:r>
          </w:p>
        </w:tc>
        <w:tc>
          <w:tcPr>
            <w:tcW w:w="931" w:type="pct"/>
            <w:vAlign w:val="center"/>
          </w:tcPr>
          <w:p w:rsidR="00F61688" w:rsidRPr="00057425" w:rsidRDefault="00F61688" w:rsidP="00E73A7B">
            <w:pPr>
              <w:jc w:val="center"/>
              <w:rPr>
                <w:rFonts w:ascii="Arial Narrow" w:hAnsi="Arial Narrow"/>
                <w:sz w:val="20"/>
              </w:rPr>
            </w:pPr>
            <w:r w:rsidRPr="003A0C47">
              <w:rPr>
                <w:rFonts w:ascii="Arial Narrow" w:hAnsi="Arial Narrow"/>
                <w:sz w:val="20"/>
              </w:rPr>
              <w:t>$</w:t>
            </w:r>
            <w:r w:rsidR="00204548">
              <w:rPr>
                <w:rFonts w:ascii="Arial Narrow" w:hAnsi="Arial Narrow"/>
                <w:noProof/>
                <w:color w:val="000000"/>
                <w:sz w:val="20"/>
                <w:highlight w:val="black"/>
              </w:rPr>
              <w:t>''''''''''''''''</w:t>
            </w:r>
          </w:p>
        </w:tc>
        <w:tc>
          <w:tcPr>
            <w:tcW w:w="930" w:type="pct"/>
            <w:vAlign w:val="center"/>
          </w:tcPr>
          <w:p w:rsidR="00F61688" w:rsidRPr="00057425" w:rsidRDefault="00F61688" w:rsidP="00E73A7B">
            <w:pPr>
              <w:jc w:val="center"/>
              <w:rPr>
                <w:rFonts w:ascii="Arial Narrow" w:hAnsi="Arial Narrow"/>
                <w:sz w:val="20"/>
              </w:rPr>
            </w:pPr>
            <w:r w:rsidRPr="003A0C47">
              <w:rPr>
                <w:rFonts w:ascii="Arial Narrow" w:hAnsi="Arial Narrow"/>
                <w:sz w:val="20"/>
              </w:rPr>
              <w:t>$</w:t>
            </w:r>
            <w:r w:rsidR="00204548">
              <w:rPr>
                <w:rFonts w:ascii="Arial Narrow" w:hAnsi="Arial Narrow"/>
                <w:noProof/>
                <w:color w:val="000000"/>
                <w:sz w:val="20"/>
                <w:highlight w:val="black"/>
              </w:rPr>
              <w:t>'''''''''''''''''''''</w:t>
            </w:r>
          </w:p>
        </w:tc>
      </w:tr>
      <w:tr w:rsidR="00F61688" w:rsidRPr="004E2ADC" w:rsidTr="00E73A7B">
        <w:tc>
          <w:tcPr>
            <w:tcW w:w="2208" w:type="pct"/>
            <w:tcBorders>
              <w:bottom w:val="single" w:sz="4" w:space="0" w:color="auto"/>
            </w:tcBorders>
          </w:tcPr>
          <w:p w:rsidR="00F61688" w:rsidRPr="004E2ADC" w:rsidRDefault="00F61688" w:rsidP="00E73A7B">
            <w:pPr>
              <w:rPr>
                <w:rFonts w:ascii="Arial Narrow" w:hAnsi="Arial Narrow"/>
                <w:sz w:val="20"/>
              </w:rPr>
            </w:pPr>
            <w:r>
              <w:rPr>
                <w:rFonts w:ascii="Arial Narrow" w:hAnsi="Arial Narrow"/>
                <w:sz w:val="20"/>
              </w:rPr>
              <w:t>LYs</w:t>
            </w:r>
          </w:p>
        </w:tc>
        <w:tc>
          <w:tcPr>
            <w:tcW w:w="931" w:type="pct"/>
            <w:tcBorders>
              <w:bottom w:val="single" w:sz="4" w:space="0" w:color="auto"/>
            </w:tcBorders>
            <w:vAlign w:val="center"/>
          </w:tcPr>
          <w:p w:rsidR="00F61688" w:rsidRPr="00204548" w:rsidRDefault="00204548" w:rsidP="00E73A7B">
            <w:pPr>
              <w:jc w:val="center"/>
              <w:rPr>
                <w:rFonts w:ascii="Arial Narrow" w:hAnsi="Arial Narrow"/>
                <w:sz w:val="20"/>
                <w:highlight w:val="black"/>
              </w:rPr>
            </w:pPr>
            <w:r>
              <w:rPr>
                <w:rFonts w:ascii="Arial Narrow" w:hAnsi="Arial Narrow"/>
                <w:noProof/>
                <w:color w:val="000000"/>
                <w:sz w:val="20"/>
                <w:highlight w:val="black"/>
              </w:rPr>
              <w:t>''''''''''''</w:t>
            </w:r>
          </w:p>
        </w:tc>
        <w:tc>
          <w:tcPr>
            <w:tcW w:w="931" w:type="pct"/>
            <w:tcBorders>
              <w:bottom w:val="single" w:sz="4" w:space="0" w:color="auto"/>
            </w:tcBorders>
            <w:vAlign w:val="center"/>
          </w:tcPr>
          <w:p w:rsidR="00F61688" w:rsidRPr="00057425" w:rsidRDefault="00F61688" w:rsidP="00E73A7B">
            <w:pPr>
              <w:jc w:val="center"/>
              <w:rPr>
                <w:rFonts w:ascii="Arial Narrow" w:hAnsi="Arial Narrow"/>
                <w:sz w:val="20"/>
              </w:rPr>
            </w:pPr>
            <w:r w:rsidRPr="003A0C47">
              <w:rPr>
                <w:rFonts w:ascii="Arial Narrow" w:hAnsi="Arial Narrow"/>
                <w:sz w:val="20"/>
              </w:rPr>
              <w:t>1.008</w:t>
            </w:r>
          </w:p>
        </w:tc>
        <w:tc>
          <w:tcPr>
            <w:tcW w:w="930" w:type="pct"/>
            <w:tcBorders>
              <w:bottom w:val="single" w:sz="4" w:space="0" w:color="auto"/>
            </w:tcBorders>
            <w:vAlign w:val="center"/>
          </w:tcPr>
          <w:p w:rsidR="00F61688" w:rsidRPr="00204548" w:rsidRDefault="00204548" w:rsidP="00E73A7B">
            <w:pPr>
              <w:jc w:val="center"/>
              <w:rPr>
                <w:rFonts w:ascii="Arial Narrow" w:hAnsi="Arial Narrow"/>
                <w:sz w:val="20"/>
                <w:highlight w:val="black"/>
              </w:rPr>
            </w:pPr>
            <w:r>
              <w:rPr>
                <w:rFonts w:ascii="Arial Narrow" w:hAnsi="Arial Narrow"/>
                <w:noProof/>
                <w:color w:val="000000"/>
                <w:sz w:val="20"/>
                <w:highlight w:val="black"/>
              </w:rPr>
              <w:t>''''''''''''''</w:t>
            </w:r>
          </w:p>
        </w:tc>
      </w:tr>
      <w:tr w:rsidR="00F61688" w:rsidRPr="004E2ADC" w:rsidTr="00E73A7B">
        <w:tc>
          <w:tcPr>
            <w:tcW w:w="2208" w:type="pct"/>
            <w:tcBorders>
              <w:bottom w:val="single" w:sz="4" w:space="0" w:color="auto"/>
            </w:tcBorders>
          </w:tcPr>
          <w:p w:rsidR="00F61688" w:rsidRDefault="00F61688" w:rsidP="00E73A7B">
            <w:pPr>
              <w:rPr>
                <w:rFonts w:ascii="Arial Narrow" w:hAnsi="Arial Narrow"/>
                <w:sz w:val="20"/>
              </w:rPr>
            </w:pPr>
            <w:r>
              <w:rPr>
                <w:rFonts w:ascii="Arial Narrow" w:hAnsi="Arial Narrow"/>
                <w:sz w:val="20"/>
              </w:rPr>
              <w:t>QALYs</w:t>
            </w:r>
          </w:p>
        </w:tc>
        <w:tc>
          <w:tcPr>
            <w:tcW w:w="931" w:type="pct"/>
            <w:tcBorders>
              <w:bottom w:val="single" w:sz="4" w:space="0" w:color="auto"/>
            </w:tcBorders>
            <w:vAlign w:val="center"/>
          </w:tcPr>
          <w:p w:rsidR="00F61688" w:rsidRPr="00204548" w:rsidRDefault="00204548" w:rsidP="00E73A7B">
            <w:pPr>
              <w:jc w:val="center"/>
              <w:rPr>
                <w:rFonts w:ascii="Arial Narrow" w:hAnsi="Arial Narrow"/>
                <w:sz w:val="20"/>
                <w:highlight w:val="black"/>
              </w:rPr>
            </w:pPr>
            <w:r>
              <w:rPr>
                <w:rFonts w:ascii="Arial Narrow" w:hAnsi="Arial Narrow"/>
                <w:noProof/>
                <w:color w:val="000000"/>
                <w:sz w:val="20"/>
                <w:highlight w:val="black"/>
              </w:rPr>
              <w:t>''''''''''''''</w:t>
            </w:r>
          </w:p>
        </w:tc>
        <w:tc>
          <w:tcPr>
            <w:tcW w:w="931" w:type="pct"/>
            <w:tcBorders>
              <w:bottom w:val="single" w:sz="4" w:space="0" w:color="auto"/>
            </w:tcBorders>
            <w:vAlign w:val="center"/>
          </w:tcPr>
          <w:p w:rsidR="00F61688" w:rsidRPr="00057425" w:rsidRDefault="00F61688" w:rsidP="00E73A7B">
            <w:pPr>
              <w:jc w:val="center"/>
              <w:rPr>
                <w:rFonts w:ascii="Arial Narrow" w:hAnsi="Arial Narrow"/>
                <w:sz w:val="20"/>
              </w:rPr>
            </w:pPr>
            <w:r w:rsidRPr="003A0C47">
              <w:rPr>
                <w:rFonts w:ascii="Arial Narrow" w:hAnsi="Arial Narrow"/>
                <w:sz w:val="20"/>
              </w:rPr>
              <w:t>0.793</w:t>
            </w:r>
          </w:p>
        </w:tc>
        <w:tc>
          <w:tcPr>
            <w:tcW w:w="930" w:type="pct"/>
            <w:tcBorders>
              <w:bottom w:val="single" w:sz="4" w:space="0" w:color="auto"/>
            </w:tcBorders>
            <w:vAlign w:val="center"/>
          </w:tcPr>
          <w:p w:rsidR="00F61688" w:rsidRPr="00204548" w:rsidRDefault="00204548" w:rsidP="00E73A7B">
            <w:pPr>
              <w:jc w:val="center"/>
              <w:rPr>
                <w:rFonts w:ascii="Arial Narrow" w:hAnsi="Arial Narrow"/>
                <w:sz w:val="20"/>
                <w:highlight w:val="black"/>
              </w:rPr>
            </w:pPr>
            <w:r>
              <w:rPr>
                <w:rFonts w:ascii="Arial Narrow" w:hAnsi="Arial Narrow"/>
                <w:noProof/>
                <w:color w:val="000000"/>
                <w:sz w:val="20"/>
                <w:highlight w:val="black"/>
              </w:rPr>
              <w:t>''''''''''''</w:t>
            </w:r>
          </w:p>
        </w:tc>
      </w:tr>
      <w:tr w:rsidR="00F61688" w:rsidRPr="004E2ADC" w:rsidTr="00E73A7B">
        <w:tc>
          <w:tcPr>
            <w:tcW w:w="4070" w:type="pct"/>
            <w:gridSpan w:val="3"/>
            <w:tcBorders>
              <w:bottom w:val="single" w:sz="4" w:space="0" w:color="auto"/>
            </w:tcBorders>
          </w:tcPr>
          <w:p w:rsidR="00F61688" w:rsidRPr="004E2ADC" w:rsidRDefault="00F61688" w:rsidP="00E73A7B">
            <w:pPr>
              <w:rPr>
                <w:rFonts w:ascii="Arial Narrow" w:hAnsi="Arial Narrow"/>
                <w:b/>
                <w:sz w:val="20"/>
              </w:rPr>
            </w:pPr>
            <w:r>
              <w:rPr>
                <w:rFonts w:ascii="Arial Narrow" w:hAnsi="Arial Narrow"/>
                <w:b/>
                <w:sz w:val="20"/>
              </w:rPr>
              <w:t>Incremental cost per LY gained</w:t>
            </w:r>
          </w:p>
        </w:tc>
        <w:tc>
          <w:tcPr>
            <w:tcW w:w="930" w:type="pct"/>
            <w:tcBorders>
              <w:bottom w:val="single" w:sz="4" w:space="0" w:color="auto"/>
            </w:tcBorders>
          </w:tcPr>
          <w:p w:rsidR="00F61688" w:rsidRPr="00057425" w:rsidRDefault="00F61688" w:rsidP="00E73A7B">
            <w:pPr>
              <w:jc w:val="center"/>
              <w:rPr>
                <w:rFonts w:ascii="Arial Narrow" w:hAnsi="Arial Narrow"/>
                <w:b/>
                <w:sz w:val="20"/>
              </w:rPr>
            </w:pPr>
            <w:r w:rsidRPr="003A0C47">
              <w:rPr>
                <w:rFonts w:ascii="Arial Narrow" w:hAnsi="Arial Narrow"/>
                <w:b/>
                <w:sz w:val="20"/>
              </w:rPr>
              <w:t>$</w:t>
            </w:r>
            <w:r w:rsidR="00204548">
              <w:rPr>
                <w:rFonts w:ascii="Arial Narrow" w:hAnsi="Arial Narrow"/>
                <w:b/>
                <w:noProof/>
                <w:color w:val="000000"/>
                <w:sz w:val="20"/>
                <w:highlight w:val="black"/>
              </w:rPr>
              <w:t>''''''''''''''</w:t>
            </w:r>
          </w:p>
        </w:tc>
      </w:tr>
      <w:tr w:rsidR="00F61688" w:rsidRPr="004E2ADC" w:rsidTr="00E73A7B">
        <w:tc>
          <w:tcPr>
            <w:tcW w:w="4070" w:type="pct"/>
            <w:gridSpan w:val="3"/>
            <w:tcBorders>
              <w:bottom w:val="single" w:sz="4" w:space="0" w:color="auto"/>
            </w:tcBorders>
          </w:tcPr>
          <w:p w:rsidR="00F61688" w:rsidRDefault="00F61688" w:rsidP="00E73A7B">
            <w:pPr>
              <w:rPr>
                <w:rFonts w:ascii="Arial Narrow" w:hAnsi="Arial Narrow"/>
                <w:b/>
                <w:sz w:val="20"/>
              </w:rPr>
            </w:pPr>
            <w:r>
              <w:rPr>
                <w:rFonts w:ascii="Arial Narrow" w:hAnsi="Arial Narrow"/>
                <w:b/>
                <w:sz w:val="20"/>
              </w:rPr>
              <w:t>Incremental cost per QALY gained</w:t>
            </w:r>
          </w:p>
        </w:tc>
        <w:tc>
          <w:tcPr>
            <w:tcW w:w="930" w:type="pct"/>
            <w:tcBorders>
              <w:bottom w:val="single" w:sz="4" w:space="0" w:color="auto"/>
            </w:tcBorders>
          </w:tcPr>
          <w:p w:rsidR="00F61688" w:rsidRPr="00057425" w:rsidRDefault="00F61688" w:rsidP="00E73A7B">
            <w:pPr>
              <w:jc w:val="center"/>
              <w:rPr>
                <w:rFonts w:ascii="Arial Narrow" w:hAnsi="Arial Narrow"/>
                <w:b/>
                <w:sz w:val="20"/>
              </w:rPr>
            </w:pPr>
            <w:r w:rsidRPr="003A0C47">
              <w:rPr>
                <w:rFonts w:ascii="Arial Narrow" w:hAnsi="Arial Narrow"/>
                <w:b/>
                <w:sz w:val="20"/>
              </w:rPr>
              <w:t>$</w:t>
            </w:r>
            <w:r w:rsidR="00204548">
              <w:rPr>
                <w:rFonts w:ascii="Arial Narrow" w:hAnsi="Arial Narrow"/>
                <w:b/>
                <w:noProof/>
                <w:color w:val="000000"/>
                <w:sz w:val="20"/>
                <w:highlight w:val="black"/>
              </w:rPr>
              <w:t>''''''''''''</w:t>
            </w:r>
          </w:p>
        </w:tc>
      </w:tr>
    </w:tbl>
    <w:p w:rsidR="00F61688" w:rsidRDefault="00F61688" w:rsidP="00F61688">
      <w:pPr>
        <w:pStyle w:val="TableFooter"/>
        <w:ind w:firstLine="720"/>
      </w:pPr>
      <w:r>
        <w:t>Abbreviations: LY, life year; QALY, quality-adjusted life year</w:t>
      </w:r>
    </w:p>
    <w:p w:rsidR="00F61688" w:rsidRDefault="00F61688" w:rsidP="00F61688">
      <w:pPr>
        <w:pStyle w:val="TableFooter"/>
        <w:ind w:firstLine="720"/>
      </w:pPr>
      <w:r>
        <w:t>Source: Table D-15 (</w:t>
      </w:r>
      <w:r w:rsidRPr="00057425">
        <w:t>p</w:t>
      </w:r>
      <w:r>
        <w:t xml:space="preserve"> </w:t>
      </w:r>
      <w:r w:rsidRPr="00057425">
        <w:t>220</w:t>
      </w:r>
      <w:r>
        <w:t>)</w:t>
      </w:r>
      <w:r w:rsidRPr="00057425">
        <w:t xml:space="preserve"> of the submission</w:t>
      </w:r>
    </w:p>
    <w:p w:rsidR="00F61688" w:rsidRDefault="00F61688" w:rsidP="00F61688">
      <w:pPr>
        <w:widowControl/>
        <w:rPr>
          <w:szCs w:val="22"/>
        </w:rPr>
      </w:pPr>
    </w:p>
    <w:p w:rsidR="00F61688" w:rsidRPr="00DD1DEA" w:rsidRDefault="00F61688" w:rsidP="001152B6">
      <w:pPr>
        <w:pStyle w:val="ListParagraph"/>
        <w:widowControl/>
        <w:numPr>
          <w:ilvl w:val="1"/>
          <w:numId w:val="3"/>
        </w:numPr>
        <w:rPr>
          <w:szCs w:val="22"/>
        </w:rPr>
      </w:pPr>
      <w:r w:rsidRPr="00DD1DEA">
        <w:rPr>
          <w:szCs w:val="22"/>
        </w:rPr>
        <w:t xml:space="preserve">Based on the economic model, treatment with venetoclax was associated with a cost per QALY gained of </w:t>
      </w:r>
      <w:r w:rsidR="00892A32">
        <w:rPr>
          <w:szCs w:val="22"/>
        </w:rPr>
        <w:t>$45,000 – $75,000</w:t>
      </w:r>
      <w:r w:rsidRPr="00DD1DEA">
        <w:rPr>
          <w:szCs w:val="22"/>
        </w:rPr>
        <w:t xml:space="preserve"> compared to ofatumumab monotherapy in patients with 17p deletion/TP53 mutation. This estimate should not be considered reliable due to uncertainty regarding modelled survival data (particularly treatment efficacy estimates).</w:t>
      </w:r>
    </w:p>
    <w:p w:rsidR="00F61688" w:rsidRPr="00DD1DEA" w:rsidRDefault="00F61688" w:rsidP="001152B6">
      <w:pPr>
        <w:widowControl/>
        <w:rPr>
          <w:szCs w:val="22"/>
        </w:rPr>
      </w:pPr>
    </w:p>
    <w:p w:rsidR="00F61688" w:rsidRPr="00DD1DEA" w:rsidRDefault="00F61688" w:rsidP="001152B6">
      <w:pPr>
        <w:pStyle w:val="ListParagraph"/>
        <w:widowControl/>
        <w:numPr>
          <w:ilvl w:val="1"/>
          <w:numId w:val="3"/>
        </w:numPr>
        <w:rPr>
          <w:szCs w:val="22"/>
        </w:rPr>
      </w:pPr>
      <w:r w:rsidRPr="00DD1DEA">
        <w:rPr>
          <w:szCs w:val="22"/>
        </w:rPr>
        <w:t>Sensitivity analyses indicated that the model was most sensitive to assumptions regarding post-progression treatment effects.</w:t>
      </w:r>
    </w:p>
    <w:p w:rsidR="00F61688" w:rsidRPr="00DD1DEA" w:rsidRDefault="00F61688" w:rsidP="00F61688">
      <w:pPr>
        <w:widowControl/>
        <w:rPr>
          <w:szCs w:val="22"/>
        </w:rPr>
      </w:pPr>
    </w:p>
    <w:p w:rsidR="00F61688" w:rsidRPr="00DD1DEA" w:rsidRDefault="00F61688" w:rsidP="001011FE">
      <w:pPr>
        <w:pStyle w:val="ListParagraph"/>
        <w:widowControl/>
        <w:numPr>
          <w:ilvl w:val="1"/>
          <w:numId w:val="3"/>
        </w:numPr>
        <w:rPr>
          <w:szCs w:val="22"/>
        </w:rPr>
      </w:pPr>
      <w:r w:rsidRPr="00DD1DEA">
        <w:t>The results of the economic analysis comparing venetoclax to rituximab monotherapy in patients with highly refractory disease is summarised in Table 10.</w:t>
      </w:r>
    </w:p>
    <w:p w:rsidR="00F61688" w:rsidRDefault="00F61688" w:rsidP="00F61688">
      <w:pPr>
        <w:widowControl/>
        <w:rPr>
          <w:szCs w:val="22"/>
        </w:rPr>
      </w:pPr>
    </w:p>
    <w:p w:rsidR="00F61688" w:rsidRDefault="00F61688" w:rsidP="00F61688">
      <w:pPr>
        <w:ind w:firstLine="720"/>
        <w:rPr>
          <w:rStyle w:val="CommentReference"/>
        </w:rPr>
      </w:pPr>
      <w:r>
        <w:rPr>
          <w:rStyle w:val="CommentReference"/>
        </w:rPr>
        <w:t>Table 10: Modelled economic analyses (venetoclax vs rituximab monotherapy)</w:t>
      </w:r>
    </w:p>
    <w:tbl>
      <w:tblPr>
        <w:tblW w:w="4595"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686"/>
        <w:gridCol w:w="1554"/>
        <w:gridCol w:w="1554"/>
        <w:gridCol w:w="1552"/>
      </w:tblGrid>
      <w:tr w:rsidR="00F61688" w:rsidRPr="004E2ADC" w:rsidTr="00E73A7B">
        <w:tc>
          <w:tcPr>
            <w:tcW w:w="2208" w:type="pct"/>
          </w:tcPr>
          <w:p w:rsidR="00F61688" w:rsidRPr="004E2ADC" w:rsidRDefault="00F61688" w:rsidP="00E73A7B">
            <w:pPr>
              <w:rPr>
                <w:rFonts w:ascii="Arial Narrow" w:hAnsi="Arial Narrow"/>
                <w:b/>
                <w:sz w:val="20"/>
              </w:rPr>
            </w:pPr>
          </w:p>
        </w:tc>
        <w:tc>
          <w:tcPr>
            <w:tcW w:w="931" w:type="pct"/>
          </w:tcPr>
          <w:p w:rsidR="00F61688" w:rsidRPr="004E2ADC" w:rsidRDefault="00F61688" w:rsidP="00E73A7B">
            <w:pPr>
              <w:jc w:val="center"/>
              <w:rPr>
                <w:rFonts w:ascii="Arial Narrow" w:hAnsi="Arial Narrow"/>
                <w:b/>
                <w:sz w:val="20"/>
              </w:rPr>
            </w:pPr>
            <w:r>
              <w:rPr>
                <w:rFonts w:ascii="Arial Narrow" w:hAnsi="Arial Narrow"/>
                <w:b/>
                <w:sz w:val="20"/>
              </w:rPr>
              <w:t>Venetoclax</w:t>
            </w:r>
          </w:p>
        </w:tc>
        <w:tc>
          <w:tcPr>
            <w:tcW w:w="931" w:type="pct"/>
          </w:tcPr>
          <w:p w:rsidR="00F61688" w:rsidRPr="004E2ADC" w:rsidRDefault="00F61688" w:rsidP="00E73A7B">
            <w:pPr>
              <w:jc w:val="center"/>
              <w:rPr>
                <w:rFonts w:ascii="Arial Narrow" w:hAnsi="Arial Narrow"/>
                <w:b/>
                <w:sz w:val="20"/>
              </w:rPr>
            </w:pPr>
            <w:r>
              <w:rPr>
                <w:rFonts w:ascii="Arial Narrow" w:hAnsi="Arial Narrow"/>
                <w:b/>
                <w:sz w:val="20"/>
              </w:rPr>
              <w:t>Rituximab</w:t>
            </w:r>
          </w:p>
        </w:tc>
        <w:tc>
          <w:tcPr>
            <w:tcW w:w="930" w:type="pct"/>
          </w:tcPr>
          <w:p w:rsidR="00F61688" w:rsidRPr="004E2ADC" w:rsidRDefault="00F61688" w:rsidP="00E73A7B">
            <w:pPr>
              <w:jc w:val="center"/>
              <w:rPr>
                <w:rFonts w:ascii="Arial Narrow" w:hAnsi="Arial Narrow"/>
                <w:b/>
                <w:sz w:val="20"/>
              </w:rPr>
            </w:pPr>
            <w:r w:rsidRPr="004E2ADC">
              <w:rPr>
                <w:rFonts w:ascii="Arial Narrow" w:hAnsi="Arial Narrow"/>
                <w:b/>
                <w:sz w:val="20"/>
              </w:rPr>
              <w:t>Increment</w:t>
            </w:r>
          </w:p>
        </w:tc>
      </w:tr>
      <w:tr w:rsidR="00F61688" w:rsidRPr="004E2ADC" w:rsidTr="00E73A7B">
        <w:tc>
          <w:tcPr>
            <w:tcW w:w="2208" w:type="pct"/>
          </w:tcPr>
          <w:p w:rsidR="00F61688" w:rsidRPr="004E2ADC" w:rsidRDefault="00F61688" w:rsidP="00E73A7B">
            <w:pPr>
              <w:rPr>
                <w:rFonts w:ascii="Arial Narrow" w:hAnsi="Arial Narrow"/>
                <w:sz w:val="20"/>
              </w:rPr>
            </w:pPr>
            <w:r>
              <w:rPr>
                <w:rFonts w:ascii="Arial Narrow" w:hAnsi="Arial Narrow"/>
                <w:sz w:val="20"/>
              </w:rPr>
              <w:t>Costs</w:t>
            </w:r>
          </w:p>
        </w:tc>
        <w:tc>
          <w:tcPr>
            <w:tcW w:w="931" w:type="pct"/>
            <w:vAlign w:val="center"/>
          </w:tcPr>
          <w:p w:rsidR="00F61688" w:rsidRPr="00057425" w:rsidRDefault="00F61688" w:rsidP="00E73A7B">
            <w:pPr>
              <w:jc w:val="center"/>
              <w:rPr>
                <w:rFonts w:ascii="Arial Narrow" w:hAnsi="Arial Narrow"/>
                <w:sz w:val="20"/>
              </w:rPr>
            </w:pPr>
            <w:r w:rsidRPr="00A24742">
              <w:rPr>
                <w:rFonts w:ascii="Arial Narrow" w:hAnsi="Arial Narrow"/>
                <w:sz w:val="20"/>
              </w:rPr>
              <w:t>$</w:t>
            </w:r>
            <w:r w:rsidR="00204548">
              <w:rPr>
                <w:rFonts w:ascii="Arial Narrow" w:hAnsi="Arial Narrow"/>
                <w:noProof/>
                <w:color w:val="000000"/>
                <w:sz w:val="20"/>
                <w:highlight w:val="black"/>
              </w:rPr>
              <w:t>'''''''''''''''''''</w:t>
            </w:r>
          </w:p>
        </w:tc>
        <w:tc>
          <w:tcPr>
            <w:tcW w:w="931" w:type="pct"/>
            <w:vAlign w:val="center"/>
          </w:tcPr>
          <w:p w:rsidR="00F61688" w:rsidRPr="00057425" w:rsidRDefault="00F61688" w:rsidP="00E73A7B">
            <w:pPr>
              <w:jc w:val="center"/>
              <w:rPr>
                <w:rFonts w:ascii="Arial Narrow" w:hAnsi="Arial Narrow"/>
                <w:sz w:val="20"/>
              </w:rPr>
            </w:pPr>
            <w:r w:rsidRPr="00A24742">
              <w:rPr>
                <w:rFonts w:ascii="Arial Narrow" w:hAnsi="Arial Narrow"/>
                <w:sz w:val="20"/>
              </w:rPr>
              <w:t>$</w:t>
            </w:r>
            <w:r w:rsidR="00204548">
              <w:rPr>
                <w:rFonts w:ascii="Arial Narrow" w:hAnsi="Arial Narrow"/>
                <w:noProof/>
                <w:color w:val="000000"/>
                <w:sz w:val="20"/>
                <w:highlight w:val="black"/>
              </w:rPr>
              <w:t>''''''''''''''''</w:t>
            </w:r>
          </w:p>
        </w:tc>
        <w:tc>
          <w:tcPr>
            <w:tcW w:w="930" w:type="pct"/>
            <w:vAlign w:val="center"/>
          </w:tcPr>
          <w:p w:rsidR="00F61688" w:rsidRPr="00057425" w:rsidRDefault="00F61688" w:rsidP="00E73A7B">
            <w:pPr>
              <w:jc w:val="center"/>
              <w:rPr>
                <w:rFonts w:ascii="Arial Narrow" w:hAnsi="Arial Narrow"/>
                <w:sz w:val="20"/>
              </w:rPr>
            </w:pPr>
            <w:r w:rsidRPr="00A24742">
              <w:rPr>
                <w:rFonts w:ascii="Arial Narrow" w:hAnsi="Arial Narrow"/>
                <w:sz w:val="20"/>
              </w:rPr>
              <w:t>$</w:t>
            </w:r>
            <w:r w:rsidR="00204548">
              <w:rPr>
                <w:rFonts w:ascii="Arial Narrow" w:hAnsi="Arial Narrow"/>
                <w:noProof/>
                <w:color w:val="000000"/>
                <w:sz w:val="20"/>
                <w:highlight w:val="black"/>
              </w:rPr>
              <w:t>'''''''''''''''''''</w:t>
            </w:r>
          </w:p>
        </w:tc>
      </w:tr>
      <w:tr w:rsidR="00F61688" w:rsidRPr="004E2ADC" w:rsidTr="00E73A7B">
        <w:tc>
          <w:tcPr>
            <w:tcW w:w="2208" w:type="pct"/>
            <w:tcBorders>
              <w:bottom w:val="single" w:sz="4" w:space="0" w:color="auto"/>
            </w:tcBorders>
          </w:tcPr>
          <w:p w:rsidR="00F61688" w:rsidRPr="00065D52" w:rsidRDefault="00F61688" w:rsidP="00E73A7B">
            <w:pPr>
              <w:rPr>
                <w:rFonts w:ascii="Arial Narrow" w:hAnsi="Arial Narrow"/>
                <w:sz w:val="20"/>
              </w:rPr>
            </w:pPr>
            <w:r w:rsidRPr="00065D52">
              <w:rPr>
                <w:rFonts w:ascii="Arial Narrow" w:hAnsi="Arial Narrow"/>
                <w:sz w:val="20"/>
              </w:rPr>
              <w:t>LYs</w:t>
            </w:r>
          </w:p>
        </w:tc>
        <w:tc>
          <w:tcPr>
            <w:tcW w:w="931" w:type="pct"/>
            <w:tcBorders>
              <w:bottom w:val="single" w:sz="4" w:space="0" w:color="auto"/>
            </w:tcBorders>
            <w:vAlign w:val="center"/>
          </w:tcPr>
          <w:p w:rsidR="00F61688" w:rsidRPr="00204548" w:rsidRDefault="00204548" w:rsidP="00E73A7B">
            <w:pPr>
              <w:jc w:val="center"/>
              <w:rPr>
                <w:rFonts w:ascii="Arial Narrow" w:hAnsi="Arial Narrow"/>
                <w:sz w:val="20"/>
                <w:highlight w:val="black"/>
              </w:rPr>
            </w:pPr>
            <w:r>
              <w:rPr>
                <w:rFonts w:ascii="Arial Narrow" w:hAnsi="Arial Narrow"/>
                <w:noProof/>
                <w:color w:val="000000"/>
                <w:sz w:val="20"/>
                <w:highlight w:val="black"/>
              </w:rPr>
              <w:t>'''''''''''''''</w:t>
            </w:r>
          </w:p>
        </w:tc>
        <w:tc>
          <w:tcPr>
            <w:tcW w:w="931" w:type="pct"/>
            <w:tcBorders>
              <w:bottom w:val="single" w:sz="4" w:space="0" w:color="auto"/>
            </w:tcBorders>
            <w:vAlign w:val="center"/>
          </w:tcPr>
          <w:p w:rsidR="00F61688" w:rsidRPr="00065D52" w:rsidRDefault="00F61688" w:rsidP="00E73A7B">
            <w:pPr>
              <w:jc w:val="center"/>
              <w:rPr>
                <w:rFonts w:ascii="Arial Narrow" w:hAnsi="Arial Narrow"/>
                <w:sz w:val="20"/>
              </w:rPr>
            </w:pPr>
            <w:r w:rsidRPr="00065D52">
              <w:rPr>
                <w:rFonts w:ascii="Arial Narrow" w:hAnsi="Arial Narrow"/>
                <w:sz w:val="20"/>
              </w:rPr>
              <w:t>1.231</w:t>
            </w:r>
          </w:p>
        </w:tc>
        <w:tc>
          <w:tcPr>
            <w:tcW w:w="930" w:type="pct"/>
            <w:tcBorders>
              <w:bottom w:val="single" w:sz="4" w:space="0" w:color="auto"/>
            </w:tcBorders>
            <w:vAlign w:val="center"/>
          </w:tcPr>
          <w:p w:rsidR="00F61688" w:rsidRPr="00204548" w:rsidRDefault="00204548" w:rsidP="00E73A7B">
            <w:pPr>
              <w:jc w:val="center"/>
              <w:rPr>
                <w:rFonts w:ascii="Arial Narrow" w:hAnsi="Arial Narrow"/>
                <w:sz w:val="20"/>
                <w:highlight w:val="black"/>
              </w:rPr>
            </w:pPr>
            <w:r>
              <w:rPr>
                <w:rFonts w:ascii="Arial Narrow" w:hAnsi="Arial Narrow"/>
                <w:noProof/>
                <w:color w:val="000000"/>
                <w:sz w:val="20"/>
                <w:highlight w:val="black"/>
              </w:rPr>
              <w:t>'''''''''''''</w:t>
            </w:r>
          </w:p>
        </w:tc>
      </w:tr>
      <w:tr w:rsidR="00F61688" w:rsidRPr="004E2ADC" w:rsidTr="00E73A7B">
        <w:tc>
          <w:tcPr>
            <w:tcW w:w="2208" w:type="pct"/>
            <w:tcBorders>
              <w:bottom w:val="single" w:sz="4" w:space="0" w:color="auto"/>
            </w:tcBorders>
          </w:tcPr>
          <w:p w:rsidR="00F61688" w:rsidRPr="00065D52" w:rsidRDefault="00F61688" w:rsidP="00E73A7B">
            <w:pPr>
              <w:rPr>
                <w:rFonts w:ascii="Arial Narrow" w:hAnsi="Arial Narrow"/>
                <w:sz w:val="20"/>
              </w:rPr>
            </w:pPr>
            <w:r w:rsidRPr="00065D52">
              <w:rPr>
                <w:rFonts w:ascii="Arial Narrow" w:hAnsi="Arial Narrow"/>
                <w:sz w:val="20"/>
              </w:rPr>
              <w:t>QALYs</w:t>
            </w:r>
          </w:p>
        </w:tc>
        <w:tc>
          <w:tcPr>
            <w:tcW w:w="931" w:type="pct"/>
            <w:tcBorders>
              <w:bottom w:val="single" w:sz="4" w:space="0" w:color="auto"/>
            </w:tcBorders>
            <w:vAlign w:val="center"/>
          </w:tcPr>
          <w:p w:rsidR="00F61688" w:rsidRPr="00204548" w:rsidRDefault="00204548" w:rsidP="00E73A7B">
            <w:pPr>
              <w:jc w:val="center"/>
              <w:rPr>
                <w:rFonts w:ascii="Arial Narrow" w:hAnsi="Arial Narrow"/>
                <w:sz w:val="20"/>
                <w:highlight w:val="black"/>
              </w:rPr>
            </w:pPr>
            <w:r>
              <w:rPr>
                <w:rFonts w:ascii="Arial Narrow" w:hAnsi="Arial Narrow"/>
                <w:noProof/>
                <w:color w:val="000000"/>
                <w:sz w:val="20"/>
                <w:highlight w:val="black"/>
              </w:rPr>
              <w:t>'''''''''''''''</w:t>
            </w:r>
          </w:p>
        </w:tc>
        <w:tc>
          <w:tcPr>
            <w:tcW w:w="931" w:type="pct"/>
            <w:tcBorders>
              <w:bottom w:val="single" w:sz="4" w:space="0" w:color="auto"/>
            </w:tcBorders>
            <w:vAlign w:val="center"/>
          </w:tcPr>
          <w:p w:rsidR="00F61688" w:rsidRPr="00065D52" w:rsidRDefault="00F61688" w:rsidP="00E73A7B">
            <w:pPr>
              <w:jc w:val="center"/>
              <w:rPr>
                <w:rFonts w:ascii="Arial Narrow" w:hAnsi="Arial Narrow"/>
                <w:sz w:val="20"/>
              </w:rPr>
            </w:pPr>
            <w:r w:rsidRPr="00065D52">
              <w:rPr>
                <w:rFonts w:ascii="Arial Narrow" w:hAnsi="Arial Narrow"/>
                <w:sz w:val="20"/>
              </w:rPr>
              <w:t>0.919</w:t>
            </w:r>
          </w:p>
        </w:tc>
        <w:tc>
          <w:tcPr>
            <w:tcW w:w="930" w:type="pct"/>
            <w:tcBorders>
              <w:bottom w:val="single" w:sz="4" w:space="0" w:color="auto"/>
            </w:tcBorders>
            <w:vAlign w:val="center"/>
          </w:tcPr>
          <w:p w:rsidR="00F61688" w:rsidRPr="00204548" w:rsidRDefault="00204548" w:rsidP="00E73A7B">
            <w:pPr>
              <w:jc w:val="center"/>
              <w:rPr>
                <w:rFonts w:ascii="Arial Narrow" w:hAnsi="Arial Narrow"/>
                <w:sz w:val="20"/>
                <w:highlight w:val="black"/>
              </w:rPr>
            </w:pPr>
            <w:r>
              <w:rPr>
                <w:rFonts w:ascii="Arial Narrow" w:hAnsi="Arial Narrow"/>
                <w:noProof/>
                <w:color w:val="000000"/>
                <w:sz w:val="20"/>
                <w:highlight w:val="black"/>
              </w:rPr>
              <w:t>'''''''''''''''</w:t>
            </w:r>
          </w:p>
        </w:tc>
      </w:tr>
      <w:tr w:rsidR="00F61688" w:rsidRPr="004E2ADC" w:rsidTr="00E73A7B">
        <w:tc>
          <w:tcPr>
            <w:tcW w:w="4070" w:type="pct"/>
            <w:gridSpan w:val="3"/>
            <w:tcBorders>
              <w:bottom w:val="single" w:sz="4" w:space="0" w:color="auto"/>
            </w:tcBorders>
          </w:tcPr>
          <w:p w:rsidR="00F61688" w:rsidRPr="004E2ADC" w:rsidRDefault="00F61688" w:rsidP="00E73A7B">
            <w:pPr>
              <w:rPr>
                <w:rFonts w:ascii="Arial Narrow" w:hAnsi="Arial Narrow"/>
                <w:b/>
                <w:sz w:val="20"/>
              </w:rPr>
            </w:pPr>
            <w:r>
              <w:rPr>
                <w:rFonts w:ascii="Arial Narrow" w:hAnsi="Arial Narrow"/>
                <w:b/>
                <w:sz w:val="20"/>
              </w:rPr>
              <w:t>Incremental cost per LY gained</w:t>
            </w:r>
          </w:p>
        </w:tc>
        <w:tc>
          <w:tcPr>
            <w:tcW w:w="930" w:type="pct"/>
            <w:tcBorders>
              <w:bottom w:val="single" w:sz="4" w:space="0" w:color="auto"/>
            </w:tcBorders>
          </w:tcPr>
          <w:p w:rsidR="00F61688" w:rsidRPr="00057425" w:rsidRDefault="00F61688" w:rsidP="00E73A7B">
            <w:pPr>
              <w:jc w:val="center"/>
              <w:rPr>
                <w:rFonts w:ascii="Arial Narrow" w:hAnsi="Arial Narrow"/>
                <w:b/>
                <w:sz w:val="20"/>
              </w:rPr>
            </w:pPr>
            <w:r w:rsidRPr="00CF2C84">
              <w:rPr>
                <w:rFonts w:ascii="Arial Narrow" w:hAnsi="Arial Narrow"/>
                <w:b/>
                <w:sz w:val="20"/>
              </w:rPr>
              <w:t>$</w:t>
            </w:r>
            <w:r w:rsidR="00204548">
              <w:rPr>
                <w:rFonts w:ascii="Arial Narrow" w:hAnsi="Arial Narrow"/>
                <w:b/>
                <w:noProof/>
                <w:color w:val="000000"/>
                <w:sz w:val="20"/>
                <w:highlight w:val="black"/>
              </w:rPr>
              <w:t>'''''''''''''</w:t>
            </w:r>
          </w:p>
        </w:tc>
      </w:tr>
      <w:tr w:rsidR="00F61688" w:rsidRPr="004E2ADC" w:rsidTr="00E73A7B">
        <w:tc>
          <w:tcPr>
            <w:tcW w:w="4070" w:type="pct"/>
            <w:gridSpan w:val="3"/>
            <w:tcBorders>
              <w:bottom w:val="single" w:sz="4" w:space="0" w:color="auto"/>
            </w:tcBorders>
          </w:tcPr>
          <w:p w:rsidR="00F61688" w:rsidRDefault="00F61688" w:rsidP="00E73A7B">
            <w:pPr>
              <w:rPr>
                <w:rFonts w:ascii="Arial Narrow" w:hAnsi="Arial Narrow"/>
                <w:b/>
                <w:sz w:val="20"/>
              </w:rPr>
            </w:pPr>
            <w:r>
              <w:rPr>
                <w:rFonts w:ascii="Arial Narrow" w:hAnsi="Arial Narrow"/>
                <w:b/>
                <w:sz w:val="20"/>
              </w:rPr>
              <w:t>Incremental cost per QALY gained</w:t>
            </w:r>
          </w:p>
        </w:tc>
        <w:tc>
          <w:tcPr>
            <w:tcW w:w="930" w:type="pct"/>
            <w:tcBorders>
              <w:bottom w:val="single" w:sz="4" w:space="0" w:color="auto"/>
            </w:tcBorders>
          </w:tcPr>
          <w:p w:rsidR="00F61688" w:rsidRPr="00057425" w:rsidRDefault="00F61688" w:rsidP="00E73A7B">
            <w:pPr>
              <w:jc w:val="center"/>
              <w:rPr>
                <w:rFonts w:ascii="Arial Narrow" w:hAnsi="Arial Narrow"/>
                <w:b/>
                <w:sz w:val="20"/>
              </w:rPr>
            </w:pPr>
            <w:r w:rsidRPr="00CF2C84">
              <w:rPr>
                <w:rFonts w:ascii="Arial Narrow" w:hAnsi="Arial Narrow"/>
                <w:b/>
                <w:sz w:val="20"/>
              </w:rPr>
              <w:t>$</w:t>
            </w:r>
            <w:r w:rsidR="00204548">
              <w:rPr>
                <w:rFonts w:ascii="Arial Narrow" w:hAnsi="Arial Narrow"/>
                <w:b/>
                <w:noProof/>
                <w:color w:val="000000"/>
                <w:sz w:val="20"/>
                <w:highlight w:val="black"/>
              </w:rPr>
              <w:t>'''''''''''''</w:t>
            </w:r>
          </w:p>
        </w:tc>
      </w:tr>
    </w:tbl>
    <w:p w:rsidR="00F61688" w:rsidRDefault="00F61688" w:rsidP="00F61688">
      <w:pPr>
        <w:pStyle w:val="TableFooter"/>
        <w:ind w:firstLine="720"/>
      </w:pPr>
      <w:r>
        <w:t>Abbreviations: LY, life year; QALY, quality-adjusted life year</w:t>
      </w:r>
    </w:p>
    <w:p w:rsidR="00F61688" w:rsidRDefault="00F61688" w:rsidP="00F61688">
      <w:pPr>
        <w:pStyle w:val="TableFooter"/>
        <w:ind w:firstLine="720"/>
      </w:pPr>
      <w:r>
        <w:t>Source: Table DDD-10 (</w:t>
      </w:r>
      <w:r w:rsidRPr="007D44AD">
        <w:t>p</w:t>
      </w:r>
      <w:r>
        <w:t xml:space="preserve"> </w:t>
      </w:r>
      <w:r w:rsidRPr="007D44AD">
        <w:t>237</w:t>
      </w:r>
      <w:r>
        <w:t>)</w:t>
      </w:r>
      <w:r w:rsidRPr="007D44AD">
        <w:t xml:space="preserve"> of the submission</w:t>
      </w:r>
    </w:p>
    <w:p w:rsidR="00F61688" w:rsidRDefault="00F61688" w:rsidP="00F61688">
      <w:pPr>
        <w:widowControl/>
        <w:rPr>
          <w:szCs w:val="22"/>
        </w:rPr>
      </w:pPr>
    </w:p>
    <w:p w:rsidR="00F61688" w:rsidRPr="00DD1DEA" w:rsidRDefault="00F61688" w:rsidP="007D7640">
      <w:pPr>
        <w:pStyle w:val="ListParagraph"/>
        <w:widowControl/>
        <w:numPr>
          <w:ilvl w:val="1"/>
          <w:numId w:val="3"/>
        </w:numPr>
        <w:rPr>
          <w:szCs w:val="22"/>
        </w:rPr>
      </w:pPr>
      <w:r w:rsidRPr="00DD1DEA">
        <w:rPr>
          <w:szCs w:val="22"/>
        </w:rPr>
        <w:t xml:space="preserve">Based on the economic model, treatment with venetoclax was associated with a cost per QALY gained of </w:t>
      </w:r>
      <w:r w:rsidR="007B3817">
        <w:rPr>
          <w:szCs w:val="22"/>
        </w:rPr>
        <w:t xml:space="preserve">$75,000 – $105,000 </w:t>
      </w:r>
      <w:r w:rsidRPr="00DD1DEA">
        <w:rPr>
          <w:szCs w:val="22"/>
        </w:rPr>
        <w:t>compared to rituximab monotherapy in patients with highly refractory disease. This estimate should not be considered reliable due to uncertainty regarding modelled survival data (particularly treatment efficacy estimates).</w:t>
      </w:r>
    </w:p>
    <w:p w:rsidR="00F61688" w:rsidRPr="00DD1DEA" w:rsidRDefault="00F61688" w:rsidP="009721CB">
      <w:pPr>
        <w:widowControl/>
        <w:rPr>
          <w:szCs w:val="22"/>
        </w:rPr>
      </w:pPr>
    </w:p>
    <w:p w:rsidR="00F61688" w:rsidRPr="00DD1DEA" w:rsidRDefault="00F61688" w:rsidP="009721CB">
      <w:pPr>
        <w:pStyle w:val="ListParagraph"/>
        <w:widowControl/>
        <w:numPr>
          <w:ilvl w:val="1"/>
          <w:numId w:val="3"/>
        </w:numPr>
        <w:rPr>
          <w:szCs w:val="22"/>
        </w:rPr>
      </w:pPr>
      <w:r w:rsidRPr="00DD1DEA">
        <w:rPr>
          <w:szCs w:val="22"/>
        </w:rPr>
        <w:t>Sensitivity analyses indicated that the model was most sensitive to assumptions regarding post-progression treatment effects, extrapolation methods for progression-free survival and time horizon.</w:t>
      </w:r>
    </w:p>
    <w:p w:rsidR="00F61688" w:rsidRPr="00DD1DEA" w:rsidRDefault="00F61688" w:rsidP="00F61688">
      <w:pPr>
        <w:widowControl/>
        <w:rPr>
          <w:szCs w:val="22"/>
        </w:rPr>
      </w:pPr>
    </w:p>
    <w:p w:rsidR="00F61688" w:rsidRPr="002D3497" w:rsidRDefault="00F61688" w:rsidP="001011FE">
      <w:pPr>
        <w:pStyle w:val="ListParagraph"/>
        <w:widowControl/>
        <w:numPr>
          <w:ilvl w:val="1"/>
          <w:numId w:val="3"/>
        </w:numPr>
        <w:rPr>
          <w:szCs w:val="22"/>
        </w:rPr>
      </w:pPr>
      <w:r w:rsidRPr="002D3497">
        <w:t xml:space="preserve">The results of the economic analysis comparing venetoclax to idelalisib with rituximab in patients </w:t>
      </w:r>
      <w:r>
        <w:t xml:space="preserve">with 17p deletion/TP53 mutation </w:t>
      </w:r>
      <w:r w:rsidRPr="002D3497">
        <w:t xml:space="preserve">is summarised in </w:t>
      </w:r>
      <w:r>
        <w:t>T</w:t>
      </w:r>
      <w:r w:rsidRPr="002D3497">
        <w:t xml:space="preserve">able </w:t>
      </w:r>
      <w:r>
        <w:t>11</w:t>
      </w:r>
      <w:r w:rsidRPr="002D3497">
        <w:t>.</w:t>
      </w:r>
    </w:p>
    <w:p w:rsidR="00F61688" w:rsidRDefault="00F61688" w:rsidP="00F61688">
      <w:pPr>
        <w:widowControl/>
        <w:rPr>
          <w:szCs w:val="22"/>
        </w:rPr>
      </w:pPr>
    </w:p>
    <w:p w:rsidR="00F61688" w:rsidRDefault="00F61688" w:rsidP="00F61688">
      <w:pPr>
        <w:ind w:firstLine="720"/>
        <w:rPr>
          <w:rStyle w:val="CommentReference"/>
        </w:rPr>
      </w:pPr>
      <w:r>
        <w:rPr>
          <w:rStyle w:val="CommentReference"/>
        </w:rPr>
        <w:t>Table 11: Modelled economic analyses (venetoclax vs idelalisib with rituximab)</w:t>
      </w:r>
    </w:p>
    <w:tbl>
      <w:tblPr>
        <w:tblW w:w="4595"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686"/>
        <w:gridCol w:w="1275"/>
        <w:gridCol w:w="2128"/>
        <w:gridCol w:w="1257"/>
      </w:tblGrid>
      <w:tr w:rsidR="00F61688" w:rsidRPr="004E2ADC" w:rsidTr="00E3176A">
        <w:tc>
          <w:tcPr>
            <w:tcW w:w="2208" w:type="pct"/>
          </w:tcPr>
          <w:p w:rsidR="00F61688" w:rsidRPr="004E2ADC" w:rsidRDefault="00F61688" w:rsidP="00E73A7B">
            <w:pPr>
              <w:rPr>
                <w:rFonts w:ascii="Arial Narrow" w:hAnsi="Arial Narrow"/>
                <w:b/>
                <w:sz w:val="20"/>
              </w:rPr>
            </w:pPr>
          </w:p>
        </w:tc>
        <w:tc>
          <w:tcPr>
            <w:tcW w:w="764" w:type="pct"/>
            <w:vAlign w:val="center"/>
          </w:tcPr>
          <w:p w:rsidR="00F61688" w:rsidRPr="004E2ADC" w:rsidRDefault="00F61688" w:rsidP="00E73A7B">
            <w:pPr>
              <w:jc w:val="center"/>
              <w:rPr>
                <w:rFonts w:ascii="Arial Narrow" w:hAnsi="Arial Narrow"/>
                <w:b/>
                <w:sz w:val="20"/>
              </w:rPr>
            </w:pPr>
            <w:r>
              <w:rPr>
                <w:rFonts w:ascii="Arial Narrow" w:hAnsi="Arial Narrow"/>
                <w:b/>
                <w:sz w:val="20"/>
              </w:rPr>
              <w:t>Venetoclax</w:t>
            </w:r>
          </w:p>
        </w:tc>
        <w:tc>
          <w:tcPr>
            <w:tcW w:w="1274" w:type="pct"/>
            <w:vAlign w:val="center"/>
          </w:tcPr>
          <w:p w:rsidR="00F61688" w:rsidRPr="004E2ADC" w:rsidRDefault="00F61688" w:rsidP="00E73A7B">
            <w:pPr>
              <w:jc w:val="center"/>
              <w:rPr>
                <w:rFonts w:ascii="Arial Narrow" w:hAnsi="Arial Narrow"/>
                <w:b/>
                <w:sz w:val="20"/>
              </w:rPr>
            </w:pPr>
            <w:r>
              <w:rPr>
                <w:rFonts w:ascii="Arial Narrow" w:hAnsi="Arial Narrow"/>
                <w:b/>
                <w:sz w:val="20"/>
              </w:rPr>
              <w:t>Idelalisib with rituximab</w:t>
            </w:r>
          </w:p>
        </w:tc>
        <w:tc>
          <w:tcPr>
            <w:tcW w:w="753" w:type="pct"/>
            <w:vAlign w:val="center"/>
          </w:tcPr>
          <w:p w:rsidR="00F61688" w:rsidRPr="004E2ADC" w:rsidRDefault="00F61688" w:rsidP="00E73A7B">
            <w:pPr>
              <w:jc w:val="center"/>
              <w:rPr>
                <w:rFonts w:ascii="Arial Narrow" w:hAnsi="Arial Narrow"/>
                <w:b/>
                <w:sz w:val="20"/>
              </w:rPr>
            </w:pPr>
            <w:r w:rsidRPr="004E2ADC">
              <w:rPr>
                <w:rFonts w:ascii="Arial Narrow" w:hAnsi="Arial Narrow"/>
                <w:b/>
                <w:sz w:val="20"/>
              </w:rPr>
              <w:t>Increment</w:t>
            </w:r>
          </w:p>
        </w:tc>
      </w:tr>
      <w:tr w:rsidR="00F61688" w:rsidRPr="004E2ADC" w:rsidTr="00E3176A">
        <w:tc>
          <w:tcPr>
            <w:tcW w:w="2208" w:type="pct"/>
          </w:tcPr>
          <w:p w:rsidR="00F61688" w:rsidRPr="004E2ADC" w:rsidRDefault="00F61688" w:rsidP="00E73A7B">
            <w:pPr>
              <w:rPr>
                <w:rFonts w:ascii="Arial Narrow" w:hAnsi="Arial Narrow"/>
                <w:sz w:val="20"/>
              </w:rPr>
            </w:pPr>
            <w:r>
              <w:rPr>
                <w:rFonts w:ascii="Arial Narrow" w:hAnsi="Arial Narrow"/>
                <w:sz w:val="20"/>
              </w:rPr>
              <w:t>Costs</w:t>
            </w:r>
          </w:p>
        </w:tc>
        <w:tc>
          <w:tcPr>
            <w:tcW w:w="764" w:type="pct"/>
            <w:vAlign w:val="center"/>
          </w:tcPr>
          <w:p w:rsidR="00F61688" w:rsidRPr="00057425" w:rsidRDefault="00F61688" w:rsidP="00E73A7B">
            <w:pPr>
              <w:jc w:val="center"/>
              <w:rPr>
                <w:rFonts w:ascii="Arial Narrow" w:hAnsi="Arial Narrow"/>
                <w:sz w:val="20"/>
              </w:rPr>
            </w:pPr>
            <w:r w:rsidRPr="00D40100">
              <w:rPr>
                <w:rFonts w:ascii="Arial Narrow" w:hAnsi="Arial Narrow"/>
                <w:sz w:val="20"/>
              </w:rPr>
              <w:t>$</w:t>
            </w:r>
            <w:r w:rsidR="00204548">
              <w:rPr>
                <w:rFonts w:ascii="Arial Narrow" w:hAnsi="Arial Narrow"/>
                <w:noProof/>
                <w:color w:val="000000"/>
                <w:sz w:val="20"/>
                <w:highlight w:val="black"/>
              </w:rPr>
              <w:t>'''''''''''''''''''</w:t>
            </w:r>
          </w:p>
        </w:tc>
        <w:tc>
          <w:tcPr>
            <w:tcW w:w="1274" w:type="pct"/>
            <w:vAlign w:val="center"/>
          </w:tcPr>
          <w:p w:rsidR="00F61688" w:rsidRPr="00057425" w:rsidRDefault="00F61688" w:rsidP="00E73A7B">
            <w:pPr>
              <w:jc w:val="center"/>
              <w:rPr>
                <w:rFonts w:ascii="Arial Narrow" w:hAnsi="Arial Narrow"/>
                <w:sz w:val="20"/>
              </w:rPr>
            </w:pPr>
            <w:r w:rsidRPr="00D40100">
              <w:rPr>
                <w:rFonts w:ascii="Arial Narrow" w:hAnsi="Arial Narrow"/>
                <w:sz w:val="20"/>
              </w:rPr>
              <w:t>$</w:t>
            </w:r>
            <w:r w:rsidR="00204548">
              <w:rPr>
                <w:rFonts w:ascii="Arial Narrow" w:hAnsi="Arial Narrow"/>
                <w:noProof/>
                <w:color w:val="000000"/>
                <w:sz w:val="20"/>
                <w:highlight w:val="black"/>
              </w:rPr>
              <w:t>''''''''''''''''''''''</w:t>
            </w:r>
          </w:p>
        </w:tc>
        <w:tc>
          <w:tcPr>
            <w:tcW w:w="753" w:type="pct"/>
            <w:vAlign w:val="center"/>
          </w:tcPr>
          <w:p w:rsidR="00F61688" w:rsidRPr="00057425" w:rsidRDefault="00F61688" w:rsidP="00E73A7B">
            <w:pPr>
              <w:jc w:val="center"/>
              <w:rPr>
                <w:rFonts w:ascii="Arial Narrow" w:hAnsi="Arial Narrow"/>
                <w:sz w:val="20"/>
              </w:rPr>
            </w:pPr>
            <w:r w:rsidRPr="00D40100">
              <w:rPr>
                <w:rFonts w:ascii="Arial Narrow" w:hAnsi="Arial Narrow"/>
                <w:sz w:val="20"/>
              </w:rPr>
              <w:t>$</w:t>
            </w:r>
            <w:r w:rsidR="00204548">
              <w:rPr>
                <w:rFonts w:ascii="Arial Narrow" w:hAnsi="Arial Narrow"/>
                <w:noProof/>
                <w:color w:val="000000"/>
                <w:sz w:val="20"/>
                <w:highlight w:val="black"/>
              </w:rPr>
              <w:t>''''''''''''''''</w:t>
            </w:r>
          </w:p>
        </w:tc>
      </w:tr>
      <w:tr w:rsidR="00F61688" w:rsidRPr="004E2ADC" w:rsidTr="00EF20DA">
        <w:tc>
          <w:tcPr>
            <w:tcW w:w="2208" w:type="pct"/>
            <w:tcBorders>
              <w:bottom w:val="single" w:sz="4" w:space="0" w:color="auto"/>
            </w:tcBorders>
          </w:tcPr>
          <w:p w:rsidR="00F61688" w:rsidRPr="004E2ADC" w:rsidRDefault="00F61688" w:rsidP="00E73A7B">
            <w:pPr>
              <w:rPr>
                <w:rFonts w:ascii="Arial Narrow" w:hAnsi="Arial Narrow"/>
                <w:sz w:val="20"/>
              </w:rPr>
            </w:pPr>
            <w:r>
              <w:rPr>
                <w:rFonts w:ascii="Arial Narrow" w:hAnsi="Arial Narrow"/>
                <w:sz w:val="20"/>
              </w:rPr>
              <w:t>Proportion of patients with complete response</w:t>
            </w:r>
          </w:p>
        </w:tc>
        <w:tc>
          <w:tcPr>
            <w:tcW w:w="764" w:type="pct"/>
            <w:tcBorders>
              <w:bottom w:val="single" w:sz="4" w:space="0" w:color="auto"/>
            </w:tcBorders>
            <w:shd w:val="clear" w:color="auto" w:fill="auto"/>
            <w:vAlign w:val="center"/>
          </w:tcPr>
          <w:p w:rsidR="00F61688" w:rsidRPr="00EF20DA" w:rsidRDefault="00F61688" w:rsidP="00E73A7B">
            <w:pPr>
              <w:jc w:val="center"/>
              <w:rPr>
                <w:rFonts w:ascii="Arial Narrow" w:hAnsi="Arial Narrow"/>
                <w:sz w:val="20"/>
              </w:rPr>
            </w:pPr>
            <w:r w:rsidRPr="00EF20DA">
              <w:rPr>
                <w:rFonts w:ascii="Arial Narrow" w:hAnsi="Arial Narrow"/>
                <w:sz w:val="20"/>
              </w:rPr>
              <w:t>18.4</w:t>
            </w:r>
          </w:p>
        </w:tc>
        <w:tc>
          <w:tcPr>
            <w:tcW w:w="1274" w:type="pct"/>
            <w:tcBorders>
              <w:bottom w:val="single" w:sz="4" w:space="0" w:color="auto"/>
            </w:tcBorders>
            <w:shd w:val="clear" w:color="auto" w:fill="auto"/>
            <w:vAlign w:val="center"/>
          </w:tcPr>
          <w:p w:rsidR="00F61688" w:rsidRPr="00EF20DA" w:rsidRDefault="00F61688" w:rsidP="00E73A7B">
            <w:pPr>
              <w:jc w:val="center"/>
              <w:rPr>
                <w:rFonts w:ascii="Arial Narrow" w:hAnsi="Arial Narrow"/>
                <w:sz w:val="20"/>
              </w:rPr>
            </w:pPr>
            <w:r w:rsidRPr="00EF20DA">
              <w:rPr>
                <w:rFonts w:ascii="Arial Narrow" w:hAnsi="Arial Narrow"/>
                <w:sz w:val="20"/>
              </w:rPr>
              <w:t>0.0</w:t>
            </w:r>
          </w:p>
        </w:tc>
        <w:tc>
          <w:tcPr>
            <w:tcW w:w="753" w:type="pct"/>
            <w:tcBorders>
              <w:bottom w:val="single" w:sz="4" w:space="0" w:color="auto"/>
            </w:tcBorders>
            <w:shd w:val="clear" w:color="auto" w:fill="auto"/>
            <w:vAlign w:val="center"/>
          </w:tcPr>
          <w:p w:rsidR="00F61688" w:rsidRPr="00EF20DA" w:rsidRDefault="00F61688" w:rsidP="00E73A7B">
            <w:pPr>
              <w:jc w:val="center"/>
              <w:rPr>
                <w:rFonts w:ascii="Arial Narrow" w:hAnsi="Arial Narrow"/>
                <w:sz w:val="20"/>
              </w:rPr>
            </w:pPr>
            <w:r w:rsidRPr="00EF20DA">
              <w:rPr>
                <w:rFonts w:ascii="Arial Narrow" w:hAnsi="Arial Narrow"/>
                <w:sz w:val="20"/>
              </w:rPr>
              <w:t>18.4</w:t>
            </w:r>
          </w:p>
        </w:tc>
      </w:tr>
      <w:tr w:rsidR="00F61688" w:rsidRPr="004E2ADC" w:rsidTr="00E3176A">
        <w:tc>
          <w:tcPr>
            <w:tcW w:w="4247" w:type="pct"/>
            <w:gridSpan w:val="3"/>
            <w:tcBorders>
              <w:bottom w:val="single" w:sz="4" w:space="0" w:color="auto"/>
            </w:tcBorders>
          </w:tcPr>
          <w:p w:rsidR="00F61688" w:rsidRPr="004E2ADC" w:rsidRDefault="00F61688" w:rsidP="00E73A7B">
            <w:pPr>
              <w:rPr>
                <w:rFonts w:ascii="Arial Narrow" w:hAnsi="Arial Narrow"/>
                <w:b/>
                <w:sz w:val="20"/>
              </w:rPr>
            </w:pPr>
            <w:r>
              <w:rPr>
                <w:rFonts w:ascii="Arial Narrow" w:hAnsi="Arial Narrow"/>
                <w:b/>
                <w:sz w:val="20"/>
              </w:rPr>
              <w:t>Incremental cost per complete response</w:t>
            </w:r>
          </w:p>
        </w:tc>
        <w:tc>
          <w:tcPr>
            <w:tcW w:w="753" w:type="pct"/>
            <w:tcBorders>
              <w:bottom w:val="single" w:sz="4" w:space="0" w:color="auto"/>
            </w:tcBorders>
          </w:tcPr>
          <w:p w:rsidR="00F61688" w:rsidRPr="00057425" w:rsidRDefault="00F61688" w:rsidP="00E73A7B">
            <w:pPr>
              <w:jc w:val="center"/>
              <w:rPr>
                <w:rFonts w:ascii="Arial Narrow" w:hAnsi="Arial Narrow"/>
                <w:b/>
                <w:sz w:val="20"/>
              </w:rPr>
            </w:pPr>
            <w:r w:rsidRPr="00D40100">
              <w:rPr>
                <w:rFonts w:ascii="Arial Narrow" w:hAnsi="Arial Narrow"/>
                <w:b/>
                <w:sz w:val="20"/>
              </w:rPr>
              <w:t>$</w:t>
            </w:r>
            <w:r w:rsidR="00204548">
              <w:rPr>
                <w:rFonts w:ascii="Arial Narrow" w:hAnsi="Arial Narrow"/>
                <w:b/>
                <w:noProof/>
                <w:color w:val="000000"/>
                <w:sz w:val="20"/>
                <w:highlight w:val="black"/>
              </w:rPr>
              <w:t>'''''''''''''''''</w:t>
            </w:r>
          </w:p>
        </w:tc>
      </w:tr>
    </w:tbl>
    <w:p w:rsidR="00F61688" w:rsidRDefault="00F61688" w:rsidP="00F61688">
      <w:pPr>
        <w:pStyle w:val="TableFooter"/>
        <w:ind w:firstLine="720"/>
      </w:pPr>
      <w:r>
        <w:t xml:space="preserve">Source: Table DD-10 (p </w:t>
      </w:r>
      <w:r w:rsidRPr="002340FD">
        <w:t>227-228</w:t>
      </w:r>
      <w:r>
        <w:t>)</w:t>
      </w:r>
      <w:r w:rsidRPr="002340FD">
        <w:t xml:space="preserve"> of the submission</w:t>
      </w:r>
    </w:p>
    <w:p w:rsidR="00F61688" w:rsidRDefault="00F61688" w:rsidP="00F61688">
      <w:pPr>
        <w:widowControl/>
        <w:rPr>
          <w:szCs w:val="22"/>
        </w:rPr>
      </w:pPr>
    </w:p>
    <w:p w:rsidR="00F61688" w:rsidRPr="00DD1DEA" w:rsidRDefault="00F61688" w:rsidP="007D7640">
      <w:pPr>
        <w:pStyle w:val="ListParagraph"/>
        <w:widowControl/>
        <w:numPr>
          <w:ilvl w:val="1"/>
          <w:numId w:val="3"/>
        </w:numPr>
        <w:rPr>
          <w:szCs w:val="22"/>
        </w:rPr>
      </w:pPr>
      <w:r w:rsidRPr="00DD1DEA">
        <w:rPr>
          <w:szCs w:val="22"/>
        </w:rPr>
        <w:t xml:space="preserve">Based on the economic model, treatment with venetoclax was associated with a cost per complete responder of </w:t>
      </w:r>
      <w:r w:rsidR="008341FD">
        <w:rPr>
          <w:szCs w:val="22"/>
        </w:rPr>
        <w:t xml:space="preserve">$105,000 – $200,000 </w:t>
      </w:r>
      <w:r w:rsidRPr="00DD1DEA">
        <w:rPr>
          <w:szCs w:val="22"/>
        </w:rPr>
        <w:t>compared to idelalisib with rituximab in patients with 17p deletion/TP53 mutation. The use of responder outcomes in the economic analysis was difficult to interpret without additional data on the duration of response and the association with progression-free survival and overall survival.</w:t>
      </w:r>
    </w:p>
    <w:p w:rsidR="00F61688" w:rsidRPr="00DD1DEA" w:rsidRDefault="00F61688" w:rsidP="007D7640">
      <w:pPr>
        <w:widowControl/>
        <w:rPr>
          <w:szCs w:val="22"/>
        </w:rPr>
      </w:pPr>
    </w:p>
    <w:p w:rsidR="00F61688" w:rsidRPr="00DD1DEA" w:rsidRDefault="00F61688" w:rsidP="007D7640">
      <w:pPr>
        <w:pStyle w:val="ListParagraph"/>
        <w:widowControl/>
        <w:numPr>
          <w:ilvl w:val="1"/>
          <w:numId w:val="3"/>
        </w:numPr>
        <w:rPr>
          <w:szCs w:val="22"/>
        </w:rPr>
      </w:pPr>
      <w:r w:rsidRPr="00DD1DEA">
        <w:rPr>
          <w:szCs w:val="22"/>
        </w:rPr>
        <w:t>Sensitivity analyses indicated that the model was sensitive to the estimated price of idelalisib and the choice of health outcome. Idelalisib with rituximab dominated venetoclax when the health outcome was switched from complete responders to overall responders.</w:t>
      </w:r>
    </w:p>
    <w:p w:rsidR="00F07E56" w:rsidRPr="00F07E56" w:rsidRDefault="00F07E56" w:rsidP="006E3608"/>
    <w:p w:rsidR="00F07E56" w:rsidRPr="006E3608" w:rsidRDefault="00F07E56" w:rsidP="006E3608">
      <w:pPr>
        <w:ind w:firstLine="720"/>
        <w:rPr>
          <w:bCs/>
          <w:i/>
          <w:szCs w:val="22"/>
        </w:rPr>
      </w:pPr>
      <w:r w:rsidRPr="006E3608">
        <w:rPr>
          <w:bCs/>
          <w:i/>
          <w:szCs w:val="22"/>
        </w:rPr>
        <w:t>For more detail on PBAC’s view, see section 7 “PBAC outcome”.</w:t>
      </w:r>
    </w:p>
    <w:p w:rsidR="00F61688" w:rsidRDefault="00F61688" w:rsidP="00F61688">
      <w:pPr>
        <w:widowControl/>
        <w:rPr>
          <w:szCs w:val="22"/>
        </w:rPr>
      </w:pPr>
    </w:p>
    <w:p w:rsidR="00F61688" w:rsidRPr="002C2775" w:rsidRDefault="00F61688" w:rsidP="00F61688">
      <w:pPr>
        <w:pStyle w:val="Heading2"/>
        <w:rPr>
          <w:i/>
          <w:szCs w:val="22"/>
        </w:rPr>
      </w:pPr>
      <w:bookmarkStart w:id="27" w:name="_Toc392858200"/>
      <w:bookmarkStart w:id="28" w:name="_Toc472494404"/>
      <w:r w:rsidRPr="002C2775">
        <w:rPr>
          <w:i/>
        </w:rPr>
        <w:t>Drug c</w:t>
      </w:r>
      <w:r>
        <w:rPr>
          <w:i/>
        </w:rPr>
        <w:t>ost/patient/course</w:t>
      </w:r>
      <w:bookmarkEnd w:id="27"/>
      <w:bookmarkEnd w:id="28"/>
    </w:p>
    <w:p w:rsidR="00F61688" w:rsidRPr="00C25D9C" w:rsidRDefault="00F61688" w:rsidP="00F61688">
      <w:pPr>
        <w:widowControl/>
        <w:rPr>
          <w:szCs w:val="22"/>
        </w:rPr>
      </w:pPr>
    </w:p>
    <w:p w:rsidR="00F61688" w:rsidRDefault="00F61688" w:rsidP="001011FE">
      <w:pPr>
        <w:pStyle w:val="ListParagraph"/>
        <w:widowControl/>
        <w:numPr>
          <w:ilvl w:val="1"/>
          <w:numId w:val="3"/>
        </w:numPr>
        <w:rPr>
          <w:szCs w:val="22"/>
        </w:rPr>
      </w:pPr>
      <w:r w:rsidRPr="00A426CA">
        <w:rPr>
          <w:szCs w:val="22"/>
        </w:rPr>
        <w:t xml:space="preserve">The cost of venetoclax and comparators per patient per 24-week period are summarised in </w:t>
      </w:r>
      <w:r>
        <w:rPr>
          <w:szCs w:val="22"/>
        </w:rPr>
        <w:t>T</w:t>
      </w:r>
      <w:r w:rsidRPr="00A426CA">
        <w:rPr>
          <w:szCs w:val="22"/>
        </w:rPr>
        <w:t xml:space="preserve">able </w:t>
      </w:r>
      <w:r>
        <w:rPr>
          <w:szCs w:val="22"/>
        </w:rPr>
        <w:t>12</w:t>
      </w:r>
      <w:r w:rsidRPr="00A426CA">
        <w:rPr>
          <w:szCs w:val="22"/>
        </w:rPr>
        <w:t>. Treatment is ongoing for veneto</w:t>
      </w:r>
      <w:r>
        <w:rPr>
          <w:szCs w:val="22"/>
        </w:rPr>
        <w:t xml:space="preserve">clax and idelalisib. </w:t>
      </w:r>
      <w:r w:rsidRPr="00A426CA">
        <w:rPr>
          <w:szCs w:val="22"/>
        </w:rPr>
        <w:t>Treatment is limited to 24 weeks for rituximab and ofatumumab. The submission did not estimate the costs of ibrutinib therapy</w:t>
      </w:r>
      <w:r>
        <w:rPr>
          <w:szCs w:val="22"/>
        </w:rPr>
        <w:t>.</w:t>
      </w:r>
    </w:p>
    <w:p w:rsidR="00F61688" w:rsidRPr="00101964" w:rsidRDefault="00F61688" w:rsidP="00F61688">
      <w:pPr>
        <w:keepNext/>
        <w:ind w:firstLine="720"/>
        <w:rPr>
          <w:rFonts w:ascii="Arial Narrow" w:hAnsi="Arial Narrow"/>
          <w:b/>
          <w:sz w:val="20"/>
        </w:rPr>
      </w:pPr>
      <w:r>
        <w:rPr>
          <w:rFonts w:ascii="Arial Narrow" w:hAnsi="Arial Narrow"/>
          <w:b/>
          <w:sz w:val="20"/>
        </w:rPr>
        <w:t>Table 12: Drug cost per patient for initial and s</w:t>
      </w:r>
      <w:r w:rsidR="00834C0E">
        <w:rPr>
          <w:rFonts w:ascii="Arial Narrow" w:hAnsi="Arial Narrow"/>
          <w:b/>
          <w:sz w:val="20"/>
        </w:rPr>
        <w:t>ubsequent 24 weeks of treatment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3"/>
        <w:gridCol w:w="5670"/>
        <w:gridCol w:w="1083"/>
      </w:tblGrid>
      <w:tr w:rsidR="00F61688" w:rsidRPr="00C470C8" w:rsidTr="00E73A7B">
        <w:tc>
          <w:tcPr>
            <w:tcW w:w="1543" w:type="dxa"/>
            <w:vAlign w:val="center"/>
          </w:tcPr>
          <w:p w:rsidR="00F61688" w:rsidRPr="00C470C8" w:rsidRDefault="00F61688" w:rsidP="00E73A7B">
            <w:pPr>
              <w:pStyle w:val="ListParagraph"/>
              <w:keepNext/>
              <w:widowControl/>
              <w:ind w:left="0"/>
              <w:rPr>
                <w:rFonts w:ascii="Arial Narrow" w:hAnsi="Arial Narrow"/>
                <w:b/>
                <w:sz w:val="20"/>
              </w:rPr>
            </w:pPr>
            <w:r w:rsidRPr="00C470C8">
              <w:rPr>
                <w:rFonts w:ascii="Arial Narrow" w:hAnsi="Arial Narrow"/>
                <w:b/>
                <w:sz w:val="20"/>
              </w:rPr>
              <w:t>Treatment regimen</w:t>
            </w:r>
          </w:p>
        </w:tc>
        <w:tc>
          <w:tcPr>
            <w:tcW w:w="5670" w:type="dxa"/>
            <w:vAlign w:val="center"/>
          </w:tcPr>
          <w:p w:rsidR="00F61688" w:rsidRPr="00C470C8" w:rsidRDefault="00F61688" w:rsidP="00E73A7B">
            <w:pPr>
              <w:pStyle w:val="ListParagraph"/>
              <w:keepNext/>
              <w:widowControl/>
              <w:ind w:left="0"/>
              <w:jc w:val="center"/>
              <w:rPr>
                <w:rFonts w:ascii="Arial Narrow" w:hAnsi="Arial Narrow"/>
                <w:b/>
                <w:sz w:val="20"/>
              </w:rPr>
            </w:pPr>
            <w:r w:rsidRPr="00C470C8">
              <w:rPr>
                <w:rFonts w:ascii="Arial Narrow" w:hAnsi="Arial Narrow"/>
                <w:b/>
                <w:sz w:val="20"/>
              </w:rPr>
              <w:t>Calculation</w:t>
            </w:r>
          </w:p>
        </w:tc>
        <w:tc>
          <w:tcPr>
            <w:tcW w:w="1083" w:type="dxa"/>
            <w:vAlign w:val="center"/>
          </w:tcPr>
          <w:p w:rsidR="00F61688" w:rsidRPr="00C470C8" w:rsidRDefault="00F61688" w:rsidP="00E73A7B">
            <w:pPr>
              <w:pStyle w:val="ListParagraph"/>
              <w:keepNext/>
              <w:widowControl/>
              <w:ind w:left="0"/>
              <w:jc w:val="center"/>
              <w:rPr>
                <w:rFonts w:ascii="Arial Narrow" w:hAnsi="Arial Narrow"/>
                <w:b/>
                <w:sz w:val="20"/>
              </w:rPr>
            </w:pPr>
            <w:r w:rsidRPr="00C470C8">
              <w:rPr>
                <w:rFonts w:ascii="Arial Narrow" w:hAnsi="Arial Narrow"/>
                <w:b/>
                <w:sz w:val="20"/>
              </w:rPr>
              <w:t>Cost per patient</w:t>
            </w:r>
          </w:p>
        </w:tc>
      </w:tr>
      <w:tr w:rsidR="00F61688" w:rsidRPr="00C470C8" w:rsidTr="00E73A7B">
        <w:tc>
          <w:tcPr>
            <w:tcW w:w="8296" w:type="dxa"/>
            <w:gridSpan w:val="3"/>
            <w:vAlign w:val="center"/>
          </w:tcPr>
          <w:p w:rsidR="00F61688" w:rsidRPr="00C470C8" w:rsidRDefault="00F61688" w:rsidP="00E73A7B">
            <w:pPr>
              <w:pStyle w:val="ListParagraph"/>
              <w:keepNext/>
              <w:widowControl/>
              <w:ind w:left="0"/>
              <w:jc w:val="left"/>
              <w:rPr>
                <w:rFonts w:ascii="Arial Narrow" w:hAnsi="Arial Narrow"/>
                <w:b/>
                <w:sz w:val="20"/>
              </w:rPr>
            </w:pPr>
            <w:r w:rsidRPr="00C470C8">
              <w:rPr>
                <w:rFonts w:ascii="Arial Narrow" w:hAnsi="Arial Narrow"/>
                <w:b/>
                <w:sz w:val="20"/>
              </w:rPr>
              <w:t>Initial 24 weeks</w:t>
            </w:r>
          </w:p>
        </w:tc>
      </w:tr>
      <w:tr w:rsidR="00F61688" w:rsidRPr="00C470C8" w:rsidTr="00E73A7B">
        <w:tc>
          <w:tcPr>
            <w:tcW w:w="1543" w:type="dxa"/>
            <w:vAlign w:val="center"/>
          </w:tcPr>
          <w:p w:rsidR="00F61688" w:rsidRPr="00C470C8" w:rsidRDefault="00F61688" w:rsidP="00E73A7B">
            <w:pPr>
              <w:pStyle w:val="ListParagraph"/>
              <w:keepNext/>
              <w:widowControl/>
              <w:ind w:left="0"/>
              <w:jc w:val="left"/>
              <w:rPr>
                <w:rFonts w:ascii="Arial Narrow" w:hAnsi="Arial Narrow"/>
                <w:sz w:val="20"/>
              </w:rPr>
            </w:pPr>
            <w:r w:rsidRPr="00C470C8">
              <w:rPr>
                <w:rFonts w:ascii="Arial Narrow" w:hAnsi="Arial Narrow"/>
                <w:sz w:val="20"/>
              </w:rPr>
              <w:t>Venetoclax</w:t>
            </w:r>
          </w:p>
        </w:tc>
        <w:tc>
          <w:tcPr>
            <w:tcW w:w="5670" w:type="dxa"/>
            <w:vAlign w:val="center"/>
          </w:tcPr>
          <w:p w:rsidR="00F61688" w:rsidRPr="00C470C8" w:rsidRDefault="00F61688" w:rsidP="00E73A7B">
            <w:pPr>
              <w:pStyle w:val="ListParagraph"/>
              <w:keepNext/>
              <w:widowControl/>
              <w:ind w:left="0"/>
              <w:jc w:val="center"/>
              <w:rPr>
                <w:rFonts w:ascii="Arial Narrow" w:hAnsi="Arial Narrow"/>
                <w:sz w:val="20"/>
              </w:rPr>
            </w:pPr>
            <w:r w:rsidRPr="00C470C8">
              <w:rPr>
                <w:rFonts w:ascii="Arial Narrow" w:hAnsi="Arial Narrow"/>
                <w:sz w:val="20"/>
              </w:rPr>
              <w:t>Weeks 1-4 = $</w:t>
            </w:r>
            <w:r w:rsidR="00204548">
              <w:rPr>
                <w:rFonts w:ascii="Arial Narrow" w:hAnsi="Arial Narrow"/>
                <w:noProof/>
                <w:color w:val="000000"/>
                <w:sz w:val="20"/>
                <w:highlight w:val="black"/>
              </w:rPr>
              <w:t>''''''''''''''''''</w:t>
            </w:r>
            <w:r w:rsidRPr="00C470C8">
              <w:rPr>
                <w:rFonts w:ascii="Arial Narrow" w:hAnsi="Arial Narrow"/>
                <w:sz w:val="20"/>
              </w:rPr>
              <w:t xml:space="preserve"> (effective DPMQ for titration pack)</w:t>
            </w:r>
          </w:p>
          <w:p w:rsidR="00F61688" w:rsidRPr="00C470C8" w:rsidRDefault="00F61688" w:rsidP="00E73A7B">
            <w:pPr>
              <w:pStyle w:val="ListParagraph"/>
              <w:keepNext/>
              <w:widowControl/>
              <w:ind w:left="0"/>
              <w:jc w:val="center"/>
              <w:rPr>
                <w:rFonts w:ascii="Arial Narrow" w:hAnsi="Arial Narrow"/>
                <w:sz w:val="20"/>
                <w:vertAlign w:val="superscript"/>
              </w:rPr>
            </w:pPr>
            <w:r w:rsidRPr="00C470C8">
              <w:rPr>
                <w:rFonts w:ascii="Arial Narrow" w:hAnsi="Arial Narrow"/>
                <w:sz w:val="20"/>
              </w:rPr>
              <w:t>Weeks 5-8 = $</w:t>
            </w:r>
            <w:r w:rsidR="00204548">
              <w:rPr>
                <w:rFonts w:ascii="Arial Narrow" w:hAnsi="Arial Narrow"/>
                <w:noProof/>
                <w:color w:val="000000"/>
                <w:sz w:val="20"/>
                <w:highlight w:val="black"/>
              </w:rPr>
              <w:t>'''''''''''''''''''''''</w:t>
            </w:r>
            <w:r w:rsidRPr="00C470C8">
              <w:rPr>
                <w:rFonts w:ascii="Arial Narrow" w:hAnsi="Arial Narrow"/>
                <w:sz w:val="20"/>
              </w:rPr>
              <w:t xml:space="preserve"> (based on weighted effective DPMQ for maintenance pack, 10 mg dose hold pack, and 50 mg dose hold pack with distribution assumptions from submission)</w:t>
            </w:r>
            <w:r w:rsidRPr="00C470C8">
              <w:rPr>
                <w:rFonts w:ascii="Arial Narrow" w:hAnsi="Arial Narrow"/>
                <w:sz w:val="20"/>
                <w:vertAlign w:val="superscript"/>
              </w:rPr>
              <w:t>a</w:t>
            </w:r>
          </w:p>
          <w:p w:rsidR="00F61688" w:rsidRPr="00C470C8" w:rsidRDefault="00F61688" w:rsidP="00E73A7B">
            <w:pPr>
              <w:pStyle w:val="ListParagraph"/>
              <w:keepNext/>
              <w:widowControl/>
              <w:ind w:left="0"/>
              <w:jc w:val="center"/>
              <w:rPr>
                <w:rFonts w:ascii="Arial Narrow" w:hAnsi="Arial Narrow"/>
                <w:sz w:val="20"/>
              </w:rPr>
            </w:pPr>
            <w:r w:rsidRPr="00C470C8">
              <w:rPr>
                <w:rFonts w:ascii="Arial Narrow" w:hAnsi="Arial Narrow"/>
                <w:sz w:val="20"/>
              </w:rPr>
              <w:t>Weeks 9-24 = $</w:t>
            </w:r>
            <w:r w:rsidR="00204548">
              <w:rPr>
                <w:rFonts w:ascii="Arial Narrow" w:hAnsi="Arial Narrow"/>
                <w:noProof/>
                <w:color w:val="000000"/>
                <w:sz w:val="20"/>
                <w:highlight w:val="black"/>
              </w:rPr>
              <w:t>'''''''''''''''''''''''</w:t>
            </w:r>
            <w:r w:rsidRPr="00C470C8">
              <w:rPr>
                <w:rFonts w:ascii="Arial Narrow" w:hAnsi="Arial Narrow"/>
                <w:sz w:val="20"/>
              </w:rPr>
              <w:t xml:space="preserve"> (calculated using effective DPMQ for maintenance pack x 112 days per 16 weeks/30 days treatment per pack)</w:t>
            </w:r>
          </w:p>
        </w:tc>
        <w:tc>
          <w:tcPr>
            <w:tcW w:w="1083" w:type="dxa"/>
            <w:vAlign w:val="center"/>
          </w:tcPr>
          <w:p w:rsidR="00F61688" w:rsidRPr="00C470C8" w:rsidRDefault="00F61688" w:rsidP="00E73A7B">
            <w:pPr>
              <w:pStyle w:val="ListParagraph"/>
              <w:keepNext/>
              <w:widowControl/>
              <w:ind w:left="0"/>
              <w:jc w:val="center"/>
              <w:rPr>
                <w:rFonts w:ascii="Arial Narrow" w:hAnsi="Arial Narrow"/>
                <w:sz w:val="20"/>
              </w:rPr>
            </w:pPr>
            <w:r w:rsidRPr="00C470C8">
              <w:rPr>
                <w:rFonts w:ascii="Arial Narrow" w:hAnsi="Arial Narrow"/>
                <w:sz w:val="20"/>
              </w:rPr>
              <w:t>$</w:t>
            </w:r>
            <w:r w:rsidR="00204548">
              <w:rPr>
                <w:rFonts w:ascii="Arial Narrow" w:hAnsi="Arial Narrow"/>
                <w:noProof/>
                <w:color w:val="000000"/>
                <w:sz w:val="20"/>
                <w:highlight w:val="black"/>
              </w:rPr>
              <w:t>'''''''''''''''''</w:t>
            </w:r>
          </w:p>
        </w:tc>
      </w:tr>
      <w:tr w:rsidR="00F61688" w:rsidRPr="00C470C8" w:rsidTr="00E73A7B">
        <w:tc>
          <w:tcPr>
            <w:tcW w:w="1543" w:type="dxa"/>
            <w:vAlign w:val="center"/>
          </w:tcPr>
          <w:p w:rsidR="00F61688" w:rsidRPr="00C470C8" w:rsidRDefault="00F61688" w:rsidP="00E73A7B">
            <w:pPr>
              <w:pStyle w:val="ListParagraph"/>
              <w:keepNext/>
              <w:widowControl/>
              <w:ind w:left="0"/>
              <w:jc w:val="left"/>
              <w:rPr>
                <w:rFonts w:ascii="Arial Narrow" w:hAnsi="Arial Narrow"/>
                <w:sz w:val="20"/>
              </w:rPr>
            </w:pPr>
            <w:r w:rsidRPr="00C470C8">
              <w:rPr>
                <w:rFonts w:ascii="Arial Narrow" w:hAnsi="Arial Narrow"/>
                <w:sz w:val="20"/>
              </w:rPr>
              <w:t>Ofatumumab monotherapy</w:t>
            </w:r>
          </w:p>
        </w:tc>
        <w:tc>
          <w:tcPr>
            <w:tcW w:w="5670" w:type="dxa"/>
            <w:vAlign w:val="center"/>
          </w:tcPr>
          <w:p w:rsidR="00F61688" w:rsidRPr="00C470C8" w:rsidRDefault="00F61688" w:rsidP="00E73A7B">
            <w:pPr>
              <w:pStyle w:val="ListParagraph"/>
              <w:keepNext/>
              <w:widowControl/>
              <w:ind w:left="0"/>
              <w:jc w:val="center"/>
              <w:rPr>
                <w:rFonts w:ascii="Arial Narrow" w:hAnsi="Arial Narrow"/>
                <w:sz w:val="20"/>
                <w:vertAlign w:val="superscript"/>
              </w:rPr>
            </w:pPr>
            <w:r w:rsidRPr="00C470C8">
              <w:rPr>
                <w:rFonts w:ascii="Arial Narrow" w:hAnsi="Arial Narrow"/>
                <w:sz w:val="20"/>
              </w:rPr>
              <w:t>Weeks 1-4 = $22,018 (weighted public</w:t>
            </w:r>
            <w:r w:rsidR="007D7640">
              <w:rPr>
                <w:rFonts w:ascii="Arial Narrow" w:hAnsi="Arial Narrow"/>
                <w:sz w:val="20"/>
              </w:rPr>
              <w:t>/private published DPMA for 300 </w:t>
            </w:r>
            <w:r w:rsidRPr="00C470C8">
              <w:rPr>
                <w:rFonts w:ascii="Arial Narrow" w:hAnsi="Arial Narrow"/>
                <w:sz w:val="20"/>
              </w:rPr>
              <w:t>mg x 1 week + weight</w:t>
            </w:r>
            <w:r w:rsidR="007D7640">
              <w:rPr>
                <w:rFonts w:ascii="Arial Narrow" w:hAnsi="Arial Narrow"/>
                <w:sz w:val="20"/>
              </w:rPr>
              <w:t>ed public/private DPMA for 1000 </w:t>
            </w:r>
            <w:r w:rsidRPr="00C470C8">
              <w:rPr>
                <w:rFonts w:ascii="Arial Narrow" w:hAnsi="Arial Narrow"/>
                <w:sz w:val="20"/>
              </w:rPr>
              <w:t>mg x 2 x 3 weeks)</w:t>
            </w:r>
            <w:r w:rsidRPr="00C470C8">
              <w:rPr>
                <w:rFonts w:ascii="Arial Narrow" w:hAnsi="Arial Narrow"/>
                <w:sz w:val="20"/>
                <w:vertAlign w:val="superscript"/>
              </w:rPr>
              <w:t>b</w:t>
            </w:r>
          </w:p>
          <w:p w:rsidR="00F61688" w:rsidRPr="00C470C8" w:rsidRDefault="00F61688" w:rsidP="00E73A7B">
            <w:pPr>
              <w:pStyle w:val="ListParagraph"/>
              <w:keepNext/>
              <w:widowControl/>
              <w:ind w:left="0"/>
              <w:jc w:val="center"/>
              <w:rPr>
                <w:rFonts w:ascii="Arial Narrow" w:hAnsi="Arial Narrow"/>
                <w:sz w:val="20"/>
                <w:vertAlign w:val="superscript"/>
              </w:rPr>
            </w:pPr>
            <w:r w:rsidRPr="00C470C8">
              <w:rPr>
                <w:rFonts w:ascii="Arial Narrow" w:hAnsi="Arial Narrow"/>
                <w:sz w:val="20"/>
              </w:rPr>
              <w:t>Weeks 5-8 = $27,838 (weighted average public/private published DPMA for 1000 mg x 4 infusions)</w:t>
            </w:r>
            <w:r w:rsidRPr="00C470C8">
              <w:rPr>
                <w:rFonts w:ascii="Arial Narrow" w:hAnsi="Arial Narrow"/>
                <w:sz w:val="20"/>
                <w:vertAlign w:val="superscript"/>
              </w:rPr>
              <w:t>b</w:t>
            </w:r>
          </w:p>
          <w:p w:rsidR="00F61688" w:rsidRPr="00C470C8" w:rsidRDefault="00F61688" w:rsidP="007D7640">
            <w:pPr>
              <w:pStyle w:val="ListParagraph"/>
              <w:keepNext/>
              <w:widowControl/>
              <w:ind w:left="0"/>
              <w:jc w:val="center"/>
              <w:rPr>
                <w:rFonts w:ascii="Arial Narrow" w:hAnsi="Arial Narrow"/>
                <w:sz w:val="20"/>
              </w:rPr>
            </w:pPr>
            <w:r w:rsidRPr="00C470C8">
              <w:rPr>
                <w:rFonts w:ascii="Arial Narrow" w:hAnsi="Arial Narrow"/>
                <w:sz w:val="20"/>
              </w:rPr>
              <w:t>Weeks 9-24 = $27,838 (weighted public/private published DPMA for 1000</w:t>
            </w:r>
            <w:r w:rsidR="007D7640">
              <w:rPr>
                <w:rFonts w:ascii="Arial Narrow" w:hAnsi="Arial Narrow"/>
                <w:sz w:val="20"/>
              </w:rPr>
              <w:t> </w:t>
            </w:r>
            <w:r w:rsidRPr="00C470C8">
              <w:rPr>
                <w:rFonts w:ascii="Arial Narrow" w:hAnsi="Arial Narrow"/>
                <w:sz w:val="20"/>
              </w:rPr>
              <w:t>mg x 4 infusions over 16 weeks)</w:t>
            </w:r>
            <w:r w:rsidRPr="00C470C8">
              <w:rPr>
                <w:rFonts w:ascii="Arial Narrow" w:hAnsi="Arial Narrow"/>
                <w:sz w:val="20"/>
                <w:vertAlign w:val="superscript"/>
              </w:rPr>
              <w:t>b</w:t>
            </w:r>
          </w:p>
        </w:tc>
        <w:tc>
          <w:tcPr>
            <w:tcW w:w="1083" w:type="dxa"/>
            <w:vAlign w:val="center"/>
          </w:tcPr>
          <w:p w:rsidR="00F61688" w:rsidRPr="00C470C8" w:rsidRDefault="00F61688" w:rsidP="00E73A7B">
            <w:pPr>
              <w:pStyle w:val="ListParagraph"/>
              <w:keepNext/>
              <w:widowControl/>
              <w:ind w:left="0"/>
              <w:jc w:val="center"/>
              <w:rPr>
                <w:rFonts w:ascii="Arial Narrow" w:hAnsi="Arial Narrow"/>
                <w:sz w:val="20"/>
              </w:rPr>
            </w:pPr>
            <w:r w:rsidRPr="00C470C8">
              <w:rPr>
                <w:rFonts w:ascii="Arial Narrow" w:hAnsi="Arial Narrow"/>
                <w:sz w:val="20"/>
              </w:rPr>
              <w:t>$77,693</w:t>
            </w:r>
          </w:p>
        </w:tc>
      </w:tr>
      <w:tr w:rsidR="00F61688" w:rsidRPr="00C470C8" w:rsidTr="00E73A7B">
        <w:tc>
          <w:tcPr>
            <w:tcW w:w="1543" w:type="dxa"/>
            <w:vAlign w:val="center"/>
          </w:tcPr>
          <w:p w:rsidR="00F61688" w:rsidRPr="00C470C8" w:rsidRDefault="00F61688" w:rsidP="00E73A7B">
            <w:pPr>
              <w:pStyle w:val="ListParagraph"/>
              <w:keepNext/>
              <w:widowControl/>
              <w:ind w:left="0"/>
              <w:jc w:val="left"/>
              <w:rPr>
                <w:rFonts w:ascii="Arial Narrow" w:hAnsi="Arial Narrow"/>
                <w:sz w:val="20"/>
              </w:rPr>
            </w:pPr>
            <w:r w:rsidRPr="00C470C8">
              <w:rPr>
                <w:rFonts w:ascii="Arial Narrow" w:hAnsi="Arial Narrow"/>
                <w:sz w:val="20"/>
              </w:rPr>
              <w:t>Rituximab monotherapy</w:t>
            </w:r>
          </w:p>
        </w:tc>
        <w:tc>
          <w:tcPr>
            <w:tcW w:w="5670" w:type="dxa"/>
            <w:vAlign w:val="center"/>
          </w:tcPr>
          <w:p w:rsidR="00F61688" w:rsidRPr="00C470C8" w:rsidRDefault="00F61688" w:rsidP="00E73A7B">
            <w:pPr>
              <w:pStyle w:val="ListParagraph"/>
              <w:keepNext/>
              <w:widowControl/>
              <w:ind w:left="0"/>
              <w:jc w:val="center"/>
              <w:rPr>
                <w:rFonts w:ascii="Arial Narrow" w:hAnsi="Arial Narrow"/>
                <w:sz w:val="20"/>
                <w:vertAlign w:val="superscript"/>
              </w:rPr>
            </w:pPr>
            <w:r w:rsidRPr="00C470C8">
              <w:rPr>
                <w:rFonts w:ascii="Arial Narrow" w:hAnsi="Arial Narrow"/>
                <w:sz w:val="20"/>
              </w:rPr>
              <w:t>Weeks 1-4 = $7,498.41 (weighted public/private DPMA for loading dose x 1 infusion + weighted public/private DPMA for maintenance dose x 1 infusion)</w:t>
            </w:r>
            <w:r w:rsidRPr="00C470C8">
              <w:rPr>
                <w:rFonts w:ascii="Arial Narrow" w:hAnsi="Arial Narrow"/>
                <w:sz w:val="20"/>
                <w:vertAlign w:val="superscript"/>
              </w:rPr>
              <w:t>c</w:t>
            </w:r>
          </w:p>
          <w:p w:rsidR="00F61688" w:rsidRPr="00C470C8" w:rsidRDefault="00F61688" w:rsidP="00E73A7B">
            <w:pPr>
              <w:pStyle w:val="ListParagraph"/>
              <w:keepNext/>
              <w:widowControl/>
              <w:ind w:left="0"/>
              <w:jc w:val="center"/>
              <w:rPr>
                <w:rFonts w:ascii="Arial Narrow" w:hAnsi="Arial Narrow"/>
                <w:sz w:val="20"/>
                <w:vertAlign w:val="superscript"/>
              </w:rPr>
            </w:pPr>
            <w:r w:rsidRPr="00C470C8">
              <w:rPr>
                <w:rFonts w:ascii="Arial Narrow" w:hAnsi="Arial Narrow"/>
                <w:sz w:val="20"/>
              </w:rPr>
              <w:t>Weeks 5-8 = $7,881.73 (weighted public/private DPMA for maintenance dose x 2 infusions)</w:t>
            </w:r>
            <w:r w:rsidRPr="00C470C8">
              <w:rPr>
                <w:rFonts w:ascii="Arial Narrow" w:hAnsi="Arial Narrow"/>
                <w:sz w:val="20"/>
                <w:vertAlign w:val="superscript"/>
              </w:rPr>
              <w:t>c</w:t>
            </w:r>
          </w:p>
          <w:p w:rsidR="00F61688" w:rsidRPr="00C470C8" w:rsidRDefault="00F61688" w:rsidP="00E73A7B">
            <w:pPr>
              <w:pStyle w:val="ListParagraph"/>
              <w:keepNext/>
              <w:widowControl/>
              <w:ind w:left="0"/>
              <w:jc w:val="center"/>
              <w:rPr>
                <w:rFonts w:ascii="Arial Narrow" w:hAnsi="Arial Narrow"/>
                <w:sz w:val="20"/>
                <w:vertAlign w:val="superscript"/>
              </w:rPr>
            </w:pPr>
            <w:r w:rsidRPr="00C470C8">
              <w:rPr>
                <w:rFonts w:ascii="Arial Narrow" w:hAnsi="Arial Narrow"/>
                <w:sz w:val="20"/>
              </w:rPr>
              <w:t>Weeks 9-24 = $15,764.46 (weighted public/private DPMA for maintenance dose x 4 infusions)</w:t>
            </w:r>
            <w:r w:rsidRPr="00C470C8">
              <w:rPr>
                <w:rFonts w:ascii="Arial Narrow" w:hAnsi="Arial Narrow"/>
                <w:sz w:val="20"/>
                <w:vertAlign w:val="superscript"/>
              </w:rPr>
              <w:t>c</w:t>
            </w:r>
          </w:p>
        </w:tc>
        <w:tc>
          <w:tcPr>
            <w:tcW w:w="1083" w:type="dxa"/>
            <w:vAlign w:val="center"/>
          </w:tcPr>
          <w:p w:rsidR="00F61688" w:rsidRPr="00C470C8" w:rsidRDefault="00F61688" w:rsidP="00E73A7B">
            <w:pPr>
              <w:pStyle w:val="ListParagraph"/>
              <w:keepNext/>
              <w:widowControl/>
              <w:ind w:left="0"/>
              <w:jc w:val="center"/>
              <w:rPr>
                <w:rFonts w:ascii="Arial Narrow" w:hAnsi="Arial Narrow"/>
                <w:sz w:val="20"/>
              </w:rPr>
            </w:pPr>
            <w:r w:rsidRPr="00C470C8">
              <w:rPr>
                <w:rFonts w:ascii="Arial Narrow" w:hAnsi="Arial Narrow"/>
                <w:sz w:val="20"/>
              </w:rPr>
              <w:t>$31,144</w:t>
            </w:r>
          </w:p>
        </w:tc>
      </w:tr>
      <w:tr w:rsidR="00F61688" w:rsidRPr="00C470C8" w:rsidTr="00E73A7B">
        <w:tc>
          <w:tcPr>
            <w:tcW w:w="1543" w:type="dxa"/>
            <w:vAlign w:val="center"/>
          </w:tcPr>
          <w:p w:rsidR="00F61688" w:rsidRPr="00C470C8" w:rsidRDefault="00F61688" w:rsidP="00E73A7B">
            <w:pPr>
              <w:pStyle w:val="ListParagraph"/>
              <w:keepNext/>
              <w:widowControl/>
              <w:ind w:left="0"/>
              <w:jc w:val="left"/>
              <w:rPr>
                <w:rFonts w:ascii="Arial Narrow" w:hAnsi="Arial Narrow"/>
                <w:sz w:val="20"/>
              </w:rPr>
            </w:pPr>
            <w:r w:rsidRPr="00C470C8">
              <w:rPr>
                <w:rFonts w:ascii="Arial Narrow" w:hAnsi="Arial Narrow"/>
                <w:sz w:val="20"/>
              </w:rPr>
              <w:t>Idelalisib plus rituximab</w:t>
            </w:r>
          </w:p>
        </w:tc>
        <w:tc>
          <w:tcPr>
            <w:tcW w:w="5670" w:type="dxa"/>
            <w:vAlign w:val="center"/>
          </w:tcPr>
          <w:p w:rsidR="00F61688" w:rsidRPr="00C470C8" w:rsidRDefault="00F61688" w:rsidP="00E73A7B">
            <w:pPr>
              <w:pStyle w:val="ListParagraph"/>
              <w:keepNext/>
              <w:widowControl/>
              <w:ind w:left="0"/>
              <w:jc w:val="center"/>
              <w:rPr>
                <w:rFonts w:ascii="Arial Narrow" w:hAnsi="Arial Narrow"/>
                <w:sz w:val="20"/>
              </w:rPr>
            </w:pPr>
            <w:r w:rsidRPr="00C470C8">
              <w:rPr>
                <w:rFonts w:ascii="Arial Narrow" w:hAnsi="Arial Narrow"/>
                <w:sz w:val="20"/>
              </w:rPr>
              <w:t>Idelalisib: $30,241.06 (Canadian price for idelalisib x 168 days per 24 weeks/30 days treatment per assumed pack size)</w:t>
            </w:r>
            <w:r w:rsidRPr="00C470C8">
              <w:rPr>
                <w:rFonts w:ascii="Arial Narrow" w:hAnsi="Arial Narrow"/>
                <w:sz w:val="20"/>
                <w:vertAlign w:val="superscript"/>
              </w:rPr>
              <w:t>d</w:t>
            </w:r>
          </w:p>
          <w:p w:rsidR="00F61688" w:rsidRPr="00C470C8" w:rsidRDefault="00F61688" w:rsidP="00E73A7B">
            <w:pPr>
              <w:pStyle w:val="ListParagraph"/>
              <w:keepNext/>
              <w:widowControl/>
              <w:ind w:left="0"/>
              <w:jc w:val="center"/>
              <w:rPr>
                <w:rFonts w:ascii="Arial Narrow" w:hAnsi="Arial Narrow"/>
                <w:sz w:val="20"/>
                <w:u w:val="single"/>
              </w:rPr>
            </w:pPr>
            <w:r w:rsidRPr="00C470C8">
              <w:rPr>
                <w:rFonts w:ascii="Arial Narrow" w:hAnsi="Arial Narrow"/>
                <w:sz w:val="20"/>
              </w:rPr>
              <w:t>Rituximab: $31,144 (assumed to be the same as rituximab monotherapy)</w:t>
            </w:r>
          </w:p>
        </w:tc>
        <w:tc>
          <w:tcPr>
            <w:tcW w:w="1083" w:type="dxa"/>
            <w:vAlign w:val="center"/>
          </w:tcPr>
          <w:p w:rsidR="00F61688" w:rsidRPr="00C470C8" w:rsidRDefault="00F61688" w:rsidP="00E73A7B">
            <w:pPr>
              <w:pStyle w:val="ListParagraph"/>
              <w:keepNext/>
              <w:widowControl/>
              <w:ind w:left="0"/>
              <w:jc w:val="center"/>
              <w:rPr>
                <w:rFonts w:ascii="Arial Narrow" w:hAnsi="Arial Narrow"/>
                <w:sz w:val="20"/>
              </w:rPr>
            </w:pPr>
            <w:r w:rsidRPr="00C470C8">
              <w:rPr>
                <w:rFonts w:ascii="Arial Narrow" w:hAnsi="Arial Narrow"/>
                <w:sz w:val="20"/>
              </w:rPr>
              <w:t>$61,385</w:t>
            </w:r>
          </w:p>
        </w:tc>
      </w:tr>
      <w:tr w:rsidR="00F61688" w:rsidRPr="00C470C8" w:rsidTr="00E73A7B">
        <w:tc>
          <w:tcPr>
            <w:tcW w:w="8296" w:type="dxa"/>
            <w:gridSpan w:val="3"/>
            <w:vAlign w:val="center"/>
          </w:tcPr>
          <w:p w:rsidR="00F61688" w:rsidRPr="00C470C8" w:rsidRDefault="00F61688" w:rsidP="00E73A7B">
            <w:pPr>
              <w:pStyle w:val="ListParagraph"/>
              <w:keepNext/>
              <w:widowControl/>
              <w:ind w:left="0"/>
              <w:jc w:val="left"/>
              <w:rPr>
                <w:rFonts w:ascii="Arial Narrow" w:hAnsi="Arial Narrow"/>
                <w:b/>
                <w:sz w:val="20"/>
              </w:rPr>
            </w:pPr>
            <w:r w:rsidRPr="00C470C8">
              <w:rPr>
                <w:rFonts w:ascii="Arial Narrow" w:hAnsi="Arial Narrow"/>
                <w:b/>
                <w:sz w:val="20"/>
              </w:rPr>
              <w:t>Subsequent 24 weeks</w:t>
            </w:r>
          </w:p>
        </w:tc>
      </w:tr>
      <w:tr w:rsidR="00F61688" w:rsidRPr="00C470C8" w:rsidTr="00E73A7B">
        <w:tc>
          <w:tcPr>
            <w:tcW w:w="1543" w:type="dxa"/>
            <w:vAlign w:val="center"/>
          </w:tcPr>
          <w:p w:rsidR="00F61688" w:rsidRPr="00C470C8" w:rsidRDefault="00F61688" w:rsidP="00E73A7B">
            <w:pPr>
              <w:pStyle w:val="ListParagraph"/>
              <w:keepNext/>
              <w:widowControl/>
              <w:ind w:left="0"/>
              <w:jc w:val="left"/>
              <w:rPr>
                <w:rFonts w:ascii="Arial Narrow" w:hAnsi="Arial Narrow"/>
                <w:sz w:val="20"/>
              </w:rPr>
            </w:pPr>
            <w:r w:rsidRPr="00C470C8">
              <w:rPr>
                <w:rFonts w:ascii="Arial Narrow" w:hAnsi="Arial Narrow"/>
                <w:sz w:val="20"/>
              </w:rPr>
              <w:t>Venetoclax</w:t>
            </w:r>
          </w:p>
        </w:tc>
        <w:tc>
          <w:tcPr>
            <w:tcW w:w="5670" w:type="dxa"/>
            <w:vAlign w:val="center"/>
          </w:tcPr>
          <w:p w:rsidR="00F61688" w:rsidRPr="00C470C8" w:rsidRDefault="00F61688" w:rsidP="00E73A7B">
            <w:pPr>
              <w:pStyle w:val="ListParagraph"/>
              <w:keepNext/>
              <w:widowControl/>
              <w:ind w:left="0"/>
              <w:jc w:val="center"/>
              <w:rPr>
                <w:rFonts w:ascii="Arial Narrow" w:hAnsi="Arial Narrow"/>
                <w:sz w:val="20"/>
              </w:rPr>
            </w:pPr>
            <w:r w:rsidRPr="00C470C8">
              <w:rPr>
                <w:rFonts w:ascii="Arial Narrow" w:hAnsi="Arial Narrow"/>
                <w:sz w:val="20"/>
              </w:rPr>
              <w:t>Effective DPMQ for maintenance pack x 168 days per 24 weeks/30 days treatment per pack</w:t>
            </w:r>
          </w:p>
        </w:tc>
        <w:tc>
          <w:tcPr>
            <w:tcW w:w="1083" w:type="dxa"/>
            <w:vAlign w:val="center"/>
          </w:tcPr>
          <w:p w:rsidR="00F61688" w:rsidRPr="00C470C8" w:rsidRDefault="00F61688" w:rsidP="00E73A7B">
            <w:pPr>
              <w:pStyle w:val="ListParagraph"/>
              <w:keepNext/>
              <w:widowControl/>
              <w:ind w:left="0"/>
              <w:jc w:val="center"/>
              <w:rPr>
                <w:rFonts w:ascii="Arial Narrow" w:hAnsi="Arial Narrow"/>
                <w:sz w:val="20"/>
              </w:rPr>
            </w:pPr>
            <w:r w:rsidRPr="00C470C8">
              <w:rPr>
                <w:rFonts w:ascii="Arial Narrow" w:hAnsi="Arial Narrow"/>
                <w:sz w:val="20"/>
              </w:rPr>
              <w:t>$</w:t>
            </w:r>
            <w:r w:rsidR="00204548">
              <w:rPr>
                <w:rFonts w:ascii="Arial Narrow" w:hAnsi="Arial Narrow"/>
                <w:noProof/>
                <w:color w:val="000000"/>
                <w:sz w:val="20"/>
                <w:highlight w:val="black"/>
              </w:rPr>
              <w:t>'''''''''''''''''</w:t>
            </w:r>
          </w:p>
        </w:tc>
      </w:tr>
      <w:tr w:rsidR="00F61688" w:rsidRPr="00C470C8" w:rsidTr="00E73A7B">
        <w:tc>
          <w:tcPr>
            <w:tcW w:w="1543" w:type="dxa"/>
            <w:vAlign w:val="center"/>
          </w:tcPr>
          <w:p w:rsidR="00F61688" w:rsidRPr="00C470C8" w:rsidRDefault="00F61688" w:rsidP="00E73A7B">
            <w:pPr>
              <w:pStyle w:val="ListParagraph"/>
              <w:keepNext/>
              <w:widowControl/>
              <w:ind w:left="0"/>
              <w:jc w:val="left"/>
              <w:rPr>
                <w:rFonts w:ascii="Arial Narrow" w:hAnsi="Arial Narrow"/>
                <w:sz w:val="20"/>
              </w:rPr>
            </w:pPr>
            <w:r w:rsidRPr="00C470C8">
              <w:rPr>
                <w:rFonts w:ascii="Arial Narrow" w:hAnsi="Arial Narrow"/>
                <w:sz w:val="20"/>
              </w:rPr>
              <w:t>Ofatumumab monotherapy</w:t>
            </w:r>
          </w:p>
        </w:tc>
        <w:tc>
          <w:tcPr>
            <w:tcW w:w="6753" w:type="dxa"/>
            <w:gridSpan w:val="2"/>
            <w:vAlign w:val="center"/>
          </w:tcPr>
          <w:p w:rsidR="00F61688" w:rsidRPr="00C470C8" w:rsidRDefault="00F61688" w:rsidP="00E73A7B">
            <w:pPr>
              <w:pStyle w:val="ListParagraph"/>
              <w:keepNext/>
              <w:widowControl/>
              <w:ind w:left="0"/>
              <w:jc w:val="center"/>
              <w:rPr>
                <w:rFonts w:ascii="Arial Narrow" w:hAnsi="Arial Narrow"/>
                <w:sz w:val="20"/>
              </w:rPr>
            </w:pPr>
            <w:r w:rsidRPr="00C470C8">
              <w:rPr>
                <w:rFonts w:ascii="Arial Narrow" w:hAnsi="Arial Narrow"/>
                <w:sz w:val="20"/>
              </w:rPr>
              <w:t>No subsequent costs</w:t>
            </w:r>
          </w:p>
        </w:tc>
      </w:tr>
      <w:tr w:rsidR="00F61688" w:rsidRPr="00C470C8" w:rsidTr="00E73A7B">
        <w:tc>
          <w:tcPr>
            <w:tcW w:w="1543" w:type="dxa"/>
            <w:vAlign w:val="center"/>
          </w:tcPr>
          <w:p w:rsidR="00F61688" w:rsidRPr="00C470C8" w:rsidRDefault="00F61688" w:rsidP="00E73A7B">
            <w:pPr>
              <w:pStyle w:val="ListParagraph"/>
              <w:keepNext/>
              <w:widowControl/>
              <w:ind w:left="0"/>
              <w:jc w:val="left"/>
              <w:rPr>
                <w:rFonts w:ascii="Arial Narrow" w:hAnsi="Arial Narrow"/>
                <w:sz w:val="20"/>
              </w:rPr>
            </w:pPr>
            <w:r w:rsidRPr="00C470C8">
              <w:rPr>
                <w:rFonts w:ascii="Arial Narrow" w:hAnsi="Arial Narrow"/>
                <w:sz w:val="20"/>
              </w:rPr>
              <w:t>Rituximab monotherapy</w:t>
            </w:r>
          </w:p>
        </w:tc>
        <w:tc>
          <w:tcPr>
            <w:tcW w:w="6753" w:type="dxa"/>
            <w:gridSpan w:val="2"/>
            <w:vAlign w:val="center"/>
          </w:tcPr>
          <w:p w:rsidR="00F61688" w:rsidRPr="00C470C8" w:rsidRDefault="00F61688" w:rsidP="00E73A7B">
            <w:pPr>
              <w:pStyle w:val="ListParagraph"/>
              <w:keepNext/>
              <w:widowControl/>
              <w:ind w:left="0"/>
              <w:jc w:val="center"/>
              <w:rPr>
                <w:rFonts w:ascii="Arial Narrow" w:hAnsi="Arial Narrow"/>
                <w:sz w:val="20"/>
              </w:rPr>
            </w:pPr>
            <w:r w:rsidRPr="00C470C8">
              <w:rPr>
                <w:rFonts w:ascii="Arial Narrow" w:hAnsi="Arial Narrow"/>
                <w:sz w:val="20"/>
              </w:rPr>
              <w:t>No subsequent costs</w:t>
            </w:r>
          </w:p>
        </w:tc>
      </w:tr>
      <w:tr w:rsidR="00F61688" w:rsidRPr="00C470C8" w:rsidTr="00E73A7B">
        <w:tc>
          <w:tcPr>
            <w:tcW w:w="1543" w:type="dxa"/>
            <w:vAlign w:val="center"/>
          </w:tcPr>
          <w:p w:rsidR="00F61688" w:rsidRPr="00C470C8" w:rsidRDefault="00F61688" w:rsidP="00E73A7B">
            <w:pPr>
              <w:pStyle w:val="ListParagraph"/>
              <w:keepNext/>
              <w:widowControl/>
              <w:ind w:left="0"/>
              <w:jc w:val="left"/>
              <w:rPr>
                <w:rFonts w:ascii="Arial Narrow" w:hAnsi="Arial Narrow"/>
                <w:sz w:val="20"/>
              </w:rPr>
            </w:pPr>
            <w:r w:rsidRPr="00C470C8">
              <w:rPr>
                <w:rFonts w:ascii="Arial Narrow" w:hAnsi="Arial Narrow"/>
                <w:sz w:val="20"/>
              </w:rPr>
              <w:t>Idelalisib plus rituximab</w:t>
            </w:r>
          </w:p>
        </w:tc>
        <w:tc>
          <w:tcPr>
            <w:tcW w:w="5670" w:type="dxa"/>
            <w:vAlign w:val="center"/>
          </w:tcPr>
          <w:p w:rsidR="00F61688" w:rsidRPr="00C470C8" w:rsidRDefault="00F61688" w:rsidP="00E73A7B">
            <w:pPr>
              <w:pStyle w:val="ListParagraph"/>
              <w:keepNext/>
              <w:widowControl/>
              <w:ind w:left="0"/>
              <w:jc w:val="center"/>
              <w:rPr>
                <w:rFonts w:ascii="Arial Narrow" w:hAnsi="Arial Narrow"/>
                <w:sz w:val="20"/>
              </w:rPr>
            </w:pPr>
            <w:r w:rsidRPr="00C470C8">
              <w:rPr>
                <w:rFonts w:ascii="Arial Narrow" w:hAnsi="Arial Narrow"/>
                <w:sz w:val="20"/>
              </w:rPr>
              <w:t>Idelalisib: $30,241.06 (Canadian price for idelalisib x 168 days per 24 weeks/30 days treatment per assumed pack size)</w:t>
            </w:r>
            <w:r w:rsidRPr="00C470C8">
              <w:rPr>
                <w:rFonts w:ascii="Arial Narrow" w:hAnsi="Arial Narrow"/>
                <w:sz w:val="20"/>
                <w:vertAlign w:val="superscript"/>
              </w:rPr>
              <w:t>d</w:t>
            </w:r>
          </w:p>
          <w:p w:rsidR="00F61688" w:rsidRPr="00C470C8" w:rsidRDefault="00F61688" w:rsidP="00E73A7B">
            <w:pPr>
              <w:pStyle w:val="ListParagraph"/>
              <w:keepNext/>
              <w:widowControl/>
              <w:ind w:left="0"/>
              <w:jc w:val="center"/>
              <w:rPr>
                <w:rFonts w:ascii="Arial Narrow" w:hAnsi="Arial Narrow"/>
                <w:sz w:val="20"/>
                <w:u w:val="single"/>
              </w:rPr>
            </w:pPr>
            <w:r w:rsidRPr="00C470C8">
              <w:rPr>
                <w:rFonts w:ascii="Arial Narrow" w:hAnsi="Arial Narrow"/>
                <w:sz w:val="20"/>
              </w:rPr>
              <w:t>Rituximab: No subsequent costs</w:t>
            </w:r>
          </w:p>
        </w:tc>
        <w:tc>
          <w:tcPr>
            <w:tcW w:w="1083" w:type="dxa"/>
            <w:vAlign w:val="center"/>
          </w:tcPr>
          <w:p w:rsidR="00F61688" w:rsidRPr="00C470C8" w:rsidRDefault="00F61688" w:rsidP="00E73A7B">
            <w:pPr>
              <w:pStyle w:val="ListParagraph"/>
              <w:keepNext/>
              <w:widowControl/>
              <w:ind w:left="0"/>
              <w:jc w:val="center"/>
              <w:rPr>
                <w:rFonts w:ascii="Arial Narrow" w:hAnsi="Arial Narrow"/>
                <w:sz w:val="20"/>
              </w:rPr>
            </w:pPr>
            <w:r w:rsidRPr="00C470C8">
              <w:rPr>
                <w:rFonts w:ascii="Arial Narrow" w:hAnsi="Arial Narrow"/>
                <w:sz w:val="20"/>
              </w:rPr>
              <w:t>$30,241</w:t>
            </w:r>
          </w:p>
        </w:tc>
      </w:tr>
    </w:tbl>
    <w:p w:rsidR="00F61688" w:rsidRDefault="00F61688" w:rsidP="00F61688">
      <w:pPr>
        <w:pStyle w:val="TableFooter"/>
        <w:keepNext/>
        <w:ind w:left="720"/>
      </w:pPr>
      <w:r>
        <w:rPr>
          <w:vertAlign w:val="superscript"/>
        </w:rPr>
        <w:t>a</w:t>
      </w:r>
      <w:r>
        <w:t xml:space="preserve"> The submission assumed that in weeks 5-8, </w:t>
      </w:r>
      <w:r w:rsidR="00204548">
        <w:rPr>
          <w:noProof/>
          <w:color w:val="000000"/>
          <w:highlight w:val="black"/>
        </w:rPr>
        <w:t>''''''</w:t>
      </w:r>
      <w:r>
        <w:t xml:space="preserve">% of the cost would be attributed to the maintenance pack and </w:t>
      </w:r>
      <w:r w:rsidR="00204548">
        <w:rPr>
          <w:noProof/>
          <w:color w:val="000000"/>
          <w:highlight w:val="black"/>
        </w:rPr>
        <w:t>''''''</w:t>
      </w:r>
      <w:r>
        <w:t>% of patients would be treated with 1 week of the 10 mg and 50 mg dose hold packs (split 50:50) and 3 weeks of the maintenance pack</w:t>
      </w:r>
    </w:p>
    <w:p w:rsidR="00F61688" w:rsidRDefault="00F61688" w:rsidP="00F61688">
      <w:pPr>
        <w:pStyle w:val="TableFooter"/>
        <w:keepNext/>
        <w:ind w:left="720"/>
      </w:pPr>
      <w:r>
        <w:rPr>
          <w:vertAlign w:val="superscript"/>
        </w:rPr>
        <w:t>b</w:t>
      </w:r>
      <w:r>
        <w:t xml:space="preserve"> The DPMA for ofatumumab on the PBS is based on a maximum amount of 1000 mg. The submission assumed the DPMA for 2000 mg was 2 x DPMA for 1000 mg.</w:t>
      </w:r>
    </w:p>
    <w:p w:rsidR="00F61688" w:rsidRDefault="00F61688" w:rsidP="00F61688">
      <w:pPr>
        <w:pStyle w:val="TableFooter"/>
        <w:keepNext/>
        <w:ind w:left="720"/>
      </w:pPr>
      <w:r>
        <w:rPr>
          <w:vertAlign w:val="superscript"/>
        </w:rPr>
        <w:t>c</w:t>
      </w:r>
      <w:r>
        <w:t xml:space="preserve"> Weighted public/private DPMAs for the loading dose (375 mg/m</w:t>
      </w:r>
      <w:r>
        <w:rPr>
          <w:vertAlign w:val="superscript"/>
        </w:rPr>
        <w:t>2</w:t>
      </w:r>
      <w:r>
        <w:t>) and maintenance dose (500 mg/</w:t>
      </w:r>
      <w:r w:rsidRPr="005A319F">
        <w:t>m</w:t>
      </w:r>
      <w:r w:rsidRPr="005A319F">
        <w:rPr>
          <w:vertAlign w:val="superscript"/>
        </w:rPr>
        <w:t>2</w:t>
      </w:r>
      <w:r>
        <w:t xml:space="preserve">) </w:t>
      </w:r>
      <w:r w:rsidRPr="005A319F">
        <w:t>were</w:t>
      </w:r>
      <w:r>
        <w:t xml:space="preserve"> calculated using the average body surface area of 1.93m</w:t>
      </w:r>
      <w:r>
        <w:rPr>
          <w:vertAlign w:val="superscript"/>
        </w:rPr>
        <w:t>2</w:t>
      </w:r>
      <w:r>
        <w:t xml:space="preserve"> and using the PBS item numbers 4615X (public) and 7259C (private). </w:t>
      </w:r>
    </w:p>
    <w:p w:rsidR="00F61688" w:rsidRPr="00A426CA" w:rsidRDefault="00F61688" w:rsidP="00F61688">
      <w:pPr>
        <w:pStyle w:val="TableFooter"/>
        <w:keepNext/>
        <w:ind w:left="720"/>
      </w:pPr>
      <w:r>
        <w:rPr>
          <w:vertAlign w:val="superscript"/>
        </w:rPr>
        <w:t>d</w:t>
      </w:r>
      <w:r>
        <w:t xml:space="preserve"> Idelalisib is not currently listed on the PBS. The submission estimated the DPMQ using the published Canadian price for 28 days converted into Australian dollars and the associated dispensing fees to obtain a DPMQ for a 30 day pack.</w:t>
      </w:r>
    </w:p>
    <w:p w:rsidR="007D7640" w:rsidRPr="005A319F" w:rsidRDefault="007D7640" w:rsidP="007D7640">
      <w:pPr>
        <w:pStyle w:val="TableFooter"/>
        <w:keepNext/>
        <w:ind w:left="720"/>
      </w:pPr>
      <w:r>
        <w:t>Source: ‘Economic evaluation versus BSC’, ‘Economic evaluation versus Ofatumumab’ and ‘Economic evaluation versus idelalisib’ Excel spreadsheets of the submission</w:t>
      </w:r>
    </w:p>
    <w:p w:rsidR="00F61688" w:rsidRPr="001E2B1E" w:rsidRDefault="00F61688" w:rsidP="00F61688">
      <w:pPr>
        <w:rPr>
          <w:szCs w:val="22"/>
        </w:rPr>
      </w:pPr>
    </w:p>
    <w:p w:rsidR="00F61688" w:rsidRPr="002C2775" w:rsidRDefault="00F61688" w:rsidP="00F61688">
      <w:pPr>
        <w:pStyle w:val="Heading2"/>
        <w:rPr>
          <w:i/>
        </w:rPr>
      </w:pPr>
      <w:bookmarkStart w:id="29" w:name="_Toc392858201"/>
      <w:bookmarkStart w:id="30" w:name="_Toc472494405"/>
      <w:r w:rsidRPr="002C2775">
        <w:rPr>
          <w:i/>
        </w:rPr>
        <w:t>Estimated PBS usage &amp; financial implications</w:t>
      </w:r>
      <w:bookmarkEnd w:id="29"/>
      <w:bookmarkEnd w:id="30"/>
    </w:p>
    <w:p w:rsidR="00F61688" w:rsidRPr="007D7640" w:rsidRDefault="00F61688" w:rsidP="00F61688">
      <w:pPr>
        <w:ind w:left="720" w:hanging="720"/>
        <w:rPr>
          <w:szCs w:val="22"/>
        </w:rPr>
      </w:pPr>
    </w:p>
    <w:p w:rsidR="00F61688" w:rsidRPr="00DD1DEA" w:rsidRDefault="00F61688" w:rsidP="00DD1DEA">
      <w:pPr>
        <w:pStyle w:val="ListParagraph"/>
        <w:widowControl/>
        <w:numPr>
          <w:ilvl w:val="1"/>
          <w:numId w:val="3"/>
        </w:numPr>
        <w:rPr>
          <w:szCs w:val="22"/>
        </w:rPr>
      </w:pPr>
      <w:r>
        <w:t>This submission was</w:t>
      </w:r>
      <w:r w:rsidR="00D11606">
        <w:t xml:space="preserve"> not</w:t>
      </w:r>
      <w:r>
        <w:t xml:space="preserve"> considered by DUSC</w:t>
      </w:r>
      <w:r w:rsidRPr="00B50DB8">
        <w:rPr>
          <w:color w:val="0070C0"/>
        </w:rPr>
        <w:t>.</w:t>
      </w:r>
      <w:r w:rsidR="00DD1DEA">
        <w:rPr>
          <w:color w:val="0070C0"/>
        </w:rPr>
        <w:t xml:space="preserve"> </w:t>
      </w:r>
      <w:r w:rsidRPr="002F74A0">
        <w:t>The</w:t>
      </w:r>
      <w:r w:rsidR="00DE6BC5">
        <w:t xml:space="preserve"> submission used an epidemiological</w:t>
      </w:r>
      <w:r w:rsidRPr="002F74A0">
        <w:t xml:space="preserve"> approach to estimate the utilisation/financial implications associated with the PBS listing of venetoclax for the trea</w:t>
      </w:r>
      <w:r>
        <w:t>tment of relapsed/refractory CLL</w:t>
      </w:r>
      <w:r w:rsidRPr="002F74A0">
        <w:t xml:space="preserve"> in patients with </w:t>
      </w:r>
      <w:r>
        <w:t>17p deletion/TP53</w:t>
      </w:r>
      <w:r w:rsidRPr="002F74A0">
        <w:t xml:space="preserve"> mutation and patients with highly refractory disease.</w:t>
      </w:r>
    </w:p>
    <w:p w:rsidR="00F22D54" w:rsidRPr="00BE1C7D" w:rsidRDefault="00F22D54" w:rsidP="00BE1C7D">
      <w:pPr>
        <w:ind w:left="720" w:hanging="720"/>
        <w:rPr>
          <w:szCs w:val="22"/>
        </w:rPr>
      </w:pPr>
    </w:p>
    <w:p w:rsidR="00F61688" w:rsidRPr="00AE1180" w:rsidRDefault="00F61688" w:rsidP="00BC2306">
      <w:pPr>
        <w:keepNext/>
        <w:widowControl/>
        <w:ind w:left="720"/>
        <w:rPr>
          <w:rFonts w:ascii="Arial Narrow" w:hAnsi="Arial Narrow"/>
          <w:b/>
          <w:sz w:val="20"/>
        </w:rPr>
      </w:pPr>
      <w:r w:rsidRPr="0053708D">
        <w:rPr>
          <w:rFonts w:ascii="Arial Narrow" w:hAnsi="Arial Narrow"/>
          <w:b/>
          <w:sz w:val="20"/>
        </w:rPr>
        <w:t>Table 1</w:t>
      </w:r>
      <w:r>
        <w:rPr>
          <w:rFonts w:ascii="Arial Narrow" w:hAnsi="Arial Narrow"/>
          <w:b/>
          <w:sz w:val="20"/>
        </w:rPr>
        <w:t>3</w:t>
      </w:r>
      <w:r w:rsidRPr="0053708D">
        <w:rPr>
          <w:rFonts w:ascii="Arial Narrow" w:hAnsi="Arial Narrow"/>
          <w:b/>
          <w:sz w:val="20"/>
        </w:rPr>
        <w:t>: Estim</w:t>
      </w:r>
      <w:r w:rsidRPr="00AE1180">
        <w:rPr>
          <w:rFonts w:ascii="Arial Narrow" w:hAnsi="Arial Narrow"/>
          <w:b/>
          <w:sz w:val="20"/>
        </w:rPr>
        <w:t>ated utilisation and cost to the PBS in the first five years of listing</w:t>
      </w:r>
    </w:p>
    <w:tbl>
      <w:tblPr>
        <w:tblW w:w="4610"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874"/>
        <w:gridCol w:w="1111"/>
        <w:gridCol w:w="1111"/>
        <w:gridCol w:w="1111"/>
        <w:gridCol w:w="1111"/>
        <w:gridCol w:w="1109"/>
      </w:tblGrid>
      <w:tr w:rsidR="00F61688" w:rsidRPr="00ED5078" w:rsidTr="00E73A7B">
        <w:trPr>
          <w:tblHeader/>
        </w:trPr>
        <w:tc>
          <w:tcPr>
            <w:tcW w:w="1705" w:type="pct"/>
            <w:tcBorders>
              <w:left w:val="single" w:sz="4" w:space="0" w:color="auto"/>
              <w:bottom w:val="single" w:sz="4" w:space="0" w:color="auto"/>
            </w:tcBorders>
            <w:shd w:val="clear" w:color="auto" w:fill="auto"/>
            <w:vAlign w:val="bottom"/>
            <w:hideMark/>
          </w:tcPr>
          <w:p w:rsidR="00F61688" w:rsidRPr="00ED5078" w:rsidRDefault="00F61688" w:rsidP="00E73A7B">
            <w:pPr>
              <w:widowControl/>
              <w:rPr>
                <w:rFonts w:ascii="Arial Narrow" w:hAnsi="Arial Narrow"/>
                <w:sz w:val="20"/>
                <w:lang w:eastAsia="en-AU"/>
              </w:rPr>
            </w:pPr>
          </w:p>
        </w:tc>
        <w:tc>
          <w:tcPr>
            <w:tcW w:w="659" w:type="pct"/>
            <w:tcBorders>
              <w:bottom w:val="single" w:sz="4" w:space="0" w:color="auto"/>
            </w:tcBorders>
            <w:shd w:val="clear" w:color="auto" w:fill="auto"/>
            <w:vAlign w:val="bottom"/>
            <w:hideMark/>
          </w:tcPr>
          <w:p w:rsidR="00F61688" w:rsidRDefault="00F61688" w:rsidP="00E73A7B">
            <w:pPr>
              <w:widowControl/>
              <w:jc w:val="center"/>
              <w:rPr>
                <w:rFonts w:ascii="Arial Narrow" w:hAnsi="Arial Narrow"/>
                <w:b/>
                <w:bCs/>
                <w:sz w:val="20"/>
                <w:lang w:eastAsia="en-AU"/>
              </w:rPr>
            </w:pPr>
            <w:r w:rsidRPr="00ED5078">
              <w:rPr>
                <w:rFonts w:ascii="Arial Narrow" w:hAnsi="Arial Narrow"/>
                <w:b/>
                <w:bCs/>
                <w:sz w:val="20"/>
                <w:lang w:eastAsia="en-AU"/>
              </w:rPr>
              <w:t>Year 1</w:t>
            </w:r>
          </w:p>
          <w:p w:rsidR="00F61688" w:rsidRPr="00ED5078" w:rsidRDefault="00F61688" w:rsidP="00E73A7B">
            <w:pPr>
              <w:widowControl/>
              <w:jc w:val="center"/>
              <w:rPr>
                <w:rFonts w:ascii="Arial Narrow" w:hAnsi="Arial Narrow"/>
                <w:b/>
                <w:bCs/>
                <w:sz w:val="20"/>
                <w:lang w:eastAsia="en-AU"/>
              </w:rPr>
            </w:pPr>
            <w:r>
              <w:rPr>
                <w:rFonts w:ascii="Arial Narrow" w:hAnsi="Arial Narrow"/>
                <w:b/>
                <w:bCs/>
                <w:sz w:val="20"/>
                <w:lang w:eastAsia="en-AU"/>
              </w:rPr>
              <w:t>(2017)</w:t>
            </w:r>
          </w:p>
        </w:tc>
        <w:tc>
          <w:tcPr>
            <w:tcW w:w="659" w:type="pct"/>
            <w:tcBorders>
              <w:bottom w:val="single" w:sz="4" w:space="0" w:color="auto"/>
            </w:tcBorders>
            <w:shd w:val="clear" w:color="auto" w:fill="auto"/>
            <w:vAlign w:val="bottom"/>
            <w:hideMark/>
          </w:tcPr>
          <w:p w:rsidR="00F61688" w:rsidRDefault="00F61688" w:rsidP="00E73A7B">
            <w:pPr>
              <w:widowControl/>
              <w:jc w:val="center"/>
              <w:rPr>
                <w:rFonts w:ascii="Arial Narrow" w:hAnsi="Arial Narrow"/>
                <w:b/>
                <w:bCs/>
                <w:sz w:val="20"/>
                <w:lang w:eastAsia="en-AU"/>
              </w:rPr>
            </w:pPr>
            <w:r w:rsidRPr="00ED5078">
              <w:rPr>
                <w:rFonts w:ascii="Arial Narrow" w:hAnsi="Arial Narrow"/>
                <w:b/>
                <w:bCs/>
                <w:sz w:val="20"/>
                <w:lang w:eastAsia="en-AU"/>
              </w:rPr>
              <w:t>Year 2</w:t>
            </w:r>
          </w:p>
          <w:p w:rsidR="00F61688" w:rsidRPr="00ED5078" w:rsidRDefault="00F61688" w:rsidP="00E73A7B">
            <w:pPr>
              <w:widowControl/>
              <w:jc w:val="center"/>
              <w:rPr>
                <w:rFonts w:ascii="Arial Narrow" w:hAnsi="Arial Narrow"/>
                <w:b/>
                <w:bCs/>
                <w:sz w:val="20"/>
                <w:lang w:eastAsia="en-AU"/>
              </w:rPr>
            </w:pPr>
            <w:r>
              <w:rPr>
                <w:rFonts w:ascii="Arial Narrow" w:hAnsi="Arial Narrow"/>
                <w:b/>
                <w:bCs/>
                <w:sz w:val="20"/>
                <w:lang w:eastAsia="en-AU"/>
              </w:rPr>
              <w:t>(2018)</w:t>
            </w:r>
          </w:p>
        </w:tc>
        <w:tc>
          <w:tcPr>
            <w:tcW w:w="659" w:type="pct"/>
            <w:tcBorders>
              <w:bottom w:val="single" w:sz="4" w:space="0" w:color="auto"/>
            </w:tcBorders>
            <w:shd w:val="clear" w:color="auto" w:fill="auto"/>
            <w:vAlign w:val="bottom"/>
            <w:hideMark/>
          </w:tcPr>
          <w:p w:rsidR="00F61688" w:rsidRPr="00ED5078" w:rsidRDefault="00F61688" w:rsidP="00E73A7B">
            <w:pPr>
              <w:widowControl/>
              <w:jc w:val="center"/>
              <w:rPr>
                <w:rFonts w:ascii="Arial Narrow" w:hAnsi="Arial Narrow"/>
                <w:b/>
                <w:bCs/>
                <w:sz w:val="20"/>
                <w:lang w:eastAsia="en-AU"/>
              </w:rPr>
            </w:pPr>
            <w:r w:rsidRPr="00ED5078">
              <w:rPr>
                <w:rFonts w:ascii="Arial Narrow" w:hAnsi="Arial Narrow"/>
                <w:b/>
                <w:bCs/>
                <w:sz w:val="20"/>
                <w:lang w:eastAsia="en-AU"/>
              </w:rPr>
              <w:t>Year 3</w:t>
            </w:r>
            <w:r>
              <w:rPr>
                <w:rFonts w:ascii="Arial Narrow" w:hAnsi="Arial Narrow"/>
                <w:b/>
                <w:bCs/>
                <w:sz w:val="20"/>
                <w:lang w:eastAsia="en-AU"/>
              </w:rPr>
              <w:br/>
              <w:t>(2019)</w:t>
            </w:r>
          </w:p>
        </w:tc>
        <w:tc>
          <w:tcPr>
            <w:tcW w:w="659" w:type="pct"/>
            <w:tcBorders>
              <w:bottom w:val="single" w:sz="4" w:space="0" w:color="auto"/>
            </w:tcBorders>
            <w:shd w:val="clear" w:color="auto" w:fill="auto"/>
            <w:vAlign w:val="bottom"/>
            <w:hideMark/>
          </w:tcPr>
          <w:p w:rsidR="00F61688" w:rsidRDefault="00F61688" w:rsidP="00E73A7B">
            <w:pPr>
              <w:widowControl/>
              <w:jc w:val="center"/>
              <w:rPr>
                <w:rFonts w:ascii="Arial Narrow" w:hAnsi="Arial Narrow"/>
                <w:b/>
                <w:bCs/>
                <w:sz w:val="20"/>
                <w:lang w:eastAsia="en-AU"/>
              </w:rPr>
            </w:pPr>
            <w:r w:rsidRPr="00ED5078">
              <w:rPr>
                <w:rFonts w:ascii="Arial Narrow" w:hAnsi="Arial Narrow"/>
                <w:b/>
                <w:bCs/>
                <w:sz w:val="20"/>
                <w:lang w:eastAsia="en-AU"/>
              </w:rPr>
              <w:t>Year 4</w:t>
            </w:r>
          </w:p>
          <w:p w:rsidR="00F61688" w:rsidRPr="00ED5078" w:rsidRDefault="00F61688" w:rsidP="00E73A7B">
            <w:pPr>
              <w:widowControl/>
              <w:jc w:val="center"/>
              <w:rPr>
                <w:rFonts w:ascii="Arial Narrow" w:hAnsi="Arial Narrow"/>
                <w:b/>
                <w:bCs/>
                <w:sz w:val="20"/>
                <w:lang w:eastAsia="en-AU"/>
              </w:rPr>
            </w:pPr>
            <w:r>
              <w:rPr>
                <w:rFonts w:ascii="Arial Narrow" w:hAnsi="Arial Narrow"/>
                <w:b/>
                <w:bCs/>
                <w:sz w:val="20"/>
                <w:lang w:eastAsia="en-AU"/>
              </w:rPr>
              <w:t>(2020)</w:t>
            </w:r>
          </w:p>
        </w:tc>
        <w:tc>
          <w:tcPr>
            <w:tcW w:w="658" w:type="pct"/>
            <w:tcBorders>
              <w:bottom w:val="single" w:sz="4" w:space="0" w:color="auto"/>
              <w:right w:val="single" w:sz="4" w:space="0" w:color="auto"/>
            </w:tcBorders>
            <w:shd w:val="clear" w:color="auto" w:fill="auto"/>
            <w:vAlign w:val="bottom"/>
            <w:hideMark/>
          </w:tcPr>
          <w:p w:rsidR="00F61688" w:rsidRDefault="00F61688" w:rsidP="00E73A7B">
            <w:pPr>
              <w:widowControl/>
              <w:jc w:val="center"/>
              <w:rPr>
                <w:rFonts w:ascii="Arial Narrow" w:hAnsi="Arial Narrow"/>
                <w:b/>
                <w:bCs/>
                <w:sz w:val="20"/>
                <w:lang w:eastAsia="en-AU"/>
              </w:rPr>
            </w:pPr>
            <w:r w:rsidRPr="00ED5078">
              <w:rPr>
                <w:rFonts w:ascii="Arial Narrow" w:hAnsi="Arial Narrow"/>
                <w:b/>
                <w:bCs/>
                <w:sz w:val="20"/>
                <w:lang w:eastAsia="en-AU"/>
              </w:rPr>
              <w:t>Year 5</w:t>
            </w:r>
          </w:p>
          <w:p w:rsidR="00F61688" w:rsidRPr="00ED5078" w:rsidRDefault="00F61688" w:rsidP="00E73A7B">
            <w:pPr>
              <w:widowControl/>
              <w:jc w:val="center"/>
              <w:rPr>
                <w:rFonts w:ascii="Arial Narrow" w:hAnsi="Arial Narrow"/>
                <w:b/>
                <w:bCs/>
                <w:sz w:val="20"/>
                <w:lang w:eastAsia="en-AU"/>
              </w:rPr>
            </w:pPr>
            <w:r>
              <w:rPr>
                <w:rFonts w:ascii="Arial Narrow" w:hAnsi="Arial Narrow"/>
                <w:b/>
                <w:bCs/>
                <w:sz w:val="20"/>
                <w:lang w:eastAsia="en-AU"/>
              </w:rPr>
              <w:t>(2021)</w:t>
            </w:r>
          </w:p>
        </w:tc>
      </w:tr>
      <w:tr w:rsidR="00F61688" w:rsidRPr="00ED5078" w:rsidTr="00E73A7B">
        <w:tc>
          <w:tcPr>
            <w:tcW w:w="1705" w:type="pct"/>
            <w:tcBorders>
              <w:top w:val="single" w:sz="4" w:space="0" w:color="auto"/>
              <w:left w:val="single" w:sz="4" w:space="0" w:color="auto"/>
              <w:bottom w:val="single" w:sz="4" w:space="0" w:color="auto"/>
            </w:tcBorders>
            <w:shd w:val="clear" w:color="auto" w:fill="auto"/>
            <w:noWrap/>
            <w:vAlign w:val="bottom"/>
          </w:tcPr>
          <w:p w:rsidR="00F61688" w:rsidRPr="00ED5078" w:rsidRDefault="00F61688" w:rsidP="00E73A7B">
            <w:pPr>
              <w:widowControl/>
              <w:jc w:val="left"/>
              <w:rPr>
                <w:rFonts w:ascii="Arial Narrow" w:hAnsi="Arial Narrow"/>
                <w:sz w:val="20"/>
                <w:lang w:eastAsia="en-AU"/>
              </w:rPr>
            </w:pPr>
            <w:r>
              <w:rPr>
                <w:rFonts w:ascii="Arial Narrow" w:hAnsi="Arial Narrow"/>
                <w:sz w:val="20"/>
                <w:lang w:eastAsia="en-AU"/>
              </w:rPr>
              <w:t xml:space="preserve">Incident patients with relapsed/ refractory CLL </w:t>
            </w:r>
          </w:p>
        </w:tc>
        <w:tc>
          <w:tcPr>
            <w:tcW w:w="659" w:type="pct"/>
            <w:tcBorders>
              <w:top w:val="single" w:sz="4" w:space="0" w:color="auto"/>
              <w:bottom w:val="single" w:sz="4" w:space="0" w:color="auto"/>
            </w:tcBorders>
            <w:shd w:val="clear" w:color="auto" w:fill="auto"/>
            <w:vAlign w:val="center"/>
          </w:tcPr>
          <w:p w:rsidR="00F61688" w:rsidRPr="00204548" w:rsidRDefault="00204548" w:rsidP="00E73A7B">
            <w:pPr>
              <w:widowControl/>
              <w:jc w:val="center"/>
              <w:rPr>
                <w:rFonts w:ascii="Arial Narrow" w:hAnsi="Arial Narrow"/>
                <w:sz w:val="20"/>
                <w:highlight w:val="black"/>
                <w:vertAlign w:val="superscript"/>
              </w:rPr>
            </w:pPr>
            <w:r>
              <w:rPr>
                <w:rFonts w:ascii="Arial Narrow" w:hAnsi="Arial Narrow"/>
                <w:noProof/>
                <w:color w:val="000000"/>
                <w:sz w:val="20"/>
                <w:highlight w:val="black"/>
              </w:rPr>
              <w:t>'''''''''</w:t>
            </w:r>
          </w:p>
        </w:tc>
        <w:tc>
          <w:tcPr>
            <w:tcW w:w="659" w:type="pct"/>
            <w:tcBorders>
              <w:top w:val="single" w:sz="4" w:space="0" w:color="auto"/>
              <w:bottom w:val="single" w:sz="4" w:space="0" w:color="auto"/>
            </w:tcBorders>
            <w:shd w:val="clear" w:color="auto" w:fill="auto"/>
            <w:vAlign w:val="center"/>
          </w:tcPr>
          <w:p w:rsidR="00F61688" w:rsidRPr="00204548" w:rsidRDefault="00204548" w:rsidP="00E73A7B">
            <w:pPr>
              <w:widowControl/>
              <w:jc w:val="center"/>
              <w:rPr>
                <w:rFonts w:ascii="Arial Narrow" w:hAnsi="Arial Narrow"/>
                <w:sz w:val="20"/>
                <w:highlight w:val="black"/>
                <w:vertAlign w:val="superscript"/>
              </w:rPr>
            </w:pPr>
            <w:r>
              <w:rPr>
                <w:rFonts w:ascii="Arial Narrow" w:hAnsi="Arial Narrow"/>
                <w:noProof/>
                <w:color w:val="000000"/>
                <w:sz w:val="20"/>
                <w:highlight w:val="black"/>
              </w:rPr>
              <w:t>''''''''''</w:t>
            </w:r>
          </w:p>
        </w:tc>
        <w:tc>
          <w:tcPr>
            <w:tcW w:w="659" w:type="pct"/>
            <w:tcBorders>
              <w:top w:val="single" w:sz="4" w:space="0" w:color="auto"/>
              <w:bottom w:val="single" w:sz="4" w:space="0" w:color="auto"/>
            </w:tcBorders>
            <w:shd w:val="clear" w:color="auto" w:fill="auto"/>
            <w:vAlign w:val="center"/>
          </w:tcPr>
          <w:p w:rsidR="00F61688" w:rsidRPr="00204548" w:rsidRDefault="00204548" w:rsidP="00E73A7B">
            <w:pPr>
              <w:widowControl/>
              <w:jc w:val="center"/>
              <w:rPr>
                <w:rFonts w:ascii="Arial Narrow" w:hAnsi="Arial Narrow"/>
                <w:sz w:val="20"/>
                <w:highlight w:val="black"/>
              </w:rPr>
            </w:pPr>
            <w:r>
              <w:rPr>
                <w:rFonts w:ascii="Arial Narrow" w:hAnsi="Arial Narrow"/>
                <w:noProof/>
                <w:color w:val="000000"/>
                <w:sz w:val="20"/>
                <w:highlight w:val="black"/>
              </w:rPr>
              <w:t>'''''''''</w:t>
            </w:r>
          </w:p>
        </w:tc>
        <w:tc>
          <w:tcPr>
            <w:tcW w:w="659" w:type="pct"/>
            <w:tcBorders>
              <w:top w:val="single" w:sz="4" w:space="0" w:color="auto"/>
              <w:bottom w:val="single" w:sz="4" w:space="0" w:color="auto"/>
            </w:tcBorders>
            <w:shd w:val="clear" w:color="auto" w:fill="auto"/>
            <w:vAlign w:val="center"/>
          </w:tcPr>
          <w:p w:rsidR="00F61688" w:rsidRPr="00204548" w:rsidRDefault="00204548" w:rsidP="00E73A7B">
            <w:pPr>
              <w:widowControl/>
              <w:jc w:val="center"/>
              <w:rPr>
                <w:rFonts w:ascii="Arial Narrow" w:hAnsi="Arial Narrow"/>
                <w:sz w:val="20"/>
                <w:highlight w:val="black"/>
              </w:rPr>
            </w:pPr>
            <w:r>
              <w:rPr>
                <w:rFonts w:ascii="Arial Narrow" w:hAnsi="Arial Narrow"/>
                <w:noProof/>
                <w:color w:val="000000"/>
                <w:sz w:val="20"/>
                <w:highlight w:val="black"/>
              </w:rPr>
              <w:t>'''''''''</w:t>
            </w:r>
          </w:p>
        </w:tc>
        <w:tc>
          <w:tcPr>
            <w:tcW w:w="658" w:type="pct"/>
            <w:tcBorders>
              <w:top w:val="single" w:sz="4" w:space="0" w:color="auto"/>
              <w:bottom w:val="single" w:sz="4" w:space="0" w:color="auto"/>
              <w:right w:val="single" w:sz="4" w:space="0" w:color="auto"/>
            </w:tcBorders>
            <w:shd w:val="clear" w:color="auto" w:fill="auto"/>
            <w:vAlign w:val="center"/>
          </w:tcPr>
          <w:p w:rsidR="00F61688" w:rsidRPr="00204548" w:rsidRDefault="00204548" w:rsidP="00E73A7B">
            <w:pPr>
              <w:widowControl/>
              <w:jc w:val="center"/>
              <w:rPr>
                <w:rFonts w:ascii="Arial Narrow" w:hAnsi="Arial Narrow"/>
                <w:sz w:val="20"/>
                <w:highlight w:val="black"/>
              </w:rPr>
            </w:pPr>
            <w:r>
              <w:rPr>
                <w:rFonts w:ascii="Arial Narrow" w:hAnsi="Arial Narrow"/>
                <w:noProof/>
                <w:color w:val="000000"/>
                <w:sz w:val="20"/>
                <w:highlight w:val="black"/>
              </w:rPr>
              <w:t>''''''''''</w:t>
            </w:r>
          </w:p>
        </w:tc>
      </w:tr>
      <w:tr w:rsidR="00F61688" w:rsidRPr="00ED5078" w:rsidTr="00E73A7B">
        <w:tc>
          <w:tcPr>
            <w:tcW w:w="1705" w:type="pct"/>
            <w:tcBorders>
              <w:left w:val="single" w:sz="4" w:space="0" w:color="auto"/>
              <w:bottom w:val="single" w:sz="4" w:space="0" w:color="auto"/>
            </w:tcBorders>
            <w:shd w:val="clear" w:color="auto" w:fill="auto"/>
            <w:noWrap/>
            <w:vAlign w:val="bottom"/>
          </w:tcPr>
          <w:p w:rsidR="00F61688" w:rsidRPr="0053708D" w:rsidRDefault="00F61688" w:rsidP="00E73A7B">
            <w:pPr>
              <w:widowControl/>
              <w:jc w:val="left"/>
              <w:rPr>
                <w:rFonts w:ascii="Arial Narrow" w:hAnsi="Arial Narrow"/>
                <w:sz w:val="20"/>
                <w:vertAlign w:val="superscript"/>
                <w:lang w:eastAsia="en-AU"/>
              </w:rPr>
            </w:pPr>
            <w:r>
              <w:rPr>
                <w:rFonts w:ascii="Arial Narrow" w:hAnsi="Arial Narrow"/>
                <w:sz w:val="20"/>
                <w:lang w:eastAsia="en-AU"/>
              </w:rPr>
              <w:t>Patients with 17p deletion (32.8%)</w:t>
            </w:r>
            <w:r>
              <w:rPr>
                <w:rFonts w:ascii="Arial Narrow" w:hAnsi="Arial Narrow"/>
                <w:sz w:val="20"/>
                <w:vertAlign w:val="superscript"/>
                <w:lang w:eastAsia="en-AU"/>
              </w:rPr>
              <w:t>a</w:t>
            </w:r>
          </w:p>
        </w:tc>
        <w:tc>
          <w:tcPr>
            <w:tcW w:w="659" w:type="pct"/>
            <w:tcBorders>
              <w:bottom w:val="single" w:sz="4" w:space="0" w:color="auto"/>
            </w:tcBorders>
            <w:shd w:val="clear" w:color="auto" w:fill="auto"/>
            <w:vAlign w:val="center"/>
          </w:tcPr>
          <w:p w:rsidR="00F61688" w:rsidRPr="00204548" w:rsidRDefault="00204548" w:rsidP="00E73A7B">
            <w:pPr>
              <w:widowControl/>
              <w:jc w:val="center"/>
              <w:rPr>
                <w:rFonts w:ascii="Arial Narrow" w:hAnsi="Arial Narrow"/>
                <w:iCs/>
                <w:sz w:val="20"/>
                <w:highlight w:val="black"/>
              </w:rPr>
            </w:pPr>
            <w:r>
              <w:rPr>
                <w:rFonts w:ascii="Arial Narrow" w:hAnsi="Arial Narrow"/>
                <w:iCs/>
                <w:noProof/>
                <w:color w:val="000000"/>
                <w:sz w:val="20"/>
                <w:highlight w:val="black"/>
              </w:rPr>
              <w:t>''''''''</w:t>
            </w:r>
          </w:p>
        </w:tc>
        <w:tc>
          <w:tcPr>
            <w:tcW w:w="659" w:type="pct"/>
            <w:tcBorders>
              <w:bottom w:val="single" w:sz="4" w:space="0" w:color="auto"/>
            </w:tcBorders>
            <w:shd w:val="clear" w:color="auto" w:fill="auto"/>
            <w:vAlign w:val="center"/>
          </w:tcPr>
          <w:p w:rsidR="00F61688" w:rsidRPr="00204548" w:rsidRDefault="00204548" w:rsidP="00E73A7B">
            <w:pPr>
              <w:widowControl/>
              <w:jc w:val="center"/>
              <w:rPr>
                <w:rFonts w:ascii="Arial Narrow" w:hAnsi="Arial Narrow"/>
                <w:iCs/>
                <w:sz w:val="20"/>
                <w:highlight w:val="black"/>
              </w:rPr>
            </w:pPr>
            <w:r>
              <w:rPr>
                <w:rFonts w:ascii="Arial Narrow" w:hAnsi="Arial Narrow"/>
                <w:iCs/>
                <w:noProof/>
                <w:color w:val="000000"/>
                <w:sz w:val="20"/>
                <w:highlight w:val="black"/>
              </w:rPr>
              <w:t>'''''''''</w:t>
            </w:r>
          </w:p>
        </w:tc>
        <w:tc>
          <w:tcPr>
            <w:tcW w:w="659" w:type="pct"/>
            <w:tcBorders>
              <w:bottom w:val="single" w:sz="4" w:space="0" w:color="auto"/>
            </w:tcBorders>
            <w:shd w:val="clear" w:color="auto" w:fill="auto"/>
            <w:vAlign w:val="center"/>
          </w:tcPr>
          <w:p w:rsidR="00F61688" w:rsidRPr="00204548" w:rsidRDefault="00204548" w:rsidP="00E73A7B">
            <w:pPr>
              <w:widowControl/>
              <w:jc w:val="center"/>
              <w:rPr>
                <w:rFonts w:ascii="Arial Narrow" w:hAnsi="Arial Narrow"/>
                <w:iCs/>
                <w:sz w:val="20"/>
                <w:highlight w:val="black"/>
              </w:rPr>
            </w:pPr>
            <w:r>
              <w:rPr>
                <w:rFonts w:ascii="Arial Narrow" w:hAnsi="Arial Narrow"/>
                <w:iCs/>
                <w:noProof/>
                <w:color w:val="000000"/>
                <w:sz w:val="20"/>
                <w:highlight w:val="black"/>
              </w:rPr>
              <w:t>''''''''''</w:t>
            </w:r>
          </w:p>
        </w:tc>
        <w:tc>
          <w:tcPr>
            <w:tcW w:w="659" w:type="pct"/>
            <w:tcBorders>
              <w:bottom w:val="single" w:sz="4" w:space="0" w:color="auto"/>
            </w:tcBorders>
            <w:shd w:val="clear" w:color="auto" w:fill="auto"/>
            <w:vAlign w:val="center"/>
          </w:tcPr>
          <w:p w:rsidR="00F61688" w:rsidRPr="00204548" w:rsidRDefault="00204548" w:rsidP="00E73A7B">
            <w:pPr>
              <w:widowControl/>
              <w:jc w:val="center"/>
              <w:rPr>
                <w:rFonts w:ascii="Arial Narrow" w:hAnsi="Arial Narrow"/>
                <w:iCs/>
                <w:sz w:val="20"/>
                <w:highlight w:val="black"/>
              </w:rPr>
            </w:pPr>
            <w:r>
              <w:rPr>
                <w:rFonts w:ascii="Arial Narrow" w:hAnsi="Arial Narrow"/>
                <w:iCs/>
                <w:noProof/>
                <w:color w:val="000000"/>
                <w:sz w:val="20"/>
                <w:highlight w:val="black"/>
              </w:rPr>
              <w:t>'''''''''</w:t>
            </w:r>
          </w:p>
        </w:tc>
        <w:tc>
          <w:tcPr>
            <w:tcW w:w="658" w:type="pct"/>
            <w:tcBorders>
              <w:bottom w:val="single" w:sz="4" w:space="0" w:color="auto"/>
              <w:right w:val="single" w:sz="4" w:space="0" w:color="auto"/>
            </w:tcBorders>
            <w:shd w:val="clear" w:color="auto" w:fill="auto"/>
            <w:vAlign w:val="center"/>
          </w:tcPr>
          <w:p w:rsidR="00F61688" w:rsidRPr="00204548" w:rsidRDefault="00204548" w:rsidP="00E73A7B">
            <w:pPr>
              <w:widowControl/>
              <w:jc w:val="center"/>
              <w:rPr>
                <w:rFonts w:ascii="Arial Narrow" w:hAnsi="Arial Narrow"/>
                <w:iCs/>
                <w:sz w:val="20"/>
                <w:highlight w:val="black"/>
              </w:rPr>
            </w:pPr>
            <w:r>
              <w:rPr>
                <w:rFonts w:ascii="Arial Narrow" w:hAnsi="Arial Narrow"/>
                <w:iCs/>
                <w:noProof/>
                <w:color w:val="000000"/>
                <w:sz w:val="20"/>
                <w:highlight w:val="black"/>
              </w:rPr>
              <w:t>''''''''''</w:t>
            </w:r>
          </w:p>
        </w:tc>
      </w:tr>
      <w:tr w:rsidR="00F61688" w:rsidRPr="00ED5078" w:rsidTr="00E73A7B">
        <w:tc>
          <w:tcPr>
            <w:tcW w:w="1705" w:type="pct"/>
            <w:tcBorders>
              <w:left w:val="single" w:sz="4" w:space="0" w:color="auto"/>
              <w:bottom w:val="single" w:sz="4" w:space="0" w:color="auto"/>
            </w:tcBorders>
            <w:shd w:val="clear" w:color="auto" w:fill="auto"/>
            <w:noWrap/>
            <w:vAlign w:val="bottom"/>
          </w:tcPr>
          <w:p w:rsidR="00F61688" w:rsidRPr="0053708D" w:rsidRDefault="00F61688" w:rsidP="00E73A7B">
            <w:pPr>
              <w:widowControl/>
              <w:jc w:val="left"/>
              <w:rPr>
                <w:rFonts w:ascii="Arial Narrow" w:hAnsi="Arial Narrow"/>
                <w:sz w:val="20"/>
                <w:vertAlign w:val="superscript"/>
                <w:lang w:eastAsia="en-AU"/>
              </w:rPr>
            </w:pPr>
            <w:r>
              <w:rPr>
                <w:rFonts w:ascii="Arial Narrow" w:hAnsi="Arial Narrow"/>
                <w:sz w:val="20"/>
                <w:lang w:eastAsia="en-AU"/>
              </w:rPr>
              <w:t>Patients TP53 mutation (4.0%)</w:t>
            </w:r>
            <w:r>
              <w:rPr>
                <w:rFonts w:ascii="Arial Narrow" w:hAnsi="Arial Narrow"/>
                <w:sz w:val="20"/>
                <w:vertAlign w:val="superscript"/>
                <w:lang w:eastAsia="en-AU"/>
              </w:rPr>
              <w:t>a</w:t>
            </w:r>
          </w:p>
        </w:tc>
        <w:tc>
          <w:tcPr>
            <w:tcW w:w="659" w:type="pct"/>
            <w:tcBorders>
              <w:bottom w:val="single" w:sz="4" w:space="0" w:color="auto"/>
            </w:tcBorders>
            <w:shd w:val="clear" w:color="auto" w:fill="auto"/>
            <w:vAlign w:val="center"/>
          </w:tcPr>
          <w:p w:rsidR="00F61688" w:rsidRPr="00204548" w:rsidRDefault="00204548" w:rsidP="00E73A7B">
            <w:pPr>
              <w:widowControl/>
              <w:jc w:val="center"/>
              <w:rPr>
                <w:rFonts w:ascii="Arial Narrow" w:hAnsi="Arial Narrow"/>
                <w:iCs/>
                <w:sz w:val="20"/>
                <w:highlight w:val="black"/>
              </w:rPr>
            </w:pPr>
            <w:r>
              <w:rPr>
                <w:rFonts w:ascii="Arial Narrow" w:hAnsi="Arial Narrow"/>
                <w:iCs/>
                <w:noProof/>
                <w:color w:val="000000"/>
                <w:sz w:val="20"/>
                <w:highlight w:val="black"/>
              </w:rPr>
              <w:t>'''</w:t>
            </w:r>
          </w:p>
        </w:tc>
        <w:tc>
          <w:tcPr>
            <w:tcW w:w="659" w:type="pct"/>
            <w:tcBorders>
              <w:bottom w:val="single" w:sz="4" w:space="0" w:color="auto"/>
            </w:tcBorders>
            <w:shd w:val="clear" w:color="auto" w:fill="auto"/>
            <w:vAlign w:val="center"/>
          </w:tcPr>
          <w:p w:rsidR="00F61688" w:rsidRPr="00204548" w:rsidRDefault="00204548" w:rsidP="00E73A7B">
            <w:pPr>
              <w:widowControl/>
              <w:jc w:val="center"/>
              <w:rPr>
                <w:rFonts w:ascii="Arial Narrow" w:hAnsi="Arial Narrow"/>
                <w:iCs/>
                <w:sz w:val="20"/>
                <w:highlight w:val="black"/>
              </w:rPr>
            </w:pPr>
            <w:r>
              <w:rPr>
                <w:rFonts w:ascii="Arial Narrow" w:hAnsi="Arial Narrow"/>
                <w:iCs/>
                <w:noProof/>
                <w:color w:val="000000"/>
                <w:sz w:val="20"/>
                <w:highlight w:val="black"/>
              </w:rPr>
              <w:t>'''</w:t>
            </w:r>
          </w:p>
        </w:tc>
        <w:tc>
          <w:tcPr>
            <w:tcW w:w="659" w:type="pct"/>
            <w:tcBorders>
              <w:bottom w:val="single" w:sz="4" w:space="0" w:color="auto"/>
            </w:tcBorders>
            <w:shd w:val="clear" w:color="auto" w:fill="auto"/>
            <w:vAlign w:val="center"/>
          </w:tcPr>
          <w:p w:rsidR="00F61688" w:rsidRPr="00204548" w:rsidRDefault="00204548" w:rsidP="00E73A7B">
            <w:pPr>
              <w:widowControl/>
              <w:jc w:val="center"/>
              <w:rPr>
                <w:rFonts w:ascii="Arial Narrow" w:hAnsi="Arial Narrow"/>
                <w:iCs/>
                <w:sz w:val="20"/>
                <w:highlight w:val="black"/>
              </w:rPr>
            </w:pPr>
            <w:r>
              <w:rPr>
                <w:rFonts w:ascii="Arial Narrow" w:hAnsi="Arial Narrow"/>
                <w:iCs/>
                <w:noProof/>
                <w:color w:val="000000"/>
                <w:sz w:val="20"/>
                <w:highlight w:val="black"/>
              </w:rPr>
              <w:t>'''</w:t>
            </w:r>
          </w:p>
        </w:tc>
        <w:tc>
          <w:tcPr>
            <w:tcW w:w="659" w:type="pct"/>
            <w:tcBorders>
              <w:bottom w:val="single" w:sz="4" w:space="0" w:color="auto"/>
            </w:tcBorders>
            <w:shd w:val="clear" w:color="auto" w:fill="auto"/>
            <w:vAlign w:val="center"/>
          </w:tcPr>
          <w:p w:rsidR="00F61688" w:rsidRPr="00204548" w:rsidRDefault="00204548" w:rsidP="00E73A7B">
            <w:pPr>
              <w:widowControl/>
              <w:jc w:val="center"/>
              <w:rPr>
                <w:rFonts w:ascii="Arial Narrow" w:hAnsi="Arial Narrow"/>
                <w:iCs/>
                <w:sz w:val="20"/>
                <w:highlight w:val="black"/>
              </w:rPr>
            </w:pPr>
            <w:r>
              <w:rPr>
                <w:rFonts w:ascii="Arial Narrow" w:hAnsi="Arial Narrow"/>
                <w:iCs/>
                <w:noProof/>
                <w:color w:val="000000"/>
                <w:sz w:val="20"/>
                <w:highlight w:val="black"/>
              </w:rPr>
              <w:t>''''</w:t>
            </w:r>
          </w:p>
        </w:tc>
        <w:tc>
          <w:tcPr>
            <w:tcW w:w="658" w:type="pct"/>
            <w:tcBorders>
              <w:bottom w:val="single" w:sz="4" w:space="0" w:color="auto"/>
              <w:right w:val="single" w:sz="4" w:space="0" w:color="auto"/>
            </w:tcBorders>
            <w:shd w:val="clear" w:color="auto" w:fill="auto"/>
            <w:vAlign w:val="center"/>
          </w:tcPr>
          <w:p w:rsidR="00F61688" w:rsidRPr="00204548" w:rsidRDefault="00204548" w:rsidP="00E73A7B">
            <w:pPr>
              <w:widowControl/>
              <w:jc w:val="center"/>
              <w:rPr>
                <w:rFonts w:ascii="Arial Narrow" w:hAnsi="Arial Narrow"/>
                <w:iCs/>
                <w:sz w:val="20"/>
                <w:highlight w:val="black"/>
              </w:rPr>
            </w:pPr>
            <w:r>
              <w:rPr>
                <w:rFonts w:ascii="Arial Narrow" w:hAnsi="Arial Narrow"/>
                <w:iCs/>
                <w:noProof/>
                <w:color w:val="000000"/>
                <w:sz w:val="20"/>
                <w:highlight w:val="black"/>
              </w:rPr>
              <w:t>'''</w:t>
            </w:r>
          </w:p>
        </w:tc>
      </w:tr>
      <w:tr w:rsidR="00F61688" w:rsidRPr="00ED5078" w:rsidTr="00E73A7B">
        <w:tc>
          <w:tcPr>
            <w:tcW w:w="1705" w:type="pct"/>
            <w:tcBorders>
              <w:left w:val="single" w:sz="4" w:space="0" w:color="auto"/>
              <w:bottom w:val="single" w:sz="4" w:space="0" w:color="auto"/>
            </w:tcBorders>
            <w:shd w:val="clear" w:color="auto" w:fill="auto"/>
            <w:noWrap/>
            <w:vAlign w:val="bottom"/>
          </w:tcPr>
          <w:p w:rsidR="00F61688" w:rsidRPr="00016E63" w:rsidRDefault="00F61688" w:rsidP="00E73A7B">
            <w:pPr>
              <w:widowControl/>
              <w:jc w:val="left"/>
              <w:rPr>
                <w:rFonts w:ascii="Arial Narrow" w:hAnsi="Arial Narrow"/>
                <w:sz w:val="20"/>
                <w:vertAlign w:val="superscript"/>
                <w:lang w:eastAsia="en-AU"/>
              </w:rPr>
            </w:pPr>
            <w:r>
              <w:rPr>
                <w:rFonts w:ascii="Arial Narrow" w:hAnsi="Arial Narrow"/>
                <w:sz w:val="20"/>
                <w:lang w:eastAsia="en-AU"/>
              </w:rPr>
              <w:t>Patients with highly refractory disease (12.7%)</w:t>
            </w:r>
            <w:r>
              <w:rPr>
                <w:rFonts w:ascii="Arial Narrow" w:hAnsi="Arial Narrow"/>
                <w:sz w:val="20"/>
                <w:vertAlign w:val="superscript"/>
                <w:lang w:eastAsia="en-AU"/>
              </w:rPr>
              <w:t>b</w:t>
            </w:r>
          </w:p>
        </w:tc>
        <w:tc>
          <w:tcPr>
            <w:tcW w:w="659" w:type="pct"/>
            <w:tcBorders>
              <w:bottom w:val="single" w:sz="4" w:space="0" w:color="auto"/>
            </w:tcBorders>
            <w:shd w:val="clear" w:color="auto" w:fill="auto"/>
            <w:vAlign w:val="center"/>
          </w:tcPr>
          <w:p w:rsidR="00F61688" w:rsidRPr="00204548" w:rsidRDefault="00204548" w:rsidP="00E73A7B">
            <w:pPr>
              <w:widowControl/>
              <w:jc w:val="center"/>
              <w:rPr>
                <w:rFonts w:ascii="Arial Narrow" w:hAnsi="Arial Narrow"/>
                <w:iCs/>
                <w:sz w:val="20"/>
                <w:highlight w:val="black"/>
              </w:rPr>
            </w:pPr>
            <w:r>
              <w:rPr>
                <w:rFonts w:ascii="Arial Narrow" w:hAnsi="Arial Narrow"/>
                <w:iCs/>
                <w:noProof/>
                <w:color w:val="000000"/>
                <w:sz w:val="20"/>
                <w:highlight w:val="black"/>
              </w:rPr>
              <w:t>''''''</w:t>
            </w:r>
          </w:p>
        </w:tc>
        <w:tc>
          <w:tcPr>
            <w:tcW w:w="659" w:type="pct"/>
            <w:tcBorders>
              <w:bottom w:val="single" w:sz="4" w:space="0" w:color="auto"/>
            </w:tcBorders>
            <w:shd w:val="clear" w:color="auto" w:fill="auto"/>
            <w:vAlign w:val="center"/>
          </w:tcPr>
          <w:p w:rsidR="00F61688" w:rsidRPr="00204548" w:rsidRDefault="00204548" w:rsidP="00E73A7B">
            <w:pPr>
              <w:widowControl/>
              <w:jc w:val="center"/>
              <w:rPr>
                <w:rFonts w:ascii="Arial Narrow" w:hAnsi="Arial Narrow"/>
                <w:iCs/>
                <w:sz w:val="20"/>
                <w:highlight w:val="black"/>
              </w:rPr>
            </w:pPr>
            <w:r>
              <w:rPr>
                <w:rFonts w:ascii="Arial Narrow" w:hAnsi="Arial Narrow"/>
                <w:iCs/>
                <w:noProof/>
                <w:color w:val="000000"/>
                <w:sz w:val="20"/>
                <w:highlight w:val="black"/>
              </w:rPr>
              <w:t>'''''</w:t>
            </w:r>
          </w:p>
        </w:tc>
        <w:tc>
          <w:tcPr>
            <w:tcW w:w="659" w:type="pct"/>
            <w:tcBorders>
              <w:bottom w:val="single" w:sz="4" w:space="0" w:color="auto"/>
            </w:tcBorders>
            <w:shd w:val="clear" w:color="auto" w:fill="auto"/>
            <w:vAlign w:val="center"/>
          </w:tcPr>
          <w:p w:rsidR="00F61688" w:rsidRPr="00204548" w:rsidRDefault="00204548" w:rsidP="00E73A7B">
            <w:pPr>
              <w:widowControl/>
              <w:jc w:val="center"/>
              <w:rPr>
                <w:rFonts w:ascii="Arial Narrow" w:hAnsi="Arial Narrow"/>
                <w:iCs/>
                <w:sz w:val="20"/>
                <w:highlight w:val="black"/>
              </w:rPr>
            </w:pPr>
            <w:r>
              <w:rPr>
                <w:rFonts w:ascii="Arial Narrow" w:hAnsi="Arial Narrow"/>
                <w:iCs/>
                <w:noProof/>
                <w:color w:val="000000"/>
                <w:sz w:val="20"/>
                <w:highlight w:val="black"/>
              </w:rPr>
              <w:t>''''''</w:t>
            </w:r>
          </w:p>
        </w:tc>
        <w:tc>
          <w:tcPr>
            <w:tcW w:w="659" w:type="pct"/>
            <w:tcBorders>
              <w:bottom w:val="single" w:sz="4" w:space="0" w:color="auto"/>
            </w:tcBorders>
            <w:shd w:val="clear" w:color="auto" w:fill="auto"/>
            <w:vAlign w:val="center"/>
          </w:tcPr>
          <w:p w:rsidR="00F61688" w:rsidRPr="00204548" w:rsidRDefault="00204548" w:rsidP="00E73A7B">
            <w:pPr>
              <w:widowControl/>
              <w:jc w:val="center"/>
              <w:rPr>
                <w:rFonts w:ascii="Arial Narrow" w:hAnsi="Arial Narrow"/>
                <w:iCs/>
                <w:sz w:val="20"/>
                <w:highlight w:val="black"/>
              </w:rPr>
            </w:pPr>
            <w:r>
              <w:rPr>
                <w:rFonts w:ascii="Arial Narrow" w:hAnsi="Arial Narrow"/>
                <w:iCs/>
                <w:noProof/>
                <w:color w:val="000000"/>
                <w:sz w:val="20"/>
                <w:highlight w:val="black"/>
              </w:rPr>
              <w:t>'''''''</w:t>
            </w:r>
          </w:p>
        </w:tc>
        <w:tc>
          <w:tcPr>
            <w:tcW w:w="658" w:type="pct"/>
            <w:tcBorders>
              <w:bottom w:val="single" w:sz="4" w:space="0" w:color="auto"/>
              <w:right w:val="single" w:sz="4" w:space="0" w:color="auto"/>
            </w:tcBorders>
            <w:shd w:val="clear" w:color="auto" w:fill="auto"/>
            <w:vAlign w:val="center"/>
          </w:tcPr>
          <w:p w:rsidR="00F61688" w:rsidRPr="00204548" w:rsidRDefault="00204548" w:rsidP="00E73A7B">
            <w:pPr>
              <w:widowControl/>
              <w:jc w:val="center"/>
              <w:rPr>
                <w:rFonts w:ascii="Arial Narrow" w:hAnsi="Arial Narrow"/>
                <w:iCs/>
                <w:sz w:val="20"/>
                <w:highlight w:val="black"/>
              </w:rPr>
            </w:pPr>
            <w:r>
              <w:rPr>
                <w:rFonts w:ascii="Arial Narrow" w:hAnsi="Arial Narrow"/>
                <w:iCs/>
                <w:noProof/>
                <w:color w:val="000000"/>
                <w:sz w:val="20"/>
                <w:highlight w:val="black"/>
              </w:rPr>
              <w:t>''''''</w:t>
            </w:r>
          </w:p>
        </w:tc>
      </w:tr>
      <w:tr w:rsidR="00F61688" w:rsidRPr="00ED5078" w:rsidTr="00E73A7B">
        <w:tc>
          <w:tcPr>
            <w:tcW w:w="1705" w:type="pct"/>
            <w:tcBorders>
              <w:left w:val="single" w:sz="4" w:space="0" w:color="auto"/>
              <w:bottom w:val="single" w:sz="4" w:space="0" w:color="auto"/>
            </w:tcBorders>
            <w:shd w:val="clear" w:color="auto" w:fill="auto"/>
            <w:noWrap/>
            <w:vAlign w:val="bottom"/>
          </w:tcPr>
          <w:p w:rsidR="00F61688" w:rsidRPr="00E604BE" w:rsidRDefault="00F61688" w:rsidP="00E73A7B">
            <w:pPr>
              <w:widowControl/>
              <w:jc w:val="left"/>
              <w:rPr>
                <w:rFonts w:ascii="Arial Narrow" w:hAnsi="Arial Narrow"/>
                <w:sz w:val="20"/>
                <w:lang w:eastAsia="en-AU"/>
              </w:rPr>
            </w:pPr>
            <w:r>
              <w:rPr>
                <w:rFonts w:ascii="Arial Narrow" w:hAnsi="Arial Narrow"/>
                <w:sz w:val="20"/>
                <w:lang w:eastAsia="en-AU"/>
              </w:rPr>
              <w:t>Venetoclax uptake rate (59.14%)</w:t>
            </w:r>
          </w:p>
        </w:tc>
        <w:tc>
          <w:tcPr>
            <w:tcW w:w="659" w:type="pct"/>
            <w:tcBorders>
              <w:bottom w:val="single" w:sz="4" w:space="0" w:color="auto"/>
            </w:tcBorders>
            <w:shd w:val="clear" w:color="auto" w:fill="auto"/>
            <w:vAlign w:val="center"/>
          </w:tcPr>
          <w:p w:rsidR="00F61688" w:rsidRPr="00204548" w:rsidRDefault="00204548" w:rsidP="00E73A7B">
            <w:pPr>
              <w:widowControl/>
              <w:jc w:val="center"/>
              <w:rPr>
                <w:rFonts w:ascii="Arial Narrow" w:hAnsi="Arial Narrow"/>
                <w:iCs/>
                <w:sz w:val="20"/>
                <w:highlight w:val="black"/>
              </w:rPr>
            </w:pPr>
            <w:r>
              <w:rPr>
                <w:rFonts w:ascii="Arial Narrow" w:hAnsi="Arial Narrow"/>
                <w:iCs/>
                <w:noProof/>
                <w:color w:val="000000"/>
                <w:sz w:val="20"/>
                <w:highlight w:val="black"/>
              </w:rPr>
              <w:t>'''''''</w:t>
            </w:r>
          </w:p>
        </w:tc>
        <w:tc>
          <w:tcPr>
            <w:tcW w:w="659" w:type="pct"/>
            <w:tcBorders>
              <w:bottom w:val="single" w:sz="4" w:space="0" w:color="auto"/>
            </w:tcBorders>
            <w:shd w:val="clear" w:color="auto" w:fill="auto"/>
            <w:vAlign w:val="center"/>
          </w:tcPr>
          <w:p w:rsidR="00F61688" w:rsidRPr="00204548" w:rsidRDefault="00204548" w:rsidP="00E73A7B">
            <w:pPr>
              <w:widowControl/>
              <w:jc w:val="center"/>
              <w:rPr>
                <w:rFonts w:ascii="Arial Narrow" w:hAnsi="Arial Narrow"/>
                <w:iCs/>
                <w:sz w:val="20"/>
                <w:highlight w:val="black"/>
              </w:rPr>
            </w:pPr>
            <w:r>
              <w:rPr>
                <w:rFonts w:ascii="Arial Narrow" w:hAnsi="Arial Narrow"/>
                <w:iCs/>
                <w:noProof/>
                <w:color w:val="000000"/>
                <w:sz w:val="20"/>
                <w:highlight w:val="black"/>
              </w:rPr>
              <w:t>'''''''</w:t>
            </w:r>
          </w:p>
        </w:tc>
        <w:tc>
          <w:tcPr>
            <w:tcW w:w="659" w:type="pct"/>
            <w:tcBorders>
              <w:bottom w:val="single" w:sz="4" w:space="0" w:color="auto"/>
            </w:tcBorders>
            <w:shd w:val="clear" w:color="auto" w:fill="auto"/>
            <w:vAlign w:val="center"/>
          </w:tcPr>
          <w:p w:rsidR="00F61688" w:rsidRPr="00204548" w:rsidRDefault="00204548" w:rsidP="00E73A7B">
            <w:pPr>
              <w:widowControl/>
              <w:jc w:val="center"/>
              <w:rPr>
                <w:rFonts w:ascii="Arial Narrow" w:hAnsi="Arial Narrow"/>
                <w:iCs/>
                <w:sz w:val="20"/>
                <w:highlight w:val="black"/>
              </w:rPr>
            </w:pPr>
            <w:r>
              <w:rPr>
                <w:rFonts w:ascii="Arial Narrow" w:hAnsi="Arial Narrow"/>
                <w:iCs/>
                <w:noProof/>
                <w:color w:val="000000"/>
                <w:sz w:val="20"/>
                <w:highlight w:val="black"/>
              </w:rPr>
              <w:t>'''''''</w:t>
            </w:r>
          </w:p>
        </w:tc>
        <w:tc>
          <w:tcPr>
            <w:tcW w:w="659" w:type="pct"/>
            <w:tcBorders>
              <w:bottom w:val="single" w:sz="4" w:space="0" w:color="auto"/>
            </w:tcBorders>
            <w:shd w:val="clear" w:color="auto" w:fill="auto"/>
            <w:vAlign w:val="center"/>
          </w:tcPr>
          <w:p w:rsidR="00F61688" w:rsidRPr="00204548" w:rsidRDefault="00204548" w:rsidP="00E73A7B">
            <w:pPr>
              <w:widowControl/>
              <w:jc w:val="center"/>
              <w:rPr>
                <w:rFonts w:ascii="Arial Narrow" w:hAnsi="Arial Narrow"/>
                <w:iCs/>
                <w:sz w:val="20"/>
                <w:highlight w:val="black"/>
              </w:rPr>
            </w:pPr>
            <w:r>
              <w:rPr>
                <w:rFonts w:ascii="Arial Narrow" w:hAnsi="Arial Narrow"/>
                <w:iCs/>
                <w:noProof/>
                <w:color w:val="000000"/>
                <w:sz w:val="20"/>
                <w:highlight w:val="black"/>
              </w:rPr>
              <w:t>'''''</w:t>
            </w:r>
          </w:p>
        </w:tc>
        <w:tc>
          <w:tcPr>
            <w:tcW w:w="658" w:type="pct"/>
            <w:tcBorders>
              <w:bottom w:val="single" w:sz="4" w:space="0" w:color="auto"/>
              <w:right w:val="single" w:sz="4" w:space="0" w:color="auto"/>
            </w:tcBorders>
            <w:shd w:val="clear" w:color="auto" w:fill="auto"/>
            <w:vAlign w:val="center"/>
          </w:tcPr>
          <w:p w:rsidR="00F61688" w:rsidRPr="00204548" w:rsidRDefault="00204548" w:rsidP="00E73A7B">
            <w:pPr>
              <w:widowControl/>
              <w:jc w:val="center"/>
              <w:rPr>
                <w:rFonts w:ascii="Arial Narrow" w:hAnsi="Arial Narrow"/>
                <w:iCs/>
                <w:sz w:val="20"/>
                <w:highlight w:val="black"/>
              </w:rPr>
            </w:pPr>
            <w:r>
              <w:rPr>
                <w:rFonts w:ascii="Arial Narrow" w:hAnsi="Arial Narrow"/>
                <w:iCs/>
                <w:noProof/>
                <w:color w:val="000000"/>
                <w:sz w:val="20"/>
                <w:highlight w:val="black"/>
              </w:rPr>
              <w:t>''''''</w:t>
            </w:r>
          </w:p>
        </w:tc>
      </w:tr>
      <w:tr w:rsidR="00F61688" w:rsidRPr="00ED5078" w:rsidTr="00E73A7B">
        <w:tc>
          <w:tcPr>
            <w:tcW w:w="1705" w:type="pct"/>
            <w:tcBorders>
              <w:left w:val="single" w:sz="4" w:space="0" w:color="auto"/>
              <w:bottom w:val="single" w:sz="4" w:space="0" w:color="auto"/>
            </w:tcBorders>
            <w:shd w:val="clear" w:color="auto" w:fill="auto"/>
            <w:noWrap/>
            <w:vAlign w:val="bottom"/>
          </w:tcPr>
          <w:p w:rsidR="00F61688" w:rsidRPr="00E604BE" w:rsidRDefault="00F61688" w:rsidP="00E73A7B">
            <w:pPr>
              <w:widowControl/>
              <w:jc w:val="left"/>
              <w:rPr>
                <w:rFonts w:ascii="Arial Narrow" w:hAnsi="Arial Narrow"/>
                <w:sz w:val="20"/>
                <w:lang w:eastAsia="en-AU"/>
              </w:rPr>
            </w:pPr>
            <w:r>
              <w:rPr>
                <w:rFonts w:ascii="Arial Narrow" w:hAnsi="Arial Narrow"/>
                <w:sz w:val="20"/>
                <w:lang w:eastAsia="en-AU"/>
              </w:rPr>
              <w:t>Continuing patients (all patients assumed to have 2 years treatment)</w:t>
            </w:r>
          </w:p>
        </w:tc>
        <w:tc>
          <w:tcPr>
            <w:tcW w:w="659" w:type="pct"/>
            <w:tcBorders>
              <w:bottom w:val="single" w:sz="4" w:space="0" w:color="auto"/>
            </w:tcBorders>
            <w:shd w:val="clear" w:color="auto" w:fill="auto"/>
            <w:vAlign w:val="center"/>
          </w:tcPr>
          <w:p w:rsidR="00F61688" w:rsidRPr="00A355A4" w:rsidRDefault="00F61688" w:rsidP="00E73A7B">
            <w:pPr>
              <w:widowControl/>
              <w:jc w:val="center"/>
              <w:rPr>
                <w:rFonts w:ascii="Arial Narrow" w:hAnsi="Arial Narrow"/>
                <w:iCs/>
                <w:sz w:val="20"/>
              </w:rPr>
            </w:pPr>
            <w:r w:rsidRPr="00580CFE">
              <w:rPr>
                <w:rFonts w:ascii="Arial Narrow" w:hAnsi="Arial Narrow"/>
                <w:iCs/>
                <w:sz w:val="20"/>
              </w:rPr>
              <w:t>-</w:t>
            </w:r>
          </w:p>
        </w:tc>
        <w:tc>
          <w:tcPr>
            <w:tcW w:w="659" w:type="pct"/>
            <w:tcBorders>
              <w:bottom w:val="single" w:sz="4" w:space="0" w:color="auto"/>
            </w:tcBorders>
            <w:shd w:val="clear" w:color="auto" w:fill="auto"/>
            <w:vAlign w:val="center"/>
          </w:tcPr>
          <w:p w:rsidR="00F61688" w:rsidRPr="00204548" w:rsidRDefault="00204548" w:rsidP="00E73A7B">
            <w:pPr>
              <w:widowControl/>
              <w:jc w:val="center"/>
              <w:rPr>
                <w:rFonts w:ascii="Arial Narrow" w:hAnsi="Arial Narrow"/>
                <w:iCs/>
                <w:sz w:val="20"/>
                <w:highlight w:val="black"/>
              </w:rPr>
            </w:pPr>
            <w:r>
              <w:rPr>
                <w:rFonts w:ascii="Arial Narrow" w:hAnsi="Arial Narrow"/>
                <w:iCs/>
                <w:noProof/>
                <w:color w:val="000000"/>
                <w:sz w:val="20"/>
                <w:highlight w:val="black"/>
              </w:rPr>
              <w:t>'''''</w:t>
            </w:r>
          </w:p>
        </w:tc>
        <w:tc>
          <w:tcPr>
            <w:tcW w:w="659" w:type="pct"/>
            <w:tcBorders>
              <w:bottom w:val="single" w:sz="4" w:space="0" w:color="auto"/>
            </w:tcBorders>
            <w:shd w:val="clear" w:color="auto" w:fill="auto"/>
            <w:vAlign w:val="center"/>
          </w:tcPr>
          <w:p w:rsidR="00F61688" w:rsidRPr="00204548" w:rsidRDefault="00204548" w:rsidP="00E73A7B">
            <w:pPr>
              <w:widowControl/>
              <w:jc w:val="center"/>
              <w:rPr>
                <w:rFonts w:ascii="Arial Narrow" w:hAnsi="Arial Narrow"/>
                <w:iCs/>
                <w:sz w:val="20"/>
                <w:highlight w:val="black"/>
              </w:rPr>
            </w:pPr>
            <w:r>
              <w:rPr>
                <w:rFonts w:ascii="Arial Narrow" w:hAnsi="Arial Narrow"/>
                <w:iCs/>
                <w:noProof/>
                <w:color w:val="000000"/>
                <w:sz w:val="20"/>
                <w:highlight w:val="black"/>
              </w:rPr>
              <w:t>''''''</w:t>
            </w:r>
          </w:p>
        </w:tc>
        <w:tc>
          <w:tcPr>
            <w:tcW w:w="659" w:type="pct"/>
            <w:tcBorders>
              <w:bottom w:val="single" w:sz="4" w:space="0" w:color="auto"/>
            </w:tcBorders>
            <w:shd w:val="clear" w:color="auto" w:fill="auto"/>
            <w:vAlign w:val="center"/>
          </w:tcPr>
          <w:p w:rsidR="00F61688" w:rsidRPr="00204548" w:rsidRDefault="00204548" w:rsidP="00E73A7B">
            <w:pPr>
              <w:widowControl/>
              <w:jc w:val="center"/>
              <w:rPr>
                <w:rFonts w:ascii="Arial Narrow" w:hAnsi="Arial Narrow"/>
                <w:iCs/>
                <w:sz w:val="20"/>
                <w:highlight w:val="black"/>
              </w:rPr>
            </w:pPr>
            <w:r>
              <w:rPr>
                <w:rFonts w:ascii="Arial Narrow" w:hAnsi="Arial Narrow"/>
                <w:iCs/>
                <w:noProof/>
                <w:color w:val="000000"/>
                <w:sz w:val="20"/>
                <w:highlight w:val="black"/>
              </w:rPr>
              <w:t>'''''</w:t>
            </w:r>
          </w:p>
        </w:tc>
        <w:tc>
          <w:tcPr>
            <w:tcW w:w="658" w:type="pct"/>
            <w:tcBorders>
              <w:bottom w:val="single" w:sz="4" w:space="0" w:color="auto"/>
              <w:right w:val="single" w:sz="4" w:space="0" w:color="auto"/>
            </w:tcBorders>
            <w:shd w:val="clear" w:color="auto" w:fill="auto"/>
            <w:vAlign w:val="center"/>
          </w:tcPr>
          <w:p w:rsidR="00F61688" w:rsidRPr="00204548" w:rsidRDefault="00204548" w:rsidP="00E73A7B">
            <w:pPr>
              <w:widowControl/>
              <w:jc w:val="center"/>
              <w:rPr>
                <w:rFonts w:ascii="Arial Narrow" w:hAnsi="Arial Narrow"/>
                <w:iCs/>
                <w:sz w:val="20"/>
                <w:highlight w:val="black"/>
              </w:rPr>
            </w:pPr>
            <w:r>
              <w:rPr>
                <w:rFonts w:ascii="Arial Narrow" w:hAnsi="Arial Narrow"/>
                <w:iCs/>
                <w:noProof/>
                <w:color w:val="000000"/>
                <w:sz w:val="20"/>
                <w:highlight w:val="black"/>
              </w:rPr>
              <w:t>''''''</w:t>
            </w:r>
          </w:p>
        </w:tc>
      </w:tr>
      <w:tr w:rsidR="00F61688" w:rsidRPr="00835FE7" w:rsidTr="00E73A7B">
        <w:tc>
          <w:tcPr>
            <w:tcW w:w="1705" w:type="pct"/>
            <w:tcBorders>
              <w:left w:val="single" w:sz="4" w:space="0" w:color="auto"/>
              <w:bottom w:val="single" w:sz="4" w:space="0" w:color="auto"/>
            </w:tcBorders>
            <w:shd w:val="clear" w:color="auto" w:fill="auto"/>
            <w:noWrap/>
            <w:vAlign w:val="bottom"/>
          </w:tcPr>
          <w:p w:rsidR="00F61688" w:rsidRPr="00835FE7" w:rsidRDefault="00F61688" w:rsidP="00E73A7B">
            <w:pPr>
              <w:widowControl/>
              <w:jc w:val="left"/>
              <w:rPr>
                <w:rFonts w:ascii="Arial Narrow" w:hAnsi="Arial Narrow"/>
                <w:b/>
                <w:sz w:val="20"/>
                <w:lang w:eastAsia="en-AU"/>
              </w:rPr>
            </w:pPr>
            <w:r w:rsidRPr="00835FE7">
              <w:rPr>
                <w:rFonts w:ascii="Arial Narrow" w:hAnsi="Arial Narrow"/>
                <w:b/>
                <w:sz w:val="20"/>
                <w:lang w:eastAsia="en-AU"/>
              </w:rPr>
              <w:t>Total patients receiving venetoclax</w:t>
            </w:r>
          </w:p>
        </w:tc>
        <w:tc>
          <w:tcPr>
            <w:tcW w:w="659" w:type="pct"/>
            <w:tcBorders>
              <w:bottom w:val="single" w:sz="4" w:space="0" w:color="auto"/>
            </w:tcBorders>
            <w:shd w:val="clear" w:color="auto" w:fill="auto"/>
            <w:vAlign w:val="center"/>
          </w:tcPr>
          <w:p w:rsidR="00F61688" w:rsidRPr="00204548" w:rsidRDefault="00204548" w:rsidP="00E73A7B">
            <w:pPr>
              <w:widowControl/>
              <w:jc w:val="center"/>
              <w:rPr>
                <w:rFonts w:ascii="Arial Narrow" w:hAnsi="Arial Narrow"/>
                <w:b/>
                <w:iCs/>
                <w:sz w:val="20"/>
                <w:highlight w:val="black"/>
              </w:rPr>
            </w:pPr>
            <w:r>
              <w:rPr>
                <w:rFonts w:ascii="Arial Narrow" w:hAnsi="Arial Narrow"/>
                <w:b/>
                <w:iCs/>
                <w:noProof/>
                <w:color w:val="000000"/>
                <w:sz w:val="20"/>
                <w:highlight w:val="black"/>
              </w:rPr>
              <w:t>'''''</w:t>
            </w:r>
          </w:p>
        </w:tc>
        <w:tc>
          <w:tcPr>
            <w:tcW w:w="659" w:type="pct"/>
            <w:tcBorders>
              <w:bottom w:val="single" w:sz="4" w:space="0" w:color="auto"/>
            </w:tcBorders>
            <w:shd w:val="clear" w:color="auto" w:fill="auto"/>
            <w:vAlign w:val="center"/>
          </w:tcPr>
          <w:p w:rsidR="00F61688" w:rsidRPr="00204548" w:rsidRDefault="00204548" w:rsidP="00E73A7B">
            <w:pPr>
              <w:widowControl/>
              <w:jc w:val="center"/>
              <w:rPr>
                <w:rFonts w:ascii="Arial Narrow" w:hAnsi="Arial Narrow"/>
                <w:b/>
                <w:iCs/>
                <w:sz w:val="20"/>
                <w:highlight w:val="black"/>
              </w:rPr>
            </w:pPr>
            <w:r>
              <w:rPr>
                <w:rFonts w:ascii="Arial Narrow" w:hAnsi="Arial Narrow"/>
                <w:b/>
                <w:iCs/>
                <w:noProof/>
                <w:color w:val="000000"/>
                <w:sz w:val="20"/>
                <w:highlight w:val="black"/>
              </w:rPr>
              <w:t>''''''''</w:t>
            </w:r>
          </w:p>
        </w:tc>
        <w:tc>
          <w:tcPr>
            <w:tcW w:w="659" w:type="pct"/>
            <w:tcBorders>
              <w:bottom w:val="single" w:sz="4" w:space="0" w:color="auto"/>
            </w:tcBorders>
            <w:shd w:val="clear" w:color="auto" w:fill="auto"/>
            <w:vAlign w:val="center"/>
          </w:tcPr>
          <w:p w:rsidR="00F61688" w:rsidRPr="00204548" w:rsidRDefault="00204548" w:rsidP="00E73A7B">
            <w:pPr>
              <w:widowControl/>
              <w:jc w:val="center"/>
              <w:rPr>
                <w:rFonts w:ascii="Arial Narrow" w:hAnsi="Arial Narrow"/>
                <w:b/>
                <w:iCs/>
                <w:sz w:val="20"/>
                <w:highlight w:val="black"/>
              </w:rPr>
            </w:pPr>
            <w:r>
              <w:rPr>
                <w:rFonts w:ascii="Arial Narrow" w:hAnsi="Arial Narrow"/>
                <w:b/>
                <w:iCs/>
                <w:noProof/>
                <w:color w:val="000000"/>
                <w:sz w:val="20"/>
                <w:highlight w:val="black"/>
              </w:rPr>
              <w:t>''''''''</w:t>
            </w:r>
          </w:p>
        </w:tc>
        <w:tc>
          <w:tcPr>
            <w:tcW w:w="659" w:type="pct"/>
            <w:tcBorders>
              <w:bottom w:val="single" w:sz="4" w:space="0" w:color="auto"/>
            </w:tcBorders>
            <w:shd w:val="clear" w:color="auto" w:fill="auto"/>
            <w:vAlign w:val="center"/>
          </w:tcPr>
          <w:p w:rsidR="00F61688" w:rsidRPr="00204548" w:rsidRDefault="00204548" w:rsidP="00E73A7B">
            <w:pPr>
              <w:widowControl/>
              <w:jc w:val="center"/>
              <w:rPr>
                <w:rFonts w:ascii="Arial Narrow" w:hAnsi="Arial Narrow"/>
                <w:b/>
                <w:iCs/>
                <w:sz w:val="20"/>
                <w:highlight w:val="black"/>
              </w:rPr>
            </w:pPr>
            <w:r>
              <w:rPr>
                <w:rFonts w:ascii="Arial Narrow" w:hAnsi="Arial Narrow"/>
                <w:b/>
                <w:iCs/>
                <w:noProof/>
                <w:color w:val="000000"/>
                <w:sz w:val="20"/>
                <w:highlight w:val="black"/>
              </w:rPr>
              <w:t>'''''''</w:t>
            </w:r>
          </w:p>
        </w:tc>
        <w:tc>
          <w:tcPr>
            <w:tcW w:w="658" w:type="pct"/>
            <w:tcBorders>
              <w:bottom w:val="single" w:sz="4" w:space="0" w:color="auto"/>
              <w:right w:val="single" w:sz="4" w:space="0" w:color="auto"/>
            </w:tcBorders>
            <w:shd w:val="clear" w:color="auto" w:fill="auto"/>
            <w:vAlign w:val="center"/>
          </w:tcPr>
          <w:p w:rsidR="00F61688" w:rsidRPr="00204548" w:rsidRDefault="00204548" w:rsidP="00E73A7B">
            <w:pPr>
              <w:widowControl/>
              <w:jc w:val="center"/>
              <w:rPr>
                <w:rFonts w:ascii="Arial Narrow" w:hAnsi="Arial Narrow"/>
                <w:b/>
                <w:iCs/>
                <w:sz w:val="20"/>
                <w:highlight w:val="black"/>
              </w:rPr>
            </w:pPr>
            <w:r>
              <w:rPr>
                <w:rFonts w:ascii="Arial Narrow" w:hAnsi="Arial Narrow"/>
                <w:b/>
                <w:iCs/>
                <w:noProof/>
                <w:color w:val="000000"/>
                <w:sz w:val="20"/>
                <w:highlight w:val="black"/>
              </w:rPr>
              <w:t>''''''''</w:t>
            </w:r>
          </w:p>
        </w:tc>
      </w:tr>
      <w:tr w:rsidR="00F61688" w:rsidRPr="00ED5078" w:rsidTr="00E73A7B">
        <w:tc>
          <w:tcPr>
            <w:tcW w:w="1705" w:type="pct"/>
            <w:tcBorders>
              <w:left w:val="single" w:sz="4" w:space="0" w:color="auto"/>
              <w:bottom w:val="single" w:sz="4" w:space="0" w:color="auto"/>
            </w:tcBorders>
            <w:shd w:val="clear" w:color="auto" w:fill="auto"/>
            <w:noWrap/>
            <w:vAlign w:val="bottom"/>
          </w:tcPr>
          <w:p w:rsidR="00F61688" w:rsidRDefault="00F61688" w:rsidP="00E73A7B">
            <w:pPr>
              <w:widowControl/>
              <w:jc w:val="left"/>
              <w:rPr>
                <w:rFonts w:ascii="Arial Narrow" w:hAnsi="Arial Narrow"/>
                <w:sz w:val="20"/>
                <w:lang w:eastAsia="en-AU"/>
              </w:rPr>
            </w:pPr>
            <w:r>
              <w:rPr>
                <w:rFonts w:ascii="Arial Narrow" w:hAnsi="Arial Narrow"/>
                <w:sz w:val="20"/>
                <w:lang w:eastAsia="en-AU"/>
              </w:rPr>
              <w:t>Titration scripts</w:t>
            </w:r>
          </w:p>
        </w:tc>
        <w:tc>
          <w:tcPr>
            <w:tcW w:w="659" w:type="pct"/>
            <w:tcBorders>
              <w:bottom w:val="single" w:sz="4" w:space="0" w:color="auto"/>
            </w:tcBorders>
            <w:shd w:val="clear" w:color="auto" w:fill="auto"/>
            <w:vAlign w:val="center"/>
          </w:tcPr>
          <w:p w:rsidR="00F61688" w:rsidRPr="00204548" w:rsidRDefault="00204548" w:rsidP="00E73A7B">
            <w:pPr>
              <w:widowControl/>
              <w:jc w:val="center"/>
              <w:rPr>
                <w:rFonts w:ascii="Arial Narrow" w:hAnsi="Arial Narrow"/>
                <w:iCs/>
                <w:sz w:val="20"/>
                <w:highlight w:val="black"/>
              </w:rPr>
            </w:pPr>
            <w:r>
              <w:rPr>
                <w:rFonts w:ascii="Arial Narrow" w:hAnsi="Arial Narrow"/>
                <w:iCs/>
                <w:noProof/>
                <w:color w:val="000000"/>
                <w:sz w:val="20"/>
                <w:highlight w:val="black"/>
              </w:rPr>
              <w:t>'''''</w:t>
            </w:r>
          </w:p>
        </w:tc>
        <w:tc>
          <w:tcPr>
            <w:tcW w:w="659" w:type="pct"/>
            <w:tcBorders>
              <w:bottom w:val="single" w:sz="4" w:space="0" w:color="auto"/>
            </w:tcBorders>
            <w:shd w:val="clear" w:color="auto" w:fill="auto"/>
            <w:vAlign w:val="center"/>
          </w:tcPr>
          <w:p w:rsidR="00F61688" w:rsidRPr="00204548" w:rsidRDefault="00204548" w:rsidP="00E73A7B">
            <w:pPr>
              <w:widowControl/>
              <w:jc w:val="center"/>
              <w:rPr>
                <w:rFonts w:ascii="Arial Narrow" w:hAnsi="Arial Narrow"/>
                <w:iCs/>
                <w:sz w:val="20"/>
                <w:highlight w:val="black"/>
              </w:rPr>
            </w:pPr>
            <w:r>
              <w:rPr>
                <w:rFonts w:ascii="Arial Narrow" w:hAnsi="Arial Narrow"/>
                <w:iCs/>
                <w:noProof/>
                <w:color w:val="000000"/>
                <w:sz w:val="20"/>
                <w:highlight w:val="black"/>
              </w:rPr>
              <w:t>'''''</w:t>
            </w:r>
          </w:p>
        </w:tc>
        <w:tc>
          <w:tcPr>
            <w:tcW w:w="659" w:type="pct"/>
            <w:tcBorders>
              <w:bottom w:val="single" w:sz="4" w:space="0" w:color="auto"/>
            </w:tcBorders>
            <w:shd w:val="clear" w:color="auto" w:fill="auto"/>
            <w:vAlign w:val="center"/>
          </w:tcPr>
          <w:p w:rsidR="00F61688" w:rsidRPr="00204548" w:rsidRDefault="00204548" w:rsidP="00E73A7B">
            <w:pPr>
              <w:widowControl/>
              <w:jc w:val="center"/>
              <w:rPr>
                <w:rFonts w:ascii="Arial Narrow" w:hAnsi="Arial Narrow"/>
                <w:iCs/>
                <w:sz w:val="20"/>
                <w:highlight w:val="black"/>
              </w:rPr>
            </w:pPr>
            <w:r>
              <w:rPr>
                <w:rFonts w:ascii="Arial Narrow" w:hAnsi="Arial Narrow"/>
                <w:iCs/>
                <w:noProof/>
                <w:color w:val="000000"/>
                <w:sz w:val="20"/>
                <w:highlight w:val="black"/>
              </w:rPr>
              <w:t>'''''</w:t>
            </w:r>
          </w:p>
        </w:tc>
        <w:tc>
          <w:tcPr>
            <w:tcW w:w="659" w:type="pct"/>
            <w:tcBorders>
              <w:bottom w:val="single" w:sz="4" w:space="0" w:color="auto"/>
            </w:tcBorders>
            <w:shd w:val="clear" w:color="auto" w:fill="auto"/>
            <w:vAlign w:val="center"/>
          </w:tcPr>
          <w:p w:rsidR="00F61688" w:rsidRPr="00204548" w:rsidRDefault="00204548" w:rsidP="00E73A7B">
            <w:pPr>
              <w:widowControl/>
              <w:jc w:val="center"/>
              <w:rPr>
                <w:rFonts w:ascii="Arial Narrow" w:hAnsi="Arial Narrow"/>
                <w:iCs/>
                <w:sz w:val="20"/>
                <w:highlight w:val="black"/>
              </w:rPr>
            </w:pPr>
            <w:r>
              <w:rPr>
                <w:rFonts w:ascii="Arial Narrow" w:hAnsi="Arial Narrow"/>
                <w:iCs/>
                <w:noProof/>
                <w:color w:val="000000"/>
                <w:sz w:val="20"/>
                <w:highlight w:val="black"/>
              </w:rPr>
              <w:t>''''''</w:t>
            </w:r>
          </w:p>
        </w:tc>
        <w:tc>
          <w:tcPr>
            <w:tcW w:w="658" w:type="pct"/>
            <w:tcBorders>
              <w:bottom w:val="single" w:sz="4" w:space="0" w:color="auto"/>
              <w:right w:val="single" w:sz="4" w:space="0" w:color="auto"/>
            </w:tcBorders>
            <w:shd w:val="clear" w:color="auto" w:fill="auto"/>
            <w:vAlign w:val="center"/>
          </w:tcPr>
          <w:p w:rsidR="00F61688" w:rsidRPr="00204548" w:rsidRDefault="00204548" w:rsidP="00E73A7B">
            <w:pPr>
              <w:widowControl/>
              <w:jc w:val="center"/>
              <w:rPr>
                <w:rFonts w:ascii="Arial Narrow" w:hAnsi="Arial Narrow"/>
                <w:iCs/>
                <w:sz w:val="20"/>
                <w:highlight w:val="black"/>
              </w:rPr>
            </w:pPr>
            <w:r>
              <w:rPr>
                <w:rFonts w:ascii="Arial Narrow" w:hAnsi="Arial Narrow"/>
                <w:iCs/>
                <w:noProof/>
                <w:color w:val="000000"/>
                <w:sz w:val="20"/>
                <w:highlight w:val="black"/>
              </w:rPr>
              <w:t>'''''''</w:t>
            </w:r>
          </w:p>
        </w:tc>
      </w:tr>
      <w:tr w:rsidR="00F61688" w:rsidRPr="00ED5078" w:rsidTr="00E73A7B">
        <w:tc>
          <w:tcPr>
            <w:tcW w:w="1705" w:type="pct"/>
            <w:tcBorders>
              <w:left w:val="single" w:sz="4" w:space="0" w:color="auto"/>
              <w:bottom w:val="single" w:sz="4" w:space="0" w:color="auto"/>
            </w:tcBorders>
            <w:shd w:val="clear" w:color="auto" w:fill="auto"/>
            <w:noWrap/>
            <w:vAlign w:val="bottom"/>
          </w:tcPr>
          <w:p w:rsidR="00F61688" w:rsidRDefault="00F61688" w:rsidP="00E73A7B">
            <w:pPr>
              <w:widowControl/>
              <w:jc w:val="left"/>
              <w:rPr>
                <w:rFonts w:ascii="Arial Narrow" w:hAnsi="Arial Narrow"/>
                <w:sz w:val="20"/>
                <w:lang w:eastAsia="en-AU"/>
              </w:rPr>
            </w:pPr>
            <w:r>
              <w:rPr>
                <w:rFonts w:ascii="Arial Narrow" w:hAnsi="Arial Narrow"/>
                <w:sz w:val="20"/>
                <w:lang w:eastAsia="en-AU"/>
              </w:rPr>
              <w:t>Dose hold script</w:t>
            </w:r>
          </w:p>
        </w:tc>
        <w:tc>
          <w:tcPr>
            <w:tcW w:w="659" w:type="pct"/>
            <w:tcBorders>
              <w:bottom w:val="single" w:sz="4" w:space="0" w:color="auto"/>
            </w:tcBorders>
            <w:shd w:val="clear" w:color="auto" w:fill="auto"/>
            <w:vAlign w:val="center"/>
          </w:tcPr>
          <w:p w:rsidR="00F61688" w:rsidRPr="00204548" w:rsidRDefault="00204548" w:rsidP="00E73A7B">
            <w:pPr>
              <w:widowControl/>
              <w:jc w:val="center"/>
              <w:rPr>
                <w:rFonts w:ascii="Arial Narrow" w:hAnsi="Arial Narrow"/>
                <w:iCs/>
                <w:sz w:val="20"/>
                <w:highlight w:val="black"/>
              </w:rPr>
            </w:pPr>
            <w:r>
              <w:rPr>
                <w:rFonts w:ascii="Arial Narrow" w:hAnsi="Arial Narrow"/>
                <w:iCs/>
                <w:noProof/>
                <w:color w:val="000000"/>
                <w:sz w:val="20"/>
                <w:highlight w:val="black"/>
              </w:rPr>
              <w:t>''''</w:t>
            </w:r>
          </w:p>
        </w:tc>
        <w:tc>
          <w:tcPr>
            <w:tcW w:w="659" w:type="pct"/>
            <w:tcBorders>
              <w:bottom w:val="single" w:sz="4" w:space="0" w:color="auto"/>
            </w:tcBorders>
            <w:shd w:val="clear" w:color="auto" w:fill="auto"/>
            <w:vAlign w:val="center"/>
          </w:tcPr>
          <w:p w:rsidR="00F61688" w:rsidRPr="00204548" w:rsidRDefault="00204548" w:rsidP="00E73A7B">
            <w:pPr>
              <w:widowControl/>
              <w:jc w:val="center"/>
              <w:rPr>
                <w:rFonts w:ascii="Arial Narrow" w:hAnsi="Arial Narrow"/>
                <w:iCs/>
                <w:sz w:val="20"/>
                <w:highlight w:val="black"/>
              </w:rPr>
            </w:pPr>
            <w:r>
              <w:rPr>
                <w:rFonts w:ascii="Arial Narrow" w:hAnsi="Arial Narrow"/>
                <w:iCs/>
                <w:noProof/>
                <w:color w:val="000000"/>
                <w:sz w:val="20"/>
                <w:highlight w:val="black"/>
              </w:rPr>
              <w:t>'''</w:t>
            </w:r>
          </w:p>
        </w:tc>
        <w:tc>
          <w:tcPr>
            <w:tcW w:w="659" w:type="pct"/>
            <w:tcBorders>
              <w:bottom w:val="single" w:sz="4" w:space="0" w:color="auto"/>
            </w:tcBorders>
            <w:shd w:val="clear" w:color="auto" w:fill="auto"/>
            <w:vAlign w:val="center"/>
          </w:tcPr>
          <w:p w:rsidR="00F61688" w:rsidRPr="00204548" w:rsidRDefault="00204548" w:rsidP="00E73A7B">
            <w:pPr>
              <w:widowControl/>
              <w:jc w:val="center"/>
              <w:rPr>
                <w:rFonts w:ascii="Arial Narrow" w:hAnsi="Arial Narrow"/>
                <w:iCs/>
                <w:sz w:val="20"/>
                <w:highlight w:val="black"/>
              </w:rPr>
            </w:pPr>
            <w:r>
              <w:rPr>
                <w:rFonts w:ascii="Arial Narrow" w:hAnsi="Arial Narrow"/>
                <w:iCs/>
                <w:noProof/>
                <w:color w:val="000000"/>
                <w:sz w:val="20"/>
                <w:highlight w:val="black"/>
              </w:rPr>
              <w:t>'''</w:t>
            </w:r>
          </w:p>
        </w:tc>
        <w:tc>
          <w:tcPr>
            <w:tcW w:w="659" w:type="pct"/>
            <w:tcBorders>
              <w:bottom w:val="single" w:sz="4" w:space="0" w:color="auto"/>
            </w:tcBorders>
            <w:shd w:val="clear" w:color="auto" w:fill="auto"/>
            <w:vAlign w:val="center"/>
          </w:tcPr>
          <w:p w:rsidR="00F61688" w:rsidRPr="00204548" w:rsidRDefault="00204548" w:rsidP="00E73A7B">
            <w:pPr>
              <w:widowControl/>
              <w:jc w:val="center"/>
              <w:rPr>
                <w:rFonts w:ascii="Arial Narrow" w:hAnsi="Arial Narrow"/>
                <w:iCs/>
                <w:sz w:val="20"/>
                <w:highlight w:val="black"/>
              </w:rPr>
            </w:pPr>
            <w:r>
              <w:rPr>
                <w:rFonts w:ascii="Arial Narrow" w:hAnsi="Arial Narrow"/>
                <w:iCs/>
                <w:noProof/>
                <w:color w:val="000000"/>
                <w:sz w:val="20"/>
                <w:highlight w:val="black"/>
              </w:rPr>
              <w:t>'''''</w:t>
            </w:r>
          </w:p>
        </w:tc>
        <w:tc>
          <w:tcPr>
            <w:tcW w:w="658" w:type="pct"/>
            <w:tcBorders>
              <w:bottom w:val="single" w:sz="4" w:space="0" w:color="auto"/>
              <w:right w:val="single" w:sz="4" w:space="0" w:color="auto"/>
            </w:tcBorders>
            <w:shd w:val="clear" w:color="auto" w:fill="auto"/>
            <w:vAlign w:val="center"/>
          </w:tcPr>
          <w:p w:rsidR="00F61688" w:rsidRPr="00204548" w:rsidRDefault="00204548" w:rsidP="00E73A7B">
            <w:pPr>
              <w:widowControl/>
              <w:jc w:val="center"/>
              <w:rPr>
                <w:rFonts w:ascii="Arial Narrow" w:hAnsi="Arial Narrow"/>
                <w:iCs/>
                <w:sz w:val="20"/>
                <w:highlight w:val="black"/>
              </w:rPr>
            </w:pPr>
            <w:r>
              <w:rPr>
                <w:rFonts w:ascii="Arial Narrow" w:hAnsi="Arial Narrow"/>
                <w:iCs/>
                <w:noProof/>
                <w:color w:val="000000"/>
                <w:sz w:val="20"/>
                <w:highlight w:val="black"/>
              </w:rPr>
              <w:t>''''''</w:t>
            </w:r>
          </w:p>
        </w:tc>
      </w:tr>
      <w:tr w:rsidR="00F61688" w:rsidRPr="00ED5078" w:rsidTr="00E73A7B">
        <w:tc>
          <w:tcPr>
            <w:tcW w:w="1705" w:type="pct"/>
            <w:tcBorders>
              <w:left w:val="single" w:sz="4" w:space="0" w:color="auto"/>
              <w:bottom w:val="single" w:sz="4" w:space="0" w:color="auto"/>
            </w:tcBorders>
            <w:shd w:val="clear" w:color="auto" w:fill="auto"/>
            <w:noWrap/>
            <w:vAlign w:val="bottom"/>
          </w:tcPr>
          <w:p w:rsidR="00F61688" w:rsidRDefault="00F61688" w:rsidP="00E73A7B">
            <w:pPr>
              <w:widowControl/>
              <w:jc w:val="left"/>
              <w:rPr>
                <w:rFonts w:ascii="Arial Narrow" w:hAnsi="Arial Narrow"/>
                <w:sz w:val="20"/>
                <w:lang w:eastAsia="en-AU"/>
              </w:rPr>
            </w:pPr>
            <w:r>
              <w:rPr>
                <w:rFonts w:ascii="Arial Narrow" w:hAnsi="Arial Narrow"/>
                <w:sz w:val="20"/>
                <w:lang w:eastAsia="en-AU"/>
              </w:rPr>
              <w:t>Maintenance scripts</w:t>
            </w:r>
          </w:p>
        </w:tc>
        <w:tc>
          <w:tcPr>
            <w:tcW w:w="659" w:type="pct"/>
            <w:tcBorders>
              <w:bottom w:val="single" w:sz="4" w:space="0" w:color="auto"/>
            </w:tcBorders>
            <w:shd w:val="clear" w:color="auto" w:fill="auto"/>
            <w:vAlign w:val="center"/>
          </w:tcPr>
          <w:p w:rsidR="00F61688" w:rsidRPr="00204548" w:rsidRDefault="00204548" w:rsidP="00E73A7B">
            <w:pPr>
              <w:widowControl/>
              <w:jc w:val="center"/>
              <w:rPr>
                <w:rFonts w:ascii="Arial Narrow" w:hAnsi="Arial Narrow"/>
                <w:iCs/>
                <w:sz w:val="20"/>
                <w:highlight w:val="black"/>
              </w:rPr>
            </w:pPr>
            <w:r>
              <w:rPr>
                <w:rFonts w:ascii="Arial Narrow" w:hAnsi="Arial Narrow"/>
                <w:iCs/>
                <w:noProof/>
                <w:color w:val="000000"/>
                <w:sz w:val="20"/>
                <w:highlight w:val="black"/>
              </w:rPr>
              <w:t>'''''''''''''''</w:t>
            </w:r>
          </w:p>
        </w:tc>
        <w:tc>
          <w:tcPr>
            <w:tcW w:w="659" w:type="pct"/>
            <w:tcBorders>
              <w:bottom w:val="single" w:sz="4" w:space="0" w:color="auto"/>
            </w:tcBorders>
            <w:shd w:val="clear" w:color="auto" w:fill="auto"/>
            <w:vAlign w:val="center"/>
          </w:tcPr>
          <w:p w:rsidR="00F61688" w:rsidRPr="00204548" w:rsidRDefault="00204548" w:rsidP="00E73A7B">
            <w:pPr>
              <w:widowControl/>
              <w:jc w:val="center"/>
              <w:rPr>
                <w:rFonts w:ascii="Arial Narrow" w:hAnsi="Arial Narrow"/>
                <w:iCs/>
                <w:sz w:val="20"/>
                <w:highlight w:val="black"/>
              </w:rPr>
            </w:pPr>
            <w:r>
              <w:rPr>
                <w:rFonts w:ascii="Arial Narrow" w:hAnsi="Arial Narrow"/>
                <w:iCs/>
                <w:noProof/>
                <w:color w:val="000000"/>
                <w:sz w:val="20"/>
                <w:highlight w:val="black"/>
              </w:rPr>
              <w:t>'''''''''''''</w:t>
            </w:r>
          </w:p>
        </w:tc>
        <w:tc>
          <w:tcPr>
            <w:tcW w:w="659" w:type="pct"/>
            <w:tcBorders>
              <w:bottom w:val="single" w:sz="4" w:space="0" w:color="auto"/>
            </w:tcBorders>
            <w:shd w:val="clear" w:color="auto" w:fill="auto"/>
            <w:vAlign w:val="center"/>
          </w:tcPr>
          <w:p w:rsidR="00F61688" w:rsidRPr="00204548" w:rsidRDefault="00204548" w:rsidP="00E73A7B">
            <w:pPr>
              <w:widowControl/>
              <w:jc w:val="center"/>
              <w:rPr>
                <w:rFonts w:ascii="Arial Narrow" w:hAnsi="Arial Narrow"/>
                <w:iCs/>
                <w:sz w:val="20"/>
                <w:highlight w:val="black"/>
              </w:rPr>
            </w:pPr>
            <w:r>
              <w:rPr>
                <w:rFonts w:ascii="Arial Narrow" w:hAnsi="Arial Narrow"/>
                <w:iCs/>
                <w:noProof/>
                <w:color w:val="000000"/>
                <w:sz w:val="20"/>
                <w:highlight w:val="black"/>
              </w:rPr>
              <w:t>'''''''''''''</w:t>
            </w:r>
          </w:p>
        </w:tc>
        <w:tc>
          <w:tcPr>
            <w:tcW w:w="659" w:type="pct"/>
            <w:tcBorders>
              <w:bottom w:val="single" w:sz="4" w:space="0" w:color="auto"/>
            </w:tcBorders>
            <w:shd w:val="clear" w:color="auto" w:fill="auto"/>
            <w:vAlign w:val="center"/>
          </w:tcPr>
          <w:p w:rsidR="00F61688" w:rsidRPr="00204548" w:rsidRDefault="00204548" w:rsidP="00E73A7B">
            <w:pPr>
              <w:widowControl/>
              <w:jc w:val="center"/>
              <w:rPr>
                <w:rFonts w:ascii="Arial Narrow" w:hAnsi="Arial Narrow"/>
                <w:iCs/>
                <w:sz w:val="20"/>
                <w:highlight w:val="black"/>
              </w:rPr>
            </w:pPr>
            <w:r>
              <w:rPr>
                <w:rFonts w:ascii="Arial Narrow" w:hAnsi="Arial Narrow"/>
                <w:iCs/>
                <w:noProof/>
                <w:color w:val="000000"/>
                <w:sz w:val="20"/>
                <w:highlight w:val="black"/>
              </w:rPr>
              <w:t>''''''''''''</w:t>
            </w:r>
          </w:p>
        </w:tc>
        <w:tc>
          <w:tcPr>
            <w:tcW w:w="658" w:type="pct"/>
            <w:tcBorders>
              <w:bottom w:val="single" w:sz="4" w:space="0" w:color="auto"/>
              <w:right w:val="single" w:sz="4" w:space="0" w:color="auto"/>
            </w:tcBorders>
            <w:shd w:val="clear" w:color="auto" w:fill="auto"/>
            <w:vAlign w:val="center"/>
          </w:tcPr>
          <w:p w:rsidR="00F61688" w:rsidRPr="00204548" w:rsidRDefault="00204548" w:rsidP="00E73A7B">
            <w:pPr>
              <w:widowControl/>
              <w:jc w:val="center"/>
              <w:rPr>
                <w:rFonts w:ascii="Arial Narrow" w:hAnsi="Arial Narrow"/>
                <w:iCs/>
                <w:sz w:val="20"/>
                <w:highlight w:val="black"/>
              </w:rPr>
            </w:pPr>
            <w:r>
              <w:rPr>
                <w:rFonts w:ascii="Arial Narrow" w:hAnsi="Arial Narrow"/>
                <w:iCs/>
                <w:noProof/>
                <w:color w:val="000000"/>
                <w:sz w:val="20"/>
                <w:highlight w:val="black"/>
              </w:rPr>
              <w:t>'''''''''''''</w:t>
            </w:r>
          </w:p>
        </w:tc>
      </w:tr>
      <w:tr w:rsidR="00F61688" w:rsidRPr="00A31BA9" w:rsidTr="00E73A7B">
        <w:tc>
          <w:tcPr>
            <w:tcW w:w="1705" w:type="pct"/>
            <w:tcBorders>
              <w:left w:val="single" w:sz="4" w:space="0" w:color="auto"/>
              <w:bottom w:val="single" w:sz="4" w:space="0" w:color="auto"/>
            </w:tcBorders>
            <w:shd w:val="clear" w:color="auto" w:fill="auto"/>
            <w:noWrap/>
            <w:vAlign w:val="bottom"/>
          </w:tcPr>
          <w:p w:rsidR="00F61688" w:rsidRPr="00A31BA9" w:rsidRDefault="00F61688" w:rsidP="00E73A7B">
            <w:pPr>
              <w:widowControl/>
              <w:jc w:val="left"/>
              <w:rPr>
                <w:rFonts w:ascii="Arial Narrow" w:hAnsi="Arial Narrow"/>
                <w:b/>
                <w:sz w:val="20"/>
                <w:lang w:eastAsia="en-AU"/>
              </w:rPr>
            </w:pPr>
            <w:r w:rsidRPr="00A31BA9">
              <w:rPr>
                <w:rFonts w:ascii="Arial Narrow" w:hAnsi="Arial Narrow"/>
                <w:b/>
                <w:sz w:val="20"/>
                <w:lang w:eastAsia="en-AU"/>
              </w:rPr>
              <w:t>Total venetoclax scripts per year</w:t>
            </w:r>
          </w:p>
        </w:tc>
        <w:tc>
          <w:tcPr>
            <w:tcW w:w="659" w:type="pct"/>
            <w:tcBorders>
              <w:bottom w:val="single" w:sz="4" w:space="0" w:color="auto"/>
            </w:tcBorders>
            <w:shd w:val="clear" w:color="auto" w:fill="auto"/>
            <w:vAlign w:val="center"/>
          </w:tcPr>
          <w:p w:rsidR="00F61688" w:rsidRPr="00204548" w:rsidRDefault="00204548" w:rsidP="00E73A7B">
            <w:pPr>
              <w:widowControl/>
              <w:jc w:val="center"/>
              <w:rPr>
                <w:rFonts w:ascii="Arial Narrow" w:hAnsi="Arial Narrow"/>
                <w:b/>
                <w:iCs/>
                <w:sz w:val="20"/>
                <w:highlight w:val="black"/>
              </w:rPr>
            </w:pPr>
            <w:r>
              <w:rPr>
                <w:rFonts w:ascii="Arial Narrow" w:hAnsi="Arial Narrow"/>
                <w:b/>
                <w:iCs/>
                <w:noProof/>
                <w:color w:val="000000"/>
                <w:sz w:val="20"/>
                <w:highlight w:val="black"/>
              </w:rPr>
              <w:t>''''''''''''</w:t>
            </w:r>
          </w:p>
        </w:tc>
        <w:tc>
          <w:tcPr>
            <w:tcW w:w="659" w:type="pct"/>
            <w:tcBorders>
              <w:bottom w:val="single" w:sz="4" w:space="0" w:color="auto"/>
            </w:tcBorders>
            <w:shd w:val="clear" w:color="auto" w:fill="auto"/>
            <w:vAlign w:val="center"/>
          </w:tcPr>
          <w:p w:rsidR="00F61688" w:rsidRPr="00204548" w:rsidRDefault="00204548" w:rsidP="00E73A7B">
            <w:pPr>
              <w:widowControl/>
              <w:jc w:val="center"/>
              <w:rPr>
                <w:rFonts w:ascii="Arial Narrow" w:hAnsi="Arial Narrow"/>
                <w:b/>
                <w:iCs/>
                <w:sz w:val="20"/>
                <w:highlight w:val="black"/>
              </w:rPr>
            </w:pPr>
            <w:r>
              <w:rPr>
                <w:rFonts w:ascii="Arial Narrow" w:hAnsi="Arial Narrow"/>
                <w:b/>
                <w:iCs/>
                <w:noProof/>
                <w:color w:val="000000"/>
                <w:sz w:val="20"/>
                <w:highlight w:val="black"/>
              </w:rPr>
              <w:t>''''''''''</w:t>
            </w:r>
          </w:p>
        </w:tc>
        <w:tc>
          <w:tcPr>
            <w:tcW w:w="659" w:type="pct"/>
            <w:tcBorders>
              <w:bottom w:val="single" w:sz="4" w:space="0" w:color="auto"/>
            </w:tcBorders>
            <w:shd w:val="clear" w:color="auto" w:fill="auto"/>
            <w:vAlign w:val="center"/>
          </w:tcPr>
          <w:p w:rsidR="00F61688" w:rsidRPr="00204548" w:rsidRDefault="00204548" w:rsidP="00E73A7B">
            <w:pPr>
              <w:widowControl/>
              <w:jc w:val="center"/>
              <w:rPr>
                <w:rFonts w:ascii="Arial Narrow" w:hAnsi="Arial Narrow"/>
                <w:b/>
                <w:iCs/>
                <w:sz w:val="20"/>
                <w:highlight w:val="black"/>
              </w:rPr>
            </w:pPr>
            <w:r>
              <w:rPr>
                <w:rFonts w:ascii="Arial Narrow" w:hAnsi="Arial Narrow"/>
                <w:b/>
                <w:iCs/>
                <w:noProof/>
                <w:color w:val="000000"/>
                <w:sz w:val="20"/>
                <w:highlight w:val="black"/>
              </w:rPr>
              <w:t>'''''''''''</w:t>
            </w:r>
          </w:p>
        </w:tc>
        <w:tc>
          <w:tcPr>
            <w:tcW w:w="659" w:type="pct"/>
            <w:tcBorders>
              <w:bottom w:val="single" w:sz="4" w:space="0" w:color="auto"/>
            </w:tcBorders>
            <w:shd w:val="clear" w:color="auto" w:fill="auto"/>
            <w:vAlign w:val="center"/>
          </w:tcPr>
          <w:p w:rsidR="00F61688" w:rsidRPr="00204548" w:rsidRDefault="00204548" w:rsidP="00E73A7B">
            <w:pPr>
              <w:widowControl/>
              <w:jc w:val="center"/>
              <w:rPr>
                <w:rFonts w:ascii="Arial Narrow" w:hAnsi="Arial Narrow"/>
                <w:b/>
                <w:iCs/>
                <w:sz w:val="20"/>
                <w:highlight w:val="black"/>
              </w:rPr>
            </w:pPr>
            <w:r>
              <w:rPr>
                <w:rFonts w:ascii="Arial Narrow" w:hAnsi="Arial Narrow"/>
                <w:b/>
                <w:iCs/>
                <w:noProof/>
                <w:color w:val="000000"/>
                <w:sz w:val="20"/>
                <w:highlight w:val="black"/>
              </w:rPr>
              <w:t>''''''''''</w:t>
            </w:r>
          </w:p>
        </w:tc>
        <w:tc>
          <w:tcPr>
            <w:tcW w:w="658" w:type="pct"/>
            <w:tcBorders>
              <w:bottom w:val="single" w:sz="4" w:space="0" w:color="auto"/>
              <w:right w:val="single" w:sz="4" w:space="0" w:color="auto"/>
            </w:tcBorders>
            <w:shd w:val="clear" w:color="auto" w:fill="auto"/>
            <w:vAlign w:val="center"/>
          </w:tcPr>
          <w:p w:rsidR="00F61688" w:rsidRPr="00204548" w:rsidRDefault="00204548" w:rsidP="00E73A7B">
            <w:pPr>
              <w:widowControl/>
              <w:jc w:val="center"/>
              <w:rPr>
                <w:rFonts w:ascii="Arial Narrow" w:hAnsi="Arial Narrow"/>
                <w:b/>
                <w:iCs/>
                <w:sz w:val="20"/>
                <w:highlight w:val="black"/>
              </w:rPr>
            </w:pPr>
            <w:r>
              <w:rPr>
                <w:rFonts w:ascii="Arial Narrow" w:hAnsi="Arial Narrow"/>
                <w:b/>
                <w:iCs/>
                <w:noProof/>
                <w:color w:val="000000"/>
                <w:sz w:val="20"/>
                <w:highlight w:val="black"/>
              </w:rPr>
              <w:t>'''''''''''</w:t>
            </w:r>
          </w:p>
        </w:tc>
      </w:tr>
      <w:tr w:rsidR="00F61688" w:rsidRPr="00ED5078" w:rsidTr="00E73A7B">
        <w:tc>
          <w:tcPr>
            <w:tcW w:w="1705" w:type="pct"/>
            <w:tcBorders>
              <w:left w:val="single" w:sz="4" w:space="0" w:color="auto"/>
              <w:bottom w:val="single" w:sz="4" w:space="0" w:color="auto"/>
            </w:tcBorders>
            <w:shd w:val="clear" w:color="auto" w:fill="auto"/>
            <w:noWrap/>
            <w:vAlign w:val="bottom"/>
          </w:tcPr>
          <w:p w:rsidR="00F61688" w:rsidRPr="00E604BE" w:rsidRDefault="00F61688" w:rsidP="00E73A7B">
            <w:pPr>
              <w:widowControl/>
              <w:jc w:val="left"/>
              <w:rPr>
                <w:rFonts w:ascii="Arial Narrow" w:hAnsi="Arial Narrow"/>
                <w:sz w:val="20"/>
                <w:lang w:eastAsia="en-AU"/>
              </w:rPr>
            </w:pPr>
            <w:r>
              <w:rPr>
                <w:rFonts w:ascii="Arial Narrow" w:hAnsi="Arial Narrow"/>
                <w:sz w:val="20"/>
                <w:lang w:eastAsia="en-AU"/>
              </w:rPr>
              <w:t>Cost of venetoclax (effective DPMQ)</w:t>
            </w:r>
          </w:p>
        </w:tc>
        <w:tc>
          <w:tcPr>
            <w:tcW w:w="659" w:type="pct"/>
            <w:tcBorders>
              <w:bottom w:val="single" w:sz="4" w:space="0" w:color="auto"/>
            </w:tcBorders>
            <w:shd w:val="clear" w:color="auto" w:fill="auto"/>
            <w:vAlign w:val="center"/>
          </w:tcPr>
          <w:p w:rsidR="00F61688" w:rsidRPr="00A355A4" w:rsidRDefault="00F61688" w:rsidP="00E73A7B">
            <w:pPr>
              <w:widowControl/>
              <w:jc w:val="center"/>
              <w:rPr>
                <w:rFonts w:ascii="Arial Narrow" w:hAnsi="Arial Narrow"/>
                <w:iCs/>
                <w:sz w:val="20"/>
              </w:rPr>
            </w:pPr>
            <w:r w:rsidRPr="00514D4B">
              <w:rPr>
                <w:rFonts w:ascii="Arial Narrow" w:hAnsi="Arial Narrow"/>
                <w:iCs/>
                <w:sz w:val="20"/>
              </w:rPr>
              <w:t>$</w:t>
            </w:r>
            <w:r w:rsidR="00204548">
              <w:rPr>
                <w:rFonts w:ascii="Arial Narrow" w:hAnsi="Arial Narrow"/>
                <w:iCs/>
                <w:noProof/>
                <w:color w:val="000000"/>
                <w:sz w:val="20"/>
                <w:highlight w:val="black"/>
              </w:rPr>
              <w:t>''''''''''''''''''''''</w:t>
            </w:r>
          </w:p>
        </w:tc>
        <w:tc>
          <w:tcPr>
            <w:tcW w:w="659" w:type="pct"/>
            <w:tcBorders>
              <w:bottom w:val="single" w:sz="4" w:space="0" w:color="auto"/>
            </w:tcBorders>
            <w:shd w:val="clear" w:color="auto" w:fill="auto"/>
            <w:vAlign w:val="center"/>
          </w:tcPr>
          <w:p w:rsidR="00F61688" w:rsidRPr="00A355A4" w:rsidRDefault="00F61688" w:rsidP="00E73A7B">
            <w:pPr>
              <w:widowControl/>
              <w:jc w:val="center"/>
              <w:rPr>
                <w:rFonts w:ascii="Arial Narrow" w:hAnsi="Arial Narrow"/>
                <w:iCs/>
                <w:sz w:val="20"/>
              </w:rPr>
            </w:pPr>
            <w:r w:rsidRPr="00514D4B">
              <w:rPr>
                <w:rFonts w:ascii="Arial Narrow" w:hAnsi="Arial Narrow"/>
                <w:iCs/>
                <w:sz w:val="20"/>
              </w:rPr>
              <w:t>$</w:t>
            </w:r>
            <w:r w:rsidR="00204548">
              <w:rPr>
                <w:rFonts w:ascii="Arial Narrow" w:hAnsi="Arial Narrow"/>
                <w:iCs/>
                <w:noProof/>
                <w:color w:val="000000"/>
                <w:sz w:val="20"/>
                <w:highlight w:val="black"/>
              </w:rPr>
              <w:t>'''''''''''''''''''''''''''</w:t>
            </w:r>
          </w:p>
        </w:tc>
        <w:tc>
          <w:tcPr>
            <w:tcW w:w="659" w:type="pct"/>
            <w:tcBorders>
              <w:bottom w:val="single" w:sz="4" w:space="0" w:color="auto"/>
            </w:tcBorders>
            <w:shd w:val="clear" w:color="auto" w:fill="auto"/>
            <w:vAlign w:val="center"/>
          </w:tcPr>
          <w:p w:rsidR="00F61688" w:rsidRPr="00A355A4" w:rsidRDefault="00F61688" w:rsidP="00E73A7B">
            <w:pPr>
              <w:widowControl/>
              <w:jc w:val="center"/>
              <w:rPr>
                <w:rFonts w:ascii="Arial Narrow" w:hAnsi="Arial Narrow"/>
                <w:iCs/>
                <w:sz w:val="20"/>
              </w:rPr>
            </w:pPr>
            <w:r w:rsidRPr="00514D4B">
              <w:rPr>
                <w:rFonts w:ascii="Arial Narrow" w:hAnsi="Arial Narrow"/>
                <w:iCs/>
                <w:sz w:val="20"/>
              </w:rPr>
              <w:t>$</w:t>
            </w:r>
            <w:r w:rsidR="00204548">
              <w:rPr>
                <w:rFonts w:ascii="Arial Narrow" w:hAnsi="Arial Narrow"/>
                <w:iCs/>
                <w:noProof/>
                <w:color w:val="000000"/>
                <w:sz w:val="20"/>
                <w:highlight w:val="black"/>
              </w:rPr>
              <w:t>'''''''''''''''''''''''</w:t>
            </w:r>
          </w:p>
        </w:tc>
        <w:tc>
          <w:tcPr>
            <w:tcW w:w="659" w:type="pct"/>
            <w:tcBorders>
              <w:bottom w:val="single" w:sz="4" w:space="0" w:color="auto"/>
            </w:tcBorders>
            <w:shd w:val="clear" w:color="auto" w:fill="auto"/>
            <w:vAlign w:val="center"/>
          </w:tcPr>
          <w:p w:rsidR="00F61688" w:rsidRPr="00A355A4" w:rsidRDefault="00F61688" w:rsidP="00E73A7B">
            <w:pPr>
              <w:widowControl/>
              <w:jc w:val="center"/>
              <w:rPr>
                <w:rFonts w:ascii="Arial Narrow" w:hAnsi="Arial Narrow"/>
                <w:iCs/>
                <w:sz w:val="20"/>
              </w:rPr>
            </w:pPr>
            <w:r w:rsidRPr="00514D4B">
              <w:rPr>
                <w:rFonts w:ascii="Arial Narrow" w:hAnsi="Arial Narrow"/>
                <w:iCs/>
                <w:sz w:val="20"/>
              </w:rPr>
              <w:t>$</w:t>
            </w:r>
            <w:r w:rsidR="00204548">
              <w:rPr>
                <w:rFonts w:ascii="Arial Narrow" w:hAnsi="Arial Narrow"/>
                <w:iCs/>
                <w:noProof/>
                <w:color w:val="000000"/>
                <w:sz w:val="20"/>
                <w:highlight w:val="black"/>
              </w:rPr>
              <w:t>'''''''''''''''''''''''''''</w:t>
            </w:r>
          </w:p>
        </w:tc>
        <w:tc>
          <w:tcPr>
            <w:tcW w:w="658" w:type="pct"/>
            <w:tcBorders>
              <w:bottom w:val="single" w:sz="4" w:space="0" w:color="auto"/>
              <w:right w:val="single" w:sz="4" w:space="0" w:color="auto"/>
            </w:tcBorders>
            <w:shd w:val="clear" w:color="auto" w:fill="auto"/>
            <w:vAlign w:val="center"/>
          </w:tcPr>
          <w:p w:rsidR="00F61688" w:rsidRPr="00A355A4" w:rsidRDefault="00F61688" w:rsidP="00E73A7B">
            <w:pPr>
              <w:widowControl/>
              <w:jc w:val="center"/>
              <w:rPr>
                <w:rFonts w:ascii="Arial Narrow" w:hAnsi="Arial Narrow"/>
                <w:iCs/>
                <w:sz w:val="20"/>
              </w:rPr>
            </w:pPr>
            <w:r w:rsidRPr="00514D4B">
              <w:rPr>
                <w:rFonts w:ascii="Arial Narrow" w:hAnsi="Arial Narrow"/>
                <w:iCs/>
                <w:sz w:val="20"/>
              </w:rPr>
              <w:t>$</w:t>
            </w:r>
            <w:r w:rsidR="00204548">
              <w:rPr>
                <w:rFonts w:ascii="Arial Narrow" w:hAnsi="Arial Narrow"/>
                <w:iCs/>
                <w:noProof/>
                <w:color w:val="000000"/>
                <w:sz w:val="20"/>
                <w:highlight w:val="black"/>
              </w:rPr>
              <w:t>''''''''''''''''''''''''</w:t>
            </w:r>
          </w:p>
        </w:tc>
      </w:tr>
      <w:tr w:rsidR="00F61688" w:rsidRPr="00ED5078" w:rsidTr="00E73A7B">
        <w:tc>
          <w:tcPr>
            <w:tcW w:w="1705" w:type="pct"/>
            <w:tcBorders>
              <w:left w:val="single" w:sz="4" w:space="0" w:color="auto"/>
              <w:bottom w:val="single" w:sz="4" w:space="0" w:color="auto"/>
            </w:tcBorders>
            <w:shd w:val="clear" w:color="auto" w:fill="auto"/>
            <w:noWrap/>
            <w:vAlign w:val="bottom"/>
          </w:tcPr>
          <w:p w:rsidR="00F61688" w:rsidRDefault="00F61688" w:rsidP="00E73A7B">
            <w:pPr>
              <w:widowControl/>
              <w:jc w:val="left"/>
              <w:rPr>
                <w:rFonts w:ascii="Arial Narrow" w:hAnsi="Arial Narrow"/>
                <w:sz w:val="20"/>
                <w:lang w:eastAsia="en-AU"/>
              </w:rPr>
            </w:pPr>
            <w:r>
              <w:rPr>
                <w:rFonts w:ascii="Arial Narrow" w:hAnsi="Arial Narrow"/>
                <w:sz w:val="20"/>
                <w:lang w:eastAsia="en-AU"/>
              </w:rPr>
              <w:t xml:space="preserve">Patient co-payments </w:t>
            </w:r>
          </w:p>
        </w:tc>
        <w:tc>
          <w:tcPr>
            <w:tcW w:w="659" w:type="pct"/>
            <w:tcBorders>
              <w:bottom w:val="single" w:sz="4" w:space="0" w:color="auto"/>
            </w:tcBorders>
            <w:shd w:val="clear" w:color="auto" w:fill="auto"/>
            <w:vAlign w:val="center"/>
          </w:tcPr>
          <w:p w:rsidR="00F61688" w:rsidRDefault="00F61688" w:rsidP="00E73A7B">
            <w:pPr>
              <w:widowControl/>
              <w:jc w:val="center"/>
              <w:rPr>
                <w:rFonts w:ascii="Arial Narrow" w:hAnsi="Arial Narrow"/>
                <w:sz w:val="20"/>
              </w:rPr>
            </w:pPr>
            <w:r w:rsidRPr="00514D4B">
              <w:rPr>
                <w:rFonts w:ascii="Arial Narrow" w:hAnsi="Arial Narrow"/>
                <w:sz w:val="20"/>
              </w:rPr>
              <w:t>-$</w:t>
            </w:r>
            <w:r w:rsidR="00204548">
              <w:rPr>
                <w:rFonts w:ascii="Arial Narrow" w:hAnsi="Arial Narrow"/>
                <w:noProof/>
                <w:color w:val="000000"/>
                <w:sz w:val="20"/>
                <w:highlight w:val="black"/>
              </w:rPr>
              <w:t>'''''''''''''''''</w:t>
            </w:r>
          </w:p>
        </w:tc>
        <w:tc>
          <w:tcPr>
            <w:tcW w:w="659" w:type="pct"/>
            <w:tcBorders>
              <w:bottom w:val="single" w:sz="4" w:space="0" w:color="auto"/>
            </w:tcBorders>
            <w:shd w:val="clear" w:color="auto" w:fill="auto"/>
            <w:vAlign w:val="center"/>
          </w:tcPr>
          <w:p w:rsidR="00F61688" w:rsidRDefault="00F61688" w:rsidP="00E73A7B">
            <w:pPr>
              <w:widowControl/>
              <w:jc w:val="center"/>
              <w:rPr>
                <w:rFonts w:ascii="Arial Narrow" w:hAnsi="Arial Narrow"/>
                <w:sz w:val="20"/>
              </w:rPr>
            </w:pPr>
            <w:r w:rsidRPr="00514D4B">
              <w:rPr>
                <w:rFonts w:ascii="Arial Narrow" w:hAnsi="Arial Narrow"/>
                <w:sz w:val="20"/>
              </w:rPr>
              <w:t>-$</w:t>
            </w:r>
            <w:r w:rsidR="00204548">
              <w:rPr>
                <w:rFonts w:ascii="Arial Narrow" w:hAnsi="Arial Narrow"/>
                <w:noProof/>
                <w:color w:val="000000"/>
                <w:sz w:val="20"/>
                <w:highlight w:val="black"/>
              </w:rPr>
              <w:t>'''''''''''''''</w:t>
            </w:r>
          </w:p>
        </w:tc>
        <w:tc>
          <w:tcPr>
            <w:tcW w:w="659" w:type="pct"/>
            <w:tcBorders>
              <w:bottom w:val="single" w:sz="4" w:space="0" w:color="auto"/>
            </w:tcBorders>
            <w:shd w:val="clear" w:color="auto" w:fill="auto"/>
            <w:vAlign w:val="center"/>
          </w:tcPr>
          <w:p w:rsidR="00F61688" w:rsidRDefault="00F61688" w:rsidP="00E73A7B">
            <w:pPr>
              <w:widowControl/>
              <w:jc w:val="center"/>
              <w:rPr>
                <w:rFonts w:ascii="Arial Narrow" w:hAnsi="Arial Narrow"/>
                <w:sz w:val="20"/>
              </w:rPr>
            </w:pPr>
            <w:r w:rsidRPr="00514D4B">
              <w:rPr>
                <w:rFonts w:ascii="Arial Narrow" w:hAnsi="Arial Narrow"/>
                <w:sz w:val="20"/>
              </w:rPr>
              <w:t>-$</w:t>
            </w:r>
            <w:r w:rsidR="00204548">
              <w:rPr>
                <w:rFonts w:ascii="Arial Narrow" w:hAnsi="Arial Narrow"/>
                <w:noProof/>
                <w:color w:val="000000"/>
                <w:sz w:val="20"/>
                <w:highlight w:val="black"/>
              </w:rPr>
              <w:t>''''''''''''''''</w:t>
            </w:r>
          </w:p>
        </w:tc>
        <w:tc>
          <w:tcPr>
            <w:tcW w:w="659" w:type="pct"/>
            <w:tcBorders>
              <w:bottom w:val="single" w:sz="4" w:space="0" w:color="auto"/>
            </w:tcBorders>
            <w:shd w:val="clear" w:color="auto" w:fill="auto"/>
            <w:vAlign w:val="center"/>
          </w:tcPr>
          <w:p w:rsidR="00F61688" w:rsidRDefault="00F61688" w:rsidP="00E73A7B">
            <w:pPr>
              <w:widowControl/>
              <w:jc w:val="center"/>
              <w:rPr>
                <w:rFonts w:ascii="Arial Narrow" w:hAnsi="Arial Narrow"/>
                <w:sz w:val="20"/>
              </w:rPr>
            </w:pPr>
            <w:r w:rsidRPr="00514D4B">
              <w:rPr>
                <w:rFonts w:ascii="Arial Narrow" w:hAnsi="Arial Narrow"/>
                <w:sz w:val="20"/>
              </w:rPr>
              <w:t>-$</w:t>
            </w:r>
            <w:r w:rsidR="00204548">
              <w:rPr>
                <w:rFonts w:ascii="Arial Narrow" w:hAnsi="Arial Narrow"/>
                <w:noProof/>
                <w:color w:val="000000"/>
                <w:sz w:val="20"/>
                <w:highlight w:val="black"/>
              </w:rPr>
              <w:t>'''''''''''''''</w:t>
            </w:r>
          </w:p>
        </w:tc>
        <w:tc>
          <w:tcPr>
            <w:tcW w:w="658" w:type="pct"/>
            <w:tcBorders>
              <w:bottom w:val="single" w:sz="4" w:space="0" w:color="auto"/>
              <w:right w:val="single" w:sz="4" w:space="0" w:color="auto"/>
            </w:tcBorders>
            <w:shd w:val="clear" w:color="auto" w:fill="auto"/>
            <w:vAlign w:val="center"/>
          </w:tcPr>
          <w:p w:rsidR="00F61688" w:rsidRDefault="00F61688" w:rsidP="00E73A7B">
            <w:pPr>
              <w:widowControl/>
              <w:jc w:val="center"/>
              <w:rPr>
                <w:rFonts w:ascii="Arial Narrow" w:hAnsi="Arial Narrow"/>
                <w:sz w:val="20"/>
              </w:rPr>
            </w:pPr>
            <w:r w:rsidRPr="00514D4B">
              <w:rPr>
                <w:rFonts w:ascii="Arial Narrow" w:hAnsi="Arial Narrow"/>
                <w:sz w:val="20"/>
              </w:rPr>
              <w:t>-$</w:t>
            </w:r>
            <w:r w:rsidR="00204548">
              <w:rPr>
                <w:rFonts w:ascii="Arial Narrow" w:hAnsi="Arial Narrow"/>
                <w:noProof/>
                <w:color w:val="000000"/>
                <w:sz w:val="20"/>
                <w:highlight w:val="black"/>
              </w:rPr>
              <w:t>''''''''''''''''</w:t>
            </w:r>
          </w:p>
        </w:tc>
      </w:tr>
      <w:tr w:rsidR="00F61688" w:rsidRPr="00ED5078" w:rsidTr="00E73A7B">
        <w:tc>
          <w:tcPr>
            <w:tcW w:w="1705" w:type="pct"/>
            <w:tcBorders>
              <w:left w:val="single" w:sz="4" w:space="0" w:color="auto"/>
              <w:bottom w:val="single" w:sz="4" w:space="0" w:color="auto"/>
            </w:tcBorders>
            <w:shd w:val="clear" w:color="auto" w:fill="auto"/>
            <w:noWrap/>
            <w:vAlign w:val="bottom"/>
          </w:tcPr>
          <w:p w:rsidR="00F61688" w:rsidRDefault="00F61688" w:rsidP="00E73A7B">
            <w:pPr>
              <w:widowControl/>
              <w:jc w:val="left"/>
              <w:rPr>
                <w:rFonts w:ascii="Arial Narrow" w:hAnsi="Arial Narrow"/>
                <w:sz w:val="20"/>
                <w:lang w:eastAsia="en-AU"/>
              </w:rPr>
            </w:pPr>
            <w:r>
              <w:rPr>
                <w:rFonts w:ascii="Arial Narrow" w:hAnsi="Arial Narrow"/>
                <w:sz w:val="20"/>
                <w:lang w:eastAsia="en-AU"/>
              </w:rPr>
              <w:t xml:space="preserve">Substituted therapies </w:t>
            </w:r>
          </w:p>
          <w:p w:rsidR="00F61688" w:rsidRDefault="00F61688" w:rsidP="00E73A7B">
            <w:pPr>
              <w:widowControl/>
              <w:jc w:val="left"/>
              <w:rPr>
                <w:rFonts w:ascii="Arial Narrow" w:hAnsi="Arial Narrow"/>
                <w:sz w:val="20"/>
                <w:lang w:eastAsia="en-AU"/>
              </w:rPr>
            </w:pPr>
            <w:r>
              <w:rPr>
                <w:rFonts w:ascii="Arial Narrow" w:hAnsi="Arial Narrow"/>
                <w:sz w:val="20"/>
                <w:lang w:eastAsia="en-AU"/>
              </w:rPr>
              <w:t>(published DPMQ less co-pay</w:t>
            </w:r>
            <w:r w:rsidRPr="00835FE7">
              <w:rPr>
                <w:rFonts w:ascii="Arial Narrow" w:hAnsi="Arial Narrow"/>
                <w:sz w:val="20"/>
                <w:lang w:eastAsia="en-AU"/>
              </w:rPr>
              <w:t>)</w:t>
            </w:r>
          </w:p>
        </w:tc>
        <w:tc>
          <w:tcPr>
            <w:tcW w:w="659" w:type="pct"/>
            <w:tcBorders>
              <w:bottom w:val="single" w:sz="4" w:space="0" w:color="auto"/>
            </w:tcBorders>
            <w:shd w:val="clear" w:color="auto" w:fill="auto"/>
            <w:vAlign w:val="center"/>
          </w:tcPr>
          <w:p w:rsidR="00F61688" w:rsidRDefault="00F61688" w:rsidP="00E73A7B">
            <w:pPr>
              <w:widowControl/>
              <w:jc w:val="center"/>
              <w:rPr>
                <w:rFonts w:ascii="Arial Narrow" w:hAnsi="Arial Narrow"/>
                <w:sz w:val="20"/>
              </w:rPr>
            </w:pPr>
            <w:r w:rsidRPr="00264F3D">
              <w:rPr>
                <w:rFonts w:ascii="Arial Narrow" w:hAnsi="Arial Narrow"/>
                <w:sz w:val="20"/>
              </w:rPr>
              <w:t>-$</w:t>
            </w:r>
            <w:r w:rsidR="00204548">
              <w:rPr>
                <w:rFonts w:ascii="Arial Narrow" w:hAnsi="Arial Narrow"/>
                <w:noProof/>
                <w:color w:val="000000"/>
                <w:sz w:val="20"/>
                <w:highlight w:val="black"/>
              </w:rPr>
              <w:t>'''''''''''''''''''''''''</w:t>
            </w:r>
          </w:p>
        </w:tc>
        <w:tc>
          <w:tcPr>
            <w:tcW w:w="659" w:type="pct"/>
            <w:tcBorders>
              <w:bottom w:val="single" w:sz="4" w:space="0" w:color="auto"/>
            </w:tcBorders>
            <w:shd w:val="clear" w:color="auto" w:fill="auto"/>
            <w:vAlign w:val="center"/>
          </w:tcPr>
          <w:p w:rsidR="00F61688" w:rsidRDefault="00F61688" w:rsidP="00E73A7B">
            <w:pPr>
              <w:widowControl/>
              <w:jc w:val="center"/>
              <w:rPr>
                <w:rFonts w:ascii="Arial Narrow" w:hAnsi="Arial Narrow"/>
                <w:sz w:val="20"/>
              </w:rPr>
            </w:pPr>
            <w:r w:rsidRPr="00264F3D">
              <w:rPr>
                <w:rFonts w:ascii="Arial Narrow" w:hAnsi="Arial Narrow"/>
                <w:sz w:val="20"/>
              </w:rPr>
              <w:t>-$</w:t>
            </w:r>
            <w:r w:rsidR="00204548">
              <w:rPr>
                <w:rFonts w:ascii="Arial Narrow" w:hAnsi="Arial Narrow"/>
                <w:noProof/>
                <w:color w:val="000000"/>
                <w:sz w:val="20"/>
                <w:highlight w:val="black"/>
              </w:rPr>
              <w:t>'''''''''''''''''''''''</w:t>
            </w:r>
          </w:p>
        </w:tc>
        <w:tc>
          <w:tcPr>
            <w:tcW w:w="659" w:type="pct"/>
            <w:tcBorders>
              <w:bottom w:val="single" w:sz="4" w:space="0" w:color="auto"/>
            </w:tcBorders>
            <w:shd w:val="clear" w:color="auto" w:fill="auto"/>
            <w:vAlign w:val="center"/>
          </w:tcPr>
          <w:p w:rsidR="00F61688" w:rsidRDefault="00F61688" w:rsidP="00E73A7B">
            <w:pPr>
              <w:widowControl/>
              <w:jc w:val="center"/>
              <w:rPr>
                <w:rFonts w:ascii="Arial Narrow" w:hAnsi="Arial Narrow"/>
                <w:sz w:val="20"/>
              </w:rPr>
            </w:pPr>
            <w:r w:rsidRPr="00264F3D">
              <w:rPr>
                <w:rFonts w:ascii="Arial Narrow" w:hAnsi="Arial Narrow"/>
                <w:sz w:val="20"/>
              </w:rPr>
              <w:t>-$</w:t>
            </w:r>
            <w:r w:rsidR="00204548">
              <w:rPr>
                <w:rFonts w:ascii="Arial Narrow" w:hAnsi="Arial Narrow"/>
                <w:noProof/>
                <w:color w:val="000000"/>
                <w:sz w:val="20"/>
                <w:highlight w:val="black"/>
              </w:rPr>
              <w:t>''''''''''''''''''''''''''</w:t>
            </w:r>
          </w:p>
        </w:tc>
        <w:tc>
          <w:tcPr>
            <w:tcW w:w="659" w:type="pct"/>
            <w:tcBorders>
              <w:bottom w:val="single" w:sz="4" w:space="0" w:color="auto"/>
            </w:tcBorders>
            <w:shd w:val="clear" w:color="auto" w:fill="auto"/>
            <w:vAlign w:val="center"/>
          </w:tcPr>
          <w:p w:rsidR="00F61688" w:rsidRDefault="00F61688" w:rsidP="00E73A7B">
            <w:pPr>
              <w:widowControl/>
              <w:jc w:val="center"/>
              <w:rPr>
                <w:rFonts w:ascii="Arial Narrow" w:hAnsi="Arial Narrow"/>
                <w:sz w:val="20"/>
              </w:rPr>
            </w:pPr>
            <w:r w:rsidRPr="00264F3D">
              <w:rPr>
                <w:rFonts w:ascii="Arial Narrow" w:hAnsi="Arial Narrow"/>
                <w:sz w:val="20"/>
              </w:rPr>
              <w:t>-$</w:t>
            </w:r>
            <w:r w:rsidR="00204548">
              <w:rPr>
                <w:rFonts w:ascii="Arial Narrow" w:hAnsi="Arial Narrow"/>
                <w:noProof/>
                <w:color w:val="000000"/>
                <w:sz w:val="20"/>
                <w:highlight w:val="black"/>
              </w:rPr>
              <w:t>'''''''''''''''''''''''</w:t>
            </w:r>
          </w:p>
        </w:tc>
        <w:tc>
          <w:tcPr>
            <w:tcW w:w="658" w:type="pct"/>
            <w:tcBorders>
              <w:bottom w:val="single" w:sz="4" w:space="0" w:color="auto"/>
              <w:right w:val="single" w:sz="4" w:space="0" w:color="auto"/>
            </w:tcBorders>
            <w:shd w:val="clear" w:color="auto" w:fill="auto"/>
            <w:vAlign w:val="center"/>
          </w:tcPr>
          <w:p w:rsidR="00F61688" w:rsidRDefault="00F61688" w:rsidP="00E73A7B">
            <w:pPr>
              <w:widowControl/>
              <w:jc w:val="center"/>
              <w:rPr>
                <w:rFonts w:ascii="Arial Narrow" w:hAnsi="Arial Narrow"/>
                <w:sz w:val="20"/>
              </w:rPr>
            </w:pPr>
            <w:r w:rsidRPr="00264F3D">
              <w:rPr>
                <w:rFonts w:ascii="Arial Narrow" w:hAnsi="Arial Narrow"/>
                <w:sz w:val="20"/>
              </w:rPr>
              <w:t>-$</w:t>
            </w:r>
            <w:r w:rsidR="00204548">
              <w:rPr>
                <w:rFonts w:ascii="Arial Narrow" w:hAnsi="Arial Narrow"/>
                <w:noProof/>
                <w:color w:val="000000"/>
                <w:sz w:val="20"/>
                <w:highlight w:val="black"/>
              </w:rPr>
              <w:t>''''''''''''''''''''''</w:t>
            </w:r>
          </w:p>
        </w:tc>
      </w:tr>
      <w:tr w:rsidR="00F61688" w:rsidRPr="00ED5078" w:rsidTr="00E73A7B">
        <w:tc>
          <w:tcPr>
            <w:tcW w:w="1705" w:type="pct"/>
            <w:tcBorders>
              <w:left w:val="single" w:sz="4" w:space="0" w:color="auto"/>
              <w:bottom w:val="single" w:sz="4" w:space="0" w:color="auto"/>
            </w:tcBorders>
            <w:shd w:val="clear" w:color="auto" w:fill="auto"/>
            <w:noWrap/>
            <w:vAlign w:val="bottom"/>
          </w:tcPr>
          <w:p w:rsidR="00F61688" w:rsidRPr="00016E63" w:rsidRDefault="00F61688" w:rsidP="00E73A7B">
            <w:pPr>
              <w:widowControl/>
              <w:jc w:val="left"/>
              <w:rPr>
                <w:rFonts w:ascii="Arial Narrow" w:hAnsi="Arial Narrow"/>
                <w:sz w:val="20"/>
                <w:lang w:eastAsia="en-AU"/>
              </w:rPr>
            </w:pPr>
            <w:r>
              <w:rPr>
                <w:rFonts w:ascii="Arial Narrow" w:hAnsi="Arial Narrow"/>
                <w:sz w:val="20"/>
                <w:lang w:eastAsia="en-AU"/>
              </w:rPr>
              <w:t>TLS prophylaxis (drug costs)</w:t>
            </w:r>
            <w:r>
              <w:rPr>
                <w:rFonts w:ascii="Arial Narrow" w:hAnsi="Arial Narrow"/>
                <w:sz w:val="20"/>
                <w:vertAlign w:val="superscript"/>
                <w:lang w:eastAsia="en-AU"/>
              </w:rPr>
              <w:t>c</w:t>
            </w:r>
          </w:p>
        </w:tc>
        <w:tc>
          <w:tcPr>
            <w:tcW w:w="659" w:type="pct"/>
            <w:tcBorders>
              <w:bottom w:val="single" w:sz="4" w:space="0" w:color="auto"/>
            </w:tcBorders>
            <w:shd w:val="clear" w:color="auto" w:fill="auto"/>
            <w:vAlign w:val="center"/>
          </w:tcPr>
          <w:p w:rsidR="00F61688" w:rsidRDefault="00F61688" w:rsidP="00E73A7B">
            <w:pPr>
              <w:widowControl/>
              <w:jc w:val="center"/>
              <w:rPr>
                <w:rFonts w:ascii="Arial Narrow" w:hAnsi="Arial Narrow"/>
                <w:sz w:val="20"/>
              </w:rPr>
            </w:pPr>
            <w:r w:rsidRPr="00264F3D">
              <w:rPr>
                <w:rFonts w:ascii="Arial Narrow" w:hAnsi="Arial Narrow"/>
                <w:sz w:val="20"/>
              </w:rPr>
              <w:t>$</w:t>
            </w:r>
            <w:r w:rsidR="00204548">
              <w:rPr>
                <w:rFonts w:ascii="Arial Narrow" w:hAnsi="Arial Narrow"/>
                <w:noProof/>
                <w:color w:val="000000"/>
                <w:sz w:val="20"/>
                <w:highlight w:val="black"/>
              </w:rPr>
              <w:t>'''''''''</w:t>
            </w:r>
          </w:p>
        </w:tc>
        <w:tc>
          <w:tcPr>
            <w:tcW w:w="659" w:type="pct"/>
            <w:tcBorders>
              <w:bottom w:val="single" w:sz="4" w:space="0" w:color="auto"/>
            </w:tcBorders>
            <w:shd w:val="clear" w:color="auto" w:fill="auto"/>
            <w:vAlign w:val="center"/>
          </w:tcPr>
          <w:p w:rsidR="00F61688" w:rsidRDefault="00F61688" w:rsidP="00E73A7B">
            <w:pPr>
              <w:widowControl/>
              <w:jc w:val="center"/>
              <w:rPr>
                <w:rFonts w:ascii="Arial Narrow" w:hAnsi="Arial Narrow"/>
                <w:sz w:val="20"/>
              </w:rPr>
            </w:pPr>
            <w:r w:rsidRPr="00264F3D">
              <w:rPr>
                <w:rFonts w:ascii="Arial Narrow" w:hAnsi="Arial Narrow"/>
                <w:sz w:val="20"/>
              </w:rPr>
              <w:t>$</w:t>
            </w:r>
            <w:r w:rsidR="00204548">
              <w:rPr>
                <w:rFonts w:ascii="Arial Narrow" w:hAnsi="Arial Narrow"/>
                <w:noProof/>
                <w:color w:val="000000"/>
                <w:sz w:val="20"/>
                <w:highlight w:val="black"/>
              </w:rPr>
              <w:t>''''''''</w:t>
            </w:r>
          </w:p>
        </w:tc>
        <w:tc>
          <w:tcPr>
            <w:tcW w:w="659" w:type="pct"/>
            <w:tcBorders>
              <w:bottom w:val="single" w:sz="4" w:space="0" w:color="auto"/>
            </w:tcBorders>
            <w:shd w:val="clear" w:color="auto" w:fill="auto"/>
            <w:vAlign w:val="center"/>
          </w:tcPr>
          <w:p w:rsidR="00F61688" w:rsidRDefault="00F61688" w:rsidP="00E73A7B">
            <w:pPr>
              <w:widowControl/>
              <w:jc w:val="center"/>
              <w:rPr>
                <w:rFonts w:ascii="Arial Narrow" w:hAnsi="Arial Narrow"/>
                <w:sz w:val="20"/>
              </w:rPr>
            </w:pPr>
            <w:r w:rsidRPr="00264F3D">
              <w:rPr>
                <w:rFonts w:ascii="Arial Narrow" w:hAnsi="Arial Narrow"/>
                <w:sz w:val="20"/>
              </w:rPr>
              <w:t>$</w:t>
            </w:r>
            <w:r w:rsidR="00204548">
              <w:rPr>
                <w:rFonts w:ascii="Arial Narrow" w:hAnsi="Arial Narrow"/>
                <w:noProof/>
                <w:color w:val="000000"/>
                <w:sz w:val="20"/>
                <w:highlight w:val="black"/>
              </w:rPr>
              <w:t>'''''''''</w:t>
            </w:r>
          </w:p>
        </w:tc>
        <w:tc>
          <w:tcPr>
            <w:tcW w:w="659" w:type="pct"/>
            <w:tcBorders>
              <w:bottom w:val="single" w:sz="4" w:space="0" w:color="auto"/>
            </w:tcBorders>
            <w:shd w:val="clear" w:color="auto" w:fill="auto"/>
            <w:vAlign w:val="center"/>
          </w:tcPr>
          <w:p w:rsidR="00F61688" w:rsidRDefault="00F61688" w:rsidP="00E73A7B">
            <w:pPr>
              <w:widowControl/>
              <w:jc w:val="center"/>
              <w:rPr>
                <w:rFonts w:ascii="Arial Narrow" w:hAnsi="Arial Narrow"/>
                <w:sz w:val="20"/>
              </w:rPr>
            </w:pPr>
            <w:r w:rsidRPr="00264F3D">
              <w:rPr>
                <w:rFonts w:ascii="Arial Narrow" w:hAnsi="Arial Narrow"/>
                <w:sz w:val="20"/>
              </w:rPr>
              <w:t>$</w:t>
            </w:r>
            <w:r w:rsidR="00204548">
              <w:rPr>
                <w:rFonts w:ascii="Arial Narrow" w:hAnsi="Arial Narrow"/>
                <w:noProof/>
                <w:color w:val="000000"/>
                <w:sz w:val="20"/>
                <w:highlight w:val="black"/>
              </w:rPr>
              <w:t>''''''''''</w:t>
            </w:r>
          </w:p>
        </w:tc>
        <w:tc>
          <w:tcPr>
            <w:tcW w:w="658" w:type="pct"/>
            <w:tcBorders>
              <w:bottom w:val="single" w:sz="4" w:space="0" w:color="auto"/>
              <w:right w:val="single" w:sz="4" w:space="0" w:color="auto"/>
            </w:tcBorders>
            <w:shd w:val="clear" w:color="auto" w:fill="auto"/>
            <w:vAlign w:val="center"/>
          </w:tcPr>
          <w:p w:rsidR="00F61688" w:rsidRDefault="00F61688" w:rsidP="00E73A7B">
            <w:pPr>
              <w:widowControl/>
              <w:jc w:val="center"/>
              <w:rPr>
                <w:rFonts w:ascii="Arial Narrow" w:hAnsi="Arial Narrow"/>
                <w:sz w:val="20"/>
              </w:rPr>
            </w:pPr>
            <w:r w:rsidRPr="00264F3D">
              <w:rPr>
                <w:rFonts w:ascii="Arial Narrow" w:hAnsi="Arial Narrow"/>
                <w:sz w:val="20"/>
              </w:rPr>
              <w:t>$</w:t>
            </w:r>
            <w:r w:rsidR="00204548">
              <w:rPr>
                <w:rFonts w:ascii="Arial Narrow" w:hAnsi="Arial Narrow"/>
                <w:noProof/>
                <w:color w:val="000000"/>
                <w:sz w:val="20"/>
                <w:highlight w:val="black"/>
              </w:rPr>
              <w:t>''''''''''</w:t>
            </w:r>
          </w:p>
        </w:tc>
      </w:tr>
      <w:tr w:rsidR="00F61688" w:rsidRPr="00ED5078" w:rsidTr="00E73A7B">
        <w:tc>
          <w:tcPr>
            <w:tcW w:w="1705" w:type="pct"/>
            <w:tcBorders>
              <w:left w:val="single" w:sz="4" w:space="0" w:color="auto"/>
            </w:tcBorders>
            <w:shd w:val="clear" w:color="auto" w:fill="auto"/>
            <w:noWrap/>
            <w:vAlign w:val="bottom"/>
          </w:tcPr>
          <w:p w:rsidR="00F61688" w:rsidRPr="00FF534B" w:rsidRDefault="00F61688" w:rsidP="00E73A7B">
            <w:pPr>
              <w:widowControl/>
              <w:jc w:val="left"/>
              <w:rPr>
                <w:rFonts w:ascii="Arial Narrow" w:hAnsi="Arial Narrow"/>
                <w:b/>
                <w:sz w:val="20"/>
                <w:lang w:eastAsia="en-AU"/>
              </w:rPr>
            </w:pPr>
            <w:r>
              <w:rPr>
                <w:rFonts w:ascii="Arial Narrow" w:hAnsi="Arial Narrow"/>
                <w:b/>
                <w:sz w:val="20"/>
                <w:lang w:eastAsia="en-AU"/>
              </w:rPr>
              <w:t>Net cost to PBS/RPBS</w:t>
            </w:r>
          </w:p>
        </w:tc>
        <w:tc>
          <w:tcPr>
            <w:tcW w:w="659" w:type="pct"/>
            <w:shd w:val="clear" w:color="auto" w:fill="auto"/>
            <w:vAlign w:val="center"/>
          </w:tcPr>
          <w:p w:rsidR="00F61688" w:rsidRPr="00FF534B" w:rsidRDefault="00F61688" w:rsidP="00E73A7B">
            <w:pPr>
              <w:widowControl/>
              <w:jc w:val="center"/>
              <w:rPr>
                <w:rFonts w:ascii="Arial Narrow" w:hAnsi="Arial Narrow"/>
                <w:b/>
                <w:sz w:val="20"/>
              </w:rPr>
            </w:pPr>
            <w:r w:rsidRPr="00245C85">
              <w:rPr>
                <w:rFonts w:ascii="Arial Narrow" w:hAnsi="Arial Narrow"/>
                <w:b/>
                <w:sz w:val="20"/>
              </w:rPr>
              <w:t>$</w:t>
            </w:r>
            <w:r w:rsidR="00204548">
              <w:rPr>
                <w:rFonts w:ascii="Arial Narrow" w:hAnsi="Arial Narrow"/>
                <w:b/>
                <w:noProof/>
                <w:color w:val="000000"/>
                <w:sz w:val="20"/>
                <w:highlight w:val="black"/>
              </w:rPr>
              <w:t>''''''''''''''''''''</w:t>
            </w:r>
          </w:p>
        </w:tc>
        <w:tc>
          <w:tcPr>
            <w:tcW w:w="659" w:type="pct"/>
            <w:shd w:val="clear" w:color="auto" w:fill="auto"/>
            <w:vAlign w:val="center"/>
          </w:tcPr>
          <w:p w:rsidR="00F61688" w:rsidRPr="00FF534B" w:rsidRDefault="00F61688" w:rsidP="00E73A7B">
            <w:pPr>
              <w:widowControl/>
              <w:jc w:val="center"/>
              <w:rPr>
                <w:rFonts w:ascii="Arial Narrow" w:hAnsi="Arial Narrow"/>
                <w:b/>
                <w:sz w:val="20"/>
              </w:rPr>
            </w:pPr>
            <w:r w:rsidRPr="00245C85">
              <w:rPr>
                <w:rFonts w:ascii="Arial Narrow" w:hAnsi="Arial Narrow"/>
                <w:b/>
                <w:sz w:val="20"/>
              </w:rPr>
              <w:t>$</w:t>
            </w:r>
            <w:r w:rsidR="00204548">
              <w:rPr>
                <w:rFonts w:ascii="Arial Narrow" w:hAnsi="Arial Narrow"/>
                <w:b/>
                <w:noProof/>
                <w:color w:val="000000"/>
                <w:sz w:val="20"/>
                <w:highlight w:val="black"/>
              </w:rPr>
              <w:t>''''''''''''''''''''</w:t>
            </w:r>
          </w:p>
        </w:tc>
        <w:tc>
          <w:tcPr>
            <w:tcW w:w="659" w:type="pct"/>
            <w:shd w:val="clear" w:color="auto" w:fill="auto"/>
            <w:vAlign w:val="center"/>
          </w:tcPr>
          <w:p w:rsidR="00F61688" w:rsidRPr="00FF534B" w:rsidRDefault="00F61688" w:rsidP="00E73A7B">
            <w:pPr>
              <w:widowControl/>
              <w:jc w:val="center"/>
              <w:rPr>
                <w:rFonts w:ascii="Arial Narrow" w:hAnsi="Arial Narrow"/>
                <w:b/>
                <w:sz w:val="20"/>
              </w:rPr>
            </w:pPr>
            <w:r w:rsidRPr="00245C85">
              <w:rPr>
                <w:rFonts w:ascii="Arial Narrow" w:hAnsi="Arial Narrow"/>
                <w:b/>
                <w:sz w:val="20"/>
              </w:rPr>
              <w:t>$</w:t>
            </w:r>
            <w:r w:rsidR="00204548">
              <w:rPr>
                <w:rFonts w:ascii="Arial Narrow" w:hAnsi="Arial Narrow"/>
                <w:b/>
                <w:noProof/>
                <w:color w:val="000000"/>
                <w:sz w:val="20"/>
                <w:highlight w:val="black"/>
              </w:rPr>
              <w:t>'''''''''''''''''''''</w:t>
            </w:r>
          </w:p>
        </w:tc>
        <w:tc>
          <w:tcPr>
            <w:tcW w:w="659" w:type="pct"/>
            <w:shd w:val="clear" w:color="auto" w:fill="auto"/>
            <w:vAlign w:val="center"/>
          </w:tcPr>
          <w:p w:rsidR="00F61688" w:rsidRPr="00FF534B" w:rsidRDefault="00F61688" w:rsidP="00E73A7B">
            <w:pPr>
              <w:widowControl/>
              <w:jc w:val="center"/>
              <w:rPr>
                <w:rFonts w:ascii="Arial Narrow" w:hAnsi="Arial Narrow"/>
                <w:b/>
                <w:sz w:val="20"/>
              </w:rPr>
            </w:pPr>
            <w:r w:rsidRPr="00245C85">
              <w:rPr>
                <w:rFonts w:ascii="Arial Narrow" w:hAnsi="Arial Narrow"/>
                <w:b/>
                <w:sz w:val="20"/>
              </w:rPr>
              <w:t>$</w:t>
            </w:r>
            <w:r w:rsidR="00204548">
              <w:rPr>
                <w:rFonts w:ascii="Arial Narrow" w:hAnsi="Arial Narrow"/>
                <w:b/>
                <w:noProof/>
                <w:color w:val="000000"/>
                <w:sz w:val="20"/>
                <w:highlight w:val="black"/>
              </w:rPr>
              <w:t>''''''''''''''''''''''''</w:t>
            </w:r>
          </w:p>
        </w:tc>
        <w:tc>
          <w:tcPr>
            <w:tcW w:w="658" w:type="pct"/>
            <w:tcBorders>
              <w:right w:val="single" w:sz="4" w:space="0" w:color="auto"/>
            </w:tcBorders>
            <w:shd w:val="clear" w:color="auto" w:fill="auto"/>
            <w:vAlign w:val="center"/>
          </w:tcPr>
          <w:p w:rsidR="00F61688" w:rsidRPr="00FF534B" w:rsidRDefault="00F61688" w:rsidP="00E73A7B">
            <w:pPr>
              <w:widowControl/>
              <w:jc w:val="center"/>
              <w:rPr>
                <w:rFonts w:ascii="Arial Narrow" w:hAnsi="Arial Narrow"/>
                <w:b/>
                <w:sz w:val="20"/>
              </w:rPr>
            </w:pPr>
            <w:r w:rsidRPr="00245C85">
              <w:rPr>
                <w:rFonts w:ascii="Arial Narrow" w:hAnsi="Arial Narrow"/>
                <w:b/>
                <w:sz w:val="20"/>
              </w:rPr>
              <w:t>$</w:t>
            </w:r>
            <w:r w:rsidR="00204548">
              <w:rPr>
                <w:rFonts w:ascii="Arial Narrow" w:hAnsi="Arial Narrow"/>
                <w:b/>
                <w:noProof/>
                <w:color w:val="000000"/>
                <w:sz w:val="20"/>
                <w:highlight w:val="black"/>
              </w:rPr>
              <w:t>'''''''''''''''''''</w:t>
            </w:r>
          </w:p>
        </w:tc>
      </w:tr>
      <w:tr w:rsidR="00F61688" w:rsidRPr="00ED5078" w:rsidTr="00E73A7B">
        <w:tc>
          <w:tcPr>
            <w:tcW w:w="1705" w:type="pct"/>
            <w:tcBorders>
              <w:left w:val="single" w:sz="4" w:space="0" w:color="auto"/>
            </w:tcBorders>
            <w:shd w:val="clear" w:color="auto" w:fill="auto"/>
            <w:noWrap/>
            <w:vAlign w:val="bottom"/>
          </w:tcPr>
          <w:p w:rsidR="00F61688" w:rsidRPr="00942070" w:rsidRDefault="00F61688" w:rsidP="00E73A7B">
            <w:pPr>
              <w:widowControl/>
              <w:jc w:val="left"/>
              <w:rPr>
                <w:rFonts w:ascii="Arial Narrow" w:hAnsi="Arial Narrow"/>
                <w:sz w:val="20"/>
                <w:lang w:eastAsia="en-AU"/>
              </w:rPr>
            </w:pPr>
            <w:r w:rsidRPr="00942070">
              <w:rPr>
                <w:rFonts w:ascii="Arial Narrow" w:hAnsi="Arial Narrow"/>
                <w:sz w:val="20"/>
                <w:lang w:eastAsia="en-AU"/>
              </w:rPr>
              <w:t xml:space="preserve">TLS prophylaxis </w:t>
            </w:r>
          </w:p>
          <w:p w:rsidR="00F61688" w:rsidRDefault="00F61688" w:rsidP="00E73A7B">
            <w:pPr>
              <w:widowControl/>
              <w:jc w:val="left"/>
              <w:rPr>
                <w:rFonts w:ascii="Arial Narrow" w:hAnsi="Arial Narrow"/>
                <w:b/>
                <w:sz w:val="20"/>
                <w:lang w:eastAsia="en-AU"/>
              </w:rPr>
            </w:pPr>
            <w:r w:rsidRPr="00942070">
              <w:rPr>
                <w:rFonts w:ascii="Arial Narrow" w:hAnsi="Arial Narrow"/>
                <w:sz w:val="20"/>
                <w:lang w:eastAsia="en-AU"/>
              </w:rPr>
              <w:t>(MBS monitoring costs)</w:t>
            </w:r>
          </w:p>
        </w:tc>
        <w:tc>
          <w:tcPr>
            <w:tcW w:w="659" w:type="pct"/>
            <w:shd w:val="clear" w:color="auto" w:fill="auto"/>
            <w:vAlign w:val="center"/>
          </w:tcPr>
          <w:p w:rsidR="00F61688" w:rsidRPr="00FF534B" w:rsidRDefault="00F61688" w:rsidP="00E73A7B">
            <w:pPr>
              <w:widowControl/>
              <w:jc w:val="center"/>
              <w:rPr>
                <w:rFonts w:ascii="Arial Narrow" w:hAnsi="Arial Narrow"/>
                <w:b/>
                <w:sz w:val="20"/>
              </w:rPr>
            </w:pPr>
            <w:r w:rsidRPr="002E0E43">
              <w:rPr>
                <w:rFonts w:ascii="Arial Narrow" w:hAnsi="Arial Narrow" w:cs="Times New Roman"/>
                <w:sz w:val="20"/>
              </w:rPr>
              <w:t>$</w:t>
            </w:r>
            <w:r w:rsidR="00204548">
              <w:rPr>
                <w:rFonts w:ascii="Arial Narrow" w:hAnsi="Arial Narrow" w:cs="Times New Roman"/>
                <w:noProof/>
                <w:color w:val="000000"/>
                <w:sz w:val="20"/>
                <w:highlight w:val="black"/>
              </w:rPr>
              <w:t>''''''''''''''''</w:t>
            </w:r>
          </w:p>
        </w:tc>
        <w:tc>
          <w:tcPr>
            <w:tcW w:w="659" w:type="pct"/>
            <w:shd w:val="clear" w:color="auto" w:fill="auto"/>
            <w:vAlign w:val="center"/>
          </w:tcPr>
          <w:p w:rsidR="00F61688" w:rsidRPr="00FF534B" w:rsidRDefault="00F61688" w:rsidP="00E73A7B">
            <w:pPr>
              <w:widowControl/>
              <w:jc w:val="center"/>
              <w:rPr>
                <w:rFonts w:ascii="Arial Narrow" w:hAnsi="Arial Narrow"/>
                <w:b/>
                <w:sz w:val="20"/>
              </w:rPr>
            </w:pPr>
            <w:r w:rsidRPr="002E0E43">
              <w:rPr>
                <w:rFonts w:ascii="Arial Narrow" w:hAnsi="Arial Narrow" w:cs="Times New Roman"/>
                <w:sz w:val="20"/>
              </w:rPr>
              <w:t>$</w:t>
            </w:r>
            <w:r w:rsidR="00204548">
              <w:rPr>
                <w:rFonts w:ascii="Arial Narrow" w:hAnsi="Arial Narrow" w:cs="Times New Roman"/>
                <w:noProof/>
                <w:color w:val="000000"/>
                <w:sz w:val="20"/>
                <w:highlight w:val="black"/>
              </w:rPr>
              <w:t>''''''''''''''''''</w:t>
            </w:r>
          </w:p>
        </w:tc>
        <w:tc>
          <w:tcPr>
            <w:tcW w:w="659" w:type="pct"/>
            <w:shd w:val="clear" w:color="auto" w:fill="auto"/>
            <w:vAlign w:val="center"/>
          </w:tcPr>
          <w:p w:rsidR="00F61688" w:rsidRPr="00FF534B" w:rsidRDefault="00F61688" w:rsidP="00E73A7B">
            <w:pPr>
              <w:widowControl/>
              <w:jc w:val="center"/>
              <w:rPr>
                <w:rFonts w:ascii="Arial Narrow" w:hAnsi="Arial Narrow"/>
                <w:b/>
                <w:sz w:val="20"/>
              </w:rPr>
            </w:pPr>
            <w:r w:rsidRPr="002E0E43">
              <w:rPr>
                <w:rFonts w:ascii="Arial Narrow" w:hAnsi="Arial Narrow" w:cs="Times New Roman"/>
                <w:sz w:val="20"/>
              </w:rPr>
              <w:t>$</w:t>
            </w:r>
            <w:r w:rsidR="00204548">
              <w:rPr>
                <w:rFonts w:ascii="Arial Narrow" w:hAnsi="Arial Narrow" w:cs="Times New Roman"/>
                <w:noProof/>
                <w:color w:val="000000"/>
                <w:sz w:val="20"/>
                <w:highlight w:val="black"/>
              </w:rPr>
              <w:t>''''''''''''''''</w:t>
            </w:r>
          </w:p>
        </w:tc>
        <w:tc>
          <w:tcPr>
            <w:tcW w:w="659" w:type="pct"/>
            <w:shd w:val="clear" w:color="auto" w:fill="auto"/>
            <w:vAlign w:val="center"/>
          </w:tcPr>
          <w:p w:rsidR="00F61688" w:rsidRPr="00FF534B" w:rsidRDefault="00F61688" w:rsidP="00E73A7B">
            <w:pPr>
              <w:widowControl/>
              <w:jc w:val="center"/>
              <w:rPr>
                <w:rFonts w:ascii="Arial Narrow" w:hAnsi="Arial Narrow"/>
                <w:b/>
                <w:sz w:val="20"/>
              </w:rPr>
            </w:pPr>
            <w:r w:rsidRPr="002E0E43">
              <w:rPr>
                <w:rFonts w:ascii="Arial Narrow" w:hAnsi="Arial Narrow" w:cs="Times New Roman"/>
                <w:sz w:val="20"/>
              </w:rPr>
              <w:t>$</w:t>
            </w:r>
            <w:r w:rsidR="00204548">
              <w:rPr>
                <w:rFonts w:ascii="Arial Narrow" w:hAnsi="Arial Narrow" w:cs="Times New Roman"/>
                <w:noProof/>
                <w:color w:val="000000"/>
                <w:sz w:val="20"/>
                <w:highlight w:val="black"/>
              </w:rPr>
              <w:t>''''''''''''''''</w:t>
            </w:r>
          </w:p>
        </w:tc>
        <w:tc>
          <w:tcPr>
            <w:tcW w:w="658" w:type="pct"/>
            <w:tcBorders>
              <w:right w:val="single" w:sz="4" w:space="0" w:color="auto"/>
            </w:tcBorders>
            <w:shd w:val="clear" w:color="auto" w:fill="auto"/>
            <w:vAlign w:val="center"/>
          </w:tcPr>
          <w:p w:rsidR="00F61688" w:rsidRPr="00FF534B" w:rsidRDefault="00F61688" w:rsidP="00E73A7B">
            <w:pPr>
              <w:widowControl/>
              <w:jc w:val="center"/>
              <w:rPr>
                <w:rFonts w:ascii="Arial Narrow" w:hAnsi="Arial Narrow"/>
                <w:b/>
                <w:sz w:val="20"/>
              </w:rPr>
            </w:pPr>
            <w:r w:rsidRPr="002E0E43">
              <w:rPr>
                <w:rFonts w:ascii="Arial Narrow" w:hAnsi="Arial Narrow" w:cs="Times New Roman"/>
                <w:sz w:val="20"/>
              </w:rPr>
              <w:t>$</w:t>
            </w:r>
            <w:r w:rsidR="00204548">
              <w:rPr>
                <w:rFonts w:ascii="Arial Narrow" w:hAnsi="Arial Narrow" w:cs="Times New Roman"/>
                <w:noProof/>
                <w:color w:val="000000"/>
                <w:sz w:val="20"/>
                <w:highlight w:val="black"/>
              </w:rPr>
              <w:t>'''''''''''''''''</w:t>
            </w:r>
          </w:p>
        </w:tc>
      </w:tr>
      <w:tr w:rsidR="00F61688" w:rsidRPr="00ED5078" w:rsidTr="00E73A7B">
        <w:tc>
          <w:tcPr>
            <w:tcW w:w="1705" w:type="pct"/>
            <w:tcBorders>
              <w:left w:val="single" w:sz="4" w:space="0" w:color="auto"/>
            </w:tcBorders>
            <w:shd w:val="clear" w:color="auto" w:fill="auto"/>
            <w:noWrap/>
            <w:vAlign w:val="bottom"/>
          </w:tcPr>
          <w:p w:rsidR="00F61688" w:rsidRPr="00942070" w:rsidRDefault="00F61688" w:rsidP="00E73A7B">
            <w:pPr>
              <w:widowControl/>
              <w:jc w:val="left"/>
              <w:rPr>
                <w:rFonts w:ascii="Arial Narrow" w:hAnsi="Arial Narrow"/>
                <w:sz w:val="20"/>
                <w:lang w:eastAsia="en-AU"/>
              </w:rPr>
            </w:pPr>
            <w:r w:rsidRPr="00942070">
              <w:rPr>
                <w:rFonts w:ascii="Arial Narrow" w:hAnsi="Arial Narrow"/>
                <w:sz w:val="20"/>
                <w:lang w:eastAsia="en-AU"/>
              </w:rPr>
              <w:t>Infusion costs for substituted therapies</w:t>
            </w:r>
          </w:p>
        </w:tc>
        <w:tc>
          <w:tcPr>
            <w:tcW w:w="659" w:type="pct"/>
            <w:shd w:val="clear" w:color="auto" w:fill="auto"/>
            <w:vAlign w:val="center"/>
          </w:tcPr>
          <w:p w:rsidR="00F61688" w:rsidRPr="00FF534B" w:rsidRDefault="00F61688" w:rsidP="00E73A7B">
            <w:pPr>
              <w:widowControl/>
              <w:jc w:val="center"/>
              <w:rPr>
                <w:rFonts w:ascii="Arial Narrow" w:hAnsi="Arial Narrow"/>
                <w:b/>
                <w:sz w:val="20"/>
              </w:rPr>
            </w:pPr>
            <w:r w:rsidRPr="00604192">
              <w:rPr>
                <w:rFonts w:ascii="Arial Narrow" w:hAnsi="Arial Narrow"/>
                <w:sz w:val="20"/>
              </w:rPr>
              <w:t>-$</w:t>
            </w:r>
            <w:r w:rsidR="00204548">
              <w:rPr>
                <w:rFonts w:ascii="Arial Narrow" w:hAnsi="Arial Narrow"/>
                <w:noProof/>
                <w:color w:val="000000"/>
                <w:sz w:val="20"/>
                <w:highlight w:val="black"/>
              </w:rPr>
              <w:t>'''''''''''''''''''</w:t>
            </w:r>
          </w:p>
        </w:tc>
        <w:tc>
          <w:tcPr>
            <w:tcW w:w="659" w:type="pct"/>
            <w:shd w:val="clear" w:color="auto" w:fill="auto"/>
            <w:vAlign w:val="center"/>
          </w:tcPr>
          <w:p w:rsidR="00F61688" w:rsidRPr="00FF534B" w:rsidRDefault="00F61688" w:rsidP="00E73A7B">
            <w:pPr>
              <w:widowControl/>
              <w:jc w:val="center"/>
              <w:rPr>
                <w:rFonts w:ascii="Arial Narrow" w:hAnsi="Arial Narrow"/>
                <w:b/>
                <w:sz w:val="20"/>
              </w:rPr>
            </w:pPr>
            <w:r w:rsidRPr="00604192">
              <w:rPr>
                <w:rFonts w:ascii="Arial Narrow" w:hAnsi="Arial Narrow"/>
                <w:sz w:val="20"/>
              </w:rPr>
              <w:t>-$</w:t>
            </w:r>
            <w:r w:rsidR="00204548">
              <w:rPr>
                <w:rFonts w:ascii="Arial Narrow" w:hAnsi="Arial Narrow"/>
                <w:noProof/>
                <w:color w:val="000000"/>
                <w:sz w:val="20"/>
                <w:highlight w:val="black"/>
              </w:rPr>
              <w:t>'''''''''''''''''''</w:t>
            </w:r>
          </w:p>
        </w:tc>
        <w:tc>
          <w:tcPr>
            <w:tcW w:w="659" w:type="pct"/>
            <w:shd w:val="clear" w:color="auto" w:fill="auto"/>
            <w:vAlign w:val="center"/>
          </w:tcPr>
          <w:p w:rsidR="00F61688" w:rsidRPr="00FF534B" w:rsidRDefault="00F61688" w:rsidP="00E73A7B">
            <w:pPr>
              <w:widowControl/>
              <w:jc w:val="center"/>
              <w:rPr>
                <w:rFonts w:ascii="Arial Narrow" w:hAnsi="Arial Narrow"/>
                <w:b/>
                <w:sz w:val="20"/>
              </w:rPr>
            </w:pPr>
            <w:r w:rsidRPr="00604192">
              <w:rPr>
                <w:rFonts w:ascii="Arial Narrow" w:hAnsi="Arial Narrow"/>
                <w:sz w:val="20"/>
              </w:rPr>
              <w:t>-$</w:t>
            </w:r>
            <w:r w:rsidR="00204548">
              <w:rPr>
                <w:rFonts w:ascii="Arial Narrow" w:hAnsi="Arial Narrow"/>
                <w:noProof/>
                <w:color w:val="000000"/>
                <w:sz w:val="20"/>
                <w:highlight w:val="black"/>
              </w:rPr>
              <w:t>'''''''''''''''''</w:t>
            </w:r>
          </w:p>
        </w:tc>
        <w:tc>
          <w:tcPr>
            <w:tcW w:w="659" w:type="pct"/>
            <w:shd w:val="clear" w:color="auto" w:fill="auto"/>
            <w:vAlign w:val="center"/>
          </w:tcPr>
          <w:p w:rsidR="00F61688" w:rsidRPr="00FF534B" w:rsidRDefault="00F61688" w:rsidP="00E73A7B">
            <w:pPr>
              <w:widowControl/>
              <w:jc w:val="center"/>
              <w:rPr>
                <w:rFonts w:ascii="Arial Narrow" w:hAnsi="Arial Narrow"/>
                <w:b/>
                <w:sz w:val="20"/>
              </w:rPr>
            </w:pPr>
            <w:r w:rsidRPr="00604192">
              <w:rPr>
                <w:rFonts w:ascii="Arial Narrow" w:hAnsi="Arial Narrow"/>
                <w:sz w:val="20"/>
              </w:rPr>
              <w:t>-$</w:t>
            </w:r>
            <w:r w:rsidR="00204548">
              <w:rPr>
                <w:rFonts w:ascii="Arial Narrow" w:hAnsi="Arial Narrow"/>
                <w:noProof/>
                <w:color w:val="000000"/>
                <w:sz w:val="20"/>
                <w:highlight w:val="black"/>
              </w:rPr>
              <w:t>'''''''''''''''''''''</w:t>
            </w:r>
          </w:p>
        </w:tc>
        <w:tc>
          <w:tcPr>
            <w:tcW w:w="658" w:type="pct"/>
            <w:tcBorders>
              <w:right w:val="single" w:sz="4" w:space="0" w:color="auto"/>
            </w:tcBorders>
            <w:shd w:val="clear" w:color="auto" w:fill="auto"/>
            <w:vAlign w:val="center"/>
          </w:tcPr>
          <w:p w:rsidR="00F61688" w:rsidRPr="00FF534B" w:rsidRDefault="00F61688" w:rsidP="00E73A7B">
            <w:pPr>
              <w:widowControl/>
              <w:jc w:val="center"/>
              <w:rPr>
                <w:rFonts w:ascii="Arial Narrow" w:hAnsi="Arial Narrow"/>
                <w:b/>
                <w:sz w:val="20"/>
              </w:rPr>
            </w:pPr>
            <w:r w:rsidRPr="00604192">
              <w:rPr>
                <w:rFonts w:ascii="Arial Narrow" w:hAnsi="Arial Narrow"/>
                <w:sz w:val="20"/>
              </w:rPr>
              <w:t>-$</w:t>
            </w:r>
            <w:r w:rsidR="00204548">
              <w:rPr>
                <w:rFonts w:ascii="Arial Narrow" w:hAnsi="Arial Narrow"/>
                <w:noProof/>
                <w:color w:val="000000"/>
                <w:sz w:val="20"/>
                <w:highlight w:val="black"/>
              </w:rPr>
              <w:t>'''''''''''''''''</w:t>
            </w:r>
          </w:p>
        </w:tc>
      </w:tr>
      <w:tr w:rsidR="00F61688" w:rsidRPr="00ED5078" w:rsidTr="00E73A7B">
        <w:tc>
          <w:tcPr>
            <w:tcW w:w="1705" w:type="pct"/>
            <w:tcBorders>
              <w:left w:val="single" w:sz="4" w:space="0" w:color="auto"/>
              <w:bottom w:val="single" w:sz="4" w:space="0" w:color="auto"/>
            </w:tcBorders>
            <w:shd w:val="clear" w:color="auto" w:fill="auto"/>
            <w:noWrap/>
            <w:vAlign w:val="bottom"/>
          </w:tcPr>
          <w:p w:rsidR="00F61688" w:rsidRDefault="00F61688" w:rsidP="00E73A7B">
            <w:pPr>
              <w:widowControl/>
              <w:jc w:val="left"/>
              <w:rPr>
                <w:rFonts w:ascii="Arial Narrow" w:hAnsi="Arial Narrow"/>
                <w:b/>
                <w:sz w:val="20"/>
                <w:lang w:eastAsia="en-AU"/>
              </w:rPr>
            </w:pPr>
            <w:r w:rsidRPr="00942070">
              <w:rPr>
                <w:rFonts w:ascii="Arial Narrow" w:hAnsi="Arial Narrow"/>
                <w:b/>
                <w:sz w:val="20"/>
                <w:lang w:eastAsia="en-AU"/>
              </w:rPr>
              <w:t>Net cost to government</w:t>
            </w:r>
          </w:p>
        </w:tc>
        <w:tc>
          <w:tcPr>
            <w:tcW w:w="659" w:type="pct"/>
            <w:tcBorders>
              <w:bottom w:val="single" w:sz="4" w:space="0" w:color="auto"/>
            </w:tcBorders>
            <w:shd w:val="clear" w:color="auto" w:fill="auto"/>
            <w:vAlign w:val="center"/>
          </w:tcPr>
          <w:p w:rsidR="00F61688" w:rsidRPr="00FF534B" w:rsidRDefault="00F61688" w:rsidP="00E73A7B">
            <w:pPr>
              <w:widowControl/>
              <w:jc w:val="center"/>
              <w:rPr>
                <w:rFonts w:ascii="Arial Narrow" w:hAnsi="Arial Narrow"/>
                <w:b/>
                <w:sz w:val="20"/>
              </w:rPr>
            </w:pPr>
            <w:r w:rsidRPr="00E73B05">
              <w:rPr>
                <w:rFonts w:ascii="Arial Narrow" w:hAnsi="Arial Narrow"/>
                <w:b/>
                <w:sz w:val="20"/>
              </w:rPr>
              <w:t>$</w:t>
            </w:r>
            <w:r w:rsidR="00204548">
              <w:rPr>
                <w:rFonts w:ascii="Arial Narrow" w:hAnsi="Arial Narrow"/>
                <w:b/>
                <w:noProof/>
                <w:color w:val="000000"/>
                <w:sz w:val="20"/>
                <w:highlight w:val="black"/>
              </w:rPr>
              <w:t>''''''''''''''''''''</w:t>
            </w:r>
          </w:p>
        </w:tc>
        <w:tc>
          <w:tcPr>
            <w:tcW w:w="659" w:type="pct"/>
            <w:tcBorders>
              <w:bottom w:val="single" w:sz="4" w:space="0" w:color="auto"/>
            </w:tcBorders>
            <w:shd w:val="clear" w:color="auto" w:fill="auto"/>
            <w:vAlign w:val="center"/>
          </w:tcPr>
          <w:p w:rsidR="00F61688" w:rsidRPr="00FF534B" w:rsidRDefault="00F61688" w:rsidP="00E73A7B">
            <w:pPr>
              <w:widowControl/>
              <w:jc w:val="center"/>
              <w:rPr>
                <w:rFonts w:ascii="Arial Narrow" w:hAnsi="Arial Narrow"/>
                <w:b/>
                <w:sz w:val="20"/>
              </w:rPr>
            </w:pPr>
            <w:r w:rsidRPr="00E73B05">
              <w:rPr>
                <w:rFonts w:ascii="Arial Narrow" w:hAnsi="Arial Narrow"/>
                <w:b/>
                <w:sz w:val="20"/>
              </w:rPr>
              <w:t>$</w:t>
            </w:r>
            <w:r w:rsidR="00204548">
              <w:rPr>
                <w:rFonts w:ascii="Arial Narrow" w:hAnsi="Arial Narrow"/>
                <w:b/>
                <w:noProof/>
                <w:color w:val="000000"/>
                <w:sz w:val="20"/>
                <w:highlight w:val="black"/>
              </w:rPr>
              <w:t>'''''''''''''''''''</w:t>
            </w:r>
          </w:p>
        </w:tc>
        <w:tc>
          <w:tcPr>
            <w:tcW w:w="659" w:type="pct"/>
            <w:tcBorders>
              <w:bottom w:val="single" w:sz="4" w:space="0" w:color="auto"/>
            </w:tcBorders>
            <w:shd w:val="clear" w:color="auto" w:fill="auto"/>
            <w:vAlign w:val="center"/>
          </w:tcPr>
          <w:p w:rsidR="00F61688" w:rsidRPr="00FF534B" w:rsidRDefault="00F61688" w:rsidP="00E73A7B">
            <w:pPr>
              <w:widowControl/>
              <w:jc w:val="center"/>
              <w:rPr>
                <w:rFonts w:ascii="Arial Narrow" w:hAnsi="Arial Narrow"/>
                <w:b/>
                <w:sz w:val="20"/>
              </w:rPr>
            </w:pPr>
            <w:r w:rsidRPr="00E73B05">
              <w:rPr>
                <w:rFonts w:ascii="Arial Narrow" w:hAnsi="Arial Narrow"/>
                <w:b/>
                <w:sz w:val="20"/>
              </w:rPr>
              <w:t>$</w:t>
            </w:r>
            <w:r w:rsidR="00204548">
              <w:rPr>
                <w:rFonts w:ascii="Arial Narrow" w:hAnsi="Arial Narrow"/>
                <w:b/>
                <w:noProof/>
                <w:color w:val="000000"/>
                <w:sz w:val="20"/>
                <w:highlight w:val="black"/>
              </w:rPr>
              <w:t>''''''''''''''''''''</w:t>
            </w:r>
          </w:p>
        </w:tc>
        <w:tc>
          <w:tcPr>
            <w:tcW w:w="659" w:type="pct"/>
            <w:tcBorders>
              <w:bottom w:val="single" w:sz="4" w:space="0" w:color="auto"/>
            </w:tcBorders>
            <w:shd w:val="clear" w:color="auto" w:fill="auto"/>
            <w:vAlign w:val="center"/>
          </w:tcPr>
          <w:p w:rsidR="00F61688" w:rsidRPr="00FF534B" w:rsidRDefault="00F61688" w:rsidP="00E73A7B">
            <w:pPr>
              <w:widowControl/>
              <w:jc w:val="center"/>
              <w:rPr>
                <w:rFonts w:ascii="Arial Narrow" w:hAnsi="Arial Narrow"/>
                <w:b/>
                <w:sz w:val="20"/>
              </w:rPr>
            </w:pPr>
            <w:r w:rsidRPr="00E73B05">
              <w:rPr>
                <w:rFonts w:ascii="Arial Narrow" w:hAnsi="Arial Narrow"/>
                <w:b/>
                <w:sz w:val="20"/>
              </w:rPr>
              <w:t>$</w:t>
            </w:r>
            <w:r w:rsidR="00204548">
              <w:rPr>
                <w:rFonts w:ascii="Arial Narrow" w:hAnsi="Arial Narrow"/>
                <w:b/>
                <w:noProof/>
                <w:color w:val="000000"/>
                <w:sz w:val="20"/>
                <w:highlight w:val="black"/>
              </w:rPr>
              <w:t>''''''''''''''''''''</w:t>
            </w:r>
          </w:p>
        </w:tc>
        <w:tc>
          <w:tcPr>
            <w:tcW w:w="658" w:type="pct"/>
            <w:tcBorders>
              <w:bottom w:val="single" w:sz="4" w:space="0" w:color="auto"/>
              <w:right w:val="single" w:sz="4" w:space="0" w:color="auto"/>
            </w:tcBorders>
            <w:shd w:val="clear" w:color="auto" w:fill="auto"/>
            <w:vAlign w:val="center"/>
          </w:tcPr>
          <w:p w:rsidR="00F61688" w:rsidRPr="00FF534B" w:rsidRDefault="00F61688" w:rsidP="00E73A7B">
            <w:pPr>
              <w:widowControl/>
              <w:jc w:val="center"/>
              <w:rPr>
                <w:rFonts w:ascii="Arial Narrow" w:hAnsi="Arial Narrow"/>
                <w:b/>
                <w:sz w:val="20"/>
              </w:rPr>
            </w:pPr>
            <w:r w:rsidRPr="00E73B05">
              <w:rPr>
                <w:rFonts w:ascii="Arial Narrow" w:hAnsi="Arial Narrow"/>
                <w:b/>
                <w:sz w:val="20"/>
              </w:rPr>
              <w:t>$</w:t>
            </w:r>
            <w:r w:rsidR="00204548">
              <w:rPr>
                <w:rFonts w:ascii="Arial Narrow" w:hAnsi="Arial Narrow"/>
                <w:b/>
                <w:noProof/>
                <w:color w:val="000000"/>
                <w:sz w:val="20"/>
                <w:highlight w:val="black"/>
              </w:rPr>
              <w:t>'''''''''''''''''''''''</w:t>
            </w:r>
          </w:p>
        </w:tc>
      </w:tr>
    </w:tbl>
    <w:p w:rsidR="00F61688" w:rsidRDefault="00F61688" w:rsidP="00F61688">
      <w:pPr>
        <w:pStyle w:val="TableFooter"/>
        <w:ind w:firstLine="720"/>
      </w:pPr>
      <w:r>
        <w:t>Abbreviations: CLL, chronic lymphocytic leukaemia; DPMQ, dispensed price maximum quantity; TLS, tumour lysis syndrome</w:t>
      </w:r>
    </w:p>
    <w:p w:rsidR="00F61688" w:rsidRPr="00200930" w:rsidRDefault="00F61688" w:rsidP="00F61688">
      <w:pPr>
        <w:pStyle w:val="TableFooter"/>
        <w:ind w:firstLine="720"/>
      </w:pPr>
      <w:r>
        <w:rPr>
          <w:vertAlign w:val="superscript"/>
        </w:rPr>
        <w:t>a</w:t>
      </w:r>
      <w:r>
        <w:t xml:space="preserve"> Proportion of patients </w:t>
      </w:r>
      <w:r w:rsidRPr="00200930">
        <w:t>with 17p deletion (36.5%) or TP53 mutation (4.5%) adjusted for treatment rate (</w:t>
      </w:r>
      <w:r w:rsidR="00204548">
        <w:rPr>
          <w:noProof/>
          <w:color w:val="000000"/>
          <w:highlight w:val="black"/>
        </w:rPr>
        <w:t>''''''''''</w:t>
      </w:r>
      <w:r w:rsidRPr="00200930">
        <w:t>%)</w:t>
      </w:r>
    </w:p>
    <w:p w:rsidR="00F61688" w:rsidRPr="00200930" w:rsidRDefault="00F61688" w:rsidP="00F61688">
      <w:pPr>
        <w:pStyle w:val="TableFooter"/>
        <w:ind w:firstLine="720"/>
      </w:pPr>
      <w:r w:rsidRPr="00200930">
        <w:rPr>
          <w:vertAlign w:val="superscript"/>
        </w:rPr>
        <w:t xml:space="preserve">b </w:t>
      </w:r>
      <w:r w:rsidRPr="00200930">
        <w:t>Proportion of patients without 17p deletion or TP53 mutation (63.5%) with no other suitable options (</w:t>
      </w:r>
      <w:r w:rsidR="00204548">
        <w:rPr>
          <w:noProof/>
          <w:color w:val="000000"/>
          <w:highlight w:val="black"/>
        </w:rPr>
        <w:t>'''''''''''</w:t>
      </w:r>
      <w:r w:rsidRPr="00200930">
        <w:t>%)</w:t>
      </w:r>
    </w:p>
    <w:p w:rsidR="00F61688" w:rsidRPr="00200930" w:rsidRDefault="00F61688" w:rsidP="00F61688">
      <w:pPr>
        <w:pStyle w:val="TableFooter"/>
        <w:ind w:left="709"/>
      </w:pPr>
      <w:r w:rsidRPr="00200930">
        <w:rPr>
          <w:vertAlign w:val="superscript"/>
        </w:rPr>
        <w:t>c</w:t>
      </w:r>
      <w:r w:rsidRPr="00200930">
        <w:t xml:space="preserve"> There was an error in the calculation as the submission did not incorporate the price of allopurinol. The impact on financial estimates was minor and not corrected during evaluation.</w:t>
      </w:r>
    </w:p>
    <w:p w:rsidR="00B22770" w:rsidRPr="00200930" w:rsidRDefault="00B22770" w:rsidP="00B22770">
      <w:pPr>
        <w:pStyle w:val="TableFooter"/>
        <w:ind w:left="720"/>
      </w:pPr>
      <w:r w:rsidRPr="00200930">
        <w:t>Source: Tables E-1 to E-6 pp240-246, Table E-13 p252, Table E-16 p254, Table E-18 p256 and ‘Financial Implications – Section E’ Excel workbook of the submission</w:t>
      </w:r>
    </w:p>
    <w:p w:rsidR="00F61688" w:rsidRPr="00C25D9C" w:rsidRDefault="00F61688" w:rsidP="00F61688">
      <w:pPr>
        <w:widowControl/>
        <w:rPr>
          <w:szCs w:val="22"/>
        </w:rPr>
      </w:pPr>
    </w:p>
    <w:p w:rsidR="00F61688" w:rsidRPr="00200930" w:rsidRDefault="00F61688" w:rsidP="007D7640">
      <w:pPr>
        <w:pStyle w:val="ListParagraph"/>
        <w:numPr>
          <w:ilvl w:val="1"/>
          <w:numId w:val="3"/>
        </w:numPr>
        <w:rPr>
          <w:szCs w:val="22"/>
        </w:rPr>
      </w:pPr>
      <w:r w:rsidRPr="00016E63">
        <w:rPr>
          <w:szCs w:val="22"/>
        </w:rPr>
        <w:t xml:space="preserve">The net cost to PBS of listing venetoclax on the PBS was estimated to be up to </w:t>
      </w:r>
      <w:r w:rsidR="004C0456">
        <w:rPr>
          <w:szCs w:val="22"/>
        </w:rPr>
        <w:t>$10 – $20 million</w:t>
      </w:r>
      <w:r w:rsidRPr="00016E63">
        <w:rPr>
          <w:szCs w:val="22"/>
        </w:rPr>
        <w:t xml:space="preserve"> </w:t>
      </w:r>
      <w:r w:rsidRPr="00200930">
        <w:rPr>
          <w:szCs w:val="22"/>
        </w:rPr>
        <w:t xml:space="preserve">in the fifth year of listing based on the effective price (published price, </w:t>
      </w:r>
      <w:r w:rsidR="004C0456">
        <w:rPr>
          <w:szCs w:val="22"/>
        </w:rPr>
        <w:t>$10 – $20 million</w:t>
      </w:r>
      <w:r w:rsidRPr="00200930">
        <w:rPr>
          <w:szCs w:val="22"/>
        </w:rPr>
        <w:t xml:space="preserve">). The estimated cumulative cost over five years was </w:t>
      </w:r>
      <w:r w:rsidR="004C0456">
        <w:rPr>
          <w:szCs w:val="22"/>
        </w:rPr>
        <w:t>$30 - $60 million</w:t>
      </w:r>
      <w:r w:rsidRPr="00200930">
        <w:rPr>
          <w:szCs w:val="22"/>
        </w:rPr>
        <w:t xml:space="preserve"> (published price, </w:t>
      </w:r>
      <w:r w:rsidR="004C0456">
        <w:rPr>
          <w:szCs w:val="22"/>
        </w:rPr>
        <w:t>$60 - $100 million</w:t>
      </w:r>
      <w:r w:rsidRPr="00200930">
        <w:rPr>
          <w:szCs w:val="22"/>
        </w:rPr>
        <w:t xml:space="preserve">). The estimated cumulative cost to government after accounting for TLS prophylaxis and infusion costs with substituted therapies </w:t>
      </w:r>
      <w:r w:rsidR="007D7640" w:rsidRPr="00200930">
        <w:rPr>
          <w:szCs w:val="22"/>
        </w:rPr>
        <w:t xml:space="preserve">was </w:t>
      </w:r>
      <w:r w:rsidR="005E728B">
        <w:rPr>
          <w:szCs w:val="22"/>
        </w:rPr>
        <w:t>$30 - $60 million</w:t>
      </w:r>
      <w:r w:rsidRPr="00200930">
        <w:rPr>
          <w:szCs w:val="22"/>
        </w:rPr>
        <w:t xml:space="preserve"> based on the effective price (published price,</w:t>
      </w:r>
      <w:r w:rsidR="000353D2">
        <w:rPr>
          <w:szCs w:val="22"/>
        </w:rPr>
        <w:t xml:space="preserve"> </w:t>
      </w:r>
      <w:r w:rsidR="0002742C">
        <w:rPr>
          <w:szCs w:val="22"/>
        </w:rPr>
        <w:t>$60 - $100 million</w:t>
      </w:r>
      <w:r w:rsidRPr="00200930">
        <w:rPr>
          <w:szCs w:val="22"/>
        </w:rPr>
        <w:t>).</w:t>
      </w:r>
    </w:p>
    <w:p w:rsidR="00F61688" w:rsidRPr="00200930" w:rsidRDefault="00F61688" w:rsidP="00F61688">
      <w:pPr>
        <w:widowControl/>
        <w:rPr>
          <w:szCs w:val="22"/>
        </w:rPr>
      </w:pPr>
    </w:p>
    <w:p w:rsidR="00F61688" w:rsidRPr="00200930" w:rsidRDefault="00F61688" w:rsidP="001011FE">
      <w:pPr>
        <w:pStyle w:val="ListParagraph"/>
        <w:numPr>
          <w:ilvl w:val="1"/>
          <w:numId w:val="3"/>
        </w:numPr>
        <w:rPr>
          <w:szCs w:val="22"/>
        </w:rPr>
      </w:pPr>
      <w:r w:rsidRPr="00200930">
        <w:rPr>
          <w:szCs w:val="22"/>
        </w:rPr>
        <w:t xml:space="preserve">The </w:t>
      </w:r>
      <w:r w:rsidR="00D33612">
        <w:rPr>
          <w:szCs w:val="22"/>
        </w:rPr>
        <w:t>ESC considered that the</w:t>
      </w:r>
      <w:r w:rsidRPr="00200930">
        <w:rPr>
          <w:szCs w:val="22"/>
        </w:rPr>
        <w:t xml:space="preserve"> estimated cost of listing venetoclax on the PBS was highly uncertain due to the inappropriate cost-offsets for ofatumumab monotherapy (not the appropriate comparator) and rituximab monotherapy (not an appropriate cost-offset when used as a proxy for best supportive care). The submission also likely underestimated the eligible patient populations as it did not account for prevalent CLL patients initiating first-line treatment in later years, did not account for patients developing a 17p deletion/TP53 mutation after multiple lines of therapy</w:t>
      </w:r>
      <w:r w:rsidR="00D33612">
        <w:rPr>
          <w:szCs w:val="22"/>
        </w:rPr>
        <w:t>,</w:t>
      </w:r>
      <w:r w:rsidRPr="00200930">
        <w:rPr>
          <w:szCs w:val="22"/>
        </w:rPr>
        <w:t xml:space="preserve"> and did account for patients becoming highly refractory after multiple lines of therapy. As a consequence, the estimated net cost to the PBS is likely </w:t>
      </w:r>
      <w:r w:rsidR="007D7640" w:rsidRPr="00200930">
        <w:rPr>
          <w:szCs w:val="22"/>
        </w:rPr>
        <w:t xml:space="preserve">to exceed </w:t>
      </w:r>
      <w:r w:rsidR="00A95250">
        <w:rPr>
          <w:szCs w:val="22"/>
        </w:rPr>
        <w:t>$</w:t>
      </w:r>
      <w:r w:rsidR="00D44E95">
        <w:rPr>
          <w:szCs w:val="22"/>
        </w:rPr>
        <w:t>20 - $30 million</w:t>
      </w:r>
      <w:r w:rsidRPr="00200930">
        <w:rPr>
          <w:szCs w:val="22"/>
        </w:rPr>
        <w:t xml:space="preserve"> per year.</w:t>
      </w:r>
    </w:p>
    <w:p w:rsidR="00E07861" w:rsidRPr="00E07861" w:rsidRDefault="00E07861" w:rsidP="00E07861">
      <w:pPr>
        <w:pStyle w:val="ListParagraph"/>
        <w:rPr>
          <w:szCs w:val="22"/>
        </w:rPr>
      </w:pPr>
    </w:p>
    <w:p w:rsidR="00E07861" w:rsidRPr="00200930" w:rsidRDefault="00E07861" w:rsidP="001011FE">
      <w:pPr>
        <w:pStyle w:val="ListParagraph"/>
        <w:numPr>
          <w:ilvl w:val="1"/>
          <w:numId w:val="3"/>
        </w:numPr>
        <w:rPr>
          <w:szCs w:val="22"/>
        </w:rPr>
      </w:pPr>
      <w:r>
        <w:rPr>
          <w:szCs w:val="22"/>
        </w:rPr>
        <w:t xml:space="preserve">The pre-PBAC response agreed with the </w:t>
      </w:r>
      <w:r w:rsidR="00D33612">
        <w:rPr>
          <w:szCs w:val="22"/>
        </w:rPr>
        <w:t xml:space="preserve">ESC that the claims for ofatumumab and rituximab cost-offsets for patients with 17p deletion and highly refractory disease, respectively, were not adequately justified and were removed. The pre-PBAC response also changed the epidemiological basis for its utilisation and financial estimates from an incidence-based approach to a prevalence-based approach, </w:t>
      </w:r>
      <w:r w:rsidR="00B6207B">
        <w:rPr>
          <w:szCs w:val="22"/>
        </w:rPr>
        <w:t xml:space="preserve">which significantly increased the estimated uptake and </w:t>
      </w:r>
      <w:r w:rsidR="006A4FE4">
        <w:rPr>
          <w:szCs w:val="22"/>
        </w:rPr>
        <w:t xml:space="preserve">potential </w:t>
      </w:r>
      <w:r w:rsidR="00B6207B">
        <w:rPr>
          <w:szCs w:val="22"/>
        </w:rPr>
        <w:t>financial cost</w:t>
      </w:r>
      <w:r w:rsidR="006A4FE4">
        <w:rPr>
          <w:szCs w:val="22"/>
        </w:rPr>
        <w:t xml:space="preserve"> to the PBS</w:t>
      </w:r>
      <w:r w:rsidR="00B6207B">
        <w:rPr>
          <w:szCs w:val="22"/>
        </w:rPr>
        <w:t xml:space="preserve">, </w:t>
      </w:r>
      <w:r w:rsidR="00D33612">
        <w:rPr>
          <w:szCs w:val="22"/>
        </w:rPr>
        <w:t>but these revised estimates were not independently verified.</w:t>
      </w:r>
    </w:p>
    <w:p w:rsidR="00F07E56" w:rsidRPr="00F07E56" w:rsidRDefault="00F07E56" w:rsidP="006E3608"/>
    <w:p w:rsidR="00F07E56" w:rsidRPr="006E3608" w:rsidRDefault="00F07E56" w:rsidP="006E3608">
      <w:pPr>
        <w:ind w:firstLine="720"/>
        <w:rPr>
          <w:b/>
          <w:i/>
        </w:rPr>
      </w:pPr>
      <w:r w:rsidRPr="006E3608">
        <w:rPr>
          <w:i/>
        </w:rPr>
        <w:t>For more detail on PBAC’s view, see section 7 “PBAC outcome”.</w:t>
      </w:r>
    </w:p>
    <w:p w:rsidR="00F61688" w:rsidRPr="00200930" w:rsidRDefault="00F61688" w:rsidP="00F61688">
      <w:pPr>
        <w:rPr>
          <w:szCs w:val="22"/>
        </w:rPr>
      </w:pPr>
    </w:p>
    <w:p w:rsidR="00F61688" w:rsidRPr="00200930" w:rsidRDefault="00F61688" w:rsidP="001011FE">
      <w:pPr>
        <w:pStyle w:val="ListParagraph"/>
        <w:numPr>
          <w:ilvl w:val="1"/>
          <w:numId w:val="3"/>
        </w:numPr>
        <w:rPr>
          <w:szCs w:val="22"/>
        </w:rPr>
      </w:pPr>
      <w:r w:rsidRPr="00200930">
        <w:rPr>
          <w:szCs w:val="22"/>
        </w:rPr>
        <w:t>The submission claimed that the availability of venetoclax would not have a substantial impact on the utilisation of 17p deletion and TP53 mutation testing as it is already being used to identify chemoimmunotherapy resistance and to provide prognostic information. This claim was consistent with guideline recommendations (ESMO, NCCN) but responses from the sponsor-commissioned physician survey suggested that testing is more sporadic in clinical practice.</w:t>
      </w:r>
    </w:p>
    <w:p w:rsidR="00F61688" w:rsidRPr="00200930" w:rsidRDefault="00F61688" w:rsidP="00F61688">
      <w:pPr>
        <w:rPr>
          <w:szCs w:val="22"/>
        </w:rPr>
      </w:pPr>
    </w:p>
    <w:p w:rsidR="00F61688" w:rsidRPr="00DD1DEA" w:rsidRDefault="00F61688" w:rsidP="007D7640">
      <w:pPr>
        <w:pStyle w:val="ListParagraph"/>
        <w:widowControl/>
        <w:numPr>
          <w:ilvl w:val="1"/>
          <w:numId w:val="3"/>
        </w:numPr>
        <w:rPr>
          <w:szCs w:val="22"/>
        </w:rPr>
      </w:pPr>
      <w:r w:rsidRPr="00200930">
        <w:rPr>
          <w:szCs w:val="22"/>
        </w:rPr>
        <w:t xml:space="preserve">Estimates from the co-dependent MSAC submission indicated that subsidising testing for 17p deletion/TP53 mutation would fund </w:t>
      </w:r>
      <w:r w:rsidR="009234EB">
        <w:rPr>
          <w:szCs w:val="22"/>
        </w:rPr>
        <w:t xml:space="preserve">less than 10,000 </w:t>
      </w:r>
      <w:r w:rsidRPr="00200930">
        <w:rPr>
          <w:szCs w:val="22"/>
        </w:rPr>
        <w:t xml:space="preserve">tests over five years with a cumulative cost of </w:t>
      </w:r>
      <w:r w:rsidR="00892D47">
        <w:rPr>
          <w:szCs w:val="22"/>
        </w:rPr>
        <w:t>less than $10 million</w:t>
      </w:r>
      <w:r w:rsidRPr="00200930">
        <w:rPr>
          <w:szCs w:val="22"/>
        </w:rPr>
        <w:t xml:space="preserve">. These estimates were uncertain </w:t>
      </w:r>
      <w:r w:rsidR="007D7640" w:rsidRPr="00200930">
        <w:rPr>
          <w:szCs w:val="22"/>
        </w:rPr>
        <w:t>because</w:t>
      </w:r>
      <w:r w:rsidRPr="00200930">
        <w:rPr>
          <w:szCs w:val="22"/>
        </w:rPr>
        <w:t xml:space="preserve"> they did not adequately account</w:t>
      </w:r>
      <w:r w:rsidRPr="00200930">
        <w:t xml:space="preserve"> for </w:t>
      </w:r>
      <w:r w:rsidRPr="00200930">
        <w:rPr>
          <w:szCs w:val="22"/>
        </w:rPr>
        <w:t>prevalent CLL patients initiating first-line treatment in later years, did not account for repeated testing over the course of the disease and made unsupported assumptions regarding the proportion of tests funded un</w:t>
      </w:r>
      <w:r w:rsidRPr="00DD1DEA">
        <w:rPr>
          <w:szCs w:val="22"/>
        </w:rPr>
        <w:t>der the MBS.</w:t>
      </w:r>
    </w:p>
    <w:p w:rsidR="00F61688" w:rsidRPr="00DD1DEA" w:rsidRDefault="00F61688" w:rsidP="00F61688">
      <w:pPr>
        <w:widowControl/>
        <w:rPr>
          <w:szCs w:val="22"/>
        </w:rPr>
      </w:pPr>
    </w:p>
    <w:p w:rsidR="00F61688" w:rsidRPr="002C2775" w:rsidRDefault="00F61688" w:rsidP="00F61688">
      <w:pPr>
        <w:pStyle w:val="Heading2"/>
        <w:rPr>
          <w:i/>
        </w:rPr>
      </w:pPr>
      <w:bookmarkStart w:id="31" w:name="_Toc392858202"/>
      <w:bookmarkStart w:id="32" w:name="_Toc472494406"/>
      <w:r w:rsidRPr="002C2775">
        <w:rPr>
          <w:i/>
        </w:rPr>
        <w:t>Quality Use of Medicines</w:t>
      </w:r>
      <w:bookmarkEnd w:id="31"/>
      <w:bookmarkEnd w:id="32"/>
    </w:p>
    <w:p w:rsidR="00F61688" w:rsidRPr="00576972" w:rsidRDefault="00F61688" w:rsidP="00F61688">
      <w:pPr>
        <w:widowControl/>
        <w:rPr>
          <w:szCs w:val="22"/>
        </w:rPr>
      </w:pPr>
    </w:p>
    <w:p w:rsidR="00F61688" w:rsidRPr="00B07236" w:rsidRDefault="00F61688" w:rsidP="001011FE">
      <w:pPr>
        <w:pStyle w:val="ListParagraph"/>
        <w:widowControl/>
        <w:numPr>
          <w:ilvl w:val="1"/>
          <w:numId w:val="3"/>
        </w:numPr>
        <w:rPr>
          <w:szCs w:val="22"/>
        </w:rPr>
      </w:pPr>
      <w:r w:rsidRPr="00B07236">
        <w:rPr>
          <w:szCs w:val="22"/>
        </w:rPr>
        <w:t xml:space="preserve">The submission acknowledged the risk of tumour lysis syndrome associated with venetoclax </w:t>
      </w:r>
      <w:r>
        <w:rPr>
          <w:szCs w:val="22"/>
        </w:rPr>
        <w:t>as well as</w:t>
      </w:r>
      <w:r w:rsidRPr="00B07236">
        <w:rPr>
          <w:szCs w:val="22"/>
        </w:rPr>
        <w:t xml:space="preserve"> the pot</w:t>
      </w:r>
      <w:r>
        <w:rPr>
          <w:szCs w:val="22"/>
        </w:rPr>
        <w:t xml:space="preserve">ential risk of medication error </w:t>
      </w:r>
      <w:r w:rsidRPr="00B07236">
        <w:rPr>
          <w:szCs w:val="22"/>
        </w:rPr>
        <w:t>during t</w:t>
      </w:r>
      <w:r>
        <w:rPr>
          <w:szCs w:val="22"/>
        </w:rPr>
        <w:t>he initial titration phase for venetoclax</w:t>
      </w:r>
      <w:r w:rsidRPr="00B07236">
        <w:rPr>
          <w:szCs w:val="22"/>
        </w:rPr>
        <w:t>.</w:t>
      </w:r>
      <w:r>
        <w:rPr>
          <w:szCs w:val="22"/>
        </w:rPr>
        <w:t xml:space="preserve"> To address this issue, the sponsor will undertake risk communication activities with patients and physicians.</w:t>
      </w:r>
    </w:p>
    <w:p w:rsidR="00F61688" w:rsidRDefault="00F61688" w:rsidP="00F61688">
      <w:pPr>
        <w:widowControl/>
        <w:rPr>
          <w:szCs w:val="22"/>
        </w:rPr>
      </w:pPr>
    </w:p>
    <w:p w:rsidR="00F61688" w:rsidRPr="002C2775" w:rsidRDefault="00F61688" w:rsidP="00F61688">
      <w:pPr>
        <w:pStyle w:val="Heading2"/>
        <w:rPr>
          <w:i/>
          <w:szCs w:val="22"/>
        </w:rPr>
      </w:pPr>
      <w:bookmarkStart w:id="33" w:name="_Toc392858203"/>
      <w:bookmarkStart w:id="34" w:name="_Toc472494407"/>
      <w:r w:rsidRPr="002C2775">
        <w:rPr>
          <w:i/>
        </w:rPr>
        <w:t>Financial Management – Risk Sharing Arrangements</w:t>
      </w:r>
      <w:bookmarkEnd w:id="33"/>
      <w:bookmarkEnd w:id="34"/>
    </w:p>
    <w:p w:rsidR="00F61688" w:rsidRPr="00576972" w:rsidRDefault="00F61688" w:rsidP="00F61688">
      <w:pPr>
        <w:widowControl/>
        <w:rPr>
          <w:szCs w:val="22"/>
        </w:rPr>
      </w:pPr>
    </w:p>
    <w:p w:rsidR="00F61688" w:rsidRPr="0036170A" w:rsidRDefault="00F61688" w:rsidP="001011FE">
      <w:pPr>
        <w:pStyle w:val="ListParagraph"/>
        <w:widowControl/>
        <w:numPr>
          <w:ilvl w:val="1"/>
          <w:numId w:val="3"/>
        </w:numPr>
        <w:rPr>
          <w:szCs w:val="22"/>
        </w:rPr>
      </w:pPr>
      <w:r w:rsidRPr="0036170A">
        <w:rPr>
          <w:szCs w:val="22"/>
        </w:rPr>
        <w:t>The sponsor expressed a willingness to enter into a risk share arrangement to address the financial uncertainty associated wit</w:t>
      </w:r>
      <w:r>
        <w:rPr>
          <w:szCs w:val="22"/>
        </w:rPr>
        <w:t>h the PBS listing of venetoclax.</w:t>
      </w:r>
    </w:p>
    <w:p w:rsidR="00F61688" w:rsidRPr="007D7640" w:rsidRDefault="00F61688" w:rsidP="00F61688">
      <w:pPr>
        <w:widowControl/>
        <w:rPr>
          <w:szCs w:val="22"/>
        </w:rPr>
      </w:pPr>
    </w:p>
    <w:p w:rsidR="00F61688" w:rsidRPr="00B4695D" w:rsidRDefault="00F61688" w:rsidP="001011FE">
      <w:pPr>
        <w:pStyle w:val="ListParagraph"/>
        <w:widowControl/>
        <w:numPr>
          <w:ilvl w:val="1"/>
          <w:numId w:val="3"/>
        </w:numPr>
        <w:rPr>
          <w:szCs w:val="22"/>
        </w:rPr>
      </w:pPr>
      <w:r w:rsidRPr="0036170A">
        <w:rPr>
          <w:szCs w:val="22"/>
        </w:rPr>
        <w:t>The sponsor requested a special pricing arrangement, where the sponsor would provide a confiden</w:t>
      </w:r>
      <w:r>
        <w:rPr>
          <w:szCs w:val="22"/>
        </w:rPr>
        <w:t xml:space="preserve">tial </w:t>
      </w:r>
      <w:r w:rsidR="00204548">
        <w:rPr>
          <w:noProof/>
          <w:color w:val="000000"/>
          <w:szCs w:val="22"/>
          <w:highlight w:val="black"/>
        </w:rPr>
        <w:t>''''''</w:t>
      </w:r>
      <w:r w:rsidRPr="0036170A">
        <w:rPr>
          <w:szCs w:val="22"/>
        </w:rPr>
        <w:t>% rebate</w:t>
      </w:r>
      <w:r>
        <w:rPr>
          <w:szCs w:val="22"/>
        </w:rPr>
        <w:t xml:space="preserve"> to the published price of venetoclax</w:t>
      </w:r>
      <w:r w:rsidRPr="0036170A">
        <w:rPr>
          <w:szCs w:val="22"/>
        </w:rPr>
        <w:t>.</w:t>
      </w:r>
    </w:p>
    <w:p w:rsidR="00F61688" w:rsidRDefault="00F61688" w:rsidP="00FE1EB1"/>
    <w:p w:rsidR="00FE1EB1" w:rsidRPr="00FE1EB1" w:rsidRDefault="00FE1EB1" w:rsidP="00FE1EB1"/>
    <w:p w:rsidR="00064500" w:rsidRPr="006E3608" w:rsidRDefault="00064500" w:rsidP="006E3608">
      <w:pPr>
        <w:pStyle w:val="PBACHeading1"/>
      </w:pPr>
      <w:r w:rsidRPr="006E3608">
        <w:t>PBAC Outcome</w:t>
      </w:r>
    </w:p>
    <w:p w:rsidR="00BC52AF" w:rsidRPr="00A66CA2" w:rsidRDefault="00BC52AF" w:rsidP="00BC52AF">
      <w:pPr>
        <w:rPr>
          <w:b/>
          <w:bCs/>
          <w:lang w:val="en-GB"/>
        </w:rPr>
      </w:pPr>
    </w:p>
    <w:p w:rsidR="00BC52AF" w:rsidRPr="00BC52AF" w:rsidRDefault="00BC52AF" w:rsidP="00BC52AF">
      <w:pPr>
        <w:numPr>
          <w:ilvl w:val="1"/>
          <w:numId w:val="3"/>
        </w:numPr>
        <w:rPr>
          <w:bCs/>
          <w:lang w:val="en-GB"/>
        </w:rPr>
      </w:pPr>
      <w:r w:rsidRPr="00BC52AF">
        <w:rPr>
          <w:bCs/>
          <w:lang w:val="en-GB"/>
        </w:rPr>
        <w:t xml:space="preserve">The PBAC deferred making a decision regarding venetoclax for the treatment of certain patients with chronic lymphocytic leukaemia (CLL). The PBAC considered that the comparator </w:t>
      </w:r>
      <w:r w:rsidR="00F07E56">
        <w:rPr>
          <w:bCs/>
          <w:lang w:val="en-GB"/>
        </w:rPr>
        <w:t xml:space="preserve">of ofatumumab </w:t>
      </w:r>
      <w:r w:rsidRPr="00BC52AF">
        <w:rPr>
          <w:bCs/>
          <w:lang w:val="en-GB"/>
        </w:rPr>
        <w:t>nominated in the submission was not relevant</w:t>
      </w:r>
      <w:r w:rsidR="00F07E56">
        <w:rPr>
          <w:szCs w:val="22"/>
        </w:rPr>
        <w:t xml:space="preserve"> because there is no overlap in the treated populations. The PBAC instead considered </w:t>
      </w:r>
      <w:r w:rsidR="00F07E56" w:rsidRPr="00C77889">
        <w:rPr>
          <w:szCs w:val="22"/>
        </w:rPr>
        <w:t>ibrutinib and idelalisib</w:t>
      </w:r>
      <w:r w:rsidR="00F07E56">
        <w:rPr>
          <w:szCs w:val="22"/>
        </w:rPr>
        <w:t xml:space="preserve"> to be more relevant comparators</w:t>
      </w:r>
      <w:r w:rsidRPr="00BC52AF">
        <w:rPr>
          <w:bCs/>
          <w:lang w:val="en-GB"/>
        </w:rPr>
        <w:t xml:space="preserve">, given the PBAC’s recent considerations of </w:t>
      </w:r>
      <w:r w:rsidR="00F07E56">
        <w:rPr>
          <w:bCs/>
          <w:lang w:val="en-GB"/>
        </w:rPr>
        <w:t>these medicines</w:t>
      </w:r>
      <w:r w:rsidRPr="00BC52AF">
        <w:rPr>
          <w:bCs/>
          <w:lang w:val="en-GB"/>
        </w:rPr>
        <w:t xml:space="preserve"> in similar CLL populations. The PBAC was </w:t>
      </w:r>
      <w:r w:rsidR="00F07E56">
        <w:rPr>
          <w:bCs/>
          <w:lang w:val="en-GB"/>
        </w:rPr>
        <w:t xml:space="preserve">also </w:t>
      </w:r>
      <w:r w:rsidRPr="00BC52AF">
        <w:rPr>
          <w:bCs/>
          <w:lang w:val="en-GB"/>
        </w:rPr>
        <w:t>particularly uncertain about the relative clinical place, comparative effectiveness and safety, and duration of therapy of venetoclax against these two alternatives</w:t>
      </w:r>
      <w:r w:rsidR="00F07E56">
        <w:rPr>
          <w:bCs/>
          <w:lang w:val="en-GB"/>
        </w:rPr>
        <w:t>, and considered that these uncertainties flowed on to the economic evaluations and financial analyses</w:t>
      </w:r>
      <w:r w:rsidRPr="00BC52AF">
        <w:rPr>
          <w:bCs/>
          <w:lang w:val="en-GB"/>
        </w:rPr>
        <w:t>. The PBAC deferred making a decision pending further information clarifying these issues</w:t>
      </w:r>
      <w:r w:rsidR="00F07E56">
        <w:rPr>
          <w:bCs/>
          <w:lang w:val="en-GB"/>
        </w:rPr>
        <w:t xml:space="preserve"> </w:t>
      </w:r>
      <w:r w:rsidR="00AE5911">
        <w:rPr>
          <w:bCs/>
          <w:lang w:val="en-GB"/>
        </w:rPr>
        <w:t>as further outlined</w:t>
      </w:r>
      <w:r w:rsidR="00F07E56">
        <w:rPr>
          <w:bCs/>
          <w:lang w:val="en-GB"/>
        </w:rPr>
        <w:t xml:space="preserve"> below</w:t>
      </w:r>
      <w:r w:rsidRPr="00BC52AF">
        <w:rPr>
          <w:bCs/>
          <w:lang w:val="en-GB"/>
        </w:rPr>
        <w:t>.</w:t>
      </w:r>
    </w:p>
    <w:p w:rsidR="00BC52AF" w:rsidRPr="00BC52AF" w:rsidRDefault="00BC52AF" w:rsidP="00BC52AF">
      <w:pPr>
        <w:rPr>
          <w:bCs/>
          <w:lang w:val="en-GB"/>
        </w:rPr>
      </w:pPr>
    </w:p>
    <w:p w:rsidR="00BC52AF" w:rsidRPr="00BC52AF" w:rsidRDefault="00BC52AF" w:rsidP="00CC6BE2">
      <w:pPr>
        <w:numPr>
          <w:ilvl w:val="1"/>
          <w:numId w:val="3"/>
        </w:numPr>
        <w:rPr>
          <w:bCs/>
          <w:lang w:val="en-GB"/>
        </w:rPr>
      </w:pPr>
      <w:r w:rsidRPr="00BC52AF">
        <w:rPr>
          <w:bCs/>
          <w:lang w:val="en-GB"/>
        </w:rPr>
        <w:t>The PBAC considered that the wording of the restriction w</w:t>
      </w:r>
      <w:r w:rsidR="00F07E56">
        <w:rPr>
          <w:bCs/>
          <w:lang w:val="en-GB"/>
        </w:rPr>
        <w:t>ould</w:t>
      </w:r>
      <w:r w:rsidRPr="00BC52AF">
        <w:rPr>
          <w:bCs/>
          <w:lang w:val="en-GB"/>
        </w:rPr>
        <w:t xml:space="preserve"> need to be revised once the clinical place of venetoclax is clarified. The PBAC considered that it is likely to be important that that the restriction specifically addresses the use of venetoclax as monotherapy (compared to combination therapy)</w:t>
      </w:r>
      <w:r w:rsidR="00834C0E">
        <w:rPr>
          <w:bCs/>
          <w:lang w:val="en-GB"/>
        </w:rPr>
        <w:t>,</w:t>
      </w:r>
      <w:r w:rsidRPr="00BC52AF">
        <w:rPr>
          <w:bCs/>
          <w:lang w:val="en-GB"/>
        </w:rPr>
        <w:t xml:space="preserve"> and that the intended line of therapy </w:t>
      </w:r>
      <w:r w:rsidR="00CC6BE2">
        <w:rPr>
          <w:bCs/>
          <w:lang w:val="en-GB"/>
        </w:rPr>
        <w:t xml:space="preserve">in </w:t>
      </w:r>
      <w:r w:rsidR="00CC6BE2" w:rsidRPr="00CC6BE2">
        <w:rPr>
          <w:bCs/>
          <w:lang w:val="en-GB"/>
        </w:rPr>
        <w:t>patients with highly refractory disease</w:t>
      </w:r>
      <w:r w:rsidR="00CC6BE2">
        <w:rPr>
          <w:bCs/>
          <w:lang w:val="en-GB"/>
        </w:rPr>
        <w:t xml:space="preserve"> </w:t>
      </w:r>
      <w:r w:rsidRPr="00BC52AF">
        <w:rPr>
          <w:bCs/>
          <w:lang w:val="en-GB"/>
        </w:rPr>
        <w:t>(</w:t>
      </w:r>
      <w:r w:rsidR="00834C0E">
        <w:rPr>
          <w:bCs/>
          <w:lang w:val="en-GB"/>
        </w:rPr>
        <w:t xml:space="preserve">for example, second-line or third-line, or </w:t>
      </w:r>
      <w:r w:rsidRPr="00BC52AF">
        <w:rPr>
          <w:bCs/>
          <w:lang w:val="en-GB"/>
        </w:rPr>
        <w:t xml:space="preserve">after failure of all </w:t>
      </w:r>
      <w:r w:rsidR="00834C0E">
        <w:rPr>
          <w:bCs/>
          <w:lang w:val="en-GB"/>
        </w:rPr>
        <w:t xml:space="preserve">other </w:t>
      </w:r>
      <w:r w:rsidRPr="00BC52AF">
        <w:rPr>
          <w:bCs/>
          <w:lang w:val="en-GB"/>
        </w:rPr>
        <w:t>lines) should be explicit.</w:t>
      </w:r>
    </w:p>
    <w:p w:rsidR="00BC52AF" w:rsidRPr="00BC52AF" w:rsidRDefault="00BC52AF" w:rsidP="00BC52AF">
      <w:pPr>
        <w:rPr>
          <w:bCs/>
          <w:lang w:val="en-GB"/>
        </w:rPr>
      </w:pPr>
    </w:p>
    <w:p w:rsidR="00BC52AF" w:rsidRPr="00BC52AF" w:rsidRDefault="00BC52AF" w:rsidP="00BC52AF">
      <w:pPr>
        <w:numPr>
          <w:ilvl w:val="1"/>
          <w:numId w:val="3"/>
        </w:numPr>
        <w:rPr>
          <w:bCs/>
          <w:lang w:val="en-GB"/>
        </w:rPr>
      </w:pPr>
      <w:r w:rsidRPr="00BC52AF">
        <w:rPr>
          <w:bCs/>
          <w:lang w:val="en-GB"/>
        </w:rPr>
        <w:t>The PBAC considered that the clinical place of venetoclax in clinical practice remained unclear. In particular, the Committee was interested in the place of venetoclax compared to ibrutinib and idelalisib, both of which have recently been considered by the PBAC for listing in similar populations. The PBAC considered that the relative positioning of these three products was relevant to their consideration of venetoclax, including for the purpose of identifying the most appropriate comparator</w:t>
      </w:r>
      <w:r w:rsidR="00834C0E">
        <w:rPr>
          <w:bCs/>
          <w:lang w:val="en-GB"/>
        </w:rPr>
        <w:t xml:space="preserve"> for venetoclax</w:t>
      </w:r>
      <w:r w:rsidRPr="00BC52AF">
        <w:rPr>
          <w:bCs/>
          <w:lang w:val="en-GB"/>
        </w:rPr>
        <w:t xml:space="preserve">. The PBAC also noted the comment in the </w:t>
      </w:r>
      <w:r w:rsidR="00834C0E" w:rsidRPr="00BC52AF">
        <w:rPr>
          <w:bCs/>
          <w:lang w:val="en-GB"/>
        </w:rPr>
        <w:t>p</w:t>
      </w:r>
      <w:r w:rsidRPr="00BC52AF">
        <w:rPr>
          <w:bCs/>
          <w:lang w:val="en-GB"/>
        </w:rPr>
        <w:t xml:space="preserve">re-PBAC response that no more data were forthcoming for venetoclax in the monotherapy setting, rather current ongoing trials were for </w:t>
      </w:r>
      <w:r w:rsidR="00834C0E">
        <w:rPr>
          <w:bCs/>
          <w:lang w:val="en-GB"/>
        </w:rPr>
        <w:t xml:space="preserve">venetoclax as part of </w:t>
      </w:r>
      <w:r w:rsidRPr="00BC52AF">
        <w:rPr>
          <w:bCs/>
          <w:lang w:val="en-GB"/>
        </w:rPr>
        <w:t xml:space="preserve">combination therapy. The PBAC considered that the place in clinical practice of monotherapy was unclear given the possibility of combination therapy. Further, the PBAC noted that there may be a place for venetoclax to be used in an earlier line, when patients are likely to be </w:t>
      </w:r>
      <w:r w:rsidR="00834C0E">
        <w:rPr>
          <w:bCs/>
          <w:lang w:val="en-GB"/>
        </w:rPr>
        <w:t>more responsive to treatment</w:t>
      </w:r>
      <w:r w:rsidRPr="00BC52AF">
        <w:rPr>
          <w:bCs/>
          <w:lang w:val="en-GB"/>
        </w:rPr>
        <w:t>.</w:t>
      </w:r>
    </w:p>
    <w:p w:rsidR="00BC52AF" w:rsidRPr="00BC52AF" w:rsidRDefault="00BC52AF" w:rsidP="00BC52AF">
      <w:pPr>
        <w:rPr>
          <w:bCs/>
          <w:lang w:val="en-GB"/>
        </w:rPr>
      </w:pPr>
    </w:p>
    <w:p w:rsidR="00BC52AF" w:rsidRPr="00BC52AF" w:rsidRDefault="00BC52AF" w:rsidP="00BC52AF">
      <w:pPr>
        <w:numPr>
          <w:ilvl w:val="1"/>
          <w:numId w:val="3"/>
        </w:numPr>
        <w:rPr>
          <w:bCs/>
          <w:lang w:val="en-GB"/>
        </w:rPr>
      </w:pPr>
      <w:r w:rsidRPr="00BC52AF">
        <w:rPr>
          <w:bCs/>
          <w:lang w:val="en-GB"/>
        </w:rPr>
        <w:t>The PBAC considered that the submission’s nomination of ofat</w:t>
      </w:r>
      <w:r w:rsidR="00834C0E">
        <w:rPr>
          <w:bCs/>
          <w:lang w:val="en-GB"/>
        </w:rPr>
        <w:t>umuma</w:t>
      </w:r>
      <w:r w:rsidRPr="00BC52AF">
        <w:rPr>
          <w:bCs/>
          <w:lang w:val="en-GB"/>
        </w:rPr>
        <w:t>b as the most relevant comparator</w:t>
      </w:r>
      <w:r w:rsidR="00834C0E">
        <w:rPr>
          <w:bCs/>
          <w:lang w:val="en-GB"/>
        </w:rPr>
        <w:t>, and the consequential clinical, economic and financial assessments involving this comparator, were</w:t>
      </w:r>
      <w:r w:rsidRPr="00BC52AF">
        <w:rPr>
          <w:bCs/>
          <w:lang w:val="en-GB"/>
        </w:rPr>
        <w:t xml:space="preserve"> not informative. The Committee noted that the pre-PBAC response agreed that idelalisib and ibrutinib were the most relevant comparators, and presented a cost-minimisation analysis against ibrutinib. Given the uncertainty about the relative clinical place of venetoclax against idelalisib and ibrutinib, the PBAC considered that the appropriate comparator </w:t>
      </w:r>
      <w:r w:rsidR="00E77E95">
        <w:rPr>
          <w:bCs/>
          <w:lang w:val="en-GB"/>
        </w:rPr>
        <w:t>remained</w:t>
      </w:r>
      <w:r w:rsidRPr="00BC52AF">
        <w:rPr>
          <w:bCs/>
          <w:lang w:val="en-GB"/>
        </w:rPr>
        <w:t xml:space="preserve"> unclear.</w:t>
      </w:r>
    </w:p>
    <w:p w:rsidR="00BC52AF" w:rsidRPr="00BC52AF" w:rsidRDefault="00BC52AF" w:rsidP="00BC52AF">
      <w:pPr>
        <w:rPr>
          <w:bCs/>
          <w:lang w:val="en-GB"/>
        </w:rPr>
      </w:pPr>
    </w:p>
    <w:p w:rsidR="00BC52AF" w:rsidRPr="00BC52AF" w:rsidRDefault="00BC52AF" w:rsidP="00BC52AF">
      <w:pPr>
        <w:numPr>
          <w:ilvl w:val="1"/>
          <w:numId w:val="3"/>
        </w:numPr>
        <w:rPr>
          <w:bCs/>
          <w:lang w:val="en-GB"/>
        </w:rPr>
      </w:pPr>
      <w:r w:rsidRPr="00BC52AF">
        <w:rPr>
          <w:bCs/>
          <w:lang w:val="en-GB"/>
        </w:rPr>
        <w:t xml:space="preserve">The PBAC considered that the </w:t>
      </w:r>
      <w:r w:rsidR="00E77E95">
        <w:rPr>
          <w:bCs/>
          <w:lang w:val="en-GB"/>
        </w:rPr>
        <w:t xml:space="preserve">clinical </w:t>
      </w:r>
      <w:r w:rsidRPr="00BC52AF">
        <w:rPr>
          <w:bCs/>
          <w:lang w:val="en-GB"/>
        </w:rPr>
        <w:t>data available were less robust than would typically be relied on for decision making</w:t>
      </w:r>
      <w:r w:rsidR="00F37BE4">
        <w:rPr>
          <w:bCs/>
          <w:lang w:val="en-GB"/>
        </w:rPr>
        <w:t xml:space="preserve"> across </w:t>
      </w:r>
      <w:r w:rsidR="00CC6BE2">
        <w:rPr>
          <w:bCs/>
          <w:lang w:val="en-GB"/>
        </w:rPr>
        <w:t>all</w:t>
      </w:r>
      <w:r w:rsidR="00F37BE4">
        <w:rPr>
          <w:bCs/>
          <w:lang w:val="en-GB"/>
        </w:rPr>
        <w:t xml:space="preserve"> the subgroups requested</w:t>
      </w:r>
      <w:r w:rsidR="00AA7177">
        <w:rPr>
          <w:bCs/>
          <w:lang w:val="en-GB"/>
        </w:rPr>
        <w:t>, with no randomised trials reported</w:t>
      </w:r>
      <w:r w:rsidR="003B5165">
        <w:rPr>
          <w:bCs/>
          <w:lang w:val="en-GB"/>
        </w:rPr>
        <w:t>,</w:t>
      </w:r>
      <w:r w:rsidR="00AA7177">
        <w:rPr>
          <w:bCs/>
          <w:lang w:val="en-GB"/>
        </w:rPr>
        <w:t xml:space="preserve"> insufficient follow-up of more patient relevant outcomes such as overall survival</w:t>
      </w:r>
      <w:r w:rsidR="003B5165">
        <w:rPr>
          <w:bCs/>
          <w:lang w:val="en-GB"/>
        </w:rPr>
        <w:t>, and evidence of observer bias (investigator assessed response rates were more favourable than independent committee response rates)</w:t>
      </w:r>
      <w:r w:rsidRPr="00BC52AF">
        <w:rPr>
          <w:bCs/>
          <w:lang w:val="en-GB"/>
        </w:rPr>
        <w:t xml:space="preserve">. </w:t>
      </w:r>
      <w:r w:rsidR="005E2613">
        <w:rPr>
          <w:bCs/>
          <w:lang w:val="en-GB"/>
        </w:rPr>
        <w:t>In particular, t</w:t>
      </w:r>
      <w:r>
        <w:rPr>
          <w:bCs/>
          <w:lang w:val="en-GB"/>
        </w:rPr>
        <w:t xml:space="preserve">he PBAC noted that the data </w:t>
      </w:r>
      <w:r w:rsidR="00E77E95">
        <w:rPr>
          <w:bCs/>
          <w:lang w:val="en-GB"/>
        </w:rPr>
        <w:t xml:space="preserve">for venetoclax </w:t>
      </w:r>
      <w:r>
        <w:rPr>
          <w:bCs/>
          <w:lang w:val="en-GB"/>
        </w:rPr>
        <w:t xml:space="preserve">to support the </w:t>
      </w:r>
      <w:r w:rsidR="00E77E95">
        <w:rPr>
          <w:bCs/>
          <w:lang w:val="en-GB"/>
        </w:rPr>
        <w:t xml:space="preserve">requested </w:t>
      </w:r>
      <w:r w:rsidR="00CC6BE2">
        <w:rPr>
          <w:bCs/>
          <w:lang w:val="en-GB"/>
        </w:rPr>
        <w:t>third</w:t>
      </w:r>
      <w:r w:rsidR="00E77E95">
        <w:rPr>
          <w:bCs/>
          <w:lang w:val="en-GB"/>
        </w:rPr>
        <w:t>-</w:t>
      </w:r>
      <w:r>
        <w:rPr>
          <w:bCs/>
          <w:lang w:val="en-GB"/>
        </w:rPr>
        <w:t xml:space="preserve">line listing </w:t>
      </w:r>
      <w:r w:rsidR="005E2613">
        <w:rPr>
          <w:bCs/>
          <w:lang w:val="en-GB"/>
        </w:rPr>
        <w:t xml:space="preserve">or the TP53 mutated subgroup </w:t>
      </w:r>
      <w:r>
        <w:rPr>
          <w:bCs/>
          <w:lang w:val="en-GB"/>
        </w:rPr>
        <w:t xml:space="preserve">were less robust than the data available for the 17p deletion </w:t>
      </w:r>
      <w:r w:rsidR="005E2613">
        <w:rPr>
          <w:bCs/>
          <w:lang w:val="en-GB"/>
        </w:rPr>
        <w:t>subgroup</w:t>
      </w:r>
      <w:r>
        <w:rPr>
          <w:bCs/>
          <w:lang w:val="en-GB"/>
        </w:rPr>
        <w:t>.</w:t>
      </w:r>
      <w:r w:rsidR="005E2613">
        <w:rPr>
          <w:bCs/>
          <w:lang w:val="en-GB"/>
        </w:rPr>
        <w:t xml:space="preserve"> However</w:t>
      </w:r>
      <w:r w:rsidR="005E2613" w:rsidRPr="00BC52AF">
        <w:rPr>
          <w:bCs/>
          <w:lang w:val="en-GB"/>
        </w:rPr>
        <w:t xml:space="preserve">, </w:t>
      </w:r>
      <w:r w:rsidR="005E2613">
        <w:rPr>
          <w:bCs/>
          <w:lang w:val="en-GB"/>
        </w:rPr>
        <w:t xml:space="preserve">the PBAC also recalled </w:t>
      </w:r>
      <w:r w:rsidR="005E2613" w:rsidRPr="00BC52AF">
        <w:rPr>
          <w:bCs/>
          <w:lang w:val="en-GB"/>
        </w:rPr>
        <w:t xml:space="preserve">that the data available to inform </w:t>
      </w:r>
      <w:r w:rsidR="005E2613">
        <w:rPr>
          <w:bCs/>
          <w:lang w:val="en-GB"/>
        </w:rPr>
        <w:t xml:space="preserve">its </w:t>
      </w:r>
      <w:r w:rsidR="006000D9">
        <w:rPr>
          <w:bCs/>
          <w:lang w:val="en-GB"/>
        </w:rPr>
        <w:t>considerations</w:t>
      </w:r>
      <w:r w:rsidR="006000D9" w:rsidRPr="00BC52AF">
        <w:rPr>
          <w:bCs/>
          <w:lang w:val="en-GB"/>
        </w:rPr>
        <w:t xml:space="preserve"> </w:t>
      </w:r>
      <w:r w:rsidR="005E2613" w:rsidRPr="00BC52AF">
        <w:rPr>
          <w:bCs/>
          <w:lang w:val="en-GB"/>
        </w:rPr>
        <w:t>about the listing of ibrutinib and idelalisib</w:t>
      </w:r>
      <w:r w:rsidR="005E2613">
        <w:rPr>
          <w:bCs/>
          <w:lang w:val="en-GB"/>
        </w:rPr>
        <w:t xml:space="preserve"> were not fully robust, albeit not necessarily for the same reasons</w:t>
      </w:r>
      <w:r w:rsidR="00CC6BE2">
        <w:rPr>
          <w:bCs/>
          <w:lang w:val="en-GB"/>
        </w:rPr>
        <w:t>.</w:t>
      </w:r>
    </w:p>
    <w:p w:rsidR="00BC52AF" w:rsidRPr="00BC52AF" w:rsidRDefault="00BC52AF" w:rsidP="00BC52AF">
      <w:pPr>
        <w:rPr>
          <w:bCs/>
          <w:lang w:val="en-GB"/>
        </w:rPr>
      </w:pPr>
    </w:p>
    <w:p w:rsidR="00BC52AF" w:rsidRPr="00BC52AF" w:rsidRDefault="00BC52AF" w:rsidP="00BC52AF">
      <w:pPr>
        <w:numPr>
          <w:ilvl w:val="1"/>
          <w:numId w:val="3"/>
        </w:numPr>
        <w:rPr>
          <w:bCs/>
          <w:lang w:val="en-GB"/>
        </w:rPr>
      </w:pPr>
      <w:r w:rsidRPr="00BC52AF">
        <w:rPr>
          <w:bCs/>
          <w:lang w:val="en-GB"/>
        </w:rPr>
        <w:t>Given the uncertainty around the clinical place of venetoclax,</w:t>
      </w:r>
      <w:r w:rsidR="00CC6BE2">
        <w:rPr>
          <w:bCs/>
          <w:lang w:val="en-GB"/>
        </w:rPr>
        <w:t xml:space="preserve"> </w:t>
      </w:r>
      <w:r w:rsidRPr="00BC52AF">
        <w:rPr>
          <w:bCs/>
          <w:lang w:val="en-GB"/>
        </w:rPr>
        <w:t xml:space="preserve">the PBAC considered that the </w:t>
      </w:r>
      <w:r w:rsidR="00E77E95">
        <w:rPr>
          <w:bCs/>
          <w:lang w:val="en-GB"/>
        </w:rPr>
        <w:t xml:space="preserve">clinical, economic and financial assessments </w:t>
      </w:r>
      <w:r w:rsidRPr="00BC52AF">
        <w:rPr>
          <w:bCs/>
          <w:lang w:val="en-GB"/>
        </w:rPr>
        <w:t xml:space="preserve">provided </w:t>
      </w:r>
      <w:r w:rsidR="00F37BE4">
        <w:rPr>
          <w:bCs/>
          <w:lang w:val="en-GB"/>
        </w:rPr>
        <w:t xml:space="preserve">to compare venetoclax with idelalisib or ibrutinib </w:t>
      </w:r>
      <w:r w:rsidRPr="00BC52AF">
        <w:rPr>
          <w:bCs/>
          <w:lang w:val="en-GB"/>
        </w:rPr>
        <w:t xml:space="preserve">were </w:t>
      </w:r>
      <w:r w:rsidR="00F37BE4">
        <w:rPr>
          <w:bCs/>
          <w:lang w:val="en-GB"/>
        </w:rPr>
        <w:t xml:space="preserve">insufficient to form the basis of a recommendation to </w:t>
      </w:r>
      <w:r w:rsidRPr="00BC52AF">
        <w:rPr>
          <w:bCs/>
          <w:lang w:val="en-GB"/>
        </w:rPr>
        <w:t>list</w:t>
      </w:r>
      <w:r w:rsidR="00F37BE4">
        <w:rPr>
          <w:bCs/>
          <w:lang w:val="en-GB"/>
        </w:rPr>
        <w:t xml:space="preserve"> venetoclax</w:t>
      </w:r>
      <w:r w:rsidRPr="00BC52AF">
        <w:rPr>
          <w:bCs/>
          <w:lang w:val="en-GB"/>
        </w:rPr>
        <w:t xml:space="preserve"> on the PBS.</w:t>
      </w:r>
      <w:r w:rsidR="00E3176A">
        <w:rPr>
          <w:bCs/>
          <w:lang w:val="en-GB"/>
        </w:rPr>
        <w:t xml:space="preserve"> In particular, the PBAC did not consider that the incremental cost per extra responder for the comparison against idelalisib provided a clear basis for a recommendation to list, either in terms of interpreting the value of an extra responder or in terms of being confident that the numerical difference in response rates across the studies represented a true difference in effectiveness across the two medicines.</w:t>
      </w:r>
    </w:p>
    <w:p w:rsidR="00BC52AF" w:rsidRPr="00E77E95" w:rsidRDefault="00BC52AF" w:rsidP="00BC52AF">
      <w:pPr>
        <w:rPr>
          <w:bCs/>
          <w:lang w:val="en-GB"/>
        </w:rPr>
      </w:pPr>
    </w:p>
    <w:p w:rsidR="00BC52AF" w:rsidRPr="00BC52AF" w:rsidRDefault="00BC52AF" w:rsidP="00BC52AF">
      <w:pPr>
        <w:numPr>
          <w:ilvl w:val="1"/>
          <w:numId w:val="3"/>
        </w:numPr>
        <w:rPr>
          <w:bCs/>
          <w:lang w:val="en-GB"/>
        </w:rPr>
      </w:pPr>
      <w:r w:rsidRPr="00BC52AF">
        <w:rPr>
          <w:bCs/>
          <w:lang w:val="en-GB"/>
        </w:rPr>
        <w:t xml:space="preserve">Overall, the PBAC considered that there were a number of areas of uncertainty, stemming mostly from the issues around the comparator and clinical place of venetoclax, which would </w:t>
      </w:r>
      <w:r w:rsidR="00F37BE4">
        <w:rPr>
          <w:bCs/>
          <w:lang w:val="en-GB"/>
        </w:rPr>
        <w:t xml:space="preserve">need to </w:t>
      </w:r>
      <w:r w:rsidRPr="00BC52AF">
        <w:rPr>
          <w:bCs/>
          <w:lang w:val="en-GB"/>
        </w:rPr>
        <w:t xml:space="preserve">be best addressed </w:t>
      </w:r>
      <w:r w:rsidR="00F37BE4">
        <w:rPr>
          <w:bCs/>
          <w:lang w:val="en-GB"/>
        </w:rPr>
        <w:t>to enable a more completely informed consideration</w:t>
      </w:r>
      <w:r w:rsidRPr="00BC52AF">
        <w:rPr>
          <w:bCs/>
          <w:lang w:val="en-GB"/>
        </w:rPr>
        <w:t>. In particular PBAC considered that the following should be addressed:</w:t>
      </w:r>
    </w:p>
    <w:p w:rsidR="00127A1A" w:rsidRDefault="00EC59C1" w:rsidP="005E2613">
      <w:pPr>
        <w:pStyle w:val="ListParagraph"/>
        <w:numPr>
          <w:ilvl w:val="0"/>
          <w:numId w:val="16"/>
        </w:numPr>
        <w:rPr>
          <w:bCs/>
          <w:lang w:val="en-GB"/>
        </w:rPr>
      </w:pPr>
      <w:r>
        <w:t xml:space="preserve">a review of </w:t>
      </w:r>
      <w:r w:rsidR="005E2613">
        <w:t>the c</w:t>
      </w:r>
      <w:r w:rsidR="00BC52AF" w:rsidRPr="005E2613">
        <w:t>linical</w:t>
      </w:r>
      <w:r w:rsidR="00BC52AF" w:rsidRPr="00BC52AF">
        <w:rPr>
          <w:bCs/>
          <w:lang w:val="en-GB"/>
        </w:rPr>
        <w:t xml:space="preserve"> place of venetoclax relative to ibrutinib and idelalisib, including the line of therapy in which venetoclax would most likely be used, and </w:t>
      </w:r>
      <w:r w:rsidR="005E2613">
        <w:rPr>
          <w:bCs/>
          <w:lang w:val="en-GB"/>
        </w:rPr>
        <w:t xml:space="preserve">the likely </w:t>
      </w:r>
      <w:r w:rsidR="00127A1A">
        <w:rPr>
          <w:bCs/>
          <w:lang w:val="en-GB"/>
        </w:rPr>
        <w:t xml:space="preserve">sequential use of </w:t>
      </w:r>
      <w:r w:rsidR="00BC52AF" w:rsidRPr="00BC52AF">
        <w:rPr>
          <w:bCs/>
          <w:lang w:val="en-GB"/>
        </w:rPr>
        <w:t xml:space="preserve">venetoclax, idelalisib and ibrutinib. </w:t>
      </w:r>
      <w:r w:rsidR="00127A1A">
        <w:rPr>
          <w:bCs/>
          <w:lang w:val="en-GB"/>
        </w:rPr>
        <w:t>Given that the pre-PBAC response noted no new trials are planned for venetoclax monotherapy, any resubmission should also address whether venetoclax is more likely to be used as combination therapy, either with ibrutinib, or idelalisib, or any other product</w:t>
      </w:r>
      <w:r w:rsidR="005E2613">
        <w:rPr>
          <w:bCs/>
          <w:lang w:val="en-GB"/>
        </w:rPr>
        <w:t xml:space="preserve"> such as rituximab;</w:t>
      </w:r>
    </w:p>
    <w:p w:rsidR="00BC52AF" w:rsidRPr="00BC52AF" w:rsidRDefault="005E2613" w:rsidP="005E2613">
      <w:pPr>
        <w:pStyle w:val="ListParagraph"/>
        <w:numPr>
          <w:ilvl w:val="0"/>
          <w:numId w:val="16"/>
        </w:numPr>
        <w:rPr>
          <w:bCs/>
          <w:lang w:val="en-GB"/>
        </w:rPr>
      </w:pPr>
      <w:r>
        <w:rPr>
          <w:bCs/>
          <w:lang w:val="en-GB"/>
        </w:rPr>
        <w:t>the n</w:t>
      </w:r>
      <w:r w:rsidR="00BC52AF" w:rsidRPr="00BC52AF">
        <w:rPr>
          <w:bCs/>
          <w:lang w:val="en-GB"/>
        </w:rPr>
        <w:t xml:space="preserve">omination of the </w:t>
      </w:r>
      <w:r w:rsidR="00BC52AF" w:rsidRPr="005E2613">
        <w:t>most</w:t>
      </w:r>
      <w:r w:rsidR="00BC52AF" w:rsidRPr="00BC52AF">
        <w:rPr>
          <w:bCs/>
          <w:lang w:val="en-GB"/>
        </w:rPr>
        <w:t xml:space="preserve"> relevant </w:t>
      </w:r>
      <w:r w:rsidR="00127A1A">
        <w:rPr>
          <w:bCs/>
          <w:lang w:val="en-GB"/>
        </w:rPr>
        <w:t xml:space="preserve">comparator, as </w:t>
      </w:r>
      <w:r w:rsidR="00BC52AF" w:rsidRPr="00BC52AF">
        <w:rPr>
          <w:bCs/>
          <w:lang w:val="en-GB"/>
        </w:rPr>
        <w:t>informed by the relative clinical places of venetoclax, idelalisib, and ibrutinib;</w:t>
      </w:r>
    </w:p>
    <w:p w:rsidR="005E2613" w:rsidRDefault="005E2613" w:rsidP="005E2613">
      <w:pPr>
        <w:pStyle w:val="ListParagraph"/>
        <w:numPr>
          <w:ilvl w:val="0"/>
          <w:numId w:val="16"/>
        </w:numPr>
        <w:rPr>
          <w:bCs/>
          <w:lang w:val="en-GB"/>
        </w:rPr>
      </w:pPr>
      <w:r>
        <w:rPr>
          <w:bCs/>
          <w:lang w:val="en-GB"/>
        </w:rPr>
        <w:t xml:space="preserve">a review of the evidence assessing the comparative effectiveness </w:t>
      </w:r>
      <w:r w:rsidR="00EC59C1">
        <w:rPr>
          <w:bCs/>
          <w:lang w:val="en-GB"/>
        </w:rPr>
        <w:t xml:space="preserve">and safety </w:t>
      </w:r>
      <w:r>
        <w:rPr>
          <w:bCs/>
          <w:lang w:val="en-GB"/>
        </w:rPr>
        <w:t xml:space="preserve">of venetoclax </w:t>
      </w:r>
      <w:r w:rsidR="003B5165">
        <w:rPr>
          <w:bCs/>
          <w:lang w:val="en-GB"/>
        </w:rPr>
        <w:t xml:space="preserve">in the common population </w:t>
      </w:r>
      <w:r>
        <w:rPr>
          <w:bCs/>
          <w:lang w:val="en-GB"/>
        </w:rPr>
        <w:t xml:space="preserve">relative to </w:t>
      </w:r>
      <w:r w:rsidR="00EC59C1">
        <w:rPr>
          <w:bCs/>
          <w:lang w:val="en-GB"/>
        </w:rPr>
        <w:t xml:space="preserve">the most relevant comparator, being </w:t>
      </w:r>
      <w:r>
        <w:rPr>
          <w:bCs/>
          <w:lang w:val="en-GB"/>
        </w:rPr>
        <w:t>idelalisib and/or ibrutinib</w:t>
      </w:r>
      <w:r w:rsidR="00EC59C1">
        <w:rPr>
          <w:bCs/>
          <w:lang w:val="en-GB"/>
        </w:rPr>
        <w:t>, together with a review of the relevant claims of superiority, non-inferiority or inferiority;</w:t>
      </w:r>
    </w:p>
    <w:p w:rsidR="00BC52AF" w:rsidRPr="00BC52AF" w:rsidRDefault="00EC59C1" w:rsidP="005E2613">
      <w:pPr>
        <w:pStyle w:val="ListParagraph"/>
        <w:numPr>
          <w:ilvl w:val="0"/>
          <w:numId w:val="16"/>
        </w:numPr>
        <w:rPr>
          <w:bCs/>
          <w:lang w:val="en-GB"/>
        </w:rPr>
      </w:pPr>
      <w:r>
        <w:rPr>
          <w:bCs/>
          <w:lang w:val="en-GB"/>
        </w:rPr>
        <w:t xml:space="preserve">in the event of that a </w:t>
      </w:r>
      <w:r w:rsidR="00BC52AF" w:rsidRPr="00BC52AF">
        <w:rPr>
          <w:bCs/>
          <w:lang w:val="en-GB"/>
        </w:rPr>
        <w:t xml:space="preserve">cost-minimisation </w:t>
      </w:r>
      <w:r>
        <w:rPr>
          <w:bCs/>
          <w:lang w:val="en-GB"/>
        </w:rPr>
        <w:t>approach is taken between venetoclax and its comparator(s), the basis for e</w:t>
      </w:r>
      <w:r w:rsidRPr="00BC52AF">
        <w:rPr>
          <w:bCs/>
          <w:lang w:val="en-GB"/>
        </w:rPr>
        <w:t>stimatin</w:t>
      </w:r>
      <w:r>
        <w:rPr>
          <w:bCs/>
          <w:lang w:val="en-GB"/>
        </w:rPr>
        <w:t>g</w:t>
      </w:r>
      <w:r w:rsidRPr="00BC52AF">
        <w:rPr>
          <w:bCs/>
          <w:lang w:val="en-GB"/>
        </w:rPr>
        <w:t xml:space="preserve"> equi</w:t>
      </w:r>
      <w:r>
        <w:rPr>
          <w:bCs/>
          <w:lang w:val="en-GB"/>
        </w:rPr>
        <w:t>-</w:t>
      </w:r>
      <w:r w:rsidRPr="005E2613">
        <w:t>effective</w:t>
      </w:r>
      <w:r w:rsidRPr="00BC52AF">
        <w:rPr>
          <w:bCs/>
          <w:lang w:val="en-GB"/>
        </w:rPr>
        <w:t xml:space="preserve"> doses</w:t>
      </w:r>
      <w:r w:rsidR="00BC52AF" w:rsidRPr="00BC52AF">
        <w:rPr>
          <w:bCs/>
          <w:lang w:val="en-GB"/>
        </w:rPr>
        <w:t xml:space="preserve">, taking into </w:t>
      </w:r>
      <w:r>
        <w:rPr>
          <w:bCs/>
          <w:lang w:val="en-GB"/>
        </w:rPr>
        <w:t xml:space="preserve">appropriate </w:t>
      </w:r>
      <w:r w:rsidR="00BC52AF" w:rsidRPr="00BC52AF">
        <w:rPr>
          <w:bCs/>
          <w:lang w:val="en-GB"/>
        </w:rPr>
        <w:t xml:space="preserve">consideration </w:t>
      </w:r>
      <w:r>
        <w:rPr>
          <w:bCs/>
          <w:lang w:val="en-GB"/>
        </w:rPr>
        <w:t xml:space="preserve">any </w:t>
      </w:r>
      <w:r w:rsidR="00BC52AF" w:rsidRPr="00BC52AF">
        <w:rPr>
          <w:bCs/>
          <w:lang w:val="en-GB"/>
        </w:rPr>
        <w:t>differences in titration, treatment duration</w:t>
      </w:r>
      <w:r>
        <w:rPr>
          <w:bCs/>
          <w:lang w:val="en-GB"/>
        </w:rPr>
        <w:t>, and costs of preventing or managing venetoclax toxicity</w:t>
      </w:r>
      <w:r w:rsidR="00AE5911">
        <w:rPr>
          <w:bCs/>
          <w:lang w:val="en-GB"/>
        </w:rPr>
        <w:t xml:space="preserve"> such as TLS</w:t>
      </w:r>
      <w:r w:rsidR="00BC52AF" w:rsidRPr="00BC52AF">
        <w:rPr>
          <w:bCs/>
          <w:lang w:val="en-GB"/>
        </w:rPr>
        <w:t>; and</w:t>
      </w:r>
    </w:p>
    <w:p w:rsidR="00BC52AF" w:rsidRPr="00BC52AF" w:rsidRDefault="00EC59C1" w:rsidP="005E2613">
      <w:pPr>
        <w:pStyle w:val="ListParagraph"/>
        <w:numPr>
          <w:ilvl w:val="0"/>
          <w:numId w:val="16"/>
        </w:numPr>
        <w:rPr>
          <w:bCs/>
          <w:lang w:val="en-GB"/>
        </w:rPr>
      </w:pPr>
      <w:r>
        <w:rPr>
          <w:bCs/>
          <w:lang w:val="en-GB"/>
        </w:rPr>
        <w:t>u</w:t>
      </w:r>
      <w:r w:rsidR="00BC52AF">
        <w:rPr>
          <w:bCs/>
          <w:lang w:val="en-GB"/>
        </w:rPr>
        <w:t xml:space="preserve">pdated estimates </w:t>
      </w:r>
      <w:r w:rsidR="00BC52AF" w:rsidRPr="005E2613">
        <w:t>of</w:t>
      </w:r>
      <w:r w:rsidR="00BC52AF">
        <w:rPr>
          <w:bCs/>
          <w:lang w:val="en-GB"/>
        </w:rPr>
        <w:t xml:space="preserve"> utilisation and </w:t>
      </w:r>
      <w:r>
        <w:rPr>
          <w:bCs/>
          <w:lang w:val="en-GB"/>
        </w:rPr>
        <w:t>financial implications</w:t>
      </w:r>
      <w:r w:rsidR="00BC52AF">
        <w:rPr>
          <w:bCs/>
          <w:lang w:val="en-GB"/>
        </w:rPr>
        <w:t xml:space="preserve">, calculated </w:t>
      </w:r>
      <w:r>
        <w:rPr>
          <w:bCs/>
          <w:lang w:val="en-GB"/>
        </w:rPr>
        <w:t xml:space="preserve">to reflect the review of </w:t>
      </w:r>
      <w:r w:rsidR="00BC52AF">
        <w:rPr>
          <w:bCs/>
          <w:lang w:val="en-GB"/>
        </w:rPr>
        <w:t>the clinical place of venetoclax.</w:t>
      </w:r>
    </w:p>
    <w:p w:rsidR="00BC52AF" w:rsidRPr="005E2613" w:rsidRDefault="00BC52AF" w:rsidP="005E2613">
      <w:pPr>
        <w:rPr>
          <w:bCs/>
          <w:lang w:val="en-GB"/>
        </w:rPr>
      </w:pPr>
    </w:p>
    <w:p w:rsidR="00BC52AF" w:rsidRPr="001C368D" w:rsidRDefault="00BC52AF" w:rsidP="00BC52AF">
      <w:pPr>
        <w:numPr>
          <w:ilvl w:val="1"/>
          <w:numId w:val="3"/>
        </w:numPr>
        <w:rPr>
          <w:b/>
          <w:bCs/>
          <w:lang w:val="en-GB"/>
        </w:rPr>
      </w:pPr>
      <w:r w:rsidRPr="001C368D">
        <w:rPr>
          <w:bCs/>
          <w:lang w:val="en-GB"/>
        </w:rPr>
        <w:t xml:space="preserve">The PBAC noted that this submission is not eligible for an Independent Review, as the submission was not rejected. </w:t>
      </w:r>
    </w:p>
    <w:p w:rsidR="005E2613" w:rsidRPr="005E2613" w:rsidRDefault="005E2613" w:rsidP="00BC52AF">
      <w:pPr>
        <w:rPr>
          <w:bCs/>
          <w:lang w:val="en-GB"/>
        </w:rPr>
      </w:pPr>
    </w:p>
    <w:p w:rsidR="00064500" w:rsidRPr="001405FE" w:rsidRDefault="00064500" w:rsidP="00064500">
      <w:pPr>
        <w:rPr>
          <w:b/>
          <w:bCs/>
          <w:lang w:val="en-GB"/>
        </w:rPr>
      </w:pPr>
      <w:r w:rsidRPr="001405FE">
        <w:rPr>
          <w:b/>
          <w:bCs/>
          <w:lang w:val="en-GB"/>
        </w:rPr>
        <w:t>Outcome:</w:t>
      </w:r>
    </w:p>
    <w:p w:rsidR="00064500" w:rsidRPr="001405FE" w:rsidRDefault="00064500" w:rsidP="00064500">
      <w:pPr>
        <w:rPr>
          <w:bCs/>
          <w:lang w:val="en-GB"/>
        </w:rPr>
      </w:pPr>
      <w:r w:rsidRPr="001405FE">
        <w:rPr>
          <w:bCs/>
          <w:lang w:val="en-GB"/>
        </w:rPr>
        <w:t>Deferred</w:t>
      </w:r>
    </w:p>
    <w:p w:rsidR="00064500" w:rsidRPr="0069654D" w:rsidRDefault="00064500" w:rsidP="00064500">
      <w:pPr>
        <w:rPr>
          <w:bCs/>
          <w:highlight w:val="yellow"/>
          <w:lang w:val="en-GB"/>
        </w:rPr>
      </w:pPr>
    </w:p>
    <w:p w:rsidR="00064500" w:rsidRPr="005E2613" w:rsidRDefault="00064500" w:rsidP="00064500">
      <w:pPr>
        <w:rPr>
          <w:bCs/>
          <w:highlight w:val="yellow"/>
        </w:rPr>
      </w:pPr>
    </w:p>
    <w:bookmarkEnd w:id="2"/>
    <w:p w:rsidR="00A83B8E" w:rsidRDefault="00A83B8E" w:rsidP="00A83B8E">
      <w:pPr>
        <w:pStyle w:val="PBACHeading1"/>
        <w:ind w:left="709" w:hanging="709"/>
      </w:pPr>
      <w:r w:rsidRPr="00485DD3">
        <w:t>Context for Decision</w:t>
      </w:r>
    </w:p>
    <w:p w:rsidR="00A83B8E" w:rsidRDefault="00A83B8E" w:rsidP="00A83B8E">
      <w:pPr>
        <w:ind w:left="709"/>
      </w:pPr>
    </w:p>
    <w:p w:rsidR="00A83B8E" w:rsidRDefault="00A83B8E" w:rsidP="00A83B8E">
      <w:pPr>
        <w:ind w:left="709"/>
      </w:pPr>
      <w:r w:rsidRPr="004304F6">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A83B8E" w:rsidRDefault="00A83B8E" w:rsidP="00A83B8E">
      <w:pPr>
        <w:ind w:left="709"/>
      </w:pPr>
    </w:p>
    <w:p w:rsidR="00A83B8E" w:rsidRDefault="00A83B8E" w:rsidP="00A83B8E">
      <w:pPr>
        <w:ind w:left="709"/>
      </w:pPr>
    </w:p>
    <w:p w:rsidR="00A83B8E" w:rsidRPr="00B0280B" w:rsidRDefault="00A83B8E" w:rsidP="00A83B8E">
      <w:pPr>
        <w:pStyle w:val="PBACHeading1"/>
        <w:ind w:left="709" w:hanging="709"/>
      </w:pPr>
      <w:r w:rsidRPr="00485DD3">
        <w:t>Sponsor’s Comment</w:t>
      </w:r>
    </w:p>
    <w:p w:rsidR="00A83B8E" w:rsidRDefault="00A83B8E" w:rsidP="00A83B8E">
      <w:pPr>
        <w:ind w:left="709"/>
        <w:rPr>
          <w:bCs/>
          <w:highlight w:val="yellow"/>
          <w:lang w:val="en-GB"/>
        </w:rPr>
      </w:pPr>
    </w:p>
    <w:p w:rsidR="002132D0" w:rsidRPr="00B00AB6" w:rsidRDefault="002132D0" w:rsidP="002132D0">
      <w:pPr>
        <w:spacing w:after="120"/>
        <w:ind w:left="709"/>
      </w:pPr>
      <w:r w:rsidRPr="00B00AB6">
        <w:t xml:space="preserve">AbbVie is committed to working with the PBAC to clarify the issues raised in order to ensure Australian patients receive timely access to venetoclax as a funded treatment option for certain patients with Chronic Lymphocytic Leukaemia (CLL). </w:t>
      </w:r>
    </w:p>
    <w:p w:rsidR="002132D0" w:rsidRPr="00B00AB6" w:rsidRDefault="002132D0" w:rsidP="002132D0">
      <w:pPr>
        <w:spacing w:after="120"/>
        <w:ind w:left="709"/>
      </w:pPr>
      <w:r w:rsidRPr="00B00AB6">
        <w:t xml:space="preserve">AbbVie however asserts that ofatumumab was a valid comparator as it is TGA approved for treatment of R/R CLL patients representing a basket of therapies used in the absence of PBS listed treatments. The decision was aligned with PBAC Guidelines and precedent evaluations. </w:t>
      </w:r>
    </w:p>
    <w:p w:rsidR="00A83B8E" w:rsidRDefault="002132D0" w:rsidP="00B82C14">
      <w:pPr>
        <w:spacing w:after="120"/>
        <w:ind w:left="709"/>
        <w:rPr>
          <w:bCs/>
        </w:rPr>
      </w:pPr>
      <w:r w:rsidRPr="00B00AB6">
        <w:t xml:space="preserve">Abbvie also wishes to clarify PSD </w:t>
      </w:r>
      <w:r>
        <w:t xml:space="preserve">paragraph </w:t>
      </w:r>
      <w:r w:rsidRPr="00B00AB6">
        <w:t xml:space="preserve">6.35. This statement refers to ongoing clinical trials for the combination of </w:t>
      </w:r>
      <w:r w:rsidR="000353D2">
        <w:t>v</w:t>
      </w:r>
      <w:r w:rsidRPr="00B00AB6">
        <w:t xml:space="preserve">enetoclax and </w:t>
      </w:r>
      <w:r w:rsidR="000353D2">
        <w:t>r</w:t>
      </w:r>
      <w:r w:rsidRPr="00B00AB6">
        <w:t xml:space="preserve">ituximab in R/R CLL, rather than for </w:t>
      </w:r>
      <w:r w:rsidR="000353D2">
        <w:t>v</w:t>
      </w:r>
      <w:r w:rsidRPr="00B00AB6">
        <w:t>enetoclax monotherapy which is the subject of this submission.</w:t>
      </w:r>
    </w:p>
    <w:sectPr w:rsidR="00A83B8E" w:rsidSect="00DD1DEA">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4548" w:rsidRDefault="00204548" w:rsidP="00124A51">
      <w:r>
        <w:separator/>
      </w:r>
    </w:p>
  </w:endnote>
  <w:endnote w:type="continuationSeparator" w:id="0">
    <w:p w:rsidR="00204548" w:rsidRDefault="00204548" w:rsidP="00124A51">
      <w:r>
        <w:continuationSeparator/>
      </w:r>
    </w:p>
  </w:endnote>
  <w:endnote w:type="continuationNotice" w:id="1">
    <w:p w:rsidR="00204548" w:rsidRDefault="002045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4E9" w:rsidRDefault="003764E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2D0" w:rsidRDefault="002132D0" w:rsidP="00CA76D9">
    <w:pPr>
      <w:pStyle w:val="Footer"/>
      <w:jc w:val="center"/>
      <w:rPr>
        <w:sz w:val="20"/>
      </w:rPr>
    </w:pPr>
  </w:p>
  <w:p w:rsidR="002132D0" w:rsidRPr="00CA76D9" w:rsidRDefault="002132D0" w:rsidP="00CA76D9">
    <w:pPr>
      <w:pStyle w:val="Footer"/>
      <w:jc w:val="center"/>
    </w:pPr>
    <w:r w:rsidRPr="00651169">
      <w:rPr>
        <w:sz w:val="20"/>
      </w:rPr>
      <w:fldChar w:fldCharType="begin"/>
    </w:r>
    <w:r w:rsidRPr="00651169">
      <w:rPr>
        <w:sz w:val="20"/>
      </w:rPr>
      <w:instrText xml:space="preserve"> PAGE   \* MERGEFORMAT </w:instrText>
    </w:r>
    <w:r w:rsidRPr="00651169">
      <w:rPr>
        <w:sz w:val="20"/>
      </w:rPr>
      <w:fldChar w:fldCharType="separate"/>
    </w:r>
    <w:r w:rsidR="00FA1C2D">
      <w:rPr>
        <w:noProof/>
        <w:sz w:val="20"/>
      </w:rPr>
      <w:t>18</w:t>
    </w:r>
    <w:r w:rsidRPr="00651169">
      <w:rPr>
        <w:noProof/>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4E9" w:rsidRDefault="003764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4548" w:rsidRDefault="00204548" w:rsidP="00124A51">
      <w:r>
        <w:separator/>
      </w:r>
    </w:p>
  </w:footnote>
  <w:footnote w:type="continuationSeparator" w:id="0">
    <w:p w:rsidR="00204548" w:rsidRDefault="00204548" w:rsidP="00124A51">
      <w:r>
        <w:continuationSeparator/>
      </w:r>
    </w:p>
  </w:footnote>
  <w:footnote w:type="continuationNotice" w:id="1">
    <w:p w:rsidR="00204548" w:rsidRDefault="0020454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4E9" w:rsidRDefault="003764E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2D0" w:rsidRPr="00DF217D" w:rsidRDefault="002132D0" w:rsidP="00A83B8E">
    <w:pPr>
      <w:pStyle w:val="Header"/>
      <w:ind w:left="360"/>
      <w:jc w:val="center"/>
      <w:rPr>
        <w:i/>
        <w:color w:val="808080"/>
      </w:rPr>
    </w:pPr>
    <w:r>
      <w:rPr>
        <w:i/>
        <w:color w:val="808080"/>
      </w:rPr>
      <w:t xml:space="preserve">Public Summary Document </w:t>
    </w:r>
    <w:r w:rsidRPr="00DF217D">
      <w:rPr>
        <w:i/>
        <w:color w:val="808080"/>
      </w:rPr>
      <w:t xml:space="preserve">– </w:t>
    </w:r>
    <w:r>
      <w:rPr>
        <w:i/>
        <w:color w:val="808080"/>
      </w:rPr>
      <w:t xml:space="preserve">March 2017 </w:t>
    </w:r>
    <w:r w:rsidRPr="00DF217D">
      <w:rPr>
        <w:i/>
        <w:color w:val="808080"/>
      </w:rPr>
      <w:t>PBAC</w:t>
    </w:r>
    <w:r>
      <w:rPr>
        <w:i/>
        <w:color w:val="808080"/>
      </w:rPr>
      <w:t xml:space="preserve"> </w:t>
    </w:r>
    <w:r w:rsidRPr="00DF217D">
      <w:rPr>
        <w:i/>
        <w:color w:val="808080"/>
      </w:rPr>
      <w:t>Meeting</w:t>
    </w:r>
  </w:p>
  <w:p w:rsidR="002132D0" w:rsidRDefault="002132D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4E9" w:rsidRDefault="003764E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F5449A2"/>
    <w:multiLevelType w:val="multilevel"/>
    <w:tmpl w:val="5F5E2DF6"/>
    <w:lvl w:ilvl="0">
      <w:start w:val="1"/>
      <w:numFmt w:val="none"/>
      <w:pStyle w:val="AltLevel1"/>
      <w:lvlText w:val="B(i)."/>
      <w:lvlJc w:val="left"/>
      <w:pPr>
        <w:ind w:left="360" w:hanging="360"/>
      </w:pPr>
      <w:rPr>
        <w:rFonts w:cs="Times New Roman" w:hint="default"/>
      </w:rPr>
    </w:lvl>
    <w:lvl w:ilvl="1">
      <w:start w:val="1"/>
      <w:numFmt w:val="decimal"/>
      <w:pStyle w:val="AltLevel2"/>
      <w:lvlText w:val="B(i).%1%2."/>
      <w:lvlJc w:val="left"/>
      <w:pPr>
        <w:ind w:left="792" w:hanging="432"/>
      </w:pPr>
      <w:rPr>
        <w:rFonts w:cs="Times New Roman" w:hint="default"/>
      </w:rPr>
    </w:lvl>
    <w:lvl w:ilvl="2">
      <w:start w:val="1"/>
      <w:numFmt w:val="decimal"/>
      <w:pStyle w:val="AltLevel3"/>
      <w:lvlText w:val="B(i).%2.%3."/>
      <w:lvlJc w:val="left"/>
      <w:pPr>
        <w:ind w:left="1224" w:hanging="504"/>
      </w:pPr>
      <w:rPr>
        <w:rFonts w:cs="Times New Roman" w:hint="default"/>
      </w:rPr>
    </w:lvl>
    <w:lvl w:ilvl="3">
      <w:start w:val="1"/>
      <w:numFmt w:val="decimal"/>
      <w:pStyle w:val="AltLevel1"/>
      <w:lvlText w:val="B(i).%1%2.%3.%4."/>
      <w:lvlJc w:val="left"/>
      <w:pPr>
        <w:ind w:left="1728" w:hanging="648"/>
      </w:pPr>
      <w:rPr>
        <w:rFonts w:cs="Times New Roman" w:hint="default"/>
      </w:rPr>
    </w:lvl>
    <w:lvl w:ilvl="4">
      <w:start w:val="1"/>
      <w:numFmt w:val="decimal"/>
      <w:pStyle w:val="AltLevel2"/>
      <w:lvlText w:val="B(i).%1%2.%3.%4.%5."/>
      <w:lvlJc w:val="left"/>
      <w:pPr>
        <w:ind w:left="2232" w:hanging="792"/>
      </w:pPr>
      <w:rPr>
        <w:rFonts w:cs="Times New Roman" w:hint="default"/>
      </w:rPr>
    </w:lvl>
    <w:lvl w:ilvl="5">
      <w:start w:val="1"/>
      <w:numFmt w:val="decimal"/>
      <w:lvlText w:val="B(i).%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
    <w:nsid w:val="136820B2"/>
    <w:multiLevelType w:val="hybridMultilevel"/>
    <w:tmpl w:val="EA5A4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5B33A59"/>
    <w:multiLevelType w:val="hybridMultilevel"/>
    <w:tmpl w:val="B5762528"/>
    <w:lvl w:ilvl="0" w:tplc="C9C87E3C">
      <w:start w:val="1"/>
      <w:numFmt w:val="decimal"/>
      <w:lvlText w:val="%1."/>
      <w:lvlJc w:val="left"/>
      <w:pPr>
        <w:ind w:left="720" w:hanging="360"/>
      </w:pPr>
      <w:rPr>
        <w:rFonts w:hint="default"/>
        <w:b w:val="0"/>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C761A7B"/>
    <w:multiLevelType w:val="hybridMultilevel"/>
    <w:tmpl w:val="4D5E845A"/>
    <w:lvl w:ilvl="0" w:tplc="00000004">
      <w:numFmt w:val="bullet"/>
      <w:lvlText w:val="-"/>
      <w:lvlJc w:val="left"/>
      <w:pPr>
        <w:ind w:left="360" w:hanging="360"/>
      </w:pPr>
      <w:rPr>
        <w:rFonts w:ascii="Times New Roman" w:hAnsi="Times New Roman" w:cs="Times New Roman"/>
      </w:rPr>
    </w:lvl>
    <w:lvl w:ilvl="1" w:tplc="00000004">
      <w:numFmt w:val="bullet"/>
      <w:lvlText w:val="-"/>
      <w:lvlJc w:val="left"/>
      <w:pPr>
        <w:ind w:left="1080" w:hanging="360"/>
      </w:pPr>
      <w:rPr>
        <w:rFonts w:ascii="Times New Roman" w:hAnsi="Times New Roman" w:cs="Times New Roman"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1C8A0001"/>
    <w:multiLevelType w:val="hybridMultilevel"/>
    <w:tmpl w:val="AE403840"/>
    <w:lvl w:ilvl="0" w:tplc="A5BE01A6">
      <w:start w:val="4"/>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1265801"/>
    <w:multiLevelType w:val="hybridMultilevel"/>
    <w:tmpl w:val="BEFA095A"/>
    <w:lvl w:ilvl="0" w:tplc="7854B196">
      <w:start w:val="1"/>
      <w:numFmt w:val="bullet"/>
      <w:lvlText w:val="-"/>
      <w:lvlJc w:val="left"/>
      <w:pPr>
        <w:ind w:left="720" w:hanging="360"/>
      </w:pPr>
      <w:rPr>
        <w:rFonts w:ascii="Arial Narrow" w:eastAsia="Times New Roman" w:hAnsi="Arial Narrow" w:cs="Aria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258329E"/>
    <w:multiLevelType w:val="hybridMultilevel"/>
    <w:tmpl w:val="0C3009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291538D"/>
    <w:multiLevelType w:val="hybridMultilevel"/>
    <w:tmpl w:val="601200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6F70274"/>
    <w:multiLevelType w:val="hybridMultilevel"/>
    <w:tmpl w:val="7CA8B98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nsid w:val="37A2705B"/>
    <w:multiLevelType w:val="hybridMultilevel"/>
    <w:tmpl w:val="01E4DE4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3C6B1F1E"/>
    <w:multiLevelType w:val="hybridMultilevel"/>
    <w:tmpl w:val="96EA3CE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nsid w:val="3E0E542F"/>
    <w:multiLevelType w:val="hybridMultilevel"/>
    <w:tmpl w:val="9970E17A"/>
    <w:lvl w:ilvl="0" w:tplc="0809000F">
      <w:start w:val="1"/>
      <w:numFmt w:val="decimal"/>
      <w:lvlText w:val="%1."/>
      <w:lvlJc w:val="left"/>
      <w:pPr>
        <w:ind w:left="360" w:hanging="360"/>
      </w:pPr>
      <w:rPr>
        <w:rFonts w:cs="Times New Roman"/>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15">
    <w:nsid w:val="41DE3414"/>
    <w:multiLevelType w:val="hybridMultilevel"/>
    <w:tmpl w:val="DD08065A"/>
    <w:lvl w:ilvl="0" w:tplc="73366D98">
      <w:numFmt w:val="bullet"/>
      <w:lvlText w:val="-"/>
      <w:lvlJc w:val="left"/>
      <w:pPr>
        <w:ind w:left="1800" w:hanging="360"/>
      </w:pPr>
      <w:rPr>
        <w:rFonts w:ascii="Arial" w:eastAsia="Times New Roman" w:hAnsi="Arial" w:cs="Aria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6">
    <w:nsid w:val="462D606E"/>
    <w:multiLevelType w:val="hybridMultilevel"/>
    <w:tmpl w:val="477231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49B84FEE"/>
    <w:multiLevelType w:val="multilevel"/>
    <w:tmpl w:val="27E61530"/>
    <w:lvl w:ilvl="0">
      <w:start w:val="1"/>
      <w:numFmt w:val="decimal"/>
      <w:lvlText w:val="%1."/>
      <w:lvlJc w:val="left"/>
      <w:pPr>
        <w:ind w:left="720" w:hanging="360"/>
      </w:pPr>
      <w:rPr>
        <w:rFonts w:hint="default"/>
        <w:b/>
      </w:rPr>
    </w:lvl>
    <w:lvl w:ilvl="1">
      <w:start w:val="1"/>
      <w:numFmt w:val="decimal"/>
      <w:isLgl/>
      <w:lvlText w:val="%1.%2"/>
      <w:lvlJc w:val="left"/>
      <w:pPr>
        <w:ind w:left="36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8">
    <w:nsid w:val="4B3A320E"/>
    <w:multiLevelType w:val="hybridMultilevel"/>
    <w:tmpl w:val="E89E816A"/>
    <w:lvl w:ilvl="0" w:tplc="0C090003">
      <w:start w:val="1"/>
      <w:numFmt w:val="bullet"/>
      <w:lvlText w:val="o"/>
      <w:lvlJc w:val="left"/>
      <w:pPr>
        <w:ind w:left="1514" w:hanging="360"/>
      </w:pPr>
      <w:rPr>
        <w:rFonts w:ascii="Courier New" w:hAnsi="Courier New" w:cs="Courier New"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19">
    <w:nsid w:val="4BEC6328"/>
    <w:multiLevelType w:val="hybridMultilevel"/>
    <w:tmpl w:val="77800E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DD53BA2"/>
    <w:multiLevelType w:val="hybridMultilevel"/>
    <w:tmpl w:val="F578B4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0650525"/>
    <w:multiLevelType w:val="hybridMultilevel"/>
    <w:tmpl w:val="F2DC70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57B19F4"/>
    <w:multiLevelType w:val="hybridMultilevel"/>
    <w:tmpl w:val="FA40FE24"/>
    <w:lvl w:ilvl="0" w:tplc="00947506">
      <w:start w:val="1"/>
      <w:numFmt w:val="bullet"/>
      <w:lvlText w:val="-"/>
      <w:lvlJc w:val="left"/>
      <w:pPr>
        <w:ind w:left="72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80805CD"/>
    <w:multiLevelType w:val="hybridMultilevel"/>
    <w:tmpl w:val="51E6445C"/>
    <w:lvl w:ilvl="0" w:tplc="00000004">
      <w:numFmt w:val="bullet"/>
      <w:lvlText w:val="-"/>
      <w:lvlJc w:val="left"/>
      <w:pPr>
        <w:ind w:left="720" w:hanging="360"/>
      </w:pPr>
      <w:rPr>
        <w:rFonts w:ascii="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AA06DE9"/>
    <w:multiLevelType w:val="hybridMultilevel"/>
    <w:tmpl w:val="ACE45A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67E5167E"/>
    <w:multiLevelType w:val="hybridMultilevel"/>
    <w:tmpl w:val="157C98AE"/>
    <w:lvl w:ilvl="0" w:tplc="0C090001">
      <w:start w:val="1"/>
      <w:numFmt w:val="bullet"/>
      <w:lvlText w:val=""/>
      <w:lvlJc w:val="left"/>
      <w:pPr>
        <w:ind w:left="1497" w:hanging="360"/>
      </w:pPr>
      <w:rPr>
        <w:rFonts w:ascii="Symbol" w:hAnsi="Symbol" w:hint="default"/>
      </w:rPr>
    </w:lvl>
    <w:lvl w:ilvl="1" w:tplc="0C090003" w:tentative="1">
      <w:start w:val="1"/>
      <w:numFmt w:val="bullet"/>
      <w:lvlText w:val="o"/>
      <w:lvlJc w:val="left"/>
      <w:pPr>
        <w:ind w:left="2217" w:hanging="360"/>
      </w:pPr>
      <w:rPr>
        <w:rFonts w:ascii="Courier New" w:hAnsi="Courier New" w:cs="Courier New" w:hint="default"/>
      </w:rPr>
    </w:lvl>
    <w:lvl w:ilvl="2" w:tplc="0C090005" w:tentative="1">
      <w:start w:val="1"/>
      <w:numFmt w:val="bullet"/>
      <w:lvlText w:val=""/>
      <w:lvlJc w:val="left"/>
      <w:pPr>
        <w:ind w:left="2937" w:hanging="360"/>
      </w:pPr>
      <w:rPr>
        <w:rFonts w:ascii="Wingdings" w:hAnsi="Wingdings" w:hint="default"/>
      </w:rPr>
    </w:lvl>
    <w:lvl w:ilvl="3" w:tplc="0C090001" w:tentative="1">
      <w:start w:val="1"/>
      <w:numFmt w:val="bullet"/>
      <w:lvlText w:val=""/>
      <w:lvlJc w:val="left"/>
      <w:pPr>
        <w:ind w:left="3657" w:hanging="360"/>
      </w:pPr>
      <w:rPr>
        <w:rFonts w:ascii="Symbol" w:hAnsi="Symbol" w:hint="default"/>
      </w:rPr>
    </w:lvl>
    <w:lvl w:ilvl="4" w:tplc="0C090003" w:tentative="1">
      <w:start w:val="1"/>
      <w:numFmt w:val="bullet"/>
      <w:lvlText w:val="o"/>
      <w:lvlJc w:val="left"/>
      <w:pPr>
        <w:ind w:left="4377" w:hanging="360"/>
      </w:pPr>
      <w:rPr>
        <w:rFonts w:ascii="Courier New" w:hAnsi="Courier New" w:cs="Courier New" w:hint="default"/>
      </w:rPr>
    </w:lvl>
    <w:lvl w:ilvl="5" w:tplc="0C090005" w:tentative="1">
      <w:start w:val="1"/>
      <w:numFmt w:val="bullet"/>
      <w:lvlText w:val=""/>
      <w:lvlJc w:val="left"/>
      <w:pPr>
        <w:ind w:left="5097" w:hanging="360"/>
      </w:pPr>
      <w:rPr>
        <w:rFonts w:ascii="Wingdings" w:hAnsi="Wingdings" w:hint="default"/>
      </w:rPr>
    </w:lvl>
    <w:lvl w:ilvl="6" w:tplc="0C090001" w:tentative="1">
      <w:start w:val="1"/>
      <w:numFmt w:val="bullet"/>
      <w:lvlText w:val=""/>
      <w:lvlJc w:val="left"/>
      <w:pPr>
        <w:ind w:left="5817" w:hanging="360"/>
      </w:pPr>
      <w:rPr>
        <w:rFonts w:ascii="Symbol" w:hAnsi="Symbol" w:hint="default"/>
      </w:rPr>
    </w:lvl>
    <w:lvl w:ilvl="7" w:tplc="0C090003" w:tentative="1">
      <w:start w:val="1"/>
      <w:numFmt w:val="bullet"/>
      <w:lvlText w:val="o"/>
      <w:lvlJc w:val="left"/>
      <w:pPr>
        <w:ind w:left="6537" w:hanging="360"/>
      </w:pPr>
      <w:rPr>
        <w:rFonts w:ascii="Courier New" w:hAnsi="Courier New" w:cs="Courier New" w:hint="default"/>
      </w:rPr>
    </w:lvl>
    <w:lvl w:ilvl="8" w:tplc="0C090005" w:tentative="1">
      <w:start w:val="1"/>
      <w:numFmt w:val="bullet"/>
      <w:lvlText w:val=""/>
      <w:lvlJc w:val="left"/>
      <w:pPr>
        <w:ind w:left="7257" w:hanging="360"/>
      </w:pPr>
      <w:rPr>
        <w:rFonts w:ascii="Wingdings" w:hAnsi="Wingdings" w:hint="default"/>
      </w:rPr>
    </w:lvl>
  </w:abstractNum>
  <w:abstractNum w:abstractNumId="27">
    <w:nsid w:val="704E2080"/>
    <w:multiLevelType w:val="hybridMultilevel"/>
    <w:tmpl w:val="0F5EE1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706C3599"/>
    <w:multiLevelType w:val="hybridMultilevel"/>
    <w:tmpl w:val="AA1809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77484489"/>
    <w:multiLevelType w:val="hybridMultilevel"/>
    <w:tmpl w:val="158869FA"/>
    <w:lvl w:ilvl="0" w:tplc="00000004">
      <w:numFmt w:val="bullet"/>
      <w:lvlText w:val="-"/>
      <w:lvlJc w:val="left"/>
      <w:pPr>
        <w:ind w:left="720" w:hanging="360"/>
      </w:pPr>
      <w:rPr>
        <w:rFonts w:ascii="Times New Roman" w:hAnsi="Times New Roman" w:cs="Times New Roman"/>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784D033C"/>
    <w:multiLevelType w:val="multilevel"/>
    <w:tmpl w:val="74AA22CC"/>
    <w:lvl w:ilvl="0">
      <w:start w:val="1"/>
      <w:numFmt w:val="decimal"/>
      <w:pStyle w:val="PBACHeading1"/>
      <w:lvlText w:val="%1"/>
      <w:lvlJc w:val="left"/>
      <w:pPr>
        <w:ind w:left="720" w:hanging="720"/>
      </w:pPr>
      <w:rPr>
        <w:rFonts w:hint="default"/>
        <w:b/>
        <w:i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nsid w:val="7A4904F3"/>
    <w:multiLevelType w:val="hybridMultilevel"/>
    <w:tmpl w:val="01E4DE4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4"/>
  </w:num>
  <w:num w:numId="2">
    <w:abstractNumId w:val="17"/>
  </w:num>
  <w:num w:numId="3">
    <w:abstractNumId w:val="30"/>
  </w:num>
  <w:num w:numId="4">
    <w:abstractNumId w:val="23"/>
  </w:num>
  <w:num w:numId="5">
    <w:abstractNumId w:val="29"/>
  </w:num>
  <w:num w:numId="6">
    <w:abstractNumId w:val="5"/>
  </w:num>
  <w:num w:numId="7">
    <w:abstractNumId w:val="24"/>
  </w:num>
  <w:num w:numId="8">
    <w:abstractNumId w:val="2"/>
  </w:num>
  <w:num w:numId="9">
    <w:abstractNumId w:val="9"/>
  </w:num>
  <w:num w:numId="10">
    <w:abstractNumId w:val="3"/>
  </w:num>
  <w:num w:numId="11">
    <w:abstractNumId w:val="19"/>
  </w:num>
  <w:num w:numId="12">
    <w:abstractNumId w:val="28"/>
  </w:num>
  <w:num w:numId="13">
    <w:abstractNumId w:val="11"/>
  </w:num>
  <w:num w:numId="14">
    <w:abstractNumId w:val="27"/>
  </w:num>
  <w:num w:numId="15">
    <w:abstractNumId w:val="20"/>
  </w:num>
  <w:num w:numId="16">
    <w:abstractNumId w:val="13"/>
  </w:num>
  <w:num w:numId="17">
    <w:abstractNumId w:val="8"/>
  </w:num>
  <w:num w:numId="18">
    <w:abstractNumId w:val="16"/>
  </w:num>
  <w:num w:numId="19">
    <w:abstractNumId w:val="25"/>
  </w:num>
  <w:num w:numId="20">
    <w:abstractNumId w:val="4"/>
  </w:num>
  <w:num w:numId="21">
    <w:abstractNumId w:val="12"/>
  </w:num>
  <w:num w:numId="22">
    <w:abstractNumId w:val="7"/>
  </w:num>
  <w:num w:numId="23">
    <w:abstractNumId w:val="31"/>
  </w:num>
  <w:num w:numId="24">
    <w:abstractNumId w:val="26"/>
  </w:num>
  <w:num w:numId="25">
    <w:abstractNumId w:val="30"/>
  </w:num>
  <w:num w:numId="26">
    <w:abstractNumId w:val="6"/>
  </w:num>
  <w:num w:numId="27">
    <w:abstractNumId w:val="18"/>
  </w:num>
  <w:num w:numId="28">
    <w:abstractNumId w:val="21"/>
  </w:num>
  <w:num w:numId="29">
    <w:abstractNumId w:val="22"/>
  </w:num>
  <w:num w:numId="30">
    <w:abstractNumId w:val="1"/>
  </w:num>
  <w:num w:numId="31">
    <w:abstractNumId w:val="0"/>
  </w:num>
  <w:num w:numId="32">
    <w:abstractNumId w:val="10"/>
  </w:num>
  <w:num w:numId="33">
    <w:abstractNumId w:val="15"/>
  </w:num>
  <w:num w:numId="34">
    <w:abstractNumId w:val="30"/>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eter Grimison">
    <w15:presenceInfo w15:providerId="AD" w15:userId="S-1-5-21-4175918418-1886762679-246317849-5543"/>
  </w15:person>
  <w15:person w15:author="Robyn Ward">
    <w15:presenceInfo w15:providerId="Windows Live" w15:userId="2f8c0452c87ad3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E79"/>
    <w:rsid w:val="00000790"/>
    <w:rsid w:val="0000110B"/>
    <w:rsid w:val="00003499"/>
    <w:rsid w:val="00003844"/>
    <w:rsid w:val="00004139"/>
    <w:rsid w:val="0000422D"/>
    <w:rsid w:val="0000601F"/>
    <w:rsid w:val="0000715F"/>
    <w:rsid w:val="00010EA6"/>
    <w:rsid w:val="00012114"/>
    <w:rsid w:val="00012436"/>
    <w:rsid w:val="0001279D"/>
    <w:rsid w:val="00013247"/>
    <w:rsid w:val="00015506"/>
    <w:rsid w:val="00015613"/>
    <w:rsid w:val="00015886"/>
    <w:rsid w:val="00015BB2"/>
    <w:rsid w:val="00015C25"/>
    <w:rsid w:val="000162EF"/>
    <w:rsid w:val="00020BAA"/>
    <w:rsid w:val="0002225F"/>
    <w:rsid w:val="00023763"/>
    <w:rsid w:val="00024AD1"/>
    <w:rsid w:val="00025391"/>
    <w:rsid w:val="000254A9"/>
    <w:rsid w:val="00026041"/>
    <w:rsid w:val="0002651F"/>
    <w:rsid w:val="00026B24"/>
    <w:rsid w:val="000270B1"/>
    <w:rsid w:val="0002742C"/>
    <w:rsid w:val="00030BED"/>
    <w:rsid w:val="00031485"/>
    <w:rsid w:val="00031C3E"/>
    <w:rsid w:val="0003250C"/>
    <w:rsid w:val="000334DD"/>
    <w:rsid w:val="000338B1"/>
    <w:rsid w:val="00033AB1"/>
    <w:rsid w:val="00033B06"/>
    <w:rsid w:val="00033E85"/>
    <w:rsid w:val="000353D2"/>
    <w:rsid w:val="000357FB"/>
    <w:rsid w:val="00035C0B"/>
    <w:rsid w:val="00036D2B"/>
    <w:rsid w:val="000375D0"/>
    <w:rsid w:val="00040895"/>
    <w:rsid w:val="00041FB6"/>
    <w:rsid w:val="0004387B"/>
    <w:rsid w:val="00043C37"/>
    <w:rsid w:val="00045016"/>
    <w:rsid w:val="00046460"/>
    <w:rsid w:val="000505B6"/>
    <w:rsid w:val="000518C6"/>
    <w:rsid w:val="00051D46"/>
    <w:rsid w:val="000521E3"/>
    <w:rsid w:val="000525E5"/>
    <w:rsid w:val="00052BBB"/>
    <w:rsid w:val="000532BA"/>
    <w:rsid w:val="00053534"/>
    <w:rsid w:val="000539D8"/>
    <w:rsid w:val="00053CDC"/>
    <w:rsid w:val="000545E0"/>
    <w:rsid w:val="000546D7"/>
    <w:rsid w:val="00054C5A"/>
    <w:rsid w:val="000561BE"/>
    <w:rsid w:val="00057909"/>
    <w:rsid w:val="00060C7E"/>
    <w:rsid w:val="0006168E"/>
    <w:rsid w:val="0006352C"/>
    <w:rsid w:val="00063BF8"/>
    <w:rsid w:val="00064500"/>
    <w:rsid w:val="0006461A"/>
    <w:rsid w:val="000658FA"/>
    <w:rsid w:val="00065A6B"/>
    <w:rsid w:val="00065D52"/>
    <w:rsid w:val="000667C0"/>
    <w:rsid w:val="000673F5"/>
    <w:rsid w:val="0006768F"/>
    <w:rsid w:val="00067FF7"/>
    <w:rsid w:val="00071248"/>
    <w:rsid w:val="00071DDA"/>
    <w:rsid w:val="000720B9"/>
    <w:rsid w:val="00072FA7"/>
    <w:rsid w:val="00073409"/>
    <w:rsid w:val="000739BA"/>
    <w:rsid w:val="00073C05"/>
    <w:rsid w:val="00075691"/>
    <w:rsid w:val="00075BAA"/>
    <w:rsid w:val="0007714E"/>
    <w:rsid w:val="000812CA"/>
    <w:rsid w:val="00081FDA"/>
    <w:rsid w:val="00082049"/>
    <w:rsid w:val="00082A05"/>
    <w:rsid w:val="00083E43"/>
    <w:rsid w:val="0008467A"/>
    <w:rsid w:val="000848DB"/>
    <w:rsid w:val="0008658E"/>
    <w:rsid w:val="00090673"/>
    <w:rsid w:val="00090C7E"/>
    <w:rsid w:val="00092412"/>
    <w:rsid w:val="00094195"/>
    <w:rsid w:val="00095270"/>
    <w:rsid w:val="00095511"/>
    <w:rsid w:val="00095936"/>
    <w:rsid w:val="00095D4C"/>
    <w:rsid w:val="00096077"/>
    <w:rsid w:val="00097104"/>
    <w:rsid w:val="000973C1"/>
    <w:rsid w:val="000A0DC3"/>
    <w:rsid w:val="000A142D"/>
    <w:rsid w:val="000A1A95"/>
    <w:rsid w:val="000A1F4E"/>
    <w:rsid w:val="000A248C"/>
    <w:rsid w:val="000A2715"/>
    <w:rsid w:val="000A2F9E"/>
    <w:rsid w:val="000A409E"/>
    <w:rsid w:val="000A4B91"/>
    <w:rsid w:val="000A50DD"/>
    <w:rsid w:val="000A540E"/>
    <w:rsid w:val="000A57AE"/>
    <w:rsid w:val="000A58C1"/>
    <w:rsid w:val="000A7A5B"/>
    <w:rsid w:val="000B0264"/>
    <w:rsid w:val="000B0673"/>
    <w:rsid w:val="000B0EAA"/>
    <w:rsid w:val="000B1C26"/>
    <w:rsid w:val="000B1F95"/>
    <w:rsid w:val="000B3357"/>
    <w:rsid w:val="000B358A"/>
    <w:rsid w:val="000B3C03"/>
    <w:rsid w:val="000B481C"/>
    <w:rsid w:val="000B4FD3"/>
    <w:rsid w:val="000C0334"/>
    <w:rsid w:val="000C0838"/>
    <w:rsid w:val="000C32C8"/>
    <w:rsid w:val="000C4071"/>
    <w:rsid w:val="000C41AF"/>
    <w:rsid w:val="000C427F"/>
    <w:rsid w:val="000C4D47"/>
    <w:rsid w:val="000C7A49"/>
    <w:rsid w:val="000D0182"/>
    <w:rsid w:val="000D027C"/>
    <w:rsid w:val="000D1BFC"/>
    <w:rsid w:val="000D50F8"/>
    <w:rsid w:val="000D5D0D"/>
    <w:rsid w:val="000D60D4"/>
    <w:rsid w:val="000D666C"/>
    <w:rsid w:val="000D7912"/>
    <w:rsid w:val="000E06BD"/>
    <w:rsid w:val="000E0BBE"/>
    <w:rsid w:val="000E29A5"/>
    <w:rsid w:val="000E5845"/>
    <w:rsid w:val="000E6CCC"/>
    <w:rsid w:val="000F03BA"/>
    <w:rsid w:val="000F10B0"/>
    <w:rsid w:val="000F1296"/>
    <w:rsid w:val="000F24F6"/>
    <w:rsid w:val="000F27D0"/>
    <w:rsid w:val="000F3857"/>
    <w:rsid w:val="000F4611"/>
    <w:rsid w:val="000F4BB8"/>
    <w:rsid w:val="000F5C89"/>
    <w:rsid w:val="000F7127"/>
    <w:rsid w:val="000F747F"/>
    <w:rsid w:val="00100F8A"/>
    <w:rsid w:val="001011FE"/>
    <w:rsid w:val="00101415"/>
    <w:rsid w:val="00101D8D"/>
    <w:rsid w:val="0010248F"/>
    <w:rsid w:val="001026E7"/>
    <w:rsid w:val="00102F5F"/>
    <w:rsid w:val="00103B5A"/>
    <w:rsid w:val="00103EE9"/>
    <w:rsid w:val="0011032E"/>
    <w:rsid w:val="00111658"/>
    <w:rsid w:val="001126FC"/>
    <w:rsid w:val="0011348B"/>
    <w:rsid w:val="0011424E"/>
    <w:rsid w:val="001143DD"/>
    <w:rsid w:val="00114FEE"/>
    <w:rsid w:val="001152B6"/>
    <w:rsid w:val="001156D6"/>
    <w:rsid w:val="00116402"/>
    <w:rsid w:val="00116562"/>
    <w:rsid w:val="00116A10"/>
    <w:rsid w:val="00117C1F"/>
    <w:rsid w:val="00117DED"/>
    <w:rsid w:val="00120BAC"/>
    <w:rsid w:val="0012128B"/>
    <w:rsid w:val="00121799"/>
    <w:rsid w:val="00121B1C"/>
    <w:rsid w:val="001222FC"/>
    <w:rsid w:val="001226EB"/>
    <w:rsid w:val="00123340"/>
    <w:rsid w:val="00123B3E"/>
    <w:rsid w:val="00124351"/>
    <w:rsid w:val="00124A51"/>
    <w:rsid w:val="0012583A"/>
    <w:rsid w:val="00125A72"/>
    <w:rsid w:val="001263BB"/>
    <w:rsid w:val="00126621"/>
    <w:rsid w:val="00127A1A"/>
    <w:rsid w:val="00127BE0"/>
    <w:rsid w:val="00127D8E"/>
    <w:rsid w:val="001301E9"/>
    <w:rsid w:val="00130855"/>
    <w:rsid w:val="00130857"/>
    <w:rsid w:val="00131572"/>
    <w:rsid w:val="00131763"/>
    <w:rsid w:val="0013215A"/>
    <w:rsid w:val="00132D0C"/>
    <w:rsid w:val="00133F13"/>
    <w:rsid w:val="001340B2"/>
    <w:rsid w:val="00134439"/>
    <w:rsid w:val="00136610"/>
    <w:rsid w:val="00136812"/>
    <w:rsid w:val="00137645"/>
    <w:rsid w:val="00137C97"/>
    <w:rsid w:val="00137E94"/>
    <w:rsid w:val="0014015A"/>
    <w:rsid w:val="001405D8"/>
    <w:rsid w:val="001405FE"/>
    <w:rsid w:val="00140ABC"/>
    <w:rsid w:val="00140E99"/>
    <w:rsid w:val="0014108C"/>
    <w:rsid w:val="001416C4"/>
    <w:rsid w:val="0014255F"/>
    <w:rsid w:val="001430D2"/>
    <w:rsid w:val="001435E8"/>
    <w:rsid w:val="001436F8"/>
    <w:rsid w:val="001437C0"/>
    <w:rsid w:val="00143AAD"/>
    <w:rsid w:val="00144212"/>
    <w:rsid w:val="00144C81"/>
    <w:rsid w:val="00145540"/>
    <w:rsid w:val="001456B0"/>
    <w:rsid w:val="00146FEE"/>
    <w:rsid w:val="0014752D"/>
    <w:rsid w:val="0014799F"/>
    <w:rsid w:val="001501E7"/>
    <w:rsid w:val="0015043B"/>
    <w:rsid w:val="00151044"/>
    <w:rsid w:val="00152041"/>
    <w:rsid w:val="001527DA"/>
    <w:rsid w:val="00152D7C"/>
    <w:rsid w:val="00153DF6"/>
    <w:rsid w:val="00155D62"/>
    <w:rsid w:val="00157130"/>
    <w:rsid w:val="00157456"/>
    <w:rsid w:val="00161B4D"/>
    <w:rsid w:val="00162913"/>
    <w:rsid w:val="00163594"/>
    <w:rsid w:val="00163EFF"/>
    <w:rsid w:val="00164039"/>
    <w:rsid w:val="00164336"/>
    <w:rsid w:val="00165E86"/>
    <w:rsid w:val="001661FB"/>
    <w:rsid w:val="001672D2"/>
    <w:rsid w:val="0016733D"/>
    <w:rsid w:val="001679FB"/>
    <w:rsid w:val="00167E27"/>
    <w:rsid w:val="00170EA7"/>
    <w:rsid w:val="00171AF0"/>
    <w:rsid w:val="001723D6"/>
    <w:rsid w:val="00173765"/>
    <w:rsid w:val="001743EC"/>
    <w:rsid w:val="00177A5B"/>
    <w:rsid w:val="0018097D"/>
    <w:rsid w:val="00181977"/>
    <w:rsid w:val="00181B83"/>
    <w:rsid w:val="00183429"/>
    <w:rsid w:val="0018392B"/>
    <w:rsid w:val="00183BD2"/>
    <w:rsid w:val="00185944"/>
    <w:rsid w:val="001860BF"/>
    <w:rsid w:val="0018752F"/>
    <w:rsid w:val="0018772B"/>
    <w:rsid w:val="00192872"/>
    <w:rsid w:val="00192D5B"/>
    <w:rsid w:val="00194A06"/>
    <w:rsid w:val="00195222"/>
    <w:rsid w:val="00195488"/>
    <w:rsid w:val="001975D8"/>
    <w:rsid w:val="0019765C"/>
    <w:rsid w:val="001A16A0"/>
    <w:rsid w:val="001A22D1"/>
    <w:rsid w:val="001A2B79"/>
    <w:rsid w:val="001A4F3F"/>
    <w:rsid w:val="001A572D"/>
    <w:rsid w:val="001A5C76"/>
    <w:rsid w:val="001A5D1D"/>
    <w:rsid w:val="001A71BF"/>
    <w:rsid w:val="001A7DAD"/>
    <w:rsid w:val="001B258E"/>
    <w:rsid w:val="001B2744"/>
    <w:rsid w:val="001B3443"/>
    <w:rsid w:val="001B3573"/>
    <w:rsid w:val="001B4BC2"/>
    <w:rsid w:val="001B5A18"/>
    <w:rsid w:val="001B67B4"/>
    <w:rsid w:val="001B7F2F"/>
    <w:rsid w:val="001C049F"/>
    <w:rsid w:val="001C04FF"/>
    <w:rsid w:val="001C1AD8"/>
    <w:rsid w:val="001C43EF"/>
    <w:rsid w:val="001C4A49"/>
    <w:rsid w:val="001C5863"/>
    <w:rsid w:val="001C59FD"/>
    <w:rsid w:val="001C5A98"/>
    <w:rsid w:val="001C604B"/>
    <w:rsid w:val="001C6E66"/>
    <w:rsid w:val="001C774C"/>
    <w:rsid w:val="001C791E"/>
    <w:rsid w:val="001D19EA"/>
    <w:rsid w:val="001D2B21"/>
    <w:rsid w:val="001D563D"/>
    <w:rsid w:val="001D59E4"/>
    <w:rsid w:val="001D5E3F"/>
    <w:rsid w:val="001D6F7A"/>
    <w:rsid w:val="001D71A1"/>
    <w:rsid w:val="001E238E"/>
    <w:rsid w:val="001E2B1E"/>
    <w:rsid w:val="001E2BEF"/>
    <w:rsid w:val="001E383D"/>
    <w:rsid w:val="001E398A"/>
    <w:rsid w:val="001E3C36"/>
    <w:rsid w:val="001E45AB"/>
    <w:rsid w:val="001E52EB"/>
    <w:rsid w:val="001E669F"/>
    <w:rsid w:val="001E670D"/>
    <w:rsid w:val="001E740C"/>
    <w:rsid w:val="001E75BE"/>
    <w:rsid w:val="001E783E"/>
    <w:rsid w:val="001F0719"/>
    <w:rsid w:val="001F0B8C"/>
    <w:rsid w:val="001F1235"/>
    <w:rsid w:val="001F1CB3"/>
    <w:rsid w:val="001F31FF"/>
    <w:rsid w:val="001F32FC"/>
    <w:rsid w:val="001F400F"/>
    <w:rsid w:val="001F4BF9"/>
    <w:rsid w:val="001F60BA"/>
    <w:rsid w:val="001F6E17"/>
    <w:rsid w:val="001F6F8C"/>
    <w:rsid w:val="001F7361"/>
    <w:rsid w:val="001F7535"/>
    <w:rsid w:val="00200930"/>
    <w:rsid w:val="00201591"/>
    <w:rsid w:val="00201CFD"/>
    <w:rsid w:val="002024A0"/>
    <w:rsid w:val="00202765"/>
    <w:rsid w:val="0020378F"/>
    <w:rsid w:val="0020385F"/>
    <w:rsid w:val="002041A8"/>
    <w:rsid w:val="00204548"/>
    <w:rsid w:val="00204587"/>
    <w:rsid w:val="00204825"/>
    <w:rsid w:val="00204BEB"/>
    <w:rsid w:val="00207021"/>
    <w:rsid w:val="002073FE"/>
    <w:rsid w:val="00207837"/>
    <w:rsid w:val="00207D00"/>
    <w:rsid w:val="002105C1"/>
    <w:rsid w:val="00211A50"/>
    <w:rsid w:val="00211D23"/>
    <w:rsid w:val="002132D0"/>
    <w:rsid w:val="00213403"/>
    <w:rsid w:val="002141DF"/>
    <w:rsid w:val="00214AE7"/>
    <w:rsid w:val="00214FBF"/>
    <w:rsid w:val="00216112"/>
    <w:rsid w:val="0021732F"/>
    <w:rsid w:val="00217485"/>
    <w:rsid w:val="0021748D"/>
    <w:rsid w:val="002202B5"/>
    <w:rsid w:val="002212A1"/>
    <w:rsid w:val="00223B49"/>
    <w:rsid w:val="00224DD4"/>
    <w:rsid w:val="002255EA"/>
    <w:rsid w:val="002270FB"/>
    <w:rsid w:val="0022776F"/>
    <w:rsid w:val="00230476"/>
    <w:rsid w:val="002305F2"/>
    <w:rsid w:val="002309B0"/>
    <w:rsid w:val="002309CC"/>
    <w:rsid w:val="00231658"/>
    <w:rsid w:val="0023185D"/>
    <w:rsid w:val="00231869"/>
    <w:rsid w:val="00231CEA"/>
    <w:rsid w:val="00231F63"/>
    <w:rsid w:val="0023289C"/>
    <w:rsid w:val="00232DDC"/>
    <w:rsid w:val="0023387F"/>
    <w:rsid w:val="00235F13"/>
    <w:rsid w:val="00237FAF"/>
    <w:rsid w:val="00240B68"/>
    <w:rsid w:val="00240BB0"/>
    <w:rsid w:val="0024158A"/>
    <w:rsid w:val="0024168C"/>
    <w:rsid w:val="002444BD"/>
    <w:rsid w:val="00244646"/>
    <w:rsid w:val="00245850"/>
    <w:rsid w:val="00245A45"/>
    <w:rsid w:val="00246033"/>
    <w:rsid w:val="00246F39"/>
    <w:rsid w:val="002475C2"/>
    <w:rsid w:val="002479D6"/>
    <w:rsid w:val="00250884"/>
    <w:rsid w:val="002512D4"/>
    <w:rsid w:val="00252F26"/>
    <w:rsid w:val="00253B18"/>
    <w:rsid w:val="00254084"/>
    <w:rsid w:val="00254BE5"/>
    <w:rsid w:val="00254D58"/>
    <w:rsid w:val="00254DCF"/>
    <w:rsid w:val="0025534B"/>
    <w:rsid w:val="00255650"/>
    <w:rsid w:val="00255BB7"/>
    <w:rsid w:val="00256ED8"/>
    <w:rsid w:val="00257103"/>
    <w:rsid w:val="00257951"/>
    <w:rsid w:val="00260DB2"/>
    <w:rsid w:val="00260DC3"/>
    <w:rsid w:val="002611FF"/>
    <w:rsid w:val="00262A87"/>
    <w:rsid w:val="002637C5"/>
    <w:rsid w:val="002644DE"/>
    <w:rsid w:val="00265B52"/>
    <w:rsid w:val="002667AD"/>
    <w:rsid w:val="00266924"/>
    <w:rsid w:val="0026699A"/>
    <w:rsid w:val="00266C08"/>
    <w:rsid w:val="002671C9"/>
    <w:rsid w:val="00271FA8"/>
    <w:rsid w:val="00272428"/>
    <w:rsid w:val="002733BF"/>
    <w:rsid w:val="00273E69"/>
    <w:rsid w:val="00274210"/>
    <w:rsid w:val="002747C2"/>
    <w:rsid w:val="00275C5A"/>
    <w:rsid w:val="00276672"/>
    <w:rsid w:val="00276847"/>
    <w:rsid w:val="00276D21"/>
    <w:rsid w:val="00277DAC"/>
    <w:rsid w:val="00277DE6"/>
    <w:rsid w:val="00280E22"/>
    <w:rsid w:val="00281014"/>
    <w:rsid w:val="00283D9A"/>
    <w:rsid w:val="00284C92"/>
    <w:rsid w:val="00285903"/>
    <w:rsid w:val="0028590A"/>
    <w:rsid w:val="00285C64"/>
    <w:rsid w:val="00287CFC"/>
    <w:rsid w:val="002904CD"/>
    <w:rsid w:val="00290630"/>
    <w:rsid w:val="002908A8"/>
    <w:rsid w:val="00291973"/>
    <w:rsid w:val="00291DE5"/>
    <w:rsid w:val="00291FF6"/>
    <w:rsid w:val="00294BB3"/>
    <w:rsid w:val="002957E2"/>
    <w:rsid w:val="00295913"/>
    <w:rsid w:val="00296000"/>
    <w:rsid w:val="0029671A"/>
    <w:rsid w:val="002A05D2"/>
    <w:rsid w:val="002A14AB"/>
    <w:rsid w:val="002A1C3C"/>
    <w:rsid w:val="002A389B"/>
    <w:rsid w:val="002A42CC"/>
    <w:rsid w:val="002A61F0"/>
    <w:rsid w:val="002A6D49"/>
    <w:rsid w:val="002B0160"/>
    <w:rsid w:val="002B04A9"/>
    <w:rsid w:val="002B0BEE"/>
    <w:rsid w:val="002B1C1F"/>
    <w:rsid w:val="002B3CD6"/>
    <w:rsid w:val="002B41A9"/>
    <w:rsid w:val="002B432F"/>
    <w:rsid w:val="002B490F"/>
    <w:rsid w:val="002B4CB7"/>
    <w:rsid w:val="002B4DC0"/>
    <w:rsid w:val="002B525F"/>
    <w:rsid w:val="002B5C58"/>
    <w:rsid w:val="002B66E8"/>
    <w:rsid w:val="002B6CCE"/>
    <w:rsid w:val="002B76E1"/>
    <w:rsid w:val="002B78CA"/>
    <w:rsid w:val="002C0974"/>
    <w:rsid w:val="002C1AD4"/>
    <w:rsid w:val="002C2775"/>
    <w:rsid w:val="002C27C1"/>
    <w:rsid w:val="002C2D87"/>
    <w:rsid w:val="002C37A2"/>
    <w:rsid w:val="002C4527"/>
    <w:rsid w:val="002C4DC7"/>
    <w:rsid w:val="002C5120"/>
    <w:rsid w:val="002C53A3"/>
    <w:rsid w:val="002C5479"/>
    <w:rsid w:val="002C7105"/>
    <w:rsid w:val="002D1ACE"/>
    <w:rsid w:val="002D1C43"/>
    <w:rsid w:val="002D24AA"/>
    <w:rsid w:val="002D2687"/>
    <w:rsid w:val="002D2848"/>
    <w:rsid w:val="002D3676"/>
    <w:rsid w:val="002D36DF"/>
    <w:rsid w:val="002D39E4"/>
    <w:rsid w:val="002D4974"/>
    <w:rsid w:val="002D4B67"/>
    <w:rsid w:val="002D5756"/>
    <w:rsid w:val="002D6020"/>
    <w:rsid w:val="002D7270"/>
    <w:rsid w:val="002D7567"/>
    <w:rsid w:val="002E04EA"/>
    <w:rsid w:val="002E28BF"/>
    <w:rsid w:val="002E2F8D"/>
    <w:rsid w:val="002E3D9A"/>
    <w:rsid w:val="002E406B"/>
    <w:rsid w:val="002E68FB"/>
    <w:rsid w:val="002E6A08"/>
    <w:rsid w:val="002E6D52"/>
    <w:rsid w:val="002E7015"/>
    <w:rsid w:val="002E78C8"/>
    <w:rsid w:val="002F0778"/>
    <w:rsid w:val="002F07FA"/>
    <w:rsid w:val="002F1961"/>
    <w:rsid w:val="002F1AD3"/>
    <w:rsid w:val="002F2C3B"/>
    <w:rsid w:val="002F3057"/>
    <w:rsid w:val="002F5017"/>
    <w:rsid w:val="002F63C5"/>
    <w:rsid w:val="002F6C4E"/>
    <w:rsid w:val="002F7EB1"/>
    <w:rsid w:val="00300F66"/>
    <w:rsid w:val="00301017"/>
    <w:rsid w:val="00301DD2"/>
    <w:rsid w:val="00302CBE"/>
    <w:rsid w:val="0030478B"/>
    <w:rsid w:val="003057C1"/>
    <w:rsid w:val="00305E55"/>
    <w:rsid w:val="0030786C"/>
    <w:rsid w:val="003079C0"/>
    <w:rsid w:val="0031031A"/>
    <w:rsid w:val="00310981"/>
    <w:rsid w:val="00310B0D"/>
    <w:rsid w:val="00311FA0"/>
    <w:rsid w:val="00312429"/>
    <w:rsid w:val="0031284A"/>
    <w:rsid w:val="00313573"/>
    <w:rsid w:val="0031374B"/>
    <w:rsid w:val="00314F91"/>
    <w:rsid w:val="00315498"/>
    <w:rsid w:val="00320B23"/>
    <w:rsid w:val="003233D3"/>
    <w:rsid w:val="00324B68"/>
    <w:rsid w:val="00324E71"/>
    <w:rsid w:val="00324F89"/>
    <w:rsid w:val="0032625E"/>
    <w:rsid w:val="00326E9D"/>
    <w:rsid w:val="003309C8"/>
    <w:rsid w:val="00331BF0"/>
    <w:rsid w:val="00331F7F"/>
    <w:rsid w:val="00335877"/>
    <w:rsid w:val="00335CEB"/>
    <w:rsid w:val="00335DE6"/>
    <w:rsid w:val="0033606D"/>
    <w:rsid w:val="003361F8"/>
    <w:rsid w:val="003366C9"/>
    <w:rsid w:val="003371B0"/>
    <w:rsid w:val="0034046F"/>
    <w:rsid w:val="00341744"/>
    <w:rsid w:val="00343F27"/>
    <w:rsid w:val="00344986"/>
    <w:rsid w:val="0034595B"/>
    <w:rsid w:val="00345AE2"/>
    <w:rsid w:val="003466E1"/>
    <w:rsid w:val="00346EFC"/>
    <w:rsid w:val="0035150D"/>
    <w:rsid w:val="00351530"/>
    <w:rsid w:val="00352EBA"/>
    <w:rsid w:val="003533F1"/>
    <w:rsid w:val="0035347E"/>
    <w:rsid w:val="00353896"/>
    <w:rsid w:val="0035620E"/>
    <w:rsid w:val="00360E88"/>
    <w:rsid w:val="00363486"/>
    <w:rsid w:val="00363644"/>
    <w:rsid w:val="0036457A"/>
    <w:rsid w:val="003646B9"/>
    <w:rsid w:val="00364DCD"/>
    <w:rsid w:val="00365825"/>
    <w:rsid w:val="00366453"/>
    <w:rsid w:val="00366BBD"/>
    <w:rsid w:val="00370202"/>
    <w:rsid w:val="00370485"/>
    <w:rsid w:val="00370F4C"/>
    <w:rsid w:val="003713E2"/>
    <w:rsid w:val="00371519"/>
    <w:rsid w:val="00374381"/>
    <w:rsid w:val="003748B4"/>
    <w:rsid w:val="00374972"/>
    <w:rsid w:val="00374ACA"/>
    <w:rsid w:val="003752E9"/>
    <w:rsid w:val="00375883"/>
    <w:rsid w:val="00375939"/>
    <w:rsid w:val="003764E9"/>
    <w:rsid w:val="00377B79"/>
    <w:rsid w:val="00381ADA"/>
    <w:rsid w:val="00382ACD"/>
    <w:rsid w:val="00382D0B"/>
    <w:rsid w:val="00383515"/>
    <w:rsid w:val="0038365C"/>
    <w:rsid w:val="00385536"/>
    <w:rsid w:val="003855BE"/>
    <w:rsid w:val="00385B32"/>
    <w:rsid w:val="003870F1"/>
    <w:rsid w:val="00387DBE"/>
    <w:rsid w:val="0039007E"/>
    <w:rsid w:val="00390084"/>
    <w:rsid w:val="00394EA9"/>
    <w:rsid w:val="003962D6"/>
    <w:rsid w:val="00396662"/>
    <w:rsid w:val="00396FD0"/>
    <w:rsid w:val="003A04AC"/>
    <w:rsid w:val="003A1A7A"/>
    <w:rsid w:val="003A28BC"/>
    <w:rsid w:val="003A3413"/>
    <w:rsid w:val="003A427D"/>
    <w:rsid w:val="003A4799"/>
    <w:rsid w:val="003A4BAF"/>
    <w:rsid w:val="003A5561"/>
    <w:rsid w:val="003A5839"/>
    <w:rsid w:val="003A5A55"/>
    <w:rsid w:val="003A5C2C"/>
    <w:rsid w:val="003A5CA1"/>
    <w:rsid w:val="003A612B"/>
    <w:rsid w:val="003B0A33"/>
    <w:rsid w:val="003B120A"/>
    <w:rsid w:val="003B143C"/>
    <w:rsid w:val="003B25FF"/>
    <w:rsid w:val="003B314D"/>
    <w:rsid w:val="003B3435"/>
    <w:rsid w:val="003B35D8"/>
    <w:rsid w:val="003B39D4"/>
    <w:rsid w:val="003B40F7"/>
    <w:rsid w:val="003B4926"/>
    <w:rsid w:val="003B5165"/>
    <w:rsid w:val="003B577E"/>
    <w:rsid w:val="003B610E"/>
    <w:rsid w:val="003C16E2"/>
    <w:rsid w:val="003C17DE"/>
    <w:rsid w:val="003C46C0"/>
    <w:rsid w:val="003C67EA"/>
    <w:rsid w:val="003C6DB9"/>
    <w:rsid w:val="003D0360"/>
    <w:rsid w:val="003D0EA5"/>
    <w:rsid w:val="003D12FD"/>
    <w:rsid w:val="003D1828"/>
    <w:rsid w:val="003D238D"/>
    <w:rsid w:val="003D2422"/>
    <w:rsid w:val="003D288D"/>
    <w:rsid w:val="003D3522"/>
    <w:rsid w:val="003D46C8"/>
    <w:rsid w:val="003D4EEA"/>
    <w:rsid w:val="003D5DA5"/>
    <w:rsid w:val="003E13CB"/>
    <w:rsid w:val="003E17E9"/>
    <w:rsid w:val="003E2053"/>
    <w:rsid w:val="003E23F3"/>
    <w:rsid w:val="003E2463"/>
    <w:rsid w:val="003E3AA4"/>
    <w:rsid w:val="003E3EE9"/>
    <w:rsid w:val="003E482B"/>
    <w:rsid w:val="003E6798"/>
    <w:rsid w:val="003E6D1F"/>
    <w:rsid w:val="003F0644"/>
    <w:rsid w:val="003F2BB2"/>
    <w:rsid w:val="003F2C52"/>
    <w:rsid w:val="003F3714"/>
    <w:rsid w:val="003F4156"/>
    <w:rsid w:val="003F437F"/>
    <w:rsid w:val="003F50FD"/>
    <w:rsid w:val="003F5D77"/>
    <w:rsid w:val="003F647D"/>
    <w:rsid w:val="003F6DDB"/>
    <w:rsid w:val="003F6E77"/>
    <w:rsid w:val="003F7F01"/>
    <w:rsid w:val="00400146"/>
    <w:rsid w:val="00400181"/>
    <w:rsid w:val="0040355A"/>
    <w:rsid w:val="0040382E"/>
    <w:rsid w:val="004040FC"/>
    <w:rsid w:val="004045BB"/>
    <w:rsid w:val="0040487B"/>
    <w:rsid w:val="004049BD"/>
    <w:rsid w:val="00405BC2"/>
    <w:rsid w:val="00406832"/>
    <w:rsid w:val="0040749F"/>
    <w:rsid w:val="004100F7"/>
    <w:rsid w:val="00410372"/>
    <w:rsid w:val="00410708"/>
    <w:rsid w:val="00410EC7"/>
    <w:rsid w:val="004111DE"/>
    <w:rsid w:val="00411846"/>
    <w:rsid w:val="00412405"/>
    <w:rsid w:val="00412459"/>
    <w:rsid w:val="00412F7B"/>
    <w:rsid w:val="00413170"/>
    <w:rsid w:val="004133A1"/>
    <w:rsid w:val="004142B3"/>
    <w:rsid w:val="00414476"/>
    <w:rsid w:val="00414BC4"/>
    <w:rsid w:val="00416CAF"/>
    <w:rsid w:val="00420B9F"/>
    <w:rsid w:val="004220B7"/>
    <w:rsid w:val="00423454"/>
    <w:rsid w:val="00423838"/>
    <w:rsid w:val="00424075"/>
    <w:rsid w:val="00424190"/>
    <w:rsid w:val="00425A99"/>
    <w:rsid w:val="004270C1"/>
    <w:rsid w:val="0042710C"/>
    <w:rsid w:val="00427C5D"/>
    <w:rsid w:val="004305E8"/>
    <w:rsid w:val="00430B7D"/>
    <w:rsid w:val="004312ED"/>
    <w:rsid w:val="004319F8"/>
    <w:rsid w:val="0043245D"/>
    <w:rsid w:val="00433044"/>
    <w:rsid w:val="0043344F"/>
    <w:rsid w:val="00433BA3"/>
    <w:rsid w:val="00434469"/>
    <w:rsid w:val="00434718"/>
    <w:rsid w:val="00435077"/>
    <w:rsid w:val="004367E2"/>
    <w:rsid w:val="00440FD5"/>
    <w:rsid w:val="00441622"/>
    <w:rsid w:val="0044177B"/>
    <w:rsid w:val="00442BB6"/>
    <w:rsid w:val="00443111"/>
    <w:rsid w:val="00443515"/>
    <w:rsid w:val="004443A7"/>
    <w:rsid w:val="00444568"/>
    <w:rsid w:val="004445D4"/>
    <w:rsid w:val="004464EB"/>
    <w:rsid w:val="00446832"/>
    <w:rsid w:val="00450732"/>
    <w:rsid w:val="00452C98"/>
    <w:rsid w:val="00452E29"/>
    <w:rsid w:val="00453195"/>
    <w:rsid w:val="00455751"/>
    <w:rsid w:val="00455D45"/>
    <w:rsid w:val="004561B3"/>
    <w:rsid w:val="004562A5"/>
    <w:rsid w:val="0045657D"/>
    <w:rsid w:val="0045767E"/>
    <w:rsid w:val="00457E94"/>
    <w:rsid w:val="004603FF"/>
    <w:rsid w:val="0046172F"/>
    <w:rsid w:val="00461C47"/>
    <w:rsid w:val="00462263"/>
    <w:rsid w:val="00463C4F"/>
    <w:rsid w:val="00463C51"/>
    <w:rsid w:val="00464595"/>
    <w:rsid w:val="0046649A"/>
    <w:rsid w:val="00466716"/>
    <w:rsid w:val="00466E64"/>
    <w:rsid w:val="00467342"/>
    <w:rsid w:val="00471A3F"/>
    <w:rsid w:val="00471F83"/>
    <w:rsid w:val="0047245B"/>
    <w:rsid w:val="00472E46"/>
    <w:rsid w:val="00474C43"/>
    <w:rsid w:val="00474C55"/>
    <w:rsid w:val="00477FD3"/>
    <w:rsid w:val="00480038"/>
    <w:rsid w:val="00480C4D"/>
    <w:rsid w:val="004823F5"/>
    <w:rsid w:val="00483A26"/>
    <w:rsid w:val="004867E2"/>
    <w:rsid w:val="00486C25"/>
    <w:rsid w:val="00486E3A"/>
    <w:rsid w:val="004870F7"/>
    <w:rsid w:val="00487108"/>
    <w:rsid w:val="0049041A"/>
    <w:rsid w:val="004915AE"/>
    <w:rsid w:val="00491B3A"/>
    <w:rsid w:val="00492ABF"/>
    <w:rsid w:val="00492CFD"/>
    <w:rsid w:val="00493F9F"/>
    <w:rsid w:val="00494161"/>
    <w:rsid w:val="00495CB5"/>
    <w:rsid w:val="004962D2"/>
    <w:rsid w:val="00496E63"/>
    <w:rsid w:val="0049756D"/>
    <w:rsid w:val="004A0A74"/>
    <w:rsid w:val="004A0DA1"/>
    <w:rsid w:val="004A0F9D"/>
    <w:rsid w:val="004A166F"/>
    <w:rsid w:val="004A22AE"/>
    <w:rsid w:val="004A42C5"/>
    <w:rsid w:val="004A504E"/>
    <w:rsid w:val="004A6597"/>
    <w:rsid w:val="004A66A0"/>
    <w:rsid w:val="004A6F27"/>
    <w:rsid w:val="004B07FF"/>
    <w:rsid w:val="004B16B3"/>
    <w:rsid w:val="004B1CB4"/>
    <w:rsid w:val="004B214F"/>
    <w:rsid w:val="004B2DC5"/>
    <w:rsid w:val="004B2F18"/>
    <w:rsid w:val="004B3BCF"/>
    <w:rsid w:val="004B3DDB"/>
    <w:rsid w:val="004B44FD"/>
    <w:rsid w:val="004B4DAC"/>
    <w:rsid w:val="004B4EF1"/>
    <w:rsid w:val="004B5264"/>
    <w:rsid w:val="004B5A4D"/>
    <w:rsid w:val="004B5CFC"/>
    <w:rsid w:val="004B6FF3"/>
    <w:rsid w:val="004B7177"/>
    <w:rsid w:val="004C01AA"/>
    <w:rsid w:val="004C0456"/>
    <w:rsid w:val="004C1893"/>
    <w:rsid w:val="004C1F0A"/>
    <w:rsid w:val="004C24EA"/>
    <w:rsid w:val="004C26BA"/>
    <w:rsid w:val="004C3103"/>
    <w:rsid w:val="004C3AB4"/>
    <w:rsid w:val="004C44B5"/>
    <w:rsid w:val="004C4AED"/>
    <w:rsid w:val="004C59E1"/>
    <w:rsid w:val="004C5DE2"/>
    <w:rsid w:val="004C60AB"/>
    <w:rsid w:val="004C6160"/>
    <w:rsid w:val="004C6A00"/>
    <w:rsid w:val="004C719B"/>
    <w:rsid w:val="004D0183"/>
    <w:rsid w:val="004D099D"/>
    <w:rsid w:val="004D2706"/>
    <w:rsid w:val="004D3CA9"/>
    <w:rsid w:val="004D5443"/>
    <w:rsid w:val="004D6B5B"/>
    <w:rsid w:val="004D77E0"/>
    <w:rsid w:val="004D7B93"/>
    <w:rsid w:val="004E016A"/>
    <w:rsid w:val="004E0334"/>
    <w:rsid w:val="004E06F6"/>
    <w:rsid w:val="004E0D1E"/>
    <w:rsid w:val="004E0EB8"/>
    <w:rsid w:val="004E1DBD"/>
    <w:rsid w:val="004E2845"/>
    <w:rsid w:val="004E2ADC"/>
    <w:rsid w:val="004E424B"/>
    <w:rsid w:val="004E43B2"/>
    <w:rsid w:val="004E4E12"/>
    <w:rsid w:val="004E5571"/>
    <w:rsid w:val="004E615D"/>
    <w:rsid w:val="004E6806"/>
    <w:rsid w:val="004E6F9B"/>
    <w:rsid w:val="004E7E50"/>
    <w:rsid w:val="004F147D"/>
    <w:rsid w:val="004F1D02"/>
    <w:rsid w:val="004F2679"/>
    <w:rsid w:val="004F3210"/>
    <w:rsid w:val="004F3D85"/>
    <w:rsid w:val="004F4EC1"/>
    <w:rsid w:val="004F63DC"/>
    <w:rsid w:val="004F7865"/>
    <w:rsid w:val="004F79F3"/>
    <w:rsid w:val="005002D1"/>
    <w:rsid w:val="00500EB0"/>
    <w:rsid w:val="00502B90"/>
    <w:rsid w:val="00502BCA"/>
    <w:rsid w:val="00503E24"/>
    <w:rsid w:val="00505060"/>
    <w:rsid w:val="005067AF"/>
    <w:rsid w:val="005067B4"/>
    <w:rsid w:val="00506928"/>
    <w:rsid w:val="00507539"/>
    <w:rsid w:val="00507999"/>
    <w:rsid w:val="00510606"/>
    <w:rsid w:val="00510767"/>
    <w:rsid w:val="00513548"/>
    <w:rsid w:val="00513AF2"/>
    <w:rsid w:val="005152B5"/>
    <w:rsid w:val="00520083"/>
    <w:rsid w:val="0052059C"/>
    <w:rsid w:val="00521319"/>
    <w:rsid w:val="00521BEF"/>
    <w:rsid w:val="00523C28"/>
    <w:rsid w:val="00524282"/>
    <w:rsid w:val="0052445E"/>
    <w:rsid w:val="00525ABC"/>
    <w:rsid w:val="00526127"/>
    <w:rsid w:val="00527279"/>
    <w:rsid w:val="00527DFD"/>
    <w:rsid w:val="00530250"/>
    <w:rsid w:val="00531329"/>
    <w:rsid w:val="005342AB"/>
    <w:rsid w:val="00534ADE"/>
    <w:rsid w:val="00536702"/>
    <w:rsid w:val="00536DFD"/>
    <w:rsid w:val="00536FDA"/>
    <w:rsid w:val="00537BF5"/>
    <w:rsid w:val="0054021F"/>
    <w:rsid w:val="00540CCC"/>
    <w:rsid w:val="00542607"/>
    <w:rsid w:val="00543C6A"/>
    <w:rsid w:val="0054667B"/>
    <w:rsid w:val="00546712"/>
    <w:rsid w:val="00550104"/>
    <w:rsid w:val="00550D54"/>
    <w:rsid w:val="005515FC"/>
    <w:rsid w:val="00551787"/>
    <w:rsid w:val="005517D1"/>
    <w:rsid w:val="00551AD2"/>
    <w:rsid w:val="00551E62"/>
    <w:rsid w:val="00552BD3"/>
    <w:rsid w:val="0055330C"/>
    <w:rsid w:val="00554F50"/>
    <w:rsid w:val="00555109"/>
    <w:rsid w:val="00555945"/>
    <w:rsid w:val="00556242"/>
    <w:rsid w:val="005566C0"/>
    <w:rsid w:val="00556964"/>
    <w:rsid w:val="00556EF1"/>
    <w:rsid w:val="00557720"/>
    <w:rsid w:val="00561106"/>
    <w:rsid w:val="00561FBA"/>
    <w:rsid w:val="00562755"/>
    <w:rsid w:val="00562C6D"/>
    <w:rsid w:val="00564C5A"/>
    <w:rsid w:val="00565522"/>
    <w:rsid w:val="00566260"/>
    <w:rsid w:val="0056646C"/>
    <w:rsid w:val="0056696F"/>
    <w:rsid w:val="00570213"/>
    <w:rsid w:val="005710F4"/>
    <w:rsid w:val="0057150E"/>
    <w:rsid w:val="005724CD"/>
    <w:rsid w:val="005725C6"/>
    <w:rsid w:val="00572BF3"/>
    <w:rsid w:val="0057391E"/>
    <w:rsid w:val="005740C9"/>
    <w:rsid w:val="0057430C"/>
    <w:rsid w:val="00574F94"/>
    <w:rsid w:val="00575D8D"/>
    <w:rsid w:val="00576972"/>
    <w:rsid w:val="005778B0"/>
    <w:rsid w:val="00580CFE"/>
    <w:rsid w:val="00581F91"/>
    <w:rsid w:val="00583699"/>
    <w:rsid w:val="00583B19"/>
    <w:rsid w:val="00584093"/>
    <w:rsid w:val="0058482D"/>
    <w:rsid w:val="00585142"/>
    <w:rsid w:val="005862A4"/>
    <w:rsid w:val="00586387"/>
    <w:rsid w:val="0058669D"/>
    <w:rsid w:val="0058770C"/>
    <w:rsid w:val="00587BD6"/>
    <w:rsid w:val="005914AF"/>
    <w:rsid w:val="00591539"/>
    <w:rsid w:val="00591AEA"/>
    <w:rsid w:val="005922F2"/>
    <w:rsid w:val="005929FF"/>
    <w:rsid w:val="00592F36"/>
    <w:rsid w:val="0059309D"/>
    <w:rsid w:val="00593471"/>
    <w:rsid w:val="0059381E"/>
    <w:rsid w:val="00596501"/>
    <w:rsid w:val="005977A3"/>
    <w:rsid w:val="00597FBB"/>
    <w:rsid w:val="005A020A"/>
    <w:rsid w:val="005A060F"/>
    <w:rsid w:val="005A4963"/>
    <w:rsid w:val="005A6123"/>
    <w:rsid w:val="005A65FB"/>
    <w:rsid w:val="005A6AB9"/>
    <w:rsid w:val="005A723E"/>
    <w:rsid w:val="005A755E"/>
    <w:rsid w:val="005A7CBB"/>
    <w:rsid w:val="005B03EA"/>
    <w:rsid w:val="005B159B"/>
    <w:rsid w:val="005B2FC7"/>
    <w:rsid w:val="005B38BA"/>
    <w:rsid w:val="005B3CA9"/>
    <w:rsid w:val="005B3DD4"/>
    <w:rsid w:val="005B45AA"/>
    <w:rsid w:val="005B5857"/>
    <w:rsid w:val="005B7C9D"/>
    <w:rsid w:val="005C07B5"/>
    <w:rsid w:val="005C07F2"/>
    <w:rsid w:val="005C18EB"/>
    <w:rsid w:val="005C1B83"/>
    <w:rsid w:val="005C2175"/>
    <w:rsid w:val="005C346B"/>
    <w:rsid w:val="005C42A1"/>
    <w:rsid w:val="005C6854"/>
    <w:rsid w:val="005C68A4"/>
    <w:rsid w:val="005C6903"/>
    <w:rsid w:val="005C785A"/>
    <w:rsid w:val="005D03CF"/>
    <w:rsid w:val="005D044D"/>
    <w:rsid w:val="005D18AD"/>
    <w:rsid w:val="005D2529"/>
    <w:rsid w:val="005D45BB"/>
    <w:rsid w:val="005D5FE2"/>
    <w:rsid w:val="005D6B6A"/>
    <w:rsid w:val="005D6DD1"/>
    <w:rsid w:val="005D6F7E"/>
    <w:rsid w:val="005D794A"/>
    <w:rsid w:val="005E0175"/>
    <w:rsid w:val="005E08FD"/>
    <w:rsid w:val="005E1C01"/>
    <w:rsid w:val="005E2613"/>
    <w:rsid w:val="005E3B85"/>
    <w:rsid w:val="005E487E"/>
    <w:rsid w:val="005E5860"/>
    <w:rsid w:val="005E728B"/>
    <w:rsid w:val="005E73C0"/>
    <w:rsid w:val="005E7524"/>
    <w:rsid w:val="005F0517"/>
    <w:rsid w:val="005F0C49"/>
    <w:rsid w:val="005F17E1"/>
    <w:rsid w:val="005F2706"/>
    <w:rsid w:val="005F2881"/>
    <w:rsid w:val="005F290F"/>
    <w:rsid w:val="005F3373"/>
    <w:rsid w:val="005F3BBC"/>
    <w:rsid w:val="005F5352"/>
    <w:rsid w:val="005F5A0D"/>
    <w:rsid w:val="005F6A8F"/>
    <w:rsid w:val="005F6E39"/>
    <w:rsid w:val="006000D9"/>
    <w:rsid w:val="0060064C"/>
    <w:rsid w:val="00603990"/>
    <w:rsid w:val="00603DA7"/>
    <w:rsid w:val="00604166"/>
    <w:rsid w:val="00604B72"/>
    <w:rsid w:val="00604BFC"/>
    <w:rsid w:val="0060605F"/>
    <w:rsid w:val="0060666C"/>
    <w:rsid w:val="00607669"/>
    <w:rsid w:val="00610729"/>
    <w:rsid w:val="00610DD9"/>
    <w:rsid w:val="00610F69"/>
    <w:rsid w:val="00611035"/>
    <w:rsid w:val="00611367"/>
    <w:rsid w:val="00612F97"/>
    <w:rsid w:val="00613E5A"/>
    <w:rsid w:val="00615821"/>
    <w:rsid w:val="006160F7"/>
    <w:rsid w:val="00616802"/>
    <w:rsid w:val="00617993"/>
    <w:rsid w:val="00617E12"/>
    <w:rsid w:val="00621477"/>
    <w:rsid w:val="006217DC"/>
    <w:rsid w:val="00621943"/>
    <w:rsid w:val="00621DC0"/>
    <w:rsid w:val="006231D3"/>
    <w:rsid w:val="006237CD"/>
    <w:rsid w:val="00624234"/>
    <w:rsid w:val="00624AA1"/>
    <w:rsid w:val="00624B42"/>
    <w:rsid w:val="00626280"/>
    <w:rsid w:val="00626BD2"/>
    <w:rsid w:val="00630336"/>
    <w:rsid w:val="00630480"/>
    <w:rsid w:val="006306F5"/>
    <w:rsid w:val="00630DE2"/>
    <w:rsid w:val="00631D6B"/>
    <w:rsid w:val="00632CBF"/>
    <w:rsid w:val="0063342D"/>
    <w:rsid w:val="0063479F"/>
    <w:rsid w:val="00634E91"/>
    <w:rsid w:val="00635066"/>
    <w:rsid w:val="006353DC"/>
    <w:rsid w:val="006362B9"/>
    <w:rsid w:val="006364A1"/>
    <w:rsid w:val="0063693D"/>
    <w:rsid w:val="00636D83"/>
    <w:rsid w:val="00637264"/>
    <w:rsid w:val="00637B47"/>
    <w:rsid w:val="00637BFD"/>
    <w:rsid w:val="00637FC3"/>
    <w:rsid w:val="006401F9"/>
    <w:rsid w:val="006415D9"/>
    <w:rsid w:val="00643B24"/>
    <w:rsid w:val="00643E28"/>
    <w:rsid w:val="00644C1B"/>
    <w:rsid w:val="00644E1B"/>
    <w:rsid w:val="00644ED6"/>
    <w:rsid w:val="00645F1A"/>
    <w:rsid w:val="006471CC"/>
    <w:rsid w:val="00647434"/>
    <w:rsid w:val="00647638"/>
    <w:rsid w:val="00647D67"/>
    <w:rsid w:val="0065079F"/>
    <w:rsid w:val="00650D35"/>
    <w:rsid w:val="006510C2"/>
    <w:rsid w:val="00652C89"/>
    <w:rsid w:val="00652CE4"/>
    <w:rsid w:val="0065388F"/>
    <w:rsid w:val="0065389A"/>
    <w:rsid w:val="00654062"/>
    <w:rsid w:val="00655CBF"/>
    <w:rsid w:val="00656680"/>
    <w:rsid w:val="006573D2"/>
    <w:rsid w:val="006610D4"/>
    <w:rsid w:val="00661642"/>
    <w:rsid w:val="006616E8"/>
    <w:rsid w:val="006627FE"/>
    <w:rsid w:val="00664027"/>
    <w:rsid w:val="00664109"/>
    <w:rsid w:val="00664B37"/>
    <w:rsid w:val="006652A5"/>
    <w:rsid w:val="00666EB0"/>
    <w:rsid w:val="00667062"/>
    <w:rsid w:val="006670A1"/>
    <w:rsid w:val="00667333"/>
    <w:rsid w:val="00667426"/>
    <w:rsid w:val="006708DD"/>
    <w:rsid w:val="00671726"/>
    <w:rsid w:val="006719A1"/>
    <w:rsid w:val="006720C7"/>
    <w:rsid w:val="00672B9A"/>
    <w:rsid w:val="006747C1"/>
    <w:rsid w:val="00674C51"/>
    <w:rsid w:val="00674CB4"/>
    <w:rsid w:val="00674E42"/>
    <w:rsid w:val="00676880"/>
    <w:rsid w:val="00677AA9"/>
    <w:rsid w:val="0068025E"/>
    <w:rsid w:val="006811D9"/>
    <w:rsid w:val="0068138C"/>
    <w:rsid w:val="00681F6A"/>
    <w:rsid w:val="00682112"/>
    <w:rsid w:val="00682182"/>
    <w:rsid w:val="00682BD5"/>
    <w:rsid w:val="006837FF"/>
    <w:rsid w:val="006872BA"/>
    <w:rsid w:val="006879B6"/>
    <w:rsid w:val="00687DD5"/>
    <w:rsid w:val="006917D7"/>
    <w:rsid w:val="00692145"/>
    <w:rsid w:val="00692CF4"/>
    <w:rsid w:val="00694C4D"/>
    <w:rsid w:val="00694D6C"/>
    <w:rsid w:val="00694F44"/>
    <w:rsid w:val="006958A9"/>
    <w:rsid w:val="00695ED8"/>
    <w:rsid w:val="00696A04"/>
    <w:rsid w:val="00696FE2"/>
    <w:rsid w:val="006A3708"/>
    <w:rsid w:val="006A38FE"/>
    <w:rsid w:val="006A3ABA"/>
    <w:rsid w:val="006A493C"/>
    <w:rsid w:val="006A4FE4"/>
    <w:rsid w:val="006A6258"/>
    <w:rsid w:val="006A7CDC"/>
    <w:rsid w:val="006B086F"/>
    <w:rsid w:val="006B1342"/>
    <w:rsid w:val="006B18AE"/>
    <w:rsid w:val="006B2C09"/>
    <w:rsid w:val="006B3704"/>
    <w:rsid w:val="006B4008"/>
    <w:rsid w:val="006B41DF"/>
    <w:rsid w:val="006B445A"/>
    <w:rsid w:val="006B4860"/>
    <w:rsid w:val="006B4D62"/>
    <w:rsid w:val="006B50D8"/>
    <w:rsid w:val="006B7F56"/>
    <w:rsid w:val="006C015B"/>
    <w:rsid w:val="006C0F24"/>
    <w:rsid w:val="006C1917"/>
    <w:rsid w:val="006C1ABB"/>
    <w:rsid w:val="006C24E1"/>
    <w:rsid w:val="006C2A8E"/>
    <w:rsid w:val="006C3C32"/>
    <w:rsid w:val="006C4F0D"/>
    <w:rsid w:val="006C6C6F"/>
    <w:rsid w:val="006C76D1"/>
    <w:rsid w:val="006C7AAA"/>
    <w:rsid w:val="006D0FD0"/>
    <w:rsid w:val="006D3035"/>
    <w:rsid w:val="006D3C7D"/>
    <w:rsid w:val="006D419D"/>
    <w:rsid w:val="006D4FC5"/>
    <w:rsid w:val="006D55E7"/>
    <w:rsid w:val="006D5D5F"/>
    <w:rsid w:val="006E0499"/>
    <w:rsid w:val="006E0EEC"/>
    <w:rsid w:val="006E29C2"/>
    <w:rsid w:val="006E3542"/>
    <w:rsid w:val="006E3608"/>
    <w:rsid w:val="006E473D"/>
    <w:rsid w:val="006E5346"/>
    <w:rsid w:val="006E6C79"/>
    <w:rsid w:val="006E6F8F"/>
    <w:rsid w:val="006E7E5C"/>
    <w:rsid w:val="006F2362"/>
    <w:rsid w:val="006F2A5C"/>
    <w:rsid w:val="006F5B77"/>
    <w:rsid w:val="006F63A5"/>
    <w:rsid w:val="006F64A0"/>
    <w:rsid w:val="006F7D6F"/>
    <w:rsid w:val="006F7EA7"/>
    <w:rsid w:val="00700213"/>
    <w:rsid w:val="00700251"/>
    <w:rsid w:val="00701F50"/>
    <w:rsid w:val="0070276E"/>
    <w:rsid w:val="00702F8F"/>
    <w:rsid w:val="0070350D"/>
    <w:rsid w:val="0070485F"/>
    <w:rsid w:val="00705B7E"/>
    <w:rsid w:val="007072EF"/>
    <w:rsid w:val="00710BE6"/>
    <w:rsid w:val="00711A36"/>
    <w:rsid w:val="00715DD5"/>
    <w:rsid w:val="00716203"/>
    <w:rsid w:val="007172AD"/>
    <w:rsid w:val="0071781E"/>
    <w:rsid w:val="00720EE4"/>
    <w:rsid w:val="0072416F"/>
    <w:rsid w:val="00724266"/>
    <w:rsid w:val="007248A9"/>
    <w:rsid w:val="0072635B"/>
    <w:rsid w:val="0072750C"/>
    <w:rsid w:val="007315DB"/>
    <w:rsid w:val="00732EF4"/>
    <w:rsid w:val="00732F01"/>
    <w:rsid w:val="00733499"/>
    <w:rsid w:val="007337B1"/>
    <w:rsid w:val="0073400D"/>
    <w:rsid w:val="007346B4"/>
    <w:rsid w:val="00735328"/>
    <w:rsid w:val="0073685B"/>
    <w:rsid w:val="0073742C"/>
    <w:rsid w:val="00737D11"/>
    <w:rsid w:val="0074051F"/>
    <w:rsid w:val="00740F81"/>
    <w:rsid w:val="007415CC"/>
    <w:rsid w:val="0074280E"/>
    <w:rsid w:val="00742FC0"/>
    <w:rsid w:val="00744CA9"/>
    <w:rsid w:val="007451AC"/>
    <w:rsid w:val="00745375"/>
    <w:rsid w:val="0074583B"/>
    <w:rsid w:val="0074592E"/>
    <w:rsid w:val="00745E12"/>
    <w:rsid w:val="00746FCB"/>
    <w:rsid w:val="00747505"/>
    <w:rsid w:val="007479DA"/>
    <w:rsid w:val="00751D2B"/>
    <w:rsid w:val="007529B9"/>
    <w:rsid w:val="00754232"/>
    <w:rsid w:val="007548C9"/>
    <w:rsid w:val="00754ACD"/>
    <w:rsid w:val="00754FDF"/>
    <w:rsid w:val="0075500C"/>
    <w:rsid w:val="007563E4"/>
    <w:rsid w:val="00756907"/>
    <w:rsid w:val="00756B43"/>
    <w:rsid w:val="007574E3"/>
    <w:rsid w:val="00757D73"/>
    <w:rsid w:val="007617CA"/>
    <w:rsid w:val="0076357F"/>
    <w:rsid w:val="00763607"/>
    <w:rsid w:val="00763EB8"/>
    <w:rsid w:val="00764055"/>
    <w:rsid w:val="00765030"/>
    <w:rsid w:val="0076634D"/>
    <w:rsid w:val="00770838"/>
    <w:rsid w:val="00771979"/>
    <w:rsid w:val="00772916"/>
    <w:rsid w:val="00773F86"/>
    <w:rsid w:val="00774370"/>
    <w:rsid w:val="0077530D"/>
    <w:rsid w:val="00776687"/>
    <w:rsid w:val="007773FB"/>
    <w:rsid w:val="00780254"/>
    <w:rsid w:val="00781BE0"/>
    <w:rsid w:val="00784F33"/>
    <w:rsid w:val="00786AF9"/>
    <w:rsid w:val="00790423"/>
    <w:rsid w:val="007904CD"/>
    <w:rsid w:val="007937FB"/>
    <w:rsid w:val="00795C72"/>
    <w:rsid w:val="007965F4"/>
    <w:rsid w:val="00797201"/>
    <w:rsid w:val="00797CEC"/>
    <w:rsid w:val="007A04CC"/>
    <w:rsid w:val="007A0A12"/>
    <w:rsid w:val="007A1C32"/>
    <w:rsid w:val="007A2182"/>
    <w:rsid w:val="007A28EB"/>
    <w:rsid w:val="007A2D31"/>
    <w:rsid w:val="007A318F"/>
    <w:rsid w:val="007A4ED1"/>
    <w:rsid w:val="007A59DC"/>
    <w:rsid w:val="007A6A2B"/>
    <w:rsid w:val="007A6CF2"/>
    <w:rsid w:val="007A74F4"/>
    <w:rsid w:val="007B0A9D"/>
    <w:rsid w:val="007B0FB2"/>
    <w:rsid w:val="007B251D"/>
    <w:rsid w:val="007B28D6"/>
    <w:rsid w:val="007B3817"/>
    <w:rsid w:val="007B4020"/>
    <w:rsid w:val="007B4B33"/>
    <w:rsid w:val="007B632D"/>
    <w:rsid w:val="007B64A4"/>
    <w:rsid w:val="007B77D1"/>
    <w:rsid w:val="007C0F2B"/>
    <w:rsid w:val="007C10C1"/>
    <w:rsid w:val="007C361D"/>
    <w:rsid w:val="007C4550"/>
    <w:rsid w:val="007C475A"/>
    <w:rsid w:val="007C6E84"/>
    <w:rsid w:val="007C6F12"/>
    <w:rsid w:val="007C719C"/>
    <w:rsid w:val="007C7C34"/>
    <w:rsid w:val="007D0173"/>
    <w:rsid w:val="007D07C4"/>
    <w:rsid w:val="007D0A22"/>
    <w:rsid w:val="007D0B38"/>
    <w:rsid w:val="007D1C7F"/>
    <w:rsid w:val="007D1F2D"/>
    <w:rsid w:val="007D23E0"/>
    <w:rsid w:val="007D3555"/>
    <w:rsid w:val="007D5982"/>
    <w:rsid w:val="007D5E43"/>
    <w:rsid w:val="007D6D20"/>
    <w:rsid w:val="007D7640"/>
    <w:rsid w:val="007D795A"/>
    <w:rsid w:val="007E0240"/>
    <w:rsid w:val="007E15FD"/>
    <w:rsid w:val="007E167C"/>
    <w:rsid w:val="007E34CD"/>
    <w:rsid w:val="007E47D2"/>
    <w:rsid w:val="007E50EA"/>
    <w:rsid w:val="007E5986"/>
    <w:rsid w:val="007E6168"/>
    <w:rsid w:val="007E61B6"/>
    <w:rsid w:val="007E6BD0"/>
    <w:rsid w:val="007E6D21"/>
    <w:rsid w:val="007F0BF3"/>
    <w:rsid w:val="007F0E01"/>
    <w:rsid w:val="007F1017"/>
    <w:rsid w:val="007F1F5B"/>
    <w:rsid w:val="007F29E5"/>
    <w:rsid w:val="007F2B85"/>
    <w:rsid w:val="007F2F40"/>
    <w:rsid w:val="007F3AC2"/>
    <w:rsid w:val="007F4A3F"/>
    <w:rsid w:val="007F722B"/>
    <w:rsid w:val="00800C46"/>
    <w:rsid w:val="0080179A"/>
    <w:rsid w:val="008017D0"/>
    <w:rsid w:val="0080240A"/>
    <w:rsid w:val="00803047"/>
    <w:rsid w:val="008035E6"/>
    <w:rsid w:val="00803B49"/>
    <w:rsid w:val="00804515"/>
    <w:rsid w:val="008046EF"/>
    <w:rsid w:val="00805142"/>
    <w:rsid w:val="00805AC6"/>
    <w:rsid w:val="008077FE"/>
    <w:rsid w:val="00807A8B"/>
    <w:rsid w:val="00811047"/>
    <w:rsid w:val="00811CB6"/>
    <w:rsid w:val="00812149"/>
    <w:rsid w:val="00812E82"/>
    <w:rsid w:val="0081594A"/>
    <w:rsid w:val="00815DC7"/>
    <w:rsid w:val="008166EF"/>
    <w:rsid w:val="00816703"/>
    <w:rsid w:val="008174B1"/>
    <w:rsid w:val="00820539"/>
    <w:rsid w:val="008208DC"/>
    <w:rsid w:val="008224CF"/>
    <w:rsid w:val="00822A0F"/>
    <w:rsid w:val="00824319"/>
    <w:rsid w:val="00825163"/>
    <w:rsid w:val="00825644"/>
    <w:rsid w:val="008264EB"/>
    <w:rsid w:val="00826B9C"/>
    <w:rsid w:val="00826C6F"/>
    <w:rsid w:val="00827019"/>
    <w:rsid w:val="00830E97"/>
    <w:rsid w:val="00832030"/>
    <w:rsid w:val="0083295E"/>
    <w:rsid w:val="00833783"/>
    <w:rsid w:val="00833B05"/>
    <w:rsid w:val="00833C98"/>
    <w:rsid w:val="008341FD"/>
    <w:rsid w:val="00834C0E"/>
    <w:rsid w:val="00834CD2"/>
    <w:rsid w:val="00835790"/>
    <w:rsid w:val="00835F4A"/>
    <w:rsid w:val="00836030"/>
    <w:rsid w:val="00836B5F"/>
    <w:rsid w:val="00837ACF"/>
    <w:rsid w:val="00837F87"/>
    <w:rsid w:val="00837FBF"/>
    <w:rsid w:val="00840CA2"/>
    <w:rsid w:val="0084197B"/>
    <w:rsid w:val="00841E78"/>
    <w:rsid w:val="008420D3"/>
    <w:rsid w:val="00842786"/>
    <w:rsid w:val="008434BF"/>
    <w:rsid w:val="008454CC"/>
    <w:rsid w:val="00846AE1"/>
    <w:rsid w:val="00852A20"/>
    <w:rsid w:val="00852F45"/>
    <w:rsid w:val="008534D2"/>
    <w:rsid w:val="00853A80"/>
    <w:rsid w:val="00856E9A"/>
    <w:rsid w:val="00857854"/>
    <w:rsid w:val="008607BF"/>
    <w:rsid w:val="00861DC1"/>
    <w:rsid w:val="00862502"/>
    <w:rsid w:val="008633FB"/>
    <w:rsid w:val="00863D4F"/>
    <w:rsid w:val="00864D2C"/>
    <w:rsid w:val="008652E6"/>
    <w:rsid w:val="008667AE"/>
    <w:rsid w:val="00874D5F"/>
    <w:rsid w:val="00875A8C"/>
    <w:rsid w:val="00875C70"/>
    <w:rsid w:val="00877186"/>
    <w:rsid w:val="00880F21"/>
    <w:rsid w:val="00881D35"/>
    <w:rsid w:val="00881F1D"/>
    <w:rsid w:val="00882874"/>
    <w:rsid w:val="00882C81"/>
    <w:rsid w:val="00883787"/>
    <w:rsid w:val="00884759"/>
    <w:rsid w:val="00886AEB"/>
    <w:rsid w:val="008871DD"/>
    <w:rsid w:val="00887A07"/>
    <w:rsid w:val="00890C60"/>
    <w:rsid w:val="00892893"/>
    <w:rsid w:val="00892A10"/>
    <w:rsid w:val="00892A32"/>
    <w:rsid w:val="00892D47"/>
    <w:rsid w:val="008938A3"/>
    <w:rsid w:val="00894489"/>
    <w:rsid w:val="00894B03"/>
    <w:rsid w:val="00894CC8"/>
    <w:rsid w:val="0089510B"/>
    <w:rsid w:val="0089576E"/>
    <w:rsid w:val="00896326"/>
    <w:rsid w:val="008963A5"/>
    <w:rsid w:val="00896B45"/>
    <w:rsid w:val="00896DBF"/>
    <w:rsid w:val="00897CDA"/>
    <w:rsid w:val="008A1122"/>
    <w:rsid w:val="008A2241"/>
    <w:rsid w:val="008A2770"/>
    <w:rsid w:val="008A346B"/>
    <w:rsid w:val="008A34B0"/>
    <w:rsid w:val="008A3C3E"/>
    <w:rsid w:val="008A5A5E"/>
    <w:rsid w:val="008A62AF"/>
    <w:rsid w:val="008A72C8"/>
    <w:rsid w:val="008A79DE"/>
    <w:rsid w:val="008B02A2"/>
    <w:rsid w:val="008B2477"/>
    <w:rsid w:val="008B488C"/>
    <w:rsid w:val="008B6151"/>
    <w:rsid w:val="008B64CE"/>
    <w:rsid w:val="008B6E04"/>
    <w:rsid w:val="008B7AD4"/>
    <w:rsid w:val="008B7D29"/>
    <w:rsid w:val="008B7D7E"/>
    <w:rsid w:val="008B7EDF"/>
    <w:rsid w:val="008C0BD0"/>
    <w:rsid w:val="008C127F"/>
    <w:rsid w:val="008C203F"/>
    <w:rsid w:val="008C5373"/>
    <w:rsid w:val="008C553B"/>
    <w:rsid w:val="008C5898"/>
    <w:rsid w:val="008C5F7C"/>
    <w:rsid w:val="008C6142"/>
    <w:rsid w:val="008C7B0E"/>
    <w:rsid w:val="008C7ECB"/>
    <w:rsid w:val="008D002D"/>
    <w:rsid w:val="008D1081"/>
    <w:rsid w:val="008D14F1"/>
    <w:rsid w:val="008D27C4"/>
    <w:rsid w:val="008D5BED"/>
    <w:rsid w:val="008D6664"/>
    <w:rsid w:val="008D6883"/>
    <w:rsid w:val="008E0A47"/>
    <w:rsid w:val="008E1203"/>
    <w:rsid w:val="008E1936"/>
    <w:rsid w:val="008E1B9E"/>
    <w:rsid w:val="008E3AEA"/>
    <w:rsid w:val="008E4528"/>
    <w:rsid w:val="008E4826"/>
    <w:rsid w:val="008E5BFF"/>
    <w:rsid w:val="008E6624"/>
    <w:rsid w:val="008E67DE"/>
    <w:rsid w:val="008E74D6"/>
    <w:rsid w:val="008E7AAE"/>
    <w:rsid w:val="008F120A"/>
    <w:rsid w:val="008F1980"/>
    <w:rsid w:val="008F2ED6"/>
    <w:rsid w:val="008F3AA2"/>
    <w:rsid w:val="008F48EB"/>
    <w:rsid w:val="008F4E5C"/>
    <w:rsid w:val="008F4F0B"/>
    <w:rsid w:val="008F595C"/>
    <w:rsid w:val="008F69E7"/>
    <w:rsid w:val="00902E8A"/>
    <w:rsid w:val="00904CFE"/>
    <w:rsid w:val="00905708"/>
    <w:rsid w:val="00905E04"/>
    <w:rsid w:val="009062A5"/>
    <w:rsid w:val="00907A9E"/>
    <w:rsid w:val="00911272"/>
    <w:rsid w:val="0091229F"/>
    <w:rsid w:val="00912708"/>
    <w:rsid w:val="00913B35"/>
    <w:rsid w:val="00913C24"/>
    <w:rsid w:val="00914BA9"/>
    <w:rsid w:val="009158F5"/>
    <w:rsid w:val="009173C9"/>
    <w:rsid w:val="009201C5"/>
    <w:rsid w:val="009205D5"/>
    <w:rsid w:val="00920945"/>
    <w:rsid w:val="00920B00"/>
    <w:rsid w:val="00921372"/>
    <w:rsid w:val="009214DC"/>
    <w:rsid w:val="009219B9"/>
    <w:rsid w:val="0092266C"/>
    <w:rsid w:val="00922727"/>
    <w:rsid w:val="00922A2E"/>
    <w:rsid w:val="009234EB"/>
    <w:rsid w:val="00924939"/>
    <w:rsid w:val="00924F22"/>
    <w:rsid w:val="00924F5A"/>
    <w:rsid w:val="00926917"/>
    <w:rsid w:val="00927173"/>
    <w:rsid w:val="009322D6"/>
    <w:rsid w:val="00932ED0"/>
    <w:rsid w:val="00934263"/>
    <w:rsid w:val="00935652"/>
    <w:rsid w:val="00936708"/>
    <w:rsid w:val="009378F4"/>
    <w:rsid w:val="009379EB"/>
    <w:rsid w:val="0094079B"/>
    <w:rsid w:val="00941B54"/>
    <w:rsid w:val="009435C3"/>
    <w:rsid w:val="009435C6"/>
    <w:rsid w:val="00945626"/>
    <w:rsid w:val="00946437"/>
    <w:rsid w:val="009506AB"/>
    <w:rsid w:val="0095146A"/>
    <w:rsid w:val="00952167"/>
    <w:rsid w:val="00952B52"/>
    <w:rsid w:val="0095349D"/>
    <w:rsid w:val="00953DFB"/>
    <w:rsid w:val="00954144"/>
    <w:rsid w:val="0095417F"/>
    <w:rsid w:val="00954804"/>
    <w:rsid w:val="00954AF3"/>
    <w:rsid w:val="0095602A"/>
    <w:rsid w:val="00956255"/>
    <w:rsid w:val="00956503"/>
    <w:rsid w:val="0096115C"/>
    <w:rsid w:val="00961624"/>
    <w:rsid w:val="0096226C"/>
    <w:rsid w:val="00962298"/>
    <w:rsid w:val="00962CB9"/>
    <w:rsid w:val="00963054"/>
    <w:rsid w:val="00963299"/>
    <w:rsid w:val="009632E3"/>
    <w:rsid w:val="00963458"/>
    <w:rsid w:val="00964312"/>
    <w:rsid w:val="00964776"/>
    <w:rsid w:val="009649FD"/>
    <w:rsid w:val="00964BEB"/>
    <w:rsid w:val="0096535B"/>
    <w:rsid w:val="00965D15"/>
    <w:rsid w:val="00966647"/>
    <w:rsid w:val="00966931"/>
    <w:rsid w:val="00966B1A"/>
    <w:rsid w:val="00967046"/>
    <w:rsid w:val="009675CA"/>
    <w:rsid w:val="0097033E"/>
    <w:rsid w:val="009721CB"/>
    <w:rsid w:val="009736A6"/>
    <w:rsid w:val="009736D6"/>
    <w:rsid w:val="00973835"/>
    <w:rsid w:val="00974F26"/>
    <w:rsid w:val="009763A7"/>
    <w:rsid w:val="00976453"/>
    <w:rsid w:val="009769D1"/>
    <w:rsid w:val="0098021A"/>
    <w:rsid w:val="009806D2"/>
    <w:rsid w:val="009820E9"/>
    <w:rsid w:val="00983489"/>
    <w:rsid w:val="00983E57"/>
    <w:rsid w:val="00984994"/>
    <w:rsid w:val="00984A26"/>
    <w:rsid w:val="00987B17"/>
    <w:rsid w:val="00987FC9"/>
    <w:rsid w:val="00990762"/>
    <w:rsid w:val="0099080B"/>
    <w:rsid w:val="00991572"/>
    <w:rsid w:val="00991596"/>
    <w:rsid w:val="009936B1"/>
    <w:rsid w:val="00994239"/>
    <w:rsid w:val="00994D18"/>
    <w:rsid w:val="00994D78"/>
    <w:rsid w:val="00995290"/>
    <w:rsid w:val="00995983"/>
    <w:rsid w:val="00995C0D"/>
    <w:rsid w:val="009967D2"/>
    <w:rsid w:val="00996B1A"/>
    <w:rsid w:val="009A2594"/>
    <w:rsid w:val="009A341F"/>
    <w:rsid w:val="009A4934"/>
    <w:rsid w:val="009A5F3F"/>
    <w:rsid w:val="009A7146"/>
    <w:rsid w:val="009A731A"/>
    <w:rsid w:val="009A7490"/>
    <w:rsid w:val="009A78E1"/>
    <w:rsid w:val="009A7A78"/>
    <w:rsid w:val="009B35EF"/>
    <w:rsid w:val="009B3615"/>
    <w:rsid w:val="009B3E26"/>
    <w:rsid w:val="009B41D9"/>
    <w:rsid w:val="009B4497"/>
    <w:rsid w:val="009B4583"/>
    <w:rsid w:val="009B4852"/>
    <w:rsid w:val="009B770C"/>
    <w:rsid w:val="009C230A"/>
    <w:rsid w:val="009C25AC"/>
    <w:rsid w:val="009C2F86"/>
    <w:rsid w:val="009C309C"/>
    <w:rsid w:val="009C4ED1"/>
    <w:rsid w:val="009C5D0A"/>
    <w:rsid w:val="009C60E4"/>
    <w:rsid w:val="009C6BFE"/>
    <w:rsid w:val="009D0608"/>
    <w:rsid w:val="009D079A"/>
    <w:rsid w:val="009D11B8"/>
    <w:rsid w:val="009D2F2E"/>
    <w:rsid w:val="009D396A"/>
    <w:rsid w:val="009D413B"/>
    <w:rsid w:val="009D44E4"/>
    <w:rsid w:val="009D4F75"/>
    <w:rsid w:val="009D4FAF"/>
    <w:rsid w:val="009D5442"/>
    <w:rsid w:val="009D5B91"/>
    <w:rsid w:val="009D6496"/>
    <w:rsid w:val="009D6D9A"/>
    <w:rsid w:val="009D7ACA"/>
    <w:rsid w:val="009E073D"/>
    <w:rsid w:val="009E0843"/>
    <w:rsid w:val="009E0CDA"/>
    <w:rsid w:val="009E14B6"/>
    <w:rsid w:val="009E18EE"/>
    <w:rsid w:val="009E20A4"/>
    <w:rsid w:val="009E2549"/>
    <w:rsid w:val="009E3940"/>
    <w:rsid w:val="009E4C07"/>
    <w:rsid w:val="009E5B20"/>
    <w:rsid w:val="009E5DD0"/>
    <w:rsid w:val="009E63CB"/>
    <w:rsid w:val="009E6CCD"/>
    <w:rsid w:val="009E7100"/>
    <w:rsid w:val="009E77C0"/>
    <w:rsid w:val="009E7AF4"/>
    <w:rsid w:val="009F1A0D"/>
    <w:rsid w:val="009F2937"/>
    <w:rsid w:val="009F2ECF"/>
    <w:rsid w:val="009F3A70"/>
    <w:rsid w:val="009F42D1"/>
    <w:rsid w:val="009F61D5"/>
    <w:rsid w:val="009F7732"/>
    <w:rsid w:val="00A00001"/>
    <w:rsid w:val="00A002A6"/>
    <w:rsid w:val="00A01957"/>
    <w:rsid w:val="00A01EBC"/>
    <w:rsid w:val="00A03D21"/>
    <w:rsid w:val="00A03D43"/>
    <w:rsid w:val="00A0416F"/>
    <w:rsid w:val="00A0426B"/>
    <w:rsid w:val="00A04380"/>
    <w:rsid w:val="00A04FF9"/>
    <w:rsid w:val="00A05570"/>
    <w:rsid w:val="00A05D47"/>
    <w:rsid w:val="00A06291"/>
    <w:rsid w:val="00A064E1"/>
    <w:rsid w:val="00A06871"/>
    <w:rsid w:val="00A06E2A"/>
    <w:rsid w:val="00A071E5"/>
    <w:rsid w:val="00A07A3D"/>
    <w:rsid w:val="00A1050C"/>
    <w:rsid w:val="00A119B1"/>
    <w:rsid w:val="00A12B38"/>
    <w:rsid w:val="00A13948"/>
    <w:rsid w:val="00A1505E"/>
    <w:rsid w:val="00A15451"/>
    <w:rsid w:val="00A158A3"/>
    <w:rsid w:val="00A16059"/>
    <w:rsid w:val="00A16214"/>
    <w:rsid w:val="00A16A2A"/>
    <w:rsid w:val="00A17DEB"/>
    <w:rsid w:val="00A20896"/>
    <w:rsid w:val="00A21394"/>
    <w:rsid w:val="00A2225F"/>
    <w:rsid w:val="00A22522"/>
    <w:rsid w:val="00A23176"/>
    <w:rsid w:val="00A2363D"/>
    <w:rsid w:val="00A2429E"/>
    <w:rsid w:val="00A2638E"/>
    <w:rsid w:val="00A27326"/>
    <w:rsid w:val="00A27AEC"/>
    <w:rsid w:val="00A27DFE"/>
    <w:rsid w:val="00A30C6A"/>
    <w:rsid w:val="00A30CE7"/>
    <w:rsid w:val="00A30D85"/>
    <w:rsid w:val="00A315FD"/>
    <w:rsid w:val="00A35D16"/>
    <w:rsid w:val="00A36473"/>
    <w:rsid w:val="00A37518"/>
    <w:rsid w:val="00A4158A"/>
    <w:rsid w:val="00A41C04"/>
    <w:rsid w:val="00A426E9"/>
    <w:rsid w:val="00A4301A"/>
    <w:rsid w:val="00A43541"/>
    <w:rsid w:val="00A43C59"/>
    <w:rsid w:val="00A44CE3"/>
    <w:rsid w:val="00A44E02"/>
    <w:rsid w:val="00A50AC5"/>
    <w:rsid w:val="00A50ECD"/>
    <w:rsid w:val="00A5111B"/>
    <w:rsid w:val="00A51503"/>
    <w:rsid w:val="00A52729"/>
    <w:rsid w:val="00A53675"/>
    <w:rsid w:val="00A539D4"/>
    <w:rsid w:val="00A54572"/>
    <w:rsid w:val="00A54FB1"/>
    <w:rsid w:val="00A56981"/>
    <w:rsid w:val="00A56B6A"/>
    <w:rsid w:val="00A57879"/>
    <w:rsid w:val="00A578DC"/>
    <w:rsid w:val="00A57C25"/>
    <w:rsid w:val="00A61682"/>
    <w:rsid w:val="00A62826"/>
    <w:rsid w:val="00A62EE6"/>
    <w:rsid w:val="00A62FC9"/>
    <w:rsid w:val="00A636E1"/>
    <w:rsid w:val="00A65211"/>
    <w:rsid w:val="00A66395"/>
    <w:rsid w:val="00A66CA2"/>
    <w:rsid w:val="00A67073"/>
    <w:rsid w:val="00A6725B"/>
    <w:rsid w:val="00A705E0"/>
    <w:rsid w:val="00A712C2"/>
    <w:rsid w:val="00A74528"/>
    <w:rsid w:val="00A751CE"/>
    <w:rsid w:val="00A759A7"/>
    <w:rsid w:val="00A75D4B"/>
    <w:rsid w:val="00A80D83"/>
    <w:rsid w:val="00A81535"/>
    <w:rsid w:val="00A81E1C"/>
    <w:rsid w:val="00A826DD"/>
    <w:rsid w:val="00A83A49"/>
    <w:rsid w:val="00A83B09"/>
    <w:rsid w:val="00A83B8E"/>
    <w:rsid w:val="00A846F7"/>
    <w:rsid w:val="00A866CF"/>
    <w:rsid w:val="00A86994"/>
    <w:rsid w:val="00A86E8B"/>
    <w:rsid w:val="00A87133"/>
    <w:rsid w:val="00A902AB"/>
    <w:rsid w:val="00A905E1"/>
    <w:rsid w:val="00A90FB8"/>
    <w:rsid w:val="00A93072"/>
    <w:rsid w:val="00A9397A"/>
    <w:rsid w:val="00A94273"/>
    <w:rsid w:val="00A94E9E"/>
    <w:rsid w:val="00A95250"/>
    <w:rsid w:val="00A959D8"/>
    <w:rsid w:val="00AA12F0"/>
    <w:rsid w:val="00AA2025"/>
    <w:rsid w:val="00AA25F4"/>
    <w:rsid w:val="00AA3D42"/>
    <w:rsid w:val="00AA3ED6"/>
    <w:rsid w:val="00AA48E6"/>
    <w:rsid w:val="00AA55B1"/>
    <w:rsid w:val="00AA5A2E"/>
    <w:rsid w:val="00AA616C"/>
    <w:rsid w:val="00AA62FE"/>
    <w:rsid w:val="00AA7177"/>
    <w:rsid w:val="00AA7597"/>
    <w:rsid w:val="00AA7D90"/>
    <w:rsid w:val="00AB042A"/>
    <w:rsid w:val="00AB067D"/>
    <w:rsid w:val="00AB06F0"/>
    <w:rsid w:val="00AB0A55"/>
    <w:rsid w:val="00AB0D8C"/>
    <w:rsid w:val="00AB18BC"/>
    <w:rsid w:val="00AB209E"/>
    <w:rsid w:val="00AB226A"/>
    <w:rsid w:val="00AB2D34"/>
    <w:rsid w:val="00AB30DD"/>
    <w:rsid w:val="00AB3226"/>
    <w:rsid w:val="00AB3430"/>
    <w:rsid w:val="00AB3A59"/>
    <w:rsid w:val="00AB3F06"/>
    <w:rsid w:val="00AB7A04"/>
    <w:rsid w:val="00AB7C38"/>
    <w:rsid w:val="00AB7CFA"/>
    <w:rsid w:val="00AB7FD9"/>
    <w:rsid w:val="00AC0594"/>
    <w:rsid w:val="00AC12AE"/>
    <w:rsid w:val="00AC1F5B"/>
    <w:rsid w:val="00AC2137"/>
    <w:rsid w:val="00AC3DCA"/>
    <w:rsid w:val="00AC4774"/>
    <w:rsid w:val="00AC49BA"/>
    <w:rsid w:val="00AC569D"/>
    <w:rsid w:val="00AC595C"/>
    <w:rsid w:val="00AC5C41"/>
    <w:rsid w:val="00AC65DB"/>
    <w:rsid w:val="00AC69AF"/>
    <w:rsid w:val="00AC69C0"/>
    <w:rsid w:val="00AC726F"/>
    <w:rsid w:val="00AD0A16"/>
    <w:rsid w:val="00AD127B"/>
    <w:rsid w:val="00AD16FB"/>
    <w:rsid w:val="00AD2B11"/>
    <w:rsid w:val="00AD319B"/>
    <w:rsid w:val="00AD3B6F"/>
    <w:rsid w:val="00AD3E1E"/>
    <w:rsid w:val="00AD44CB"/>
    <w:rsid w:val="00AD481B"/>
    <w:rsid w:val="00AD6C38"/>
    <w:rsid w:val="00AE177C"/>
    <w:rsid w:val="00AE1C6D"/>
    <w:rsid w:val="00AE311C"/>
    <w:rsid w:val="00AE38BC"/>
    <w:rsid w:val="00AE4702"/>
    <w:rsid w:val="00AE4874"/>
    <w:rsid w:val="00AE5911"/>
    <w:rsid w:val="00AE690D"/>
    <w:rsid w:val="00AE6B73"/>
    <w:rsid w:val="00AE70F8"/>
    <w:rsid w:val="00AE7C7E"/>
    <w:rsid w:val="00AF0518"/>
    <w:rsid w:val="00AF07BF"/>
    <w:rsid w:val="00AF1BB2"/>
    <w:rsid w:val="00AF1C8F"/>
    <w:rsid w:val="00AF473A"/>
    <w:rsid w:val="00AF4995"/>
    <w:rsid w:val="00AF612A"/>
    <w:rsid w:val="00AF7615"/>
    <w:rsid w:val="00B001C2"/>
    <w:rsid w:val="00B02FBA"/>
    <w:rsid w:val="00B0525D"/>
    <w:rsid w:val="00B05635"/>
    <w:rsid w:val="00B05AA3"/>
    <w:rsid w:val="00B0760C"/>
    <w:rsid w:val="00B12AEF"/>
    <w:rsid w:val="00B14F99"/>
    <w:rsid w:val="00B161CE"/>
    <w:rsid w:val="00B16799"/>
    <w:rsid w:val="00B16F38"/>
    <w:rsid w:val="00B172CA"/>
    <w:rsid w:val="00B20727"/>
    <w:rsid w:val="00B211A5"/>
    <w:rsid w:val="00B2215E"/>
    <w:rsid w:val="00B221B7"/>
    <w:rsid w:val="00B22770"/>
    <w:rsid w:val="00B22A01"/>
    <w:rsid w:val="00B23917"/>
    <w:rsid w:val="00B2404E"/>
    <w:rsid w:val="00B2441D"/>
    <w:rsid w:val="00B25B22"/>
    <w:rsid w:val="00B26875"/>
    <w:rsid w:val="00B26F48"/>
    <w:rsid w:val="00B301A2"/>
    <w:rsid w:val="00B312D5"/>
    <w:rsid w:val="00B3436A"/>
    <w:rsid w:val="00B34B18"/>
    <w:rsid w:val="00B34D7B"/>
    <w:rsid w:val="00B3692F"/>
    <w:rsid w:val="00B41B41"/>
    <w:rsid w:val="00B41B43"/>
    <w:rsid w:val="00B42277"/>
    <w:rsid w:val="00B425B0"/>
    <w:rsid w:val="00B42851"/>
    <w:rsid w:val="00B42EE6"/>
    <w:rsid w:val="00B43466"/>
    <w:rsid w:val="00B448BE"/>
    <w:rsid w:val="00B450AE"/>
    <w:rsid w:val="00B475F9"/>
    <w:rsid w:val="00B50512"/>
    <w:rsid w:val="00B50539"/>
    <w:rsid w:val="00B5069D"/>
    <w:rsid w:val="00B50CD8"/>
    <w:rsid w:val="00B50DB8"/>
    <w:rsid w:val="00B50EA3"/>
    <w:rsid w:val="00B51F2A"/>
    <w:rsid w:val="00B52A03"/>
    <w:rsid w:val="00B52CDD"/>
    <w:rsid w:val="00B53905"/>
    <w:rsid w:val="00B546D7"/>
    <w:rsid w:val="00B54B5B"/>
    <w:rsid w:val="00B55553"/>
    <w:rsid w:val="00B5562E"/>
    <w:rsid w:val="00B57000"/>
    <w:rsid w:val="00B578A7"/>
    <w:rsid w:val="00B606BA"/>
    <w:rsid w:val="00B60939"/>
    <w:rsid w:val="00B60AFD"/>
    <w:rsid w:val="00B60B16"/>
    <w:rsid w:val="00B60D35"/>
    <w:rsid w:val="00B614A0"/>
    <w:rsid w:val="00B61DE3"/>
    <w:rsid w:val="00B6207B"/>
    <w:rsid w:val="00B62715"/>
    <w:rsid w:val="00B627B8"/>
    <w:rsid w:val="00B63A2D"/>
    <w:rsid w:val="00B6462D"/>
    <w:rsid w:val="00B64AAA"/>
    <w:rsid w:val="00B6500F"/>
    <w:rsid w:val="00B65E27"/>
    <w:rsid w:val="00B67241"/>
    <w:rsid w:val="00B70EE4"/>
    <w:rsid w:val="00B71E79"/>
    <w:rsid w:val="00B73476"/>
    <w:rsid w:val="00B739E7"/>
    <w:rsid w:val="00B7486A"/>
    <w:rsid w:val="00B76563"/>
    <w:rsid w:val="00B76B73"/>
    <w:rsid w:val="00B76F31"/>
    <w:rsid w:val="00B77017"/>
    <w:rsid w:val="00B77518"/>
    <w:rsid w:val="00B8101B"/>
    <w:rsid w:val="00B81538"/>
    <w:rsid w:val="00B818A4"/>
    <w:rsid w:val="00B819FE"/>
    <w:rsid w:val="00B827C9"/>
    <w:rsid w:val="00B827E7"/>
    <w:rsid w:val="00B82C14"/>
    <w:rsid w:val="00B83DA1"/>
    <w:rsid w:val="00B850A0"/>
    <w:rsid w:val="00B851F1"/>
    <w:rsid w:val="00B85517"/>
    <w:rsid w:val="00B85719"/>
    <w:rsid w:val="00B8625E"/>
    <w:rsid w:val="00B863DC"/>
    <w:rsid w:val="00B8649C"/>
    <w:rsid w:val="00B86BE3"/>
    <w:rsid w:val="00B86C28"/>
    <w:rsid w:val="00B87C60"/>
    <w:rsid w:val="00B909B3"/>
    <w:rsid w:val="00B91524"/>
    <w:rsid w:val="00B91B23"/>
    <w:rsid w:val="00B91D39"/>
    <w:rsid w:val="00B91D84"/>
    <w:rsid w:val="00B9207E"/>
    <w:rsid w:val="00B924CF"/>
    <w:rsid w:val="00B924F3"/>
    <w:rsid w:val="00B92D0B"/>
    <w:rsid w:val="00B92D26"/>
    <w:rsid w:val="00B92D7C"/>
    <w:rsid w:val="00B92E60"/>
    <w:rsid w:val="00B944FF"/>
    <w:rsid w:val="00B94945"/>
    <w:rsid w:val="00B957BB"/>
    <w:rsid w:val="00B95889"/>
    <w:rsid w:val="00B969D5"/>
    <w:rsid w:val="00B972BE"/>
    <w:rsid w:val="00B97B41"/>
    <w:rsid w:val="00BA0294"/>
    <w:rsid w:val="00BA07A9"/>
    <w:rsid w:val="00BA270D"/>
    <w:rsid w:val="00BA2D27"/>
    <w:rsid w:val="00BA39F3"/>
    <w:rsid w:val="00BA4C36"/>
    <w:rsid w:val="00BA5232"/>
    <w:rsid w:val="00BA731B"/>
    <w:rsid w:val="00BA7998"/>
    <w:rsid w:val="00BB23AC"/>
    <w:rsid w:val="00BB304C"/>
    <w:rsid w:val="00BB441A"/>
    <w:rsid w:val="00BB4A74"/>
    <w:rsid w:val="00BB5300"/>
    <w:rsid w:val="00BB55A5"/>
    <w:rsid w:val="00BB5D20"/>
    <w:rsid w:val="00BB7405"/>
    <w:rsid w:val="00BC2185"/>
    <w:rsid w:val="00BC2306"/>
    <w:rsid w:val="00BC2A6D"/>
    <w:rsid w:val="00BC52AF"/>
    <w:rsid w:val="00BC6056"/>
    <w:rsid w:val="00BC72D2"/>
    <w:rsid w:val="00BD36A6"/>
    <w:rsid w:val="00BD4343"/>
    <w:rsid w:val="00BD684D"/>
    <w:rsid w:val="00BD6CF3"/>
    <w:rsid w:val="00BD7906"/>
    <w:rsid w:val="00BE1C7D"/>
    <w:rsid w:val="00BE2180"/>
    <w:rsid w:val="00BE2A54"/>
    <w:rsid w:val="00BE33FB"/>
    <w:rsid w:val="00BE3D5E"/>
    <w:rsid w:val="00BE4275"/>
    <w:rsid w:val="00BE465B"/>
    <w:rsid w:val="00BE4985"/>
    <w:rsid w:val="00BE4C04"/>
    <w:rsid w:val="00BE61EF"/>
    <w:rsid w:val="00BE6822"/>
    <w:rsid w:val="00BE6DC2"/>
    <w:rsid w:val="00BE7072"/>
    <w:rsid w:val="00BF049B"/>
    <w:rsid w:val="00BF0CF7"/>
    <w:rsid w:val="00BF1006"/>
    <w:rsid w:val="00BF1B6C"/>
    <w:rsid w:val="00BF21DA"/>
    <w:rsid w:val="00BF2433"/>
    <w:rsid w:val="00BF2C33"/>
    <w:rsid w:val="00BF47EC"/>
    <w:rsid w:val="00BF4964"/>
    <w:rsid w:val="00BF5196"/>
    <w:rsid w:val="00BF61C9"/>
    <w:rsid w:val="00BF65B5"/>
    <w:rsid w:val="00BF6642"/>
    <w:rsid w:val="00BF69F7"/>
    <w:rsid w:val="00BF779F"/>
    <w:rsid w:val="00C00ECA"/>
    <w:rsid w:val="00C012C5"/>
    <w:rsid w:val="00C01D78"/>
    <w:rsid w:val="00C01FC0"/>
    <w:rsid w:val="00C02089"/>
    <w:rsid w:val="00C03482"/>
    <w:rsid w:val="00C03E0C"/>
    <w:rsid w:val="00C049DE"/>
    <w:rsid w:val="00C05519"/>
    <w:rsid w:val="00C05F03"/>
    <w:rsid w:val="00C06320"/>
    <w:rsid w:val="00C0692B"/>
    <w:rsid w:val="00C06AE4"/>
    <w:rsid w:val="00C07548"/>
    <w:rsid w:val="00C07EE8"/>
    <w:rsid w:val="00C1129A"/>
    <w:rsid w:val="00C11767"/>
    <w:rsid w:val="00C12227"/>
    <w:rsid w:val="00C12A3B"/>
    <w:rsid w:val="00C12EC8"/>
    <w:rsid w:val="00C15036"/>
    <w:rsid w:val="00C16DA9"/>
    <w:rsid w:val="00C16E46"/>
    <w:rsid w:val="00C16F1C"/>
    <w:rsid w:val="00C1751C"/>
    <w:rsid w:val="00C17F7D"/>
    <w:rsid w:val="00C24964"/>
    <w:rsid w:val="00C25418"/>
    <w:rsid w:val="00C25D9C"/>
    <w:rsid w:val="00C2722E"/>
    <w:rsid w:val="00C3145F"/>
    <w:rsid w:val="00C31649"/>
    <w:rsid w:val="00C31C04"/>
    <w:rsid w:val="00C31E5A"/>
    <w:rsid w:val="00C33598"/>
    <w:rsid w:val="00C36150"/>
    <w:rsid w:val="00C40360"/>
    <w:rsid w:val="00C40385"/>
    <w:rsid w:val="00C42F11"/>
    <w:rsid w:val="00C44AA7"/>
    <w:rsid w:val="00C5042C"/>
    <w:rsid w:val="00C514AA"/>
    <w:rsid w:val="00C516F0"/>
    <w:rsid w:val="00C52977"/>
    <w:rsid w:val="00C534DF"/>
    <w:rsid w:val="00C53510"/>
    <w:rsid w:val="00C53F36"/>
    <w:rsid w:val="00C54D5D"/>
    <w:rsid w:val="00C60641"/>
    <w:rsid w:val="00C60F58"/>
    <w:rsid w:val="00C62C93"/>
    <w:rsid w:val="00C63109"/>
    <w:rsid w:val="00C63344"/>
    <w:rsid w:val="00C6399D"/>
    <w:rsid w:val="00C63BFE"/>
    <w:rsid w:val="00C65576"/>
    <w:rsid w:val="00C66165"/>
    <w:rsid w:val="00C67853"/>
    <w:rsid w:val="00C70720"/>
    <w:rsid w:val="00C71668"/>
    <w:rsid w:val="00C73E16"/>
    <w:rsid w:val="00C750C8"/>
    <w:rsid w:val="00C7590E"/>
    <w:rsid w:val="00C77889"/>
    <w:rsid w:val="00C77B8B"/>
    <w:rsid w:val="00C806A4"/>
    <w:rsid w:val="00C81342"/>
    <w:rsid w:val="00C8148D"/>
    <w:rsid w:val="00C8162A"/>
    <w:rsid w:val="00C8213F"/>
    <w:rsid w:val="00C83454"/>
    <w:rsid w:val="00C844E0"/>
    <w:rsid w:val="00C84C81"/>
    <w:rsid w:val="00C85EEA"/>
    <w:rsid w:val="00C86389"/>
    <w:rsid w:val="00C86C21"/>
    <w:rsid w:val="00C86FC4"/>
    <w:rsid w:val="00C8724D"/>
    <w:rsid w:val="00C873E1"/>
    <w:rsid w:val="00C8797A"/>
    <w:rsid w:val="00C87B9F"/>
    <w:rsid w:val="00C87F28"/>
    <w:rsid w:val="00C90082"/>
    <w:rsid w:val="00C92902"/>
    <w:rsid w:val="00C938CF"/>
    <w:rsid w:val="00C945A6"/>
    <w:rsid w:val="00C94FD1"/>
    <w:rsid w:val="00C95CA5"/>
    <w:rsid w:val="00C96DAD"/>
    <w:rsid w:val="00C971A2"/>
    <w:rsid w:val="00CA074D"/>
    <w:rsid w:val="00CA1585"/>
    <w:rsid w:val="00CA1B12"/>
    <w:rsid w:val="00CA1B89"/>
    <w:rsid w:val="00CA2509"/>
    <w:rsid w:val="00CA450B"/>
    <w:rsid w:val="00CA5245"/>
    <w:rsid w:val="00CA5903"/>
    <w:rsid w:val="00CA5E44"/>
    <w:rsid w:val="00CA645F"/>
    <w:rsid w:val="00CA6497"/>
    <w:rsid w:val="00CA6793"/>
    <w:rsid w:val="00CA76D9"/>
    <w:rsid w:val="00CA7AC4"/>
    <w:rsid w:val="00CA7B09"/>
    <w:rsid w:val="00CA7C86"/>
    <w:rsid w:val="00CA7F40"/>
    <w:rsid w:val="00CB084A"/>
    <w:rsid w:val="00CB2A9E"/>
    <w:rsid w:val="00CB2EFD"/>
    <w:rsid w:val="00CB3328"/>
    <w:rsid w:val="00CB3D72"/>
    <w:rsid w:val="00CB447F"/>
    <w:rsid w:val="00CB52C8"/>
    <w:rsid w:val="00CB5B1A"/>
    <w:rsid w:val="00CB5EFA"/>
    <w:rsid w:val="00CB6F57"/>
    <w:rsid w:val="00CC4678"/>
    <w:rsid w:val="00CC5612"/>
    <w:rsid w:val="00CC5DEA"/>
    <w:rsid w:val="00CC6BE2"/>
    <w:rsid w:val="00CC7ADC"/>
    <w:rsid w:val="00CC7B16"/>
    <w:rsid w:val="00CC7C3D"/>
    <w:rsid w:val="00CD01FD"/>
    <w:rsid w:val="00CD0E98"/>
    <w:rsid w:val="00CD4C53"/>
    <w:rsid w:val="00CD57B1"/>
    <w:rsid w:val="00CD59A5"/>
    <w:rsid w:val="00CD5E27"/>
    <w:rsid w:val="00CD6ADC"/>
    <w:rsid w:val="00CD6DF8"/>
    <w:rsid w:val="00CD750F"/>
    <w:rsid w:val="00CD7A86"/>
    <w:rsid w:val="00CE0963"/>
    <w:rsid w:val="00CE09D2"/>
    <w:rsid w:val="00CE0C4F"/>
    <w:rsid w:val="00CE2C31"/>
    <w:rsid w:val="00CE2CCF"/>
    <w:rsid w:val="00CE2DEA"/>
    <w:rsid w:val="00CE5122"/>
    <w:rsid w:val="00CE6274"/>
    <w:rsid w:val="00CE69C5"/>
    <w:rsid w:val="00CE73C8"/>
    <w:rsid w:val="00CE75C0"/>
    <w:rsid w:val="00CE7B96"/>
    <w:rsid w:val="00CF0A95"/>
    <w:rsid w:val="00CF280F"/>
    <w:rsid w:val="00CF2BA7"/>
    <w:rsid w:val="00CF3A7A"/>
    <w:rsid w:val="00CF456B"/>
    <w:rsid w:val="00CF4645"/>
    <w:rsid w:val="00CF4B1E"/>
    <w:rsid w:val="00CF5A22"/>
    <w:rsid w:val="00CF6699"/>
    <w:rsid w:val="00CF70CA"/>
    <w:rsid w:val="00D00E23"/>
    <w:rsid w:val="00D01337"/>
    <w:rsid w:val="00D02226"/>
    <w:rsid w:val="00D0262E"/>
    <w:rsid w:val="00D02D05"/>
    <w:rsid w:val="00D038E3"/>
    <w:rsid w:val="00D03F39"/>
    <w:rsid w:val="00D0578E"/>
    <w:rsid w:val="00D05940"/>
    <w:rsid w:val="00D05CE3"/>
    <w:rsid w:val="00D05D96"/>
    <w:rsid w:val="00D06274"/>
    <w:rsid w:val="00D064D7"/>
    <w:rsid w:val="00D10E76"/>
    <w:rsid w:val="00D110BD"/>
    <w:rsid w:val="00D11606"/>
    <w:rsid w:val="00D12A08"/>
    <w:rsid w:val="00D12E59"/>
    <w:rsid w:val="00D14363"/>
    <w:rsid w:val="00D15296"/>
    <w:rsid w:val="00D1625A"/>
    <w:rsid w:val="00D16C20"/>
    <w:rsid w:val="00D17D6C"/>
    <w:rsid w:val="00D20094"/>
    <w:rsid w:val="00D20832"/>
    <w:rsid w:val="00D20B6A"/>
    <w:rsid w:val="00D2151A"/>
    <w:rsid w:val="00D22308"/>
    <w:rsid w:val="00D23A44"/>
    <w:rsid w:val="00D244C5"/>
    <w:rsid w:val="00D27392"/>
    <w:rsid w:val="00D27801"/>
    <w:rsid w:val="00D3094F"/>
    <w:rsid w:val="00D30C78"/>
    <w:rsid w:val="00D313B7"/>
    <w:rsid w:val="00D313FD"/>
    <w:rsid w:val="00D326C6"/>
    <w:rsid w:val="00D3297E"/>
    <w:rsid w:val="00D32995"/>
    <w:rsid w:val="00D3323A"/>
    <w:rsid w:val="00D33612"/>
    <w:rsid w:val="00D33AAA"/>
    <w:rsid w:val="00D33EB9"/>
    <w:rsid w:val="00D357FF"/>
    <w:rsid w:val="00D37A38"/>
    <w:rsid w:val="00D420E8"/>
    <w:rsid w:val="00D43C33"/>
    <w:rsid w:val="00D44CC1"/>
    <w:rsid w:val="00D44E95"/>
    <w:rsid w:val="00D4524C"/>
    <w:rsid w:val="00D458CD"/>
    <w:rsid w:val="00D4719E"/>
    <w:rsid w:val="00D524C6"/>
    <w:rsid w:val="00D5262B"/>
    <w:rsid w:val="00D532AC"/>
    <w:rsid w:val="00D5365C"/>
    <w:rsid w:val="00D5385C"/>
    <w:rsid w:val="00D54A4E"/>
    <w:rsid w:val="00D55AB9"/>
    <w:rsid w:val="00D566D9"/>
    <w:rsid w:val="00D566FC"/>
    <w:rsid w:val="00D60BE0"/>
    <w:rsid w:val="00D61A29"/>
    <w:rsid w:val="00D61CCD"/>
    <w:rsid w:val="00D62B98"/>
    <w:rsid w:val="00D6459C"/>
    <w:rsid w:val="00D6611C"/>
    <w:rsid w:val="00D66456"/>
    <w:rsid w:val="00D66E30"/>
    <w:rsid w:val="00D67271"/>
    <w:rsid w:val="00D708D7"/>
    <w:rsid w:val="00D71C0C"/>
    <w:rsid w:val="00D73C47"/>
    <w:rsid w:val="00D73CAE"/>
    <w:rsid w:val="00D74C59"/>
    <w:rsid w:val="00D74D50"/>
    <w:rsid w:val="00D74E4B"/>
    <w:rsid w:val="00D768DF"/>
    <w:rsid w:val="00D76954"/>
    <w:rsid w:val="00D76A44"/>
    <w:rsid w:val="00D76DA4"/>
    <w:rsid w:val="00D81B5A"/>
    <w:rsid w:val="00D82944"/>
    <w:rsid w:val="00D83CD6"/>
    <w:rsid w:val="00D844F0"/>
    <w:rsid w:val="00D84CAD"/>
    <w:rsid w:val="00D85AC0"/>
    <w:rsid w:val="00D85DDE"/>
    <w:rsid w:val="00D860CA"/>
    <w:rsid w:val="00D90E4B"/>
    <w:rsid w:val="00D917C3"/>
    <w:rsid w:val="00D928CF"/>
    <w:rsid w:val="00D93753"/>
    <w:rsid w:val="00D9480B"/>
    <w:rsid w:val="00D972B1"/>
    <w:rsid w:val="00D97569"/>
    <w:rsid w:val="00D97F54"/>
    <w:rsid w:val="00D97FEB"/>
    <w:rsid w:val="00DA109C"/>
    <w:rsid w:val="00DA2E00"/>
    <w:rsid w:val="00DA4918"/>
    <w:rsid w:val="00DA5D42"/>
    <w:rsid w:val="00DA77A5"/>
    <w:rsid w:val="00DA7A65"/>
    <w:rsid w:val="00DB0DDA"/>
    <w:rsid w:val="00DB26C4"/>
    <w:rsid w:val="00DB2A82"/>
    <w:rsid w:val="00DB2B3F"/>
    <w:rsid w:val="00DB32DF"/>
    <w:rsid w:val="00DB3B5C"/>
    <w:rsid w:val="00DB42AA"/>
    <w:rsid w:val="00DB5883"/>
    <w:rsid w:val="00DB5F04"/>
    <w:rsid w:val="00DB7409"/>
    <w:rsid w:val="00DB7A64"/>
    <w:rsid w:val="00DB7C44"/>
    <w:rsid w:val="00DC01B5"/>
    <w:rsid w:val="00DC0BAD"/>
    <w:rsid w:val="00DC0ED0"/>
    <w:rsid w:val="00DC324D"/>
    <w:rsid w:val="00DC37A7"/>
    <w:rsid w:val="00DC54CA"/>
    <w:rsid w:val="00DC5501"/>
    <w:rsid w:val="00DC5734"/>
    <w:rsid w:val="00DC79A1"/>
    <w:rsid w:val="00DD05C0"/>
    <w:rsid w:val="00DD0C67"/>
    <w:rsid w:val="00DD14EF"/>
    <w:rsid w:val="00DD1A23"/>
    <w:rsid w:val="00DD1DEA"/>
    <w:rsid w:val="00DD25BB"/>
    <w:rsid w:val="00DD25DD"/>
    <w:rsid w:val="00DD2923"/>
    <w:rsid w:val="00DD3F28"/>
    <w:rsid w:val="00DD44EF"/>
    <w:rsid w:val="00DD4537"/>
    <w:rsid w:val="00DD4A6F"/>
    <w:rsid w:val="00DD4E15"/>
    <w:rsid w:val="00DD5A96"/>
    <w:rsid w:val="00DD63E5"/>
    <w:rsid w:val="00DE0329"/>
    <w:rsid w:val="00DE1013"/>
    <w:rsid w:val="00DE12DF"/>
    <w:rsid w:val="00DE420A"/>
    <w:rsid w:val="00DE4DBA"/>
    <w:rsid w:val="00DE4FCB"/>
    <w:rsid w:val="00DE55D9"/>
    <w:rsid w:val="00DE5A78"/>
    <w:rsid w:val="00DE6113"/>
    <w:rsid w:val="00DE6BC5"/>
    <w:rsid w:val="00DE7138"/>
    <w:rsid w:val="00DE72D8"/>
    <w:rsid w:val="00DF0F7C"/>
    <w:rsid w:val="00DF22FA"/>
    <w:rsid w:val="00DF3563"/>
    <w:rsid w:val="00DF43D3"/>
    <w:rsid w:val="00DF5D2B"/>
    <w:rsid w:val="00DF71F5"/>
    <w:rsid w:val="00E01342"/>
    <w:rsid w:val="00E02F73"/>
    <w:rsid w:val="00E05537"/>
    <w:rsid w:val="00E06095"/>
    <w:rsid w:val="00E0634A"/>
    <w:rsid w:val="00E06BBB"/>
    <w:rsid w:val="00E0703E"/>
    <w:rsid w:val="00E07861"/>
    <w:rsid w:val="00E10149"/>
    <w:rsid w:val="00E108D8"/>
    <w:rsid w:val="00E1151E"/>
    <w:rsid w:val="00E122B4"/>
    <w:rsid w:val="00E140A9"/>
    <w:rsid w:val="00E15335"/>
    <w:rsid w:val="00E16372"/>
    <w:rsid w:val="00E16443"/>
    <w:rsid w:val="00E1678B"/>
    <w:rsid w:val="00E169BF"/>
    <w:rsid w:val="00E17345"/>
    <w:rsid w:val="00E20634"/>
    <w:rsid w:val="00E20ED6"/>
    <w:rsid w:val="00E21358"/>
    <w:rsid w:val="00E21BC4"/>
    <w:rsid w:val="00E2249B"/>
    <w:rsid w:val="00E22A0D"/>
    <w:rsid w:val="00E23373"/>
    <w:rsid w:val="00E23ABA"/>
    <w:rsid w:val="00E24E1F"/>
    <w:rsid w:val="00E25183"/>
    <w:rsid w:val="00E25DDB"/>
    <w:rsid w:val="00E26137"/>
    <w:rsid w:val="00E262F2"/>
    <w:rsid w:val="00E2667D"/>
    <w:rsid w:val="00E2771E"/>
    <w:rsid w:val="00E30681"/>
    <w:rsid w:val="00E3176A"/>
    <w:rsid w:val="00E31F8E"/>
    <w:rsid w:val="00E32EC1"/>
    <w:rsid w:val="00E33613"/>
    <w:rsid w:val="00E3389A"/>
    <w:rsid w:val="00E33D61"/>
    <w:rsid w:val="00E35C8E"/>
    <w:rsid w:val="00E369DC"/>
    <w:rsid w:val="00E36A10"/>
    <w:rsid w:val="00E374CF"/>
    <w:rsid w:val="00E37569"/>
    <w:rsid w:val="00E41E30"/>
    <w:rsid w:val="00E424F2"/>
    <w:rsid w:val="00E42ABC"/>
    <w:rsid w:val="00E42F56"/>
    <w:rsid w:val="00E43D70"/>
    <w:rsid w:val="00E4695C"/>
    <w:rsid w:val="00E46DAD"/>
    <w:rsid w:val="00E473C0"/>
    <w:rsid w:val="00E47864"/>
    <w:rsid w:val="00E47B2C"/>
    <w:rsid w:val="00E5014A"/>
    <w:rsid w:val="00E50408"/>
    <w:rsid w:val="00E51560"/>
    <w:rsid w:val="00E51D6D"/>
    <w:rsid w:val="00E540F6"/>
    <w:rsid w:val="00E542B3"/>
    <w:rsid w:val="00E54A90"/>
    <w:rsid w:val="00E54E78"/>
    <w:rsid w:val="00E55424"/>
    <w:rsid w:val="00E5586D"/>
    <w:rsid w:val="00E55BB5"/>
    <w:rsid w:val="00E566AA"/>
    <w:rsid w:val="00E5682B"/>
    <w:rsid w:val="00E56835"/>
    <w:rsid w:val="00E57A1B"/>
    <w:rsid w:val="00E60952"/>
    <w:rsid w:val="00E617D0"/>
    <w:rsid w:val="00E61DAA"/>
    <w:rsid w:val="00E61EDE"/>
    <w:rsid w:val="00E63482"/>
    <w:rsid w:val="00E64382"/>
    <w:rsid w:val="00E64A1A"/>
    <w:rsid w:val="00E64A39"/>
    <w:rsid w:val="00E65354"/>
    <w:rsid w:val="00E65BCE"/>
    <w:rsid w:val="00E65E79"/>
    <w:rsid w:val="00E671B6"/>
    <w:rsid w:val="00E67416"/>
    <w:rsid w:val="00E67BB3"/>
    <w:rsid w:val="00E70057"/>
    <w:rsid w:val="00E715E5"/>
    <w:rsid w:val="00E718B6"/>
    <w:rsid w:val="00E7252E"/>
    <w:rsid w:val="00E73043"/>
    <w:rsid w:val="00E73581"/>
    <w:rsid w:val="00E73A7B"/>
    <w:rsid w:val="00E73FF9"/>
    <w:rsid w:val="00E746CE"/>
    <w:rsid w:val="00E74D74"/>
    <w:rsid w:val="00E762FD"/>
    <w:rsid w:val="00E77E95"/>
    <w:rsid w:val="00E816DE"/>
    <w:rsid w:val="00E825B2"/>
    <w:rsid w:val="00E83123"/>
    <w:rsid w:val="00E838DC"/>
    <w:rsid w:val="00E83B3B"/>
    <w:rsid w:val="00E83BDF"/>
    <w:rsid w:val="00E854BD"/>
    <w:rsid w:val="00E85922"/>
    <w:rsid w:val="00E86BA2"/>
    <w:rsid w:val="00E87CE4"/>
    <w:rsid w:val="00E90346"/>
    <w:rsid w:val="00E92CB6"/>
    <w:rsid w:val="00E930CB"/>
    <w:rsid w:val="00E933C1"/>
    <w:rsid w:val="00E94FF1"/>
    <w:rsid w:val="00E954AB"/>
    <w:rsid w:val="00E96238"/>
    <w:rsid w:val="00E962F6"/>
    <w:rsid w:val="00E97EE7"/>
    <w:rsid w:val="00EA01DE"/>
    <w:rsid w:val="00EA06B6"/>
    <w:rsid w:val="00EA06FA"/>
    <w:rsid w:val="00EA0A7D"/>
    <w:rsid w:val="00EA12AF"/>
    <w:rsid w:val="00EA1AD4"/>
    <w:rsid w:val="00EA20FE"/>
    <w:rsid w:val="00EA211F"/>
    <w:rsid w:val="00EA3864"/>
    <w:rsid w:val="00EA5047"/>
    <w:rsid w:val="00EA517A"/>
    <w:rsid w:val="00EA584A"/>
    <w:rsid w:val="00EA5922"/>
    <w:rsid w:val="00EA5C82"/>
    <w:rsid w:val="00EA69C9"/>
    <w:rsid w:val="00EA7794"/>
    <w:rsid w:val="00EA7983"/>
    <w:rsid w:val="00EB15B6"/>
    <w:rsid w:val="00EB22FE"/>
    <w:rsid w:val="00EB2F0A"/>
    <w:rsid w:val="00EB4916"/>
    <w:rsid w:val="00EB5A84"/>
    <w:rsid w:val="00EB63B4"/>
    <w:rsid w:val="00EB6C86"/>
    <w:rsid w:val="00EB70CD"/>
    <w:rsid w:val="00EC00C9"/>
    <w:rsid w:val="00EC06D8"/>
    <w:rsid w:val="00EC24F3"/>
    <w:rsid w:val="00EC2590"/>
    <w:rsid w:val="00EC36E4"/>
    <w:rsid w:val="00EC3FFE"/>
    <w:rsid w:val="00EC59C1"/>
    <w:rsid w:val="00EC69E9"/>
    <w:rsid w:val="00EC7BF1"/>
    <w:rsid w:val="00ED0D85"/>
    <w:rsid w:val="00ED1414"/>
    <w:rsid w:val="00ED1CE6"/>
    <w:rsid w:val="00ED2E3D"/>
    <w:rsid w:val="00ED4697"/>
    <w:rsid w:val="00ED4E7A"/>
    <w:rsid w:val="00ED5458"/>
    <w:rsid w:val="00ED66E3"/>
    <w:rsid w:val="00EE035E"/>
    <w:rsid w:val="00EE07D3"/>
    <w:rsid w:val="00EE0D7B"/>
    <w:rsid w:val="00EE122D"/>
    <w:rsid w:val="00EE1C2F"/>
    <w:rsid w:val="00EE4A41"/>
    <w:rsid w:val="00EE5979"/>
    <w:rsid w:val="00EE5B1C"/>
    <w:rsid w:val="00EE67A8"/>
    <w:rsid w:val="00EE7B9F"/>
    <w:rsid w:val="00EF0B05"/>
    <w:rsid w:val="00EF20DA"/>
    <w:rsid w:val="00EF243C"/>
    <w:rsid w:val="00EF39D5"/>
    <w:rsid w:val="00EF4147"/>
    <w:rsid w:val="00EF422B"/>
    <w:rsid w:val="00EF428D"/>
    <w:rsid w:val="00EF43D0"/>
    <w:rsid w:val="00EF475C"/>
    <w:rsid w:val="00EF5A79"/>
    <w:rsid w:val="00EF71FB"/>
    <w:rsid w:val="00EF73BE"/>
    <w:rsid w:val="00EF7A8F"/>
    <w:rsid w:val="00EF7A94"/>
    <w:rsid w:val="00EF7B2B"/>
    <w:rsid w:val="00EF7E19"/>
    <w:rsid w:val="00F03445"/>
    <w:rsid w:val="00F041A3"/>
    <w:rsid w:val="00F04E2E"/>
    <w:rsid w:val="00F067A2"/>
    <w:rsid w:val="00F07E56"/>
    <w:rsid w:val="00F1198E"/>
    <w:rsid w:val="00F11C6B"/>
    <w:rsid w:val="00F13699"/>
    <w:rsid w:val="00F13E9A"/>
    <w:rsid w:val="00F14A16"/>
    <w:rsid w:val="00F1640A"/>
    <w:rsid w:val="00F21B91"/>
    <w:rsid w:val="00F21F6E"/>
    <w:rsid w:val="00F22693"/>
    <w:rsid w:val="00F22A71"/>
    <w:rsid w:val="00F22D54"/>
    <w:rsid w:val="00F23C38"/>
    <w:rsid w:val="00F243AA"/>
    <w:rsid w:val="00F24837"/>
    <w:rsid w:val="00F24C6C"/>
    <w:rsid w:val="00F2575F"/>
    <w:rsid w:val="00F30092"/>
    <w:rsid w:val="00F315D4"/>
    <w:rsid w:val="00F3191E"/>
    <w:rsid w:val="00F33DE9"/>
    <w:rsid w:val="00F35AFD"/>
    <w:rsid w:val="00F3619A"/>
    <w:rsid w:val="00F37448"/>
    <w:rsid w:val="00F37931"/>
    <w:rsid w:val="00F37BE4"/>
    <w:rsid w:val="00F37C99"/>
    <w:rsid w:val="00F402F5"/>
    <w:rsid w:val="00F406E8"/>
    <w:rsid w:val="00F4177C"/>
    <w:rsid w:val="00F42056"/>
    <w:rsid w:val="00F42FAD"/>
    <w:rsid w:val="00F43AA6"/>
    <w:rsid w:val="00F46164"/>
    <w:rsid w:val="00F46CB6"/>
    <w:rsid w:val="00F47978"/>
    <w:rsid w:val="00F47B65"/>
    <w:rsid w:val="00F47DCA"/>
    <w:rsid w:val="00F52697"/>
    <w:rsid w:val="00F52A3A"/>
    <w:rsid w:val="00F52E7D"/>
    <w:rsid w:val="00F55042"/>
    <w:rsid w:val="00F55C59"/>
    <w:rsid w:val="00F55E73"/>
    <w:rsid w:val="00F55F8A"/>
    <w:rsid w:val="00F56C63"/>
    <w:rsid w:val="00F56EAE"/>
    <w:rsid w:val="00F57327"/>
    <w:rsid w:val="00F578CE"/>
    <w:rsid w:val="00F60092"/>
    <w:rsid w:val="00F60584"/>
    <w:rsid w:val="00F60C28"/>
    <w:rsid w:val="00F61688"/>
    <w:rsid w:val="00F61692"/>
    <w:rsid w:val="00F6197B"/>
    <w:rsid w:val="00F61F1D"/>
    <w:rsid w:val="00F61F48"/>
    <w:rsid w:val="00F6253B"/>
    <w:rsid w:val="00F634CC"/>
    <w:rsid w:val="00F65D50"/>
    <w:rsid w:val="00F66B8C"/>
    <w:rsid w:val="00F7161A"/>
    <w:rsid w:val="00F71FBE"/>
    <w:rsid w:val="00F74114"/>
    <w:rsid w:val="00F74289"/>
    <w:rsid w:val="00F767C8"/>
    <w:rsid w:val="00F77A0A"/>
    <w:rsid w:val="00F77BEF"/>
    <w:rsid w:val="00F800AB"/>
    <w:rsid w:val="00F8092C"/>
    <w:rsid w:val="00F80E5D"/>
    <w:rsid w:val="00F8189F"/>
    <w:rsid w:val="00F8352B"/>
    <w:rsid w:val="00F83660"/>
    <w:rsid w:val="00F83DF9"/>
    <w:rsid w:val="00F84004"/>
    <w:rsid w:val="00F84C62"/>
    <w:rsid w:val="00F851CE"/>
    <w:rsid w:val="00F85211"/>
    <w:rsid w:val="00F86287"/>
    <w:rsid w:val="00F864BA"/>
    <w:rsid w:val="00F86AB3"/>
    <w:rsid w:val="00F86C49"/>
    <w:rsid w:val="00F874E6"/>
    <w:rsid w:val="00F879CA"/>
    <w:rsid w:val="00F87CA2"/>
    <w:rsid w:val="00F87D60"/>
    <w:rsid w:val="00F87D8D"/>
    <w:rsid w:val="00F9349E"/>
    <w:rsid w:val="00F93CE8"/>
    <w:rsid w:val="00F97A78"/>
    <w:rsid w:val="00FA027A"/>
    <w:rsid w:val="00FA0493"/>
    <w:rsid w:val="00FA0FB3"/>
    <w:rsid w:val="00FA128C"/>
    <w:rsid w:val="00FA1AC7"/>
    <w:rsid w:val="00FA1C2D"/>
    <w:rsid w:val="00FA22F4"/>
    <w:rsid w:val="00FA24E7"/>
    <w:rsid w:val="00FA3E3E"/>
    <w:rsid w:val="00FB1BA6"/>
    <w:rsid w:val="00FB2348"/>
    <w:rsid w:val="00FB2897"/>
    <w:rsid w:val="00FB2FCB"/>
    <w:rsid w:val="00FB37D7"/>
    <w:rsid w:val="00FB3B5F"/>
    <w:rsid w:val="00FB55D3"/>
    <w:rsid w:val="00FB692F"/>
    <w:rsid w:val="00FB72F9"/>
    <w:rsid w:val="00FB7566"/>
    <w:rsid w:val="00FB7B17"/>
    <w:rsid w:val="00FB7F3A"/>
    <w:rsid w:val="00FC009E"/>
    <w:rsid w:val="00FC0123"/>
    <w:rsid w:val="00FC0486"/>
    <w:rsid w:val="00FC0657"/>
    <w:rsid w:val="00FC1074"/>
    <w:rsid w:val="00FC151C"/>
    <w:rsid w:val="00FC1884"/>
    <w:rsid w:val="00FC258B"/>
    <w:rsid w:val="00FC294D"/>
    <w:rsid w:val="00FC2ED8"/>
    <w:rsid w:val="00FC31C3"/>
    <w:rsid w:val="00FC4EA5"/>
    <w:rsid w:val="00FC5B7E"/>
    <w:rsid w:val="00FC7392"/>
    <w:rsid w:val="00FD0F48"/>
    <w:rsid w:val="00FD2100"/>
    <w:rsid w:val="00FD34B9"/>
    <w:rsid w:val="00FD3A7D"/>
    <w:rsid w:val="00FD4399"/>
    <w:rsid w:val="00FD446D"/>
    <w:rsid w:val="00FD5374"/>
    <w:rsid w:val="00FD692E"/>
    <w:rsid w:val="00FD6D28"/>
    <w:rsid w:val="00FD7C3C"/>
    <w:rsid w:val="00FE07DB"/>
    <w:rsid w:val="00FE1EB1"/>
    <w:rsid w:val="00FE328F"/>
    <w:rsid w:val="00FE459C"/>
    <w:rsid w:val="00FE6B9E"/>
    <w:rsid w:val="00FE6F1E"/>
    <w:rsid w:val="00FF1607"/>
    <w:rsid w:val="00FF24E4"/>
    <w:rsid w:val="00FF3DCF"/>
    <w:rsid w:val="00FF4E2B"/>
    <w:rsid w:val="00FF54BC"/>
    <w:rsid w:val="00FF54CE"/>
    <w:rsid w:val="00FF5AA3"/>
    <w:rsid w:val="00FF716D"/>
    <w:rsid w:val="00FF719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440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annotation text" w:uiPriority="99"/>
    <w:lsdException w:name="header" w:uiPriority="99"/>
    <w:lsdException w:name="footer" w:uiPriority="99"/>
    <w:lsdException w:name="caption"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Body Text"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C70720"/>
    <w:pPr>
      <w:widowControl w:val="0"/>
      <w:jc w:val="both"/>
    </w:pPr>
    <w:rPr>
      <w:rFonts w:ascii="Arial" w:hAnsi="Arial" w:cs="Arial"/>
      <w:snapToGrid w:val="0"/>
      <w:sz w:val="22"/>
      <w:lang w:eastAsia="en-US"/>
    </w:rPr>
  </w:style>
  <w:style w:type="paragraph" w:styleId="Heading1">
    <w:name w:val="heading 1"/>
    <w:basedOn w:val="Normal"/>
    <w:next w:val="Normal"/>
    <w:link w:val="Heading1Char"/>
    <w:qFormat/>
    <w:rsid w:val="00D76A44"/>
    <w:pPr>
      <w:ind w:left="720" w:hanging="720"/>
      <w:outlineLvl w:val="0"/>
    </w:pPr>
    <w:rPr>
      <w:rFonts w:ascii="Arial Bold" w:hAnsi="Arial Bold"/>
      <w:b/>
      <w:caps/>
    </w:rPr>
  </w:style>
  <w:style w:type="paragraph" w:styleId="Heading2">
    <w:name w:val="heading 2"/>
    <w:basedOn w:val="Normal"/>
    <w:next w:val="Normal"/>
    <w:link w:val="Heading2Char"/>
    <w:qFormat/>
    <w:rsid w:val="004B3DDB"/>
    <w:pPr>
      <w:outlineLvl w:val="1"/>
    </w:pPr>
    <w:rPr>
      <w:b/>
    </w:rPr>
  </w:style>
  <w:style w:type="paragraph" w:styleId="Heading3">
    <w:name w:val="heading 3"/>
    <w:basedOn w:val="Normal"/>
    <w:next w:val="Normal"/>
    <w:link w:val="Heading3Char"/>
    <w:qFormat/>
    <w:rsid w:val="001F7361"/>
    <w:pPr>
      <w:outlineLvl w:val="2"/>
    </w:pPr>
    <w:rPr>
      <w:u w:val="single"/>
    </w:rPr>
  </w:style>
  <w:style w:type="paragraph" w:styleId="Heading4">
    <w:name w:val="heading 4"/>
    <w:basedOn w:val="Normal"/>
    <w:next w:val="Normal"/>
    <w:link w:val="Heading4Char"/>
    <w:rsid w:val="00124A51"/>
    <w:pPr>
      <w:keepNext/>
      <w:spacing w:before="240" w:after="60"/>
      <w:outlineLvl w:val="3"/>
    </w:pPr>
    <w:rPr>
      <w:b/>
      <w:bCs/>
      <w:i/>
      <w:sz w:val="26"/>
      <w:szCs w:val="28"/>
    </w:rPr>
  </w:style>
  <w:style w:type="paragraph" w:styleId="Heading5">
    <w:name w:val="heading 5"/>
    <w:basedOn w:val="Normal"/>
    <w:next w:val="Normal"/>
    <w:link w:val="Heading5Char"/>
    <w:rsid w:val="00124A51"/>
    <w:pPr>
      <w:spacing w:before="240" w:after="60"/>
      <w:outlineLvl w:val="4"/>
    </w:pPr>
    <w:rPr>
      <w:b/>
      <w:bCs/>
      <w:iCs/>
      <w:sz w:val="26"/>
      <w:szCs w:val="26"/>
    </w:rPr>
  </w:style>
  <w:style w:type="paragraph" w:styleId="Heading6">
    <w:name w:val="heading 6"/>
    <w:basedOn w:val="Normal"/>
    <w:next w:val="Normal"/>
    <w:link w:val="Heading6Char"/>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44646"/>
    <w:rPr>
      <w:rFonts w:ascii="Arial Bold" w:hAnsi="Arial Bold" w:cs="Arial"/>
      <w:b/>
      <w:caps/>
      <w:snapToGrid w:val="0"/>
      <w:sz w:val="22"/>
      <w:lang w:eastAsia="en-US"/>
    </w:rPr>
  </w:style>
  <w:style w:type="character" w:customStyle="1" w:styleId="Heading2Char">
    <w:name w:val="Heading 2 Char"/>
    <w:link w:val="Heading2"/>
    <w:uiPriority w:val="9"/>
    <w:rsid w:val="004B3DDB"/>
    <w:rPr>
      <w:rFonts w:ascii="Arial" w:hAnsi="Arial" w:cs="Arial"/>
      <w:b/>
      <w:snapToGrid w:val="0"/>
      <w:sz w:val="22"/>
      <w:lang w:eastAsia="en-US"/>
    </w:rPr>
  </w:style>
  <w:style w:type="character" w:customStyle="1" w:styleId="Heading3Char">
    <w:name w:val="Heading 3 Char"/>
    <w:basedOn w:val="DefaultParagraphFont"/>
    <w:link w:val="Heading3"/>
    <w:rsid w:val="00637264"/>
    <w:rPr>
      <w:rFonts w:ascii="Arial" w:hAnsi="Arial" w:cs="Arial"/>
      <w:snapToGrid w:val="0"/>
      <w:sz w:val="22"/>
      <w:u w:val="single"/>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rsid w:val="000D1BFC"/>
    <w:rPr>
      <w:b/>
      <w:sz w:val="20"/>
    </w:rPr>
  </w:style>
  <w:style w:type="paragraph" w:styleId="Caption">
    <w:name w:val="caption"/>
    <w:aliases w:val="IB Caption,Medical Caption,Caption Char1 Char Char,Caption Char Char Char Char,Caption Char1 Char,Caption Char Char Char Char Char,Caption Char Char,Caption Char Char Char Char1,Caption Char1 Char1,Caption Char Char Char,Bayer Capti"/>
    <w:basedOn w:val="Normal"/>
    <w:next w:val="Normal"/>
    <w:link w:val="CaptionChar"/>
    <w:unhideWhenUsed/>
    <w:qFormat/>
    <w:rsid w:val="00124A51"/>
    <w:pPr>
      <w:spacing w:after="200"/>
    </w:pPr>
    <w:rPr>
      <w:b/>
      <w:bCs/>
      <w:color w:val="4F81BD" w:themeColor="accent1"/>
      <w:sz w:val="18"/>
      <w:szCs w:val="18"/>
    </w:rPr>
  </w:style>
  <w:style w:type="character" w:customStyle="1" w:styleId="CaptionChar">
    <w:name w:val="Caption Char"/>
    <w:aliases w:val="IB Caption Char1,Medical Caption Char1,Caption Char1 Char Char Char1,Caption Char Char Char Char Char2,Caption Char1 Char Char2,Caption Char Char Char Char Char Char1,Caption Char Char Char2,Caption Char Char Char Char1 Char1"/>
    <w:link w:val="Caption"/>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ulletPoints"/>
    <w:basedOn w:val="Normal"/>
    <w:link w:val="ListParagraphChar"/>
    <w:uiPriority w:val="72"/>
    <w:qFormat/>
    <w:rsid w:val="00124A51"/>
    <w:pPr>
      <w:ind w:left="720"/>
      <w:contextualSpacing/>
    </w:pPr>
  </w:style>
  <w:style w:type="character" w:customStyle="1" w:styleId="ListParagraphChar">
    <w:name w:val="List Paragraph Char"/>
    <w:aliases w:val="BulletPoints Char"/>
    <w:link w:val="ListParagraph"/>
    <w:uiPriority w:val="72"/>
    <w:rsid w:val="00DB5F04"/>
    <w:rPr>
      <w:rFonts w:ascii="Arial" w:hAnsi="Arial" w:cs="Arial"/>
      <w:snapToGrid w:val="0"/>
      <w:sz w:val="22"/>
      <w:lang w:eastAsia="en-US"/>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E2771E"/>
    <w:rPr>
      <w:rFonts w:ascii="Arial Narrow" w:hAnsi="Arial Narrow"/>
      <w:b/>
      <w:sz w:val="20"/>
      <w:szCs w:val="16"/>
    </w:rPr>
  </w:style>
  <w:style w:type="paragraph" w:customStyle="1" w:styleId="Tabletext">
    <w:name w:val="Table text"/>
    <w:basedOn w:val="Normal"/>
    <w:link w:val="TabletextChar"/>
    <w:rsid w:val="00A56B6A"/>
    <w:pPr>
      <w:widowControl/>
      <w:spacing w:after="120"/>
      <w:jc w:val="left"/>
    </w:pPr>
    <w:rPr>
      <w:rFonts w:cs="Times New Roman"/>
      <w:snapToGrid/>
      <w:sz w:val="20"/>
    </w:rPr>
  </w:style>
  <w:style w:type="character" w:customStyle="1" w:styleId="TabletextChar">
    <w:name w:val="Table text Char"/>
    <w:link w:val="Tabletext"/>
    <w:rsid w:val="00A56B6A"/>
    <w:rPr>
      <w:rFonts w:ascii="Arial" w:hAnsi="Arial"/>
      <w:lang w:eastAsia="en-US"/>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CF456B"/>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Tabletextcentred">
    <w:name w:val="Table text centred"/>
    <w:basedOn w:val="Normal"/>
    <w:link w:val="TabletextcentredChar"/>
    <w:qFormat/>
    <w:rsid w:val="00F315D4"/>
    <w:pPr>
      <w:keepNext/>
      <w:widowControl/>
      <w:jc w:val="center"/>
    </w:pPr>
    <w:rPr>
      <w:rFonts w:ascii="Arial Narrow" w:hAnsi="Arial Narrow" w:cs="Arial Narrow"/>
      <w:snapToGrid/>
      <w:sz w:val="20"/>
    </w:rPr>
  </w:style>
  <w:style w:type="character" w:customStyle="1" w:styleId="TabletextcentredChar">
    <w:name w:val="Table text centred Char"/>
    <w:link w:val="Tabletextcentred"/>
    <w:rsid w:val="00F315D4"/>
    <w:rPr>
      <w:rFonts w:ascii="Arial Narrow" w:hAnsi="Arial Narrow" w:cs="Arial Narrow"/>
      <w:lang w:eastAsia="en-US"/>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centred"/>
    <w:rsid w:val="00CA7B09"/>
    <w:pPr>
      <w:keepNext w:val="0"/>
      <w:keepLines/>
      <w:spacing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aliases w:val="PBAC Paragraph Char"/>
    <w:link w:val="Subtitle"/>
    <w:rsid w:val="00B50DB8"/>
    <w:rPr>
      <w:lang w:eastAsia="en-US"/>
    </w:rPr>
  </w:style>
  <w:style w:type="paragraph" w:styleId="Subtitle">
    <w:name w:val="Subtitle"/>
    <w:aliases w:val="PBAC Paragraph"/>
    <w:basedOn w:val="Normal"/>
    <w:link w:val="SubtitleChar"/>
    <w:uiPriority w:val="11"/>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DD1DEA"/>
    <w:pPr>
      <w:numPr>
        <w:numId w:val="3"/>
      </w:numPr>
      <w:outlineLvl w:val="0"/>
    </w:pPr>
    <w:rPr>
      <w:rFonts w:ascii="Arial" w:hAnsi="Arial" w:cs="Arial"/>
      <w:b/>
      <w:snapToGrid w:val="0"/>
      <w:sz w:val="22"/>
      <w:szCs w:val="22"/>
      <w:lang w:eastAsia="en-US"/>
    </w:rPr>
  </w:style>
  <w:style w:type="paragraph" w:customStyle="1" w:styleId="TableHeader0">
    <w:name w:val="TableHeader"/>
    <w:basedOn w:val="Tabletextcentred"/>
    <w:qFormat/>
    <w:rsid w:val="00884759"/>
    <w:rPr>
      <w:rFonts w:cs="Times New Roman"/>
      <w:b/>
      <w:iCs/>
      <w:szCs w:val="18"/>
    </w:rPr>
  </w:style>
  <w:style w:type="paragraph" w:customStyle="1" w:styleId="AltLevel1">
    <w:name w:val="Alt Level 1"/>
    <w:basedOn w:val="Normal"/>
    <w:next w:val="Normal"/>
    <w:semiHidden/>
    <w:qFormat/>
    <w:rsid w:val="00C8162A"/>
    <w:pPr>
      <w:widowControl/>
      <w:numPr>
        <w:numId w:val="8"/>
      </w:numPr>
      <w:spacing w:after="240" w:line="276" w:lineRule="auto"/>
      <w:contextualSpacing/>
    </w:pPr>
    <w:rPr>
      <w:rFonts w:ascii="Verdana" w:hAnsi="Verdana" w:cs="Times New Roman"/>
      <w:b/>
      <w:snapToGrid/>
      <w:sz w:val="32"/>
      <w:szCs w:val="22"/>
    </w:rPr>
  </w:style>
  <w:style w:type="paragraph" w:customStyle="1" w:styleId="AltLevel2">
    <w:name w:val="Alt Level 2"/>
    <w:basedOn w:val="Normal"/>
    <w:semiHidden/>
    <w:qFormat/>
    <w:rsid w:val="00C8162A"/>
    <w:pPr>
      <w:widowControl/>
      <w:numPr>
        <w:ilvl w:val="1"/>
        <w:numId w:val="8"/>
      </w:numPr>
      <w:spacing w:after="200" w:line="276" w:lineRule="auto"/>
      <w:ind w:left="357" w:hanging="357"/>
      <w:contextualSpacing/>
    </w:pPr>
    <w:rPr>
      <w:rFonts w:ascii="Verdana" w:hAnsi="Verdana" w:cs="Times New Roman"/>
      <w:b/>
      <w:snapToGrid/>
      <w:sz w:val="28"/>
      <w:szCs w:val="22"/>
    </w:rPr>
  </w:style>
  <w:style w:type="paragraph" w:customStyle="1" w:styleId="AltLevel3">
    <w:name w:val="Alt Level 3"/>
    <w:basedOn w:val="Normal"/>
    <w:next w:val="Normal"/>
    <w:semiHidden/>
    <w:qFormat/>
    <w:rsid w:val="00C8162A"/>
    <w:pPr>
      <w:widowControl/>
      <w:numPr>
        <w:ilvl w:val="2"/>
        <w:numId w:val="8"/>
      </w:numPr>
      <w:spacing w:after="120" w:line="276" w:lineRule="auto"/>
      <w:ind w:left="357" w:hanging="357"/>
      <w:contextualSpacing/>
    </w:pPr>
    <w:rPr>
      <w:rFonts w:ascii="Verdana" w:hAnsi="Verdana" w:cs="Times New Roman"/>
      <w:b/>
      <w:snapToGrid/>
      <w:sz w:val="26"/>
      <w:szCs w:val="22"/>
    </w:rPr>
  </w:style>
  <w:style w:type="paragraph" w:customStyle="1" w:styleId="AltLevel4">
    <w:name w:val="Alt Level 4"/>
    <w:basedOn w:val="Normal"/>
    <w:semiHidden/>
    <w:qFormat/>
    <w:rsid w:val="00C8162A"/>
    <w:pPr>
      <w:widowControl/>
      <w:spacing w:after="120" w:line="276" w:lineRule="auto"/>
      <w:ind w:left="357" w:hanging="357"/>
      <w:contextualSpacing/>
    </w:pPr>
    <w:rPr>
      <w:rFonts w:ascii="Verdana" w:hAnsi="Verdana" w:cs="Times New Roman"/>
      <w:b/>
      <w:snapToGrid/>
      <w:szCs w:val="22"/>
    </w:rPr>
  </w:style>
  <w:style w:type="paragraph" w:customStyle="1" w:styleId="AltLevel5">
    <w:name w:val="Alt Level 5"/>
    <w:basedOn w:val="Normal"/>
    <w:link w:val="AltLevel5Char"/>
    <w:semiHidden/>
    <w:qFormat/>
    <w:rsid w:val="00C8162A"/>
    <w:pPr>
      <w:widowControl/>
      <w:spacing w:after="120" w:line="276" w:lineRule="auto"/>
      <w:ind w:left="794" w:hanging="794"/>
      <w:contextualSpacing/>
    </w:pPr>
    <w:rPr>
      <w:rFonts w:ascii="Calibri" w:hAnsi="Calibri" w:cs="Times New Roman"/>
      <w:b/>
      <w:snapToGrid/>
      <w:sz w:val="24"/>
      <w:szCs w:val="22"/>
    </w:rPr>
  </w:style>
  <w:style w:type="character" w:customStyle="1" w:styleId="AltLevel5Char">
    <w:name w:val="Alt Level 5 Char"/>
    <w:basedOn w:val="DefaultParagraphFont"/>
    <w:link w:val="AltLevel5"/>
    <w:semiHidden/>
    <w:locked/>
    <w:rsid w:val="00C8162A"/>
    <w:rPr>
      <w:rFonts w:ascii="Calibri" w:hAnsi="Calibri"/>
      <w:b/>
      <w:sz w:val="24"/>
      <w:szCs w:val="22"/>
      <w:lang w:eastAsia="en-US"/>
    </w:rPr>
  </w:style>
  <w:style w:type="paragraph" w:customStyle="1" w:styleId="TableText0">
    <w:name w:val="TableText"/>
    <w:basedOn w:val="Normal"/>
    <w:link w:val="TableTextChar0"/>
    <w:qFormat/>
    <w:rsid w:val="00164039"/>
    <w:pPr>
      <w:widowControl/>
      <w:spacing w:before="40" w:after="40"/>
      <w:jc w:val="left"/>
    </w:pPr>
    <w:rPr>
      <w:rFonts w:ascii="Calibri" w:hAnsi="Calibri" w:cs="Times New Roman"/>
      <w:iCs/>
      <w:snapToGrid/>
      <w:sz w:val="20"/>
      <w:szCs w:val="18"/>
    </w:rPr>
  </w:style>
  <w:style w:type="character" w:customStyle="1" w:styleId="TableTextChar0">
    <w:name w:val="TableText Char"/>
    <w:link w:val="TableText0"/>
    <w:rsid w:val="00164039"/>
    <w:rPr>
      <w:rFonts w:ascii="Calibri" w:hAnsi="Calibri"/>
      <w:iCs/>
      <w:szCs w:val="18"/>
      <w:lang w:eastAsia="en-US"/>
    </w:rPr>
  </w:style>
  <w:style w:type="table" w:customStyle="1" w:styleId="TableGrid1">
    <w:name w:val="Table Grid1"/>
    <w:basedOn w:val="TableNormal"/>
    <w:next w:val="TableGrid"/>
    <w:uiPriority w:val="59"/>
    <w:rsid w:val="00550D54"/>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Mtbl-HEADLeftAligned">
    <w:name w:val="COMtbl-HEAD Left Aligned"/>
    <w:basedOn w:val="Normal"/>
    <w:qFormat/>
    <w:rsid w:val="000F03BA"/>
    <w:pPr>
      <w:tabs>
        <w:tab w:val="left" w:pos="720"/>
      </w:tabs>
      <w:jc w:val="left"/>
    </w:pPr>
    <w:rPr>
      <w:rFonts w:ascii="Arial Narrow" w:hAnsi="Arial Narrow"/>
      <w:b/>
      <w:sz w:val="20"/>
    </w:rPr>
  </w:style>
  <w:style w:type="paragraph" w:customStyle="1" w:styleId="COMTbl-foot">
    <w:name w:val="COMTbl-foot"/>
    <w:basedOn w:val="Normal"/>
    <w:link w:val="COMTbl-footChar"/>
    <w:qFormat/>
    <w:rsid w:val="000F03BA"/>
    <w:rPr>
      <w:sz w:val="18"/>
    </w:rPr>
  </w:style>
  <w:style w:type="character" w:customStyle="1" w:styleId="COMTbl-footChar">
    <w:name w:val="COMTbl-foot Char"/>
    <w:basedOn w:val="DefaultParagraphFont"/>
    <w:link w:val="COMTbl-foot"/>
    <w:rsid w:val="000F03BA"/>
    <w:rPr>
      <w:rFonts w:ascii="Arial" w:hAnsi="Arial" w:cs="Arial"/>
      <w:snapToGrid w:val="0"/>
      <w:sz w:val="18"/>
      <w:lang w:eastAsia="en-US"/>
    </w:rPr>
  </w:style>
  <w:style w:type="character" w:customStyle="1" w:styleId="CaptionChar1">
    <w:name w:val="Caption Char1"/>
    <w:aliases w:val="IB Caption Char,Medical Caption Char,Caption Char1 Char Char Char,Caption Char Char Char Char Char1,Caption Char1 Char Char1,Caption Char Char Char Char Char Char,Caption Char Char Char1,Caption Char Char Char Char1 Char,Caption Char Char1"/>
    <w:basedOn w:val="DefaultParagraphFont"/>
    <w:rsid w:val="00271FA8"/>
    <w:rPr>
      <w:rFonts w:ascii="Calibri" w:hAnsi="Calibri"/>
      <w:b/>
      <w:bCs/>
      <w:sz w:val="24"/>
      <w:szCs w:val="18"/>
      <w:lang w:eastAsia="en-US"/>
    </w:rPr>
  </w:style>
  <w:style w:type="character" w:customStyle="1" w:styleId="Heading4Char">
    <w:name w:val="Heading 4 Char"/>
    <w:basedOn w:val="DefaultParagraphFont"/>
    <w:link w:val="Heading4"/>
    <w:rsid w:val="00F61688"/>
    <w:rPr>
      <w:rFonts w:ascii="Arial" w:hAnsi="Arial" w:cs="Arial"/>
      <w:b/>
      <w:bCs/>
      <w:i/>
      <w:snapToGrid w:val="0"/>
      <w:sz w:val="26"/>
      <w:szCs w:val="28"/>
      <w:lang w:eastAsia="en-US"/>
    </w:rPr>
  </w:style>
  <w:style w:type="character" w:customStyle="1" w:styleId="Heading5Char">
    <w:name w:val="Heading 5 Char"/>
    <w:basedOn w:val="DefaultParagraphFont"/>
    <w:link w:val="Heading5"/>
    <w:rsid w:val="00F61688"/>
    <w:rPr>
      <w:rFonts w:ascii="Arial" w:hAnsi="Arial" w:cs="Arial"/>
      <w:b/>
      <w:bCs/>
      <w:iCs/>
      <w:snapToGrid w:val="0"/>
      <w:sz w:val="26"/>
      <w:szCs w:val="26"/>
      <w:lang w:eastAsia="en-US"/>
    </w:rPr>
  </w:style>
  <w:style w:type="character" w:customStyle="1" w:styleId="Heading6Char">
    <w:name w:val="Heading 6 Char"/>
    <w:basedOn w:val="DefaultParagraphFont"/>
    <w:link w:val="Heading6"/>
    <w:rsid w:val="00F61688"/>
    <w:rPr>
      <w:rFonts w:ascii="Arial" w:hAnsi="Arial" w:cs="Arial"/>
      <w:b/>
      <w:bCs/>
      <w:i/>
      <w:snapToGrid w:val="0"/>
      <w:sz w:val="22"/>
      <w:szCs w:val="22"/>
      <w:lang w:eastAsia="en-US"/>
    </w:rPr>
  </w:style>
  <w:style w:type="paragraph" w:customStyle="1" w:styleId="COMBody">
    <w:name w:val="COMBody"/>
    <w:basedOn w:val="Normal"/>
    <w:link w:val="COMBodyChar"/>
    <w:qFormat/>
    <w:rsid w:val="000A58C1"/>
  </w:style>
  <w:style w:type="character" w:customStyle="1" w:styleId="COMBodyChar">
    <w:name w:val="COMBody Char"/>
    <w:basedOn w:val="DefaultParagraphFont"/>
    <w:link w:val="COMBody"/>
    <w:rsid w:val="000A58C1"/>
    <w:rPr>
      <w:rFonts w:ascii="Arial" w:hAnsi="Arial" w:cs="Arial"/>
      <w:snapToGrid w:val="0"/>
      <w:sz w:val="22"/>
      <w:lang w:eastAsia="en-US"/>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C806A4"/>
    <w:pPr>
      <w:widowControl/>
      <w:spacing w:after="160" w:line="240" w:lineRule="exact"/>
      <w:jc w:val="left"/>
    </w:pPr>
    <w:rPr>
      <w:rFonts w:ascii="Verdana" w:eastAsia="MS Mincho" w:hAnsi="Verdana" w:cs="Verdana"/>
      <w:snapToGrid/>
      <w:sz w:val="20"/>
      <w:lang w:val="en-US"/>
    </w:rPr>
  </w:style>
  <w:style w:type="character" w:styleId="IntenseReference">
    <w:name w:val="Intense Reference"/>
    <w:basedOn w:val="DefaultParagraphFont"/>
    <w:uiPriority w:val="32"/>
    <w:rsid w:val="00064500"/>
    <w:rPr>
      <w:b/>
      <w:bCs/>
      <w:smallCaps/>
      <w:color w:val="C0504D" w:themeColor="accent2"/>
      <w:spacing w:val="5"/>
      <w:u w:val="single"/>
    </w:rPr>
  </w:style>
  <w:style w:type="paragraph" w:customStyle="1" w:styleId="PBACheading10">
    <w:name w:val="PBAC heading 1"/>
    <w:qFormat/>
    <w:rsid w:val="00BC52AF"/>
    <w:pPr>
      <w:ind w:left="720" w:hanging="720"/>
      <w:outlineLvl w:val="0"/>
    </w:pPr>
    <w:rPr>
      <w:rFonts w:ascii="Arial" w:hAnsi="Arial" w:cs="Arial"/>
      <w:snapToGrid w:val="0"/>
      <w:sz w:val="22"/>
      <w:szCs w:val="22"/>
      <w:lang w:eastAsia="en-US"/>
    </w:rPr>
  </w:style>
  <w:style w:type="character" w:styleId="FollowedHyperlink">
    <w:name w:val="FollowedHyperlink"/>
    <w:basedOn w:val="DefaultParagraphFont"/>
    <w:semiHidden/>
    <w:unhideWhenUsed/>
    <w:rsid w:val="0096229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annotation text" w:uiPriority="99"/>
    <w:lsdException w:name="header" w:uiPriority="99"/>
    <w:lsdException w:name="footer" w:uiPriority="99"/>
    <w:lsdException w:name="caption"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Body Text"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C70720"/>
    <w:pPr>
      <w:widowControl w:val="0"/>
      <w:jc w:val="both"/>
    </w:pPr>
    <w:rPr>
      <w:rFonts w:ascii="Arial" w:hAnsi="Arial" w:cs="Arial"/>
      <w:snapToGrid w:val="0"/>
      <w:sz w:val="22"/>
      <w:lang w:eastAsia="en-US"/>
    </w:rPr>
  </w:style>
  <w:style w:type="paragraph" w:styleId="Heading1">
    <w:name w:val="heading 1"/>
    <w:basedOn w:val="Normal"/>
    <w:next w:val="Normal"/>
    <w:link w:val="Heading1Char"/>
    <w:qFormat/>
    <w:rsid w:val="00D76A44"/>
    <w:pPr>
      <w:ind w:left="720" w:hanging="720"/>
      <w:outlineLvl w:val="0"/>
    </w:pPr>
    <w:rPr>
      <w:rFonts w:ascii="Arial Bold" w:hAnsi="Arial Bold"/>
      <w:b/>
      <w:caps/>
    </w:rPr>
  </w:style>
  <w:style w:type="paragraph" w:styleId="Heading2">
    <w:name w:val="heading 2"/>
    <w:basedOn w:val="Normal"/>
    <w:next w:val="Normal"/>
    <w:link w:val="Heading2Char"/>
    <w:qFormat/>
    <w:rsid w:val="004B3DDB"/>
    <w:pPr>
      <w:outlineLvl w:val="1"/>
    </w:pPr>
    <w:rPr>
      <w:b/>
    </w:rPr>
  </w:style>
  <w:style w:type="paragraph" w:styleId="Heading3">
    <w:name w:val="heading 3"/>
    <w:basedOn w:val="Normal"/>
    <w:next w:val="Normal"/>
    <w:link w:val="Heading3Char"/>
    <w:qFormat/>
    <w:rsid w:val="001F7361"/>
    <w:pPr>
      <w:outlineLvl w:val="2"/>
    </w:pPr>
    <w:rPr>
      <w:u w:val="single"/>
    </w:rPr>
  </w:style>
  <w:style w:type="paragraph" w:styleId="Heading4">
    <w:name w:val="heading 4"/>
    <w:basedOn w:val="Normal"/>
    <w:next w:val="Normal"/>
    <w:link w:val="Heading4Char"/>
    <w:rsid w:val="00124A51"/>
    <w:pPr>
      <w:keepNext/>
      <w:spacing w:before="240" w:after="60"/>
      <w:outlineLvl w:val="3"/>
    </w:pPr>
    <w:rPr>
      <w:b/>
      <w:bCs/>
      <w:i/>
      <w:sz w:val="26"/>
      <w:szCs w:val="28"/>
    </w:rPr>
  </w:style>
  <w:style w:type="paragraph" w:styleId="Heading5">
    <w:name w:val="heading 5"/>
    <w:basedOn w:val="Normal"/>
    <w:next w:val="Normal"/>
    <w:link w:val="Heading5Char"/>
    <w:rsid w:val="00124A51"/>
    <w:pPr>
      <w:spacing w:before="240" w:after="60"/>
      <w:outlineLvl w:val="4"/>
    </w:pPr>
    <w:rPr>
      <w:b/>
      <w:bCs/>
      <w:iCs/>
      <w:sz w:val="26"/>
      <w:szCs w:val="26"/>
    </w:rPr>
  </w:style>
  <w:style w:type="paragraph" w:styleId="Heading6">
    <w:name w:val="heading 6"/>
    <w:basedOn w:val="Normal"/>
    <w:next w:val="Normal"/>
    <w:link w:val="Heading6Char"/>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44646"/>
    <w:rPr>
      <w:rFonts w:ascii="Arial Bold" w:hAnsi="Arial Bold" w:cs="Arial"/>
      <w:b/>
      <w:caps/>
      <w:snapToGrid w:val="0"/>
      <w:sz w:val="22"/>
      <w:lang w:eastAsia="en-US"/>
    </w:rPr>
  </w:style>
  <w:style w:type="character" w:customStyle="1" w:styleId="Heading2Char">
    <w:name w:val="Heading 2 Char"/>
    <w:link w:val="Heading2"/>
    <w:uiPriority w:val="9"/>
    <w:rsid w:val="004B3DDB"/>
    <w:rPr>
      <w:rFonts w:ascii="Arial" w:hAnsi="Arial" w:cs="Arial"/>
      <w:b/>
      <w:snapToGrid w:val="0"/>
      <w:sz w:val="22"/>
      <w:lang w:eastAsia="en-US"/>
    </w:rPr>
  </w:style>
  <w:style w:type="character" w:customStyle="1" w:styleId="Heading3Char">
    <w:name w:val="Heading 3 Char"/>
    <w:basedOn w:val="DefaultParagraphFont"/>
    <w:link w:val="Heading3"/>
    <w:rsid w:val="00637264"/>
    <w:rPr>
      <w:rFonts w:ascii="Arial" w:hAnsi="Arial" w:cs="Arial"/>
      <w:snapToGrid w:val="0"/>
      <w:sz w:val="22"/>
      <w:u w:val="single"/>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rsid w:val="000D1BFC"/>
    <w:rPr>
      <w:b/>
      <w:sz w:val="20"/>
    </w:rPr>
  </w:style>
  <w:style w:type="paragraph" w:styleId="Caption">
    <w:name w:val="caption"/>
    <w:aliases w:val="IB Caption,Medical Caption,Caption Char1 Char Char,Caption Char Char Char Char,Caption Char1 Char,Caption Char Char Char Char Char,Caption Char Char,Caption Char Char Char Char1,Caption Char1 Char1,Caption Char Char Char,Bayer Capti"/>
    <w:basedOn w:val="Normal"/>
    <w:next w:val="Normal"/>
    <w:link w:val="CaptionChar"/>
    <w:unhideWhenUsed/>
    <w:qFormat/>
    <w:rsid w:val="00124A51"/>
    <w:pPr>
      <w:spacing w:after="200"/>
    </w:pPr>
    <w:rPr>
      <w:b/>
      <w:bCs/>
      <w:color w:val="4F81BD" w:themeColor="accent1"/>
      <w:sz w:val="18"/>
      <w:szCs w:val="18"/>
    </w:rPr>
  </w:style>
  <w:style w:type="character" w:customStyle="1" w:styleId="CaptionChar">
    <w:name w:val="Caption Char"/>
    <w:aliases w:val="IB Caption Char1,Medical Caption Char1,Caption Char1 Char Char Char1,Caption Char Char Char Char Char2,Caption Char1 Char Char2,Caption Char Char Char Char Char Char1,Caption Char Char Char2,Caption Char Char Char Char1 Char1"/>
    <w:link w:val="Caption"/>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ulletPoints"/>
    <w:basedOn w:val="Normal"/>
    <w:link w:val="ListParagraphChar"/>
    <w:uiPriority w:val="72"/>
    <w:qFormat/>
    <w:rsid w:val="00124A51"/>
    <w:pPr>
      <w:ind w:left="720"/>
      <w:contextualSpacing/>
    </w:pPr>
  </w:style>
  <w:style w:type="character" w:customStyle="1" w:styleId="ListParagraphChar">
    <w:name w:val="List Paragraph Char"/>
    <w:aliases w:val="BulletPoints Char"/>
    <w:link w:val="ListParagraph"/>
    <w:uiPriority w:val="72"/>
    <w:rsid w:val="00DB5F04"/>
    <w:rPr>
      <w:rFonts w:ascii="Arial" w:hAnsi="Arial" w:cs="Arial"/>
      <w:snapToGrid w:val="0"/>
      <w:sz w:val="22"/>
      <w:lang w:eastAsia="en-US"/>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E2771E"/>
    <w:rPr>
      <w:rFonts w:ascii="Arial Narrow" w:hAnsi="Arial Narrow"/>
      <w:b/>
      <w:sz w:val="20"/>
      <w:szCs w:val="16"/>
    </w:rPr>
  </w:style>
  <w:style w:type="paragraph" w:customStyle="1" w:styleId="Tabletext">
    <w:name w:val="Table text"/>
    <w:basedOn w:val="Normal"/>
    <w:link w:val="TabletextChar"/>
    <w:rsid w:val="00A56B6A"/>
    <w:pPr>
      <w:widowControl/>
      <w:spacing w:after="120"/>
      <w:jc w:val="left"/>
    </w:pPr>
    <w:rPr>
      <w:rFonts w:cs="Times New Roman"/>
      <w:snapToGrid/>
      <w:sz w:val="20"/>
    </w:rPr>
  </w:style>
  <w:style w:type="character" w:customStyle="1" w:styleId="TabletextChar">
    <w:name w:val="Table text Char"/>
    <w:link w:val="Tabletext"/>
    <w:rsid w:val="00A56B6A"/>
    <w:rPr>
      <w:rFonts w:ascii="Arial" w:hAnsi="Arial"/>
      <w:lang w:eastAsia="en-US"/>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CF456B"/>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Tabletextcentred">
    <w:name w:val="Table text centred"/>
    <w:basedOn w:val="Normal"/>
    <w:link w:val="TabletextcentredChar"/>
    <w:qFormat/>
    <w:rsid w:val="00F315D4"/>
    <w:pPr>
      <w:keepNext/>
      <w:widowControl/>
      <w:jc w:val="center"/>
    </w:pPr>
    <w:rPr>
      <w:rFonts w:ascii="Arial Narrow" w:hAnsi="Arial Narrow" w:cs="Arial Narrow"/>
      <w:snapToGrid/>
      <w:sz w:val="20"/>
    </w:rPr>
  </w:style>
  <w:style w:type="character" w:customStyle="1" w:styleId="TabletextcentredChar">
    <w:name w:val="Table text centred Char"/>
    <w:link w:val="Tabletextcentred"/>
    <w:rsid w:val="00F315D4"/>
    <w:rPr>
      <w:rFonts w:ascii="Arial Narrow" w:hAnsi="Arial Narrow" w:cs="Arial Narrow"/>
      <w:lang w:eastAsia="en-US"/>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centred"/>
    <w:rsid w:val="00CA7B09"/>
    <w:pPr>
      <w:keepNext w:val="0"/>
      <w:keepLines/>
      <w:spacing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aliases w:val="PBAC Paragraph Char"/>
    <w:link w:val="Subtitle"/>
    <w:rsid w:val="00B50DB8"/>
    <w:rPr>
      <w:lang w:eastAsia="en-US"/>
    </w:rPr>
  </w:style>
  <w:style w:type="paragraph" w:styleId="Subtitle">
    <w:name w:val="Subtitle"/>
    <w:aliases w:val="PBAC Paragraph"/>
    <w:basedOn w:val="Normal"/>
    <w:link w:val="SubtitleChar"/>
    <w:uiPriority w:val="11"/>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DD1DEA"/>
    <w:pPr>
      <w:numPr>
        <w:numId w:val="3"/>
      </w:numPr>
      <w:outlineLvl w:val="0"/>
    </w:pPr>
    <w:rPr>
      <w:rFonts w:ascii="Arial" w:hAnsi="Arial" w:cs="Arial"/>
      <w:b/>
      <w:snapToGrid w:val="0"/>
      <w:sz w:val="22"/>
      <w:szCs w:val="22"/>
      <w:lang w:eastAsia="en-US"/>
    </w:rPr>
  </w:style>
  <w:style w:type="paragraph" w:customStyle="1" w:styleId="TableHeader0">
    <w:name w:val="TableHeader"/>
    <w:basedOn w:val="Tabletextcentred"/>
    <w:qFormat/>
    <w:rsid w:val="00884759"/>
    <w:rPr>
      <w:rFonts w:cs="Times New Roman"/>
      <w:b/>
      <w:iCs/>
      <w:szCs w:val="18"/>
    </w:rPr>
  </w:style>
  <w:style w:type="paragraph" w:customStyle="1" w:styleId="AltLevel1">
    <w:name w:val="Alt Level 1"/>
    <w:basedOn w:val="Normal"/>
    <w:next w:val="Normal"/>
    <w:semiHidden/>
    <w:qFormat/>
    <w:rsid w:val="00C8162A"/>
    <w:pPr>
      <w:widowControl/>
      <w:numPr>
        <w:numId w:val="8"/>
      </w:numPr>
      <w:spacing w:after="240" w:line="276" w:lineRule="auto"/>
      <w:contextualSpacing/>
    </w:pPr>
    <w:rPr>
      <w:rFonts w:ascii="Verdana" w:hAnsi="Verdana" w:cs="Times New Roman"/>
      <w:b/>
      <w:snapToGrid/>
      <w:sz w:val="32"/>
      <w:szCs w:val="22"/>
    </w:rPr>
  </w:style>
  <w:style w:type="paragraph" w:customStyle="1" w:styleId="AltLevel2">
    <w:name w:val="Alt Level 2"/>
    <w:basedOn w:val="Normal"/>
    <w:semiHidden/>
    <w:qFormat/>
    <w:rsid w:val="00C8162A"/>
    <w:pPr>
      <w:widowControl/>
      <w:numPr>
        <w:ilvl w:val="1"/>
        <w:numId w:val="8"/>
      </w:numPr>
      <w:spacing w:after="200" w:line="276" w:lineRule="auto"/>
      <w:ind w:left="357" w:hanging="357"/>
      <w:contextualSpacing/>
    </w:pPr>
    <w:rPr>
      <w:rFonts w:ascii="Verdana" w:hAnsi="Verdana" w:cs="Times New Roman"/>
      <w:b/>
      <w:snapToGrid/>
      <w:sz w:val="28"/>
      <w:szCs w:val="22"/>
    </w:rPr>
  </w:style>
  <w:style w:type="paragraph" w:customStyle="1" w:styleId="AltLevel3">
    <w:name w:val="Alt Level 3"/>
    <w:basedOn w:val="Normal"/>
    <w:next w:val="Normal"/>
    <w:semiHidden/>
    <w:qFormat/>
    <w:rsid w:val="00C8162A"/>
    <w:pPr>
      <w:widowControl/>
      <w:numPr>
        <w:ilvl w:val="2"/>
        <w:numId w:val="8"/>
      </w:numPr>
      <w:spacing w:after="120" w:line="276" w:lineRule="auto"/>
      <w:ind w:left="357" w:hanging="357"/>
      <w:contextualSpacing/>
    </w:pPr>
    <w:rPr>
      <w:rFonts w:ascii="Verdana" w:hAnsi="Verdana" w:cs="Times New Roman"/>
      <w:b/>
      <w:snapToGrid/>
      <w:sz w:val="26"/>
      <w:szCs w:val="22"/>
    </w:rPr>
  </w:style>
  <w:style w:type="paragraph" w:customStyle="1" w:styleId="AltLevel4">
    <w:name w:val="Alt Level 4"/>
    <w:basedOn w:val="Normal"/>
    <w:semiHidden/>
    <w:qFormat/>
    <w:rsid w:val="00C8162A"/>
    <w:pPr>
      <w:widowControl/>
      <w:spacing w:after="120" w:line="276" w:lineRule="auto"/>
      <w:ind w:left="357" w:hanging="357"/>
      <w:contextualSpacing/>
    </w:pPr>
    <w:rPr>
      <w:rFonts w:ascii="Verdana" w:hAnsi="Verdana" w:cs="Times New Roman"/>
      <w:b/>
      <w:snapToGrid/>
      <w:szCs w:val="22"/>
    </w:rPr>
  </w:style>
  <w:style w:type="paragraph" w:customStyle="1" w:styleId="AltLevel5">
    <w:name w:val="Alt Level 5"/>
    <w:basedOn w:val="Normal"/>
    <w:link w:val="AltLevel5Char"/>
    <w:semiHidden/>
    <w:qFormat/>
    <w:rsid w:val="00C8162A"/>
    <w:pPr>
      <w:widowControl/>
      <w:spacing w:after="120" w:line="276" w:lineRule="auto"/>
      <w:ind w:left="794" w:hanging="794"/>
      <w:contextualSpacing/>
    </w:pPr>
    <w:rPr>
      <w:rFonts w:ascii="Calibri" w:hAnsi="Calibri" w:cs="Times New Roman"/>
      <w:b/>
      <w:snapToGrid/>
      <w:sz w:val="24"/>
      <w:szCs w:val="22"/>
    </w:rPr>
  </w:style>
  <w:style w:type="character" w:customStyle="1" w:styleId="AltLevel5Char">
    <w:name w:val="Alt Level 5 Char"/>
    <w:basedOn w:val="DefaultParagraphFont"/>
    <w:link w:val="AltLevel5"/>
    <w:semiHidden/>
    <w:locked/>
    <w:rsid w:val="00C8162A"/>
    <w:rPr>
      <w:rFonts w:ascii="Calibri" w:hAnsi="Calibri"/>
      <w:b/>
      <w:sz w:val="24"/>
      <w:szCs w:val="22"/>
      <w:lang w:eastAsia="en-US"/>
    </w:rPr>
  </w:style>
  <w:style w:type="paragraph" w:customStyle="1" w:styleId="TableText0">
    <w:name w:val="TableText"/>
    <w:basedOn w:val="Normal"/>
    <w:link w:val="TableTextChar0"/>
    <w:qFormat/>
    <w:rsid w:val="00164039"/>
    <w:pPr>
      <w:widowControl/>
      <w:spacing w:before="40" w:after="40"/>
      <w:jc w:val="left"/>
    </w:pPr>
    <w:rPr>
      <w:rFonts w:ascii="Calibri" w:hAnsi="Calibri" w:cs="Times New Roman"/>
      <w:iCs/>
      <w:snapToGrid/>
      <w:sz w:val="20"/>
      <w:szCs w:val="18"/>
    </w:rPr>
  </w:style>
  <w:style w:type="character" w:customStyle="1" w:styleId="TableTextChar0">
    <w:name w:val="TableText Char"/>
    <w:link w:val="TableText0"/>
    <w:rsid w:val="00164039"/>
    <w:rPr>
      <w:rFonts w:ascii="Calibri" w:hAnsi="Calibri"/>
      <w:iCs/>
      <w:szCs w:val="18"/>
      <w:lang w:eastAsia="en-US"/>
    </w:rPr>
  </w:style>
  <w:style w:type="table" w:customStyle="1" w:styleId="TableGrid1">
    <w:name w:val="Table Grid1"/>
    <w:basedOn w:val="TableNormal"/>
    <w:next w:val="TableGrid"/>
    <w:uiPriority w:val="59"/>
    <w:rsid w:val="00550D54"/>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Mtbl-HEADLeftAligned">
    <w:name w:val="COMtbl-HEAD Left Aligned"/>
    <w:basedOn w:val="Normal"/>
    <w:qFormat/>
    <w:rsid w:val="000F03BA"/>
    <w:pPr>
      <w:tabs>
        <w:tab w:val="left" w:pos="720"/>
      </w:tabs>
      <w:jc w:val="left"/>
    </w:pPr>
    <w:rPr>
      <w:rFonts w:ascii="Arial Narrow" w:hAnsi="Arial Narrow"/>
      <w:b/>
      <w:sz w:val="20"/>
    </w:rPr>
  </w:style>
  <w:style w:type="paragraph" w:customStyle="1" w:styleId="COMTbl-foot">
    <w:name w:val="COMTbl-foot"/>
    <w:basedOn w:val="Normal"/>
    <w:link w:val="COMTbl-footChar"/>
    <w:qFormat/>
    <w:rsid w:val="000F03BA"/>
    <w:rPr>
      <w:sz w:val="18"/>
    </w:rPr>
  </w:style>
  <w:style w:type="character" w:customStyle="1" w:styleId="COMTbl-footChar">
    <w:name w:val="COMTbl-foot Char"/>
    <w:basedOn w:val="DefaultParagraphFont"/>
    <w:link w:val="COMTbl-foot"/>
    <w:rsid w:val="000F03BA"/>
    <w:rPr>
      <w:rFonts w:ascii="Arial" w:hAnsi="Arial" w:cs="Arial"/>
      <w:snapToGrid w:val="0"/>
      <w:sz w:val="18"/>
      <w:lang w:eastAsia="en-US"/>
    </w:rPr>
  </w:style>
  <w:style w:type="character" w:customStyle="1" w:styleId="CaptionChar1">
    <w:name w:val="Caption Char1"/>
    <w:aliases w:val="IB Caption Char,Medical Caption Char,Caption Char1 Char Char Char,Caption Char Char Char Char Char1,Caption Char1 Char Char1,Caption Char Char Char Char Char Char,Caption Char Char Char1,Caption Char Char Char Char1 Char,Caption Char Char1"/>
    <w:basedOn w:val="DefaultParagraphFont"/>
    <w:rsid w:val="00271FA8"/>
    <w:rPr>
      <w:rFonts w:ascii="Calibri" w:hAnsi="Calibri"/>
      <w:b/>
      <w:bCs/>
      <w:sz w:val="24"/>
      <w:szCs w:val="18"/>
      <w:lang w:eastAsia="en-US"/>
    </w:rPr>
  </w:style>
  <w:style w:type="character" w:customStyle="1" w:styleId="Heading4Char">
    <w:name w:val="Heading 4 Char"/>
    <w:basedOn w:val="DefaultParagraphFont"/>
    <w:link w:val="Heading4"/>
    <w:rsid w:val="00F61688"/>
    <w:rPr>
      <w:rFonts w:ascii="Arial" w:hAnsi="Arial" w:cs="Arial"/>
      <w:b/>
      <w:bCs/>
      <w:i/>
      <w:snapToGrid w:val="0"/>
      <w:sz w:val="26"/>
      <w:szCs w:val="28"/>
      <w:lang w:eastAsia="en-US"/>
    </w:rPr>
  </w:style>
  <w:style w:type="character" w:customStyle="1" w:styleId="Heading5Char">
    <w:name w:val="Heading 5 Char"/>
    <w:basedOn w:val="DefaultParagraphFont"/>
    <w:link w:val="Heading5"/>
    <w:rsid w:val="00F61688"/>
    <w:rPr>
      <w:rFonts w:ascii="Arial" w:hAnsi="Arial" w:cs="Arial"/>
      <w:b/>
      <w:bCs/>
      <w:iCs/>
      <w:snapToGrid w:val="0"/>
      <w:sz w:val="26"/>
      <w:szCs w:val="26"/>
      <w:lang w:eastAsia="en-US"/>
    </w:rPr>
  </w:style>
  <w:style w:type="character" w:customStyle="1" w:styleId="Heading6Char">
    <w:name w:val="Heading 6 Char"/>
    <w:basedOn w:val="DefaultParagraphFont"/>
    <w:link w:val="Heading6"/>
    <w:rsid w:val="00F61688"/>
    <w:rPr>
      <w:rFonts w:ascii="Arial" w:hAnsi="Arial" w:cs="Arial"/>
      <w:b/>
      <w:bCs/>
      <w:i/>
      <w:snapToGrid w:val="0"/>
      <w:sz w:val="22"/>
      <w:szCs w:val="22"/>
      <w:lang w:eastAsia="en-US"/>
    </w:rPr>
  </w:style>
  <w:style w:type="paragraph" w:customStyle="1" w:styleId="COMBody">
    <w:name w:val="COMBody"/>
    <w:basedOn w:val="Normal"/>
    <w:link w:val="COMBodyChar"/>
    <w:qFormat/>
    <w:rsid w:val="000A58C1"/>
  </w:style>
  <w:style w:type="character" w:customStyle="1" w:styleId="COMBodyChar">
    <w:name w:val="COMBody Char"/>
    <w:basedOn w:val="DefaultParagraphFont"/>
    <w:link w:val="COMBody"/>
    <w:rsid w:val="000A58C1"/>
    <w:rPr>
      <w:rFonts w:ascii="Arial" w:hAnsi="Arial" w:cs="Arial"/>
      <w:snapToGrid w:val="0"/>
      <w:sz w:val="22"/>
      <w:lang w:eastAsia="en-US"/>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C806A4"/>
    <w:pPr>
      <w:widowControl/>
      <w:spacing w:after="160" w:line="240" w:lineRule="exact"/>
      <w:jc w:val="left"/>
    </w:pPr>
    <w:rPr>
      <w:rFonts w:ascii="Verdana" w:eastAsia="MS Mincho" w:hAnsi="Verdana" w:cs="Verdana"/>
      <w:snapToGrid/>
      <w:sz w:val="20"/>
      <w:lang w:val="en-US"/>
    </w:rPr>
  </w:style>
  <w:style w:type="character" w:styleId="IntenseReference">
    <w:name w:val="Intense Reference"/>
    <w:basedOn w:val="DefaultParagraphFont"/>
    <w:uiPriority w:val="32"/>
    <w:rsid w:val="00064500"/>
    <w:rPr>
      <w:b/>
      <w:bCs/>
      <w:smallCaps/>
      <w:color w:val="C0504D" w:themeColor="accent2"/>
      <w:spacing w:val="5"/>
      <w:u w:val="single"/>
    </w:rPr>
  </w:style>
  <w:style w:type="paragraph" w:customStyle="1" w:styleId="PBACheading10">
    <w:name w:val="PBAC heading 1"/>
    <w:qFormat/>
    <w:rsid w:val="00BC52AF"/>
    <w:pPr>
      <w:ind w:left="720" w:hanging="720"/>
      <w:outlineLvl w:val="0"/>
    </w:pPr>
    <w:rPr>
      <w:rFonts w:ascii="Arial" w:hAnsi="Arial" w:cs="Arial"/>
      <w:snapToGrid w:val="0"/>
      <w:sz w:val="22"/>
      <w:szCs w:val="22"/>
      <w:lang w:eastAsia="en-US"/>
    </w:rPr>
  </w:style>
  <w:style w:type="character" w:styleId="FollowedHyperlink">
    <w:name w:val="FollowedHyperlink"/>
    <w:basedOn w:val="DefaultParagraphFont"/>
    <w:semiHidden/>
    <w:unhideWhenUsed/>
    <w:rsid w:val="0096229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992251">
      <w:bodyDiv w:val="1"/>
      <w:marLeft w:val="0"/>
      <w:marRight w:val="0"/>
      <w:marTop w:val="0"/>
      <w:marBottom w:val="0"/>
      <w:divBdr>
        <w:top w:val="none" w:sz="0" w:space="0" w:color="auto"/>
        <w:left w:val="none" w:sz="0" w:space="0" w:color="auto"/>
        <w:bottom w:val="none" w:sz="0" w:space="0" w:color="auto"/>
        <w:right w:val="none" w:sz="0" w:space="0" w:color="auto"/>
      </w:divBdr>
      <w:divsChild>
        <w:div w:id="26024469">
          <w:marLeft w:val="0"/>
          <w:marRight w:val="0"/>
          <w:marTop w:val="0"/>
          <w:marBottom w:val="0"/>
          <w:divBdr>
            <w:top w:val="none" w:sz="0" w:space="0" w:color="auto"/>
            <w:left w:val="none" w:sz="0" w:space="0" w:color="auto"/>
            <w:bottom w:val="none" w:sz="0" w:space="0" w:color="auto"/>
            <w:right w:val="none" w:sz="0" w:space="0" w:color="auto"/>
          </w:divBdr>
          <w:divsChild>
            <w:div w:id="2060283598">
              <w:marLeft w:val="0"/>
              <w:marRight w:val="0"/>
              <w:marTop w:val="0"/>
              <w:marBottom w:val="0"/>
              <w:divBdr>
                <w:top w:val="none" w:sz="0" w:space="0" w:color="auto"/>
                <w:left w:val="none" w:sz="0" w:space="0" w:color="auto"/>
                <w:bottom w:val="none" w:sz="0" w:space="0" w:color="auto"/>
                <w:right w:val="none" w:sz="0" w:space="0" w:color="auto"/>
              </w:divBdr>
              <w:divsChild>
                <w:div w:id="68427734">
                  <w:marLeft w:val="0"/>
                  <w:marRight w:val="0"/>
                  <w:marTop w:val="0"/>
                  <w:marBottom w:val="0"/>
                  <w:divBdr>
                    <w:top w:val="none" w:sz="0" w:space="0" w:color="auto"/>
                    <w:left w:val="none" w:sz="0" w:space="0" w:color="auto"/>
                    <w:bottom w:val="none" w:sz="0" w:space="0" w:color="auto"/>
                    <w:right w:val="none" w:sz="0" w:space="0" w:color="auto"/>
                  </w:divBdr>
                </w:div>
                <w:div w:id="91050871">
                  <w:marLeft w:val="0"/>
                  <w:marRight w:val="0"/>
                  <w:marTop w:val="0"/>
                  <w:marBottom w:val="0"/>
                  <w:divBdr>
                    <w:top w:val="none" w:sz="0" w:space="0" w:color="auto"/>
                    <w:left w:val="none" w:sz="0" w:space="0" w:color="auto"/>
                    <w:bottom w:val="none" w:sz="0" w:space="0" w:color="auto"/>
                    <w:right w:val="none" w:sz="0" w:space="0" w:color="auto"/>
                  </w:divBdr>
                </w:div>
                <w:div w:id="94448980">
                  <w:marLeft w:val="0"/>
                  <w:marRight w:val="0"/>
                  <w:marTop w:val="0"/>
                  <w:marBottom w:val="0"/>
                  <w:divBdr>
                    <w:top w:val="none" w:sz="0" w:space="0" w:color="auto"/>
                    <w:left w:val="none" w:sz="0" w:space="0" w:color="auto"/>
                    <w:bottom w:val="none" w:sz="0" w:space="0" w:color="auto"/>
                    <w:right w:val="none" w:sz="0" w:space="0" w:color="auto"/>
                  </w:divBdr>
                </w:div>
                <w:div w:id="158621930">
                  <w:marLeft w:val="0"/>
                  <w:marRight w:val="0"/>
                  <w:marTop w:val="0"/>
                  <w:marBottom w:val="0"/>
                  <w:divBdr>
                    <w:top w:val="none" w:sz="0" w:space="0" w:color="auto"/>
                    <w:left w:val="none" w:sz="0" w:space="0" w:color="auto"/>
                    <w:bottom w:val="none" w:sz="0" w:space="0" w:color="auto"/>
                    <w:right w:val="none" w:sz="0" w:space="0" w:color="auto"/>
                  </w:divBdr>
                </w:div>
                <w:div w:id="269898493">
                  <w:marLeft w:val="0"/>
                  <w:marRight w:val="0"/>
                  <w:marTop w:val="0"/>
                  <w:marBottom w:val="0"/>
                  <w:divBdr>
                    <w:top w:val="none" w:sz="0" w:space="0" w:color="auto"/>
                    <w:left w:val="none" w:sz="0" w:space="0" w:color="auto"/>
                    <w:bottom w:val="none" w:sz="0" w:space="0" w:color="auto"/>
                    <w:right w:val="none" w:sz="0" w:space="0" w:color="auto"/>
                  </w:divBdr>
                </w:div>
                <w:div w:id="372002481">
                  <w:marLeft w:val="0"/>
                  <w:marRight w:val="0"/>
                  <w:marTop w:val="0"/>
                  <w:marBottom w:val="0"/>
                  <w:divBdr>
                    <w:top w:val="none" w:sz="0" w:space="0" w:color="auto"/>
                    <w:left w:val="none" w:sz="0" w:space="0" w:color="auto"/>
                    <w:bottom w:val="none" w:sz="0" w:space="0" w:color="auto"/>
                    <w:right w:val="none" w:sz="0" w:space="0" w:color="auto"/>
                  </w:divBdr>
                </w:div>
                <w:div w:id="1150562060">
                  <w:marLeft w:val="0"/>
                  <w:marRight w:val="0"/>
                  <w:marTop w:val="0"/>
                  <w:marBottom w:val="0"/>
                  <w:divBdr>
                    <w:top w:val="none" w:sz="0" w:space="0" w:color="auto"/>
                    <w:left w:val="none" w:sz="0" w:space="0" w:color="auto"/>
                    <w:bottom w:val="none" w:sz="0" w:space="0" w:color="auto"/>
                    <w:right w:val="none" w:sz="0" w:space="0" w:color="auto"/>
                  </w:divBdr>
                </w:div>
                <w:div w:id="1227182129">
                  <w:marLeft w:val="0"/>
                  <w:marRight w:val="0"/>
                  <w:marTop w:val="0"/>
                  <w:marBottom w:val="0"/>
                  <w:divBdr>
                    <w:top w:val="none" w:sz="0" w:space="0" w:color="auto"/>
                    <w:left w:val="none" w:sz="0" w:space="0" w:color="auto"/>
                    <w:bottom w:val="none" w:sz="0" w:space="0" w:color="auto"/>
                    <w:right w:val="none" w:sz="0" w:space="0" w:color="auto"/>
                  </w:divBdr>
                </w:div>
                <w:div w:id="1372339377">
                  <w:marLeft w:val="0"/>
                  <w:marRight w:val="0"/>
                  <w:marTop w:val="0"/>
                  <w:marBottom w:val="0"/>
                  <w:divBdr>
                    <w:top w:val="none" w:sz="0" w:space="0" w:color="auto"/>
                    <w:left w:val="none" w:sz="0" w:space="0" w:color="auto"/>
                    <w:bottom w:val="none" w:sz="0" w:space="0" w:color="auto"/>
                    <w:right w:val="none" w:sz="0" w:space="0" w:color="auto"/>
                  </w:divBdr>
                </w:div>
                <w:div w:id="1373339429">
                  <w:marLeft w:val="0"/>
                  <w:marRight w:val="0"/>
                  <w:marTop w:val="0"/>
                  <w:marBottom w:val="0"/>
                  <w:divBdr>
                    <w:top w:val="none" w:sz="0" w:space="0" w:color="auto"/>
                    <w:left w:val="none" w:sz="0" w:space="0" w:color="auto"/>
                    <w:bottom w:val="none" w:sz="0" w:space="0" w:color="auto"/>
                    <w:right w:val="none" w:sz="0" w:space="0" w:color="auto"/>
                  </w:divBdr>
                </w:div>
                <w:div w:id="1625891292">
                  <w:marLeft w:val="0"/>
                  <w:marRight w:val="0"/>
                  <w:marTop w:val="0"/>
                  <w:marBottom w:val="0"/>
                  <w:divBdr>
                    <w:top w:val="none" w:sz="0" w:space="0" w:color="auto"/>
                    <w:left w:val="none" w:sz="0" w:space="0" w:color="auto"/>
                    <w:bottom w:val="none" w:sz="0" w:space="0" w:color="auto"/>
                    <w:right w:val="none" w:sz="0" w:space="0" w:color="auto"/>
                  </w:divBdr>
                </w:div>
                <w:div w:id="1814134159">
                  <w:marLeft w:val="0"/>
                  <w:marRight w:val="0"/>
                  <w:marTop w:val="0"/>
                  <w:marBottom w:val="0"/>
                  <w:divBdr>
                    <w:top w:val="none" w:sz="0" w:space="0" w:color="auto"/>
                    <w:left w:val="none" w:sz="0" w:space="0" w:color="auto"/>
                    <w:bottom w:val="none" w:sz="0" w:space="0" w:color="auto"/>
                    <w:right w:val="none" w:sz="0" w:space="0" w:color="auto"/>
                  </w:divBdr>
                </w:div>
                <w:div w:id="1843545610">
                  <w:marLeft w:val="0"/>
                  <w:marRight w:val="0"/>
                  <w:marTop w:val="0"/>
                  <w:marBottom w:val="0"/>
                  <w:divBdr>
                    <w:top w:val="none" w:sz="0" w:space="0" w:color="auto"/>
                    <w:left w:val="none" w:sz="0" w:space="0" w:color="auto"/>
                    <w:bottom w:val="none" w:sz="0" w:space="0" w:color="auto"/>
                    <w:right w:val="none" w:sz="0" w:space="0" w:color="auto"/>
                  </w:divBdr>
                </w:div>
                <w:div w:id="197744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1673">
          <w:marLeft w:val="0"/>
          <w:marRight w:val="0"/>
          <w:marTop w:val="0"/>
          <w:marBottom w:val="0"/>
          <w:divBdr>
            <w:top w:val="none" w:sz="0" w:space="0" w:color="auto"/>
            <w:left w:val="none" w:sz="0" w:space="0" w:color="auto"/>
            <w:bottom w:val="none" w:sz="0" w:space="0" w:color="auto"/>
            <w:right w:val="none" w:sz="0" w:space="0" w:color="auto"/>
          </w:divBdr>
        </w:div>
        <w:div w:id="434862782">
          <w:marLeft w:val="0"/>
          <w:marRight w:val="0"/>
          <w:marTop w:val="0"/>
          <w:marBottom w:val="0"/>
          <w:divBdr>
            <w:top w:val="none" w:sz="0" w:space="0" w:color="auto"/>
            <w:left w:val="none" w:sz="0" w:space="0" w:color="auto"/>
            <w:bottom w:val="none" w:sz="0" w:space="0" w:color="auto"/>
            <w:right w:val="none" w:sz="0" w:space="0" w:color="auto"/>
          </w:divBdr>
        </w:div>
        <w:div w:id="460658434">
          <w:marLeft w:val="0"/>
          <w:marRight w:val="0"/>
          <w:marTop w:val="0"/>
          <w:marBottom w:val="0"/>
          <w:divBdr>
            <w:top w:val="none" w:sz="0" w:space="0" w:color="auto"/>
            <w:left w:val="none" w:sz="0" w:space="0" w:color="auto"/>
            <w:bottom w:val="none" w:sz="0" w:space="0" w:color="auto"/>
            <w:right w:val="none" w:sz="0" w:space="0" w:color="auto"/>
          </w:divBdr>
        </w:div>
        <w:div w:id="565335714">
          <w:marLeft w:val="0"/>
          <w:marRight w:val="0"/>
          <w:marTop w:val="0"/>
          <w:marBottom w:val="0"/>
          <w:divBdr>
            <w:top w:val="none" w:sz="0" w:space="0" w:color="auto"/>
            <w:left w:val="none" w:sz="0" w:space="0" w:color="auto"/>
            <w:bottom w:val="none" w:sz="0" w:space="0" w:color="auto"/>
            <w:right w:val="none" w:sz="0" w:space="0" w:color="auto"/>
          </w:divBdr>
        </w:div>
        <w:div w:id="578490382">
          <w:marLeft w:val="0"/>
          <w:marRight w:val="0"/>
          <w:marTop w:val="0"/>
          <w:marBottom w:val="0"/>
          <w:divBdr>
            <w:top w:val="none" w:sz="0" w:space="0" w:color="auto"/>
            <w:left w:val="none" w:sz="0" w:space="0" w:color="auto"/>
            <w:bottom w:val="none" w:sz="0" w:space="0" w:color="auto"/>
            <w:right w:val="none" w:sz="0" w:space="0" w:color="auto"/>
          </w:divBdr>
        </w:div>
        <w:div w:id="609582653">
          <w:marLeft w:val="0"/>
          <w:marRight w:val="0"/>
          <w:marTop w:val="0"/>
          <w:marBottom w:val="0"/>
          <w:divBdr>
            <w:top w:val="none" w:sz="0" w:space="0" w:color="auto"/>
            <w:left w:val="none" w:sz="0" w:space="0" w:color="auto"/>
            <w:bottom w:val="none" w:sz="0" w:space="0" w:color="auto"/>
            <w:right w:val="none" w:sz="0" w:space="0" w:color="auto"/>
          </w:divBdr>
        </w:div>
        <w:div w:id="690188517">
          <w:marLeft w:val="0"/>
          <w:marRight w:val="0"/>
          <w:marTop w:val="0"/>
          <w:marBottom w:val="0"/>
          <w:divBdr>
            <w:top w:val="none" w:sz="0" w:space="0" w:color="auto"/>
            <w:left w:val="none" w:sz="0" w:space="0" w:color="auto"/>
            <w:bottom w:val="none" w:sz="0" w:space="0" w:color="auto"/>
            <w:right w:val="none" w:sz="0" w:space="0" w:color="auto"/>
          </w:divBdr>
        </w:div>
        <w:div w:id="757409749">
          <w:marLeft w:val="0"/>
          <w:marRight w:val="0"/>
          <w:marTop w:val="0"/>
          <w:marBottom w:val="0"/>
          <w:divBdr>
            <w:top w:val="none" w:sz="0" w:space="0" w:color="auto"/>
            <w:left w:val="none" w:sz="0" w:space="0" w:color="auto"/>
            <w:bottom w:val="none" w:sz="0" w:space="0" w:color="auto"/>
            <w:right w:val="none" w:sz="0" w:space="0" w:color="auto"/>
          </w:divBdr>
        </w:div>
        <w:div w:id="813643652">
          <w:marLeft w:val="0"/>
          <w:marRight w:val="0"/>
          <w:marTop w:val="0"/>
          <w:marBottom w:val="0"/>
          <w:divBdr>
            <w:top w:val="none" w:sz="0" w:space="0" w:color="auto"/>
            <w:left w:val="none" w:sz="0" w:space="0" w:color="auto"/>
            <w:bottom w:val="none" w:sz="0" w:space="0" w:color="auto"/>
            <w:right w:val="none" w:sz="0" w:space="0" w:color="auto"/>
          </w:divBdr>
        </w:div>
        <w:div w:id="911819622">
          <w:marLeft w:val="0"/>
          <w:marRight w:val="0"/>
          <w:marTop w:val="0"/>
          <w:marBottom w:val="0"/>
          <w:divBdr>
            <w:top w:val="none" w:sz="0" w:space="0" w:color="auto"/>
            <w:left w:val="none" w:sz="0" w:space="0" w:color="auto"/>
            <w:bottom w:val="none" w:sz="0" w:space="0" w:color="auto"/>
            <w:right w:val="none" w:sz="0" w:space="0" w:color="auto"/>
          </w:divBdr>
        </w:div>
        <w:div w:id="1040856051">
          <w:marLeft w:val="0"/>
          <w:marRight w:val="0"/>
          <w:marTop w:val="0"/>
          <w:marBottom w:val="0"/>
          <w:divBdr>
            <w:top w:val="none" w:sz="0" w:space="0" w:color="auto"/>
            <w:left w:val="none" w:sz="0" w:space="0" w:color="auto"/>
            <w:bottom w:val="none" w:sz="0" w:space="0" w:color="auto"/>
            <w:right w:val="none" w:sz="0" w:space="0" w:color="auto"/>
          </w:divBdr>
        </w:div>
        <w:div w:id="1089498728">
          <w:marLeft w:val="0"/>
          <w:marRight w:val="0"/>
          <w:marTop w:val="0"/>
          <w:marBottom w:val="0"/>
          <w:divBdr>
            <w:top w:val="none" w:sz="0" w:space="0" w:color="auto"/>
            <w:left w:val="none" w:sz="0" w:space="0" w:color="auto"/>
            <w:bottom w:val="none" w:sz="0" w:space="0" w:color="auto"/>
            <w:right w:val="none" w:sz="0" w:space="0" w:color="auto"/>
          </w:divBdr>
        </w:div>
        <w:div w:id="1423574139">
          <w:marLeft w:val="0"/>
          <w:marRight w:val="0"/>
          <w:marTop w:val="0"/>
          <w:marBottom w:val="0"/>
          <w:divBdr>
            <w:top w:val="none" w:sz="0" w:space="0" w:color="auto"/>
            <w:left w:val="none" w:sz="0" w:space="0" w:color="auto"/>
            <w:bottom w:val="none" w:sz="0" w:space="0" w:color="auto"/>
            <w:right w:val="none" w:sz="0" w:space="0" w:color="auto"/>
          </w:divBdr>
        </w:div>
        <w:div w:id="1698391565">
          <w:marLeft w:val="0"/>
          <w:marRight w:val="0"/>
          <w:marTop w:val="0"/>
          <w:marBottom w:val="0"/>
          <w:divBdr>
            <w:top w:val="none" w:sz="0" w:space="0" w:color="auto"/>
            <w:left w:val="none" w:sz="0" w:space="0" w:color="auto"/>
            <w:bottom w:val="none" w:sz="0" w:space="0" w:color="auto"/>
            <w:right w:val="none" w:sz="0" w:space="0" w:color="auto"/>
          </w:divBdr>
        </w:div>
        <w:div w:id="1828327969">
          <w:marLeft w:val="0"/>
          <w:marRight w:val="0"/>
          <w:marTop w:val="0"/>
          <w:marBottom w:val="0"/>
          <w:divBdr>
            <w:top w:val="none" w:sz="0" w:space="0" w:color="auto"/>
            <w:left w:val="none" w:sz="0" w:space="0" w:color="auto"/>
            <w:bottom w:val="none" w:sz="0" w:space="0" w:color="auto"/>
            <w:right w:val="none" w:sz="0" w:space="0" w:color="auto"/>
          </w:divBdr>
        </w:div>
        <w:div w:id="2028871263">
          <w:marLeft w:val="0"/>
          <w:marRight w:val="0"/>
          <w:marTop w:val="0"/>
          <w:marBottom w:val="0"/>
          <w:divBdr>
            <w:top w:val="none" w:sz="0" w:space="0" w:color="auto"/>
            <w:left w:val="none" w:sz="0" w:space="0" w:color="auto"/>
            <w:bottom w:val="none" w:sz="0" w:space="0" w:color="auto"/>
            <w:right w:val="none" w:sz="0" w:space="0" w:color="auto"/>
          </w:divBdr>
        </w:div>
      </w:divsChild>
    </w:div>
    <w:div w:id="243993119">
      <w:bodyDiv w:val="1"/>
      <w:marLeft w:val="0"/>
      <w:marRight w:val="0"/>
      <w:marTop w:val="0"/>
      <w:marBottom w:val="0"/>
      <w:divBdr>
        <w:top w:val="none" w:sz="0" w:space="0" w:color="auto"/>
        <w:left w:val="none" w:sz="0" w:space="0" w:color="auto"/>
        <w:bottom w:val="none" w:sz="0" w:space="0" w:color="auto"/>
        <w:right w:val="none" w:sz="0" w:space="0" w:color="auto"/>
      </w:divBdr>
      <w:divsChild>
        <w:div w:id="1011227350">
          <w:marLeft w:val="0"/>
          <w:marRight w:val="0"/>
          <w:marTop w:val="0"/>
          <w:marBottom w:val="0"/>
          <w:divBdr>
            <w:top w:val="none" w:sz="0" w:space="0" w:color="auto"/>
            <w:left w:val="none" w:sz="0" w:space="0" w:color="auto"/>
            <w:bottom w:val="none" w:sz="0" w:space="0" w:color="auto"/>
            <w:right w:val="none" w:sz="0" w:space="0" w:color="auto"/>
          </w:divBdr>
        </w:div>
      </w:divsChild>
    </w:div>
    <w:div w:id="281039488">
      <w:bodyDiv w:val="1"/>
      <w:marLeft w:val="0"/>
      <w:marRight w:val="0"/>
      <w:marTop w:val="0"/>
      <w:marBottom w:val="0"/>
      <w:divBdr>
        <w:top w:val="none" w:sz="0" w:space="0" w:color="auto"/>
        <w:left w:val="none" w:sz="0" w:space="0" w:color="auto"/>
        <w:bottom w:val="none" w:sz="0" w:space="0" w:color="auto"/>
        <w:right w:val="none" w:sz="0" w:space="0" w:color="auto"/>
      </w:divBdr>
    </w:div>
    <w:div w:id="382758867">
      <w:bodyDiv w:val="1"/>
      <w:marLeft w:val="0"/>
      <w:marRight w:val="0"/>
      <w:marTop w:val="0"/>
      <w:marBottom w:val="0"/>
      <w:divBdr>
        <w:top w:val="none" w:sz="0" w:space="0" w:color="auto"/>
        <w:left w:val="none" w:sz="0" w:space="0" w:color="auto"/>
        <w:bottom w:val="none" w:sz="0" w:space="0" w:color="auto"/>
        <w:right w:val="none" w:sz="0" w:space="0" w:color="auto"/>
      </w:divBdr>
    </w:div>
    <w:div w:id="549147224">
      <w:bodyDiv w:val="1"/>
      <w:marLeft w:val="0"/>
      <w:marRight w:val="0"/>
      <w:marTop w:val="0"/>
      <w:marBottom w:val="0"/>
      <w:divBdr>
        <w:top w:val="none" w:sz="0" w:space="0" w:color="auto"/>
        <w:left w:val="none" w:sz="0" w:space="0" w:color="auto"/>
        <w:bottom w:val="none" w:sz="0" w:space="0" w:color="auto"/>
        <w:right w:val="none" w:sz="0" w:space="0" w:color="auto"/>
      </w:divBdr>
    </w:div>
    <w:div w:id="637340882">
      <w:bodyDiv w:val="1"/>
      <w:marLeft w:val="0"/>
      <w:marRight w:val="0"/>
      <w:marTop w:val="0"/>
      <w:marBottom w:val="0"/>
      <w:divBdr>
        <w:top w:val="none" w:sz="0" w:space="0" w:color="auto"/>
        <w:left w:val="none" w:sz="0" w:space="0" w:color="auto"/>
        <w:bottom w:val="none" w:sz="0" w:space="0" w:color="auto"/>
        <w:right w:val="none" w:sz="0" w:space="0" w:color="auto"/>
      </w:divBdr>
    </w:div>
    <w:div w:id="831335195">
      <w:bodyDiv w:val="1"/>
      <w:marLeft w:val="0"/>
      <w:marRight w:val="0"/>
      <w:marTop w:val="0"/>
      <w:marBottom w:val="0"/>
      <w:divBdr>
        <w:top w:val="none" w:sz="0" w:space="0" w:color="auto"/>
        <w:left w:val="none" w:sz="0" w:space="0" w:color="auto"/>
        <w:bottom w:val="none" w:sz="0" w:space="0" w:color="auto"/>
        <w:right w:val="none" w:sz="0" w:space="0" w:color="auto"/>
      </w:divBdr>
      <w:divsChild>
        <w:div w:id="243271482">
          <w:marLeft w:val="0"/>
          <w:marRight w:val="0"/>
          <w:marTop w:val="0"/>
          <w:marBottom w:val="0"/>
          <w:divBdr>
            <w:top w:val="none" w:sz="0" w:space="0" w:color="auto"/>
            <w:left w:val="none" w:sz="0" w:space="0" w:color="auto"/>
            <w:bottom w:val="none" w:sz="0" w:space="0" w:color="auto"/>
            <w:right w:val="none" w:sz="0" w:space="0" w:color="auto"/>
          </w:divBdr>
        </w:div>
        <w:div w:id="798063166">
          <w:marLeft w:val="0"/>
          <w:marRight w:val="0"/>
          <w:marTop w:val="0"/>
          <w:marBottom w:val="0"/>
          <w:divBdr>
            <w:top w:val="none" w:sz="0" w:space="0" w:color="auto"/>
            <w:left w:val="none" w:sz="0" w:space="0" w:color="auto"/>
            <w:bottom w:val="none" w:sz="0" w:space="0" w:color="auto"/>
            <w:right w:val="none" w:sz="0" w:space="0" w:color="auto"/>
          </w:divBdr>
        </w:div>
        <w:div w:id="899093111">
          <w:marLeft w:val="0"/>
          <w:marRight w:val="0"/>
          <w:marTop w:val="0"/>
          <w:marBottom w:val="0"/>
          <w:divBdr>
            <w:top w:val="none" w:sz="0" w:space="0" w:color="auto"/>
            <w:left w:val="none" w:sz="0" w:space="0" w:color="auto"/>
            <w:bottom w:val="none" w:sz="0" w:space="0" w:color="auto"/>
            <w:right w:val="none" w:sz="0" w:space="0" w:color="auto"/>
          </w:divBdr>
        </w:div>
        <w:div w:id="1308123976">
          <w:marLeft w:val="0"/>
          <w:marRight w:val="0"/>
          <w:marTop w:val="0"/>
          <w:marBottom w:val="0"/>
          <w:divBdr>
            <w:top w:val="none" w:sz="0" w:space="0" w:color="auto"/>
            <w:left w:val="none" w:sz="0" w:space="0" w:color="auto"/>
            <w:bottom w:val="none" w:sz="0" w:space="0" w:color="auto"/>
            <w:right w:val="none" w:sz="0" w:space="0" w:color="auto"/>
          </w:divBdr>
        </w:div>
        <w:div w:id="1431662349">
          <w:marLeft w:val="0"/>
          <w:marRight w:val="0"/>
          <w:marTop w:val="0"/>
          <w:marBottom w:val="0"/>
          <w:divBdr>
            <w:top w:val="none" w:sz="0" w:space="0" w:color="auto"/>
            <w:left w:val="none" w:sz="0" w:space="0" w:color="auto"/>
            <w:bottom w:val="none" w:sz="0" w:space="0" w:color="auto"/>
            <w:right w:val="none" w:sz="0" w:space="0" w:color="auto"/>
          </w:divBdr>
        </w:div>
        <w:div w:id="1468937142">
          <w:marLeft w:val="0"/>
          <w:marRight w:val="0"/>
          <w:marTop w:val="0"/>
          <w:marBottom w:val="0"/>
          <w:divBdr>
            <w:top w:val="none" w:sz="0" w:space="0" w:color="auto"/>
            <w:left w:val="none" w:sz="0" w:space="0" w:color="auto"/>
            <w:bottom w:val="none" w:sz="0" w:space="0" w:color="auto"/>
            <w:right w:val="none" w:sz="0" w:space="0" w:color="auto"/>
          </w:divBdr>
        </w:div>
        <w:div w:id="1484077056">
          <w:marLeft w:val="0"/>
          <w:marRight w:val="0"/>
          <w:marTop w:val="0"/>
          <w:marBottom w:val="0"/>
          <w:divBdr>
            <w:top w:val="none" w:sz="0" w:space="0" w:color="auto"/>
            <w:left w:val="none" w:sz="0" w:space="0" w:color="auto"/>
            <w:bottom w:val="none" w:sz="0" w:space="0" w:color="auto"/>
            <w:right w:val="none" w:sz="0" w:space="0" w:color="auto"/>
          </w:divBdr>
        </w:div>
        <w:div w:id="1632906027">
          <w:marLeft w:val="0"/>
          <w:marRight w:val="0"/>
          <w:marTop w:val="0"/>
          <w:marBottom w:val="0"/>
          <w:divBdr>
            <w:top w:val="none" w:sz="0" w:space="0" w:color="auto"/>
            <w:left w:val="none" w:sz="0" w:space="0" w:color="auto"/>
            <w:bottom w:val="none" w:sz="0" w:space="0" w:color="auto"/>
            <w:right w:val="none" w:sz="0" w:space="0" w:color="auto"/>
          </w:divBdr>
        </w:div>
        <w:div w:id="1658076567">
          <w:marLeft w:val="0"/>
          <w:marRight w:val="0"/>
          <w:marTop w:val="0"/>
          <w:marBottom w:val="0"/>
          <w:divBdr>
            <w:top w:val="none" w:sz="0" w:space="0" w:color="auto"/>
            <w:left w:val="none" w:sz="0" w:space="0" w:color="auto"/>
            <w:bottom w:val="none" w:sz="0" w:space="0" w:color="auto"/>
            <w:right w:val="none" w:sz="0" w:space="0" w:color="auto"/>
          </w:divBdr>
        </w:div>
        <w:div w:id="1685790312">
          <w:marLeft w:val="0"/>
          <w:marRight w:val="0"/>
          <w:marTop w:val="0"/>
          <w:marBottom w:val="0"/>
          <w:divBdr>
            <w:top w:val="none" w:sz="0" w:space="0" w:color="auto"/>
            <w:left w:val="none" w:sz="0" w:space="0" w:color="auto"/>
            <w:bottom w:val="none" w:sz="0" w:space="0" w:color="auto"/>
            <w:right w:val="none" w:sz="0" w:space="0" w:color="auto"/>
          </w:divBdr>
        </w:div>
        <w:div w:id="1765221368">
          <w:marLeft w:val="0"/>
          <w:marRight w:val="0"/>
          <w:marTop w:val="0"/>
          <w:marBottom w:val="0"/>
          <w:divBdr>
            <w:top w:val="none" w:sz="0" w:space="0" w:color="auto"/>
            <w:left w:val="none" w:sz="0" w:space="0" w:color="auto"/>
            <w:bottom w:val="none" w:sz="0" w:space="0" w:color="auto"/>
            <w:right w:val="none" w:sz="0" w:space="0" w:color="auto"/>
          </w:divBdr>
        </w:div>
        <w:div w:id="1792628718">
          <w:marLeft w:val="0"/>
          <w:marRight w:val="0"/>
          <w:marTop w:val="0"/>
          <w:marBottom w:val="0"/>
          <w:divBdr>
            <w:top w:val="none" w:sz="0" w:space="0" w:color="auto"/>
            <w:left w:val="none" w:sz="0" w:space="0" w:color="auto"/>
            <w:bottom w:val="none" w:sz="0" w:space="0" w:color="auto"/>
            <w:right w:val="none" w:sz="0" w:space="0" w:color="auto"/>
          </w:divBdr>
        </w:div>
        <w:div w:id="1856727670">
          <w:marLeft w:val="0"/>
          <w:marRight w:val="0"/>
          <w:marTop w:val="0"/>
          <w:marBottom w:val="0"/>
          <w:divBdr>
            <w:top w:val="none" w:sz="0" w:space="0" w:color="auto"/>
            <w:left w:val="none" w:sz="0" w:space="0" w:color="auto"/>
            <w:bottom w:val="none" w:sz="0" w:space="0" w:color="auto"/>
            <w:right w:val="none" w:sz="0" w:space="0" w:color="auto"/>
          </w:divBdr>
        </w:div>
        <w:div w:id="2055426890">
          <w:marLeft w:val="0"/>
          <w:marRight w:val="0"/>
          <w:marTop w:val="0"/>
          <w:marBottom w:val="0"/>
          <w:divBdr>
            <w:top w:val="none" w:sz="0" w:space="0" w:color="auto"/>
            <w:left w:val="none" w:sz="0" w:space="0" w:color="auto"/>
            <w:bottom w:val="none" w:sz="0" w:space="0" w:color="auto"/>
            <w:right w:val="none" w:sz="0" w:space="0" w:color="auto"/>
          </w:divBdr>
        </w:div>
        <w:div w:id="2107268561">
          <w:marLeft w:val="0"/>
          <w:marRight w:val="0"/>
          <w:marTop w:val="0"/>
          <w:marBottom w:val="0"/>
          <w:divBdr>
            <w:top w:val="none" w:sz="0" w:space="0" w:color="auto"/>
            <w:left w:val="none" w:sz="0" w:space="0" w:color="auto"/>
            <w:bottom w:val="none" w:sz="0" w:space="0" w:color="auto"/>
            <w:right w:val="none" w:sz="0" w:space="0" w:color="auto"/>
          </w:divBdr>
        </w:div>
      </w:divsChild>
    </w:div>
    <w:div w:id="833880607">
      <w:bodyDiv w:val="1"/>
      <w:marLeft w:val="0"/>
      <w:marRight w:val="0"/>
      <w:marTop w:val="0"/>
      <w:marBottom w:val="0"/>
      <w:divBdr>
        <w:top w:val="none" w:sz="0" w:space="0" w:color="auto"/>
        <w:left w:val="none" w:sz="0" w:space="0" w:color="auto"/>
        <w:bottom w:val="none" w:sz="0" w:space="0" w:color="auto"/>
        <w:right w:val="none" w:sz="0" w:space="0" w:color="auto"/>
      </w:divBdr>
    </w:div>
    <w:div w:id="1148521658">
      <w:bodyDiv w:val="1"/>
      <w:marLeft w:val="0"/>
      <w:marRight w:val="0"/>
      <w:marTop w:val="0"/>
      <w:marBottom w:val="0"/>
      <w:divBdr>
        <w:top w:val="none" w:sz="0" w:space="0" w:color="auto"/>
        <w:left w:val="none" w:sz="0" w:space="0" w:color="auto"/>
        <w:bottom w:val="none" w:sz="0" w:space="0" w:color="auto"/>
        <w:right w:val="none" w:sz="0" w:space="0" w:color="auto"/>
      </w:divBdr>
    </w:div>
    <w:div w:id="1385790146">
      <w:bodyDiv w:val="1"/>
      <w:marLeft w:val="0"/>
      <w:marRight w:val="0"/>
      <w:marTop w:val="0"/>
      <w:marBottom w:val="0"/>
      <w:divBdr>
        <w:top w:val="none" w:sz="0" w:space="0" w:color="auto"/>
        <w:left w:val="none" w:sz="0" w:space="0" w:color="auto"/>
        <w:bottom w:val="none" w:sz="0" w:space="0" w:color="auto"/>
        <w:right w:val="none" w:sz="0" w:space="0" w:color="auto"/>
      </w:divBdr>
    </w:div>
    <w:div w:id="1692992450">
      <w:bodyDiv w:val="1"/>
      <w:marLeft w:val="0"/>
      <w:marRight w:val="0"/>
      <w:marTop w:val="0"/>
      <w:marBottom w:val="0"/>
      <w:divBdr>
        <w:top w:val="none" w:sz="0" w:space="0" w:color="auto"/>
        <w:left w:val="none" w:sz="0" w:space="0" w:color="auto"/>
        <w:bottom w:val="none" w:sz="0" w:space="0" w:color="auto"/>
        <w:right w:val="none" w:sz="0" w:space="0" w:color="auto"/>
      </w:divBdr>
      <w:divsChild>
        <w:div w:id="1770731196">
          <w:marLeft w:val="0"/>
          <w:marRight w:val="0"/>
          <w:marTop w:val="0"/>
          <w:marBottom w:val="0"/>
          <w:divBdr>
            <w:top w:val="none" w:sz="0" w:space="0" w:color="auto"/>
            <w:left w:val="none" w:sz="0" w:space="0" w:color="auto"/>
            <w:bottom w:val="none" w:sz="0" w:space="0" w:color="auto"/>
            <w:right w:val="none" w:sz="0" w:space="0" w:color="auto"/>
          </w:divBdr>
        </w:div>
        <w:div w:id="1995722837">
          <w:marLeft w:val="0"/>
          <w:marRight w:val="0"/>
          <w:marTop w:val="0"/>
          <w:marBottom w:val="0"/>
          <w:divBdr>
            <w:top w:val="none" w:sz="0" w:space="0" w:color="auto"/>
            <w:left w:val="none" w:sz="0" w:space="0" w:color="auto"/>
            <w:bottom w:val="none" w:sz="0" w:space="0" w:color="auto"/>
            <w:right w:val="none" w:sz="0" w:space="0" w:color="auto"/>
          </w:divBdr>
        </w:div>
      </w:divsChild>
    </w:div>
    <w:div w:id="1703823676">
      <w:bodyDiv w:val="1"/>
      <w:marLeft w:val="0"/>
      <w:marRight w:val="0"/>
      <w:marTop w:val="0"/>
      <w:marBottom w:val="0"/>
      <w:divBdr>
        <w:top w:val="none" w:sz="0" w:space="0" w:color="auto"/>
        <w:left w:val="none" w:sz="0" w:space="0" w:color="auto"/>
        <w:bottom w:val="none" w:sz="0" w:space="0" w:color="auto"/>
        <w:right w:val="none" w:sz="0" w:space="0" w:color="auto"/>
      </w:divBdr>
    </w:div>
    <w:div w:id="1904024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tmp"/><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BBAC99-7D69-45A8-A3A0-CF1FF7ED4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8815</Words>
  <Characters>53657</Characters>
  <Application>Microsoft Office Word</Application>
  <DocSecurity>0</DocSecurity>
  <Lines>447</Lines>
  <Paragraphs>124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62348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2017-07-10T23:57:00Z</dcterms:created>
  <dcterms:modified xsi:type="dcterms:W3CDTF">2017-07-11T00:04:00Z</dcterms:modified>
</cp:coreProperties>
</file>