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176338" w:rsidRDefault="00ED4554" w:rsidP="008A50F1">
      <w:pPr>
        <w:pStyle w:val="Title"/>
        <w:ind w:left="720" w:hanging="720"/>
        <w:rPr>
          <w:rFonts w:asciiTheme="minorHAnsi" w:hAnsiTheme="minorHAnsi"/>
          <w:sz w:val="36"/>
          <w:szCs w:val="36"/>
        </w:rPr>
      </w:pPr>
      <w:r w:rsidRPr="00176338">
        <w:rPr>
          <w:rFonts w:asciiTheme="minorHAnsi" w:hAnsiTheme="minorHAnsi"/>
          <w:sz w:val="36"/>
          <w:szCs w:val="36"/>
        </w:rPr>
        <w:t>5</w:t>
      </w:r>
      <w:r w:rsidR="0004240E" w:rsidRPr="00176338">
        <w:rPr>
          <w:rFonts w:asciiTheme="minorHAnsi" w:hAnsiTheme="minorHAnsi"/>
          <w:sz w:val="36"/>
          <w:szCs w:val="36"/>
        </w:rPr>
        <w:t>.</w:t>
      </w:r>
      <w:r w:rsidRPr="00176338">
        <w:rPr>
          <w:rFonts w:asciiTheme="minorHAnsi" w:hAnsiTheme="minorHAnsi"/>
          <w:sz w:val="36"/>
          <w:szCs w:val="36"/>
        </w:rPr>
        <w:t>16</w:t>
      </w:r>
      <w:r w:rsidR="007C0F57" w:rsidRPr="00176338">
        <w:rPr>
          <w:rFonts w:asciiTheme="minorHAnsi" w:hAnsiTheme="minorHAnsi"/>
          <w:sz w:val="36"/>
          <w:szCs w:val="36"/>
        </w:rPr>
        <w:tab/>
      </w:r>
      <w:r w:rsidR="000F6687">
        <w:rPr>
          <w:rFonts w:asciiTheme="minorHAnsi" w:hAnsiTheme="minorHAnsi"/>
          <w:sz w:val="36"/>
          <w:szCs w:val="36"/>
        </w:rPr>
        <w:t xml:space="preserve"> </w:t>
      </w:r>
      <w:r w:rsidRPr="00176338">
        <w:rPr>
          <w:rFonts w:asciiTheme="minorHAnsi" w:hAnsiTheme="minorHAnsi"/>
          <w:sz w:val="36"/>
          <w:szCs w:val="36"/>
        </w:rPr>
        <w:t>ADALIMUMAB</w:t>
      </w:r>
      <w:r w:rsidR="008A50F1" w:rsidRPr="00176338">
        <w:rPr>
          <w:rFonts w:asciiTheme="minorHAnsi" w:hAnsiTheme="minorHAnsi"/>
          <w:sz w:val="36"/>
          <w:szCs w:val="36"/>
        </w:rPr>
        <w:t xml:space="preserve"> </w:t>
      </w:r>
      <w:r w:rsidR="008A50F1" w:rsidRPr="00176338">
        <w:rPr>
          <w:rFonts w:asciiTheme="minorHAnsi" w:hAnsiTheme="minorHAnsi"/>
          <w:sz w:val="36"/>
          <w:szCs w:val="36"/>
        </w:rPr>
        <w:br/>
      </w:r>
      <w:r w:rsidR="000F6687">
        <w:rPr>
          <w:rFonts w:asciiTheme="minorHAnsi" w:hAnsiTheme="minorHAnsi"/>
          <w:sz w:val="36"/>
          <w:szCs w:val="36"/>
        </w:rPr>
        <w:t xml:space="preserve"> </w:t>
      </w:r>
      <w:r w:rsidR="006E1E1C" w:rsidRPr="00176338">
        <w:rPr>
          <w:rFonts w:asciiTheme="minorHAnsi" w:hAnsiTheme="minorHAnsi"/>
          <w:sz w:val="36"/>
          <w:szCs w:val="36"/>
        </w:rPr>
        <w:t>I</w:t>
      </w:r>
      <w:r w:rsidRPr="00176338">
        <w:rPr>
          <w:rFonts w:asciiTheme="minorHAnsi" w:hAnsiTheme="minorHAnsi"/>
          <w:sz w:val="36"/>
          <w:szCs w:val="36"/>
        </w:rPr>
        <w:t>njection</w:t>
      </w:r>
      <w:r w:rsidR="0004240E" w:rsidRPr="00176338">
        <w:rPr>
          <w:rFonts w:asciiTheme="minorHAnsi" w:hAnsiTheme="minorHAnsi"/>
          <w:sz w:val="36"/>
          <w:szCs w:val="36"/>
        </w:rPr>
        <w:t xml:space="preserve"> </w:t>
      </w:r>
      <w:r w:rsidRPr="00176338">
        <w:rPr>
          <w:rFonts w:asciiTheme="minorHAnsi" w:hAnsiTheme="minorHAnsi"/>
          <w:sz w:val="36"/>
          <w:szCs w:val="36"/>
        </w:rPr>
        <w:t>40 mg</w:t>
      </w:r>
      <w:r w:rsidR="006E1E1C" w:rsidRPr="00176338">
        <w:rPr>
          <w:rFonts w:asciiTheme="minorHAnsi" w:hAnsiTheme="minorHAnsi"/>
          <w:sz w:val="36"/>
          <w:szCs w:val="36"/>
        </w:rPr>
        <w:t xml:space="preserve"> in </w:t>
      </w:r>
      <w:r w:rsidR="00600953" w:rsidRPr="00176338">
        <w:rPr>
          <w:rFonts w:asciiTheme="minorHAnsi" w:hAnsiTheme="minorHAnsi"/>
          <w:sz w:val="36"/>
          <w:szCs w:val="36"/>
        </w:rPr>
        <w:t xml:space="preserve">0.8 mL </w:t>
      </w:r>
      <w:r w:rsidR="006E1E1C" w:rsidRPr="00176338">
        <w:rPr>
          <w:rFonts w:asciiTheme="minorHAnsi" w:hAnsiTheme="minorHAnsi"/>
          <w:sz w:val="36"/>
          <w:szCs w:val="36"/>
        </w:rPr>
        <w:t>vial,</w:t>
      </w:r>
      <w:r w:rsidRPr="00176338">
        <w:rPr>
          <w:rFonts w:asciiTheme="minorHAnsi" w:hAnsiTheme="minorHAnsi"/>
          <w:sz w:val="36"/>
          <w:szCs w:val="36"/>
        </w:rPr>
        <w:t xml:space="preserve"> </w:t>
      </w:r>
      <w:r w:rsidR="008A50F1" w:rsidRPr="00176338">
        <w:rPr>
          <w:rFonts w:asciiTheme="minorHAnsi" w:hAnsiTheme="minorHAnsi"/>
          <w:sz w:val="36"/>
          <w:szCs w:val="36"/>
        </w:rPr>
        <w:br/>
      </w:r>
      <w:r w:rsidR="000F6687">
        <w:rPr>
          <w:rFonts w:asciiTheme="minorHAnsi" w:hAnsiTheme="minorHAnsi"/>
          <w:sz w:val="36"/>
          <w:szCs w:val="36"/>
        </w:rPr>
        <w:t xml:space="preserve"> </w:t>
      </w:r>
      <w:r w:rsidRPr="00176338">
        <w:rPr>
          <w:rFonts w:asciiTheme="minorHAnsi" w:hAnsiTheme="minorHAnsi"/>
          <w:sz w:val="36"/>
          <w:szCs w:val="36"/>
        </w:rPr>
        <w:t>Humira</w:t>
      </w:r>
      <w:r w:rsidR="0004240E" w:rsidRPr="00176338">
        <w:rPr>
          <w:rFonts w:asciiTheme="minorHAnsi" w:hAnsiTheme="minorHAnsi"/>
          <w:sz w:val="36"/>
          <w:szCs w:val="36"/>
          <w:vertAlign w:val="superscript"/>
        </w:rPr>
        <w:t>®</w:t>
      </w:r>
      <w:r w:rsidR="00EF44A0" w:rsidRPr="00176338">
        <w:rPr>
          <w:rFonts w:asciiTheme="minorHAnsi" w:hAnsiTheme="minorHAnsi"/>
          <w:sz w:val="36"/>
          <w:szCs w:val="36"/>
        </w:rPr>
        <w:t xml:space="preserve">, </w:t>
      </w:r>
      <w:r w:rsidRPr="00176338">
        <w:rPr>
          <w:rFonts w:asciiTheme="minorHAnsi" w:hAnsiTheme="minorHAnsi"/>
          <w:sz w:val="36"/>
          <w:szCs w:val="36"/>
        </w:rPr>
        <w:t>AbbVie Pty Ltd</w:t>
      </w:r>
    </w:p>
    <w:p w:rsidR="00E15627" w:rsidRPr="00176338" w:rsidRDefault="00CE10C4" w:rsidP="00E15627">
      <w:pPr>
        <w:pStyle w:val="PBACHeading1"/>
        <w:rPr>
          <w:rFonts w:asciiTheme="minorHAnsi" w:hAnsiTheme="minorHAnsi"/>
          <w:sz w:val="32"/>
          <w:szCs w:val="32"/>
        </w:rPr>
      </w:pPr>
      <w:r w:rsidRPr="00176338">
        <w:rPr>
          <w:rFonts w:asciiTheme="minorHAnsi" w:hAnsiTheme="minorHAnsi"/>
          <w:sz w:val="32"/>
          <w:szCs w:val="32"/>
        </w:rPr>
        <w:t xml:space="preserve">Purpose of </w:t>
      </w:r>
      <w:r w:rsidR="0004240E" w:rsidRPr="00176338">
        <w:rPr>
          <w:rFonts w:asciiTheme="minorHAnsi" w:hAnsiTheme="minorHAnsi"/>
          <w:sz w:val="32"/>
          <w:szCs w:val="32"/>
        </w:rPr>
        <w:t>Application</w:t>
      </w:r>
    </w:p>
    <w:p w:rsidR="008A50F1" w:rsidRPr="004A4CC1" w:rsidRDefault="008A50F1" w:rsidP="00E15627">
      <w:pPr>
        <w:rPr>
          <w:rFonts w:asciiTheme="minorHAnsi" w:hAnsiTheme="minorHAnsi"/>
        </w:rPr>
      </w:pPr>
    </w:p>
    <w:p w:rsidR="00941950" w:rsidRPr="004A4CC1" w:rsidRDefault="00EF44A0" w:rsidP="00E15627">
      <w:pPr>
        <w:pStyle w:val="ListParagraph"/>
        <w:numPr>
          <w:ilvl w:val="1"/>
          <w:numId w:val="5"/>
        </w:numPr>
        <w:rPr>
          <w:rFonts w:asciiTheme="minorHAnsi" w:hAnsiTheme="minorHAnsi"/>
          <w:sz w:val="24"/>
          <w:szCs w:val="24"/>
        </w:rPr>
      </w:pPr>
      <w:r w:rsidRPr="004A4CC1">
        <w:rPr>
          <w:rFonts w:asciiTheme="minorHAnsi" w:hAnsiTheme="minorHAnsi"/>
          <w:sz w:val="24"/>
          <w:szCs w:val="24"/>
        </w:rPr>
        <w:t>The mi</w:t>
      </w:r>
      <w:r w:rsidR="00FF2801" w:rsidRPr="004A4CC1">
        <w:rPr>
          <w:rFonts w:asciiTheme="minorHAnsi" w:hAnsiTheme="minorHAnsi"/>
          <w:sz w:val="24"/>
          <w:szCs w:val="24"/>
        </w:rPr>
        <w:t>nor submission requested</w:t>
      </w:r>
      <w:r w:rsidR="00ED4554" w:rsidRPr="004A4CC1">
        <w:rPr>
          <w:rFonts w:asciiTheme="minorHAnsi" w:hAnsiTheme="minorHAnsi"/>
          <w:sz w:val="24"/>
          <w:szCs w:val="24"/>
        </w:rPr>
        <w:t xml:space="preserve"> </w:t>
      </w:r>
      <w:r w:rsidR="00941950" w:rsidRPr="004A4CC1">
        <w:rPr>
          <w:rFonts w:asciiTheme="minorHAnsi" w:hAnsiTheme="minorHAnsi"/>
          <w:sz w:val="24"/>
          <w:szCs w:val="24"/>
        </w:rPr>
        <w:t xml:space="preserve">the </w:t>
      </w:r>
      <w:r w:rsidR="009B0576" w:rsidRPr="004A4CC1">
        <w:rPr>
          <w:rFonts w:asciiTheme="minorHAnsi" w:hAnsiTheme="minorHAnsi"/>
          <w:sz w:val="24"/>
          <w:szCs w:val="24"/>
        </w:rPr>
        <w:t xml:space="preserve">listing of a new 40 mg vial form of adalimumab </w:t>
      </w:r>
      <w:r w:rsidR="00543DFA" w:rsidRPr="004A4CC1">
        <w:rPr>
          <w:rFonts w:asciiTheme="minorHAnsi" w:hAnsiTheme="minorHAnsi"/>
          <w:sz w:val="24"/>
          <w:szCs w:val="24"/>
        </w:rPr>
        <w:t xml:space="preserve">with </w:t>
      </w:r>
      <w:r w:rsidR="009B0576" w:rsidRPr="004A4CC1">
        <w:rPr>
          <w:rFonts w:asciiTheme="minorHAnsi" w:hAnsiTheme="minorHAnsi"/>
          <w:sz w:val="24"/>
          <w:szCs w:val="24"/>
        </w:rPr>
        <w:t xml:space="preserve">the </w:t>
      </w:r>
      <w:r w:rsidR="00941950" w:rsidRPr="004A4CC1">
        <w:rPr>
          <w:rFonts w:asciiTheme="minorHAnsi" w:hAnsiTheme="minorHAnsi"/>
          <w:sz w:val="24"/>
          <w:szCs w:val="24"/>
        </w:rPr>
        <w:t xml:space="preserve">same </w:t>
      </w:r>
      <w:r w:rsidR="00600953" w:rsidRPr="004A4CC1">
        <w:rPr>
          <w:rFonts w:asciiTheme="minorHAnsi" w:hAnsiTheme="minorHAnsi"/>
          <w:sz w:val="24"/>
          <w:szCs w:val="24"/>
        </w:rPr>
        <w:t>Authority</w:t>
      </w:r>
      <w:r w:rsidR="00ED4554" w:rsidRPr="004A4CC1">
        <w:rPr>
          <w:rFonts w:asciiTheme="minorHAnsi" w:hAnsiTheme="minorHAnsi"/>
          <w:sz w:val="24"/>
          <w:szCs w:val="24"/>
        </w:rPr>
        <w:t xml:space="preserve"> </w:t>
      </w:r>
      <w:proofErr w:type="gramStart"/>
      <w:r w:rsidR="00ED4554" w:rsidRPr="004A4CC1">
        <w:rPr>
          <w:rFonts w:asciiTheme="minorHAnsi" w:hAnsiTheme="minorHAnsi"/>
          <w:sz w:val="24"/>
          <w:szCs w:val="24"/>
        </w:rPr>
        <w:t>Required</w:t>
      </w:r>
      <w:proofErr w:type="gramEnd"/>
      <w:r w:rsidR="00600953" w:rsidRPr="004A4CC1">
        <w:rPr>
          <w:rFonts w:asciiTheme="minorHAnsi" w:hAnsiTheme="minorHAnsi"/>
          <w:sz w:val="24"/>
          <w:szCs w:val="24"/>
        </w:rPr>
        <w:t xml:space="preserve"> </w:t>
      </w:r>
      <w:r w:rsidR="009040C5" w:rsidRPr="004A4CC1">
        <w:rPr>
          <w:rFonts w:asciiTheme="minorHAnsi" w:hAnsiTheme="minorHAnsi"/>
          <w:sz w:val="24"/>
          <w:szCs w:val="24"/>
        </w:rPr>
        <w:t>listing</w:t>
      </w:r>
      <w:r w:rsidR="009B0576" w:rsidRPr="004A4CC1">
        <w:rPr>
          <w:rFonts w:asciiTheme="minorHAnsi" w:hAnsiTheme="minorHAnsi"/>
          <w:sz w:val="24"/>
          <w:szCs w:val="24"/>
        </w:rPr>
        <w:t>s</w:t>
      </w:r>
      <w:r w:rsidR="009040C5" w:rsidRPr="004A4CC1">
        <w:rPr>
          <w:rFonts w:asciiTheme="minorHAnsi" w:hAnsiTheme="minorHAnsi"/>
          <w:sz w:val="24"/>
          <w:szCs w:val="24"/>
        </w:rPr>
        <w:t xml:space="preserve"> </w:t>
      </w:r>
      <w:r w:rsidR="00606FE9" w:rsidRPr="004A4CC1">
        <w:rPr>
          <w:rFonts w:asciiTheme="minorHAnsi" w:hAnsiTheme="minorHAnsi"/>
          <w:sz w:val="24"/>
          <w:szCs w:val="24"/>
        </w:rPr>
        <w:t xml:space="preserve">as </w:t>
      </w:r>
      <w:r w:rsidR="00941950" w:rsidRPr="004A4CC1">
        <w:rPr>
          <w:rFonts w:asciiTheme="minorHAnsi" w:hAnsiTheme="minorHAnsi"/>
          <w:sz w:val="24"/>
          <w:szCs w:val="24"/>
        </w:rPr>
        <w:t xml:space="preserve">for </w:t>
      </w:r>
      <w:r w:rsidR="009B0576" w:rsidRPr="004A4CC1">
        <w:rPr>
          <w:rFonts w:asciiTheme="minorHAnsi" w:hAnsiTheme="minorHAnsi"/>
          <w:sz w:val="24"/>
          <w:szCs w:val="24"/>
        </w:rPr>
        <w:t>the currently listed forms of adalimumab (</w:t>
      </w:r>
      <w:r w:rsidR="00941950" w:rsidRPr="004A4CC1">
        <w:rPr>
          <w:rFonts w:asciiTheme="minorHAnsi" w:hAnsiTheme="minorHAnsi"/>
          <w:sz w:val="24"/>
          <w:szCs w:val="24"/>
        </w:rPr>
        <w:t xml:space="preserve">cartridge and syringe forms). </w:t>
      </w:r>
    </w:p>
    <w:p w:rsidR="0012210B" w:rsidRPr="004A4CC1" w:rsidRDefault="0012210B" w:rsidP="00677C3A">
      <w:pPr>
        <w:pStyle w:val="ListParagraph"/>
        <w:rPr>
          <w:rFonts w:asciiTheme="minorHAnsi" w:hAnsiTheme="minorHAnsi"/>
          <w:sz w:val="24"/>
          <w:szCs w:val="24"/>
        </w:rPr>
      </w:pPr>
    </w:p>
    <w:p w:rsidR="00962223" w:rsidRPr="00176338" w:rsidRDefault="006A12A5" w:rsidP="008A50F1">
      <w:pPr>
        <w:pStyle w:val="PBACHeading1"/>
        <w:rPr>
          <w:rFonts w:asciiTheme="minorHAnsi" w:hAnsiTheme="minorHAnsi"/>
          <w:sz w:val="32"/>
          <w:szCs w:val="32"/>
        </w:rPr>
      </w:pPr>
      <w:r w:rsidRPr="00176338">
        <w:rPr>
          <w:rFonts w:asciiTheme="minorHAnsi" w:hAnsiTheme="minorHAnsi"/>
          <w:sz w:val="32"/>
          <w:szCs w:val="32"/>
        </w:rPr>
        <w:t>Requested listing</w:t>
      </w:r>
    </w:p>
    <w:p w:rsidR="006A12A5" w:rsidRPr="004A4CC1" w:rsidRDefault="006A12A5" w:rsidP="00882085">
      <w:pPr>
        <w:jc w:val="both"/>
        <w:rPr>
          <w:rFonts w:asciiTheme="minorHAnsi" w:hAnsiTheme="minorHAnsi"/>
          <w:b/>
        </w:rPr>
      </w:pPr>
    </w:p>
    <w:p w:rsidR="00941950" w:rsidRPr="004A4CC1" w:rsidRDefault="00EF44A0" w:rsidP="008A50F1">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submission </w:t>
      </w:r>
      <w:r w:rsidR="00FF2801" w:rsidRPr="004A4CC1">
        <w:rPr>
          <w:rFonts w:asciiTheme="minorHAnsi" w:hAnsiTheme="minorHAnsi"/>
          <w:sz w:val="24"/>
          <w:szCs w:val="24"/>
        </w:rPr>
        <w:t>requested</w:t>
      </w:r>
      <w:r w:rsidRPr="004A4CC1">
        <w:rPr>
          <w:rFonts w:asciiTheme="minorHAnsi" w:hAnsiTheme="minorHAnsi"/>
          <w:sz w:val="24"/>
          <w:szCs w:val="24"/>
        </w:rPr>
        <w:t xml:space="preserve"> </w:t>
      </w:r>
      <w:r w:rsidR="00646DCD" w:rsidRPr="004A4CC1">
        <w:rPr>
          <w:rFonts w:asciiTheme="minorHAnsi" w:hAnsiTheme="minorHAnsi"/>
          <w:sz w:val="24"/>
          <w:szCs w:val="24"/>
        </w:rPr>
        <w:t xml:space="preserve">the same </w:t>
      </w:r>
      <w:r w:rsidR="009B0576" w:rsidRPr="004A4CC1">
        <w:rPr>
          <w:rFonts w:asciiTheme="minorHAnsi" w:hAnsiTheme="minorHAnsi"/>
          <w:sz w:val="24"/>
          <w:szCs w:val="24"/>
        </w:rPr>
        <w:t>listings as for the currently listed 40 mg cartridge and syringe forms of adalimumab</w:t>
      </w:r>
      <w:r w:rsidR="001625FF" w:rsidRPr="004A4CC1">
        <w:rPr>
          <w:rFonts w:asciiTheme="minorHAnsi" w:hAnsiTheme="minorHAnsi"/>
          <w:sz w:val="24"/>
          <w:szCs w:val="24"/>
        </w:rPr>
        <w:t xml:space="preserve">. </w:t>
      </w:r>
    </w:p>
    <w:p w:rsidR="00941950" w:rsidRPr="004A4CC1" w:rsidRDefault="00941950" w:rsidP="00677C3A">
      <w:pPr>
        <w:pStyle w:val="ListParagraph"/>
        <w:rPr>
          <w:rFonts w:asciiTheme="minorHAnsi" w:hAnsiTheme="minorHAnsi"/>
          <w:sz w:val="24"/>
          <w:szCs w:val="24"/>
        </w:rPr>
      </w:pPr>
    </w:p>
    <w:p w:rsidR="00941950" w:rsidRPr="004A4CC1" w:rsidRDefault="00941950" w:rsidP="008A50F1">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sponsor has requested the same </w:t>
      </w:r>
      <w:r w:rsidR="00674FB6" w:rsidRPr="004A4CC1">
        <w:rPr>
          <w:rFonts w:asciiTheme="minorHAnsi" w:hAnsiTheme="minorHAnsi"/>
          <w:sz w:val="24"/>
          <w:szCs w:val="24"/>
        </w:rPr>
        <w:t>dispensed price for maximum quantity (</w:t>
      </w:r>
      <w:r w:rsidRPr="004A4CC1">
        <w:rPr>
          <w:rFonts w:asciiTheme="minorHAnsi" w:hAnsiTheme="minorHAnsi"/>
          <w:sz w:val="24"/>
          <w:szCs w:val="24"/>
        </w:rPr>
        <w:t>DPMQ</w:t>
      </w:r>
      <w:r w:rsidR="00674FB6" w:rsidRPr="004A4CC1">
        <w:rPr>
          <w:rFonts w:asciiTheme="minorHAnsi" w:hAnsiTheme="minorHAnsi"/>
          <w:sz w:val="24"/>
          <w:szCs w:val="24"/>
        </w:rPr>
        <w:t>)</w:t>
      </w:r>
      <w:r w:rsidRPr="004A4CC1">
        <w:rPr>
          <w:rFonts w:asciiTheme="minorHAnsi" w:hAnsiTheme="minorHAnsi"/>
          <w:sz w:val="24"/>
          <w:szCs w:val="24"/>
        </w:rPr>
        <w:t xml:space="preserve"> </w:t>
      </w:r>
      <w:r w:rsidR="00C219F5" w:rsidRPr="004A4CC1">
        <w:rPr>
          <w:rFonts w:asciiTheme="minorHAnsi" w:hAnsiTheme="minorHAnsi"/>
          <w:sz w:val="24"/>
          <w:szCs w:val="24"/>
        </w:rPr>
        <w:t xml:space="preserve">as </w:t>
      </w:r>
      <w:r w:rsidRPr="004A4CC1">
        <w:rPr>
          <w:rFonts w:asciiTheme="minorHAnsi" w:hAnsiTheme="minorHAnsi"/>
          <w:sz w:val="24"/>
          <w:szCs w:val="24"/>
        </w:rPr>
        <w:t>the currently listed</w:t>
      </w:r>
      <w:r w:rsidR="009040C5" w:rsidRPr="004A4CC1">
        <w:rPr>
          <w:rFonts w:asciiTheme="minorHAnsi" w:hAnsiTheme="minorHAnsi"/>
          <w:sz w:val="24"/>
          <w:szCs w:val="24"/>
        </w:rPr>
        <w:t xml:space="preserve"> </w:t>
      </w:r>
      <w:r w:rsidRPr="004A4CC1">
        <w:rPr>
          <w:rFonts w:asciiTheme="minorHAnsi" w:hAnsiTheme="minorHAnsi"/>
          <w:sz w:val="24"/>
          <w:szCs w:val="24"/>
        </w:rPr>
        <w:t xml:space="preserve">forms of </w:t>
      </w:r>
      <w:r w:rsidR="009B0576" w:rsidRPr="004A4CC1">
        <w:rPr>
          <w:rFonts w:asciiTheme="minorHAnsi" w:hAnsiTheme="minorHAnsi"/>
          <w:sz w:val="24"/>
          <w:szCs w:val="24"/>
        </w:rPr>
        <w:t>adalimumab</w:t>
      </w:r>
      <w:r w:rsidRPr="004A4CC1">
        <w:rPr>
          <w:rFonts w:asciiTheme="minorHAnsi" w:hAnsiTheme="minorHAnsi"/>
          <w:sz w:val="24"/>
          <w:szCs w:val="24"/>
        </w:rPr>
        <w:t xml:space="preserve"> 40mg.</w:t>
      </w:r>
    </w:p>
    <w:p w:rsidR="00826F6D" w:rsidRPr="004A4CC1" w:rsidRDefault="00826F6D" w:rsidP="00677C3A">
      <w:pPr>
        <w:rPr>
          <w:rFonts w:asciiTheme="minorHAnsi" w:hAnsiTheme="minorHAnsi"/>
        </w:rPr>
      </w:pPr>
    </w:p>
    <w:p w:rsidR="00CE10C4" w:rsidRPr="00176338" w:rsidRDefault="00CE10C4" w:rsidP="008A50F1">
      <w:pPr>
        <w:pStyle w:val="PBACHeading1"/>
        <w:rPr>
          <w:rFonts w:asciiTheme="minorHAnsi" w:hAnsiTheme="minorHAnsi"/>
          <w:sz w:val="32"/>
          <w:szCs w:val="32"/>
        </w:rPr>
      </w:pPr>
      <w:r w:rsidRPr="00176338">
        <w:rPr>
          <w:rFonts w:asciiTheme="minorHAnsi" w:hAnsiTheme="minorHAnsi"/>
          <w:sz w:val="32"/>
          <w:szCs w:val="32"/>
        </w:rPr>
        <w:t>Background</w:t>
      </w:r>
    </w:p>
    <w:p w:rsidR="00C603D4" w:rsidRPr="004A4CC1" w:rsidRDefault="00C603D4" w:rsidP="00C603D4">
      <w:pPr>
        <w:pStyle w:val="ListParagraph"/>
        <w:rPr>
          <w:rFonts w:asciiTheme="minorHAnsi" w:hAnsiTheme="minorHAnsi"/>
          <w:i/>
          <w:sz w:val="24"/>
          <w:szCs w:val="24"/>
        </w:rPr>
      </w:pPr>
    </w:p>
    <w:p w:rsidR="002B1AE6" w:rsidRPr="004A4CC1" w:rsidRDefault="009B0DB7" w:rsidP="008A50F1">
      <w:pPr>
        <w:pStyle w:val="ListParagraph"/>
        <w:numPr>
          <w:ilvl w:val="1"/>
          <w:numId w:val="5"/>
        </w:numPr>
        <w:rPr>
          <w:rFonts w:asciiTheme="minorHAnsi" w:hAnsiTheme="minorHAnsi"/>
          <w:sz w:val="24"/>
          <w:szCs w:val="24"/>
        </w:rPr>
      </w:pPr>
      <w:r w:rsidRPr="004A4CC1">
        <w:rPr>
          <w:rFonts w:asciiTheme="minorHAnsi" w:hAnsiTheme="minorHAnsi"/>
          <w:sz w:val="24"/>
          <w:szCs w:val="24"/>
        </w:rPr>
        <w:t>Adalimumab (</w:t>
      </w:r>
      <w:r w:rsidR="00F41DFF" w:rsidRPr="004A4CC1">
        <w:rPr>
          <w:rFonts w:asciiTheme="minorHAnsi" w:hAnsiTheme="minorHAnsi"/>
          <w:sz w:val="24"/>
          <w:szCs w:val="24"/>
        </w:rPr>
        <w:t>Humira® 40 mg i</w:t>
      </w:r>
      <w:r w:rsidRPr="004A4CC1">
        <w:rPr>
          <w:rFonts w:asciiTheme="minorHAnsi" w:hAnsiTheme="minorHAnsi"/>
          <w:sz w:val="24"/>
          <w:szCs w:val="24"/>
        </w:rPr>
        <w:t xml:space="preserve">n </w:t>
      </w:r>
      <w:r w:rsidR="00F41DFF" w:rsidRPr="004A4CC1">
        <w:rPr>
          <w:rFonts w:asciiTheme="minorHAnsi" w:hAnsiTheme="minorHAnsi"/>
          <w:sz w:val="24"/>
          <w:szCs w:val="24"/>
        </w:rPr>
        <w:t>vial</w:t>
      </w:r>
      <w:r w:rsidRPr="004A4CC1">
        <w:rPr>
          <w:rFonts w:asciiTheme="minorHAnsi" w:hAnsiTheme="minorHAnsi"/>
          <w:sz w:val="24"/>
          <w:szCs w:val="24"/>
        </w:rPr>
        <w:t>)</w:t>
      </w:r>
      <w:r w:rsidR="00F41DFF" w:rsidRPr="004A4CC1">
        <w:rPr>
          <w:rFonts w:asciiTheme="minorHAnsi" w:hAnsiTheme="minorHAnsi"/>
          <w:sz w:val="24"/>
          <w:szCs w:val="24"/>
        </w:rPr>
        <w:t xml:space="preserve"> is TGA registered for the same indications</w:t>
      </w:r>
      <w:r w:rsidR="003C5093" w:rsidRPr="004A4CC1">
        <w:rPr>
          <w:rFonts w:asciiTheme="minorHAnsi" w:hAnsiTheme="minorHAnsi"/>
          <w:sz w:val="24"/>
          <w:szCs w:val="24"/>
        </w:rPr>
        <w:t xml:space="preserve"> as the </w:t>
      </w:r>
      <w:r w:rsidR="00A41273" w:rsidRPr="004A4CC1">
        <w:rPr>
          <w:rFonts w:asciiTheme="minorHAnsi" w:hAnsiTheme="minorHAnsi"/>
          <w:sz w:val="24"/>
          <w:szCs w:val="24"/>
        </w:rPr>
        <w:t xml:space="preserve">currently PBAC listed </w:t>
      </w:r>
      <w:r w:rsidR="003C5093" w:rsidRPr="004A4CC1">
        <w:rPr>
          <w:rFonts w:asciiTheme="minorHAnsi" w:hAnsiTheme="minorHAnsi"/>
          <w:sz w:val="24"/>
          <w:szCs w:val="24"/>
        </w:rPr>
        <w:t>forms of adalimum</w:t>
      </w:r>
      <w:r w:rsidR="00F41DFF" w:rsidRPr="004A4CC1">
        <w:rPr>
          <w:rFonts w:asciiTheme="minorHAnsi" w:hAnsiTheme="minorHAnsi"/>
          <w:sz w:val="24"/>
          <w:szCs w:val="24"/>
        </w:rPr>
        <w:t>a</w:t>
      </w:r>
      <w:r w:rsidR="003C5093" w:rsidRPr="004A4CC1">
        <w:rPr>
          <w:rFonts w:asciiTheme="minorHAnsi" w:hAnsiTheme="minorHAnsi"/>
          <w:sz w:val="24"/>
          <w:szCs w:val="24"/>
        </w:rPr>
        <w:t>b</w:t>
      </w:r>
      <w:r w:rsidR="00F44BE7" w:rsidRPr="004A4CC1">
        <w:rPr>
          <w:rFonts w:asciiTheme="minorHAnsi" w:hAnsiTheme="minorHAnsi"/>
          <w:sz w:val="24"/>
          <w:szCs w:val="24"/>
        </w:rPr>
        <w:t>. The Product I</w:t>
      </w:r>
      <w:r w:rsidR="00F41DFF" w:rsidRPr="004A4CC1">
        <w:rPr>
          <w:rFonts w:asciiTheme="minorHAnsi" w:hAnsiTheme="minorHAnsi"/>
          <w:sz w:val="24"/>
          <w:szCs w:val="24"/>
        </w:rPr>
        <w:t>nformation for adalimumab was updated in October</w:t>
      </w:r>
      <w:r w:rsidR="003C5093" w:rsidRPr="004A4CC1">
        <w:rPr>
          <w:rFonts w:asciiTheme="minorHAnsi" w:hAnsiTheme="minorHAnsi"/>
          <w:sz w:val="24"/>
          <w:szCs w:val="24"/>
        </w:rPr>
        <w:t xml:space="preserve"> 2016.</w:t>
      </w:r>
    </w:p>
    <w:p w:rsidR="00424D0A" w:rsidRPr="004A4CC1" w:rsidRDefault="00424D0A" w:rsidP="00677C3A">
      <w:pPr>
        <w:pStyle w:val="ListParagraph"/>
        <w:rPr>
          <w:rFonts w:asciiTheme="minorHAnsi" w:hAnsiTheme="minorHAnsi"/>
          <w:sz w:val="24"/>
          <w:szCs w:val="24"/>
        </w:rPr>
      </w:pPr>
    </w:p>
    <w:p w:rsidR="00424D0A" w:rsidRPr="004A4CC1" w:rsidRDefault="00424D0A" w:rsidP="008A50F1">
      <w:pPr>
        <w:pStyle w:val="ListParagraph"/>
        <w:numPr>
          <w:ilvl w:val="1"/>
          <w:numId w:val="5"/>
        </w:numPr>
        <w:rPr>
          <w:rFonts w:asciiTheme="minorHAnsi" w:hAnsiTheme="minorHAnsi"/>
          <w:sz w:val="24"/>
          <w:szCs w:val="24"/>
        </w:rPr>
      </w:pPr>
      <w:r w:rsidRPr="004A4CC1">
        <w:rPr>
          <w:rFonts w:asciiTheme="minorHAnsi" w:hAnsiTheme="minorHAnsi"/>
          <w:sz w:val="24"/>
          <w:szCs w:val="24"/>
        </w:rPr>
        <w:t>Adalimumab</w:t>
      </w:r>
      <w:r w:rsidR="008155C5" w:rsidRPr="004A4CC1">
        <w:rPr>
          <w:rFonts w:asciiTheme="minorHAnsi" w:hAnsiTheme="minorHAnsi"/>
          <w:sz w:val="24"/>
          <w:szCs w:val="24"/>
        </w:rPr>
        <w:t xml:space="preserve"> (pre-filled syringe)</w:t>
      </w:r>
      <w:r w:rsidRPr="004A4CC1">
        <w:rPr>
          <w:rFonts w:asciiTheme="minorHAnsi" w:hAnsiTheme="minorHAnsi"/>
          <w:sz w:val="24"/>
          <w:szCs w:val="24"/>
        </w:rPr>
        <w:t xml:space="preserve"> was </w:t>
      </w:r>
      <w:r w:rsidR="001625FF" w:rsidRPr="004A4CC1">
        <w:rPr>
          <w:rFonts w:asciiTheme="minorHAnsi" w:hAnsiTheme="minorHAnsi"/>
          <w:sz w:val="24"/>
          <w:szCs w:val="24"/>
        </w:rPr>
        <w:t xml:space="preserve">recommended by the PBAC </w:t>
      </w:r>
      <w:r w:rsidR="009B0576" w:rsidRPr="004A4CC1">
        <w:rPr>
          <w:rFonts w:asciiTheme="minorHAnsi" w:hAnsiTheme="minorHAnsi"/>
          <w:sz w:val="24"/>
          <w:szCs w:val="24"/>
        </w:rPr>
        <w:t>at</w:t>
      </w:r>
      <w:r w:rsidR="001625FF" w:rsidRPr="004A4CC1">
        <w:rPr>
          <w:rFonts w:asciiTheme="minorHAnsi" w:hAnsiTheme="minorHAnsi"/>
          <w:sz w:val="24"/>
          <w:szCs w:val="24"/>
        </w:rPr>
        <w:t xml:space="preserve"> the December 2003 PBAC meeting. </w:t>
      </w:r>
      <w:r w:rsidR="009B0576" w:rsidRPr="004A4CC1">
        <w:rPr>
          <w:rFonts w:asciiTheme="minorHAnsi" w:hAnsiTheme="minorHAnsi"/>
          <w:sz w:val="24"/>
          <w:szCs w:val="24"/>
        </w:rPr>
        <w:t xml:space="preserve">The </w:t>
      </w:r>
      <w:r w:rsidRPr="004A4CC1">
        <w:rPr>
          <w:rFonts w:asciiTheme="minorHAnsi" w:hAnsiTheme="minorHAnsi"/>
          <w:sz w:val="24"/>
          <w:szCs w:val="24"/>
        </w:rPr>
        <w:t xml:space="preserve">pre-filled pen </w:t>
      </w:r>
      <w:r w:rsidR="009B0576" w:rsidRPr="004A4CC1">
        <w:rPr>
          <w:rFonts w:asciiTheme="minorHAnsi" w:hAnsiTheme="minorHAnsi"/>
          <w:sz w:val="24"/>
          <w:szCs w:val="24"/>
        </w:rPr>
        <w:t xml:space="preserve">presentation </w:t>
      </w:r>
      <w:r w:rsidRPr="004A4CC1">
        <w:rPr>
          <w:rFonts w:asciiTheme="minorHAnsi" w:hAnsiTheme="minorHAnsi"/>
          <w:sz w:val="24"/>
          <w:szCs w:val="24"/>
        </w:rPr>
        <w:t xml:space="preserve">was </w:t>
      </w:r>
      <w:r w:rsidR="001625FF" w:rsidRPr="004A4CC1">
        <w:rPr>
          <w:rFonts w:asciiTheme="minorHAnsi" w:hAnsiTheme="minorHAnsi"/>
          <w:sz w:val="24"/>
          <w:szCs w:val="24"/>
        </w:rPr>
        <w:t>recommended</w:t>
      </w:r>
      <w:r w:rsidRPr="004A4CC1">
        <w:rPr>
          <w:rFonts w:asciiTheme="minorHAnsi" w:hAnsiTheme="minorHAnsi"/>
          <w:sz w:val="24"/>
          <w:szCs w:val="24"/>
        </w:rPr>
        <w:t xml:space="preserve"> </w:t>
      </w:r>
      <w:r w:rsidR="001625FF" w:rsidRPr="004A4CC1">
        <w:rPr>
          <w:rFonts w:asciiTheme="minorHAnsi" w:hAnsiTheme="minorHAnsi"/>
          <w:sz w:val="24"/>
          <w:szCs w:val="24"/>
        </w:rPr>
        <w:t>by the PBAC</w:t>
      </w:r>
      <w:r w:rsidRPr="004A4CC1">
        <w:rPr>
          <w:rFonts w:asciiTheme="minorHAnsi" w:hAnsiTheme="minorHAnsi"/>
          <w:sz w:val="24"/>
          <w:szCs w:val="24"/>
        </w:rPr>
        <w:t xml:space="preserve"> for the</w:t>
      </w:r>
      <w:r w:rsidR="001625FF" w:rsidRPr="004A4CC1">
        <w:rPr>
          <w:rFonts w:asciiTheme="minorHAnsi" w:hAnsiTheme="minorHAnsi"/>
          <w:sz w:val="24"/>
          <w:szCs w:val="24"/>
        </w:rPr>
        <w:t xml:space="preserve"> </w:t>
      </w:r>
      <w:r w:rsidR="009B0576" w:rsidRPr="004A4CC1">
        <w:rPr>
          <w:rFonts w:asciiTheme="minorHAnsi" w:hAnsiTheme="minorHAnsi"/>
          <w:sz w:val="24"/>
          <w:szCs w:val="24"/>
        </w:rPr>
        <w:t>currently listed</w:t>
      </w:r>
      <w:r w:rsidR="001625FF" w:rsidRPr="004A4CC1">
        <w:rPr>
          <w:rFonts w:asciiTheme="minorHAnsi" w:hAnsiTheme="minorHAnsi"/>
          <w:sz w:val="24"/>
          <w:szCs w:val="24"/>
        </w:rPr>
        <w:t xml:space="preserve"> indications </w:t>
      </w:r>
      <w:r w:rsidR="009B0576" w:rsidRPr="004A4CC1">
        <w:rPr>
          <w:rFonts w:asciiTheme="minorHAnsi" w:hAnsiTheme="minorHAnsi"/>
          <w:sz w:val="24"/>
          <w:szCs w:val="24"/>
        </w:rPr>
        <w:t>at the</w:t>
      </w:r>
      <w:r w:rsidR="001625FF" w:rsidRPr="004A4CC1">
        <w:rPr>
          <w:rFonts w:asciiTheme="minorHAnsi" w:hAnsiTheme="minorHAnsi"/>
          <w:sz w:val="24"/>
          <w:szCs w:val="24"/>
        </w:rPr>
        <w:t xml:space="preserve"> March 2007</w:t>
      </w:r>
      <w:r w:rsidR="009B0576" w:rsidRPr="004A4CC1">
        <w:rPr>
          <w:rFonts w:asciiTheme="minorHAnsi" w:hAnsiTheme="minorHAnsi"/>
          <w:sz w:val="24"/>
          <w:szCs w:val="24"/>
        </w:rPr>
        <w:t xml:space="preserve"> meeting</w:t>
      </w:r>
      <w:r w:rsidRPr="004A4CC1">
        <w:rPr>
          <w:rFonts w:asciiTheme="minorHAnsi" w:hAnsiTheme="minorHAnsi"/>
          <w:sz w:val="24"/>
          <w:szCs w:val="24"/>
        </w:rPr>
        <w:t>.</w:t>
      </w:r>
    </w:p>
    <w:p w:rsidR="0068554C" w:rsidRPr="004A4CC1" w:rsidRDefault="0068554C" w:rsidP="0068554C">
      <w:pPr>
        <w:pStyle w:val="ListParagraph"/>
        <w:rPr>
          <w:rFonts w:asciiTheme="minorHAnsi" w:hAnsiTheme="minorHAnsi"/>
          <w:sz w:val="24"/>
          <w:szCs w:val="24"/>
        </w:rPr>
      </w:pPr>
    </w:p>
    <w:p w:rsidR="000B558D" w:rsidRPr="00176338" w:rsidRDefault="008D7A41" w:rsidP="004A4CC1">
      <w:pPr>
        <w:pStyle w:val="PBACHeading1"/>
        <w:keepNext/>
        <w:rPr>
          <w:rFonts w:asciiTheme="minorHAnsi" w:hAnsiTheme="minorHAnsi"/>
          <w:sz w:val="32"/>
          <w:szCs w:val="32"/>
        </w:rPr>
      </w:pPr>
      <w:r w:rsidRPr="00176338">
        <w:rPr>
          <w:rFonts w:asciiTheme="minorHAnsi" w:hAnsiTheme="minorHAnsi"/>
          <w:sz w:val="32"/>
          <w:szCs w:val="32"/>
        </w:rPr>
        <w:t>C</w:t>
      </w:r>
      <w:r w:rsidR="00D84934" w:rsidRPr="00176338">
        <w:rPr>
          <w:rFonts w:asciiTheme="minorHAnsi" w:hAnsiTheme="minorHAnsi"/>
          <w:sz w:val="32"/>
          <w:szCs w:val="32"/>
        </w:rPr>
        <w:t>onsideration of the evidence</w:t>
      </w:r>
    </w:p>
    <w:p w:rsidR="002D5169" w:rsidRPr="004A4CC1" w:rsidRDefault="002D5169" w:rsidP="00DF6307"/>
    <w:p w:rsidR="00CA2DE2" w:rsidRPr="00176338" w:rsidRDefault="00CA2DE2" w:rsidP="004A4CC1">
      <w:pPr>
        <w:pStyle w:val="Heading2"/>
        <w:rPr>
          <w:rFonts w:asciiTheme="minorHAnsi" w:hAnsiTheme="minorHAnsi"/>
          <w:sz w:val="28"/>
          <w:szCs w:val="28"/>
        </w:rPr>
      </w:pPr>
      <w:r w:rsidRPr="00176338">
        <w:rPr>
          <w:rFonts w:asciiTheme="minorHAnsi" w:hAnsiTheme="minorHAnsi"/>
          <w:sz w:val="28"/>
          <w:szCs w:val="28"/>
        </w:rPr>
        <w:t>Consumer comments</w:t>
      </w:r>
    </w:p>
    <w:p w:rsidR="00CA2DE2" w:rsidRPr="004A4CC1" w:rsidRDefault="00CA2DE2" w:rsidP="00CA2DE2">
      <w:pPr>
        <w:rPr>
          <w:rFonts w:asciiTheme="minorHAnsi" w:hAnsiTheme="minorHAnsi"/>
        </w:rPr>
      </w:pPr>
    </w:p>
    <w:p w:rsidR="00CA2DE2" w:rsidRPr="004A4CC1" w:rsidRDefault="00CA2DE2" w:rsidP="00CA2DE2">
      <w:pPr>
        <w:widowControl w:val="0"/>
        <w:numPr>
          <w:ilvl w:val="1"/>
          <w:numId w:val="5"/>
        </w:numPr>
        <w:spacing w:after="120"/>
        <w:jc w:val="both"/>
        <w:rPr>
          <w:rFonts w:asciiTheme="minorHAnsi" w:hAnsiTheme="minorHAnsi" w:cs="Arial"/>
          <w:bCs/>
          <w:snapToGrid w:val="0"/>
        </w:rPr>
      </w:pPr>
      <w:r w:rsidRPr="004A4CC1">
        <w:rPr>
          <w:rFonts w:asciiTheme="minorHAnsi" w:hAnsiTheme="minorHAnsi" w:cs="Arial"/>
          <w:bCs/>
          <w:snapToGrid w:val="0"/>
        </w:rPr>
        <w:t>The PBAC noted that no consumer comments were received for this item.</w:t>
      </w:r>
    </w:p>
    <w:p w:rsidR="00BB7EC3" w:rsidRPr="004A4CC1" w:rsidRDefault="00BB7EC3" w:rsidP="00F9629A">
      <w:pPr>
        <w:jc w:val="both"/>
        <w:rPr>
          <w:rFonts w:asciiTheme="minorHAnsi" w:hAnsiTheme="minorHAnsi"/>
        </w:rPr>
      </w:pPr>
    </w:p>
    <w:p w:rsidR="005A3173" w:rsidRPr="00176338" w:rsidRDefault="00A41273" w:rsidP="00B1059E">
      <w:pPr>
        <w:pStyle w:val="Heading2"/>
        <w:rPr>
          <w:rFonts w:asciiTheme="minorHAnsi" w:hAnsiTheme="minorHAnsi"/>
          <w:sz w:val="28"/>
          <w:szCs w:val="28"/>
        </w:rPr>
      </w:pPr>
      <w:r w:rsidRPr="00176338">
        <w:rPr>
          <w:rFonts w:asciiTheme="minorHAnsi" w:hAnsiTheme="minorHAnsi"/>
          <w:sz w:val="28"/>
          <w:szCs w:val="28"/>
        </w:rPr>
        <w:t>Current situation</w:t>
      </w:r>
    </w:p>
    <w:p w:rsidR="00273DC8" w:rsidRPr="004A4CC1" w:rsidRDefault="00273DC8" w:rsidP="00875AD2">
      <w:pPr>
        <w:pStyle w:val="ListParagraph"/>
        <w:ind w:left="0"/>
        <w:rPr>
          <w:rFonts w:asciiTheme="minorHAnsi" w:hAnsiTheme="minorHAnsi"/>
          <w:sz w:val="24"/>
          <w:szCs w:val="24"/>
        </w:rPr>
      </w:pPr>
    </w:p>
    <w:p w:rsidR="001F1D4F" w:rsidRDefault="001F1D4F" w:rsidP="001F1D4F">
      <w:pPr>
        <w:pStyle w:val="ListParagraph"/>
        <w:numPr>
          <w:ilvl w:val="1"/>
          <w:numId w:val="5"/>
        </w:numPr>
        <w:rPr>
          <w:rFonts w:asciiTheme="minorHAnsi" w:hAnsiTheme="minorHAnsi"/>
          <w:sz w:val="24"/>
          <w:szCs w:val="24"/>
        </w:rPr>
      </w:pPr>
      <w:r w:rsidRPr="004A4CC1">
        <w:rPr>
          <w:rFonts w:asciiTheme="minorHAnsi" w:hAnsiTheme="minorHAnsi"/>
          <w:sz w:val="24"/>
          <w:szCs w:val="24"/>
        </w:rPr>
        <w:t>The basis for listing presented in the minor submission was that the new form will offer an alternative to the currently available presentations for adalimumab, providing flexibility and choice for patients and clinicians.</w:t>
      </w:r>
    </w:p>
    <w:p w:rsidR="00666BCD" w:rsidRDefault="00666BCD" w:rsidP="00666BCD">
      <w:pPr>
        <w:pStyle w:val="ListParagraph"/>
        <w:rPr>
          <w:rFonts w:asciiTheme="minorHAnsi" w:hAnsiTheme="minorHAnsi"/>
          <w:sz w:val="24"/>
          <w:szCs w:val="24"/>
        </w:rPr>
      </w:pPr>
    </w:p>
    <w:p w:rsidR="00666BCD" w:rsidRPr="004A4CC1" w:rsidRDefault="00666BCD" w:rsidP="001F1D4F">
      <w:pPr>
        <w:pStyle w:val="ListParagraph"/>
        <w:numPr>
          <w:ilvl w:val="1"/>
          <w:numId w:val="5"/>
        </w:numPr>
        <w:rPr>
          <w:rFonts w:asciiTheme="minorHAnsi" w:hAnsiTheme="minorHAnsi"/>
          <w:sz w:val="24"/>
          <w:szCs w:val="24"/>
        </w:rPr>
      </w:pPr>
      <w:r>
        <w:rPr>
          <w:rFonts w:asciiTheme="minorHAnsi" w:hAnsiTheme="minorHAnsi"/>
          <w:sz w:val="24"/>
          <w:szCs w:val="24"/>
        </w:rPr>
        <w:t>The PBAC considered that the submission did not provide convincing evidence of clinical need for the vial presentation, given that adalimumab is given subcutaneously as part of a fixed-dose regimen and the currently available pre-filled syringe and cartridge presentations provide a ready-prepared and convenient delivery system. In contrast, the vial will require additional preparation before administration.</w:t>
      </w:r>
    </w:p>
    <w:p w:rsidR="001F1D4F" w:rsidRPr="004A4CC1" w:rsidRDefault="001F1D4F" w:rsidP="004A4CC1">
      <w:pPr>
        <w:pStyle w:val="ListParagraph"/>
        <w:rPr>
          <w:rFonts w:asciiTheme="minorHAnsi" w:hAnsiTheme="minorHAnsi"/>
          <w:i/>
          <w:sz w:val="24"/>
          <w:szCs w:val="24"/>
        </w:rPr>
      </w:pPr>
    </w:p>
    <w:p w:rsidR="000C3FB1" w:rsidRPr="004A4CC1" w:rsidRDefault="00273DC8" w:rsidP="00D4199A">
      <w:pPr>
        <w:pStyle w:val="ListParagraph"/>
        <w:numPr>
          <w:ilvl w:val="1"/>
          <w:numId w:val="5"/>
        </w:numPr>
        <w:rPr>
          <w:rFonts w:asciiTheme="minorHAnsi" w:hAnsiTheme="minorHAnsi"/>
          <w:i/>
          <w:sz w:val="24"/>
          <w:szCs w:val="24"/>
        </w:rPr>
      </w:pPr>
      <w:r w:rsidRPr="004A4CC1">
        <w:rPr>
          <w:rFonts w:asciiTheme="minorHAnsi" w:hAnsiTheme="minorHAnsi"/>
          <w:sz w:val="24"/>
          <w:szCs w:val="24"/>
        </w:rPr>
        <w:t xml:space="preserve">Although not a matter for the PBAC, the </w:t>
      </w:r>
      <w:r w:rsidR="00674FB6" w:rsidRPr="004A4CC1">
        <w:rPr>
          <w:rFonts w:asciiTheme="minorHAnsi" w:hAnsiTheme="minorHAnsi"/>
          <w:sz w:val="24"/>
          <w:szCs w:val="24"/>
        </w:rPr>
        <w:t xml:space="preserve">PBAC noted that </w:t>
      </w:r>
      <w:r w:rsidRPr="004A4CC1">
        <w:rPr>
          <w:rFonts w:asciiTheme="minorHAnsi" w:hAnsiTheme="minorHAnsi"/>
          <w:sz w:val="24"/>
          <w:szCs w:val="24"/>
        </w:rPr>
        <w:t>the 40 mg vi</w:t>
      </w:r>
      <w:r w:rsidR="00C86DE3" w:rsidRPr="004A4CC1">
        <w:rPr>
          <w:rFonts w:asciiTheme="minorHAnsi" w:hAnsiTheme="minorHAnsi"/>
          <w:sz w:val="24"/>
          <w:szCs w:val="24"/>
        </w:rPr>
        <w:t>al</w:t>
      </w:r>
      <w:r w:rsidRPr="004A4CC1">
        <w:rPr>
          <w:rFonts w:asciiTheme="minorHAnsi" w:hAnsiTheme="minorHAnsi"/>
          <w:sz w:val="24"/>
          <w:szCs w:val="24"/>
        </w:rPr>
        <w:t xml:space="preserve"> form of adalimumab is bioequivalent to the currently listed 40 mg syringe and pre-filled pen forms</w:t>
      </w:r>
      <w:r w:rsidR="00C86DE3" w:rsidRPr="004A4CC1">
        <w:rPr>
          <w:rFonts w:asciiTheme="minorHAnsi" w:hAnsiTheme="minorHAnsi"/>
          <w:sz w:val="24"/>
          <w:szCs w:val="24"/>
        </w:rPr>
        <w:t>,</w:t>
      </w:r>
      <w:r w:rsidRPr="004A4CC1">
        <w:rPr>
          <w:rFonts w:asciiTheme="minorHAnsi" w:hAnsiTheme="minorHAnsi"/>
          <w:sz w:val="24"/>
          <w:szCs w:val="24"/>
        </w:rPr>
        <w:t xml:space="preserve"> and the listing of a new bioequivalent form of adalimumab will trigger </w:t>
      </w:r>
      <w:r w:rsidR="00C86DE3" w:rsidRPr="004A4CC1">
        <w:rPr>
          <w:rFonts w:asciiTheme="minorHAnsi" w:hAnsiTheme="minorHAnsi"/>
          <w:sz w:val="24"/>
          <w:szCs w:val="24"/>
        </w:rPr>
        <w:t xml:space="preserve">a </w:t>
      </w:r>
      <w:r w:rsidRPr="004A4CC1">
        <w:rPr>
          <w:rFonts w:asciiTheme="minorHAnsi" w:hAnsiTheme="minorHAnsi"/>
          <w:sz w:val="24"/>
          <w:szCs w:val="24"/>
        </w:rPr>
        <w:t xml:space="preserve">16% statutory price reduction under s99ACB of the </w:t>
      </w:r>
      <w:r w:rsidRPr="004A4CC1">
        <w:rPr>
          <w:rFonts w:asciiTheme="minorHAnsi" w:hAnsiTheme="minorHAnsi"/>
          <w:i/>
          <w:sz w:val="24"/>
          <w:szCs w:val="24"/>
        </w:rPr>
        <w:t>National Health Act 1953</w:t>
      </w:r>
      <w:r w:rsidR="006C3F62" w:rsidRPr="004A4CC1">
        <w:rPr>
          <w:rFonts w:asciiTheme="minorHAnsi" w:hAnsiTheme="minorHAnsi"/>
          <w:i/>
          <w:sz w:val="24"/>
          <w:szCs w:val="24"/>
        </w:rPr>
        <w:t>.</w:t>
      </w:r>
      <w:r w:rsidRPr="004A4CC1">
        <w:rPr>
          <w:rFonts w:asciiTheme="minorHAnsi" w:hAnsiTheme="minorHAnsi"/>
          <w:i/>
          <w:sz w:val="24"/>
          <w:szCs w:val="24"/>
        </w:rPr>
        <w:t xml:space="preserve"> </w:t>
      </w:r>
      <w:r w:rsidRPr="004A4CC1">
        <w:rPr>
          <w:rFonts w:asciiTheme="minorHAnsi" w:hAnsiTheme="minorHAnsi"/>
          <w:sz w:val="24"/>
          <w:szCs w:val="24"/>
        </w:rPr>
        <w:t>The drug adalimumab will also move into the F2 formulary and be subject to price disclosure.</w:t>
      </w:r>
    </w:p>
    <w:p w:rsidR="000C3FB1" w:rsidRPr="004A4CC1" w:rsidRDefault="000C3FB1" w:rsidP="00D4199A">
      <w:pPr>
        <w:rPr>
          <w:rFonts w:asciiTheme="minorHAnsi" w:hAnsiTheme="minorHAnsi"/>
          <w:i/>
        </w:rPr>
      </w:pPr>
    </w:p>
    <w:p w:rsidR="005A3173" w:rsidRPr="00176338" w:rsidRDefault="005A3173" w:rsidP="00B1059E">
      <w:pPr>
        <w:pStyle w:val="Heading2"/>
        <w:rPr>
          <w:rFonts w:asciiTheme="minorHAnsi" w:hAnsiTheme="minorHAnsi"/>
          <w:sz w:val="28"/>
          <w:szCs w:val="28"/>
        </w:rPr>
      </w:pPr>
      <w:r w:rsidRPr="00176338">
        <w:rPr>
          <w:rFonts w:asciiTheme="minorHAnsi" w:hAnsiTheme="minorHAnsi"/>
          <w:sz w:val="28"/>
          <w:szCs w:val="28"/>
        </w:rPr>
        <w:t>Estimated PBS usage &amp; financial implications</w:t>
      </w:r>
    </w:p>
    <w:p w:rsidR="005A3173" w:rsidRPr="004A4CC1" w:rsidRDefault="005A3173" w:rsidP="00882085">
      <w:pPr>
        <w:ind w:left="720" w:hanging="720"/>
        <w:jc w:val="both"/>
        <w:rPr>
          <w:rFonts w:asciiTheme="minorHAnsi" w:hAnsiTheme="minorHAnsi"/>
          <w:b/>
          <w:i/>
        </w:rPr>
      </w:pPr>
    </w:p>
    <w:p w:rsidR="00273DC8" w:rsidRDefault="00C219F5" w:rsidP="00C86DE3">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minor submission estimated that the new form of </w:t>
      </w:r>
      <w:r w:rsidR="009B0DB7" w:rsidRPr="004A4CC1">
        <w:rPr>
          <w:rFonts w:asciiTheme="minorHAnsi" w:hAnsiTheme="minorHAnsi"/>
          <w:sz w:val="24"/>
          <w:szCs w:val="24"/>
        </w:rPr>
        <w:t xml:space="preserve">adalimumab </w:t>
      </w:r>
      <w:r w:rsidRPr="004A4CC1">
        <w:rPr>
          <w:rFonts w:asciiTheme="minorHAnsi" w:hAnsiTheme="minorHAnsi"/>
          <w:sz w:val="24"/>
          <w:szCs w:val="24"/>
        </w:rPr>
        <w:t xml:space="preserve">will be cost neutral for the government as it is expected to directly substitute </w:t>
      </w:r>
      <w:r w:rsidR="009B0576" w:rsidRPr="004A4CC1">
        <w:rPr>
          <w:rFonts w:asciiTheme="minorHAnsi" w:hAnsiTheme="minorHAnsi"/>
          <w:sz w:val="24"/>
          <w:szCs w:val="24"/>
        </w:rPr>
        <w:t>for</w:t>
      </w:r>
      <w:r w:rsidRPr="004A4CC1">
        <w:rPr>
          <w:rFonts w:asciiTheme="minorHAnsi" w:hAnsiTheme="minorHAnsi"/>
          <w:sz w:val="24"/>
          <w:szCs w:val="24"/>
        </w:rPr>
        <w:t xml:space="preserve"> the 2 pack 40mg cartridge and syringe presentations</w:t>
      </w:r>
      <w:r w:rsidR="009B0576" w:rsidRPr="004A4CC1">
        <w:rPr>
          <w:rFonts w:asciiTheme="minorHAnsi" w:hAnsiTheme="minorHAnsi"/>
          <w:sz w:val="24"/>
          <w:szCs w:val="24"/>
        </w:rPr>
        <w:t xml:space="preserve"> at th</w:t>
      </w:r>
      <w:r w:rsidR="00F80BDE" w:rsidRPr="004A4CC1">
        <w:rPr>
          <w:rFonts w:asciiTheme="minorHAnsi" w:hAnsiTheme="minorHAnsi"/>
          <w:sz w:val="24"/>
          <w:szCs w:val="24"/>
        </w:rPr>
        <w:t xml:space="preserve">e </w:t>
      </w:r>
      <w:r w:rsidR="009B0576" w:rsidRPr="004A4CC1">
        <w:rPr>
          <w:rFonts w:asciiTheme="minorHAnsi" w:hAnsiTheme="minorHAnsi"/>
          <w:sz w:val="24"/>
          <w:szCs w:val="24"/>
        </w:rPr>
        <w:t xml:space="preserve">same </w:t>
      </w:r>
      <w:r w:rsidR="00F44BE7" w:rsidRPr="004A4CC1">
        <w:rPr>
          <w:rFonts w:asciiTheme="minorHAnsi" w:hAnsiTheme="minorHAnsi"/>
          <w:sz w:val="24"/>
          <w:szCs w:val="24"/>
        </w:rPr>
        <w:t>price as</w:t>
      </w:r>
      <w:r w:rsidR="006C6950" w:rsidRPr="004A4CC1">
        <w:rPr>
          <w:rFonts w:asciiTheme="minorHAnsi" w:hAnsiTheme="minorHAnsi"/>
          <w:sz w:val="24"/>
          <w:szCs w:val="24"/>
        </w:rPr>
        <w:t xml:space="preserve"> for the currently listed 40 </w:t>
      </w:r>
      <w:r w:rsidR="00C67CA4" w:rsidRPr="004A4CC1">
        <w:rPr>
          <w:rFonts w:asciiTheme="minorHAnsi" w:hAnsiTheme="minorHAnsi"/>
          <w:sz w:val="24"/>
          <w:szCs w:val="24"/>
        </w:rPr>
        <w:t>mg forms of adalimumab</w:t>
      </w:r>
      <w:r w:rsidRPr="004A4CC1">
        <w:rPr>
          <w:rFonts w:asciiTheme="minorHAnsi" w:hAnsiTheme="minorHAnsi"/>
          <w:sz w:val="24"/>
          <w:szCs w:val="24"/>
        </w:rPr>
        <w:t>.</w:t>
      </w:r>
    </w:p>
    <w:p w:rsidR="00514489" w:rsidRPr="00514489" w:rsidRDefault="00514489" w:rsidP="00514489">
      <w:pPr>
        <w:pStyle w:val="ListParagraph"/>
        <w:rPr>
          <w:rFonts w:asciiTheme="minorHAnsi" w:hAnsiTheme="minorHAnsi"/>
          <w:sz w:val="24"/>
          <w:szCs w:val="24"/>
        </w:rPr>
      </w:pPr>
    </w:p>
    <w:p w:rsidR="00273DC8" w:rsidRPr="004A4CC1" w:rsidRDefault="00273DC8" w:rsidP="00C219F5">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w:t>
      </w:r>
      <w:r w:rsidR="00AD2737" w:rsidRPr="004A4CC1">
        <w:rPr>
          <w:rFonts w:asciiTheme="minorHAnsi" w:hAnsiTheme="minorHAnsi"/>
          <w:sz w:val="24"/>
          <w:szCs w:val="24"/>
        </w:rPr>
        <w:t>PBAC</w:t>
      </w:r>
      <w:r w:rsidRPr="004A4CC1">
        <w:rPr>
          <w:rFonts w:asciiTheme="minorHAnsi" w:hAnsiTheme="minorHAnsi"/>
          <w:sz w:val="24"/>
          <w:szCs w:val="24"/>
        </w:rPr>
        <w:t xml:space="preserve"> note</w:t>
      </w:r>
      <w:r w:rsidR="00AD2737" w:rsidRPr="004A4CC1">
        <w:rPr>
          <w:rFonts w:asciiTheme="minorHAnsi" w:hAnsiTheme="minorHAnsi"/>
          <w:sz w:val="24"/>
          <w:szCs w:val="24"/>
        </w:rPr>
        <w:t>d</w:t>
      </w:r>
      <w:r w:rsidRPr="004A4CC1">
        <w:rPr>
          <w:rFonts w:asciiTheme="minorHAnsi" w:hAnsiTheme="minorHAnsi"/>
          <w:sz w:val="24"/>
          <w:szCs w:val="24"/>
        </w:rPr>
        <w:t xml:space="preserve"> that</w:t>
      </w:r>
      <w:r w:rsidR="00F80BDE" w:rsidRPr="004A4CC1">
        <w:rPr>
          <w:rFonts w:asciiTheme="minorHAnsi" w:hAnsiTheme="minorHAnsi"/>
          <w:sz w:val="24"/>
          <w:szCs w:val="24"/>
        </w:rPr>
        <w:t xml:space="preserve"> although not a matter for PBAC,</w:t>
      </w:r>
      <w:r w:rsidRPr="004A4CC1">
        <w:rPr>
          <w:rFonts w:asciiTheme="minorHAnsi" w:hAnsiTheme="minorHAnsi"/>
          <w:sz w:val="24"/>
          <w:szCs w:val="24"/>
        </w:rPr>
        <w:t xml:space="preserve"> </w:t>
      </w:r>
      <w:r w:rsidR="0092742E" w:rsidRPr="004A4CC1">
        <w:rPr>
          <w:rFonts w:asciiTheme="minorHAnsi" w:hAnsiTheme="minorHAnsi"/>
          <w:sz w:val="24"/>
          <w:szCs w:val="24"/>
        </w:rPr>
        <w:t xml:space="preserve">the listing of a new form of adalimumab at this time has the potential to result in </w:t>
      </w:r>
      <w:r w:rsidR="00244D45" w:rsidRPr="004A4CC1">
        <w:rPr>
          <w:rFonts w:asciiTheme="minorHAnsi" w:hAnsiTheme="minorHAnsi"/>
          <w:sz w:val="24"/>
          <w:szCs w:val="24"/>
        </w:rPr>
        <w:t>the</w:t>
      </w:r>
      <w:r w:rsidR="0092742E" w:rsidRPr="004A4CC1">
        <w:rPr>
          <w:rFonts w:asciiTheme="minorHAnsi" w:hAnsiTheme="minorHAnsi"/>
          <w:sz w:val="24"/>
          <w:szCs w:val="24"/>
        </w:rPr>
        <w:t xml:space="preserve"> loss of </w:t>
      </w:r>
      <w:r w:rsidR="00244D45" w:rsidRPr="004A4CC1">
        <w:rPr>
          <w:rFonts w:asciiTheme="minorHAnsi" w:hAnsiTheme="minorHAnsi"/>
          <w:sz w:val="24"/>
          <w:szCs w:val="24"/>
        </w:rPr>
        <w:t xml:space="preserve">some of the </w:t>
      </w:r>
      <w:r w:rsidR="0092742E" w:rsidRPr="004A4CC1">
        <w:rPr>
          <w:rFonts w:asciiTheme="minorHAnsi" w:hAnsiTheme="minorHAnsi"/>
          <w:sz w:val="24"/>
          <w:szCs w:val="24"/>
        </w:rPr>
        <w:t xml:space="preserve">savings to </w:t>
      </w:r>
      <w:r w:rsidR="00A01CD5" w:rsidRPr="004A4CC1">
        <w:rPr>
          <w:rFonts w:asciiTheme="minorHAnsi" w:hAnsiTheme="minorHAnsi"/>
          <w:sz w:val="24"/>
          <w:szCs w:val="24"/>
        </w:rPr>
        <w:t>g</w:t>
      </w:r>
      <w:r w:rsidR="0092742E" w:rsidRPr="004A4CC1">
        <w:rPr>
          <w:rFonts w:asciiTheme="minorHAnsi" w:hAnsiTheme="minorHAnsi"/>
          <w:sz w:val="24"/>
          <w:szCs w:val="24"/>
        </w:rPr>
        <w:t>overnment</w:t>
      </w:r>
      <w:r w:rsidR="00244D45" w:rsidRPr="004A4CC1">
        <w:rPr>
          <w:rFonts w:asciiTheme="minorHAnsi" w:hAnsiTheme="minorHAnsi"/>
          <w:sz w:val="24"/>
          <w:szCs w:val="24"/>
        </w:rPr>
        <w:t xml:space="preserve"> that would have occurred under Section 5 of the 2017 Strategic Agreement between the Commonwealth and Medicines Australia. Given that Commonwealth expenditure on adalimumab exceeded $330 million in the 2015-16 financial </w:t>
      </w:r>
      <w:proofErr w:type="gramStart"/>
      <w:r w:rsidR="00244D45" w:rsidRPr="004A4CC1">
        <w:rPr>
          <w:rFonts w:asciiTheme="minorHAnsi" w:hAnsiTheme="minorHAnsi"/>
          <w:sz w:val="24"/>
          <w:szCs w:val="24"/>
        </w:rPr>
        <w:t>year</w:t>
      </w:r>
      <w:proofErr w:type="gramEnd"/>
      <w:r w:rsidR="001F1D4F" w:rsidRPr="004A4CC1">
        <w:rPr>
          <w:rStyle w:val="FootnoteReference"/>
          <w:rFonts w:asciiTheme="minorHAnsi" w:hAnsiTheme="minorHAnsi"/>
          <w:sz w:val="24"/>
          <w:szCs w:val="24"/>
        </w:rPr>
        <w:footnoteReference w:id="1"/>
      </w:r>
      <w:r w:rsidR="00244D45" w:rsidRPr="004A4CC1">
        <w:rPr>
          <w:rFonts w:asciiTheme="minorHAnsi" w:hAnsiTheme="minorHAnsi"/>
          <w:sz w:val="24"/>
          <w:szCs w:val="24"/>
        </w:rPr>
        <w:t>, the quantum of any savings lo</w:t>
      </w:r>
      <w:r w:rsidR="00514489">
        <w:rPr>
          <w:rFonts w:asciiTheme="minorHAnsi" w:hAnsiTheme="minorHAnsi"/>
          <w:sz w:val="24"/>
          <w:szCs w:val="24"/>
        </w:rPr>
        <w:t>st is likely to be significant.</w:t>
      </w:r>
    </w:p>
    <w:p w:rsidR="009B0576" w:rsidRPr="004A4CC1" w:rsidRDefault="009B0576" w:rsidP="00C86DE3">
      <w:pPr>
        <w:pStyle w:val="ListParagraph"/>
        <w:rPr>
          <w:rFonts w:asciiTheme="minorHAnsi" w:hAnsiTheme="minorHAnsi"/>
          <w:sz w:val="24"/>
          <w:szCs w:val="24"/>
        </w:rPr>
      </w:pPr>
    </w:p>
    <w:p w:rsidR="009B0576" w:rsidRPr="00176338" w:rsidRDefault="009B0576" w:rsidP="00C86DE3">
      <w:pPr>
        <w:pStyle w:val="Heading2"/>
        <w:rPr>
          <w:rFonts w:asciiTheme="minorHAnsi" w:hAnsiTheme="minorHAnsi"/>
          <w:sz w:val="28"/>
          <w:szCs w:val="28"/>
        </w:rPr>
      </w:pPr>
      <w:r w:rsidRPr="00176338">
        <w:rPr>
          <w:rFonts w:asciiTheme="minorHAnsi" w:hAnsiTheme="minorHAnsi"/>
          <w:sz w:val="28"/>
          <w:szCs w:val="28"/>
        </w:rPr>
        <w:t>Risk Share Arrangements</w:t>
      </w:r>
    </w:p>
    <w:p w:rsidR="0064267A" w:rsidRPr="004A4CC1" w:rsidRDefault="0064267A" w:rsidP="00D4199A">
      <w:pPr>
        <w:rPr>
          <w:rFonts w:asciiTheme="minorHAnsi" w:hAnsiTheme="minorHAnsi"/>
        </w:rPr>
      </w:pPr>
    </w:p>
    <w:p w:rsidR="009B0576" w:rsidRPr="004A4CC1" w:rsidRDefault="009B0576" w:rsidP="00C219F5">
      <w:pPr>
        <w:pStyle w:val="ListParagraph"/>
        <w:numPr>
          <w:ilvl w:val="1"/>
          <w:numId w:val="5"/>
        </w:numPr>
        <w:rPr>
          <w:rFonts w:asciiTheme="minorHAnsi" w:hAnsiTheme="minorHAnsi"/>
          <w:sz w:val="24"/>
          <w:szCs w:val="24"/>
        </w:rPr>
      </w:pPr>
      <w:r w:rsidRPr="004A4CC1">
        <w:rPr>
          <w:rFonts w:asciiTheme="minorHAnsi" w:hAnsiTheme="minorHAnsi"/>
          <w:sz w:val="24"/>
          <w:szCs w:val="24"/>
        </w:rPr>
        <w:t>The submission requested that the same special pricing arrangements apply to the 40 mg vial presentation as to the currently listed forms.</w:t>
      </w:r>
    </w:p>
    <w:p w:rsidR="00F42E5E" w:rsidRPr="004A4CC1" w:rsidRDefault="00F42E5E" w:rsidP="00C86DE3">
      <w:pPr>
        <w:pStyle w:val="ListParagraph"/>
        <w:ind w:left="0"/>
        <w:rPr>
          <w:rFonts w:asciiTheme="minorHAnsi" w:hAnsiTheme="minorHAnsi"/>
          <w:sz w:val="24"/>
          <w:szCs w:val="24"/>
        </w:rPr>
      </w:pPr>
    </w:p>
    <w:p w:rsidR="001272A8" w:rsidRPr="004A4CC1" w:rsidRDefault="00C9396B" w:rsidP="00D4199A">
      <w:pPr>
        <w:pStyle w:val="ListParagraph"/>
        <w:numPr>
          <w:ilvl w:val="1"/>
          <w:numId w:val="5"/>
        </w:numPr>
        <w:rPr>
          <w:rFonts w:asciiTheme="minorHAnsi" w:hAnsiTheme="minorHAnsi"/>
          <w:sz w:val="24"/>
          <w:szCs w:val="24"/>
        </w:rPr>
      </w:pPr>
      <w:r w:rsidRPr="004A4CC1">
        <w:rPr>
          <w:rFonts w:asciiTheme="minorHAnsi" w:hAnsiTheme="minorHAnsi"/>
          <w:sz w:val="24"/>
          <w:szCs w:val="24"/>
        </w:rPr>
        <w:t>A</w:t>
      </w:r>
      <w:r w:rsidR="00F80BDE" w:rsidRPr="004A4CC1">
        <w:rPr>
          <w:rFonts w:asciiTheme="minorHAnsi" w:hAnsiTheme="minorHAnsi"/>
          <w:sz w:val="24"/>
          <w:szCs w:val="24"/>
        </w:rPr>
        <w:t xml:space="preserve">lthough not a matter for the PBAC, </w:t>
      </w:r>
      <w:r w:rsidR="009C5E9C" w:rsidRPr="004A4CC1">
        <w:rPr>
          <w:rFonts w:asciiTheme="minorHAnsi" w:hAnsiTheme="minorHAnsi"/>
          <w:sz w:val="24"/>
          <w:szCs w:val="24"/>
        </w:rPr>
        <w:t xml:space="preserve">the listing of the 40 mg vial form of adalimumab will cause the drug to move into the F2 formulary, and </w:t>
      </w:r>
      <w:r w:rsidR="00C86DE3" w:rsidRPr="004A4CC1">
        <w:rPr>
          <w:rFonts w:asciiTheme="minorHAnsi" w:hAnsiTheme="minorHAnsi"/>
          <w:sz w:val="24"/>
          <w:szCs w:val="24"/>
        </w:rPr>
        <w:t xml:space="preserve">special pricing arrangements are not usually applied to F2 medicines. </w:t>
      </w:r>
    </w:p>
    <w:p w:rsidR="0068554C" w:rsidRPr="004A4CC1" w:rsidRDefault="0068554C" w:rsidP="004A4CC1">
      <w:pPr>
        <w:pStyle w:val="ListParagraph"/>
        <w:ind w:left="0"/>
        <w:rPr>
          <w:rFonts w:asciiTheme="minorHAnsi" w:hAnsiTheme="minorHAnsi"/>
          <w:sz w:val="24"/>
          <w:szCs w:val="24"/>
        </w:rPr>
      </w:pPr>
    </w:p>
    <w:p w:rsidR="0068554C" w:rsidRPr="004A4CC1" w:rsidRDefault="0068554C" w:rsidP="00DF6307">
      <w:pPr>
        <w:pStyle w:val="PBACHeading1"/>
        <w:numPr>
          <w:ilvl w:val="0"/>
          <w:numId w:val="0"/>
        </w:numPr>
        <w:outlineLvl w:val="9"/>
        <w:rPr>
          <w:rFonts w:asciiTheme="minorHAnsi" w:hAnsiTheme="minorHAnsi"/>
          <w:b w:val="0"/>
          <w:sz w:val="24"/>
          <w:szCs w:val="24"/>
        </w:rPr>
      </w:pPr>
      <w:r w:rsidRPr="004A4CC1">
        <w:rPr>
          <w:rFonts w:asciiTheme="minorHAnsi" w:hAnsiTheme="minorHAnsi"/>
          <w:b w:val="0"/>
          <w:sz w:val="24"/>
          <w:szCs w:val="24"/>
        </w:rPr>
        <w:t>For more deta</w:t>
      </w:r>
      <w:r w:rsidR="00176338">
        <w:rPr>
          <w:rFonts w:asciiTheme="minorHAnsi" w:hAnsiTheme="minorHAnsi"/>
          <w:b w:val="0"/>
          <w:sz w:val="24"/>
          <w:szCs w:val="24"/>
        </w:rPr>
        <w:t>il on PBAC’s view, see section 5</w:t>
      </w:r>
      <w:r w:rsidRPr="004A4CC1">
        <w:rPr>
          <w:rFonts w:asciiTheme="minorHAnsi" w:hAnsiTheme="minorHAnsi"/>
          <w:b w:val="0"/>
          <w:sz w:val="24"/>
          <w:szCs w:val="24"/>
        </w:rPr>
        <w:t xml:space="preserve"> “PBAC outcome.”</w:t>
      </w:r>
    </w:p>
    <w:p w:rsidR="0068554C" w:rsidRPr="004A4CC1" w:rsidRDefault="0068554C" w:rsidP="0068554C">
      <w:pPr>
        <w:rPr>
          <w:rFonts w:asciiTheme="minorHAnsi" w:hAnsiTheme="minorHAnsi"/>
        </w:rPr>
      </w:pPr>
    </w:p>
    <w:p w:rsidR="0068554C" w:rsidRPr="00176338" w:rsidRDefault="0068554C" w:rsidP="004A4CC1">
      <w:pPr>
        <w:pStyle w:val="PBACHeading1"/>
        <w:rPr>
          <w:rFonts w:asciiTheme="minorHAnsi" w:hAnsiTheme="minorHAnsi"/>
          <w:sz w:val="32"/>
          <w:szCs w:val="32"/>
        </w:rPr>
      </w:pPr>
      <w:r w:rsidRPr="00176338">
        <w:rPr>
          <w:rFonts w:asciiTheme="minorHAnsi" w:hAnsiTheme="minorHAnsi"/>
          <w:sz w:val="32"/>
          <w:szCs w:val="32"/>
        </w:rPr>
        <w:lastRenderedPageBreak/>
        <w:t>PBAC Outcome</w:t>
      </w:r>
    </w:p>
    <w:p w:rsidR="003E6C44" w:rsidRPr="004A4CC1" w:rsidRDefault="003E6C44" w:rsidP="003E6C44">
      <w:pPr>
        <w:pStyle w:val="ListParagraph"/>
        <w:rPr>
          <w:rFonts w:asciiTheme="minorHAnsi" w:hAnsiTheme="minorHAnsi"/>
          <w:b/>
          <w:i/>
          <w:sz w:val="24"/>
          <w:szCs w:val="24"/>
        </w:rPr>
      </w:pPr>
    </w:p>
    <w:p w:rsidR="006C6950" w:rsidRPr="004A4CC1" w:rsidRDefault="006C6950" w:rsidP="003E6C44">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PBAC recommended the listing of </w:t>
      </w:r>
      <w:r w:rsidR="00A41273" w:rsidRPr="004A4CC1">
        <w:rPr>
          <w:rFonts w:asciiTheme="minorHAnsi" w:hAnsiTheme="minorHAnsi"/>
          <w:sz w:val="24"/>
          <w:szCs w:val="24"/>
        </w:rPr>
        <w:t>adalimumab</w:t>
      </w:r>
      <w:r w:rsidRPr="004A4CC1">
        <w:rPr>
          <w:rFonts w:asciiTheme="minorHAnsi" w:hAnsiTheme="minorHAnsi"/>
          <w:sz w:val="24"/>
          <w:szCs w:val="24"/>
        </w:rPr>
        <w:t xml:space="preserve"> injection (40 mg in 0.8 mL vial) with the same </w:t>
      </w:r>
      <w:r w:rsidR="00543DFA" w:rsidRPr="004A4CC1">
        <w:rPr>
          <w:rFonts w:asciiTheme="minorHAnsi" w:hAnsiTheme="minorHAnsi"/>
          <w:sz w:val="24"/>
          <w:szCs w:val="24"/>
        </w:rPr>
        <w:t xml:space="preserve">restrictions </w:t>
      </w:r>
      <w:r w:rsidRPr="004A4CC1">
        <w:rPr>
          <w:rFonts w:asciiTheme="minorHAnsi" w:hAnsiTheme="minorHAnsi"/>
          <w:sz w:val="24"/>
          <w:szCs w:val="24"/>
        </w:rPr>
        <w:t>as the currently listed forms of adalimumab cartridge and syringe on a cost-minimisation basis.</w:t>
      </w:r>
    </w:p>
    <w:p w:rsidR="006C6950" w:rsidRPr="004A4CC1" w:rsidRDefault="006C6950" w:rsidP="00B51041">
      <w:pPr>
        <w:pStyle w:val="ListParagraph"/>
        <w:rPr>
          <w:rFonts w:asciiTheme="minorHAnsi" w:hAnsiTheme="minorHAnsi"/>
          <w:sz w:val="24"/>
          <w:szCs w:val="24"/>
        </w:rPr>
      </w:pPr>
    </w:p>
    <w:p w:rsidR="001F1D4F" w:rsidRPr="004A4CC1" w:rsidRDefault="001F1D4F" w:rsidP="00B51041">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In making this recommendation, the PBAC noted that although the application for the vial form of adalimumab met the requirements for a positive PBAC recommendation, the evidence that there is a clinical need for a vial presentation of adalimumab is not convincing, and there is potential for this listing to result in a considerable loss of savings to </w:t>
      </w:r>
      <w:r w:rsidR="00A01CD5" w:rsidRPr="004A4CC1">
        <w:rPr>
          <w:rFonts w:asciiTheme="minorHAnsi" w:hAnsiTheme="minorHAnsi"/>
          <w:sz w:val="24"/>
          <w:szCs w:val="24"/>
        </w:rPr>
        <w:t>g</w:t>
      </w:r>
      <w:r w:rsidRPr="004A4CC1">
        <w:rPr>
          <w:rFonts w:asciiTheme="minorHAnsi" w:hAnsiTheme="minorHAnsi"/>
          <w:sz w:val="24"/>
          <w:szCs w:val="24"/>
        </w:rPr>
        <w:t>overnment.</w:t>
      </w:r>
    </w:p>
    <w:p w:rsidR="001F1D4F" w:rsidRPr="004A4CC1" w:rsidRDefault="001F1D4F" w:rsidP="004A4CC1">
      <w:pPr>
        <w:pStyle w:val="ListParagraph"/>
        <w:rPr>
          <w:rFonts w:asciiTheme="minorHAnsi" w:hAnsiTheme="minorHAnsi"/>
          <w:sz w:val="24"/>
          <w:szCs w:val="24"/>
        </w:rPr>
      </w:pPr>
    </w:p>
    <w:p w:rsidR="00B51041" w:rsidRPr="004A4CC1" w:rsidRDefault="006C6950" w:rsidP="00B51041">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PBAC considered that </w:t>
      </w:r>
      <w:r w:rsidR="00A01CD5" w:rsidRPr="004A4CC1">
        <w:rPr>
          <w:rFonts w:asciiTheme="minorHAnsi" w:hAnsiTheme="minorHAnsi"/>
          <w:sz w:val="24"/>
          <w:szCs w:val="24"/>
        </w:rPr>
        <w:t xml:space="preserve">the </w:t>
      </w:r>
      <w:r w:rsidR="00C9396B" w:rsidRPr="004A4CC1">
        <w:rPr>
          <w:rFonts w:asciiTheme="minorHAnsi" w:hAnsiTheme="minorHAnsi"/>
          <w:sz w:val="24"/>
          <w:szCs w:val="24"/>
        </w:rPr>
        <w:t>adalimumab</w:t>
      </w:r>
      <w:r w:rsidRPr="004A4CC1">
        <w:rPr>
          <w:rFonts w:asciiTheme="minorHAnsi" w:hAnsiTheme="minorHAnsi"/>
          <w:sz w:val="24"/>
          <w:szCs w:val="24"/>
        </w:rPr>
        <w:t xml:space="preserve"> vial form and the other two PBS-listed forms</w:t>
      </w:r>
      <w:r w:rsidR="00A01CD5" w:rsidRPr="004A4CC1">
        <w:rPr>
          <w:rFonts w:asciiTheme="minorHAnsi" w:hAnsiTheme="minorHAnsi"/>
          <w:sz w:val="24"/>
          <w:szCs w:val="24"/>
        </w:rPr>
        <w:t xml:space="preserve"> of adalimumab</w:t>
      </w:r>
      <w:r w:rsidRPr="004A4CC1">
        <w:rPr>
          <w:rFonts w:asciiTheme="minorHAnsi" w:hAnsiTheme="minorHAnsi"/>
          <w:sz w:val="24"/>
          <w:szCs w:val="24"/>
        </w:rPr>
        <w:t xml:space="preserve"> should be considered equivalent for the purposes of substitution (i.e., ‘a’ flagged in the Schedule)</w:t>
      </w:r>
      <w:r w:rsidR="00187435">
        <w:rPr>
          <w:rFonts w:asciiTheme="minorHAnsi" w:hAnsiTheme="minorHAnsi"/>
          <w:sz w:val="24"/>
          <w:szCs w:val="24"/>
        </w:rPr>
        <w:t xml:space="preserve">. The PBAC considered that although each form has a </w:t>
      </w:r>
      <w:r w:rsidRPr="004A4CC1">
        <w:rPr>
          <w:rFonts w:asciiTheme="minorHAnsi" w:hAnsiTheme="minorHAnsi"/>
          <w:sz w:val="24"/>
          <w:szCs w:val="24"/>
        </w:rPr>
        <w:t xml:space="preserve">different injection </w:t>
      </w:r>
      <w:r w:rsidR="00FF5C4D" w:rsidRPr="004A4CC1">
        <w:rPr>
          <w:rFonts w:asciiTheme="minorHAnsi" w:hAnsiTheme="minorHAnsi"/>
          <w:sz w:val="24"/>
          <w:szCs w:val="24"/>
        </w:rPr>
        <w:t>delivery device</w:t>
      </w:r>
      <w:r w:rsidR="00187435">
        <w:rPr>
          <w:rFonts w:asciiTheme="minorHAnsi" w:hAnsiTheme="minorHAnsi"/>
          <w:sz w:val="24"/>
          <w:szCs w:val="24"/>
        </w:rPr>
        <w:t xml:space="preserve"> and method</w:t>
      </w:r>
      <w:r w:rsidR="00B1540F" w:rsidRPr="004A4CC1">
        <w:rPr>
          <w:rFonts w:asciiTheme="minorHAnsi" w:hAnsiTheme="minorHAnsi"/>
          <w:sz w:val="24"/>
          <w:szCs w:val="24"/>
        </w:rPr>
        <w:t xml:space="preserve">, </w:t>
      </w:r>
      <w:r w:rsidR="00187435">
        <w:rPr>
          <w:rFonts w:asciiTheme="minorHAnsi" w:hAnsiTheme="minorHAnsi"/>
          <w:sz w:val="24"/>
          <w:szCs w:val="24"/>
        </w:rPr>
        <w:t xml:space="preserve">the dispensing pharmacist would be able to provide the necessary </w:t>
      </w:r>
      <w:r w:rsidR="00514489">
        <w:rPr>
          <w:rFonts w:asciiTheme="minorHAnsi" w:hAnsiTheme="minorHAnsi"/>
          <w:sz w:val="24"/>
          <w:szCs w:val="24"/>
        </w:rPr>
        <w:t>patient education and training.</w:t>
      </w:r>
    </w:p>
    <w:p w:rsidR="00B51041" w:rsidRPr="004A4CC1" w:rsidRDefault="00B51041" w:rsidP="00B51041">
      <w:pPr>
        <w:pStyle w:val="ListParagraph"/>
        <w:rPr>
          <w:rFonts w:asciiTheme="minorHAnsi" w:hAnsiTheme="minorHAnsi"/>
          <w:sz w:val="24"/>
          <w:szCs w:val="24"/>
        </w:rPr>
      </w:pPr>
    </w:p>
    <w:p w:rsidR="00B51041" w:rsidRPr="004A4CC1" w:rsidRDefault="00B51041" w:rsidP="0073041E">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PBAC noted that </w:t>
      </w:r>
      <w:r w:rsidR="00A41273" w:rsidRPr="004A4CC1">
        <w:rPr>
          <w:rFonts w:asciiTheme="minorHAnsi" w:hAnsiTheme="minorHAnsi"/>
          <w:sz w:val="24"/>
          <w:szCs w:val="24"/>
        </w:rPr>
        <w:t xml:space="preserve">adalimumab currently has a special pricing arrangement and that </w:t>
      </w:r>
      <w:r w:rsidR="004A4CC1" w:rsidRPr="004A4CC1">
        <w:rPr>
          <w:rFonts w:asciiTheme="minorHAnsi" w:hAnsiTheme="minorHAnsi"/>
          <w:sz w:val="24"/>
          <w:szCs w:val="24"/>
        </w:rPr>
        <w:t xml:space="preserve">the </w:t>
      </w:r>
      <w:proofErr w:type="gramStart"/>
      <w:r w:rsidR="004A4CC1" w:rsidRPr="004A4CC1">
        <w:rPr>
          <w:rFonts w:asciiTheme="minorHAnsi" w:hAnsiTheme="minorHAnsi"/>
          <w:sz w:val="24"/>
          <w:szCs w:val="24"/>
        </w:rPr>
        <w:t>listing of the</w:t>
      </w:r>
      <w:r w:rsidRPr="004A4CC1">
        <w:rPr>
          <w:rFonts w:asciiTheme="minorHAnsi" w:hAnsiTheme="minorHAnsi"/>
          <w:sz w:val="24"/>
          <w:szCs w:val="24"/>
        </w:rPr>
        <w:t xml:space="preserve"> 40 mg vial</w:t>
      </w:r>
      <w:proofErr w:type="gramEnd"/>
      <w:r w:rsidRPr="004A4CC1">
        <w:rPr>
          <w:rFonts w:asciiTheme="minorHAnsi" w:hAnsiTheme="minorHAnsi"/>
          <w:sz w:val="24"/>
          <w:szCs w:val="24"/>
        </w:rPr>
        <w:t xml:space="preserve"> form would trigger the drug adalimumab </w:t>
      </w:r>
      <w:r w:rsidR="00A41273" w:rsidRPr="004A4CC1">
        <w:rPr>
          <w:rFonts w:asciiTheme="minorHAnsi" w:hAnsiTheme="minorHAnsi"/>
          <w:sz w:val="24"/>
          <w:szCs w:val="24"/>
        </w:rPr>
        <w:t xml:space="preserve">to </w:t>
      </w:r>
      <w:r w:rsidRPr="004A4CC1">
        <w:rPr>
          <w:rFonts w:asciiTheme="minorHAnsi" w:hAnsiTheme="minorHAnsi"/>
          <w:sz w:val="24"/>
          <w:szCs w:val="24"/>
        </w:rPr>
        <w:t xml:space="preserve">move to the F2 formulary. </w:t>
      </w:r>
      <w:r w:rsidR="0073041E" w:rsidRPr="004A4CC1">
        <w:rPr>
          <w:rFonts w:asciiTheme="minorHAnsi" w:hAnsiTheme="minorHAnsi"/>
          <w:sz w:val="24"/>
          <w:szCs w:val="24"/>
        </w:rPr>
        <w:t>S</w:t>
      </w:r>
      <w:r w:rsidRPr="004A4CC1">
        <w:rPr>
          <w:rFonts w:asciiTheme="minorHAnsi" w:hAnsiTheme="minorHAnsi"/>
          <w:sz w:val="24"/>
          <w:szCs w:val="24"/>
        </w:rPr>
        <w:t xml:space="preserve">pecial pricing arrangements are not usually applied to drugs in the F2 formulary. </w:t>
      </w:r>
    </w:p>
    <w:p w:rsidR="00AD2737" w:rsidRPr="004A4CC1" w:rsidRDefault="00AD2737" w:rsidP="00AD2737">
      <w:pPr>
        <w:pStyle w:val="ListParagraph"/>
        <w:rPr>
          <w:rFonts w:asciiTheme="minorHAnsi" w:hAnsiTheme="minorHAnsi"/>
          <w:sz w:val="24"/>
          <w:szCs w:val="24"/>
        </w:rPr>
      </w:pPr>
    </w:p>
    <w:p w:rsidR="00B51041" w:rsidRPr="004A4CC1" w:rsidRDefault="00033DEA" w:rsidP="00B51041">
      <w:pPr>
        <w:pStyle w:val="ListParagraph"/>
        <w:numPr>
          <w:ilvl w:val="1"/>
          <w:numId w:val="5"/>
        </w:numPr>
        <w:rPr>
          <w:rFonts w:asciiTheme="minorHAnsi" w:hAnsiTheme="minorHAnsi"/>
          <w:sz w:val="24"/>
          <w:szCs w:val="24"/>
        </w:rPr>
      </w:pPr>
      <w:r w:rsidRPr="004A4CC1">
        <w:rPr>
          <w:rFonts w:asciiTheme="minorHAnsi" w:hAnsiTheme="minorHAnsi"/>
          <w:sz w:val="24"/>
          <w:szCs w:val="24"/>
        </w:rPr>
        <w:t>Consistent with the existing arrangements, t</w:t>
      </w:r>
      <w:r w:rsidR="00B51041" w:rsidRPr="004A4CC1">
        <w:rPr>
          <w:rFonts w:asciiTheme="minorHAnsi" w:hAnsiTheme="minorHAnsi"/>
          <w:sz w:val="24"/>
          <w:szCs w:val="24"/>
        </w:rPr>
        <w:t xml:space="preserve">he PBAC </w:t>
      </w:r>
      <w:r w:rsidRPr="004A4CC1">
        <w:rPr>
          <w:rFonts w:asciiTheme="minorHAnsi" w:hAnsiTheme="minorHAnsi"/>
          <w:sz w:val="24"/>
          <w:szCs w:val="24"/>
        </w:rPr>
        <w:t xml:space="preserve">advised </w:t>
      </w:r>
      <w:r w:rsidR="00B51041" w:rsidRPr="004A4CC1">
        <w:rPr>
          <w:rFonts w:asciiTheme="minorHAnsi" w:hAnsiTheme="minorHAnsi"/>
          <w:sz w:val="24"/>
          <w:szCs w:val="24"/>
        </w:rPr>
        <w:t>that adalimumab is not suitable for prescribing by nurse practitioners.</w:t>
      </w:r>
    </w:p>
    <w:p w:rsidR="00B51041" w:rsidRPr="004A4CC1" w:rsidRDefault="00B51041" w:rsidP="00B51041">
      <w:pPr>
        <w:pStyle w:val="ListParagraph"/>
        <w:rPr>
          <w:rFonts w:asciiTheme="minorHAnsi" w:hAnsiTheme="minorHAnsi"/>
          <w:sz w:val="24"/>
          <w:szCs w:val="24"/>
        </w:rPr>
      </w:pPr>
    </w:p>
    <w:p w:rsidR="00A41273" w:rsidRPr="004A4CC1" w:rsidRDefault="00A41273" w:rsidP="00A41273">
      <w:pPr>
        <w:pStyle w:val="ListParagraph"/>
        <w:numPr>
          <w:ilvl w:val="1"/>
          <w:numId w:val="5"/>
        </w:numPr>
        <w:rPr>
          <w:rFonts w:asciiTheme="minorHAnsi" w:hAnsiTheme="minorHAnsi"/>
          <w:sz w:val="24"/>
          <w:szCs w:val="24"/>
        </w:rPr>
      </w:pPr>
      <w:r w:rsidRPr="004A4CC1">
        <w:rPr>
          <w:rFonts w:asciiTheme="minorHAnsi" w:hAnsiTheme="minorHAnsi"/>
          <w:sz w:val="24"/>
          <w:szCs w:val="24"/>
        </w:rPr>
        <w:t xml:space="preserve">The PBAC also advised that the vial form of adalimumab should not be exempt from the Early Supply Rule as the PBAC previously considered that adalimumab should not be exempt from the early supply rule. </w:t>
      </w:r>
    </w:p>
    <w:p w:rsidR="00A41273" w:rsidRPr="004A4CC1" w:rsidRDefault="00A41273" w:rsidP="00875AD2">
      <w:pPr>
        <w:pStyle w:val="ListParagraph"/>
        <w:ind w:left="0"/>
        <w:rPr>
          <w:rFonts w:asciiTheme="minorHAnsi" w:hAnsiTheme="minorHAnsi"/>
          <w:sz w:val="24"/>
          <w:szCs w:val="24"/>
        </w:rPr>
      </w:pPr>
    </w:p>
    <w:p w:rsidR="003E6C44" w:rsidRPr="008F136C" w:rsidRDefault="00B51041" w:rsidP="003E6C44">
      <w:pPr>
        <w:pStyle w:val="ListParagraph"/>
        <w:numPr>
          <w:ilvl w:val="1"/>
          <w:numId w:val="5"/>
        </w:numPr>
        <w:rPr>
          <w:rFonts w:asciiTheme="minorHAnsi" w:hAnsiTheme="minorHAnsi"/>
          <w:color w:val="FF0000"/>
          <w:sz w:val="24"/>
          <w:szCs w:val="24"/>
        </w:rPr>
      </w:pPr>
      <w:r w:rsidRPr="008F136C">
        <w:rPr>
          <w:rFonts w:asciiTheme="minorHAnsi" w:hAnsiTheme="minorHAnsi"/>
          <w:sz w:val="24"/>
          <w:szCs w:val="24"/>
        </w:rPr>
        <w:t>The PBAC noted that this submission is not eligible for Independent Review as it received a positive recommendation.</w:t>
      </w:r>
    </w:p>
    <w:p w:rsidR="003E6C44" w:rsidRPr="004A4CC1" w:rsidRDefault="003E6C44" w:rsidP="003E6C44">
      <w:pPr>
        <w:pStyle w:val="ListParagraph"/>
        <w:rPr>
          <w:rFonts w:asciiTheme="minorHAnsi" w:hAnsiTheme="minorHAnsi"/>
          <w:sz w:val="24"/>
          <w:szCs w:val="24"/>
        </w:rPr>
      </w:pPr>
    </w:p>
    <w:p w:rsidR="0068554C" w:rsidRPr="004A4CC1" w:rsidRDefault="0068554C" w:rsidP="0068554C">
      <w:pPr>
        <w:spacing w:before="240"/>
        <w:jc w:val="both"/>
        <w:rPr>
          <w:rFonts w:asciiTheme="minorHAnsi" w:hAnsiTheme="minorHAnsi" w:cs="Arial"/>
          <w:b/>
          <w:bCs/>
          <w:snapToGrid w:val="0"/>
          <w:lang w:val="en-GB"/>
        </w:rPr>
      </w:pPr>
      <w:r w:rsidRPr="004A4CC1">
        <w:rPr>
          <w:rFonts w:asciiTheme="minorHAnsi" w:hAnsiTheme="minorHAnsi" w:cs="Arial"/>
          <w:b/>
          <w:bCs/>
          <w:snapToGrid w:val="0"/>
          <w:lang w:val="en-GB"/>
        </w:rPr>
        <w:t>Outcome:</w:t>
      </w:r>
    </w:p>
    <w:p w:rsidR="0068554C" w:rsidRPr="004A4CC1" w:rsidRDefault="0068554C" w:rsidP="0068554C">
      <w:pPr>
        <w:jc w:val="both"/>
        <w:rPr>
          <w:rFonts w:asciiTheme="minorHAnsi" w:hAnsiTheme="minorHAnsi" w:cs="Arial"/>
          <w:bCs/>
          <w:snapToGrid w:val="0"/>
          <w:lang w:val="en-GB"/>
        </w:rPr>
      </w:pPr>
      <w:r w:rsidRPr="004A4CC1">
        <w:rPr>
          <w:rFonts w:asciiTheme="minorHAnsi" w:hAnsiTheme="minorHAnsi" w:cs="Arial"/>
          <w:bCs/>
          <w:snapToGrid w:val="0"/>
          <w:lang w:val="en-GB"/>
        </w:rPr>
        <w:t xml:space="preserve">Recommended </w:t>
      </w:r>
    </w:p>
    <w:p w:rsidR="0068554C" w:rsidRPr="004A4CC1" w:rsidRDefault="0068554C" w:rsidP="0068554C">
      <w:pPr>
        <w:widowControl w:val="0"/>
        <w:jc w:val="both"/>
        <w:rPr>
          <w:rFonts w:asciiTheme="minorHAnsi" w:hAnsiTheme="minorHAnsi" w:cs="Arial"/>
          <w:b/>
          <w:bCs/>
          <w:snapToGrid w:val="0"/>
        </w:rPr>
      </w:pPr>
    </w:p>
    <w:p w:rsidR="0068554C" w:rsidRPr="004A4CC1" w:rsidRDefault="0068554C" w:rsidP="004A4CC1">
      <w:pPr>
        <w:widowControl w:val="0"/>
        <w:jc w:val="both"/>
        <w:rPr>
          <w:rFonts w:asciiTheme="minorHAnsi" w:hAnsiTheme="minorHAnsi" w:cs="Arial"/>
          <w:b/>
          <w:bCs/>
          <w:snapToGrid w:val="0"/>
        </w:rPr>
      </w:pPr>
      <w:r w:rsidRPr="004A4CC1">
        <w:rPr>
          <w:rFonts w:asciiTheme="minorHAnsi" w:hAnsiTheme="minorHAnsi" w:cs="Arial"/>
          <w:b/>
          <w:bCs/>
          <w:snapToGrid w:val="0"/>
        </w:rPr>
        <w:t>Recommended listing</w:t>
      </w:r>
    </w:p>
    <w:p w:rsidR="0068554C" w:rsidRPr="004A4CC1" w:rsidRDefault="00CE3E8A" w:rsidP="0068554C">
      <w:pPr>
        <w:rPr>
          <w:rFonts w:asciiTheme="minorHAnsi" w:hAnsiTheme="minorHAnsi"/>
        </w:rPr>
      </w:pPr>
      <w:r w:rsidRPr="004A4CC1">
        <w:rPr>
          <w:rFonts w:asciiTheme="minorHAnsi" w:hAnsiTheme="minorHAnsi" w:cs="Arial"/>
          <w:bCs/>
          <w:snapToGrid w:val="0"/>
        </w:rPr>
        <w:t>Add new item</w:t>
      </w:r>
      <w:r w:rsidR="00F129C4" w:rsidRPr="004A4CC1">
        <w:rPr>
          <w:rFonts w:asciiTheme="minorHAnsi" w:hAnsiTheme="minorHAnsi" w:cs="Arial"/>
          <w:bCs/>
          <w:snapToGrid w:val="0"/>
        </w:rPr>
        <w:t xml:space="preserve"> for the same indications as the currently listed cartridge and syringe forms of adalimumab</w:t>
      </w:r>
    </w:p>
    <w:p w:rsidR="008F136C" w:rsidRDefault="008F136C" w:rsidP="0068554C">
      <w:pPr>
        <w:rPr>
          <w:rFonts w:asciiTheme="minorHAnsi" w:hAnsiTheme="minorHAnsi"/>
        </w:rPr>
      </w:pPr>
    </w:p>
    <w:p w:rsidR="00D44529" w:rsidRPr="004A4CC1" w:rsidRDefault="00F129C4" w:rsidP="0068554C">
      <w:pPr>
        <w:rPr>
          <w:rFonts w:asciiTheme="minorHAnsi" w:hAnsiTheme="minorHAnsi"/>
        </w:rPr>
      </w:pPr>
      <w:r w:rsidRPr="004A4CC1">
        <w:rPr>
          <w:rFonts w:asciiTheme="minorHAnsi" w:hAnsiTheme="minorHAnsi"/>
        </w:rPr>
        <w:t xml:space="preserve">The </w:t>
      </w:r>
      <w:proofErr w:type="gramStart"/>
      <w:r w:rsidRPr="004A4CC1">
        <w:rPr>
          <w:rFonts w:asciiTheme="minorHAnsi" w:hAnsiTheme="minorHAnsi"/>
        </w:rPr>
        <w:t>list of item codes under the cartridge form are</w:t>
      </w:r>
      <w:proofErr w:type="gramEnd"/>
      <w:r w:rsidRPr="004A4CC1">
        <w:rPr>
          <w:rFonts w:asciiTheme="minorHAnsi" w:hAnsiTheme="minorHAnsi"/>
        </w:rPr>
        <w:t>:</w:t>
      </w:r>
    </w:p>
    <w:p w:rsidR="00F129C4" w:rsidRPr="004A4CC1" w:rsidRDefault="00F129C4" w:rsidP="0068554C">
      <w:pPr>
        <w:rPr>
          <w:rFonts w:asciiTheme="minorHAnsi" w:hAnsiTheme="minorHAnsi"/>
        </w:rPr>
      </w:pPr>
      <w:r w:rsidRPr="004A4CC1">
        <w:rPr>
          <w:rFonts w:asciiTheme="minorHAnsi" w:hAnsiTheme="minorHAnsi"/>
        </w:rPr>
        <w:lastRenderedPageBreak/>
        <w:t>10400J</w:t>
      </w:r>
    </w:p>
    <w:p w:rsidR="00F129C4" w:rsidRPr="004A4CC1" w:rsidRDefault="00F129C4" w:rsidP="0068554C">
      <w:pPr>
        <w:rPr>
          <w:rFonts w:asciiTheme="minorHAnsi" w:hAnsiTheme="minorHAnsi"/>
        </w:rPr>
      </w:pPr>
      <w:r w:rsidRPr="004A4CC1">
        <w:rPr>
          <w:rFonts w:asciiTheme="minorHAnsi" w:hAnsiTheme="minorHAnsi"/>
        </w:rPr>
        <w:t>10413C</w:t>
      </w:r>
    </w:p>
    <w:p w:rsidR="00F129C4" w:rsidRPr="004A4CC1" w:rsidRDefault="00F129C4" w:rsidP="0068554C">
      <w:pPr>
        <w:rPr>
          <w:rFonts w:asciiTheme="minorHAnsi" w:hAnsiTheme="minorHAnsi"/>
        </w:rPr>
      </w:pPr>
      <w:r w:rsidRPr="004A4CC1">
        <w:rPr>
          <w:rFonts w:asciiTheme="minorHAnsi" w:hAnsiTheme="minorHAnsi"/>
        </w:rPr>
        <w:t>10420K</w:t>
      </w:r>
    </w:p>
    <w:p w:rsidR="00F129C4" w:rsidRPr="004A4CC1" w:rsidRDefault="00F129C4" w:rsidP="0068554C">
      <w:pPr>
        <w:rPr>
          <w:rFonts w:asciiTheme="minorHAnsi" w:hAnsiTheme="minorHAnsi"/>
        </w:rPr>
      </w:pPr>
      <w:r w:rsidRPr="004A4CC1">
        <w:rPr>
          <w:rFonts w:asciiTheme="minorHAnsi" w:hAnsiTheme="minorHAnsi"/>
        </w:rPr>
        <w:t>10955N</w:t>
      </w:r>
    </w:p>
    <w:p w:rsidR="00F129C4" w:rsidRPr="004A4CC1" w:rsidRDefault="00F129C4" w:rsidP="0068554C">
      <w:pPr>
        <w:rPr>
          <w:rFonts w:asciiTheme="minorHAnsi" w:hAnsiTheme="minorHAnsi"/>
        </w:rPr>
      </w:pPr>
      <w:r w:rsidRPr="004A4CC1">
        <w:rPr>
          <w:rFonts w:asciiTheme="minorHAnsi" w:hAnsiTheme="minorHAnsi"/>
        </w:rPr>
        <w:t>10961X</w:t>
      </w:r>
    </w:p>
    <w:p w:rsidR="00F129C4" w:rsidRPr="004A4CC1" w:rsidRDefault="00F129C4" w:rsidP="0068554C">
      <w:pPr>
        <w:rPr>
          <w:rFonts w:asciiTheme="minorHAnsi" w:hAnsiTheme="minorHAnsi"/>
        </w:rPr>
      </w:pPr>
      <w:r w:rsidRPr="004A4CC1">
        <w:rPr>
          <w:rFonts w:asciiTheme="minorHAnsi" w:hAnsiTheme="minorHAnsi"/>
        </w:rPr>
        <w:t>5282B</w:t>
      </w:r>
    </w:p>
    <w:p w:rsidR="00F129C4" w:rsidRPr="004A4CC1" w:rsidRDefault="00F129C4" w:rsidP="0068554C">
      <w:pPr>
        <w:rPr>
          <w:rFonts w:asciiTheme="minorHAnsi" w:hAnsiTheme="minorHAnsi"/>
        </w:rPr>
      </w:pPr>
      <w:r w:rsidRPr="004A4CC1">
        <w:rPr>
          <w:rFonts w:asciiTheme="minorHAnsi" w:hAnsiTheme="minorHAnsi"/>
        </w:rPr>
        <w:t>5284D</w:t>
      </w:r>
    </w:p>
    <w:p w:rsidR="00F129C4" w:rsidRPr="004A4CC1" w:rsidRDefault="00F129C4" w:rsidP="0068554C">
      <w:pPr>
        <w:rPr>
          <w:rFonts w:asciiTheme="minorHAnsi" w:hAnsiTheme="minorHAnsi"/>
        </w:rPr>
      </w:pPr>
      <w:r w:rsidRPr="004A4CC1">
        <w:rPr>
          <w:rFonts w:asciiTheme="minorHAnsi" w:hAnsiTheme="minorHAnsi"/>
        </w:rPr>
        <w:t>8965W</w:t>
      </w:r>
    </w:p>
    <w:p w:rsidR="00F129C4" w:rsidRPr="004A4CC1" w:rsidRDefault="00F129C4" w:rsidP="0068554C">
      <w:pPr>
        <w:rPr>
          <w:rFonts w:asciiTheme="minorHAnsi" w:hAnsiTheme="minorHAnsi"/>
        </w:rPr>
      </w:pPr>
      <w:r w:rsidRPr="004A4CC1">
        <w:rPr>
          <w:rFonts w:asciiTheme="minorHAnsi" w:hAnsiTheme="minorHAnsi"/>
        </w:rPr>
        <w:t>8966X</w:t>
      </w:r>
    </w:p>
    <w:p w:rsidR="00F129C4" w:rsidRPr="004A4CC1" w:rsidRDefault="00F129C4" w:rsidP="0068554C">
      <w:pPr>
        <w:rPr>
          <w:rFonts w:asciiTheme="minorHAnsi" w:hAnsiTheme="minorHAnsi"/>
        </w:rPr>
      </w:pPr>
      <w:r w:rsidRPr="004A4CC1">
        <w:rPr>
          <w:rFonts w:asciiTheme="minorHAnsi" w:hAnsiTheme="minorHAnsi"/>
        </w:rPr>
        <w:t>9099X</w:t>
      </w:r>
    </w:p>
    <w:p w:rsidR="00F129C4" w:rsidRPr="004A4CC1" w:rsidRDefault="00F129C4" w:rsidP="0068554C">
      <w:pPr>
        <w:rPr>
          <w:rFonts w:asciiTheme="minorHAnsi" w:hAnsiTheme="minorHAnsi"/>
        </w:rPr>
      </w:pPr>
      <w:r w:rsidRPr="004A4CC1">
        <w:rPr>
          <w:rFonts w:asciiTheme="minorHAnsi" w:hAnsiTheme="minorHAnsi"/>
        </w:rPr>
        <w:t>9100Y</w:t>
      </w:r>
    </w:p>
    <w:p w:rsidR="00F129C4" w:rsidRPr="004A4CC1" w:rsidRDefault="00F129C4" w:rsidP="0068554C">
      <w:pPr>
        <w:rPr>
          <w:rFonts w:asciiTheme="minorHAnsi" w:hAnsiTheme="minorHAnsi"/>
        </w:rPr>
      </w:pPr>
      <w:r w:rsidRPr="004A4CC1">
        <w:rPr>
          <w:rFonts w:asciiTheme="minorHAnsi" w:hAnsiTheme="minorHAnsi"/>
        </w:rPr>
        <w:t>9101B</w:t>
      </w:r>
    </w:p>
    <w:p w:rsidR="00F129C4" w:rsidRPr="004A4CC1" w:rsidRDefault="00F129C4" w:rsidP="0068554C">
      <w:pPr>
        <w:rPr>
          <w:rFonts w:asciiTheme="minorHAnsi" w:hAnsiTheme="minorHAnsi"/>
        </w:rPr>
      </w:pPr>
      <w:r w:rsidRPr="004A4CC1">
        <w:rPr>
          <w:rFonts w:asciiTheme="minorHAnsi" w:hAnsiTheme="minorHAnsi"/>
        </w:rPr>
        <w:t>9102C</w:t>
      </w:r>
    </w:p>
    <w:p w:rsidR="00F129C4" w:rsidRPr="004A4CC1" w:rsidRDefault="00F129C4" w:rsidP="0068554C">
      <w:pPr>
        <w:rPr>
          <w:rFonts w:asciiTheme="minorHAnsi" w:hAnsiTheme="minorHAnsi"/>
        </w:rPr>
      </w:pPr>
      <w:r w:rsidRPr="004A4CC1">
        <w:rPr>
          <w:rFonts w:asciiTheme="minorHAnsi" w:hAnsiTheme="minorHAnsi"/>
        </w:rPr>
        <w:t>9103D</w:t>
      </w:r>
    </w:p>
    <w:p w:rsidR="00F129C4" w:rsidRPr="004A4CC1" w:rsidRDefault="00F129C4" w:rsidP="0068554C">
      <w:pPr>
        <w:rPr>
          <w:rFonts w:asciiTheme="minorHAnsi" w:hAnsiTheme="minorHAnsi"/>
        </w:rPr>
      </w:pPr>
      <w:r w:rsidRPr="004A4CC1">
        <w:rPr>
          <w:rFonts w:asciiTheme="minorHAnsi" w:hAnsiTheme="minorHAnsi"/>
        </w:rPr>
        <w:t>9104E</w:t>
      </w:r>
    </w:p>
    <w:p w:rsidR="00F129C4" w:rsidRPr="004A4CC1" w:rsidRDefault="00F129C4" w:rsidP="0068554C">
      <w:pPr>
        <w:rPr>
          <w:rFonts w:asciiTheme="minorHAnsi" w:hAnsiTheme="minorHAnsi"/>
        </w:rPr>
      </w:pPr>
      <w:r w:rsidRPr="004A4CC1">
        <w:rPr>
          <w:rFonts w:asciiTheme="minorHAnsi" w:hAnsiTheme="minorHAnsi"/>
        </w:rPr>
        <w:t>9190Q</w:t>
      </w:r>
    </w:p>
    <w:p w:rsidR="00F129C4" w:rsidRPr="004A4CC1" w:rsidRDefault="00F129C4" w:rsidP="0068554C">
      <w:pPr>
        <w:rPr>
          <w:rFonts w:asciiTheme="minorHAnsi" w:hAnsiTheme="minorHAnsi"/>
        </w:rPr>
      </w:pPr>
      <w:r w:rsidRPr="004A4CC1">
        <w:rPr>
          <w:rFonts w:asciiTheme="minorHAnsi" w:hAnsiTheme="minorHAnsi"/>
        </w:rPr>
        <w:t>9191R</w:t>
      </w:r>
    </w:p>
    <w:p w:rsidR="00F129C4" w:rsidRPr="004A4CC1" w:rsidRDefault="00F129C4" w:rsidP="0068554C">
      <w:pPr>
        <w:rPr>
          <w:rFonts w:asciiTheme="minorHAnsi" w:hAnsiTheme="minorHAnsi"/>
        </w:rPr>
      </w:pPr>
      <w:r w:rsidRPr="004A4CC1">
        <w:rPr>
          <w:rFonts w:asciiTheme="minorHAnsi" w:hAnsiTheme="minorHAnsi"/>
        </w:rPr>
        <w:t>9426D</w:t>
      </w:r>
    </w:p>
    <w:p w:rsidR="00F129C4" w:rsidRPr="004A4CC1" w:rsidRDefault="00F129C4" w:rsidP="0068554C">
      <w:pPr>
        <w:rPr>
          <w:rFonts w:asciiTheme="minorHAnsi" w:hAnsiTheme="minorHAnsi"/>
        </w:rPr>
      </w:pPr>
      <w:r w:rsidRPr="004A4CC1">
        <w:rPr>
          <w:rFonts w:asciiTheme="minorHAnsi" w:hAnsiTheme="minorHAnsi"/>
        </w:rPr>
        <w:t>9428F</w:t>
      </w:r>
    </w:p>
    <w:p w:rsidR="00F129C4" w:rsidRPr="004A4CC1" w:rsidRDefault="00F129C4" w:rsidP="0068554C">
      <w:pPr>
        <w:rPr>
          <w:rFonts w:asciiTheme="minorHAnsi" w:hAnsiTheme="minorHAnsi"/>
        </w:rPr>
      </w:pPr>
      <w:r w:rsidRPr="004A4CC1">
        <w:rPr>
          <w:rFonts w:asciiTheme="minorHAnsi" w:hAnsiTheme="minorHAnsi"/>
        </w:rPr>
        <w:t>9663N</w:t>
      </w:r>
    </w:p>
    <w:p w:rsidR="00F129C4" w:rsidRPr="004A4CC1" w:rsidRDefault="00F129C4" w:rsidP="0068554C">
      <w:pPr>
        <w:rPr>
          <w:rFonts w:asciiTheme="minorHAnsi" w:hAnsiTheme="minorHAnsi"/>
        </w:rPr>
      </w:pPr>
      <w:r w:rsidRPr="004A4CC1">
        <w:rPr>
          <w:rFonts w:asciiTheme="minorHAnsi" w:hAnsiTheme="minorHAnsi"/>
        </w:rPr>
        <w:t>9680L</w:t>
      </w:r>
    </w:p>
    <w:p w:rsidR="00F129C4" w:rsidRPr="004A4CC1" w:rsidRDefault="00F129C4" w:rsidP="0068554C">
      <w:pPr>
        <w:rPr>
          <w:rFonts w:asciiTheme="minorHAnsi" w:hAnsiTheme="minorHAnsi"/>
        </w:rPr>
      </w:pPr>
    </w:p>
    <w:p w:rsidR="006A4D2D" w:rsidRPr="006A4D2D" w:rsidRDefault="006A4D2D" w:rsidP="006A4D2D">
      <w:pPr>
        <w:pStyle w:val="PBACHeading1"/>
        <w:rPr>
          <w:rFonts w:asciiTheme="minorHAnsi" w:hAnsiTheme="minorHAnsi"/>
          <w:sz w:val="32"/>
          <w:szCs w:val="32"/>
        </w:rPr>
      </w:pPr>
      <w:r w:rsidRPr="006C2DAA">
        <w:rPr>
          <w:rFonts w:asciiTheme="minorHAnsi" w:hAnsiTheme="minorHAnsi"/>
          <w:sz w:val="32"/>
          <w:szCs w:val="32"/>
        </w:rPr>
        <w:t>Context for Decision</w:t>
      </w:r>
    </w:p>
    <w:p w:rsidR="006A4D2D" w:rsidRPr="00440A84" w:rsidRDefault="006A4D2D" w:rsidP="006A4D2D">
      <w:pPr>
        <w:ind w:left="426"/>
        <w:jc w:val="both"/>
        <w:rPr>
          <w:rFonts w:asciiTheme="minorHAnsi" w:hAnsiTheme="minorHAnsi" w:cs="Arial"/>
        </w:rPr>
      </w:pPr>
    </w:p>
    <w:p w:rsidR="006A4D2D" w:rsidRPr="00440A84" w:rsidRDefault="006A4D2D" w:rsidP="006A4D2D">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A4D2D" w:rsidRPr="00440A84" w:rsidRDefault="006A4D2D" w:rsidP="006A4D2D">
      <w:pPr>
        <w:ind w:left="426"/>
        <w:jc w:val="both"/>
        <w:rPr>
          <w:rFonts w:asciiTheme="minorHAnsi" w:hAnsiTheme="minorHAnsi" w:cs="Arial"/>
        </w:rPr>
      </w:pPr>
    </w:p>
    <w:p w:rsidR="006A4D2D" w:rsidRPr="006A4D2D" w:rsidRDefault="006A4D2D" w:rsidP="006A4D2D">
      <w:pPr>
        <w:pStyle w:val="PBACHeading1"/>
        <w:rPr>
          <w:rFonts w:asciiTheme="minorHAnsi" w:hAnsiTheme="minorHAnsi"/>
          <w:sz w:val="32"/>
          <w:szCs w:val="32"/>
        </w:rPr>
      </w:pPr>
      <w:r w:rsidRPr="006C2DAA">
        <w:rPr>
          <w:rFonts w:asciiTheme="minorHAnsi" w:hAnsiTheme="minorHAnsi"/>
          <w:sz w:val="32"/>
          <w:szCs w:val="32"/>
        </w:rPr>
        <w:t>Sponsor’s Comment</w:t>
      </w:r>
    </w:p>
    <w:p w:rsidR="006A4D2D" w:rsidRPr="00440A84" w:rsidRDefault="006A4D2D" w:rsidP="006A4D2D">
      <w:pPr>
        <w:ind w:left="426"/>
        <w:jc w:val="both"/>
        <w:rPr>
          <w:rFonts w:asciiTheme="minorHAnsi" w:hAnsiTheme="minorHAnsi" w:cs="Arial"/>
          <w:bCs/>
          <w:highlight w:val="yellow"/>
          <w:lang w:val="en-GB"/>
        </w:rPr>
      </w:pPr>
    </w:p>
    <w:p w:rsidR="00BD2755" w:rsidRDefault="006A4D2D" w:rsidP="006A4D2D">
      <w:pPr>
        <w:spacing w:after="120"/>
        <w:jc w:val="both"/>
        <w:rPr>
          <w:rFonts w:asciiTheme="minorHAnsi" w:hAnsiTheme="minorHAnsi" w:cs="Arial"/>
          <w:bCs/>
        </w:rPr>
      </w:pPr>
      <w:r w:rsidRPr="00440A84">
        <w:rPr>
          <w:rFonts w:asciiTheme="minorHAnsi" w:hAnsiTheme="minorHAnsi" w:cs="Arial"/>
          <w:bCs/>
        </w:rPr>
        <w:t>The sponsor had no comment.</w:t>
      </w:r>
    </w:p>
    <w:p w:rsidR="006A4D2D" w:rsidRPr="00BD2755" w:rsidRDefault="00BD2755" w:rsidP="00BD2755">
      <w:r>
        <w:br w:type="page"/>
      </w:r>
    </w:p>
    <w:p w:rsidR="00BD2755" w:rsidRPr="00955873" w:rsidRDefault="00BD2755" w:rsidP="00BD2755">
      <w:pPr>
        <w:outlineLvl w:val="0"/>
        <w:rPr>
          <w:rFonts w:asciiTheme="minorHAnsi" w:hAnsiTheme="minorHAnsi"/>
          <w:b/>
          <w:color w:val="FF0000"/>
          <w:sz w:val="28"/>
          <w:szCs w:val="28"/>
        </w:rPr>
      </w:pPr>
      <w:r w:rsidRPr="00955873">
        <w:rPr>
          <w:rFonts w:asciiTheme="minorHAnsi" w:hAnsiTheme="minorHAnsi"/>
          <w:b/>
          <w:color w:val="FF0000"/>
          <w:sz w:val="28"/>
          <w:szCs w:val="28"/>
        </w:rPr>
        <w:lastRenderedPageBreak/>
        <w:t xml:space="preserve">Addendum to the </w:t>
      </w:r>
      <w:r>
        <w:rPr>
          <w:rFonts w:asciiTheme="minorHAnsi" w:hAnsiTheme="minorHAnsi"/>
          <w:b/>
          <w:color w:val="FF0000"/>
          <w:sz w:val="28"/>
          <w:szCs w:val="28"/>
        </w:rPr>
        <w:t>July</w:t>
      </w:r>
      <w:r w:rsidRPr="00955873">
        <w:rPr>
          <w:rFonts w:asciiTheme="minorHAnsi" w:hAnsiTheme="minorHAnsi"/>
          <w:b/>
          <w:color w:val="FF0000"/>
          <w:sz w:val="28"/>
          <w:szCs w:val="28"/>
        </w:rPr>
        <w:t xml:space="preserve"> 2017 PBAC Minutes:</w:t>
      </w:r>
    </w:p>
    <w:p w:rsidR="00BD2755" w:rsidRDefault="00BD2755" w:rsidP="00BD2755">
      <w:pPr>
        <w:rPr>
          <w:rFonts w:asciiTheme="minorHAnsi" w:hAnsiTheme="minorHAnsi"/>
        </w:rPr>
      </w:pPr>
    </w:p>
    <w:p w:rsidR="00BD2755" w:rsidRPr="00415B33" w:rsidRDefault="00BD2755" w:rsidP="00415B33">
      <w:pPr>
        <w:pStyle w:val="Title"/>
        <w:ind w:left="720" w:hanging="862"/>
        <w:rPr>
          <w:rFonts w:asciiTheme="minorHAnsi" w:hAnsiTheme="minorHAnsi"/>
          <w:sz w:val="36"/>
          <w:szCs w:val="36"/>
        </w:rPr>
      </w:pPr>
      <w:r>
        <w:rPr>
          <w:rFonts w:asciiTheme="minorHAnsi" w:hAnsiTheme="minorHAnsi"/>
          <w:sz w:val="36"/>
          <w:szCs w:val="36"/>
        </w:rPr>
        <w:t>12</w:t>
      </w:r>
      <w:r w:rsidRPr="00176338">
        <w:rPr>
          <w:rFonts w:asciiTheme="minorHAnsi" w:hAnsiTheme="minorHAnsi"/>
          <w:sz w:val="36"/>
          <w:szCs w:val="36"/>
        </w:rPr>
        <w:t>.</w:t>
      </w:r>
      <w:r>
        <w:rPr>
          <w:rFonts w:asciiTheme="minorHAnsi" w:hAnsiTheme="minorHAnsi"/>
          <w:sz w:val="36"/>
          <w:szCs w:val="36"/>
        </w:rPr>
        <w:t>14</w:t>
      </w:r>
      <w:r w:rsidRPr="00176338">
        <w:rPr>
          <w:rFonts w:asciiTheme="minorHAnsi" w:hAnsiTheme="minorHAnsi"/>
          <w:sz w:val="36"/>
          <w:szCs w:val="36"/>
        </w:rPr>
        <w:tab/>
      </w:r>
      <w:r>
        <w:rPr>
          <w:rFonts w:asciiTheme="minorHAnsi" w:hAnsiTheme="minorHAnsi"/>
          <w:sz w:val="36"/>
          <w:szCs w:val="36"/>
        </w:rPr>
        <w:t xml:space="preserve"> </w:t>
      </w:r>
      <w:r w:rsidRPr="00176338">
        <w:rPr>
          <w:rFonts w:asciiTheme="minorHAnsi" w:hAnsiTheme="minorHAnsi"/>
          <w:sz w:val="36"/>
          <w:szCs w:val="36"/>
        </w:rPr>
        <w:t xml:space="preserve">ADALIMUMAB </w:t>
      </w:r>
      <w:r w:rsidRPr="00176338">
        <w:rPr>
          <w:rFonts w:asciiTheme="minorHAnsi" w:hAnsiTheme="minorHAnsi"/>
          <w:sz w:val="36"/>
          <w:szCs w:val="36"/>
        </w:rPr>
        <w:br/>
      </w:r>
      <w:r>
        <w:rPr>
          <w:rFonts w:asciiTheme="minorHAnsi" w:hAnsiTheme="minorHAnsi"/>
          <w:sz w:val="36"/>
          <w:szCs w:val="36"/>
        </w:rPr>
        <w:t xml:space="preserve"> </w:t>
      </w:r>
      <w:r w:rsidRPr="00176338">
        <w:rPr>
          <w:rFonts w:asciiTheme="minorHAnsi" w:hAnsiTheme="minorHAnsi"/>
          <w:sz w:val="36"/>
          <w:szCs w:val="36"/>
        </w:rPr>
        <w:t xml:space="preserve">Injection 40 mg in 0.8 mL vial, </w:t>
      </w:r>
      <w:r w:rsidRPr="00176338">
        <w:rPr>
          <w:rFonts w:asciiTheme="minorHAnsi" w:hAnsiTheme="minorHAnsi"/>
          <w:sz w:val="36"/>
          <w:szCs w:val="36"/>
        </w:rPr>
        <w:br/>
      </w:r>
      <w:r>
        <w:rPr>
          <w:rFonts w:asciiTheme="minorHAnsi" w:hAnsiTheme="minorHAnsi"/>
          <w:sz w:val="36"/>
          <w:szCs w:val="36"/>
        </w:rPr>
        <w:t xml:space="preserve"> </w:t>
      </w:r>
      <w:r w:rsidRPr="00176338">
        <w:rPr>
          <w:rFonts w:asciiTheme="minorHAnsi" w:hAnsiTheme="minorHAnsi"/>
          <w:sz w:val="36"/>
          <w:szCs w:val="36"/>
        </w:rPr>
        <w:t>Humira</w:t>
      </w:r>
      <w:r w:rsidRPr="00176338">
        <w:rPr>
          <w:rFonts w:asciiTheme="minorHAnsi" w:hAnsiTheme="minorHAnsi"/>
          <w:sz w:val="36"/>
          <w:szCs w:val="36"/>
          <w:vertAlign w:val="superscript"/>
        </w:rPr>
        <w:t>®</w:t>
      </w:r>
      <w:r w:rsidRPr="00176338">
        <w:rPr>
          <w:rFonts w:asciiTheme="minorHAnsi" w:hAnsiTheme="minorHAnsi"/>
          <w:sz w:val="36"/>
          <w:szCs w:val="36"/>
        </w:rPr>
        <w:t>, AbbVie Pty Ltd</w:t>
      </w:r>
    </w:p>
    <w:p w:rsidR="00BD2755" w:rsidRPr="00415B33" w:rsidRDefault="00BD2755" w:rsidP="00415B33">
      <w:pPr>
        <w:pStyle w:val="PBACHeading1"/>
        <w:spacing w:before="120" w:after="160"/>
        <w:rPr>
          <w:rFonts w:asciiTheme="minorHAnsi" w:hAnsiTheme="minorHAnsi"/>
          <w:sz w:val="32"/>
          <w:szCs w:val="32"/>
        </w:rPr>
      </w:pPr>
      <w:bookmarkStart w:id="0" w:name="_GoBack"/>
      <w:bookmarkEnd w:id="0"/>
      <w:r w:rsidRPr="00415B33">
        <w:rPr>
          <w:rFonts w:asciiTheme="minorHAnsi" w:hAnsiTheme="minorHAnsi"/>
          <w:sz w:val="32"/>
          <w:szCs w:val="32"/>
        </w:rPr>
        <w:t>Purpose of Reconsideration</w:t>
      </w:r>
    </w:p>
    <w:p w:rsidR="00BD2755" w:rsidRPr="002C0CF2" w:rsidRDefault="00BD2755" w:rsidP="00BD2755">
      <w:pPr>
        <w:pStyle w:val="ListParagraph"/>
        <w:numPr>
          <w:ilvl w:val="1"/>
          <w:numId w:val="5"/>
        </w:numPr>
        <w:rPr>
          <w:rFonts w:asciiTheme="minorHAnsi" w:hAnsiTheme="minorHAnsi"/>
          <w:sz w:val="24"/>
          <w:szCs w:val="24"/>
        </w:rPr>
      </w:pPr>
      <w:r>
        <w:rPr>
          <w:rFonts w:asciiTheme="minorHAnsi" w:hAnsiTheme="minorHAnsi"/>
          <w:sz w:val="24"/>
          <w:szCs w:val="24"/>
        </w:rPr>
        <w:t xml:space="preserve">In its consideration of an additional form of another biological disease modifying anti-rheumatic drug (bDMARD), tocilizumab, at the July 2018 PBAC meeting, the PBAC discussed substitution at the pharmacy level of different injection devices of the same drug(s). Concern was raised regarding different administration techniques between devices and risks of improper administration if patients were not appropriately trained in the use of the device (item 5.26, tocilizumab July 2018 </w:t>
      </w:r>
      <w:r w:rsidR="00E60D2A">
        <w:rPr>
          <w:rFonts w:asciiTheme="minorHAnsi" w:hAnsiTheme="minorHAnsi"/>
          <w:sz w:val="24"/>
          <w:szCs w:val="24"/>
        </w:rPr>
        <w:t>Public Summary Document</w:t>
      </w:r>
      <w:r>
        <w:rPr>
          <w:rFonts w:asciiTheme="minorHAnsi" w:hAnsiTheme="minorHAnsi"/>
          <w:sz w:val="24"/>
          <w:szCs w:val="24"/>
        </w:rPr>
        <w:t xml:space="preserve"> refers). The PBAC considered the pre-filled syringe and auto-injector forms of the tocilizumab should not be considered equivalent for the purposes of substitution (i.e., ‘a’ flagged in the Schedule).</w:t>
      </w:r>
    </w:p>
    <w:p w:rsidR="00BD2755" w:rsidRDefault="00BD2755" w:rsidP="00BD2755">
      <w:pPr>
        <w:pStyle w:val="PBACHeading1"/>
        <w:spacing w:before="120" w:after="160"/>
        <w:rPr>
          <w:rFonts w:asciiTheme="minorHAnsi" w:hAnsiTheme="minorHAnsi"/>
          <w:sz w:val="32"/>
          <w:szCs w:val="32"/>
        </w:rPr>
      </w:pPr>
      <w:r w:rsidRPr="00955873">
        <w:rPr>
          <w:rFonts w:asciiTheme="minorHAnsi" w:hAnsiTheme="minorHAnsi"/>
          <w:sz w:val="32"/>
          <w:szCs w:val="32"/>
        </w:rPr>
        <w:t>PBAC Outcome</w:t>
      </w:r>
    </w:p>
    <w:p w:rsidR="00415B33" w:rsidRPr="00B46248" w:rsidRDefault="00BD2755" w:rsidP="00EC1812">
      <w:pPr>
        <w:pStyle w:val="ListParagraph"/>
        <w:numPr>
          <w:ilvl w:val="1"/>
          <w:numId w:val="5"/>
        </w:numPr>
        <w:rPr>
          <w:rFonts w:asciiTheme="minorHAnsi" w:hAnsiTheme="minorHAnsi"/>
          <w:sz w:val="24"/>
          <w:szCs w:val="24"/>
        </w:rPr>
      </w:pPr>
      <w:r>
        <w:rPr>
          <w:rFonts w:asciiTheme="minorHAnsi" w:hAnsiTheme="minorHAnsi"/>
          <w:sz w:val="24"/>
          <w:szCs w:val="24"/>
        </w:rPr>
        <w:t xml:space="preserve">In advising that the two different self-administered injectable forms of tocilizumab should not be considered equivalent for the purposes of substitution (‘a’ flagged), the PBAC considered it was appropriate to rescind its July 2017 advice on brand equivalence for the vial, pre-filled syringe and auto-injector forms of adalimumab.  </w:t>
      </w:r>
    </w:p>
    <w:p w:rsidR="00415B33" w:rsidRPr="00415B33" w:rsidRDefault="00415B33" w:rsidP="00415B33">
      <w:pPr>
        <w:pStyle w:val="PBACHeading1"/>
        <w:spacing w:before="120" w:after="160"/>
        <w:rPr>
          <w:rFonts w:asciiTheme="minorHAnsi" w:hAnsiTheme="minorHAnsi"/>
          <w:sz w:val="32"/>
          <w:szCs w:val="32"/>
        </w:rPr>
      </w:pPr>
      <w:r w:rsidRPr="00415B33">
        <w:rPr>
          <w:rFonts w:asciiTheme="minorHAnsi" w:hAnsiTheme="minorHAnsi"/>
          <w:sz w:val="32"/>
          <w:szCs w:val="32"/>
        </w:rPr>
        <w:t xml:space="preserve">Context for Decision </w:t>
      </w:r>
    </w:p>
    <w:p w:rsidR="00415B33" w:rsidRPr="00174A35" w:rsidRDefault="00415B33" w:rsidP="00174A35">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15B33" w:rsidRDefault="00415B33" w:rsidP="00415B33">
      <w:pPr>
        <w:pStyle w:val="PBACHeading1"/>
        <w:spacing w:before="120" w:after="160"/>
        <w:rPr>
          <w:rFonts w:asciiTheme="minorHAnsi" w:hAnsiTheme="minorHAnsi"/>
          <w:sz w:val="32"/>
          <w:szCs w:val="32"/>
        </w:rPr>
      </w:pPr>
      <w:r w:rsidRPr="00415B33">
        <w:rPr>
          <w:rFonts w:asciiTheme="minorHAnsi" w:hAnsiTheme="minorHAnsi"/>
          <w:sz w:val="32"/>
          <w:szCs w:val="32"/>
        </w:rPr>
        <w:t xml:space="preserve">Sponsor’s Comment </w:t>
      </w:r>
    </w:p>
    <w:p w:rsidR="00415B33" w:rsidRPr="00C07617" w:rsidRDefault="00415B33" w:rsidP="00415B33">
      <w:pPr>
        <w:spacing w:after="120"/>
        <w:jc w:val="both"/>
        <w:rPr>
          <w:rFonts w:asciiTheme="minorHAnsi" w:hAnsiTheme="minorHAnsi" w:cs="Arial"/>
          <w:bCs/>
        </w:rPr>
      </w:pPr>
      <w:r w:rsidRPr="00C07617">
        <w:rPr>
          <w:rFonts w:asciiTheme="minorHAnsi" w:hAnsiTheme="minorHAnsi" w:cs="Arial"/>
          <w:bCs/>
        </w:rPr>
        <w:t>The sponsor had no comment.</w:t>
      </w:r>
    </w:p>
    <w:p w:rsidR="00F64CC1" w:rsidRPr="00415B33" w:rsidRDefault="00F64CC1" w:rsidP="00415B33">
      <w:pPr>
        <w:rPr>
          <w:lang w:eastAsia="en-US"/>
        </w:rPr>
      </w:pPr>
    </w:p>
    <w:sectPr w:rsidR="00F64CC1" w:rsidRPr="00415B3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7E" w:rsidRDefault="00693A7E">
      <w:r>
        <w:separator/>
      </w:r>
    </w:p>
    <w:p w:rsidR="00693A7E" w:rsidRDefault="00693A7E"/>
  </w:endnote>
  <w:endnote w:type="continuationSeparator" w:id="0">
    <w:p w:rsidR="00693A7E" w:rsidRDefault="00693A7E">
      <w:r>
        <w:continuationSeparator/>
      </w:r>
    </w:p>
    <w:p w:rsidR="00693A7E" w:rsidRDefault="0069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24D0A" w:rsidTr="005A3173">
      <w:trPr>
        <w:trHeight w:val="151"/>
      </w:trPr>
      <w:tc>
        <w:tcPr>
          <w:tcW w:w="2250" w:type="pct"/>
          <w:tcBorders>
            <w:top w:val="nil"/>
            <w:left w:val="nil"/>
            <w:bottom w:val="single" w:sz="4" w:space="0" w:color="4F81BD"/>
            <w:right w:val="nil"/>
          </w:tcBorders>
        </w:tcPr>
        <w:p w:rsidR="00424D0A" w:rsidRPr="005A3173" w:rsidRDefault="00424D0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24D0A" w:rsidRPr="005A3173" w:rsidRDefault="00424D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24D0A" w:rsidRPr="005A3173" w:rsidRDefault="00424D0A" w:rsidP="005A3173">
          <w:pPr>
            <w:pStyle w:val="Header"/>
            <w:spacing w:line="276" w:lineRule="auto"/>
            <w:rPr>
              <w:rFonts w:ascii="Calibri" w:eastAsia="MS Gothic" w:hAnsi="Calibri"/>
              <w:b/>
              <w:bCs/>
              <w:color w:val="4F81BD"/>
            </w:rPr>
          </w:pPr>
        </w:p>
      </w:tc>
    </w:tr>
    <w:tr w:rsidR="00424D0A" w:rsidTr="005A3173">
      <w:trPr>
        <w:trHeight w:val="150"/>
      </w:trPr>
      <w:tc>
        <w:tcPr>
          <w:tcW w:w="2250" w:type="pct"/>
          <w:tcBorders>
            <w:top w:val="single" w:sz="4" w:space="0" w:color="4F81BD"/>
            <w:left w:val="nil"/>
            <w:bottom w:val="nil"/>
            <w:right w:val="nil"/>
          </w:tcBorders>
        </w:tcPr>
        <w:p w:rsidR="00424D0A" w:rsidRPr="005A3173" w:rsidRDefault="00424D0A" w:rsidP="005A3173">
          <w:pPr>
            <w:pStyle w:val="Header"/>
            <w:spacing w:line="276" w:lineRule="auto"/>
            <w:rPr>
              <w:rFonts w:ascii="Calibri" w:eastAsia="MS Gothic" w:hAnsi="Calibri"/>
              <w:b/>
              <w:bCs/>
              <w:color w:val="4F81BD"/>
            </w:rPr>
          </w:pPr>
        </w:p>
      </w:tc>
      <w:tc>
        <w:tcPr>
          <w:tcW w:w="0" w:type="auto"/>
          <w:vMerge/>
          <w:vAlign w:val="center"/>
          <w:hideMark/>
        </w:tcPr>
        <w:p w:rsidR="00424D0A" w:rsidRPr="005A3173" w:rsidRDefault="00424D0A" w:rsidP="005A3173">
          <w:pPr>
            <w:rPr>
              <w:rFonts w:ascii="Calibri" w:hAnsi="Calibri"/>
              <w:color w:val="365F91"/>
              <w:sz w:val="22"/>
              <w:szCs w:val="22"/>
            </w:rPr>
          </w:pPr>
        </w:p>
      </w:tc>
      <w:tc>
        <w:tcPr>
          <w:tcW w:w="2250" w:type="pct"/>
          <w:tcBorders>
            <w:top w:val="single" w:sz="4" w:space="0" w:color="4F81BD"/>
            <w:left w:val="nil"/>
            <w:bottom w:val="nil"/>
            <w:right w:val="nil"/>
          </w:tcBorders>
        </w:tcPr>
        <w:p w:rsidR="00424D0A" w:rsidRPr="005A3173" w:rsidRDefault="00424D0A" w:rsidP="005A3173">
          <w:pPr>
            <w:pStyle w:val="Header"/>
            <w:spacing w:line="276" w:lineRule="auto"/>
            <w:rPr>
              <w:rFonts w:ascii="Calibri" w:eastAsia="MS Gothic" w:hAnsi="Calibri"/>
              <w:b/>
              <w:bCs/>
              <w:color w:val="4F81BD"/>
            </w:rPr>
          </w:pPr>
        </w:p>
      </w:tc>
    </w:tr>
  </w:tbl>
  <w:p w:rsidR="00424D0A" w:rsidRDefault="00424D0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D0A" w:rsidRDefault="00424D0A">
    <w:pPr>
      <w:pStyle w:val="Footer"/>
    </w:pPr>
  </w:p>
  <w:p w:rsidR="00424D0A" w:rsidRDefault="00424D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220304"/>
      <w:docPartObj>
        <w:docPartGallery w:val="Page Numbers (Bottom of Page)"/>
        <w:docPartUnique/>
      </w:docPartObj>
    </w:sdtPr>
    <w:sdtEndPr>
      <w:rPr>
        <w:noProof/>
      </w:rPr>
    </w:sdtEndPr>
    <w:sdtContent>
      <w:p w:rsidR="0068554C" w:rsidRDefault="0068554C">
        <w:pPr>
          <w:pStyle w:val="Footer"/>
          <w:jc w:val="center"/>
        </w:pPr>
      </w:p>
      <w:p w:rsidR="0068554C" w:rsidRDefault="0068554C">
        <w:pPr>
          <w:pStyle w:val="Footer"/>
          <w:jc w:val="center"/>
        </w:pPr>
        <w:r w:rsidRPr="0068554C">
          <w:rPr>
            <w:rFonts w:asciiTheme="minorHAnsi" w:hAnsiTheme="minorHAnsi"/>
          </w:rPr>
          <w:fldChar w:fldCharType="begin"/>
        </w:r>
        <w:r w:rsidRPr="0068554C">
          <w:rPr>
            <w:rFonts w:asciiTheme="minorHAnsi" w:hAnsiTheme="minorHAnsi"/>
          </w:rPr>
          <w:instrText xml:space="preserve"> PAGE   \* MERGEFORMAT </w:instrText>
        </w:r>
        <w:r w:rsidRPr="0068554C">
          <w:rPr>
            <w:rFonts w:asciiTheme="minorHAnsi" w:hAnsiTheme="minorHAnsi"/>
          </w:rPr>
          <w:fldChar w:fldCharType="separate"/>
        </w:r>
        <w:r w:rsidR="00514489">
          <w:rPr>
            <w:rFonts w:asciiTheme="minorHAnsi" w:hAnsiTheme="minorHAnsi"/>
            <w:noProof/>
          </w:rPr>
          <w:t>1</w:t>
        </w:r>
        <w:r w:rsidRPr="0068554C">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24D0A" w:rsidTr="005A3173">
      <w:trPr>
        <w:trHeight w:val="151"/>
      </w:trPr>
      <w:tc>
        <w:tcPr>
          <w:tcW w:w="2250" w:type="pct"/>
          <w:tcBorders>
            <w:top w:val="nil"/>
            <w:left w:val="nil"/>
            <w:bottom w:val="single" w:sz="4" w:space="0" w:color="4F81BD"/>
            <w:right w:val="nil"/>
          </w:tcBorders>
        </w:tcPr>
        <w:p w:rsidR="00424D0A" w:rsidRPr="005A3173" w:rsidRDefault="00424D0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24D0A" w:rsidRPr="005A3173" w:rsidRDefault="00424D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24D0A" w:rsidRPr="005A3173" w:rsidRDefault="00424D0A" w:rsidP="005A3173">
          <w:pPr>
            <w:pStyle w:val="Header"/>
            <w:spacing w:line="276" w:lineRule="auto"/>
            <w:rPr>
              <w:rFonts w:ascii="Calibri" w:eastAsia="MS Gothic" w:hAnsi="Calibri"/>
              <w:b/>
              <w:bCs/>
              <w:color w:val="4F81BD"/>
            </w:rPr>
          </w:pPr>
        </w:p>
      </w:tc>
    </w:tr>
    <w:tr w:rsidR="00424D0A" w:rsidTr="005A3173">
      <w:trPr>
        <w:trHeight w:val="150"/>
      </w:trPr>
      <w:tc>
        <w:tcPr>
          <w:tcW w:w="2250" w:type="pct"/>
          <w:tcBorders>
            <w:top w:val="single" w:sz="4" w:space="0" w:color="4F81BD"/>
            <w:left w:val="nil"/>
            <w:bottom w:val="nil"/>
            <w:right w:val="nil"/>
          </w:tcBorders>
        </w:tcPr>
        <w:p w:rsidR="00424D0A" w:rsidRPr="005A3173" w:rsidRDefault="00424D0A" w:rsidP="005A3173">
          <w:pPr>
            <w:pStyle w:val="Header"/>
            <w:spacing w:line="276" w:lineRule="auto"/>
            <w:rPr>
              <w:rFonts w:ascii="Calibri" w:eastAsia="MS Gothic" w:hAnsi="Calibri"/>
              <w:b/>
              <w:bCs/>
              <w:color w:val="4F81BD"/>
            </w:rPr>
          </w:pPr>
        </w:p>
      </w:tc>
      <w:tc>
        <w:tcPr>
          <w:tcW w:w="0" w:type="auto"/>
          <w:vMerge/>
          <w:vAlign w:val="center"/>
          <w:hideMark/>
        </w:tcPr>
        <w:p w:rsidR="00424D0A" w:rsidRPr="005A3173" w:rsidRDefault="00424D0A" w:rsidP="005A3173">
          <w:pPr>
            <w:rPr>
              <w:rFonts w:ascii="Calibri" w:hAnsi="Calibri"/>
              <w:color w:val="365F91"/>
              <w:sz w:val="22"/>
              <w:szCs w:val="22"/>
            </w:rPr>
          </w:pPr>
        </w:p>
      </w:tc>
      <w:tc>
        <w:tcPr>
          <w:tcW w:w="2250" w:type="pct"/>
          <w:tcBorders>
            <w:top w:val="single" w:sz="4" w:space="0" w:color="4F81BD"/>
            <w:left w:val="nil"/>
            <w:bottom w:val="nil"/>
            <w:right w:val="nil"/>
          </w:tcBorders>
        </w:tcPr>
        <w:p w:rsidR="00424D0A" w:rsidRPr="005A3173" w:rsidRDefault="00424D0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24D0A" w:rsidTr="005A3173">
      <w:trPr>
        <w:trHeight w:val="151"/>
      </w:trPr>
      <w:tc>
        <w:tcPr>
          <w:tcW w:w="2250" w:type="pct"/>
          <w:tcBorders>
            <w:top w:val="nil"/>
            <w:left w:val="nil"/>
            <w:bottom w:val="single" w:sz="4" w:space="0" w:color="4F81BD"/>
            <w:right w:val="nil"/>
          </w:tcBorders>
        </w:tcPr>
        <w:p w:rsidR="00424D0A" w:rsidRPr="005A3173" w:rsidRDefault="00424D0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24D0A" w:rsidRPr="005A3173" w:rsidRDefault="00424D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24D0A" w:rsidRPr="005A3173" w:rsidRDefault="00424D0A" w:rsidP="005A3173">
          <w:pPr>
            <w:pStyle w:val="Header"/>
            <w:spacing w:line="276" w:lineRule="auto"/>
            <w:rPr>
              <w:rFonts w:ascii="Calibri" w:eastAsia="MS Gothic" w:hAnsi="Calibri"/>
              <w:b/>
              <w:bCs/>
              <w:color w:val="4F81BD"/>
            </w:rPr>
          </w:pPr>
        </w:p>
      </w:tc>
    </w:tr>
    <w:tr w:rsidR="00424D0A" w:rsidTr="005A3173">
      <w:trPr>
        <w:trHeight w:val="150"/>
      </w:trPr>
      <w:tc>
        <w:tcPr>
          <w:tcW w:w="2250" w:type="pct"/>
          <w:tcBorders>
            <w:top w:val="single" w:sz="4" w:space="0" w:color="4F81BD"/>
            <w:left w:val="nil"/>
            <w:bottom w:val="nil"/>
            <w:right w:val="nil"/>
          </w:tcBorders>
        </w:tcPr>
        <w:p w:rsidR="00424D0A" w:rsidRPr="005A3173" w:rsidRDefault="00424D0A" w:rsidP="005A3173">
          <w:pPr>
            <w:pStyle w:val="Header"/>
            <w:spacing w:line="276" w:lineRule="auto"/>
            <w:rPr>
              <w:rFonts w:ascii="Calibri" w:eastAsia="MS Gothic" w:hAnsi="Calibri"/>
              <w:b/>
              <w:bCs/>
              <w:color w:val="4F81BD"/>
            </w:rPr>
          </w:pPr>
        </w:p>
      </w:tc>
      <w:tc>
        <w:tcPr>
          <w:tcW w:w="0" w:type="auto"/>
          <w:vMerge/>
          <w:vAlign w:val="center"/>
          <w:hideMark/>
        </w:tcPr>
        <w:p w:rsidR="00424D0A" w:rsidRPr="005A3173" w:rsidRDefault="00424D0A" w:rsidP="005A3173">
          <w:pPr>
            <w:rPr>
              <w:rFonts w:ascii="Calibri" w:hAnsi="Calibri"/>
              <w:color w:val="365F91"/>
              <w:sz w:val="22"/>
              <w:szCs w:val="22"/>
            </w:rPr>
          </w:pPr>
        </w:p>
      </w:tc>
      <w:tc>
        <w:tcPr>
          <w:tcW w:w="2250" w:type="pct"/>
          <w:tcBorders>
            <w:top w:val="single" w:sz="4" w:space="0" w:color="4F81BD"/>
            <w:left w:val="nil"/>
            <w:bottom w:val="nil"/>
            <w:right w:val="nil"/>
          </w:tcBorders>
        </w:tcPr>
        <w:p w:rsidR="00424D0A" w:rsidRPr="005A3173" w:rsidRDefault="00424D0A" w:rsidP="005A3173">
          <w:pPr>
            <w:pStyle w:val="Header"/>
            <w:spacing w:line="276" w:lineRule="auto"/>
            <w:rPr>
              <w:rFonts w:ascii="Calibri" w:eastAsia="MS Gothic" w:hAnsi="Calibri"/>
              <w:b/>
              <w:bCs/>
              <w:color w:val="4F81BD"/>
            </w:rPr>
          </w:pPr>
        </w:p>
      </w:tc>
    </w:tr>
  </w:tbl>
  <w:p w:rsidR="00424D0A" w:rsidRPr="007C0F57" w:rsidRDefault="00424D0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24D0A" w:rsidRPr="007C0F57" w:rsidRDefault="00424D0A" w:rsidP="007C0F57">
    <w:pPr>
      <w:pStyle w:val="Footer"/>
      <w:jc w:val="center"/>
      <w:rPr>
        <w:b/>
        <w:i/>
        <w:sz w:val="20"/>
        <w:szCs w:val="20"/>
      </w:rPr>
    </w:pPr>
    <w:r w:rsidRPr="007C0F57">
      <w:rPr>
        <w:b/>
        <w:i/>
        <w:sz w:val="20"/>
        <w:szCs w:val="20"/>
      </w:rPr>
      <w:t>Commercial-in-Confidence</w:t>
    </w:r>
  </w:p>
  <w:p w:rsidR="00424D0A" w:rsidRDefault="00424D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7E" w:rsidRDefault="00693A7E">
      <w:r>
        <w:separator/>
      </w:r>
    </w:p>
    <w:p w:rsidR="00693A7E" w:rsidRDefault="00693A7E"/>
  </w:footnote>
  <w:footnote w:type="continuationSeparator" w:id="0">
    <w:p w:rsidR="00693A7E" w:rsidRDefault="00693A7E">
      <w:r>
        <w:continuationSeparator/>
      </w:r>
    </w:p>
    <w:p w:rsidR="00693A7E" w:rsidRDefault="00693A7E"/>
  </w:footnote>
  <w:footnote w:id="1">
    <w:p w:rsidR="001F1D4F" w:rsidRPr="004A4CC1" w:rsidRDefault="001F1D4F">
      <w:pPr>
        <w:pStyle w:val="FootnoteText"/>
        <w:rPr>
          <w:rFonts w:asciiTheme="minorHAnsi" w:hAnsiTheme="minorHAnsi"/>
        </w:rPr>
      </w:pPr>
      <w:r w:rsidRPr="004A4CC1">
        <w:rPr>
          <w:rStyle w:val="FootnoteReference"/>
          <w:rFonts w:asciiTheme="minorHAnsi" w:hAnsiTheme="minorHAnsi"/>
          <w:sz w:val="18"/>
        </w:rPr>
        <w:footnoteRef/>
      </w:r>
      <w:r w:rsidRPr="004A4CC1">
        <w:rPr>
          <w:rFonts w:asciiTheme="minorHAnsi" w:hAnsiTheme="minorHAnsi"/>
          <w:sz w:val="18"/>
        </w:rPr>
        <w:t xml:space="preserve"> http://www.pbs.gov.au/info/statistics/pbs-expenditure-prescriptions-30-june-2016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24D0A" w:rsidRPr="008E0D90" w:rsidTr="00A06225">
      <w:trPr>
        <w:trHeight w:val="151"/>
      </w:trPr>
      <w:tc>
        <w:tcPr>
          <w:tcW w:w="2389" w:type="pct"/>
          <w:tcBorders>
            <w:top w:val="nil"/>
            <w:left w:val="nil"/>
            <w:bottom w:val="single" w:sz="4" w:space="0" w:color="4F81BD"/>
            <w:right w:val="nil"/>
          </w:tcBorders>
        </w:tcPr>
        <w:p w:rsidR="00424D0A" w:rsidRPr="00A06225" w:rsidRDefault="00424D0A">
          <w:pPr>
            <w:pStyle w:val="Header"/>
            <w:spacing w:line="276" w:lineRule="auto"/>
            <w:rPr>
              <w:rFonts w:ascii="Cambria" w:eastAsia="MS Gothic" w:hAnsi="Cambria"/>
              <w:b/>
              <w:bCs/>
              <w:color w:val="4F81BD"/>
            </w:rPr>
          </w:pPr>
        </w:p>
      </w:tc>
      <w:tc>
        <w:tcPr>
          <w:tcW w:w="333" w:type="pct"/>
          <w:vMerge w:val="restart"/>
          <w:noWrap/>
          <w:vAlign w:val="center"/>
          <w:hideMark/>
        </w:tcPr>
        <w:p w:rsidR="00424D0A" w:rsidRPr="00A06225" w:rsidRDefault="00424D0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24D0A" w:rsidRPr="00A06225" w:rsidRDefault="00424D0A">
          <w:pPr>
            <w:pStyle w:val="Header"/>
            <w:spacing w:line="276" w:lineRule="auto"/>
            <w:rPr>
              <w:rFonts w:ascii="Cambria" w:eastAsia="MS Gothic" w:hAnsi="Cambria"/>
              <w:b/>
              <w:bCs/>
              <w:color w:val="4F81BD"/>
            </w:rPr>
          </w:pPr>
        </w:p>
      </w:tc>
    </w:tr>
    <w:tr w:rsidR="00424D0A" w:rsidRPr="008E0D90" w:rsidTr="00A06225">
      <w:trPr>
        <w:trHeight w:val="150"/>
      </w:trPr>
      <w:tc>
        <w:tcPr>
          <w:tcW w:w="2389" w:type="pct"/>
          <w:tcBorders>
            <w:top w:val="single" w:sz="4" w:space="0" w:color="4F81BD"/>
            <w:left w:val="nil"/>
            <w:bottom w:val="nil"/>
            <w:right w:val="nil"/>
          </w:tcBorders>
        </w:tcPr>
        <w:p w:rsidR="00424D0A" w:rsidRPr="00A06225" w:rsidRDefault="00424D0A">
          <w:pPr>
            <w:pStyle w:val="Header"/>
            <w:spacing w:line="276" w:lineRule="auto"/>
            <w:rPr>
              <w:rFonts w:ascii="Cambria" w:eastAsia="MS Gothic" w:hAnsi="Cambria"/>
              <w:b/>
              <w:bCs/>
              <w:color w:val="4F81BD"/>
            </w:rPr>
          </w:pPr>
        </w:p>
      </w:tc>
      <w:tc>
        <w:tcPr>
          <w:tcW w:w="0" w:type="auto"/>
          <w:vMerge/>
          <w:vAlign w:val="center"/>
          <w:hideMark/>
        </w:tcPr>
        <w:p w:rsidR="00424D0A" w:rsidRPr="00A06225" w:rsidRDefault="00424D0A">
          <w:pPr>
            <w:rPr>
              <w:rFonts w:ascii="Cambria" w:hAnsi="Cambria"/>
              <w:color w:val="4F81BD"/>
              <w:sz w:val="22"/>
              <w:szCs w:val="22"/>
            </w:rPr>
          </w:pPr>
        </w:p>
      </w:tc>
      <w:tc>
        <w:tcPr>
          <w:tcW w:w="2278" w:type="pct"/>
          <w:tcBorders>
            <w:top w:val="single" w:sz="4" w:space="0" w:color="4F81BD"/>
            <w:left w:val="nil"/>
            <w:bottom w:val="nil"/>
            <w:right w:val="nil"/>
          </w:tcBorders>
        </w:tcPr>
        <w:p w:rsidR="00424D0A" w:rsidRPr="00A06225" w:rsidRDefault="00424D0A">
          <w:pPr>
            <w:pStyle w:val="Header"/>
            <w:spacing w:line="276" w:lineRule="auto"/>
            <w:rPr>
              <w:rFonts w:ascii="Cambria" w:eastAsia="MS Gothic" w:hAnsi="Cambria"/>
              <w:b/>
              <w:bCs/>
              <w:color w:val="4F81BD"/>
            </w:rPr>
          </w:pPr>
        </w:p>
      </w:tc>
    </w:tr>
  </w:tbl>
  <w:p w:rsidR="00424D0A" w:rsidRDefault="00424D0A">
    <w:pPr>
      <w:pStyle w:val="Header"/>
    </w:pPr>
  </w:p>
  <w:p w:rsidR="00424D0A" w:rsidRDefault="00424D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4C" w:rsidRPr="003A338B" w:rsidRDefault="006A4D2D" w:rsidP="0068554C">
    <w:pPr>
      <w:pStyle w:val="Header"/>
      <w:tabs>
        <w:tab w:val="left" w:pos="1725"/>
      </w:tabs>
      <w:jc w:val="center"/>
      <w:rPr>
        <w:rFonts w:asciiTheme="minorHAnsi" w:hAnsiTheme="minorHAnsi"/>
        <w:i/>
        <w:noProof/>
      </w:rPr>
    </w:pPr>
    <w:r>
      <w:rPr>
        <w:rFonts w:asciiTheme="minorHAnsi" w:hAnsiTheme="minorHAnsi"/>
        <w:i/>
        <w:noProof/>
      </w:rPr>
      <w:t>Public Summary Document</w:t>
    </w:r>
    <w:r w:rsidR="0068554C" w:rsidRPr="003A338B">
      <w:rPr>
        <w:rFonts w:asciiTheme="minorHAnsi" w:hAnsiTheme="minorHAnsi"/>
        <w:i/>
        <w:noProof/>
      </w:rPr>
      <w:t xml:space="preserve"> – July 2017 PBAC Meeting</w:t>
    </w:r>
  </w:p>
  <w:p w:rsidR="0068554C" w:rsidRPr="00EB3F99" w:rsidRDefault="0068554C" w:rsidP="0068554C">
    <w:pPr>
      <w:pStyle w:val="Header"/>
      <w:tabs>
        <w:tab w:val="left" w:pos="1725"/>
      </w:tabs>
      <w:jc w:val="center"/>
      <w:rPr>
        <w:rFonts w:asciiTheme="minorHAnsi" w:hAnsiTheme="minorHAnsi"/>
        <w:noProof/>
      </w:rPr>
    </w:pPr>
  </w:p>
  <w:p w:rsidR="00424D0A" w:rsidRDefault="00424D0A"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7E" w:rsidRDefault="00693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405647D"/>
    <w:multiLevelType w:val="hybridMultilevel"/>
    <w:tmpl w:val="B8646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218A2BD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AD5173A"/>
    <w:multiLevelType w:val="multilevel"/>
    <w:tmpl w:val="858E2FF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5"/>
  </w:num>
  <w:num w:numId="5">
    <w:abstractNumId w:val="17"/>
  </w:num>
  <w:num w:numId="6">
    <w:abstractNumId w:val="8"/>
  </w:num>
  <w:num w:numId="7">
    <w:abstractNumId w:val="14"/>
  </w:num>
  <w:num w:numId="8">
    <w:abstractNumId w:val="5"/>
  </w:num>
  <w:num w:numId="9">
    <w:abstractNumId w:val="13"/>
  </w:num>
  <w:num w:numId="10">
    <w:abstractNumId w:val="12"/>
  </w:num>
  <w:num w:numId="11">
    <w:abstractNumId w:val="11"/>
  </w:num>
  <w:num w:numId="12">
    <w:abstractNumId w:val="1"/>
  </w:num>
  <w:num w:numId="13">
    <w:abstractNumId w:val="0"/>
  </w:num>
  <w:num w:numId="14">
    <w:abstractNumId w:val="17"/>
  </w:num>
  <w:num w:numId="15">
    <w:abstractNumId w:val="4"/>
  </w:num>
  <w:num w:numId="16">
    <w:abstractNumId w:val="18"/>
  </w:num>
  <w:num w:numId="17">
    <w:abstractNumId w:val="17"/>
  </w:num>
  <w:num w:numId="18">
    <w:abstractNumId w:val="16"/>
  </w:num>
  <w:num w:numId="19">
    <w:abstractNumId w:val="6"/>
  </w:num>
  <w:num w:numId="20">
    <w:abstractNumId w:val="2"/>
  </w:num>
  <w:num w:numId="21">
    <w:abstractNumId w:val="10"/>
  </w:num>
  <w:num w:numId="22">
    <w:abstractNumId w:val="17"/>
  </w:num>
  <w:num w:numId="23">
    <w:abstractNumId w:val="17"/>
  </w:num>
  <w:num w:numId="24">
    <w:abstractNumId w:val="17"/>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num>
  <w:num w:numId="2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3DEA"/>
    <w:rsid w:val="000421A1"/>
    <w:rsid w:val="0004240E"/>
    <w:rsid w:val="00045E26"/>
    <w:rsid w:val="000514B5"/>
    <w:rsid w:val="00060E64"/>
    <w:rsid w:val="00066755"/>
    <w:rsid w:val="00077143"/>
    <w:rsid w:val="000969AD"/>
    <w:rsid w:val="000A5777"/>
    <w:rsid w:val="000B370A"/>
    <w:rsid w:val="000B558D"/>
    <w:rsid w:val="000C3FB1"/>
    <w:rsid w:val="000C6996"/>
    <w:rsid w:val="000D23BA"/>
    <w:rsid w:val="000E681E"/>
    <w:rsid w:val="000F4E6A"/>
    <w:rsid w:val="000F6687"/>
    <w:rsid w:val="001107BF"/>
    <w:rsid w:val="00117B4E"/>
    <w:rsid w:val="0012210B"/>
    <w:rsid w:val="0012417C"/>
    <w:rsid w:val="001272A8"/>
    <w:rsid w:val="00142395"/>
    <w:rsid w:val="00142714"/>
    <w:rsid w:val="001452ED"/>
    <w:rsid w:val="001564F1"/>
    <w:rsid w:val="001625FF"/>
    <w:rsid w:val="00163F7A"/>
    <w:rsid w:val="00174A35"/>
    <w:rsid w:val="00176338"/>
    <w:rsid w:val="001830CE"/>
    <w:rsid w:val="0018643B"/>
    <w:rsid w:val="00187435"/>
    <w:rsid w:val="00196307"/>
    <w:rsid w:val="001A33EA"/>
    <w:rsid w:val="001B017F"/>
    <w:rsid w:val="001B5129"/>
    <w:rsid w:val="001C1195"/>
    <w:rsid w:val="001C7FFB"/>
    <w:rsid w:val="001F1D4F"/>
    <w:rsid w:val="00213CFB"/>
    <w:rsid w:val="0022771A"/>
    <w:rsid w:val="002313B5"/>
    <w:rsid w:val="00244D45"/>
    <w:rsid w:val="00271BA1"/>
    <w:rsid w:val="00273DC8"/>
    <w:rsid w:val="002762FA"/>
    <w:rsid w:val="00277505"/>
    <w:rsid w:val="0029458F"/>
    <w:rsid w:val="002A104C"/>
    <w:rsid w:val="002A4960"/>
    <w:rsid w:val="002B0EDF"/>
    <w:rsid w:val="002B1AE6"/>
    <w:rsid w:val="002B30F8"/>
    <w:rsid w:val="002C212F"/>
    <w:rsid w:val="002D5169"/>
    <w:rsid w:val="002E3153"/>
    <w:rsid w:val="002E72CA"/>
    <w:rsid w:val="002F1E9D"/>
    <w:rsid w:val="00300AD6"/>
    <w:rsid w:val="00326E79"/>
    <w:rsid w:val="003367EF"/>
    <w:rsid w:val="00341AE4"/>
    <w:rsid w:val="00357374"/>
    <w:rsid w:val="00384666"/>
    <w:rsid w:val="003872CF"/>
    <w:rsid w:val="0039782C"/>
    <w:rsid w:val="003A338B"/>
    <w:rsid w:val="003A5B4A"/>
    <w:rsid w:val="003B23C5"/>
    <w:rsid w:val="003B2A75"/>
    <w:rsid w:val="003B4C01"/>
    <w:rsid w:val="003C5093"/>
    <w:rsid w:val="003D4AC4"/>
    <w:rsid w:val="003D63B7"/>
    <w:rsid w:val="003E468B"/>
    <w:rsid w:val="003E6C44"/>
    <w:rsid w:val="003F5C8C"/>
    <w:rsid w:val="00415B33"/>
    <w:rsid w:val="00424D0A"/>
    <w:rsid w:val="00442061"/>
    <w:rsid w:val="004465BD"/>
    <w:rsid w:val="00466ADA"/>
    <w:rsid w:val="004751EE"/>
    <w:rsid w:val="00476245"/>
    <w:rsid w:val="00485940"/>
    <w:rsid w:val="004A2484"/>
    <w:rsid w:val="004A4CC1"/>
    <w:rsid w:val="004A5A85"/>
    <w:rsid w:val="004B5640"/>
    <w:rsid w:val="004C1BD7"/>
    <w:rsid w:val="004C691D"/>
    <w:rsid w:val="004E692D"/>
    <w:rsid w:val="004E73FB"/>
    <w:rsid w:val="004F5B2C"/>
    <w:rsid w:val="00501554"/>
    <w:rsid w:val="00514489"/>
    <w:rsid w:val="00514CD7"/>
    <w:rsid w:val="00524284"/>
    <w:rsid w:val="005247A6"/>
    <w:rsid w:val="005319B2"/>
    <w:rsid w:val="00532C74"/>
    <w:rsid w:val="00534E2E"/>
    <w:rsid w:val="0054139D"/>
    <w:rsid w:val="00543DFA"/>
    <w:rsid w:val="00544552"/>
    <w:rsid w:val="00565421"/>
    <w:rsid w:val="00580827"/>
    <w:rsid w:val="00581932"/>
    <w:rsid w:val="005963BB"/>
    <w:rsid w:val="005A3173"/>
    <w:rsid w:val="005A3223"/>
    <w:rsid w:val="005A3D9E"/>
    <w:rsid w:val="005A3DA3"/>
    <w:rsid w:val="005A52C4"/>
    <w:rsid w:val="005D03AB"/>
    <w:rsid w:val="005D5017"/>
    <w:rsid w:val="00600953"/>
    <w:rsid w:val="00601A91"/>
    <w:rsid w:val="00602BA3"/>
    <w:rsid w:val="00606FE9"/>
    <w:rsid w:val="00614159"/>
    <w:rsid w:val="00616C21"/>
    <w:rsid w:val="00617C00"/>
    <w:rsid w:val="006263BF"/>
    <w:rsid w:val="0062748A"/>
    <w:rsid w:val="00630A2C"/>
    <w:rsid w:val="0064267A"/>
    <w:rsid w:val="006436CD"/>
    <w:rsid w:val="006452C5"/>
    <w:rsid w:val="00646436"/>
    <w:rsid w:val="00646DCD"/>
    <w:rsid w:val="00651169"/>
    <w:rsid w:val="00653D69"/>
    <w:rsid w:val="00666BCD"/>
    <w:rsid w:val="00670A76"/>
    <w:rsid w:val="006711AA"/>
    <w:rsid w:val="00672B57"/>
    <w:rsid w:val="00674FB6"/>
    <w:rsid w:val="00675622"/>
    <w:rsid w:val="00677C3A"/>
    <w:rsid w:val="0068554C"/>
    <w:rsid w:val="006906DB"/>
    <w:rsid w:val="006930AD"/>
    <w:rsid w:val="00693A7E"/>
    <w:rsid w:val="006A1076"/>
    <w:rsid w:val="006A12A5"/>
    <w:rsid w:val="006A4D2D"/>
    <w:rsid w:val="006A556D"/>
    <w:rsid w:val="006B0D15"/>
    <w:rsid w:val="006B0D94"/>
    <w:rsid w:val="006B485D"/>
    <w:rsid w:val="006C3F62"/>
    <w:rsid w:val="006C6950"/>
    <w:rsid w:val="006C708E"/>
    <w:rsid w:val="006D6EC7"/>
    <w:rsid w:val="006E1E1C"/>
    <w:rsid w:val="006F5125"/>
    <w:rsid w:val="007174BB"/>
    <w:rsid w:val="0073041E"/>
    <w:rsid w:val="00735ACC"/>
    <w:rsid w:val="00744A25"/>
    <w:rsid w:val="00761DF1"/>
    <w:rsid w:val="0076420C"/>
    <w:rsid w:val="007753C2"/>
    <w:rsid w:val="007838B8"/>
    <w:rsid w:val="007C0F57"/>
    <w:rsid w:val="007C40B6"/>
    <w:rsid w:val="007C729F"/>
    <w:rsid w:val="007E1D28"/>
    <w:rsid w:val="007F2641"/>
    <w:rsid w:val="007F7C36"/>
    <w:rsid w:val="00806796"/>
    <w:rsid w:val="008151D6"/>
    <w:rsid w:val="008155C5"/>
    <w:rsid w:val="00822D75"/>
    <w:rsid w:val="00826F6D"/>
    <w:rsid w:val="00836383"/>
    <w:rsid w:val="00850635"/>
    <w:rsid w:val="00856DDD"/>
    <w:rsid w:val="008573B7"/>
    <w:rsid w:val="00863E68"/>
    <w:rsid w:val="008746AC"/>
    <w:rsid w:val="00874DFD"/>
    <w:rsid w:val="00875AD2"/>
    <w:rsid w:val="00882085"/>
    <w:rsid w:val="00883188"/>
    <w:rsid w:val="00893F22"/>
    <w:rsid w:val="0089445D"/>
    <w:rsid w:val="00897D58"/>
    <w:rsid w:val="008A1956"/>
    <w:rsid w:val="008A4937"/>
    <w:rsid w:val="008A50F1"/>
    <w:rsid w:val="008D1B5C"/>
    <w:rsid w:val="008D3C82"/>
    <w:rsid w:val="008D447E"/>
    <w:rsid w:val="008D7A41"/>
    <w:rsid w:val="008E3680"/>
    <w:rsid w:val="008E5870"/>
    <w:rsid w:val="008F136C"/>
    <w:rsid w:val="008F1434"/>
    <w:rsid w:val="008F7355"/>
    <w:rsid w:val="009040C5"/>
    <w:rsid w:val="009067B7"/>
    <w:rsid w:val="0092465E"/>
    <w:rsid w:val="0092742E"/>
    <w:rsid w:val="00930937"/>
    <w:rsid w:val="00933E6C"/>
    <w:rsid w:val="00941950"/>
    <w:rsid w:val="00942160"/>
    <w:rsid w:val="0095146F"/>
    <w:rsid w:val="009601FB"/>
    <w:rsid w:val="009602C5"/>
    <w:rsid w:val="00962223"/>
    <w:rsid w:val="009645DE"/>
    <w:rsid w:val="00974C21"/>
    <w:rsid w:val="00975DFF"/>
    <w:rsid w:val="009A447D"/>
    <w:rsid w:val="009B0576"/>
    <w:rsid w:val="009B0DB7"/>
    <w:rsid w:val="009B0F67"/>
    <w:rsid w:val="009C5E9C"/>
    <w:rsid w:val="009C703C"/>
    <w:rsid w:val="009D3CAA"/>
    <w:rsid w:val="009F4E46"/>
    <w:rsid w:val="009F5B65"/>
    <w:rsid w:val="009F5F2E"/>
    <w:rsid w:val="00A01CD5"/>
    <w:rsid w:val="00A06225"/>
    <w:rsid w:val="00A128E6"/>
    <w:rsid w:val="00A37C8D"/>
    <w:rsid w:val="00A41273"/>
    <w:rsid w:val="00A5273B"/>
    <w:rsid w:val="00A53A9D"/>
    <w:rsid w:val="00A55FEE"/>
    <w:rsid w:val="00A62C1A"/>
    <w:rsid w:val="00A6426D"/>
    <w:rsid w:val="00A70622"/>
    <w:rsid w:val="00A70977"/>
    <w:rsid w:val="00A77613"/>
    <w:rsid w:val="00A81458"/>
    <w:rsid w:val="00A82421"/>
    <w:rsid w:val="00A8390C"/>
    <w:rsid w:val="00A928BD"/>
    <w:rsid w:val="00AA4D1C"/>
    <w:rsid w:val="00AC040A"/>
    <w:rsid w:val="00AC193C"/>
    <w:rsid w:val="00AC38F0"/>
    <w:rsid w:val="00AC49F2"/>
    <w:rsid w:val="00AC5206"/>
    <w:rsid w:val="00AD2737"/>
    <w:rsid w:val="00AE11A5"/>
    <w:rsid w:val="00AE13E2"/>
    <w:rsid w:val="00AF68CC"/>
    <w:rsid w:val="00B1059E"/>
    <w:rsid w:val="00B1540F"/>
    <w:rsid w:val="00B205AA"/>
    <w:rsid w:val="00B22E84"/>
    <w:rsid w:val="00B25F75"/>
    <w:rsid w:val="00B43E90"/>
    <w:rsid w:val="00B46248"/>
    <w:rsid w:val="00B467DC"/>
    <w:rsid w:val="00B50B04"/>
    <w:rsid w:val="00B51041"/>
    <w:rsid w:val="00B56118"/>
    <w:rsid w:val="00B6773F"/>
    <w:rsid w:val="00B700B0"/>
    <w:rsid w:val="00B801BA"/>
    <w:rsid w:val="00B9527B"/>
    <w:rsid w:val="00BB69F5"/>
    <w:rsid w:val="00BB7EC3"/>
    <w:rsid w:val="00BC4B9A"/>
    <w:rsid w:val="00BD2755"/>
    <w:rsid w:val="00BD3B3E"/>
    <w:rsid w:val="00BD784C"/>
    <w:rsid w:val="00BF4CB6"/>
    <w:rsid w:val="00BF5E57"/>
    <w:rsid w:val="00C00DA7"/>
    <w:rsid w:val="00C024F4"/>
    <w:rsid w:val="00C12768"/>
    <w:rsid w:val="00C219F5"/>
    <w:rsid w:val="00C27B58"/>
    <w:rsid w:val="00C35996"/>
    <w:rsid w:val="00C5342C"/>
    <w:rsid w:val="00C603D4"/>
    <w:rsid w:val="00C62121"/>
    <w:rsid w:val="00C6256A"/>
    <w:rsid w:val="00C67CA4"/>
    <w:rsid w:val="00C86DE3"/>
    <w:rsid w:val="00C91449"/>
    <w:rsid w:val="00C92D10"/>
    <w:rsid w:val="00C9396B"/>
    <w:rsid w:val="00CA2DE2"/>
    <w:rsid w:val="00CA38F6"/>
    <w:rsid w:val="00CA50E0"/>
    <w:rsid w:val="00CD5937"/>
    <w:rsid w:val="00CE10C4"/>
    <w:rsid w:val="00CE27B5"/>
    <w:rsid w:val="00CE3E8A"/>
    <w:rsid w:val="00D0321E"/>
    <w:rsid w:val="00D1455A"/>
    <w:rsid w:val="00D3138B"/>
    <w:rsid w:val="00D3280C"/>
    <w:rsid w:val="00D3406A"/>
    <w:rsid w:val="00D4199A"/>
    <w:rsid w:val="00D44529"/>
    <w:rsid w:val="00D469B2"/>
    <w:rsid w:val="00D741EB"/>
    <w:rsid w:val="00D83605"/>
    <w:rsid w:val="00D84934"/>
    <w:rsid w:val="00D91271"/>
    <w:rsid w:val="00D964E7"/>
    <w:rsid w:val="00DA1CA9"/>
    <w:rsid w:val="00DA2CB5"/>
    <w:rsid w:val="00DA4BAC"/>
    <w:rsid w:val="00DE6D27"/>
    <w:rsid w:val="00DF0B9E"/>
    <w:rsid w:val="00DF217D"/>
    <w:rsid w:val="00DF26A7"/>
    <w:rsid w:val="00DF6307"/>
    <w:rsid w:val="00E15627"/>
    <w:rsid w:val="00E164B3"/>
    <w:rsid w:val="00E16910"/>
    <w:rsid w:val="00E213D0"/>
    <w:rsid w:val="00E268F2"/>
    <w:rsid w:val="00E60A56"/>
    <w:rsid w:val="00E60D2A"/>
    <w:rsid w:val="00E65E54"/>
    <w:rsid w:val="00E80155"/>
    <w:rsid w:val="00E8072E"/>
    <w:rsid w:val="00E848C0"/>
    <w:rsid w:val="00E91B96"/>
    <w:rsid w:val="00E941A1"/>
    <w:rsid w:val="00E95CE3"/>
    <w:rsid w:val="00EA2825"/>
    <w:rsid w:val="00EB5088"/>
    <w:rsid w:val="00EB692F"/>
    <w:rsid w:val="00EC00B8"/>
    <w:rsid w:val="00EC1812"/>
    <w:rsid w:val="00ED1644"/>
    <w:rsid w:val="00ED2593"/>
    <w:rsid w:val="00ED4554"/>
    <w:rsid w:val="00EF44A0"/>
    <w:rsid w:val="00EF4FED"/>
    <w:rsid w:val="00F050BD"/>
    <w:rsid w:val="00F05657"/>
    <w:rsid w:val="00F129C4"/>
    <w:rsid w:val="00F25578"/>
    <w:rsid w:val="00F258E5"/>
    <w:rsid w:val="00F300BC"/>
    <w:rsid w:val="00F3334E"/>
    <w:rsid w:val="00F35455"/>
    <w:rsid w:val="00F36CCB"/>
    <w:rsid w:val="00F41DFF"/>
    <w:rsid w:val="00F42E5E"/>
    <w:rsid w:val="00F44BE7"/>
    <w:rsid w:val="00F46088"/>
    <w:rsid w:val="00F50EC4"/>
    <w:rsid w:val="00F57A6D"/>
    <w:rsid w:val="00F638CC"/>
    <w:rsid w:val="00F64CC1"/>
    <w:rsid w:val="00F80BDE"/>
    <w:rsid w:val="00F8247A"/>
    <w:rsid w:val="00F9629A"/>
    <w:rsid w:val="00FA5883"/>
    <w:rsid w:val="00FA6055"/>
    <w:rsid w:val="00FB322F"/>
    <w:rsid w:val="00FB442F"/>
    <w:rsid w:val="00FC1929"/>
    <w:rsid w:val="00FC494D"/>
    <w:rsid w:val="00FC5B46"/>
    <w:rsid w:val="00FE0E94"/>
    <w:rsid w:val="00FE712F"/>
    <w:rsid w:val="00FF00BD"/>
    <w:rsid w:val="00FF1ED4"/>
    <w:rsid w:val="00FF2801"/>
    <w:rsid w:val="00FF5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Revision">
    <w:name w:val="Revision"/>
    <w:hidden/>
    <w:uiPriority w:val="71"/>
    <w:rsid w:val="00C024F4"/>
    <w:rPr>
      <w:sz w:val="24"/>
      <w:szCs w:val="24"/>
    </w:rPr>
  </w:style>
  <w:style w:type="paragraph" w:styleId="FootnoteText">
    <w:name w:val="footnote text"/>
    <w:basedOn w:val="Normal"/>
    <w:link w:val="FootnoteTextChar"/>
    <w:rsid w:val="001F1D4F"/>
    <w:rPr>
      <w:sz w:val="20"/>
      <w:szCs w:val="20"/>
    </w:rPr>
  </w:style>
  <w:style w:type="character" w:customStyle="1" w:styleId="FootnoteTextChar">
    <w:name w:val="Footnote Text Char"/>
    <w:basedOn w:val="DefaultParagraphFont"/>
    <w:link w:val="FootnoteText"/>
    <w:rsid w:val="001F1D4F"/>
  </w:style>
  <w:style w:type="character" w:styleId="FootnoteReference">
    <w:name w:val="footnote reference"/>
    <w:basedOn w:val="DefaultParagraphFont"/>
    <w:rsid w:val="001F1D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Revision">
    <w:name w:val="Revision"/>
    <w:hidden/>
    <w:uiPriority w:val="71"/>
    <w:rsid w:val="00C024F4"/>
    <w:rPr>
      <w:sz w:val="24"/>
      <w:szCs w:val="24"/>
    </w:rPr>
  </w:style>
  <w:style w:type="paragraph" w:styleId="FootnoteText">
    <w:name w:val="footnote text"/>
    <w:basedOn w:val="Normal"/>
    <w:link w:val="FootnoteTextChar"/>
    <w:rsid w:val="001F1D4F"/>
    <w:rPr>
      <w:sz w:val="20"/>
      <w:szCs w:val="20"/>
    </w:rPr>
  </w:style>
  <w:style w:type="character" w:customStyle="1" w:styleId="FootnoteTextChar">
    <w:name w:val="Footnote Text Char"/>
    <w:basedOn w:val="DefaultParagraphFont"/>
    <w:link w:val="FootnoteText"/>
    <w:rsid w:val="001F1D4F"/>
  </w:style>
  <w:style w:type="character" w:styleId="FootnoteReference">
    <w:name w:val="footnote reference"/>
    <w:basedOn w:val="DefaultParagraphFont"/>
    <w:rsid w:val="001F1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2F7D-6FF5-45E6-8898-AE824E38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6325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2017-10-12T01:07:00Z</dcterms:created>
  <dcterms:modified xsi:type="dcterms:W3CDTF">2018-10-17T07:00:00Z</dcterms:modified>
</cp:coreProperties>
</file>