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Pr="00D647A9" w:rsidRDefault="00646389" w:rsidP="00A074BD">
      <w:pPr>
        <w:spacing w:before="0" w:after="0"/>
        <w:ind w:left="1418" w:hanging="1418"/>
        <w:jc w:val="left"/>
        <w:outlineLvl w:val="0"/>
        <w:rPr>
          <w:b/>
          <w:sz w:val="36"/>
          <w:szCs w:val="36"/>
        </w:rPr>
      </w:pPr>
      <w:r w:rsidRPr="00D647A9">
        <w:rPr>
          <w:b/>
          <w:sz w:val="36"/>
          <w:szCs w:val="36"/>
        </w:rPr>
        <w:t>5</w:t>
      </w:r>
      <w:r w:rsidR="00C317F3" w:rsidRPr="00D647A9">
        <w:rPr>
          <w:b/>
          <w:sz w:val="36"/>
          <w:szCs w:val="36"/>
        </w:rPr>
        <w:t>.</w:t>
      </w:r>
      <w:r w:rsidRPr="00D647A9">
        <w:rPr>
          <w:b/>
          <w:sz w:val="36"/>
          <w:szCs w:val="36"/>
        </w:rPr>
        <w:t>01</w:t>
      </w:r>
      <w:r w:rsidR="00C317F3" w:rsidRPr="00D647A9">
        <w:rPr>
          <w:b/>
          <w:sz w:val="36"/>
          <w:szCs w:val="36"/>
        </w:rPr>
        <w:tab/>
      </w:r>
      <w:r w:rsidR="00055F9A" w:rsidRPr="00D647A9">
        <w:rPr>
          <w:b/>
          <w:sz w:val="36"/>
          <w:szCs w:val="36"/>
        </w:rPr>
        <w:t>ALECTINIB</w:t>
      </w:r>
      <w:r w:rsidR="00C317F3" w:rsidRPr="00D647A9">
        <w:rPr>
          <w:b/>
          <w:sz w:val="36"/>
          <w:szCs w:val="36"/>
        </w:rPr>
        <w:t>,</w:t>
      </w:r>
      <w:r w:rsidR="00DE2EA5">
        <w:rPr>
          <w:b/>
          <w:sz w:val="36"/>
          <w:szCs w:val="36"/>
        </w:rPr>
        <w:t xml:space="preserve"> </w:t>
      </w:r>
      <w:r w:rsidR="00A074BD">
        <w:rPr>
          <w:b/>
          <w:sz w:val="36"/>
          <w:szCs w:val="36"/>
        </w:rPr>
        <w:br/>
      </w:r>
      <w:r w:rsidR="00055F9A" w:rsidRPr="00D647A9">
        <w:rPr>
          <w:b/>
          <w:sz w:val="36"/>
          <w:szCs w:val="36"/>
        </w:rPr>
        <w:t>Capsule 150 mg</w:t>
      </w:r>
      <w:r w:rsidR="00C317F3" w:rsidRPr="00D647A9">
        <w:rPr>
          <w:b/>
          <w:sz w:val="36"/>
          <w:szCs w:val="36"/>
        </w:rPr>
        <w:t xml:space="preserve">, </w:t>
      </w:r>
      <w:r w:rsidR="00A074BD">
        <w:rPr>
          <w:b/>
          <w:sz w:val="36"/>
          <w:szCs w:val="36"/>
        </w:rPr>
        <w:br/>
      </w:r>
      <w:proofErr w:type="spellStart"/>
      <w:r w:rsidR="00055F9A" w:rsidRPr="00D647A9">
        <w:rPr>
          <w:b/>
          <w:sz w:val="36"/>
          <w:szCs w:val="36"/>
        </w:rPr>
        <w:t>Alecensa</w:t>
      </w:r>
      <w:proofErr w:type="spellEnd"/>
      <w:r w:rsidR="00C317F3" w:rsidRPr="00D647A9">
        <w:rPr>
          <w:b/>
          <w:sz w:val="36"/>
          <w:szCs w:val="36"/>
        </w:rPr>
        <w:t>®</w:t>
      </w:r>
      <w:r w:rsidR="00AC7563" w:rsidRPr="00D647A9">
        <w:rPr>
          <w:b/>
          <w:sz w:val="36"/>
          <w:szCs w:val="36"/>
        </w:rPr>
        <w:t xml:space="preserve">, </w:t>
      </w:r>
      <w:r w:rsidR="00AC7563">
        <w:rPr>
          <w:b/>
          <w:sz w:val="36"/>
          <w:szCs w:val="36"/>
        </w:rPr>
        <w:t>Roche</w:t>
      </w:r>
      <w:r w:rsidR="00055F9A" w:rsidRPr="00D647A9">
        <w:rPr>
          <w:b/>
          <w:sz w:val="36"/>
          <w:szCs w:val="36"/>
        </w:rPr>
        <w:t xml:space="preserve"> Products Pty Ltd.</w:t>
      </w:r>
    </w:p>
    <w:p w:rsidR="00C317F3" w:rsidRPr="00D647A9" w:rsidRDefault="00C317F3" w:rsidP="00BF5AAE">
      <w:pPr>
        <w:pStyle w:val="Heading1"/>
      </w:pPr>
      <w:bookmarkStart w:id="0" w:name="_Toc413139271"/>
      <w:bookmarkStart w:id="1" w:name="_Toc482699432"/>
      <w:r w:rsidRPr="00D647A9">
        <w:t>Purpose of Application</w:t>
      </w:r>
      <w:bookmarkEnd w:id="0"/>
      <w:bookmarkEnd w:id="1"/>
    </w:p>
    <w:p w:rsidR="001B14F5" w:rsidRPr="00D647A9" w:rsidRDefault="00457AA5" w:rsidP="00863A4D">
      <w:pPr>
        <w:pStyle w:val="ListParagraph"/>
        <w:numPr>
          <w:ilvl w:val="1"/>
          <w:numId w:val="4"/>
        </w:numPr>
        <w:spacing w:before="0" w:after="120"/>
      </w:pPr>
      <w:r w:rsidRPr="00D647A9">
        <w:t xml:space="preserve">The submission requested a Section 85, Authority Required listing for </w:t>
      </w:r>
      <w:proofErr w:type="spellStart"/>
      <w:r w:rsidRPr="00D647A9">
        <w:t>alectinib</w:t>
      </w:r>
      <w:proofErr w:type="spellEnd"/>
      <w:r w:rsidRPr="00D647A9">
        <w:t xml:space="preserve"> for the treatment of </w:t>
      </w:r>
      <w:r w:rsidR="0005474F" w:rsidRPr="00D647A9">
        <w:t xml:space="preserve">patients </w:t>
      </w:r>
      <w:r w:rsidRPr="00D647A9">
        <w:t>locally advanced (Stage IIIB) or metastatic (Stage IV) anaplastic lymphoma kinase (ALK)-positive non-small cell lung cancer (NSCLC)</w:t>
      </w:r>
      <w:r w:rsidR="0005474F" w:rsidRPr="00D647A9">
        <w:t>,</w:t>
      </w:r>
      <w:r w:rsidRPr="00D647A9">
        <w:t xml:space="preserve"> who have disease progression following treatment with a prior ALK inhibitor</w:t>
      </w:r>
      <w:r w:rsidR="0073171D">
        <w:t>.</w:t>
      </w:r>
    </w:p>
    <w:p w:rsidR="00A074BD" w:rsidRDefault="00A074BD" w:rsidP="00A074BD">
      <w:pPr>
        <w:pStyle w:val="Caption"/>
      </w:pPr>
      <w:r>
        <w:t xml:space="preserve">Table </w:t>
      </w:r>
      <w:r>
        <w:rPr>
          <w:noProof/>
        </w:rPr>
        <w:t>1</w:t>
      </w:r>
      <w:r w:rsidRPr="00C04C2F">
        <w:t>: Key components of the clinical issue addressed by the submission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submission"/>
      </w:tblPr>
      <w:tblGrid>
        <w:gridCol w:w="1696"/>
        <w:gridCol w:w="7484"/>
      </w:tblGrid>
      <w:tr w:rsidR="00457AA5" w:rsidRPr="00D647A9" w:rsidTr="000A7544">
        <w:trPr>
          <w:cnfStyle w:val="100000000000" w:firstRow="1" w:lastRow="0" w:firstColumn="0" w:lastColumn="0" w:oddVBand="0" w:evenVBand="0" w:oddHBand="0" w:evenHBand="0" w:firstRowFirstColumn="0" w:firstRowLastColumn="0" w:lastRowFirstColumn="0" w:lastRowLastColumn="0"/>
          <w:cantSplit/>
          <w:tblHeader/>
        </w:trPr>
        <w:tc>
          <w:tcPr>
            <w:tcW w:w="1696" w:type="dxa"/>
          </w:tcPr>
          <w:p w:rsidR="00457AA5" w:rsidRPr="00D647A9" w:rsidRDefault="00457AA5" w:rsidP="00BF5AAE">
            <w:pPr>
              <w:pStyle w:val="TableText"/>
              <w:rPr>
                <w:b w:val="0"/>
              </w:rPr>
            </w:pPr>
            <w:r w:rsidRPr="00D647A9">
              <w:t>Component</w:t>
            </w:r>
          </w:p>
        </w:tc>
        <w:tc>
          <w:tcPr>
            <w:tcW w:w="7484" w:type="dxa"/>
          </w:tcPr>
          <w:p w:rsidR="00457AA5" w:rsidRPr="00D647A9" w:rsidRDefault="00457AA5" w:rsidP="00BF5AAE">
            <w:pPr>
              <w:pStyle w:val="TableText"/>
              <w:rPr>
                <w:b w:val="0"/>
              </w:rPr>
            </w:pPr>
            <w:r w:rsidRPr="00D647A9">
              <w:t>Description</w:t>
            </w:r>
          </w:p>
        </w:tc>
      </w:tr>
      <w:tr w:rsidR="00457AA5" w:rsidRPr="00D647A9" w:rsidTr="000A7544">
        <w:trPr>
          <w:cantSplit/>
        </w:trPr>
        <w:tc>
          <w:tcPr>
            <w:tcW w:w="1696" w:type="dxa"/>
          </w:tcPr>
          <w:p w:rsidR="00457AA5" w:rsidRPr="00D647A9" w:rsidRDefault="00457AA5" w:rsidP="00BF5AAE">
            <w:pPr>
              <w:pStyle w:val="TableText"/>
            </w:pPr>
            <w:r w:rsidRPr="00D647A9">
              <w:t>Population</w:t>
            </w:r>
          </w:p>
        </w:tc>
        <w:tc>
          <w:tcPr>
            <w:tcW w:w="7484" w:type="dxa"/>
          </w:tcPr>
          <w:p w:rsidR="00457AA5" w:rsidRPr="00D647A9" w:rsidRDefault="00EB0EB2" w:rsidP="00BF5AAE">
            <w:pPr>
              <w:pStyle w:val="TableText"/>
              <w:rPr>
                <w:rFonts w:ascii="Times" w:eastAsia="Times New Roman" w:hAnsi="Times" w:cs="Times New Roman"/>
              </w:rPr>
            </w:pPr>
            <w:r w:rsidRPr="00D647A9">
              <w:t>Patients with ALK-positive locally advanced (Stage IIIB) or metastatic (Stage IV) non-squamous or NOS NSCLC, who have disease progression following treatment with a prior ALK inhibitor and a WHO performance status of 2 or less.</w:t>
            </w:r>
          </w:p>
        </w:tc>
      </w:tr>
      <w:tr w:rsidR="00457AA5" w:rsidRPr="00D647A9" w:rsidTr="000A7544">
        <w:trPr>
          <w:cantSplit/>
        </w:trPr>
        <w:tc>
          <w:tcPr>
            <w:tcW w:w="1696" w:type="dxa"/>
          </w:tcPr>
          <w:p w:rsidR="00457AA5" w:rsidRPr="00D647A9" w:rsidRDefault="00457AA5" w:rsidP="00BF5AAE">
            <w:pPr>
              <w:pStyle w:val="TableText"/>
              <w:rPr>
                <w:rFonts w:ascii="Times" w:eastAsia="Times New Roman" w:hAnsi="Times" w:cs="Times New Roman"/>
              </w:rPr>
            </w:pPr>
            <w:r w:rsidRPr="00D647A9">
              <w:t>Intervention</w:t>
            </w:r>
          </w:p>
        </w:tc>
        <w:tc>
          <w:tcPr>
            <w:tcW w:w="7484" w:type="dxa"/>
          </w:tcPr>
          <w:p w:rsidR="00457AA5" w:rsidRPr="00D647A9" w:rsidRDefault="00457AA5" w:rsidP="00BF5AAE">
            <w:pPr>
              <w:pStyle w:val="TableText"/>
              <w:rPr>
                <w:rFonts w:ascii="Times" w:eastAsia="Times New Roman" w:hAnsi="Times" w:cs="Times New Roman"/>
              </w:rPr>
            </w:pPr>
            <w:proofErr w:type="spellStart"/>
            <w:r w:rsidRPr="00D647A9">
              <w:t>Alectinib</w:t>
            </w:r>
            <w:proofErr w:type="spellEnd"/>
            <w:r w:rsidRPr="00D647A9">
              <w:t xml:space="preserve"> 600 mg (4 x 150 mg capsules) twice daily until progression.</w:t>
            </w:r>
          </w:p>
        </w:tc>
      </w:tr>
      <w:tr w:rsidR="00457AA5" w:rsidRPr="00D647A9" w:rsidTr="000A7544">
        <w:trPr>
          <w:cantSplit/>
        </w:trPr>
        <w:tc>
          <w:tcPr>
            <w:tcW w:w="1696" w:type="dxa"/>
          </w:tcPr>
          <w:p w:rsidR="00457AA5" w:rsidRPr="00D647A9" w:rsidRDefault="00457AA5" w:rsidP="00BF5AAE">
            <w:pPr>
              <w:pStyle w:val="TableText"/>
              <w:rPr>
                <w:rFonts w:ascii="Times" w:eastAsia="Times New Roman" w:hAnsi="Times" w:cs="Times New Roman"/>
              </w:rPr>
            </w:pPr>
            <w:r w:rsidRPr="00D647A9">
              <w:t>Comparator</w:t>
            </w:r>
          </w:p>
        </w:tc>
        <w:tc>
          <w:tcPr>
            <w:tcW w:w="7484" w:type="dxa"/>
          </w:tcPr>
          <w:p w:rsidR="00457AA5" w:rsidRPr="00D647A9" w:rsidRDefault="00457AA5" w:rsidP="00BF5AAE">
            <w:pPr>
              <w:pStyle w:val="TableText"/>
              <w:rPr>
                <w:rFonts w:ascii="Times" w:eastAsia="Times New Roman" w:hAnsi="Times" w:cs="Times New Roman"/>
              </w:rPr>
            </w:pPr>
            <w:proofErr w:type="spellStart"/>
            <w:r w:rsidRPr="00D647A9">
              <w:t>Ceritinib</w:t>
            </w:r>
            <w:proofErr w:type="spellEnd"/>
            <w:r w:rsidRPr="00D647A9">
              <w:t xml:space="preserve"> 750 mg (5 x 150 mg capsules) daily until progression.</w:t>
            </w:r>
          </w:p>
        </w:tc>
      </w:tr>
      <w:tr w:rsidR="00457AA5" w:rsidRPr="00D647A9" w:rsidTr="000A7544">
        <w:trPr>
          <w:cantSplit/>
        </w:trPr>
        <w:tc>
          <w:tcPr>
            <w:tcW w:w="1696" w:type="dxa"/>
          </w:tcPr>
          <w:p w:rsidR="00457AA5" w:rsidRPr="00D647A9" w:rsidRDefault="00457AA5" w:rsidP="00BF5AAE">
            <w:pPr>
              <w:pStyle w:val="TableText"/>
              <w:rPr>
                <w:rFonts w:ascii="Times" w:eastAsia="Times New Roman" w:hAnsi="Times" w:cs="Times New Roman"/>
              </w:rPr>
            </w:pPr>
            <w:r w:rsidRPr="00D647A9">
              <w:t>Outcomes</w:t>
            </w:r>
          </w:p>
        </w:tc>
        <w:tc>
          <w:tcPr>
            <w:tcW w:w="7484" w:type="dxa"/>
          </w:tcPr>
          <w:p w:rsidR="00457AA5" w:rsidRPr="00D647A9" w:rsidRDefault="00457AA5" w:rsidP="00BF5AAE">
            <w:pPr>
              <w:pStyle w:val="TableText"/>
            </w:pPr>
            <w:r w:rsidRPr="00D647A9">
              <w:t>Objective response rate (ORR)</w:t>
            </w:r>
          </w:p>
          <w:p w:rsidR="00457AA5" w:rsidRPr="00D647A9" w:rsidRDefault="00457AA5" w:rsidP="00BF5AAE">
            <w:pPr>
              <w:pStyle w:val="TableText"/>
            </w:pPr>
            <w:r w:rsidRPr="00D647A9">
              <w:t>Duration of response (DOR)</w:t>
            </w:r>
          </w:p>
          <w:p w:rsidR="00457AA5" w:rsidRPr="00D647A9" w:rsidRDefault="00457AA5" w:rsidP="00BF5AAE">
            <w:pPr>
              <w:pStyle w:val="TableText"/>
            </w:pPr>
            <w:r w:rsidRPr="00D647A9">
              <w:t>Progression</w:t>
            </w:r>
            <w:r w:rsidR="0057201C">
              <w:t>-</w:t>
            </w:r>
            <w:r w:rsidRPr="00D647A9">
              <w:t>free survival (PFS)</w:t>
            </w:r>
          </w:p>
          <w:p w:rsidR="00457AA5" w:rsidRPr="00D647A9" w:rsidRDefault="00457AA5" w:rsidP="00BF5AAE">
            <w:pPr>
              <w:pStyle w:val="TableText"/>
            </w:pPr>
            <w:r w:rsidRPr="00D647A9">
              <w:t>Overall survival (OS)</w:t>
            </w:r>
          </w:p>
          <w:p w:rsidR="00457AA5" w:rsidRPr="00D647A9" w:rsidRDefault="00457AA5" w:rsidP="00BF5AAE">
            <w:pPr>
              <w:pStyle w:val="TableText"/>
              <w:rPr>
                <w:rFonts w:eastAsia="Times New Roman" w:cs="Times New Roman"/>
              </w:rPr>
            </w:pPr>
            <w:r w:rsidRPr="00D647A9">
              <w:rPr>
                <w:rFonts w:eastAsia="Times New Roman" w:cs="Times New Roman"/>
              </w:rPr>
              <w:t>CNS outcomes (including CNS objective response rate and CNS duration of response)</w:t>
            </w:r>
          </w:p>
          <w:p w:rsidR="00457AA5" w:rsidRPr="00D647A9" w:rsidRDefault="00457AA5" w:rsidP="00BF5AAE">
            <w:pPr>
              <w:pStyle w:val="TableText"/>
              <w:rPr>
                <w:rFonts w:eastAsia="Times New Roman" w:cs="Times New Roman"/>
              </w:rPr>
            </w:pPr>
            <w:r w:rsidRPr="00D647A9">
              <w:rPr>
                <w:rFonts w:eastAsia="Times New Roman" w:cs="Times New Roman"/>
              </w:rPr>
              <w:t>Quality of life (</w:t>
            </w:r>
            <w:proofErr w:type="spellStart"/>
            <w:r w:rsidRPr="00D647A9">
              <w:rPr>
                <w:rFonts w:eastAsia="Times New Roman" w:cs="Times New Roman"/>
              </w:rPr>
              <w:t>QoL</w:t>
            </w:r>
            <w:proofErr w:type="spellEnd"/>
            <w:r w:rsidRPr="00D647A9">
              <w:rPr>
                <w:rFonts w:eastAsia="Times New Roman" w:cs="Times New Roman"/>
              </w:rPr>
              <w:t>)</w:t>
            </w:r>
          </w:p>
          <w:p w:rsidR="00457AA5" w:rsidRPr="00D647A9" w:rsidRDefault="00457AA5" w:rsidP="00BF5AAE">
            <w:pPr>
              <w:pStyle w:val="TableText"/>
              <w:rPr>
                <w:rFonts w:eastAsia="Times New Roman" w:cs="Times New Roman"/>
              </w:rPr>
            </w:pPr>
            <w:r w:rsidRPr="00D647A9">
              <w:rPr>
                <w:rFonts w:eastAsia="Times New Roman" w:cs="Times New Roman"/>
              </w:rPr>
              <w:t>Treatment-related adverse events</w:t>
            </w:r>
          </w:p>
        </w:tc>
      </w:tr>
      <w:tr w:rsidR="00457AA5" w:rsidRPr="00C35E2D" w:rsidTr="000A7544">
        <w:trPr>
          <w:cantSplit/>
        </w:trPr>
        <w:tc>
          <w:tcPr>
            <w:tcW w:w="1696" w:type="dxa"/>
          </w:tcPr>
          <w:p w:rsidR="00457AA5" w:rsidRPr="00C35E2D" w:rsidRDefault="00457AA5" w:rsidP="00BF5AAE">
            <w:pPr>
              <w:pStyle w:val="TableText"/>
              <w:rPr>
                <w:rFonts w:ascii="Times" w:eastAsia="Times New Roman" w:hAnsi="Times" w:cs="Times New Roman"/>
              </w:rPr>
            </w:pPr>
            <w:r w:rsidRPr="00C35E2D">
              <w:t>Clinical claim</w:t>
            </w:r>
          </w:p>
        </w:tc>
        <w:tc>
          <w:tcPr>
            <w:tcW w:w="7484" w:type="dxa"/>
          </w:tcPr>
          <w:p w:rsidR="00457AA5" w:rsidRPr="00C35E2D" w:rsidRDefault="00457AA5" w:rsidP="00BF5AAE">
            <w:pPr>
              <w:pStyle w:val="TableText"/>
            </w:pPr>
            <w:r w:rsidRPr="00C35E2D">
              <w:t xml:space="preserve">In patients with ALK-positive, locally advanced or metastatic NSCLC who have progressed on an ALK inhibitor, represented by </w:t>
            </w:r>
            <w:proofErr w:type="spellStart"/>
            <w:r w:rsidRPr="00C35E2D">
              <w:t>crizotinib</w:t>
            </w:r>
            <w:proofErr w:type="spellEnd"/>
            <w:r w:rsidRPr="00C35E2D">
              <w:t xml:space="preserve">, the submission claimed that </w:t>
            </w:r>
            <w:proofErr w:type="spellStart"/>
            <w:r w:rsidRPr="00C35E2D">
              <w:t>alectinib</w:t>
            </w:r>
            <w:proofErr w:type="spellEnd"/>
            <w:r w:rsidRPr="00C35E2D">
              <w:t xml:space="preserve"> is assumed to be superior to the main comparator </w:t>
            </w:r>
            <w:proofErr w:type="spellStart"/>
            <w:r w:rsidRPr="00C35E2D">
              <w:t>ceritinib</w:t>
            </w:r>
            <w:proofErr w:type="spellEnd"/>
            <w:r w:rsidRPr="00C35E2D">
              <w:t xml:space="preserve"> with respect to key systemic efficacy (ORR, DOR, PFS and OS) and CNS outcomes.</w:t>
            </w:r>
          </w:p>
          <w:p w:rsidR="00457AA5" w:rsidRPr="00C35E2D" w:rsidRDefault="00457AA5" w:rsidP="00BF5AAE">
            <w:pPr>
              <w:pStyle w:val="TableText"/>
            </w:pPr>
            <w:r w:rsidRPr="00C35E2D">
              <w:t xml:space="preserve">The submission also claimed that </w:t>
            </w:r>
            <w:proofErr w:type="spellStart"/>
            <w:r w:rsidRPr="00C35E2D">
              <w:t>alectinib</w:t>
            </w:r>
            <w:proofErr w:type="spellEnd"/>
            <w:r w:rsidRPr="00C35E2D">
              <w:t xml:space="preserve"> has demonstrated a superior tolerability profile </w:t>
            </w:r>
            <w:r w:rsidR="000A7544">
              <w:t xml:space="preserve">over </w:t>
            </w:r>
            <w:proofErr w:type="spellStart"/>
            <w:r w:rsidR="000A7544">
              <w:t>ceritinib</w:t>
            </w:r>
            <w:proofErr w:type="spellEnd"/>
            <w:r w:rsidRPr="00C35E2D">
              <w:t xml:space="preserve">, with lower frequency and severity of key gastrointestinal (GI) events, specifically nausea and </w:t>
            </w:r>
            <w:proofErr w:type="spellStart"/>
            <w:r w:rsidRPr="00C35E2D">
              <w:t>diarrhoea</w:t>
            </w:r>
            <w:proofErr w:type="spellEnd"/>
            <w:r w:rsidRPr="00C35E2D">
              <w:t xml:space="preserve"> (including Grade </w:t>
            </w:r>
            <w:r w:rsidR="000B6350" w:rsidRPr="00C35E2D">
              <w:t>3-4</w:t>
            </w:r>
            <w:r w:rsidR="00EB0EB2" w:rsidRPr="00C35E2D">
              <w:t xml:space="preserve"> severity</w:t>
            </w:r>
            <w:r w:rsidRPr="00C35E2D">
              <w:t xml:space="preserve">), likely to result in lower rates of GI toxicity-related </w:t>
            </w:r>
            <w:proofErr w:type="spellStart"/>
            <w:r w:rsidRPr="00C35E2D">
              <w:t>hospitali</w:t>
            </w:r>
            <w:r w:rsidR="00F622E0" w:rsidRPr="00C35E2D">
              <w:t>s</w:t>
            </w:r>
            <w:r w:rsidRPr="00C35E2D">
              <w:t>ation</w:t>
            </w:r>
            <w:proofErr w:type="spellEnd"/>
            <w:r w:rsidRPr="00C35E2D">
              <w:t xml:space="preserve">, dose interruption, dose reduction, or drug discontinuation and a higher </w:t>
            </w:r>
            <w:proofErr w:type="spellStart"/>
            <w:r w:rsidRPr="00C35E2D">
              <w:t>QoL</w:t>
            </w:r>
            <w:proofErr w:type="spellEnd"/>
            <w:r w:rsidRPr="00C35E2D">
              <w:t>.</w:t>
            </w:r>
          </w:p>
          <w:p w:rsidR="00457AA5" w:rsidRPr="00C35E2D" w:rsidRDefault="00457AA5" w:rsidP="00C35E2D">
            <w:pPr>
              <w:pStyle w:val="TableText"/>
            </w:pPr>
            <w:r w:rsidRPr="00C35E2D">
              <w:t>Acknowledging the limitations of superiority claims based on phase II single-arm comparisons, the submission presented a non-inferiority claim</w:t>
            </w:r>
            <w:r w:rsidR="00C35E2D" w:rsidRPr="00C35E2D">
              <w:t>.</w:t>
            </w:r>
          </w:p>
        </w:tc>
      </w:tr>
    </w:tbl>
    <w:p w:rsidR="004C37B2" w:rsidRPr="00C35E2D" w:rsidRDefault="004C37B2" w:rsidP="00BF5AAE">
      <w:pPr>
        <w:pStyle w:val="TableFooter"/>
        <w:widowControl/>
      </w:pPr>
      <w:r w:rsidRPr="00C35E2D">
        <w:t xml:space="preserve">ALK = anaplastic lymphoma kinase; CNS = central nervous system; DOR = duration of response; NOS = </w:t>
      </w:r>
      <w:r w:rsidR="000A7544" w:rsidRPr="00C35E2D">
        <w:t xml:space="preserve">not otherwise specified; </w:t>
      </w:r>
      <w:r w:rsidRPr="00C35E2D">
        <w:t>NSCLC = non-small cell lung cancer; ORR = objective response rate; OS = overall survival; PFS = progression</w:t>
      </w:r>
      <w:r w:rsidR="0057201C">
        <w:t>-</w:t>
      </w:r>
      <w:r w:rsidRPr="00C35E2D">
        <w:t xml:space="preserve">free survival; </w:t>
      </w:r>
      <w:proofErr w:type="spellStart"/>
      <w:r w:rsidRPr="00C35E2D">
        <w:t>QoL</w:t>
      </w:r>
      <w:proofErr w:type="spellEnd"/>
      <w:r w:rsidRPr="00C35E2D">
        <w:t xml:space="preserve"> = quality of life; WHO = World Health Organisation.</w:t>
      </w:r>
    </w:p>
    <w:p w:rsidR="00457AA5" w:rsidRPr="00D647A9" w:rsidRDefault="00457AA5" w:rsidP="00BF5AAE">
      <w:pPr>
        <w:pStyle w:val="TableFooter"/>
        <w:widowControl/>
      </w:pPr>
      <w:r w:rsidRPr="00C35E2D">
        <w:t>Source: Table 1.2, p7 Section 1 of the</w:t>
      </w:r>
      <w:r w:rsidRPr="00D647A9">
        <w:t xml:space="preserve"> submission.</w:t>
      </w:r>
    </w:p>
    <w:p w:rsidR="00C317F3" w:rsidRDefault="00C317F3" w:rsidP="00BF5AAE">
      <w:pPr>
        <w:pStyle w:val="Heading1"/>
      </w:pPr>
      <w:bookmarkStart w:id="2" w:name="_Toc413139272"/>
      <w:bookmarkStart w:id="3" w:name="_Toc482699433"/>
      <w:r w:rsidRPr="00D647A9">
        <w:t>Requested listing</w:t>
      </w:r>
      <w:bookmarkEnd w:id="2"/>
      <w:bookmarkEnd w:id="3"/>
    </w:p>
    <w:p w:rsidR="00650791" w:rsidRPr="00925157" w:rsidRDefault="00650791" w:rsidP="004C0E62">
      <w:pPr>
        <w:spacing w:before="0" w:after="0"/>
        <w:rPr>
          <w:rFonts w:eastAsia="SimSun" w:cs="Arial"/>
          <w:iCs/>
          <w:color w:val="000000"/>
        </w:rPr>
      </w:pPr>
      <w:r w:rsidRPr="00925157">
        <w:rPr>
          <w:rFonts w:eastAsia="SimSun" w:cs="Arial"/>
          <w:iCs/>
          <w:color w:val="000000"/>
        </w:rPr>
        <w:t>Suggestions and additions proposed by the Secretariat to the requested listing are added in</w:t>
      </w:r>
      <w:r w:rsidRPr="00925157">
        <w:rPr>
          <w:rFonts w:eastAsia="SimSun" w:cs="Arial"/>
          <w:i/>
          <w:iCs/>
          <w:color w:val="000000"/>
        </w:rPr>
        <w:t xml:space="preserve"> italics</w:t>
      </w:r>
      <w:r w:rsidRPr="00925157">
        <w:rPr>
          <w:rFonts w:eastAsia="SimSun" w:cs="Arial"/>
          <w:iCs/>
          <w:color w:val="000000"/>
        </w:rPr>
        <w:t xml:space="preserve"> and suggested deletions are crossed out with </w:t>
      </w:r>
      <w:r w:rsidRPr="00925157">
        <w:rPr>
          <w:rFonts w:eastAsia="SimSun" w:cs="Arial"/>
          <w:iCs/>
          <w:strike/>
          <w:color w:val="000000"/>
        </w:rPr>
        <w:t>strikethrough</w:t>
      </w:r>
      <w:r w:rsidR="00D15456" w:rsidRPr="00925157">
        <w:rPr>
          <w:rFonts w:eastAsia="SimSun" w:cs="Arial"/>
          <w:iCs/>
          <w:color w:val="000000"/>
        </w:rPr>
        <w:t>.</w:t>
      </w:r>
    </w:p>
    <w:p w:rsidR="00C92804" w:rsidRPr="004C0E62" w:rsidRDefault="00C92804" w:rsidP="004C0E62">
      <w:pPr>
        <w:spacing w:before="0" w:after="0"/>
        <w:rPr>
          <w:rFonts w:eastAsia="SimSun" w:cs="Arial"/>
          <w:iCs/>
          <w:color w:val="000000"/>
          <w:sz w:val="22"/>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276"/>
        <w:gridCol w:w="1559"/>
      </w:tblGrid>
      <w:tr w:rsidR="00650791" w:rsidRPr="00650791" w:rsidTr="00F07E29">
        <w:trPr>
          <w:cantSplit/>
          <w:trHeight w:val="471"/>
        </w:trPr>
        <w:tc>
          <w:tcPr>
            <w:tcW w:w="3261" w:type="dxa"/>
            <w:gridSpan w:val="2"/>
            <w:tcBorders>
              <w:bottom w:val="single" w:sz="4" w:space="0" w:color="auto"/>
            </w:tcBorders>
          </w:tcPr>
          <w:p w:rsidR="00650791" w:rsidRPr="00650791" w:rsidRDefault="00650791" w:rsidP="00650791">
            <w:pPr>
              <w:keepNext/>
              <w:spacing w:before="0" w:after="0"/>
              <w:ind w:left="-108"/>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lastRenderedPageBreak/>
              <w:t>Name, Restriction,</w:t>
            </w:r>
          </w:p>
          <w:p w:rsidR="00650791" w:rsidRPr="00650791" w:rsidRDefault="00650791" w:rsidP="00650791">
            <w:pPr>
              <w:keepNext/>
              <w:spacing w:before="0" w:after="0"/>
              <w:ind w:left="-108"/>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Manner of administration and form</w:t>
            </w:r>
          </w:p>
        </w:tc>
        <w:tc>
          <w:tcPr>
            <w:tcW w:w="567" w:type="dxa"/>
            <w:tcBorders>
              <w:bottom w:val="single" w:sz="4" w:space="0" w:color="auto"/>
            </w:tcBorders>
          </w:tcPr>
          <w:p w:rsidR="00650791" w:rsidRPr="00650791" w:rsidRDefault="00650791" w:rsidP="00650791">
            <w:pPr>
              <w:keepNext/>
              <w:spacing w:before="0" w:after="0"/>
              <w:ind w:left="-108"/>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Max.</w:t>
            </w:r>
          </w:p>
          <w:p w:rsidR="00650791" w:rsidRPr="00650791" w:rsidRDefault="00650791" w:rsidP="00650791">
            <w:pPr>
              <w:keepNext/>
              <w:spacing w:before="0" w:after="0"/>
              <w:ind w:left="-108"/>
              <w:rPr>
                <w:rFonts w:ascii="Arial Narrow" w:eastAsia="Times New Roman" w:hAnsi="Arial Narrow" w:cs="Arial"/>
                <w:sz w:val="20"/>
                <w:szCs w:val="20"/>
                <w:lang w:eastAsia="en-AU"/>
              </w:rPr>
            </w:pPr>
            <w:proofErr w:type="spellStart"/>
            <w:r w:rsidRPr="00650791">
              <w:rPr>
                <w:rFonts w:ascii="Arial Narrow" w:eastAsia="Times New Roman" w:hAnsi="Arial Narrow" w:cs="Arial"/>
                <w:sz w:val="20"/>
                <w:szCs w:val="20"/>
                <w:lang w:eastAsia="en-AU"/>
              </w:rPr>
              <w:t>Qty</w:t>
            </w:r>
            <w:proofErr w:type="spellEnd"/>
          </w:p>
        </w:tc>
        <w:tc>
          <w:tcPr>
            <w:tcW w:w="850" w:type="dxa"/>
            <w:tcBorders>
              <w:bottom w:val="single" w:sz="4" w:space="0" w:color="auto"/>
            </w:tcBorders>
          </w:tcPr>
          <w:p w:rsidR="00650791" w:rsidRPr="00650791" w:rsidRDefault="00650791" w:rsidP="00650791">
            <w:pPr>
              <w:keepNext/>
              <w:spacing w:before="0" w:after="0"/>
              <w:ind w:left="-108"/>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№.of</w:t>
            </w:r>
          </w:p>
          <w:p w:rsidR="00650791" w:rsidRPr="00650791" w:rsidRDefault="00650791" w:rsidP="00650791">
            <w:pPr>
              <w:keepNext/>
              <w:spacing w:before="0" w:after="0"/>
              <w:ind w:left="-108"/>
              <w:rPr>
                <w:rFonts w:ascii="Arial Narrow" w:eastAsia="Times New Roman" w:hAnsi="Arial Narrow" w:cs="Arial"/>
                <w:sz w:val="20"/>
                <w:szCs w:val="20"/>
                <w:lang w:eastAsia="en-AU"/>
              </w:rPr>
            </w:pPr>
            <w:proofErr w:type="spellStart"/>
            <w:r w:rsidRPr="00650791">
              <w:rPr>
                <w:rFonts w:ascii="Arial Narrow" w:eastAsia="Times New Roman" w:hAnsi="Arial Narrow" w:cs="Arial"/>
                <w:sz w:val="20"/>
                <w:szCs w:val="20"/>
                <w:lang w:eastAsia="en-AU"/>
              </w:rPr>
              <w:t>Rpts</w:t>
            </w:r>
            <w:proofErr w:type="spellEnd"/>
          </w:p>
        </w:tc>
        <w:tc>
          <w:tcPr>
            <w:tcW w:w="1701" w:type="dxa"/>
            <w:tcBorders>
              <w:bottom w:val="single" w:sz="4" w:space="0" w:color="auto"/>
            </w:tcBorders>
          </w:tcPr>
          <w:p w:rsidR="00650791" w:rsidRPr="00650791" w:rsidRDefault="00650791" w:rsidP="00650791">
            <w:pPr>
              <w:keepNext/>
              <w:spacing w:before="0" w:after="0"/>
              <w:ind w:left="-108"/>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 xml:space="preserve">Dispensed Price for Max. </w:t>
            </w:r>
            <w:proofErr w:type="spellStart"/>
            <w:r w:rsidRPr="00650791">
              <w:rPr>
                <w:rFonts w:ascii="Arial Narrow" w:eastAsia="Times New Roman" w:hAnsi="Arial Narrow" w:cs="Arial"/>
                <w:sz w:val="20"/>
                <w:szCs w:val="20"/>
                <w:lang w:eastAsia="en-AU"/>
              </w:rPr>
              <w:t>Qty</w:t>
            </w:r>
            <w:proofErr w:type="spellEnd"/>
          </w:p>
        </w:tc>
        <w:tc>
          <w:tcPr>
            <w:tcW w:w="2835" w:type="dxa"/>
            <w:gridSpan w:val="2"/>
            <w:tcBorders>
              <w:bottom w:val="single" w:sz="4" w:space="0" w:color="auto"/>
            </w:tcBorders>
          </w:tcPr>
          <w:p w:rsidR="00650791" w:rsidRPr="00650791" w:rsidRDefault="00650791" w:rsidP="00650791">
            <w:pPr>
              <w:keepNext/>
              <w:spacing w:before="0" w:after="0"/>
              <w:rPr>
                <w:rFonts w:ascii="Arial Narrow" w:eastAsia="Times New Roman" w:hAnsi="Arial Narrow" w:cs="Arial"/>
                <w:sz w:val="20"/>
                <w:szCs w:val="20"/>
                <w:lang w:val="fr-FR" w:eastAsia="en-AU"/>
              </w:rPr>
            </w:pPr>
            <w:r w:rsidRPr="00650791">
              <w:rPr>
                <w:rFonts w:ascii="Arial Narrow" w:eastAsia="Times New Roman" w:hAnsi="Arial Narrow" w:cs="Arial"/>
                <w:sz w:val="20"/>
                <w:szCs w:val="20"/>
                <w:lang w:eastAsia="en-AU"/>
              </w:rPr>
              <w:t>Proprietary Name and Manufacturer</w:t>
            </w:r>
          </w:p>
        </w:tc>
      </w:tr>
      <w:tr w:rsidR="00650791" w:rsidRPr="00650791" w:rsidTr="0073171D">
        <w:trPr>
          <w:cantSplit/>
          <w:trHeight w:val="577"/>
        </w:trPr>
        <w:tc>
          <w:tcPr>
            <w:tcW w:w="3261" w:type="dxa"/>
            <w:gridSpan w:val="2"/>
          </w:tcPr>
          <w:p w:rsidR="00650791" w:rsidRPr="00650791" w:rsidRDefault="00650791" w:rsidP="00650791">
            <w:pPr>
              <w:keepNext/>
              <w:spacing w:before="0" w:after="0"/>
              <w:ind w:left="-108"/>
              <w:rPr>
                <w:rFonts w:ascii="Arial Narrow" w:eastAsia="Times New Roman" w:hAnsi="Arial Narrow" w:cs="Arial"/>
                <w:sz w:val="20"/>
                <w:szCs w:val="20"/>
                <w:lang w:eastAsia="en-AU"/>
              </w:rPr>
            </w:pPr>
            <w:r w:rsidRPr="00650791">
              <w:rPr>
                <w:rFonts w:ascii="Arial Narrow" w:eastAsia="Times New Roman" w:hAnsi="Arial Narrow" w:cs="Arial"/>
                <w:smallCaps/>
                <w:sz w:val="20"/>
                <w:szCs w:val="20"/>
                <w:lang w:eastAsia="en-AU"/>
              </w:rPr>
              <w:t>ALECTINIB</w:t>
            </w:r>
          </w:p>
          <w:p w:rsidR="00650791" w:rsidRPr="00650791" w:rsidRDefault="00650791" w:rsidP="00650791">
            <w:pPr>
              <w:keepNext/>
              <w:spacing w:before="0" w:after="0"/>
              <w:ind w:left="-108"/>
              <w:rPr>
                <w:rFonts w:ascii="Arial Narrow" w:eastAsia="Times New Roman" w:hAnsi="Arial Narrow" w:cs="Arial"/>
                <w:sz w:val="20"/>
                <w:szCs w:val="20"/>
                <w:lang w:eastAsia="en-AU"/>
              </w:rPr>
            </w:pPr>
            <w:proofErr w:type="spellStart"/>
            <w:r w:rsidRPr="00650791">
              <w:rPr>
                <w:rFonts w:ascii="Arial Narrow" w:eastAsia="Times New Roman" w:hAnsi="Arial Narrow" w:cs="Arial"/>
                <w:sz w:val="20"/>
                <w:szCs w:val="20"/>
                <w:lang w:eastAsia="en-AU"/>
              </w:rPr>
              <w:t>Alectinib</w:t>
            </w:r>
            <w:proofErr w:type="spellEnd"/>
            <w:r w:rsidRPr="00650791">
              <w:rPr>
                <w:rFonts w:ascii="Arial Narrow" w:eastAsia="Times New Roman" w:hAnsi="Arial Narrow" w:cs="Arial"/>
                <w:sz w:val="20"/>
                <w:szCs w:val="20"/>
                <w:lang w:eastAsia="en-AU"/>
              </w:rPr>
              <w:t xml:space="preserve"> 150 mg capsule, 224</w:t>
            </w:r>
          </w:p>
        </w:tc>
        <w:tc>
          <w:tcPr>
            <w:tcW w:w="567" w:type="dxa"/>
          </w:tcPr>
          <w:p w:rsidR="00650791" w:rsidRPr="00650791" w:rsidRDefault="00650791" w:rsidP="00650791">
            <w:pPr>
              <w:keepNext/>
              <w:spacing w:before="0" w:after="0"/>
              <w:ind w:left="-108"/>
              <w:rPr>
                <w:rFonts w:ascii="Arial Narrow" w:eastAsia="Times New Roman" w:hAnsi="Arial Narrow" w:cs="Arial"/>
                <w:sz w:val="20"/>
                <w:szCs w:val="20"/>
                <w:lang w:eastAsia="en-AU"/>
              </w:rPr>
            </w:pPr>
          </w:p>
          <w:p w:rsidR="00650791" w:rsidRPr="00650791" w:rsidRDefault="00650791" w:rsidP="00650791">
            <w:pPr>
              <w:keepNext/>
              <w:spacing w:before="0" w:after="0"/>
              <w:ind w:left="-108"/>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 xml:space="preserve"> 1</w:t>
            </w:r>
          </w:p>
        </w:tc>
        <w:tc>
          <w:tcPr>
            <w:tcW w:w="850" w:type="dxa"/>
          </w:tcPr>
          <w:p w:rsidR="00650791" w:rsidRPr="00650791" w:rsidRDefault="00650791" w:rsidP="00650791">
            <w:pPr>
              <w:keepNext/>
              <w:spacing w:before="0" w:after="0"/>
              <w:ind w:left="-108"/>
              <w:rPr>
                <w:rFonts w:ascii="Arial Narrow" w:eastAsia="Times New Roman" w:hAnsi="Arial Narrow" w:cs="Arial"/>
                <w:sz w:val="20"/>
                <w:szCs w:val="20"/>
                <w:lang w:eastAsia="en-AU"/>
              </w:rPr>
            </w:pPr>
          </w:p>
          <w:p w:rsidR="00650791" w:rsidRPr="00650791" w:rsidRDefault="00650791" w:rsidP="00650791">
            <w:pPr>
              <w:keepNext/>
              <w:spacing w:before="0" w:after="0"/>
              <w:ind w:left="-108"/>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 xml:space="preserve"> 1</w:t>
            </w:r>
          </w:p>
        </w:tc>
        <w:tc>
          <w:tcPr>
            <w:tcW w:w="1701" w:type="dxa"/>
          </w:tcPr>
          <w:p w:rsidR="00650791" w:rsidRPr="00650791" w:rsidRDefault="00650791" w:rsidP="00650791">
            <w:pPr>
              <w:keepNext/>
              <w:spacing w:before="0" w:after="0"/>
              <w:ind w:left="-108"/>
              <w:rPr>
                <w:rFonts w:ascii="Arial Narrow" w:eastAsia="Times New Roman" w:hAnsi="Arial Narrow" w:cs="Arial"/>
                <w:sz w:val="20"/>
                <w:szCs w:val="20"/>
                <w:lang w:eastAsia="en-AU"/>
              </w:rPr>
            </w:pPr>
          </w:p>
          <w:p w:rsidR="00650791" w:rsidRPr="00650791" w:rsidRDefault="00650791" w:rsidP="00650791">
            <w:pPr>
              <w:keepNext/>
              <w:spacing w:before="0" w:after="0"/>
              <w:ind w:left="-108"/>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w:t>
            </w:r>
            <w:r w:rsidR="001C2F0E">
              <w:rPr>
                <w:rFonts w:ascii="Arial Narrow" w:eastAsia="Times New Roman" w:hAnsi="Arial Narrow" w:cs="Arial"/>
                <w:noProof/>
                <w:color w:val="000000"/>
                <w:sz w:val="20"/>
                <w:szCs w:val="20"/>
                <w:highlight w:val="black"/>
                <w:lang w:eastAsia="en-AU"/>
              </w:rPr>
              <w:t>''''''''''''''''''''</w:t>
            </w:r>
            <w:r w:rsidRPr="00650791">
              <w:rPr>
                <w:rFonts w:ascii="Arial Narrow" w:eastAsia="Times New Roman" w:hAnsi="Arial Narrow" w:cs="Arial"/>
                <w:sz w:val="20"/>
                <w:szCs w:val="20"/>
                <w:lang w:eastAsia="en-AU"/>
              </w:rPr>
              <w:t xml:space="preserve"> (published)</w:t>
            </w:r>
          </w:p>
        </w:tc>
        <w:tc>
          <w:tcPr>
            <w:tcW w:w="1276" w:type="dxa"/>
          </w:tcPr>
          <w:p w:rsidR="00650791" w:rsidRPr="00650791" w:rsidRDefault="00650791" w:rsidP="00650791">
            <w:pPr>
              <w:keepNext/>
              <w:spacing w:before="0" w:after="0"/>
              <w:rPr>
                <w:rFonts w:ascii="Arial Narrow" w:eastAsia="Times New Roman" w:hAnsi="Arial Narrow" w:cs="Arial"/>
                <w:sz w:val="20"/>
                <w:szCs w:val="20"/>
                <w:lang w:eastAsia="en-AU"/>
              </w:rPr>
            </w:pPr>
          </w:p>
          <w:p w:rsidR="00650791" w:rsidRPr="00650791" w:rsidRDefault="00650791" w:rsidP="00650791">
            <w:pPr>
              <w:keepNext/>
              <w:spacing w:before="0" w:after="0"/>
              <w:rPr>
                <w:rFonts w:ascii="Arial Narrow" w:eastAsia="Times New Roman" w:hAnsi="Arial Narrow" w:cs="Arial"/>
                <w:sz w:val="20"/>
                <w:szCs w:val="20"/>
                <w:lang w:eastAsia="en-AU"/>
              </w:rPr>
            </w:pPr>
            <w:proofErr w:type="spellStart"/>
            <w:r w:rsidRPr="00650791">
              <w:rPr>
                <w:rFonts w:ascii="Arial Narrow" w:eastAsia="Times New Roman" w:hAnsi="Arial Narrow" w:cs="Arial"/>
                <w:sz w:val="20"/>
                <w:szCs w:val="20"/>
                <w:lang w:eastAsia="en-AU"/>
              </w:rPr>
              <w:t>Alecensa</w:t>
            </w:r>
            <w:proofErr w:type="spellEnd"/>
          </w:p>
        </w:tc>
        <w:tc>
          <w:tcPr>
            <w:tcW w:w="1559" w:type="dxa"/>
          </w:tcPr>
          <w:p w:rsidR="00650791" w:rsidRPr="00650791" w:rsidRDefault="00650791" w:rsidP="00650791">
            <w:pPr>
              <w:keepNext/>
              <w:spacing w:before="0" w:after="0"/>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 xml:space="preserve">Roche Products Pty Ltd </w:t>
            </w:r>
          </w:p>
        </w:tc>
      </w:tr>
      <w:tr w:rsidR="00650791" w:rsidRPr="00650791" w:rsidTr="00F07E29">
        <w:trPr>
          <w:cantSplit/>
          <w:trHeight w:val="360"/>
        </w:trPr>
        <w:tc>
          <w:tcPr>
            <w:tcW w:w="9214" w:type="dxa"/>
            <w:gridSpan w:val="7"/>
            <w:tcBorders>
              <w:bottom w:val="single" w:sz="4" w:space="0" w:color="auto"/>
            </w:tcBorders>
          </w:tcPr>
          <w:p w:rsidR="00650791" w:rsidRPr="00650791" w:rsidRDefault="00650791" w:rsidP="00650791">
            <w:pPr>
              <w:spacing w:before="0" w:after="0"/>
              <w:rPr>
                <w:rFonts w:ascii="Arial Narrow" w:eastAsia="Times New Roman" w:hAnsi="Arial Narrow" w:cs="Arial"/>
                <w:sz w:val="20"/>
                <w:szCs w:val="20"/>
                <w:lang w:eastAsia="en-AU"/>
              </w:rPr>
            </w:pPr>
          </w:p>
        </w:tc>
      </w:tr>
      <w:tr w:rsidR="00650791" w:rsidRPr="00650791" w:rsidTr="00F07E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0791" w:rsidRPr="00650791" w:rsidRDefault="00650791" w:rsidP="0073171D">
            <w:pPr>
              <w:spacing w:before="0" w:after="0"/>
              <w:rPr>
                <w:rFonts w:ascii="Arial Narrow" w:eastAsia="Times New Roman" w:hAnsi="Arial Narrow" w:cs="Arial"/>
                <w:b/>
                <w:sz w:val="20"/>
                <w:szCs w:val="20"/>
                <w:lang w:eastAsia="en-AU"/>
              </w:rPr>
            </w:pPr>
            <w:r w:rsidRPr="00650791">
              <w:rPr>
                <w:rFonts w:ascii="Arial Narrow" w:eastAsia="Times New Roman" w:hAnsi="Arial Narrow" w:cs="Arial"/>
                <w:b/>
                <w:sz w:val="20"/>
                <w:szCs w:val="20"/>
                <w:lang w:eastAsia="en-AU"/>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650791" w:rsidRPr="00650791" w:rsidRDefault="00650791" w:rsidP="0073171D">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GENERAL – General Schedule (Code GE)</w:t>
            </w:r>
          </w:p>
        </w:tc>
      </w:tr>
      <w:tr w:rsidR="00650791" w:rsidRPr="00650791" w:rsidTr="00F07E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rPr>
                <w:rFonts w:ascii="Arial Narrow" w:eastAsia="Times New Roman" w:hAnsi="Arial Narrow" w:cs="Arial"/>
                <w:b/>
                <w:sz w:val="20"/>
                <w:szCs w:val="20"/>
                <w:lang w:eastAsia="en-AU"/>
              </w:rPr>
            </w:pPr>
            <w:r w:rsidRPr="00650791">
              <w:rPr>
                <w:rFonts w:ascii="Arial Narrow" w:eastAsia="Times New Roman" w:hAnsi="Arial Narrow" w:cs="Arial"/>
                <w:b/>
                <w:sz w:val="20"/>
                <w:szCs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fldChar w:fldCharType="begin">
                <w:ffData>
                  <w:name w:val="Check1"/>
                  <w:enabled/>
                  <w:calcOnExit w:val="0"/>
                  <w:checkBox>
                    <w:sizeAuto/>
                    <w:default w:val="0"/>
                  </w:checkBox>
                </w:ffData>
              </w:fldChar>
            </w:r>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r w:rsidRPr="00650791">
              <w:rPr>
                <w:rFonts w:ascii="Arial Narrow" w:eastAsia="Times New Roman" w:hAnsi="Arial Narrow" w:cs="Arial"/>
                <w:sz w:val="20"/>
                <w:szCs w:val="20"/>
                <w:lang w:eastAsia="en-AU"/>
              </w:rPr>
              <w:t xml:space="preserve">Dental  </w:t>
            </w:r>
            <w:r w:rsidRPr="00650791">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r w:rsidRPr="00650791">
              <w:rPr>
                <w:rFonts w:ascii="Arial Narrow" w:eastAsia="Times New Roman" w:hAnsi="Arial Narrow" w:cs="Arial"/>
                <w:sz w:val="20"/>
                <w:szCs w:val="20"/>
                <w:lang w:eastAsia="en-AU"/>
              </w:rPr>
              <w:t xml:space="preserve">Medical Practitioners  </w:t>
            </w:r>
            <w:r w:rsidRPr="00650791">
              <w:rPr>
                <w:rFonts w:ascii="Arial Narrow" w:eastAsia="Times New Roman" w:hAnsi="Arial Narrow" w:cs="Arial"/>
                <w:sz w:val="20"/>
                <w:szCs w:val="20"/>
                <w:lang w:eastAsia="en-AU"/>
              </w:rPr>
              <w:fldChar w:fldCharType="begin">
                <w:ffData>
                  <w:name w:val="Check3"/>
                  <w:enabled/>
                  <w:calcOnExit w:val="0"/>
                  <w:checkBox>
                    <w:sizeAuto/>
                    <w:default w:val="0"/>
                  </w:checkBox>
                </w:ffData>
              </w:fldChar>
            </w:r>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r w:rsidRPr="00650791">
              <w:rPr>
                <w:rFonts w:ascii="Arial Narrow" w:eastAsia="Times New Roman" w:hAnsi="Arial Narrow" w:cs="Arial"/>
                <w:sz w:val="20"/>
                <w:szCs w:val="20"/>
                <w:lang w:eastAsia="en-AU"/>
              </w:rPr>
              <w:t xml:space="preserve">Nurse practitioners  </w:t>
            </w:r>
            <w:r w:rsidRPr="00650791">
              <w:rPr>
                <w:rFonts w:ascii="Arial Narrow" w:eastAsia="Times New Roman" w:hAnsi="Arial Narrow" w:cs="Arial"/>
                <w:sz w:val="20"/>
                <w:szCs w:val="20"/>
                <w:lang w:eastAsia="en-AU"/>
              </w:rPr>
              <w:fldChar w:fldCharType="begin">
                <w:ffData>
                  <w:name w:val=""/>
                  <w:enabled/>
                  <w:calcOnExit w:val="0"/>
                  <w:checkBox>
                    <w:sizeAuto/>
                    <w:default w:val="0"/>
                  </w:checkBox>
                </w:ffData>
              </w:fldChar>
            </w:r>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r w:rsidRPr="00650791">
              <w:rPr>
                <w:rFonts w:ascii="Arial Narrow" w:eastAsia="Times New Roman" w:hAnsi="Arial Narrow" w:cs="Arial"/>
                <w:sz w:val="20"/>
                <w:szCs w:val="20"/>
                <w:lang w:eastAsia="en-AU"/>
              </w:rPr>
              <w:t>Optometrists</w:t>
            </w:r>
          </w:p>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fldChar w:fldCharType="begin">
                <w:ffData>
                  <w:name w:val="Check5"/>
                  <w:enabled/>
                  <w:calcOnExit w:val="0"/>
                  <w:checkBox>
                    <w:sizeAuto/>
                    <w:default w:val="0"/>
                  </w:checkBox>
                </w:ffData>
              </w:fldChar>
            </w:r>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r w:rsidRPr="00650791">
              <w:rPr>
                <w:rFonts w:ascii="Arial Narrow" w:eastAsia="Times New Roman" w:hAnsi="Arial Narrow" w:cs="Arial"/>
                <w:sz w:val="20"/>
                <w:szCs w:val="20"/>
                <w:lang w:eastAsia="en-AU"/>
              </w:rPr>
              <w:t>Midwives</w:t>
            </w:r>
          </w:p>
        </w:tc>
      </w:tr>
      <w:tr w:rsidR="00650791" w:rsidRPr="00650791" w:rsidTr="00F07E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rPr>
                <w:rFonts w:ascii="Arial Narrow" w:eastAsia="Times New Roman" w:hAnsi="Arial Narrow" w:cs="Arial"/>
                <w:b/>
                <w:sz w:val="20"/>
                <w:szCs w:val="20"/>
                <w:lang w:eastAsia="en-AU"/>
              </w:rPr>
            </w:pPr>
            <w:r w:rsidRPr="00650791">
              <w:rPr>
                <w:rFonts w:ascii="Arial Narrow" w:eastAsia="Times New Roman" w:hAnsi="Arial Narrow" w:cs="Arial"/>
                <w:b/>
                <w:sz w:val="20"/>
                <w:szCs w:val="20"/>
                <w:lang w:eastAsia="en-AU"/>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Stage IIIB (locally advanced) or Stage IV (metastatic)</w:t>
            </w:r>
          </w:p>
        </w:tc>
      </w:tr>
      <w:tr w:rsidR="00650791" w:rsidRPr="00650791" w:rsidTr="00F07E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rPr>
                <w:rFonts w:ascii="Arial Narrow" w:eastAsia="Times New Roman" w:hAnsi="Arial Narrow" w:cs="Arial"/>
                <w:b/>
                <w:sz w:val="20"/>
                <w:szCs w:val="20"/>
                <w:lang w:eastAsia="en-AU"/>
              </w:rPr>
            </w:pPr>
            <w:r w:rsidRPr="00650791">
              <w:rPr>
                <w:rFonts w:ascii="Arial Narrow" w:eastAsia="Times New Roman" w:hAnsi="Arial Narrow" w:cs="Arial"/>
                <w:b/>
                <w:sz w:val="20"/>
                <w:szCs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 xml:space="preserve">non-small cell lung cancer (NSCLC) </w:t>
            </w:r>
          </w:p>
        </w:tc>
      </w:tr>
      <w:tr w:rsidR="00650791" w:rsidRPr="00650791" w:rsidTr="00F07E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rPr>
                <w:rFonts w:ascii="Arial Narrow" w:eastAsia="Times New Roman" w:hAnsi="Arial Narrow" w:cs="Arial"/>
                <w:b/>
                <w:sz w:val="20"/>
                <w:szCs w:val="20"/>
                <w:lang w:eastAsia="en-AU"/>
              </w:rPr>
            </w:pPr>
            <w:r w:rsidRPr="00650791">
              <w:rPr>
                <w:rFonts w:ascii="Arial Narrow" w:eastAsia="Times New Roman" w:hAnsi="Arial Narrow" w:cs="Arial"/>
                <w:b/>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Stage IIIB (locally advanced) or Stage IV (metastatic) non-small cell lung cancer (NSCLC)</w:t>
            </w:r>
          </w:p>
        </w:tc>
      </w:tr>
      <w:tr w:rsidR="00650791" w:rsidRPr="00650791" w:rsidTr="00F07E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rPr>
                <w:rFonts w:ascii="Arial Narrow" w:eastAsia="Times New Roman" w:hAnsi="Arial Narrow" w:cs="Arial"/>
                <w:b/>
                <w:sz w:val="20"/>
                <w:szCs w:val="20"/>
                <w:lang w:eastAsia="en-AU"/>
              </w:rPr>
            </w:pPr>
            <w:r w:rsidRPr="00650791">
              <w:rPr>
                <w:rFonts w:ascii="Arial Narrow" w:eastAsia="Times New Roman" w:hAnsi="Arial Narrow" w:cs="Arial"/>
                <w:b/>
                <w:sz w:val="20"/>
                <w:szCs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 xml:space="preserve">Initial treatment </w:t>
            </w:r>
          </w:p>
        </w:tc>
      </w:tr>
      <w:tr w:rsidR="00650791" w:rsidRPr="00650791" w:rsidTr="00F07E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0791" w:rsidRPr="00650791" w:rsidRDefault="00650791" w:rsidP="0073171D">
            <w:pPr>
              <w:spacing w:before="0" w:after="0"/>
              <w:rPr>
                <w:rFonts w:ascii="Arial Narrow" w:eastAsia="Times New Roman" w:hAnsi="Arial Narrow" w:cs="Arial"/>
                <w:i/>
                <w:sz w:val="20"/>
                <w:szCs w:val="20"/>
                <w:lang w:eastAsia="en-AU"/>
              </w:rPr>
            </w:pPr>
            <w:r w:rsidRPr="00650791">
              <w:rPr>
                <w:rFonts w:ascii="Arial Narrow" w:eastAsia="Times New Roman" w:hAnsi="Arial Narrow" w:cs="Arial"/>
                <w:b/>
                <w:sz w:val="20"/>
                <w:szCs w:val="20"/>
                <w:lang w:eastAsia="en-AU"/>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fldChar w:fldCharType="begin">
                <w:ffData>
                  <w:name w:val="Check1"/>
                  <w:enabled/>
                  <w:calcOnExit w:val="0"/>
                  <w:checkBox>
                    <w:sizeAuto/>
                    <w:default w:val="0"/>
                  </w:checkBox>
                </w:ffData>
              </w:fldChar>
            </w:r>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r w:rsidRPr="00650791">
              <w:rPr>
                <w:rFonts w:ascii="Arial Narrow" w:eastAsia="Times New Roman" w:hAnsi="Arial Narrow" w:cs="Arial"/>
                <w:sz w:val="20"/>
                <w:szCs w:val="20"/>
                <w:lang w:eastAsia="en-AU"/>
              </w:rPr>
              <w:t>Restricted benefit</w:t>
            </w:r>
          </w:p>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fldChar w:fldCharType="begin">
                <w:ffData>
                  <w:name w:val=""/>
                  <w:enabled/>
                  <w:calcOnExit w:val="0"/>
                  <w:checkBox>
                    <w:sizeAuto/>
                    <w:default w:val="0"/>
                  </w:checkBox>
                </w:ffData>
              </w:fldChar>
            </w:r>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r w:rsidRPr="00650791">
              <w:rPr>
                <w:rFonts w:ascii="Arial Narrow" w:eastAsia="Times New Roman" w:hAnsi="Arial Narrow" w:cs="Arial"/>
                <w:sz w:val="20"/>
                <w:szCs w:val="20"/>
                <w:lang w:eastAsia="en-AU"/>
              </w:rPr>
              <w:t>Authority Required - In Writing</w:t>
            </w:r>
          </w:p>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fldChar w:fldCharType="begin">
                <w:ffData>
                  <w:name w:val="Check3"/>
                  <w:enabled/>
                  <w:calcOnExit w:val="0"/>
                  <w:checkBox>
                    <w:sizeAuto/>
                    <w:default w:val="1"/>
                  </w:checkBox>
                </w:ffData>
              </w:fldChar>
            </w:r>
            <w:bookmarkStart w:id="4" w:name="Check3"/>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bookmarkEnd w:id="4"/>
            <w:r w:rsidRPr="00650791">
              <w:rPr>
                <w:rFonts w:ascii="Arial Narrow" w:eastAsia="Times New Roman" w:hAnsi="Arial Narrow" w:cs="Arial"/>
                <w:sz w:val="20"/>
                <w:szCs w:val="20"/>
                <w:lang w:eastAsia="en-AU"/>
              </w:rPr>
              <w:t>Authority Required - Telephone</w:t>
            </w:r>
          </w:p>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fldChar w:fldCharType="begin">
                <w:ffData>
                  <w:name w:val=""/>
                  <w:enabled/>
                  <w:calcOnExit w:val="0"/>
                  <w:checkBox>
                    <w:sizeAuto/>
                    <w:default w:val="0"/>
                  </w:checkBox>
                </w:ffData>
              </w:fldChar>
            </w:r>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r w:rsidRPr="00650791">
              <w:rPr>
                <w:rFonts w:ascii="Arial Narrow" w:eastAsia="Times New Roman" w:hAnsi="Arial Narrow" w:cs="Arial"/>
                <w:sz w:val="20"/>
                <w:szCs w:val="20"/>
                <w:lang w:eastAsia="en-AU"/>
              </w:rPr>
              <w:t>Authority Required - Emergency</w:t>
            </w:r>
          </w:p>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fldChar w:fldCharType="begin">
                <w:ffData>
                  <w:name w:val="Check5"/>
                  <w:enabled/>
                  <w:calcOnExit w:val="0"/>
                  <w:checkBox>
                    <w:sizeAuto/>
                    <w:default w:val="0"/>
                  </w:checkBox>
                </w:ffData>
              </w:fldChar>
            </w:r>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r w:rsidRPr="00650791">
              <w:rPr>
                <w:rFonts w:ascii="Arial Narrow" w:eastAsia="Times New Roman" w:hAnsi="Arial Narrow" w:cs="Arial"/>
                <w:sz w:val="20"/>
                <w:szCs w:val="20"/>
                <w:lang w:eastAsia="en-AU"/>
              </w:rPr>
              <w:t>Authority Required - Electronic</w:t>
            </w:r>
          </w:p>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fldChar w:fldCharType="begin">
                <w:ffData>
                  <w:name w:val="Check5"/>
                  <w:enabled/>
                  <w:calcOnExit w:val="0"/>
                  <w:checkBox>
                    <w:sizeAuto/>
                    <w:default w:val="0"/>
                  </w:checkBox>
                </w:ffData>
              </w:fldChar>
            </w:r>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r w:rsidRPr="00650791">
              <w:rPr>
                <w:rFonts w:ascii="Arial Narrow" w:eastAsia="Times New Roman" w:hAnsi="Arial Narrow" w:cs="Arial"/>
                <w:sz w:val="20"/>
                <w:szCs w:val="20"/>
                <w:lang w:eastAsia="en-AU"/>
              </w:rPr>
              <w:t>Streamlined</w:t>
            </w:r>
          </w:p>
        </w:tc>
      </w:tr>
      <w:tr w:rsidR="00650791" w:rsidRPr="00650791" w:rsidTr="00F07E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0791" w:rsidRPr="00650791" w:rsidRDefault="00650791" w:rsidP="0073171D">
            <w:pPr>
              <w:spacing w:before="0" w:after="0"/>
              <w:rPr>
                <w:rFonts w:ascii="Arial Narrow" w:eastAsia="Times New Roman" w:hAnsi="Arial Narrow" w:cs="Arial"/>
                <w:sz w:val="20"/>
                <w:szCs w:val="20"/>
                <w:lang w:eastAsia="en-AU"/>
              </w:rPr>
            </w:pPr>
            <w:r w:rsidRPr="00650791">
              <w:rPr>
                <w:rFonts w:ascii="Arial Narrow" w:eastAsia="Times New Roman" w:hAnsi="Arial Narrow" w:cs="Arial"/>
                <w:b/>
                <w:sz w:val="20"/>
                <w:szCs w:val="20"/>
                <w:lang w:eastAsia="en-AU"/>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 xml:space="preserve">The treatment must be as monotherapy, </w:t>
            </w:r>
          </w:p>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AND</w:t>
            </w:r>
          </w:p>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 xml:space="preserve">The condition must be non-squamous type non-small cell lung cancer (NSCLC) or not otherwise specified type NSCLC, </w:t>
            </w:r>
          </w:p>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AND</w:t>
            </w:r>
          </w:p>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Patient must have a WHO performance status of 2 or less,</w:t>
            </w:r>
          </w:p>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AND</w:t>
            </w:r>
          </w:p>
          <w:p w:rsidR="00650791" w:rsidRPr="00650791" w:rsidRDefault="00650791" w:rsidP="00650791">
            <w:pPr>
              <w:spacing w:before="0" w:after="0"/>
              <w:jc w:val="left"/>
              <w:rPr>
                <w:rFonts w:ascii="Arial Narrow" w:eastAsia="Times New Roman" w:hAnsi="Arial Narrow" w:cs="Arial"/>
                <w:strike/>
                <w:sz w:val="20"/>
                <w:szCs w:val="20"/>
                <w:lang w:eastAsia="en-AU"/>
              </w:rPr>
            </w:pPr>
            <w:r w:rsidRPr="00650791">
              <w:rPr>
                <w:rFonts w:ascii="Arial Narrow" w:eastAsia="Times New Roman" w:hAnsi="Arial Narrow" w:cs="Arial"/>
                <w:strike/>
                <w:sz w:val="20"/>
                <w:szCs w:val="20"/>
                <w:lang w:eastAsia="en-AU"/>
              </w:rPr>
              <w:t>Patient must have disease progression, following treatment with a prior ALK inhibitor</w:t>
            </w:r>
          </w:p>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i/>
                <w:sz w:val="20"/>
                <w:szCs w:val="20"/>
                <w:lang w:eastAsia="en-AU"/>
              </w:rPr>
              <w:t>The condition must have progressed following treatment with a prior ALK inhibitor</w:t>
            </w:r>
            <w:r w:rsidRPr="00650791">
              <w:rPr>
                <w:rFonts w:ascii="Arial Narrow" w:eastAsia="Times New Roman" w:hAnsi="Arial Narrow" w:cs="Arial"/>
                <w:sz w:val="20"/>
                <w:szCs w:val="20"/>
                <w:lang w:eastAsia="en-AU"/>
              </w:rPr>
              <w:t>; OR</w:t>
            </w:r>
          </w:p>
          <w:p w:rsidR="00650791" w:rsidRPr="00650791" w:rsidRDefault="00650791" w:rsidP="00D15456">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i/>
                <w:sz w:val="20"/>
                <w:szCs w:val="20"/>
                <w:lang w:eastAsia="en-AU"/>
              </w:rPr>
              <w:t>Patient must have developed intolerance to a prior ALK inhibitor of a severity necessitating permanent treatment withdrawal</w:t>
            </w:r>
          </w:p>
        </w:tc>
      </w:tr>
      <w:tr w:rsidR="00650791" w:rsidRPr="00650791" w:rsidTr="00F07E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0791" w:rsidRPr="00650791" w:rsidRDefault="00650791" w:rsidP="0073171D">
            <w:pPr>
              <w:spacing w:before="0" w:after="0"/>
              <w:rPr>
                <w:rFonts w:ascii="Arial Narrow" w:eastAsia="Times New Roman" w:hAnsi="Arial Narrow" w:cs="Arial"/>
                <w:sz w:val="20"/>
                <w:szCs w:val="20"/>
                <w:lang w:eastAsia="en-AU"/>
              </w:rPr>
            </w:pPr>
            <w:r w:rsidRPr="00650791">
              <w:rPr>
                <w:rFonts w:ascii="Arial Narrow" w:eastAsia="Times New Roman" w:hAnsi="Arial Narrow" w:cs="Arial"/>
                <w:b/>
                <w:sz w:val="20"/>
                <w:szCs w:val="20"/>
                <w:lang w:eastAsia="en-AU"/>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650791" w:rsidRPr="00650791" w:rsidRDefault="00650791" w:rsidP="00D15456">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Patient must have prior evidence of an anaplastic lymphoma kinase (ALK) gene rearrangement in tumour material, defined as ≥ 15% positive cells by fluorescence in situ hybridisation (FISH) testing</w:t>
            </w:r>
            <w:r w:rsidRPr="00650791">
              <w:rPr>
                <w:rFonts w:ascii="Arial Narrow" w:eastAsia="Times New Roman" w:hAnsi="Arial Narrow" w:cs="Arial"/>
                <w:strike/>
                <w:sz w:val="20"/>
                <w:szCs w:val="20"/>
                <w:lang w:eastAsia="en-AU"/>
              </w:rPr>
              <w:t xml:space="preserve">, previously performed at the time of initial biopsy for determination of ALK gene re-arrangement status for access to an initial ALK inhibitor. </w:t>
            </w:r>
          </w:p>
        </w:tc>
      </w:tr>
      <w:tr w:rsidR="00650791" w:rsidRPr="00650791" w:rsidTr="00F07E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0791" w:rsidRPr="00650791" w:rsidRDefault="00650791" w:rsidP="0073171D">
            <w:pPr>
              <w:spacing w:before="0" w:after="0"/>
              <w:rPr>
                <w:rFonts w:ascii="Arial Narrow" w:eastAsia="Times New Roman" w:hAnsi="Arial Narrow" w:cs="Arial"/>
                <w:i/>
                <w:sz w:val="20"/>
                <w:szCs w:val="20"/>
                <w:lang w:eastAsia="en-AU"/>
              </w:rPr>
            </w:pPr>
            <w:r w:rsidRPr="00650791">
              <w:rPr>
                <w:rFonts w:ascii="Arial Narrow" w:eastAsia="Times New Roman" w:hAnsi="Arial Narrow" w:cs="Arial"/>
                <w:b/>
                <w:sz w:val="20"/>
                <w:szCs w:val="20"/>
                <w:lang w:eastAsia="en-AU"/>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jc w:val="left"/>
              <w:rPr>
                <w:rFonts w:ascii="Arial Narrow" w:eastAsia="Times New Roman" w:hAnsi="Arial Narrow" w:cs="Arial"/>
                <w:i/>
                <w:sz w:val="20"/>
                <w:szCs w:val="20"/>
                <w:lang w:eastAsia="en-AU"/>
              </w:rPr>
            </w:pPr>
            <w:r w:rsidRPr="00650791">
              <w:rPr>
                <w:rFonts w:ascii="Arial Narrow" w:eastAsia="Times New Roman" w:hAnsi="Arial Narrow" w:cs="Arial"/>
                <w:i/>
                <w:sz w:val="20"/>
                <w:szCs w:val="20"/>
                <w:lang w:eastAsia="en-AU"/>
              </w:rPr>
              <w:t xml:space="preserve">No increase in the maximum quantity or number of units may be authorised. </w:t>
            </w:r>
          </w:p>
          <w:p w:rsidR="00650791" w:rsidRPr="00650791" w:rsidRDefault="00650791" w:rsidP="00650791">
            <w:pPr>
              <w:spacing w:before="0" w:after="0"/>
              <w:jc w:val="left"/>
              <w:rPr>
                <w:rFonts w:ascii="Arial Narrow" w:eastAsia="Times New Roman" w:hAnsi="Arial Narrow" w:cs="Arial"/>
                <w:i/>
                <w:sz w:val="20"/>
                <w:szCs w:val="20"/>
                <w:lang w:eastAsia="en-AU"/>
              </w:rPr>
            </w:pPr>
            <w:r w:rsidRPr="00650791">
              <w:rPr>
                <w:rFonts w:ascii="Arial Narrow" w:eastAsia="Times New Roman" w:hAnsi="Arial Narrow" w:cs="Arial"/>
                <w:i/>
                <w:sz w:val="20"/>
                <w:szCs w:val="20"/>
                <w:lang w:eastAsia="en-AU"/>
              </w:rPr>
              <w:t xml:space="preserve">No increase in the maximum number of repeats may be authorised. </w:t>
            </w:r>
          </w:p>
          <w:p w:rsidR="00650791" w:rsidRPr="00650791" w:rsidRDefault="00650791" w:rsidP="00E70763">
            <w:pPr>
              <w:spacing w:before="0" w:after="0"/>
              <w:rPr>
                <w:rFonts w:ascii="Arial Narrow" w:eastAsia="Times New Roman" w:hAnsi="Arial Narrow" w:cs="Arial"/>
                <w:sz w:val="20"/>
                <w:szCs w:val="20"/>
                <w:lang w:eastAsia="en-AU"/>
              </w:rPr>
            </w:pPr>
            <w:r w:rsidRPr="00650791">
              <w:rPr>
                <w:rFonts w:ascii="Arial Narrow" w:eastAsia="Times New Roman" w:hAnsi="Arial Narrow" w:cs="Arial"/>
                <w:i/>
                <w:sz w:val="20"/>
                <w:szCs w:val="20"/>
                <w:lang w:eastAsia="en-AU"/>
              </w:rPr>
              <w:t>Special Pricing Arrangements apply.</w:t>
            </w:r>
          </w:p>
        </w:tc>
      </w:tr>
    </w:tbl>
    <w:p w:rsidR="00650791" w:rsidRDefault="00650791" w:rsidP="00650791"/>
    <w:p w:rsidR="00993409" w:rsidRDefault="00993409" w:rsidP="00650791"/>
    <w:tbl>
      <w:tblPr>
        <w:tblW w:w="9214" w:type="dxa"/>
        <w:tblInd w:w="108" w:type="dxa"/>
        <w:tblLayout w:type="fixed"/>
        <w:tblLook w:val="0000" w:firstRow="0" w:lastRow="0" w:firstColumn="0" w:lastColumn="0" w:noHBand="0" w:noVBand="0"/>
      </w:tblPr>
      <w:tblGrid>
        <w:gridCol w:w="2835"/>
        <w:gridCol w:w="426"/>
        <w:gridCol w:w="567"/>
        <w:gridCol w:w="850"/>
        <w:gridCol w:w="1701"/>
        <w:gridCol w:w="1276"/>
        <w:gridCol w:w="1559"/>
      </w:tblGrid>
      <w:tr w:rsidR="00650791" w:rsidRPr="00650791" w:rsidTr="00F07E29">
        <w:trPr>
          <w:cantSplit/>
          <w:trHeight w:val="471"/>
        </w:trPr>
        <w:tc>
          <w:tcPr>
            <w:tcW w:w="3261" w:type="dxa"/>
            <w:gridSpan w:val="2"/>
            <w:tcBorders>
              <w:bottom w:val="single" w:sz="4" w:space="0" w:color="auto"/>
            </w:tcBorders>
          </w:tcPr>
          <w:p w:rsidR="00650791" w:rsidRPr="00650791" w:rsidRDefault="00650791" w:rsidP="00650791">
            <w:pPr>
              <w:keepNext/>
              <w:spacing w:before="0" w:after="0"/>
              <w:ind w:left="-108"/>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Name, Restriction,</w:t>
            </w:r>
          </w:p>
          <w:p w:rsidR="00650791" w:rsidRPr="00650791" w:rsidRDefault="00650791" w:rsidP="00650791">
            <w:pPr>
              <w:keepNext/>
              <w:spacing w:before="0" w:after="0"/>
              <w:ind w:left="-108"/>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Manner of administration and form</w:t>
            </w:r>
          </w:p>
        </w:tc>
        <w:tc>
          <w:tcPr>
            <w:tcW w:w="567" w:type="dxa"/>
            <w:tcBorders>
              <w:bottom w:val="single" w:sz="4" w:space="0" w:color="auto"/>
            </w:tcBorders>
          </w:tcPr>
          <w:p w:rsidR="00650791" w:rsidRPr="00650791" w:rsidRDefault="00650791" w:rsidP="00650791">
            <w:pPr>
              <w:keepNext/>
              <w:spacing w:before="0" w:after="0"/>
              <w:ind w:left="-108"/>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Max.</w:t>
            </w:r>
          </w:p>
          <w:p w:rsidR="00650791" w:rsidRPr="00650791" w:rsidRDefault="00650791" w:rsidP="00650791">
            <w:pPr>
              <w:keepNext/>
              <w:spacing w:before="0" w:after="0"/>
              <w:ind w:left="-108"/>
              <w:rPr>
                <w:rFonts w:ascii="Arial Narrow" w:eastAsia="Times New Roman" w:hAnsi="Arial Narrow" w:cs="Arial"/>
                <w:sz w:val="20"/>
                <w:szCs w:val="20"/>
                <w:lang w:eastAsia="en-AU"/>
              </w:rPr>
            </w:pPr>
            <w:proofErr w:type="spellStart"/>
            <w:r w:rsidRPr="00650791">
              <w:rPr>
                <w:rFonts w:ascii="Arial Narrow" w:eastAsia="Times New Roman" w:hAnsi="Arial Narrow" w:cs="Arial"/>
                <w:sz w:val="20"/>
                <w:szCs w:val="20"/>
                <w:lang w:eastAsia="en-AU"/>
              </w:rPr>
              <w:t>Qty</w:t>
            </w:r>
            <w:proofErr w:type="spellEnd"/>
          </w:p>
        </w:tc>
        <w:tc>
          <w:tcPr>
            <w:tcW w:w="850" w:type="dxa"/>
            <w:tcBorders>
              <w:bottom w:val="single" w:sz="4" w:space="0" w:color="auto"/>
            </w:tcBorders>
          </w:tcPr>
          <w:p w:rsidR="00650791" w:rsidRPr="00650791" w:rsidRDefault="00650791" w:rsidP="00650791">
            <w:pPr>
              <w:keepNext/>
              <w:spacing w:before="0" w:after="0"/>
              <w:ind w:left="-108"/>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№.of</w:t>
            </w:r>
          </w:p>
          <w:p w:rsidR="00650791" w:rsidRPr="00650791" w:rsidRDefault="00650791" w:rsidP="00650791">
            <w:pPr>
              <w:keepNext/>
              <w:spacing w:before="0" w:after="0"/>
              <w:ind w:left="-108"/>
              <w:rPr>
                <w:rFonts w:ascii="Arial Narrow" w:eastAsia="Times New Roman" w:hAnsi="Arial Narrow" w:cs="Arial"/>
                <w:sz w:val="20"/>
                <w:szCs w:val="20"/>
                <w:lang w:eastAsia="en-AU"/>
              </w:rPr>
            </w:pPr>
            <w:proofErr w:type="spellStart"/>
            <w:r w:rsidRPr="00650791">
              <w:rPr>
                <w:rFonts w:ascii="Arial Narrow" w:eastAsia="Times New Roman" w:hAnsi="Arial Narrow" w:cs="Arial"/>
                <w:sz w:val="20"/>
                <w:szCs w:val="20"/>
                <w:lang w:eastAsia="en-AU"/>
              </w:rPr>
              <w:t>Rpts</w:t>
            </w:r>
            <w:proofErr w:type="spellEnd"/>
          </w:p>
        </w:tc>
        <w:tc>
          <w:tcPr>
            <w:tcW w:w="1701" w:type="dxa"/>
            <w:tcBorders>
              <w:bottom w:val="single" w:sz="4" w:space="0" w:color="auto"/>
            </w:tcBorders>
          </w:tcPr>
          <w:p w:rsidR="00650791" w:rsidRPr="00650791" w:rsidRDefault="00650791" w:rsidP="00650791">
            <w:pPr>
              <w:keepNext/>
              <w:spacing w:before="0" w:after="0"/>
              <w:ind w:left="-108"/>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 xml:space="preserve">Dispensed Price for Max. </w:t>
            </w:r>
            <w:proofErr w:type="spellStart"/>
            <w:r w:rsidRPr="00650791">
              <w:rPr>
                <w:rFonts w:ascii="Arial Narrow" w:eastAsia="Times New Roman" w:hAnsi="Arial Narrow" w:cs="Arial"/>
                <w:sz w:val="20"/>
                <w:szCs w:val="20"/>
                <w:lang w:eastAsia="en-AU"/>
              </w:rPr>
              <w:t>Qty</w:t>
            </w:r>
            <w:proofErr w:type="spellEnd"/>
          </w:p>
        </w:tc>
        <w:tc>
          <w:tcPr>
            <w:tcW w:w="2835" w:type="dxa"/>
            <w:gridSpan w:val="2"/>
            <w:tcBorders>
              <w:bottom w:val="single" w:sz="4" w:space="0" w:color="auto"/>
            </w:tcBorders>
          </w:tcPr>
          <w:p w:rsidR="00650791" w:rsidRPr="00650791" w:rsidRDefault="00650791" w:rsidP="00650791">
            <w:pPr>
              <w:keepNext/>
              <w:spacing w:before="0" w:after="0"/>
              <w:rPr>
                <w:rFonts w:ascii="Arial Narrow" w:eastAsia="Times New Roman" w:hAnsi="Arial Narrow" w:cs="Arial"/>
                <w:sz w:val="20"/>
                <w:szCs w:val="20"/>
                <w:lang w:val="fr-FR" w:eastAsia="en-AU"/>
              </w:rPr>
            </w:pPr>
            <w:r w:rsidRPr="00650791">
              <w:rPr>
                <w:rFonts w:ascii="Arial Narrow" w:eastAsia="Times New Roman" w:hAnsi="Arial Narrow" w:cs="Arial"/>
                <w:sz w:val="20"/>
                <w:szCs w:val="20"/>
                <w:lang w:eastAsia="en-AU"/>
              </w:rPr>
              <w:t>Proprietary Name and Manufacturer</w:t>
            </w:r>
          </w:p>
        </w:tc>
      </w:tr>
      <w:tr w:rsidR="00650791" w:rsidRPr="00650791" w:rsidTr="00E70763">
        <w:trPr>
          <w:cantSplit/>
          <w:trHeight w:val="577"/>
        </w:trPr>
        <w:tc>
          <w:tcPr>
            <w:tcW w:w="3261" w:type="dxa"/>
            <w:gridSpan w:val="2"/>
          </w:tcPr>
          <w:p w:rsidR="00650791" w:rsidRPr="00650791" w:rsidRDefault="00650791" w:rsidP="00650791">
            <w:pPr>
              <w:keepNext/>
              <w:spacing w:before="0" w:after="0"/>
              <w:ind w:left="-108"/>
              <w:rPr>
                <w:rFonts w:ascii="Arial Narrow" w:eastAsia="Times New Roman" w:hAnsi="Arial Narrow" w:cs="Arial"/>
                <w:sz w:val="20"/>
                <w:szCs w:val="20"/>
                <w:lang w:eastAsia="en-AU"/>
              </w:rPr>
            </w:pPr>
            <w:r w:rsidRPr="00650791">
              <w:rPr>
                <w:rFonts w:ascii="Arial Narrow" w:eastAsia="Times New Roman" w:hAnsi="Arial Narrow" w:cs="Arial"/>
                <w:smallCaps/>
                <w:sz w:val="20"/>
                <w:szCs w:val="20"/>
                <w:lang w:eastAsia="en-AU"/>
              </w:rPr>
              <w:t>ALECTINIB</w:t>
            </w:r>
          </w:p>
          <w:p w:rsidR="00650791" w:rsidRPr="00650791" w:rsidRDefault="00650791" w:rsidP="00650791">
            <w:pPr>
              <w:keepNext/>
              <w:spacing w:before="0" w:after="0"/>
              <w:ind w:left="-108"/>
              <w:rPr>
                <w:rFonts w:ascii="Arial Narrow" w:eastAsia="Times New Roman" w:hAnsi="Arial Narrow" w:cs="Arial"/>
                <w:sz w:val="20"/>
                <w:szCs w:val="20"/>
                <w:lang w:eastAsia="en-AU"/>
              </w:rPr>
            </w:pPr>
            <w:proofErr w:type="spellStart"/>
            <w:r w:rsidRPr="00650791">
              <w:rPr>
                <w:rFonts w:ascii="Arial Narrow" w:eastAsia="Times New Roman" w:hAnsi="Arial Narrow" w:cs="Arial"/>
                <w:sz w:val="20"/>
                <w:szCs w:val="20"/>
                <w:lang w:eastAsia="en-AU"/>
              </w:rPr>
              <w:t>Alectinib</w:t>
            </w:r>
            <w:proofErr w:type="spellEnd"/>
            <w:r w:rsidRPr="00650791">
              <w:rPr>
                <w:rFonts w:ascii="Arial Narrow" w:eastAsia="Times New Roman" w:hAnsi="Arial Narrow" w:cs="Arial"/>
                <w:sz w:val="20"/>
                <w:szCs w:val="20"/>
                <w:lang w:eastAsia="en-AU"/>
              </w:rPr>
              <w:t xml:space="preserve"> 150 mg capsule, 224</w:t>
            </w:r>
          </w:p>
        </w:tc>
        <w:tc>
          <w:tcPr>
            <w:tcW w:w="567" w:type="dxa"/>
          </w:tcPr>
          <w:p w:rsidR="00650791" w:rsidRPr="00650791" w:rsidRDefault="00650791" w:rsidP="00650791">
            <w:pPr>
              <w:keepNext/>
              <w:spacing w:before="0" w:after="0"/>
              <w:ind w:left="-108"/>
              <w:rPr>
                <w:rFonts w:ascii="Arial Narrow" w:eastAsia="Times New Roman" w:hAnsi="Arial Narrow" w:cs="Arial"/>
                <w:sz w:val="20"/>
                <w:szCs w:val="20"/>
                <w:lang w:eastAsia="en-AU"/>
              </w:rPr>
            </w:pPr>
          </w:p>
          <w:p w:rsidR="00650791" w:rsidRPr="00650791" w:rsidRDefault="00650791" w:rsidP="00650791">
            <w:pPr>
              <w:keepNext/>
              <w:spacing w:before="0" w:after="0"/>
              <w:ind w:left="-108"/>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 xml:space="preserve"> 1</w:t>
            </w:r>
          </w:p>
        </w:tc>
        <w:tc>
          <w:tcPr>
            <w:tcW w:w="850" w:type="dxa"/>
          </w:tcPr>
          <w:p w:rsidR="00650791" w:rsidRPr="00650791" w:rsidRDefault="00650791" w:rsidP="00650791">
            <w:pPr>
              <w:keepNext/>
              <w:spacing w:before="0" w:after="0"/>
              <w:ind w:left="-108"/>
              <w:rPr>
                <w:rFonts w:ascii="Arial Narrow" w:eastAsia="Times New Roman" w:hAnsi="Arial Narrow" w:cs="Arial"/>
                <w:sz w:val="20"/>
                <w:szCs w:val="20"/>
                <w:lang w:eastAsia="en-AU"/>
              </w:rPr>
            </w:pPr>
          </w:p>
          <w:p w:rsidR="00650791" w:rsidRPr="00650791" w:rsidRDefault="00650791" w:rsidP="00650791">
            <w:pPr>
              <w:keepNext/>
              <w:spacing w:before="0" w:after="0"/>
              <w:ind w:left="-108"/>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 xml:space="preserve"> 1</w:t>
            </w:r>
          </w:p>
        </w:tc>
        <w:tc>
          <w:tcPr>
            <w:tcW w:w="1701" w:type="dxa"/>
          </w:tcPr>
          <w:p w:rsidR="00650791" w:rsidRPr="00650791" w:rsidRDefault="00650791" w:rsidP="00650791">
            <w:pPr>
              <w:keepNext/>
              <w:spacing w:before="0" w:after="0"/>
              <w:ind w:left="-108"/>
              <w:rPr>
                <w:rFonts w:ascii="Arial Narrow" w:eastAsia="Times New Roman" w:hAnsi="Arial Narrow" w:cs="Arial"/>
                <w:sz w:val="20"/>
                <w:szCs w:val="20"/>
                <w:lang w:eastAsia="en-AU"/>
              </w:rPr>
            </w:pPr>
          </w:p>
          <w:p w:rsidR="00650791" w:rsidRPr="00650791" w:rsidRDefault="00650791" w:rsidP="00650791">
            <w:pPr>
              <w:keepNext/>
              <w:spacing w:before="0" w:after="0"/>
              <w:ind w:left="-108"/>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w:t>
            </w:r>
            <w:r w:rsidR="001C2F0E">
              <w:rPr>
                <w:rFonts w:ascii="Arial Narrow" w:eastAsia="Times New Roman" w:hAnsi="Arial Narrow" w:cs="Arial"/>
                <w:noProof/>
                <w:color w:val="000000"/>
                <w:sz w:val="20"/>
                <w:szCs w:val="20"/>
                <w:highlight w:val="black"/>
                <w:lang w:eastAsia="en-AU"/>
              </w:rPr>
              <w:t>'''''''''''''''''''</w:t>
            </w:r>
            <w:r w:rsidRPr="00650791">
              <w:rPr>
                <w:rFonts w:ascii="Arial Narrow" w:eastAsia="Times New Roman" w:hAnsi="Arial Narrow" w:cs="Arial"/>
                <w:sz w:val="20"/>
                <w:szCs w:val="20"/>
                <w:lang w:eastAsia="en-AU"/>
              </w:rPr>
              <w:t xml:space="preserve"> (published)</w:t>
            </w:r>
          </w:p>
        </w:tc>
        <w:tc>
          <w:tcPr>
            <w:tcW w:w="1276" w:type="dxa"/>
          </w:tcPr>
          <w:p w:rsidR="00650791" w:rsidRPr="00650791" w:rsidRDefault="00650791" w:rsidP="00650791">
            <w:pPr>
              <w:keepNext/>
              <w:spacing w:before="0" w:after="0"/>
              <w:rPr>
                <w:rFonts w:ascii="Arial Narrow" w:eastAsia="Times New Roman" w:hAnsi="Arial Narrow" w:cs="Arial"/>
                <w:sz w:val="20"/>
                <w:szCs w:val="20"/>
                <w:lang w:eastAsia="en-AU"/>
              </w:rPr>
            </w:pPr>
          </w:p>
          <w:p w:rsidR="00650791" w:rsidRPr="00650791" w:rsidRDefault="00650791" w:rsidP="00650791">
            <w:pPr>
              <w:keepNext/>
              <w:spacing w:before="0" w:after="0"/>
              <w:rPr>
                <w:rFonts w:ascii="Arial Narrow" w:eastAsia="Times New Roman" w:hAnsi="Arial Narrow" w:cs="Arial"/>
                <w:sz w:val="20"/>
                <w:szCs w:val="20"/>
                <w:lang w:eastAsia="en-AU"/>
              </w:rPr>
            </w:pPr>
            <w:proofErr w:type="spellStart"/>
            <w:r w:rsidRPr="00650791">
              <w:rPr>
                <w:rFonts w:ascii="Arial Narrow" w:eastAsia="Times New Roman" w:hAnsi="Arial Narrow" w:cs="Arial"/>
                <w:sz w:val="20"/>
                <w:szCs w:val="20"/>
                <w:lang w:eastAsia="en-AU"/>
              </w:rPr>
              <w:t>Alecensa</w:t>
            </w:r>
            <w:proofErr w:type="spellEnd"/>
          </w:p>
        </w:tc>
        <w:tc>
          <w:tcPr>
            <w:tcW w:w="1559" w:type="dxa"/>
          </w:tcPr>
          <w:p w:rsidR="00650791" w:rsidRPr="00650791" w:rsidRDefault="00650791" w:rsidP="00650791">
            <w:pPr>
              <w:keepNext/>
              <w:spacing w:before="0" w:after="0"/>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 xml:space="preserve">Roche Products Pty Ltd </w:t>
            </w:r>
          </w:p>
        </w:tc>
      </w:tr>
      <w:tr w:rsidR="00650791" w:rsidRPr="00650791" w:rsidTr="00F07E29">
        <w:trPr>
          <w:cantSplit/>
          <w:trHeight w:val="360"/>
        </w:trPr>
        <w:tc>
          <w:tcPr>
            <w:tcW w:w="9214" w:type="dxa"/>
            <w:gridSpan w:val="7"/>
            <w:tcBorders>
              <w:bottom w:val="single" w:sz="4" w:space="0" w:color="auto"/>
            </w:tcBorders>
          </w:tcPr>
          <w:p w:rsidR="00650791" w:rsidRPr="00650791" w:rsidRDefault="00650791" w:rsidP="00650791">
            <w:pPr>
              <w:spacing w:before="0" w:after="0"/>
              <w:rPr>
                <w:rFonts w:ascii="Arial Narrow" w:eastAsia="Times New Roman" w:hAnsi="Arial Narrow" w:cs="Arial"/>
                <w:sz w:val="20"/>
                <w:szCs w:val="20"/>
                <w:lang w:eastAsia="en-AU"/>
              </w:rPr>
            </w:pPr>
          </w:p>
        </w:tc>
      </w:tr>
      <w:tr w:rsidR="00650791" w:rsidRPr="00650791" w:rsidTr="00F07E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0791" w:rsidRPr="00650791" w:rsidRDefault="00650791" w:rsidP="00E70763">
            <w:pPr>
              <w:spacing w:before="0" w:after="0"/>
              <w:rPr>
                <w:rFonts w:ascii="Arial Narrow" w:eastAsia="Times New Roman" w:hAnsi="Arial Narrow" w:cs="Arial"/>
                <w:b/>
                <w:sz w:val="20"/>
                <w:szCs w:val="20"/>
                <w:lang w:eastAsia="en-AU"/>
              </w:rPr>
            </w:pPr>
            <w:r w:rsidRPr="00650791">
              <w:rPr>
                <w:rFonts w:ascii="Arial Narrow" w:eastAsia="Times New Roman" w:hAnsi="Arial Narrow" w:cs="Arial"/>
                <w:b/>
                <w:sz w:val="20"/>
                <w:szCs w:val="20"/>
                <w:lang w:eastAsia="en-AU"/>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650791" w:rsidRPr="00650791" w:rsidRDefault="00650791" w:rsidP="00E70763">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GENERAL – General Schedule (Code GE)</w:t>
            </w:r>
          </w:p>
        </w:tc>
      </w:tr>
      <w:tr w:rsidR="00650791" w:rsidRPr="00650791" w:rsidTr="00F07E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rPr>
                <w:rFonts w:ascii="Arial Narrow" w:eastAsia="Times New Roman" w:hAnsi="Arial Narrow" w:cs="Arial"/>
                <w:b/>
                <w:sz w:val="20"/>
                <w:szCs w:val="20"/>
                <w:lang w:eastAsia="en-AU"/>
              </w:rPr>
            </w:pPr>
            <w:r w:rsidRPr="00650791">
              <w:rPr>
                <w:rFonts w:ascii="Arial Narrow" w:eastAsia="Times New Roman" w:hAnsi="Arial Narrow" w:cs="Arial"/>
                <w:b/>
                <w:sz w:val="20"/>
                <w:szCs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fldChar w:fldCharType="begin">
                <w:ffData>
                  <w:name w:val="Check1"/>
                  <w:enabled/>
                  <w:calcOnExit w:val="0"/>
                  <w:checkBox>
                    <w:sizeAuto/>
                    <w:default w:val="0"/>
                  </w:checkBox>
                </w:ffData>
              </w:fldChar>
            </w:r>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r w:rsidRPr="00650791">
              <w:rPr>
                <w:rFonts w:ascii="Arial Narrow" w:eastAsia="Times New Roman" w:hAnsi="Arial Narrow" w:cs="Arial"/>
                <w:sz w:val="20"/>
                <w:szCs w:val="20"/>
                <w:lang w:eastAsia="en-AU"/>
              </w:rPr>
              <w:t xml:space="preserve">Dental  </w:t>
            </w:r>
            <w:r w:rsidRPr="00650791">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r w:rsidRPr="00650791">
              <w:rPr>
                <w:rFonts w:ascii="Arial Narrow" w:eastAsia="Times New Roman" w:hAnsi="Arial Narrow" w:cs="Arial"/>
                <w:sz w:val="20"/>
                <w:szCs w:val="20"/>
                <w:lang w:eastAsia="en-AU"/>
              </w:rPr>
              <w:t xml:space="preserve">Medical Practitioners  </w:t>
            </w:r>
            <w:r w:rsidRPr="00650791">
              <w:rPr>
                <w:rFonts w:ascii="Arial Narrow" w:eastAsia="Times New Roman" w:hAnsi="Arial Narrow" w:cs="Arial"/>
                <w:sz w:val="20"/>
                <w:szCs w:val="20"/>
                <w:lang w:eastAsia="en-AU"/>
              </w:rPr>
              <w:fldChar w:fldCharType="begin">
                <w:ffData>
                  <w:name w:val="Check3"/>
                  <w:enabled/>
                  <w:calcOnExit w:val="0"/>
                  <w:checkBox>
                    <w:sizeAuto/>
                    <w:default w:val="0"/>
                  </w:checkBox>
                </w:ffData>
              </w:fldChar>
            </w:r>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r w:rsidRPr="00650791">
              <w:rPr>
                <w:rFonts w:ascii="Arial Narrow" w:eastAsia="Times New Roman" w:hAnsi="Arial Narrow" w:cs="Arial"/>
                <w:sz w:val="20"/>
                <w:szCs w:val="20"/>
                <w:lang w:eastAsia="en-AU"/>
              </w:rPr>
              <w:t xml:space="preserve">Nurse practitioners  </w:t>
            </w:r>
            <w:r w:rsidRPr="00650791">
              <w:rPr>
                <w:rFonts w:ascii="Arial Narrow" w:eastAsia="Times New Roman" w:hAnsi="Arial Narrow" w:cs="Arial"/>
                <w:sz w:val="20"/>
                <w:szCs w:val="20"/>
                <w:lang w:eastAsia="en-AU"/>
              </w:rPr>
              <w:fldChar w:fldCharType="begin">
                <w:ffData>
                  <w:name w:val=""/>
                  <w:enabled/>
                  <w:calcOnExit w:val="0"/>
                  <w:checkBox>
                    <w:sizeAuto/>
                    <w:default w:val="0"/>
                  </w:checkBox>
                </w:ffData>
              </w:fldChar>
            </w:r>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r w:rsidRPr="00650791">
              <w:rPr>
                <w:rFonts w:ascii="Arial Narrow" w:eastAsia="Times New Roman" w:hAnsi="Arial Narrow" w:cs="Arial"/>
                <w:sz w:val="20"/>
                <w:szCs w:val="20"/>
                <w:lang w:eastAsia="en-AU"/>
              </w:rPr>
              <w:t>Optometrists</w:t>
            </w:r>
          </w:p>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fldChar w:fldCharType="begin">
                <w:ffData>
                  <w:name w:val="Check5"/>
                  <w:enabled/>
                  <w:calcOnExit w:val="0"/>
                  <w:checkBox>
                    <w:sizeAuto/>
                    <w:default w:val="0"/>
                  </w:checkBox>
                </w:ffData>
              </w:fldChar>
            </w:r>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r w:rsidRPr="00650791">
              <w:rPr>
                <w:rFonts w:ascii="Arial Narrow" w:eastAsia="Times New Roman" w:hAnsi="Arial Narrow" w:cs="Arial"/>
                <w:sz w:val="20"/>
                <w:szCs w:val="20"/>
                <w:lang w:eastAsia="en-AU"/>
              </w:rPr>
              <w:t>Midwives</w:t>
            </w:r>
          </w:p>
        </w:tc>
      </w:tr>
      <w:tr w:rsidR="00650791" w:rsidRPr="00650791" w:rsidTr="00F07E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rPr>
                <w:rFonts w:ascii="Arial Narrow" w:eastAsia="Times New Roman" w:hAnsi="Arial Narrow" w:cs="Arial"/>
                <w:b/>
                <w:sz w:val="20"/>
                <w:szCs w:val="20"/>
                <w:lang w:eastAsia="en-AU"/>
              </w:rPr>
            </w:pPr>
            <w:r w:rsidRPr="00650791">
              <w:rPr>
                <w:rFonts w:ascii="Arial Narrow" w:eastAsia="Times New Roman" w:hAnsi="Arial Narrow" w:cs="Arial"/>
                <w:b/>
                <w:sz w:val="20"/>
                <w:szCs w:val="20"/>
                <w:lang w:eastAsia="en-AU"/>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Stage IIIB (locally advanced) or Stage IV (metastatic)</w:t>
            </w:r>
          </w:p>
        </w:tc>
      </w:tr>
      <w:tr w:rsidR="00650791" w:rsidRPr="00650791" w:rsidTr="00F07E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rPr>
                <w:rFonts w:ascii="Arial Narrow" w:eastAsia="Times New Roman" w:hAnsi="Arial Narrow" w:cs="Arial"/>
                <w:b/>
                <w:sz w:val="20"/>
                <w:szCs w:val="20"/>
                <w:lang w:eastAsia="en-AU"/>
              </w:rPr>
            </w:pPr>
            <w:r w:rsidRPr="00650791">
              <w:rPr>
                <w:rFonts w:ascii="Arial Narrow" w:eastAsia="Times New Roman" w:hAnsi="Arial Narrow" w:cs="Arial"/>
                <w:b/>
                <w:sz w:val="20"/>
                <w:szCs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 xml:space="preserve">non-small cell lung cancer (NSCLC) </w:t>
            </w:r>
          </w:p>
        </w:tc>
      </w:tr>
      <w:tr w:rsidR="00650791" w:rsidRPr="00650791" w:rsidTr="00F07E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rPr>
                <w:rFonts w:ascii="Arial Narrow" w:eastAsia="Times New Roman" w:hAnsi="Arial Narrow" w:cs="Arial"/>
                <w:b/>
                <w:sz w:val="20"/>
                <w:szCs w:val="20"/>
                <w:lang w:eastAsia="en-AU"/>
              </w:rPr>
            </w:pPr>
            <w:r w:rsidRPr="00650791">
              <w:rPr>
                <w:rFonts w:ascii="Arial Narrow" w:eastAsia="Times New Roman" w:hAnsi="Arial Narrow" w:cs="Arial"/>
                <w:b/>
                <w:sz w:val="20"/>
                <w:szCs w:val="20"/>
                <w:lang w:eastAsia="en-AU"/>
              </w:rPr>
              <w:lastRenderedPageBreak/>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Stage IIIB (locally advanced) or Stage IV (metastatic) non-small cell lung cancer (NSCLC)</w:t>
            </w:r>
          </w:p>
        </w:tc>
      </w:tr>
      <w:tr w:rsidR="00650791" w:rsidRPr="00650791" w:rsidTr="00F07E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rPr>
                <w:rFonts w:ascii="Arial Narrow" w:eastAsia="Times New Roman" w:hAnsi="Arial Narrow" w:cs="Arial"/>
                <w:b/>
                <w:sz w:val="20"/>
                <w:szCs w:val="20"/>
                <w:lang w:eastAsia="en-AU"/>
              </w:rPr>
            </w:pPr>
            <w:r w:rsidRPr="00650791">
              <w:rPr>
                <w:rFonts w:ascii="Arial Narrow" w:eastAsia="Times New Roman" w:hAnsi="Arial Narrow" w:cs="Arial"/>
                <w:b/>
                <w:sz w:val="20"/>
                <w:szCs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 xml:space="preserve">Continuing treatment </w:t>
            </w:r>
          </w:p>
        </w:tc>
      </w:tr>
      <w:tr w:rsidR="00650791" w:rsidRPr="00650791" w:rsidTr="00F07E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0791" w:rsidRPr="00650791" w:rsidRDefault="00650791" w:rsidP="00E70763">
            <w:pPr>
              <w:spacing w:before="0" w:after="0"/>
              <w:rPr>
                <w:rFonts w:ascii="Arial Narrow" w:eastAsia="Times New Roman" w:hAnsi="Arial Narrow" w:cs="Arial"/>
                <w:i/>
                <w:sz w:val="20"/>
                <w:szCs w:val="20"/>
                <w:lang w:eastAsia="en-AU"/>
              </w:rPr>
            </w:pPr>
            <w:r w:rsidRPr="00650791">
              <w:rPr>
                <w:rFonts w:ascii="Arial Narrow" w:eastAsia="Times New Roman" w:hAnsi="Arial Narrow" w:cs="Arial"/>
                <w:b/>
                <w:sz w:val="20"/>
                <w:szCs w:val="20"/>
                <w:lang w:eastAsia="en-AU"/>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fldChar w:fldCharType="begin">
                <w:ffData>
                  <w:name w:val="Check1"/>
                  <w:enabled/>
                  <w:calcOnExit w:val="0"/>
                  <w:checkBox>
                    <w:sizeAuto/>
                    <w:default w:val="0"/>
                  </w:checkBox>
                </w:ffData>
              </w:fldChar>
            </w:r>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r w:rsidRPr="00650791">
              <w:rPr>
                <w:rFonts w:ascii="Arial Narrow" w:eastAsia="Times New Roman" w:hAnsi="Arial Narrow" w:cs="Arial"/>
                <w:sz w:val="20"/>
                <w:szCs w:val="20"/>
                <w:lang w:eastAsia="en-AU"/>
              </w:rPr>
              <w:t>Restricted benefit</w:t>
            </w:r>
          </w:p>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fldChar w:fldCharType="begin">
                <w:ffData>
                  <w:name w:val=""/>
                  <w:enabled/>
                  <w:calcOnExit w:val="0"/>
                  <w:checkBox>
                    <w:sizeAuto/>
                    <w:default w:val="0"/>
                  </w:checkBox>
                </w:ffData>
              </w:fldChar>
            </w:r>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r w:rsidRPr="00650791">
              <w:rPr>
                <w:rFonts w:ascii="Arial Narrow" w:eastAsia="Times New Roman" w:hAnsi="Arial Narrow" w:cs="Arial"/>
                <w:sz w:val="20"/>
                <w:szCs w:val="20"/>
                <w:lang w:eastAsia="en-AU"/>
              </w:rPr>
              <w:t>Authority Required - In Writing</w:t>
            </w:r>
          </w:p>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fldChar w:fldCharType="begin">
                <w:ffData>
                  <w:name w:val="Check3"/>
                  <w:enabled/>
                  <w:calcOnExit w:val="0"/>
                  <w:checkBox>
                    <w:sizeAuto/>
                    <w:default w:val="1"/>
                  </w:checkBox>
                </w:ffData>
              </w:fldChar>
            </w:r>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r w:rsidRPr="00650791">
              <w:rPr>
                <w:rFonts w:ascii="Arial Narrow" w:eastAsia="Times New Roman" w:hAnsi="Arial Narrow" w:cs="Arial"/>
                <w:sz w:val="20"/>
                <w:szCs w:val="20"/>
                <w:lang w:eastAsia="en-AU"/>
              </w:rPr>
              <w:t>Authority Required - Telephone</w:t>
            </w:r>
          </w:p>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fldChar w:fldCharType="begin">
                <w:ffData>
                  <w:name w:val=""/>
                  <w:enabled/>
                  <w:calcOnExit w:val="0"/>
                  <w:checkBox>
                    <w:sizeAuto/>
                    <w:default w:val="0"/>
                  </w:checkBox>
                </w:ffData>
              </w:fldChar>
            </w:r>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r w:rsidRPr="00650791">
              <w:rPr>
                <w:rFonts w:ascii="Arial Narrow" w:eastAsia="Times New Roman" w:hAnsi="Arial Narrow" w:cs="Arial"/>
                <w:sz w:val="20"/>
                <w:szCs w:val="20"/>
                <w:lang w:eastAsia="en-AU"/>
              </w:rPr>
              <w:t>Authority Required - Emergency</w:t>
            </w:r>
          </w:p>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fldChar w:fldCharType="begin">
                <w:ffData>
                  <w:name w:val="Check5"/>
                  <w:enabled/>
                  <w:calcOnExit w:val="0"/>
                  <w:checkBox>
                    <w:sizeAuto/>
                    <w:default w:val="0"/>
                  </w:checkBox>
                </w:ffData>
              </w:fldChar>
            </w:r>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r w:rsidRPr="00650791">
              <w:rPr>
                <w:rFonts w:ascii="Arial Narrow" w:eastAsia="Times New Roman" w:hAnsi="Arial Narrow" w:cs="Arial"/>
                <w:sz w:val="20"/>
                <w:szCs w:val="20"/>
                <w:lang w:eastAsia="en-AU"/>
              </w:rPr>
              <w:t>Authority Required - Electronic</w:t>
            </w:r>
          </w:p>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fldChar w:fldCharType="begin">
                <w:ffData>
                  <w:name w:val="Check5"/>
                  <w:enabled/>
                  <w:calcOnExit w:val="0"/>
                  <w:checkBox>
                    <w:sizeAuto/>
                    <w:default w:val="0"/>
                  </w:checkBox>
                </w:ffData>
              </w:fldChar>
            </w:r>
            <w:r w:rsidRPr="00650791">
              <w:rPr>
                <w:rFonts w:ascii="Arial Narrow" w:eastAsia="Times New Roman" w:hAnsi="Arial Narrow" w:cs="Arial"/>
                <w:sz w:val="20"/>
                <w:szCs w:val="20"/>
                <w:lang w:eastAsia="en-AU"/>
              </w:rPr>
              <w:instrText xml:space="preserve"> FORMCHECKBOX </w:instrText>
            </w:r>
            <w:r w:rsidR="001C2F0E">
              <w:rPr>
                <w:rFonts w:ascii="Arial Narrow" w:eastAsia="Times New Roman" w:hAnsi="Arial Narrow" w:cs="Arial"/>
                <w:sz w:val="20"/>
                <w:szCs w:val="20"/>
                <w:lang w:eastAsia="en-AU"/>
              </w:rPr>
            </w:r>
            <w:r w:rsidR="001C2F0E">
              <w:rPr>
                <w:rFonts w:ascii="Arial Narrow" w:eastAsia="Times New Roman" w:hAnsi="Arial Narrow" w:cs="Arial"/>
                <w:sz w:val="20"/>
                <w:szCs w:val="20"/>
                <w:lang w:eastAsia="en-AU"/>
              </w:rPr>
              <w:fldChar w:fldCharType="separate"/>
            </w:r>
            <w:r w:rsidRPr="00650791">
              <w:rPr>
                <w:rFonts w:ascii="Arial Narrow" w:eastAsia="Times New Roman" w:hAnsi="Arial Narrow" w:cs="Arial"/>
                <w:sz w:val="20"/>
                <w:szCs w:val="20"/>
                <w:lang w:eastAsia="en-AU"/>
              </w:rPr>
              <w:fldChar w:fldCharType="end"/>
            </w:r>
            <w:r w:rsidRPr="00650791">
              <w:rPr>
                <w:rFonts w:ascii="Arial Narrow" w:eastAsia="Times New Roman" w:hAnsi="Arial Narrow" w:cs="Arial"/>
                <w:sz w:val="20"/>
                <w:szCs w:val="20"/>
                <w:lang w:eastAsia="en-AU"/>
              </w:rPr>
              <w:t>Streamlined</w:t>
            </w:r>
          </w:p>
        </w:tc>
      </w:tr>
      <w:tr w:rsidR="00650791" w:rsidRPr="00650791" w:rsidTr="00F07E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0791" w:rsidRPr="00650791" w:rsidRDefault="00650791" w:rsidP="00E70763">
            <w:pPr>
              <w:spacing w:before="0" w:after="0"/>
              <w:rPr>
                <w:rFonts w:ascii="Arial Narrow" w:eastAsia="Times New Roman" w:hAnsi="Arial Narrow" w:cs="Arial"/>
                <w:sz w:val="20"/>
                <w:szCs w:val="20"/>
                <w:lang w:eastAsia="en-AU"/>
              </w:rPr>
            </w:pPr>
            <w:r w:rsidRPr="00650791">
              <w:rPr>
                <w:rFonts w:ascii="Arial Narrow" w:eastAsia="Times New Roman" w:hAnsi="Arial Narrow" w:cs="Arial"/>
                <w:b/>
                <w:sz w:val="20"/>
                <w:szCs w:val="20"/>
                <w:lang w:eastAsia="en-AU"/>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 xml:space="preserve">The treatment must be as monotherapy, </w:t>
            </w:r>
          </w:p>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AND</w:t>
            </w:r>
          </w:p>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 xml:space="preserve">Patient must have previously been issued with PBS-subsidised treatment with this drug for this condition, </w:t>
            </w:r>
          </w:p>
          <w:p w:rsidR="00650791" w:rsidRPr="00650791" w:rsidRDefault="00650791" w:rsidP="00650791">
            <w:pPr>
              <w:spacing w:before="0" w:after="0"/>
              <w:jc w:val="left"/>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AND</w:t>
            </w:r>
          </w:p>
          <w:p w:rsidR="00650791" w:rsidRPr="00650791" w:rsidRDefault="00650791" w:rsidP="00650791">
            <w:pPr>
              <w:spacing w:before="0" w:after="0"/>
              <w:rPr>
                <w:rFonts w:ascii="Arial Narrow" w:eastAsia="Times New Roman" w:hAnsi="Arial Narrow" w:cs="Arial"/>
                <w:sz w:val="20"/>
                <w:szCs w:val="20"/>
                <w:lang w:eastAsia="en-AU"/>
              </w:rPr>
            </w:pPr>
            <w:r w:rsidRPr="00650791">
              <w:rPr>
                <w:rFonts w:ascii="Arial Narrow" w:eastAsia="Times New Roman" w:hAnsi="Arial Narrow" w:cs="Arial"/>
                <w:sz w:val="20"/>
                <w:szCs w:val="20"/>
                <w:lang w:eastAsia="en-AU"/>
              </w:rPr>
              <w:t>Patient must not have progressive disease.</w:t>
            </w:r>
          </w:p>
        </w:tc>
      </w:tr>
      <w:tr w:rsidR="00650791" w:rsidRPr="00650791" w:rsidTr="00F07E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0791" w:rsidRPr="00650791" w:rsidRDefault="00650791" w:rsidP="00E70763">
            <w:pPr>
              <w:spacing w:before="0" w:after="0"/>
              <w:rPr>
                <w:rFonts w:ascii="Arial Narrow" w:eastAsia="Times New Roman" w:hAnsi="Arial Narrow" w:cs="Arial"/>
                <w:i/>
                <w:sz w:val="20"/>
                <w:szCs w:val="20"/>
                <w:lang w:eastAsia="en-AU"/>
              </w:rPr>
            </w:pPr>
            <w:r w:rsidRPr="00650791">
              <w:rPr>
                <w:rFonts w:ascii="Arial Narrow" w:eastAsia="Times New Roman" w:hAnsi="Arial Narrow" w:cs="Arial"/>
                <w:b/>
                <w:sz w:val="20"/>
                <w:szCs w:val="20"/>
                <w:lang w:eastAsia="en-AU"/>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650791" w:rsidRPr="00650791" w:rsidRDefault="00650791" w:rsidP="00650791">
            <w:pPr>
              <w:spacing w:before="0" w:after="0"/>
              <w:jc w:val="left"/>
              <w:rPr>
                <w:rFonts w:ascii="Arial Narrow" w:eastAsia="Times New Roman" w:hAnsi="Arial Narrow" w:cs="Arial"/>
                <w:i/>
                <w:sz w:val="20"/>
                <w:szCs w:val="20"/>
                <w:lang w:eastAsia="en-AU"/>
              </w:rPr>
            </w:pPr>
            <w:r w:rsidRPr="00650791">
              <w:rPr>
                <w:rFonts w:ascii="Arial Narrow" w:eastAsia="Times New Roman" w:hAnsi="Arial Narrow" w:cs="Arial"/>
                <w:i/>
                <w:sz w:val="20"/>
                <w:szCs w:val="20"/>
                <w:lang w:eastAsia="en-AU"/>
              </w:rPr>
              <w:t xml:space="preserve">No increase in the maximum quantity or number of units may be authorised. </w:t>
            </w:r>
          </w:p>
          <w:p w:rsidR="00650791" w:rsidRPr="00650791" w:rsidRDefault="00650791" w:rsidP="00650791">
            <w:pPr>
              <w:spacing w:before="0" w:after="0"/>
              <w:jc w:val="left"/>
              <w:rPr>
                <w:rFonts w:ascii="Arial Narrow" w:eastAsia="Times New Roman" w:hAnsi="Arial Narrow" w:cs="Arial"/>
                <w:i/>
                <w:sz w:val="20"/>
                <w:szCs w:val="20"/>
                <w:lang w:eastAsia="en-AU"/>
              </w:rPr>
            </w:pPr>
            <w:r w:rsidRPr="00650791">
              <w:rPr>
                <w:rFonts w:ascii="Arial Narrow" w:eastAsia="Times New Roman" w:hAnsi="Arial Narrow" w:cs="Arial"/>
                <w:i/>
                <w:sz w:val="20"/>
                <w:szCs w:val="20"/>
                <w:lang w:eastAsia="en-AU"/>
              </w:rPr>
              <w:t xml:space="preserve">No increase in the maximum number of repeats may be authorised. </w:t>
            </w:r>
          </w:p>
          <w:p w:rsidR="00650791" w:rsidRPr="00650791" w:rsidRDefault="00650791" w:rsidP="0020079E">
            <w:pPr>
              <w:spacing w:before="0" w:after="0"/>
              <w:rPr>
                <w:rFonts w:ascii="Arial Narrow" w:eastAsia="Times New Roman" w:hAnsi="Arial Narrow" w:cs="Arial"/>
                <w:sz w:val="20"/>
                <w:szCs w:val="20"/>
                <w:lang w:eastAsia="en-AU"/>
              </w:rPr>
            </w:pPr>
            <w:r w:rsidRPr="00650791">
              <w:rPr>
                <w:rFonts w:ascii="Arial Narrow" w:eastAsia="Times New Roman" w:hAnsi="Arial Narrow" w:cs="Arial"/>
                <w:i/>
                <w:sz w:val="20"/>
                <w:szCs w:val="20"/>
                <w:lang w:eastAsia="en-AU"/>
              </w:rPr>
              <w:t>Special Pricing Arrangements apply.</w:t>
            </w:r>
            <w:r w:rsidRPr="00650791">
              <w:rPr>
                <w:rFonts w:ascii="Arial Narrow" w:eastAsia="Times New Roman" w:hAnsi="Arial Narrow" w:cs="Arial"/>
                <w:sz w:val="20"/>
                <w:szCs w:val="20"/>
                <w:lang w:eastAsia="en-AU"/>
              </w:rPr>
              <w:t xml:space="preserve"> </w:t>
            </w:r>
          </w:p>
        </w:tc>
      </w:tr>
    </w:tbl>
    <w:p w:rsidR="00650791" w:rsidRPr="00650791" w:rsidRDefault="00650791" w:rsidP="00650791"/>
    <w:p w:rsidR="00C317F3" w:rsidRPr="00D647A9" w:rsidRDefault="00C317F3" w:rsidP="00863A4D">
      <w:pPr>
        <w:pStyle w:val="ListParagraph"/>
        <w:numPr>
          <w:ilvl w:val="0"/>
          <w:numId w:val="4"/>
        </w:numPr>
        <w:spacing w:before="200" w:after="120"/>
        <w:rPr>
          <w:rFonts w:ascii="Arial" w:eastAsia="Times New Roman" w:hAnsi="Arial" w:cs="Arial"/>
          <w:b/>
          <w:snapToGrid w:val="0"/>
          <w:vanish/>
          <w:sz w:val="22"/>
        </w:rPr>
      </w:pPr>
    </w:p>
    <w:p w:rsidR="009306AE" w:rsidRPr="00863A4D" w:rsidRDefault="009306AE" w:rsidP="00863A4D">
      <w:pPr>
        <w:pStyle w:val="ListParagraph"/>
        <w:numPr>
          <w:ilvl w:val="1"/>
          <w:numId w:val="4"/>
        </w:numPr>
        <w:spacing w:before="0" w:after="0"/>
      </w:pPr>
      <w:bookmarkStart w:id="5" w:name="_Toc413139273"/>
      <w:r w:rsidRPr="00863A4D">
        <w:t xml:space="preserve">In comparison to the TGA indication, the </w:t>
      </w:r>
      <w:r w:rsidR="009A0910" w:rsidRPr="00863A4D">
        <w:t xml:space="preserve">requested </w:t>
      </w:r>
      <w:r w:rsidRPr="00863A4D">
        <w:t>PBS listing:</w:t>
      </w:r>
    </w:p>
    <w:p w:rsidR="009306AE" w:rsidRPr="00863A4D" w:rsidRDefault="009306AE" w:rsidP="00BF5AAE">
      <w:pPr>
        <w:pStyle w:val="ListParagraph"/>
        <w:numPr>
          <w:ilvl w:val="0"/>
          <w:numId w:val="1"/>
        </w:numPr>
        <w:spacing w:before="0" w:after="40"/>
        <w:ind w:left="1276" w:hanging="357"/>
      </w:pPr>
      <w:r w:rsidRPr="00863A4D">
        <w:t xml:space="preserve">Did not include patients who were intolerant to </w:t>
      </w:r>
      <w:proofErr w:type="spellStart"/>
      <w:r w:rsidRPr="00863A4D">
        <w:t>crizotinib</w:t>
      </w:r>
      <w:proofErr w:type="spellEnd"/>
      <w:r w:rsidRPr="00863A4D">
        <w:t xml:space="preserve">; and </w:t>
      </w:r>
    </w:p>
    <w:p w:rsidR="004E3D22" w:rsidRPr="00863A4D" w:rsidRDefault="009306AE" w:rsidP="00BF5AAE">
      <w:pPr>
        <w:pStyle w:val="ListParagraph"/>
        <w:numPr>
          <w:ilvl w:val="0"/>
          <w:numId w:val="1"/>
        </w:numPr>
        <w:spacing w:before="0"/>
        <w:ind w:left="1276" w:hanging="357"/>
      </w:pPr>
      <w:r w:rsidRPr="00863A4D">
        <w:t xml:space="preserve">Allowed for use following progression on any ALK inhibitor, rather than specifying </w:t>
      </w:r>
      <w:proofErr w:type="spellStart"/>
      <w:r w:rsidRPr="00863A4D">
        <w:t>crizotinib</w:t>
      </w:r>
      <w:proofErr w:type="spellEnd"/>
      <w:r w:rsidR="004E3D22" w:rsidRPr="00863A4D">
        <w:t xml:space="preserve">. </w:t>
      </w:r>
    </w:p>
    <w:p w:rsidR="00810B13" w:rsidRPr="00863A4D" w:rsidRDefault="00810B13" w:rsidP="00863A4D">
      <w:pPr>
        <w:pStyle w:val="ListParagraph"/>
        <w:numPr>
          <w:ilvl w:val="1"/>
          <w:numId w:val="4"/>
        </w:numPr>
        <w:spacing w:before="0" w:after="120"/>
      </w:pPr>
      <w:r w:rsidRPr="00863A4D">
        <w:t xml:space="preserve">No evidence was provided to support the use of </w:t>
      </w:r>
      <w:proofErr w:type="spellStart"/>
      <w:r w:rsidRPr="00863A4D">
        <w:t>alectinib</w:t>
      </w:r>
      <w:proofErr w:type="spellEnd"/>
      <w:r w:rsidRPr="00863A4D">
        <w:t xml:space="preserve"> subsequent to progression on any ALK i</w:t>
      </w:r>
      <w:r w:rsidR="000A7544">
        <w:t xml:space="preserve">nhibitor other than </w:t>
      </w:r>
      <w:proofErr w:type="spellStart"/>
      <w:r w:rsidR="000A7544">
        <w:t>crizotinib</w:t>
      </w:r>
      <w:proofErr w:type="spellEnd"/>
      <w:r w:rsidR="000A7544">
        <w:t>.</w:t>
      </w:r>
    </w:p>
    <w:p w:rsidR="006D4840" w:rsidRPr="00863A4D" w:rsidRDefault="006D4840" w:rsidP="00863A4D">
      <w:pPr>
        <w:pStyle w:val="ListParagraph"/>
        <w:numPr>
          <w:ilvl w:val="1"/>
          <w:numId w:val="4"/>
        </w:numPr>
      </w:pPr>
      <w:r w:rsidRPr="00863A4D">
        <w:t xml:space="preserve">The proposed listing did not specify the ALK inhibitor on which patients must have progressed in order to be eligible for </w:t>
      </w:r>
      <w:proofErr w:type="spellStart"/>
      <w:r w:rsidRPr="00863A4D">
        <w:t>alectinib</w:t>
      </w:r>
      <w:proofErr w:type="spellEnd"/>
      <w:r w:rsidRPr="00863A4D">
        <w:t xml:space="preserve">. The proposed listing was, therefore, broader than the TGA indication, which specified that patients must have progressed on (or be intolerant to) </w:t>
      </w:r>
      <w:proofErr w:type="spellStart"/>
      <w:r w:rsidRPr="00863A4D">
        <w:t>crizotinib</w:t>
      </w:r>
      <w:proofErr w:type="spellEnd"/>
      <w:r w:rsidRPr="00863A4D">
        <w:t>. The Pre-S</w:t>
      </w:r>
      <w:r w:rsidR="005E20F0">
        <w:t>ub-Committee-Response (PSCR) (p</w:t>
      </w:r>
      <w:r w:rsidRPr="00863A4D">
        <w:t xml:space="preserve">1) noted that the proposed PBS restrictions did not represent the final PBS listings recommended by the PBAC for both </w:t>
      </w:r>
      <w:proofErr w:type="spellStart"/>
      <w:r w:rsidRPr="00863A4D">
        <w:t>crizotinib</w:t>
      </w:r>
      <w:proofErr w:type="spellEnd"/>
      <w:r w:rsidRPr="00863A4D">
        <w:t xml:space="preserve"> and </w:t>
      </w:r>
      <w:proofErr w:type="spellStart"/>
      <w:r w:rsidRPr="00863A4D">
        <w:t>ceritinib</w:t>
      </w:r>
      <w:proofErr w:type="spellEnd"/>
      <w:r w:rsidRPr="00863A4D">
        <w:t xml:space="preserve">, as both agents were recommended “in any line of therapy” by the PBAC (paragraph 7.7, </w:t>
      </w:r>
      <w:proofErr w:type="spellStart"/>
      <w:r w:rsidRPr="00863A4D">
        <w:t>crizotinib</w:t>
      </w:r>
      <w:proofErr w:type="spellEnd"/>
      <w:r w:rsidRPr="00863A4D">
        <w:t xml:space="preserve"> Public Summary Document (PSD), Nov 2014; paragraph 7.5, </w:t>
      </w:r>
      <w:proofErr w:type="spellStart"/>
      <w:r w:rsidRPr="00863A4D">
        <w:t>ceritinib</w:t>
      </w:r>
      <w:proofErr w:type="spellEnd"/>
      <w:r w:rsidRPr="00863A4D">
        <w:t xml:space="preserve"> PSD, Nov 2016)</w:t>
      </w:r>
      <w:r w:rsidR="00E70763" w:rsidRPr="00863A4D">
        <w:t>,</w:t>
      </w:r>
      <w:r w:rsidRPr="00863A4D">
        <w:t xml:space="preserve"> despite the TGA-approved use of </w:t>
      </w:r>
      <w:proofErr w:type="spellStart"/>
      <w:r w:rsidRPr="00863A4D">
        <w:t>ceritinib</w:t>
      </w:r>
      <w:proofErr w:type="spellEnd"/>
      <w:r w:rsidRPr="00863A4D">
        <w:t xml:space="preserve"> being restricted to second-line or later.</w:t>
      </w:r>
    </w:p>
    <w:p w:rsidR="00577547" w:rsidRPr="00863A4D" w:rsidRDefault="00577547" w:rsidP="00863A4D">
      <w:pPr>
        <w:pStyle w:val="ListParagraph"/>
        <w:numPr>
          <w:ilvl w:val="1"/>
          <w:numId w:val="4"/>
        </w:numPr>
        <w:spacing w:before="0" w:after="120"/>
      </w:pPr>
      <w:r w:rsidRPr="00863A4D">
        <w:t xml:space="preserve">The </w:t>
      </w:r>
      <w:r w:rsidR="00AF11AC" w:rsidRPr="00863A4D">
        <w:t>submissi</w:t>
      </w:r>
      <w:r w:rsidRPr="00863A4D">
        <w:t xml:space="preserve">on was based on a cost-minimisation analysis of </w:t>
      </w:r>
      <w:proofErr w:type="spellStart"/>
      <w:r w:rsidRPr="00863A4D">
        <w:t>ale</w:t>
      </w:r>
      <w:r w:rsidR="00E70763" w:rsidRPr="00863A4D">
        <w:t>ctinib</w:t>
      </w:r>
      <w:proofErr w:type="spellEnd"/>
      <w:r w:rsidR="00E70763" w:rsidRPr="00863A4D">
        <w:t xml:space="preserve"> compared with </w:t>
      </w:r>
      <w:proofErr w:type="spellStart"/>
      <w:r w:rsidR="00E70763" w:rsidRPr="00863A4D">
        <w:t>ceritinib</w:t>
      </w:r>
      <w:proofErr w:type="spellEnd"/>
      <w:r w:rsidR="00E70763" w:rsidRPr="00863A4D">
        <w:t>.</w:t>
      </w:r>
    </w:p>
    <w:p w:rsidR="00577547" w:rsidRPr="00863A4D" w:rsidRDefault="00577547" w:rsidP="00863A4D">
      <w:pPr>
        <w:pStyle w:val="ListParagraph"/>
        <w:numPr>
          <w:ilvl w:val="1"/>
          <w:numId w:val="4"/>
        </w:numPr>
        <w:spacing w:before="0" w:after="120"/>
      </w:pPr>
      <w:r w:rsidRPr="00863A4D">
        <w:t xml:space="preserve">The recommended dose of </w:t>
      </w:r>
      <w:proofErr w:type="spellStart"/>
      <w:r w:rsidRPr="00863A4D">
        <w:t>alectinib</w:t>
      </w:r>
      <w:proofErr w:type="spellEnd"/>
      <w:r w:rsidRPr="00863A4D">
        <w:t xml:space="preserve"> is 600</w:t>
      </w:r>
      <w:r w:rsidR="00F622E0" w:rsidRPr="00863A4D">
        <w:t> </w:t>
      </w:r>
      <w:r w:rsidRPr="00863A4D">
        <w:t>mg (four 150</w:t>
      </w:r>
      <w:r w:rsidR="00F622E0" w:rsidRPr="00863A4D">
        <w:t> </w:t>
      </w:r>
      <w:r w:rsidRPr="00863A4D">
        <w:t>mg capsules) given orally, twice daily with food (total daily dose of 1,200</w:t>
      </w:r>
      <w:r w:rsidR="00F622E0" w:rsidRPr="00863A4D">
        <w:t> </w:t>
      </w:r>
      <w:r w:rsidRPr="00863A4D">
        <w:t>mg).</w:t>
      </w:r>
      <w:r w:rsidR="00E81E48" w:rsidRPr="00863A4D">
        <w:t xml:space="preserve"> Treatment should be continued until disease progression or unacceptable toxicity.</w:t>
      </w:r>
    </w:p>
    <w:p w:rsidR="00577547" w:rsidRPr="00863A4D" w:rsidRDefault="00577547" w:rsidP="00863A4D">
      <w:pPr>
        <w:pStyle w:val="ListParagraph"/>
        <w:numPr>
          <w:ilvl w:val="1"/>
          <w:numId w:val="4"/>
        </w:numPr>
        <w:spacing w:before="0" w:after="120"/>
      </w:pPr>
      <w:r w:rsidRPr="00863A4D">
        <w:t xml:space="preserve">The submission acknowledged that special pricing arrangements apply to </w:t>
      </w:r>
      <w:proofErr w:type="spellStart"/>
      <w:r w:rsidRPr="00863A4D">
        <w:t>ceritinib</w:t>
      </w:r>
      <w:proofErr w:type="spellEnd"/>
      <w:r w:rsidRPr="00863A4D">
        <w:t xml:space="preserve">. The submission stated that it was lodged on the basis of an in-principle agreement that the effective price for </w:t>
      </w:r>
      <w:proofErr w:type="spellStart"/>
      <w:r w:rsidRPr="00863A4D">
        <w:t>alectinib</w:t>
      </w:r>
      <w:proofErr w:type="spellEnd"/>
      <w:r w:rsidRPr="00863A4D">
        <w:t xml:space="preserve"> </w:t>
      </w:r>
      <w:r w:rsidR="00F1382E" w:rsidRPr="00863A4D">
        <w:t>would</w:t>
      </w:r>
      <w:r w:rsidRPr="00863A4D">
        <w:t xml:space="preserve"> be no higher than the cost-minimised effective price for the nominated comparator, </w:t>
      </w:r>
      <w:proofErr w:type="spellStart"/>
      <w:r w:rsidRPr="00863A4D">
        <w:t>ceritinib</w:t>
      </w:r>
      <w:proofErr w:type="spellEnd"/>
      <w:r w:rsidRPr="00863A4D">
        <w:t>, on a cost per day of treatment basis</w:t>
      </w:r>
      <w:r w:rsidR="00CD2EAB">
        <w:t>,</w:t>
      </w:r>
      <w:r w:rsidRPr="00863A4D">
        <w:t xml:space="preserve"> for patients with ALK-positive</w:t>
      </w:r>
      <w:r w:rsidR="00F1382E" w:rsidRPr="00863A4D">
        <w:t xml:space="preserve"> NSCLC who have progressed on a prior</w:t>
      </w:r>
      <w:r w:rsidRPr="00863A4D">
        <w:t xml:space="preserve"> ALK inhibitor.</w:t>
      </w:r>
      <w:r w:rsidR="00F61BFC">
        <w:t xml:space="preserve"> T</w:t>
      </w:r>
      <w:r w:rsidR="00F61BFC">
        <w:rPr>
          <w:rFonts w:ascii="Calibri" w:eastAsia="Times New Roman" w:hAnsi="Calibri" w:cs="Arial"/>
          <w:bCs/>
          <w:snapToGrid w:val="0"/>
          <w:szCs w:val="24"/>
          <w:lang w:val="en-GB"/>
        </w:rPr>
        <w:t xml:space="preserve">he Pre-PBAC response (p.1) requested that, in the event of a recommendation to list </w:t>
      </w:r>
      <w:proofErr w:type="spellStart"/>
      <w:r w:rsidR="00F61BFC">
        <w:rPr>
          <w:rFonts w:ascii="Calibri" w:eastAsia="Times New Roman" w:hAnsi="Calibri" w:cs="Arial"/>
          <w:bCs/>
          <w:snapToGrid w:val="0"/>
          <w:szCs w:val="24"/>
          <w:lang w:val="en-GB"/>
        </w:rPr>
        <w:t>alectinib</w:t>
      </w:r>
      <w:proofErr w:type="spellEnd"/>
      <w:r w:rsidR="00F61BFC">
        <w:rPr>
          <w:rFonts w:ascii="Calibri" w:eastAsia="Times New Roman" w:hAnsi="Calibri" w:cs="Arial"/>
          <w:bCs/>
          <w:snapToGrid w:val="0"/>
          <w:szCs w:val="24"/>
          <w:lang w:val="en-GB"/>
        </w:rPr>
        <w:t xml:space="preserve"> without reference to any line of therapy, </w:t>
      </w:r>
      <w:proofErr w:type="spellStart"/>
      <w:r w:rsidR="00F61BFC">
        <w:rPr>
          <w:rFonts w:ascii="Calibri" w:eastAsia="Times New Roman" w:hAnsi="Calibri" w:cs="Arial"/>
          <w:bCs/>
          <w:snapToGrid w:val="0"/>
          <w:szCs w:val="24"/>
          <w:lang w:val="en-GB"/>
        </w:rPr>
        <w:t>crizotinib</w:t>
      </w:r>
      <w:proofErr w:type="spellEnd"/>
      <w:r w:rsidR="00F61BFC">
        <w:rPr>
          <w:rFonts w:ascii="Calibri" w:eastAsia="Times New Roman" w:hAnsi="Calibri" w:cs="Arial"/>
          <w:bCs/>
          <w:snapToGrid w:val="0"/>
          <w:szCs w:val="24"/>
          <w:lang w:val="en-GB"/>
        </w:rPr>
        <w:t xml:space="preserve"> also be included as a comparator, and thus (p.3) the price of </w:t>
      </w:r>
      <w:proofErr w:type="spellStart"/>
      <w:r w:rsidR="00F61BFC">
        <w:rPr>
          <w:rFonts w:ascii="Calibri" w:eastAsia="Times New Roman" w:hAnsi="Calibri" w:cs="Arial"/>
          <w:bCs/>
          <w:snapToGrid w:val="0"/>
          <w:szCs w:val="24"/>
          <w:lang w:val="en-GB"/>
        </w:rPr>
        <w:t>alectinib</w:t>
      </w:r>
      <w:proofErr w:type="spellEnd"/>
      <w:r w:rsidR="00F61BFC">
        <w:rPr>
          <w:rFonts w:ascii="Calibri" w:eastAsia="Times New Roman" w:hAnsi="Calibri" w:cs="Arial"/>
          <w:bCs/>
          <w:snapToGrid w:val="0"/>
          <w:szCs w:val="24"/>
          <w:lang w:val="en-GB"/>
        </w:rPr>
        <w:t xml:space="preserve"> should also reflect the price of </w:t>
      </w:r>
      <w:proofErr w:type="spellStart"/>
      <w:r w:rsidR="00F61BFC">
        <w:rPr>
          <w:rFonts w:ascii="Calibri" w:eastAsia="Times New Roman" w:hAnsi="Calibri" w:cs="Arial"/>
          <w:bCs/>
          <w:snapToGrid w:val="0"/>
          <w:szCs w:val="24"/>
          <w:lang w:val="en-GB"/>
        </w:rPr>
        <w:t>crizotinib</w:t>
      </w:r>
      <w:proofErr w:type="spellEnd"/>
      <w:r w:rsidR="00F61BFC">
        <w:rPr>
          <w:rFonts w:ascii="Calibri" w:eastAsia="Times New Roman" w:hAnsi="Calibri" w:cs="Arial"/>
          <w:bCs/>
          <w:snapToGrid w:val="0"/>
          <w:szCs w:val="24"/>
          <w:lang w:val="en-GB"/>
        </w:rPr>
        <w:t>.</w:t>
      </w:r>
    </w:p>
    <w:p w:rsidR="008C16A4" w:rsidRDefault="008C16A4" w:rsidP="008C16A4">
      <w:pPr>
        <w:pStyle w:val="ListParagraph"/>
        <w:spacing w:before="0" w:after="120"/>
        <w:rPr>
          <w:rFonts w:ascii="Calibri" w:eastAsia="Times New Roman" w:hAnsi="Calibri" w:cs="Times New Roman"/>
          <w:i/>
          <w:szCs w:val="24"/>
        </w:rPr>
      </w:pPr>
      <w:r w:rsidRPr="001244F2">
        <w:rPr>
          <w:rFonts w:ascii="Calibri" w:eastAsia="Times New Roman" w:hAnsi="Calibri" w:cs="Times New Roman"/>
          <w:i/>
          <w:szCs w:val="24"/>
        </w:rPr>
        <w:t>For more detail on PBAC’s view, see section 7 “PBAC outcome.”</w:t>
      </w:r>
    </w:p>
    <w:p w:rsidR="001C2F0E" w:rsidRPr="00D647A9" w:rsidRDefault="001C2F0E" w:rsidP="008C16A4">
      <w:pPr>
        <w:pStyle w:val="ListParagraph"/>
        <w:spacing w:before="0" w:after="120"/>
      </w:pPr>
    </w:p>
    <w:p w:rsidR="00C317F3" w:rsidRPr="00D647A9" w:rsidRDefault="00C317F3" w:rsidP="00BF5AAE">
      <w:pPr>
        <w:pStyle w:val="Heading1"/>
      </w:pPr>
      <w:bookmarkStart w:id="6" w:name="_Toc482699434"/>
      <w:r w:rsidRPr="00D647A9">
        <w:t>Background</w:t>
      </w:r>
      <w:bookmarkEnd w:id="5"/>
      <w:bookmarkEnd w:id="6"/>
    </w:p>
    <w:p w:rsidR="00C317F3" w:rsidRPr="00D647A9" w:rsidRDefault="00C317F3" w:rsidP="00863A4D">
      <w:pPr>
        <w:pStyle w:val="ListParagraph"/>
        <w:numPr>
          <w:ilvl w:val="0"/>
          <w:numId w:val="4"/>
        </w:numPr>
        <w:spacing w:before="200" w:after="120"/>
        <w:rPr>
          <w:rFonts w:ascii="Arial" w:eastAsia="Times New Roman" w:hAnsi="Arial" w:cs="Arial"/>
          <w:b/>
          <w:snapToGrid w:val="0"/>
          <w:vanish/>
          <w:sz w:val="22"/>
        </w:rPr>
      </w:pPr>
    </w:p>
    <w:p w:rsidR="00577547" w:rsidRPr="00863A4D" w:rsidRDefault="00577547" w:rsidP="00863A4D">
      <w:pPr>
        <w:pStyle w:val="ListParagraph"/>
        <w:numPr>
          <w:ilvl w:val="1"/>
          <w:numId w:val="4"/>
        </w:numPr>
        <w:spacing w:before="0" w:after="120"/>
      </w:pPr>
      <w:proofErr w:type="spellStart"/>
      <w:r w:rsidRPr="00863A4D">
        <w:t>Alectinib</w:t>
      </w:r>
      <w:proofErr w:type="spellEnd"/>
      <w:r w:rsidRPr="00863A4D">
        <w:t xml:space="preserve"> was recommended for registration by the TGA</w:t>
      </w:r>
      <w:r w:rsidR="000A7544">
        <w:t>’s</w:t>
      </w:r>
      <w:r w:rsidRPr="00863A4D">
        <w:t xml:space="preserve"> Ad</w:t>
      </w:r>
      <w:r w:rsidR="009B61B0" w:rsidRPr="00863A4D">
        <w:t xml:space="preserve">visory Committee for Medicines </w:t>
      </w:r>
      <w:r w:rsidRPr="00863A4D">
        <w:t>on 2 February 2017, and was listed on the Australian Register of Therapeutic Goods on 14 March 2017, for the treatment of patients with ALK-positive, locally advanced or metastatic NSCLC who have progressed on</w:t>
      </w:r>
      <w:r w:rsidR="004C37B2" w:rsidRPr="00863A4D">
        <w:t>,</w:t>
      </w:r>
      <w:r w:rsidRPr="00863A4D">
        <w:t xml:space="preserve"> or are intolerant to</w:t>
      </w:r>
      <w:r w:rsidR="004C37B2" w:rsidRPr="00863A4D">
        <w:t>,</w:t>
      </w:r>
      <w:r w:rsidR="00E70763" w:rsidRPr="00863A4D">
        <w:t xml:space="preserve"> </w:t>
      </w:r>
      <w:proofErr w:type="spellStart"/>
      <w:r w:rsidR="00E70763" w:rsidRPr="00863A4D">
        <w:t>crizotinib</w:t>
      </w:r>
      <w:proofErr w:type="spellEnd"/>
      <w:r w:rsidR="00E70763" w:rsidRPr="00863A4D">
        <w:t>.</w:t>
      </w:r>
    </w:p>
    <w:p w:rsidR="00227B2B" w:rsidRPr="00863A4D" w:rsidRDefault="00227B2B" w:rsidP="00863A4D">
      <w:pPr>
        <w:pStyle w:val="ListParagraph"/>
        <w:numPr>
          <w:ilvl w:val="1"/>
          <w:numId w:val="4"/>
        </w:numPr>
        <w:spacing w:before="0" w:after="120"/>
      </w:pPr>
      <w:r w:rsidRPr="00863A4D">
        <w:t xml:space="preserve">The ESC noted that the Product Information (PI) for </w:t>
      </w:r>
      <w:proofErr w:type="spellStart"/>
      <w:r w:rsidRPr="00863A4D">
        <w:t>alectinib</w:t>
      </w:r>
      <w:proofErr w:type="spellEnd"/>
      <w:r w:rsidRPr="00863A4D">
        <w:t xml:space="preserve"> had a note </w:t>
      </w:r>
      <w:r w:rsidR="00E70763" w:rsidRPr="00863A4D">
        <w:t xml:space="preserve">in its </w:t>
      </w:r>
      <w:r w:rsidRPr="00863A4D">
        <w:t xml:space="preserve">indication </w:t>
      </w:r>
      <w:r w:rsidR="00E70763" w:rsidRPr="00863A4D">
        <w:t xml:space="preserve">section </w:t>
      </w:r>
      <w:r w:rsidRPr="00863A4D">
        <w:t>stating that “This indication is approved based on tumour response rates and duration of response. An improvement in survival or disease-related symptoms has not been established.”</w:t>
      </w:r>
    </w:p>
    <w:p w:rsidR="00577547" w:rsidRPr="00863A4D" w:rsidRDefault="00577547" w:rsidP="00863A4D">
      <w:pPr>
        <w:pStyle w:val="ListParagraph"/>
        <w:numPr>
          <w:ilvl w:val="1"/>
          <w:numId w:val="4"/>
        </w:numPr>
        <w:spacing w:before="0" w:after="120"/>
      </w:pPr>
      <w:r w:rsidRPr="00863A4D">
        <w:t xml:space="preserve">This is the first submission of </w:t>
      </w:r>
      <w:proofErr w:type="spellStart"/>
      <w:r w:rsidRPr="00863A4D">
        <w:t>alectinib</w:t>
      </w:r>
      <w:proofErr w:type="spellEnd"/>
      <w:r w:rsidRPr="00863A4D">
        <w:t xml:space="preserve"> to the PBAC.</w:t>
      </w:r>
    </w:p>
    <w:p w:rsidR="00504AEC" w:rsidRPr="00993409" w:rsidRDefault="003C4DF0" w:rsidP="00863A4D">
      <w:pPr>
        <w:pStyle w:val="ListParagraph"/>
        <w:numPr>
          <w:ilvl w:val="1"/>
          <w:numId w:val="4"/>
        </w:numPr>
        <w:spacing w:before="0" w:after="120"/>
        <w:rPr>
          <w:rFonts w:ascii="Arial" w:hAnsi="Arial" w:cs="Arial"/>
          <w:sz w:val="22"/>
        </w:rPr>
      </w:pPr>
      <w:r w:rsidRPr="00863A4D">
        <w:t xml:space="preserve">A similar submission for </w:t>
      </w:r>
      <w:proofErr w:type="spellStart"/>
      <w:r w:rsidRPr="00863A4D">
        <w:t>ceritinib</w:t>
      </w:r>
      <w:proofErr w:type="spellEnd"/>
      <w:r w:rsidRPr="00863A4D">
        <w:t xml:space="preserve"> was considered at the November 2016 PBAC </w:t>
      </w:r>
      <w:r w:rsidR="00602FBE" w:rsidRPr="00863A4D">
        <w:t>m</w:t>
      </w:r>
      <w:r w:rsidRPr="00863A4D">
        <w:t xml:space="preserve">eeting. The submission requested listing of </w:t>
      </w:r>
      <w:proofErr w:type="spellStart"/>
      <w:r w:rsidRPr="00863A4D">
        <w:t>ceritinib</w:t>
      </w:r>
      <w:proofErr w:type="spellEnd"/>
      <w:r w:rsidRPr="00863A4D">
        <w:t xml:space="preserve"> for </w:t>
      </w:r>
      <w:r w:rsidR="004C37B2" w:rsidRPr="00863A4D">
        <w:t xml:space="preserve">the </w:t>
      </w:r>
      <w:r w:rsidRPr="00863A4D">
        <w:t>treatment of adult patients with ALK</w:t>
      </w:r>
      <w:r w:rsidR="008B54DE" w:rsidRPr="00863A4D">
        <w:t>-</w:t>
      </w:r>
      <w:r w:rsidRPr="00863A4D">
        <w:t xml:space="preserve">positive locally advanced or metastatic NSCLC who have progressed on a prior ALK inhibitor. The submission was based on a randomised controlled trial comparing </w:t>
      </w:r>
      <w:proofErr w:type="spellStart"/>
      <w:r w:rsidRPr="00863A4D">
        <w:t>ceritinib</w:t>
      </w:r>
      <w:proofErr w:type="spellEnd"/>
      <w:r w:rsidRPr="00863A4D">
        <w:t xml:space="preserve"> to chemotherapy in </w:t>
      </w:r>
      <w:r w:rsidR="004A47BF" w:rsidRPr="00863A4D">
        <w:t xml:space="preserve">patients with </w:t>
      </w:r>
      <w:r w:rsidRPr="00863A4D">
        <w:t xml:space="preserve">ALK-positive NSCLC who had previously been treated with chemotherapy and </w:t>
      </w:r>
      <w:proofErr w:type="spellStart"/>
      <w:r w:rsidRPr="00863A4D">
        <w:t>crizotinib</w:t>
      </w:r>
      <w:proofErr w:type="spellEnd"/>
      <w:r w:rsidRPr="00863A4D">
        <w:t xml:space="preserve"> (ASCEND-5). The PBAC noted that, while the submission’s proposed PBS restriction positioned </w:t>
      </w:r>
      <w:proofErr w:type="spellStart"/>
      <w:r w:rsidRPr="00863A4D">
        <w:t>ceritinib</w:t>
      </w:r>
      <w:proofErr w:type="spellEnd"/>
      <w:r w:rsidRPr="00863A4D">
        <w:t xml:space="preserve"> after </w:t>
      </w:r>
      <w:proofErr w:type="spellStart"/>
      <w:r w:rsidRPr="00863A4D">
        <w:t>crizotinib</w:t>
      </w:r>
      <w:proofErr w:type="spellEnd"/>
      <w:r w:rsidRPr="00863A4D">
        <w:t xml:space="preserve">, the evidence presented in the submission was in a different setting. The PBAC recalled it had previously recommended </w:t>
      </w:r>
      <w:proofErr w:type="spellStart"/>
      <w:r w:rsidRPr="00863A4D">
        <w:t>crizotinib</w:t>
      </w:r>
      <w:proofErr w:type="spellEnd"/>
      <w:r w:rsidRPr="00863A4D">
        <w:t xml:space="preserve"> as a first-line therapy for this condition, also largely on the basis of data from its use in a different setting. The PBAC therefore considered that allowing </w:t>
      </w:r>
      <w:proofErr w:type="spellStart"/>
      <w:r w:rsidRPr="00863A4D">
        <w:t>ceritinib</w:t>
      </w:r>
      <w:proofErr w:type="spellEnd"/>
      <w:r w:rsidRPr="00863A4D">
        <w:t xml:space="preserve"> treatment in any line of therapy was ap</w:t>
      </w:r>
      <w:r w:rsidR="004C37B2" w:rsidRPr="00863A4D">
        <w:t xml:space="preserve">propriate (paragraph 7.5, 5.03 </w:t>
      </w:r>
      <w:proofErr w:type="spellStart"/>
      <w:r w:rsidR="004C37B2" w:rsidRPr="00863A4D">
        <w:t>C</w:t>
      </w:r>
      <w:r w:rsidRPr="00863A4D">
        <w:t>eritinib</w:t>
      </w:r>
      <w:proofErr w:type="spellEnd"/>
      <w:r w:rsidRPr="00863A4D">
        <w:t xml:space="preserve"> PSD, November 2016 PBAC Meeting). </w:t>
      </w:r>
    </w:p>
    <w:p w:rsidR="00993409" w:rsidRPr="00504AEC" w:rsidRDefault="00993409" w:rsidP="00993409">
      <w:pPr>
        <w:pStyle w:val="PBACHeading1"/>
        <w:numPr>
          <w:ilvl w:val="0"/>
          <w:numId w:val="0"/>
        </w:numPr>
        <w:ind w:left="720" w:hanging="720"/>
      </w:pPr>
    </w:p>
    <w:p w:rsidR="00C317F3" w:rsidRPr="00D647A9" w:rsidRDefault="00C317F3" w:rsidP="00BF5AAE">
      <w:pPr>
        <w:pStyle w:val="Heading1"/>
      </w:pPr>
      <w:bookmarkStart w:id="7" w:name="_Toc482699435"/>
      <w:r w:rsidRPr="00D647A9">
        <w:t>Population and disease</w:t>
      </w:r>
      <w:bookmarkEnd w:id="7"/>
    </w:p>
    <w:p w:rsidR="00C317F3" w:rsidRPr="00D647A9" w:rsidRDefault="00C317F3" w:rsidP="00863A4D">
      <w:pPr>
        <w:pStyle w:val="ListParagraph"/>
        <w:numPr>
          <w:ilvl w:val="0"/>
          <w:numId w:val="4"/>
        </w:numPr>
        <w:spacing w:before="200" w:after="120"/>
        <w:rPr>
          <w:rFonts w:ascii="Arial" w:eastAsia="Times New Roman" w:hAnsi="Arial" w:cs="Arial"/>
          <w:b/>
          <w:snapToGrid w:val="0"/>
          <w:vanish/>
          <w:sz w:val="22"/>
        </w:rPr>
      </w:pPr>
    </w:p>
    <w:p w:rsidR="00577547" w:rsidRPr="00D647A9" w:rsidRDefault="00577547" w:rsidP="00863A4D">
      <w:pPr>
        <w:pStyle w:val="ListParagraph"/>
        <w:numPr>
          <w:ilvl w:val="1"/>
          <w:numId w:val="4"/>
        </w:numPr>
        <w:tabs>
          <w:tab w:val="left" w:pos="3828"/>
        </w:tabs>
        <w:spacing w:before="0" w:after="120"/>
      </w:pPr>
      <w:bookmarkStart w:id="8" w:name="_Toc413139275"/>
      <w:r w:rsidRPr="00D647A9">
        <w:t xml:space="preserve">ALK rearrangements are found in approximately 3-5% of cases of advanced NSCLC and </w:t>
      </w:r>
      <w:r w:rsidR="004C37B2" w:rsidRPr="00D647A9">
        <w:t xml:space="preserve">are </w:t>
      </w:r>
      <w:r w:rsidRPr="00D647A9">
        <w:t xml:space="preserve">a distinct molecular subtype of lung cancer. Brain metastases are common in patients with ALK-positive metastatic NSCLC. </w:t>
      </w:r>
      <w:r w:rsidR="00CE2BA0" w:rsidRPr="00D647A9">
        <w:t>Central nervous system (CNS) metastases are associated with a reduction in quality of life and reduced life expectancy compared with other metastatic sites, and treatments required for CNS disease control (corticosteroids, surgery, and radiation) are associated with considerable morbidity.</w:t>
      </w:r>
    </w:p>
    <w:p w:rsidR="00577547" w:rsidRPr="00D647A9" w:rsidRDefault="000E14FB" w:rsidP="00863A4D">
      <w:pPr>
        <w:pStyle w:val="ListParagraph"/>
        <w:numPr>
          <w:ilvl w:val="1"/>
          <w:numId w:val="4"/>
        </w:numPr>
        <w:spacing w:before="0" w:after="120"/>
      </w:pPr>
      <w:proofErr w:type="spellStart"/>
      <w:r w:rsidRPr="00D647A9">
        <w:t>Alectinib</w:t>
      </w:r>
      <w:proofErr w:type="spellEnd"/>
      <w:r w:rsidRPr="00D647A9">
        <w:t xml:space="preserve"> is a </w:t>
      </w:r>
      <w:r w:rsidR="00E81D34" w:rsidRPr="00D647A9">
        <w:t xml:space="preserve">selective </w:t>
      </w:r>
      <w:r w:rsidRPr="00D81E5B">
        <w:rPr>
          <w:i/>
        </w:rPr>
        <w:t>ALK</w:t>
      </w:r>
      <w:r w:rsidRPr="00D647A9">
        <w:t xml:space="preserve"> </w:t>
      </w:r>
      <w:r w:rsidR="00D81E5B" w:rsidRPr="00D647A9">
        <w:t xml:space="preserve">tyrosine kinase inhibitor </w:t>
      </w:r>
      <w:r w:rsidR="00D81E5B">
        <w:t>which also has anti-</w:t>
      </w:r>
      <w:r w:rsidR="00D81E5B" w:rsidRPr="00D81E5B">
        <w:rPr>
          <w:i/>
        </w:rPr>
        <w:t>RET</w:t>
      </w:r>
      <w:r w:rsidR="00D81E5B">
        <w:t xml:space="preserve"> (r</w:t>
      </w:r>
      <w:r w:rsidR="00D81E5B" w:rsidRPr="00D647A9">
        <w:t xml:space="preserve">earranged during </w:t>
      </w:r>
      <w:r w:rsidR="00D81E5B">
        <w:t>t</w:t>
      </w:r>
      <w:r w:rsidR="00D81E5B" w:rsidRPr="00D647A9">
        <w:t>ransfection</w:t>
      </w:r>
      <w:r w:rsidR="00D81E5B">
        <w:t>)</w:t>
      </w:r>
      <w:r w:rsidR="00D81E5B" w:rsidRPr="00D647A9">
        <w:t xml:space="preserve"> </w:t>
      </w:r>
      <w:r w:rsidR="00D81E5B">
        <w:t xml:space="preserve">activity. </w:t>
      </w:r>
      <w:proofErr w:type="spellStart"/>
      <w:r w:rsidR="00577547" w:rsidRPr="00D647A9">
        <w:t>Alectinib</w:t>
      </w:r>
      <w:proofErr w:type="spellEnd"/>
      <w:r w:rsidR="00577547" w:rsidRPr="00D647A9">
        <w:t xml:space="preserve"> inhibits ALK tyrosine kinase activity, leading to </w:t>
      </w:r>
      <w:r w:rsidR="004C37B2" w:rsidRPr="00D647A9">
        <w:t xml:space="preserve">a </w:t>
      </w:r>
      <w:r w:rsidR="00577547" w:rsidRPr="00D647A9">
        <w:t xml:space="preserve">blockage of downstream signalling pathways, and inhibits proliferation of cancer cells harbouring </w:t>
      </w:r>
      <w:r w:rsidR="00CA11D7">
        <w:t>EML4-</w:t>
      </w:r>
      <w:r w:rsidR="00577547" w:rsidRPr="00D647A9">
        <w:t xml:space="preserve">ALK </w:t>
      </w:r>
      <w:r w:rsidR="00CA11D7">
        <w:t>(</w:t>
      </w:r>
      <w:r w:rsidR="00CA11D7" w:rsidRPr="00CA11D7">
        <w:t>echinoderm microtubule-associated protein-like 4-anaplastic lymphoma kinase</w:t>
      </w:r>
      <w:r w:rsidR="00CA11D7">
        <w:t xml:space="preserve">) </w:t>
      </w:r>
      <w:r w:rsidR="00577547" w:rsidRPr="00D647A9">
        <w:t>fusion proteins.</w:t>
      </w:r>
    </w:p>
    <w:p w:rsidR="00D43F57" w:rsidRPr="00D647A9" w:rsidRDefault="00577547" w:rsidP="00863A4D">
      <w:pPr>
        <w:pStyle w:val="ListParagraph"/>
        <w:numPr>
          <w:ilvl w:val="1"/>
          <w:numId w:val="4"/>
        </w:numPr>
        <w:spacing w:before="0" w:after="120"/>
      </w:pPr>
      <w:r w:rsidRPr="00D647A9">
        <w:t xml:space="preserve">The submission requested </w:t>
      </w:r>
      <w:r w:rsidR="00D43F57" w:rsidRPr="00D647A9">
        <w:t xml:space="preserve">that </w:t>
      </w:r>
      <w:proofErr w:type="spellStart"/>
      <w:r w:rsidRPr="00D647A9">
        <w:t>alectinib</w:t>
      </w:r>
      <w:proofErr w:type="spellEnd"/>
      <w:r w:rsidRPr="00D647A9">
        <w:t xml:space="preserve"> be listed for the treatment of </w:t>
      </w:r>
      <w:r w:rsidR="00084E8F" w:rsidRPr="00D647A9">
        <w:t xml:space="preserve">patients with </w:t>
      </w:r>
      <w:r w:rsidRPr="00D647A9">
        <w:t>locally advanced or</w:t>
      </w:r>
      <w:r w:rsidR="00084E8F" w:rsidRPr="00D647A9">
        <w:t xml:space="preserve"> metastatic ALK-positive NSCLC, </w:t>
      </w:r>
      <w:r w:rsidRPr="00D647A9">
        <w:t>who have disease progression following treatment with a prior ALK inhibitor</w:t>
      </w:r>
      <w:r w:rsidR="0044776B" w:rsidRPr="00D647A9">
        <w:t xml:space="preserve"> (i.e. second- or later-line therapy)</w:t>
      </w:r>
      <w:r w:rsidRPr="00D647A9">
        <w:t xml:space="preserve">. </w:t>
      </w:r>
      <w:r w:rsidR="00D43F57" w:rsidRPr="00D647A9">
        <w:t>The</w:t>
      </w:r>
      <w:r w:rsidR="00752869">
        <w:t xml:space="preserve"> </w:t>
      </w:r>
      <w:r w:rsidR="00D43F57" w:rsidRPr="00D647A9">
        <w:t xml:space="preserve">submission </w:t>
      </w:r>
      <w:r w:rsidR="00810B13" w:rsidRPr="00D647A9">
        <w:t>sta</w:t>
      </w:r>
      <w:r w:rsidR="00D43F57" w:rsidRPr="00D647A9">
        <w:t xml:space="preserve">ted that it was awaiting results </w:t>
      </w:r>
      <w:r w:rsidR="00D43F57" w:rsidRPr="008279C6">
        <w:t>from</w:t>
      </w:r>
      <w:r w:rsidR="00752869" w:rsidRPr="008279C6">
        <w:t xml:space="preserve"> </w:t>
      </w:r>
      <w:r w:rsidR="00AA4E8F" w:rsidRPr="008279C6">
        <w:t xml:space="preserve">ALEX, </w:t>
      </w:r>
      <w:r w:rsidR="00752869" w:rsidRPr="008279C6">
        <w:t xml:space="preserve">a randomised controlled trial comparing </w:t>
      </w:r>
      <w:proofErr w:type="spellStart"/>
      <w:r w:rsidR="00752869" w:rsidRPr="008279C6">
        <w:t>alectinib</w:t>
      </w:r>
      <w:proofErr w:type="spellEnd"/>
      <w:r w:rsidR="00752869" w:rsidRPr="008279C6">
        <w:t xml:space="preserve"> and </w:t>
      </w:r>
      <w:proofErr w:type="spellStart"/>
      <w:r w:rsidR="00752869" w:rsidRPr="008279C6">
        <w:t>crizotinib</w:t>
      </w:r>
      <w:proofErr w:type="spellEnd"/>
      <w:r w:rsidR="00752869" w:rsidRPr="008279C6">
        <w:t xml:space="preserve"> in treatment-naïve patients with ALK-positive NSCLC</w:t>
      </w:r>
      <w:r w:rsidR="00AA4E8F" w:rsidRPr="008279C6">
        <w:t xml:space="preserve">, </w:t>
      </w:r>
      <w:r w:rsidR="00D43F57" w:rsidRPr="008279C6">
        <w:t xml:space="preserve">prior to lodging a submission for use of </w:t>
      </w:r>
      <w:proofErr w:type="spellStart"/>
      <w:r w:rsidR="00D43F57" w:rsidRPr="008279C6">
        <w:t>alectinib</w:t>
      </w:r>
      <w:proofErr w:type="spellEnd"/>
      <w:r w:rsidR="00D43F57" w:rsidRPr="00D647A9">
        <w:t xml:space="preserve"> for previously untreated ALK-positive NSCLC.</w:t>
      </w:r>
    </w:p>
    <w:p w:rsidR="00BA4A1C" w:rsidRDefault="00C70426" w:rsidP="00863A4D">
      <w:pPr>
        <w:pStyle w:val="ListParagraph"/>
        <w:numPr>
          <w:ilvl w:val="1"/>
          <w:numId w:val="4"/>
        </w:numPr>
        <w:spacing w:before="0" w:after="120"/>
      </w:pPr>
      <w:r w:rsidRPr="00D647A9">
        <w:t xml:space="preserve">The proposed positioning of </w:t>
      </w:r>
      <w:proofErr w:type="spellStart"/>
      <w:r w:rsidRPr="00D647A9">
        <w:t>alectinib</w:t>
      </w:r>
      <w:proofErr w:type="spellEnd"/>
      <w:r w:rsidRPr="00D647A9">
        <w:t xml:space="preserve"> in the treatment of ALK-positive locally advanced or metastatic NSCLC was as an alternative second-line treatment option in patients who have progressed </w:t>
      </w:r>
      <w:r w:rsidR="00426E25" w:rsidRPr="00D647A9">
        <w:t xml:space="preserve">following treatment with a prior ALK inhibitor. </w:t>
      </w:r>
      <w:r w:rsidRPr="00D647A9">
        <w:t>This</w:t>
      </w:r>
      <w:r w:rsidR="0044776B" w:rsidRPr="00D647A9">
        <w:t xml:space="preserve"> wa</w:t>
      </w:r>
      <w:r w:rsidR="00BA4A1C" w:rsidRPr="00D647A9">
        <w:t>s not consistent with the clinical evidence pr</w:t>
      </w:r>
      <w:r w:rsidR="00447C83" w:rsidRPr="00D647A9">
        <w:t>esented in</w:t>
      </w:r>
      <w:r w:rsidR="003D71FA">
        <w:t xml:space="preserve"> the submission,</w:t>
      </w:r>
      <w:r w:rsidR="00447C83" w:rsidRPr="00D647A9">
        <w:t xml:space="preserve"> in which 7</w:t>
      </w:r>
      <w:r w:rsidR="00733200" w:rsidRPr="00D647A9">
        <w:t>7</w:t>
      </w:r>
      <w:r w:rsidR="00BA4A1C" w:rsidRPr="00D647A9">
        <w:t xml:space="preserve">% of patients </w:t>
      </w:r>
      <w:r w:rsidR="00447C83" w:rsidRPr="00D647A9">
        <w:t xml:space="preserve">in the </w:t>
      </w:r>
      <w:proofErr w:type="spellStart"/>
      <w:r w:rsidR="00447C83" w:rsidRPr="00D647A9">
        <w:t>alectinib</w:t>
      </w:r>
      <w:proofErr w:type="spellEnd"/>
      <w:r w:rsidR="00447C83" w:rsidRPr="00D647A9">
        <w:t xml:space="preserve"> studies </w:t>
      </w:r>
      <w:r w:rsidR="00BA4A1C" w:rsidRPr="00D647A9">
        <w:t xml:space="preserve">had </w:t>
      </w:r>
      <w:r w:rsidR="00733200" w:rsidRPr="00D647A9">
        <w:t xml:space="preserve">previously </w:t>
      </w:r>
      <w:r w:rsidR="00BA4A1C" w:rsidRPr="00D647A9">
        <w:t xml:space="preserve">received </w:t>
      </w:r>
      <w:r w:rsidR="00733200" w:rsidRPr="00D647A9">
        <w:t xml:space="preserve">chemotherapy in addition to </w:t>
      </w:r>
      <w:proofErr w:type="spellStart"/>
      <w:r w:rsidR="00733200" w:rsidRPr="00D647A9">
        <w:t>crizotinib</w:t>
      </w:r>
      <w:proofErr w:type="spellEnd"/>
      <w:r w:rsidR="00733200" w:rsidRPr="00D647A9">
        <w:t>.</w:t>
      </w:r>
    </w:p>
    <w:p w:rsidR="00B40B65" w:rsidRDefault="00B40B65" w:rsidP="00863A4D">
      <w:pPr>
        <w:pStyle w:val="ListParagraph"/>
        <w:numPr>
          <w:ilvl w:val="1"/>
          <w:numId w:val="4"/>
        </w:numPr>
        <w:spacing w:before="0" w:after="120"/>
      </w:pPr>
      <w:r w:rsidRPr="00863A4D">
        <w:t>The ESC noted that the clinical p</w:t>
      </w:r>
      <w:r w:rsidR="005C6FA7" w:rsidRPr="00863A4D">
        <w:t xml:space="preserve">lace of </w:t>
      </w:r>
      <w:proofErr w:type="spellStart"/>
      <w:r w:rsidR="005C6FA7" w:rsidRPr="00863A4D">
        <w:t>al</w:t>
      </w:r>
      <w:r w:rsidR="00CD2EAB">
        <w:t>ectinib</w:t>
      </w:r>
      <w:proofErr w:type="spellEnd"/>
      <w:r w:rsidR="00CD2EAB">
        <w:t xml:space="preserve"> was uncertain as there wa</w:t>
      </w:r>
      <w:r w:rsidR="005C6FA7" w:rsidRPr="00863A4D">
        <w:t xml:space="preserve">s </w:t>
      </w:r>
      <w:r w:rsidR="008E59EE" w:rsidRPr="00863A4D">
        <w:t>limited clinical evidence currently available</w:t>
      </w:r>
      <w:r w:rsidR="005C6FA7" w:rsidRPr="00863A4D">
        <w:t xml:space="preserve"> comparing </w:t>
      </w:r>
      <w:proofErr w:type="spellStart"/>
      <w:r w:rsidR="005C6FA7" w:rsidRPr="00863A4D">
        <w:t>alect</w:t>
      </w:r>
      <w:r w:rsidR="00E70763" w:rsidRPr="00863A4D">
        <w:t>inib</w:t>
      </w:r>
      <w:proofErr w:type="spellEnd"/>
      <w:r w:rsidR="00E70763" w:rsidRPr="00863A4D">
        <w:t xml:space="preserve"> with other ALK inhibitors.</w:t>
      </w:r>
    </w:p>
    <w:p w:rsidR="001C2F0E" w:rsidRPr="00863A4D" w:rsidRDefault="001C2F0E" w:rsidP="001C2F0E">
      <w:pPr>
        <w:pStyle w:val="ListParagraph"/>
        <w:spacing w:before="0" w:after="120"/>
      </w:pPr>
    </w:p>
    <w:p w:rsidR="00C317F3" w:rsidRPr="00D647A9" w:rsidRDefault="00C317F3" w:rsidP="00BF5AAE">
      <w:pPr>
        <w:pStyle w:val="Heading1"/>
      </w:pPr>
      <w:bookmarkStart w:id="9" w:name="_Toc482699436"/>
      <w:r w:rsidRPr="00D647A9">
        <w:t>Comparator</w:t>
      </w:r>
      <w:bookmarkEnd w:id="8"/>
      <w:bookmarkEnd w:id="9"/>
    </w:p>
    <w:p w:rsidR="00C317F3" w:rsidRPr="00D647A9" w:rsidRDefault="00C317F3" w:rsidP="00863A4D">
      <w:pPr>
        <w:pStyle w:val="ListParagraph"/>
        <w:numPr>
          <w:ilvl w:val="0"/>
          <w:numId w:val="4"/>
        </w:numPr>
        <w:spacing w:before="200" w:after="120"/>
        <w:rPr>
          <w:rFonts w:ascii="Arial" w:eastAsia="Times New Roman" w:hAnsi="Arial" w:cs="Arial"/>
          <w:b/>
          <w:snapToGrid w:val="0"/>
          <w:vanish/>
          <w:sz w:val="22"/>
        </w:rPr>
      </w:pPr>
    </w:p>
    <w:p w:rsidR="00577547" w:rsidRPr="00863A4D" w:rsidRDefault="00577547" w:rsidP="00863A4D">
      <w:pPr>
        <w:pStyle w:val="ListParagraph"/>
        <w:numPr>
          <w:ilvl w:val="1"/>
          <w:numId w:val="4"/>
        </w:numPr>
        <w:rPr>
          <w:lang w:val="en-GB"/>
        </w:rPr>
      </w:pPr>
      <w:bookmarkStart w:id="10" w:name="_Toc413139276"/>
      <w:r w:rsidRPr="00863A4D">
        <w:t xml:space="preserve">The submission nominated </w:t>
      </w:r>
      <w:proofErr w:type="spellStart"/>
      <w:r w:rsidRPr="00863A4D">
        <w:t>ceritinib</w:t>
      </w:r>
      <w:proofErr w:type="spellEnd"/>
      <w:r w:rsidRPr="00863A4D">
        <w:t xml:space="preserve"> as the main comparator. </w:t>
      </w:r>
      <w:proofErr w:type="spellStart"/>
      <w:r w:rsidR="00114B19" w:rsidRPr="00863A4D">
        <w:t>Ceritinib</w:t>
      </w:r>
      <w:proofErr w:type="spellEnd"/>
      <w:r w:rsidRPr="00863A4D">
        <w:t xml:space="preserve"> is the appropriate comparator</w:t>
      </w:r>
      <w:r w:rsidR="003C4DF0" w:rsidRPr="00863A4D">
        <w:t xml:space="preserve"> </w:t>
      </w:r>
      <w:r w:rsidR="00084E8F" w:rsidRPr="00863A4D">
        <w:t xml:space="preserve">for the use of </w:t>
      </w:r>
      <w:proofErr w:type="spellStart"/>
      <w:r w:rsidR="00084E8F" w:rsidRPr="00863A4D">
        <w:t>alectinib</w:t>
      </w:r>
      <w:proofErr w:type="spellEnd"/>
      <w:r w:rsidR="00084E8F" w:rsidRPr="00863A4D">
        <w:t xml:space="preserve"> subsequent to progression in patients receiving </w:t>
      </w:r>
      <w:proofErr w:type="spellStart"/>
      <w:r w:rsidR="00084E8F" w:rsidRPr="00863A4D">
        <w:t>crizotinib</w:t>
      </w:r>
      <w:proofErr w:type="spellEnd"/>
      <w:r w:rsidR="00084E8F" w:rsidRPr="00863A4D">
        <w:t xml:space="preserve"> as the initial ALK inhibitor therapy</w:t>
      </w:r>
      <w:r w:rsidR="00BD288C">
        <w:t>.</w:t>
      </w:r>
      <w:r w:rsidR="00084E8F" w:rsidRPr="00863A4D">
        <w:t xml:space="preserve"> The evidence presented in the submission is consistent with this use, although the patients in the studies represented a more heavily pre-treated population than anticipated in Australian clinical practice.</w:t>
      </w:r>
    </w:p>
    <w:p w:rsidR="004143CE" w:rsidRPr="00863A4D" w:rsidRDefault="00AE0C86" w:rsidP="00863A4D">
      <w:pPr>
        <w:pStyle w:val="ListParagraph"/>
        <w:numPr>
          <w:ilvl w:val="1"/>
          <w:numId w:val="4"/>
        </w:numPr>
        <w:rPr>
          <w:lang w:val="en-GB"/>
        </w:rPr>
      </w:pPr>
      <w:proofErr w:type="spellStart"/>
      <w:r w:rsidRPr="00863A4D">
        <w:t>Alectinib</w:t>
      </w:r>
      <w:proofErr w:type="spellEnd"/>
      <w:r w:rsidRPr="00863A4D">
        <w:t xml:space="preserve"> may also be used following progression on either first- or later-line </w:t>
      </w:r>
      <w:proofErr w:type="spellStart"/>
      <w:r w:rsidRPr="00863A4D">
        <w:t>ceritinib</w:t>
      </w:r>
      <w:proofErr w:type="spellEnd"/>
      <w:r w:rsidRPr="00863A4D">
        <w:t xml:space="preserve">. </w:t>
      </w:r>
      <w:r w:rsidR="004143CE" w:rsidRPr="00863A4D">
        <w:t xml:space="preserve">The submission did not nominate a separate comparator for this </w:t>
      </w:r>
      <w:r w:rsidR="00084E8F" w:rsidRPr="00863A4D">
        <w:t>use</w:t>
      </w:r>
      <w:r w:rsidR="004143CE" w:rsidRPr="00863A4D">
        <w:t xml:space="preserve">. As there is no evidence to support the use of </w:t>
      </w:r>
      <w:proofErr w:type="spellStart"/>
      <w:r w:rsidR="004143CE" w:rsidRPr="00863A4D">
        <w:t>crizotinib</w:t>
      </w:r>
      <w:proofErr w:type="spellEnd"/>
      <w:r w:rsidR="004143CE" w:rsidRPr="00863A4D">
        <w:t xml:space="preserve"> in patients who have progressed on a prior </w:t>
      </w:r>
      <w:r w:rsidR="00CF53A9" w:rsidRPr="00863A4D">
        <w:t>ALK inhibitor</w:t>
      </w:r>
      <w:r w:rsidR="004143CE" w:rsidRPr="00863A4D">
        <w:t xml:space="preserve">, if </w:t>
      </w:r>
      <w:proofErr w:type="spellStart"/>
      <w:r w:rsidR="004143CE" w:rsidRPr="00863A4D">
        <w:t>alectinib</w:t>
      </w:r>
      <w:proofErr w:type="spellEnd"/>
      <w:r w:rsidR="004143CE" w:rsidRPr="00863A4D">
        <w:t xml:space="preserve"> is used in patients who have progressed on </w:t>
      </w:r>
      <w:proofErr w:type="spellStart"/>
      <w:r w:rsidR="004143CE" w:rsidRPr="00863A4D">
        <w:t>ceritinib</w:t>
      </w:r>
      <w:proofErr w:type="spellEnd"/>
      <w:r w:rsidR="004143CE" w:rsidRPr="00863A4D">
        <w:t xml:space="preserve">, it would most likely </w:t>
      </w:r>
      <w:r w:rsidR="00602FBE" w:rsidRPr="00863A4D">
        <w:t>replace</w:t>
      </w:r>
      <w:r w:rsidR="004143CE" w:rsidRPr="00863A4D">
        <w:t xml:space="preserve"> chemotherapy (or displace it</w:t>
      </w:r>
      <w:r w:rsidR="00E70763" w:rsidRPr="00863A4D">
        <w:t xml:space="preserve"> to a later line of treatment).</w:t>
      </w:r>
    </w:p>
    <w:p w:rsidR="00647103" w:rsidRPr="00863A4D" w:rsidRDefault="00602FBE" w:rsidP="00863A4D">
      <w:pPr>
        <w:pStyle w:val="ListParagraph"/>
        <w:numPr>
          <w:ilvl w:val="1"/>
          <w:numId w:val="4"/>
        </w:numPr>
        <w:rPr>
          <w:lang w:val="en-GB"/>
        </w:rPr>
      </w:pPr>
      <w:r w:rsidRPr="00863A4D">
        <w:rPr>
          <w:lang w:val="en-GB"/>
        </w:rPr>
        <w:t xml:space="preserve">If </w:t>
      </w:r>
      <w:proofErr w:type="spellStart"/>
      <w:r w:rsidRPr="00863A4D">
        <w:rPr>
          <w:lang w:val="en-GB"/>
        </w:rPr>
        <w:t>alectinib</w:t>
      </w:r>
      <w:proofErr w:type="spellEnd"/>
      <w:r w:rsidRPr="00863A4D">
        <w:rPr>
          <w:lang w:val="en-GB"/>
        </w:rPr>
        <w:t xml:space="preserve"> is used following progression on first-line </w:t>
      </w:r>
      <w:proofErr w:type="spellStart"/>
      <w:r w:rsidRPr="00863A4D">
        <w:rPr>
          <w:lang w:val="en-GB"/>
        </w:rPr>
        <w:t>crizotinib</w:t>
      </w:r>
      <w:proofErr w:type="spellEnd"/>
      <w:r w:rsidRPr="00863A4D">
        <w:rPr>
          <w:lang w:val="en-GB"/>
        </w:rPr>
        <w:t xml:space="preserve">, the current restriction of </w:t>
      </w:r>
      <w:proofErr w:type="spellStart"/>
      <w:r w:rsidRPr="00863A4D">
        <w:rPr>
          <w:lang w:val="en-GB"/>
        </w:rPr>
        <w:t>ceritinib</w:t>
      </w:r>
      <w:proofErr w:type="spellEnd"/>
      <w:r w:rsidRPr="00863A4D">
        <w:rPr>
          <w:lang w:val="en-GB"/>
        </w:rPr>
        <w:t xml:space="preserve"> would still allow for it to be used for treatment after progression on </w:t>
      </w:r>
      <w:proofErr w:type="spellStart"/>
      <w:r w:rsidRPr="00863A4D">
        <w:rPr>
          <w:lang w:val="en-GB"/>
        </w:rPr>
        <w:t>alectinib</w:t>
      </w:r>
      <w:proofErr w:type="spellEnd"/>
      <w:r w:rsidRPr="00863A4D">
        <w:rPr>
          <w:lang w:val="en-GB"/>
        </w:rPr>
        <w:t xml:space="preserve"> (i.e. third line). As such, the PBS listing of </w:t>
      </w:r>
      <w:proofErr w:type="spellStart"/>
      <w:r w:rsidRPr="00863A4D">
        <w:rPr>
          <w:lang w:val="en-GB"/>
        </w:rPr>
        <w:t>alectinib</w:t>
      </w:r>
      <w:proofErr w:type="spellEnd"/>
      <w:r w:rsidRPr="00863A4D">
        <w:rPr>
          <w:lang w:val="en-GB"/>
        </w:rPr>
        <w:t xml:space="preserve"> would </w:t>
      </w:r>
      <w:r w:rsidR="00322791" w:rsidRPr="00863A4D">
        <w:rPr>
          <w:lang w:val="en-GB"/>
        </w:rPr>
        <w:t xml:space="preserve">potentially </w:t>
      </w:r>
      <w:r w:rsidRPr="00863A4D">
        <w:rPr>
          <w:lang w:val="en-GB"/>
        </w:rPr>
        <w:t xml:space="preserve">displace, rather than replace, </w:t>
      </w:r>
      <w:proofErr w:type="spellStart"/>
      <w:r w:rsidRPr="00863A4D">
        <w:rPr>
          <w:lang w:val="en-GB"/>
        </w:rPr>
        <w:t>ceritinib</w:t>
      </w:r>
      <w:proofErr w:type="spellEnd"/>
      <w:r w:rsidRPr="00863A4D">
        <w:rPr>
          <w:lang w:val="en-GB"/>
        </w:rPr>
        <w:t xml:space="preserve"> to a later line of ther</w:t>
      </w:r>
      <w:r w:rsidR="00E70763" w:rsidRPr="00863A4D">
        <w:rPr>
          <w:lang w:val="en-GB"/>
        </w:rPr>
        <w:t>apy.</w:t>
      </w:r>
    </w:p>
    <w:p w:rsidR="00647103" w:rsidRPr="00863A4D" w:rsidRDefault="00647103" w:rsidP="00FC69EC">
      <w:pPr>
        <w:pStyle w:val="ListParagraph"/>
        <w:numPr>
          <w:ilvl w:val="3"/>
          <w:numId w:val="19"/>
        </w:numPr>
        <w:ind w:hanging="371"/>
        <w:rPr>
          <w:lang w:val="en-GB"/>
        </w:rPr>
      </w:pPr>
      <w:r w:rsidRPr="00863A4D">
        <w:t>T</w:t>
      </w:r>
      <w:r w:rsidR="00426E25" w:rsidRPr="00863A4D">
        <w:t xml:space="preserve">he submission stated that the sponsor’s Advisory Board, consisting of nine Australian medical oncologists, confirmed that chemotherapy would be preferentially used as a third-line treatment, as opposed to </w:t>
      </w:r>
      <w:r w:rsidR="00037A02" w:rsidRPr="00863A4D">
        <w:t xml:space="preserve">sequential use of </w:t>
      </w:r>
      <w:r w:rsidR="00E70763" w:rsidRPr="00863A4D">
        <w:t>three ALK inhibitors.</w:t>
      </w:r>
    </w:p>
    <w:p w:rsidR="00647103" w:rsidRPr="00863A4D" w:rsidRDefault="0030667B" w:rsidP="00FC69EC">
      <w:pPr>
        <w:pStyle w:val="ListParagraph"/>
        <w:numPr>
          <w:ilvl w:val="3"/>
          <w:numId w:val="19"/>
        </w:numPr>
        <w:ind w:hanging="371"/>
        <w:rPr>
          <w:lang w:val="en-GB"/>
        </w:rPr>
      </w:pPr>
      <w:r w:rsidRPr="00863A4D">
        <w:t xml:space="preserve">The ESC noted that the proposed listing for </w:t>
      </w:r>
      <w:proofErr w:type="spellStart"/>
      <w:r w:rsidRPr="00863A4D">
        <w:t>al</w:t>
      </w:r>
      <w:r w:rsidR="0020079E" w:rsidRPr="00863A4D">
        <w:t>ectinib</w:t>
      </w:r>
      <w:proofErr w:type="spellEnd"/>
      <w:r w:rsidR="0020079E" w:rsidRPr="00863A4D">
        <w:t xml:space="preserve"> does not restrict third- or later-</w:t>
      </w:r>
      <w:r w:rsidRPr="00863A4D">
        <w:t xml:space="preserve">line access to </w:t>
      </w:r>
      <w:proofErr w:type="spellStart"/>
      <w:r w:rsidRPr="00863A4D">
        <w:t>alectinib</w:t>
      </w:r>
      <w:proofErr w:type="spellEnd"/>
      <w:r w:rsidR="000B17E6" w:rsidRPr="00863A4D">
        <w:t>,</w:t>
      </w:r>
      <w:r w:rsidRPr="00863A4D">
        <w:t xml:space="preserve"> and therefore if recommended</w:t>
      </w:r>
      <w:r w:rsidR="00390AF9" w:rsidRPr="00863A4D">
        <w:t xml:space="preserve"> for listing</w:t>
      </w:r>
      <w:r w:rsidRPr="00863A4D">
        <w:t xml:space="preserve">, </w:t>
      </w:r>
      <w:proofErr w:type="spellStart"/>
      <w:r w:rsidRPr="00863A4D">
        <w:t>alectinib</w:t>
      </w:r>
      <w:proofErr w:type="spellEnd"/>
      <w:r w:rsidRPr="00863A4D">
        <w:t xml:space="preserve"> could be used to replace chemothe</w:t>
      </w:r>
      <w:r w:rsidR="00E70763" w:rsidRPr="00863A4D">
        <w:t>rapy in later lines of therapy.</w:t>
      </w:r>
    </w:p>
    <w:p w:rsidR="00647103" w:rsidRPr="00863A4D" w:rsidRDefault="0030667B" w:rsidP="00FC69EC">
      <w:pPr>
        <w:pStyle w:val="ListParagraph"/>
        <w:numPr>
          <w:ilvl w:val="3"/>
          <w:numId w:val="19"/>
        </w:numPr>
        <w:ind w:hanging="371"/>
        <w:rPr>
          <w:lang w:val="en-GB"/>
        </w:rPr>
      </w:pPr>
      <w:r w:rsidRPr="00863A4D">
        <w:t xml:space="preserve">The ESC noted that no clinical evidence comparing </w:t>
      </w:r>
      <w:proofErr w:type="spellStart"/>
      <w:r w:rsidRPr="00863A4D">
        <w:t>alectinib</w:t>
      </w:r>
      <w:proofErr w:type="spellEnd"/>
      <w:r w:rsidRPr="00863A4D">
        <w:t xml:space="preserve"> to chemotherapy was provided in the submission.</w:t>
      </w:r>
    </w:p>
    <w:p w:rsidR="00426E25" w:rsidRPr="00863A4D" w:rsidRDefault="000B17E6" w:rsidP="00FC69EC">
      <w:pPr>
        <w:pStyle w:val="ListParagraph"/>
        <w:numPr>
          <w:ilvl w:val="3"/>
          <w:numId w:val="19"/>
        </w:numPr>
        <w:ind w:hanging="371"/>
        <w:rPr>
          <w:lang w:val="en-GB"/>
        </w:rPr>
      </w:pPr>
      <w:r w:rsidRPr="00863A4D">
        <w:t xml:space="preserve">The ESC recalled that </w:t>
      </w:r>
      <w:proofErr w:type="spellStart"/>
      <w:r w:rsidRPr="00863A4D">
        <w:t>ceritinib</w:t>
      </w:r>
      <w:proofErr w:type="spellEnd"/>
      <w:r w:rsidRPr="00863A4D">
        <w:t xml:space="preserve"> was recommended by the PBAC on a cost-minimisation basis </w:t>
      </w:r>
      <w:r w:rsidR="00EC10AD">
        <w:t xml:space="preserve">against </w:t>
      </w:r>
      <w:r w:rsidRPr="00863A4D">
        <w:t>platinum chemotherapy</w:t>
      </w:r>
      <w:r w:rsidR="00EC10AD">
        <w:t xml:space="preserve"> followed by </w:t>
      </w:r>
      <w:proofErr w:type="spellStart"/>
      <w:r w:rsidR="00EC10AD">
        <w:t>pemetrexed</w:t>
      </w:r>
      <w:proofErr w:type="spellEnd"/>
      <w:r w:rsidR="00EC10AD">
        <w:t xml:space="preserve"> maintenance therapy</w:t>
      </w:r>
      <w:r w:rsidR="0038372E" w:rsidRPr="00863A4D">
        <w:t xml:space="preserve"> (</w:t>
      </w:r>
      <w:proofErr w:type="spellStart"/>
      <w:r w:rsidR="0038372E" w:rsidRPr="00863A4D">
        <w:t>ceritinib</w:t>
      </w:r>
      <w:proofErr w:type="spellEnd"/>
      <w:r w:rsidR="0038372E" w:rsidRPr="00863A4D">
        <w:t xml:space="preserve"> PSD, Nov 2016)</w:t>
      </w:r>
      <w:r w:rsidRPr="00863A4D">
        <w:t>.</w:t>
      </w:r>
    </w:p>
    <w:p w:rsidR="008C16A4" w:rsidRDefault="008C16A4" w:rsidP="008C16A4">
      <w:pPr>
        <w:pStyle w:val="ListParagraph"/>
        <w:rPr>
          <w:rFonts w:ascii="Calibri" w:eastAsia="Times New Roman" w:hAnsi="Calibri" w:cs="Times New Roman"/>
          <w:i/>
          <w:szCs w:val="24"/>
        </w:rPr>
      </w:pPr>
      <w:r w:rsidRPr="00504AEC">
        <w:rPr>
          <w:rFonts w:ascii="Calibri" w:eastAsia="Times New Roman" w:hAnsi="Calibri" w:cs="Times New Roman"/>
          <w:i/>
          <w:szCs w:val="24"/>
        </w:rPr>
        <w:t>For more detail on PBAC’s view, see section 7 “PBAC outcome.”</w:t>
      </w:r>
    </w:p>
    <w:p w:rsidR="001C2F0E" w:rsidRDefault="001C2F0E" w:rsidP="008C16A4">
      <w:pPr>
        <w:pStyle w:val="ListParagraph"/>
      </w:pPr>
    </w:p>
    <w:p w:rsidR="00C317F3" w:rsidRDefault="00C317F3" w:rsidP="00BF5AAE">
      <w:pPr>
        <w:pStyle w:val="Heading1"/>
      </w:pPr>
      <w:bookmarkStart w:id="11" w:name="_Toc482699437"/>
      <w:r w:rsidRPr="00D647A9">
        <w:t>Consideration of the evidence</w:t>
      </w:r>
      <w:bookmarkEnd w:id="10"/>
      <w:bookmarkEnd w:id="11"/>
    </w:p>
    <w:p w:rsidR="008C16A4" w:rsidRDefault="008C16A4" w:rsidP="008C16A4">
      <w:pPr>
        <w:pStyle w:val="Heading2"/>
      </w:pPr>
      <w:r>
        <w:t>Sponsor hearing</w:t>
      </w:r>
    </w:p>
    <w:p w:rsidR="00066EA1" w:rsidRPr="00066EA1" w:rsidRDefault="00066EA1" w:rsidP="00863A4D">
      <w:pPr>
        <w:pStyle w:val="ListParagraph"/>
        <w:numPr>
          <w:ilvl w:val="0"/>
          <w:numId w:val="4"/>
        </w:numPr>
        <w:spacing w:before="200" w:after="120"/>
        <w:jc w:val="left"/>
        <w:rPr>
          <w:rFonts w:ascii="Arial" w:eastAsia="Times New Roman" w:hAnsi="Arial" w:cs="Arial"/>
          <w:b/>
          <w:snapToGrid w:val="0"/>
          <w:vanish/>
          <w:sz w:val="22"/>
        </w:rPr>
      </w:pPr>
    </w:p>
    <w:p w:rsidR="008C16A4" w:rsidRPr="00D647A9" w:rsidRDefault="008C16A4" w:rsidP="00863A4D">
      <w:pPr>
        <w:pStyle w:val="ListParagraph"/>
        <w:numPr>
          <w:ilvl w:val="1"/>
          <w:numId w:val="4"/>
        </w:numPr>
      </w:pPr>
      <w:r>
        <w:t>There was no hearing for this item</w:t>
      </w:r>
      <w:r w:rsidR="0057201C">
        <w:t>.</w:t>
      </w:r>
    </w:p>
    <w:p w:rsidR="00066EA1" w:rsidRDefault="00066EA1" w:rsidP="00066EA1">
      <w:pPr>
        <w:pStyle w:val="Heading2"/>
      </w:pPr>
      <w:r>
        <w:t>Consumer comments</w:t>
      </w:r>
    </w:p>
    <w:p w:rsidR="00330828" w:rsidRDefault="00AE0ABD" w:rsidP="00564AEF">
      <w:pPr>
        <w:pStyle w:val="ListParagraph"/>
        <w:numPr>
          <w:ilvl w:val="1"/>
          <w:numId w:val="4"/>
        </w:numPr>
      </w:pPr>
      <w:r>
        <w:t xml:space="preserve">The PBAC noted and welcomed the input from individuals (173) and organisations (3) via the Consumer Comments facility on the PBS website. </w:t>
      </w:r>
      <w:r w:rsidR="00722CA4">
        <w:t xml:space="preserve">The comments described benefits of treatment with </w:t>
      </w:r>
      <w:proofErr w:type="spellStart"/>
      <w:r w:rsidR="00722CA4">
        <w:t>alectinib</w:t>
      </w:r>
      <w:proofErr w:type="spellEnd"/>
      <w:r w:rsidR="0057201C">
        <w:t>,</w:t>
      </w:r>
      <w:r w:rsidR="00722CA4">
        <w:t xml:space="preserve"> emphasising fewer side effects, and</w:t>
      </w:r>
      <w:r w:rsidR="0057201C">
        <w:t xml:space="preserve"> an effect on brain metastases.</w:t>
      </w:r>
    </w:p>
    <w:p w:rsidR="008E1E63" w:rsidRDefault="001A2108" w:rsidP="00564AEF">
      <w:pPr>
        <w:pStyle w:val="ListParagraph"/>
        <w:numPr>
          <w:ilvl w:val="1"/>
          <w:numId w:val="4"/>
        </w:numPr>
      </w:pPr>
      <w:r>
        <w:t xml:space="preserve">The Lung Foundation </w:t>
      </w:r>
      <w:r w:rsidR="00DC5DE8">
        <w:t xml:space="preserve">considered that </w:t>
      </w:r>
      <w:proofErr w:type="spellStart"/>
      <w:r w:rsidR="00DC5DE8">
        <w:t>alectinib</w:t>
      </w:r>
      <w:proofErr w:type="spellEnd"/>
      <w:r w:rsidR="0057201C">
        <w:t xml:space="preserve"> represents an important second-</w:t>
      </w:r>
      <w:r w:rsidR="00DC5DE8">
        <w:t>line treatment option for ALK-positive lung cancer patien</w:t>
      </w:r>
      <w:r w:rsidR="0057201C">
        <w:t>ts who have progressed on first-</w:t>
      </w:r>
      <w:r w:rsidR="00DC5DE8">
        <w:t xml:space="preserve">line targeted treatment. </w:t>
      </w:r>
      <w:r w:rsidR="003F63EF">
        <w:t xml:space="preserve"> The comment from </w:t>
      </w:r>
      <w:r w:rsidR="00CB6D3F">
        <w:t>Rare Cancers Australia</w:t>
      </w:r>
      <w:r w:rsidR="003F63EF">
        <w:t xml:space="preserve"> noted that </w:t>
      </w:r>
      <w:r w:rsidR="00330828">
        <w:t xml:space="preserve">the PBS listing of </w:t>
      </w:r>
      <w:proofErr w:type="spellStart"/>
      <w:r w:rsidR="003F63EF">
        <w:t>alectinib</w:t>
      </w:r>
      <w:proofErr w:type="spellEnd"/>
      <w:r w:rsidR="003F63EF">
        <w:t xml:space="preserve"> </w:t>
      </w:r>
      <w:r w:rsidR="00330828">
        <w:t>would</w:t>
      </w:r>
      <w:r w:rsidR="003F63EF">
        <w:t xml:space="preserve"> make a difference to patients </w:t>
      </w:r>
      <w:r w:rsidR="00F229EE">
        <w:t>by slowing disease progression</w:t>
      </w:r>
      <w:r w:rsidR="008E1E63">
        <w:t xml:space="preserve">, potentially allowing </w:t>
      </w:r>
      <w:r w:rsidR="00330828">
        <w:t>them</w:t>
      </w:r>
      <w:r w:rsidR="008E1E63">
        <w:t xml:space="preserve"> time to access</w:t>
      </w:r>
      <w:r w:rsidR="0057201C">
        <w:t xml:space="preserve"> novel treatment in the future.</w:t>
      </w:r>
    </w:p>
    <w:p w:rsidR="00066EA1" w:rsidRDefault="00CA63F0" w:rsidP="00066EA1">
      <w:pPr>
        <w:pStyle w:val="ListParagraph"/>
        <w:numPr>
          <w:ilvl w:val="1"/>
          <w:numId w:val="4"/>
        </w:numPr>
      </w:pPr>
      <w:r>
        <w:t xml:space="preserve">The </w:t>
      </w:r>
      <w:r w:rsidR="00AF6FE6">
        <w:t xml:space="preserve">Medical Oncology Group of Australia (MOGA) also expressed its support for the </w:t>
      </w:r>
      <w:proofErr w:type="spellStart"/>
      <w:r w:rsidR="00AF6FE6">
        <w:t>alectinib</w:t>
      </w:r>
      <w:proofErr w:type="spellEnd"/>
      <w:r w:rsidR="00AF6FE6">
        <w:t xml:space="preserve"> submission, </w:t>
      </w:r>
      <w:r w:rsidR="00722CA4">
        <w:t>due to its high level of activity in pre-treated patients</w:t>
      </w:r>
      <w:r w:rsidR="00564AEF">
        <w:t xml:space="preserve">. The PBAC noted that the MOGA presented the </w:t>
      </w:r>
      <w:r w:rsidR="00564AEF" w:rsidRPr="00564AEF">
        <w:t>European Society for Medical Oncology Magnitude of Clinical Benefit Scale (ESMO-MCBS) for</w:t>
      </w:r>
      <w:r w:rsidR="00564AEF">
        <w:t xml:space="preserve"> </w:t>
      </w:r>
      <w:proofErr w:type="spellStart"/>
      <w:r w:rsidR="00564AEF">
        <w:t>alectinib</w:t>
      </w:r>
      <w:proofErr w:type="spellEnd"/>
      <w:r w:rsidR="00564AEF">
        <w:t>, which was limited to 3 (out of a maximum of 5, where 5 and 4 represent the grades with substantial improvement)</w:t>
      </w:r>
      <w:r w:rsidR="00564AEF">
        <w:rPr>
          <w:rStyle w:val="FootnoteReference"/>
        </w:rPr>
        <w:footnoteReference w:id="1"/>
      </w:r>
      <w:r w:rsidR="009733B0">
        <w:t>, based o</w:t>
      </w:r>
      <w:bookmarkStart w:id="12" w:name="_Toc413139277"/>
      <w:bookmarkStart w:id="13" w:name="_Toc482699438"/>
      <w:r w:rsidR="0057201C">
        <w:t xml:space="preserve">n a comparison with </w:t>
      </w:r>
      <w:proofErr w:type="spellStart"/>
      <w:r w:rsidR="0057201C">
        <w:t>crizotinib</w:t>
      </w:r>
      <w:proofErr w:type="spellEnd"/>
      <w:r w:rsidR="0057201C">
        <w:t>.</w:t>
      </w:r>
    </w:p>
    <w:p w:rsidR="00C317F3" w:rsidRPr="00D647A9" w:rsidRDefault="00C317F3" w:rsidP="00BF5AAE">
      <w:pPr>
        <w:pStyle w:val="Heading2"/>
      </w:pPr>
      <w:r w:rsidRPr="00D647A9">
        <w:t>Clinical trials</w:t>
      </w:r>
      <w:bookmarkEnd w:id="12"/>
      <w:bookmarkEnd w:id="13"/>
    </w:p>
    <w:p w:rsidR="00114B19" w:rsidRPr="00D647A9" w:rsidRDefault="00114B19" w:rsidP="00863A4D">
      <w:pPr>
        <w:pStyle w:val="ListParagraph"/>
        <w:numPr>
          <w:ilvl w:val="1"/>
          <w:numId w:val="4"/>
        </w:numPr>
        <w:spacing w:before="0" w:after="120"/>
      </w:pPr>
      <w:r w:rsidRPr="00D647A9">
        <w:t xml:space="preserve">The </w:t>
      </w:r>
      <w:r w:rsidR="00A208AC" w:rsidRPr="00D647A9">
        <w:t>submission wa</w:t>
      </w:r>
      <w:r w:rsidRPr="00D647A9">
        <w:t xml:space="preserve">s based on </w:t>
      </w:r>
      <w:r w:rsidR="002505FB" w:rsidRPr="00D647A9">
        <w:t xml:space="preserve">a naïve indirect comparison of </w:t>
      </w:r>
      <w:r w:rsidR="0057201C">
        <w:t>two single-</w:t>
      </w:r>
      <w:r w:rsidRPr="00D647A9">
        <w:t xml:space="preserve">arm studies of </w:t>
      </w:r>
      <w:proofErr w:type="spellStart"/>
      <w:r w:rsidRPr="00D647A9">
        <w:t>alectinib</w:t>
      </w:r>
      <w:proofErr w:type="spellEnd"/>
      <w:r w:rsidRPr="00D647A9">
        <w:t xml:space="preserve"> (NP28761, N=87 and</w:t>
      </w:r>
      <w:r w:rsidR="0057201C">
        <w:t xml:space="preserve"> NP28673, N=138) and two single-</w:t>
      </w:r>
      <w:r w:rsidRPr="00D647A9">
        <w:t xml:space="preserve">arm studies of </w:t>
      </w:r>
      <w:proofErr w:type="spellStart"/>
      <w:r w:rsidRPr="00D647A9">
        <w:t>ceritinib</w:t>
      </w:r>
      <w:proofErr w:type="spellEnd"/>
      <w:r w:rsidRPr="00D647A9">
        <w:t xml:space="preserve"> (ASCEND-1, N=163 and ASCEND-2, N=140) in patients with locally advanced or metastatic ALK-positive NSCLC previously treated with </w:t>
      </w:r>
      <w:proofErr w:type="spellStart"/>
      <w:r w:rsidRPr="00D647A9">
        <w:t>crizotinib</w:t>
      </w:r>
      <w:proofErr w:type="spellEnd"/>
      <w:r w:rsidRPr="00D647A9">
        <w:t xml:space="preserve">. </w:t>
      </w:r>
      <w:r w:rsidR="00127561" w:rsidRPr="00D647A9">
        <w:t xml:space="preserve">Results based on </w:t>
      </w:r>
      <w:r w:rsidR="004D74E1" w:rsidRPr="00D647A9">
        <w:t xml:space="preserve">unweighted </w:t>
      </w:r>
      <w:r w:rsidR="00127561" w:rsidRPr="00D647A9">
        <w:t xml:space="preserve">pooled data from the two </w:t>
      </w:r>
      <w:proofErr w:type="spellStart"/>
      <w:r w:rsidR="00127561" w:rsidRPr="00D647A9">
        <w:t>alectinib</w:t>
      </w:r>
      <w:proofErr w:type="spellEnd"/>
      <w:r w:rsidR="00127561" w:rsidRPr="00D647A9">
        <w:t xml:space="preserve"> studies were also provided. </w:t>
      </w:r>
      <w:r w:rsidRPr="00D647A9">
        <w:t xml:space="preserve">ASCEND-1 included an </w:t>
      </w:r>
      <w:r w:rsidR="00954E1C" w:rsidRPr="00D647A9">
        <w:t xml:space="preserve">ALK inhibitor naïve group (N=83), which was not included in the submission. </w:t>
      </w:r>
      <w:r w:rsidR="00FC3ECC" w:rsidRPr="00D647A9">
        <w:t>The submission also presented a retrospective indirect comparison of</w:t>
      </w:r>
      <w:r w:rsidR="00BF073E" w:rsidRPr="00D647A9">
        <w:t xml:space="preserve"> </w:t>
      </w:r>
      <w:proofErr w:type="spellStart"/>
      <w:r w:rsidR="00BF073E" w:rsidRPr="00D647A9">
        <w:t>alectin</w:t>
      </w:r>
      <w:r w:rsidR="006600CA">
        <w:t>ib</w:t>
      </w:r>
      <w:proofErr w:type="spellEnd"/>
      <w:r w:rsidR="006600CA">
        <w:t xml:space="preserve"> data from NP28761 and </w:t>
      </w:r>
      <w:r w:rsidR="006600CA" w:rsidRPr="00BD288C">
        <w:t>NP28673</w:t>
      </w:r>
      <w:r w:rsidR="00FC3ECC" w:rsidRPr="00BD288C">
        <w:t xml:space="preserve"> </w:t>
      </w:r>
      <w:r w:rsidR="00FC3ECC" w:rsidRPr="00D647A9">
        <w:t xml:space="preserve">with a cohort of </w:t>
      </w:r>
      <w:r w:rsidR="00BD288C">
        <w:t>‘</w:t>
      </w:r>
      <w:r w:rsidR="00FC3ECC" w:rsidRPr="00D647A9">
        <w:t>real world</w:t>
      </w:r>
      <w:r w:rsidR="00BD288C">
        <w:t>’</w:t>
      </w:r>
      <w:r w:rsidR="00FC3ECC" w:rsidRPr="00D647A9">
        <w:t xml:space="preserve"> patients treated with </w:t>
      </w:r>
      <w:proofErr w:type="spellStart"/>
      <w:r w:rsidR="00FC3ECC" w:rsidRPr="00D647A9">
        <w:t>ceritinib</w:t>
      </w:r>
      <w:proofErr w:type="spellEnd"/>
      <w:r w:rsidR="00FC3ECC" w:rsidRPr="00D647A9">
        <w:t xml:space="preserve"> (</w:t>
      </w:r>
      <w:r w:rsidR="00BF073E" w:rsidRPr="00D647A9">
        <w:t xml:space="preserve">study </w:t>
      </w:r>
      <w:r w:rsidR="00FC3ECC" w:rsidRPr="00D647A9">
        <w:t>MO39246).</w:t>
      </w:r>
    </w:p>
    <w:p w:rsidR="00703BEF" w:rsidRPr="00D647A9" w:rsidRDefault="00E118F0" w:rsidP="00863A4D">
      <w:pPr>
        <w:pStyle w:val="ListParagraph"/>
        <w:numPr>
          <w:ilvl w:val="1"/>
          <w:numId w:val="4"/>
        </w:numPr>
        <w:spacing w:before="0" w:after="120"/>
      </w:pPr>
      <w:r w:rsidRPr="00D647A9">
        <w:t xml:space="preserve">The literature search identified two unpublished </w:t>
      </w:r>
      <w:r w:rsidR="009B0271" w:rsidRPr="00D647A9">
        <w:t xml:space="preserve">randomised controlled </w:t>
      </w:r>
      <w:r w:rsidRPr="00D647A9">
        <w:t xml:space="preserve">trials </w:t>
      </w:r>
      <w:r w:rsidR="009B0271" w:rsidRPr="00D647A9">
        <w:t xml:space="preserve">(RCTs) </w:t>
      </w:r>
      <w:r w:rsidRPr="00D647A9">
        <w:t xml:space="preserve">that would have allowed an indirect comparison of </w:t>
      </w:r>
      <w:proofErr w:type="spellStart"/>
      <w:r w:rsidRPr="00D647A9">
        <w:t>alectinib</w:t>
      </w:r>
      <w:proofErr w:type="spellEnd"/>
      <w:r w:rsidRPr="00D647A9">
        <w:t xml:space="preserve"> and </w:t>
      </w:r>
      <w:proofErr w:type="spellStart"/>
      <w:r w:rsidRPr="00D647A9">
        <w:t>ceritinib</w:t>
      </w:r>
      <w:proofErr w:type="spellEnd"/>
      <w:r w:rsidRPr="00D647A9">
        <w:t xml:space="preserve"> via a common chemotherapy arm</w:t>
      </w:r>
      <w:r w:rsidR="00023A20" w:rsidRPr="00D647A9">
        <w:t xml:space="preserve"> (ALUR and ASCEND-5</w:t>
      </w:r>
      <w:r w:rsidR="002505FB" w:rsidRPr="00D647A9">
        <w:t>, respectively</w:t>
      </w:r>
      <w:r w:rsidR="00023A20" w:rsidRPr="00D647A9">
        <w:t xml:space="preserve">). The </w:t>
      </w:r>
      <w:r w:rsidR="00426E25" w:rsidRPr="00D647A9">
        <w:t>sponsor released a media statement on 3 April 2017</w:t>
      </w:r>
      <w:r w:rsidR="00037A02" w:rsidRPr="00D647A9">
        <w:rPr>
          <w:rStyle w:val="FootnoteReference"/>
        </w:rPr>
        <w:footnoteReference w:id="2"/>
      </w:r>
      <w:r w:rsidR="00426E25" w:rsidRPr="00D647A9">
        <w:t xml:space="preserve">, stating that the </w:t>
      </w:r>
      <w:r w:rsidR="00023A20" w:rsidRPr="00D647A9">
        <w:t xml:space="preserve">ALUR </w:t>
      </w:r>
      <w:r w:rsidR="00426E25" w:rsidRPr="00D647A9">
        <w:t>trial demonstrat</w:t>
      </w:r>
      <w:r w:rsidR="00025651" w:rsidRPr="00D647A9">
        <w:t>ed</w:t>
      </w:r>
      <w:r w:rsidR="00426E25" w:rsidRPr="00D647A9">
        <w:t xml:space="preserve"> that</w:t>
      </w:r>
      <w:r w:rsidR="00025651" w:rsidRPr="00D647A9">
        <w:t>, compared to chemotherapy,</w:t>
      </w:r>
      <w:r w:rsidR="00426E25" w:rsidRPr="00D647A9">
        <w:t xml:space="preserve"> </w:t>
      </w:r>
      <w:proofErr w:type="spellStart"/>
      <w:r w:rsidR="00426E25" w:rsidRPr="00D647A9">
        <w:t>alectinib</w:t>
      </w:r>
      <w:proofErr w:type="spellEnd"/>
      <w:r w:rsidR="00426E25" w:rsidRPr="00D647A9">
        <w:t xml:space="preserve"> significantly improved </w:t>
      </w:r>
      <w:r w:rsidR="00256E46" w:rsidRPr="00D647A9">
        <w:t>progression</w:t>
      </w:r>
      <w:r w:rsidR="0057201C">
        <w:t>-</w:t>
      </w:r>
      <w:r w:rsidR="00256E46" w:rsidRPr="00D647A9">
        <w:t>free survival (</w:t>
      </w:r>
      <w:r w:rsidR="00426E25" w:rsidRPr="00D647A9">
        <w:t>PFS</w:t>
      </w:r>
      <w:r w:rsidR="00256E46" w:rsidRPr="00D647A9">
        <w:t>)</w:t>
      </w:r>
      <w:r w:rsidR="00426E25" w:rsidRPr="00D647A9">
        <w:t xml:space="preserve"> in patients with ALK-positive advanced NSCLC</w:t>
      </w:r>
      <w:r w:rsidR="00025651" w:rsidRPr="00D647A9">
        <w:t xml:space="preserve"> who had progressed following treatment with one prior line of platinum-based chemotherapy and </w:t>
      </w:r>
      <w:proofErr w:type="spellStart"/>
      <w:r w:rsidR="00025651" w:rsidRPr="00D647A9">
        <w:t>crizotinib</w:t>
      </w:r>
      <w:proofErr w:type="spellEnd"/>
      <w:r w:rsidR="00426E25" w:rsidRPr="00D647A9">
        <w:t xml:space="preserve">. No further details were </w:t>
      </w:r>
      <w:r w:rsidR="00426E25" w:rsidRPr="00AE76D6">
        <w:t>provided</w:t>
      </w:r>
      <w:r w:rsidR="00A016C2" w:rsidRPr="00AE76D6">
        <w:t xml:space="preserve"> at the time</w:t>
      </w:r>
      <w:r w:rsidR="00426E25" w:rsidRPr="00AE76D6">
        <w:t>.</w:t>
      </w:r>
    </w:p>
    <w:p w:rsidR="00E118F0" w:rsidRPr="00D647A9" w:rsidRDefault="00023A20" w:rsidP="00863A4D">
      <w:pPr>
        <w:pStyle w:val="ListParagraph"/>
        <w:numPr>
          <w:ilvl w:val="1"/>
          <w:numId w:val="4"/>
        </w:numPr>
        <w:spacing w:before="0" w:after="120"/>
      </w:pPr>
      <w:r w:rsidRPr="00D647A9">
        <w:t xml:space="preserve">The November 2016 </w:t>
      </w:r>
      <w:r w:rsidR="008F493C" w:rsidRPr="00D647A9">
        <w:t xml:space="preserve">submission for </w:t>
      </w:r>
      <w:proofErr w:type="spellStart"/>
      <w:r w:rsidR="009B0271" w:rsidRPr="00D647A9">
        <w:t>ceritinib</w:t>
      </w:r>
      <w:proofErr w:type="spellEnd"/>
      <w:r w:rsidR="009B0271" w:rsidRPr="00D647A9">
        <w:t xml:space="preserve"> was based on ASCEND-5, a</w:t>
      </w:r>
      <w:r w:rsidR="00EB60CC" w:rsidRPr="00D647A9">
        <w:t>n open-label</w:t>
      </w:r>
      <w:r w:rsidR="009B0271" w:rsidRPr="00D647A9">
        <w:t xml:space="preserve"> RCT comparing </w:t>
      </w:r>
      <w:proofErr w:type="spellStart"/>
      <w:r w:rsidR="009B0271" w:rsidRPr="00D647A9">
        <w:t>ceritinib</w:t>
      </w:r>
      <w:proofErr w:type="spellEnd"/>
      <w:r w:rsidR="009B0271" w:rsidRPr="00D647A9">
        <w:t xml:space="preserve"> </w:t>
      </w:r>
      <w:r w:rsidR="00703BEF" w:rsidRPr="00D647A9">
        <w:t xml:space="preserve">(N=115) </w:t>
      </w:r>
      <w:r w:rsidR="009B0271" w:rsidRPr="00D647A9">
        <w:t>to chemotherapy (</w:t>
      </w:r>
      <w:proofErr w:type="spellStart"/>
      <w:r w:rsidR="009B0271" w:rsidRPr="00D647A9">
        <w:t>pemetrexed</w:t>
      </w:r>
      <w:proofErr w:type="spellEnd"/>
      <w:r w:rsidR="009B0271" w:rsidRPr="00D647A9">
        <w:t xml:space="preserve"> or docetaxel) </w:t>
      </w:r>
      <w:r w:rsidR="00703BEF" w:rsidRPr="00D647A9">
        <w:t xml:space="preserve">(N=116) </w:t>
      </w:r>
      <w:r w:rsidR="009B0271" w:rsidRPr="00D647A9">
        <w:t xml:space="preserve">in patients with ALK-positive </w:t>
      </w:r>
      <w:r w:rsidR="00703BEF" w:rsidRPr="00D647A9">
        <w:t xml:space="preserve">advanced NSCLC who had previously been treated with </w:t>
      </w:r>
      <w:proofErr w:type="spellStart"/>
      <w:r w:rsidR="00703BEF" w:rsidRPr="00D647A9">
        <w:t>crizotinib</w:t>
      </w:r>
      <w:proofErr w:type="spellEnd"/>
      <w:r w:rsidR="00703BEF" w:rsidRPr="00D647A9">
        <w:t xml:space="preserve"> and platinum-doublet chemotherapy.</w:t>
      </w:r>
      <w:r w:rsidR="009B0271" w:rsidRPr="00D647A9">
        <w:t xml:space="preserve"> </w:t>
      </w:r>
      <w:r w:rsidR="0007171A" w:rsidRPr="00D647A9">
        <w:t xml:space="preserve">Preliminary effectiveness data </w:t>
      </w:r>
      <w:r w:rsidR="00A016C2" w:rsidRPr="00D647A9">
        <w:t xml:space="preserve">from the </w:t>
      </w:r>
      <w:proofErr w:type="spellStart"/>
      <w:r w:rsidR="00A016C2" w:rsidRPr="00D647A9">
        <w:t>ceritinib</w:t>
      </w:r>
      <w:proofErr w:type="spellEnd"/>
      <w:r w:rsidR="00A016C2" w:rsidRPr="00D647A9">
        <w:t xml:space="preserve"> arm </w:t>
      </w:r>
      <w:r w:rsidR="00A016C2">
        <w:t xml:space="preserve">of the </w:t>
      </w:r>
      <w:r w:rsidR="0007171A" w:rsidRPr="00D647A9">
        <w:t xml:space="preserve">ASCEND-5 </w:t>
      </w:r>
      <w:r w:rsidR="00A016C2">
        <w:t xml:space="preserve">trial </w:t>
      </w:r>
      <w:r w:rsidR="0007171A" w:rsidRPr="00D647A9">
        <w:t xml:space="preserve">were </w:t>
      </w:r>
      <w:r w:rsidR="00703BEF" w:rsidRPr="00D647A9">
        <w:t>presented</w:t>
      </w:r>
      <w:r w:rsidR="00BF073E" w:rsidRPr="00D647A9">
        <w:t>,</w:t>
      </w:r>
      <w:r w:rsidR="00703BEF" w:rsidRPr="00D647A9">
        <w:t xml:space="preserve"> where available</w:t>
      </w:r>
      <w:r w:rsidR="0007171A" w:rsidRPr="00D647A9">
        <w:t>.</w:t>
      </w:r>
    </w:p>
    <w:p w:rsidR="00954E1C" w:rsidRPr="00D647A9" w:rsidRDefault="00C317F3" w:rsidP="00863A4D">
      <w:pPr>
        <w:pStyle w:val="ListParagraph"/>
        <w:numPr>
          <w:ilvl w:val="1"/>
          <w:numId w:val="4"/>
        </w:numPr>
        <w:spacing w:before="0" w:after="120"/>
      </w:pPr>
      <w:r w:rsidRPr="00D647A9">
        <w:t xml:space="preserve">Details of the </w:t>
      </w:r>
      <w:r w:rsidR="00E118F0" w:rsidRPr="00D647A9">
        <w:t>studie</w:t>
      </w:r>
      <w:r w:rsidRPr="00D647A9">
        <w:t>s presented in the submission ar</w:t>
      </w:r>
      <w:r w:rsidR="00E70763">
        <w:t>e provided in the table below.</w:t>
      </w:r>
    </w:p>
    <w:p w:rsidR="00A074BD" w:rsidRDefault="00A074BD" w:rsidP="00A074BD">
      <w:pPr>
        <w:pStyle w:val="Caption"/>
      </w:pPr>
      <w:r>
        <w:t xml:space="preserve">Table </w:t>
      </w:r>
      <w:r>
        <w:rPr>
          <w:noProof/>
        </w:rPr>
        <w:t>2</w:t>
      </w:r>
      <w:r w:rsidRPr="00D94C4F">
        <w:t>: Studies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1E0" w:firstRow="1" w:lastRow="1" w:firstColumn="1" w:lastColumn="1" w:noHBand="0" w:noVBand="0"/>
      </w:tblPr>
      <w:tblGrid>
        <w:gridCol w:w="1711"/>
        <w:gridCol w:w="5190"/>
        <w:gridCol w:w="2317"/>
      </w:tblGrid>
      <w:tr w:rsidR="00E9612D" w:rsidRPr="00D647A9" w:rsidTr="00DE0770">
        <w:tc>
          <w:tcPr>
            <w:tcW w:w="928" w:type="pct"/>
          </w:tcPr>
          <w:p w:rsidR="00E9612D" w:rsidRPr="00D647A9" w:rsidRDefault="00E9612D" w:rsidP="00BF5AAE">
            <w:pPr>
              <w:pStyle w:val="TableText"/>
              <w:rPr>
                <w:b/>
              </w:rPr>
            </w:pPr>
            <w:r w:rsidRPr="00D647A9">
              <w:rPr>
                <w:b/>
              </w:rPr>
              <w:t>Trial ID</w:t>
            </w:r>
          </w:p>
        </w:tc>
        <w:tc>
          <w:tcPr>
            <w:tcW w:w="2815" w:type="pct"/>
          </w:tcPr>
          <w:p w:rsidR="00E9612D" w:rsidRPr="00D647A9" w:rsidRDefault="00E9612D" w:rsidP="00BF5AAE">
            <w:pPr>
              <w:pStyle w:val="TableText"/>
              <w:rPr>
                <w:b/>
              </w:rPr>
            </w:pPr>
            <w:r w:rsidRPr="00D647A9">
              <w:rPr>
                <w:b/>
              </w:rPr>
              <w:t>Protocol title/ Publication title</w:t>
            </w:r>
          </w:p>
        </w:tc>
        <w:tc>
          <w:tcPr>
            <w:tcW w:w="1257" w:type="pct"/>
          </w:tcPr>
          <w:p w:rsidR="00E9612D" w:rsidRPr="00D647A9" w:rsidRDefault="00E9612D" w:rsidP="00BF5AAE">
            <w:pPr>
              <w:pStyle w:val="TableText"/>
              <w:rPr>
                <w:b/>
              </w:rPr>
            </w:pPr>
            <w:r w:rsidRPr="00D647A9">
              <w:rPr>
                <w:b/>
              </w:rPr>
              <w:t>Publication citation</w:t>
            </w:r>
          </w:p>
        </w:tc>
      </w:tr>
      <w:tr w:rsidR="00E9612D" w:rsidRPr="00D647A9" w:rsidTr="00E9612D">
        <w:tc>
          <w:tcPr>
            <w:tcW w:w="5000" w:type="pct"/>
            <w:gridSpan w:val="3"/>
            <w:tcBorders>
              <w:bottom w:val="single" w:sz="4" w:space="0" w:color="auto"/>
            </w:tcBorders>
          </w:tcPr>
          <w:p w:rsidR="00E9612D" w:rsidRPr="00D647A9" w:rsidRDefault="0057201C" w:rsidP="00BF5AAE">
            <w:pPr>
              <w:pStyle w:val="TableText"/>
              <w:rPr>
                <w:b/>
              </w:rPr>
            </w:pPr>
            <w:proofErr w:type="spellStart"/>
            <w:r>
              <w:rPr>
                <w:b/>
              </w:rPr>
              <w:t>Alectinib</w:t>
            </w:r>
            <w:proofErr w:type="spellEnd"/>
            <w:r>
              <w:rPr>
                <w:b/>
              </w:rPr>
              <w:t xml:space="preserve"> single-</w:t>
            </w:r>
            <w:r w:rsidR="00E9612D" w:rsidRPr="00D647A9">
              <w:rPr>
                <w:b/>
              </w:rPr>
              <w:t>arm studies</w:t>
            </w:r>
          </w:p>
        </w:tc>
      </w:tr>
      <w:tr w:rsidR="00E9612D" w:rsidRPr="00D647A9" w:rsidTr="00DE0770">
        <w:tc>
          <w:tcPr>
            <w:tcW w:w="928" w:type="pct"/>
            <w:tcBorders>
              <w:bottom w:val="nil"/>
            </w:tcBorders>
          </w:tcPr>
          <w:p w:rsidR="00E9612D" w:rsidRPr="00D647A9" w:rsidRDefault="00E9612D" w:rsidP="00BF5AAE">
            <w:pPr>
              <w:pStyle w:val="TableText"/>
            </w:pPr>
            <w:r w:rsidRPr="00D647A9">
              <w:t>NP28761</w:t>
            </w:r>
          </w:p>
        </w:tc>
        <w:tc>
          <w:tcPr>
            <w:tcW w:w="2815" w:type="pct"/>
            <w:tcBorders>
              <w:bottom w:val="nil"/>
            </w:tcBorders>
          </w:tcPr>
          <w:p w:rsidR="00E9612D" w:rsidRPr="00D647A9" w:rsidRDefault="00E9612D" w:rsidP="00BF5AAE">
            <w:pPr>
              <w:pStyle w:val="TableText"/>
              <w:ind w:right="97"/>
            </w:pPr>
            <w:r w:rsidRPr="00D647A9">
              <w:t xml:space="preserve">Clinical study report – NP28761/AF-002JG – A Phase I/II study of the ALK inhibitor CH5424802/RO5424802 in patients with ALK-rearranged non-small cell lung cancer previously treated with </w:t>
            </w:r>
            <w:proofErr w:type="spellStart"/>
            <w:r w:rsidRPr="00D647A9">
              <w:t>crizotinib</w:t>
            </w:r>
            <w:proofErr w:type="spellEnd"/>
            <w:r w:rsidRPr="00D647A9">
              <w:t>. Report No. 1061912.</w:t>
            </w:r>
          </w:p>
        </w:tc>
        <w:tc>
          <w:tcPr>
            <w:tcW w:w="1257" w:type="pct"/>
            <w:tcBorders>
              <w:bottom w:val="nil"/>
            </w:tcBorders>
          </w:tcPr>
          <w:p w:rsidR="00E9612D" w:rsidRPr="00D647A9" w:rsidRDefault="00E9612D" w:rsidP="00E70763">
            <w:pPr>
              <w:pStyle w:val="TableText"/>
            </w:pPr>
            <w:r w:rsidRPr="00D647A9">
              <w:t>May 2015</w:t>
            </w:r>
          </w:p>
        </w:tc>
      </w:tr>
      <w:tr w:rsidR="00E9612D" w:rsidRPr="00D647A9" w:rsidTr="00DE0770">
        <w:tc>
          <w:tcPr>
            <w:tcW w:w="928" w:type="pct"/>
            <w:tcBorders>
              <w:top w:val="nil"/>
              <w:bottom w:val="single" w:sz="4" w:space="0" w:color="auto"/>
            </w:tcBorders>
          </w:tcPr>
          <w:p w:rsidR="00E9612D" w:rsidRPr="00D647A9" w:rsidRDefault="00E9612D" w:rsidP="00BF5AAE">
            <w:pPr>
              <w:pStyle w:val="TableText"/>
            </w:pPr>
          </w:p>
        </w:tc>
        <w:tc>
          <w:tcPr>
            <w:tcW w:w="2815" w:type="pct"/>
            <w:tcBorders>
              <w:top w:val="nil"/>
              <w:bottom w:val="single" w:sz="4" w:space="0" w:color="auto"/>
            </w:tcBorders>
          </w:tcPr>
          <w:p w:rsidR="00E9612D" w:rsidRPr="00D647A9" w:rsidRDefault="00E9612D" w:rsidP="00BF5AAE">
            <w:pPr>
              <w:pStyle w:val="TableText"/>
              <w:ind w:right="97"/>
            </w:pPr>
            <w:r w:rsidRPr="00D647A9">
              <w:t xml:space="preserve">Shaw A, Gandhi L, </w:t>
            </w:r>
            <w:proofErr w:type="spellStart"/>
            <w:r w:rsidRPr="00D647A9">
              <w:t>Gadgeel</w:t>
            </w:r>
            <w:proofErr w:type="spellEnd"/>
            <w:r w:rsidRPr="00D647A9">
              <w:t xml:space="preserve"> S, et al. </w:t>
            </w:r>
            <w:proofErr w:type="spellStart"/>
            <w:r w:rsidRPr="00D647A9">
              <w:t>Alectinib</w:t>
            </w:r>
            <w:proofErr w:type="spellEnd"/>
            <w:r w:rsidRPr="00D647A9">
              <w:t xml:space="preserve"> in ALK-positive, </w:t>
            </w:r>
            <w:proofErr w:type="spellStart"/>
            <w:r w:rsidRPr="00D647A9">
              <w:t>crizotinib</w:t>
            </w:r>
            <w:proofErr w:type="spellEnd"/>
            <w:r w:rsidRPr="00D647A9">
              <w:t>-resistant, non-small-cell lung cancer: A single-group, multicentre, phase 2 trial.</w:t>
            </w:r>
          </w:p>
        </w:tc>
        <w:tc>
          <w:tcPr>
            <w:tcW w:w="1257" w:type="pct"/>
            <w:tcBorders>
              <w:top w:val="nil"/>
              <w:bottom w:val="single" w:sz="4" w:space="0" w:color="auto"/>
            </w:tcBorders>
          </w:tcPr>
          <w:p w:rsidR="00E9612D" w:rsidRPr="00D647A9" w:rsidRDefault="00E9612D" w:rsidP="00BF5AAE">
            <w:pPr>
              <w:pStyle w:val="TableText"/>
            </w:pPr>
            <w:r w:rsidRPr="00D647A9">
              <w:t>Lancet Oncology 2016; 17 (2):234-42.</w:t>
            </w:r>
          </w:p>
        </w:tc>
      </w:tr>
      <w:tr w:rsidR="00E9612D" w:rsidRPr="00D647A9" w:rsidTr="00DE0770">
        <w:tc>
          <w:tcPr>
            <w:tcW w:w="928" w:type="pct"/>
            <w:tcBorders>
              <w:bottom w:val="nil"/>
            </w:tcBorders>
          </w:tcPr>
          <w:p w:rsidR="00E9612D" w:rsidRPr="00D647A9" w:rsidRDefault="00E9612D" w:rsidP="00BF5AAE">
            <w:pPr>
              <w:pStyle w:val="TableText"/>
            </w:pPr>
            <w:r w:rsidRPr="00D647A9">
              <w:t>NP28673</w:t>
            </w:r>
          </w:p>
        </w:tc>
        <w:tc>
          <w:tcPr>
            <w:tcW w:w="2815" w:type="pct"/>
            <w:tcBorders>
              <w:bottom w:val="nil"/>
            </w:tcBorders>
          </w:tcPr>
          <w:p w:rsidR="00E9612D" w:rsidRPr="00D647A9" w:rsidRDefault="00E9612D" w:rsidP="00BF5AAE">
            <w:pPr>
              <w:pStyle w:val="TableText"/>
              <w:ind w:right="97"/>
            </w:pPr>
            <w:r w:rsidRPr="00D647A9">
              <w:t xml:space="preserve">Clinical study report – NP28673 - –n open-label, non-randomised, multicentre Phase I/II trial of RO5424802 given orally to non-small cell lung cancer patients who have ALK mutation and who have failed </w:t>
            </w:r>
            <w:proofErr w:type="spellStart"/>
            <w:r w:rsidRPr="00D647A9">
              <w:t>crizotinib</w:t>
            </w:r>
            <w:proofErr w:type="spellEnd"/>
            <w:r w:rsidRPr="00D647A9">
              <w:t xml:space="preserve"> treatment. Report No. 1060154.</w:t>
            </w:r>
          </w:p>
        </w:tc>
        <w:tc>
          <w:tcPr>
            <w:tcW w:w="1257" w:type="pct"/>
            <w:tcBorders>
              <w:bottom w:val="nil"/>
            </w:tcBorders>
          </w:tcPr>
          <w:p w:rsidR="00E9612D" w:rsidRPr="00D647A9" w:rsidRDefault="00E9612D" w:rsidP="00BF5AAE">
            <w:pPr>
              <w:pStyle w:val="TableText"/>
            </w:pPr>
            <w:r w:rsidRPr="00D647A9">
              <w:t>May 2015</w:t>
            </w:r>
          </w:p>
        </w:tc>
      </w:tr>
      <w:tr w:rsidR="00E9612D" w:rsidRPr="00D647A9" w:rsidTr="00DE0770">
        <w:tc>
          <w:tcPr>
            <w:tcW w:w="928" w:type="pct"/>
            <w:tcBorders>
              <w:top w:val="nil"/>
              <w:bottom w:val="single" w:sz="4" w:space="0" w:color="auto"/>
            </w:tcBorders>
          </w:tcPr>
          <w:p w:rsidR="00E9612D" w:rsidRPr="00D647A9" w:rsidRDefault="00E9612D" w:rsidP="00BF5AAE">
            <w:pPr>
              <w:pStyle w:val="TableText"/>
            </w:pPr>
          </w:p>
        </w:tc>
        <w:tc>
          <w:tcPr>
            <w:tcW w:w="2815" w:type="pct"/>
            <w:tcBorders>
              <w:top w:val="nil"/>
              <w:bottom w:val="single" w:sz="4" w:space="0" w:color="auto"/>
            </w:tcBorders>
          </w:tcPr>
          <w:p w:rsidR="00E9612D" w:rsidRPr="00D647A9" w:rsidRDefault="00E9612D" w:rsidP="00BF5AAE">
            <w:pPr>
              <w:pStyle w:val="TableText"/>
              <w:ind w:right="97"/>
            </w:pPr>
            <w:proofErr w:type="spellStart"/>
            <w:r w:rsidRPr="00D647A9">
              <w:t>Ou</w:t>
            </w:r>
            <w:proofErr w:type="spellEnd"/>
            <w:r w:rsidRPr="00D647A9">
              <w:t xml:space="preserve"> S, </w:t>
            </w:r>
            <w:proofErr w:type="spellStart"/>
            <w:r w:rsidRPr="00D647A9">
              <w:t>Ahn</w:t>
            </w:r>
            <w:proofErr w:type="spellEnd"/>
            <w:r w:rsidRPr="00D647A9">
              <w:t xml:space="preserve"> J, </w:t>
            </w:r>
            <w:proofErr w:type="spellStart"/>
            <w:r w:rsidRPr="00D647A9">
              <w:t>Govindan</w:t>
            </w:r>
            <w:proofErr w:type="spellEnd"/>
            <w:r w:rsidRPr="00D647A9">
              <w:t xml:space="preserve"> R, et al. </w:t>
            </w:r>
            <w:proofErr w:type="spellStart"/>
            <w:r w:rsidRPr="00D647A9">
              <w:t>Alectinib</w:t>
            </w:r>
            <w:proofErr w:type="spellEnd"/>
            <w:r w:rsidRPr="00D647A9">
              <w:t xml:space="preserve"> in </w:t>
            </w:r>
            <w:proofErr w:type="spellStart"/>
            <w:r w:rsidRPr="00D647A9">
              <w:t>crizotinib</w:t>
            </w:r>
            <w:proofErr w:type="spellEnd"/>
            <w:r w:rsidRPr="00D647A9">
              <w:t>-refractory ALK-rearranged non-small cell lung cancer: A phase II global study.</w:t>
            </w:r>
          </w:p>
        </w:tc>
        <w:tc>
          <w:tcPr>
            <w:tcW w:w="1257" w:type="pct"/>
            <w:tcBorders>
              <w:top w:val="nil"/>
              <w:bottom w:val="single" w:sz="4" w:space="0" w:color="auto"/>
            </w:tcBorders>
          </w:tcPr>
          <w:p w:rsidR="00E9612D" w:rsidRPr="00D647A9" w:rsidRDefault="00E9612D" w:rsidP="00BF5AAE">
            <w:pPr>
              <w:pStyle w:val="TableText"/>
            </w:pPr>
            <w:r w:rsidRPr="00D647A9">
              <w:t>Journal of Clinical Oncology 2016; 34 (7):661-68.</w:t>
            </w:r>
          </w:p>
        </w:tc>
      </w:tr>
      <w:tr w:rsidR="00E9612D" w:rsidRPr="00D647A9" w:rsidTr="00DE0770">
        <w:tc>
          <w:tcPr>
            <w:tcW w:w="928" w:type="pct"/>
            <w:vMerge w:val="restart"/>
            <w:tcBorders>
              <w:top w:val="single" w:sz="4" w:space="0" w:color="auto"/>
            </w:tcBorders>
          </w:tcPr>
          <w:p w:rsidR="00E9612D" w:rsidRPr="00D647A9" w:rsidRDefault="00E9612D" w:rsidP="00BF5AAE">
            <w:pPr>
              <w:pStyle w:val="TableText"/>
              <w:spacing w:before="0" w:after="0"/>
            </w:pPr>
            <w:r w:rsidRPr="00D647A9">
              <w:t>NP28761/NP28673</w:t>
            </w:r>
          </w:p>
          <w:p w:rsidR="00E9612D" w:rsidRPr="00D647A9" w:rsidRDefault="00350F35" w:rsidP="00BF5AAE">
            <w:pPr>
              <w:pStyle w:val="TableText"/>
              <w:spacing w:before="0" w:after="0"/>
              <w:jc w:val="left"/>
            </w:pPr>
            <w:r w:rsidRPr="00D647A9">
              <w:t>Pooled</w:t>
            </w:r>
            <w:r w:rsidR="001E6A7A" w:rsidRPr="00D647A9">
              <w:t xml:space="preserve"> data</w:t>
            </w:r>
          </w:p>
        </w:tc>
        <w:tc>
          <w:tcPr>
            <w:tcW w:w="2815" w:type="pct"/>
            <w:tcBorders>
              <w:top w:val="single" w:sz="4" w:space="0" w:color="auto"/>
              <w:bottom w:val="nil"/>
            </w:tcBorders>
          </w:tcPr>
          <w:p w:rsidR="00E9612D" w:rsidRPr="00D647A9" w:rsidRDefault="00E9612D" w:rsidP="00BF5AAE">
            <w:pPr>
              <w:pStyle w:val="TableText"/>
              <w:spacing w:before="0" w:after="0"/>
              <w:ind w:right="97"/>
            </w:pPr>
            <w:r w:rsidRPr="00D647A9">
              <w:t xml:space="preserve">Clinical study reports: </w:t>
            </w:r>
          </w:p>
          <w:p w:rsidR="00E9612D" w:rsidRPr="00D647A9" w:rsidRDefault="00E9612D" w:rsidP="00BF5AAE">
            <w:pPr>
              <w:pStyle w:val="TableText"/>
              <w:spacing w:before="0" w:after="0"/>
              <w:ind w:right="97"/>
            </w:pPr>
            <w:r w:rsidRPr="00D647A9">
              <w:t xml:space="preserve">EU safety update report for </w:t>
            </w:r>
            <w:proofErr w:type="spellStart"/>
            <w:r w:rsidRPr="00D647A9">
              <w:t>alectinib</w:t>
            </w:r>
            <w:proofErr w:type="spellEnd"/>
            <w:r w:rsidRPr="00D647A9">
              <w:t xml:space="preserve"> (RO5424802)</w:t>
            </w:r>
          </w:p>
        </w:tc>
        <w:tc>
          <w:tcPr>
            <w:tcW w:w="1257" w:type="pct"/>
            <w:tcBorders>
              <w:top w:val="single" w:sz="4" w:space="0" w:color="auto"/>
              <w:bottom w:val="nil"/>
            </w:tcBorders>
          </w:tcPr>
          <w:p w:rsidR="00E9612D" w:rsidRPr="00D647A9" w:rsidRDefault="00E9612D" w:rsidP="00BF5AAE">
            <w:pPr>
              <w:pStyle w:val="TableText"/>
              <w:spacing w:before="0" w:after="0"/>
            </w:pPr>
          </w:p>
          <w:p w:rsidR="00E9612D" w:rsidRPr="00D647A9" w:rsidRDefault="00E9612D" w:rsidP="00BF5AAE">
            <w:pPr>
              <w:pStyle w:val="TableText"/>
              <w:spacing w:before="0" w:after="0"/>
            </w:pPr>
            <w:r w:rsidRPr="00D647A9">
              <w:t>July 2016</w:t>
            </w:r>
          </w:p>
        </w:tc>
      </w:tr>
      <w:tr w:rsidR="00E9612D" w:rsidRPr="00D647A9" w:rsidTr="00DE0770">
        <w:tc>
          <w:tcPr>
            <w:tcW w:w="928" w:type="pct"/>
            <w:vMerge/>
          </w:tcPr>
          <w:p w:rsidR="00E9612D" w:rsidRPr="00D647A9" w:rsidRDefault="00E9612D" w:rsidP="00BF5AAE">
            <w:pPr>
              <w:pStyle w:val="TableText"/>
            </w:pPr>
          </w:p>
        </w:tc>
        <w:tc>
          <w:tcPr>
            <w:tcW w:w="2815" w:type="pct"/>
            <w:tcBorders>
              <w:top w:val="nil"/>
            </w:tcBorders>
          </w:tcPr>
          <w:p w:rsidR="00E9612D" w:rsidRPr="00D647A9" w:rsidRDefault="00E9612D" w:rsidP="00BF5AAE">
            <w:pPr>
              <w:pStyle w:val="TableText"/>
              <w:spacing w:before="0" w:after="0"/>
              <w:ind w:right="97"/>
            </w:pPr>
            <w:r w:rsidRPr="00D647A9">
              <w:t>Clinical overview addendum</w:t>
            </w:r>
          </w:p>
          <w:p w:rsidR="00E9612D" w:rsidRPr="00D647A9" w:rsidRDefault="00E9612D" w:rsidP="00BF5AAE">
            <w:pPr>
              <w:pStyle w:val="TableText"/>
              <w:spacing w:before="0" w:after="0"/>
              <w:ind w:right="97"/>
            </w:pPr>
            <w:r w:rsidRPr="00D647A9">
              <w:t>Summary of clinical efficacy</w:t>
            </w:r>
          </w:p>
          <w:p w:rsidR="00E9612D" w:rsidRPr="00D647A9" w:rsidRDefault="00E9612D" w:rsidP="00BF5AAE">
            <w:pPr>
              <w:pStyle w:val="TableText"/>
              <w:spacing w:before="0" w:after="0"/>
              <w:ind w:right="97"/>
            </w:pPr>
            <w:r w:rsidRPr="00D647A9">
              <w:t>Summary of clinical safety</w:t>
            </w:r>
          </w:p>
        </w:tc>
        <w:tc>
          <w:tcPr>
            <w:tcW w:w="1257" w:type="pct"/>
            <w:tcBorders>
              <w:top w:val="nil"/>
            </w:tcBorders>
          </w:tcPr>
          <w:p w:rsidR="00E9612D" w:rsidRPr="00D647A9" w:rsidRDefault="00E9612D" w:rsidP="00BF5AAE">
            <w:pPr>
              <w:pStyle w:val="TableText"/>
            </w:pPr>
          </w:p>
        </w:tc>
      </w:tr>
      <w:tr w:rsidR="00E9612D" w:rsidRPr="00D647A9" w:rsidTr="00E9612D">
        <w:tc>
          <w:tcPr>
            <w:tcW w:w="5000" w:type="pct"/>
            <w:gridSpan w:val="3"/>
          </w:tcPr>
          <w:p w:rsidR="00E9612D" w:rsidRPr="00D647A9" w:rsidRDefault="0057201C" w:rsidP="00BF5AAE">
            <w:pPr>
              <w:pStyle w:val="TableText"/>
              <w:rPr>
                <w:b/>
              </w:rPr>
            </w:pPr>
            <w:proofErr w:type="spellStart"/>
            <w:r>
              <w:rPr>
                <w:b/>
              </w:rPr>
              <w:t>Ceritinib</w:t>
            </w:r>
            <w:proofErr w:type="spellEnd"/>
            <w:r>
              <w:rPr>
                <w:b/>
              </w:rPr>
              <w:t xml:space="preserve"> single-</w:t>
            </w:r>
            <w:r w:rsidR="00E9612D" w:rsidRPr="00D647A9">
              <w:rPr>
                <w:b/>
              </w:rPr>
              <w:t>arm studies</w:t>
            </w:r>
          </w:p>
        </w:tc>
      </w:tr>
      <w:tr w:rsidR="00E9612D" w:rsidRPr="00D647A9" w:rsidTr="00DE0770">
        <w:tc>
          <w:tcPr>
            <w:tcW w:w="928" w:type="pct"/>
          </w:tcPr>
          <w:p w:rsidR="00E9612D" w:rsidRPr="00D647A9" w:rsidRDefault="00E9612D" w:rsidP="00BF5AAE">
            <w:pPr>
              <w:pStyle w:val="TableText"/>
            </w:pPr>
            <w:r w:rsidRPr="00D647A9">
              <w:t>ASCEND-1</w:t>
            </w:r>
          </w:p>
        </w:tc>
        <w:tc>
          <w:tcPr>
            <w:tcW w:w="2815" w:type="pct"/>
          </w:tcPr>
          <w:p w:rsidR="00E9612D" w:rsidRPr="00D647A9" w:rsidRDefault="00E9612D" w:rsidP="00BF5AAE">
            <w:pPr>
              <w:pStyle w:val="TableText"/>
              <w:ind w:right="97"/>
            </w:pPr>
            <w:r w:rsidRPr="00D647A9">
              <w:t xml:space="preserve">Kim DW, </w:t>
            </w:r>
            <w:proofErr w:type="spellStart"/>
            <w:r w:rsidRPr="00D647A9">
              <w:t>Mehr</w:t>
            </w:r>
            <w:proofErr w:type="spellEnd"/>
            <w:r w:rsidRPr="00D647A9">
              <w:t xml:space="preserve"> R, Tan, D, et al. Activity and safety of </w:t>
            </w:r>
            <w:proofErr w:type="spellStart"/>
            <w:r w:rsidRPr="00D647A9">
              <w:t>ceritinib</w:t>
            </w:r>
            <w:proofErr w:type="spellEnd"/>
            <w:r w:rsidRPr="00D647A9">
              <w:t xml:space="preserve"> in patients with ALK-rearranged non-small cell lung cancer (ASCEND-1): updated results from the multicentre, open-</w:t>
            </w:r>
            <w:proofErr w:type="gramStart"/>
            <w:r w:rsidRPr="00D647A9">
              <w:t>label,</w:t>
            </w:r>
            <w:proofErr w:type="gramEnd"/>
            <w:r w:rsidRPr="00D647A9">
              <w:t xml:space="preserve"> phase 1 trial.</w:t>
            </w:r>
          </w:p>
        </w:tc>
        <w:tc>
          <w:tcPr>
            <w:tcW w:w="1257" w:type="pct"/>
          </w:tcPr>
          <w:p w:rsidR="00E9612D" w:rsidRPr="00D647A9" w:rsidRDefault="00E9612D" w:rsidP="00BF5AAE">
            <w:pPr>
              <w:pStyle w:val="TableText"/>
            </w:pPr>
            <w:r w:rsidRPr="00D647A9">
              <w:t>Lancet Oncology 2016; 17:452-63.</w:t>
            </w:r>
          </w:p>
        </w:tc>
      </w:tr>
      <w:tr w:rsidR="00E9612D" w:rsidRPr="00D647A9" w:rsidTr="00DE0770">
        <w:tc>
          <w:tcPr>
            <w:tcW w:w="928" w:type="pct"/>
          </w:tcPr>
          <w:p w:rsidR="00E9612D" w:rsidRPr="00D647A9" w:rsidRDefault="00E9612D" w:rsidP="00BF5AAE">
            <w:pPr>
              <w:pStyle w:val="TableText"/>
            </w:pPr>
            <w:r w:rsidRPr="00D647A9">
              <w:t>ASCEND-2</w:t>
            </w:r>
          </w:p>
        </w:tc>
        <w:tc>
          <w:tcPr>
            <w:tcW w:w="2815" w:type="pct"/>
          </w:tcPr>
          <w:p w:rsidR="00E9612D" w:rsidRPr="00D647A9" w:rsidRDefault="00E9612D" w:rsidP="00BF5AAE">
            <w:pPr>
              <w:pStyle w:val="TableText"/>
              <w:ind w:right="97"/>
            </w:pPr>
            <w:proofErr w:type="spellStart"/>
            <w:r w:rsidRPr="00D647A9">
              <w:t>Crino</w:t>
            </w:r>
            <w:proofErr w:type="spellEnd"/>
            <w:r w:rsidRPr="00D647A9">
              <w:t xml:space="preserve"> L, </w:t>
            </w:r>
            <w:proofErr w:type="spellStart"/>
            <w:r w:rsidRPr="00D647A9">
              <w:t>Ahn</w:t>
            </w:r>
            <w:proofErr w:type="spellEnd"/>
            <w:r w:rsidRPr="00D647A9">
              <w:t xml:space="preserve"> MJ, De </w:t>
            </w:r>
            <w:proofErr w:type="spellStart"/>
            <w:r w:rsidRPr="00D647A9">
              <w:t>Marinis</w:t>
            </w:r>
            <w:proofErr w:type="spellEnd"/>
            <w:r w:rsidRPr="00D647A9">
              <w:t xml:space="preserve"> F, et al. </w:t>
            </w:r>
            <w:proofErr w:type="spellStart"/>
            <w:r w:rsidRPr="00D647A9">
              <w:t>Multicenter</w:t>
            </w:r>
            <w:proofErr w:type="spellEnd"/>
            <w:r w:rsidRPr="00D647A9">
              <w:t xml:space="preserve"> phase II study of whole-body and intracranial activity with </w:t>
            </w:r>
            <w:proofErr w:type="spellStart"/>
            <w:r w:rsidRPr="00D647A9">
              <w:t>ceritinib</w:t>
            </w:r>
            <w:proofErr w:type="spellEnd"/>
            <w:r w:rsidRPr="00D647A9">
              <w:t xml:space="preserve"> in patients with ALK-rearranged non–small-cell lung cancer previously treated with chemotherapy and </w:t>
            </w:r>
            <w:proofErr w:type="spellStart"/>
            <w:r w:rsidRPr="00D647A9">
              <w:t>crizotinib</w:t>
            </w:r>
            <w:proofErr w:type="spellEnd"/>
            <w:r w:rsidRPr="00D647A9">
              <w:t>: results from ASCEND-2.</w:t>
            </w:r>
          </w:p>
        </w:tc>
        <w:tc>
          <w:tcPr>
            <w:tcW w:w="1257" w:type="pct"/>
          </w:tcPr>
          <w:p w:rsidR="00E9612D" w:rsidRPr="00D647A9" w:rsidRDefault="00E9612D" w:rsidP="00BF5AAE">
            <w:pPr>
              <w:pStyle w:val="TableText"/>
            </w:pPr>
            <w:r w:rsidRPr="00D647A9">
              <w:t>Journal of Clinical Oncology 2016; 34 (24):2866-73.</w:t>
            </w:r>
          </w:p>
        </w:tc>
      </w:tr>
      <w:tr w:rsidR="00E9612D" w:rsidRPr="00D647A9" w:rsidTr="00E9612D">
        <w:tc>
          <w:tcPr>
            <w:tcW w:w="5000" w:type="pct"/>
            <w:gridSpan w:val="3"/>
          </w:tcPr>
          <w:p w:rsidR="00E9612D" w:rsidRPr="00D647A9" w:rsidRDefault="00E9612D" w:rsidP="00BF5AAE">
            <w:pPr>
              <w:pStyle w:val="TableText"/>
              <w:ind w:right="97"/>
              <w:rPr>
                <w:b/>
              </w:rPr>
            </w:pPr>
            <w:r w:rsidRPr="00D647A9">
              <w:rPr>
                <w:b/>
              </w:rPr>
              <w:t>Supplementary study</w:t>
            </w:r>
          </w:p>
        </w:tc>
      </w:tr>
      <w:tr w:rsidR="00E9612D" w:rsidRPr="003D71FA" w:rsidTr="00DE0770">
        <w:tc>
          <w:tcPr>
            <w:tcW w:w="928" w:type="pct"/>
            <w:tcBorders>
              <w:top w:val="nil"/>
            </w:tcBorders>
          </w:tcPr>
          <w:p w:rsidR="00E9612D" w:rsidRPr="003D71FA" w:rsidRDefault="00E9612D" w:rsidP="00BF5AAE">
            <w:pPr>
              <w:pStyle w:val="TableText"/>
            </w:pPr>
            <w:r w:rsidRPr="003D71FA">
              <w:t>MO39246</w:t>
            </w:r>
          </w:p>
        </w:tc>
        <w:tc>
          <w:tcPr>
            <w:tcW w:w="2815" w:type="pct"/>
            <w:tcBorders>
              <w:top w:val="nil"/>
            </w:tcBorders>
          </w:tcPr>
          <w:p w:rsidR="00E9612D" w:rsidRPr="003D71FA" w:rsidRDefault="00E9612D" w:rsidP="00BF5AAE">
            <w:pPr>
              <w:pStyle w:val="TableText"/>
              <w:spacing w:before="0" w:after="0"/>
              <w:ind w:right="97"/>
            </w:pPr>
            <w:r w:rsidRPr="003D71FA">
              <w:t xml:space="preserve">Clinical study report - Comparative efficacy In ALK-positive non-small cell lung cancer patients following progression with </w:t>
            </w:r>
            <w:proofErr w:type="spellStart"/>
            <w:r w:rsidRPr="003D71FA">
              <w:t>crizotinib</w:t>
            </w:r>
            <w:proofErr w:type="spellEnd"/>
            <w:r w:rsidRPr="003D71FA">
              <w:t xml:space="preserve">: a comparison of </w:t>
            </w:r>
            <w:proofErr w:type="spellStart"/>
            <w:r w:rsidRPr="003D71FA">
              <w:t>alectinib</w:t>
            </w:r>
            <w:proofErr w:type="spellEnd"/>
            <w:r w:rsidRPr="003D71FA">
              <w:t xml:space="preserve"> phase II data versus </w:t>
            </w:r>
            <w:proofErr w:type="spellStart"/>
            <w:r w:rsidRPr="003D71FA">
              <w:t>ceritinib</w:t>
            </w:r>
            <w:proofErr w:type="spellEnd"/>
            <w:r w:rsidRPr="003D71FA">
              <w:t xml:space="preserve"> real-world data</w:t>
            </w:r>
            <w:r w:rsidR="00DE0770">
              <w:t>.</w:t>
            </w:r>
          </w:p>
        </w:tc>
        <w:tc>
          <w:tcPr>
            <w:tcW w:w="1257" w:type="pct"/>
            <w:tcBorders>
              <w:top w:val="nil"/>
            </w:tcBorders>
          </w:tcPr>
          <w:p w:rsidR="00E9612D" w:rsidRPr="003D71FA" w:rsidRDefault="00E9612D" w:rsidP="00BF5AAE">
            <w:pPr>
              <w:pStyle w:val="TableText"/>
            </w:pPr>
            <w:r w:rsidRPr="003D71FA">
              <w:t>February 2016</w:t>
            </w:r>
          </w:p>
        </w:tc>
      </w:tr>
    </w:tbl>
    <w:p w:rsidR="00954E1C" w:rsidRPr="00D647A9" w:rsidRDefault="00A045E3" w:rsidP="00BF5AAE">
      <w:pPr>
        <w:pStyle w:val="TableFooter"/>
        <w:widowControl/>
      </w:pPr>
      <w:r w:rsidRPr="003D71FA">
        <w:t>Source:</w:t>
      </w:r>
      <w:r w:rsidR="00954E1C" w:rsidRPr="003D71FA">
        <w:t xml:space="preserve"> Table 2.4, p10, Section 2 of the submission</w:t>
      </w:r>
      <w:r w:rsidR="00954E1C" w:rsidRPr="00D647A9">
        <w:t>.</w:t>
      </w:r>
    </w:p>
    <w:p w:rsidR="00C317F3" w:rsidRPr="00D647A9" w:rsidRDefault="00C317F3" w:rsidP="00863A4D">
      <w:pPr>
        <w:pStyle w:val="ListParagraph"/>
        <w:numPr>
          <w:ilvl w:val="1"/>
          <w:numId w:val="4"/>
        </w:numPr>
        <w:spacing w:before="0" w:after="120"/>
      </w:pPr>
      <w:r w:rsidRPr="00D647A9">
        <w:t xml:space="preserve">The key features of the </w:t>
      </w:r>
      <w:r w:rsidR="00A308FC" w:rsidRPr="00D647A9">
        <w:t xml:space="preserve">single-arm studies </w:t>
      </w:r>
      <w:r w:rsidRPr="00D647A9">
        <w:t xml:space="preserve">are </w:t>
      </w:r>
      <w:r w:rsidR="00E70763">
        <w:t>summarised in the table below.</w:t>
      </w:r>
    </w:p>
    <w:p w:rsidR="00A074BD" w:rsidRDefault="00A074BD" w:rsidP="00A074BD">
      <w:pPr>
        <w:pStyle w:val="Caption"/>
      </w:pPr>
      <w:r>
        <w:t xml:space="preserve">Table </w:t>
      </w:r>
      <w:r>
        <w:rPr>
          <w:noProof/>
        </w:rPr>
        <w:t>3</w:t>
      </w:r>
      <w:r w:rsidRPr="00125D85">
        <w:t>: Key features of the evidence included in the submission– naive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1"/>
        <w:gridCol w:w="846"/>
        <w:gridCol w:w="2263"/>
        <w:gridCol w:w="1219"/>
        <w:gridCol w:w="2062"/>
        <w:gridCol w:w="1391"/>
      </w:tblGrid>
      <w:tr w:rsidR="00D33346" w:rsidRPr="00D647A9" w:rsidTr="00E92589">
        <w:tc>
          <w:tcPr>
            <w:tcW w:w="716" w:type="pct"/>
            <w:shd w:val="clear" w:color="auto" w:fill="F2F2F2" w:themeFill="background1" w:themeFillShade="F2"/>
            <w:vAlign w:val="center"/>
          </w:tcPr>
          <w:p w:rsidR="00D33346" w:rsidRPr="00D647A9" w:rsidRDefault="00D33346" w:rsidP="00BF5AAE">
            <w:pPr>
              <w:pStyle w:val="TableText"/>
              <w:rPr>
                <w:b/>
              </w:rPr>
            </w:pPr>
            <w:r w:rsidRPr="00D647A9">
              <w:rPr>
                <w:b/>
              </w:rPr>
              <w:t>Trial</w:t>
            </w:r>
          </w:p>
        </w:tc>
        <w:tc>
          <w:tcPr>
            <w:tcW w:w="466" w:type="pct"/>
            <w:shd w:val="clear" w:color="auto" w:fill="F2F2F2" w:themeFill="background1" w:themeFillShade="F2"/>
            <w:vAlign w:val="center"/>
          </w:tcPr>
          <w:p w:rsidR="00D33346" w:rsidRPr="00D647A9" w:rsidRDefault="00D33346" w:rsidP="00BF5AAE">
            <w:pPr>
              <w:pStyle w:val="TableText"/>
              <w:jc w:val="center"/>
              <w:rPr>
                <w:b/>
              </w:rPr>
            </w:pPr>
            <w:r w:rsidRPr="00D647A9">
              <w:rPr>
                <w:b/>
              </w:rPr>
              <w:t>N</w:t>
            </w:r>
          </w:p>
        </w:tc>
        <w:tc>
          <w:tcPr>
            <w:tcW w:w="1246" w:type="pct"/>
            <w:shd w:val="clear" w:color="auto" w:fill="F2F2F2" w:themeFill="background1" w:themeFillShade="F2"/>
            <w:vAlign w:val="center"/>
          </w:tcPr>
          <w:p w:rsidR="00D33346" w:rsidRPr="00D647A9" w:rsidRDefault="00D33346" w:rsidP="00BF5AAE">
            <w:pPr>
              <w:pStyle w:val="TableText"/>
              <w:jc w:val="center"/>
              <w:rPr>
                <w:b/>
              </w:rPr>
            </w:pPr>
            <w:r w:rsidRPr="00D647A9">
              <w:rPr>
                <w:b/>
              </w:rPr>
              <w:t xml:space="preserve">Design/ </w:t>
            </w:r>
            <w:r w:rsidR="00BF073E" w:rsidRPr="00D647A9">
              <w:rPr>
                <w:b/>
              </w:rPr>
              <w:br/>
            </w:r>
            <w:r w:rsidRPr="00D647A9">
              <w:rPr>
                <w:b/>
              </w:rPr>
              <w:t>duration of follow-up</w:t>
            </w:r>
          </w:p>
        </w:tc>
        <w:tc>
          <w:tcPr>
            <w:tcW w:w="671" w:type="pct"/>
            <w:shd w:val="clear" w:color="auto" w:fill="F2F2F2" w:themeFill="background1" w:themeFillShade="F2"/>
            <w:vAlign w:val="center"/>
          </w:tcPr>
          <w:p w:rsidR="00D33346" w:rsidRPr="00D647A9" w:rsidRDefault="00D33346" w:rsidP="00BF5AAE">
            <w:pPr>
              <w:pStyle w:val="TableText"/>
              <w:jc w:val="center"/>
              <w:rPr>
                <w:b/>
              </w:rPr>
            </w:pPr>
            <w:r w:rsidRPr="00D647A9">
              <w:rPr>
                <w:b/>
              </w:rPr>
              <w:t>Risk of bias</w:t>
            </w:r>
          </w:p>
        </w:tc>
        <w:tc>
          <w:tcPr>
            <w:tcW w:w="1135" w:type="pct"/>
            <w:shd w:val="clear" w:color="auto" w:fill="F2F2F2" w:themeFill="background1" w:themeFillShade="F2"/>
            <w:vAlign w:val="center"/>
          </w:tcPr>
          <w:p w:rsidR="00D33346" w:rsidRPr="00D647A9" w:rsidRDefault="00D33346" w:rsidP="00BF5AAE">
            <w:pPr>
              <w:pStyle w:val="TableText"/>
              <w:jc w:val="center"/>
              <w:rPr>
                <w:b/>
              </w:rPr>
            </w:pPr>
            <w:r w:rsidRPr="00D647A9">
              <w:rPr>
                <w:b/>
              </w:rPr>
              <w:t>Patient population</w:t>
            </w:r>
          </w:p>
        </w:tc>
        <w:tc>
          <w:tcPr>
            <w:tcW w:w="766" w:type="pct"/>
            <w:shd w:val="clear" w:color="auto" w:fill="F2F2F2" w:themeFill="background1" w:themeFillShade="F2"/>
            <w:vAlign w:val="center"/>
          </w:tcPr>
          <w:p w:rsidR="00D33346" w:rsidRPr="00D647A9" w:rsidRDefault="00D33346" w:rsidP="00BF5AAE">
            <w:pPr>
              <w:pStyle w:val="TableText"/>
              <w:jc w:val="center"/>
              <w:rPr>
                <w:b/>
              </w:rPr>
            </w:pPr>
            <w:r w:rsidRPr="00D647A9">
              <w:rPr>
                <w:b/>
              </w:rPr>
              <w:t>Outcomes</w:t>
            </w:r>
          </w:p>
        </w:tc>
      </w:tr>
      <w:tr w:rsidR="00D33346" w:rsidRPr="00D647A9" w:rsidTr="00D33346">
        <w:tc>
          <w:tcPr>
            <w:tcW w:w="5000" w:type="pct"/>
            <w:gridSpan w:val="6"/>
            <w:shd w:val="clear" w:color="auto" w:fill="auto"/>
            <w:vAlign w:val="center"/>
          </w:tcPr>
          <w:p w:rsidR="00D33346" w:rsidRPr="00D647A9" w:rsidRDefault="00D33346" w:rsidP="00BF5AAE">
            <w:pPr>
              <w:pStyle w:val="TableText"/>
            </w:pPr>
            <w:proofErr w:type="spellStart"/>
            <w:r w:rsidRPr="00D647A9">
              <w:t>Alectinib</w:t>
            </w:r>
            <w:proofErr w:type="spellEnd"/>
          </w:p>
        </w:tc>
      </w:tr>
      <w:tr w:rsidR="00D33346" w:rsidRPr="00D647A9" w:rsidTr="00BF073E">
        <w:tc>
          <w:tcPr>
            <w:tcW w:w="716" w:type="pct"/>
            <w:shd w:val="clear" w:color="auto" w:fill="auto"/>
            <w:vAlign w:val="center"/>
          </w:tcPr>
          <w:p w:rsidR="00D33346" w:rsidRPr="00D647A9" w:rsidRDefault="00D33346" w:rsidP="00BF5AAE">
            <w:pPr>
              <w:pStyle w:val="TableText"/>
            </w:pPr>
            <w:r w:rsidRPr="00D647A9">
              <w:t>NP28761</w:t>
            </w:r>
          </w:p>
        </w:tc>
        <w:tc>
          <w:tcPr>
            <w:tcW w:w="466" w:type="pct"/>
            <w:shd w:val="clear" w:color="auto" w:fill="auto"/>
            <w:vAlign w:val="center"/>
          </w:tcPr>
          <w:p w:rsidR="00D33346" w:rsidRPr="00D647A9" w:rsidRDefault="00D33346" w:rsidP="00BF5AAE">
            <w:pPr>
              <w:pStyle w:val="TableText"/>
              <w:jc w:val="center"/>
              <w:rPr>
                <w:rFonts w:ascii="Times" w:eastAsia="Times New Roman" w:hAnsi="Times" w:cs="Times New Roman"/>
              </w:rPr>
            </w:pPr>
            <w:r w:rsidRPr="00D647A9">
              <w:t>87</w:t>
            </w:r>
          </w:p>
        </w:tc>
        <w:tc>
          <w:tcPr>
            <w:tcW w:w="1246" w:type="pct"/>
            <w:shd w:val="clear" w:color="auto" w:fill="auto"/>
            <w:vAlign w:val="center"/>
          </w:tcPr>
          <w:p w:rsidR="00D33346" w:rsidRPr="00D647A9" w:rsidRDefault="00D33346" w:rsidP="00BF5AAE">
            <w:pPr>
              <w:pStyle w:val="TableText"/>
              <w:rPr>
                <w:rFonts w:ascii="Times" w:eastAsia="Times New Roman" w:hAnsi="Times" w:cs="Times New Roman"/>
              </w:rPr>
            </w:pPr>
            <w:r w:rsidRPr="00D647A9">
              <w:t>MC, SA, OL</w:t>
            </w:r>
            <w:r w:rsidR="00E810B2" w:rsidRPr="00D647A9">
              <w:t>*</w:t>
            </w:r>
          </w:p>
          <w:p w:rsidR="00D33346" w:rsidRPr="00D647A9" w:rsidRDefault="00D33346" w:rsidP="00BF5AAE">
            <w:pPr>
              <w:pStyle w:val="TableText"/>
              <w:rPr>
                <w:rFonts w:ascii="Times" w:eastAsia="Times New Roman" w:hAnsi="Times" w:cs="Times New Roman"/>
              </w:rPr>
            </w:pPr>
            <w:r w:rsidRPr="00D647A9">
              <w:t>Median 17.0 months</w:t>
            </w:r>
          </w:p>
        </w:tc>
        <w:tc>
          <w:tcPr>
            <w:tcW w:w="671" w:type="pct"/>
            <w:shd w:val="clear" w:color="auto" w:fill="auto"/>
            <w:vAlign w:val="center"/>
          </w:tcPr>
          <w:p w:rsidR="00D33346" w:rsidRPr="00D647A9" w:rsidRDefault="00D33346" w:rsidP="00BF5AAE">
            <w:pPr>
              <w:pStyle w:val="TableText"/>
              <w:jc w:val="center"/>
              <w:rPr>
                <w:rFonts w:ascii="Times" w:eastAsia="Times New Roman" w:hAnsi="Times" w:cs="Times New Roman"/>
              </w:rPr>
            </w:pPr>
            <w:r w:rsidRPr="00D647A9">
              <w:t>High</w:t>
            </w:r>
          </w:p>
        </w:tc>
        <w:tc>
          <w:tcPr>
            <w:tcW w:w="1135" w:type="pct"/>
            <w:shd w:val="clear" w:color="auto" w:fill="auto"/>
            <w:vAlign w:val="center"/>
          </w:tcPr>
          <w:p w:rsidR="00D33346" w:rsidRPr="00D647A9" w:rsidRDefault="00D33346" w:rsidP="00BF5AAE">
            <w:pPr>
              <w:pStyle w:val="TableText"/>
              <w:rPr>
                <w:rFonts w:ascii="Times" w:eastAsia="Times New Roman" w:hAnsi="Times" w:cs="Times New Roman"/>
              </w:rPr>
            </w:pPr>
            <w:r w:rsidRPr="00D647A9">
              <w:t xml:space="preserve">Failed </w:t>
            </w:r>
            <w:proofErr w:type="spellStart"/>
            <w:r w:rsidRPr="00D647A9">
              <w:t>crizotinib</w:t>
            </w:r>
            <w:proofErr w:type="spellEnd"/>
            <w:r w:rsidRPr="00D647A9">
              <w:t xml:space="preserve">  </w:t>
            </w:r>
          </w:p>
        </w:tc>
        <w:tc>
          <w:tcPr>
            <w:tcW w:w="766" w:type="pct"/>
            <w:shd w:val="clear" w:color="auto" w:fill="auto"/>
            <w:vAlign w:val="center"/>
          </w:tcPr>
          <w:p w:rsidR="00D33346" w:rsidRPr="00D647A9" w:rsidRDefault="00D33346" w:rsidP="00BF5AAE">
            <w:pPr>
              <w:pStyle w:val="TableText"/>
              <w:rPr>
                <w:rFonts w:ascii="Times" w:eastAsia="Times New Roman" w:hAnsi="Times" w:cs="Times New Roman"/>
              </w:rPr>
            </w:pPr>
            <w:r w:rsidRPr="00D647A9">
              <w:t>ORR, PFS, OS</w:t>
            </w:r>
          </w:p>
        </w:tc>
      </w:tr>
      <w:tr w:rsidR="00D33346" w:rsidRPr="00D647A9" w:rsidTr="00BF073E">
        <w:tc>
          <w:tcPr>
            <w:tcW w:w="716" w:type="pct"/>
            <w:shd w:val="clear" w:color="auto" w:fill="auto"/>
            <w:vAlign w:val="center"/>
          </w:tcPr>
          <w:p w:rsidR="00D33346" w:rsidRPr="00D647A9" w:rsidRDefault="00D33346" w:rsidP="00BF5AAE">
            <w:pPr>
              <w:pStyle w:val="TableText"/>
              <w:rPr>
                <w:rFonts w:ascii="Times" w:eastAsia="Times New Roman" w:hAnsi="Times" w:cs="Times New Roman"/>
              </w:rPr>
            </w:pPr>
            <w:r w:rsidRPr="00D647A9">
              <w:t>NP28673</w:t>
            </w:r>
          </w:p>
        </w:tc>
        <w:tc>
          <w:tcPr>
            <w:tcW w:w="466" w:type="pct"/>
            <w:shd w:val="clear" w:color="auto" w:fill="auto"/>
            <w:vAlign w:val="center"/>
          </w:tcPr>
          <w:p w:rsidR="00D33346" w:rsidRPr="00D647A9" w:rsidRDefault="00D33346" w:rsidP="00BF5AAE">
            <w:pPr>
              <w:pStyle w:val="TableText"/>
              <w:jc w:val="center"/>
              <w:rPr>
                <w:rFonts w:ascii="Times" w:eastAsia="Times New Roman" w:hAnsi="Times" w:cs="Times New Roman"/>
              </w:rPr>
            </w:pPr>
            <w:r w:rsidRPr="00D647A9">
              <w:t>138</w:t>
            </w:r>
          </w:p>
        </w:tc>
        <w:tc>
          <w:tcPr>
            <w:tcW w:w="1246" w:type="pct"/>
            <w:shd w:val="clear" w:color="auto" w:fill="auto"/>
            <w:vAlign w:val="center"/>
          </w:tcPr>
          <w:p w:rsidR="00D33346" w:rsidRPr="00D647A9" w:rsidRDefault="00D33346" w:rsidP="00BF5AAE">
            <w:pPr>
              <w:pStyle w:val="TableText"/>
              <w:rPr>
                <w:rFonts w:ascii="Times" w:eastAsia="Times New Roman" w:hAnsi="Times" w:cs="Times New Roman"/>
              </w:rPr>
            </w:pPr>
            <w:r w:rsidRPr="00D647A9">
              <w:t>MC, SA, OL</w:t>
            </w:r>
            <w:r w:rsidR="00E810B2" w:rsidRPr="00D647A9">
              <w:t>*</w:t>
            </w:r>
          </w:p>
          <w:p w:rsidR="00D33346" w:rsidRPr="00D647A9" w:rsidRDefault="00D33346" w:rsidP="00BF5AAE">
            <w:pPr>
              <w:pStyle w:val="TableText"/>
              <w:rPr>
                <w:rFonts w:ascii="Times" w:eastAsia="Times New Roman" w:hAnsi="Times" w:cs="Times New Roman"/>
              </w:rPr>
            </w:pPr>
            <w:r w:rsidRPr="00D647A9">
              <w:t>Median 21.3 months</w:t>
            </w:r>
          </w:p>
        </w:tc>
        <w:tc>
          <w:tcPr>
            <w:tcW w:w="671" w:type="pct"/>
            <w:shd w:val="clear" w:color="auto" w:fill="auto"/>
            <w:vAlign w:val="center"/>
          </w:tcPr>
          <w:p w:rsidR="00D33346" w:rsidRPr="00D647A9" w:rsidRDefault="00D33346" w:rsidP="00BF5AAE">
            <w:pPr>
              <w:pStyle w:val="TableText"/>
              <w:jc w:val="center"/>
              <w:rPr>
                <w:rFonts w:ascii="Times" w:eastAsia="Times New Roman" w:hAnsi="Times" w:cs="Times New Roman"/>
              </w:rPr>
            </w:pPr>
            <w:r w:rsidRPr="00D647A9">
              <w:t>High</w:t>
            </w:r>
          </w:p>
        </w:tc>
        <w:tc>
          <w:tcPr>
            <w:tcW w:w="1135" w:type="pct"/>
            <w:shd w:val="clear" w:color="auto" w:fill="auto"/>
            <w:vAlign w:val="center"/>
          </w:tcPr>
          <w:p w:rsidR="00D33346" w:rsidRPr="00D647A9" w:rsidRDefault="00D33346" w:rsidP="00BF5AAE">
            <w:pPr>
              <w:pStyle w:val="TableText"/>
              <w:rPr>
                <w:rFonts w:ascii="Times" w:eastAsia="Times New Roman" w:hAnsi="Times" w:cs="Times New Roman"/>
              </w:rPr>
            </w:pPr>
            <w:r w:rsidRPr="00D647A9">
              <w:t xml:space="preserve">Failed </w:t>
            </w:r>
            <w:proofErr w:type="spellStart"/>
            <w:r w:rsidRPr="00D647A9">
              <w:t>crizotinib</w:t>
            </w:r>
            <w:proofErr w:type="spellEnd"/>
            <w:r w:rsidRPr="00D647A9">
              <w:t xml:space="preserve">  </w:t>
            </w:r>
          </w:p>
        </w:tc>
        <w:tc>
          <w:tcPr>
            <w:tcW w:w="766" w:type="pct"/>
            <w:shd w:val="clear" w:color="auto" w:fill="auto"/>
            <w:vAlign w:val="center"/>
          </w:tcPr>
          <w:p w:rsidR="00D33346" w:rsidRPr="00D647A9" w:rsidRDefault="00D33346" w:rsidP="00BF5AAE">
            <w:pPr>
              <w:pStyle w:val="TableText"/>
              <w:rPr>
                <w:rFonts w:ascii="Times" w:eastAsia="Times New Roman" w:hAnsi="Times" w:cs="Times New Roman"/>
              </w:rPr>
            </w:pPr>
            <w:r w:rsidRPr="00D647A9">
              <w:t>ORR, PFS, OS</w:t>
            </w:r>
          </w:p>
        </w:tc>
      </w:tr>
      <w:tr w:rsidR="00D33346" w:rsidRPr="00D647A9" w:rsidTr="00D33346">
        <w:tc>
          <w:tcPr>
            <w:tcW w:w="5000" w:type="pct"/>
            <w:gridSpan w:val="6"/>
            <w:shd w:val="clear" w:color="auto" w:fill="auto"/>
            <w:vAlign w:val="center"/>
          </w:tcPr>
          <w:p w:rsidR="00D33346" w:rsidRPr="00D647A9" w:rsidRDefault="00D33346" w:rsidP="00BF5AAE">
            <w:pPr>
              <w:pStyle w:val="TableText"/>
            </w:pPr>
            <w:proofErr w:type="spellStart"/>
            <w:r w:rsidRPr="00D647A9">
              <w:t>Ceritinib</w:t>
            </w:r>
            <w:proofErr w:type="spellEnd"/>
          </w:p>
        </w:tc>
      </w:tr>
      <w:tr w:rsidR="00D33346" w:rsidRPr="00D647A9" w:rsidTr="00BF073E">
        <w:tc>
          <w:tcPr>
            <w:tcW w:w="716" w:type="pct"/>
            <w:shd w:val="clear" w:color="auto" w:fill="auto"/>
            <w:vAlign w:val="center"/>
          </w:tcPr>
          <w:p w:rsidR="00D33346" w:rsidRPr="00D647A9" w:rsidRDefault="00D33346" w:rsidP="00BF5AAE">
            <w:pPr>
              <w:pStyle w:val="TableText"/>
              <w:rPr>
                <w:rFonts w:ascii="Times" w:eastAsia="Times New Roman" w:hAnsi="Times" w:cs="Times New Roman"/>
              </w:rPr>
            </w:pPr>
            <w:r w:rsidRPr="00D647A9">
              <w:t>ASCEND-1</w:t>
            </w:r>
          </w:p>
        </w:tc>
        <w:tc>
          <w:tcPr>
            <w:tcW w:w="466" w:type="pct"/>
            <w:shd w:val="clear" w:color="auto" w:fill="auto"/>
            <w:vAlign w:val="center"/>
          </w:tcPr>
          <w:p w:rsidR="00D33346" w:rsidRPr="00D647A9" w:rsidRDefault="00D33346" w:rsidP="00BF5AAE">
            <w:pPr>
              <w:pStyle w:val="TableText"/>
              <w:jc w:val="center"/>
              <w:rPr>
                <w:rFonts w:ascii="Times" w:eastAsia="Times New Roman" w:hAnsi="Times" w:cs="Times New Roman"/>
              </w:rPr>
            </w:pPr>
            <w:r w:rsidRPr="00D647A9">
              <w:t>163</w:t>
            </w:r>
          </w:p>
        </w:tc>
        <w:tc>
          <w:tcPr>
            <w:tcW w:w="1246" w:type="pct"/>
            <w:shd w:val="clear" w:color="auto" w:fill="auto"/>
            <w:vAlign w:val="center"/>
          </w:tcPr>
          <w:p w:rsidR="00D33346" w:rsidRPr="00D647A9" w:rsidRDefault="00D33346" w:rsidP="00BF5AAE">
            <w:pPr>
              <w:pStyle w:val="TableText"/>
              <w:rPr>
                <w:rFonts w:ascii="Times" w:eastAsia="Times New Roman" w:hAnsi="Times" w:cs="Times New Roman"/>
              </w:rPr>
            </w:pPr>
            <w:r w:rsidRPr="00D647A9">
              <w:t>MC, SA, OL</w:t>
            </w:r>
            <w:r w:rsidR="00E810B2" w:rsidRPr="00D647A9">
              <w:t>*</w:t>
            </w:r>
          </w:p>
          <w:p w:rsidR="00D33346" w:rsidRPr="00D647A9" w:rsidRDefault="00D33346" w:rsidP="00BF5AAE">
            <w:pPr>
              <w:pStyle w:val="TableText"/>
              <w:rPr>
                <w:rFonts w:ascii="Times" w:eastAsia="Times New Roman" w:hAnsi="Times" w:cs="Times New Roman"/>
              </w:rPr>
            </w:pPr>
            <w:r w:rsidRPr="00D647A9">
              <w:t>Median 11.1 months</w:t>
            </w:r>
          </w:p>
        </w:tc>
        <w:tc>
          <w:tcPr>
            <w:tcW w:w="671" w:type="pct"/>
            <w:shd w:val="clear" w:color="auto" w:fill="auto"/>
            <w:vAlign w:val="center"/>
          </w:tcPr>
          <w:p w:rsidR="00D33346" w:rsidRPr="00D647A9" w:rsidRDefault="00D33346" w:rsidP="00BF5AAE">
            <w:pPr>
              <w:pStyle w:val="TableText"/>
              <w:jc w:val="center"/>
              <w:rPr>
                <w:rFonts w:ascii="Times" w:eastAsia="Times New Roman" w:hAnsi="Times" w:cs="Times New Roman"/>
              </w:rPr>
            </w:pPr>
            <w:r w:rsidRPr="00D647A9">
              <w:t>High</w:t>
            </w:r>
          </w:p>
        </w:tc>
        <w:tc>
          <w:tcPr>
            <w:tcW w:w="1135" w:type="pct"/>
            <w:shd w:val="clear" w:color="auto" w:fill="auto"/>
            <w:vAlign w:val="center"/>
          </w:tcPr>
          <w:p w:rsidR="00D33346" w:rsidRPr="00D647A9" w:rsidRDefault="00D33346" w:rsidP="00BF5AAE">
            <w:pPr>
              <w:pStyle w:val="TableText"/>
              <w:rPr>
                <w:rFonts w:ascii="Times" w:eastAsia="Times New Roman" w:hAnsi="Times" w:cs="Times New Roman"/>
              </w:rPr>
            </w:pPr>
            <w:r w:rsidRPr="00D647A9">
              <w:t xml:space="preserve">Prior </w:t>
            </w:r>
            <w:proofErr w:type="spellStart"/>
            <w:r w:rsidR="007B6968" w:rsidRPr="00D647A9">
              <w:t>crizotinib</w:t>
            </w:r>
            <w:proofErr w:type="spellEnd"/>
          </w:p>
        </w:tc>
        <w:tc>
          <w:tcPr>
            <w:tcW w:w="766" w:type="pct"/>
            <w:shd w:val="clear" w:color="auto" w:fill="auto"/>
            <w:vAlign w:val="center"/>
          </w:tcPr>
          <w:p w:rsidR="00D33346" w:rsidRPr="00D647A9" w:rsidRDefault="00D33346" w:rsidP="00BF5AAE">
            <w:pPr>
              <w:pStyle w:val="TableText"/>
              <w:rPr>
                <w:rFonts w:ascii="Times" w:eastAsia="Times New Roman" w:hAnsi="Times" w:cs="Times New Roman"/>
              </w:rPr>
            </w:pPr>
            <w:r w:rsidRPr="00D647A9">
              <w:t>ORR, PFS, OS</w:t>
            </w:r>
          </w:p>
        </w:tc>
      </w:tr>
      <w:tr w:rsidR="00D33346" w:rsidRPr="00D647A9" w:rsidTr="00BF073E">
        <w:tc>
          <w:tcPr>
            <w:tcW w:w="716" w:type="pct"/>
            <w:shd w:val="clear" w:color="auto" w:fill="auto"/>
            <w:vAlign w:val="center"/>
          </w:tcPr>
          <w:p w:rsidR="00D33346" w:rsidRPr="00D647A9" w:rsidRDefault="00D33346" w:rsidP="00BF5AAE">
            <w:pPr>
              <w:pStyle w:val="TableText"/>
            </w:pPr>
            <w:r w:rsidRPr="00D647A9">
              <w:t>ASCEND-2</w:t>
            </w:r>
          </w:p>
        </w:tc>
        <w:tc>
          <w:tcPr>
            <w:tcW w:w="466" w:type="pct"/>
            <w:shd w:val="clear" w:color="auto" w:fill="auto"/>
            <w:vAlign w:val="center"/>
          </w:tcPr>
          <w:p w:rsidR="00D33346" w:rsidRPr="00D647A9" w:rsidRDefault="00D33346" w:rsidP="00BF5AAE">
            <w:pPr>
              <w:pStyle w:val="TableText"/>
              <w:jc w:val="center"/>
            </w:pPr>
            <w:r w:rsidRPr="00D647A9">
              <w:t>140</w:t>
            </w:r>
          </w:p>
        </w:tc>
        <w:tc>
          <w:tcPr>
            <w:tcW w:w="1246" w:type="pct"/>
            <w:shd w:val="clear" w:color="auto" w:fill="auto"/>
            <w:vAlign w:val="center"/>
          </w:tcPr>
          <w:p w:rsidR="00D33346" w:rsidRPr="00D647A9" w:rsidRDefault="00D33346" w:rsidP="00BF5AAE">
            <w:pPr>
              <w:pStyle w:val="TableText"/>
            </w:pPr>
            <w:r w:rsidRPr="00D647A9">
              <w:t>MC, SA</w:t>
            </w:r>
            <w:r w:rsidR="00BD0ADB" w:rsidRPr="00D647A9">
              <w:t>,</w:t>
            </w:r>
            <w:r w:rsidRPr="00D647A9">
              <w:t xml:space="preserve"> OL</w:t>
            </w:r>
            <w:r w:rsidR="00E810B2" w:rsidRPr="00D647A9">
              <w:t>*</w:t>
            </w:r>
          </w:p>
          <w:p w:rsidR="00D33346" w:rsidRPr="00D647A9" w:rsidRDefault="00D33346" w:rsidP="00BF5AAE">
            <w:pPr>
              <w:pStyle w:val="TableText"/>
            </w:pPr>
            <w:r w:rsidRPr="00D647A9">
              <w:t>Median 11.3 months</w:t>
            </w:r>
          </w:p>
        </w:tc>
        <w:tc>
          <w:tcPr>
            <w:tcW w:w="671" w:type="pct"/>
            <w:shd w:val="clear" w:color="auto" w:fill="auto"/>
            <w:vAlign w:val="center"/>
          </w:tcPr>
          <w:p w:rsidR="00D33346" w:rsidRPr="00D647A9" w:rsidRDefault="00D33346" w:rsidP="00BF5AAE">
            <w:pPr>
              <w:pStyle w:val="TableText"/>
              <w:jc w:val="center"/>
            </w:pPr>
            <w:r w:rsidRPr="00D647A9">
              <w:t>High</w:t>
            </w:r>
          </w:p>
        </w:tc>
        <w:tc>
          <w:tcPr>
            <w:tcW w:w="1135" w:type="pct"/>
            <w:shd w:val="clear" w:color="auto" w:fill="auto"/>
            <w:vAlign w:val="center"/>
          </w:tcPr>
          <w:p w:rsidR="00D33346" w:rsidRPr="00D647A9" w:rsidRDefault="00D33346" w:rsidP="00BF5AAE">
            <w:pPr>
              <w:pStyle w:val="TableText"/>
              <w:jc w:val="left"/>
            </w:pPr>
            <w:r w:rsidRPr="00D647A9">
              <w:t xml:space="preserve">Failed </w:t>
            </w:r>
            <w:proofErr w:type="spellStart"/>
            <w:r w:rsidRPr="00D647A9">
              <w:t>crizotinib</w:t>
            </w:r>
            <w:proofErr w:type="spellEnd"/>
            <w:r w:rsidRPr="00D647A9">
              <w:br/>
              <w:t>Prior chemotherapy</w:t>
            </w:r>
          </w:p>
        </w:tc>
        <w:tc>
          <w:tcPr>
            <w:tcW w:w="766" w:type="pct"/>
            <w:shd w:val="clear" w:color="auto" w:fill="auto"/>
            <w:vAlign w:val="center"/>
          </w:tcPr>
          <w:p w:rsidR="00D33346" w:rsidRPr="00D647A9" w:rsidRDefault="00D33346" w:rsidP="00BF5AAE">
            <w:pPr>
              <w:pStyle w:val="TableText"/>
            </w:pPr>
            <w:r w:rsidRPr="00D647A9">
              <w:t>ORR, PFS, OS</w:t>
            </w:r>
          </w:p>
        </w:tc>
      </w:tr>
      <w:tr w:rsidR="00BC3484" w:rsidRPr="00D647A9" w:rsidTr="00BF073E">
        <w:tc>
          <w:tcPr>
            <w:tcW w:w="716" w:type="pct"/>
            <w:shd w:val="clear" w:color="auto" w:fill="auto"/>
            <w:vAlign w:val="center"/>
          </w:tcPr>
          <w:p w:rsidR="00BC3484" w:rsidRPr="00D647A9" w:rsidRDefault="00BC3484" w:rsidP="00BF5AAE">
            <w:pPr>
              <w:pStyle w:val="TableText"/>
            </w:pPr>
            <w:r w:rsidRPr="00D647A9">
              <w:t>ASCEND-5</w:t>
            </w:r>
            <w:r w:rsidR="00BD0ADB" w:rsidRPr="00D647A9">
              <w:t>**</w:t>
            </w:r>
          </w:p>
          <w:p w:rsidR="00BC3484" w:rsidRPr="00D647A9" w:rsidRDefault="00BC3484" w:rsidP="00BF5AAE">
            <w:pPr>
              <w:pStyle w:val="TableText"/>
            </w:pPr>
            <w:proofErr w:type="spellStart"/>
            <w:r w:rsidRPr="00D647A9">
              <w:t>Ceritinib</w:t>
            </w:r>
            <w:proofErr w:type="spellEnd"/>
            <w:r w:rsidRPr="00D647A9">
              <w:t xml:space="preserve"> arm</w:t>
            </w:r>
          </w:p>
        </w:tc>
        <w:tc>
          <w:tcPr>
            <w:tcW w:w="466" w:type="pct"/>
            <w:shd w:val="clear" w:color="auto" w:fill="auto"/>
            <w:vAlign w:val="center"/>
          </w:tcPr>
          <w:p w:rsidR="00BC3484" w:rsidRPr="00D647A9" w:rsidRDefault="00BC3484" w:rsidP="00BF5AAE">
            <w:pPr>
              <w:pStyle w:val="TableText"/>
              <w:jc w:val="center"/>
            </w:pPr>
            <w:r w:rsidRPr="00D647A9">
              <w:t>115</w:t>
            </w:r>
          </w:p>
        </w:tc>
        <w:tc>
          <w:tcPr>
            <w:tcW w:w="1246" w:type="pct"/>
            <w:shd w:val="clear" w:color="auto" w:fill="auto"/>
            <w:vAlign w:val="center"/>
          </w:tcPr>
          <w:p w:rsidR="00BC3484" w:rsidRPr="00D647A9" w:rsidRDefault="00BC3484" w:rsidP="00BF5AAE">
            <w:pPr>
              <w:pStyle w:val="TableText"/>
            </w:pPr>
            <w:r w:rsidRPr="00D647A9">
              <w:t xml:space="preserve">MC, </w:t>
            </w:r>
            <w:r w:rsidR="00BD0ADB" w:rsidRPr="00D647A9">
              <w:t xml:space="preserve">RCT, </w:t>
            </w:r>
            <w:r w:rsidRPr="00D647A9">
              <w:t>OL*</w:t>
            </w:r>
          </w:p>
          <w:p w:rsidR="00BC3484" w:rsidRPr="00D647A9" w:rsidRDefault="00BC3484" w:rsidP="00BF5AAE">
            <w:pPr>
              <w:pStyle w:val="TableText"/>
            </w:pPr>
            <w:r w:rsidRPr="00D647A9">
              <w:t>Median 16.5 months</w:t>
            </w:r>
          </w:p>
        </w:tc>
        <w:tc>
          <w:tcPr>
            <w:tcW w:w="671" w:type="pct"/>
            <w:shd w:val="clear" w:color="auto" w:fill="auto"/>
            <w:vAlign w:val="center"/>
          </w:tcPr>
          <w:p w:rsidR="00BC3484" w:rsidRPr="00D647A9" w:rsidRDefault="005402BD" w:rsidP="00BF5AAE">
            <w:pPr>
              <w:pStyle w:val="TableText"/>
              <w:jc w:val="center"/>
            </w:pPr>
            <w:r w:rsidRPr="00D647A9">
              <w:t>Low</w:t>
            </w:r>
          </w:p>
        </w:tc>
        <w:tc>
          <w:tcPr>
            <w:tcW w:w="1135" w:type="pct"/>
            <w:shd w:val="clear" w:color="auto" w:fill="auto"/>
            <w:vAlign w:val="center"/>
          </w:tcPr>
          <w:p w:rsidR="00BC3484" w:rsidRPr="00D647A9" w:rsidRDefault="00BC3484" w:rsidP="00BF5AAE">
            <w:pPr>
              <w:pStyle w:val="TableText"/>
              <w:jc w:val="left"/>
            </w:pPr>
            <w:r w:rsidRPr="00D647A9">
              <w:t xml:space="preserve">Failed </w:t>
            </w:r>
            <w:proofErr w:type="spellStart"/>
            <w:r w:rsidRPr="00D647A9">
              <w:t>crizotinib</w:t>
            </w:r>
            <w:proofErr w:type="spellEnd"/>
          </w:p>
          <w:p w:rsidR="00BC3484" w:rsidRPr="00D647A9" w:rsidRDefault="00BC3484" w:rsidP="00BF5AAE">
            <w:pPr>
              <w:pStyle w:val="TableText"/>
              <w:jc w:val="left"/>
            </w:pPr>
            <w:r w:rsidRPr="00D647A9">
              <w:t>Failed chemotherapy</w:t>
            </w:r>
          </w:p>
        </w:tc>
        <w:tc>
          <w:tcPr>
            <w:tcW w:w="766" w:type="pct"/>
            <w:shd w:val="clear" w:color="auto" w:fill="auto"/>
            <w:vAlign w:val="center"/>
          </w:tcPr>
          <w:p w:rsidR="00BC3484" w:rsidRPr="00D647A9" w:rsidRDefault="00BC3484" w:rsidP="00BF5AAE">
            <w:pPr>
              <w:pStyle w:val="TableText"/>
            </w:pPr>
            <w:r w:rsidRPr="00D647A9">
              <w:t>ORR, PFS, OS</w:t>
            </w:r>
          </w:p>
        </w:tc>
      </w:tr>
    </w:tbl>
    <w:p w:rsidR="00C317F3" w:rsidRPr="00D647A9" w:rsidRDefault="00CE3BF4" w:rsidP="00BF5AAE">
      <w:pPr>
        <w:pStyle w:val="TableFooter"/>
        <w:widowControl/>
        <w:jc w:val="left"/>
      </w:pPr>
      <w:r w:rsidRPr="00D647A9">
        <w:t>ALK</w:t>
      </w:r>
      <w:r w:rsidR="00AF40F2" w:rsidRPr="00D647A9">
        <w:t xml:space="preserve"> </w:t>
      </w:r>
      <w:r w:rsidRPr="00D647A9">
        <w:t>=</w:t>
      </w:r>
      <w:r w:rsidR="00AF40F2" w:rsidRPr="00D647A9">
        <w:t xml:space="preserve"> </w:t>
      </w:r>
      <w:r w:rsidRPr="00D647A9">
        <w:t xml:space="preserve">anaplastic lymphoma kinase; </w:t>
      </w:r>
      <w:r w:rsidR="00C317F3" w:rsidRPr="00D647A9">
        <w:t>MC</w:t>
      </w:r>
      <w:r w:rsidR="00AF40F2" w:rsidRPr="00D647A9">
        <w:t xml:space="preserve"> </w:t>
      </w:r>
      <w:r w:rsidR="00C317F3" w:rsidRPr="00D647A9">
        <w:t>=</w:t>
      </w:r>
      <w:r w:rsidR="00AF40F2" w:rsidRPr="00D647A9">
        <w:t xml:space="preserve"> </w:t>
      </w:r>
      <w:r w:rsidR="00C317F3" w:rsidRPr="00D647A9">
        <w:t>multi-centre; OL</w:t>
      </w:r>
      <w:r w:rsidR="00AF40F2" w:rsidRPr="00D647A9">
        <w:t xml:space="preserve"> </w:t>
      </w:r>
      <w:r w:rsidR="00C317F3" w:rsidRPr="00D647A9">
        <w:t>=</w:t>
      </w:r>
      <w:r w:rsidR="00AF40F2" w:rsidRPr="00D647A9">
        <w:t xml:space="preserve"> </w:t>
      </w:r>
      <w:r w:rsidR="00C317F3" w:rsidRPr="00D647A9">
        <w:t>open label;</w:t>
      </w:r>
      <w:r w:rsidRPr="00D647A9">
        <w:t xml:space="preserve"> ORR</w:t>
      </w:r>
      <w:r w:rsidR="00AF40F2" w:rsidRPr="00D647A9">
        <w:t xml:space="preserve"> </w:t>
      </w:r>
      <w:r w:rsidRPr="00D647A9">
        <w:t>=</w:t>
      </w:r>
      <w:r w:rsidR="00AF40F2" w:rsidRPr="00D647A9">
        <w:t xml:space="preserve"> </w:t>
      </w:r>
      <w:r w:rsidRPr="00D647A9">
        <w:t>objective response rate;</w:t>
      </w:r>
      <w:r w:rsidR="00C317F3" w:rsidRPr="00D647A9">
        <w:t xml:space="preserve"> OS</w:t>
      </w:r>
      <w:r w:rsidR="00AF40F2" w:rsidRPr="00D647A9">
        <w:t xml:space="preserve"> </w:t>
      </w:r>
      <w:r w:rsidR="00C317F3" w:rsidRPr="00D647A9">
        <w:t>=</w:t>
      </w:r>
      <w:r w:rsidR="00AF40F2" w:rsidRPr="00D647A9">
        <w:t xml:space="preserve"> </w:t>
      </w:r>
      <w:r w:rsidR="00C317F3" w:rsidRPr="00D647A9">
        <w:t>overall survival; PFS</w:t>
      </w:r>
      <w:r w:rsidR="00AF40F2" w:rsidRPr="00D647A9">
        <w:t> </w:t>
      </w:r>
      <w:r w:rsidR="00C317F3" w:rsidRPr="00D647A9">
        <w:t>=</w:t>
      </w:r>
      <w:r w:rsidR="00AF40F2" w:rsidRPr="00D647A9">
        <w:t> </w:t>
      </w:r>
      <w:r w:rsidR="00C317F3" w:rsidRPr="00D647A9">
        <w:t>progression-free survival;</w:t>
      </w:r>
      <w:r w:rsidR="00BD0ADB" w:rsidRPr="00D647A9">
        <w:t xml:space="preserve"> RCT = randomised controlled trial;</w:t>
      </w:r>
      <w:r w:rsidR="00C317F3" w:rsidRPr="00D647A9">
        <w:t xml:space="preserve"> </w:t>
      </w:r>
      <w:r w:rsidRPr="00D647A9">
        <w:t>SA</w:t>
      </w:r>
      <w:r w:rsidR="00AF40F2" w:rsidRPr="00D647A9">
        <w:t xml:space="preserve"> </w:t>
      </w:r>
      <w:r w:rsidR="00EF6B1B" w:rsidRPr="00D647A9">
        <w:t>=</w:t>
      </w:r>
      <w:r w:rsidR="00AF40F2" w:rsidRPr="00D647A9">
        <w:t xml:space="preserve"> </w:t>
      </w:r>
      <w:r w:rsidRPr="00D647A9">
        <w:t>single arm</w:t>
      </w:r>
      <w:r w:rsidR="00C317F3" w:rsidRPr="00D647A9">
        <w:t>.</w:t>
      </w:r>
    </w:p>
    <w:p w:rsidR="00E810B2" w:rsidRPr="00D647A9" w:rsidRDefault="00E810B2" w:rsidP="00BF5AAE">
      <w:pPr>
        <w:pStyle w:val="TableFooter"/>
        <w:widowControl/>
      </w:pPr>
      <w:r w:rsidRPr="00D647A9">
        <w:t xml:space="preserve">* In all studies, response outcomes were </w:t>
      </w:r>
      <w:r w:rsidR="002B3EAD" w:rsidRPr="00D647A9">
        <w:t>assessed by both the investigator and a blinded independent review committee.</w:t>
      </w:r>
    </w:p>
    <w:p w:rsidR="00BD0ADB" w:rsidRPr="00D647A9" w:rsidRDefault="009D73EE" w:rsidP="00BF5AAE">
      <w:pPr>
        <w:pStyle w:val="TableFooter"/>
        <w:widowControl/>
        <w:ind w:left="142" w:hanging="142"/>
      </w:pPr>
      <w:r w:rsidRPr="00D647A9">
        <w:t xml:space="preserve">** ASCEND-5 was not included in the submission but </w:t>
      </w:r>
      <w:r w:rsidR="00346FE0" w:rsidRPr="00D647A9">
        <w:t xml:space="preserve">was </w:t>
      </w:r>
      <w:r w:rsidRPr="00D647A9">
        <w:t>included in the evaluation</w:t>
      </w:r>
      <w:r w:rsidR="00346FE0" w:rsidRPr="00D647A9">
        <w:t xml:space="preserve"> where results were available</w:t>
      </w:r>
      <w:r w:rsidRPr="00D647A9">
        <w:t xml:space="preserve">. Only the </w:t>
      </w:r>
      <w:proofErr w:type="spellStart"/>
      <w:r w:rsidRPr="00D647A9">
        <w:t>ceritinib</w:t>
      </w:r>
      <w:proofErr w:type="spellEnd"/>
      <w:r w:rsidRPr="00D647A9">
        <w:t xml:space="preserve"> arm of the trial was relevant to the submission.</w:t>
      </w:r>
    </w:p>
    <w:p w:rsidR="00C317F3" w:rsidRPr="00D647A9" w:rsidRDefault="00C317F3" w:rsidP="00BF5AAE">
      <w:pPr>
        <w:pStyle w:val="TableFooter"/>
        <w:widowControl/>
      </w:pPr>
      <w:r w:rsidRPr="00D647A9">
        <w:t>Source: compiled during the evaluation</w:t>
      </w:r>
      <w:r w:rsidR="00F6522F" w:rsidRPr="00D647A9">
        <w:t>.</w:t>
      </w:r>
    </w:p>
    <w:p w:rsidR="002B3EAD" w:rsidRPr="00863A4D" w:rsidRDefault="009E35AC" w:rsidP="00863A4D">
      <w:pPr>
        <w:pStyle w:val="ListParagraph"/>
        <w:numPr>
          <w:ilvl w:val="1"/>
          <w:numId w:val="4"/>
        </w:numPr>
        <w:spacing w:before="0" w:after="120"/>
      </w:pPr>
      <w:r w:rsidRPr="00863A4D">
        <w:t>The submission stated</w:t>
      </w:r>
      <w:r w:rsidR="002B3EAD" w:rsidRPr="00863A4D">
        <w:t xml:space="preserve"> that outcomes in all studies were assessed by both the investigator and a blinded independent review committee (IRC), and that the IRC in the </w:t>
      </w:r>
      <w:proofErr w:type="spellStart"/>
      <w:r w:rsidR="002B3EAD" w:rsidRPr="00863A4D">
        <w:t>alectinib</w:t>
      </w:r>
      <w:proofErr w:type="spellEnd"/>
      <w:r w:rsidR="002B3EAD" w:rsidRPr="00863A4D">
        <w:t xml:space="preserve"> studies did not have access to treatment arm information. It was not clear how blinding of the IRC was maintained given these were single-arm studies.</w:t>
      </w:r>
    </w:p>
    <w:p w:rsidR="00912CAE" w:rsidRPr="00863A4D" w:rsidRDefault="00912CAE" w:rsidP="00863A4D">
      <w:pPr>
        <w:pStyle w:val="ListParagraph"/>
        <w:numPr>
          <w:ilvl w:val="1"/>
          <w:numId w:val="4"/>
        </w:numPr>
        <w:spacing w:before="0" w:after="120"/>
      </w:pPr>
      <w:r w:rsidRPr="00863A4D">
        <w:t xml:space="preserve">All four studies enrolled patients with locally advanced or metastatic ALK-positive NSCLC, with Eastern Cooperative Oncology Group (ECOG) performance status of 0 to 2. All patients had previously received </w:t>
      </w:r>
      <w:proofErr w:type="spellStart"/>
      <w:r w:rsidRPr="00863A4D">
        <w:t>crizotinib</w:t>
      </w:r>
      <w:proofErr w:type="spellEnd"/>
      <w:r w:rsidR="00FA7C9C" w:rsidRPr="00863A4D">
        <w:t xml:space="preserve">, although only 91% of patients in ASCEND-1 had progressed on prior ALK inhibitor therapy. </w:t>
      </w:r>
      <w:r w:rsidRPr="00863A4D">
        <w:t xml:space="preserve">ASCEND-2 </w:t>
      </w:r>
      <w:r w:rsidR="00FA7C9C" w:rsidRPr="00863A4D">
        <w:t xml:space="preserve">also </w:t>
      </w:r>
      <w:r w:rsidRPr="00863A4D">
        <w:t>requir</w:t>
      </w:r>
      <w:r w:rsidR="00FA7C9C" w:rsidRPr="00863A4D">
        <w:t>ed</w:t>
      </w:r>
      <w:r w:rsidRPr="00863A4D">
        <w:t xml:space="preserve"> patients </w:t>
      </w:r>
      <w:r w:rsidR="009A091D" w:rsidRPr="00863A4D">
        <w:t>to</w:t>
      </w:r>
      <w:r w:rsidRPr="00863A4D">
        <w:t xml:space="preserve"> have received </w:t>
      </w:r>
      <w:r w:rsidR="00FA7C9C" w:rsidRPr="00863A4D">
        <w:t xml:space="preserve">prior treatment with </w:t>
      </w:r>
      <w:r w:rsidRPr="00863A4D">
        <w:t xml:space="preserve">at least one platinum-based chemotherapy regimen. In all four studies, patients with CNS metastases were only eligible if they </w:t>
      </w:r>
      <w:r w:rsidR="007B6968" w:rsidRPr="00863A4D">
        <w:t xml:space="preserve">were </w:t>
      </w:r>
      <w:r w:rsidRPr="00863A4D">
        <w:t xml:space="preserve">asymptomatic and </w:t>
      </w:r>
      <w:r w:rsidR="007B6968" w:rsidRPr="00863A4D">
        <w:t xml:space="preserve">had </w:t>
      </w:r>
      <w:r w:rsidRPr="00863A4D">
        <w:t>stable CNS disease.</w:t>
      </w:r>
    </w:p>
    <w:p w:rsidR="00BC4FDA" w:rsidRPr="00863A4D" w:rsidRDefault="005E26BC" w:rsidP="00863A4D">
      <w:pPr>
        <w:pStyle w:val="ListParagraph"/>
        <w:numPr>
          <w:ilvl w:val="1"/>
          <w:numId w:val="4"/>
        </w:numPr>
        <w:spacing w:before="0" w:after="120"/>
      </w:pPr>
      <w:r w:rsidRPr="00863A4D">
        <w:t xml:space="preserve">The </w:t>
      </w:r>
      <w:r w:rsidR="00667011" w:rsidRPr="00863A4D">
        <w:t xml:space="preserve">ESC noted that </w:t>
      </w:r>
      <w:r w:rsidR="00552B87" w:rsidRPr="00863A4D">
        <w:t xml:space="preserve">study </w:t>
      </w:r>
      <w:r w:rsidRPr="00863A4D">
        <w:t xml:space="preserve">populations were heavily pre-treated. </w:t>
      </w:r>
      <w:r w:rsidR="00E876D6" w:rsidRPr="00863A4D">
        <w:t xml:space="preserve">The majority of patients in both the </w:t>
      </w:r>
      <w:proofErr w:type="spellStart"/>
      <w:r w:rsidR="00E876D6" w:rsidRPr="00863A4D">
        <w:t>alectinib</w:t>
      </w:r>
      <w:proofErr w:type="spellEnd"/>
      <w:r w:rsidR="00E876D6" w:rsidRPr="00863A4D">
        <w:t xml:space="preserve"> and </w:t>
      </w:r>
      <w:proofErr w:type="spellStart"/>
      <w:r w:rsidR="00E876D6" w:rsidRPr="00863A4D">
        <w:t>ceritinib</w:t>
      </w:r>
      <w:proofErr w:type="spellEnd"/>
      <w:r w:rsidR="00E876D6" w:rsidRPr="00863A4D">
        <w:t xml:space="preserve"> studies had received prior chemotherapy in addition to </w:t>
      </w:r>
      <w:proofErr w:type="spellStart"/>
      <w:r w:rsidR="00E876D6" w:rsidRPr="00863A4D">
        <w:t>crizotinib</w:t>
      </w:r>
      <w:proofErr w:type="spellEnd"/>
      <w:r w:rsidR="00E876D6" w:rsidRPr="00863A4D">
        <w:t xml:space="preserve"> treatment (77% and 91%, respectively)</w:t>
      </w:r>
      <w:r w:rsidRPr="00863A4D">
        <w:t xml:space="preserve">, and approximately 55% of patients in both </w:t>
      </w:r>
      <w:r w:rsidR="00E876D6" w:rsidRPr="00863A4D">
        <w:t>sets of</w:t>
      </w:r>
      <w:r w:rsidRPr="00863A4D">
        <w:t xml:space="preserve"> studies had received three or more lines of therapy.</w:t>
      </w:r>
      <w:r w:rsidR="009A091D" w:rsidRPr="00863A4D">
        <w:t xml:space="preserve"> </w:t>
      </w:r>
      <w:r w:rsidR="005E4A4E" w:rsidRPr="00863A4D">
        <w:t xml:space="preserve">The PSCR (p5) </w:t>
      </w:r>
      <w:r w:rsidR="00E322F3" w:rsidRPr="00863A4D">
        <w:t xml:space="preserve">claimed that subgroup analyses of PFS by prior chemotherapy presented in the submission showed that </w:t>
      </w:r>
      <w:proofErr w:type="spellStart"/>
      <w:r w:rsidR="00E322F3" w:rsidRPr="00863A4D">
        <w:t>alectinib</w:t>
      </w:r>
      <w:proofErr w:type="spellEnd"/>
      <w:r w:rsidR="00E322F3" w:rsidRPr="00863A4D">
        <w:t xml:space="preserve"> achieved similar PFS outcomes regardless of whether patients had prior chemotherapy or not.</w:t>
      </w:r>
    </w:p>
    <w:p w:rsidR="00683BA2" w:rsidRPr="00863A4D" w:rsidRDefault="00683BA2" w:rsidP="00863A4D">
      <w:pPr>
        <w:pStyle w:val="ListParagraph"/>
        <w:numPr>
          <w:ilvl w:val="1"/>
          <w:numId w:val="4"/>
        </w:numPr>
        <w:spacing w:before="0" w:after="120"/>
        <w:rPr>
          <w:color w:val="000000" w:themeColor="text1"/>
        </w:rPr>
      </w:pPr>
      <w:r w:rsidRPr="00863A4D">
        <w:rPr>
          <w:color w:val="000000" w:themeColor="text1"/>
        </w:rPr>
        <w:t>In a naïve indirect comparison of single-arm studies, it is not possible to use the event rate in a common reference arm to assess and adjust for any imbalances in both observed and unobserved confounding factors that may exist, based on the assumption of a constant relative treatment effect across baseline risks. Furthermore, an unadjusted indirect comparison,</w:t>
      </w:r>
      <w:r w:rsidR="0057201C">
        <w:rPr>
          <w:color w:val="000000" w:themeColor="text1"/>
        </w:rPr>
        <w:t xml:space="preserve"> in which the results of single-</w:t>
      </w:r>
      <w:r w:rsidRPr="00863A4D">
        <w:rPr>
          <w:color w:val="000000" w:themeColor="text1"/>
        </w:rPr>
        <w:t xml:space="preserve">arm studies are compared as if they were from a single trial, does not take into account between study variation, </w:t>
      </w:r>
      <w:r w:rsidR="00DE0770">
        <w:rPr>
          <w:color w:val="000000" w:themeColor="text1"/>
        </w:rPr>
        <w:t xml:space="preserve">and so </w:t>
      </w:r>
      <w:r w:rsidRPr="00863A4D">
        <w:rPr>
          <w:color w:val="000000" w:themeColor="text1"/>
        </w:rPr>
        <w:t>the resulting confidence intervals will</w:t>
      </w:r>
      <w:r w:rsidRPr="00D647A9">
        <w:rPr>
          <w:color w:val="000000" w:themeColor="text1"/>
        </w:rPr>
        <w:t xml:space="preserve"> </w:t>
      </w:r>
      <w:r w:rsidRPr="00863A4D">
        <w:rPr>
          <w:color w:val="000000" w:themeColor="text1"/>
        </w:rPr>
        <w:t>underestimate the true extent of statistical uncertainty in the synthesised estimate of the comparative treatment effect.</w:t>
      </w:r>
      <w:r w:rsidRPr="00863A4D">
        <w:rPr>
          <w:rStyle w:val="FootnoteReference"/>
          <w:color w:val="000000" w:themeColor="text1"/>
        </w:rPr>
        <w:footnoteReference w:id="3"/>
      </w:r>
    </w:p>
    <w:p w:rsidR="00BC4FDA" w:rsidRPr="00863A4D" w:rsidRDefault="00BC4FDA" w:rsidP="00863A4D">
      <w:pPr>
        <w:pStyle w:val="ListParagraph"/>
        <w:numPr>
          <w:ilvl w:val="1"/>
          <w:numId w:val="4"/>
        </w:numPr>
        <w:spacing w:before="0" w:after="120"/>
      </w:pPr>
      <w:r w:rsidRPr="00863A4D">
        <w:t xml:space="preserve">The comparison of efficacy outcomes between the two sets of studies was potentially confounded by differences between the study populations in terms of the proportion of patients who had only received one prior </w:t>
      </w:r>
      <w:r w:rsidR="007B6968" w:rsidRPr="00863A4D">
        <w:t>anti-neoplas</w:t>
      </w:r>
      <w:r w:rsidR="00023C68" w:rsidRPr="00863A4D">
        <w:t>t</w:t>
      </w:r>
      <w:r w:rsidR="007B6968" w:rsidRPr="00863A4D">
        <w:t>ic</w:t>
      </w:r>
      <w:r w:rsidR="00875CAE" w:rsidRPr="00863A4D">
        <w:t xml:space="preserve"> </w:t>
      </w:r>
      <w:r w:rsidRPr="00863A4D">
        <w:t>therapy (</w:t>
      </w:r>
      <w:r w:rsidR="001C2F0E">
        <w:rPr>
          <w:noProof/>
          <w:color w:val="000000"/>
          <w:highlight w:val="black"/>
        </w:rPr>
        <w:t>'''''</w:t>
      </w:r>
      <w:r w:rsidRPr="00863A4D">
        <w:t xml:space="preserve">% in the </w:t>
      </w:r>
      <w:proofErr w:type="spellStart"/>
      <w:r w:rsidRPr="00863A4D">
        <w:t>alectinib</w:t>
      </w:r>
      <w:proofErr w:type="spellEnd"/>
      <w:r w:rsidRPr="00863A4D">
        <w:t xml:space="preserve"> studies </w:t>
      </w:r>
      <w:r w:rsidR="00925157" w:rsidRPr="00863A4D">
        <w:t>vs.</w:t>
      </w:r>
      <w:r w:rsidRPr="00863A4D">
        <w:t xml:space="preserve"> 9% in the </w:t>
      </w:r>
      <w:proofErr w:type="spellStart"/>
      <w:r w:rsidRPr="00863A4D">
        <w:t>ceritinib</w:t>
      </w:r>
      <w:proofErr w:type="spellEnd"/>
      <w:r w:rsidRPr="00863A4D">
        <w:t xml:space="preserve"> studies)</w:t>
      </w:r>
      <w:r w:rsidR="00A53D94" w:rsidRPr="00863A4D">
        <w:t xml:space="preserve">, potentially favouring </w:t>
      </w:r>
      <w:proofErr w:type="spellStart"/>
      <w:r w:rsidR="00A53D94" w:rsidRPr="00863A4D">
        <w:t>alectinib</w:t>
      </w:r>
      <w:proofErr w:type="spellEnd"/>
      <w:r w:rsidR="00A53D94" w:rsidRPr="00863A4D">
        <w:t>,</w:t>
      </w:r>
      <w:r w:rsidRPr="00863A4D">
        <w:t xml:space="preserve"> and the proportion of Asian patients (19% </w:t>
      </w:r>
      <w:r w:rsidR="00925157" w:rsidRPr="00863A4D">
        <w:t>vs.</w:t>
      </w:r>
      <w:r w:rsidRPr="00863A4D">
        <w:t xml:space="preserve"> 33% in the </w:t>
      </w:r>
      <w:proofErr w:type="spellStart"/>
      <w:r w:rsidRPr="00863A4D">
        <w:t>alectinib</w:t>
      </w:r>
      <w:proofErr w:type="spellEnd"/>
      <w:r w:rsidRPr="00863A4D">
        <w:t xml:space="preserve"> and </w:t>
      </w:r>
      <w:proofErr w:type="spellStart"/>
      <w:r w:rsidRPr="00863A4D">
        <w:t>ceritinib</w:t>
      </w:r>
      <w:proofErr w:type="spellEnd"/>
      <w:r w:rsidRPr="00863A4D">
        <w:t xml:space="preserve"> studies, respectively)</w:t>
      </w:r>
      <w:r w:rsidR="00A53D94" w:rsidRPr="00863A4D">
        <w:t xml:space="preserve">, potentially favouring </w:t>
      </w:r>
      <w:proofErr w:type="spellStart"/>
      <w:r w:rsidR="00A53D94" w:rsidRPr="00863A4D">
        <w:t>ceritinib</w:t>
      </w:r>
      <w:proofErr w:type="spellEnd"/>
      <w:r w:rsidRPr="00863A4D">
        <w:rPr>
          <w:rStyle w:val="FootnoteReference"/>
        </w:rPr>
        <w:footnoteReference w:id="4"/>
      </w:r>
      <w:r w:rsidRPr="00863A4D">
        <w:t>.</w:t>
      </w:r>
    </w:p>
    <w:p w:rsidR="00271261" w:rsidRPr="00863A4D" w:rsidRDefault="00271261" w:rsidP="00863A4D">
      <w:pPr>
        <w:pStyle w:val="ListParagraph"/>
        <w:numPr>
          <w:ilvl w:val="1"/>
          <w:numId w:val="4"/>
        </w:numPr>
        <w:spacing w:before="0" w:after="120"/>
      </w:pPr>
      <w:r w:rsidRPr="00863A4D">
        <w:t xml:space="preserve">There were insufficient comparable baseline characteristics reported across the studies to allow a full assessment of differences in factors that may affect the transitivity of the studies. In any comparison of single-arm studies, </w:t>
      </w:r>
      <w:r w:rsidRPr="00863A4D">
        <w:rPr>
          <w:iCs/>
        </w:rPr>
        <w:t>t</w:t>
      </w:r>
      <w:r w:rsidRPr="00863A4D">
        <w:t xml:space="preserve">here is also considerable potential for confounding due to imbalances in unobserved prognostic factors or treatment effect modifiers across the studies, or undocumented differences in study </w:t>
      </w:r>
      <w:r w:rsidR="00E70763" w:rsidRPr="00863A4D">
        <w:t>conduct.</w:t>
      </w:r>
    </w:p>
    <w:p w:rsidR="00652826" w:rsidRPr="00863A4D" w:rsidRDefault="00FB0CF1" w:rsidP="00863A4D">
      <w:pPr>
        <w:pStyle w:val="ListParagraph"/>
        <w:numPr>
          <w:ilvl w:val="1"/>
          <w:numId w:val="4"/>
        </w:numPr>
        <w:spacing w:before="0" w:after="120"/>
      </w:pPr>
      <w:r w:rsidRPr="00863A4D">
        <w:t xml:space="preserve">All four studies allowed treatment </w:t>
      </w:r>
      <w:r w:rsidR="00652826" w:rsidRPr="00863A4D">
        <w:t xml:space="preserve">with the study drug </w:t>
      </w:r>
      <w:r w:rsidRPr="00863A4D">
        <w:t xml:space="preserve">to be continued beyond progression </w:t>
      </w:r>
      <w:r w:rsidR="00930852" w:rsidRPr="00863A4D">
        <w:t xml:space="preserve">in </w:t>
      </w:r>
      <w:r w:rsidR="002B3EAD" w:rsidRPr="00863A4D">
        <w:t xml:space="preserve">patients who </w:t>
      </w:r>
      <w:r w:rsidR="00930852" w:rsidRPr="00863A4D">
        <w:t>were still experiencing</w:t>
      </w:r>
      <w:r w:rsidR="002B3EAD" w:rsidRPr="00863A4D">
        <w:t xml:space="preserve"> clinical benefit, as determined by the investigator. Details of </w:t>
      </w:r>
      <w:r w:rsidR="00F234C5" w:rsidRPr="00863A4D">
        <w:t xml:space="preserve">the </w:t>
      </w:r>
      <w:r w:rsidR="002B3EAD" w:rsidRPr="00863A4D">
        <w:t xml:space="preserve">extent of use of </w:t>
      </w:r>
      <w:r w:rsidR="007B6968" w:rsidRPr="00863A4D">
        <w:t xml:space="preserve">the </w:t>
      </w:r>
      <w:r w:rsidR="002B3EAD" w:rsidRPr="00863A4D">
        <w:t xml:space="preserve">study </w:t>
      </w:r>
      <w:r w:rsidR="0001366D" w:rsidRPr="00863A4D">
        <w:t xml:space="preserve">drug </w:t>
      </w:r>
      <w:r w:rsidR="002B3EAD" w:rsidRPr="00863A4D">
        <w:t>beyond progression could only be located for ASCEND-1.</w:t>
      </w:r>
    </w:p>
    <w:p w:rsidR="002B3EAD" w:rsidRPr="00863A4D" w:rsidRDefault="00652826" w:rsidP="00863A4D">
      <w:pPr>
        <w:pStyle w:val="ListParagraph"/>
        <w:numPr>
          <w:ilvl w:val="1"/>
          <w:numId w:val="4"/>
        </w:numPr>
        <w:spacing w:before="0" w:after="120"/>
      </w:pPr>
      <w:r w:rsidRPr="00863A4D">
        <w:t xml:space="preserve">The study report for MO39246 reported that </w:t>
      </w:r>
      <w:r w:rsidR="001C2F0E">
        <w:rPr>
          <w:noProof/>
          <w:color w:val="000000"/>
          <w:highlight w:val="black"/>
        </w:rPr>
        <w:t>''''''''''''''</w:t>
      </w:r>
      <w:r w:rsidRPr="00863A4D">
        <w:t xml:space="preserve"> (</w:t>
      </w:r>
      <w:r w:rsidR="001C2F0E">
        <w:rPr>
          <w:noProof/>
          <w:color w:val="000000"/>
          <w:highlight w:val="black"/>
        </w:rPr>
        <w:t>'''''</w:t>
      </w:r>
      <w:r w:rsidRPr="00863A4D">
        <w:t xml:space="preserve">%) patients in NP28761 and NP28673 received </w:t>
      </w:r>
      <w:proofErr w:type="spellStart"/>
      <w:r w:rsidRPr="00863A4D">
        <w:t>ceritinib</w:t>
      </w:r>
      <w:proofErr w:type="spellEnd"/>
      <w:r w:rsidRPr="00863A4D">
        <w:t xml:space="preserve"> in subsequent follow-up. Limited information was provided regarding anti-neoplastic therapies received after discontinuation of</w:t>
      </w:r>
      <w:r w:rsidR="0001366D" w:rsidRPr="00863A4D">
        <w:t xml:space="preserve"> the</w:t>
      </w:r>
      <w:r w:rsidRPr="00863A4D">
        <w:t xml:space="preserve"> study drug in the </w:t>
      </w:r>
      <w:proofErr w:type="spellStart"/>
      <w:r w:rsidRPr="00863A4D">
        <w:t>ceritinib</w:t>
      </w:r>
      <w:proofErr w:type="spellEnd"/>
      <w:r w:rsidRPr="00863A4D">
        <w:t xml:space="preserve"> studies</w:t>
      </w:r>
      <w:r w:rsidR="00CA3B69" w:rsidRPr="00863A4D">
        <w:t xml:space="preserve">, although no patients in ASCEND-1 received </w:t>
      </w:r>
      <w:proofErr w:type="spellStart"/>
      <w:r w:rsidR="00CA3B69" w:rsidRPr="00863A4D">
        <w:t>alectinib</w:t>
      </w:r>
      <w:proofErr w:type="spellEnd"/>
      <w:r w:rsidR="00CA3B69" w:rsidRPr="00863A4D">
        <w:t xml:space="preserve"> within 28 days of discontinuing </w:t>
      </w:r>
      <w:proofErr w:type="spellStart"/>
      <w:r w:rsidR="00CA3B69" w:rsidRPr="00863A4D">
        <w:t>ceritinib</w:t>
      </w:r>
      <w:proofErr w:type="spellEnd"/>
      <w:r w:rsidRPr="00863A4D">
        <w:t>.</w:t>
      </w:r>
    </w:p>
    <w:p w:rsidR="007B6968" w:rsidRPr="00863A4D" w:rsidRDefault="007B6968" w:rsidP="00863A4D">
      <w:pPr>
        <w:pStyle w:val="ListParagraph"/>
        <w:numPr>
          <w:ilvl w:val="1"/>
          <w:numId w:val="4"/>
        </w:numPr>
        <w:spacing w:before="0" w:after="120"/>
      </w:pPr>
      <w:r w:rsidRPr="00863A4D">
        <w:t>In NP28761 and NP28673, the primary efficacy outcome was the objective response rate (ORR) in the response evaluable (RE) population</w:t>
      </w:r>
      <w:r w:rsidRPr="00863A4D">
        <w:rPr>
          <w:rStyle w:val="FootnoteReference"/>
        </w:rPr>
        <w:footnoteReference w:id="5"/>
      </w:r>
      <w:r w:rsidRPr="00863A4D">
        <w:t xml:space="preserve">, as assessed by the IRC. </w:t>
      </w:r>
      <w:r w:rsidR="0026319F" w:rsidRPr="00863A4D">
        <w:t xml:space="preserve">On </w:t>
      </w:r>
      <w:r w:rsidR="00887CC5" w:rsidRPr="00863A4D">
        <w:t>review of</w:t>
      </w:r>
      <w:r w:rsidR="0026319F" w:rsidRPr="00863A4D">
        <w:t xml:space="preserve"> </w:t>
      </w:r>
      <w:r w:rsidR="00887CC5" w:rsidRPr="00863A4D">
        <w:t>all radiographs</w:t>
      </w:r>
      <w:r w:rsidR="0026319F" w:rsidRPr="00863A4D">
        <w:t>, t</w:t>
      </w:r>
      <w:r w:rsidRPr="00863A4D">
        <w:t xml:space="preserve">he IRC </w:t>
      </w:r>
      <w:r w:rsidR="001910A3" w:rsidRPr="00863A4D">
        <w:t>excluded 20/87 (23.0%) patients in NP28761 and 16/138 (11.6%) patients in NP28673 from the RE population</w:t>
      </w:r>
      <w:r w:rsidRPr="00863A4D">
        <w:t xml:space="preserve">, as they were not considered </w:t>
      </w:r>
      <w:r w:rsidR="00C7101F" w:rsidRPr="00863A4D">
        <w:t xml:space="preserve">by the IRC </w:t>
      </w:r>
      <w:r w:rsidRPr="00863A4D">
        <w:t xml:space="preserve">to have measurable disease at baseline. In contrast, the analysis of ORR in the </w:t>
      </w:r>
      <w:proofErr w:type="spellStart"/>
      <w:r w:rsidRPr="00863A4D">
        <w:t>ceritinib</w:t>
      </w:r>
      <w:proofErr w:type="spellEnd"/>
      <w:r w:rsidRPr="00863A4D">
        <w:t xml:space="preserve"> studies (assessed by the IRC) was based on the full analysis set (FAS), which included all patients who received at leas</w:t>
      </w:r>
      <w:r w:rsidR="00E70763" w:rsidRPr="00863A4D">
        <w:t xml:space="preserve">t one 750 mg dose of </w:t>
      </w:r>
      <w:proofErr w:type="spellStart"/>
      <w:r w:rsidR="00E70763" w:rsidRPr="00863A4D">
        <w:t>ceritinib</w:t>
      </w:r>
      <w:proofErr w:type="spellEnd"/>
      <w:r w:rsidR="00E70763" w:rsidRPr="00863A4D">
        <w:t>.</w:t>
      </w:r>
    </w:p>
    <w:p w:rsidR="00AA0532" w:rsidRPr="00863A4D" w:rsidRDefault="00AA0532" w:rsidP="00863A4D">
      <w:pPr>
        <w:pStyle w:val="ListParagraph"/>
        <w:numPr>
          <w:ilvl w:val="1"/>
          <w:numId w:val="4"/>
        </w:numPr>
        <w:spacing w:before="0" w:after="120"/>
      </w:pPr>
      <w:r w:rsidRPr="00863A4D">
        <w:t xml:space="preserve">Comparing the ORR results in the </w:t>
      </w:r>
      <w:r w:rsidR="007F5BC2" w:rsidRPr="00863A4D">
        <w:t xml:space="preserve">IRC </w:t>
      </w:r>
      <w:r w:rsidRPr="00863A4D">
        <w:t xml:space="preserve">RE population from the </w:t>
      </w:r>
      <w:proofErr w:type="spellStart"/>
      <w:r w:rsidRPr="00863A4D">
        <w:t>alectinib</w:t>
      </w:r>
      <w:proofErr w:type="spellEnd"/>
      <w:r w:rsidRPr="00863A4D">
        <w:t xml:space="preserve"> studies with those in the FAS from the </w:t>
      </w:r>
      <w:proofErr w:type="spellStart"/>
      <w:r w:rsidRPr="00863A4D">
        <w:t>ceritinib</w:t>
      </w:r>
      <w:proofErr w:type="spellEnd"/>
      <w:r w:rsidRPr="00863A4D">
        <w:t xml:space="preserve"> studies, as presented in the submission, biased the comparison in favour of </w:t>
      </w:r>
      <w:proofErr w:type="spellStart"/>
      <w:r w:rsidRPr="00863A4D">
        <w:t>alectinib</w:t>
      </w:r>
      <w:proofErr w:type="spellEnd"/>
      <w:r w:rsidR="007B6968" w:rsidRPr="00863A4D">
        <w:t xml:space="preserve">, as patients without measurable disease at baseline in the </w:t>
      </w:r>
      <w:proofErr w:type="spellStart"/>
      <w:r w:rsidR="007B6968" w:rsidRPr="00863A4D">
        <w:t>ceritinib</w:t>
      </w:r>
      <w:proofErr w:type="spellEnd"/>
      <w:r w:rsidR="007B6968" w:rsidRPr="00863A4D">
        <w:t xml:space="preserve"> studies were </w:t>
      </w:r>
      <w:r w:rsidR="002851E0" w:rsidRPr="00863A4D">
        <w:t xml:space="preserve">imputed </w:t>
      </w:r>
      <w:r w:rsidR="007B6968" w:rsidRPr="00863A4D">
        <w:t xml:space="preserve">as treatment failures, while they were excluded from the </w:t>
      </w:r>
      <w:r w:rsidR="00016C50" w:rsidRPr="00863A4D">
        <w:t xml:space="preserve">RE </w:t>
      </w:r>
      <w:r w:rsidR="007B6968" w:rsidRPr="00863A4D">
        <w:t xml:space="preserve">analysis in the </w:t>
      </w:r>
      <w:proofErr w:type="spellStart"/>
      <w:r w:rsidR="007B6968" w:rsidRPr="00863A4D">
        <w:t>alectinib</w:t>
      </w:r>
      <w:proofErr w:type="spellEnd"/>
      <w:r w:rsidR="007B6968" w:rsidRPr="00863A4D">
        <w:t xml:space="preserve"> studies</w:t>
      </w:r>
      <w:r w:rsidRPr="00863A4D">
        <w:t xml:space="preserve">. During the evaluation, the IRC assessed ORR results </w:t>
      </w:r>
      <w:r w:rsidR="00A122B2" w:rsidRPr="00863A4D">
        <w:t xml:space="preserve">for </w:t>
      </w:r>
      <w:proofErr w:type="spellStart"/>
      <w:r w:rsidR="00A122B2" w:rsidRPr="00863A4D">
        <w:t>alectinib</w:t>
      </w:r>
      <w:proofErr w:type="spellEnd"/>
      <w:r w:rsidR="00A122B2" w:rsidRPr="00863A4D">
        <w:t xml:space="preserve"> </w:t>
      </w:r>
      <w:r w:rsidRPr="00863A4D">
        <w:t xml:space="preserve">were recalculated </w:t>
      </w:r>
      <w:r w:rsidR="00A122B2" w:rsidRPr="00863A4D">
        <w:t>based on</w:t>
      </w:r>
      <w:r w:rsidRPr="00863A4D">
        <w:t xml:space="preserve"> the FAS.</w:t>
      </w:r>
    </w:p>
    <w:p w:rsidR="00027902" w:rsidRPr="00863A4D" w:rsidRDefault="00780A48" w:rsidP="00863A4D">
      <w:pPr>
        <w:pStyle w:val="ListParagraph"/>
        <w:numPr>
          <w:ilvl w:val="1"/>
          <w:numId w:val="4"/>
        </w:numPr>
        <w:spacing w:before="0" w:after="120"/>
      </w:pPr>
      <w:r w:rsidRPr="00863A4D">
        <w:t>The PSCR (p5) presented the investigator</w:t>
      </w:r>
      <w:r w:rsidR="00DE0770">
        <w:t xml:space="preserve"> </w:t>
      </w:r>
      <w:r w:rsidRPr="00863A4D">
        <w:t>assessed PFS</w:t>
      </w:r>
      <w:r w:rsidR="00862348" w:rsidRPr="00863A4D">
        <w:t xml:space="preserve"> </w:t>
      </w:r>
      <w:r w:rsidRPr="00863A4D">
        <w:t>results for the open</w:t>
      </w:r>
      <w:r w:rsidR="00E70763" w:rsidRPr="00863A4D">
        <w:t>-</w:t>
      </w:r>
      <w:r w:rsidRPr="00863A4D">
        <w:t xml:space="preserve">label phase III ALUR trial comparing </w:t>
      </w:r>
      <w:proofErr w:type="spellStart"/>
      <w:r w:rsidRPr="00863A4D">
        <w:t>alectinib</w:t>
      </w:r>
      <w:proofErr w:type="spellEnd"/>
      <w:r w:rsidRPr="00863A4D">
        <w:t xml:space="preserve"> with chemotherapy in patients with ALK-positive locally advanced or metastatic NSCLC who had previously been treated with platinum-based chemotherapy and </w:t>
      </w:r>
      <w:proofErr w:type="spellStart"/>
      <w:r w:rsidRPr="00863A4D">
        <w:t>crizotinib</w:t>
      </w:r>
      <w:proofErr w:type="spellEnd"/>
      <w:r w:rsidRPr="00863A4D">
        <w:t xml:space="preserve">. </w:t>
      </w:r>
      <w:r w:rsidR="0010011F" w:rsidRPr="00863A4D">
        <w:t xml:space="preserve">The PSCR (p5) presented an indirect comparison of </w:t>
      </w:r>
      <w:proofErr w:type="spellStart"/>
      <w:r w:rsidR="0010011F" w:rsidRPr="00863A4D">
        <w:t>alectinib</w:t>
      </w:r>
      <w:proofErr w:type="spellEnd"/>
      <w:r w:rsidR="0010011F" w:rsidRPr="00863A4D">
        <w:t xml:space="preserve"> versus </w:t>
      </w:r>
      <w:proofErr w:type="spellStart"/>
      <w:r w:rsidR="0010011F" w:rsidRPr="00863A4D">
        <w:t>ceritinib</w:t>
      </w:r>
      <w:proofErr w:type="spellEnd"/>
      <w:r w:rsidR="0010011F" w:rsidRPr="00863A4D">
        <w:t xml:space="preserve"> with </w:t>
      </w:r>
      <w:r w:rsidRPr="00863A4D">
        <w:t xml:space="preserve">platinum-based </w:t>
      </w:r>
      <w:r w:rsidR="0010011F" w:rsidRPr="00863A4D">
        <w:t>chemotherapy as a common reference</w:t>
      </w:r>
      <w:r w:rsidR="00A71CC7" w:rsidRPr="00863A4D">
        <w:t>,</w:t>
      </w:r>
      <w:r w:rsidR="00F4083A" w:rsidRPr="00863A4D">
        <w:t xml:space="preserve"> </w:t>
      </w:r>
      <w:r w:rsidRPr="00863A4D">
        <w:t>based on the outcome of investigator</w:t>
      </w:r>
      <w:r w:rsidR="00DE0770">
        <w:t xml:space="preserve"> </w:t>
      </w:r>
      <w:r w:rsidRPr="00863A4D">
        <w:t>assessed PFS fr</w:t>
      </w:r>
      <w:r w:rsidR="00862348" w:rsidRPr="00863A4D">
        <w:t>om the ALUR and ASCEND-5 trials</w:t>
      </w:r>
      <w:r w:rsidR="00A71CC7" w:rsidRPr="00863A4D">
        <w:t>,</w:t>
      </w:r>
      <w:r w:rsidR="00862348" w:rsidRPr="00863A4D">
        <w:t xml:space="preserve"> and claimed that </w:t>
      </w:r>
      <w:proofErr w:type="spellStart"/>
      <w:r w:rsidR="00862348" w:rsidRPr="00863A4D">
        <w:t>alectinib</w:t>
      </w:r>
      <w:proofErr w:type="spellEnd"/>
      <w:r w:rsidR="00862348" w:rsidRPr="00863A4D">
        <w:t xml:space="preserve"> significantly reduced the risk of progression relative to </w:t>
      </w:r>
      <w:proofErr w:type="spellStart"/>
      <w:r w:rsidR="00862348" w:rsidRPr="00863A4D">
        <w:t>ceritinib</w:t>
      </w:r>
      <w:proofErr w:type="spellEnd"/>
      <w:r w:rsidR="00862348" w:rsidRPr="00863A4D">
        <w:t xml:space="preserve">. </w:t>
      </w:r>
      <w:r w:rsidR="00BE66CE" w:rsidRPr="00863A4D">
        <w:t>T</w:t>
      </w:r>
      <w:r w:rsidR="00643BAF" w:rsidRPr="00863A4D">
        <w:t xml:space="preserve">he PSCR claimed that the </w:t>
      </w:r>
      <w:r w:rsidR="00BE66CE" w:rsidRPr="00863A4D">
        <w:t xml:space="preserve">results </w:t>
      </w:r>
      <w:r w:rsidR="00643BAF" w:rsidRPr="00863A4D">
        <w:t>w</w:t>
      </w:r>
      <w:r w:rsidR="00BE66CE" w:rsidRPr="00863A4D">
        <w:t>ere</w:t>
      </w:r>
      <w:r w:rsidR="00643BAF" w:rsidRPr="00863A4D">
        <w:t xml:space="preserve"> in favour of</w:t>
      </w:r>
      <w:r w:rsidR="00A05169" w:rsidRPr="00863A4D">
        <w:t xml:space="preserve"> </w:t>
      </w:r>
      <w:proofErr w:type="spellStart"/>
      <w:r w:rsidR="00A05169" w:rsidRPr="00863A4D">
        <w:t>alectinib</w:t>
      </w:r>
      <w:proofErr w:type="spellEnd"/>
      <w:r w:rsidR="00BE66CE" w:rsidRPr="00863A4D">
        <w:t xml:space="preserve">. The ESC did not consider </w:t>
      </w:r>
      <w:r w:rsidR="00643BAF" w:rsidRPr="00863A4D">
        <w:t>these</w:t>
      </w:r>
      <w:r w:rsidR="00A05169" w:rsidRPr="00863A4D">
        <w:t xml:space="preserve"> </w:t>
      </w:r>
      <w:r w:rsidR="00643BAF" w:rsidRPr="00863A4D">
        <w:t xml:space="preserve">results </w:t>
      </w:r>
      <w:r w:rsidR="00BE66CE" w:rsidRPr="00863A4D">
        <w:t>as part of its</w:t>
      </w:r>
      <w:r w:rsidR="00643BAF" w:rsidRPr="00863A4D">
        <w:t xml:space="preserve"> deliberations on the effectiveness of </w:t>
      </w:r>
      <w:proofErr w:type="spellStart"/>
      <w:r w:rsidR="00643BAF" w:rsidRPr="00863A4D">
        <w:t>alectinib</w:t>
      </w:r>
      <w:proofErr w:type="spellEnd"/>
      <w:r w:rsidR="00643BAF" w:rsidRPr="00863A4D">
        <w:t xml:space="preserve"> as they </w:t>
      </w:r>
      <w:r w:rsidR="00A05169" w:rsidRPr="00863A4D">
        <w:t xml:space="preserve">had not been </w:t>
      </w:r>
      <w:r w:rsidR="00E70763" w:rsidRPr="00863A4D">
        <w:t>independently</w:t>
      </w:r>
      <w:r w:rsidR="00643BAF" w:rsidRPr="00863A4D">
        <w:t xml:space="preserve"> </w:t>
      </w:r>
      <w:r w:rsidR="00A05169" w:rsidRPr="00863A4D">
        <w:t>evaluated</w:t>
      </w:r>
      <w:r w:rsidR="00643BAF" w:rsidRPr="00863A4D">
        <w:t>.</w:t>
      </w:r>
    </w:p>
    <w:p w:rsidR="00585FAA" w:rsidRDefault="00BD288C" w:rsidP="00A10E8D">
      <w:pPr>
        <w:pStyle w:val="ListParagraph"/>
        <w:numPr>
          <w:ilvl w:val="1"/>
          <w:numId w:val="4"/>
        </w:numPr>
        <w:spacing w:before="0" w:after="120"/>
      </w:pPr>
      <w:r>
        <w:t>The ESC noted that the PSCR (p</w:t>
      </w:r>
      <w:r w:rsidR="00A71628" w:rsidRPr="00863A4D">
        <w:t xml:space="preserve">2) presented the preliminary results for the investigator assessed </w:t>
      </w:r>
      <w:r w:rsidR="00BE66CE" w:rsidRPr="00863A4D">
        <w:t>PFS</w:t>
      </w:r>
      <w:r w:rsidR="00A71628" w:rsidRPr="00863A4D">
        <w:t xml:space="preserve"> from the ALEX trial comparing </w:t>
      </w:r>
      <w:proofErr w:type="spellStart"/>
      <w:r w:rsidR="00A71628" w:rsidRPr="00863A4D">
        <w:t>alectinib</w:t>
      </w:r>
      <w:proofErr w:type="spellEnd"/>
      <w:r w:rsidR="00A71628" w:rsidRPr="00863A4D">
        <w:t xml:space="preserve"> versus </w:t>
      </w:r>
      <w:proofErr w:type="spellStart"/>
      <w:r w:rsidR="00A71628" w:rsidRPr="00863A4D">
        <w:t>crizotinib</w:t>
      </w:r>
      <w:proofErr w:type="spellEnd"/>
      <w:r w:rsidR="00A71628" w:rsidRPr="00863A4D">
        <w:t xml:space="preserve"> in treatment</w:t>
      </w:r>
      <w:r w:rsidR="007164BB" w:rsidRPr="00863A4D">
        <w:t>-</w:t>
      </w:r>
      <w:r w:rsidR="00A71628" w:rsidRPr="00863A4D">
        <w:t>naïve patients with ALK-positive advanced NSCLC</w:t>
      </w:r>
      <w:r w:rsidR="00623927" w:rsidRPr="00863A4D">
        <w:t>.</w:t>
      </w:r>
      <w:r w:rsidR="00AE76D6">
        <w:t xml:space="preserve"> </w:t>
      </w:r>
      <w:r w:rsidR="00BE66CE" w:rsidRPr="00863A4D">
        <w:t>T</w:t>
      </w:r>
      <w:r w:rsidR="00A71628" w:rsidRPr="00863A4D">
        <w:t xml:space="preserve">hese data were not considered in the </w:t>
      </w:r>
      <w:r w:rsidR="007164BB" w:rsidRPr="00863A4D">
        <w:t>ESC</w:t>
      </w:r>
      <w:r w:rsidR="00A71628" w:rsidRPr="00863A4D">
        <w:t xml:space="preserve">’s deliberations as they </w:t>
      </w:r>
      <w:r w:rsidR="00BE66CE" w:rsidRPr="00863A4D">
        <w:t xml:space="preserve">had </w:t>
      </w:r>
      <w:r w:rsidR="00A71628" w:rsidRPr="00863A4D">
        <w:t>not</w:t>
      </w:r>
      <w:r w:rsidR="00BE66CE" w:rsidRPr="00863A4D">
        <w:t xml:space="preserve"> been</w:t>
      </w:r>
      <w:r w:rsidR="00A71628" w:rsidRPr="00863A4D">
        <w:t xml:space="preserve"> </w:t>
      </w:r>
      <w:r w:rsidR="007164BB" w:rsidRPr="00863A4D">
        <w:t>independently</w:t>
      </w:r>
      <w:r w:rsidR="00A71628" w:rsidRPr="00863A4D">
        <w:t xml:space="preserve"> evaluated.</w:t>
      </w:r>
    </w:p>
    <w:p w:rsidR="00AE76D6" w:rsidRPr="00863A4D" w:rsidRDefault="00BD288C" w:rsidP="004C7025">
      <w:pPr>
        <w:pStyle w:val="ListParagraph"/>
        <w:numPr>
          <w:ilvl w:val="1"/>
          <w:numId w:val="4"/>
        </w:numPr>
        <w:spacing w:before="0" w:after="120"/>
      </w:pPr>
      <w:r>
        <w:t>The pre-PBAC response (p</w:t>
      </w:r>
      <w:r w:rsidR="004C7025">
        <w:t>1-2) claimed that</w:t>
      </w:r>
      <w:r w:rsidR="004C7025" w:rsidRPr="00AE76D6">
        <w:t xml:space="preserve"> d</w:t>
      </w:r>
      <w:r w:rsidR="004C7025">
        <w:t>ata from the phase 3 ALUR study</w:t>
      </w:r>
      <w:r w:rsidR="004C7025" w:rsidRPr="00AE76D6">
        <w:t xml:space="preserve"> </w:t>
      </w:r>
      <w:r w:rsidR="004C7025">
        <w:t>indicated</w:t>
      </w:r>
      <w:r w:rsidR="004C7025" w:rsidRPr="00AE76D6">
        <w:t xml:space="preserve"> that </w:t>
      </w:r>
      <w:proofErr w:type="spellStart"/>
      <w:r w:rsidR="004C7025" w:rsidRPr="00AE76D6">
        <w:t>alectinib</w:t>
      </w:r>
      <w:proofErr w:type="spellEnd"/>
      <w:r w:rsidR="004C7025" w:rsidRPr="00AE76D6">
        <w:t xml:space="preserve"> </w:t>
      </w:r>
      <w:r w:rsidR="004C7025">
        <w:t>wa</w:t>
      </w:r>
      <w:r w:rsidR="004C7025" w:rsidRPr="00AE76D6">
        <w:t xml:space="preserve">s superior to chemotherapy in terms of PFS. </w:t>
      </w:r>
      <w:r w:rsidR="004C7025">
        <w:t xml:space="preserve">The pre-PBAC response further claimed that </w:t>
      </w:r>
      <w:proofErr w:type="spellStart"/>
      <w:r w:rsidR="004C7025">
        <w:t>a</w:t>
      </w:r>
      <w:r w:rsidR="004C7025" w:rsidRPr="00AE76D6">
        <w:t>lectinib’s</w:t>
      </w:r>
      <w:proofErr w:type="spellEnd"/>
      <w:r w:rsidR="004C7025" w:rsidRPr="00AE76D6">
        <w:t xml:space="preserve"> s</w:t>
      </w:r>
      <w:r w:rsidR="004C7025">
        <w:t>afety and tolerability profile wa</w:t>
      </w:r>
      <w:r w:rsidR="004C7025" w:rsidRPr="00AE76D6">
        <w:t>s consistent with the phase 2 trials</w:t>
      </w:r>
      <w:r w:rsidR="00A10E8D">
        <w:t>,</w:t>
      </w:r>
      <w:r w:rsidR="004C7025" w:rsidRPr="00AE76D6">
        <w:t xml:space="preserve"> and </w:t>
      </w:r>
      <w:r w:rsidR="00A10E8D">
        <w:t xml:space="preserve">that it was </w:t>
      </w:r>
      <w:r w:rsidR="004C7025" w:rsidRPr="00AE76D6">
        <w:t>superior to chemotherapy</w:t>
      </w:r>
      <w:r w:rsidR="00A10E8D">
        <w:t xml:space="preserve"> in relation to comparative safety</w:t>
      </w:r>
      <w:r w:rsidR="004C7025">
        <w:t>.</w:t>
      </w:r>
      <w:r w:rsidR="004C7025" w:rsidRPr="009E4202">
        <w:t xml:space="preserve"> </w:t>
      </w:r>
      <w:r w:rsidR="00AE76D6">
        <w:t>The pr</w:t>
      </w:r>
      <w:r>
        <w:t>e-PBAC response (p</w:t>
      </w:r>
      <w:r w:rsidR="00AE76D6" w:rsidRPr="00AE76D6">
        <w:t xml:space="preserve">1) presented </w:t>
      </w:r>
      <w:r w:rsidR="00AE76D6">
        <w:t xml:space="preserve">further </w:t>
      </w:r>
      <w:r w:rsidR="00AE76D6" w:rsidRPr="00AE76D6">
        <w:t xml:space="preserve">results for the investigator assessed PFS </w:t>
      </w:r>
      <w:r w:rsidR="00AE76D6">
        <w:t xml:space="preserve">and the OS (ITT) </w:t>
      </w:r>
      <w:r w:rsidR="00AE76D6" w:rsidRPr="00AE76D6">
        <w:t>from the ALEX trial</w:t>
      </w:r>
      <w:r w:rsidR="004C7025">
        <w:t xml:space="preserve"> as well</w:t>
      </w:r>
      <w:r w:rsidR="00AE76D6">
        <w:t>.</w:t>
      </w:r>
      <w:r w:rsidR="00AE76D6" w:rsidRPr="00AE76D6">
        <w:t xml:space="preserve"> However, these data were not considered in the PBAC’s deliberations as they had not been independently evaluated.</w:t>
      </w:r>
    </w:p>
    <w:p w:rsidR="00C317F3" w:rsidRPr="00D647A9" w:rsidRDefault="00C317F3" w:rsidP="00BF5AAE">
      <w:pPr>
        <w:pStyle w:val="Heading2"/>
      </w:pPr>
      <w:bookmarkStart w:id="14" w:name="_Toc413139278"/>
      <w:bookmarkStart w:id="15" w:name="_Toc482699439"/>
      <w:r w:rsidRPr="00D647A9">
        <w:t>Comparative effectiveness</w:t>
      </w:r>
      <w:bookmarkEnd w:id="14"/>
      <w:bookmarkEnd w:id="15"/>
    </w:p>
    <w:p w:rsidR="00850FF0" w:rsidRPr="00D647A9" w:rsidRDefault="009B61B0" w:rsidP="00863A4D">
      <w:pPr>
        <w:pStyle w:val="ListParagraph"/>
        <w:numPr>
          <w:ilvl w:val="1"/>
          <w:numId w:val="4"/>
        </w:numPr>
        <w:spacing w:before="0" w:after="120"/>
      </w:pPr>
      <w:r w:rsidRPr="00D647A9">
        <w:t>Table 4</w:t>
      </w:r>
      <w:r w:rsidR="00850FF0" w:rsidRPr="00D647A9">
        <w:t xml:space="preserve"> summarises the median PFS and median </w:t>
      </w:r>
      <w:r w:rsidR="00AA6814" w:rsidRPr="00D647A9">
        <w:t>overall survival (</w:t>
      </w:r>
      <w:r w:rsidR="00850FF0" w:rsidRPr="00D647A9">
        <w:t>OS</w:t>
      </w:r>
      <w:r w:rsidR="00AA6814" w:rsidRPr="00D647A9">
        <w:t>)</w:t>
      </w:r>
      <w:r w:rsidR="00850FF0" w:rsidRPr="00D647A9">
        <w:t xml:space="preserve"> across the single-arm studies</w:t>
      </w:r>
      <w:r w:rsidR="008B69CB" w:rsidRPr="00D647A9">
        <w:t xml:space="preserve"> and the </w:t>
      </w:r>
      <w:proofErr w:type="spellStart"/>
      <w:r w:rsidR="008B69CB" w:rsidRPr="00D647A9">
        <w:t>ceritinib</w:t>
      </w:r>
      <w:proofErr w:type="spellEnd"/>
      <w:r w:rsidR="008B69CB" w:rsidRPr="00D647A9">
        <w:t xml:space="preserve"> arm of ASCEND-5</w:t>
      </w:r>
      <w:r w:rsidR="007164BB">
        <w:t>.</w:t>
      </w:r>
    </w:p>
    <w:p w:rsidR="00A074BD" w:rsidRDefault="00A074BD" w:rsidP="00A074BD">
      <w:pPr>
        <w:pStyle w:val="Caption"/>
      </w:pPr>
      <w:r>
        <w:t xml:space="preserve">Table </w:t>
      </w:r>
      <w:r>
        <w:rPr>
          <w:noProof/>
        </w:rPr>
        <w:t>4</w:t>
      </w:r>
      <w:r w:rsidRPr="009D7F2A">
        <w:t xml:space="preserve">: Median PFS and OS across the single-arm studies and the </w:t>
      </w:r>
      <w:proofErr w:type="spellStart"/>
      <w:r w:rsidRPr="009D7F2A">
        <w:t>ceritinib</w:t>
      </w:r>
      <w:proofErr w:type="spellEnd"/>
      <w:r w:rsidRPr="009D7F2A">
        <w:t xml:space="preserve"> arm of ASCEND-5 (FAS)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1196"/>
        <w:gridCol w:w="1144"/>
        <w:gridCol w:w="1248"/>
        <w:gridCol w:w="1135"/>
        <w:gridCol w:w="1139"/>
        <w:gridCol w:w="1251"/>
      </w:tblGrid>
      <w:tr w:rsidR="004C73F6" w:rsidRPr="00D647A9" w:rsidTr="009465BD">
        <w:trPr>
          <w:tblHeader/>
        </w:trPr>
        <w:tc>
          <w:tcPr>
            <w:tcW w:w="1152" w:type="pct"/>
            <w:vMerge w:val="restart"/>
            <w:shd w:val="clear" w:color="auto" w:fill="F2F2F2" w:themeFill="background1" w:themeFillShade="F2"/>
            <w:vAlign w:val="center"/>
          </w:tcPr>
          <w:p w:rsidR="004C73F6" w:rsidRPr="00D647A9" w:rsidRDefault="004C73F6" w:rsidP="00BF5AAE">
            <w:pPr>
              <w:pStyle w:val="Tabletext0"/>
              <w:spacing w:before="20" w:after="20"/>
              <w:rPr>
                <w:b/>
              </w:rPr>
            </w:pPr>
            <w:r w:rsidRPr="00D647A9">
              <w:rPr>
                <w:b/>
              </w:rPr>
              <w:t>Outcome</w:t>
            </w:r>
          </w:p>
        </w:tc>
        <w:tc>
          <w:tcPr>
            <w:tcW w:w="1941" w:type="pct"/>
            <w:gridSpan w:val="3"/>
            <w:tcBorders>
              <w:right w:val="double" w:sz="4" w:space="0" w:color="auto"/>
            </w:tcBorders>
            <w:shd w:val="clear" w:color="auto" w:fill="F2F2F2" w:themeFill="background1" w:themeFillShade="F2"/>
            <w:vAlign w:val="center"/>
          </w:tcPr>
          <w:p w:rsidR="004C73F6" w:rsidRPr="00D647A9" w:rsidRDefault="004C73F6" w:rsidP="00BF5AAE">
            <w:pPr>
              <w:pStyle w:val="Tabletext0"/>
              <w:spacing w:before="20" w:after="20"/>
              <w:jc w:val="center"/>
              <w:rPr>
                <w:b/>
              </w:rPr>
            </w:pPr>
            <w:proofErr w:type="spellStart"/>
            <w:r w:rsidRPr="00D647A9">
              <w:rPr>
                <w:b/>
              </w:rPr>
              <w:t>Alectinib</w:t>
            </w:r>
            <w:proofErr w:type="spellEnd"/>
          </w:p>
        </w:tc>
        <w:tc>
          <w:tcPr>
            <w:tcW w:w="1907" w:type="pct"/>
            <w:gridSpan w:val="3"/>
            <w:tcBorders>
              <w:left w:val="double" w:sz="4" w:space="0" w:color="auto"/>
            </w:tcBorders>
            <w:shd w:val="clear" w:color="auto" w:fill="F2F2F2" w:themeFill="background1" w:themeFillShade="F2"/>
            <w:vAlign w:val="center"/>
          </w:tcPr>
          <w:p w:rsidR="004C73F6" w:rsidRPr="00D647A9" w:rsidRDefault="004C73F6" w:rsidP="00BF5AAE">
            <w:pPr>
              <w:pStyle w:val="Tabletext0"/>
              <w:spacing w:before="20" w:after="20"/>
              <w:jc w:val="center"/>
              <w:rPr>
                <w:b/>
              </w:rPr>
            </w:pPr>
            <w:proofErr w:type="spellStart"/>
            <w:r w:rsidRPr="00D647A9">
              <w:rPr>
                <w:b/>
              </w:rPr>
              <w:t>Ceritinib</w:t>
            </w:r>
            <w:proofErr w:type="spellEnd"/>
          </w:p>
        </w:tc>
      </w:tr>
      <w:tr w:rsidR="004C73F6" w:rsidRPr="00D647A9" w:rsidTr="00F8172A">
        <w:trPr>
          <w:tblHeader/>
        </w:trPr>
        <w:tc>
          <w:tcPr>
            <w:tcW w:w="1152" w:type="pct"/>
            <w:vMerge/>
            <w:shd w:val="clear" w:color="auto" w:fill="F2F2F2" w:themeFill="background1" w:themeFillShade="F2"/>
          </w:tcPr>
          <w:p w:rsidR="004C73F6" w:rsidRPr="00D647A9" w:rsidRDefault="004C73F6" w:rsidP="00BF5AAE">
            <w:pPr>
              <w:pStyle w:val="Tabletext0"/>
              <w:spacing w:before="20" w:after="20"/>
              <w:rPr>
                <w:b/>
              </w:rPr>
            </w:pPr>
          </w:p>
        </w:tc>
        <w:tc>
          <w:tcPr>
            <w:tcW w:w="647" w:type="pct"/>
            <w:shd w:val="clear" w:color="auto" w:fill="F2F2F2" w:themeFill="background1" w:themeFillShade="F2"/>
            <w:vAlign w:val="center"/>
          </w:tcPr>
          <w:p w:rsidR="004C73F6" w:rsidRPr="00D647A9" w:rsidRDefault="004C73F6" w:rsidP="00BF5AAE">
            <w:pPr>
              <w:pStyle w:val="Tabletext0"/>
              <w:spacing w:before="20" w:after="20"/>
              <w:jc w:val="center"/>
              <w:rPr>
                <w:b/>
              </w:rPr>
            </w:pPr>
            <w:r w:rsidRPr="00D647A9">
              <w:rPr>
                <w:b/>
              </w:rPr>
              <w:t>NP28761</w:t>
            </w:r>
          </w:p>
          <w:p w:rsidR="004C73F6" w:rsidRPr="00D647A9" w:rsidRDefault="004C73F6" w:rsidP="00BF5AAE">
            <w:pPr>
              <w:pStyle w:val="Tabletext0"/>
              <w:spacing w:before="20" w:after="20"/>
              <w:jc w:val="center"/>
              <w:rPr>
                <w:b/>
              </w:rPr>
            </w:pPr>
            <w:r w:rsidRPr="00D647A9">
              <w:rPr>
                <w:b/>
              </w:rPr>
              <w:t>N=87</w:t>
            </w:r>
          </w:p>
        </w:tc>
        <w:tc>
          <w:tcPr>
            <w:tcW w:w="619" w:type="pct"/>
            <w:shd w:val="clear" w:color="auto" w:fill="F2F2F2" w:themeFill="background1" w:themeFillShade="F2"/>
            <w:vAlign w:val="center"/>
          </w:tcPr>
          <w:p w:rsidR="004C73F6" w:rsidRPr="00D647A9" w:rsidRDefault="004C73F6" w:rsidP="00BF5AAE">
            <w:pPr>
              <w:pStyle w:val="Tabletext0"/>
              <w:spacing w:before="20" w:after="20"/>
              <w:jc w:val="center"/>
              <w:rPr>
                <w:b/>
              </w:rPr>
            </w:pPr>
            <w:r w:rsidRPr="00D647A9">
              <w:rPr>
                <w:b/>
              </w:rPr>
              <w:t>NP28673</w:t>
            </w:r>
          </w:p>
          <w:p w:rsidR="004C73F6" w:rsidRPr="00D647A9" w:rsidRDefault="004C73F6" w:rsidP="00BF5AAE">
            <w:pPr>
              <w:pStyle w:val="Tabletext0"/>
              <w:spacing w:before="20" w:after="20"/>
              <w:jc w:val="center"/>
              <w:rPr>
                <w:b/>
              </w:rPr>
            </w:pPr>
            <w:r w:rsidRPr="00D647A9">
              <w:rPr>
                <w:b/>
              </w:rPr>
              <w:t>N=138</w:t>
            </w:r>
          </w:p>
        </w:tc>
        <w:tc>
          <w:tcPr>
            <w:tcW w:w="675" w:type="pct"/>
            <w:tcBorders>
              <w:right w:val="double" w:sz="4" w:space="0" w:color="auto"/>
            </w:tcBorders>
            <w:shd w:val="clear" w:color="auto" w:fill="F2F2F2" w:themeFill="background1" w:themeFillShade="F2"/>
            <w:vAlign w:val="center"/>
          </w:tcPr>
          <w:p w:rsidR="004C73F6" w:rsidRPr="00D647A9" w:rsidRDefault="0003669B" w:rsidP="00BF5AAE">
            <w:pPr>
              <w:pStyle w:val="Tabletext0"/>
              <w:spacing w:before="20" w:after="20"/>
              <w:jc w:val="center"/>
              <w:rPr>
                <w:b/>
              </w:rPr>
            </w:pPr>
            <w:r w:rsidRPr="00D647A9">
              <w:rPr>
                <w:b/>
              </w:rPr>
              <w:t>Unweighted p</w:t>
            </w:r>
            <w:r w:rsidR="004C73F6" w:rsidRPr="00D647A9">
              <w:rPr>
                <w:b/>
              </w:rPr>
              <w:t xml:space="preserve">ooled </w:t>
            </w:r>
            <w:r w:rsidRPr="00D647A9">
              <w:rPr>
                <w:b/>
              </w:rPr>
              <w:t>t</w:t>
            </w:r>
            <w:r w:rsidR="007B6968" w:rsidRPr="00D647A9">
              <w:rPr>
                <w:b/>
              </w:rPr>
              <w:t>otal</w:t>
            </w:r>
          </w:p>
          <w:p w:rsidR="004C73F6" w:rsidRPr="00D647A9" w:rsidRDefault="004C73F6" w:rsidP="00BF5AAE">
            <w:pPr>
              <w:pStyle w:val="Tabletext0"/>
              <w:spacing w:before="20" w:after="20"/>
              <w:jc w:val="center"/>
              <w:rPr>
                <w:b/>
              </w:rPr>
            </w:pPr>
            <w:r w:rsidRPr="00D647A9">
              <w:rPr>
                <w:b/>
              </w:rPr>
              <w:t>N=225</w:t>
            </w:r>
          </w:p>
        </w:tc>
        <w:tc>
          <w:tcPr>
            <w:tcW w:w="614" w:type="pct"/>
            <w:tcBorders>
              <w:left w:val="double" w:sz="4" w:space="0" w:color="auto"/>
            </w:tcBorders>
            <w:shd w:val="clear" w:color="auto" w:fill="F2F2F2" w:themeFill="background1" w:themeFillShade="F2"/>
            <w:vAlign w:val="center"/>
          </w:tcPr>
          <w:p w:rsidR="004C73F6" w:rsidRPr="00D647A9" w:rsidRDefault="004C73F6" w:rsidP="00BF5AAE">
            <w:pPr>
              <w:pStyle w:val="Tabletext0"/>
              <w:spacing w:before="20" w:after="20"/>
              <w:jc w:val="center"/>
              <w:rPr>
                <w:b/>
              </w:rPr>
            </w:pPr>
            <w:r w:rsidRPr="00D647A9">
              <w:rPr>
                <w:b/>
              </w:rPr>
              <w:t>ASCEND-1</w:t>
            </w:r>
          </w:p>
          <w:p w:rsidR="004C73F6" w:rsidRPr="00D647A9" w:rsidRDefault="004C73F6" w:rsidP="00BF5AAE">
            <w:pPr>
              <w:pStyle w:val="Tabletext0"/>
              <w:spacing w:before="20" w:after="20"/>
              <w:jc w:val="center"/>
              <w:rPr>
                <w:b/>
              </w:rPr>
            </w:pPr>
            <w:r w:rsidRPr="00D647A9">
              <w:rPr>
                <w:b/>
              </w:rPr>
              <w:t>N=163</w:t>
            </w:r>
          </w:p>
        </w:tc>
        <w:tc>
          <w:tcPr>
            <w:tcW w:w="616" w:type="pct"/>
            <w:shd w:val="clear" w:color="auto" w:fill="F2F2F2" w:themeFill="background1" w:themeFillShade="F2"/>
            <w:vAlign w:val="center"/>
          </w:tcPr>
          <w:p w:rsidR="004C73F6" w:rsidRPr="00D647A9" w:rsidRDefault="004C73F6" w:rsidP="00BF5AAE">
            <w:pPr>
              <w:pStyle w:val="Tabletext0"/>
              <w:spacing w:before="20" w:after="20"/>
              <w:jc w:val="center"/>
              <w:rPr>
                <w:b/>
              </w:rPr>
            </w:pPr>
            <w:r w:rsidRPr="00D647A9">
              <w:rPr>
                <w:b/>
              </w:rPr>
              <w:t>ASCEND-2</w:t>
            </w:r>
          </w:p>
          <w:p w:rsidR="004C73F6" w:rsidRPr="00D647A9" w:rsidRDefault="004C73F6" w:rsidP="00BF5AAE">
            <w:pPr>
              <w:pStyle w:val="Tabletext0"/>
              <w:spacing w:before="20" w:after="20"/>
              <w:jc w:val="center"/>
              <w:rPr>
                <w:b/>
              </w:rPr>
            </w:pPr>
            <w:r w:rsidRPr="00D647A9">
              <w:rPr>
                <w:b/>
              </w:rPr>
              <w:t>N=140</w:t>
            </w:r>
          </w:p>
        </w:tc>
        <w:tc>
          <w:tcPr>
            <w:tcW w:w="677" w:type="pct"/>
            <w:shd w:val="clear" w:color="auto" w:fill="F2F2F2" w:themeFill="background1" w:themeFillShade="F2"/>
            <w:vAlign w:val="center"/>
          </w:tcPr>
          <w:p w:rsidR="004C73F6" w:rsidRPr="00D647A9" w:rsidRDefault="004C73F6" w:rsidP="00BF5AAE">
            <w:pPr>
              <w:pStyle w:val="Tabletext0"/>
              <w:spacing w:before="20" w:after="20"/>
              <w:jc w:val="center"/>
              <w:rPr>
                <w:b/>
              </w:rPr>
            </w:pPr>
            <w:r w:rsidRPr="00D647A9">
              <w:rPr>
                <w:b/>
              </w:rPr>
              <w:t>ASCEND-5</w:t>
            </w:r>
          </w:p>
          <w:p w:rsidR="004C73F6" w:rsidRPr="00D647A9" w:rsidRDefault="004C73F6" w:rsidP="00BF5AAE">
            <w:pPr>
              <w:pStyle w:val="Tabletext0"/>
              <w:spacing w:before="20" w:after="20"/>
              <w:jc w:val="center"/>
              <w:rPr>
                <w:b/>
              </w:rPr>
            </w:pPr>
            <w:r w:rsidRPr="00D647A9">
              <w:rPr>
                <w:b/>
              </w:rPr>
              <w:t>N=115</w:t>
            </w:r>
          </w:p>
        </w:tc>
      </w:tr>
      <w:tr w:rsidR="004C73F6" w:rsidRPr="00D647A9" w:rsidTr="006C41A4">
        <w:tc>
          <w:tcPr>
            <w:tcW w:w="5000" w:type="pct"/>
            <w:gridSpan w:val="7"/>
            <w:vAlign w:val="center"/>
          </w:tcPr>
          <w:p w:rsidR="004C73F6" w:rsidRPr="00D647A9" w:rsidRDefault="004C73F6" w:rsidP="0057201C">
            <w:pPr>
              <w:pStyle w:val="Tabletext0"/>
              <w:spacing w:before="20" w:after="20"/>
            </w:pPr>
            <w:r w:rsidRPr="00D647A9">
              <w:rPr>
                <w:b/>
              </w:rPr>
              <w:t>Progression</w:t>
            </w:r>
            <w:r w:rsidR="0057201C">
              <w:rPr>
                <w:b/>
              </w:rPr>
              <w:t>-</w:t>
            </w:r>
            <w:r w:rsidRPr="00D647A9">
              <w:rPr>
                <w:b/>
              </w:rPr>
              <w:t>free survival</w:t>
            </w:r>
            <w:r w:rsidR="00AA72E9" w:rsidRPr="00D647A9">
              <w:rPr>
                <w:b/>
              </w:rPr>
              <w:t xml:space="preserve"> – IRC assessed</w:t>
            </w:r>
          </w:p>
        </w:tc>
      </w:tr>
      <w:tr w:rsidR="004C73F6" w:rsidRPr="00D647A9" w:rsidTr="009465BD">
        <w:tc>
          <w:tcPr>
            <w:tcW w:w="1152" w:type="pct"/>
            <w:vAlign w:val="center"/>
          </w:tcPr>
          <w:p w:rsidR="004C73F6" w:rsidRPr="00D647A9" w:rsidRDefault="004C73F6" w:rsidP="00BF5AAE">
            <w:pPr>
              <w:pStyle w:val="Tabletext0"/>
              <w:spacing w:before="20" w:after="20"/>
            </w:pPr>
            <w:r w:rsidRPr="00D647A9">
              <w:t>Patients with event, n (%)</w:t>
            </w:r>
          </w:p>
        </w:tc>
        <w:tc>
          <w:tcPr>
            <w:tcW w:w="647" w:type="pct"/>
            <w:vAlign w:val="center"/>
          </w:tcPr>
          <w:p w:rsidR="004C73F6" w:rsidRPr="00D647A9" w:rsidRDefault="004C73F6" w:rsidP="00BF5AAE">
            <w:pPr>
              <w:pStyle w:val="Tabletext0"/>
              <w:spacing w:before="20" w:after="20"/>
              <w:jc w:val="center"/>
            </w:pPr>
            <w:r w:rsidRPr="00D647A9">
              <w:t>58 (66.7%)</w:t>
            </w:r>
          </w:p>
        </w:tc>
        <w:tc>
          <w:tcPr>
            <w:tcW w:w="619" w:type="pct"/>
            <w:vAlign w:val="center"/>
          </w:tcPr>
          <w:p w:rsidR="004C73F6" w:rsidRPr="00D647A9" w:rsidRDefault="004C73F6" w:rsidP="00BF5AAE">
            <w:pPr>
              <w:pStyle w:val="Tabletext0"/>
              <w:spacing w:before="20" w:after="20"/>
              <w:jc w:val="center"/>
            </w:pPr>
            <w:r w:rsidRPr="00D647A9">
              <w:t>98 (71.0%)</w:t>
            </w:r>
          </w:p>
        </w:tc>
        <w:tc>
          <w:tcPr>
            <w:tcW w:w="675" w:type="pct"/>
            <w:tcBorders>
              <w:right w:val="double" w:sz="4" w:space="0" w:color="auto"/>
            </w:tcBorders>
            <w:vAlign w:val="center"/>
          </w:tcPr>
          <w:p w:rsidR="004C73F6" w:rsidRPr="00D647A9" w:rsidRDefault="004C73F6" w:rsidP="00BF5AAE">
            <w:pPr>
              <w:pStyle w:val="Tabletext0"/>
              <w:spacing w:before="20" w:after="20"/>
              <w:jc w:val="center"/>
            </w:pPr>
            <w:r w:rsidRPr="00D647A9">
              <w:t>156 (69.3%)</w:t>
            </w:r>
          </w:p>
        </w:tc>
        <w:tc>
          <w:tcPr>
            <w:tcW w:w="614" w:type="pct"/>
            <w:tcBorders>
              <w:left w:val="double" w:sz="4" w:space="0" w:color="auto"/>
            </w:tcBorders>
            <w:vAlign w:val="center"/>
          </w:tcPr>
          <w:p w:rsidR="004C73F6" w:rsidRPr="00D647A9" w:rsidRDefault="004C73F6" w:rsidP="00BF5AAE">
            <w:pPr>
              <w:pStyle w:val="Tabletext0"/>
              <w:spacing w:before="20" w:after="20"/>
              <w:jc w:val="center"/>
            </w:pPr>
            <w:r w:rsidRPr="00D647A9">
              <w:t>NR</w:t>
            </w:r>
          </w:p>
        </w:tc>
        <w:tc>
          <w:tcPr>
            <w:tcW w:w="616" w:type="pct"/>
            <w:vAlign w:val="center"/>
          </w:tcPr>
          <w:p w:rsidR="004C73F6" w:rsidRPr="00D647A9" w:rsidRDefault="004C73F6" w:rsidP="00BF5AAE">
            <w:pPr>
              <w:pStyle w:val="Tabletext0"/>
              <w:spacing w:before="20" w:after="20"/>
              <w:jc w:val="center"/>
            </w:pPr>
            <w:r w:rsidRPr="00D647A9">
              <w:t>NR</w:t>
            </w:r>
          </w:p>
        </w:tc>
        <w:tc>
          <w:tcPr>
            <w:tcW w:w="677" w:type="pct"/>
          </w:tcPr>
          <w:p w:rsidR="004C73F6" w:rsidRPr="00D647A9" w:rsidRDefault="004C73F6" w:rsidP="00BF5AAE">
            <w:pPr>
              <w:pStyle w:val="Tabletext0"/>
              <w:spacing w:before="20" w:after="20"/>
              <w:jc w:val="center"/>
            </w:pPr>
            <w:r w:rsidRPr="00D647A9">
              <w:t>NR</w:t>
            </w:r>
          </w:p>
        </w:tc>
      </w:tr>
      <w:tr w:rsidR="004C73F6" w:rsidRPr="00D647A9" w:rsidTr="009465BD">
        <w:tc>
          <w:tcPr>
            <w:tcW w:w="1152" w:type="pct"/>
            <w:vAlign w:val="center"/>
          </w:tcPr>
          <w:p w:rsidR="004C73F6" w:rsidRPr="00D647A9" w:rsidRDefault="004C73F6" w:rsidP="00BF5AAE">
            <w:pPr>
              <w:pStyle w:val="Tabletext0"/>
              <w:spacing w:before="20" w:after="20"/>
              <w:jc w:val="left"/>
            </w:pPr>
            <w:r w:rsidRPr="00D647A9">
              <w:t xml:space="preserve">Median PFS, months </w:t>
            </w:r>
            <w:r w:rsidRPr="00D647A9">
              <w:br/>
              <w:t>(95% CI)</w:t>
            </w:r>
          </w:p>
        </w:tc>
        <w:tc>
          <w:tcPr>
            <w:tcW w:w="647" w:type="pct"/>
            <w:vAlign w:val="center"/>
          </w:tcPr>
          <w:p w:rsidR="004C73F6" w:rsidRPr="00D647A9" w:rsidRDefault="004C73F6" w:rsidP="00BF5AAE">
            <w:pPr>
              <w:pStyle w:val="Tabletext0"/>
              <w:spacing w:before="20" w:after="20"/>
              <w:jc w:val="center"/>
            </w:pPr>
            <w:r w:rsidRPr="00D647A9">
              <w:t xml:space="preserve">8.2 </w:t>
            </w:r>
            <w:r w:rsidRPr="00D647A9">
              <w:br/>
              <w:t>(6.3, 12.6)</w:t>
            </w:r>
          </w:p>
        </w:tc>
        <w:tc>
          <w:tcPr>
            <w:tcW w:w="619" w:type="pct"/>
            <w:vAlign w:val="center"/>
          </w:tcPr>
          <w:p w:rsidR="004C73F6" w:rsidRPr="00D647A9" w:rsidRDefault="004C73F6" w:rsidP="00BF5AAE">
            <w:pPr>
              <w:pStyle w:val="Tabletext0"/>
              <w:spacing w:before="20" w:after="20"/>
              <w:jc w:val="center"/>
            </w:pPr>
            <w:r w:rsidRPr="00D647A9">
              <w:t xml:space="preserve">8.9 </w:t>
            </w:r>
            <w:r w:rsidRPr="00D647A9">
              <w:br/>
              <w:t>(5.6, 12.8)</w:t>
            </w:r>
          </w:p>
        </w:tc>
        <w:tc>
          <w:tcPr>
            <w:tcW w:w="675" w:type="pct"/>
            <w:tcBorders>
              <w:right w:val="double" w:sz="4" w:space="0" w:color="auto"/>
            </w:tcBorders>
            <w:vAlign w:val="center"/>
          </w:tcPr>
          <w:p w:rsidR="004C73F6" w:rsidRPr="00D647A9" w:rsidRDefault="004C73F6" w:rsidP="00BF5AAE">
            <w:pPr>
              <w:pStyle w:val="Tabletext0"/>
              <w:spacing w:before="20" w:after="20"/>
              <w:jc w:val="center"/>
            </w:pPr>
            <w:r w:rsidRPr="00D647A9">
              <w:t xml:space="preserve">8.3 </w:t>
            </w:r>
            <w:r w:rsidRPr="00D647A9">
              <w:br/>
              <w:t>(7.0, 11.3)</w:t>
            </w:r>
          </w:p>
        </w:tc>
        <w:tc>
          <w:tcPr>
            <w:tcW w:w="614" w:type="pct"/>
            <w:tcBorders>
              <w:left w:val="double" w:sz="4" w:space="0" w:color="auto"/>
            </w:tcBorders>
            <w:vAlign w:val="center"/>
          </w:tcPr>
          <w:p w:rsidR="004C73F6" w:rsidRPr="00D647A9" w:rsidRDefault="004C73F6" w:rsidP="00BF5AAE">
            <w:pPr>
              <w:pStyle w:val="Tabletext0"/>
              <w:spacing w:before="20" w:after="20"/>
              <w:jc w:val="center"/>
            </w:pPr>
            <w:r w:rsidRPr="00D647A9">
              <w:t xml:space="preserve">7.0 </w:t>
            </w:r>
            <w:r w:rsidRPr="00D647A9">
              <w:br/>
              <w:t>(5.7, 8.7)</w:t>
            </w:r>
          </w:p>
        </w:tc>
        <w:tc>
          <w:tcPr>
            <w:tcW w:w="616" w:type="pct"/>
            <w:vAlign w:val="center"/>
          </w:tcPr>
          <w:p w:rsidR="004C73F6" w:rsidRPr="00D647A9" w:rsidRDefault="004C73F6" w:rsidP="00BF5AAE">
            <w:pPr>
              <w:pStyle w:val="Tabletext0"/>
              <w:spacing w:before="20" w:after="20"/>
              <w:jc w:val="center"/>
            </w:pPr>
            <w:r w:rsidRPr="00D647A9">
              <w:t xml:space="preserve">7.2 </w:t>
            </w:r>
            <w:r w:rsidRPr="00D647A9">
              <w:br/>
              <w:t>(5.4, 9.0)</w:t>
            </w:r>
          </w:p>
        </w:tc>
        <w:tc>
          <w:tcPr>
            <w:tcW w:w="677" w:type="pct"/>
          </w:tcPr>
          <w:p w:rsidR="004C73F6" w:rsidRPr="00D647A9" w:rsidRDefault="004C73F6" w:rsidP="00BF5AAE">
            <w:pPr>
              <w:pStyle w:val="Tabletext0"/>
              <w:spacing w:before="20" w:after="20"/>
              <w:jc w:val="center"/>
            </w:pPr>
            <w:r w:rsidRPr="00D647A9">
              <w:t>5.4</w:t>
            </w:r>
          </w:p>
          <w:p w:rsidR="004C73F6" w:rsidRPr="00D647A9" w:rsidRDefault="004C73F6" w:rsidP="00BF5AAE">
            <w:pPr>
              <w:pStyle w:val="Tabletext0"/>
              <w:spacing w:before="20" w:after="20"/>
              <w:jc w:val="center"/>
            </w:pPr>
            <w:r w:rsidRPr="00D647A9">
              <w:t>(4.1, 6.9)</w:t>
            </w:r>
          </w:p>
        </w:tc>
      </w:tr>
      <w:tr w:rsidR="004C73F6" w:rsidRPr="00D647A9" w:rsidTr="006C41A4">
        <w:tc>
          <w:tcPr>
            <w:tcW w:w="5000" w:type="pct"/>
            <w:gridSpan w:val="7"/>
            <w:vAlign w:val="center"/>
          </w:tcPr>
          <w:p w:rsidR="004C73F6" w:rsidRPr="00D647A9" w:rsidRDefault="004C73F6" w:rsidP="00BF5AAE">
            <w:pPr>
              <w:pStyle w:val="Tabletext0"/>
              <w:spacing w:before="20" w:after="20"/>
              <w:jc w:val="left"/>
            </w:pPr>
            <w:r w:rsidRPr="00D647A9">
              <w:rPr>
                <w:b/>
              </w:rPr>
              <w:t>Overall survival</w:t>
            </w:r>
          </w:p>
        </w:tc>
      </w:tr>
      <w:tr w:rsidR="004C73F6" w:rsidRPr="00D647A9" w:rsidTr="009465BD">
        <w:tc>
          <w:tcPr>
            <w:tcW w:w="1152" w:type="pct"/>
            <w:vAlign w:val="center"/>
          </w:tcPr>
          <w:p w:rsidR="004C73F6" w:rsidRPr="00D647A9" w:rsidRDefault="004C73F6" w:rsidP="00BF5AAE">
            <w:pPr>
              <w:pStyle w:val="Tabletext0"/>
              <w:spacing w:before="20" w:after="20"/>
              <w:jc w:val="left"/>
            </w:pPr>
            <w:r w:rsidRPr="00D647A9">
              <w:t>Patients with event, n (%)</w:t>
            </w:r>
          </w:p>
        </w:tc>
        <w:tc>
          <w:tcPr>
            <w:tcW w:w="647" w:type="pct"/>
            <w:vAlign w:val="center"/>
          </w:tcPr>
          <w:p w:rsidR="004C73F6" w:rsidRPr="00D647A9" w:rsidRDefault="004C73F6" w:rsidP="00BF5AAE">
            <w:pPr>
              <w:pStyle w:val="Tabletext0"/>
              <w:spacing w:before="20" w:after="20"/>
              <w:jc w:val="center"/>
            </w:pPr>
            <w:r w:rsidRPr="00D647A9">
              <w:t>36 (41.4%)</w:t>
            </w:r>
          </w:p>
        </w:tc>
        <w:tc>
          <w:tcPr>
            <w:tcW w:w="619" w:type="pct"/>
            <w:vAlign w:val="center"/>
          </w:tcPr>
          <w:p w:rsidR="004C73F6" w:rsidRPr="00D647A9" w:rsidRDefault="004C73F6" w:rsidP="00BF5AAE">
            <w:pPr>
              <w:pStyle w:val="Tabletext0"/>
              <w:spacing w:before="20" w:after="20"/>
              <w:jc w:val="center"/>
            </w:pPr>
            <w:r w:rsidRPr="00D647A9">
              <w:t>60 (43.5%)</w:t>
            </w:r>
          </w:p>
        </w:tc>
        <w:tc>
          <w:tcPr>
            <w:tcW w:w="675" w:type="pct"/>
            <w:tcBorders>
              <w:right w:val="double" w:sz="4" w:space="0" w:color="auto"/>
            </w:tcBorders>
            <w:vAlign w:val="center"/>
          </w:tcPr>
          <w:p w:rsidR="004C73F6" w:rsidRPr="00D647A9" w:rsidRDefault="004C73F6" w:rsidP="00BF5AAE">
            <w:pPr>
              <w:pStyle w:val="Tabletext0"/>
              <w:spacing w:before="20" w:after="20"/>
              <w:jc w:val="center"/>
            </w:pPr>
            <w:r w:rsidRPr="00D647A9">
              <w:t>96 (42.7%)</w:t>
            </w:r>
          </w:p>
        </w:tc>
        <w:tc>
          <w:tcPr>
            <w:tcW w:w="614" w:type="pct"/>
            <w:tcBorders>
              <w:left w:val="double" w:sz="4" w:space="0" w:color="auto"/>
            </w:tcBorders>
            <w:vAlign w:val="center"/>
          </w:tcPr>
          <w:p w:rsidR="004C73F6" w:rsidRPr="00D647A9" w:rsidRDefault="004C73F6" w:rsidP="00BF5AAE">
            <w:pPr>
              <w:pStyle w:val="Tabletext0"/>
              <w:spacing w:before="20" w:after="20"/>
              <w:jc w:val="center"/>
            </w:pPr>
            <w:r w:rsidRPr="00D647A9">
              <w:t>63 (38.7%)</w:t>
            </w:r>
          </w:p>
        </w:tc>
        <w:tc>
          <w:tcPr>
            <w:tcW w:w="616" w:type="pct"/>
            <w:vAlign w:val="center"/>
          </w:tcPr>
          <w:p w:rsidR="004C73F6" w:rsidRPr="00D647A9" w:rsidRDefault="004C73F6" w:rsidP="00BF5AAE">
            <w:pPr>
              <w:pStyle w:val="Tabletext0"/>
              <w:spacing w:before="20" w:after="20"/>
              <w:jc w:val="center"/>
            </w:pPr>
            <w:r w:rsidRPr="00D647A9">
              <w:t>NR</w:t>
            </w:r>
          </w:p>
        </w:tc>
        <w:tc>
          <w:tcPr>
            <w:tcW w:w="677" w:type="pct"/>
          </w:tcPr>
          <w:p w:rsidR="004C73F6" w:rsidRPr="00D647A9" w:rsidRDefault="004C73F6" w:rsidP="00BF5AAE">
            <w:pPr>
              <w:pStyle w:val="Tabletext0"/>
              <w:spacing w:before="20" w:after="20"/>
              <w:jc w:val="center"/>
            </w:pPr>
            <w:r w:rsidRPr="00D647A9">
              <w:t>NR</w:t>
            </w:r>
          </w:p>
        </w:tc>
      </w:tr>
      <w:tr w:rsidR="004C73F6" w:rsidRPr="00D647A9" w:rsidTr="009465BD">
        <w:tc>
          <w:tcPr>
            <w:tcW w:w="1152" w:type="pct"/>
            <w:vAlign w:val="center"/>
          </w:tcPr>
          <w:p w:rsidR="004C73F6" w:rsidRPr="00D647A9" w:rsidRDefault="004C73F6" w:rsidP="00BF5AAE">
            <w:pPr>
              <w:pStyle w:val="Tabletext0"/>
              <w:spacing w:before="20" w:after="20"/>
              <w:jc w:val="left"/>
              <w:rPr>
                <w:rFonts w:ascii="Times" w:hAnsi="Times"/>
              </w:rPr>
            </w:pPr>
            <w:r w:rsidRPr="00D647A9">
              <w:t>Median OS, months</w:t>
            </w:r>
            <w:r w:rsidRPr="00D647A9">
              <w:br/>
              <w:t>(95% CI)</w:t>
            </w:r>
          </w:p>
        </w:tc>
        <w:tc>
          <w:tcPr>
            <w:tcW w:w="647" w:type="pct"/>
            <w:vAlign w:val="center"/>
          </w:tcPr>
          <w:p w:rsidR="004C73F6" w:rsidRPr="00D647A9" w:rsidRDefault="004C73F6" w:rsidP="00BF5AAE">
            <w:pPr>
              <w:pStyle w:val="Tabletext0"/>
              <w:spacing w:before="20" w:after="20"/>
              <w:jc w:val="center"/>
            </w:pPr>
            <w:r w:rsidRPr="00D647A9">
              <w:t xml:space="preserve">22.7 </w:t>
            </w:r>
            <w:r w:rsidRPr="00D647A9">
              <w:br/>
              <w:t>(17.2, NE)</w:t>
            </w:r>
          </w:p>
        </w:tc>
        <w:tc>
          <w:tcPr>
            <w:tcW w:w="619" w:type="pct"/>
            <w:vAlign w:val="center"/>
          </w:tcPr>
          <w:p w:rsidR="004C73F6" w:rsidRPr="00D647A9" w:rsidRDefault="004C73F6" w:rsidP="00BF5AAE">
            <w:pPr>
              <w:pStyle w:val="Tabletext0"/>
              <w:spacing w:before="20" w:after="20"/>
              <w:jc w:val="center"/>
            </w:pPr>
            <w:r w:rsidRPr="00D647A9">
              <w:t xml:space="preserve">26.0 </w:t>
            </w:r>
            <w:r w:rsidRPr="00D647A9">
              <w:br/>
              <w:t>(21.5, NE)</w:t>
            </w:r>
          </w:p>
        </w:tc>
        <w:tc>
          <w:tcPr>
            <w:tcW w:w="675" w:type="pct"/>
            <w:tcBorders>
              <w:right w:val="double" w:sz="4" w:space="0" w:color="auto"/>
            </w:tcBorders>
            <w:vAlign w:val="center"/>
          </w:tcPr>
          <w:p w:rsidR="004C73F6" w:rsidRPr="00D647A9" w:rsidRDefault="004C73F6" w:rsidP="00BF5AAE">
            <w:pPr>
              <w:pStyle w:val="Tabletext0"/>
              <w:spacing w:before="20" w:after="20"/>
              <w:jc w:val="center"/>
            </w:pPr>
            <w:r w:rsidRPr="00D647A9">
              <w:t xml:space="preserve">26.0 </w:t>
            </w:r>
            <w:r w:rsidRPr="00D647A9">
              <w:br/>
              <w:t>(21.4, NE)</w:t>
            </w:r>
          </w:p>
        </w:tc>
        <w:tc>
          <w:tcPr>
            <w:tcW w:w="614" w:type="pct"/>
            <w:tcBorders>
              <w:left w:val="double" w:sz="4" w:space="0" w:color="auto"/>
            </w:tcBorders>
            <w:vAlign w:val="center"/>
          </w:tcPr>
          <w:p w:rsidR="004C73F6" w:rsidRPr="00D647A9" w:rsidRDefault="004C73F6" w:rsidP="00BF5AAE">
            <w:pPr>
              <w:pStyle w:val="Tabletext0"/>
              <w:spacing w:before="20" w:after="20"/>
              <w:jc w:val="center"/>
            </w:pPr>
            <w:r w:rsidRPr="00D647A9">
              <w:t xml:space="preserve">16.7 </w:t>
            </w:r>
            <w:r w:rsidRPr="00D647A9">
              <w:br/>
              <w:t>(14.8, NE)</w:t>
            </w:r>
          </w:p>
        </w:tc>
        <w:tc>
          <w:tcPr>
            <w:tcW w:w="616" w:type="pct"/>
            <w:vAlign w:val="center"/>
          </w:tcPr>
          <w:p w:rsidR="004C73F6" w:rsidRPr="00D647A9" w:rsidRDefault="004C73F6" w:rsidP="00BF5AAE">
            <w:pPr>
              <w:pStyle w:val="Tabletext0"/>
              <w:spacing w:before="20" w:after="20"/>
              <w:jc w:val="center"/>
            </w:pPr>
            <w:r w:rsidRPr="00D647A9">
              <w:t>14.9</w:t>
            </w:r>
            <w:r w:rsidRPr="00D647A9">
              <w:br/>
              <w:t xml:space="preserve"> (13.5, NE)</w:t>
            </w:r>
          </w:p>
        </w:tc>
        <w:tc>
          <w:tcPr>
            <w:tcW w:w="677" w:type="pct"/>
          </w:tcPr>
          <w:p w:rsidR="004C73F6" w:rsidRPr="00D647A9" w:rsidRDefault="004C73F6" w:rsidP="00BF5AAE">
            <w:pPr>
              <w:pStyle w:val="Tabletext0"/>
              <w:spacing w:before="20" w:after="20"/>
              <w:jc w:val="center"/>
            </w:pPr>
            <w:r w:rsidRPr="00D647A9">
              <w:t>18.1</w:t>
            </w:r>
          </w:p>
          <w:p w:rsidR="004C73F6" w:rsidRPr="00D647A9" w:rsidRDefault="004C73F6" w:rsidP="00BF5AAE">
            <w:pPr>
              <w:pStyle w:val="Tabletext0"/>
              <w:spacing w:before="20" w:after="20"/>
              <w:jc w:val="center"/>
            </w:pPr>
            <w:r w:rsidRPr="00D647A9">
              <w:t>(13.4, 23.9)</w:t>
            </w:r>
          </w:p>
        </w:tc>
      </w:tr>
    </w:tbl>
    <w:p w:rsidR="00850FF0" w:rsidRPr="00D647A9" w:rsidRDefault="00850FF0" w:rsidP="00BF5AAE">
      <w:pPr>
        <w:pStyle w:val="TableFooter"/>
        <w:widowControl/>
      </w:pPr>
      <w:r w:rsidRPr="00D647A9">
        <w:t>CI = confidence interval; FAS = full analysis set; IRC = independent review committee; NE = not evaluable; NR = not reported; OS = overall survival; PFS = progression</w:t>
      </w:r>
      <w:r w:rsidR="0057201C">
        <w:t>-</w:t>
      </w:r>
      <w:r w:rsidRPr="00D647A9">
        <w:t>free survival</w:t>
      </w:r>
      <w:r w:rsidR="00F6522F" w:rsidRPr="00D647A9">
        <w:t>.</w:t>
      </w:r>
    </w:p>
    <w:p w:rsidR="00850FF0" w:rsidRPr="00D647A9" w:rsidRDefault="00850FF0" w:rsidP="00BF5AAE">
      <w:pPr>
        <w:pStyle w:val="TableFooter"/>
        <w:widowControl/>
      </w:pPr>
      <w:r w:rsidRPr="003D71FA">
        <w:t xml:space="preserve">Source: </w:t>
      </w:r>
      <w:r w:rsidR="00DF52A0" w:rsidRPr="003D71FA">
        <w:t xml:space="preserve">Table </w:t>
      </w:r>
      <w:r w:rsidR="004F3B3A" w:rsidRPr="003D71FA">
        <w:t>2.25 p46 and Table 2.49</w:t>
      </w:r>
      <w:r w:rsidR="00DF52A0" w:rsidRPr="003D71FA">
        <w:t xml:space="preserve"> p73 Section 2 of the submission</w:t>
      </w:r>
      <w:r w:rsidR="00DF52A0" w:rsidRPr="00D647A9">
        <w:t xml:space="preserve">; </w:t>
      </w:r>
      <w:r w:rsidR="004F3B3A" w:rsidRPr="00D647A9">
        <w:t xml:space="preserve">Kim et al (2016); </w:t>
      </w:r>
      <w:proofErr w:type="spellStart"/>
      <w:r w:rsidRPr="00D647A9">
        <w:t>Scagliotti</w:t>
      </w:r>
      <w:proofErr w:type="spellEnd"/>
      <w:r w:rsidRPr="00D647A9">
        <w:t xml:space="preserve"> et al (2016)</w:t>
      </w:r>
      <w:r w:rsidR="00F6522F" w:rsidRPr="00D647A9">
        <w:t>.</w:t>
      </w:r>
    </w:p>
    <w:p w:rsidR="00E81295" w:rsidRPr="00D647A9" w:rsidRDefault="00E615DA" w:rsidP="00863A4D">
      <w:pPr>
        <w:pStyle w:val="ListParagraph"/>
        <w:numPr>
          <w:ilvl w:val="1"/>
          <w:numId w:val="4"/>
        </w:numPr>
        <w:spacing w:before="0" w:after="120"/>
      </w:pPr>
      <w:r w:rsidRPr="00D647A9">
        <w:t xml:space="preserve">The submission stated that the time to event outcomes favoured </w:t>
      </w:r>
      <w:proofErr w:type="spellStart"/>
      <w:r w:rsidRPr="00D647A9">
        <w:t>alectinib</w:t>
      </w:r>
      <w:proofErr w:type="spellEnd"/>
      <w:r w:rsidRPr="00D647A9">
        <w:t xml:space="preserve">, with a numerically longer median PFS, and a substantial and clinically meaningful difference in median OS for </w:t>
      </w:r>
      <w:proofErr w:type="spellStart"/>
      <w:r w:rsidRPr="00D647A9">
        <w:t>alectinib</w:t>
      </w:r>
      <w:proofErr w:type="spellEnd"/>
      <w:r w:rsidRPr="00D647A9">
        <w:t xml:space="preserve"> relative to </w:t>
      </w:r>
      <w:proofErr w:type="spellStart"/>
      <w:r w:rsidRPr="00D647A9">
        <w:t>ceritinib</w:t>
      </w:r>
      <w:proofErr w:type="spellEnd"/>
      <w:r w:rsidRPr="00D647A9">
        <w:t xml:space="preserve">, with a numerical median OS difference of 9.3-11.1 months. </w:t>
      </w:r>
      <w:r w:rsidR="00E81295" w:rsidRPr="00D647A9">
        <w:t xml:space="preserve">The </w:t>
      </w:r>
      <w:r w:rsidR="00425DE5" w:rsidRPr="00D647A9">
        <w:t>OS</w:t>
      </w:r>
      <w:r w:rsidR="00E81295" w:rsidRPr="00D647A9">
        <w:t xml:space="preserve"> data for all studies were relatively immature, with only 39%-43% of patients across the studies having experienced an event.</w:t>
      </w:r>
      <w:r w:rsidR="00E91A5F" w:rsidRPr="00D647A9">
        <w:t xml:space="preserve"> The comparison of median OS was potentially confounded by differences in post-progression therapies between the studies.</w:t>
      </w:r>
    </w:p>
    <w:p w:rsidR="0060691C" w:rsidRPr="00D647A9" w:rsidRDefault="00E81295" w:rsidP="00863A4D">
      <w:pPr>
        <w:pStyle w:val="ListParagraph"/>
        <w:numPr>
          <w:ilvl w:val="1"/>
          <w:numId w:val="4"/>
        </w:numPr>
        <w:spacing w:before="0" w:after="120"/>
      </w:pPr>
      <w:r w:rsidRPr="00D647A9">
        <w:t xml:space="preserve">The difference in the point estimate of median PFS </w:t>
      </w:r>
      <w:r w:rsidR="00E91A5F" w:rsidRPr="00D647A9">
        <w:t xml:space="preserve">(assessed by an IRC) </w:t>
      </w:r>
      <w:r w:rsidRPr="00D647A9">
        <w:t xml:space="preserve">between the pooled </w:t>
      </w:r>
      <w:proofErr w:type="spellStart"/>
      <w:r w:rsidRPr="00D647A9">
        <w:t>alectinib</w:t>
      </w:r>
      <w:proofErr w:type="spellEnd"/>
      <w:r w:rsidRPr="00D647A9">
        <w:t xml:space="preserve"> studies (8.3 months) and the </w:t>
      </w:r>
      <w:proofErr w:type="spellStart"/>
      <w:r w:rsidRPr="00D647A9">
        <w:t>ceritinib</w:t>
      </w:r>
      <w:proofErr w:type="spellEnd"/>
      <w:r w:rsidRPr="00D647A9">
        <w:t xml:space="preserve"> studies (5.4-7.2 months) </w:t>
      </w:r>
      <w:r w:rsidR="00FD6BD5" w:rsidRPr="00D647A9">
        <w:t>ranged from</w:t>
      </w:r>
      <w:r w:rsidRPr="00D647A9">
        <w:t xml:space="preserve"> </w:t>
      </w:r>
      <w:r w:rsidR="00FD6BD5" w:rsidRPr="00D647A9">
        <w:t>1.1</w:t>
      </w:r>
      <w:r w:rsidR="006719F4" w:rsidRPr="00D647A9">
        <w:t>–2.9</w:t>
      </w:r>
      <w:r w:rsidR="006719F4" w:rsidRPr="00D647A9">
        <w:rPr>
          <w:vertAlign w:val="superscript"/>
        </w:rPr>
        <w:t xml:space="preserve"> </w:t>
      </w:r>
      <w:r w:rsidR="00FE4354" w:rsidRPr="00D647A9">
        <w:t>months. The submission did not establish the clinical importance of a difference in median PFS of this magnitude</w:t>
      </w:r>
      <w:r w:rsidR="007164BB">
        <w:t>.</w:t>
      </w:r>
    </w:p>
    <w:p w:rsidR="00AF0DF9" w:rsidRPr="00D647A9" w:rsidRDefault="00C279A5" w:rsidP="00863A4D">
      <w:pPr>
        <w:pStyle w:val="ListParagraph"/>
        <w:numPr>
          <w:ilvl w:val="1"/>
          <w:numId w:val="4"/>
        </w:numPr>
        <w:spacing w:before="0" w:after="120"/>
      </w:pPr>
      <w:r w:rsidRPr="00D647A9">
        <w:t>IRC assessed and investigator assessed ORR</w:t>
      </w:r>
      <w:r w:rsidR="00E91A5F" w:rsidRPr="00D647A9">
        <w:t>s</w:t>
      </w:r>
      <w:r w:rsidRPr="00D647A9">
        <w:t xml:space="preserve"> from the single-arm studies are presented </w:t>
      </w:r>
      <w:r w:rsidR="0060691C" w:rsidRPr="00D647A9">
        <w:t>below.</w:t>
      </w:r>
    </w:p>
    <w:p w:rsidR="00A074BD" w:rsidRDefault="00A074BD" w:rsidP="00A074BD">
      <w:pPr>
        <w:pStyle w:val="Caption"/>
      </w:pPr>
      <w:r>
        <w:t xml:space="preserve">Table </w:t>
      </w:r>
      <w:r>
        <w:rPr>
          <w:noProof/>
        </w:rPr>
        <w:t>5</w:t>
      </w:r>
      <w:r w:rsidRPr="002F676C">
        <w:t>: Results of objective response rate across the single-arm studies</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528"/>
        <w:gridCol w:w="1528"/>
        <w:gridCol w:w="1528"/>
        <w:gridCol w:w="1520"/>
        <w:gridCol w:w="1520"/>
      </w:tblGrid>
      <w:tr w:rsidR="00363CF1" w:rsidRPr="00BD288C" w:rsidTr="00B67F43">
        <w:trPr>
          <w:tblHeader/>
        </w:trPr>
        <w:tc>
          <w:tcPr>
            <w:tcW w:w="873" w:type="pct"/>
            <w:vMerge w:val="restart"/>
            <w:shd w:val="clear" w:color="auto" w:fill="F2F2F2" w:themeFill="background1" w:themeFillShade="F2"/>
          </w:tcPr>
          <w:p w:rsidR="00363CF1" w:rsidRPr="00BD288C" w:rsidRDefault="00363CF1" w:rsidP="00BF5AAE">
            <w:pPr>
              <w:pStyle w:val="Tabletext0"/>
              <w:rPr>
                <w:b/>
              </w:rPr>
            </w:pPr>
          </w:p>
        </w:tc>
        <w:tc>
          <w:tcPr>
            <w:tcW w:w="1654" w:type="pct"/>
            <w:gridSpan w:val="2"/>
            <w:shd w:val="clear" w:color="auto" w:fill="F2F2F2" w:themeFill="background1" w:themeFillShade="F2"/>
          </w:tcPr>
          <w:p w:rsidR="00363CF1" w:rsidRPr="00BD288C" w:rsidRDefault="00363CF1" w:rsidP="00BF5AAE">
            <w:pPr>
              <w:pStyle w:val="Tabletext0"/>
              <w:jc w:val="center"/>
              <w:rPr>
                <w:b/>
              </w:rPr>
            </w:pPr>
            <w:proofErr w:type="spellStart"/>
            <w:r w:rsidRPr="00BD288C">
              <w:rPr>
                <w:b/>
              </w:rPr>
              <w:t>Alectinib</w:t>
            </w:r>
            <w:proofErr w:type="spellEnd"/>
          </w:p>
        </w:tc>
        <w:tc>
          <w:tcPr>
            <w:tcW w:w="2473" w:type="pct"/>
            <w:gridSpan w:val="3"/>
            <w:tcBorders>
              <w:left w:val="double" w:sz="4" w:space="0" w:color="auto"/>
            </w:tcBorders>
            <w:shd w:val="clear" w:color="auto" w:fill="F2F2F2" w:themeFill="background1" w:themeFillShade="F2"/>
          </w:tcPr>
          <w:p w:rsidR="00363CF1" w:rsidRPr="00BD288C" w:rsidRDefault="00363CF1" w:rsidP="00BF5AAE">
            <w:pPr>
              <w:pStyle w:val="Tabletext0"/>
              <w:jc w:val="center"/>
              <w:rPr>
                <w:b/>
              </w:rPr>
            </w:pPr>
            <w:proofErr w:type="spellStart"/>
            <w:r w:rsidRPr="00BD288C">
              <w:rPr>
                <w:b/>
              </w:rPr>
              <w:t>Ceritinib</w:t>
            </w:r>
            <w:proofErr w:type="spellEnd"/>
          </w:p>
        </w:tc>
      </w:tr>
      <w:tr w:rsidR="00363CF1" w:rsidRPr="00BD288C" w:rsidTr="00B67F43">
        <w:trPr>
          <w:tblHeader/>
        </w:trPr>
        <w:tc>
          <w:tcPr>
            <w:tcW w:w="873" w:type="pct"/>
            <w:vMerge/>
            <w:shd w:val="clear" w:color="auto" w:fill="F2F2F2" w:themeFill="background1" w:themeFillShade="F2"/>
          </w:tcPr>
          <w:p w:rsidR="00363CF1" w:rsidRPr="00BD288C" w:rsidRDefault="00363CF1" w:rsidP="00BF5AAE">
            <w:pPr>
              <w:pStyle w:val="Tabletext0"/>
              <w:rPr>
                <w:b/>
              </w:rPr>
            </w:pPr>
          </w:p>
        </w:tc>
        <w:tc>
          <w:tcPr>
            <w:tcW w:w="827" w:type="pct"/>
            <w:shd w:val="clear" w:color="auto" w:fill="F2F2F2" w:themeFill="background1" w:themeFillShade="F2"/>
          </w:tcPr>
          <w:p w:rsidR="00363CF1" w:rsidRPr="00BD288C" w:rsidRDefault="00363CF1" w:rsidP="00BF5AAE">
            <w:pPr>
              <w:pStyle w:val="Tabletext0"/>
              <w:jc w:val="center"/>
              <w:rPr>
                <w:b/>
              </w:rPr>
            </w:pPr>
            <w:r w:rsidRPr="00BD288C">
              <w:rPr>
                <w:b/>
              </w:rPr>
              <w:t>NP28761</w:t>
            </w:r>
          </w:p>
        </w:tc>
        <w:tc>
          <w:tcPr>
            <w:tcW w:w="827" w:type="pct"/>
            <w:shd w:val="clear" w:color="auto" w:fill="F2F2F2" w:themeFill="background1" w:themeFillShade="F2"/>
          </w:tcPr>
          <w:p w:rsidR="00363CF1" w:rsidRPr="00BD288C" w:rsidRDefault="00363CF1" w:rsidP="00BF5AAE">
            <w:pPr>
              <w:pStyle w:val="Tabletext0"/>
              <w:jc w:val="center"/>
              <w:rPr>
                <w:b/>
              </w:rPr>
            </w:pPr>
            <w:r w:rsidRPr="00BD288C">
              <w:rPr>
                <w:b/>
              </w:rPr>
              <w:t>NP28673</w:t>
            </w:r>
          </w:p>
        </w:tc>
        <w:tc>
          <w:tcPr>
            <w:tcW w:w="827" w:type="pct"/>
            <w:tcBorders>
              <w:left w:val="double" w:sz="4" w:space="0" w:color="auto"/>
            </w:tcBorders>
            <w:shd w:val="clear" w:color="auto" w:fill="F2F2F2" w:themeFill="background1" w:themeFillShade="F2"/>
          </w:tcPr>
          <w:p w:rsidR="00363CF1" w:rsidRPr="00BD288C" w:rsidRDefault="00363CF1" w:rsidP="00BF5AAE">
            <w:pPr>
              <w:pStyle w:val="Tabletext0"/>
              <w:jc w:val="center"/>
              <w:rPr>
                <w:b/>
              </w:rPr>
            </w:pPr>
            <w:r w:rsidRPr="00BD288C">
              <w:rPr>
                <w:b/>
              </w:rPr>
              <w:t>ASCEND-1</w:t>
            </w:r>
          </w:p>
        </w:tc>
        <w:tc>
          <w:tcPr>
            <w:tcW w:w="823" w:type="pct"/>
            <w:shd w:val="clear" w:color="auto" w:fill="F2F2F2" w:themeFill="background1" w:themeFillShade="F2"/>
          </w:tcPr>
          <w:p w:rsidR="00363CF1" w:rsidRPr="00BD288C" w:rsidRDefault="00363CF1" w:rsidP="00BF5AAE">
            <w:pPr>
              <w:pStyle w:val="Tabletext0"/>
              <w:jc w:val="center"/>
              <w:rPr>
                <w:b/>
              </w:rPr>
            </w:pPr>
            <w:r w:rsidRPr="00BD288C">
              <w:rPr>
                <w:b/>
              </w:rPr>
              <w:t>ASCEND-2</w:t>
            </w:r>
          </w:p>
        </w:tc>
        <w:tc>
          <w:tcPr>
            <w:tcW w:w="823" w:type="pct"/>
            <w:shd w:val="clear" w:color="auto" w:fill="F2F2F2" w:themeFill="background1" w:themeFillShade="F2"/>
          </w:tcPr>
          <w:p w:rsidR="00363CF1" w:rsidRPr="00BD288C" w:rsidRDefault="00363CF1" w:rsidP="00BF5AAE">
            <w:pPr>
              <w:pStyle w:val="Tabletext0"/>
              <w:jc w:val="center"/>
              <w:rPr>
                <w:b/>
              </w:rPr>
            </w:pPr>
            <w:r w:rsidRPr="00BD288C">
              <w:rPr>
                <w:b/>
              </w:rPr>
              <w:t>ASCEND-5</w:t>
            </w:r>
          </w:p>
        </w:tc>
      </w:tr>
      <w:tr w:rsidR="00B67F43" w:rsidRPr="00BD288C" w:rsidTr="00B67F43">
        <w:tc>
          <w:tcPr>
            <w:tcW w:w="5000" w:type="pct"/>
            <w:gridSpan w:val="6"/>
            <w:vAlign w:val="center"/>
          </w:tcPr>
          <w:p w:rsidR="00B67F43" w:rsidRPr="00BD288C" w:rsidRDefault="00B67F43" w:rsidP="00BF5AAE">
            <w:pPr>
              <w:pStyle w:val="Tabletext0"/>
              <w:jc w:val="left"/>
            </w:pPr>
            <w:r w:rsidRPr="00BD288C">
              <w:rPr>
                <w:b/>
              </w:rPr>
              <w:t>IRC assessed (FAS)</w:t>
            </w:r>
          </w:p>
        </w:tc>
      </w:tr>
      <w:tr w:rsidR="00B67F43" w:rsidRPr="00602F18" w:rsidTr="00B67F43">
        <w:tc>
          <w:tcPr>
            <w:tcW w:w="873" w:type="pct"/>
            <w:vAlign w:val="center"/>
          </w:tcPr>
          <w:p w:rsidR="00B67F43" w:rsidRPr="00602F18" w:rsidRDefault="00B67F43" w:rsidP="00BF5AAE">
            <w:pPr>
              <w:pStyle w:val="Tabletext0"/>
            </w:pPr>
            <w:r w:rsidRPr="00602F18">
              <w:t>ORR, n/N (%)</w:t>
            </w:r>
          </w:p>
          <w:p w:rsidR="00B67F43" w:rsidRPr="00602F18" w:rsidRDefault="00B67F43" w:rsidP="00BF5AAE">
            <w:pPr>
              <w:pStyle w:val="Tabletext0"/>
            </w:pPr>
            <w:r w:rsidRPr="00602F18">
              <w:t>(95% CI)</w:t>
            </w:r>
          </w:p>
        </w:tc>
        <w:tc>
          <w:tcPr>
            <w:tcW w:w="827" w:type="pct"/>
            <w:vAlign w:val="center"/>
          </w:tcPr>
          <w:p w:rsidR="00B67F43" w:rsidRPr="001C2F0E" w:rsidRDefault="001C2F0E" w:rsidP="00BF5AAE">
            <w:pPr>
              <w:pStyle w:val="Tabletext0"/>
              <w:jc w:val="center"/>
              <w:rPr>
                <w:highlight w:val="black"/>
              </w:rPr>
            </w:pPr>
            <w:r>
              <w:rPr>
                <w:noProof/>
                <w:color w:val="000000"/>
                <w:highlight w:val="black"/>
              </w:rPr>
              <w:t>''''''''''''' ''''''''''''''''''</w:t>
            </w:r>
          </w:p>
          <w:p w:rsidR="00B67F43" w:rsidRPr="001C2F0E" w:rsidRDefault="001C2F0E" w:rsidP="00BF5AAE">
            <w:pPr>
              <w:pStyle w:val="Tabletext0"/>
              <w:jc w:val="center"/>
              <w:rPr>
                <w:highlight w:val="black"/>
              </w:rPr>
            </w:pPr>
            <w:r>
              <w:rPr>
                <w:noProof/>
                <w:color w:val="000000"/>
                <w:highlight w:val="black"/>
              </w:rPr>
              <w:t>'''''''''''''''''''' ''''''''''''''''''</w:t>
            </w:r>
          </w:p>
        </w:tc>
        <w:tc>
          <w:tcPr>
            <w:tcW w:w="827" w:type="pct"/>
            <w:vAlign w:val="center"/>
          </w:tcPr>
          <w:p w:rsidR="00B67F43" w:rsidRPr="001C2F0E" w:rsidRDefault="001C2F0E" w:rsidP="00BF5AAE">
            <w:pPr>
              <w:pStyle w:val="Tabletext0"/>
              <w:jc w:val="center"/>
              <w:rPr>
                <w:highlight w:val="black"/>
              </w:rPr>
            </w:pPr>
            <w:r>
              <w:rPr>
                <w:noProof/>
                <w:color w:val="000000"/>
                <w:highlight w:val="black"/>
              </w:rPr>
              <w:t>''''''''''''''''' '''''''''''''''''''</w:t>
            </w:r>
          </w:p>
          <w:p w:rsidR="00B67F43" w:rsidRPr="001C2F0E" w:rsidRDefault="001C2F0E" w:rsidP="00BF5AAE">
            <w:pPr>
              <w:pStyle w:val="Tabletext0"/>
              <w:jc w:val="center"/>
              <w:rPr>
                <w:highlight w:val="black"/>
              </w:rPr>
            </w:pPr>
            <w:r>
              <w:rPr>
                <w:noProof/>
                <w:color w:val="000000"/>
                <w:highlight w:val="black"/>
              </w:rPr>
              <w:t>'''''''''''''''''' '''''''''''''''''''</w:t>
            </w:r>
          </w:p>
        </w:tc>
        <w:tc>
          <w:tcPr>
            <w:tcW w:w="827" w:type="pct"/>
            <w:tcBorders>
              <w:left w:val="double" w:sz="4" w:space="0" w:color="auto"/>
            </w:tcBorders>
            <w:vAlign w:val="center"/>
          </w:tcPr>
          <w:p w:rsidR="00B67F43" w:rsidRPr="00602F18" w:rsidRDefault="00B67F43" w:rsidP="00BF5AAE">
            <w:pPr>
              <w:pStyle w:val="Tabletext0"/>
              <w:jc w:val="center"/>
            </w:pPr>
            <w:r w:rsidRPr="00602F18">
              <w:t>75/163 (46.0%)</w:t>
            </w:r>
          </w:p>
          <w:p w:rsidR="00B67F43" w:rsidRPr="00602F18" w:rsidRDefault="00B67F43" w:rsidP="00BF5AAE">
            <w:pPr>
              <w:pStyle w:val="Tabletext0"/>
              <w:jc w:val="center"/>
            </w:pPr>
            <w:r w:rsidRPr="00602F18">
              <w:t>(38.2%, 54.0%)</w:t>
            </w:r>
          </w:p>
        </w:tc>
        <w:tc>
          <w:tcPr>
            <w:tcW w:w="823" w:type="pct"/>
            <w:vAlign w:val="center"/>
          </w:tcPr>
          <w:p w:rsidR="00B67F43" w:rsidRPr="00602F18" w:rsidRDefault="00B67F43" w:rsidP="00BF5AAE">
            <w:pPr>
              <w:pStyle w:val="Tabletext0"/>
              <w:jc w:val="center"/>
            </w:pPr>
            <w:r w:rsidRPr="00602F18">
              <w:t>50/140 (35.7%)</w:t>
            </w:r>
          </w:p>
          <w:p w:rsidR="00B67F43" w:rsidRPr="00602F18" w:rsidRDefault="00B67F43" w:rsidP="00BF5AAE">
            <w:pPr>
              <w:pStyle w:val="Tabletext0"/>
              <w:jc w:val="center"/>
              <w:rPr>
                <w:rFonts w:ascii="Times" w:hAnsi="Times"/>
              </w:rPr>
            </w:pPr>
            <w:r w:rsidRPr="00602F18">
              <w:t>(27.8%, 44.2%)</w:t>
            </w:r>
          </w:p>
        </w:tc>
        <w:tc>
          <w:tcPr>
            <w:tcW w:w="823" w:type="pct"/>
          </w:tcPr>
          <w:p w:rsidR="00B67F43" w:rsidRPr="00602F18" w:rsidRDefault="00B67F43" w:rsidP="00BF5AAE">
            <w:pPr>
              <w:pStyle w:val="Tabletext0"/>
              <w:jc w:val="center"/>
            </w:pPr>
            <w:r w:rsidRPr="00602F18">
              <w:t>45/115 (39.1</w:t>
            </w:r>
            <w:r w:rsidR="00E91A5F" w:rsidRPr="00602F18">
              <w:t>%</w:t>
            </w:r>
            <w:r w:rsidRPr="00602F18">
              <w:t>)</w:t>
            </w:r>
          </w:p>
          <w:p w:rsidR="00B67F43" w:rsidRPr="00602F18" w:rsidRDefault="00B67F43" w:rsidP="00BF5AAE">
            <w:pPr>
              <w:pStyle w:val="Tabletext0"/>
              <w:jc w:val="center"/>
            </w:pPr>
            <w:r w:rsidRPr="00602F18">
              <w:t>(31.2%, 48.7%)</w:t>
            </w:r>
          </w:p>
        </w:tc>
      </w:tr>
      <w:tr w:rsidR="00B67F43" w:rsidRPr="00602F18" w:rsidTr="00B67F43">
        <w:tc>
          <w:tcPr>
            <w:tcW w:w="5000" w:type="pct"/>
            <w:gridSpan w:val="6"/>
            <w:vAlign w:val="center"/>
          </w:tcPr>
          <w:p w:rsidR="00B67F43" w:rsidRPr="00602F18" w:rsidRDefault="00B67F43" w:rsidP="00BF5AAE">
            <w:pPr>
              <w:pStyle w:val="Tabletext0"/>
              <w:jc w:val="left"/>
            </w:pPr>
            <w:r w:rsidRPr="00602F18">
              <w:rPr>
                <w:b/>
              </w:rPr>
              <w:t>IRC assessed (RE/PP population)</w:t>
            </w:r>
            <w:r w:rsidRPr="00602F18">
              <w:rPr>
                <w:b/>
                <w:vertAlign w:val="superscript"/>
              </w:rPr>
              <w:t>a</w:t>
            </w:r>
          </w:p>
        </w:tc>
      </w:tr>
      <w:tr w:rsidR="00B67F43" w:rsidRPr="00602F18" w:rsidTr="00B67F43">
        <w:tc>
          <w:tcPr>
            <w:tcW w:w="873" w:type="pct"/>
            <w:vAlign w:val="center"/>
          </w:tcPr>
          <w:p w:rsidR="00B67F43" w:rsidRPr="00602F18" w:rsidRDefault="00B67F43" w:rsidP="00BF5AAE">
            <w:pPr>
              <w:pStyle w:val="Tabletext0"/>
            </w:pPr>
            <w:r w:rsidRPr="00602F18">
              <w:t>ORR, n/N (%)</w:t>
            </w:r>
          </w:p>
          <w:p w:rsidR="00B67F43" w:rsidRPr="00602F18" w:rsidRDefault="00B67F43" w:rsidP="00BF5AAE">
            <w:pPr>
              <w:pStyle w:val="Tabletext0"/>
              <w:rPr>
                <w:rFonts w:ascii="Times" w:hAnsi="Times"/>
              </w:rPr>
            </w:pPr>
            <w:r w:rsidRPr="00602F18">
              <w:t>(95% CI)</w:t>
            </w:r>
          </w:p>
        </w:tc>
        <w:tc>
          <w:tcPr>
            <w:tcW w:w="827" w:type="pct"/>
            <w:vAlign w:val="center"/>
          </w:tcPr>
          <w:p w:rsidR="00B67F43" w:rsidRPr="00602F18" w:rsidRDefault="00B67F43" w:rsidP="00BF5AAE">
            <w:pPr>
              <w:pStyle w:val="Tabletext0"/>
              <w:jc w:val="center"/>
            </w:pPr>
            <w:r w:rsidRPr="00602F18">
              <w:t>35/67 (52.2%)</w:t>
            </w:r>
          </w:p>
          <w:p w:rsidR="00B67F43" w:rsidRPr="00602F18" w:rsidRDefault="00B67F43" w:rsidP="00BF5AAE">
            <w:pPr>
              <w:pStyle w:val="Tabletext0"/>
              <w:jc w:val="center"/>
            </w:pPr>
            <w:r w:rsidRPr="00602F18">
              <w:t>(39.7%, 64.6%)</w:t>
            </w:r>
          </w:p>
        </w:tc>
        <w:tc>
          <w:tcPr>
            <w:tcW w:w="827" w:type="pct"/>
            <w:vAlign w:val="center"/>
          </w:tcPr>
          <w:p w:rsidR="00B67F43" w:rsidRPr="00602F18" w:rsidRDefault="00B67F43" w:rsidP="00BF5AAE">
            <w:pPr>
              <w:pStyle w:val="Tabletext0"/>
              <w:jc w:val="center"/>
            </w:pPr>
            <w:r w:rsidRPr="00602F18">
              <w:t>62/122 (50.8%)</w:t>
            </w:r>
          </w:p>
          <w:p w:rsidR="00B67F43" w:rsidRPr="00602F18" w:rsidRDefault="00B67F43" w:rsidP="00BF5AAE">
            <w:pPr>
              <w:pStyle w:val="Tabletext0"/>
              <w:jc w:val="center"/>
            </w:pPr>
            <w:r w:rsidRPr="00602F18">
              <w:t>(41.6%, 60.0%)</w:t>
            </w:r>
          </w:p>
        </w:tc>
        <w:tc>
          <w:tcPr>
            <w:tcW w:w="827" w:type="pct"/>
            <w:tcBorders>
              <w:left w:val="double" w:sz="4" w:space="0" w:color="auto"/>
            </w:tcBorders>
            <w:vAlign w:val="center"/>
          </w:tcPr>
          <w:p w:rsidR="00B67F43" w:rsidRPr="00602F18" w:rsidRDefault="00B67F43" w:rsidP="00BF5AAE">
            <w:pPr>
              <w:pStyle w:val="Tabletext0"/>
              <w:jc w:val="center"/>
            </w:pPr>
            <w:r w:rsidRPr="00602F18">
              <w:t>-</w:t>
            </w:r>
          </w:p>
        </w:tc>
        <w:tc>
          <w:tcPr>
            <w:tcW w:w="823" w:type="pct"/>
            <w:vAlign w:val="center"/>
          </w:tcPr>
          <w:p w:rsidR="00B67F43" w:rsidRPr="00602F18" w:rsidRDefault="00B67F43" w:rsidP="00BF5AAE">
            <w:pPr>
              <w:pStyle w:val="Tabletext0"/>
              <w:jc w:val="center"/>
            </w:pPr>
            <w:r w:rsidRPr="00602F18">
              <w:t>50/102 (49.0%)</w:t>
            </w:r>
          </w:p>
          <w:p w:rsidR="00B67F43" w:rsidRPr="00602F18" w:rsidRDefault="00B67F43" w:rsidP="00BF5AAE">
            <w:pPr>
              <w:pStyle w:val="Tabletext0"/>
              <w:jc w:val="center"/>
            </w:pPr>
            <w:r w:rsidRPr="00602F18">
              <w:t>(39.0%, 59.1%)</w:t>
            </w:r>
          </w:p>
        </w:tc>
        <w:tc>
          <w:tcPr>
            <w:tcW w:w="823" w:type="pct"/>
            <w:vAlign w:val="center"/>
          </w:tcPr>
          <w:p w:rsidR="00B67F43" w:rsidRPr="00602F18" w:rsidRDefault="00B67F43" w:rsidP="00BF5AAE">
            <w:pPr>
              <w:pStyle w:val="Tabletext0"/>
              <w:jc w:val="center"/>
            </w:pPr>
            <w:r w:rsidRPr="00602F18">
              <w:t>-</w:t>
            </w:r>
          </w:p>
        </w:tc>
      </w:tr>
      <w:tr w:rsidR="00B67F43" w:rsidRPr="00602F18" w:rsidTr="00B67F43">
        <w:tc>
          <w:tcPr>
            <w:tcW w:w="5000" w:type="pct"/>
            <w:gridSpan w:val="6"/>
            <w:vAlign w:val="center"/>
          </w:tcPr>
          <w:p w:rsidR="00B67F43" w:rsidRPr="00602F18" w:rsidRDefault="00B67F43" w:rsidP="00BF5AAE">
            <w:pPr>
              <w:pStyle w:val="Tabletext0"/>
              <w:jc w:val="left"/>
            </w:pPr>
            <w:r w:rsidRPr="00602F18">
              <w:rPr>
                <w:b/>
              </w:rPr>
              <w:t>Investigator assessed (FAS population)</w:t>
            </w:r>
            <w:r w:rsidRPr="00602F18">
              <w:rPr>
                <w:b/>
                <w:vertAlign w:val="superscript"/>
              </w:rPr>
              <w:t>b</w:t>
            </w:r>
          </w:p>
        </w:tc>
      </w:tr>
      <w:tr w:rsidR="00B67F43" w:rsidRPr="00602F18" w:rsidTr="00B67F43">
        <w:tc>
          <w:tcPr>
            <w:tcW w:w="873" w:type="pct"/>
            <w:vAlign w:val="center"/>
          </w:tcPr>
          <w:p w:rsidR="00B67F43" w:rsidRPr="00602F18" w:rsidRDefault="00B67F43" w:rsidP="00BF5AAE">
            <w:pPr>
              <w:pStyle w:val="Tabletext0"/>
            </w:pPr>
            <w:r w:rsidRPr="00602F18">
              <w:t>ORR, n/N (%)</w:t>
            </w:r>
          </w:p>
          <w:p w:rsidR="00B67F43" w:rsidRPr="00602F18" w:rsidRDefault="00B67F43" w:rsidP="00BF5AAE">
            <w:pPr>
              <w:pStyle w:val="Tabletext0"/>
            </w:pPr>
            <w:r w:rsidRPr="00602F18">
              <w:t>(95% CI)</w:t>
            </w:r>
          </w:p>
        </w:tc>
        <w:tc>
          <w:tcPr>
            <w:tcW w:w="827" w:type="pct"/>
            <w:vAlign w:val="center"/>
          </w:tcPr>
          <w:p w:rsidR="00B67F43" w:rsidRPr="00602F18" w:rsidRDefault="00B67F43" w:rsidP="00BF5AAE">
            <w:pPr>
              <w:pStyle w:val="Tabletext0"/>
              <w:jc w:val="center"/>
            </w:pPr>
            <w:r w:rsidRPr="00602F18">
              <w:t>46/87 (52.9%)</w:t>
            </w:r>
          </w:p>
          <w:p w:rsidR="00B67F43" w:rsidRPr="00602F18" w:rsidRDefault="00B67F43" w:rsidP="00BF5AAE">
            <w:pPr>
              <w:pStyle w:val="Tabletext0"/>
              <w:jc w:val="center"/>
            </w:pPr>
            <w:r w:rsidRPr="00602F18">
              <w:t>(41.95, 63.7%)</w:t>
            </w:r>
          </w:p>
        </w:tc>
        <w:tc>
          <w:tcPr>
            <w:tcW w:w="827" w:type="pct"/>
            <w:vAlign w:val="center"/>
          </w:tcPr>
          <w:p w:rsidR="00B67F43" w:rsidRPr="00602F18" w:rsidRDefault="00B67F43" w:rsidP="00BF5AAE">
            <w:pPr>
              <w:pStyle w:val="Tabletext0"/>
              <w:jc w:val="center"/>
            </w:pPr>
            <w:r w:rsidRPr="00602F18">
              <w:t>71/138 (51.4%)</w:t>
            </w:r>
          </w:p>
          <w:p w:rsidR="00B67F43" w:rsidRPr="00602F18" w:rsidRDefault="00B67F43" w:rsidP="00BF5AAE">
            <w:pPr>
              <w:pStyle w:val="Tabletext0"/>
              <w:jc w:val="center"/>
            </w:pPr>
            <w:r w:rsidRPr="00602F18">
              <w:t>(42.8%, 60.0%)</w:t>
            </w:r>
          </w:p>
        </w:tc>
        <w:tc>
          <w:tcPr>
            <w:tcW w:w="827" w:type="pct"/>
            <w:tcBorders>
              <w:left w:val="double" w:sz="4" w:space="0" w:color="auto"/>
            </w:tcBorders>
            <w:vAlign w:val="center"/>
          </w:tcPr>
          <w:p w:rsidR="00B67F43" w:rsidRPr="00602F18" w:rsidRDefault="00B67F43" w:rsidP="00BF5AAE">
            <w:pPr>
              <w:pStyle w:val="Tabletext0"/>
              <w:jc w:val="center"/>
            </w:pPr>
            <w:r w:rsidRPr="00602F18">
              <w:t>92/163 (56.4%)</w:t>
            </w:r>
          </w:p>
          <w:p w:rsidR="00B67F43" w:rsidRPr="00602F18" w:rsidRDefault="00B67F43" w:rsidP="00BF5AAE">
            <w:pPr>
              <w:pStyle w:val="Tabletext0"/>
              <w:jc w:val="center"/>
            </w:pPr>
            <w:r w:rsidRPr="00602F18">
              <w:t>(48.4%, 64.2%)</w:t>
            </w:r>
          </w:p>
        </w:tc>
        <w:tc>
          <w:tcPr>
            <w:tcW w:w="823" w:type="pct"/>
            <w:vAlign w:val="center"/>
          </w:tcPr>
          <w:p w:rsidR="00B67F43" w:rsidRPr="00602F18" w:rsidRDefault="00B67F43" w:rsidP="00BF5AAE">
            <w:pPr>
              <w:pStyle w:val="Tabletext0"/>
              <w:jc w:val="center"/>
            </w:pPr>
            <w:r w:rsidRPr="00602F18">
              <w:t>54/140 (38.6%)</w:t>
            </w:r>
          </w:p>
          <w:p w:rsidR="00B67F43" w:rsidRPr="00602F18" w:rsidRDefault="00B67F43" w:rsidP="00BF5AAE">
            <w:pPr>
              <w:pStyle w:val="Tabletext0"/>
              <w:jc w:val="center"/>
            </w:pPr>
            <w:r w:rsidRPr="00602F18">
              <w:t>(30.5%, 47.2%)</w:t>
            </w:r>
          </w:p>
        </w:tc>
        <w:tc>
          <w:tcPr>
            <w:tcW w:w="823" w:type="pct"/>
          </w:tcPr>
          <w:p w:rsidR="00B67F43" w:rsidRPr="00602F18" w:rsidRDefault="00B67F43" w:rsidP="00BF5AAE">
            <w:pPr>
              <w:pStyle w:val="Tabletext0"/>
              <w:jc w:val="center"/>
            </w:pPr>
            <w:r w:rsidRPr="00602F18">
              <w:t>49/115 (42.6%)</w:t>
            </w:r>
          </w:p>
          <w:p w:rsidR="00B67F43" w:rsidRPr="00602F18" w:rsidRDefault="00B67F43" w:rsidP="00BF5AAE">
            <w:pPr>
              <w:pStyle w:val="Tabletext0"/>
              <w:jc w:val="center"/>
            </w:pPr>
            <w:r w:rsidRPr="00602F18">
              <w:t>(33.4%, 52.2%)</w:t>
            </w:r>
          </w:p>
        </w:tc>
      </w:tr>
      <w:tr w:rsidR="00B67F43" w:rsidRPr="00602F18" w:rsidTr="00B67F43">
        <w:tc>
          <w:tcPr>
            <w:tcW w:w="873" w:type="pct"/>
            <w:vAlign w:val="center"/>
          </w:tcPr>
          <w:p w:rsidR="00B67F43" w:rsidRPr="00602F18" w:rsidRDefault="00B67F43" w:rsidP="00BF5AAE">
            <w:pPr>
              <w:pStyle w:val="Tabletext0"/>
              <w:spacing w:before="20" w:after="20"/>
            </w:pPr>
            <w:r w:rsidRPr="00602F18">
              <w:t>DOR, months</w:t>
            </w:r>
          </w:p>
          <w:p w:rsidR="00B67F43" w:rsidRPr="00602F18" w:rsidRDefault="00B67F43" w:rsidP="00BF5AAE">
            <w:pPr>
              <w:pStyle w:val="Tabletext0"/>
              <w:spacing w:before="20" w:after="20"/>
            </w:pPr>
            <w:r w:rsidRPr="00602F18">
              <w:t>Median (95%CI)</w:t>
            </w:r>
          </w:p>
        </w:tc>
        <w:tc>
          <w:tcPr>
            <w:tcW w:w="827" w:type="pct"/>
            <w:vAlign w:val="center"/>
          </w:tcPr>
          <w:p w:rsidR="00B67F43" w:rsidRPr="001C2F0E" w:rsidRDefault="001C2F0E" w:rsidP="00BF5AAE">
            <w:pPr>
              <w:pStyle w:val="Tabletext0"/>
              <w:spacing w:before="20" w:after="20"/>
              <w:jc w:val="center"/>
              <w:rPr>
                <w:highlight w:val="black"/>
              </w:rPr>
            </w:pPr>
            <w:r>
              <w:rPr>
                <w:noProof/>
                <w:color w:val="000000"/>
                <w:highlight w:val="black"/>
              </w:rPr>
              <w:t xml:space="preserve">'''''''''' </w:t>
            </w:r>
            <w:r>
              <w:rPr>
                <w:noProof/>
                <w:color w:val="000000"/>
                <w:highlight w:val="black"/>
              </w:rPr>
              <w:br/>
              <w:t>'''''''''' '''''''''''</w:t>
            </w:r>
          </w:p>
        </w:tc>
        <w:tc>
          <w:tcPr>
            <w:tcW w:w="827" w:type="pct"/>
            <w:vAlign w:val="center"/>
          </w:tcPr>
          <w:p w:rsidR="00B67F43" w:rsidRPr="001C2F0E" w:rsidRDefault="001C2F0E" w:rsidP="00BF5AAE">
            <w:pPr>
              <w:pStyle w:val="Tabletext0"/>
              <w:spacing w:before="20" w:after="20"/>
              <w:jc w:val="center"/>
              <w:rPr>
                <w:highlight w:val="black"/>
              </w:rPr>
            </w:pPr>
            <w:r>
              <w:rPr>
                <w:noProof/>
                <w:color w:val="000000"/>
                <w:highlight w:val="black"/>
              </w:rPr>
              <w:t xml:space="preserve">'''''''''' </w:t>
            </w:r>
            <w:r>
              <w:rPr>
                <w:noProof/>
                <w:color w:val="000000"/>
                <w:highlight w:val="black"/>
              </w:rPr>
              <w:br/>
              <w:t>''''''''''''''' ''''''''''''''</w:t>
            </w:r>
          </w:p>
        </w:tc>
        <w:tc>
          <w:tcPr>
            <w:tcW w:w="827" w:type="pct"/>
            <w:tcBorders>
              <w:left w:val="double" w:sz="4" w:space="0" w:color="auto"/>
            </w:tcBorders>
            <w:vAlign w:val="center"/>
          </w:tcPr>
          <w:p w:rsidR="00B67F43" w:rsidRPr="00602F18" w:rsidRDefault="00B67F43" w:rsidP="00BF5AAE">
            <w:pPr>
              <w:pStyle w:val="Tabletext0"/>
              <w:spacing w:before="20" w:after="20"/>
              <w:jc w:val="center"/>
            </w:pPr>
            <w:r w:rsidRPr="00602F18">
              <w:t>8.3</w:t>
            </w:r>
            <w:r w:rsidRPr="00602F18">
              <w:br/>
              <w:t>(6.8, 9.7)</w:t>
            </w:r>
          </w:p>
        </w:tc>
        <w:tc>
          <w:tcPr>
            <w:tcW w:w="823" w:type="pct"/>
            <w:vAlign w:val="center"/>
          </w:tcPr>
          <w:p w:rsidR="00B67F43" w:rsidRPr="00602F18" w:rsidRDefault="00B67F43" w:rsidP="00BF5AAE">
            <w:pPr>
              <w:pStyle w:val="Tabletext0"/>
              <w:spacing w:before="20" w:after="20"/>
              <w:jc w:val="center"/>
            </w:pPr>
            <w:r w:rsidRPr="00602F18">
              <w:t xml:space="preserve">9.7 </w:t>
            </w:r>
            <w:r w:rsidRPr="00602F18">
              <w:br/>
              <w:t>(7.1, 11.1)</w:t>
            </w:r>
          </w:p>
        </w:tc>
        <w:tc>
          <w:tcPr>
            <w:tcW w:w="823" w:type="pct"/>
            <w:vAlign w:val="center"/>
          </w:tcPr>
          <w:p w:rsidR="00B67F43" w:rsidRPr="00602F18" w:rsidRDefault="00B67F43" w:rsidP="00BF5AAE">
            <w:pPr>
              <w:pStyle w:val="Tabletext0"/>
              <w:spacing w:before="20" w:after="20"/>
              <w:jc w:val="center"/>
            </w:pPr>
            <w:r w:rsidRPr="00602F18">
              <w:t>NR</w:t>
            </w:r>
          </w:p>
        </w:tc>
      </w:tr>
    </w:tbl>
    <w:p w:rsidR="00BC1C4E" w:rsidRPr="00602F18" w:rsidRDefault="0060691C" w:rsidP="00BF5AAE">
      <w:pPr>
        <w:pStyle w:val="TableFooter"/>
        <w:widowControl/>
      </w:pPr>
      <w:r w:rsidRPr="00602F18">
        <w:t xml:space="preserve">CI = confidence interval; DOR = duration of response; </w:t>
      </w:r>
      <w:r w:rsidR="00BC1C4E" w:rsidRPr="00602F18">
        <w:t xml:space="preserve">FAS = full analysis set; </w:t>
      </w:r>
      <w:r w:rsidR="00E91A5F" w:rsidRPr="00602F18">
        <w:t xml:space="preserve">IRC = independent review committee; </w:t>
      </w:r>
      <w:r w:rsidR="00B67F43" w:rsidRPr="00602F18">
        <w:t xml:space="preserve">NR = not reported; </w:t>
      </w:r>
      <w:r w:rsidR="00BC1C4E" w:rsidRPr="00602F18">
        <w:t xml:space="preserve">ORR = objective response rate; </w:t>
      </w:r>
      <w:r w:rsidR="00C279A5" w:rsidRPr="00602F18">
        <w:t>PP</w:t>
      </w:r>
      <w:r w:rsidR="00592BF1" w:rsidRPr="00602F18">
        <w:t> </w:t>
      </w:r>
      <w:r w:rsidR="00C279A5" w:rsidRPr="00602F18">
        <w:t>=</w:t>
      </w:r>
      <w:r w:rsidR="00592BF1" w:rsidRPr="00602F18">
        <w:t> </w:t>
      </w:r>
      <w:r w:rsidR="00C279A5" w:rsidRPr="00602F18">
        <w:t>per protocol; RE = response evaluable</w:t>
      </w:r>
      <w:r w:rsidR="00F6522F" w:rsidRPr="00602F18">
        <w:t>.</w:t>
      </w:r>
    </w:p>
    <w:p w:rsidR="00BC1C4E" w:rsidRPr="00602F18" w:rsidRDefault="00BC1C4E" w:rsidP="00BF5AAE">
      <w:pPr>
        <w:pStyle w:val="TableFooter"/>
        <w:widowControl/>
      </w:pPr>
      <w:proofErr w:type="gramStart"/>
      <w:r w:rsidRPr="00602F18">
        <w:rPr>
          <w:vertAlign w:val="superscript"/>
        </w:rPr>
        <w:t>a</w:t>
      </w:r>
      <w:proofErr w:type="gramEnd"/>
      <w:r w:rsidRPr="00602F18">
        <w:t xml:space="preserve"> </w:t>
      </w:r>
      <w:r w:rsidR="00C3734D" w:rsidRPr="00602F18">
        <w:t xml:space="preserve">IRC assessed </w:t>
      </w:r>
      <w:r w:rsidRPr="00602F18">
        <w:t xml:space="preserve">RE population in NP28761 and NP28673, </w:t>
      </w:r>
      <w:r w:rsidR="00C3734D" w:rsidRPr="00602F18">
        <w:t xml:space="preserve">and IRC assessed </w:t>
      </w:r>
      <w:r w:rsidRPr="00602F18">
        <w:t>PP population in ASCEND-2</w:t>
      </w:r>
      <w:r w:rsidR="00F6522F" w:rsidRPr="00602F18">
        <w:t>.</w:t>
      </w:r>
    </w:p>
    <w:p w:rsidR="00C3734D" w:rsidRPr="00602F18" w:rsidRDefault="00C3734D" w:rsidP="00BF5AAE">
      <w:pPr>
        <w:pStyle w:val="TableFooter"/>
        <w:widowControl/>
      </w:pPr>
      <w:proofErr w:type="gramStart"/>
      <w:r w:rsidRPr="00602F18">
        <w:rPr>
          <w:vertAlign w:val="superscript"/>
        </w:rPr>
        <w:t>b</w:t>
      </w:r>
      <w:proofErr w:type="gramEnd"/>
      <w:r w:rsidRPr="00602F18">
        <w:t xml:space="preserve"> The investigator RE population in the </w:t>
      </w:r>
      <w:proofErr w:type="spellStart"/>
      <w:r w:rsidRPr="00602F18">
        <w:t>alectinib</w:t>
      </w:r>
      <w:proofErr w:type="spellEnd"/>
      <w:r w:rsidRPr="00602F18">
        <w:t xml:space="preserve"> studies included all patients in the FAS (all treated patients)</w:t>
      </w:r>
      <w:r w:rsidR="00F6522F" w:rsidRPr="00602F18">
        <w:t>.</w:t>
      </w:r>
    </w:p>
    <w:p w:rsidR="00A73C16" w:rsidRPr="00602F18" w:rsidRDefault="00A73C16" w:rsidP="00BF5AAE">
      <w:pPr>
        <w:pStyle w:val="TableFooter"/>
        <w:widowControl/>
      </w:pPr>
      <w:r w:rsidRPr="00602F18">
        <w:t xml:space="preserve">Source: Table 2.22 p43, </w:t>
      </w:r>
      <w:r w:rsidR="00F163CA" w:rsidRPr="00602F18">
        <w:t xml:space="preserve">Table 2.24 p45, </w:t>
      </w:r>
      <w:r w:rsidRPr="00602F18">
        <w:t>Table 2.30</w:t>
      </w:r>
      <w:r w:rsidR="00BC1C4E" w:rsidRPr="00602F18">
        <w:t xml:space="preserve"> p52 </w:t>
      </w:r>
      <w:r w:rsidRPr="00602F18">
        <w:t xml:space="preserve">and Table 31 p52 </w:t>
      </w:r>
      <w:r w:rsidR="00BC1C4E" w:rsidRPr="00602F18">
        <w:t xml:space="preserve">Section 2 of the submission; </w:t>
      </w:r>
      <w:proofErr w:type="spellStart"/>
      <w:r w:rsidRPr="00602F18">
        <w:t>Scagliotti</w:t>
      </w:r>
      <w:proofErr w:type="spellEnd"/>
      <w:r w:rsidRPr="00602F18">
        <w:t xml:space="preserve"> et al (2016).</w:t>
      </w:r>
    </w:p>
    <w:p w:rsidR="001561F5" w:rsidRPr="00D647A9" w:rsidRDefault="001561F5" w:rsidP="00863A4D">
      <w:pPr>
        <w:pStyle w:val="ListParagraph"/>
        <w:numPr>
          <w:ilvl w:val="1"/>
          <w:numId w:val="4"/>
        </w:numPr>
        <w:spacing w:before="0" w:after="120"/>
      </w:pPr>
      <w:r w:rsidRPr="00602F18">
        <w:t>The pooled results for IRC assessed ORR based on the FAS were similar for both drugs (</w:t>
      </w:r>
      <w:r w:rsidR="001C2F0E">
        <w:rPr>
          <w:noProof/>
          <w:color w:val="000000"/>
          <w:highlight w:val="black"/>
        </w:rPr>
        <w:t>''''''</w:t>
      </w:r>
      <w:r w:rsidRPr="00602F18">
        <w:t xml:space="preserve">% vs 41% for </w:t>
      </w:r>
      <w:proofErr w:type="spellStart"/>
      <w:r w:rsidRPr="00602F18">
        <w:t>alectinib</w:t>
      </w:r>
      <w:proofErr w:type="spellEnd"/>
      <w:r w:rsidRPr="00602F18">
        <w:t xml:space="preserve"> and </w:t>
      </w:r>
      <w:proofErr w:type="spellStart"/>
      <w:r w:rsidRPr="00602F18">
        <w:t>ceritinib</w:t>
      </w:r>
      <w:proofErr w:type="spellEnd"/>
      <w:r w:rsidRPr="00602F18">
        <w:t>, respectively), as were the investigator assessed results (</w:t>
      </w:r>
      <w:r w:rsidR="001C2F0E">
        <w:rPr>
          <w:noProof/>
          <w:color w:val="000000"/>
          <w:highlight w:val="black"/>
        </w:rPr>
        <w:t>'''''</w:t>
      </w:r>
      <w:r w:rsidRPr="00602F18">
        <w:t>%</w:t>
      </w:r>
      <w:r w:rsidRPr="00D647A9">
        <w:t xml:space="preserve"> and 4</w:t>
      </w:r>
      <w:r w:rsidR="00B67F43" w:rsidRPr="00D647A9">
        <w:t>7</w:t>
      </w:r>
      <w:r w:rsidRPr="00D647A9">
        <w:t xml:space="preserve">% for </w:t>
      </w:r>
      <w:proofErr w:type="spellStart"/>
      <w:r w:rsidRPr="00D647A9">
        <w:t>alectinib</w:t>
      </w:r>
      <w:proofErr w:type="spellEnd"/>
      <w:r w:rsidRPr="00D647A9">
        <w:t xml:space="preserve"> and </w:t>
      </w:r>
      <w:proofErr w:type="spellStart"/>
      <w:r w:rsidRPr="00D647A9">
        <w:t>ceritinib</w:t>
      </w:r>
      <w:proofErr w:type="spellEnd"/>
      <w:r w:rsidRPr="00D647A9">
        <w:t xml:space="preserve">, respectively). The investigator reported median duration of response was longer in the </w:t>
      </w:r>
      <w:proofErr w:type="spellStart"/>
      <w:r w:rsidRPr="00D647A9">
        <w:t>alectinib</w:t>
      </w:r>
      <w:proofErr w:type="spellEnd"/>
      <w:r w:rsidRPr="00D647A9">
        <w:t xml:space="preserve"> studies compared to the </w:t>
      </w:r>
      <w:proofErr w:type="spellStart"/>
      <w:r w:rsidRPr="00D647A9">
        <w:t>ceritinib</w:t>
      </w:r>
      <w:proofErr w:type="spellEnd"/>
      <w:r w:rsidRPr="00D647A9">
        <w:t xml:space="preserve"> studies.</w:t>
      </w:r>
    </w:p>
    <w:p w:rsidR="0060691C" w:rsidRPr="00D647A9" w:rsidRDefault="0060691C" w:rsidP="00863A4D">
      <w:pPr>
        <w:pStyle w:val="ListParagraph"/>
        <w:numPr>
          <w:ilvl w:val="1"/>
          <w:numId w:val="4"/>
        </w:numPr>
        <w:spacing w:before="0" w:after="120"/>
      </w:pPr>
      <w:r w:rsidRPr="00D647A9">
        <w:t>Table</w:t>
      </w:r>
      <w:r w:rsidR="009B61B0" w:rsidRPr="00D647A9">
        <w:t xml:space="preserve"> 6</w:t>
      </w:r>
      <w:r w:rsidRPr="00D647A9">
        <w:t xml:space="preserve"> presents the results of the naïve indirect comparison of ORR.</w:t>
      </w:r>
    </w:p>
    <w:p w:rsidR="00993409" w:rsidRDefault="00993409">
      <w:pPr>
        <w:spacing w:before="0" w:line="259" w:lineRule="auto"/>
        <w:jc w:val="left"/>
        <w:rPr>
          <w:rFonts w:ascii="Arial Narrow" w:hAnsi="Arial Narrow"/>
          <w:b/>
          <w:sz w:val="20"/>
        </w:rPr>
      </w:pPr>
      <w:r>
        <w:br w:type="page"/>
      </w:r>
    </w:p>
    <w:p w:rsidR="00A074BD" w:rsidRDefault="00A074BD" w:rsidP="00A074BD">
      <w:pPr>
        <w:pStyle w:val="Caption"/>
      </w:pPr>
      <w:r>
        <w:t xml:space="preserve">Table </w:t>
      </w:r>
      <w:r>
        <w:rPr>
          <w:noProof/>
        </w:rPr>
        <w:t>6</w:t>
      </w:r>
      <w:r w:rsidRPr="00AA0EB2">
        <w:t>: Summary of results of the naïve indirect comparison for objective response 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865"/>
        <w:gridCol w:w="1763"/>
        <w:gridCol w:w="1364"/>
        <w:gridCol w:w="1281"/>
        <w:gridCol w:w="1447"/>
      </w:tblGrid>
      <w:tr w:rsidR="00422CCF" w:rsidRPr="008123DA" w:rsidTr="00E91A5F">
        <w:trPr>
          <w:tblHeader/>
        </w:trPr>
        <w:tc>
          <w:tcPr>
            <w:tcW w:w="823" w:type="pct"/>
            <w:vMerge w:val="restart"/>
            <w:shd w:val="clear" w:color="auto" w:fill="F2F2F2" w:themeFill="background1" w:themeFillShade="F2"/>
          </w:tcPr>
          <w:p w:rsidR="00422CCF" w:rsidRPr="00EF3278" w:rsidRDefault="00422CCF" w:rsidP="00BF5AAE">
            <w:pPr>
              <w:pStyle w:val="TableText"/>
              <w:rPr>
                <w:b/>
              </w:rPr>
            </w:pPr>
          </w:p>
        </w:tc>
        <w:tc>
          <w:tcPr>
            <w:tcW w:w="1009" w:type="pct"/>
            <w:vMerge w:val="restart"/>
            <w:shd w:val="clear" w:color="auto" w:fill="F2F2F2" w:themeFill="background1" w:themeFillShade="F2"/>
            <w:vAlign w:val="center"/>
          </w:tcPr>
          <w:p w:rsidR="00422CCF" w:rsidRPr="00EF3278" w:rsidRDefault="00422CCF" w:rsidP="00BF5AAE">
            <w:pPr>
              <w:pStyle w:val="TableText"/>
              <w:rPr>
                <w:b/>
              </w:rPr>
            </w:pPr>
            <w:r w:rsidRPr="00EF3278">
              <w:rPr>
                <w:b/>
              </w:rPr>
              <w:t>Trial ID</w:t>
            </w:r>
          </w:p>
        </w:tc>
        <w:tc>
          <w:tcPr>
            <w:tcW w:w="954" w:type="pct"/>
            <w:vMerge w:val="restart"/>
            <w:shd w:val="clear" w:color="auto" w:fill="F2F2F2" w:themeFill="background1" w:themeFillShade="F2"/>
            <w:vAlign w:val="center"/>
          </w:tcPr>
          <w:p w:rsidR="00422CCF" w:rsidRPr="00EF3278" w:rsidRDefault="00422CCF" w:rsidP="00BF5AAE">
            <w:pPr>
              <w:pStyle w:val="TableText"/>
              <w:jc w:val="center"/>
              <w:rPr>
                <w:b/>
              </w:rPr>
            </w:pPr>
            <w:proofErr w:type="gramStart"/>
            <w:r w:rsidRPr="00EF3278">
              <w:rPr>
                <w:b/>
                <w:i/>
                <w:iCs/>
              </w:rPr>
              <w:t>n</w:t>
            </w:r>
            <w:proofErr w:type="gramEnd"/>
            <w:r w:rsidRPr="00EF3278">
              <w:rPr>
                <w:b/>
              </w:rPr>
              <w:t xml:space="preserve"> with event/</w:t>
            </w:r>
            <w:r w:rsidRPr="00EF3278">
              <w:rPr>
                <w:b/>
                <w:i/>
                <w:iCs/>
              </w:rPr>
              <w:t>N</w:t>
            </w:r>
            <w:r w:rsidRPr="00EF3278">
              <w:rPr>
                <w:b/>
              </w:rPr>
              <w:t xml:space="preserve"> (%)</w:t>
            </w:r>
          </w:p>
        </w:tc>
        <w:tc>
          <w:tcPr>
            <w:tcW w:w="2214" w:type="pct"/>
            <w:gridSpan w:val="3"/>
            <w:shd w:val="clear" w:color="auto" w:fill="F2F2F2" w:themeFill="background1" w:themeFillShade="F2"/>
            <w:vAlign w:val="center"/>
          </w:tcPr>
          <w:p w:rsidR="00422CCF" w:rsidRPr="00EF3278" w:rsidRDefault="00422CCF" w:rsidP="00BF5AAE">
            <w:pPr>
              <w:pStyle w:val="TableText"/>
              <w:jc w:val="center"/>
              <w:rPr>
                <w:b/>
              </w:rPr>
            </w:pPr>
            <w:proofErr w:type="spellStart"/>
            <w:r>
              <w:rPr>
                <w:b/>
              </w:rPr>
              <w:t>Alectinib</w:t>
            </w:r>
            <w:proofErr w:type="spellEnd"/>
            <w:r>
              <w:rPr>
                <w:b/>
              </w:rPr>
              <w:t xml:space="preserve"> </w:t>
            </w:r>
            <w:r w:rsidR="00925157">
              <w:rPr>
                <w:b/>
              </w:rPr>
              <w:t>vs.</w:t>
            </w:r>
            <w:r>
              <w:rPr>
                <w:b/>
              </w:rPr>
              <w:t xml:space="preserve"> </w:t>
            </w:r>
            <w:proofErr w:type="spellStart"/>
            <w:r>
              <w:rPr>
                <w:b/>
              </w:rPr>
              <w:t>ceritinib</w:t>
            </w:r>
            <w:proofErr w:type="spellEnd"/>
          </w:p>
        </w:tc>
      </w:tr>
      <w:tr w:rsidR="00422CCF" w:rsidRPr="008123DA" w:rsidTr="00E91A5F">
        <w:trPr>
          <w:tblHeader/>
        </w:trPr>
        <w:tc>
          <w:tcPr>
            <w:tcW w:w="823" w:type="pct"/>
            <w:vMerge/>
            <w:shd w:val="clear" w:color="auto" w:fill="F2F2F2" w:themeFill="background1" w:themeFillShade="F2"/>
          </w:tcPr>
          <w:p w:rsidR="00422CCF" w:rsidRPr="00EF3278" w:rsidRDefault="00422CCF" w:rsidP="00BF5AAE">
            <w:pPr>
              <w:pStyle w:val="TableText"/>
              <w:rPr>
                <w:b/>
              </w:rPr>
            </w:pPr>
          </w:p>
        </w:tc>
        <w:tc>
          <w:tcPr>
            <w:tcW w:w="1009" w:type="pct"/>
            <w:vMerge/>
            <w:shd w:val="clear" w:color="auto" w:fill="F2F2F2" w:themeFill="background1" w:themeFillShade="F2"/>
            <w:vAlign w:val="center"/>
          </w:tcPr>
          <w:p w:rsidR="00422CCF" w:rsidRPr="00EF3278" w:rsidRDefault="00422CCF" w:rsidP="00BF5AAE">
            <w:pPr>
              <w:pStyle w:val="TableText"/>
              <w:rPr>
                <w:b/>
              </w:rPr>
            </w:pPr>
          </w:p>
        </w:tc>
        <w:tc>
          <w:tcPr>
            <w:tcW w:w="954" w:type="pct"/>
            <w:vMerge/>
            <w:shd w:val="clear" w:color="auto" w:fill="F2F2F2" w:themeFill="background1" w:themeFillShade="F2"/>
            <w:vAlign w:val="center"/>
          </w:tcPr>
          <w:p w:rsidR="00422CCF" w:rsidRPr="00EF3278" w:rsidRDefault="00422CCF" w:rsidP="00BF5AAE">
            <w:pPr>
              <w:pStyle w:val="TableText"/>
              <w:jc w:val="center"/>
              <w:rPr>
                <w:b/>
                <w:i/>
                <w:iCs/>
              </w:rPr>
            </w:pPr>
          </w:p>
        </w:tc>
        <w:tc>
          <w:tcPr>
            <w:tcW w:w="738" w:type="pct"/>
            <w:shd w:val="clear" w:color="auto" w:fill="F2F2F2" w:themeFill="background1" w:themeFillShade="F2"/>
            <w:vAlign w:val="center"/>
          </w:tcPr>
          <w:p w:rsidR="00422CCF" w:rsidRDefault="00422CCF" w:rsidP="00BF5AAE">
            <w:pPr>
              <w:pStyle w:val="TableText"/>
              <w:jc w:val="center"/>
              <w:rPr>
                <w:b/>
              </w:rPr>
            </w:pPr>
            <w:r>
              <w:rPr>
                <w:b/>
              </w:rPr>
              <w:t>Odds ratio</w:t>
            </w:r>
          </w:p>
          <w:p w:rsidR="00422CCF" w:rsidRPr="00EF3278" w:rsidRDefault="00422CCF" w:rsidP="00BF5AAE">
            <w:pPr>
              <w:pStyle w:val="TableText"/>
              <w:jc w:val="center"/>
              <w:rPr>
                <w:b/>
              </w:rPr>
            </w:pPr>
            <w:r>
              <w:rPr>
                <w:b/>
              </w:rPr>
              <w:t>(95% CI)</w:t>
            </w:r>
          </w:p>
        </w:tc>
        <w:tc>
          <w:tcPr>
            <w:tcW w:w="693" w:type="pct"/>
            <w:shd w:val="clear" w:color="auto" w:fill="F2F2F2" w:themeFill="background1" w:themeFillShade="F2"/>
            <w:vAlign w:val="center"/>
          </w:tcPr>
          <w:p w:rsidR="00422CCF" w:rsidRDefault="00422CCF" w:rsidP="00BF5AAE">
            <w:pPr>
              <w:pStyle w:val="TableText"/>
              <w:jc w:val="center"/>
              <w:rPr>
                <w:b/>
              </w:rPr>
            </w:pPr>
            <w:r>
              <w:rPr>
                <w:b/>
              </w:rPr>
              <w:t>Relative risk</w:t>
            </w:r>
          </w:p>
          <w:p w:rsidR="00422CCF" w:rsidRPr="00EF3278" w:rsidRDefault="00422CCF" w:rsidP="00BF5AAE">
            <w:pPr>
              <w:pStyle w:val="TableText"/>
              <w:jc w:val="center"/>
              <w:rPr>
                <w:b/>
              </w:rPr>
            </w:pPr>
            <w:r>
              <w:rPr>
                <w:b/>
              </w:rPr>
              <w:t>(95% CI)</w:t>
            </w:r>
          </w:p>
        </w:tc>
        <w:tc>
          <w:tcPr>
            <w:tcW w:w="783" w:type="pct"/>
            <w:shd w:val="clear" w:color="auto" w:fill="F2F2F2" w:themeFill="background1" w:themeFillShade="F2"/>
            <w:vAlign w:val="center"/>
          </w:tcPr>
          <w:p w:rsidR="00422CCF" w:rsidRDefault="00422CCF" w:rsidP="00BF5AAE">
            <w:pPr>
              <w:pStyle w:val="TableText"/>
              <w:jc w:val="center"/>
              <w:rPr>
                <w:b/>
              </w:rPr>
            </w:pPr>
            <w:r>
              <w:rPr>
                <w:b/>
              </w:rPr>
              <w:t>Risk difference</w:t>
            </w:r>
          </w:p>
          <w:p w:rsidR="00422CCF" w:rsidRDefault="00422CCF" w:rsidP="00BF5AAE">
            <w:pPr>
              <w:pStyle w:val="TableText"/>
              <w:jc w:val="center"/>
              <w:rPr>
                <w:b/>
              </w:rPr>
            </w:pPr>
            <w:r>
              <w:rPr>
                <w:b/>
              </w:rPr>
              <w:t>(95% CI)</w:t>
            </w:r>
          </w:p>
        </w:tc>
      </w:tr>
      <w:tr w:rsidR="00422CCF" w:rsidRPr="00AF0C90" w:rsidTr="006C41A4">
        <w:tc>
          <w:tcPr>
            <w:tcW w:w="5000" w:type="pct"/>
            <w:gridSpan w:val="6"/>
            <w:vAlign w:val="center"/>
          </w:tcPr>
          <w:p w:rsidR="00422CCF" w:rsidRPr="00602F18" w:rsidRDefault="00422CCF" w:rsidP="00BF5AAE">
            <w:pPr>
              <w:pStyle w:val="Tabletext0"/>
              <w:spacing w:before="20" w:after="20"/>
            </w:pPr>
            <w:r w:rsidRPr="00602F18">
              <w:rPr>
                <w:b/>
              </w:rPr>
              <w:t>IRC assessed ORR (FAS)</w:t>
            </w:r>
          </w:p>
        </w:tc>
      </w:tr>
      <w:tr w:rsidR="00422CCF" w:rsidRPr="00AF0C90" w:rsidTr="00E91A5F">
        <w:tc>
          <w:tcPr>
            <w:tcW w:w="823" w:type="pct"/>
            <w:vMerge w:val="restart"/>
          </w:tcPr>
          <w:p w:rsidR="00422CCF" w:rsidRPr="00602F18" w:rsidRDefault="00422CCF" w:rsidP="00BF5AAE">
            <w:pPr>
              <w:pStyle w:val="Tabletext0"/>
              <w:spacing w:before="20" w:after="20"/>
            </w:pPr>
            <w:proofErr w:type="spellStart"/>
            <w:r w:rsidRPr="00602F18">
              <w:t>Alectinib</w:t>
            </w:r>
            <w:proofErr w:type="spellEnd"/>
            <w:r w:rsidRPr="00602F18">
              <w:t xml:space="preserve"> studies</w:t>
            </w:r>
          </w:p>
        </w:tc>
        <w:tc>
          <w:tcPr>
            <w:tcW w:w="1009" w:type="pct"/>
            <w:shd w:val="clear" w:color="auto" w:fill="auto"/>
            <w:vAlign w:val="center"/>
          </w:tcPr>
          <w:p w:rsidR="00422CCF" w:rsidRPr="00602F18" w:rsidRDefault="00422CCF" w:rsidP="00BF5AAE">
            <w:pPr>
              <w:pStyle w:val="Tabletext0"/>
              <w:spacing w:before="20" w:after="20"/>
              <w:jc w:val="left"/>
            </w:pPr>
            <w:r w:rsidRPr="00602F18">
              <w:t>NP28761</w:t>
            </w:r>
          </w:p>
        </w:tc>
        <w:tc>
          <w:tcPr>
            <w:tcW w:w="954" w:type="pct"/>
            <w:shd w:val="clear" w:color="auto" w:fill="auto"/>
            <w:vAlign w:val="center"/>
          </w:tcPr>
          <w:p w:rsidR="00422CCF" w:rsidRPr="001C2F0E" w:rsidRDefault="001C2F0E" w:rsidP="00BF5AAE">
            <w:pPr>
              <w:pStyle w:val="Tabletext0"/>
              <w:spacing w:before="20" w:after="20"/>
              <w:jc w:val="center"/>
              <w:rPr>
                <w:i/>
                <w:highlight w:val="black"/>
              </w:rPr>
            </w:pPr>
            <w:r>
              <w:rPr>
                <w:i/>
                <w:noProof/>
                <w:color w:val="000000"/>
                <w:highlight w:val="black"/>
              </w:rPr>
              <w:t>''''''''''''' ''''''''''''''''''</w:t>
            </w:r>
          </w:p>
        </w:tc>
        <w:tc>
          <w:tcPr>
            <w:tcW w:w="738" w:type="pct"/>
            <w:vMerge w:val="restart"/>
            <w:shd w:val="clear" w:color="auto" w:fill="auto"/>
            <w:vAlign w:val="center"/>
          </w:tcPr>
          <w:p w:rsidR="00422CCF" w:rsidRPr="001C2F0E" w:rsidRDefault="001C2F0E" w:rsidP="00BF5AAE">
            <w:pPr>
              <w:pStyle w:val="Tabletext0"/>
              <w:spacing w:before="20" w:after="20"/>
              <w:jc w:val="center"/>
              <w:rPr>
                <w:i/>
                <w:highlight w:val="black"/>
              </w:rPr>
            </w:pPr>
            <w:r>
              <w:rPr>
                <w:i/>
                <w:noProof/>
                <w:color w:val="000000"/>
                <w:highlight w:val="black"/>
              </w:rPr>
              <w:t>''''''''''</w:t>
            </w:r>
          </w:p>
          <w:p w:rsidR="00422CCF" w:rsidRPr="001C2F0E" w:rsidRDefault="001C2F0E" w:rsidP="00BF5AAE">
            <w:pPr>
              <w:pStyle w:val="Tabletext0"/>
              <w:spacing w:before="20" w:after="20"/>
              <w:jc w:val="center"/>
              <w:rPr>
                <w:highlight w:val="black"/>
              </w:rPr>
            </w:pPr>
            <w:r>
              <w:rPr>
                <w:i/>
                <w:noProof/>
                <w:color w:val="000000"/>
                <w:highlight w:val="black"/>
              </w:rPr>
              <w:t>''''''''''''''' '''''''''''</w:t>
            </w:r>
          </w:p>
        </w:tc>
        <w:tc>
          <w:tcPr>
            <w:tcW w:w="693" w:type="pct"/>
            <w:vMerge w:val="restart"/>
            <w:shd w:val="clear" w:color="auto" w:fill="auto"/>
            <w:vAlign w:val="center"/>
          </w:tcPr>
          <w:p w:rsidR="00422CCF" w:rsidRPr="001C2F0E" w:rsidRDefault="001C2F0E" w:rsidP="00BF5AAE">
            <w:pPr>
              <w:pStyle w:val="Tabletext0"/>
              <w:spacing w:before="20" w:after="20"/>
              <w:jc w:val="center"/>
              <w:rPr>
                <w:i/>
                <w:highlight w:val="black"/>
              </w:rPr>
            </w:pPr>
            <w:r>
              <w:rPr>
                <w:i/>
                <w:noProof/>
                <w:color w:val="000000"/>
                <w:highlight w:val="black"/>
              </w:rPr>
              <w:t xml:space="preserve">''''''''''' </w:t>
            </w:r>
          </w:p>
          <w:p w:rsidR="00422CCF" w:rsidRPr="001C2F0E" w:rsidRDefault="001C2F0E" w:rsidP="00BF5AAE">
            <w:pPr>
              <w:pStyle w:val="Tabletext0"/>
              <w:spacing w:before="20" w:after="20"/>
              <w:jc w:val="center"/>
              <w:rPr>
                <w:highlight w:val="black"/>
              </w:rPr>
            </w:pPr>
            <w:r>
              <w:rPr>
                <w:i/>
                <w:noProof/>
                <w:color w:val="000000"/>
                <w:highlight w:val="black"/>
              </w:rPr>
              <w:t>''''''''''''''' '''''''''''''</w:t>
            </w:r>
          </w:p>
        </w:tc>
        <w:tc>
          <w:tcPr>
            <w:tcW w:w="783" w:type="pct"/>
            <w:vMerge w:val="restart"/>
            <w:vAlign w:val="center"/>
          </w:tcPr>
          <w:p w:rsidR="00422CCF" w:rsidRPr="001C2F0E" w:rsidRDefault="001C2F0E" w:rsidP="00BF5AAE">
            <w:pPr>
              <w:pStyle w:val="Tabletext0"/>
              <w:spacing w:before="20" w:after="20"/>
              <w:jc w:val="center"/>
              <w:rPr>
                <w:i/>
                <w:highlight w:val="black"/>
              </w:rPr>
            </w:pPr>
            <w:r>
              <w:rPr>
                <w:i/>
                <w:noProof/>
                <w:color w:val="000000"/>
                <w:highlight w:val="black"/>
              </w:rPr>
              <w:t>''''''''''''</w:t>
            </w:r>
          </w:p>
          <w:p w:rsidR="00422CCF" w:rsidRPr="001C2F0E" w:rsidRDefault="001C2F0E" w:rsidP="00BF5AAE">
            <w:pPr>
              <w:pStyle w:val="Tabletext0"/>
              <w:spacing w:before="20" w:after="20"/>
              <w:jc w:val="center"/>
              <w:rPr>
                <w:highlight w:val="black"/>
              </w:rPr>
            </w:pPr>
            <w:r>
              <w:rPr>
                <w:i/>
                <w:noProof/>
                <w:color w:val="000000"/>
                <w:highlight w:val="black"/>
              </w:rPr>
              <w:t>'''''''''''''''' ''''''''''''''''''</w:t>
            </w:r>
          </w:p>
        </w:tc>
      </w:tr>
      <w:tr w:rsidR="00422CCF" w:rsidRPr="00AF0C90" w:rsidTr="00E91A5F">
        <w:tc>
          <w:tcPr>
            <w:tcW w:w="823" w:type="pct"/>
            <w:vMerge/>
          </w:tcPr>
          <w:p w:rsidR="00422CCF" w:rsidRPr="00602F18" w:rsidRDefault="00422CCF" w:rsidP="00BF5AAE">
            <w:pPr>
              <w:pStyle w:val="Tabletext0"/>
              <w:spacing w:before="20" w:after="20"/>
            </w:pPr>
          </w:p>
        </w:tc>
        <w:tc>
          <w:tcPr>
            <w:tcW w:w="1009" w:type="pct"/>
            <w:shd w:val="clear" w:color="auto" w:fill="auto"/>
            <w:vAlign w:val="center"/>
          </w:tcPr>
          <w:p w:rsidR="00422CCF" w:rsidRPr="00602F18" w:rsidRDefault="00422CCF" w:rsidP="00BF5AAE">
            <w:pPr>
              <w:pStyle w:val="Tabletext0"/>
              <w:spacing w:before="20" w:after="20"/>
              <w:jc w:val="left"/>
            </w:pPr>
            <w:r w:rsidRPr="00602F18">
              <w:t>NP28673</w:t>
            </w:r>
          </w:p>
        </w:tc>
        <w:tc>
          <w:tcPr>
            <w:tcW w:w="954" w:type="pct"/>
            <w:shd w:val="clear" w:color="auto" w:fill="auto"/>
            <w:vAlign w:val="center"/>
          </w:tcPr>
          <w:p w:rsidR="00422CCF" w:rsidRPr="001C2F0E" w:rsidRDefault="001C2F0E" w:rsidP="00BF5AAE">
            <w:pPr>
              <w:pStyle w:val="Tabletext0"/>
              <w:spacing w:before="20" w:after="20"/>
              <w:jc w:val="center"/>
              <w:rPr>
                <w:i/>
                <w:highlight w:val="black"/>
              </w:rPr>
            </w:pPr>
            <w:r>
              <w:rPr>
                <w:i/>
                <w:noProof/>
                <w:color w:val="000000"/>
                <w:highlight w:val="black"/>
              </w:rPr>
              <w:t>''''''''''''''''' '''''''''''''''''</w:t>
            </w:r>
          </w:p>
        </w:tc>
        <w:tc>
          <w:tcPr>
            <w:tcW w:w="738" w:type="pct"/>
            <w:vMerge/>
            <w:shd w:val="clear" w:color="auto" w:fill="auto"/>
            <w:vAlign w:val="center"/>
          </w:tcPr>
          <w:p w:rsidR="00422CCF" w:rsidRPr="00602F18" w:rsidRDefault="00422CCF" w:rsidP="00BF5AAE">
            <w:pPr>
              <w:pStyle w:val="Tabletext0"/>
              <w:spacing w:before="20" w:after="20"/>
              <w:jc w:val="center"/>
            </w:pPr>
          </w:p>
        </w:tc>
        <w:tc>
          <w:tcPr>
            <w:tcW w:w="693" w:type="pct"/>
            <w:vMerge/>
            <w:shd w:val="clear" w:color="auto" w:fill="auto"/>
            <w:vAlign w:val="center"/>
          </w:tcPr>
          <w:p w:rsidR="00422CCF" w:rsidRPr="00602F18" w:rsidRDefault="00422CCF" w:rsidP="00BF5AAE">
            <w:pPr>
              <w:pStyle w:val="Tabletext0"/>
              <w:spacing w:before="20" w:after="20"/>
              <w:jc w:val="center"/>
            </w:pPr>
          </w:p>
        </w:tc>
        <w:tc>
          <w:tcPr>
            <w:tcW w:w="783" w:type="pct"/>
            <w:vMerge/>
            <w:vAlign w:val="center"/>
          </w:tcPr>
          <w:p w:rsidR="00422CCF" w:rsidRPr="00602F18" w:rsidRDefault="00422CCF" w:rsidP="00BF5AAE">
            <w:pPr>
              <w:pStyle w:val="Tabletext0"/>
              <w:spacing w:before="20" w:after="20"/>
              <w:jc w:val="center"/>
            </w:pPr>
          </w:p>
        </w:tc>
      </w:tr>
      <w:tr w:rsidR="00422CCF" w:rsidRPr="00AF0C90" w:rsidTr="00E91A5F">
        <w:tc>
          <w:tcPr>
            <w:tcW w:w="823" w:type="pct"/>
            <w:vMerge/>
          </w:tcPr>
          <w:p w:rsidR="00422CCF" w:rsidRPr="00602F18" w:rsidRDefault="00422CCF" w:rsidP="00BF5AAE">
            <w:pPr>
              <w:pStyle w:val="Tabletext0"/>
              <w:spacing w:before="20" w:after="20"/>
            </w:pPr>
          </w:p>
        </w:tc>
        <w:tc>
          <w:tcPr>
            <w:tcW w:w="1009" w:type="pct"/>
            <w:shd w:val="clear" w:color="auto" w:fill="auto"/>
            <w:vAlign w:val="center"/>
          </w:tcPr>
          <w:p w:rsidR="00422CCF" w:rsidRPr="00602F18" w:rsidRDefault="00E91A5F" w:rsidP="00BF5AAE">
            <w:pPr>
              <w:pStyle w:val="Tabletext0"/>
              <w:spacing w:before="20" w:after="20"/>
              <w:jc w:val="left"/>
            </w:pPr>
            <w:r w:rsidRPr="00602F18">
              <w:t>Unweighted p</w:t>
            </w:r>
            <w:r w:rsidR="00422CCF" w:rsidRPr="00602F18">
              <w:t>ooled</w:t>
            </w:r>
            <w:r w:rsidR="004D74E1" w:rsidRPr="00602F18">
              <w:t xml:space="preserve"> total</w:t>
            </w:r>
          </w:p>
        </w:tc>
        <w:tc>
          <w:tcPr>
            <w:tcW w:w="954" w:type="pct"/>
            <w:shd w:val="clear" w:color="auto" w:fill="auto"/>
            <w:vAlign w:val="center"/>
          </w:tcPr>
          <w:p w:rsidR="00422CCF" w:rsidRPr="001C2F0E" w:rsidRDefault="001C2F0E" w:rsidP="00BF5AAE">
            <w:pPr>
              <w:pStyle w:val="Tabletext0"/>
              <w:spacing w:before="20" w:after="20"/>
              <w:jc w:val="center"/>
              <w:rPr>
                <w:i/>
                <w:highlight w:val="black"/>
              </w:rPr>
            </w:pPr>
            <w:r>
              <w:rPr>
                <w:i/>
                <w:noProof/>
                <w:color w:val="000000"/>
                <w:highlight w:val="black"/>
              </w:rPr>
              <w:t>''''''''''''''''' '''''''''''''''''</w:t>
            </w:r>
          </w:p>
        </w:tc>
        <w:tc>
          <w:tcPr>
            <w:tcW w:w="738" w:type="pct"/>
            <w:vMerge/>
            <w:shd w:val="clear" w:color="auto" w:fill="auto"/>
            <w:vAlign w:val="center"/>
          </w:tcPr>
          <w:p w:rsidR="00422CCF" w:rsidRPr="00602F18" w:rsidRDefault="00422CCF" w:rsidP="00BF5AAE">
            <w:pPr>
              <w:pStyle w:val="Tabletext0"/>
              <w:spacing w:before="20" w:after="20"/>
              <w:jc w:val="center"/>
              <w:rPr>
                <w:i/>
              </w:rPr>
            </w:pPr>
          </w:p>
        </w:tc>
        <w:tc>
          <w:tcPr>
            <w:tcW w:w="693" w:type="pct"/>
            <w:vMerge/>
            <w:shd w:val="clear" w:color="auto" w:fill="auto"/>
            <w:vAlign w:val="center"/>
          </w:tcPr>
          <w:p w:rsidR="00422CCF" w:rsidRPr="00602F18" w:rsidRDefault="00422CCF" w:rsidP="00BF5AAE">
            <w:pPr>
              <w:pStyle w:val="Tabletext0"/>
              <w:spacing w:before="20" w:after="20"/>
              <w:jc w:val="center"/>
              <w:rPr>
                <w:i/>
              </w:rPr>
            </w:pPr>
          </w:p>
        </w:tc>
        <w:tc>
          <w:tcPr>
            <w:tcW w:w="783" w:type="pct"/>
            <w:vMerge/>
            <w:vAlign w:val="center"/>
          </w:tcPr>
          <w:p w:rsidR="00422CCF" w:rsidRPr="00602F18" w:rsidRDefault="00422CCF" w:rsidP="00BF5AAE">
            <w:pPr>
              <w:pStyle w:val="Tabletext0"/>
              <w:spacing w:before="20" w:after="20"/>
              <w:jc w:val="center"/>
              <w:rPr>
                <w:i/>
              </w:rPr>
            </w:pPr>
          </w:p>
        </w:tc>
      </w:tr>
      <w:tr w:rsidR="00422CCF" w:rsidRPr="00AF0C90" w:rsidTr="00E91A5F">
        <w:tc>
          <w:tcPr>
            <w:tcW w:w="823" w:type="pct"/>
            <w:vMerge w:val="restart"/>
          </w:tcPr>
          <w:p w:rsidR="00422CCF" w:rsidRPr="00602F18" w:rsidRDefault="00422CCF" w:rsidP="00BF5AAE">
            <w:pPr>
              <w:pStyle w:val="Tabletext0"/>
              <w:spacing w:before="20" w:after="20"/>
            </w:pPr>
            <w:proofErr w:type="spellStart"/>
            <w:r w:rsidRPr="00602F18">
              <w:t>Ceritinib</w:t>
            </w:r>
            <w:proofErr w:type="spellEnd"/>
            <w:r w:rsidRPr="00602F18">
              <w:t xml:space="preserve"> studies</w:t>
            </w:r>
          </w:p>
        </w:tc>
        <w:tc>
          <w:tcPr>
            <w:tcW w:w="1009" w:type="pct"/>
            <w:shd w:val="clear" w:color="auto" w:fill="auto"/>
            <w:vAlign w:val="center"/>
          </w:tcPr>
          <w:p w:rsidR="00422CCF" w:rsidRPr="00602F18" w:rsidRDefault="00E91A5F" w:rsidP="00BF5AAE">
            <w:pPr>
              <w:pStyle w:val="Tabletext0"/>
              <w:spacing w:before="20" w:after="20"/>
              <w:jc w:val="left"/>
            </w:pPr>
            <w:r w:rsidRPr="00602F18">
              <w:t>Unweighted p</w:t>
            </w:r>
            <w:r w:rsidR="00422CCF" w:rsidRPr="00602F18">
              <w:t>ooled study results</w:t>
            </w:r>
          </w:p>
        </w:tc>
        <w:tc>
          <w:tcPr>
            <w:tcW w:w="954" w:type="pct"/>
            <w:shd w:val="clear" w:color="auto" w:fill="auto"/>
            <w:vAlign w:val="center"/>
          </w:tcPr>
          <w:p w:rsidR="00422CCF" w:rsidRPr="00602F18" w:rsidRDefault="00422CCF" w:rsidP="00BF5AAE">
            <w:pPr>
              <w:pStyle w:val="Tabletext0"/>
              <w:spacing w:before="20" w:after="20"/>
              <w:jc w:val="center"/>
            </w:pPr>
            <w:r w:rsidRPr="00602F18">
              <w:t>125/303 (41.3%)</w:t>
            </w:r>
          </w:p>
        </w:tc>
        <w:tc>
          <w:tcPr>
            <w:tcW w:w="738" w:type="pct"/>
            <w:vMerge/>
            <w:shd w:val="clear" w:color="auto" w:fill="auto"/>
            <w:vAlign w:val="center"/>
          </w:tcPr>
          <w:p w:rsidR="00422CCF" w:rsidRPr="00602F18" w:rsidRDefault="00422CCF" w:rsidP="00BF5AAE">
            <w:pPr>
              <w:pStyle w:val="Tabletext0"/>
              <w:spacing w:before="20" w:after="20"/>
              <w:jc w:val="center"/>
            </w:pPr>
          </w:p>
        </w:tc>
        <w:tc>
          <w:tcPr>
            <w:tcW w:w="693" w:type="pct"/>
            <w:vMerge/>
            <w:shd w:val="clear" w:color="auto" w:fill="auto"/>
            <w:vAlign w:val="center"/>
          </w:tcPr>
          <w:p w:rsidR="00422CCF" w:rsidRPr="00602F18" w:rsidRDefault="00422CCF" w:rsidP="00BF5AAE">
            <w:pPr>
              <w:pStyle w:val="Tabletext0"/>
              <w:spacing w:before="20" w:after="20"/>
              <w:jc w:val="center"/>
            </w:pPr>
          </w:p>
        </w:tc>
        <w:tc>
          <w:tcPr>
            <w:tcW w:w="783" w:type="pct"/>
            <w:vMerge/>
            <w:vAlign w:val="center"/>
          </w:tcPr>
          <w:p w:rsidR="00422CCF" w:rsidRPr="00602F18" w:rsidRDefault="00422CCF" w:rsidP="00BF5AAE">
            <w:pPr>
              <w:pStyle w:val="Tabletext0"/>
              <w:spacing w:before="20" w:after="20"/>
              <w:jc w:val="center"/>
            </w:pPr>
          </w:p>
        </w:tc>
      </w:tr>
      <w:tr w:rsidR="00422CCF" w:rsidRPr="00AF0C90" w:rsidTr="00E91A5F">
        <w:tc>
          <w:tcPr>
            <w:tcW w:w="823" w:type="pct"/>
            <w:vMerge/>
          </w:tcPr>
          <w:p w:rsidR="00422CCF" w:rsidRPr="00602F18" w:rsidRDefault="00422CCF" w:rsidP="00BF5AAE">
            <w:pPr>
              <w:pStyle w:val="Tabletext0"/>
              <w:spacing w:before="20" w:after="20"/>
            </w:pPr>
          </w:p>
        </w:tc>
        <w:tc>
          <w:tcPr>
            <w:tcW w:w="1009" w:type="pct"/>
            <w:shd w:val="clear" w:color="auto" w:fill="auto"/>
            <w:vAlign w:val="center"/>
          </w:tcPr>
          <w:p w:rsidR="00422CCF" w:rsidRPr="00602F18" w:rsidRDefault="00422CCF" w:rsidP="00BF5AAE">
            <w:pPr>
              <w:pStyle w:val="Tabletext0"/>
              <w:spacing w:before="20" w:after="20"/>
              <w:jc w:val="left"/>
            </w:pPr>
            <w:r w:rsidRPr="00602F18">
              <w:t>ASCEND-1</w:t>
            </w:r>
          </w:p>
        </w:tc>
        <w:tc>
          <w:tcPr>
            <w:tcW w:w="954" w:type="pct"/>
            <w:shd w:val="clear" w:color="auto" w:fill="auto"/>
            <w:vAlign w:val="center"/>
          </w:tcPr>
          <w:p w:rsidR="00422CCF" w:rsidRPr="00602F18" w:rsidRDefault="00422CCF" w:rsidP="00BF5AAE">
            <w:pPr>
              <w:pStyle w:val="Tabletext0"/>
              <w:spacing w:before="20" w:after="20"/>
              <w:jc w:val="center"/>
            </w:pPr>
            <w:r w:rsidRPr="00602F18">
              <w:t>75/163 (46.0%)</w:t>
            </w:r>
          </w:p>
        </w:tc>
        <w:tc>
          <w:tcPr>
            <w:tcW w:w="738" w:type="pct"/>
            <w:vMerge/>
            <w:shd w:val="clear" w:color="auto" w:fill="auto"/>
            <w:vAlign w:val="center"/>
          </w:tcPr>
          <w:p w:rsidR="00422CCF" w:rsidRPr="00602F18" w:rsidRDefault="00422CCF" w:rsidP="00BF5AAE">
            <w:pPr>
              <w:pStyle w:val="Tabletext0"/>
              <w:spacing w:before="20" w:after="20"/>
              <w:jc w:val="center"/>
            </w:pPr>
          </w:p>
        </w:tc>
        <w:tc>
          <w:tcPr>
            <w:tcW w:w="693" w:type="pct"/>
            <w:vMerge/>
            <w:shd w:val="clear" w:color="auto" w:fill="auto"/>
            <w:vAlign w:val="center"/>
          </w:tcPr>
          <w:p w:rsidR="00422CCF" w:rsidRPr="00602F18" w:rsidRDefault="00422CCF" w:rsidP="00BF5AAE">
            <w:pPr>
              <w:pStyle w:val="Tabletext0"/>
              <w:spacing w:before="20" w:after="20"/>
              <w:jc w:val="center"/>
            </w:pPr>
          </w:p>
        </w:tc>
        <w:tc>
          <w:tcPr>
            <w:tcW w:w="783" w:type="pct"/>
            <w:vMerge/>
            <w:vAlign w:val="center"/>
          </w:tcPr>
          <w:p w:rsidR="00422CCF" w:rsidRPr="00602F18" w:rsidRDefault="00422CCF" w:rsidP="00BF5AAE">
            <w:pPr>
              <w:pStyle w:val="Tabletext0"/>
              <w:spacing w:before="20" w:after="20"/>
              <w:jc w:val="center"/>
            </w:pPr>
          </w:p>
        </w:tc>
      </w:tr>
      <w:tr w:rsidR="00422CCF" w:rsidRPr="00AF0C90" w:rsidTr="00E91A5F">
        <w:tc>
          <w:tcPr>
            <w:tcW w:w="823" w:type="pct"/>
            <w:vMerge/>
          </w:tcPr>
          <w:p w:rsidR="00422CCF" w:rsidRPr="00602F18" w:rsidRDefault="00422CCF" w:rsidP="00BF5AAE">
            <w:pPr>
              <w:pStyle w:val="Tabletext0"/>
              <w:spacing w:before="20" w:after="20"/>
            </w:pPr>
          </w:p>
        </w:tc>
        <w:tc>
          <w:tcPr>
            <w:tcW w:w="1009" w:type="pct"/>
            <w:shd w:val="clear" w:color="auto" w:fill="auto"/>
            <w:vAlign w:val="center"/>
          </w:tcPr>
          <w:p w:rsidR="00422CCF" w:rsidRPr="00602F18" w:rsidRDefault="00422CCF" w:rsidP="00BF5AAE">
            <w:pPr>
              <w:pStyle w:val="Tabletext0"/>
              <w:spacing w:before="20" w:after="20"/>
              <w:jc w:val="left"/>
            </w:pPr>
            <w:r w:rsidRPr="00602F18">
              <w:t>ASCEND-2</w:t>
            </w:r>
          </w:p>
        </w:tc>
        <w:tc>
          <w:tcPr>
            <w:tcW w:w="954" w:type="pct"/>
            <w:shd w:val="clear" w:color="auto" w:fill="auto"/>
            <w:vAlign w:val="center"/>
          </w:tcPr>
          <w:p w:rsidR="00422CCF" w:rsidRPr="00602F18" w:rsidRDefault="00422CCF" w:rsidP="00BF5AAE">
            <w:pPr>
              <w:pStyle w:val="Tabletext0"/>
              <w:spacing w:before="20" w:after="20"/>
              <w:jc w:val="center"/>
            </w:pPr>
            <w:r w:rsidRPr="00602F18">
              <w:t>50/140 (35.7%)</w:t>
            </w:r>
          </w:p>
        </w:tc>
        <w:tc>
          <w:tcPr>
            <w:tcW w:w="738" w:type="pct"/>
            <w:vMerge/>
            <w:shd w:val="clear" w:color="auto" w:fill="auto"/>
            <w:vAlign w:val="center"/>
          </w:tcPr>
          <w:p w:rsidR="00422CCF" w:rsidRPr="00602F18" w:rsidRDefault="00422CCF" w:rsidP="00BF5AAE">
            <w:pPr>
              <w:pStyle w:val="Tabletext0"/>
              <w:spacing w:before="20" w:after="20"/>
              <w:jc w:val="center"/>
            </w:pPr>
          </w:p>
        </w:tc>
        <w:tc>
          <w:tcPr>
            <w:tcW w:w="693" w:type="pct"/>
            <w:vMerge/>
            <w:shd w:val="clear" w:color="auto" w:fill="auto"/>
            <w:vAlign w:val="center"/>
          </w:tcPr>
          <w:p w:rsidR="00422CCF" w:rsidRPr="00602F18" w:rsidRDefault="00422CCF" w:rsidP="00BF5AAE">
            <w:pPr>
              <w:pStyle w:val="Tabletext0"/>
              <w:spacing w:before="20" w:after="20"/>
              <w:jc w:val="center"/>
            </w:pPr>
          </w:p>
        </w:tc>
        <w:tc>
          <w:tcPr>
            <w:tcW w:w="783" w:type="pct"/>
            <w:vMerge/>
            <w:vAlign w:val="center"/>
          </w:tcPr>
          <w:p w:rsidR="00422CCF" w:rsidRPr="00602F18" w:rsidRDefault="00422CCF" w:rsidP="00BF5AAE">
            <w:pPr>
              <w:pStyle w:val="Tabletext0"/>
              <w:spacing w:before="20" w:after="20"/>
              <w:jc w:val="center"/>
            </w:pPr>
          </w:p>
        </w:tc>
      </w:tr>
      <w:tr w:rsidR="00422CCF" w:rsidRPr="00AF0C90" w:rsidTr="006C41A4">
        <w:tc>
          <w:tcPr>
            <w:tcW w:w="5000" w:type="pct"/>
            <w:gridSpan w:val="6"/>
            <w:vAlign w:val="center"/>
          </w:tcPr>
          <w:p w:rsidR="00422CCF" w:rsidRPr="00602F18" w:rsidRDefault="00422CCF" w:rsidP="00BF5AAE">
            <w:pPr>
              <w:pStyle w:val="Tabletext0"/>
              <w:spacing w:before="20" w:after="20"/>
              <w:rPr>
                <w:b/>
                <w:vertAlign w:val="superscript"/>
              </w:rPr>
            </w:pPr>
            <w:r w:rsidRPr="00602F18">
              <w:rPr>
                <w:b/>
              </w:rPr>
              <w:t xml:space="preserve">IRC assessed ORR (RE population in </w:t>
            </w:r>
            <w:proofErr w:type="spellStart"/>
            <w:r w:rsidRPr="00602F18">
              <w:rPr>
                <w:b/>
              </w:rPr>
              <w:t>alectinib</w:t>
            </w:r>
            <w:proofErr w:type="spellEnd"/>
            <w:r w:rsidRPr="00602F18">
              <w:rPr>
                <w:b/>
              </w:rPr>
              <w:t xml:space="preserve"> studies and FAS in </w:t>
            </w:r>
            <w:proofErr w:type="spellStart"/>
            <w:r w:rsidRPr="00602F18">
              <w:rPr>
                <w:b/>
              </w:rPr>
              <w:t>ceritinib</w:t>
            </w:r>
            <w:proofErr w:type="spellEnd"/>
            <w:r w:rsidRPr="00602F18">
              <w:rPr>
                <w:b/>
              </w:rPr>
              <w:t xml:space="preserve"> studies)</w:t>
            </w:r>
            <w:r w:rsidR="005170B5" w:rsidRPr="00602F18">
              <w:rPr>
                <w:b/>
                <w:vertAlign w:val="superscript"/>
              </w:rPr>
              <w:t>a</w:t>
            </w:r>
          </w:p>
        </w:tc>
      </w:tr>
      <w:tr w:rsidR="00E91A5F" w:rsidRPr="00AF0C90" w:rsidTr="00E91A5F">
        <w:tc>
          <w:tcPr>
            <w:tcW w:w="823" w:type="pct"/>
          </w:tcPr>
          <w:p w:rsidR="00E91A5F" w:rsidRPr="00602F18" w:rsidRDefault="00E91A5F" w:rsidP="00BF5AAE">
            <w:pPr>
              <w:pStyle w:val="Tabletext0"/>
              <w:spacing w:before="20" w:after="20"/>
            </w:pPr>
            <w:proofErr w:type="spellStart"/>
            <w:r w:rsidRPr="00602F18">
              <w:t>Alectinib</w:t>
            </w:r>
            <w:proofErr w:type="spellEnd"/>
            <w:r w:rsidRPr="00602F18">
              <w:t xml:space="preserve"> studies</w:t>
            </w:r>
          </w:p>
          <w:p w:rsidR="00E91A5F" w:rsidRPr="00602F18" w:rsidRDefault="00E91A5F" w:rsidP="00BF5AAE">
            <w:pPr>
              <w:pStyle w:val="Tabletext0"/>
              <w:spacing w:before="20" w:after="20"/>
            </w:pPr>
            <w:r w:rsidRPr="00602F18">
              <w:t>RE population</w:t>
            </w:r>
          </w:p>
        </w:tc>
        <w:tc>
          <w:tcPr>
            <w:tcW w:w="1009" w:type="pct"/>
            <w:shd w:val="clear" w:color="auto" w:fill="auto"/>
          </w:tcPr>
          <w:p w:rsidR="00E91A5F" w:rsidRPr="00602F18" w:rsidRDefault="00E91A5F" w:rsidP="00BF5AAE">
            <w:pPr>
              <w:pStyle w:val="Tabletext0"/>
              <w:spacing w:before="20" w:after="20"/>
              <w:jc w:val="left"/>
            </w:pPr>
            <w:r w:rsidRPr="00602F18">
              <w:t xml:space="preserve">Unweighted pooled </w:t>
            </w:r>
            <w:r w:rsidR="004D74E1" w:rsidRPr="00602F18">
              <w:t>total</w:t>
            </w:r>
          </w:p>
        </w:tc>
        <w:tc>
          <w:tcPr>
            <w:tcW w:w="954" w:type="pct"/>
            <w:shd w:val="clear" w:color="auto" w:fill="auto"/>
            <w:vAlign w:val="center"/>
          </w:tcPr>
          <w:p w:rsidR="00E91A5F" w:rsidRPr="001C2F0E" w:rsidRDefault="001C2F0E" w:rsidP="00BF5AAE">
            <w:pPr>
              <w:pStyle w:val="Tabletext0"/>
              <w:spacing w:before="20" w:after="20"/>
              <w:jc w:val="center"/>
              <w:rPr>
                <w:highlight w:val="black"/>
              </w:rPr>
            </w:pPr>
            <w:r>
              <w:rPr>
                <w:noProof/>
                <w:color w:val="000000"/>
                <w:highlight w:val="black"/>
              </w:rPr>
              <w:t>'''''''''''''''' ''''''''''''''''''''</w:t>
            </w:r>
          </w:p>
        </w:tc>
        <w:tc>
          <w:tcPr>
            <w:tcW w:w="738" w:type="pct"/>
            <w:vMerge w:val="restart"/>
            <w:shd w:val="clear" w:color="auto" w:fill="auto"/>
            <w:vAlign w:val="center"/>
          </w:tcPr>
          <w:p w:rsidR="00E91A5F" w:rsidRPr="001C2F0E" w:rsidRDefault="001C2F0E" w:rsidP="00BF5AAE">
            <w:pPr>
              <w:pStyle w:val="Tabletext0"/>
              <w:spacing w:before="20" w:after="20"/>
              <w:jc w:val="center"/>
              <w:rPr>
                <w:highlight w:val="black"/>
              </w:rPr>
            </w:pPr>
            <w:r>
              <w:rPr>
                <w:noProof/>
                <w:color w:val="000000"/>
                <w:highlight w:val="black"/>
              </w:rPr>
              <w:t>''''''''''</w:t>
            </w:r>
          </w:p>
          <w:p w:rsidR="00E91A5F" w:rsidRPr="001C2F0E" w:rsidRDefault="001C2F0E" w:rsidP="00BF5AAE">
            <w:pPr>
              <w:pStyle w:val="Tabletext0"/>
              <w:spacing w:before="20" w:after="20"/>
              <w:jc w:val="center"/>
              <w:rPr>
                <w:highlight w:val="black"/>
              </w:rPr>
            </w:pPr>
            <w:r>
              <w:rPr>
                <w:noProof/>
                <w:color w:val="000000"/>
                <w:highlight w:val="black"/>
              </w:rPr>
              <w:t>''''''''''''''' '''''''''''</w:t>
            </w:r>
          </w:p>
        </w:tc>
        <w:tc>
          <w:tcPr>
            <w:tcW w:w="693" w:type="pct"/>
            <w:vMerge w:val="restart"/>
            <w:shd w:val="clear" w:color="auto" w:fill="auto"/>
            <w:vAlign w:val="center"/>
          </w:tcPr>
          <w:p w:rsidR="00E91A5F" w:rsidRPr="001C2F0E" w:rsidRDefault="001C2F0E" w:rsidP="00BF5AAE">
            <w:pPr>
              <w:pStyle w:val="Tabletext0"/>
              <w:spacing w:before="20" w:after="20"/>
              <w:jc w:val="center"/>
              <w:rPr>
                <w:highlight w:val="black"/>
              </w:rPr>
            </w:pPr>
            <w:r>
              <w:rPr>
                <w:noProof/>
                <w:color w:val="000000"/>
                <w:highlight w:val="black"/>
              </w:rPr>
              <w:t>'''''''''''</w:t>
            </w:r>
          </w:p>
          <w:p w:rsidR="00E91A5F" w:rsidRPr="001C2F0E" w:rsidRDefault="001C2F0E" w:rsidP="00BF5AAE">
            <w:pPr>
              <w:pStyle w:val="Tabletext0"/>
              <w:spacing w:before="20" w:after="20"/>
              <w:jc w:val="center"/>
              <w:rPr>
                <w:highlight w:val="black"/>
              </w:rPr>
            </w:pPr>
            <w:r>
              <w:rPr>
                <w:noProof/>
                <w:color w:val="000000"/>
                <w:highlight w:val="black"/>
              </w:rPr>
              <w:t>''''''''''''' ''''''''''''</w:t>
            </w:r>
          </w:p>
        </w:tc>
        <w:tc>
          <w:tcPr>
            <w:tcW w:w="783" w:type="pct"/>
            <w:vMerge w:val="restart"/>
            <w:vAlign w:val="center"/>
          </w:tcPr>
          <w:p w:rsidR="00E91A5F" w:rsidRPr="001C2F0E" w:rsidRDefault="001C2F0E" w:rsidP="00BF5AAE">
            <w:pPr>
              <w:pStyle w:val="Tabletext0"/>
              <w:spacing w:before="20" w:after="20"/>
              <w:jc w:val="center"/>
              <w:rPr>
                <w:highlight w:val="black"/>
              </w:rPr>
            </w:pPr>
            <w:r>
              <w:rPr>
                <w:noProof/>
                <w:color w:val="000000"/>
                <w:highlight w:val="black"/>
              </w:rPr>
              <w:t>'''''''''''''''</w:t>
            </w:r>
          </w:p>
          <w:p w:rsidR="00E91A5F" w:rsidRPr="001C2F0E" w:rsidRDefault="001C2F0E" w:rsidP="00BF5AAE">
            <w:pPr>
              <w:pStyle w:val="Tabletext0"/>
              <w:spacing w:before="20" w:after="20"/>
              <w:jc w:val="center"/>
              <w:rPr>
                <w:highlight w:val="black"/>
              </w:rPr>
            </w:pPr>
            <w:r>
              <w:rPr>
                <w:noProof/>
                <w:color w:val="000000"/>
                <w:highlight w:val="black"/>
              </w:rPr>
              <w:t>'''''''''''''' ''''''''''''''''</w:t>
            </w:r>
          </w:p>
        </w:tc>
      </w:tr>
      <w:tr w:rsidR="00E91A5F" w:rsidRPr="00AF0C90" w:rsidTr="00E91A5F">
        <w:tc>
          <w:tcPr>
            <w:tcW w:w="823" w:type="pct"/>
          </w:tcPr>
          <w:p w:rsidR="00E91A5F" w:rsidRDefault="00E91A5F" w:rsidP="00BF5AAE">
            <w:pPr>
              <w:pStyle w:val="Tabletext0"/>
              <w:spacing w:before="20" w:after="20"/>
            </w:pPr>
            <w:proofErr w:type="spellStart"/>
            <w:r w:rsidRPr="00AF0C90">
              <w:t>Ceritinib</w:t>
            </w:r>
            <w:proofErr w:type="spellEnd"/>
            <w:r w:rsidRPr="00AF0C90">
              <w:t xml:space="preserve"> studies</w:t>
            </w:r>
          </w:p>
          <w:p w:rsidR="00E91A5F" w:rsidRPr="00AF0C90" w:rsidRDefault="00E91A5F" w:rsidP="00BF5AAE">
            <w:pPr>
              <w:pStyle w:val="Tabletext0"/>
              <w:spacing w:before="20" w:after="20"/>
            </w:pPr>
            <w:r>
              <w:t>FAS population</w:t>
            </w:r>
          </w:p>
        </w:tc>
        <w:tc>
          <w:tcPr>
            <w:tcW w:w="1009" w:type="pct"/>
            <w:shd w:val="clear" w:color="auto" w:fill="auto"/>
          </w:tcPr>
          <w:p w:rsidR="00E91A5F" w:rsidRPr="00AF0C90" w:rsidRDefault="00E91A5F" w:rsidP="00BF5AAE">
            <w:pPr>
              <w:pStyle w:val="Tabletext0"/>
              <w:spacing w:before="20" w:after="20"/>
              <w:jc w:val="left"/>
            </w:pPr>
            <w:r w:rsidRPr="00774E56">
              <w:t>Unweighted pooled study results</w:t>
            </w:r>
          </w:p>
        </w:tc>
        <w:tc>
          <w:tcPr>
            <w:tcW w:w="954" w:type="pct"/>
            <w:shd w:val="clear" w:color="auto" w:fill="auto"/>
            <w:vAlign w:val="center"/>
          </w:tcPr>
          <w:p w:rsidR="00E91A5F" w:rsidRPr="00AF0C90" w:rsidRDefault="00E91A5F" w:rsidP="00BF5AAE">
            <w:pPr>
              <w:pStyle w:val="Tabletext0"/>
              <w:spacing w:before="20" w:after="20"/>
              <w:jc w:val="center"/>
            </w:pPr>
            <w:r>
              <w:t>125/303 (41.3%)</w:t>
            </w:r>
          </w:p>
        </w:tc>
        <w:tc>
          <w:tcPr>
            <w:tcW w:w="738" w:type="pct"/>
            <w:vMerge/>
            <w:shd w:val="clear" w:color="auto" w:fill="auto"/>
            <w:vAlign w:val="center"/>
          </w:tcPr>
          <w:p w:rsidR="00E91A5F" w:rsidRPr="00AF0C90" w:rsidRDefault="00E91A5F" w:rsidP="00BF5AAE">
            <w:pPr>
              <w:pStyle w:val="Tabletext0"/>
              <w:spacing w:before="20" w:after="20"/>
              <w:jc w:val="center"/>
            </w:pPr>
          </w:p>
        </w:tc>
        <w:tc>
          <w:tcPr>
            <w:tcW w:w="693" w:type="pct"/>
            <w:vMerge/>
            <w:shd w:val="clear" w:color="auto" w:fill="auto"/>
            <w:vAlign w:val="center"/>
          </w:tcPr>
          <w:p w:rsidR="00E91A5F" w:rsidRPr="00AF0C90" w:rsidRDefault="00E91A5F" w:rsidP="00BF5AAE">
            <w:pPr>
              <w:pStyle w:val="Tabletext0"/>
              <w:spacing w:before="20" w:after="20"/>
              <w:jc w:val="center"/>
            </w:pPr>
          </w:p>
        </w:tc>
        <w:tc>
          <w:tcPr>
            <w:tcW w:w="783" w:type="pct"/>
            <w:vMerge/>
            <w:vAlign w:val="center"/>
          </w:tcPr>
          <w:p w:rsidR="00E91A5F" w:rsidRPr="00AF0C90" w:rsidRDefault="00E91A5F" w:rsidP="00BF5AAE">
            <w:pPr>
              <w:pStyle w:val="Tabletext0"/>
              <w:spacing w:before="20" w:after="20"/>
              <w:jc w:val="center"/>
            </w:pPr>
          </w:p>
        </w:tc>
      </w:tr>
    </w:tbl>
    <w:p w:rsidR="00D87527" w:rsidRDefault="00D87527" w:rsidP="00BF5AAE">
      <w:pPr>
        <w:pStyle w:val="TableFooter"/>
        <w:widowControl/>
      </w:pPr>
      <w:r>
        <w:t>CI = confidence interval; FAS = full analysis set; IRC = independent review committee; ORR = objective response rate; RE = response evaluable</w:t>
      </w:r>
      <w:r w:rsidR="00F6522F">
        <w:t>.</w:t>
      </w:r>
    </w:p>
    <w:p w:rsidR="005170B5" w:rsidRPr="005170B5" w:rsidRDefault="005170B5" w:rsidP="00BF5AAE">
      <w:pPr>
        <w:pStyle w:val="TableFooter"/>
        <w:widowControl/>
      </w:pPr>
      <w:proofErr w:type="gramStart"/>
      <w:r>
        <w:rPr>
          <w:vertAlign w:val="superscript"/>
        </w:rPr>
        <w:t>a</w:t>
      </w:r>
      <w:proofErr w:type="gramEnd"/>
      <w:r>
        <w:t xml:space="preserve"> As presented in the submission.</w:t>
      </w:r>
    </w:p>
    <w:p w:rsidR="00D87527" w:rsidRPr="003D71FA" w:rsidRDefault="00D87527" w:rsidP="00BF5AAE">
      <w:pPr>
        <w:pStyle w:val="TableFooter"/>
        <w:widowControl/>
      </w:pPr>
      <w:r w:rsidRPr="00D647A9">
        <w:t xml:space="preserve">Figures in italics were calculated during the </w:t>
      </w:r>
      <w:r w:rsidRPr="003D71FA">
        <w:t>evaluation</w:t>
      </w:r>
      <w:r w:rsidR="00F6522F" w:rsidRPr="003D71FA">
        <w:t>.</w:t>
      </w:r>
    </w:p>
    <w:p w:rsidR="00D87527" w:rsidRDefault="00D87527" w:rsidP="00BF5AAE">
      <w:pPr>
        <w:pStyle w:val="TableFooter"/>
        <w:widowControl/>
      </w:pPr>
      <w:r w:rsidRPr="003D71FA">
        <w:t>Source: Table 2.47, p71 and Table 2.48, p72 Section 2 of the</w:t>
      </w:r>
      <w:r>
        <w:t xml:space="preserve"> submission.</w:t>
      </w:r>
    </w:p>
    <w:p w:rsidR="00237922" w:rsidRPr="00D647A9" w:rsidRDefault="00D87527" w:rsidP="00863A4D">
      <w:pPr>
        <w:pStyle w:val="ListParagraph"/>
        <w:numPr>
          <w:ilvl w:val="1"/>
          <w:numId w:val="4"/>
        </w:numPr>
        <w:spacing w:before="0" w:after="120"/>
      </w:pPr>
      <w:r w:rsidRPr="00D647A9">
        <w:t xml:space="preserve">The submission claimed that formal analyses conducted on pooled study ORR rates indicated that </w:t>
      </w:r>
      <w:proofErr w:type="spellStart"/>
      <w:r w:rsidRPr="00D647A9">
        <w:t>alec</w:t>
      </w:r>
      <w:r w:rsidR="002F6343" w:rsidRPr="00D647A9">
        <w:t>tinib</w:t>
      </w:r>
      <w:proofErr w:type="spellEnd"/>
      <w:r w:rsidR="002F6343" w:rsidRPr="00D647A9">
        <w:t xml:space="preserve"> was superior to </w:t>
      </w:r>
      <w:proofErr w:type="spellStart"/>
      <w:r w:rsidR="002F6343" w:rsidRPr="00D647A9">
        <w:t>ceritinib</w:t>
      </w:r>
      <w:proofErr w:type="spellEnd"/>
      <w:r w:rsidRPr="00D647A9">
        <w:t xml:space="preserve"> with respect to ORR, as assessed by the IRC</w:t>
      </w:r>
      <w:r w:rsidR="00C80327" w:rsidRPr="00D647A9">
        <w:t xml:space="preserve">. </w:t>
      </w:r>
      <w:r w:rsidR="000F164E" w:rsidRPr="00D647A9">
        <w:t>The</w:t>
      </w:r>
      <w:r w:rsidR="00C80327" w:rsidRPr="00D647A9">
        <w:t xml:space="preserve"> results of th</w:t>
      </w:r>
      <w:r w:rsidR="002F6343" w:rsidRPr="00D647A9">
        <w:t>e</w:t>
      </w:r>
      <w:r w:rsidR="00C80327" w:rsidRPr="00D647A9">
        <w:t xml:space="preserve"> analysis </w:t>
      </w:r>
      <w:r w:rsidR="002F6343" w:rsidRPr="00D647A9">
        <w:t xml:space="preserve">presented in the submission </w:t>
      </w:r>
      <w:r w:rsidR="00C80327" w:rsidRPr="00D647A9">
        <w:t xml:space="preserve">were biased in favour of </w:t>
      </w:r>
      <w:proofErr w:type="spellStart"/>
      <w:r w:rsidR="00C80327" w:rsidRPr="00D647A9">
        <w:t>alectinib</w:t>
      </w:r>
      <w:proofErr w:type="spellEnd"/>
      <w:r w:rsidR="00C80327" w:rsidRPr="00D647A9">
        <w:t xml:space="preserve">, as the analysis compared results for </w:t>
      </w:r>
      <w:proofErr w:type="spellStart"/>
      <w:r w:rsidR="00C80327" w:rsidRPr="00D647A9">
        <w:t>alectinib</w:t>
      </w:r>
      <w:proofErr w:type="spellEnd"/>
      <w:r w:rsidR="00C80327" w:rsidRPr="00D647A9">
        <w:t xml:space="preserve"> in the RE population with those for </w:t>
      </w:r>
      <w:proofErr w:type="spellStart"/>
      <w:r w:rsidR="00C80327" w:rsidRPr="00D647A9">
        <w:t>ceritinib</w:t>
      </w:r>
      <w:proofErr w:type="spellEnd"/>
      <w:r w:rsidR="00C80327" w:rsidRPr="00D647A9">
        <w:t xml:space="preserve"> based on the FAS.</w:t>
      </w:r>
      <w:r w:rsidRPr="00D647A9">
        <w:t xml:space="preserve"> </w:t>
      </w:r>
      <w:r w:rsidR="001561F5" w:rsidRPr="00D647A9">
        <w:t>The analyses based on the FAS for both sets of studies failed to demonstrate any difference in IRC assessed ORR between the two sets of studies.</w:t>
      </w:r>
    </w:p>
    <w:p w:rsidR="0020650C" w:rsidRPr="00D647A9" w:rsidRDefault="006415FA" w:rsidP="00863A4D">
      <w:pPr>
        <w:pStyle w:val="ListParagraph"/>
        <w:numPr>
          <w:ilvl w:val="1"/>
          <w:numId w:val="4"/>
        </w:numPr>
        <w:spacing w:before="0" w:after="120"/>
      </w:pPr>
      <w:r w:rsidRPr="00D647A9">
        <w:t xml:space="preserve">The </w:t>
      </w:r>
      <w:r w:rsidR="009E3B80" w:rsidRPr="00D647A9">
        <w:t>results for the main outcomes assessing CNS activity, CNS ORR and duration of CNS response</w:t>
      </w:r>
      <w:r w:rsidR="008F6529" w:rsidRPr="00D647A9">
        <w:t>, in patients with measurable CNS lesions at baseline</w:t>
      </w:r>
      <w:r w:rsidRPr="00D647A9">
        <w:t>, are presented below</w:t>
      </w:r>
      <w:r w:rsidR="009E3B80" w:rsidRPr="00D647A9">
        <w:t>.</w:t>
      </w:r>
    </w:p>
    <w:p w:rsidR="00A074BD" w:rsidRDefault="00A074BD" w:rsidP="00A074BD">
      <w:pPr>
        <w:pStyle w:val="Caption"/>
      </w:pPr>
      <w:r>
        <w:t xml:space="preserve">Table </w:t>
      </w:r>
      <w:r>
        <w:rPr>
          <w:noProof/>
        </w:rPr>
        <w:t>7</w:t>
      </w:r>
      <w:r w:rsidRPr="00C93267">
        <w:t>: Results of IRC assessed CNS objective response rate across the single-arm studies in patients with measurable CNS disease at baseline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459"/>
        <w:gridCol w:w="1458"/>
        <w:gridCol w:w="1665"/>
        <w:gridCol w:w="1523"/>
        <w:gridCol w:w="1593"/>
      </w:tblGrid>
      <w:tr w:rsidR="001932DD" w:rsidRPr="00D647A9" w:rsidTr="001932DD">
        <w:trPr>
          <w:tblHeader/>
        </w:trPr>
        <w:tc>
          <w:tcPr>
            <w:tcW w:w="83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32DD" w:rsidRPr="00D647A9" w:rsidRDefault="001932DD" w:rsidP="00585D2A">
            <w:pPr>
              <w:pStyle w:val="Tabletext0"/>
              <w:keepNext/>
              <w:rPr>
                <w:b/>
              </w:rPr>
            </w:pPr>
            <w:r w:rsidRPr="00D647A9">
              <w:rPr>
                <w:b/>
              </w:rPr>
              <w:t>Outcome</w:t>
            </w:r>
          </w:p>
        </w:tc>
        <w:tc>
          <w:tcPr>
            <w:tcW w:w="247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32DD" w:rsidRPr="00D647A9" w:rsidRDefault="001932DD" w:rsidP="00585D2A">
            <w:pPr>
              <w:pStyle w:val="Tabletext0"/>
              <w:keepNext/>
              <w:jc w:val="center"/>
              <w:rPr>
                <w:b/>
              </w:rPr>
            </w:pPr>
            <w:proofErr w:type="spellStart"/>
            <w:r w:rsidRPr="00D647A9">
              <w:rPr>
                <w:b/>
              </w:rPr>
              <w:t>Alectinib</w:t>
            </w:r>
            <w:proofErr w:type="spellEnd"/>
          </w:p>
        </w:tc>
        <w:tc>
          <w:tcPr>
            <w:tcW w:w="168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32DD" w:rsidRPr="00D647A9" w:rsidRDefault="001932DD" w:rsidP="00585D2A">
            <w:pPr>
              <w:pStyle w:val="Tabletext0"/>
              <w:keepNext/>
              <w:jc w:val="center"/>
              <w:rPr>
                <w:b/>
              </w:rPr>
            </w:pPr>
            <w:proofErr w:type="spellStart"/>
            <w:r w:rsidRPr="00D647A9">
              <w:rPr>
                <w:b/>
              </w:rPr>
              <w:t>Ceritinib</w:t>
            </w:r>
            <w:proofErr w:type="spellEnd"/>
          </w:p>
        </w:tc>
      </w:tr>
      <w:tr w:rsidR="001932DD" w:rsidRPr="00D647A9" w:rsidTr="00557D83">
        <w:trPr>
          <w:tblHeader/>
        </w:trPr>
        <w:tc>
          <w:tcPr>
            <w:tcW w:w="835" w:type="pct"/>
            <w:vMerge/>
            <w:shd w:val="clear" w:color="auto" w:fill="F2F2F2" w:themeFill="background1" w:themeFillShade="F2"/>
          </w:tcPr>
          <w:p w:rsidR="001932DD" w:rsidRPr="00D647A9" w:rsidRDefault="001932DD" w:rsidP="00585D2A">
            <w:pPr>
              <w:pStyle w:val="Tabletext0"/>
              <w:keepNext/>
              <w:spacing w:before="20" w:after="20"/>
              <w:rPr>
                <w:b/>
              </w:rPr>
            </w:pPr>
          </w:p>
        </w:tc>
        <w:tc>
          <w:tcPr>
            <w:tcW w:w="789" w:type="pct"/>
            <w:shd w:val="clear" w:color="auto" w:fill="F2F2F2" w:themeFill="background1" w:themeFillShade="F2"/>
            <w:vAlign w:val="center"/>
          </w:tcPr>
          <w:p w:rsidR="001932DD" w:rsidRPr="00D647A9" w:rsidRDefault="001932DD" w:rsidP="00585D2A">
            <w:pPr>
              <w:pStyle w:val="Tabletext0"/>
              <w:keepNext/>
              <w:spacing w:before="20" w:after="20"/>
              <w:jc w:val="center"/>
              <w:rPr>
                <w:b/>
                <w:vertAlign w:val="superscript"/>
              </w:rPr>
            </w:pPr>
            <w:r w:rsidRPr="00D647A9">
              <w:rPr>
                <w:b/>
              </w:rPr>
              <w:t>NP28761</w:t>
            </w:r>
            <w:r w:rsidRPr="00D647A9">
              <w:rPr>
                <w:b/>
                <w:vertAlign w:val="superscript"/>
              </w:rPr>
              <w:t>a</w:t>
            </w:r>
          </w:p>
        </w:tc>
        <w:tc>
          <w:tcPr>
            <w:tcW w:w="789" w:type="pct"/>
            <w:shd w:val="clear" w:color="auto" w:fill="F2F2F2" w:themeFill="background1" w:themeFillShade="F2"/>
            <w:vAlign w:val="center"/>
          </w:tcPr>
          <w:p w:rsidR="001932DD" w:rsidRPr="00D647A9" w:rsidRDefault="001932DD" w:rsidP="00585D2A">
            <w:pPr>
              <w:pStyle w:val="Tabletext0"/>
              <w:keepNext/>
              <w:spacing w:before="20" w:after="20"/>
              <w:jc w:val="center"/>
              <w:rPr>
                <w:b/>
                <w:vertAlign w:val="superscript"/>
              </w:rPr>
            </w:pPr>
            <w:r w:rsidRPr="00D647A9">
              <w:rPr>
                <w:b/>
              </w:rPr>
              <w:t>NP28673</w:t>
            </w:r>
            <w:r w:rsidRPr="00D647A9">
              <w:rPr>
                <w:b/>
                <w:vertAlign w:val="superscript"/>
              </w:rPr>
              <w:t>a</w:t>
            </w:r>
          </w:p>
        </w:tc>
        <w:tc>
          <w:tcPr>
            <w:tcW w:w="901" w:type="pct"/>
            <w:shd w:val="clear" w:color="auto" w:fill="F2F2F2" w:themeFill="background1" w:themeFillShade="F2"/>
            <w:vAlign w:val="center"/>
          </w:tcPr>
          <w:p w:rsidR="001932DD" w:rsidRPr="00D647A9" w:rsidRDefault="0003669B" w:rsidP="00585D2A">
            <w:pPr>
              <w:pStyle w:val="Tabletext0"/>
              <w:keepNext/>
              <w:spacing w:before="20" w:after="20"/>
              <w:jc w:val="center"/>
              <w:rPr>
                <w:b/>
                <w:vertAlign w:val="superscript"/>
              </w:rPr>
            </w:pPr>
            <w:r w:rsidRPr="00D647A9">
              <w:rPr>
                <w:b/>
              </w:rPr>
              <w:t>Unweighted p</w:t>
            </w:r>
            <w:r w:rsidR="001932DD" w:rsidRPr="00D647A9">
              <w:rPr>
                <w:b/>
              </w:rPr>
              <w:t xml:space="preserve">ooled </w:t>
            </w:r>
            <w:proofErr w:type="spellStart"/>
            <w:r w:rsidR="001D6FEC" w:rsidRPr="00D647A9">
              <w:rPr>
                <w:b/>
              </w:rPr>
              <w:t>total</w:t>
            </w:r>
            <w:r w:rsidR="001932DD" w:rsidRPr="00D647A9">
              <w:rPr>
                <w:b/>
                <w:vertAlign w:val="superscript"/>
              </w:rPr>
              <w:t>a</w:t>
            </w:r>
            <w:proofErr w:type="spellEnd"/>
          </w:p>
        </w:tc>
        <w:tc>
          <w:tcPr>
            <w:tcW w:w="824" w:type="pct"/>
            <w:shd w:val="clear" w:color="auto" w:fill="F2F2F2" w:themeFill="background1" w:themeFillShade="F2"/>
            <w:vAlign w:val="center"/>
          </w:tcPr>
          <w:p w:rsidR="001932DD" w:rsidRPr="00D647A9" w:rsidRDefault="001932DD" w:rsidP="00585D2A">
            <w:pPr>
              <w:pStyle w:val="Tabletext0"/>
              <w:keepNext/>
              <w:spacing w:before="20" w:after="20"/>
              <w:jc w:val="center"/>
              <w:rPr>
                <w:b/>
                <w:vertAlign w:val="superscript"/>
              </w:rPr>
            </w:pPr>
            <w:r w:rsidRPr="00D647A9">
              <w:rPr>
                <w:b/>
              </w:rPr>
              <w:t>ASCEND-1</w:t>
            </w:r>
            <w:r w:rsidRPr="00D647A9">
              <w:rPr>
                <w:b/>
                <w:vertAlign w:val="superscript"/>
              </w:rPr>
              <w:t>a, b</w:t>
            </w:r>
          </w:p>
        </w:tc>
        <w:tc>
          <w:tcPr>
            <w:tcW w:w="862" w:type="pct"/>
            <w:shd w:val="clear" w:color="auto" w:fill="F2F2F2" w:themeFill="background1" w:themeFillShade="F2"/>
            <w:vAlign w:val="center"/>
          </w:tcPr>
          <w:p w:rsidR="001932DD" w:rsidRPr="00D647A9" w:rsidRDefault="001932DD" w:rsidP="00585D2A">
            <w:pPr>
              <w:pStyle w:val="Tabletext0"/>
              <w:keepNext/>
              <w:spacing w:before="20" w:after="20"/>
              <w:jc w:val="center"/>
              <w:rPr>
                <w:b/>
                <w:vertAlign w:val="superscript"/>
              </w:rPr>
            </w:pPr>
            <w:r w:rsidRPr="00D647A9">
              <w:rPr>
                <w:b/>
              </w:rPr>
              <w:t>ASCEND-2</w:t>
            </w:r>
            <w:r w:rsidRPr="00D647A9">
              <w:rPr>
                <w:b/>
                <w:vertAlign w:val="superscript"/>
              </w:rPr>
              <w:t>c</w:t>
            </w:r>
          </w:p>
        </w:tc>
      </w:tr>
      <w:tr w:rsidR="001932DD" w:rsidRPr="00D647A9" w:rsidTr="00557D83">
        <w:tc>
          <w:tcPr>
            <w:tcW w:w="835" w:type="pct"/>
            <w:vAlign w:val="center"/>
          </w:tcPr>
          <w:p w:rsidR="001932DD" w:rsidRPr="00D647A9" w:rsidRDefault="001932DD" w:rsidP="00585D2A">
            <w:pPr>
              <w:pStyle w:val="Tabletext0"/>
              <w:keepNext/>
              <w:spacing w:before="20" w:after="20"/>
            </w:pPr>
            <w:r w:rsidRPr="00D647A9">
              <w:t>CORR, n/N (%)</w:t>
            </w:r>
          </w:p>
          <w:p w:rsidR="001932DD" w:rsidRPr="00D647A9" w:rsidRDefault="001932DD" w:rsidP="00585D2A">
            <w:pPr>
              <w:pStyle w:val="Tabletext0"/>
              <w:keepNext/>
              <w:spacing w:before="20" w:after="20"/>
            </w:pPr>
            <w:r w:rsidRPr="00D647A9">
              <w:t>(95% CI)</w:t>
            </w:r>
          </w:p>
        </w:tc>
        <w:tc>
          <w:tcPr>
            <w:tcW w:w="789" w:type="pct"/>
            <w:vAlign w:val="center"/>
          </w:tcPr>
          <w:p w:rsidR="001932DD" w:rsidRPr="00D647A9" w:rsidRDefault="001932DD" w:rsidP="00585D2A">
            <w:pPr>
              <w:pStyle w:val="Tabletext0"/>
              <w:keepNext/>
              <w:spacing w:before="20" w:after="20"/>
              <w:jc w:val="center"/>
            </w:pPr>
            <w:r w:rsidRPr="00D647A9">
              <w:t>12/16 (75.0%)</w:t>
            </w:r>
          </w:p>
          <w:p w:rsidR="001932DD" w:rsidRPr="00D647A9" w:rsidRDefault="001932DD" w:rsidP="00585D2A">
            <w:pPr>
              <w:pStyle w:val="Tabletext0"/>
              <w:keepNext/>
              <w:spacing w:before="20" w:after="20"/>
              <w:jc w:val="center"/>
            </w:pPr>
            <w:r w:rsidRPr="00D647A9">
              <w:t>(47.6%, 92.7%)</w:t>
            </w:r>
          </w:p>
        </w:tc>
        <w:tc>
          <w:tcPr>
            <w:tcW w:w="789" w:type="pct"/>
            <w:vAlign w:val="center"/>
          </w:tcPr>
          <w:p w:rsidR="001932DD" w:rsidRPr="00D647A9" w:rsidRDefault="001932DD" w:rsidP="00585D2A">
            <w:pPr>
              <w:pStyle w:val="Tabletext0"/>
              <w:keepNext/>
              <w:spacing w:before="20" w:after="20"/>
              <w:jc w:val="center"/>
            </w:pPr>
            <w:r w:rsidRPr="00D647A9">
              <w:t>20/34 (58.8%)</w:t>
            </w:r>
          </w:p>
          <w:p w:rsidR="001932DD" w:rsidRPr="00D647A9" w:rsidRDefault="001932DD" w:rsidP="00585D2A">
            <w:pPr>
              <w:pStyle w:val="Tabletext0"/>
              <w:keepNext/>
              <w:spacing w:before="20" w:after="20"/>
              <w:jc w:val="center"/>
            </w:pPr>
            <w:r w:rsidRPr="00D647A9">
              <w:t>(40.7%, 75.4%)</w:t>
            </w:r>
          </w:p>
        </w:tc>
        <w:tc>
          <w:tcPr>
            <w:tcW w:w="901" w:type="pct"/>
            <w:vAlign w:val="center"/>
          </w:tcPr>
          <w:p w:rsidR="001932DD" w:rsidRPr="00D647A9" w:rsidRDefault="001932DD" w:rsidP="00585D2A">
            <w:pPr>
              <w:pStyle w:val="Tabletext0"/>
              <w:keepNext/>
              <w:spacing w:before="20" w:after="20"/>
              <w:jc w:val="center"/>
            </w:pPr>
            <w:r w:rsidRPr="00D647A9">
              <w:t>32/50 (64.0%)</w:t>
            </w:r>
          </w:p>
          <w:p w:rsidR="001932DD" w:rsidRPr="00D647A9" w:rsidRDefault="001932DD" w:rsidP="00585D2A">
            <w:pPr>
              <w:pStyle w:val="Tabletext0"/>
              <w:keepNext/>
              <w:spacing w:before="20" w:after="20"/>
              <w:jc w:val="center"/>
            </w:pPr>
            <w:r w:rsidRPr="00D647A9">
              <w:t>(49.2%, 77.1%)</w:t>
            </w:r>
          </w:p>
        </w:tc>
        <w:tc>
          <w:tcPr>
            <w:tcW w:w="824" w:type="pct"/>
            <w:vAlign w:val="center"/>
          </w:tcPr>
          <w:p w:rsidR="001932DD" w:rsidRPr="00D647A9" w:rsidRDefault="001932DD" w:rsidP="00585D2A">
            <w:pPr>
              <w:pStyle w:val="Tabletext0"/>
              <w:keepNext/>
              <w:spacing w:before="20" w:after="20"/>
              <w:jc w:val="center"/>
            </w:pPr>
            <w:r w:rsidRPr="00D647A9">
              <w:t>10/28 (35.7%)</w:t>
            </w:r>
          </w:p>
          <w:p w:rsidR="001932DD" w:rsidRPr="00D647A9" w:rsidRDefault="001932DD" w:rsidP="00585D2A">
            <w:pPr>
              <w:pStyle w:val="Tabletext0"/>
              <w:keepNext/>
              <w:spacing w:before="20" w:after="20"/>
              <w:jc w:val="center"/>
            </w:pPr>
            <w:r w:rsidRPr="00D647A9">
              <w:t>(18.6%, 55.9%)</w:t>
            </w:r>
          </w:p>
        </w:tc>
        <w:tc>
          <w:tcPr>
            <w:tcW w:w="862" w:type="pct"/>
            <w:vAlign w:val="center"/>
          </w:tcPr>
          <w:p w:rsidR="001932DD" w:rsidRPr="00D647A9" w:rsidRDefault="001932DD" w:rsidP="00585D2A">
            <w:pPr>
              <w:pStyle w:val="Tabletext0"/>
              <w:keepNext/>
              <w:spacing w:before="20" w:after="20"/>
              <w:jc w:val="center"/>
            </w:pPr>
            <w:r w:rsidRPr="00D647A9">
              <w:t>13/33 (39.4%)</w:t>
            </w:r>
          </w:p>
          <w:p w:rsidR="001932DD" w:rsidRPr="00D647A9" w:rsidRDefault="001932DD" w:rsidP="00585D2A">
            <w:pPr>
              <w:pStyle w:val="Tabletext0"/>
              <w:keepNext/>
              <w:spacing w:before="20" w:after="20"/>
              <w:jc w:val="center"/>
            </w:pPr>
            <w:r w:rsidRPr="00D647A9">
              <w:t>(22.9%, 57.9%)</w:t>
            </w:r>
          </w:p>
        </w:tc>
      </w:tr>
      <w:tr w:rsidR="001932DD" w:rsidRPr="00D647A9" w:rsidTr="00557D83">
        <w:tc>
          <w:tcPr>
            <w:tcW w:w="835" w:type="pct"/>
            <w:vAlign w:val="center"/>
          </w:tcPr>
          <w:p w:rsidR="001932DD" w:rsidRPr="00D647A9" w:rsidRDefault="001932DD" w:rsidP="00585D2A">
            <w:pPr>
              <w:pStyle w:val="Tabletext0"/>
              <w:keepNext/>
              <w:spacing w:before="20" w:after="20"/>
              <w:ind w:left="142"/>
            </w:pPr>
            <w:r w:rsidRPr="00D647A9">
              <w:t>CR, n/N (%)</w:t>
            </w:r>
          </w:p>
        </w:tc>
        <w:tc>
          <w:tcPr>
            <w:tcW w:w="789" w:type="pct"/>
            <w:vAlign w:val="center"/>
          </w:tcPr>
          <w:p w:rsidR="001932DD" w:rsidRPr="00D647A9" w:rsidRDefault="001932DD" w:rsidP="00585D2A">
            <w:pPr>
              <w:pStyle w:val="Tabletext0"/>
              <w:keepNext/>
              <w:spacing w:before="20" w:after="20"/>
              <w:jc w:val="center"/>
            </w:pPr>
            <w:r w:rsidRPr="00D647A9">
              <w:t>4/16 (25.0%)</w:t>
            </w:r>
          </w:p>
        </w:tc>
        <w:tc>
          <w:tcPr>
            <w:tcW w:w="789" w:type="pct"/>
            <w:vAlign w:val="center"/>
          </w:tcPr>
          <w:p w:rsidR="001932DD" w:rsidRPr="00D647A9" w:rsidRDefault="001932DD" w:rsidP="00585D2A">
            <w:pPr>
              <w:pStyle w:val="Tabletext0"/>
              <w:keepNext/>
              <w:spacing w:before="20" w:after="20"/>
              <w:jc w:val="center"/>
            </w:pPr>
            <w:r w:rsidRPr="00D647A9">
              <w:t>7/34 (20.6%)</w:t>
            </w:r>
          </w:p>
        </w:tc>
        <w:tc>
          <w:tcPr>
            <w:tcW w:w="901" w:type="pct"/>
            <w:vAlign w:val="center"/>
          </w:tcPr>
          <w:p w:rsidR="001932DD" w:rsidRPr="00D647A9" w:rsidRDefault="001932DD" w:rsidP="00585D2A">
            <w:pPr>
              <w:pStyle w:val="Tabletext0"/>
              <w:keepNext/>
              <w:spacing w:before="20" w:after="20"/>
              <w:jc w:val="center"/>
            </w:pPr>
            <w:r w:rsidRPr="00D647A9">
              <w:t>11/50 (22.0%)</w:t>
            </w:r>
          </w:p>
        </w:tc>
        <w:tc>
          <w:tcPr>
            <w:tcW w:w="824" w:type="pct"/>
            <w:vAlign w:val="center"/>
          </w:tcPr>
          <w:p w:rsidR="001932DD" w:rsidRPr="00D647A9" w:rsidRDefault="001932DD" w:rsidP="00585D2A">
            <w:pPr>
              <w:pStyle w:val="Tabletext0"/>
              <w:keepNext/>
              <w:spacing w:before="20" w:after="20"/>
              <w:jc w:val="center"/>
            </w:pPr>
            <w:r w:rsidRPr="00D647A9">
              <w:t>0</w:t>
            </w:r>
          </w:p>
        </w:tc>
        <w:tc>
          <w:tcPr>
            <w:tcW w:w="862" w:type="pct"/>
            <w:vAlign w:val="center"/>
          </w:tcPr>
          <w:p w:rsidR="001932DD" w:rsidRPr="00D647A9" w:rsidRDefault="001932DD" w:rsidP="00585D2A">
            <w:pPr>
              <w:pStyle w:val="Tabletext0"/>
              <w:keepNext/>
              <w:spacing w:before="20" w:after="20"/>
              <w:jc w:val="center"/>
            </w:pPr>
            <w:r w:rsidRPr="00D647A9">
              <w:t>1/33 (3.0%)</w:t>
            </w:r>
          </w:p>
        </w:tc>
      </w:tr>
      <w:tr w:rsidR="001932DD" w:rsidRPr="00D647A9" w:rsidTr="00557D83">
        <w:tc>
          <w:tcPr>
            <w:tcW w:w="835" w:type="pct"/>
            <w:vAlign w:val="center"/>
          </w:tcPr>
          <w:p w:rsidR="001932DD" w:rsidRPr="00D647A9" w:rsidRDefault="001932DD" w:rsidP="00585D2A">
            <w:pPr>
              <w:pStyle w:val="Tabletext0"/>
              <w:keepNext/>
              <w:spacing w:before="20" w:after="20"/>
              <w:ind w:left="142"/>
              <w:rPr>
                <w:rFonts w:ascii="Times" w:hAnsi="Times"/>
              </w:rPr>
            </w:pPr>
            <w:r w:rsidRPr="00D647A9">
              <w:t>PR, n/N (%)</w:t>
            </w:r>
          </w:p>
        </w:tc>
        <w:tc>
          <w:tcPr>
            <w:tcW w:w="789" w:type="pct"/>
            <w:vAlign w:val="center"/>
          </w:tcPr>
          <w:p w:rsidR="001932DD" w:rsidRPr="00D647A9" w:rsidRDefault="001932DD" w:rsidP="00585D2A">
            <w:pPr>
              <w:pStyle w:val="Tabletext0"/>
              <w:keepNext/>
              <w:spacing w:before="20" w:after="20"/>
              <w:jc w:val="center"/>
            </w:pPr>
            <w:r w:rsidRPr="00D647A9">
              <w:t>8/16 (50.0%)</w:t>
            </w:r>
          </w:p>
        </w:tc>
        <w:tc>
          <w:tcPr>
            <w:tcW w:w="789" w:type="pct"/>
            <w:vAlign w:val="center"/>
          </w:tcPr>
          <w:p w:rsidR="001932DD" w:rsidRPr="00D647A9" w:rsidRDefault="001932DD" w:rsidP="00585D2A">
            <w:pPr>
              <w:pStyle w:val="Tabletext0"/>
              <w:keepNext/>
              <w:spacing w:before="20" w:after="20"/>
              <w:jc w:val="center"/>
            </w:pPr>
            <w:r w:rsidRPr="00D647A9">
              <w:t>13/34 (38.2%)</w:t>
            </w:r>
          </w:p>
        </w:tc>
        <w:tc>
          <w:tcPr>
            <w:tcW w:w="901" w:type="pct"/>
            <w:vAlign w:val="center"/>
          </w:tcPr>
          <w:p w:rsidR="001932DD" w:rsidRPr="00D647A9" w:rsidRDefault="001932DD" w:rsidP="00585D2A">
            <w:pPr>
              <w:pStyle w:val="Tabletext0"/>
              <w:keepNext/>
              <w:spacing w:before="20" w:after="20"/>
              <w:jc w:val="center"/>
            </w:pPr>
            <w:r w:rsidRPr="00D647A9">
              <w:t>21/50 (42.0%)</w:t>
            </w:r>
          </w:p>
        </w:tc>
        <w:tc>
          <w:tcPr>
            <w:tcW w:w="824" w:type="pct"/>
            <w:vAlign w:val="center"/>
          </w:tcPr>
          <w:p w:rsidR="001932DD" w:rsidRPr="00D647A9" w:rsidRDefault="001932DD" w:rsidP="00585D2A">
            <w:pPr>
              <w:pStyle w:val="Tabletext0"/>
              <w:keepNext/>
              <w:spacing w:before="20" w:after="20"/>
              <w:jc w:val="center"/>
            </w:pPr>
            <w:r w:rsidRPr="00D647A9">
              <w:t>10/28 (35.7%)</w:t>
            </w:r>
          </w:p>
        </w:tc>
        <w:tc>
          <w:tcPr>
            <w:tcW w:w="862" w:type="pct"/>
            <w:vAlign w:val="center"/>
          </w:tcPr>
          <w:p w:rsidR="001932DD" w:rsidRPr="00D647A9" w:rsidRDefault="001932DD" w:rsidP="00585D2A">
            <w:pPr>
              <w:pStyle w:val="Tabletext0"/>
              <w:keepNext/>
              <w:spacing w:before="20" w:after="20"/>
              <w:jc w:val="center"/>
            </w:pPr>
            <w:r w:rsidRPr="00D647A9">
              <w:t>12/33 (36.4%)</w:t>
            </w:r>
          </w:p>
        </w:tc>
      </w:tr>
      <w:tr w:rsidR="001932DD" w:rsidRPr="00D647A9" w:rsidTr="00557D83">
        <w:tc>
          <w:tcPr>
            <w:tcW w:w="835" w:type="pct"/>
            <w:vAlign w:val="center"/>
          </w:tcPr>
          <w:p w:rsidR="001932DD" w:rsidRPr="00D647A9" w:rsidRDefault="001932DD" w:rsidP="00585D2A">
            <w:pPr>
              <w:pStyle w:val="Tabletext0"/>
              <w:keepNext/>
              <w:spacing w:before="20" w:after="20"/>
            </w:pPr>
            <w:r w:rsidRPr="00D647A9">
              <w:t>CDOR, months</w:t>
            </w:r>
          </w:p>
          <w:p w:rsidR="001932DD" w:rsidRPr="00D647A9" w:rsidRDefault="001932DD" w:rsidP="00585D2A">
            <w:pPr>
              <w:pStyle w:val="Tabletext0"/>
              <w:keepNext/>
              <w:spacing w:before="20" w:after="20"/>
            </w:pPr>
            <w:r w:rsidRPr="00D647A9">
              <w:t>Median (95%CI)</w:t>
            </w:r>
          </w:p>
        </w:tc>
        <w:tc>
          <w:tcPr>
            <w:tcW w:w="789" w:type="pct"/>
            <w:vAlign w:val="center"/>
          </w:tcPr>
          <w:p w:rsidR="001932DD" w:rsidRPr="00D647A9" w:rsidRDefault="001932DD" w:rsidP="00585D2A">
            <w:pPr>
              <w:pStyle w:val="Tabletext0"/>
              <w:keepNext/>
              <w:spacing w:before="20" w:after="20"/>
              <w:jc w:val="center"/>
            </w:pPr>
            <w:r w:rsidRPr="00D647A9">
              <w:t>11.1 (5.8, NE)</w:t>
            </w:r>
          </w:p>
        </w:tc>
        <w:tc>
          <w:tcPr>
            <w:tcW w:w="789" w:type="pct"/>
            <w:vAlign w:val="center"/>
          </w:tcPr>
          <w:p w:rsidR="001932DD" w:rsidRPr="00D647A9" w:rsidRDefault="001932DD" w:rsidP="00585D2A">
            <w:pPr>
              <w:pStyle w:val="Tabletext0"/>
              <w:keepNext/>
              <w:spacing w:before="20" w:after="20"/>
              <w:jc w:val="center"/>
            </w:pPr>
            <w:r w:rsidRPr="00D647A9">
              <w:t>11.1 (7.1, NE)</w:t>
            </w:r>
          </w:p>
        </w:tc>
        <w:tc>
          <w:tcPr>
            <w:tcW w:w="901" w:type="pct"/>
            <w:vAlign w:val="center"/>
          </w:tcPr>
          <w:p w:rsidR="001932DD" w:rsidRPr="00D647A9" w:rsidRDefault="001932DD" w:rsidP="00585D2A">
            <w:pPr>
              <w:pStyle w:val="Tabletext0"/>
              <w:keepNext/>
              <w:spacing w:before="20" w:after="20"/>
              <w:jc w:val="center"/>
            </w:pPr>
            <w:r w:rsidRPr="00D647A9">
              <w:t>11.1 (7.6, NE)</w:t>
            </w:r>
          </w:p>
        </w:tc>
        <w:tc>
          <w:tcPr>
            <w:tcW w:w="824" w:type="pct"/>
            <w:vAlign w:val="center"/>
          </w:tcPr>
          <w:p w:rsidR="001932DD" w:rsidRPr="00D647A9" w:rsidRDefault="001932DD" w:rsidP="00585D2A">
            <w:pPr>
              <w:pStyle w:val="Tabletext0"/>
              <w:keepNext/>
              <w:spacing w:before="20" w:after="20"/>
              <w:jc w:val="center"/>
            </w:pPr>
            <w:r w:rsidRPr="00D647A9">
              <w:t>11.1 (2.8, NE)</w:t>
            </w:r>
          </w:p>
        </w:tc>
        <w:tc>
          <w:tcPr>
            <w:tcW w:w="862" w:type="pct"/>
            <w:vAlign w:val="center"/>
          </w:tcPr>
          <w:p w:rsidR="001932DD" w:rsidRPr="00D647A9" w:rsidRDefault="001932DD" w:rsidP="00585D2A">
            <w:pPr>
              <w:pStyle w:val="Tabletext0"/>
              <w:keepNext/>
              <w:spacing w:before="20" w:after="20"/>
              <w:jc w:val="center"/>
            </w:pPr>
            <w:r w:rsidRPr="00D647A9">
              <w:t>NR</w:t>
            </w:r>
          </w:p>
        </w:tc>
      </w:tr>
    </w:tbl>
    <w:p w:rsidR="008F05E6" w:rsidRPr="00D647A9" w:rsidRDefault="008F05E6" w:rsidP="00585D2A">
      <w:pPr>
        <w:pStyle w:val="TableFooter"/>
        <w:keepNext/>
        <w:widowControl/>
      </w:pPr>
      <w:r w:rsidRPr="00D647A9">
        <w:t>CDOR = central nervous system duration of response; CI = confidence interval; CORR = central nervous system objective response rate; CR = complete response; DCR = disease control rate;</w:t>
      </w:r>
      <w:r w:rsidR="006110E2" w:rsidRPr="00D647A9">
        <w:t xml:space="preserve"> </w:t>
      </w:r>
      <w:r w:rsidRPr="00D647A9">
        <w:t>IRC = independent review committee; NE = not evaluable; NR = not reported; PR = partial response</w:t>
      </w:r>
      <w:r w:rsidR="00F6522F" w:rsidRPr="00D647A9">
        <w:t>.</w:t>
      </w:r>
    </w:p>
    <w:p w:rsidR="001932DD" w:rsidRPr="00D647A9" w:rsidRDefault="001932DD" w:rsidP="00585D2A">
      <w:pPr>
        <w:pStyle w:val="TableFooter"/>
        <w:keepNext/>
        <w:widowControl/>
      </w:pPr>
      <w:proofErr w:type="gramStart"/>
      <w:r w:rsidRPr="00D647A9">
        <w:rPr>
          <w:vertAlign w:val="superscript"/>
        </w:rPr>
        <w:t>a</w:t>
      </w:r>
      <w:proofErr w:type="gramEnd"/>
      <w:r w:rsidRPr="00D647A9">
        <w:t xml:space="preserve"> Based on patients with measurable CNS disease at baseline.</w:t>
      </w:r>
    </w:p>
    <w:p w:rsidR="001932DD" w:rsidRPr="00D647A9" w:rsidRDefault="001932DD" w:rsidP="00585D2A">
      <w:pPr>
        <w:pStyle w:val="TableFooter"/>
        <w:keepNext/>
        <w:widowControl/>
      </w:pPr>
      <w:proofErr w:type="gramStart"/>
      <w:r w:rsidRPr="00D647A9">
        <w:rPr>
          <w:vertAlign w:val="superscript"/>
        </w:rPr>
        <w:t>b</w:t>
      </w:r>
      <w:proofErr w:type="gramEnd"/>
      <w:r w:rsidRPr="00D647A9">
        <w:t xml:space="preserve"> Post hoc analysis.</w:t>
      </w:r>
    </w:p>
    <w:p w:rsidR="001932DD" w:rsidRPr="003D71FA" w:rsidRDefault="00E738E0" w:rsidP="00585D2A">
      <w:pPr>
        <w:pStyle w:val="TableFooter"/>
        <w:keepNext/>
        <w:widowControl/>
      </w:pPr>
      <w:proofErr w:type="gramStart"/>
      <w:r w:rsidRPr="003D71FA">
        <w:rPr>
          <w:vertAlign w:val="superscript"/>
        </w:rPr>
        <w:t>c</w:t>
      </w:r>
      <w:proofErr w:type="gramEnd"/>
      <w:r w:rsidR="001932DD" w:rsidRPr="003D71FA">
        <w:t xml:space="preserve"> Based on patients with active target lesions at baseline.</w:t>
      </w:r>
    </w:p>
    <w:p w:rsidR="008F05E6" w:rsidRPr="00D647A9" w:rsidRDefault="008F05E6" w:rsidP="00BF5AAE">
      <w:pPr>
        <w:pStyle w:val="TableFooter"/>
        <w:widowControl/>
      </w:pPr>
      <w:r w:rsidRPr="003D71FA">
        <w:t>Source: Table 2.</w:t>
      </w:r>
      <w:r w:rsidR="00E63674" w:rsidRPr="003D71FA">
        <w:t xml:space="preserve">51 p76 </w:t>
      </w:r>
      <w:r w:rsidRPr="003D71FA">
        <w:t>Section 2 of the submission</w:t>
      </w:r>
      <w:r w:rsidRPr="00D647A9">
        <w:t>.</w:t>
      </w:r>
    </w:p>
    <w:p w:rsidR="00A074BD" w:rsidRDefault="00A074BD" w:rsidP="00A074BD">
      <w:pPr>
        <w:pStyle w:val="Caption"/>
      </w:pPr>
      <w:r>
        <w:t xml:space="preserve">Table </w:t>
      </w:r>
      <w:r>
        <w:rPr>
          <w:noProof/>
        </w:rPr>
        <w:t>8</w:t>
      </w:r>
      <w:r w:rsidRPr="00B90EB9">
        <w:t>: Summary of results of the naïve indirect comparison for IRC assessed CNS objective response 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715"/>
        <w:gridCol w:w="1756"/>
        <w:gridCol w:w="1360"/>
        <w:gridCol w:w="1449"/>
        <w:gridCol w:w="1444"/>
      </w:tblGrid>
      <w:tr w:rsidR="00AE2966" w:rsidRPr="00D647A9" w:rsidTr="004D74E1">
        <w:trPr>
          <w:tblHeader/>
        </w:trPr>
        <w:tc>
          <w:tcPr>
            <w:tcW w:w="821" w:type="pct"/>
            <w:vMerge w:val="restart"/>
            <w:shd w:val="clear" w:color="auto" w:fill="F2F2F2" w:themeFill="background1" w:themeFillShade="F2"/>
          </w:tcPr>
          <w:p w:rsidR="00AE2966" w:rsidRPr="00D647A9" w:rsidRDefault="00AE2966" w:rsidP="00BF5AAE">
            <w:pPr>
              <w:pStyle w:val="TableText"/>
              <w:rPr>
                <w:b/>
              </w:rPr>
            </w:pPr>
          </w:p>
        </w:tc>
        <w:tc>
          <w:tcPr>
            <w:tcW w:w="928" w:type="pct"/>
            <w:vMerge w:val="restart"/>
            <w:shd w:val="clear" w:color="auto" w:fill="F2F2F2" w:themeFill="background1" w:themeFillShade="F2"/>
            <w:vAlign w:val="center"/>
          </w:tcPr>
          <w:p w:rsidR="00AE2966" w:rsidRPr="00D647A9" w:rsidRDefault="00AE2966" w:rsidP="00BF5AAE">
            <w:pPr>
              <w:pStyle w:val="TableText"/>
              <w:rPr>
                <w:b/>
              </w:rPr>
            </w:pPr>
            <w:r w:rsidRPr="00D647A9">
              <w:rPr>
                <w:b/>
              </w:rPr>
              <w:t>Trial ID</w:t>
            </w:r>
          </w:p>
        </w:tc>
        <w:tc>
          <w:tcPr>
            <w:tcW w:w="950" w:type="pct"/>
            <w:vMerge w:val="restart"/>
            <w:shd w:val="clear" w:color="auto" w:fill="F2F2F2" w:themeFill="background1" w:themeFillShade="F2"/>
            <w:vAlign w:val="center"/>
          </w:tcPr>
          <w:p w:rsidR="00AE2966" w:rsidRPr="00D647A9" w:rsidRDefault="00AE2966" w:rsidP="00BF5AAE">
            <w:pPr>
              <w:pStyle w:val="TableText"/>
              <w:jc w:val="center"/>
              <w:rPr>
                <w:b/>
              </w:rPr>
            </w:pPr>
            <w:proofErr w:type="gramStart"/>
            <w:r w:rsidRPr="00D647A9">
              <w:rPr>
                <w:b/>
                <w:iCs/>
              </w:rPr>
              <w:t>n</w:t>
            </w:r>
            <w:proofErr w:type="gramEnd"/>
            <w:r w:rsidRPr="00D647A9">
              <w:rPr>
                <w:b/>
              </w:rPr>
              <w:t xml:space="preserve"> with event/</w:t>
            </w:r>
            <w:r w:rsidRPr="00D647A9">
              <w:rPr>
                <w:b/>
                <w:iCs/>
              </w:rPr>
              <w:t>N</w:t>
            </w:r>
            <w:r w:rsidRPr="00D647A9">
              <w:rPr>
                <w:b/>
              </w:rPr>
              <w:t xml:space="preserve"> (%)</w:t>
            </w:r>
          </w:p>
        </w:tc>
        <w:tc>
          <w:tcPr>
            <w:tcW w:w="2301" w:type="pct"/>
            <w:gridSpan w:val="3"/>
            <w:shd w:val="clear" w:color="auto" w:fill="F2F2F2" w:themeFill="background1" w:themeFillShade="F2"/>
            <w:vAlign w:val="center"/>
          </w:tcPr>
          <w:p w:rsidR="00AE2966" w:rsidRPr="00D647A9" w:rsidRDefault="00AE2966" w:rsidP="00BF5AAE">
            <w:pPr>
              <w:pStyle w:val="TableText"/>
              <w:jc w:val="center"/>
              <w:rPr>
                <w:b/>
              </w:rPr>
            </w:pPr>
            <w:proofErr w:type="spellStart"/>
            <w:r w:rsidRPr="00D647A9">
              <w:rPr>
                <w:b/>
              </w:rPr>
              <w:t>Alectinib</w:t>
            </w:r>
            <w:proofErr w:type="spellEnd"/>
            <w:r w:rsidRPr="00D647A9">
              <w:rPr>
                <w:b/>
              </w:rPr>
              <w:t xml:space="preserve"> </w:t>
            </w:r>
            <w:r w:rsidR="00925157" w:rsidRPr="00D647A9">
              <w:rPr>
                <w:b/>
              </w:rPr>
              <w:t>vs.</w:t>
            </w:r>
            <w:r w:rsidRPr="00D647A9">
              <w:rPr>
                <w:b/>
              </w:rPr>
              <w:t xml:space="preserve"> </w:t>
            </w:r>
            <w:proofErr w:type="spellStart"/>
            <w:r w:rsidRPr="00D647A9">
              <w:rPr>
                <w:b/>
              </w:rPr>
              <w:t>ceritinib</w:t>
            </w:r>
            <w:proofErr w:type="spellEnd"/>
          </w:p>
        </w:tc>
      </w:tr>
      <w:tr w:rsidR="00AE2966" w:rsidRPr="00D647A9" w:rsidTr="00A074BD">
        <w:trPr>
          <w:tblHeader/>
        </w:trPr>
        <w:tc>
          <w:tcPr>
            <w:tcW w:w="821" w:type="pct"/>
            <w:vMerge/>
            <w:shd w:val="clear" w:color="auto" w:fill="F2F2F2" w:themeFill="background1" w:themeFillShade="F2"/>
          </w:tcPr>
          <w:p w:rsidR="00AE2966" w:rsidRPr="00D647A9" w:rsidRDefault="00AE2966" w:rsidP="00BF5AAE">
            <w:pPr>
              <w:pStyle w:val="TableText"/>
              <w:rPr>
                <w:b/>
              </w:rPr>
            </w:pPr>
          </w:p>
        </w:tc>
        <w:tc>
          <w:tcPr>
            <w:tcW w:w="928" w:type="pct"/>
            <w:vMerge/>
            <w:shd w:val="clear" w:color="auto" w:fill="F2F2F2" w:themeFill="background1" w:themeFillShade="F2"/>
            <w:vAlign w:val="center"/>
          </w:tcPr>
          <w:p w:rsidR="00AE2966" w:rsidRPr="00D647A9" w:rsidRDefault="00AE2966" w:rsidP="00BF5AAE">
            <w:pPr>
              <w:pStyle w:val="TableText"/>
              <w:rPr>
                <w:b/>
              </w:rPr>
            </w:pPr>
          </w:p>
        </w:tc>
        <w:tc>
          <w:tcPr>
            <w:tcW w:w="950" w:type="pct"/>
            <w:vMerge/>
            <w:shd w:val="clear" w:color="auto" w:fill="F2F2F2" w:themeFill="background1" w:themeFillShade="F2"/>
            <w:vAlign w:val="center"/>
          </w:tcPr>
          <w:p w:rsidR="00AE2966" w:rsidRPr="00D647A9" w:rsidRDefault="00AE2966" w:rsidP="00BF5AAE">
            <w:pPr>
              <w:pStyle w:val="TableText"/>
              <w:jc w:val="center"/>
              <w:rPr>
                <w:b/>
                <w:iCs/>
              </w:rPr>
            </w:pPr>
          </w:p>
        </w:tc>
        <w:tc>
          <w:tcPr>
            <w:tcW w:w="736" w:type="pct"/>
            <w:shd w:val="clear" w:color="auto" w:fill="F2F2F2" w:themeFill="background1" w:themeFillShade="F2"/>
            <w:vAlign w:val="center"/>
          </w:tcPr>
          <w:p w:rsidR="00AE2966" w:rsidRPr="00D647A9" w:rsidRDefault="00AE2966" w:rsidP="00BF5AAE">
            <w:pPr>
              <w:pStyle w:val="TableText"/>
              <w:jc w:val="center"/>
              <w:rPr>
                <w:b/>
              </w:rPr>
            </w:pPr>
            <w:r w:rsidRPr="00D647A9">
              <w:rPr>
                <w:b/>
              </w:rPr>
              <w:t>Odds ratio</w:t>
            </w:r>
          </w:p>
          <w:p w:rsidR="00AE2966" w:rsidRPr="00D647A9" w:rsidRDefault="00AE2966" w:rsidP="00BF5AAE">
            <w:pPr>
              <w:pStyle w:val="TableText"/>
              <w:jc w:val="center"/>
              <w:rPr>
                <w:b/>
              </w:rPr>
            </w:pPr>
            <w:r w:rsidRPr="00D647A9">
              <w:rPr>
                <w:b/>
              </w:rPr>
              <w:t>(95% CI)</w:t>
            </w:r>
          </w:p>
        </w:tc>
        <w:tc>
          <w:tcPr>
            <w:tcW w:w="784" w:type="pct"/>
            <w:shd w:val="clear" w:color="auto" w:fill="F2F2F2" w:themeFill="background1" w:themeFillShade="F2"/>
            <w:vAlign w:val="center"/>
          </w:tcPr>
          <w:p w:rsidR="00AE2966" w:rsidRPr="00D647A9" w:rsidRDefault="00AE2966" w:rsidP="00BF5AAE">
            <w:pPr>
              <w:pStyle w:val="TableText"/>
              <w:jc w:val="center"/>
              <w:rPr>
                <w:b/>
              </w:rPr>
            </w:pPr>
            <w:r w:rsidRPr="00D647A9">
              <w:rPr>
                <w:b/>
              </w:rPr>
              <w:t>Relative risk</w:t>
            </w:r>
          </w:p>
          <w:p w:rsidR="00AE2966" w:rsidRPr="00D647A9" w:rsidRDefault="00AE2966" w:rsidP="00BF5AAE">
            <w:pPr>
              <w:pStyle w:val="TableText"/>
              <w:jc w:val="center"/>
              <w:rPr>
                <w:b/>
              </w:rPr>
            </w:pPr>
            <w:r w:rsidRPr="00D647A9">
              <w:rPr>
                <w:b/>
              </w:rPr>
              <w:t>(95% CI)</w:t>
            </w:r>
          </w:p>
        </w:tc>
        <w:tc>
          <w:tcPr>
            <w:tcW w:w="781" w:type="pct"/>
            <w:shd w:val="clear" w:color="auto" w:fill="F2F2F2" w:themeFill="background1" w:themeFillShade="F2"/>
            <w:vAlign w:val="center"/>
          </w:tcPr>
          <w:p w:rsidR="00AE2966" w:rsidRPr="00D647A9" w:rsidRDefault="00AE2966" w:rsidP="00BF5AAE">
            <w:pPr>
              <w:pStyle w:val="TableText"/>
              <w:jc w:val="center"/>
              <w:rPr>
                <w:b/>
              </w:rPr>
            </w:pPr>
            <w:r w:rsidRPr="00D647A9">
              <w:rPr>
                <w:b/>
              </w:rPr>
              <w:t>Risk difference</w:t>
            </w:r>
          </w:p>
          <w:p w:rsidR="00AE2966" w:rsidRPr="00D647A9" w:rsidRDefault="00AE2966" w:rsidP="00BF5AAE">
            <w:pPr>
              <w:pStyle w:val="TableText"/>
              <w:jc w:val="center"/>
              <w:rPr>
                <w:b/>
              </w:rPr>
            </w:pPr>
            <w:r w:rsidRPr="00D647A9">
              <w:rPr>
                <w:b/>
              </w:rPr>
              <w:t>(95% CI)</w:t>
            </w:r>
          </w:p>
        </w:tc>
      </w:tr>
      <w:tr w:rsidR="00AE2966" w:rsidRPr="00D647A9" w:rsidTr="00A074BD">
        <w:tc>
          <w:tcPr>
            <w:tcW w:w="821" w:type="pct"/>
            <w:vMerge w:val="restart"/>
          </w:tcPr>
          <w:p w:rsidR="00AE2966" w:rsidRPr="00D647A9" w:rsidRDefault="00AE2966" w:rsidP="00BF5AAE">
            <w:pPr>
              <w:pStyle w:val="Tabletext0"/>
              <w:spacing w:before="20" w:after="20"/>
              <w:rPr>
                <w:vertAlign w:val="superscript"/>
              </w:rPr>
            </w:pPr>
            <w:proofErr w:type="spellStart"/>
            <w:r w:rsidRPr="00D647A9">
              <w:t>Alectinib</w:t>
            </w:r>
            <w:proofErr w:type="spellEnd"/>
            <w:r w:rsidRPr="00D647A9">
              <w:t xml:space="preserve"> studies</w:t>
            </w:r>
          </w:p>
        </w:tc>
        <w:tc>
          <w:tcPr>
            <w:tcW w:w="928" w:type="pct"/>
            <w:shd w:val="clear" w:color="auto" w:fill="auto"/>
            <w:vAlign w:val="center"/>
          </w:tcPr>
          <w:p w:rsidR="00AE2966" w:rsidRPr="00D647A9" w:rsidRDefault="00AE2966" w:rsidP="00BF5AAE">
            <w:pPr>
              <w:pStyle w:val="Tabletext0"/>
              <w:spacing w:before="20" w:after="20"/>
              <w:jc w:val="left"/>
            </w:pPr>
            <w:r w:rsidRPr="00D647A9">
              <w:t>NP28761</w:t>
            </w:r>
          </w:p>
        </w:tc>
        <w:tc>
          <w:tcPr>
            <w:tcW w:w="950" w:type="pct"/>
            <w:shd w:val="clear" w:color="auto" w:fill="auto"/>
            <w:vAlign w:val="center"/>
          </w:tcPr>
          <w:p w:rsidR="00AE2966" w:rsidRPr="00D647A9" w:rsidRDefault="00AE2966" w:rsidP="00BF5AAE">
            <w:pPr>
              <w:pStyle w:val="Tabletext0"/>
              <w:spacing w:before="20" w:after="20"/>
              <w:jc w:val="center"/>
              <w:rPr>
                <w:vertAlign w:val="superscript"/>
              </w:rPr>
            </w:pPr>
            <w:r w:rsidRPr="00D647A9">
              <w:t>12/16 (75.0%)</w:t>
            </w:r>
            <w:r w:rsidRPr="00D647A9">
              <w:rPr>
                <w:vertAlign w:val="superscript"/>
              </w:rPr>
              <w:t>a</w:t>
            </w:r>
          </w:p>
        </w:tc>
        <w:tc>
          <w:tcPr>
            <w:tcW w:w="736" w:type="pct"/>
            <w:vMerge w:val="restart"/>
            <w:shd w:val="clear" w:color="auto" w:fill="auto"/>
            <w:vAlign w:val="center"/>
          </w:tcPr>
          <w:p w:rsidR="00AE2966" w:rsidRPr="00D647A9" w:rsidRDefault="00AE2966" w:rsidP="00BF5AAE">
            <w:pPr>
              <w:pStyle w:val="Tabletext0"/>
              <w:spacing w:before="20" w:after="20"/>
              <w:jc w:val="center"/>
            </w:pPr>
            <w:r w:rsidRPr="00D647A9">
              <w:t>2.94</w:t>
            </w:r>
            <w:r w:rsidRPr="00D647A9">
              <w:br/>
              <w:t>(1.35, 6.38)</w:t>
            </w:r>
          </w:p>
        </w:tc>
        <w:tc>
          <w:tcPr>
            <w:tcW w:w="784" w:type="pct"/>
            <w:vMerge w:val="restart"/>
            <w:shd w:val="clear" w:color="auto" w:fill="auto"/>
            <w:vAlign w:val="center"/>
          </w:tcPr>
          <w:p w:rsidR="00AE2966" w:rsidRPr="00D647A9" w:rsidRDefault="00AE2966" w:rsidP="00BF5AAE">
            <w:pPr>
              <w:pStyle w:val="Tabletext0"/>
              <w:spacing w:before="20" w:after="20"/>
              <w:jc w:val="center"/>
            </w:pPr>
            <w:r w:rsidRPr="00D647A9">
              <w:t xml:space="preserve">1.70 </w:t>
            </w:r>
            <w:r w:rsidRPr="00D647A9">
              <w:br/>
              <w:t>(1.16, 2.49)</w:t>
            </w:r>
          </w:p>
        </w:tc>
        <w:tc>
          <w:tcPr>
            <w:tcW w:w="781" w:type="pct"/>
            <w:vMerge w:val="restart"/>
            <w:vAlign w:val="center"/>
          </w:tcPr>
          <w:p w:rsidR="00AE2966" w:rsidRPr="00D647A9" w:rsidRDefault="00AE2966" w:rsidP="00BF5AAE">
            <w:pPr>
              <w:pStyle w:val="Tabletext0"/>
              <w:spacing w:before="20" w:after="20"/>
              <w:jc w:val="center"/>
            </w:pPr>
            <w:r w:rsidRPr="00D647A9">
              <w:t xml:space="preserve">26.3% </w:t>
            </w:r>
            <w:r w:rsidRPr="00D647A9">
              <w:br/>
              <w:t>(8.3%, 44.3%)</w:t>
            </w:r>
          </w:p>
        </w:tc>
      </w:tr>
      <w:tr w:rsidR="00AE2966" w:rsidRPr="00D647A9" w:rsidTr="00A074BD">
        <w:tc>
          <w:tcPr>
            <w:tcW w:w="821" w:type="pct"/>
            <w:vMerge/>
          </w:tcPr>
          <w:p w:rsidR="00AE2966" w:rsidRPr="00D647A9" w:rsidRDefault="00AE2966" w:rsidP="00BF5AAE">
            <w:pPr>
              <w:pStyle w:val="Tabletext0"/>
              <w:spacing w:before="20" w:after="20"/>
            </w:pPr>
          </w:p>
        </w:tc>
        <w:tc>
          <w:tcPr>
            <w:tcW w:w="928" w:type="pct"/>
            <w:shd w:val="clear" w:color="auto" w:fill="auto"/>
            <w:vAlign w:val="center"/>
          </w:tcPr>
          <w:p w:rsidR="00AE2966" w:rsidRPr="00D647A9" w:rsidRDefault="00AE2966" w:rsidP="00BF5AAE">
            <w:pPr>
              <w:pStyle w:val="Tabletext0"/>
              <w:spacing w:before="20" w:after="20"/>
              <w:jc w:val="left"/>
            </w:pPr>
            <w:r w:rsidRPr="00D647A9">
              <w:t>NP28673</w:t>
            </w:r>
          </w:p>
        </w:tc>
        <w:tc>
          <w:tcPr>
            <w:tcW w:w="950" w:type="pct"/>
            <w:shd w:val="clear" w:color="auto" w:fill="auto"/>
            <w:vAlign w:val="center"/>
          </w:tcPr>
          <w:p w:rsidR="00AE2966" w:rsidRPr="00D647A9" w:rsidRDefault="00AE2966" w:rsidP="00BF5AAE">
            <w:pPr>
              <w:pStyle w:val="Tabletext0"/>
              <w:spacing w:before="20" w:after="20"/>
              <w:jc w:val="center"/>
              <w:rPr>
                <w:vertAlign w:val="superscript"/>
              </w:rPr>
            </w:pPr>
            <w:r w:rsidRPr="00D647A9">
              <w:t>20/34 (58.8%)</w:t>
            </w:r>
            <w:r w:rsidRPr="00D647A9">
              <w:rPr>
                <w:vertAlign w:val="superscript"/>
              </w:rPr>
              <w:t>a</w:t>
            </w:r>
          </w:p>
        </w:tc>
        <w:tc>
          <w:tcPr>
            <w:tcW w:w="736" w:type="pct"/>
            <w:vMerge/>
            <w:shd w:val="clear" w:color="auto" w:fill="auto"/>
            <w:vAlign w:val="center"/>
          </w:tcPr>
          <w:p w:rsidR="00AE2966" w:rsidRPr="00D647A9" w:rsidRDefault="00AE2966" w:rsidP="00BF5AAE">
            <w:pPr>
              <w:pStyle w:val="Tabletext0"/>
              <w:spacing w:before="20" w:after="20"/>
              <w:jc w:val="center"/>
            </w:pPr>
          </w:p>
        </w:tc>
        <w:tc>
          <w:tcPr>
            <w:tcW w:w="784" w:type="pct"/>
            <w:vMerge/>
            <w:shd w:val="clear" w:color="auto" w:fill="auto"/>
            <w:vAlign w:val="center"/>
          </w:tcPr>
          <w:p w:rsidR="00AE2966" w:rsidRPr="00D647A9" w:rsidRDefault="00AE2966" w:rsidP="00BF5AAE">
            <w:pPr>
              <w:pStyle w:val="Tabletext0"/>
              <w:spacing w:before="20" w:after="20"/>
              <w:jc w:val="center"/>
            </w:pPr>
          </w:p>
        </w:tc>
        <w:tc>
          <w:tcPr>
            <w:tcW w:w="781" w:type="pct"/>
            <w:vMerge/>
            <w:vAlign w:val="center"/>
          </w:tcPr>
          <w:p w:rsidR="00AE2966" w:rsidRPr="00D647A9" w:rsidRDefault="00AE2966" w:rsidP="00BF5AAE">
            <w:pPr>
              <w:pStyle w:val="Tabletext0"/>
              <w:spacing w:before="20" w:after="20"/>
              <w:jc w:val="center"/>
            </w:pPr>
          </w:p>
        </w:tc>
      </w:tr>
      <w:tr w:rsidR="004D74E1" w:rsidRPr="00D647A9" w:rsidTr="00A074BD">
        <w:tc>
          <w:tcPr>
            <w:tcW w:w="821" w:type="pct"/>
            <w:vMerge/>
          </w:tcPr>
          <w:p w:rsidR="004D74E1" w:rsidRPr="00D647A9" w:rsidRDefault="004D74E1" w:rsidP="00BF5AAE">
            <w:pPr>
              <w:pStyle w:val="Tabletext0"/>
              <w:spacing w:before="20" w:after="20"/>
            </w:pPr>
          </w:p>
        </w:tc>
        <w:tc>
          <w:tcPr>
            <w:tcW w:w="928" w:type="pct"/>
            <w:shd w:val="clear" w:color="auto" w:fill="auto"/>
            <w:vAlign w:val="center"/>
          </w:tcPr>
          <w:p w:rsidR="004D74E1" w:rsidRPr="00D647A9" w:rsidRDefault="004D74E1" w:rsidP="00BF5AAE">
            <w:pPr>
              <w:pStyle w:val="Tabletext0"/>
              <w:spacing w:before="20" w:after="20"/>
              <w:jc w:val="left"/>
            </w:pPr>
            <w:r w:rsidRPr="00D647A9">
              <w:t>Unweighted pooled total</w:t>
            </w:r>
          </w:p>
        </w:tc>
        <w:tc>
          <w:tcPr>
            <w:tcW w:w="950" w:type="pct"/>
            <w:shd w:val="clear" w:color="auto" w:fill="auto"/>
            <w:vAlign w:val="center"/>
          </w:tcPr>
          <w:p w:rsidR="004D74E1" w:rsidRPr="00D647A9" w:rsidRDefault="004D74E1" w:rsidP="00BF5AAE">
            <w:pPr>
              <w:pStyle w:val="Tabletext0"/>
              <w:spacing w:before="20" w:after="20"/>
              <w:jc w:val="center"/>
              <w:rPr>
                <w:vertAlign w:val="superscript"/>
              </w:rPr>
            </w:pPr>
            <w:r w:rsidRPr="00D647A9">
              <w:t>32/50 (64.0%)</w:t>
            </w:r>
            <w:r w:rsidRPr="00D647A9">
              <w:rPr>
                <w:vertAlign w:val="superscript"/>
              </w:rPr>
              <w:t>a</w:t>
            </w:r>
          </w:p>
        </w:tc>
        <w:tc>
          <w:tcPr>
            <w:tcW w:w="736" w:type="pct"/>
            <w:vMerge/>
            <w:shd w:val="clear" w:color="auto" w:fill="auto"/>
            <w:vAlign w:val="center"/>
          </w:tcPr>
          <w:p w:rsidR="004D74E1" w:rsidRPr="00D647A9" w:rsidRDefault="004D74E1" w:rsidP="00BF5AAE">
            <w:pPr>
              <w:pStyle w:val="Tabletext0"/>
              <w:spacing w:before="20" w:after="20"/>
              <w:jc w:val="center"/>
            </w:pPr>
          </w:p>
        </w:tc>
        <w:tc>
          <w:tcPr>
            <w:tcW w:w="784" w:type="pct"/>
            <w:vMerge/>
            <w:shd w:val="clear" w:color="auto" w:fill="auto"/>
            <w:vAlign w:val="center"/>
          </w:tcPr>
          <w:p w:rsidR="004D74E1" w:rsidRPr="00D647A9" w:rsidRDefault="004D74E1" w:rsidP="00BF5AAE">
            <w:pPr>
              <w:pStyle w:val="Tabletext0"/>
              <w:spacing w:before="20" w:after="20"/>
              <w:jc w:val="center"/>
            </w:pPr>
          </w:p>
        </w:tc>
        <w:tc>
          <w:tcPr>
            <w:tcW w:w="781" w:type="pct"/>
            <w:vMerge/>
            <w:vAlign w:val="center"/>
          </w:tcPr>
          <w:p w:rsidR="004D74E1" w:rsidRPr="00D647A9" w:rsidRDefault="004D74E1" w:rsidP="00BF5AAE">
            <w:pPr>
              <w:pStyle w:val="Tabletext0"/>
              <w:spacing w:before="20" w:after="20"/>
              <w:jc w:val="center"/>
            </w:pPr>
          </w:p>
        </w:tc>
      </w:tr>
      <w:tr w:rsidR="004D74E1" w:rsidRPr="00D647A9" w:rsidTr="00A074BD">
        <w:tc>
          <w:tcPr>
            <w:tcW w:w="821" w:type="pct"/>
            <w:vMerge w:val="restart"/>
          </w:tcPr>
          <w:p w:rsidR="004D74E1" w:rsidRPr="00D647A9" w:rsidRDefault="004D74E1" w:rsidP="00BF5AAE">
            <w:pPr>
              <w:pStyle w:val="Tabletext0"/>
              <w:spacing w:before="20" w:after="20"/>
            </w:pPr>
            <w:proofErr w:type="spellStart"/>
            <w:r w:rsidRPr="00D647A9">
              <w:t>Ceritinib</w:t>
            </w:r>
            <w:proofErr w:type="spellEnd"/>
            <w:r w:rsidRPr="00D647A9">
              <w:t xml:space="preserve"> studies</w:t>
            </w:r>
          </w:p>
        </w:tc>
        <w:tc>
          <w:tcPr>
            <w:tcW w:w="928" w:type="pct"/>
            <w:shd w:val="clear" w:color="auto" w:fill="auto"/>
            <w:vAlign w:val="center"/>
          </w:tcPr>
          <w:p w:rsidR="004D74E1" w:rsidRPr="00D647A9" w:rsidRDefault="004D74E1" w:rsidP="00BF5AAE">
            <w:pPr>
              <w:pStyle w:val="Tabletext0"/>
              <w:spacing w:before="20" w:after="20"/>
              <w:jc w:val="left"/>
            </w:pPr>
            <w:r w:rsidRPr="00D647A9">
              <w:t>Unweighted pooled study results</w:t>
            </w:r>
          </w:p>
        </w:tc>
        <w:tc>
          <w:tcPr>
            <w:tcW w:w="950" w:type="pct"/>
            <w:shd w:val="clear" w:color="auto" w:fill="auto"/>
            <w:vAlign w:val="center"/>
          </w:tcPr>
          <w:p w:rsidR="004D74E1" w:rsidRPr="00D647A9" w:rsidRDefault="004D74E1" w:rsidP="00BF5AAE">
            <w:pPr>
              <w:pStyle w:val="Tabletext0"/>
              <w:spacing w:before="20" w:after="20"/>
              <w:jc w:val="center"/>
              <w:rPr>
                <w:vertAlign w:val="superscript"/>
              </w:rPr>
            </w:pPr>
            <w:r w:rsidRPr="00D647A9">
              <w:t>23/61 (37.7%)</w:t>
            </w:r>
          </w:p>
        </w:tc>
        <w:tc>
          <w:tcPr>
            <w:tcW w:w="736" w:type="pct"/>
            <w:vMerge/>
            <w:shd w:val="clear" w:color="auto" w:fill="auto"/>
            <w:vAlign w:val="center"/>
          </w:tcPr>
          <w:p w:rsidR="004D74E1" w:rsidRPr="00D647A9" w:rsidRDefault="004D74E1" w:rsidP="00BF5AAE">
            <w:pPr>
              <w:pStyle w:val="Tabletext0"/>
              <w:spacing w:before="20" w:after="20"/>
              <w:jc w:val="center"/>
            </w:pPr>
          </w:p>
        </w:tc>
        <w:tc>
          <w:tcPr>
            <w:tcW w:w="784" w:type="pct"/>
            <w:vMerge/>
            <w:shd w:val="clear" w:color="auto" w:fill="auto"/>
            <w:vAlign w:val="center"/>
          </w:tcPr>
          <w:p w:rsidR="004D74E1" w:rsidRPr="00D647A9" w:rsidRDefault="004D74E1" w:rsidP="00BF5AAE">
            <w:pPr>
              <w:pStyle w:val="Tabletext0"/>
              <w:spacing w:before="20" w:after="20"/>
              <w:jc w:val="center"/>
            </w:pPr>
          </w:p>
        </w:tc>
        <w:tc>
          <w:tcPr>
            <w:tcW w:w="781" w:type="pct"/>
            <w:vMerge/>
            <w:vAlign w:val="center"/>
          </w:tcPr>
          <w:p w:rsidR="004D74E1" w:rsidRPr="00D647A9" w:rsidRDefault="004D74E1" w:rsidP="00BF5AAE">
            <w:pPr>
              <w:pStyle w:val="Tabletext0"/>
              <w:spacing w:before="20" w:after="20"/>
              <w:jc w:val="center"/>
            </w:pPr>
          </w:p>
        </w:tc>
      </w:tr>
      <w:tr w:rsidR="00AE2966" w:rsidRPr="00D647A9" w:rsidTr="00A074BD">
        <w:tc>
          <w:tcPr>
            <w:tcW w:w="821" w:type="pct"/>
            <w:vMerge/>
          </w:tcPr>
          <w:p w:rsidR="00AE2966" w:rsidRPr="00D647A9" w:rsidRDefault="00AE2966" w:rsidP="00BF5AAE">
            <w:pPr>
              <w:pStyle w:val="Tabletext0"/>
              <w:spacing w:before="20" w:after="20"/>
            </w:pPr>
          </w:p>
        </w:tc>
        <w:tc>
          <w:tcPr>
            <w:tcW w:w="928" w:type="pct"/>
            <w:shd w:val="clear" w:color="auto" w:fill="auto"/>
            <w:vAlign w:val="center"/>
          </w:tcPr>
          <w:p w:rsidR="00AE2966" w:rsidRPr="00D647A9" w:rsidRDefault="00AE2966" w:rsidP="00BF5AAE">
            <w:pPr>
              <w:pStyle w:val="Tabletext0"/>
              <w:spacing w:before="20" w:after="20"/>
              <w:jc w:val="left"/>
            </w:pPr>
            <w:r w:rsidRPr="00D647A9">
              <w:t>ASCEND-1</w:t>
            </w:r>
          </w:p>
        </w:tc>
        <w:tc>
          <w:tcPr>
            <w:tcW w:w="950" w:type="pct"/>
            <w:shd w:val="clear" w:color="auto" w:fill="auto"/>
            <w:vAlign w:val="center"/>
          </w:tcPr>
          <w:p w:rsidR="00AE2966" w:rsidRPr="00D647A9" w:rsidRDefault="00AE2966" w:rsidP="00BF5AAE">
            <w:pPr>
              <w:pStyle w:val="Tabletext0"/>
              <w:spacing w:before="20" w:after="20"/>
              <w:jc w:val="center"/>
              <w:rPr>
                <w:vertAlign w:val="superscript"/>
              </w:rPr>
            </w:pPr>
            <w:r w:rsidRPr="00D647A9">
              <w:t>10/28 (35.7%)</w:t>
            </w:r>
            <w:r w:rsidRPr="00D647A9">
              <w:rPr>
                <w:vertAlign w:val="superscript"/>
              </w:rPr>
              <w:t>a, b</w:t>
            </w:r>
          </w:p>
        </w:tc>
        <w:tc>
          <w:tcPr>
            <w:tcW w:w="736" w:type="pct"/>
            <w:vMerge/>
            <w:shd w:val="clear" w:color="auto" w:fill="auto"/>
            <w:vAlign w:val="center"/>
          </w:tcPr>
          <w:p w:rsidR="00AE2966" w:rsidRPr="00D647A9" w:rsidRDefault="00AE2966" w:rsidP="00BF5AAE">
            <w:pPr>
              <w:pStyle w:val="Tabletext0"/>
              <w:spacing w:before="20" w:after="20"/>
              <w:jc w:val="center"/>
            </w:pPr>
          </w:p>
        </w:tc>
        <w:tc>
          <w:tcPr>
            <w:tcW w:w="784" w:type="pct"/>
            <w:vMerge/>
            <w:shd w:val="clear" w:color="auto" w:fill="auto"/>
            <w:vAlign w:val="center"/>
          </w:tcPr>
          <w:p w:rsidR="00AE2966" w:rsidRPr="00D647A9" w:rsidRDefault="00AE2966" w:rsidP="00BF5AAE">
            <w:pPr>
              <w:pStyle w:val="Tabletext0"/>
              <w:spacing w:before="20" w:after="20"/>
              <w:jc w:val="center"/>
            </w:pPr>
          </w:p>
        </w:tc>
        <w:tc>
          <w:tcPr>
            <w:tcW w:w="781" w:type="pct"/>
            <w:vMerge/>
            <w:vAlign w:val="center"/>
          </w:tcPr>
          <w:p w:rsidR="00AE2966" w:rsidRPr="00D647A9" w:rsidRDefault="00AE2966" w:rsidP="00BF5AAE">
            <w:pPr>
              <w:pStyle w:val="Tabletext0"/>
              <w:spacing w:before="20" w:after="20"/>
              <w:jc w:val="center"/>
            </w:pPr>
          </w:p>
        </w:tc>
      </w:tr>
      <w:tr w:rsidR="00AE2966" w:rsidRPr="00D647A9" w:rsidTr="00A074BD">
        <w:tc>
          <w:tcPr>
            <w:tcW w:w="821" w:type="pct"/>
            <w:vMerge/>
          </w:tcPr>
          <w:p w:rsidR="00AE2966" w:rsidRPr="00D647A9" w:rsidRDefault="00AE2966" w:rsidP="00BF5AAE">
            <w:pPr>
              <w:pStyle w:val="Tabletext0"/>
              <w:spacing w:before="20" w:after="20"/>
            </w:pPr>
          </w:p>
        </w:tc>
        <w:tc>
          <w:tcPr>
            <w:tcW w:w="928" w:type="pct"/>
            <w:shd w:val="clear" w:color="auto" w:fill="auto"/>
            <w:vAlign w:val="center"/>
          </w:tcPr>
          <w:p w:rsidR="00AE2966" w:rsidRPr="00D647A9" w:rsidRDefault="00AE2966" w:rsidP="00BF5AAE">
            <w:pPr>
              <w:pStyle w:val="Tabletext0"/>
              <w:spacing w:before="20" w:after="20"/>
              <w:jc w:val="left"/>
            </w:pPr>
            <w:r w:rsidRPr="00D647A9">
              <w:t>ASCEND-2</w:t>
            </w:r>
          </w:p>
        </w:tc>
        <w:tc>
          <w:tcPr>
            <w:tcW w:w="950" w:type="pct"/>
            <w:shd w:val="clear" w:color="auto" w:fill="auto"/>
            <w:vAlign w:val="center"/>
          </w:tcPr>
          <w:p w:rsidR="00AE2966" w:rsidRPr="00D647A9" w:rsidRDefault="00AE2966" w:rsidP="00BF5AAE">
            <w:pPr>
              <w:pStyle w:val="Tabletext0"/>
              <w:spacing w:before="20" w:after="20"/>
              <w:jc w:val="center"/>
              <w:rPr>
                <w:vertAlign w:val="superscript"/>
              </w:rPr>
            </w:pPr>
            <w:r w:rsidRPr="00D647A9">
              <w:t>13/33 (39.4%)</w:t>
            </w:r>
            <w:r w:rsidRPr="00D647A9">
              <w:rPr>
                <w:vertAlign w:val="superscript"/>
              </w:rPr>
              <w:t>c</w:t>
            </w:r>
          </w:p>
        </w:tc>
        <w:tc>
          <w:tcPr>
            <w:tcW w:w="736" w:type="pct"/>
            <w:vMerge/>
            <w:shd w:val="clear" w:color="auto" w:fill="auto"/>
            <w:vAlign w:val="center"/>
          </w:tcPr>
          <w:p w:rsidR="00AE2966" w:rsidRPr="00D647A9" w:rsidRDefault="00AE2966" w:rsidP="00BF5AAE">
            <w:pPr>
              <w:pStyle w:val="Tabletext0"/>
              <w:spacing w:before="20" w:after="20"/>
              <w:jc w:val="center"/>
            </w:pPr>
          </w:p>
        </w:tc>
        <w:tc>
          <w:tcPr>
            <w:tcW w:w="784" w:type="pct"/>
            <w:vMerge/>
            <w:shd w:val="clear" w:color="auto" w:fill="auto"/>
            <w:vAlign w:val="center"/>
          </w:tcPr>
          <w:p w:rsidR="00AE2966" w:rsidRPr="00D647A9" w:rsidRDefault="00AE2966" w:rsidP="00BF5AAE">
            <w:pPr>
              <w:pStyle w:val="Tabletext0"/>
              <w:spacing w:before="20" w:after="20"/>
              <w:jc w:val="center"/>
            </w:pPr>
          </w:p>
        </w:tc>
        <w:tc>
          <w:tcPr>
            <w:tcW w:w="781" w:type="pct"/>
            <w:vMerge/>
            <w:vAlign w:val="center"/>
          </w:tcPr>
          <w:p w:rsidR="00AE2966" w:rsidRPr="00D647A9" w:rsidRDefault="00AE2966" w:rsidP="00BF5AAE">
            <w:pPr>
              <w:pStyle w:val="Tabletext0"/>
              <w:spacing w:before="20" w:after="20"/>
              <w:jc w:val="center"/>
            </w:pPr>
          </w:p>
        </w:tc>
      </w:tr>
    </w:tbl>
    <w:p w:rsidR="00AE2966" w:rsidRPr="00D647A9" w:rsidRDefault="00AE2966" w:rsidP="00BF5AAE">
      <w:pPr>
        <w:pStyle w:val="TableFooter"/>
        <w:widowControl/>
      </w:pPr>
      <w:r w:rsidRPr="00D647A9">
        <w:t>CI = confidence interval; CNS = central nervous system; ORR = objective response rate</w:t>
      </w:r>
      <w:r w:rsidR="00F6522F" w:rsidRPr="00D647A9">
        <w:t>.</w:t>
      </w:r>
    </w:p>
    <w:p w:rsidR="00AE2966" w:rsidRPr="00D647A9" w:rsidRDefault="00AE2966" w:rsidP="00BF5AAE">
      <w:pPr>
        <w:pStyle w:val="TableFooter"/>
        <w:widowControl/>
      </w:pPr>
      <w:proofErr w:type="gramStart"/>
      <w:r w:rsidRPr="00D647A9">
        <w:rPr>
          <w:vertAlign w:val="superscript"/>
        </w:rPr>
        <w:t>a</w:t>
      </w:r>
      <w:proofErr w:type="gramEnd"/>
      <w:r w:rsidRPr="00D647A9">
        <w:t xml:space="preserve"> Based on patients with measurable CNS disease at baseline</w:t>
      </w:r>
      <w:r w:rsidR="00F6522F" w:rsidRPr="00D647A9">
        <w:t>.</w:t>
      </w:r>
    </w:p>
    <w:p w:rsidR="00AE2966" w:rsidRPr="00D647A9" w:rsidRDefault="00AE2966" w:rsidP="00BF5AAE">
      <w:pPr>
        <w:pStyle w:val="TableFooter"/>
        <w:widowControl/>
      </w:pPr>
      <w:proofErr w:type="gramStart"/>
      <w:r w:rsidRPr="00D647A9">
        <w:rPr>
          <w:vertAlign w:val="superscript"/>
        </w:rPr>
        <w:t>b</w:t>
      </w:r>
      <w:proofErr w:type="gramEnd"/>
      <w:r w:rsidRPr="00D647A9">
        <w:t xml:space="preserve"> Post hoc analysis.</w:t>
      </w:r>
    </w:p>
    <w:p w:rsidR="00AE2966" w:rsidRPr="003D71FA" w:rsidRDefault="00AE2966" w:rsidP="00BF5AAE">
      <w:pPr>
        <w:pStyle w:val="TableFooter"/>
        <w:widowControl/>
      </w:pPr>
      <w:proofErr w:type="gramStart"/>
      <w:r w:rsidRPr="00D647A9">
        <w:rPr>
          <w:vertAlign w:val="superscript"/>
        </w:rPr>
        <w:t>c</w:t>
      </w:r>
      <w:proofErr w:type="gramEnd"/>
      <w:r w:rsidRPr="00D647A9">
        <w:t xml:space="preserve"> Based on patients with active </w:t>
      </w:r>
      <w:r w:rsidRPr="003D71FA">
        <w:t>target lesions at baseline</w:t>
      </w:r>
      <w:r w:rsidR="00F6522F" w:rsidRPr="003D71FA">
        <w:t>.</w:t>
      </w:r>
    </w:p>
    <w:p w:rsidR="00AE2966" w:rsidRPr="00D647A9" w:rsidRDefault="00AE2966" w:rsidP="00BF5AAE">
      <w:pPr>
        <w:pStyle w:val="TableFooter"/>
        <w:widowControl/>
      </w:pPr>
      <w:r w:rsidRPr="003D71FA">
        <w:t>Source: Tables 2.51 and 2.52, p76 Section 2 of the submission</w:t>
      </w:r>
      <w:r w:rsidR="00F6522F" w:rsidRPr="00D647A9">
        <w:t>.</w:t>
      </w:r>
    </w:p>
    <w:p w:rsidR="00C27458" w:rsidRDefault="00A419F7" w:rsidP="00863A4D">
      <w:pPr>
        <w:pStyle w:val="ListParagraph"/>
        <w:numPr>
          <w:ilvl w:val="1"/>
          <w:numId w:val="4"/>
        </w:numPr>
        <w:spacing w:before="0" w:after="120"/>
      </w:pPr>
      <w:r w:rsidRPr="00D647A9">
        <w:t xml:space="preserve">The submission claimed that </w:t>
      </w:r>
      <w:proofErr w:type="spellStart"/>
      <w:r w:rsidRPr="00D647A9">
        <w:t>alectinib</w:t>
      </w:r>
      <w:proofErr w:type="spellEnd"/>
      <w:r w:rsidRPr="00D647A9">
        <w:t xml:space="preserve"> was superior to </w:t>
      </w:r>
      <w:proofErr w:type="spellStart"/>
      <w:r w:rsidRPr="00D647A9">
        <w:t>ceritinib</w:t>
      </w:r>
      <w:proofErr w:type="spellEnd"/>
      <w:r w:rsidRPr="00D647A9">
        <w:t xml:space="preserve"> in terms of C</w:t>
      </w:r>
      <w:r w:rsidR="00713498" w:rsidRPr="00D647A9">
        <w:t xml:space="preserve">NS </w:t>
      </w:r>
      <w:r w:rsidRPr="00D647A9">
        <w:t xml:space="preserve">ORR, as determined by the IRC. </w:t>
      </w:r>
      <w:r w:rsidR="00F30775" w:rsidRPr="00D647A9">
        <w:t xml:space="preserve">The analyses in ASCEND-2 were based on patients with active CNS target lesions, while the analyses in the other studies included all patients with measurable CNS lesions. The extent and direction of any bias resulting from this difference in patient populations is not clear. </w:t>
      </w:r>
      <w:r w:rsidRPr="00D647A9">
        <w:t>Given the small sample sizes</w:t>
      </w:r>
      <w:r w:rsidR="00F8740C" w:rsidRPr="00D647A9">
        <w:t>,</w:t>
      </w:r>
      <w:r w:rsidRPr="00D647A9">
        <w:t xml:space="preserve"> and the fact that the indirectly derived confidence intervals do not reflect the </w:t>
      </w:r>
      <w:r w:rsidR="00640A1F" w:rsidRPr="00D647A9">
        <w:t>true extent of statistical uncertainty in the synthesised estimate of the comparative treatment effect</w:t>
      </w:r>
      <w:r w:rsidR="00F8740C" w:rsidRPr="00D647A9">
        <w:t>, the results of this analysi</w:t>
      </w:r>
      <w:r w:rsidRPr="00D647A9">
        <w:t>s should be interpreted with caution.</w:t>
      </w:r>
      <w:r w:rsidR="00600E10" w:rsidRPr="00D647A9">
        <w:t xml:space="preserve"> </w:t>
      </w:r>
      <w:r w:rsidR="00F30775" w:rsidRPr="00D647A9">
        <w:t>No difference in median duration of response was evident</w:t>
      </w:r>
      <w:r w:rsidR="00A26B12" w:rsidRPr="00D647A9">
        <w:t>.</w:t>
      </w:r>
    </w:p>
    <w:p w:rsidR="00993409" w:rsidRDefault="00993409">
      <w:pPr>
        <w:spacing w:before="0" w:line="259" w:lineRule="auto"/>
        <w:jc w:val="left"/>
        <w:rPr>
          <w:rFonts w:eastAsiaTheme="majorEastAsia" w:cstheme="majorBidi"/>
          <w:b/>
          <w:i/>
          <w:sz w:val="28"/>
          <w:szCs w:val="28"/>
        </w:rPr>
      </w:pPr>
      <w:bookmarkStart w:id="16" w:name="_Toc413139279"/>
      <w:bookmarkStart w:id="17" w:name="_Toc482699440"/>
      <w:r>
        <w:br w:type="page"/>
      </w:r>
    </w:p>
    <w:p w:rsidR="00C317F3" w:rsidRPr="00D647A9" w:rsidRDefault="00C317F3" w:rsidP="00BF5AAE">
      <w:pPr>
        <w:pStyle w:val="Heading2"/>
      </w:pPr>
      <w:r w:rsidRPr="00D647A9">
        <w:t>Comparative harms</w:t>
      </w:r>
      <w:bookmarkEnd w:id="16"/>
      <w:bookmarkEnd w:id="17"/>
    </w:p>
    <w:p w:rsidR="006311D8" w:rsidRPr="00D647A9" w:rsidRDefault="003D2EB8" w:rsidP="00863A4D">
      <w:pPr>
        <w:pStyle w:val="ListParagraph"/>
        <w:numPr>
          <w:ilvl w:val="1"/>
          <w:numId w:val="4"/>
        </w:numPr>
        <w:spacing w:before="0" w:after="120"/>
      </w:pPr>
      <w:r w:rsidRPr="00D647A9">
        <w:t xml:space="preserve">The </w:t>
      </w:r>
      <w:r w:rsidR="003727C7" w:rsidRPr="00D647A9">
        <w:t xml:space="preserve">main safety outcomes across the single-arm </w:t>
      </w:r>
      <w:r w:rsidR="00F6522F" w:rsidRPr="00D647A9">
        <w:t>studies are presented in Table 9.</w:t>
      </w:r>
    </w:p>
    <w:p w:rsidR="00A074BD" w:rsidRDefault="00A074BD" w:rsidP="00A074BD">
      <w:pPr>
        <w:pStyle w:val="Caption"/>
      </w:pPr>
      <w:r>
        <w:t xml:space="preserve">Table </w:t>
      </w:r>
      <w:r>
        <w:rPr>
          <w:noProof/>
        </w:rPr>
        <w:t>9</w:t>
      </w:r>
      <w:r w:rsidRPr="00DA25B6">
        <w:t>: Summary of the results of the naïve indirect comparison of safety outcomes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055"/>
        <w:gridCol w:w="1139"/>
        <w:gridCol w:w="1214"/>
        <w:gridCol w:w="1161"/>
        <w:gridCol w:w="1211"/>
        <w:gridCol w:w="1558"/>
      </w:tblGrid>
      <w:tr w:rsidR="00D41DDD" w:rsidRPr="00D647A9" w:rsidTr="00D41DDD">
        <w:trPr>
          <w:tblHeader/>
        </w:trPr>
        <w:tc>
          <w:tcPr>
            <w:tcW w:w="1030" w:type="pct"/>
            <w:vMerge w:val="restart"/>
            <w:shd w:val="clear" w:color="auto" w:fill="F2F2F2" w:themeFill="background1" w:themeFillShade="F2"/>
          </w:tcPr>
          <w:p w:rsidR="00D41DDD" w:rsidRPr="00D647A9" w:rsidRDefault="00D41DDD" w:rsidP="00585D2A">
            <w:pPr>
              <w:pStyle w:val="Tabletext0"/>
              <w:keepNext/>
              <w:rPr>
                <w:b/>
              </w:rPr>
            </w:pPr>
          </w:p>
        </w:tc>
        <w:tc>
          <w:tcPr>
            <w:tcW w:w="1844" w:type="pct"/>
            <w:gridSpan w:val="3"/>
            <w:tcBorders>
              <w:right w:val="double" w:sz="4" w:space="0" w:color="auto"/>
            </w:tcBorders>
            <w:shd w:val="clear" w:color="auto" w:fill="F2F2F2" w:themeFill="background1" w:themeFillShade="F2"/>
            <w:vAlign w:val="center"/>
          </w:tcPr>
          <w:p w:rsidR="00D41DDD" w:rsidRPr="00D647A9" w:rsidRDefault="00D41DDD" w:rsidP="00585D2A">
            <w:pPr>
              <w:pStyle w:val="Tabletext0"/>
              <w:keepNext/>
              <w:jc w:val="center"/>
              <w:rPr>
                <w:b/>
              </w:rPr>
            </w:pPr>
            <w:proofErr w:type="spellStart"/>
            <w:r w:rsidRPr="00D647A9">
              <w:rPr>
                <w:b/>
              </w:rPr>
              <w:t>Alectinib</w:t>
            </w:r>
            <w:proofErr w:type="spellEnd"/>
          </w:p>
        </w:tc>
        <w:tc>
          <w:tcPr>
            <w:tcW w:w="1283" w:type="pct"/>
            <w:gridSpan w:val="2"/>
            <w:tcBorders>
              <w:left w:val="double" w:sz="4" w:space="0" w:color="auto"/>
              <w:right w:val="double" w:sz="4" w:space="0" w:color="auto"/>
            </w:tcBorders>
            <w:shd w:val="clear" w:color="auto" w:fill="F2F2F2" w:themeFill="background1" w:themeFillShade="F2"/>
            <w:vAlign w:val="center"/>
          </w:tcPr>
          <w:p w:rsidR="00D41DDD" w:rsidRPr="00D647A9" w:rsidRDefault="00D41DDD" w:rsidP="00585D2A">
            <w:pPr>
              <w:pStyle w:val="Tabletext0"/>
              <w:keepNext/>
              <w:jc w:val="center"/>
              <w:rPr>
                <w:b/>
              </w:rPr>
            </w:pPr>
            <w:proofErr w:type="spellStart"/>
            <w:r w:rsidRPr="00D647A9">
              <w:rPr>
                <w:b/>
              </w:rPr>
              <w:t>Ceritinib</w:t>
            </w:r>
            <w:proofErr w:type="spellEnd"/>
          </w:p>
        </w:tc>
        <w:tc>
          <w:tcPr>
            <w:tcW w:w="843" w:type="pct"/>
            <w:tcBorders>
              <w:left w:val="double" w:sz="4" w:space="0" w:color="auto"/>
            </w:tcBorders>
            <w:shd w:val="clear" w:color="auto" w:fill="F2F2F2" w:themeFill="background1" w:themeFillShade="F2"/>
            <w:vAlign w:val="center"/>
          </w:tcPr>
          <w:p w:rsidR="00D41DDD" w:rsidRPr="00D647A9" w:rsidRDefault="00D41DDD" w:rsidP="00585D2A">
            <w:pPr>
              <w:pStyle w:val="Tabletext0"/>
              <w:keepNext/>
              <w:jc w:val="center"/>
              <w:rPr>
                <w:b/>
              </w:rPr>
            </w:pPr>
            <w:proofErr w:type="spellStart"/>
            <w:r w:rsidRPr="00D647A9">
              <w:rPr>
                <w:b/>
              </w:rPr>
              <w:t>Alectinib</w:t>
            </w:r>
            <w:proofErr w:type="spellEnd"/>
            <w:r w:rsidRPr="00D647A9">
              <w:rPr>
                <w:b/>
              </w:rPr>
              <w:t xml:space="preserve"> (pooled) </w:t>
            </w:r>
            <w:r w:rsidR="00925157" w:rsidRPr="00D647A9">
              <w:rPr>
                <w:b/>
              </w:rPr>
              <w:t>vs.</w:t>
            </w:r>
            <w:r w:rsidRPr="00D647A9">
              <w:rPr>
                <w:b/>
              </w:rPr>
              <w:t xml:space="preserve"> </w:t>
            </w:r>
            <w:proofErr w:type="spellStart"/>
            <w:r w:rsidRPr="00D647A9">
              <w:rPr>
                <w:b/>
              </w:rPr>
              <w:t>ceritinib</w:t>
            </w:r>
            <w:proofErr w:type="spellEnd"/>
            <w:r w:rsidRPr="00D647A9">
              <w:rPr>
                <w:b/>
              </w:rPr>
              <w:t xml:space="preserve"> (pooled)</w:t>
            </w:r>
          </w:p>
        </w:tc>
      </w:tr>
      <w:tr w:rsidR="00D41DDD" w:rsidRPr="00D647A9" w:rsidTr="00D41DDD">
        <w:trPr>
          <w:tblHeader/>
        </w:trPr>
        <w:tc>
          <w:tcPr>
            <w:tcW w:w="1030" w:type="pct"/>
            <w:vMerge/>
            <w:shd w:val="clear" w:color="auto" w:fill="F2F2F2" w:themeFill="background1" w:themeFillShade="F2"/>
          </w:tcPr>
          <w:p w:rsidR="00D41DDD" w:rsidRPr="00D647A9" w:rsidRDefault="00D41DDD" w:rsidP="00585D2A">
            <w:pPr>
              <w:pStyle w:val="Tabletext0"/>
              <w:keepNext/>
              <w:rPr>
                <w:b/>
              </w:rPr>
            </w:pPr>
          </w:p>
        </w:tc>
        <w:tc>
          <w:tcPr>
            <w:tcW w:w="571" w:type="pct"/>
            <w:shd w:val="clear" w:color="auto" w:fill="F2F2F2" w:themeFill="background1" w:themeFillShade="F2"/>
            <w:vAlign w:val="center"/>
          </w:tcPr>
          <w:p w:rsidR="00D41DDD" w:rsidRPr="00AE234B" w:rsidRDefault="00D41DDD" w:rsidP="00585D2A">
            <w:pPr>
              <w:pStyle w:val="Tabletext0"/>
              <w:keepNext/>
              <w:jc w:val="center"/>
              <w:rPr>
                <w:b/>
              </w:rPr>
            </w:pPr>
            <w:r w:rsidRPr="00AE234B">
              <w:rPr>
                <w:b/>
              </w:rPr>
              <w:t>NP28761</w:t>
            </w:r>
          </w:p>
          <w:p w:rsidR="00D41DDD" w:rsidRPr="00AE234B" w:rsidRDefault="00D41DDD" w:rsidP="00585D2A">
            <w:pPr>
              <w:pStyle w:val="Tabletext0"/>
              <w:keepNext/>
              <w:jc w:val="center"/>
              <w:rPr>
                <w:b/>
              </w:rPr>
            </w:pPr>
            <w:r w:rsidRPr="00AE234B">
              <w:rPr>
                <w:b/>
              </w:rPr>
              <w:t>N=87</w:t>
            </w:r>
          </w:p>
        </w:tc>
        <w:tc>
          <w:tcPr>
            <w:tcW w:w="616" w:type="pct"/>
            <w:shd w:val="clear" w:color="auto" w:fill="F2F2F2" w:themeFill="background1" w:themeFillShade="F2"/>
            <w:vAlign w:val="center"/>
          </w:tcPr>
          <w:p w:rsidR="00D41DDD" w:rsidRPr="00AE234B" w:rsidRDefault="00D41DDD" w:rsidP="00585D2A">
            <w:pPr>
              <w:pStyle w:val="Tabletext0"/>
              <w:keepNext/>
              <w:jc w:val="center"/>
              <w:rPr>
                <w:b/>
              </w:rPr>
            </w:pPr>
            <w:r w:rsidRPr="00AE234B">
              <w:rPr>
                <w:b/>
              </w:rPr>
              <w:t>NP28673</w:t>
            </w:r>
          </w:p>
          <w:p w:rsidR="00D41DDD" w:rsidRPr="00AE234B" w:rsidRDefault="00D41DDD" w:rsidP="00585D2A">
            <w:pPr>
              <w:pStyle w:val="Tabletext0"/>
              <w:keepNext/>
              <w:jc w:val="center"/>
              <w:rPr>
                <w:b/>
              </w:rPr>
            </w:pPr>
            <w:r w:rsidRPr="00AE234B">
              <w:rPr>
                <w:b/>
              </w:rPr>
              <w:t>N=138</w:t>
            </w:r>
          </w:p>
        </w:tc>
        <w:tc>
          <w:tcPr>
            <w:tcW w:w="657" w:type="pct"/>
            <w:tcBorders>
              <w:right w:val="double" w:sz="4" w:space="0" w:color="auto"/>
            </w:tcBorders>
            <w:shd w:val="clear" w:color="auto" w:fill="F2F2F2" w:themeFill="background1" w:themeFillShade="F2"/>
            <w:vAlign w:val="center"/>
          </w:tcPr>
          <w:p w:rsidR="00D41DDD" w:rsidRPr="00AE234B" w:rsidRDefault="00D41DDD" w:rsidP="00585D2A">
            <w:pPr>
              <w:pStyle w:val="Tabletext0"/>
              <w:keepNext/>
              <w:jc w:val="center"/>
              <w:rPr>
                <w:b/>
                <w:vertAlign w:val="superscript"/>
              </w:rPr>
            </w:pPr>
            <w:r w:rsidRPr="00AE234B">
              <w:rPr>
                <w:b/>
              </w:rPr>
              <w:t>Unweighted pooled total</w:t>
            </w:r>
          </w:p>
          <w:p w:rsidR="00D41DDD" w:rsidRPr="00AE234B" w:rsidRDefault="00D41DDD" w:rsidP="00585D2A">
            <w:pPr>
              <w:pStyle w:val="Tabletext0"/>
              <w:keepNext/>
              <w:jc w:val="center"/>
              <w:rPr>
                <w:b/>
                <w:vertAlign w:val="superscript"/>
              </w:rPr>
            </w:pPr>
            <w:r w:rsidRPr="00AE234B">
              <w:rPr>
                <w:b/>
              </w:rPr>
              <w:t>N=253</w:t>
            </w:r>
            <w:r w:rsidRPr="00AE234B">
              <w:rPr>
                <w:b/>
                <w:vertAlign w:val="superscript"/>
              </w:rPr>
              <w:t>a</w:t>
            </w:r>
          </w:p>
        </w:tc>
        <w:tc>
          <w:tcPr>
            <w:tcW w:w="628" w:type="pct"/>
            <w:tcBorders>
              <w:left w:val="double" w:sz="4" w:space="0" w:color="auto"/>
            </w:tcBorders>
            <w:shd w:val="clear" w:color="auto" w:fill="F2F2F2" w:themeFill="background1" w:themeFillShade="F2"/>
            <w:vAlign w:val="center"/>
          </w:tcPr>
          <w:p w:rsidR="00D41DDD" w:rsidRPr="00AE234B" w:rsidRDefault="00D41DDD" w:rsidP="00585D2A">
            <w:pPr>
              <w:pStyle w:val="Tabletext0"/>
              <w:keepNext/>
              <w:jc w:val="center"/>
              <w:rPr>
                <w:b/>
              </w:rPr>
            </w:pPr>
            <w:r w:rsidRPr="00AE234B">
              <w:rPr>
                <w:b/>
              </w:rPr>
              <w:t>ASCEND-1</w:t>
            </w:r>
          </w:p>
          <w:p w:rsidR="00D41DDD" w:rsidRPr="00AE234B" w:rsidRDefault="00D41DDD" w:rsidP="00585D2A">
            <w:pPr>
              <w:pStyle w:val="Tabletext0"/>
              <w:keepNext/>
              <w:jc w:val="center"/>
              <w:rPr>
                <w:b/>
              </w:rPr>
            </w:pPr>
            <w:r w:rsidRPr="00AE234B">
              <w:rPr>
                <w:b/>
              </w:rPr>
              <w:t>N=246</w:t>
            </w:r>
            <w:r w:rsidRPr="00AE234B">
              <w:rPr>
                <w:b/>
                <w:vertAlign w:val="superscript"/>
              </w:rPr>
              <w:t>b</w:t>
            </w:r>
          </w:p>
        </w:tc>
        <w:tc>
          <w:tcPr>
            <w:tcW w:w="655" w:type="pct"/>
            <w:tcBorders>
              <w:right w:val="double" w:sz="4" w:space="0" w:color="auto"/>
            </w:tcBorders>
            <w:shd w:val="clear" w:color="auto" w:fill="F2F2F2" w:themeFill="background1" w:themeFillShade="F2"/>
            <w:vAlign w:val="center"/>
          </w:tcPr>
          <w:p w:rsidR="00D41DDD" w:rsidRPr="00AE234B" w:rsidRDefault="00D41DDD" w:rsidP="00585D2A">
            <w:pPr>
              <w:pStyle w:val="Tabletext0"/>
              <w:keepNext/>
              <w:jc w:val="center"/>
              <w:rPr>
                <w:b/>
              </w:rPr>
            </w:pPr>
            <w:r w:rsidRPr="00AE234B">
              <w:rPr>
                <w:b/>
              </w:rPr>
              <w:t>ASCEND-2</w:t>
            </w:r>
          </w:p>
          <w:p w:rsidR="00D41DDD" w:rsidRPr="00AE234B" w:rsidRDefault="00D41DDD" w:rsidP="00585D2A">
            <w:pPr>
              <w:pStyle w:val="Tabletext0"/>
              <w:keepNext/>
              <w:jc w:val="center"/>
              <w:rPr>
                <w:b/>
              </w:rPr>
            </w:pPr>
            <w:r w:rsidRPr="00AE234B">
              <w:rPr>
                <w:b/>
              </w:rPr>
              <w:t>N=140</w:t>
            </w:r>
          </w:p>
        </w:tc>
        <w:tc>
          <w:tcPr>
            <w:tcW w:w="843" w:type="pct"/>
            <w:tcBorders>
              <w:left w:val="double" w:sz="4" w:space="0" w:color="auto"/>
            </w:tcBorders>
            <w:shd w:val="clear" w:color="auto" w:fill="F2F2F2" w:themeFill="background1" w:themeFillShade="F2"/>
            <w:vAlign w:val="center"/>
          </w:tcPr>
          <w:p w:rsidR="00D41DDD" w:rsidRPr="00AE234B" w:rsidRDefault="00D41DDD" w:rsidP="00585D2A">
            <w:pPr>
              <w:pStyle w:val="Tabletext0"/>
              <w:keepNext/>
              <w:jc w:val="center"/>
              <w:rPr>
                <w:b/>
              </w:rPr>
            </w:pPr>
            <w:r w:rsidRPr="00AE234B">
              <w:rPr>
                <w:b/>
              </w:rPr>
              <w:t>Relative risk</w:t>
            </w:r>
            <w:r w:rsidRPr="00AE234B">
              <w:rPr>
                <w:b/>
              </w:rPr>
              <w:br/>
              <w:t>(95% CI)</w:t>
            </w:r>
          </w:p>
        </w:tc>
      </w:tr>
      <w:tr w:rsidR="00D41DDD" w:rsidRPr="00D647A9" w:rsidTr="00D41DDD">
        <w:tc>
          <w:tcPr>
            <w:tcW w:w="1030" w:type="pct"/>
            <w:tcBorders>
              <w:bottom w:val="single" w:sz="4" w:space="0" w:color="auto"/>
            </w:tcBorders>
            <w:vAlign w:val="center"/>
          </w:tcPr>
          <w:p w:rsidR="00D41DDD" w:rsidRPr="00D647A9" w:rsidRDefault="00D41DDD" w:rsidP="00585D2A">
            <w:pPr>
              <w:pStyle w:val="Tabletext0"/>
              <w:keepNext/>
              <w:jc w:val="left"/>
            </w:pPr>
            <w:r w:rsidRPr="00D647A9">
              <w:t>Median duration of follow-up, months</w:t>
            </w:r>
          </w:p>
        </w:tc>
        <w:tc>
          <w:tcPr>
            <w:tcW w:w="571" w:type="pct"/>
            <w:tcBorders>
              <w:bottom w:val="single" w:sz="4" w:space="0" w:color="auto"/>
            </w:tcBorders>
            <w:vAlign w:val="center"/>
          </w:tcPr>
          <w:p w:rsidR="00D41DDD" w:rsidRPr="00AE234B" w:rsidRDefault="00D41DDD" w:rsidP="00585D2A">
            <w:pPr>
              <w:pStyle w:val="Tabletext0"/>
              <w:keepNext/>
              <w:jc w:val="center"/>
            </w:pPr>
            <w:r w:rsidRPr="00AE234B">
              <w:t>17.0</w:t>
            </w:r>
          </w:p>
        </w:tc>
        <w:tc>
          <w:tcPr>
            <w:tcW w:w="616" w:type="pct"/>
            <w:tcBorders>
              <w:bottom w:val="single" w:sz="4" w:space="0" w:color="auto"/>
            </w:tcBorders>
            <w:vAlign w:val="center"/>
          </w:tcPr>
          <w:p w:rsidR="00D41DDD" w:rsidRPr="00AE234B" w:rsidRDefault="00D41DDD" w:rsidP="00585D2A">
            <w:pPr>
              <w:pStyle w:val="Tabletext0"/>
              <w:keepNext/>
              <w:jc w:val="center"/>
            </w:pPr>
            <w:r w:rsidRPr="00AE234B">
              <w:t>21.3</w:t>
            </w:r>
          </w:p>
        </w:tc>
        <w:tc>
          <w:tcPr>
            <w:tcW w:w="657" w:type="pct"/>
            <w:tcBorders>
              <w:bottom w:val="single" w:sz="4" w:space="0" w:color="auto"/>
              <w:right w:val="double" w:sz="4" w:space="0" w:color="auto"/>
            </w:tcBorders>
            <w:vAlign w:val="center"/>
          </w:tcPr>
          <w:p w:rsidR="00D41DDD" w:rsidRPr="00AE234B" w:rsidRDefault="00D41DDD" w:rsidP="00585D2A">
            <w:pPr>
              <w:pStyle w:val="Tabletext0"/>
              <w:keepNext/>
              <w:jc w:val="center"/>
              <w:rPr>
                <w:vertAlign w:val="superscript"/>
              </w:rPr>
            </w:pPr>
            <w:r w:rsidRPr="00AE234B">
              <w:t>-</w:t>
            </w:r>
          </w:p>
        </w:tc>
        <w:tc>
          <w:tcPr>
            <w:tcW w:w="628" w:type="pct"/>
            <w:tcBorders>
              <w:left w:val="double" w:sz="4" w:space="0" w:color="auto"/>
              <w:bottom w:val="single" w:sz="4" w:space="0" w:color="auto"/>
            </w:tcBorders>
            <w:vAlign w:val="center"/>
          </w:tcPr>
          <w:p w:rsidR="00D41DDD" w:rsidRPr="00AE234B" w:rsidRDefault="00D41DDD" w:rsidP="00585D2A">
            <w:pPr>
              <w:pStyle w:val="Tabletext0"/>
              <w:keepNext/>
              <w:jc w:val="center"/>
            </w:pPr>
            <w:r w:rsidRPr="00AE234B">
              <w:t>11.1</w:t>
            </w:r>
          </w:p>
        </w:tc>
        <w:tc>
          <w:tcPr>
            <w:tcW w:w="655" w:type="pct"/>
            <w:tcBorders>
              <w:bottom w:val="single" w:sz="4" w:space="0" w:color="auto"/>
              <w:right w:val="double" w:sz="4" w:space="0" w:color="auto"/>
            </w:tcBorders>
            <w:vAlign w:val="center"/>
          </w:tcPr>
          <w:p w:rsidR="00D41DDD" w:rsidRPr="00AE234B" w:rsidRDefault="00D41DDD" w:rsidP="00585D2A">
            <w:pPr>
              <w:pStyle w:val="Tabletext0"/>
              <w:keepNext/>
              <w:jc w:val="center"/>
            </w:pPr>
            <w:r w:rsidRPr="00AE234B">
              <w:t>11.3</w:t>
            </w:r>
          </w:p>
        </w:tc>
        <w:tc>
          <w:tcPr>
            <w:tcW w:w="843" w:type="pct"/>
            <w:tcBorders>
              <w:left w:val="double" w:sz="4" w:space="0" w:color="auto"/>
              <w:bottom w:val="single" w:sz="4" w:space="0" w:color="auto"/>
            </w:tcBorders>
          </w:tcPr>
          <w:p w:rsidR="00D41DDD" w:rsidRPr="00AE234B" w:rsidRDefault="00D41DDD" w:rsidP="00585D2A">
            <w:pPr>
              <w:pStyle w:val="Tabletext0"/>
              <w:keepNext/>
              <w:jc w:val="center"/>
            </w:pPr>
          </w:p>
        </w:tc>
      </w:tr>
      <w:tr w:rsidR="00D41DDD" w:rsidRPr="00D647A9" w:rsidTr="00D41DDD">
        <w:tc>
          <w:tcPr>
            <w:tcW w:w="1030" w:type="pct"/>
            <w:tcBorders>
              <w:bottom w:val="nil"/>
            </w:tcBorders>
            <w:vAlign w:val="center"/>
          </w:tcPr>
          <w:p w:rsidR="00D41DDD" w:rsidRPr="00D647A9" w:rsidRDefault="00D41DDD" w:rsidP="00585D2A">
            <w:pPr>
              <w:pStyle w:val="Tabletext0"/>
              <w:keepNext/>
              <w:jc w:val="left"/>
            </w:pPr>
            <w:r w:rsidRPr="00D647A9">
              <w:t>Any AE, n (%)</w:t>
            </w:r>
          </w:p>
        </w:tc>
        <w:tc>
          <w:tcPr>
            <w:tcW w:w="571" w:type="pct"/>
            <w:tcBorders>
              <w:bottom w:val="nil"/>
            </w:tcBorders>
            <w:vAlign w:val="center"/>
          </w:tcPr>
          <w:p w:rsidR="00D41DDD" w:rsidRPr="00AE234B" w:rsidRDefault="00D41DDD" w:rsidP="00585D2A">
            <w:pPr>
              <w:pStyle w:val="Tabletext0"/>
              <w:keepNext/>
              <w:jc w:val="center"/>
            </w:pPr>
          </w:p>
        </w:tc>
        <w:tc>
          <w:tcPr>
            <w:tcW w:w="616" w:type="pct"/>
            <w:tcBorders>
              <w:bottom w:val="nil"/>
            </w:tcBorders>
            <w:vAlign w:val="center"/>
          </w:tcPr>
          <w:p w:rsidR="00D41DDD" w:rsidRPr="00AE234B" w:rsidRDefault="00D41DDD" w:rsidP="00585D2A">
            <w:pPr>
              <w:pStyle w:val="Tabletext0"/>
              <w:keepNext/>
              <w:jc w:val="center"/>
            </w:pPr>
          </w:p>
        </w:tc>
        <w:tc>
          <w:tcPr>
            <w:tcW w:w="657" w:type="pct"/>
            <w:tcBorders>
              <w:bottom w:val="nil"/>
              <w:right w:val="double" w:sz="4" w:space="0" w:color="auto"/>
            </w:tcBorders>
            <w:vAlign w:val="center"/>
          </w:tcPr>
          <w:p w:rsidR="00D41DDD" w:rsidRPr="00AE234B" w:rsidRDefault="00D41DDD" w:rsidP="00585D2A">
            <w:pPr>
              <w:pStyle w:val="Tabletext0"/>
              <w:keepNext/>
              <w:jc w:val="center"/>
            </w:pPr>
          </w:p>
        </w:tc>
        <w:tc>
          <w:tcPr>
            <w:tcW w:w="628" w:type="pct"/>
            <w:tcBorders>
              <w:left w:val="double" w:sz="4" w:space="0" w:color="auto"/>
              <w:bottom w:val="nil"/>
            </w:tcBorders>
            <w:vAlign w:val="center"/>
          </w:tcPr>
          <w:p w:rsidR="00D41DDD" w:rsidRPr="00AE234B" w:rsidRDefault="00D41DDD" w:rsidP="00585D2A">
            <w:pPr>
              <w:pStyle w:val="Tabletext0"/>
              <w:keepNext/>
              <w:jc w:val="center"/>
            </w:pPr>
          </w:p>
        </w:tc>
        <w:tc>
          <w:tcPr>
            <w:tcW w:w="655" w:type="pct"/>
            <w:tcBorders>
              <w:bottom w:val="nil"/>
              <w:right w:val="double" w:sz="4" w:space="0" w:color="auto"/>
            </w:tcBorders>
            <w:vAlign w:val="center"/>
          </w:tcPr>
          <w:p w:rsidR="00D41DDD" w:rsidRPr="00AE234B" w:rsidRDefault="00D41DDD" w:rsidP="00585D2A">
            <w:pPr>
              <w:pStyle w:val="Tabletext0"/>
              <w:keepNext/>
              <w:jc w:val="center"/>
            </w:pPr>
          </w:p>
        </w:tc>
        <w:tc>
          <w:tcPr>
            <w:tcW w:w="843" w:type="pct"/>
            <w:tcBorders>
              <w:left w:val="double" w:sz="4" w:space="0" w:color="auto"/>
              <w:bottom w:val="nil"/>
            </w:tcBorders>
            <w:vAlign w:val="center"/>
          </w:tcPr>
          <w:p w:rsidR="00D41DDD" w:rsidRPr="00AE234B" w:rsidRDefault="00D41DDD" w:rsidP="00585D2A">
            <w:pPr>
              <w:pStyle w:val="Tabletext0"/>
              <w:keepNext/>
              <w:jc w:val="center"/>
            </w:pPr>
          </w:p>
        </w:tc>
      </w:tr>
      <w:tr w:rsidR="00D41DDD" w:rsidRPr="00D647A9" w:rsidTr="00D41DDD">
        <w:tc>
          <w:tcPr>
            <w:tcW w:w="1030" w:type="pct"/>
            <w:tcBorders>
              <w:top w:val="nil"/>
              <w:bottom w:val="nil"/>
            </w:tcBorders>
            <w:vAlign w:val="center"/>
          </w:tcPr>
          <w:p w:rsidR="00D41DDD" w:rsidRPr="00D647A9" w:rsidRDefault="00D41DDD" w:rsidP="00585D2A">
            <w:pPr>
              <w:pStyle w:val="Tabletext0"/>
              <w:keepNext/>
              <w:ind w:left="142"/>
              <w:jc w:val="left"/>
            </w:pPr>
            <w:r w:rsidRPr="00D647A9">
              <w:t>Total</w:t>
            </w:r>
          </w:p>
        </w:tc>
        <w:tc>
          <w:tcPr>
            <w:tcW w:w="571" w:type="pct"/>
            <w:tcBorders>
              <w:top w:val="nil"/>
              <w:bottom w:val="nil"/>
            </w:tcBorders>
            <w:vAlign w:val="center"/>
          </w:tcPr>
          <w:p w:rsidR="00D41DDD" w:rsidRPr="00AE234B" w:rsidRDefault="00D41DDD" w:rsidP="00585D2A">
            <w:pPr>
              <w:pStyle w:val="Tabletext0"/>
              <w:keepNext/>
              <w:jc w:val="center"/>
            </w:pPr>
            <w:r w:rsidRPr="00AE234B">
              <w:t>87 (100%)</w:t>
            </w:r>
          </w:p>
        </w:tc>
        <w:tc>
          <w:tcPr>
            <w:tcW w:w="616" w:type="pct"/>
            <w:tcBorders>
              <w:top w:val="nil"/>
              <w:bottom w:val="nil"/>
            </w:tcBorders>
            <w:vAlign w:val="center"/>
          </w:tcPr>
          <w:p w:rsidR="00D41DDD" w:rsidRPr="00AE234B" w:rsidRDefault="00D41DDD" w:rsidP="00585D2A">
            <w:pPr>
              <w:pStyle w:val="Tabletext0"/>
              <w:keepNext/>
              <w:jc w:val="center"/>
            </w:pPr>
            <w:r w:rsidRPr="00AE234B">
              <w:t>137 (99.3%)</w:t>
            </w:r>
          </w:p>
        </w:tc>
        <w:tc>
          <w:tcPr>
            <w:tcW w:w="657" w:type="pct"/>
            <w:tcBorders>
              <w:top w:val="nil"/>
              <w:bottom w:val="nil"/>
              <w:right w:val="double" w:sz="4" w:space="0" w:color="auto"/>
            </w:tcBorders>
            <w:vAlign w:val="center"/>
          </w:tcPr>
          <w:p w:rsidR="00D41DDD" w:rsidRPr="00AE234B" w:rsidRDefault="00D41DDD" w:rsidP="00585D2A">
            <w:pPr>
              <w:pStyle w:val="Tabletext0"/>
              <w:keepNext/>
              <w:jc w:val="center"/>
            </w:pPr>
            <w:r w:rsidRPr="00AE234B">
              <w:t>250 (98.8%)</w:t>
            </w:r>
          </w:p>
        </w:tc>
        <w:tc>
          <w:tcPr>
            <w:tcW w:w="628" w:type="pct"/>
            <w:tcBorders>
              <w:top w:val="nil"/>
              <w:left w:val="double" w:sz="4" w:space="0" w:color="auto"/>
              <w:bottom w:val="nil"/>
            </w:tcBorders>
            <w:vAlign w:val="center"/>
          </w:tcPr>
          <w:p w:rsidR="00D41DDD" w:rsidRPr="00AE234B" w:rsidRDefault="00D41DDD" w:rsidP="00585D2A">
            <w:pPr>
              <w:pStyle w:val="Tabletext0"/>
              <w:keepNext/>
              <w:jc w:val="center"/>
            </w:pPr>
            <w:r w:rsidRPr="00AE234B">
              <w:t>246 (100%)</w:t>
            </w:r>
          </w:p>
        </w:tc>
        <w:tc>
          <w:tcPr>
            <w:tcW w:w="655" w:type="pct"/>
            <w:tcBorders>
              <w:top w:val="nil"/>
              <w:bottom w:val="nil"/>
              <w:right w:val="double" w:sz="4" w:space="0" w:color="auto"/>
            </w:tcBorders>
            <w:vAlign w:val="center"/>
          </w:tcPr>
          <w:p w:rsidR="00D41DDD" w:rsidRPr="00AE234B" w:rsidRDefault="00D41DDD" w:rsidP="00585D2A">
            <w:pPr>
              <w:pStyle w:val="Tabletext0"/>
              <w:keepNext/>
              <w:jc w:val="center"/>
            </w:pPr>
            <w:r w:rsidRPr="00AE234B">
              <w:t>140 (100.0%)</w:t>
            </w:r>
          </w:p>
        </w:tc>
        <w:tc>
          <w:tcPr>
            <w:tcW w:w="843" w:type="pct"/>
            <w:tcBorders>
              <w:top w:val="nil"/>
              <w:left w:val="double" w:sz="4" w:space="0" w:color="auto"/>
              <w:bottom w:val="nil"/>
            </w:tcBorders>
            <w:vAlign w:val="center"/>
          </w:tcPr>
          <w:p w:rsidR="00D41DDD" w:rsidRPr="00AE234B" w:rsidRDefault="00D41DDD" w:rsidP="00585D2A">
            <w:pPr>
              <w:pStyle w:val="Tabletext0"/>
              <w:keepNext/>
              <w:jc w:val="center"/>
            </w:pPr>
            <w:r w:rsidRPr="00AE234B">
              <w:t>0.99 (0.97, 1.00)</w:t>
            </w:r>
          </w:p>
        </w:tc>
      </w:tr>
      <w:tr w:rsidR="00D41DDD" w:rsidRPr="00D647A9" w:rsidTr="00D41DDD">
        <w:tc>
          <w:tcPr>
            <w:tcW w:w="1030" w:type="pct"/>
            <w:tcBorders>
              <w:top w:val="nil"/>
              <w:bottom w:val="single" w:sz="4" w:space="0" w:color="auto"/>
            </w:tcBorders>
            <w:vAlign w:val="center"/>
          </w:tcPr>
          <w:p w:rsidR="00D41DDD" w:rsidRPr="00D647A9" w:rsidRDefault="00D41DDD" w:rsidP="00585D2A">
            <w:pPr>
              <w:pStyle w:val="Tabletext0"/>
              <w:keepNext/>
              <w:ind w:left="142"/>
              <w:jc w:val="left"/>
            </w:pPr>
            <w:r w:rsidRPr="00D647A9">
              <w:t xml:space="preserve">Drug-related </w:t>
            </w:r>
          </w:p>
        </w:tc>
        <w:tc>
          <w:tcPr>
            <w:tcW w:w="571" w:type="pct"/>
            <w:tcBorders>
              <w:top w:val="nil"/>
              <w:bottom w:val="single" w:sz="4" w:space="0" w:color="auto"/>
            </w:tcBorders>
            <w:vAlign w:val="center"/>
          </w:tcPr>
          <w:p w:rsidR="00D41DDD" w:rsidRPr="00AE234B" w:rsidRDefault="00D41DDD" w:rsidP="00585D2A">
            <w:pPr>
              <w:pStyle w:val="Tabletext0"/>
              <w:keepNext/>
              <w:jc w:val="center"/>
            </w:pPr>
            <w:r w:rsidRPr="00AE234B">
              <w:t>69 (79.3%)</w:t>
            </w:r>
          </w:p>
        </w:tc>
        <w:tc>
          <w:tcPr>
            <w:tcW w:w="616" w:type="pct"/>
            <w:tcBorders>
              <w:top w:val="nil"/>
              <w:bottom w:val="single" w:sz="4" w:space="0" w:color="auto"/>
            </w:tcBorders>
            <w:vAlign w:val="center"/>
          </w:tcPr>
          <w:p w:rsidR="00D41DDD" w:rsidRPr="00AE234B" w:rsidRDefault="00D41DDD" w:rsidP="00585D2A">
            <w:pPr>
              <w:pStyle w:val="Tabletext0"/>
              <w:keepNext/>
              <w:jc w:val="center"/>
            </w:pPr>
            <w:r w:rsidRPr="00AE234B">
              <w:t>104 (75.4%)</w:t>
            </w:r>
          </w:p>
        </w:tc>
        <w:tc>
          <w:tcPr>
            <w:tcW w:w="657" w:type="pct"/>
            <w:tcBorders>
              <w:top w:val="nil"/>
              <w:bottom w:val="single" w:sz="4" w:space="0" w:color="auto"/>
              <w:right w:val="double" w:sz="4" w:space="0" w:color="auto"/>
            </w:tcBorders>
            <w:vAlign w:val="center"/>
          </w:tcPr>
          <w:p w:rsidR="00D41DDD" w:rsidRPr="00AE234B" w:rsidRDefault="00D41DDD" w:rsidP="00585D2A">
            <w:pPr>
              <w:pStyle w:val="Tabletext0"/>
              <w:keepNext/>
              <w:jc w:val="center"/>
            </w:pPr>
            <w:r w:rsidRPr="00AE234B">
              <w:t>197 (77.9%)</w:t>
            </w:r>
          </w:p>
        </w:tc>
        <w:tc>
          <w:tcPr>
            <w:tcW w:w="628" w:type="pct"/>
            <w:tcBorders>
              <w:top w:val="nil"/>
              <w:left w:val="double" w:sz="4" w:space="0" w:color="auto"/>
              <w:bottom w:val="single" w:sz="4" w:space="0" w:color="auto"/>
            </w:tcBorders>
            <w:vAlign w:val="center"/>
          </w:tcPr>
          <w:p w:rsidR="00D41DDD" w:rsidRPr="00AE234B" w:rsidRDefault="00D41DDD" w:rsidP="00585D2A">
            <w:pPr>
              <w:pStyle w:val="Tabletext0"/>
              <w:keepNext/>
              <w:jc w:val="center"/>
            </w:pPr>
            <w:r w:rsidRPr="00AE234B">
              <w:t>238 (97%)</w:t>
            </w:r>
          </w:p>
        </w:tc>
        <w:tc>
          <w:tcPr>
            <w:tcW w:w="655" w:type="pct"/>
            <w:tcBorders>
              <w:top w:val="nil"/>
              <w:bottom w:val="single" w:sz="4" w:space="0" w:color="auto"/>
              <w:right w:val="double" w:sz="4" w:space="0" w:color="auto"/>
            </w:tcBorders>
            <w:vAlign w:val="center"/>
          </w:tcPr>
          <w:p w:rsidR="00D41DDD" w:rsidRPr="00AE234B" w:rsidRDefault="00D41DDD" w:rsidP="00585D2A">
            <w:pPr>
              <w:pStyle w:val="Tabletext0"/>
              <w:keepNext/>
              <w:jc w:val="center"/>
            </w:pPr>
            <w:r w:rsidRPr="00AE234B">
              <w:t>135 (96.4%)</w:t>
            </w:r>
          </w:p>
        </w:tc>
        <w:tc>
          <w:tcPr>
            <w:tcW w:w="843" w:type="pct"/>
            <w:tcBorders>
              <w:top w:val="nil"/>
              <w:left w:val="double" w:sz="4" w:space="0" w:color="auto"/>
              <w:bottom w:val="single" w:sz="4" w:space="0" w:color="auto"/>
            </w:tcBorders>
            <w:vAlign w:val="center"/>
          </w:tcPr>
          <w:p w:rsidR="00D41DDD" w:rsidRPr="00AE234B" w:rsidRDefault="00D41DDD" w:rsidP="00585D2A">
            <w:pPr>
              <w:pStyle w:val="Tabletext0"/>
              <w:keepNext/>
              <w:jc w:val="center"/>
            </w:pPr>
            <w:r w:rsidRPr="00AE234B">
              <w:t>0.81 (0.75, 0.86)</w:t>
            </w:r>
          </w:p>
        </w:tc>
      </w:tr>
      <w:tr w:rsidR="00D41DDD" w:rsidRPr="00D647A9" w:rsidTr="00D41DDD">
        <w:tc>
          <w:tcPr>
            <w:tcW w:w="1030" w:type="pct"/>
            <w:tcBorders>
              <w:bottom w:val="nil"/>
            </w:tcBorders>
            <w:vAlign w:val="center"/>
          </w:tcPr>
          <w:p w:rsidR="00D41DDD" w:rsidRPr="00D647A9" w:rsidRDefault="00D41DDD" w:rsidP="00585D2A">
            <w:pPr>
              <w:pStyle w:val="Tabletext0"/>
              <w:keepNext/>
              <w:jc w:val="left"/>
              <w:rPr>
                <w:vertAlign w:val="superscript"/>
              </w:rPr>
            </w:pPr>
            <w:r w:rsidRPr="00D647A9">
              <w:t>Grade 3-4 AEs, n (%)</w:t>
            </w:r>
            <w:r w:rsidRPr="00D647A9">
              <w:rPr>
                <w:vertAlign w:val="superscript"/>
              </w:rPr>
              <w:t>c</w:t>
            </w:r>
          </w:p>
        </w:tc>
        <w:tc>
          <w:tcPr>
            <w:tcW w:w="571" w:type="pct"/>
            <w:tcBorders>
              <w:bottom w:val="nil"/>
            </w:tcBorders>
            <w:vAlign w:val="center"/>
          </w:tcPr>
          <w:p w:rsidR="00D41DDD" w:rsidRPr="00AE234B" w:rsidRDefault="00D41DDD" w:rsidP="00585D2A">
            <w:pPr>
              <w:pStyle w:val="Tabletext0"/>
              <w:keepNext/>
              <w:jc w:val="center"/>
            </w:pPr>
          </w:p>
        </w:tc>
        <w:tc>
          <w:tcPr>
            <w:tcW w:w="616" w:type="pct"/>
            <w:tcBorders>
              <w:bottom w:val="nil"/>
            </w:tcBorders>
            <w:vAlign w:val="center"/>
          </w:tcPr>
          <w:p w:rsidR="00D41DDD" w:rsidRPr="00AE234B" w:rsidRDefault="00D41DDD" w:rsidP="00585D2A">
            <w:pPr>
              <w:pStyle w:val="Tabletext0"/>
              <w:keepNext/>
              <w:jc w:val="center"/>
            </w:pPr>
          </w:p>
        </w:tc>
        <w:tc>
          <w:tcPr>
            <w:tcW w:w="657" w:type="pct"/>
            <w:tcBorders>
              <w:bottom w:val="nil"/>
              <w:right w:val="double" w:sz="4" w:space="0" w:color="auto"/>
            </w:tcBorders>
            <w:vAlign w:val="center"/>
          </w:tcPr>
          <w:p w:rsidR="00D41DDD" w:rsidRPr="00AE234B" w:rsidRDefault="00D41DDD" w:rsidP="00585D2A">
            <w:pPr>
              <w:pStyle w:val="Tabletext0"/>
              <w:keepNext/>
              <w:jc w:val="center"/>
            </w:pPr>
          </w:p>
        </w:tc>
        <w:tc>
          <w:tcPr>
            <w:tcW w:w="628" w:type="pct"/>
            <w:tcBorders>
              <w:left w:val="double" w:sz="4" w:space="0" w:color="auto"/>
              <w:bottom w:val="nil"/>
            </w:tcBorders>
            <w:vAlign w:val="center"/>
          </w:tcPr>
          <w:p w:rsidR="00D41DDD" w:rsidRPr="00AE234B" w:rsidRDefault="00D41DDD" w:rsidP="00585D2A">
            <w:pPr>
              <w:pStyle w:val="Tabletext0"/>
              <w:keepNext/>
              <w:jc w:val="center"/>
            </w:pPr>
          </w:p>
        </w:tc>
        <w:tc>
          <w:tcPr>
            <w:tcW w:w="655" w:type="pct"/>
            <w:tcBorders>
              <w:bottom w:val="nil"/>
              <w:right w:val="double" w:sz="4" w:space="0" w:color="auto"/>
            </w:tcBorders>
            <w:vAlign w:val="center"/>
          </w:tcPr>
          <w:p w:rsidR="00D41DDD" w:rsidRPr="00AE234B" w:rsidRDefault="00D41DDD" w:rsidP="00585D2A">
            <w:pPr>
              <w:pStyle w:val="Tabletext0"/>
              <w:keepNext/>
              <w:jc w:val="center"/>
            </w:pPr>
          </w:p>
        </w:tc>
        <w:tc>
          <w:tcPr>
            <w:tcW w:w="843" w:type="pct"/>
            <w:tcBorders>
              <w:left w:val="double" w:sz="4" w:space="0" w:color="auto"/>
              <w:bottom w:val="nil"/>
            </w:tcBorders>
            <w:vAlign w:val="center"/>
          </w:tcPr>
          <w:p w:rsidR="00D41DDD" w:rsidRPr="00AE234B" w:rsidRDefault="00D41DDD" w:rsidP="00585D2A">
            <w:pPr>
              <w:pStyle w:val="Tabletext0"/>
              <w:keepNext/>
              <w:jc w:val="center"/>
            </w:pPr>
          </w:p>
        </w:tc>
      </w:tr>
      <w:tr w:rsidR="00D41DDD" w:rsidRPr="00D647A9" w:rsidTr="00D41DDD">
        <w:tc>
          <w:tcPr>
            <w:tcW w:w="1030" w:type="pct"/>
            <w:tcBorders>
              <w:top w:val="nil"/>
              <w:bottom w:val="nil"/>
            </w:tcBorders>
            <w:vAlign w:val="center"/>
          </w:tcPr>
          <w:p w:rsidR="00D41DDD" w:rsidRPr="00D647A9" w:rsidRDefault="00D41DDD" w:rsidP="00585D2A">
            <w:pPr>
              <w:pStyle w:val="Tabletext0"/>
              <w:keepNext/>
              <w:ind w:left="142"/>
              <w:jc w:val="left"/>
            </w:pPr>
            <w:r w:rsidRPr="00D647A9">
              <w:t>Total</w:t>
            </w:r>
          </w:p>
        </w:tc>
        <w:tc>
          <w:tcPr>
            <w:tcW w:w="571" w:type="pct"/>
            <w:tcBorders>
              <w:top w:val="nil"/>
              <w:bottom w:val="nil"/>
            </w:tcBorders>
            <w:vAlign w:val="center"/>
          </w:tcPr>
          <w:p w:rsidR="00D41DDD" w:rsidRPr="00AE234B" w:rsidRDefault="00D41DDD" w:rsidP="00585D2A">
            <w:pPr>
              <w:pStyle w:val="Tabletext0"/>
              <w:keepNext/>
              <w:jc w:val="center"/>
            </w:pPr>
            <w:r w:rsidRPr="00AE234B">
              <w:t>34 (39.1%)</w:t>
            </w:r>
          </w:p>
        </w:tc>
        <w:tc>
          <w:tcPr>
            <w:tcW w:w="616" w:type="pct"/>
            <w:tcBorders>
              <w:top w:val="nil"/>
              <w:bottom w:val="nil"/>
            </w:tcBorders>
            <w:vAlign w:val="center"/>
          </w:tcPr>
          <w:p w:rsidR="00D41DDD" w:rsidRPr="00AE234B" w:rsidRDefault="00D41DDD" w:rsidP="00585D2A">
            <w:pPr>
              <w:pStyle w:val="Tabletext0"/>
              <w:keepNext/>
              <w:jc w:val="center"/>
            </w:pPr>
            <w:r w:rsidRPr="00AE234B">
              <w:t>50 (36.2%)</w:t>
            </w:r>
          </w:p>
        </w:tc>
        <w:tc>
          <w:tcPr>
            <w:tcW w:w="657" w:type="pct"/>
            <w:tcBorders>
              <w:top w:val="nil"/>
              <w:bottom w:val="nil"/>
              <w:right w:val="double" w:sz="4" w:space="0" w:color="auto"/>
            </w:tcBorders>
            <w:vAlign w:val="center"/>
          </w:tcPr>
          <w:p w:rsidR="00D41DDD" w:rsidRPr="00AE234B" w:rsidRDefault="00D41DDD" w:rsidP="00585D2A">
            <w:pPr>
              <w:pStyle w:val="Tabletext0"/>
              <w:keepNext/>
              <w:jc w:val="center"/>
            </w:pPr>
            <w:r w:rsidRPr="00AE234B">
              <w:t>93 (36.8%)</w:t>
            </w:r>
          </w:p>
        </w:tc>
        <w:tc>
          <w:tcPr>
            <w:tcW w:w="628" w:type="pct"/>
            <w:tcBorders>
              <w:top w:val="nil"/>
              <w:left w:val="double" w:sz="4" w:space="0" w:color="auto"/>
              <w:bottom w:val="nil"/>
            </w:tcBorders>
            <w:vAlign w:val="center"/>
          </w:tcPr>
          <w:p w:rsidR="00D41DDD" w:rsidRPr="00AE234B" w:rsidRDefault="00D41DDD" w:rsidP="00585D2A">
            <w:pPr>
              <w:pStyle w:val="Tabletext0"/>
              <w:keepNext/>
              <w:jc w:val="center"/>
            </w:pPr>
            <w:r w:rsidRPr="00AE234B">
              <w:t>200 (81.3%)</w:t>
            </w:r>
          </w:p>
        </w:tc>
        <w:tc>
          <w:tcPr>
            <w:tcW w:w="655" w:type="pct"/>
            <w:tcBorders>
              <w:top w:val="nil"/>
              <w:bottom w:val="nil"/>
              <w:right w:val="double" w:sz="4" w:space="0" w:color="auto"/>
            </w:tcBorders>
            <w:vAlign w:val="center"/>
          </w:tcPr>
          <w:p w:rsidR="00D41DDD" w:rsidRPr="00AE234B" w:rsidRDefault="00D41DDD" w:rsidP="00585D2A">
            <w:pPr>
              <w:pStyle w:val="Tabletext0"/>
              <w:keepNext/>
              <w:jc w:val="center"/>
            </w:pPr>
            <w:r w:rsidRPr="00AE234B">
              <w:t>100 (71.4%)</w:t>
            </w:r>
          </w:p>
        </w:tc>
        <w:tc>
          <w:tcPr>
            <w:tcW w:w="843" w:type="pct"/>
            <w:tcBorders>
              <w:top w:val="nil"/>
              <w:left w:val="double" w:sz="4" w:space="0" w:color="auto"/>
              <w:bottom w:val="nil"/>
            </w:tcBorders>
            <w:vAlign w:val="center"/>
          </w:tcPr>
          <w:p w:rsidR="00D41DDD" w:rsidRPr="00AE234B" w:rsidRDefault="004A2276" w:rsidP="00585D2A">
            <w:pPr>
              <w:pStyle w:val="Tabletext0"/>
              <w:keepNext/>
              <w:jc w:val="center"/>
            </w:pPr>
            <w:r w:rsidRPr="00AE234B">
              <w:t>0.47</w:t>
            </w:r>
            <w:r w:rsidR="00D41DDD" w:rsidRPr="00AE234B">
              <w:t xml:space="preserve"> (0.4</w:t>
            </w:r>
            <w:r w:rsidRPr="00AE234B">
              <w:t>0, 0.56</w:t>
            </w:r>
            <w:r w:rsidR="00D41DDD" w:rsidRPr="00AE234B">
              <w:t>)</w:t>
            </w:r>
          </w:p>
        </w:tc>
      </w:tr>
      <w:tr w:rsidR="00D41DDD" w:rsidRPr="00D647A9" w:rsidTr="00D41DDD">
        <w:tc>
          <w:tcPr>
            <w:tcW w:w="1030" w:type="pct"/>
            <w:tcBorders>
              <w:top w:val="nil"/>
              <w:bottom w:val="single" w:sz="4" w:space="0" w:color="auto"/>
            </w:tcBorders>
            <w:vAlign w:val="center"/>
          </w:tcPr>
          <w:p w:rsidR="00D41DDD" w:rsidRPr="00D647A9" w:rsidRDefault="00D41DDD" w:rsidP="00585D2A">
            <w:pPr>
              <w:pStyle w:val="Tabletext0"/>
              <w:keepNext/>
              <w:ind w:left="142"/>
              <w:jc w:val="left"/>
            </w:pPr>
            <w:r w:rsidRPr="00D647A9">
              <w:t xml:space="preserve">Drug-related </w:t>
            </w:r>
          </w:p>
        </w:tc>
        <w:tc>
          <w:tcPr>
            <w:tcW w:w="571" w:type="pct"/>
            <w:tcBorders>
              <w:top w:val="nil"/>
              <w:bottom w:val="single" w:sz="4" w:space="0" w:color="auto"/>
            </w:tcBorders>
            <w:vAlign w:val="center"/>
          </w:tcPr>
          <w:p w:rsidR="00D41DDD" w:rsidRPr="00AE234B" w:rsidRDefault="00D41DDD" w:rsidP="00585D2A">
            <w:pPr>
              <w:pStyle w:val="Tabletext0"/>
              <w:keepNext/>
              <w:jc w:val="center"/>
            </w:pPr>
            <w:r w:rsidRPr="00AE234B">
              <w:t>12 (13.8%)</w:t>
            </w:r>
          </w:p>
        </w:tc>
        <w:tc>
          <w:tcPr>
            <w:tcW w:w="616" w:type="pct"/>
            <w:tcBorders>
              <w:top w:val="nil"/>
              <w:bottom w:val="single" w:sz="4" w:space="0" w:color="auto"/>
            </w:tcBorders>
            <w:vAlign w:val="center"/>
          </w:tcPr>
          <w:p w:rsidR="00D41DDD" w:rsidRPr="00AE234B" w:rsidRDefault="00D41DDD" w:rsidP="00585D2A">
            <w:pPr>
              <w:pStyle w:val="Tabletext0"/>
              <w:keepNext/>
              <w:jc w:val="center"/>
            </w:pPr>
            <w:r w:rsidRPr="00AE234B">
              <w:t>16 (11.6%)</w:t>
            </w:r>
          </w:p>
        </w:tc>
        <w:tc>
          <w:tcPr>
            <w:tcW w:w="657" w:type="pct"/>
            <w:tcBorders>
              <w:top w:val="nil"/>
              <w:bottom w:val="single" w:sz="4" w:space="0" w:color="auto"/>
              <w:right w:val="double" w:sz="4" w:space="0" w:color="auto"/>
            </w:tcBorders>
            <w:vAlign w:val="center"/>
          </w:tcPr>
          <w:p w:rsidR="00D41DDD" w:rsidRPr="00AE234B" w:rsidRDefault="00D41DDD" w:rsidP="00585D2A">
            <w:pPr>
              <w:pStyle w:val="Tabletext0"/>
              <w:keepNext/>
              <w:jc w:val="center"/>
            </w:pPr>
            <w:r w:rsidRPr="00AE234B">
              <w:t>33 (13.0%)</w:t>
            </w:r>
          </w:p>
        </w:tc>
        <w:tc>
          <w:tcPr>
            <w:tcW w:w="628" w:type="pct"/>
            <w:tcBorders>
              <w:top w:val="nil"/>
              <w:left w:val="double" w:sz="4" w:space="0" w:color="auto"/>
              <w:bottom w:val="single" w:sz="4" w:space="0" w:color="auto"/>
            </w:tcBorders>
            <w:vAlign w:val="center"/>
          </w:tcPr>
          <w:p w:rsidR="00D41DDD" w:rsidRPr="00AE234B" w:rsidRDefault="00D41DDD" w:rsidP="00585D2A">
            <w:pPr>
              <w:pStyle w:val="Tabletext0"/>
              <w:keepNext/>
              <w:jc w:val="center"/>
            </w:pPr>
            <w:r w:rsidRPr="00AE234B">
              <w:t>125 (50.8%)</w:t>
            </w:r>
          </w:p>
        </w:tc>
        <w:tc>
          <w:tcPr>
            <w:tcW w:w="655" w:type="pct"/>
            <w:tcBorders>
              <w:top w:val="nil"/>
              <w:bottom w:val="single" w:sz="4" w:space="0" w:color="auto"/>
              <w:right w:val="double" w:sz="4" w:space="0" w:color="auto"/>
            </w:tcBorders>
            <w:vAlign w:val="center"/>
          </w:tcPr>
          <w:p w:rsidR="00D41DDD" w:rsidRPr="00AE234B" w:rsidRDefault="00D41DDD" w:rsidP="00585D2A">
            <w:pPr>
              <w:pStyle w:val="Tabletext0"/>
              <w:keepNext/>
              <w:jc w:val="center"/>
            </w:pPr>
            <w:r w:rsidRPr="00AE234B">
              <w:t>64 (45.7%)</w:t>
            </w:r>
          </w:p>
        </w:tc>
        <w:tc>
          <w:tcPr>
            <w:tcW w:w="843" w:type="pct"/>
            <w:tcBorders>
              <w:top w:val="nil"/>
              <w:left w:val="double" w:sz="4" w:space="0" w:color="auto"/>
              <w:bottom w:val="single" w:sz="4" w:space="0" w:color="auto"/>
            </w:tcBorders>
            <w:vAlign w:val="center"/>
          </w:tcPr>
          <w:p w:rsidR="00D41DDD" w:rsidRPr="00AE234B" w:rsidRDefault="004A2276" w:rsidP="00585D2A">
            <w:pPr>
              <w:pStyle w:val="Tabletext0"/>
              <w:keepNext/>
              <w:jc w:val="center"/>
            </w:pPr>
            <w:r w:rsidRPr="00AE234B">
              <w:t>0.27 (0.19, 0.37</w:t>
            </w:r>
            <w:r w:rsidR="00D41DDD" w:rsidRPr="00AE234B">
              <w:t>)</w:t>
            </w:r>
          </w:p>
        </w:tc>
      </w:tr>
      <w:tr w:rsidR="00D41DDD" w:rsidRPr="00D647A9" w:rsidTr="00D41DDD">
        <w:tc>
          <w:tcPr>
            <w:tcW w:w="1030" w:type="pct"/>
            <w:tcBorders>
              <w:bottom w:val="nil"/>
            </w:tcBorders>
            <w:vAlign w:val="center"/>
          </w:tcPr>
          <w:p w:rsidR="00D41DDD" w:rsidRPr="00D647A9" w:rsidRDefault="00D41DDD" w:rsidP="00585D2A">
            <w:pPr>
              <w:pStyle w:val="Tabletext0"/>
              <w:keepNext/>
              <w:jc w:val="left"/>
            </w:pPr>
            <w:r w:rsidRPr="00D647A9">
              <w:t>Serious AE, n (%)</w:t>
            </w:r>
          </w:p>
        </w:tc>
        <w:tc>
          <w:tcPr>
            <w:tcW w:w="571" w:type="pct"/>
            <w:tcBorders>
              <w:bottom w:val="nil"/>
            </w:tcBorders>
            <w:vAlign w:val="center"/>
          </w:tcPr>
          <w:p w:rsidR="00D41DDD" w:rsidRPr="00AE234B" w:rsidRDefault="00D41DDD" w:rsidP="00585D2A">
            <w:pPr>
              <w:pStyle w:val="Tabletext0"/>
              <w:keepNext/>
              <w:jc w:val="center"/>
            </w:pPr>
          </w:p>
        </w:tc>
        <w:tc>
          <w:tcPr>
            <w:tcW w:w="616" w:type="pct"/>
            <w:tcBorders>
              <w:bottom w:val="nil"/>
            </w:tcBorders>
            <w:vAlign w:val="center"/>
          </w:tcPr>
          <w:p w:rsidR="00D41DDD" w:rsidRPr="00AE234B" w:rsidRDefault="00D41DDD" w:rsidP="00585D2A">
            <w:pPr>
              <w:pStyle w:val="Tabletext0"/>
              <w:keepNext/>
              <w:jc w:val="center"/>
            </w:pPr>
          </w:p>
        </w:tc>
        <w:tc>
          <w:tcPr>
            <w:tcW w:w="657" w:type="pct"/>
            <w:tcBorders>
              <w:bottom w:val="nil"/>
              <w:right w:val="double" w:sz="4" w:space="0" w:color="auto"/>
            </w:tcBorders>
            <w:vAlign w:val="center"/>
          </w:tcPr>
          <w:p w:rsidR="00D41DDD" w:rsidRPr="00AE234B" w:rsidRDefault="00D41DDD" w:rsidP="00585D2A">
            <w:pPr>
              <w:pStyle w:val="Tabletext0"/>
              <w:keepNext/>
              <w:jc w:val="center"/>
            </w:pPr>
          </w:p>
        </w:tc>
        <w:tc>
          <w:tcPr>
            <w:tcW w:w="628" w:type="pct"/>
            <w:tcBorders>
              <w:left w:val="double" w:sz="4" w:space="0" w:color="auto"/>
              <w:bottom w:val="nil"/>
            </w:tcBorders>
            <w:vAlign w:val="center"/>
          </w:tcPr>
          <w:p w:rsidR="00D41DDD" w:rsidRPr="00AE234B" w:rsidRDefault="00D41DDD" w:rsidP="00585D2A">
            <w:pPr>
              <w:pStyle w:val="Tabletext0"/>
              <w:keepNext/>
              <w:jc w:val="center"/>
            </w:pPr>
          </w:p>
        </w:tc>
        <w:tc>
          <w:tcPr>
            <w:tcW w:w="655" w:type="pct"/>
            <w:tcBorders>
              <w:bottom w:val="nil"/>
              <w:right w:val="double" w:sz="4" w:space="0" w:color="auto"/>
            </w:tcBorders>
            <w:vAlign w:val="center"/>
          </w:tcPr>
          <w:p w:rsidR="00D41DDD" w:rsidRPr="00AE234B" w:rsidRDefault="00D41DDD" w:rsidP="00585D2A">
            <w:pPr>
              <w:pStyle w:val="Tabletext0"/>
              <w:keepNext/>
              <w:jc w:val="center"/>
            </w:pPr>
          </w:p>
        </w:tc>
        <w:tc>
          <w:tcPr>
            <w:tcW w:w="843" w:type="pct"/>
            <w:tcBorders>
              <w:left w:val="double" w:sz="4" w:space="0" w:color="auto"/>
              <w:bottom w:val="nil"/>
            </w:tcBorders>
            <w:vAlign w:val="center"/>
          </w:tcPr>
          <w:p w:rsidR="00D41DDD" w:rsidRPr="00AE234B" w:rsidRDefault="00D41DDD" w:rsidP="00585D2A">
            <w:pPr>
              <w:pStyle w:val="Tabletext0"/>
              <w:keepNext/>
              <w:jc w:val="center"/>
            </w:pPr>
          </w:p>
        </w:tc>
      </w:tr>
      <w:tr w:rsidR="00D41DDD" w:rsidRPr="00D647A9" w:rsidTr="00D41DDD">
        <w:tc>
          <w:tcPr>
            <w:tcW w:w="1030" w:type="pct"/>
            <w:tcBorders>
              <w:top w:val="nil"/>
              <w:bottom w:val="nil"/>
            </w:tcBorders>
            <w:vAlign w:val="center"/>
          </w:tcPr>
          <w:p w:rsidR="00D41DDD" w:rsidRPr="00D647A9" w:rsidRDefault="00D41DDD" w:rsidP="00585D2A">
            <w:pPr>
              <w:pStyle w:val="Tabletext0"/>
              <w:keepNext/>
              <w:ind w:left="142"/>
              <w:jc w:val="left"/>
            </w:pPr>
            <w:r w:rsidRPr="00D647A9">
              <w:t>Total</w:t>
            </w:r>
          </w:p>
        </w:tc>
        <w:tc>
          <w:tcPr>
            <w:tcW w:w="571" w:type="pct"/>
            <w:tcBorders>
              <w:top w:val="nil"/>
              <w:bottom w:val="nil"/>
            </w:tcBorders>
            <w:vAlign w:val="center"/>
          </w:tcPr>
          <w:p w:rsidR="00D41DDD" w:rsidRPr="00AE234B" w:rsidRDefault="00D41DDD" w:rsidP="00585D2A">
            <w:pPr>
              <w:pStyle w:val="Tabletext0"/>
              <w:keepNext/>
              <w:jc w:val="center"/>
            </w:pPr>
            <w:r w:rsidRPr="00AE234B">
              <w:t>15 (17.2%)</w:t>
            </w:r>
          </w:p>
        </w:tc>
        <w:tc>
          <w:tcPr>
            <w:tcW w:w="616" w:type="pct"/>
            <w:tcBorders>
              <w:top w:val="nil"/>
              <w:bottom w:val="nil"/>
            </w:tcBorders>
            <w:vAlign w:val="center"/>
          </w:tcPr>
          <w:p w:rsidR="00D41DDD" w:rsidRPr="00AE234B" w:rsidRDefault="00D41DDD" w:rsidP="00585D2A">
            <w:pPr>
              <w:pStyle w:val="Tabletext0"/>
              <w:keepNext/>
              <w:jc w:val="center"/>
            </w:pPr>
            <w:r w:rsidRPr="00AE234B">
              <w:t>31 (22.5%)</w:t>
            </w:r>
          </w:p>
        </w:tc>
        <w:tc>
          <w:tcPr>
            <w:tcW w:w="657" w:type="pct"/>
            <w:tcBorders>
              <w:top w:val="nil"/>
              <w:bottom w:val="nil"/>
              <w:right w:val="double" w:sz="4" w:space="0" w:color="auto"/>
            </w:tcBorders>
            <w:vAlign w:val="center"/>
          </w:tcPr>
          <w:p w:rsidR="00D41DDD" w:rsidRPr="00AE234B" w:rsidRDefault="00D41DDD" w:rsidP="00585D2A">
            <w:pPr>
              <w:pStyle w:val="Tabletext0"/>
              <w:keepNext/>
              <w:jc w:val="center"/>
            </w:pPr>
            <w:r w:rsidRPr="00AE234B">
              <w:t>55 (21.7%)</w:t>
            </w:r>
          </w:p>
        </w:tc>
        <w:tc>
          <w:tcPr>
            <w:tcW w:w="628" w:type="pct"/>
            <w:tcBorders>
              <w:top w:val="nil"/>
              <w:left w:val="double" w:sz="4" w:space="0" w:color="auto"/>
              <w:bottom w:val="nil"/>
            </w:tcBorders>
            <w:vAlign w:val="center"/>
          </w:tcPr>
          <w:p w:rsidR="00D41DDD" w:rsidRPr="00AE234B" w:rsidRDefault="00D41DDD" w:rsidP="00585D2A">
            <w:pPr>
              <w:pStyle w:val="Tabletext0"/>
              <w:keepNext/>
              <w:jc w:val="center"/>
            </w:pPr>
            <w:r w:rsidRPr="00AE234B">
              <w:t>117 (48%)</w:t>
            </w:r>
          </w:p>
        </w:tc>
        <w:tc>
          <w:tcPr>
            <w:tcW w:w="655" w:type="pct"/>
            <w:tcBorders>
              <w:top w:val="nil"/>
              <w:bottom w:val="nil"/>
              <w:right w:val="double" w:sz="4" w:space="0" w:color="auto"/>
            </w:tcBorders>
            <w:vAlign w:val="center"/>
          </w:tcPr>
          <w:p w:rsidR="00D41DDD" w:rsidRPr="00AE234B" w:rsidRDefault="00D41DDD" w:rsidP="00585D2A">
            <w:pPr>
              <w:pStyle w:val="Tabletext0"/>
              <w:keepNext/>
              <w:jc w:val="center"/>
            </w:pPr>
            <w:r w:rsidRPr="00AE234B">
              <w:t>57 (40.7%)</w:t>
            </w:r>
          </w:p>
        </w:tc>
        <w:tc>
          <w:tcPr>
            <w:tcW w:w="843" w:type="pct"/>
            <w:tcBorders>
              <w:top w:val="nil"/>
              <w:left w:val="double" w:sz="4" w:space="0" w:color="auto"/>
              <w:bottom w:val="nil"/>
            </w:tcBorders>
            <w:vAlign w:val="center"/>
          </w:tcPr>
          <w:p w:rsidR="00D41DDD" w:rsidRPr="00AE234B" w:rsidRDefault="00D41DDD" w:rsidP="00585D2A">
            <w:pPr>
              <w:pStyle w:val="Tabletext0"/>
              <w:keepNext/>
              <w:jc w:val="center"/>
            </w:pPr>
            <w:r w:rsidRPr="00AE234B">
              <w:t>0.48 (0.37, 0.62)</w:t>
            </w:r>
          </w:p>
        </w:tc>
      </w:tr>
      <w:tr w:rsidR="00D41DDD" w:rsidRPr="00D647A9" w:rsidTr="00D41DDD">
        <w:tc>
          <w:tcPr>
            <w:tcW w:w="1030" w:type="pct"/>
            <w:tcBorders>
              <w:top w:val="nil"/>
            </w:tcBorders>
            <w:vAlign w:val="center"/>
          </w:tcPr>
          <w:p w:rsidR="00D41DDD" w:rsidRPr="00D647A9" w:rsidRDefault="00D41DDD" w:rsidP="00585D2A">
            <w:pPr>
              <w:pStyle w:val="Tabletext0"/>
              <w:keepNext/>
              <w:ind w:left="142"/>
              <w:jc w:val="left"/>
            </w:pPr>
            <w:r w:rsidRPr="00D647A9">
              <w:t xml:space="preserve">Drug-related </w:t>
            </w:r>
          </w:p>
        </w:tc>
        <w:tc>
          <w:tcPr>
            <w:tcW w:w="571" w:type="pct"/>
            <w:tcBorders>
              <w:top w:val="nil"/>
            </w:tcBorders>
            <w:vAlign w:val="center"/>
          </w:tcPr>
          <w:p w:rsidR="00D41DDD" w:rsidRPr="00AE234B" w:rsidRDefault="00D41DDD" w:rsidP="00585D2A">
            <w:pPr>
              <w:pStyle w:val="Tabletext0"/>
              <w:keepNext/>
              <w:jc w:val="center"/>
            </w:pPr>
            <w:r w:rsidRPr="00AE234B">
              <w:t>3 (3.4%)</w:t>
            </w:r>
          </w:p>
        </w:tc>
        <w:tc>
          <w:tcPr>
            <w:tcW w:w="616" w:type="pct"/>
            <w:tcBorders>
              <w:top w:val="nil"/>
            </w:tcBorders>
            <w:vAlign w:val="center"/>
          </w:tcPr>
          <w:p w:rsidR="00D41DDD" w:rsidRPr="00AE234B" w:rsidRDefault="00D41DDD" w:rsidP="00585D2A">
            <w:pPr>
              <w:pStyle w:val="Tabletext0"/>
              <w:keepNext/>
              <w:jc w:val="center"/>
            </w:pPr>
            <w:r w:rsidRPr="00AE234B">
              <w:t>10 (7.2%)</w:t>
            </w:r>
          </w:p>
        </w:tc>
        <w:tc>
          <w:tcPr>
            <w:tcW w:w="657" w:type="pct"/>
            <w:tcBorders>
              <w:top w:val="nil"/>
              <w:right w:val="double" w:sz="4" w:space="0" w:color="auto"/>
            </w:tcBorders>
            <w:vAlign w:val="center"/>
          </w:tcPr>
          <w:p w:rsidR="00D41DDD" w:rsidRPr="00AE234B" w:rsidRDefault="00D41DDD" w:rsidP="00585D2A">
            <w:pPr>
              <w:pStyle w:val="Tabletext0"/>
              <w:keepNext/>
              <w:jc w:val="center"/>
            </w:pPr>
            <w:r w:rsidRPr="00AE234B">
              <w:t>15 (5.2%)</w:t>
            </w:r>
          </w:p>
        </w:tc>
        <w:tc>
          <w:tcPr>
            <w:tcW w:w="628" w:type="pct"/>
            <w:tcBorders>
              <w:top w:val="nil"/>
              <w:left w:val="double" w:sz="4" w:space="0" w:color="auto"/>
            </w:tcBorders>
            <w:vAlign w:val="center"/>
          </w:tcPr>
          <w:p w:rsidR="00D41DDD" w:rsidRPr="00AE234B" w:rsidRDefault="00D41DDD" w:rsidP="00585D2A">
            <w:pPr>
              <w:pStyle w:val="Tabletext0"/>
              <w:keepNext/>
              <w:jc w:val="center"/>
            </w:pPr>
            <w:r w:rsidRPr="00AE234B">
              <w:t>29 (12%)</w:t>
            </w:r>
          </w:p>
        </w:tc>
        <w:tc>
          <w:tcPr>
            <w:tcW w:w="655" w:type="pct"/>
            <w:tcBorders>
              <w:top w:val="nil"/>
              <w:right w:val="double" w:sz="4" w:space="0" w:color="auto"/>
            </w:tcBorders>
            <w:vAlign w:val="center"/>
          </w:tcPr>
          <w:p w:rsidR="00D41DDD" w:rsidRPr="00AE234B" w:rsidRDefault="00D41DDD" w:rsidP="00585D2A">
            <w:pPr>
              <w:pStyle w:val="Tabletext0"/>
              <w:keepNext/>
              <w:jc w:val="center"/>
            </w:pPr>
            <w:r w:rsidRPr="00AE234B">
              <w:rPr>
                <w:rFonts w:eastAsia="Arial"/>
              </w:rPr>
              <w:t>24 (17.1%)</w:t>
            </w:r>
          </w:p>
        </w:tc>
        <w:tc>
          <w:tcPr>
            <w:tcW w:w="843" w:type="pct"/>
            <w:tcBorders>
              <w:top w:val="nil"/>
              <w:left w:val="double" w:sz="4" w:space="0" w:color="auto"/>
            </w:tcBorders>
            <w:vAlign w:val="center"/>
          </w:tcPr>
          <w:p w:rsidR="00D41DDD" w:rsidRPr="00AE234B" w:rsidRDefault="00D41DDD" w:rsidP="00585D2A">
            <w:pPr>
              <w:pStyle w:val="Tabletext0"/>
              <w:keepNext/>
              <w:jc w:val="center"/>
              <w:rPr>
                <w:rFonts w:eastAsia="Arial"/>
              </w:rPr>
            </w:pPr>
            <w:r w:rsidRPr="00AE234B">
              <w:t>0.43 (0.25, 0.75)</w:t>
            </w:r>
          </w:p>
        </w:tc>
      </w:tr>
      <w:tr w:rsidR="00D41DDD" w:rsidRPr="00D647A9" w:rsidTr="00D41DDD">
        <w:tc>
          <w:tcPr>
            <w:tcW w:w="1030" w:type="pct"/>
            <w:tcBorders>
              <w:bottom w:val="single" w:sz="4" w:space="0" w:color="auto"/>
            </w:tcBorders>
            <w:vAlign w:val="center"/>
          </w:tcPr>
          <w:p w:rsidR="00D41DDD" w:rsidRPr="00D647A9" w:rsidRDefault="00D41DDD" w:rsidP="00585D2A">
            <w:pPr>
              <w:pStyle w:val="Tabletext0"/>
              <w:keepNext/>
              <w:jc w:val="left"/>
            </w:pPr>
            <w:r w:rsidRPr="00D647A9">
              <w:t>Discontinuation due to AE, n (%)</w:t>
            </w:r>
          </w:p>
        </w:tc>
        <w:tc>
          <w:tcPr>
            <w:tcW w:w="571" w:type="pct"/>
            <w:tcBorders>
              <w:bottom w:val="single" w:sz="4" w:space="0" w:color="auto"/>
            </w:tcBorders>
            <w:vAlign w:val="center"/>
          </w:tcPr>
          <w:p w:rsidR="00D41DDD" w:rsidRPr="00AE234B" w:rsidRDefault="00D41DDD" w:rsidP="00585D2A">
            <w:pPr>
              <w:pStyle w:val="Tabletext0"/>
              <w:keepNext/>
              <w:jc w:val="center"/>
            </w:pPr>
            <w:r w:rsidRPr="00AE234B">
              <w:t>2 (2.3%)</w:t>
            </w:r>
          </w:p>
        </w:tc>
        <w:tc>
          <w:tcPr>
            <w:tcW w:w="616" w:type="pct"/>
            <w:tcBorders>
              <w:bottom w:val="single" w:sz="4" w:space="0" w:color="auto"/>
            </w:tcBorders>
            <w:vAlign w:val="center"/>
          </w:tcPr>
          <w:p w:rsidR="00D41DDD" w:rsidRPr="00AE234B" w:rsidRDefault="00D41DDD" w:rsidP="00585D2A">
            <w:pPr>
              <w:pStyle w:val="Tabletext0"/>
              <w:keepNext/>
              <w:jc w:val="center"/>
            </w:pPr>
            <w:r w:rsidRPr="00AE234B">
              <w:t>12 (8.7%)</w:t>
            </w:r>
          </w:p>
        </w:tc>
        <w:tc>
          <w:tcPr>
            <w:tcW w:w="657" w:type="pct"/>
            <w:tcBorders>
              <w:bottom w:val="single" w:sz="4" w:space="0" w:color="auto"/>
              <w:right w:val="double" w:sz="4" w:space="0" w:color="auto"/>
            </w:tcBorders>
            <w:vAlign w:val="center"/>
          </w:tcPr>
          <w:p w:rsidR="00D41DDD" w:rsidRPr="00AE234B" w:rsidRDefault="00D41DDD" w:rsidP="00585D2A">
            <w:pPr>
              <w:pStyle w:val="Tabletext0"/>
              <w:keepNext/>
              <w:jc w:val="center"/>
            </w:pPr>
            <w:r w:rsidRPr="00AE234B">
              <w:t>15 (5.9%)</w:t>
            </w:r>
          </w:p>
        </w:tc>
        <w:tc>
          <w:tcPr>
            <w:tcW w:w="628" w:type="pct"/>
            <w:tcBorders>
              <w:left w:val="double" w:sz="4" w:space="0" w:color="auto"/>
              <w:bottom w:val="single" w:sz="4" w:space="0" w:color="auto"/>
            </w:tcBorders>
            <w:vAlign w:val="center"/>
          </w:tcPr>
          <w:p w:rsidR="00D41DDD" w:rsidRPr="00AE234B" w:rsidRDefault="00D41DDD" w:rsidP="00585D2A">
            <w:pPr>
              <w:pStyle w:val="Tabletext0"/>
              <w:keepNext/>
              <w:jc w:val="center"/>
            </w:pPr>
            <w:r w:rsidRPr="00AE234B">
              <w:t>26 (11%)</w:t>
            </w:r>
          </w:p>
        </w:tc>
        <w:tc>
          <w:tcPr>
            <w:tcW w:w="655" w:type="pct"/>
            <w:tcBorders>
              <w:bottom w:val="single" w:sz="4" w:space="0" w:color="auto"/>
              <w:right w:val="double" w:sz="4" w:space="0" w:color="auto"/>
            </w:tcBorders>
            <w:vAlign w:val="center"/>
          </w:tcPr>
          <w:p w:rsidR="00D41DDD" w:rsidRPr="00AE234B" w:rsidRDefault="00D41DDD" w:rsidP="00585D2A">
            <w:pPr>
              <w:pStyle w:val="Tabletext0"/>
              <w:keepNext/>
              <w:jc w:val="center"/>
            </w:pPr>
            <w:r w:rsidRPr="00AE234B">
              <w:t>11 (7.9%)</w:t>
            </w:r>
          </w:p>
        </w:tc>
        <w:tc>
          <w:tcPr>
            <w:tcW w:w="843" w:type="pct"/>
            <w:tcBorders>
              <w:left w:val="double" w:sz="4" w:space="0" w:color="auto"/>
              <w:bottom w:val="single" w:sz="4" w:space="0" w:color="auto"/>
            </w:tcBorders>
            <w:vAlign w:val="center"/>
          </w:tcPr>
          <w:p w:rsidR="00D41DDD" w:rsidRPr="00AE234B" w:rsidRDefault="00D41DDD" w:rsidP="00585D2A">
            <w:pPr>
              <w:pStyle w:val="Tabletext0"/>
              <w:keepNext/>
              <w:jc w:val="center"/>
            </w:pPr>
            <w:r w:rsidRPr="00AE234B">
              <w:t>0.62 (0.35, 1.10)</w:t>
            </w:r>
          </w:p>
        </w:tc>
      </w:tr>
      <w:tr w:rsidR="00D41DDD" w:rsidRPr="00D647A9" w:rsidTr="00D41DDD">
        <w:tc>
          <w:tcPr>
            <w:tcW w:w="1030" w:type="pct"/>
            <w:tcBorders>
              <w:bottom w:val="nil"/>
            </w:tcBorders>
            <w:vAlign w:val="center"/>
          </w:tcPr>
          <w:p w:rsidR="00D41DDD" w:rsidRPr="00D647A9" w:rsidRDefault="00D41DDD" w:rsidP="00585D2A">
            <w:pPr>
              <w:pStyle w:val="Tabletext0"/>
              <w:keepNext/>
              <w:jc w:val="left"/>
            </w:pPr>
            <w:r w:rsidRPr="00D647A9">
              <w:t>Death due to AE, n (%)</w:t>
            </w:r>
          </w:p>
        </w:tc>
        <w:tc>
          <w:tcPr>
            <w:tcW w:w="571" w:type="pct"/>
            <w:tcBorders>
              <w:bottom w:val="nil"/>
            </w:tcBorders>
            <w:vAlign w:val="center"/>
          </w:tcPr>
          <w:p w:rsidR="00D41DDD" w:rsidRPr="00AE234B" w:rsidRDefault="00D41DDD" w:rsidP="00585D2A">
            <w:pPr>
              <w:pStyle w:val="Tabletext0"/>
              <w:keepNext/>
              <w:jc w:val="center"/>
            </w:pPr>
          </w:p>
        </w:tc>
        <w:tc>
          <w:tcPr>
            <w:tcW w:w="616" w:type="pct"/>
            <w:tcBorders>
              <w:bottom w:val="nil"/>
            </w:tcBorders>
            <w:vAlign w:val="center"/>
          </w:tcPr>
          <w:p w:rsidR="00D41DDD" w:rsidRPr="00AE234B" w:rsidRDefault="00D41DDD" w:rsidP="00585D2A">
            <w:pPr>
              <w:pStyle w:val="Tabletext0"/>
              <w:keepNext/>
              <w:jc w:val="center"/>
            </w:pPr>
          </w:p>
        </w:tc>
        <w:tc>
          <w:tcPr>
            <w:tcW w:w="657" w:type="pct"/>
            <w:tcBorders>
              <w:bottom w:val="nil"/>
              <w:right w:val="double" w:sz="4" w:space="0" w:color="auto"/>
            </w:tcBorders>
            <w:vAlign w:val="center"/>
          </w:tcPr>
          <w:p w:rsidR="00D41DDD" w:rsidRPr="00AE234B" w:rsidRDefault="00D41DDD" w:rsidP="00585D2A">
            <w:pPr>
              <w:pStyle w:val="Tabletext0"/>
              <w:keepNext/>
              <w:jc w:val="center"/>
              <w:rPr>
                <w:vertAlign w:val="superscript"/>
              </w:rPr>
            </w:pPr>
          </w:p>
        </w:tc>
        <w:tc>
          <w:tcPr>
            <w:tcW w:w="628" w:type="pct"/>
            <w:tcBorders>
              <w:left w:val="double" w:sz="4" w:space="0" w:color="auto"/>
              <w:bottom w:val="nil"/>
            </w:tcBorders>
            <w:vAlign w:val="center"/>
          </w:tcPr>
          <w:p w:rsidR="00D41DDD" w:rsidRPr="00AE234B" w:rsidRDefault="00D41DDD" w:rsidP="00585D2A">
            <w:pPr>
              <w:pStyle w:val="Tabletext0"/>
              <w:keepNext/>
              <w:jc w:val="center"/>
              <w:rPr>
                <w:vertAlign w:val="superscript"/>
              </w:rPr>
            </w:pPr>
          </w:p>
        </w:tc>
        <w:tc>
          <w:tcPr>
            <w:tcW w:w="655" w:type="pct"/>
            <w:tcBorders>
              <w:bottom w:val="nil"/>
              <w:right w:val="double" w:sz="4" w:space="0" w:color="auto"/>
            </w:tcBorders>
            <w:vAlign w:val="center"/>
          </w:tcPr>
          <w:p w:rsidR="00D41DDD" w:rsidRPr="00AE234B" w:rsidRDefault="00D41DDD" w:rsidP="00585D2A">
            <w:pPr>
              <w:pStyle w:val="Tabletext0"/>
              <w:keepNext/>
              <w:jc w:val="center"/>
            </w:pPr>
          </w:p>
        </w:tc>
        <w:tc>
          <w:tcPr>
            <w:tcW w:w="843" w:type="pct"/>
            <w:tcBorders>
              <w:left w:val="double" w:sz="4" w:space="0" w:color="auto"/>
              <w:bottom w:val="nil"/>
            </w:tcBorders>
            <w:vAlign w:val="center"/>
          </w:tcPr>
          <w:p w:rsidR="00D41DDD" w:rsidRPr="00AE234B" w:rsidRDefault="00D41DDD" w:rsidP="00585D2A">
            <w:pPr>
              <w:pStyle w:val="Tabletext0"/>
              <w:keepNext/>
              <w:jc w:val="center"/>
            </w:pPr>
          </w:p>
        </w:tc>
      </w:tr>
      <w:tr w:rsidR="00D41DDD" w:rsidRPr="00D647A9" w:rsidTr="00D41DDD">
        <w:tc>
          <w:tcPr>
            <w:tcW w:w="1030" w:type="pct"/>
            <w:tcBorders>
              <w:top w:val="nil"/>
              <w:bottom w:val="nil"/>
            </w:tcBorders>
            <w:vAlign w:val="center"/>
          </w:tcPr>
          <w:p w:rsidR="00D41DDD" w:rsidRPr="00D647A9" w:rsidRDefault="00D41DDD" w:rsidP="00585D2A">
            <w:pPr>
              <w:pStyle w:val="Tabletext0"/>
              <w:keepNext/>
              <w:ind w:left="142"/>
              <w:jc w:val="left"/>
            </w:pPr>
            <w:r w:rsidRPr="00D647A9">
              <w:t>Total</w:t>
            </w:r>
          </w:p>
        </w:tc>
        <w:tc>
          <w:tcPr>
            <w:tcW w:w="571" w:type="pct"/>
            <w:tcBorders>
              <w:top w:val="nil"/>
              <w:bottom w:val="nil"/>
            </w:tcBorders>
            <w:vAlign w:val="center"/>
          </w:tcPr>
          <w:p w:rsidR="00D41DDD" w:rsidRPr="00AE234B" w:rsidRDefault="00D41DDD" w:rsidP="00585D2A">
            <w:pPr>
              <w:pStyle w:val="Tabletext0"/>
              <w:keepNext/>
              <w:jc w:val="center"/>
            </w:pPr>
            <w:r w:rsidRPr="00AE234B">
              <w:t>2 (2.3%)</w:t>
            </w:r>
          </w:p>
        </w:tc>
        <w:tc>
          <w:tcPr>
            <w:tcW w:w="616" w:type="pct"/>
            <w:tcBorders>
              <w:top w:val="nil"/>
              <w:bottom w:val="nil"/>
            </w:tcBorders>
            <w:vAlign w:val="center"/>
          </w:tcPr>
          <w:p w:rsidR="00D41DDD" w:rsidRPr="00AE234B" w:rsidRDefault="00D41DDD" w:rsidP="00585D2A">
            <w:pPr>
              <w:pStyle w:val="Tabletext0"/>
              <w:keepNext/>
              <w:jc w:val="center"/>
            </w:pPr>
            <w:r w:rsidRPr="00AE234B">
              <w:t>5 (3.6%)</w:t>
            </w:r>
          </w:p>
        </w:tc>
        <w:tc>
          <w:tcPr>
            <w:tcW w:w="657" w:type="pct"/>
            <w:tcBorders>
              <w:top w:val="nil"/>
              <w:bottom w:val="nil"/>
              <w:right w:val="double" w:sz="4" w:space="0" w:color="auto"/>
            </w:tcBorders>
            <w:vAlign w:val="center"/>
          </w:tcPr>
          <w:p w:rsidR="00D41DDD" w:rsidRPr="00AE234B" w:rsidRDefault="00D41DDD" w:rsidP="00585D2A">
            <w:pPr>
              <w:pStyle w:val="Tabletext0"/>
              <w:keepNext/>
              <w:jc w:val="center"/>
            </w:pPr>
            <w:r w:rsidRPr="00AE234B">
              <w:t>7 (2.8%)</w:t>
            </w:r>
          </w:p>
        </w:tc>
        <w:tc>
          <w:tcPr>
            <w:tcW w:w="628" w:type="pct"/>
            <w:tcBorders>
              <w:top w:val="nil"/>
              <w:left w:val="double" w:sz="4" w:space="0" w:color="auto"/>
              <w:bottom w:val="nil"/>
            </w:tcBorders>
            <w:vAlign w:val="center"/>
          </w:tcPr>
          <w:p w:rsidR="00D41DDD" w:rsidRPr="00AE234B" w:rsidRDefault="00D41DDD" w:rsidP="00585D2A">
            <w:pPr>
              <w:pStyle w:val="Tabletext0"/>
              <w:keepNext/>
              <w:jc w:val="center"/>
            </w:pPr>
            <w:r w:rsidRPr="00AE234B">
              <w:t>2 (0.8%)</w:t>
            </w:r>
          </w:p>
        </w:tc>
        <w:tc>
          <w:tcPr>
            <w:tcW w:w="655" w:type="pct"/>
            <w:tcBorders>
              <w:top w:val="nil"/>
              <w:bottom w:val="nil"/>
              <w:right w:val="double" w:sz="4" w:space="0" w:color="auto"/>
            </w:tcBorders>
            <w:vAlign w:val="center"/>
          </w:tcPr>
          <w:p w:rsidR="00D41DDD" w:rsidRPr="00AE234B" w:rsidRDefault="00D41DDD" w:rsidP="00585D2A">
            <w:pPr>
              <w:pStyle w:val="Tabletext0"/>
              <w:keepNext/>
              <w:jc w:val="center"/>
            </w:pPr>
            <w:r w:rsidRPr="00AE234B">
              <w:t>0</w:t>
            </w:r>
          </w:p>
        </w:tc>
        <w:tc>
          <w:tcPr>
            <w:tcW w:w="843" w:type="pct"/>
            <w:tcBorders>
              <w:top w:val="nil"/>
              <w:left w:val="double" w:sz="4" w:space="0" w:color="auto"/>
              <w:bottom w:val="nil"/>
            </w:tcBorders>
            <w:vAlign w:val="center"/>
          </w:tcPr>
          <w:p w:rsidR="00D41DDD" w:rsidRPr="00AE234B" w:rsidRDefault="00D41DDD" w:rsidP="00585D2A">
            <w:pPr>
              <w:pStyle w:val="Tabletext0"/>
              <w:keepNext/>
              <w:jc w:val="center"/>
            </w:pPr>
            <w:r w:rsidRPr="00AE234B">
              <w:t>5.34 (1.12, 25.5)</w:t>
            </w:r>
          </w:p>
        </w:tc>
      </w:tr>
      <w:tr w:rsidR="00D41DDD" w:rsidRPr="00D647A9" w:rsidTr="00D41DDD">
        <w:tc>
          <w:tcPr>
            <w:tcW w:w="1030" w:type="pct"/>
            <w:tcBorders>
              <w:top w:val="nil"/>
            </w:tcBorders>
            <w:vAlign w:val="center"/>
          </w:tcPr>
          <w:p w:rsidR="00D41DDD" w:rsidRPr="00D647A9" w:rsidRDefault="00D41DDD" w:rsidP="00585D2A">
            <w:pPr>
              <w:pStyle w:val="Tabletext0"/>
              <w:keepNext/>
              <w:ind w:left="142"/>
              <w:jc w:val="left"/>
            </w:pPr>
            <w:r w:rsidRPr="00D647A9">
              <w:t>Drug-related</w:t>
            </w:r>
          </w:p>
        </w:tc>
        <w:tc>
          <w:tcPr>
            <w:tcW w:w="571" w:type="pct"/>
            <w:tcBorders>
              <w:top w:val="nil"/>
            </w:tcBorders>
            <w:vAlign w:val="center"/>
          </w:tcPr>
          <w:p w:rsidR="00D41DDD" w:rsidRPr="00AE234B" w:rsidRDefault="00D41DDD" w:rsidP="00585D2A">
            <w:pPr>
              <w:pStyle w:val="Tabletext0"/>
              <w:keepNext/>
              <w:jc w:val="center"/>
            </w:pPr>
            <w:r w:rsidRPr="00AE234B">
              <w:t>1 (1.1%)</w:t>
            </w:r>
          </w:p>
        </w:tc>
        <w:tc>
          <w:tcPr>
            <w:tcW w:w="616" w:type="pct"/>
            <w:tcBorders>
              <w:top w:val="nil"/>
            </w:tcBorders>
            <w:vAlign w:val="center"/>
          </w:tcPr>
          <w:p w:rsidR="00D41DDD" w:rsidRPr="00AE234B" w:rsidRDefault="00D41DDD" w:rsidP="00585D2A">
            <w:pPr>
              <w:pStyle w:val="Tabletext0"/>
              <w:keepNext/>
              <w:jc w:val="center"/>
            </w:pPr>
            <w:r w:rsidRPr="00AE234B">
              <w:t>1 (0.7%)</w:t>
            </w:r>
          </w:p>
        </w:tc>
        <w:tc>
          <w:tcPr>
            <w:tcW w:w="657" w:type="pct"/>
            <w:tcBorders>
              <w:top w:val="nil"/>
              <w:right w:val="double" w:sz="4" w:space="0" w:color="auto"/>
            </w:tcBorders>
            <w:vAlign w:val="center"/>
          </w:tcPr>
          <w:p w:rsidR="00D41DDD" w:rsidRPr="00AE234B" w:rsidRDefault="00D41DDD" w:rsidP="00585D2A">
            <w:pPr>
              <w:pStyle w:val="Tabletext0"/>
              <w:keepNext/>
              <w:jc w:val="center"/>
            </w:pPr>
            <w:r w:rsidRPr="00AE234B">
              <w:t>2 (0.8%)</w:t>
            </w:r>
          </w:p>
        </w:tc>
        <w:tc>
          <w:tcPr>
            <w:tcW w:w="628" w:type="pct"/>
            <w:tcBorders>
              <w:top w:val="nil"/>
              <w:left w:val="double" w:sz="4" w:space="0" w:color="auto"/>
            </w:tcBorders>
            <w:vAlign w:val="center"/>
          </w:tcPr>
          <w:p w:rsidR="00D41DDD" w:rsidRPr="00AE234B" w:rsidRDefault="00D41DDD" w:rsidP="00585D2A">
            <w:pPr>
              <w:pStyle w:val="Tabletext0"/>
              <w:keepNext/>
              <w:jc w:val="center"/>
            </w:pPr>
            <w:r w:rsidRPr="00AE234B">
              <w:t>2 (0.8%)</w:t>
            </w:r>
          </w:p>
        </w:tc>
        <w:tc>
          <w:tcPr>
            <w:tcW w:w="655" w:type="pct"/>
            <w:tcBorders>
              <w:top w:val="nil"/>
              <w:right w:val="double" w:sz="4" w:space="0" w:color="auto"/>
            </w:tcBorders>
            <w:vAlign w:val="center"/>
          </w:tcPr>
          <w:p w:rsidR="00D41DDD" w:rsidRPr="00AE234B" w:rsidRDefault="00D41DDD" w:rsidP="00585D2A">
            <w:pPr>
              <w:pStyle w:val="Tabletext0"/>
              <w:keepNext/>
              <w:jc w:val="center"/>
            </w:pPr>
            <w:r w:rsidRPr="00AE234B">
              <w:t>0</w:t>
            </w:r>
          </w:p>
        </w:tc>
        <w:tc>
          <w:tcPr>
            <w:tcW w:w="843" w:type="pct"/>
            <w:tcBorders>
              <w:top w:val="nil"/>
              <w:left w:val="double" w:sz="4" w:space="0" w:color="auto"/>
            </w:tcBorders>
            <w:vAlign w:val="center"/>
          </w:tcPr>
          <w:p w:rsidR="00D41DDD" w:rsidRPr="00AE234B" w:rsidRDefault="00D41DDD" w:rsidP="00585D2A">
            <w:pPr>
              <w:pStyle w:val="Tabletext0"/>
              <w:keepNext/>
              <w:jc w:val="center"/>
            </w:pPr>
            <w:r w:rsidRPr="00AE234B">
              <w:t>1.53 (0.22, 10.8)</w:t>
            </w:r>
          </w:p>
        </w:tc>
      </w:tr>
    </w:tbl>
    <w:p w:rsidR="00D41DDD" w:rsidRPr="00D647A9" w:rsidRDefault="00D41DDD" w:rsidP="00585D2A">
      <w:pPr>
        <w:pStyle w:val="TableFooter"/>
        <w:keepNext/>
        <w:widowControl/>
        <w:tabs>
          <w:tab w:val="left" w:pos="5310"/>
        </w:tabs>
      </w:pPr>
      <w:r w:rsidRPr="00D647A9">
        <w:t>AE = adverse event; CI = confidence interval.</w:t>
      </w:r>
    </w:p>
    <w:p w:rsidR="00D41DDD" w:rsidRPr="00D647A9" w:rsidRDefault="00D41DDD" w:rsidP="00585D2A">
      <w:pPr>
        <w:pStyle w:val="TableFooter"/>
        <w:keepNext/>
        <w:widowControl/>
      </w:pPr>
      <w:r w:rsidRPr="00D647A9">
        <w:rPr>
          <w:vertAlign w:val="superscript"/>
        </w:rPr>
        <w:t>a</w:t>
      </w:r>
      <w:r w:rsidRPr="00D647A9">
        <w:t xml:space="preserve"> Pooled data includes patients from both Phase I and II of NP28761 (only patients who received 600 mg </w:t>
      </w:r>
      <w:proofErr w:type="spellStart"/>
      <w:r w:rsidRPr="00D647A9">
        <w:t>alectinib</w:t>
      </w:r>
      <w:proofErr w:type="spellEnd"/>
      <w:r w:rsidRPr="00D647A9">
        <w:t xml:space="preserve"> twice daily were included), and Phase II and a  midazolam drug-drug interaction sub-study of NP2867</w:t>
      </w:r>
      <w:r w:rsidR="0036198B">
        <w:t>3</w:t>
      </w:r>
      <w:r w:rsidRPr="00D647A9">
        <w:t>.</w:t>
      </w:r>
    </w:p>
    <w:p w:rsidR="00D41DDD" w:rsidRPr="00D647A9" w:rsidRDefault="00D41DDD" w:rsidP="00585D2A">
      <w:pPr>
        <w:pStyle w:val="TableFooter"/>
        <w:keepNext/>
        <w:widowControl/>
      </w:pPr>
      <w:proofErr w:type="gramStart"/>
      <w:r w:rsidRPr="00D647A9">
        <w:rPr>
          <w:vertAlign w:val="superscript"/>
        </w:rPr>
        <w:t>b</w:t>
      </w:r>
      <w:proofErr w:type="gramEnd"/>
      <w:r w:rsidRPr="00D647A9">
        <w:t xml:space="preserve"> Information only available for combined ALK inhibitor naïve (N=83) and ALK inhibitor pre-treated (N=163) population.</w:t>
      </w:r>
    </w:p>
    <w:p w:rsidR="00D41DDD" w:rsidRPr="00D647A9" w:rsidRDefault="00D41DDD" w:rsidP="00585D2A">
      <w:pPr>
        <w:pStyle w:val="TableFooter"/>
        <w:keepNext/>
        <w:widowControl/>
      </w:pPr>
      <w:proofErr w:type="gramStart"/>
      <w:r w:rsidRPr="00D647A9">
        <w:rPr>
          <w:vertAlign w:val="superscript"/>
        </w:rPr>
        <w:t>c</w:t>
      </w:r>
      <w:proofErr w:type="gramEnd"/>
      <w:r w:rsidRPr="00D647A9">
        <w:rPr>
          <w:vertAlign w:val="superscript"/>
        </w:rPr>
        <w:t xml:space="preserve"> </w:t>
      </w:r>
      <w:r w:rsidR="009877D4" w:rsidRPr="00D647A9">
        <w:t xml:space="preserve">The number of Grade 3-4 AEs in the </w:t>
      </w:r>
      <w:proofErr w:type="spellStart"/>
      <w:r w:rsidR="009877D4" w:rsidRPr="00D647A9">
        <w:t>alectinib</w:t>
      </w:r>
      <w:proofErr w:type="spellEnd"/>
      <w:r w:rsidR="009877D4" w:rsidRPr="00D647A9">
        <w:t xml:space="preserve"> studies was</w:t>
      </w:r>
      <w:r w:rsidRPr="00D647A9">
        <w:t xml:space="preserve"> calculated as the number of Grade 3-5 AEs minus the number of deaths due to AEs. </w:t>
      </w:r>
    </w:p>
    <w:p w:rsidR="00D41DDD" w:rsidRPr="00D647A9" w:rsidRDefault="00D41DDD" w:rsidP="00BF5AAE">
      <w:pPr>
        <w:pStyle w:val="TableFooter"/>
        <w:widowControl/>
      </w:pPr>
      <w:r w:rsidRPr="003D71FA">
        <w:t>Source: p59, Table 2.35 p57, Table 2.53 p 77 and Table 2.54 p78 Section 2 of</w:t>
      </w:r>
      <w:r w:rsidRPr="00D647A9">
        <w:t xml:space="preserve"> the submission; Kim et al (2016); </w:t>
      </w:r>
      <w:proofErr w:type="spellStart"/>
      <w:r w:rsidRPr="00D647A9">
        <w:t>Crino</w:t>
      </w:r>
      <w:proofErr w:type="spellEnd"/>
      <w:r w:rsidRPr="00D647A9">
        <w:t xml:space="preserve"> et al (2016).</w:t>
      </w:r>
    </w:p>
    <w:p w:rsidR="000666B6" w:rsidRPr="00D647A9" w:rsidRDefault="000666B6" w:rsidP="00863A4D">
      <w:pPr>
        <w:pStyle w:val="ListParagraph"/>
        <w:numPr>
          <w:ilvl w:val="1"/>
          <w:numId w:val="4"/>
        </w:numPr>
        <w:spacing w:before="0" w:after="120"/>
      </w:pPr>
      <w:r w:rsidRPr="00D647A9">
        <w:t>The limitations of the naïve indirect comparison, discussed above in regard to the effectiveness outcomes, apply equally to the comparison of safety outcomes.</w:t>
      </w:r>
    </w:p>
    <w:p w:rsidR="000666B6" w:rsidRPr="00D647A9" w:rsidRDefault="003727C7" w:rsidP="00863A4D">
      <w:pPr>
        <w:pStyle w:val="ListParagraph"/>
        <w:numPr>
          <w:ilvl w:val="1"/>
          <w:numId w:val="4"/>
        </w:numPr>
        <w:spacing w:before="0" w:after="120"/>
      </w:pPr>
      <w:r w:rsidRPr="00D647A9">
        <w:t xml:space="preserve">The submission stated that Grade ≥ 3 adverse events (AEs), both drug-related and </w:t>
      </w:r>
      <w:r w:rsidR="001077F8" w:rsidRPr="00D647A9">
        <w:t>all-cause</w:t>
      </w:r>
      <w:r w:rsidRPr="00D647A9">
        <w:t xml:space="preserve">, occurred significantly less frequently on </w:t>
      </w:r>
      <w:proofErr w:type="spellStart"/>
      <w:r w:rsidRPr="00D647A9">
        <w:t>alectinib</w:t>
      </w:r>
      <w:proofErr w:type="spellEnd"/>
      <w:r w:rsidRPr="00D647A9">
        <w:t xml:space="preserve"> treatment t</w:t>
      </w:r>
      <w:r w:rsidR="001077F8" w:rsidRPr="00D647A9">
        <w:t xml:space="preserve">han </w:t>
      </w:r>
      <w:proofErr w:type="spellStart"/>
      <w:r w:rsidR="001077F8" w:rsidRPr="00D647A9">
        <w:t>ceritinib</w:t>
      </w:r>
      <w:proofErr w:type="spellEnd"/>
      <w:r w:rsidR="001077F8" w:rsidRPr="00D647A9">
        <w:t xml:space="preserve"> treatment</w:t>
      </w:r>
      <w:r w:rsidRPr="00D647A9">
        <w:t xml:space="preserve">. </w:t>
      </w:r>
      <w:r w:rsidR="001077F8" w:rsidRPr="00D647A9">
        <w:t xml:space="preserve">The proportion of patients experiencing at least one Grade 3-4 AE and serious AEs, both all cause and drug-related, was lower in the </w:t>
      </w:r>
      <w:proofErr w:type="spellStart"/>
      <w:r w:rsidR="001077F8" w:rsidRPr="00D647A9">
        <w:t>alectinib</w:t>
      </w:r>
      <w:proofErr w:type="spellEnd"/>
      <w:r w:rsidR="001077F8" w:rsidRPr="00D647A9">
        <w:t xml:space="preserve"> studies com</w:t>
      </w:r>
      <w:r w:rsidR="007164BB">
        <w:t xml:space="preserve">pared to the </w:t>
      </w:r>
      <w:proofErr w:type="spellStart"/>
      <w:r w:rsidR="007164BB">
        <w:t>ceritinib</w:t>
      </w:r>
      <w:proofErr w:type="spellEnd"/>
      <w:r w:rsidR="007164BB">
        <w:t xml:space="preserve"> studies.</w:t>
      </w:r>
    </w:p>
    <w:p w:rsidR="00752F89" w:rsidRPr="00D647A9" w:rsidRDefault="00333100" w:rsidP="00863A4D">
      <w:pPr>
        <w:pStyle w:val="ListParagraph"/>
        <w:numPr>
          <w:ilvl w:val="1"/>
          <w:numId w:val="4"/>
        </w:numPr>
        <w:spacing w:before="0" w:after="120"/>
      </w:pPr>
      <w:r w:rsidRPr="00D647A9">
        <w:t xml:space="preserve">There were more deaths due to AEs in the </w:t>
      </w:r>
      <w:proofErr w:type="spellStart"/>
      <w:r w:rsidRPr="00D647A9">
        <w:t>alectinib</w:t>
      </w:r>
      <w:proofErr w:type="spellEnd"/>
      <w:r w:rsidRPr="00D647A9">
        <w:t xml:space="preserve"> studies (7/253, 2.8%) compared to the </w:t>
      </w:r>
      <w:proofErr w:type="spellStart"/>
      <w:r w:rsidRPr="00D647A9">
        <w:t>ceritinib</w:t>
      </w:r>
      <w:proofErr w:type="spellEnd"/>
      <w:r w:rsidRPr="00D647A9">
        <w:t xml:space="preserve"> studies (2/386, 0.5%)</w:t>
      </w:r>
      <w:r w:rsidR="008735BD" w:rsidRPr="00D647A9">
        <w:rPr>
          <w:rStyle w:val="FootnoteReference"/>
        </w:rPr>
        <w:footnoteReference w:id="6"/>
      </w:r>
      <w:r w:rsidRPr="00D647A9">
        <w:t xml:space="preserve">, although only two of the seven deaths in the </w:t>
      </w:r>
      <w:proofErr w:type="spellStart"/>
      <w:r w:rsidRPr="00D647A9">
        <w:t>alectinib</w:t>
      </w:r>
      <w:proofErr w:type="spellEnd"/>
      <w:r w:rsidRPr="00D647A9">
        <w:t xml:space="preserve"> studies were considered </w:t>
      </w:r>
      <w:r w:rsidR="00747DBF" w:rsidRPr="00D647A9">
        <w:t xml:space="preserve">by the investigator </w:t>
      </w:r>
      <w:r w:rsidRPr="00D647A9">
        <w:t xml:space="preserve">to be related to </w:t>
      </w:r>
      <w:r w:rsidR="00CF0D7A">
        <w:t xml:space="preserve">the </w:t>
      </w:r>
      <w:r w:rsidRPr="00D647A9">
        <w:t>study drug. The difference in the number of deaths due to AEs was not due to differences in follow-up between the studies</w:t>
      </w:r>
      <w:r w:rsidR="002E1C65" w:rsidRPr="00D647A9">
        <w:t xml:space="preserve">, as six of the deaths </w:t>
      </w:r>
      <w:r w:rsidR="00752F89" w:rsidRPr="00D647A9">
        <w:t xml:space="preserve">in the </w:t>
      </w:r>
      <w:proofErr w:type="spellStart"/>
      <w:r w:rsidR="00752F89" w:rsidRPr="00D647A9">
        <w:t>alectinib</w:t>
      </w:r>
      <w:proofErr w:type="spellEnd"/>
      <w:r w:rsidR="00752F89" w:rsidRPr="00D647A9">
        <w:t xml:space="preserve"> studies had occurred prior to earlier data cut-off dates, when the median duration of follow up was less than 11 months in both studies</w:t>
      </w:r>
      <w:r w:rsidRPr="00D647A9">
        <w:t>.</w:t>
      </w:r>
      <w:r w:rsidR="00D366B0" w:rsidRPr="00D647A9">
        <w:t xml:space="preserve"> </w:t>
      </w:r>
      <w:r w:rsidR="00051566" w:rsidRPr="00D647A9">
        <w:t>However, given the small sample sizes and the indirect nature of the comparison, the difference between the studies in terms of deaths due to AEs shou</w:t>
      </w:r>
      <w:r w:rsidR="007164BB">
        <w:t>ld be interpreted with caution.</w:t>
      </w:r>
    </w:p>
    <w:p w:rsidR="000666B6" w:rsidRPr="00D647A9" w:rsidRDefault="000666B6" w:rsidP="00863A4D">
      <w:pPr>
        <w:pStyle w:val="ListParagraph"/>
        <w:numPr>
          <w:ilvl w:val="1"/>
          <w:numId w:val="4"/>
        </w:numPr>
        <w:spacing w:before="0" w:after="120"/>
      </w:pPr>
      <w:r w:rsidRPr="00D647A9">
        <w:t xml:space="preserve">The safety results suggested that </w:t>
      </w:r>
      <w:proofErr w:type="spellStart"/>
      <w:r w:rsidRPr="00D647A9">
        <w:t>ceritinib</w:t>
      </w:r>
      <w:proofErr w:type="spellEnd"/>
      <w:r w:rsidRPr="00D647A9">
        <w:t xml:space="preserve"> is associated with a higher incidence of Grade 3-4 diarrhoea, nausea and vomiting compared to </w:t>
      </w:r>
      <w:proofErr w:type="spellStart"/>
      <w:r w:rsidRPr="00D647A9">
        <w:t>alectinib</w:t>
      </w:r>
      <w:proofErr w:type="spellEnd"/>
      <w:r w:rsidRPr="00D647A9">
        <w:t xml:space="preserve">. Myalgia and </w:t>
      </w:r>
      <w:r w:rsidR="00130ADA" w:rsidRPr="00D647A9">
        <w:t xml:space="preserve">creatinine phosphokinase </w:t>
      </w:r>
      <w:r w:rsidRPr="00D647A9">
        <w:t xml:space="preserve">elevation were prominent AEs in the </w:t>
      </w:r>
      <w:proofErr w:type="spellStart"/>
      <w:r w:rsidRPr="00D647A9">
        <w:t>alectinib</w:t>
      </w:r>
      <w:proofErr w:type="spellEnd"/>
      <w:r w:rsidRPr="00D647A9">
        <w:t xml:space="preserve"> studies. </w:t>
      </w:r>
      <w:r w:rsidR="001C2F0E">
        <w:rPr>
          <w:noProof/>
          <w:color w:val="000000"/>
          <w:highlight w:val="black"/>
        </w:rPr>
        <w:t xml:space="preserve">''''''' ''''''''''''''''''''''''' '''''''''''''''''' '''''''' ''''''''''''''''' ''''''''' ''''' ''''''''''''''''''''' ''''' '''''''''' '''''' ''''''''''''''''''' '''' '''''''''' ''''''''''''''''''''''''''' ''''''''' ''''''''''''' '''''''''''''''''' '''''''''' ''''''''' '''''''''''''''''' '''''''''''''''''''''' </w:t>
      </w:r>
      <w:r w:rsidRPr="00D647A9">
        <w:t xml:space="preserve">Cases of severe </w:t>
      </w:r>
      <w:r w:rsidR="00130ADA" w:rsidRPr="00D647A9">
        <w:t>interstitial lung disease</w:t>
      </w:r>
      <w:r w:rsidRPr="00D647A9">
        <w:t>/pneumonitis have</w:t>
      </w:r>
      <w:r w:rsidR="007164BB">
        <w:t xml:space="preserve"> been reported with both drugs.</w:t>
      </w:r>
    </w:p>
    <w:p w:rsidR="000666B6" w:rsidRPr="00863A4D" w:rsidRDefault="000666B6" w:rsidP="00863A4D">
      <w:pPr>
        <w:pStyle w:val="ListParagraph"/>
        <w:numPr>
          <w:ilvl w:val="1"/>
          <w:numId w:val="4"/>
        </w:numPr>
        <w:spacing w:before="0" w:after="120"/>
      </w:pPr>
      <w:r w:rsidRPr="00863A4D">
        <w:t xml:space="preserve">There are currently insufficient data to </w:t>
      </w:r>
      <w:r w:rsidR="006727A4" w:rsidRPr="00863A4D">
        <w:t xml:space="preserve">fully define the safety profile of </w:t>
      </w:r>
      <w:proofErr w:type="spellStart"/>
      <w:r w:rsidR="006727A4" w:rsidRPr="00863A4D">
        <w:t>alectinib</w:t>
      </w:r>
      <w:proofErr w:type="spellEnd"/>
      <w:r w:rsidR="006727A4" w:rsidRPr="00863A4D">
        <w:t>, especia</w:t>
      </w:r>
      <w:r w:rsidR="00156869" w:rsidRPr="00863A4D">
        <w:t>lly in terms of</w:t>
      </w:r>
      <w:r w:rsidR="00051566" w:rsidRPr="00863A4D">
        <w:t xml:space="preserve"> the</w:t>
      </w:r>
      <w:r w:rsidR="00156869" w:rsidRPr="00863A4D">
        <w:t xml:space="preserve"> less common AEs.</w:t>
      </w:r>
      <w:r w:rsidR="008170FC" w:rsidRPr="00863A4D">
        <w:t xml:space="preserve"> </w:t>
      </w:r>
      <w:r w:rsidR="00D15456" w:rsidRPr="00863A4D">
        <w:t xml:space="preserve">The ESC </w:t>
      </w:r>
      <w:r w:rsidR="00661E45" w:rsidRPr="00863A4D">
        <w:t>agreed</w:t>
      </w:r>
      <w:r w:rsidR="007164BB" w:rsidRPr="00863A4D">
        <w:t xml:space="preserve"> with this</w:t>
      </w:r>
      <w:r w:rsidR="00661E45" w:rsidRPr="00863A4D">
        <w:t>, noting that</w:t>
      </w:r>
      <w:r w:rsidR="00D15456" w:rsidRPr="00863A4D">
        <w:t xml:space="preserve"> clinical data </w:t>
      </w:r>
      <w:r w:rsidR="00661E45" w:rsidRPr="00863A4D">
        <w:t>comparing</w:t>
      </w:r>
      <w:r w:rsidR="00D15456" w:rsidRPr="00863A4D">
        <w:t xml:space="preserve"> </w:t>
      </w:r>
      <w:proofErr w:type="spellStart"/>
      <w:r w:rsidR="00D15456" w:rsidRPr="00863A4D">
        <w:t>alectinib</w:t>
      </w:r>
      <w:proofErr w:type="spellEnd"/>
      <w:r w:rsidR="00D15456" w:rsidRPr="00863A4D">
        <w:t xml:space="preserve"> to other ALK inhibitors were </w:t>
      </w:r>
      <w:r w:rsidR="00661E45" w:rsidRPr="00863A4D">
        <w:t>particularly limited</w:t>
      </w:r>
      <w:r w:rsidR="00D15456" w:rsidRPr="00863A4D">
        <w:t xml:space="preserve">, and considered that </w:t>
      </w:r>
      <w:proofErr w:type="spellStart"/>
      <w:r w:rsidR="00661E45" w:rsidRPr="00863A4D">
        <w:t>alectinib’s</w:t>
      </w:r>
      <w:proofErr w:type="spellEnd"/>
      <w:r w:rsidR="00661E45" w:rsidRPr="00863A4D">
        <w:t xml:space="preserve"> safety profile would </w:t>
      </w:r>
      <w:r w:rsidR="00DB7B64" w:rsidRPr="00863A4D">
        <w:t>vary with</w:t>
      </w:r>
      <w:r w:rsidR="00661E45" w:rsidRPr="00863A4D">
        <w:t xml:space="preserve"> its </w:t>
      </w:r>
      <w:r w:rsidR="008170FC" w:rsidRPr="00863A4D">
        <w:t xml:space="preserve">clinical place </w:t>
      </w:r>
      <w:r w:rsidR="007164BB" w:rsidRPr="00863A4D">
        <w:t>in therapy.</w:t>
      </w:r>
    </w:p>
    <w:p w:rsidR="00624315" w:rsidRPr="00D647A9" w:rsidRDefault="00624315" w:rsidP="00BF5AAE">
      <w:pPr>
        <w:pStyle w:val="Heading2"/>
      </w:pPr>
      <w:bookmarkStart w:id="18" w:name="_Toc482699441"/>
      <w:bookmarkStart w:id="19" w:name="_Toc413139281"/>
      <w:r w:rsidRPr="00D647A9">
        <w:t>Benefits and harms</w:t>
      </w:r>
      <w:bookmarkEnd w:id="18"/>
    </w:p>
    <w:p w:rsidR="00386D1A" w:rsidRDefault="00FE2431" w:rsidP="00863A4D">
      <w:pPr>
        <w:pStyle w:val="ListParagraph"/>
        <w:numPr>
          <w:ilvl w:val="1"/>
          <w:numId w:val="4"/>
        </w:numPr>
        <w:spacing w:before="0" w:after="120"/>
        <w:rPr>
          <w:color w:val="000000" w:themeColor="text1"/>
        </w:rPr>
      </w:pPr>
      <w:r w:rsidRPr="00D647A9">
        <w:rPr>
          <w:color w:val="000000" w:themeColor="text1"/>
        </w:rPr>
        <w:t>The naïve indirect comparison presented in the submission did not allow for a</w:t>
      </w:r>
      <w:r w:rsidR="002851E0" w:rsidRPr="00D647A9">
        <w:rPr>
          <w:color w:val="000000" w:themeColor="text1"/>
        </w:rPr>
        <w:t xml:space="preserve"> r</w:t>
      </w:r>
      <w:r w:rsidR="004E3D22" w:rsidRPr="00D647A9">
        <w:rPr>
          <w:color w:val="000000" w:themeColor="text1"/>
        </w:rPr>
        <w:t>obust</w:t>
      </w:r>
      <w:r w:rsidRPr="00D647A9">
        <w:rPr>
          <w:color w:val="000000" w:themeColor="text1"/>
        </w:rPr>
        <w:t xml:space="preserve"> comparison of the benefits and harms of </w:t>
      </w:r>
      <w:proofErr w:type="spellStart"/>
      <w:r w:rsidR="00333100" w:rsidRPr="00D647A9">
        <w:rPr>
          <w:color w:val="000000" w:themeColor="text1"/>
        </w:rPr>
        <w:t>alectinib</w:t>
      </w:r>
      <w:proofErr w:type="spellEnd"/>
      <w:r w:rsidR="00333100" w:rsidRPr="00D647A9">
        <w:rPr>
          <w:color w:val="000000" w:themeColor="text1"/>
        </w:rPr>
        <w:t xml:space="preserve"> </w:t>
      </w:r>
      <w:r w:rsidRPr="00D647A9">
        <w:rPr>
          <w:color w:val="000000" w:themeColor="text1"/>
        </w:rPr>
        <w:t xml:space="preserve">and </w:t>
      </w:r>
      <w:proofErr w:type="spellStart"/>
      <w:r w:rsidR="00333100" w:rsidRPr="00D647A9">
        <w:rPr>
          <w:color w:val="000000" w:themeColor="text1"/>
        </w:rPr>
        <w:t>ceritinib</w:t>
      </w:r>
      <w:proofErr w:type="spellEnd"/>
      <w:r w:rsidRPr="00D647A9">
        <w:rPr>
          <w:color w:val="000000" w:themeColor="text1"/>
        </w:rPr>
        <w:t>. Accordingly, a benefits/harms table has not been presented.</w:t>
      </w:r>
    </w:p>
    <w:p w:rsidR="00C317F3" w:rsidRPr="00D647A9" w:rsidRDefault="00C317F3" w:rsidP="00BF5AAE">
      <w:pPr>
        <w:pStyle w:val="Heading2"/>
      </w:pPr>
      <w:bookmarkStart w:id="20" w:name="_Toc482699442"/>
      <w:r w:rsidRPr="00D647A9">
        <w:t>Clinical claim</w:t>
      </w:r>
      <w:bookmarkEnd w:id="19"/>
      <w:bookmarkEnd w:id="20"/>
    </w:p>
    <w:p w:rsidR="00326824" w:rsidRPr="00863A4D" w:rsidRDefault="00F71307" w:rsidP="00863A4D">
      <w:pPr>
        <w:pStyle w:val="ListParagraph"/>
        <w:numPr>
          <w:ilvl w:val="1"/>
          <w:numId w:val="4"/>
        </w:numPr>
        <w:spacing w:before="0" w:after="120"/>
        <w:rPr>
          <w:color w:val="000000" w:themeColor="text1"/>
        </w:rPr>
      </w:pPr>
      <w:r w:rsidRPr="00863A4D">
        <w:rPr>
          <w:color w:val="000000" w:themeColor="text1"/>
        </w:rPr>
        <w:t>The submission stated</w:t>
      </w:r>
      <w:r w:rsidR="00326824" w:rsidRPr="00863A4D">
        <w:rPr>
          <w:color w:val="000000" w:themeColor="text1"/>
        </w:rPr>
        <w:t xml:space="preserve"> that the effectiveness and safety of </w:t>
      </w:r>
      <w:proofErr w:type="spellStart"/>
      <w:r w:rsidR="00326824" w:rsidRPr="00863A4D">
        <w:rPr>
          <w:color w:val="000000" w:themeColor="text1"/>
        </w:rPr>
        <w:t>alectinib</w:t>
      </w:r>
      <w:proofErr w:type="spellEnd"/>
      <w:r w:rsidR="00326824" w:rsidRPr="00863A4D">
        <w:rPr>
          <w:color w:val="000000" w:themeColor="text1"/>
        </w:rPr>
        <w:t xml:space="preserve"> is assumed to be superior to </w:t>
      </w:r>
      <w:proofErr w:type="spellStart"/>
      <w:r w:rsidR="00326824" w:rsidRPr="00863A4D">
        <w:rPr>
          <w:color w:val="000000" w:themeColor="text1"/>
        </w:rPr>
        <w:t>ceritinib</w:t>
      </w:r>
      <w:proofErr w:type="spellEnd"/>
      <w:r w:rsidR="00326824" w:rsidRPr="00863A4D">
        <w:rPr>
          <w:color w:val="000000" w:themeColor="text1"/>
        </w:rPr>
        <w:t>. However, acknowledging the limitations of superiority claims based on single-arm studies, the submission prese</w:t>
      </w:r>
      <w:r w:rsidRPr="00863A4D">
        <w:rPr>
          <w:color w:val="000000" w:themeColor="text1"/>
        </w:rPr>
        <w:t>nted</w:t>
      </w:r>
      <w:r w:rsidR="00326824" w:rsidRPr="00863A4D">
        <w:rPr>
          <w:color w:val="000000" w:themeColor="text1"/>
        </w:rPr>
        <w:t xml:space="preserve"> a non-inferiority claim.</w:t>
      </w:r>
      <w:r w:rsidR="00F07E29" w:rsidRPr="00863A4D">
        <w:rPr>
          <w:color w:val="000000" w:themeColor="text1"/>
        </w:rPr>
        <w:t xml:space="preserve"> The ESC considered that the </w:t>
      </w:r>
      <w:r w:rsidR="002F493A" w:rsidRPr="00863A4D">
        <w:rPr>
          <w:color w:val="000000" w:themeColor="text1"/>
        </w:rPr>
        <w:t>clinical place</w:t>
      </w:r>
      <w:r w:rsidR="00F07E29" w:rsidRPr="00863A4D">
        <w:rPr>
          <w:color w:val="000000" w:themeColor="text1"/>
        </w:rPr>
        <w:t xml:space="preserve"> of </w:t>
      </w:r>
      <w:proofErr w:type="spellStart"/>
      <w:r w:rsidR="00F07E29" w:rsidRPr="00863A4D">
        <w:rPr>
          <w:color w:val="000000" w:themeColor="text1"/>
        </w:rPr>
        <w:t>alectinib</w:t>
      </w:r>
      <w:proofErr w:type="spellEnd"/>
      <w:r w:rsidR="00F07E29" w:rsidRPr="00863A4D">
        <w:rPr>
          <w:color w:val="000000" w:themeColor="text1"/>
        </w:rPr>
        <w:t xml:space="preserve"> w</w:t>
      </w:r>
      <w:r w:rsidR="004519D5" w:rsidRPr="00863A4D">
        <w:rPr>
          <w:color w:val="000000" w:themeColor="text1"/>
        </w:rPr>
        <w:t xml:space="preserve">as </w:t>
      </w:r>
      <w:r w:rsidR="00F07E29" w:rsidRPr="00863A4D">
        <w:rPr>
          <w:color w:val="000000" w:themeColor="text1"/>
        </w:rPr>
        <w:t xml:space="preserve">likely </w:t>
      </w:r>
      <w:r w:rsidR="007164BB" w:rsidRPr="00863A4D">
        <w:rPr>
          <w:color w:val="000000" w:themeColor="text1"/>
        </w:rPr>
        <w:t xml:space="preserve">to </w:t>
      </w:r>
      <w:r w:rsidR="00F07E29" w:rsidRPr="00863A4D">
        <w:rPr>
          <w:color w:val="000000" w:themeColor="text1"/>
        </w:rPr>
        <w:t xml:space="preserve">have a </w:t>
      </w:r>
      <w:r w:rsidR="004519D5" w:rsidRPr="00863A4D">
        <w:rPr>
          <w:color w:val="000000" w:themeColor="text1"/>
        </w:rPr>
        <w:t>significant</w:t>
      </w:r>
      <w:r w:rsidR="00F07E29" w:rsidRPr="00863A4D">
        <w:rPr>
          <w:color w:val="000000" w:themeColor="text1"/>
        </w:rPr>
        <w:t xml:space="preserve"> impact on its efficacy and safety profile</w:t>
      </w:r>
      <w:r w:rsidR="007F11BA" w:rsidRPr="00863A4D">
        <w:rPr>
          <w:color w:val="000000" w:themeColor="text1"/>
        </w:rPr>
        <w:t xml:space="preserve">, and therefore ambiguity about its clinical place in therapy </w:t>
      </w:r>
      <w:r w:rsidR="007164BB" w:rsidRPr="00863A4D">
        <w:rPr>
          <w:color w:val="000000" w:themeColor="text1"/>
        </w:rPr>
        <w:t xml:space="preserve">hindered </w:t>
      </w:r>
      <w:r w:rsidR="007F11BA" w:rsidRPr="00863A4D">
        <w:rPr>
          <w:color w:val="000000" w:themeColor="text1"/>
        </w:rPr>
        <w:t xml:space="preserve">the assessment of the submission’s claim of non-inferiority versus </w:t>
      </w:r>
      <w:proofErr w:type="spellStart"/>
      <w:r w:rsidR="007F11BA" w:rsidRPr="00863A4D">
        <w:rPr>
          <w:color w:val="000000" w:themeColor="text1"/>
        </w:rPr>
        <w:t>ceritinib</w:t>
      </w:r>
      <w:proofErr w:type="spellEnd"/>
      <w:r w:rsidR="007F11BA" w:rsidRPr="00863A4D">
        <w:rPr>
          <w:color w:val="000000" w:themeColor="text1"/>
        </w:rPr>
        <w:t>.</w:t>
      </w:r>
    </w:p>
    <w:p w:rsidR="00C35D5C" w:rsidRPr="00D647A9" w:rsidRDefault="00C35D5C" w:rsidP="00863A4D">
      <w:pPr>
        <w:pStyle w:val="ListParagraph"/>
        <w:numPr>
          <w:ilvl w:val="1"/>
          <w:numId w:val="4"/>
        </w:numPr>
        <w:spacing w:before="0" w:after="120"/>
        <w:rPr>
          <w:color w:val="000000" w:themeColor="text1"/>
        </w:rPr>
      </w:pPr>
      <w:r w:rsidRPr="00D647A9">
        <w:rPr>
          <w:color w:val="000000" w:themeColor="text1"/>
        </w:rPr>
        <w:t xml:space="preserve">The submission’s statement regarding the assumption of superiority to </w:t>
      </w:r>
      <w:proofErr w:type="spellStart"/>
      <w:r w:rsidRPr="00D647A9">
        <w:rPr>
          <w:color w:val="000000" w:themeColor="text1"/>
        </w:rPr>
        <w:t>ceritinib</w:t>
      </w:r>
      <w:proofErr w:type="spellEnd"/>
      <w:r w:rsidRPr="00D647A9">
        <w:rPr>
          <w:color w:val="000000" w:themeColor="text1"/>
        </w:rPr>
        <w:t xml:space="preserve"> in terms of effectiveness was based on numerically higher ORR</w:t>
      </w:r>
      <w:r w:rsidR="00CF729F" w:rsidRPr="00D647A9">
        <w:rPr>
          <w:color w:val="000000" w:themeColor="text1"/>
        </w:rPr>
        <w:t>s</w:t>
      </w:r>
      <w:r w:rsidRPr="00D647A9">
        <w:rPr>
          <w:color w:val="000000" w:themeColor="text1"/>
        </w:rPr>
        <w:t>, and numerical</w:t>
      </w:r>
      <w:r w:rsidR="00130ADA" w:rsidRPr="00D647A9">
        <w:rPr>
          <w:color w:val="000000" w:themeColor="text1"/>
        </w:rPr>
        <w:t>ly</w:t>
      </w:r>
      <w:r w:rsidRPr="00D647A9">
        <w:rPr>
          <w:color w:val="000000" w:themeColor="text1"/>
        </w:rPr>
        <w:t xml:space="preserve"> longer </w:t>
      </w:r>
      <w:r w:rsidR="009F4ABE" w:rsidRPr="00D647A9">
        <w:rPr>
          <w:color w:val="000000" w:themeColor="text1"/>
        </w:rPr>
        <w:t xml:space="preserve">median </w:t>
      </w:r>
      <w:r w:rsidRPr="00D647A9">
        <w:rPr>
          <w:color w:val="000000" w:themeColor="text1"/>
        </w:rPr>
        <w:t xml:space="preserve">PFS and </w:t>
      </w:r>
      <w:r w:rsidR="009F4ABE" w:rsidRPr="00D647A9">
        <w:rPr>
          <w:color w:val="000000" w:themeColor="text1"/>
        </w:rPr>
        <w:t xml:space="preserve">median </w:t>
      </w:r>
      <w:r w:rsidRPr="00D647A9">
        <w:rPr>
          <w:color w:val="000000" w:themeColor="text1"/>
        </w:rPr>
        <w:t xml:space="preserve">OS. The submission also claimed that, for patients with measurable CNS metastases at baseline, </w:t>
      </w:r>
      <w:proofErr w:type="spellStart"/>
      <w:r w:rsidRPr="00D647A9">
        <w:rPr>
          <w:color w:val="000000" w:themeColor="text1"/>
        </w:rPr>
        <w:t>alectinib</w:t>
      </w:r>
      <w:proofErr w:type="spellEnd"/>
      <w:r w:rsidRPr="00D647A9">
        <w:rPr>
          <w:color w:val="000000" w:themeColor="text1"/>
        </w:rPr>
        <w:t xml:space="preserve"> demonstrated higher CNS ORR, including complete responses. </w:t>
      </w:r>
      <w:r w:rsidR="004519D5" w:rsidRPr="002B6239">
        <w:rPr>
          <w:color w:val="000000" w:themeColor="text1"/>
        </w:rPr>
        <w:t xml:space="preserve">The ESC considered that the data presented in the submission was not sufficient to ascertain the magnitude of </w:t>
      </w:r>
      <w:r w:rsidR="00CF0D7A">
        <w:rPr>
          <w:color w:val="000000" w:themeColor="text1"/>
        </w:rPr>
        <w:t>incremental</w:t>
      </w:r>
      <w:r w:rsidR="004519D5" w:rsidRPr="002B6239">
        <w:rPr>
          <w:color w:val="000000" w:themeColor="text1"/>
        </w:rPr>
        <w:t xml:space="preserve"> benefit, if any, of </w:t>
      </w:r>
      <w:proofErr w:type="spellStart"/>
      <w:r w:rsidR="004519D5" w:rsidRPr="002B6239">
        <w:rPr>
          <w:color w:val="000000" w:themeColor="text1"/>
        </w:rPr>
        <w:t>alectinib</w:t>
      </w:r>
      <w:proofErr w:type="spellEnd"/>
      <w:r w:rsidR="004519D5" w:rsidRPr="002B6239">
        <w:rPr>
          <w:color w:val="000000" w:themeColor="text1"/>
        </w:rPr>
        <w:t xml:space="preserve"> versus </w:t>
      </w:r>
      <w:proofErr w:type="spellStart"/>
      <w:r w:rsidR="004519D5" w:rsidRPr="002B6239">
        <w:rPr>
          <w:color w:val="000000" w:themeColor="text1"/>
        </w:rPr>
        <w:t>ceritinib</w:t>
      </w:r>
      <w:proofErr w:type="spellEnd"/>
      <w:r w:rsidR="004519D5" w:rsidRPr="002B6239">
        <w:rPr>
          <w:color w:val="000000" w:themeColor="text1"/>
        </w:rPr>
        <w:t>, in relation to CNS metastases.</w:t>
      </w:r>
    </w:p>
    <w:p w:rsidR="00C35D5C" w:rsidRPr="00D647A9" w:rsidRDefault="0012157D" w:rsidP="00863A4D">
      <w:pPr>
        <w:pStyle w:val="ListParagraph"/>
        <w:numPr>
          <w:ilvl w:val="1"/>
          <w:numId w:val="4"/>
        </w:numPr>
        <w:spacing w:before="0" w:after="120"/>
        <w:rPr>
          <w:color w:val="000000" w:themeColor="text1"/>
        </w:rPr>
      </w:pPr>
      <w:r w:rsidRPr="00D647A9">
        <w:t xml:space="preserve">Given the unadjusted indirect nature of the comparison, and the considerable risk of confounding and bias, </w:t>
      </w:r>
      <w:r w:rsidR="00EA60F1" w:rsidRPr="00D647A9">
        <w:t xml:space="preserve">it was not possible to make any reliable conclusions regarding the comparative effectiveness and safety of </w:t>
      </w:r>
      <w:proofErr w:type="spellStart"/>
      <w:r w:rsidR="00EA60F1" w:rsidRPr="00D647A9">
        <w:t>alectinib</w:t>
      </w:r>
      <w:proofErr w:type="spellEnd"/>
      <w:r w:rsidR="00EA60F1" w:rsidRPr="00D647A9">
        <w:t xml:space="preserve"> and </w:t>
      </w:r>
      <w:proofErr w:type="spellStart"/>
      <w:r w:rsidR="00EA60F1" w:rsidRPr="00D647A9">
        <w:t>ceritinib</w:t>
      </w:r>
      <w:proofErr w:type="spellEnd"/>
      <w:r w:rsidR="00EA60F1" w:rsidRPr="00D647A9">
        <w:t>.</w:t>
      </w:r>
    </w:p>
    <w:p w:rsidR="00F7290C" w:rsidRPr="00D647A9" w:rsidRDefault="00F7290C" w:rsidP="00863A4D">
      <w:pPr>
        <w:pStyle w:val="ListParagraph"/>
        <w:numPr>
          <w:ilvl w:val="0"/>
          <w:numId w:val="7"/>
        </w:numPr>
        <w:spacing w:before="0" w:after="0"/>
      </w:pPr>
      <w:r w:rsidRPr="00D647A9">
        <w:t>The comparison of median OS was potentially confounded by differences in post-progression therapies between the studies.</w:t>
      </w:r>
    </w:p>
    <w:p w:rsidR="00F7290C" w:rsidRPr="00D647A9" w:rsidRDefault="00F7290C" w:rsidP="00863A4D">
      <w:pPr>
        <w:pStyle w:val="ListParagraph"/>
        <w:numPr>
          <w:ilvl w:val="0"/>
          <w:numId w:val="7"/>
        </w:numPr>
        <w:spacing w:before="0" w:after="0"/>
      </w:pPr>
      <w:r w:rsidRPr="00D647A9">
        <w:t xml:space="preserve">The </w:t>
      </w:r>
      <w:r w:rsidR="0019349B" w:rsidRPr="00DD5C69">
        <w:t xml:space="preserve">ESC </w:t>
      </w:r>
      <w:r w:rsidR="007164BB" w:rsidRPr="00DD5C69">
        <w:t>considered</w:t>
      </w:r>
      <w:r w:rsidR="0019349B" w:rsidRPr="00DD5C69">
        <w:t xml:space="preserve"> that the </w:t>
      </w:r>
      <w:r w:rsidRPr="00D647A9">
        <w:t>clinical importance of the observed difference in the point estimate</w:t>
      </w:r>
      <w:r w:rsidR="00CF0D7A">
        <w:t>s</w:t>
      </w:r>
      <w:r w:rsidRPr="00D647A9">
        <w:t xml:space="preserve"> of IRC assessed median PFS between the </w:t>
      </w:r>
      <w:proofErr w:type="spellStart"/>
      <w:r w:rsidRPr="00D647A9">
        <w:t>alectinib</w:t>
      </w:r>
      <w:proofErr w:type="spellEnd"/>
      <w:r w:rsidRPr="00D647A9">
        <w:t xml:space="preserve"> and </w:t>
      </w:r>
      <w:proofErr w:type="spellStart"/>
      <w:r w:rsidRPr="00D647A9">
        <w:t>ceritinib</w:t>
      </w:r>
      <w:proofErr w:type="spellEnd"/>
      <w:r w:rsidRPr="00D647A9">
        <w:t xml:space="preserve"> studies (1.1 – 2.9 months) was uncertain.</w:t>
      </w:r>
    </w:p>
    <w:p w:rsidR="00F7290C" w:rsidRPr="00D647A9" w:rsidRDefault="00F7290C" w:rsidP="00863A4D">
      <w:pPr>
        <w:pStyle w:val="ListParagraph"/>
        <w:numPr>
          <w:ilvl w:val="0"/>
          <w:numId w:val="7"/>
        </w:numPr>
        <w:spacing w:before="0" w:after="0"/>
      </w:pPr>
      <w:r w:rsidRPr="00D647A9">
        <w:t xml:space="preserve">The submission’s claim in regard to the numerically higher ORR was based on a biased analysis, in which the results of the IRC assessed ORR in the RE population of the </w:t>
      </w:r>
      <w:proofErr w:type="spellStart"/>
      <w:r w:rsidRPr="00D647A9">
        <w:t>alectinib</w:t>
      </w:r>
      <w:proofErr w:type="spellEnd"/>
      <w:r w:rsidRPr="00D647A9">
        <w:t xml:space="preserve"> studies was compared with the IRC assessed ORR in the FAS of the </w:t>
      </w:r>
      <w:proofErr w:type="spellStart"/>
      <w:r w:rsidRPr="00D647A9">
        <w:t>ceritinib</w:t>
      </w:r>
      <w:proofErr w:type="spellEnd"/>
      <w:r w:rsidRPr="00D647A9">
        <w:t xml:space="preserve"> studies.</w:t>
      </w:r>
    </w:p>
    <w:p w:rsidR="00F7290C" w:rsidRPr="00D647A9" w:rsidRDefault="00F7290C" w:rsidP="00863A4D">
      <w:pPr>
        <w:pStyle w:val="ListParagraph"/>
        <w:numPr>
          <w:ilvl w:val="0"/>
          <w:numId w:val="7"/>
        </w:numPr>
        <w:spacing w:before="0" w:after="0"/>
      </w:pPr>
      <w:r w:rsidRPr="00D647A9">
        <w:t>The claim regarding the higher CNS ORR was based on a naïve indirect comparison of small subgroups which may have differed across the studies in terms of the type of CNS lesions on which the outcome was determined.</w:t>
      </w:r>
    </w:p>
    <w:p w:rsidR="00F7290C" w:rsidRPr="00D647A9" w:rsidRDefault="00F7290C" w:rsidP="00863A4D">
      <w:pPr>
        <w:pStyle w:val="ListParagraph"/>
        <w:numPr>
          <w:ilvl w:val="0"/>
          <w:numId w:val="7"/>
        </w:numPr>
        <w:spacing w:before="0" w:after="120"/>
      </w:pPr>
      <w:r w:rsidRPr="00D647A9">
        <w:t xml:space="preserve">There were more AEs resulting in death in the </w:t>
      </w:r>
      <w:proofErr w:type="spellStart"/>
      <w:r w:rsidRPr="00D647A9">
        <w:t>alectinib</w:t>
      </w:r>
      <w:proofErr w:type="spellEnd"/>
      <w:r w:rsidRPr="00D647A9">
        <w:t xml:space="preserve"> studies (7/253, 2.8%) compared to the </w:t>
      </w:r>
      <w:proofErr w:type="spellStart"/>
      <w:r w:rsidRPr="00D647A9">
        <w:t>ceritinib</w:t>
      </w:r>
      <w:proofErr w:type="spellEnd"/>
      <w:r w:rsidRPr="00D647A9">
        <w:t xml:space="preserve"> studies (2/386, 0.5%), although only 2 of the deaths in the </w:t>
      </w:r>
      <w:proofErr w:type="spellStart"/>
      <w:r w:rsidRPr="00D647A9">
        <w:t>alectinib</w:t>
      </w:r>
      <w:proofErr w:type="spellEnd"/>
      <w:r w:rsidRPr="00D647A9">
        <w:t xml:space="preserve"> studies were considered to be study drug-related. This difference should be interpreted with caution given the unadjusted indirect nature of comparison and the small sample sizes in the studies.</w:t>
      </w:r>
    </w:p>
    <w:p w:rsidR="00E876D6" w:rsidRDefault="00E876D6" w:rsidP="00863A4D">
      <w:pPr>
        <w:pStyle w:val="ListParagraph"/>
        <w:numPr>
          <w:ilvl w:val="1"/>
          <w:numId w:val="4"/>
        </w:numPr>
        <w:spacing w:before="0" w:after="120"/>
      </w:pPr>
      <w:r w:rsidRPr="00863A4D">
        <w:t>The submission acknowledged that the patients enrolled in the studies represented a more heavily pre-treated population than anticipated in Australian clinical practice.</w:t>
      </w:r>
      <w:r w:rsidR="00C26C1D" w:rsidRPr="00863A4D">
        <w:t xml:space="preserve"> The PSCR (p3) argued that </w:t>
      </w:r>
      <w:proofErr w:type="spellStart"/>
      <w:r w:rsidR="00C26C1D" w:rsidRPr="00863A4D">
        <w:t>alectinib</w:t>
      </w:r>
      <w:proofErr w:type="spellEnd"/>
      <w:r w:rsidR="00C26C1D" w:rsidRPr="00863A4D">
        <w:t xml:space="preserve"> overall survival outcomes were not driven by differences in prior pre-treatments</w:t>
      </w:r>
      <w:r w:rsidR="00573677" w:rsidRPr="00863A4D">
        <w:t xml:space="preserve"> and noted that </w:t>
      </w:r>
      <w:proofErr w:type="spellStart"/>
      <w:r w:rsidR="00573677" w:rsidRPr="00863A4D">
        <w:t>ceritinib</w:t>
      </w:r>
      <w:proofErr w:type="spellEnd"/>
      <w:r w:rsidR="00573677" w:rsidRPr="00863A4D">
        <w:t xml:space="preserve"> real world overall survival outcomes</w:t>
      </w:r>
      <w:r w:rsidR="00597E34" w:rsidRPr="00863A4D">
        <w:rPr>
          <w:rStyle w:val="FootnoteReference"/>
        </w:rPr>
        <w:footnoteReference w:id="7"/>
      </w:r>
      <w:r w:rsidR="00573677" w:rsidRPr="00863A4D">
        <w:t xml:space="preserve"> (</w:t>
      </w:r>
      <w:r w:rsidR="001C2F0E">
        <w:rPr>
          <w:noProof/>
          <w:color w:val="000000"/>
          <w:highlight w:val="black"/>
        </w:rPr>
        <w:t>''''''''</w:t>
      </w:r>
      <w:r w:rsidR="00573677" w:rsidRPr="00863A4D">
        <w:t xml:space="preserve"> months) were relatively concordant with </w:t>
      </w:r>
      <w:r w:rsidR="00B1259E" w:rsidRPr="00863A4D">
        <w:t xml:space="preserve">those in the Phase II studies </w:t>
      </w:r>
      <w:r w:rsidR="00573677" w:rsidRPr="00863A4D">
        <w:t>ASCEND-1 (16.7 months) and ASCEND-2 (14.9 months</w:t>
      </w:r>
      <w:r w:rsidR="00B1259E" w:rsidRPr="00863A4D">
        <w:t xml:space="preserve">). </w:t>
      </w:r>
      <w:r w:rsidR="0019349B" w:rsidRPr="00863A4D">
        <w:t>Despite this, t</w:t>
      </w:r>
      <w:r w:rsidR="006B4FF7" w:rsidRPr="00863A4D">
        <w:t xml:space="preserve">he ESC </w:t>
      </w:r>
      <w:r w:rsidR="00B1259E" w:rsidRPr="00863A4D">
        <w:t xml:space="preserve">considered that </w:t>
      </w:r>
      <w:r w:rsidR="006B4FF7" w:rsidRPr="00863A4D">
        <w:t xml:space="preserve">the </w:t>
      </w:r>
      <w:proofErr w:type="spellStart"/>
      <w:r w:rsidR="006B4FF7" w:rsidRPr="00863A4D">
        <w:t>alectinib</w:t>
      </w:r>
      <w:proofErr w:type="spellEnd"/>
      <w:r w:rsidR="006B4FF7" w:rsidRPr="00863A4D">
        <w:t xml:space="preserve"> </w:t>
      </w:r>
      <w:r w:rsidR="0057201C">
        <w:t>study</w:t>
      </w:r>
      <w:r w:rsidR="006B4FF7" w:rsidRPr="00863A4D">
        <w:t xml:space="preserve"> results may have limited applicability to the Australian clinical setting</w:t>
      </w:r>
      <w:r w:rsidR="00B1259E" w:rsidRPr="00863A4D">
        <w:t>, given that</w:t>
      </w:r>
      <w:r w:rsidR="006B4FF7" w:rsidRPr="00863A4D">
        <w:t xml:space="preserve"> patients on second</w:t>
      </w:r>
      <w:r w:rsidR="007164BB" w:rsidRPr="00863A4D">
        <w:t>-</w:t>
      </w:r>
      <w:r w:rsidR="006B4FF7" w:rsidRPr="00863A4D">
        <w:t xml:space="preserve"> and third</w:t>
      </w:r>
      <w:r w:rsidR="007164BB" w:rsidRPr="00863A4D">
        <w:t>-</w:t>
      </w:r>
      <w:r w:rsidR="006B4FF7" w:rsidRPr="00863A4D">
        <w:t>line treatments</w:t>
      </w:r>
      <w:r w:rsidR="009232A2" w:rsidRPr="00863A4D">
        <w:t xml:space="preserve"> generally have poorer outcomes compared</w:t>
      </w:r>
      <w:r w:rsidR="007164BB" w:rsidRPr="00863A4D">
        <w:t xml:space="preserve"> with treatment</w:t>
      </w:r>
      <w:r w:rsidR="00CF0D7A">
        <w:t>-</w:t>
      </w:r>
      <w:r w:rsidR="007164BB" w:rsidRPr="00863A4D">
        <w:t>naïve patients.</w:t>
      </w:r>
    </w:p>
    <w:p w:rsidR="0060609D" w:rsidRPr="00974F77" w:rsidRDefault="00C63DDB" w:rsidP="00C63DDB">
      <w:pPr>
        <w:pStyle w:val="ListParagraph"/>
        <w:numPr>
          <w:ilvl w:val="1"/>
          <w:numId w:val="4"/>
        </w:numPr>
      </w:pPr>
      <w:r w:rsidRPr="00C63DDB">
        <w:t xml:space="preserve">The PBAC considered that it was difficult to draw meaningful conclusions regarding the extent of </w:t>
      </w:r>
      <w:r w:rsidR="00CF0D7A">
        <w:rPr>
          <w:color w:val="000000" w:themeColor="text1"/>
        </w:rPr>
        <w:t>incremental</w:t>
      </w:r>
      <w:r w:rsidRPr="00C63DDB">
        <w:t xml:space="preserve"> benefit versus </w:t>
      </w:r>
      <w:proofErr w:type="spellStart"/>
      <w:r w:rsidRPr="00C63DDB">
        <w:t>ceritinib</w:t>
      </w:r>
      <w:proofErr w:type="spellEnd"/>
      <w:r w:rsidRPr="00C63DDB">
        <w:t>, if any, on CNS response in patients with measurable CNS lesions, given the small sample size</w:t>
      </w:r>
      <w:r w:rsidR="00CF0D7A">
        <w:t>s</w:t>
      </w:r>
      <w:r w:rsidRPr="00C63DDB">
        <w:t xml:space="preserve"> across both sets of </w:t>
      </w:r>
      <w:r w:rsidR="0057201C">
        <w:t>studie</w:t>
      </w:r>
      <w:r w:rsidRPr="00C63DDB">
        <w:t xml:space="preserve">s and the indirect nature of the comparison. </w:t>
      </w:r>
      <w:r>
        <w:t>However, overall, t</w:t>
      </w:r>
      <w:r w:rsidR="00792C07" w:rsidRPr="00792C07">
        <w:t xml:space="preserve">he PBAC considered that the submission’s claim of non-inferior comparative </w:t>
      </w:r>
      <w:r w:rsidR="00792C07" w:rsidRPr="00974F77">
        <w:t xml:space="preserve">effectiveness </w:t>
      </w:r>
      <w:r w:rsidR="0046681D" w:rsidRPr="00974F77">
        <w:t xml:space="preserve">against </w:t>
      </w:r>
      <w:proofErr w:type="spellStart"/>
      <w:r w:rsidR="0046681D" w:rsidRPr="00974F77">
        <w:t>ceritinib</w:t>
      </w:r>
      <w:proofErr w:type="spellEnd"/>
      <w:r w:rsidR="0046681D" w:rsidRPr="00974F77">
        <w:t xml:space="preserve"> </w:t>
      </w:r>
      <w:r w:rsidR="00792C07" w:rsidRPr="00974F77">
        <w:t>was reasonable.</w:t>
      </w:r>
    </w:p>
    <w:p w:rsidR="00613F3E" w:rsidRPr="004D2320" w:rsidRDefault="00613F3E" w:rsidP="00613F3E">
      <w:pPr>
        <w:widowControl w:val="0"/>
        <w:numPr>
          <w:ilvl w:val="1"/>
          <w:numId w:val="4"/>
        </w:numPr>
        <w:spacing w:before="0" w:after="120"/>
        <w:rPr>
          <w:rFonts w:ascii="Calibri" w:eastAsia="Times New Roman" w:hAnsi="Calibri" w:cs="Arial"/>
          <w:bCs/>
          <w:snapToGrid w:val="0"/>
          <w:szCs w:val="24"/>
          <w:lang w:val="en-GB"/>
        </w:rPr>
      </w:pPr>
      <w:r w:rsidRPr="004D2320">
        <w:rPr>
          <w:rFonts w:ascii="Calibri" w:eastAsia="Times New Roman" w:hAnsi="Calibri" w:cs="Arial"/>
          <w:bCs/>
          <w:snapToGrid w:val="0"/>
          <w:szCs w:val="24"/>
          <w:lang w:val="en-GB"/>
        </w:rPr>
        <w:t>The PBAC considered that</w:t>
      </w:r>
      <w:r w:rsidR="00CF0D7A">
        <w:rPr>
          <w:rFonts w:ascii="Calibri" w:eastAsia="Times New Roman" w:hAnsi="Calibri" w:cs="Arial"/>
          <w:bCs/>
          <w:snapToGrid w:val="0"/>
          <w:szCs w:val="24"/>
          <w:lang w:val="en-GB"/>
        </w:rPr>
        <w:t>,</w:t>
      </w:r>
      <w:r w:rsidRPr="004D2320">
        <w:rPr>
          <w:rFonts w:ascii="Calibri" w:eastAsia="Times New Roman" w:hAnsi="Calibri" w:cs="Arial"/>
          <w:bCs/>
          <w:snapToGrid w:val="0"/>
          <w:szCs w:val="24"/>
          <w:lang w:val="en-GB"/>
        </w:rPr>
        <w:t xml:space="preserve"> based on the data presented in the submission, </w:t>
      </w:r>
      <w:proofErr w:type="spellStart"/>
      <w:r w:rsidRPr="004D2320">
        <w:rPr>
          <w:rFonts w:ascii="Calibri" w:eastAsia="Times New Roman" w:hAnsi="Calibri" w:cs="Arial"/>
          <w:bCs/>
          <w:snapToGrid w:val="0"/>
          <w:szCs w:val="24"/>
          <w:lang w:val="en-GB"/>
        </w:rPr>
        <w:t>alectinib</w:t>
      </w:r>
      <w:proofErr w:type="spellEnd"/>
      <w:r w:rsidRPr="004D2320">
        <w:rPr>
          <w:rFonts w:ascii="Calibri" w:eastAsia="Times New Roman" w:hAnsi="Calibri" w:cs="Arial"/>
          <w:bCs/>
          <w:snapToGrid w:val="0"/>
          <w:szCs w:val="24"/>
          <w:lang w:val="en-GB"/>
        </w:rPr>
        <w:t xml:space="preserve"> and </w:t>
      </w:r>
      <w:proofErr w:type="spellStart"/>
      <w:r w:rsidRPr="004D2320">
        <w:rPr>
          <w:rFonts w:ascii="Calibri" w:eastAsia="Times New Roman" w:hAnsi="Calibri" w:cs="Arial"/>
          <w:bCs/>
          <w:snapToGrid w:val="0"/>
          <w:szCs w:val="24"/>
          <w:lang w:val="en-GB"/>
        </w:rPr>
        <w:t>ceritinib</w:t>
      </w:r>
      <w:proofErr w:type="spellEnd"/>
      <w:r>
        <w:rPr>
          <w:rFonts w:ascii="Calibri" w:eastAsia="Times New Roman" w:hAnsi="Calibri" w:cs="Arial"/>
          <w:bCs/>
          <w:snapToGrid w:val="0"/>
          <w:szCs w:val="24"/>
          <w:lang w:val="en-GB"/>
        </w:rPr>
        <w:t xml:space="preserve"> had different</w:t>
      </w:r>
      <w:r w:rsidRPr="004D2320">
        <w:rPr>
          <w:rFonts w:ascii="Calibri" w:eastAsia="Times New Roman" w:hAnsi="Calibri" w:cs="Arial"/>
          <w:bCs/>
          <w:snapToGrid w:val="0"/>
          <w:szCs w:val="24"/>
          <w:lang w:val="en-GB"/>
        </w:rPr>
        <w:t xml:space="preserve"> side effect profiles</w:t>
      </w:r>
      <w:r>
        <w:rPr>
          <w:rFonts w:ascii="Calibri" w:eastAsia="Times New Roman" w:hAnsi="Calibri" w:cs="Arial"/>
          <w:bCs/>
          <w:snapToGrid w:val="0"/>
          <w:szCs w:val="24"/>
          <w:lang w:val="en-GB"/>
        </w:rPr>
        <w:t>. T</w:t>
      </w:r>
      <w:r w:rsidRPr="004D2320">
        <w:rPr>
          <w:rFonts w:ascii="Calibri" w:eastAsia="Times New Roman" w:hAnsi="Calibri" w:cs="Arial"/>
          <w:bCs/>
          <w:snapToGrid w:val="0"/>
          <w:szCs w:val="24"/>
          <w:lang w:val="en-GB"/>
        </w:rPr>
        <w:t xml:space="preserve">he PBAC </w:t>
      </w:r>
      <w:r>
        <w:rPr>
          <w:rFonts w:ascii="Calibri" w:eastAsia="Times New Roman" w:hAnsi="Calibri" w:cs="Arial"/>
          <w:bCs/>
          <w:snapToGrid w:val="0"/>
          <w:szCs w:val="24"/>
          <w:lang w:val="en-GB"/>
        </w:rPr>
        <w:t>advised</w:t>
      </w:r>
      <w:r w:rsidRPr="004D2320">
        <w:rPr>
          <w:rFonts w:ascii="Calibri" w:eastAsia="Times New Roman" w:hAnsi="Calibri" w:cs="Arial"/>
          <w:bCs/>
          <w:snapToGrid w:val="0"/>
          <w:szCs w:val="24"/>
          <w:lang w:val="en-GB"/>
        </w:rPr>
        <w:t xml:space="preserve"> that</w:t>
      </w:r>
      <w:r w:rsidR="00CF0D7A">
        <w:rPr>
          <w:rFonts w:ascii="Calibri" w:eastAsia="Times New Roman" w:hAnsi="Calibri" w:cs="Arial"/>
          <w:bCs/>
          <w:snapToGrid w:val="0"/>
          <w:szCs w:val="24"/>
          <w:lang w:val="en-GB"/>
        </w:rPr>
        <w:t>,</w:t>
      </w:r>
      <w:r w:rsidRPr="004D2320">
        <w:rPr>
          <w:rFonts w:ascii="Calibri" w:eastAsia="Times New Roman" w:hAnsi="Calibri" w:cs="Arial"/>
          <w:bCs/>
          <w:snapToGrid w:val="0"/>
          <w:szCs w:val="24"/>
          <w:lang w:val="en-GB"/>
        </w:rPr>
        <w:t xml:space="preserve"> </w:t>
      </w:r>
      <w:r>
        <w:rPr>
          <w:rFonts w:ascii="Calibri" w:eastAsia="Times New Roman" w:hAnsi="Calibri" w:cs="Arial"/>
          <w:bCs/>
          <w:snapToGrid w:val="0"/>
          <w:szCs w:val="24"/>
          <w:lang w:val="en-GB"/>
        </w:rPr>
        <w:t xml:space="preserve">although </w:t>
      </w:r>
      <w:r w:rsidRPr="004D2320">
        <w:rPr>
          <w:rFonts w:ascii="Calibri" w:eastAsia="Times New Roman" w:hAnsi="Calibri" w:cs="Arial"/>
          <w:bCs/>
          <w:snapToGrid w:val="0"/>
          <w:szCs w:val="24"/>
          <w:lang w:val="en-GB"/>
        </w:rPr>
        <w:t xml:space="preserve">currently </w:t>
      </w:r>
      <w:r>
        <w:rPr>
          <w:rFonts w:ascii="Calibri" w:eastAsia="Times New Roman" w:hAnsi="Calibri" w:cs="Arial"/>
          <w:bCs/>
          <w:snapToGrid w:val="0"/>
          <w:szCs w:val="24"/>
          <w:lang w:val="en-GB"/>
        </w:rPr>
        <w:t xml:space="preserve">available clinical data was insufficient </w:t>
      </w:r>
      <w:r w:rsidRPr="004D2320">
        <w:rPr>
          <w:rFonts w:ascii="Calibri" w:eastAsia="Times New Roman" w:hAnsi="Calibri" w:cs="Arial"/>
          <w:bCs/>
          <w:snapToGrid w:val="0"/>
          <w:szCs w:val="24"/>
          <w:lang w:val="en-GB"/>
        </w:rPr>
        <w:t xml:space="preserve">to fully define the safety profile of </w:t>
      </w:r>
      <w:proofErr w:type="spellStart"/>
      <w:r w:rsidRPr="004D2320">
        <w:rPr>
          <w:rFonts w:ascii="Calibri" w:eastAsia="Times New Roman" w:hAnsi="Calibri" w:cs="Arial"/>
          <w:bCs/>
          <w:snapToGrid w:val="0"/>
          <w:szCs w:val="24"/>
          <w:lang w:val="en-GB"/>
        </w:rPr>
        <w:t>alectinib</w:t>
      </w:r>
      <w:proofErr w:type="spellEnd"/>
      <w:r>
        <w:rPr>
          <w:rFonts w:ascii="Calibri" w:eastAsia="Times New Roman" w:hAnsi="Calibri" w:cs="Arial"/>
          <w:bCs/>
          <w:snapToGrid w:val="0"/>
          <w:szCs w:val="24"/>
          <w:lang w:val="en-GB"/>
        </w:rPr>
        <w:t xml:space="preserve">, it was reasonable to </w:t>
      </w:r>
      <w:r w:rsidR="00CF0D7A">
        <w:rPr>
          <w:rFonts w:ascii="Calibri" w:eastAsia="Times New Roman" w:hAnsi="Calibri" w:cs="Arial"/>
          <w:bCs/>
          <w:snapToGrid w:val="0"/>
          <w:szCs w:val="24"/>
          <w:lang w:val="en-GB"/>
        </w:rPr>
        <w:t>conclude</w:t>
      </w:r>
      <w:r>
        <w:rPr>
          <w:rFonts w:ascii="Calibri" w:eastAsia="Times New Roman" w:hAnsi="Calibri" w:cs="Arial"/>
          <w:bCs/>
          <w:snapToGrid w:val="0"/>
          <w:szCs w:val="24"/>
          <w:lang w:val="en-GB"/>
        </w:rPr>
        <w:t xml:space="preserve"> that it was non-inferior in terms of comparative safety, compared with </w:t>
      </w:r>
      <w:proofErr w:type="spellStart"/>
      <w:r>
        <w:rPr>
          <w:rFonts w:ascii="Calibri" w:eastAsia="Times New Roman" w:hAnsi="Calibri" w:cs="Arial"/>
          <w:bCs/>
          <w:snapToGrid w:val="0"/>
          <w:szCs w:val="24"/>
          <w:lang w:val="en-GB"/>
        </w:rPr>
        <w:t>ceritinib</w:t>
      </w:r>
      <w:proofErr w:type="spellEnd"/>
      <w:r>
        <w:rPr>
          <w:rFonts w:ascii="Calibri" w:eastAsia="Times New Roman" w:hAnsi="Calibri" w:cs="Arial"/>
          <w:bCs/>
          <w:snapToGrid w:val="0"/>
          <w:szCs w:val="24"/>
          <w:lang w:val="en-GB"/>
        </w:rPr>
        <w:t>.</w:t>
      </w:r>
    </w:p>
    <w:p w:rsidR="00C317F3" w:rsidRPr="00D647A9" w:rsidRDefault="00C317F3" w:rsidP="00BF5AAE">
      <w:pPr>
        <w:pStyle w:val="Heading2"/>
      </w:pPr>
      <w:bookmarkStart w:id="21" w:name="_Toc413139282"/>
      <w:bookmarkStart w:id="22" w:name="_Toc482699443"/>
      <w:r w:rsidRPr="00D647A9">
        <w:t>Economic analysis</w:t>
      </w:r>
      <w:bookmarkEnd w:id="21"/>
      <w:bookmarkEnd w:id="22"/>
    </w:p>
    <w:p w:rsidR="00B16908" w:rsidRPr="00D647A9" w:rsidRDefault="0010776D" w:rsidP="00863A4D">
      <w:pPr>
        <w:pStyle w:val="ListParagraph"/>
        <w:numPr>
          <w:ilvl w:val="1"/>
          <w:numId w:val="4"/>
        </w:numPr>
        <w:spacing w:before="0" w:after="120"/>
      </w:pPr>
      <w:r w:rsidRPr="00D647A9">
        <w:t xml:space="preserve">The submission acknowledged that </w:t>
      </w:r>
      <w:proofErr w:type="spellStart"/>
      <w:r w:rsidRPr="00D647A9">
        <w:t>ceritinib</w:t>
      </w:r>
      <w:proofErr w:type="spellEnd"/>
      <w:r w:rsidRPr="00D647A9">
        <w:t xml:space="preserve"> is listed on the PBS under a Special Pricing Arrangement. T</w:t>
      </w:r>
      <w:r w:rsidR="000548CA" w:rsidRPr="00D647A9">
        <w:t xml:space="preserve">he submission stated that a cost-minimisation analysis using the published price of </w:t>
      </w:r>
      <w:proofErr w:type="spellStart"/>
      <w:r w:rsidR="000548CA" w:rsidRPr="00D647A9">
        <w:t>ceritinib</w:t>
      </w:r>
      <w:proofErr w:type="spellEnd"/>
      <w:r w:rsidR="000548CA" w:rsidRPr="00D647A9">
        <w:t xml:space="preserve"> was presented </w:t>
      </w:r>
      <w:r w:rsidR="00D01E66" w:rsidRPr="00D647A9">
        <w:t xml:space="preserve">with </w:t>
      </w:r>
      <w:r w:rsidR="000548CA" w:rsidRPr="00D647A9">
        <w:t>an in</w:t>
      </w:r>
      <w:r w:rsidR="00CF0D7A">
        <w:t>-princip</w:t>
      </w:r>
      <w:r w:rsidR="000548CA" w:rsidRPr="00D647A9">
        <w:t>l</w:t>
      </w:r>
      <w:r w:rsidR="00CF0D7A">
        <w:t>e</w:t>
      </w:r>
      <w:r w:rsidR="000548CA" w:rsidRPr="00D647A9">
        <w:t xml:space="preserve"> agreement that the effective price for </w:t>
      </w:r>
      <w:proofErr w:type="spellStart"/>
      <w:r w:rsidR="000548CA" w:rsidRPr="00D647A9">
        <w:t>alectinib</w:t>
      </w:r>
      <w:proofErr w:type="spellEnd"/>
      <w:r w:rsidR="000548CA" w:rsidRPr="00D647A9">
        <w:t xml:space="preserve"> would be no higher than the cost-minimised effective price for </w:t>
      </w:r>
      <w:proofErr w:type="spellStart"/>
      <w:r w:rsidR="000548CA" w:rsidRPr="00D647A9">
        <w:t>ceritinib</w:t>
      </w:r>
      <w:proofErr w:type="spellEnd"/>
      <w:r w:rsidR="000548CA" w:rsidRPr="00D647A9">
        <w:t xml:space="preserve"> on the basis of the cost per day of treatment.</w:t>
      </w:r>
    </w:p>
    <w:p w:rsidR="000548CA" w:rsidRPr="00D647A9" w:rsidRDefault="0062779B" w:rsidP="00863A4D">
      <w:pPr>
        <w:pStyle w:val="ListParagraph"/>
        <w:numPr>
          <w:ilvl w:val="1"/>
          <w:numId w:val="4"/>
        </w:numPr>
        <w:spacing w:before="0" w:after="120"/>
      </w:pPr>
      <w:r w:rsidRPr="00D647A9">
        <w:t xml:space="preserve">The submission argued that the dosing applied in the clinical studies of </w:t>
      </w:r>
      <w:proofErr w:type="spellStart"/>
      <w:r w:rsidRPr="00D647A9">
        <w:t>alectinib</w:t>
      </w:r>
      <w:proofErr w:type="spellEnd"/>
      <w:r w:rsidRPr="00D647A9">
        <w:t xml:space="preserve"> and </w:t>
      </w:r>
      <w:proofErr w:type="spellStart"/>
      <w:r w:rsidRPr="00D647A9">
        <w:t>ceritinib</w:t>
      </w:r>
      <w:proofErr w:type="spellEnd"/>
      <w:r w:rsidRPr="00D647A9">
        <w:t xml:space="preserve"> was generally reflected in the ‘Dosage and Administration’ section of the TGA-approved </w:t>
      </w:r>
      <w:r w:rsidR="00713498" w:rsidRPr="00D647A9">
        <w:t>Product Information (</w:t>
      </w:r>
      <w:r w:rsidRPr="00D647A9">
        <w:t>PI</w:t>
      </w:r>
      <w:r w:rsidR="00713498" w:rsidRPr="00D647A9">
        <w:t>)</w:t>
      </w:r>
      <w:r w:rsidRPr="00D647A9">
        <w:t xml:space="preserve"> for both drugs, and that PBS-subsidised </w:t>
      </w:r>
      <w:proofErr w:type="spellStart"/>
      <w:r w:rsidRPr="00D647A9">
        <w:t>alectinib</w:t>
      </w:r>
      <w:proofErr w:type="spellEnd"/>
      <w:r w:rsidRPr="00D647A9">
        <w:t xml:space="preserve"> and </w:t>
      </w:r>
      <w:proofErr w:type="spellStart"/>
      <w:r w:rsidRPr="00D647A9">
        <w:t>ceritinib</w:t>
      </w:r>
      <w:proofErr w:type="spellEnd"/>
      <w:r w:rsidRPr="00D647A9">
        <w:t xml:space="preserve"> would both be expected to be used until disease progression or development of unacceptable toxicity.</w:t>
      </w:r>
    </w:p>
    <w:p w:rsidR="0062779B" w:rsidRPr="00D647A9" w:rsidRDefault="0062779B" w:rsidP="00863A4D">
      <w:pPr>
        <w:pStyle w:val="ListParagraph"/>
        <w:numPr>
          <w:ilvl w:val="1"/>
          <w:numId w:val="4"/>
        </w:numPr>
        <w:spacing w:before="0" w:after="120"/>
      </w:pPr>
      <w:r w:rsidRPr="00D647A9">
        <w:t xml:space="preserve">The </w:t>
      </w:r>
      <w:proofErr w:type="spellStart"/>
      <w:r w:rsidRPr="00D647A9">
        <w:t>equi</w:t>
      </w:r>
      <w:proofErr w:type="spellEnd"/>
      <w:r w:rsidRPr="00D647A9">
        <w:t xml:space="preserve">-effective doses used in the cost-minimisation </w:t>
      </w:r>
      <w:r w:rsidR="00D01E66" w:rsidRPr="00D647A9">
        <w:t xml:space="preserve">analysis </w:t>
      </w:r>
      <w:r w:rsidRPr="00D647A9">
        <w:t xml:space="preserve">were: 600 mg </w:t>
      </w:r>
      <w:proofErr w:type="spellStart"/>
      <w:r w:rsidRPr="00D647A9">
        <w:t>alectinib</w:t>
      </w:r>
      <w:proofErr w:type="spellEnd"/>
      <w:r w:rsidRPr="00D647A9">
        <w:t xml:space="preserve"> twice daily (1,200 </w:t>
      </w:r>
      <w:proofErr w:type="gramStart"/>
      <w:r w:rsidRPr="00D647A9">
        <w:t>mg/day),</w:t>
      </w:r>
      <w:proofErr w:type="gramEnd"/>
      <w:r w:rsidRPr="00D647A9">
        <w:t xml:space="preserve"> and 750 mg </w:t>
      </w:r>
      <w:proofErr w:type="spellStart"/>
      <w:r w:rsidRPr="00D647A9">
        <w:t>ceritinib</w:t>
      </w:r>
      <w:proofErr w:type="spellEnd"/>
      <w:r w:rsidRPr="00D647A9">
        <w:t xml:space="preserve"> once daily.</w:t>
      </w:r>
      <w:r w:rsidR="0010776D" w:rsidRPr="00D647A9">
        <w:t xml:space="preserve"> These are the daily doses recommended in the respective PIs for the two drugs</w:t>
      </w:r>
      <w:r w:rsidR="00D01E66" w:rsidRPr="00D647A9">
        <w:t xml:space="preserve">, and the doses used in the </w:t>
      </w:r>
      <w:proofErr w:type="spellStart"/>
      <w:r w:rsidR="00D01E66" w:rsidRPr="00D647A9">
        <w:t>alectinib</w:t>
      </w:r>
      <w:proofErr w:type="spellEnd"/>
      <w:r w:rsidR="00D01E66" w:rsidRPr="00D647A9">
        <w:t xml:space="preserve"> and </w:t>
      </w:r>
      <w:proofErr w:type="spellStart"/>
      <w:r w:rsidR="00D01E66" w:rsidRPr="00D647A9">
        <w:t>ceritinib</w:t>
      </w:r>
      <w:proofErr w:type="spellEnd"/>
      <w:r w:rsidR="00D01E66" w:rsidRPr="00D647A9">
        <w:t xml:space="preserve"> studies</w:t>
      </w:r>
      <w:r w:rsidR="0010776D" w:rsidRPr="00D647A9">
        <w:t>.</w:t>
      </w:r>
    </w:p>
    <w:p w:rsidR="0062779B" w:rsidRPr="00D647A9" w:rsidRDefault="0062779B" w:rsidP="00863A4D">
      <w:pPr>
        <w:pStyle w:val="ListParagraph"/>
        <w:numPr>
          <w:ilvl w:val="1"/>
          <w:numId w:val="4"/>
        </w:numPr>
        <w:spacing w:before="0" w:after="120"/>
      </w:pPr>
      <w:r w:rsidRPr="00D647A9">
        <w:t xml:space="preserve">In claiming that the </w:t>
      </w:r>
      <w:proofErr w:type="spellStart"/>
      <w:r w:rsidRPr="00D647A9">
        <w:t>equi</w:t>
      </w:r>
      <w:proofErr w:type="spellEnd"/>
      <w:r w:rsidRPr="00D647A9">
        <w:t>-effective doses are the recommended daily doses of each drug, the submission implicitly assumed that the mean duration of treatment and the mean dose intensity in clinical practice w</w:t>
      </w:r>
      <w:r w:rsidR="00511D72">
        <w:t>ill be the same for both drugs.</w:t>
      </w:r>
    </w:p>
    <w:p w:rsidR="0062779B" w:rsidRPr="00D647A9" w:rsidRDefault="0062779B" w:rsidP="00863A4D">
      <w:pPr>
        <w:pStyle w:val="ListParagraph"/>
        <w:numPr>
          <w:ilvl w:val="1"/>
          <w:numId w:val="4"/>
        </w:numPr>
        <w:spacing w:before="0" w:after="120"/>
      </w:pPr>
      <w:r w:rsidRPr="00D647A9">
        <w:t xml:space="preserve">If </w:t>
      </w:r>
      <w:proofErr w:type="spellStart"/>
      <w:r w:rsidR="00BD288C">
        <w:t>alectinib’s</w:t>
      </w:r>
      <w:proofErr w:type="spellEnd"/>
      <w:r w:rsidR="00BD288C">
        <w:t xml:space="preserve"> non-inferiority to </w:t>
      </w:r>
      <w:proofErr w:type="spellStart"/>
      <w:r w:rsidR="00BD288C">
        <w:t>ceritinib</w:t>
      </w:r>
      <w:proofErr w:type="spellEnd"/>
      <w:r w:rsidR="00BD288C">
        <w:t xml:space="preserve"> was </w:t>
      </w:r>
      <w:r w:rsidRPr="00D647A9">
        <w:t xml:space="preserve">accepted </w:t>
      </w:r>
      <w:r w:rsidR="00BD288C">
        <w:t xml:space="preserve">on the basis </w:t>
      </w:r>
      <w:r w:rsidRPr="00D647A9">
        <w:t xml:space="preserve">of PFS, the implicit assumption that the mean treatment duration is the same for both drugs may be reasonable. However, if it is considered that the claim of non-inferiority is best supported by the median OS outcomes across the single-arm studies, </w:t>
      </w:r>
      <w:r w:rsidR="00DC2452" w:rsidRPr="00D647A9">
        <w:t xml:space="preserve">the </w:t>
      </w:r>
      <w:proofErr w:type="spellStart"/>
      <w:r w:rsidR="00DC2452" w:rsidRPr="00D647A9">
        <w:t>equi</w:t>
      </w:r>
      <w:proofErr w:type="spellEnd"/>
      <w:r w:rsidR="00DC2452" w:rsidRPr="00D647A9">
        <w:t xml:space="preserve">-effective doses should have been based on the mean </w:t>
      </w:r>
      <w:r w:rsidR="008D44E1" w:rsidRPr="00D647A9">
        <w:t xml:space="preserve">dose and </w:t>
      </w:r>
      <w:r w:rsidR="00DC2452" w:rsidRPr="00D647A9">
        <w:t>duration of treatment</w:t>
      </w:r>
      <w:r w:rsidR="008D44E1" w:rsidRPr="00D647A9">
        <w:t xml:space="preserve"> with which these results were obtained, i.e. taking into account any difference in the mean dose intensity and mean treatment duration between the two sets of studies.</w:t>
      </w:r>
      <w:r w:rsidR="001D15D1">
        <w:t xml:space="preserve"> </w:t>
      </w:r>
      <w:r w:rsidR="00511D72" w:rsidRPr="002B6239">
        <w:t xml:space="preserve">The ESC agreed with this, and considered that, in the event that the PBAC considers the cost-minimisation approach to be acceptable, it would have been more appropriate to compare the total drug cost of </w:t>
      </w:r>
      <w:proofErr w:type="spellStart"/>
      <w:r w:rsidR="00511D72" w:rsidRPr="002B6239">
        <w:t>alectinib</w:t>
      </w:r>
      <w:proofErr w:type="spellEnd"/>
      <w:r w:rsidR="00511D72" w:rsidRPr="002B6239">
        <w:t xml:space="preserve"> and </w:t>
      </w:r>
      <w:proofErr w:type="spellStart"/>
      <w:r w:rsidR="00511D72" w:rsidRPr="002B6239">
        <w:t>ceritinib</w:t>
      </w:r>
      <w:proofErr w:type="spellEnd"/>
      <w:r w:rsidR="00511D72" w:rsidRPr="002B6239">
        <w:t xml:space="preserve"> that achieves the same overall survival outcome.</w:t>
      </w:r>
    </w:p>
    <w:p w:rsidR="0062779B" w:rsidRPr="00D647A9" w:rsidRDefault="0062779B" w:rsidP="00863A4D">
      <w:pPr>
        <w:pStyle w:val="ListParagraph"/>
        <w:numPr>
          <w:ilvl w:val="1"/>
          <w:numId w:val="4"/>
        </w:numPr>
        <w:spacing w:before="0" w:after="120"/>
      </w:pPr>
      <w:r w:rsidRPr="00D647A9">
        <w:t xml:space="preserve">As the median dose intensity in the </w:t>
      </w:r>
      <w:proofErr w:type="spellStart"/>
      <w:r w:rsidRPr="00D647A9">
        <w:t>alectinib</w:t>
      </w:r>
      <w:proofErr w:type="spellEnd"/>
      <w:r w:rsidRPr="00D647A9">
        <w:t xml:space="preserve"> studies (98.5% and 99.6% in NP28761 and NP28673, respectively) was higher than in the </w:t>
      </w:r>
      <w:proofErr w:type="spellStart"/>
      <w:r w:rsidRPr="00D647A9">
        <w:t>ceritinib</w:t>
      </w:r>
      <w:proofErr w:type="spellEnd"/>
      <w:r w:rsidRPr="00D647A9">
        <w:t xml:space="preserve"> studies (82.8% and 84.9% in ASCEND-1 and ASCEND-2, respectively), the submission may have under-estimated the </w:t>
      </w:r>
      <w:proofErr w:type="spellStart"/>
      <w:r w:rsidRPr="00D647A9">
        <w:t>equi</w:t>
      </w:r>
      <w:proofErr w:type="spellEnd"/>
      <w:r w:rsidRPr="00D647A9">
        <w:t xml:space="preserve">-effective dose of </w:t>
      </w:r>
      <w:proofErr w:type="spellStart"/>
      <w:r w:rsidRPr="00D647A9">
        <w:t>alectinib</w:t>
      </w:r>
      <w:proofErr w:type="spellEnd"/>
      <w:r w:rsidRPr="00D647A9">
        <w:t xml:space="preserve"> relative to </w:t>
      </w:r>
      <w:proofErr w:type="spellStart"/>
      <w:r w:rsidRPr="00D647A9">
        <w:t>ceritinib</w:t>
      </w:r>
      <w:proofErr w:type="spellEnd"/>
      <w:r w:rsidRPr="00D647A9">
        <w:t xml:space="preserve"> on a milligram to milligram basis. </w:t>
      </w:r>
    </w:p>
    <w:p w:rsidR="0010776D" w:rsidRDefault="0010776D" w:rsidP="00863A4D">
      <w:pPr>
        <w:pStyle w:val="ListParagraph"/>
        <w:numPr>
          <w:ilvl w:val="1"/>
          <w:numId w:val="4"/>
        </w:numPr>
        <w:spacing w:before="0" w:after="120"/>
      </w:pPr>
      <w:r w:rsidRPr="00D647A9">
        <w:t xml:space="preserve">The submission proposed an </w:t>
      </w:r>
      <w:r w:rsidR="008538AD" w:rsidRPr="00D647A9">
        <w:t xml:space="preserve">ex-manufacturer price </w:t>
      </w:r>
      <w:r w:rsidRPr="00D647A9">
        <w:t xml:space="preserve">for </w:t>
      </w:r>
      <w:proofErr w:type="spellStart"/>
      <w:r w:rsidRPr="00D647A9">
        <w:t>al</w:t>
      </w:r>
      <w:r w:rsidR="008B335C" w:rsidRPr="00D647A9">
        <w:t>ectinib</w:t>
      </w:r>
      <w:proofErr w:type="spellEnd"/>
      <w:r w:rsidR="008B335C" w:rsidRPr="00D647A9">
        <w:t xml:space="preserve"> of $</w:t>
      </w:r>
      <w:r w:rsidR="001C2F0E">
        <w:rPr>
          <w:noProof/>
          <w:color w:val="000000"/>
          <w:highlight w:val="black"/>
        </w:rPr>
        <w:t>'''''''''''''''</w:t>
      </w:r>
      <w:r w:rsidR="008B335C" w:rsidRPr="00D647A9">
        <w:t>, and stated</w:t>
      </w:r>
      <w:r w:rsidRPr="00D647A9">
        <w:t xml:space="preserve"> that at this price the cost per day of </w:t>
      </w:r>
      <w:proofErr w:type="spellStart"/>
      <w:r w:rsidRPr="00D647A9">
        <w:t>alectinib</w:t>
      </w:r>
      <w:proofErr w:type="spellEnd"/>
      <w:r w:rsidRPr="00D647A9">
        <w:t xml:space="preserve"> treatment is cost-minimised to the cost per day of </w:t>
      </w:r>
      <w:proofErr w:type="spellStart"/>
      <w:r w:rsidRPr="00D647A9">
        <w:t>ceritinib</w:t>
      </w:r>
      <w:proofErr w:type="spellEnd"/>
      <w:r w:rsidRPr="00D647A9">
        <w:t xml:space="preserve"> treatment</w:t>
      </w:r>
      <w:r w:rsidR="00D52DD7" w:rsidRPr="00D647A9">
        <w:t xml:space="preserve">. </w:t>
      </w:r>
    </w:p>
    <w:p w:rsidR="00384A70" w:rsidRPr="00863A4D" w:rsidRDefault="00B1259E" w:rsidP="00863A4D">
      <w:pPr>
        <w:pStyle w:val="ListParagraph"/>
        <w:numPr>
          <w:ilvl w:val="0"/>
          <w:numId w:val="10"/>
        </w:numPr>
        <w:spacing w:before="0" w:after="120"/>
        <w:ind w:left="1134" w:hanging="425"/>
      </w:pPr>
      <w:r w:rsidRPr="00863A4D">
        <w:t>The ESC considered that a cost</w:t>
      </w:r>
      <w:r w:rsidR="00B211A5">
        <w:t>-</w:t>
      </w:r>
      <w:r w:rsidRPr="00863A4D">
        <w:t xml:space="preserve">minimisation analysis based on cost per day assumes that the mean duration of treatment between the drug and its comparator was the same. However, in this case, little or no evidence </w:t>
      </w:r>
      <w:r w:rsidR="00DF1E72" w:rsidRPr="00863A4D">
        <w:t xml:space="preserve">was presented </w:t>
      </w:r>
      <w:r w:rsidRPr="00863A4D">
        <w:t xml:space="preserve">on the comparative durations of treatment of </w:t>
      </w:r>
      <w:proofErr w:type="spellStart"/>
      <w:r w:rsidR="0009183B" w:rsidRPr="00863A4D">
        <w:t>alectinib</w:t>
      </w:r>
      <w:proofErr w:type="spellEnd"/>
      <w:r w:rsidR="0009183B" w:rsidRPr="00863A4D">
        <w:t xml:space="preserve"> and </w:t>
      </w:r>
      <w:proofErr w:type="spellStart"/>
      <w:r w:rsidR="0009183B" w:rsidRPr="00863A4D">
        <w:t>ceritinib</w:t>
      </w:r>
      <w:proofErr w:type="spellEnd"/>
      <w:r w:rsidR="00384A70" w:rsidRPr="00863A4D">
        <w:t>.</w:t>
      </w:r>
    </w:p>
    <w:p w:rsidR="00A01A55" w:rsidRPr="00863A4D" w:rsidRDefault="005E20F0" w:rsidP="00863A4D">
      <w:pPr>
        <w:pStyle w:val="ListParagraph"/>
        <w:numPr>
          <w:ilvl w:val="0"/>
          <w:numId w:val="10"/>
        </w:numPr>
        <w:spacing w:before="0" w:after="120"/>
        <w:ind w:left="1134" w:hanging="425"/>
      </w:pPr>
      <w:r>
        <w:t>The PSCR (p</w:t>
      </w:r>
      <w:r w:rsidR="00A01A55" w:rsidRPr="00863A4D">
        <w:t xml:space="preserve">3, </w:t>
      </w:r>
      <w:r w:rsidR="00384A70" w:rsidRPr="00863A4D">
        <w:t>6)</w:t>
      </w:r>
      <w:r w:rsidR="00DF1E72" w:rsidRPr="00863A4D">
        <w:t xml:space="preserve"> </w:t>
      </w:r>
      <w:r w:rsidR="00A01A55" w:rsidRPr="00863A4D">
        <w:t>claimed that the ratio</w:t>
      </w:r>
      <w:r w:rsidR="00511D72" w:rsidRPr="00863A4D">
        <w:t>s</w:t>
      </w:r>
      <w:r w:rsidR="00A01A55" w:rsidRPr="00863A4D">
        <w:t xml:space="preserve"> of the me</w:t>
      </w:r>
      <w:r w:rsidR="00511D72" w:rsidRPr="00863A4D">
        <w:t>di</w:t>
      </w:r>
      <w:r w:rsidR="00A01A55" w:rsidRPr="00863A4D">
        <w:t xml:space="preserve">an duration of </w:t>
      </w:r>
      <w:r w:rsidR="00511D72" w:rsidRPr="00863A4D">
        <w:t xml:space="preserve">treatment and </w:t>
      </w:r>
      <w:r w:rsidR="00A01A55" w:rsidRPr="00863A4D">
        <w:t xml:space="preserve">PFS for in the phase III ALUR (for </w:t>
      </w:r>
      <w:proofErr w:type="spellStart"/>
      <w:r w:rsidR="00A01A55" w:rsidRPr="00863A4D">
        <w:t>alectinib</w:t>
      </w:r>
      <w:proofErr w:type="spellEnd"/>
      <w:r w:rsidR="00A01A55" w:rsidRPr="00863A4D">
        <w:t xml:space="preserve">) and ASCEND-5 (for </w:t>
      </w:r>
      <w:proofErr w:type="spellStart"/>
      <w:r w:rsidR="00A01A55" w:rsidRPr="00863A4D">
        <w:t>ceritinib</w:t>
      </w:r>
      <w:proofErr w:type="spellEnd"/>
      <w:r w:rsidR="00A01A55" w:rsidRPr="00863A4D">
        <w:t>) trials w</w:t>
      </w:r>
      <w:r w:rsidR="00511D72" w:rsidRPr="00863A4D">
        <w:t>ere</w:t>
      </w:r>
      <w:r w:rsidR="00A01A55" w:rsidRPr="00863A4D">
        <w:t xml:space="preserve"> close to unity.</w:t>
      </w:r>
    </w:p>
    <w:p w:rsidR="00384A70" w:rsidRPr="00863A4D" w:rsidRDefault="00384A70" w:rsidP="00863A4D">
      <w:pPr>
        <w:pStyle w:val="ListParagraph"/>
        <w:numPr>
          <w:ilvl w:val="0"/>
          <w:numId w:val="10"/>
        </w:numPr>
        <w:spacing w:before="0" w:after="120"/>
        <w:ind w:left="1134" w:hanging="425"/>
      </w:pPr>
      <w:r w:rsidRPr="00863A4D">
        <w:t xml:space="preserve">The ESC considered that the mean duration of treatment with </w:t>
      </w:r>
      <w:proofErr w:type="spellStart"/>
      <w:r w:rsidRPr="00863A4D">
        <w:t>alectinib</w:t>
      </w:r>
      <w:proofErr w:type="spellEnd"/>
      <w:r w:rsidRPr="00863A4D">
        <w:t xml:space="preserve"> was likely to be longer than the mean duration of treatment with </w:t>
      </w:r>
      <w:proofErr w:type="spellStart"/>
      <w:r w:rsidRPr="00863A4D">
        <w:t>ceritinib</w:t>
      </w:r>
      <w:proofErr w:type="spellEnd"/>
      <w:r w:rsidRPr="00863A4D">
        <w:t>, if the submission’s claim of numerical superiority in ORR, OS and PFS</w:t>
      </w:r>
      <w:r w:rsidR="00EB7C52" w:rsidRPr="00863A4D">
        <w:t xml:space="preserve"> was taken into account</w:t>
      </w:r>
      <w:r w:rsidRPr="00863A4D">
        <w:t>. Consequen</w:t>
      </w:r>
      <w:r w:rsidR="00EB7C52" w:rsidRPr="00863A4D">
        <w:t xml:space="preserve">tly, if the price of </w:t>
      </w:r>
      <w:proofErr w:type="spellStart"/>
      <w:r w:rsidR="00EB7C52" w:rsidRPr="00863A4D">
        <w:t>alectinib</w:t>
      </w:r>
      <w:proofErr w:type="spellEnd"/>
      <w:r w:rsidR="00EB7C52" w:rsidRPr="00863A4D">
        <w:t xml:space="preserve"> wa</w:t>
      </w:r>
      <w:r w:rsidRPr="00863A4D">
        <w:t xml:space="preserve">s determined using a cost-minimisation approach based on the cost per day of treatment, the mean cost for a course of </w:t>
      </w:r>
      <w:proofErr w:type="spellStart"/>
      <w:r w:rsidRPr="00863A4D">
        <w:t>alectinib</w:t>
      </w:r>
      <w:proofErr w:type="spellEnd"/>
      <w:r w:rsidRPr="00863A4D">
        <w:t xml:space="preserve"> will be greater than </w:t>
      </w:r>
      <w:r w:rsidR="00EB7C52" w:rsidRPr="00863A4D">
        <w:t>that</w:t>
      </w:r>
      <w:r w:rsidRPr="00863A4D">
        <w:t xml:space="preserve"> of </w:t>
      </w:r>
      <w:proofErr w:type="spellStart"/>
      <w:r w:rsidRPr="00863A4D">
        <w:t>ceritinib</w:t>
      </w:r>
      <w:proofErr w:type="spellEnd"/>
      <w:r w:rsidRPr="00863A4D">
        <w:t>. The ESC considered that submission has not demonstrated that the potential incremental gain in health outcomes justifies this additional cost.</w:t>
      </w:r>
    </w:p>
    <w:p w:rsidR="00EB7C52" w:rsidRDefault="00EB7C52" w:rsidP="00863A4D">
      <w:pPr>
        <w:pStyle w:val="ListParagraph"/>
        <w:numPr>
          <w:ilvl w:val="0"/>
          <w:numId w:val="10"/>
        </w:numPr>
        <w:spacing w:before="0" w:after="120"/>
        <w:ind w:left="1134" w:hanging="425"/>
      </w:pPr>
      <w:r w:rsidRPr="00863A4D">
        <w:t xml:space="preserve">As such, the ESC considered that the submission’s approach to the cost-minimisation analysis was inappropriate, and </w:t>
      </w:r>
      <w:r w:rsidR="000024FC" w:rsidRPr="00863A4D">
        <w:t xml:space="preserve">potentially </w:t>
      </w:r>
      <w:r w:rsidR="00591283" w:rsidRPr="00863A4D">
        <w:t xml:space="preserve">biased in favour </w:t>
      </w:r>
      <w:r w:rsidR="00511D72" w:rsidRPr="00863A4D">
        <w:t xml:space="preserve">of </w:t>
      </w:r>
      <w:proofErr w:type="spellStart"/>
      <w:r w:rsidR="00511D72" w:rsidRPr="00863A4D">
        <w:t>alectinib</w:t>
      </w:r>
      <w:proofErr w:type="spellEnd"/>
      <w:r w:rsidR="00511D72" w:rsidRPr="00863A4D">
        <w:t>.</w:t>
      </w:r>
    </w:p>
    <w:p w:rsidR="00DE6C5B" w:rsidRDefault="00DE6C5B" w:rsidP="0001422F">
      <w:pPr>
        <w:pStyle w:val="ListParagraph"/>
        <w:numPr>
          <w:ilvl w:val="1"/>
          <w:numId w:val="4"/>
        </w:numPr>
        <w:spacing w:before="0" w:after="120"/>
      </w:pPr>
      <w:r>
        <w:t xml:space="preserve">Responding to </w:t>
      </w:r>
      <w:r w:rsidR="00B82991">
        <w:t xml:space="preserve">the </w:t>
      </w:r>
      <w:r>
        <w:t>ESC’s concerns, the sponsor’s pre-PBAC resp</w:t>
      </w:r>
      <w:r w:rsidR="005E20F0">
        <w:t>onse (p</w:t>
      </w:r>
      <w:r>
        <w:t xml:space="preserve">2-3) presented an </w:t>
      </w:r>
      <w:r w:rsidRPr="00DE6C5B">
        <w:t>alter</w:t>
      </w:r>
      <w:r>
        <w:t>nate economic analysis considering</w:t>
      </w:r>
      <w:r w:rsidRPr="00DE6C5B">
        <w:t xml:space="preserve"> dose intensity, treat</w:t>
      </w:r>
      <w:r>
        <w:t>ment duration and OS outcomes from</w:t>
      </w:r>
      <w:r w:rsidRPr="00DE6C5B">
        <w:t xml:space="preserve"> the </w:t>
      </w:r>
      <w:proofErr w:type="spellStart"/>
      <w:r w:rsidRPr="00DE6C5B">
        <w:t>alectinib</w:t>
      </w:r>
      <w:proofErr w:type="spellEnd"/>
      <w:r w:rsidRPr="00DE6C5B">
        <w:t xml:space="preserve"> and </w:t>
      </w:r>
      <w:proofErr w:type="spellStart"/>
      <w:r w:rsidRPr="00DE6C5B">
        <w:t>ceritinib</w:t>
      </w:r>
      <w:proofErr w:type="spellEnd"/>
      <w:r w:rsidRPr="00DE6C5B">
        <w:t xml:space="preserve"> trials</w:t>
      </w:r>
      <w:r>
        <w:t>.</w:t>
      </w:r>
      <w:r w:rsidR="0001422F">
        <w:t xml:space="preserve"> The pre-PBAC response claimed that this resulted in </w:t>
      </w:r>
      <w:r w:rsidR="0001422F" w:rsidRPr="00F6028D">
        <w:rPr>
          <w:rFonts w:ascii="Calibri" w:hAnsi="Calibri" w:cs="Calibri"/>
        </w:rPr>
        <w:t xml:space="preserve">a </w:t>
      </w:r>
      <w:r w:rsidR="0001422F" w:rsidRPr="0001422F">
        <w:rPr>
          <w:rFonts w:ascii="Calibri" w:hAnsi="Calibri" w:cs="Calibri"/>
        </w:rPr>
        <w:t xml:space="preserve">lower drug cost per month of overall survival for </w:t>
      </w:r>
      <w:proofErr w:type="spellStart"/>
      <w:r w:rsidR="0001422F" w:rsidRPr="0001422F">
        <w:rPr>
          <w:rFonts w:ascii="Calibri" w:hAnsi="Calibri" w:cs="Calibri"/>
        </w:rPr>
        <w:t>alectinib</w:t>
      </w:r>
      <w:proofErr w:type="spellEnd"/>
      <w:r w:rsidR="0001422F" w:rsidRPr="00F6028D">
        <w:rPr>
          <w:rFonts w:ascii="Calibri" w:hAnsi="Calibri" w:cs="Calibri"/>
        </w:rPr>
        <w:t xml:space="preserve"> based on the trial</w:t>
      </w:r>
      <w:r w:rsidR="0001422F">
        <w:rPr>
          <w:rFonts w:ascii="Calibri" w:hAnsi="Calibri" w:cs="Calibri"/>
        </w:rPr>
        <w:t>s</w:t>
      </w:r>
      <w:r w:rsidR="0001422F" w:rsidRPr="00F6028D">
        <w:rPr>
          <w:rFonts w:ascii="Calibri" w:hAnsi="Calibri" w:cs="Calibri"/>
        </w:rPr>
        <w:t xml:space="preserve"> presented in the submission. </w:t>
      </w:r>
      <w:r w:rsidR="0001422F">
        <w:rPr>
          <w:rFonts w:ascii="Calibri" w:hAnsi="Calibri" w:cs="Calibri"/>
        </w:rPr>
        <w:t>The pre-PBAC response therefore argued that</w:t>
      </w:r>
      <w:r w:rsidR="0001422F" w:rsidRPr="00F6028D">
        <w:rPr>
          <w:rFonts w:ascii="Calibri" w:hAnsi="Calibri" w:cs="Calibri"/>
        </w:rPr>
        <w:t xml:space="preserve"> these results confirm</w:t>
      </w:r>
      <w:r w:rsidR="0001422F">
        <w:rPr>
          <w:rFonts w:ascii="Calibri" w:hAnsi="Calibri" w:cs="Calibri"/>
        </w:rPr>
        <w:t>ed</w:t>
      </w:r>
      <w:r w:rsidR="0001422F" w:rsidRPr="00F6028D">
        <w:rPr>
          <w:rFonts w:ascii="Calibri" w:hAnsi="Calibri" w:cs="Calibri"/>
        </w:rPr>
        <w:t xml:space="preserve"> the validity of the cost-minimisation approach taken in the submission</w:t>
      </w:r>
      <w:r w:rsidR="0001422F">
        <w:rPr>
          <w:rFonts w:ascii="Calibri" w:hAnsi="Calibri" w:cs="Calibri"/>
        </w:rPr>
        <w:t>,</w:t>
      </w:r>
      <w:r w:rsidR="0001422F" w:rsidRPr="00F6028D">
        <w:rPr>
          <w:rFonts w:ascii="Calibri" w:hAnsi="Calibri" w:cs="Calibri"/>
        </w:rPr>
        <w:t xml:space="preserve"> and </w:t>
      </w:r>
      <w:r w:rsidR="0001422F">
        <w:rPr>
          <w:rFonts w:ascii="Calibri" w:hAnsi="Calibri" w:cs="Calibri"/>
        </w:rPr>
        <w:t xml:space="preserve">sought a PBAC recommendation for </w:t>
      </w:r>
      <w:proofErr w:type="spellStart"/>
      <w:r w:rsidR="0001422F">
        <w:rPr>
          <w:rFonts w:ascii="Calibri" w:hAnsi="Calibri" w:cs="Calibri"/>
        </w:rPr>
        <w:t>alectinib</w:t>
      </w:r>
      <w:proofErr w:type="spellEnd"/>
      <w:r w:rsidR="0001422F" w:rsidRPr="00F6028D">
        <w:t xml:space="preserve"> based on price parity with </w:t>
      </w:r>
      <w:proofErr w:type="spellStart"/>
      <w:r w:rsidR="0001422F" w:rsidRPr="00F6028D">
        <w:t>ceritinib</w:t>
      </w:r>
      <w:proofErr w:type="spellEnd"/>
      <w:r w:rsidR="0001422F" w:rsidRPr="00F6028D">
        <w:t xml:space="preserve"> on a cost per day of treatment basis.</w:t>
      </w:r>
    </w:p>
    <w:p w:rsidR="00090DFC" w:rsidRPr="00090DFC" w:rsidRDefault="00090DFC" w:rsidP="0001422F">
      <w:pPr>
        <w:pStyle w:val="ListParagraph"/>
        <w:numPr>
          <w:ilvl w:val="1"/>
          <w:numId w:val="4"/>
        </w:numPr>
        <w:spacing w:before="0" w:after="120"/>
        <w:rPr>
          <w:rFonts w:ascii="Calibri" w:hAnsi="Calibri" w:cs="Calibri"/>
        </w:rPr>
      </w:pPr>
      <w:r w:rsidRPr="00090DFC">
        <w:rPr>
          <w:rFonts w:ascii="Calibri" w:hAnsi="Calibri" w:cs="Calibri"/>
        </w:rPr>
        <w:t xml:space="preserve">The </w:t>
      </w:r>
      <w:r w:rsidR="00BD288C">
        <w:rPr>
          <w:rFonts w:ascii="Calibri" w:hAnsi="Calibri" w:cs="Calibri"/>
        </w:rPr>
        <w:t>p</w:t>
      </w:r>
      <w:r w:rsidRPr="00090DFC">
        <w:rPr>
          <w:rFonts w:ascii="Calibri" w:hAnsi="Calibri" w:cs="Calibri"/>
        </w:rPr>
        <w:t xml:space="preserve">re-PBAC response </w:t>
      </w:r>
      <w:r w:rsidR="005E20F0">
        <w:rPr>
          <w:rFonts w:ascii="Calibri" w:hAnsi="Calibri" w:cs="Calibri"/>
        </w:rPr>
        <w:t>(p</w:t>
      </w:r>
      <w:r w:rsidR="0060609D">
        <w:rPr>
          <w:rFonts w:ascii="Calibri" w:hAnsi="Calibri" w:cs="Calibri"/>
        </w:rPr>
        <w:t xml:space="preserve">2) </w:t>
      </w:r>
      <w:r w:rsidRPr="00090DFC">
        <w:rPr>
          <w:rFonts w:ascii="Calibri" w:hAnsi="Calibri" w:cs="Calibri"/>
        </w:rPr>
        <w:t xml:space="preserve">further noted that the PBAC had estimated the </w:t>
      </w:r>
      <w:proofErr w:type="spellStart"/>
      <w:r w:rsidRPr="00090DFC">
        <w:rPr>
          <w:rFonts w:ascii="Calibri" w:hAnsi="Calibri" w:cs="Calibri"/>
        </w:rPr>
        <w:t>equi</w:t>
      </w:r>
      <w:proofErr w:type="spellEnd"/>
      <w:r w:rsidRPr="00090DFC">
        <w:rPr>
          <w:rFonts w:ascii="Calibri" w:hAnsi="Calibri" w:cs="Calibri"/>
        </w:rPr>
        <w:t xml:space="preserve">-effective doses of </w:t>
      </w:r>
      <w:proofErr w:type="spellStart"/>
      <w:r w:rsidRPr="00090DFC">
        <w:rPr>
          <w:rFonts w:ascii="Calibri" w:hAnsi="Calibri" w:cs="Calibri"/>
        </w:rPr>
        <w:t>afatinib</w:t>
      </w:r>
      <w:proofErr w:type="spellEnd"/>
      <w:r w:rsidRPr="00090DFC">
        <w:rPr>
          <w:rFonts w:ascii="Calibri" w:hAnsi="Calibri" w:cs="Calibri"/>
        </w:rPr>
        <w:t xml:space="preserve">, </w:t>
      </w:r>
      <w:proofErr w:type="spellStart"/>
      <w:r w:rsidRPr="00090DFC">
        <w:rPr>
          <w:rFonts w:ascii="Calibri" w:hAnsi="Calibri" w:cs="Calibri"/>
        </w:rPr>
        <w:t>erlotinib</w:t>
      </w:r>
      <w:proofErr w:type="spellEnd"/>
      <w:r w:rsidRPr="00090DFC">
        <w:rPr>
          <w:rFonts w:ascii="Calibri" w:hAnsi="Calibri" w:cs="Calibri"/>
        </w:rPr>
        <w:t xml:space="preserve"> and </w:t>
      </w:r>
      <w:proofErr w:type="spellStart"/>
      <w:r w:rsidRPr="00090DFC">
        <w:rPr>
          <w:rFonts w:ascii="Calibri" w:hAnsi="Calibri" w:cs="Calibri"/>
        </w:rPr>
        <w:t>gefitinib</w:t>
      </w:r>
      <w:proofErr w:type="spellEnd"/>
      <w:r w:rsidRPr="00090DFC">
        <w:rPr>
          <w:rFonts w:ascii="Calibri" w:hAnsi="Calibri" w:cs="Calibri"/>
        </w:rPr>
        <w:t xml:space="preserve"> on the basis of the doses determined for their respective key trials without adjusting for any variations in dose in</w:t>
      </w:r>
      <w:r w:rsidR="0060609D">
        <w:rPr>
          <w:rFonts w:ascii="Calibri" w:hAnsi="Calibri" w:cs="Calibri"/>
        </w:rPr>
        <w:t>tensity or treatment duration (</w:t>
      </w:r>
      <w:proofErr w:type="spellStart"/>
      <w:r w:rsidR="0060609D">
        <w:rPr>
          <w:rFonts w:ascii="Calibri" w:hAnsi="Calibri" w:cs="Calibri"/>
        </w:rPr>
        <w:t>e</w:t>
      </w:r>
      <w:r w:rsidRPr="00090DFC">
        <w:rPr>
          <w:rFonts w:ascii="Calibri" w:hAnsi="Calibri" w:cs="Calibri"/>
        </w:rPr>
        <w:t>rlotinib</w:t>
      </w:r>
      <w:proofErr w:type="spellEnd"/>
      <w:r w:rsidRPr="00090DFC">
        <w:rPr>
          <w:rFonts w:ascii="Calibri" w:hAnsi="Calibri" w:cs="Calibri"/>
        </w:rPr>
        <w:t xml:space="preserve"> </w:t>
      </w:r>
      <w:r w:rsidR="0060609D">
        <w:rPr>
          <w:rFonts w:ascii="Calibri" w:hAnsi="Calibri" w:cs="Calibri"/>
        </w:rPr>
        <w:t>PSD</w:t>
      </w:r>
      <w:r w:rsidRPr="00090DFC">
        <w:rPr>
          <w:rFonts w:ascii="Calibri" w:hAnsi="Calibri" w:cs="Calibri"/>
        </w:rPr>
        <w:t xml:space="preserve">, </w:t>
      </w:r>
      <w:r w:rsidR="0060609D" w:rsidRPr="00090DFC">
        <w:rPr>
          <w:rFonts w:ascii="Calibri" w:hAnsi="Calibri" w:cs="Calibri"/>
        </w:rPr>
        <w:t>July 2013</w:t>
      </w:r>
      <w:r w:rsidRPr="00090DFC">
        <w:rPr>
          <w:rFonts w:ascii="Calibri" w:hAnsi="Calibri" w:cs="Calibri"/>
        </w:rPr>
        <w:t>).</w:t>
      </w:r>
      <w:r w:rsidR="00F61BFC">
        <w:rPr>
          <w:rFonts w:ascii="Calibri" w:hAnsi="Calibri" w:cs="Calibri"/>
        </w:rPr>
        <w:t xml:space="preserve"> In addition, t</w:t>
      </w:r>
      <w:r w:rsidR="00F61BFC">
        <w:rPr>
          <w:rFonts w:ascii="Calibri" w:eastAsia="Times New Roman" w:hAnsi="Calibri" w:cs="Arial"/>
          <w:bCs/>
          <w:snapToGrid w:val="0"/>
          <w:szCs w:val="24"/>
          <w:lang w:val="en-GB"/>
        </w:rPr>
        <w:t xml:space="preserve">he Pre-PBAC response (p.1) requested that, in the event of a recommendation to list </w:t>
      </w:r>
      <w:proofErr w:type="spellStart"/>
      <w:r w:rsidR="00F61BFC">
        <w:rPr>
          <w:rFonts w:ascii="Calibri" w:eastAsia="Times New Roman" w:hAnsi="Calibri" w:cs="Arial"/>
          <w:bCs/>
          <w:snapToGrid w:val="0"/>
          <w:szCs w:val="24"/>
          <w:lang w:val="en-GB"/>
        </w:rPr>
        <w:t>alectinib</w:t>
      </w:r>
      <w:proofErr w:type="spellEnd"/>
      <w:r w:rsidR="00F61BFC">
        <w:rPr>
          <w:rFonts w:ascii="Calibri" w:eastAsia="Times New Roman" w:hAnsi="Calibri" w:cs="Arial"/>
          <w:bCs/>
          <w:snapToGrid w:val="0"/>
          <w:szCs w:val="24"/>
          <w:lang w:val="en-GB"/>
        </w:rPr>
        <w:t xml:space="preserve"> without reference to any line of therapy, </w:t>
      </w:r>
      <w:proofErr w:type="spellStart"/>
      <w:r w:rsidR="00F61BFC">
        <w:rPr>
          <w:rFonts w:ascii="Calibri" w:eastAsia="Times New Roman" w:hAnsi="Calibri" w:cs="Arial"/>
          <w:bCs/>
          <w:snapToGrid w:val="0"/>
          <w:szCs w:val="24"/>
          <w:lang w:val="en-GB"/>
        </w:rPr>
        <w:t>crizotinib</w:t>
      </w:r>
      <w:proofErr w:type="spellEnd"/>
      <w:r w:rsidR="00F61BFC">
        <w:rPr>
          <w:rFonts w:ascii="Calibri" w:eastAsia="Times New Roman" w:hAnsi="Calibri" w:cs="Arial"/>
          <w:bCs/>
          <w:snapToGrid w:val="0"/>
          <w:szCs w:val="24"/>
          <w:lang w:val="en-GB"/>
        </w:rPr>
        <w:t xml:space="preserve"> also be included as a comparator, and thus (p.3) the price of </w:t>
      </w:r>
      <w:proofErr w:type="spellStart"/>
      <w:r w:rsidR="00F61BFC">
        <w:rPr>
          <w:rFonts w:ascii="Calibri" w:eastAsia="Times New Roman" w:hAnsi="Calibri" w:cs="Arial"/>
          <w:bCs/>
          <w:snapToGrid w:val="0"/>
          <w:szCs w:val="24"/>
          <w:lang w:val="en-GB"/>
        </w:rPr>
        <w:t>alectinib</w:t>
      </w:r>
      <w:proofErr w:type="spellEnd"/>
      <w:r w:rsidR="00F61BFC">
        <w:rPr>
          <w:rFonts w:ascii="Calibri" w:eastAsia="Times New Roman" w:hAnsi="Calibri" w:cs="Arial"/>
          <w:bCs/>
          <w:snapToGrid w:val="0"/>
          <w:szCs w:val="24"/>
          <w:lang w:val="en-GB"/>
        </w:rPr>
        <w:t xml:space="preserve"> should also reflect the price of </w:t>
      </w:r>
      <w:proofErr w:type="spellStart"/>
      <w:r w:rsidR="00F61BFC">
        <w:rPr>
          <w:rFonts w:ascii="Calibri" w:eastAsia="Times New Roman" w:hAnsi="Calibri" w:cs="Arial"/>
          <w:bCs/>
          <w:snapToGrid w:val="0"/>
          <w:szCs w:val="24"/>
          <w:lang w:val="en-GB"/>
        </w:rPr>
        <w:t>crizotinib</w:t>
      </w:r>
      <w:proofErr w:type="spellEnd"/>
      <w:r w:rsidR="00F61BFC">
        <w:rPr>
          <w:rFonts w:ascii="Calibri" w:eastAsia="Times New Roman" w:hAnsi="Calibri" w:cs="Arial"/>
          <w:bCs/>
          <w:snapToGrid w:val="0"/>
          <w:szCs w:val="24"/>
          <w:lang w:val="en-GB"/>
        </w:rPr>
        <w:t>.</w:t>
      </w:r>
    </w:p>
    <w:p w:rsidR="00A074BD" w:rsidRDefault="00A074BD" w:rsidP="00A074BD">
      <w:pPr>
        <w:pStyle w:val="Caption"/>
      </w:pPr>
      <w:r>
        <w:t xml:space="preserve">Table </w:t>
      </w:r>
      <w:r>
        <w:rPr>
          <w:noProof/>
        </w:rPr>
        <w:t>10</w:t>
      </w:r>
      <w:r w:rsidRPr="005868E0">
        <w:t xml:space="preserve">: Cost-minimisation analysis: </w:t>
      </w:r>
      <w:proofErr w:type="spellStart"/>
      <w:r w:rsidRPr="005868E0">
        <w:t>alectinib</w:t>
      </w:r>
      <w:proofErr w:type="spellEnd"/>
      <w:r w:rsidRPr="005868E0">
        <w:t xml:space="preserve"> versus </w:t>
      </w:r>
      <w:proofErr w:type="spellStart"/>
      <w:r w:rsidRPr="005868E0">
        <w:t>ceritinib</w:t>
      </w:r>
      <w:proofErr w:type="spellEnd"/>
      <w:r w:rsidRPr="005868E0">
        <w:t xml:space="preserve"> (published price)</w:t>
      </w:r>
    </w:p>
    <w:tbl>
      <w:tblPr>
        <w:tblStyle w:val="TableGrid"/>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st-minimisation analysis: alectinib versus ceritinib (published price)"/>
      </w:tblPr>
      <w:tblGrid>
        <w:gridCol w:w="2981"/>
        <w:gridCol w:w="3077"/>
        <w:gridCol w:w="3077"/>
      </w:tblGrid>
      <w:tr w:rsidR="0010776D" w:rsidRPr="00D913E2" w:rsidTr="0060609D">
        <w:trPr>
          <w:cnfStyle w:val="100000000000" w:firstRow="1" w:lastRow="0" w:firstColumn="0" w:lastColumn="0" w:oddVBand="0" w:evenVBand="0" w:oddHBand="0" w:evenHBand="0" w:firstRowFirstColumn="0" w:firstRowLastColumn="0" w:lastRowFirstColumn="0" w:lastRowLastColumn="0"/>
          <w:tblHeader/>
        </w:trPr>
        <w:tc>
          <w:tcPr>
            <w:tcW w:w="1632" w:type="pct"/>
            <w:vAlign w:val="center"/>
          </w:tcPr>
          <w:p w:rsidR="0010776D" w:rsidRPr="00D913E2" w:rsidRDefault="0010776D" w:rsidP="00585D2A">
            <w:pPr>
              <w:pStyle w:val="TableText"/>
            </w:pPr>
          </w:p>
        </w:tc>
        <w:tc>
          <w:tcPr>
            <w:tcW w:w="1684" w:type="pct"/>
            <w:vAlign w:val="center"/>
          </w:tcPr>
          <w:p w:rsidR="0010776D" w:rsidRPr="00D913E2" w:rsidRDefault="0010776D" w:rsidP="00585D2A">
            <w:pPr>
              <w:pStyle w:val="TableText"/>
              <w:jc w:val="center"/>
            </w:pPr>
            <w:proofErr w:type="spellStart"/>
            <w:r w:rsidRPr="00D913E2">
              <w:t>Alectinib</w:t>
            </w:r>
            <w:proofErr w:type="spellEnd"/>
          </w:p>
        </w:tc>
        <w:tc>
          <w:tcPr>
            <w:tcW w:w="1684" w:type="pct"/>
            <w:vAlign w:val="center"/>
          </w:tcPr>
          <w:p w:rsidR="0010776D" w:rsidRPr="00D913E2" w:rsidRDefault="0010776D" w:rsidP="00585D2A">
            <w:pPr>
              <w:pStyle w:val="TableText"/>
              <w:jc w:val="center"/>
            </w:pPr>
            <w:proofErr w:type="spellStart"/>
            <w:r w:rsidRPr="00D913E2">
              <w:t>Ceritinib</w:t>
            </w:r>
            <w:proofErr w:type="spellEnd"/>
          </w:p>
        </w:tc>
      </w:tr>
      <w:tr w:rsidR="0010776D" w:rsidRPr="00D913E2" w:rsidTr="0060609D">
        <w:tc>
          <w:tcPr>
            <w:tcW w:w="1632" w:type="pct"/>
            <w:vAlign w:val="center"/>
          </w:tcPr>
          <w:p w:rsidR="0010776D" w:rsidRPr="00D913E2" w:rsidRDefault="0010776D" w:rsidP="00585D2A">
            <w:pPr>
              <w:pStyle w:val="TableText"/>
            </w:pPr>
            <w:r w:rsidRPr="00D913E2">
              <w:t>Form</w:t>
            </w:r>
          </w:p>
        </w:tc>
        <w:tc>
          <w:tcPr>
            <w:tcW w:w="1684" w:type="pct"/>
            <w:vAlign w:val="center"/>
          </w:tcPr>
          <w:p w:rsidR="0010776D" w:rsidRPr="00D913E2" w:rsidRDefault="0010776D" w:rsidP="00585D2A">
            <w:pPr>
              <w:pStyle w:val="TableText"/>
              <w:jc w:val="center"/>
            </w:pPr>
            <w:r w:rsidRPr="00D913E2">
              <w:t>Capsule</w:t>
            </w:r>
          </w:p>
        </w:tc>
        <w:tc>
          <w:tcPr>
            <w:tcW w:w="1684" w:type="pct"/>
            <w:vAlign w:val="center"/>
          </w:tcPr>
          <w:p w:rsidR="0010776D" w:rsidRPr="00D913E2" w:rsidRDefault="0010776D" w:rsidP="00585D2A">
            <w:pPr>
              <w:pStyle w:val="TableText"/>
              <w:jc w:val="center"/>
            </w:pPr>
            <w:r w:rsidRPr="00D913E2">
              <w:t>Capsule</w:t>
            </w:r>
          </w:p>
        </w:tc>
      </w:tr>
      <w:tr w:rsidR="0010776D" w:rsidRPr="00D913E2" w:rsidTr="0060609D">
        <w:tc>
          <w:tcPr>
            <w:tcW w:w="1632" w:type="pct"/>
            <w:vAlign w:val="center"/>
          </w:tcPr>
          <w:p w:rsidR="0010776D" w:rsidRPr="00D913E2" w:rsidRDefault="0010776D" w:rsidP="00585D2A">
            <w:pPr>
              <w:pStyle w:val="TableText"/>
            </w:pPr>
            <w:r w:rsidRPr="00D913E2">
              <w:t>Strength</w:t>
            </w:r>
          </w:p>
        </w:tc>
        <w:tc>
          <w:tcPr>
            <w:tcW w:w="1684" w:type="pct"/>
            <w:vAlign w:val="center"/>
          </w:tcPr>
          <w:p w:rsidR="0010776D" w:rsidRPr="00D913E2" w:rsidRDefault="0010776D" w:rsidP="00585D2A">
            <w:pPr>
              <w:pStyle w:val="TableText"/>
              <w:jc w:val="center"/>
            </w:pPr>
            <w:r w:rsidRPr="00D913E2">
              <w:t>150 mg</w:t>
            </w:r>
          </w:p>
        </w:tc>
        <w:tc>
          <w:tcPr>
            <w:tcW w:w="1684" w:type="pct"/>
            <w:vAlign w:val="center"/>
          </w:tcPr>
          <w:p w:rsidR="0010776D" w:rsidRPr="00D913E2" w:rsidRDefault="0010776D" w:rsidP="00585D2A">
            <w:pPr>
              <w:pStyle w:val="TableText"/>
              <w:jc w:val="center"/>
            </w:pPr>
            <w:r w:rsidRPr="00D913E2">
              <w:t>150 mg</w:t>
            </w:r>
          </w:p>
        </w:tc>
      </w:tr>
      <w:tr w:rsidR="0010776D" w:rsidRPr="00D913E2" w:rsidTr="0060609D">
        <w:tc>
          <w:tcPr>
            <w:tcW w:w="1632" w:type="pct"/>
            <w:vAlign w:val="center"/>
          </w:tcPr>
          <w:p w:rsidR="0010776D" w:rsidRPr="00D913E2" w:rsidRDefault="0010776D" w:rsidP="00585D2A">
            <w:pPr>
              <w:pStyle w:val="TableText"/>
            </w:pPr>
            <w:r w:rsidRPr="00D913E2">
              <w:t>Pack quantity</w:t>
            </w:r>
          </w:p>
        </w:tc>
        <w:tc>
          <w:tcPr>
            <w:tcW w:w="1684" w:type="pct"/>
            <w:vAlign w:val="center"/>
          </w:tcPr>
          <w:p w:rsidR="0010776D" w:rsidRPr="00D913E2" w:rsidRDefault="0010776D" w:rsidP="00585D2A">
            <w:pPr>
              <w:pStyle w:val="TableText"/>
              <w:jc w:val="center"/>
            </w:pPr>
            <w:r w:rsidRPr="00D913E2">
              <w:t>224</w:t>
            </w:r>
          </w:p>
        </w:tc>
        <w:tc>
          <w:tcPr>
            <w:tcW w:w="1684" w:type="pct"/>
            <w:vAlign w:val="center"/>
          </w:tcPr>
          <w:p w:rsidR="0010776D" w:rsidRPr="00D913E2" w:rsidRDefault="0010776D" w:rsidP="00585D2A">
            <w:pPr>
              <w:pStyle w:val="TableText"/>
              <w:jc w:val="center"/>
            </w:pPr>
            <w:r w:rsidRPr="00D913E2">
              <w:t>150</w:t>
            </w:r>
          </w:p>
        </w:tc>
      </w:tr>
      <w:tr w:rsidR="0010776D" w:rsidRPr="00D913E2" w:rsidTr="0060609D">
        <w:tc>
          <w:tcPr>
            <w:tcW w:w="1632" w:type="pct"/>
            <w:vAlign w:val="center"/>
          </w:tcPr>
          <w:p w:rsidR="0010776D" w:rsidRPr="00D913E2" w:rsidRDefault="0010776D" w:rsidP="00585D2A">
            <w:pPr>
              <w:pStyle w:val="TableText"/>
            </w:pPr>
            <w:r w:rsidRPr="00D913E2">
              <w:t>Total mg per pack</w:t>
            </w:r>
          </w:p>
        </w:tc>
        <w:tc>
          <w:tcPr>
            <w:tcW w:w="1684" w:type="pct"/>
            <w:vAlign w:val="center"/>
          </w:tcPr>
          <w:p w:rsidR="0010776D" w:rsidRPr="00D913E2" w:rsidRDefault="0010776D" w:rsidP="00585D2A">
            <w:pPr>
              <w:pStyle w:val="TableText"/>
              <w:jc w:val="center"/>
            </w:pPr>
            <w:r w:rsidRPr="00D913E2">
              <w:t>33,000 mg</w:t>
            </w:r>
          </w:p>
        </w:tc>
        <w:tc>
          <w:tcPr>
            <w:tcW w:w="1684" w:type="pct"/>
            <w:vAlign w:val="center"/>
          </w:tcPr>
          <w:p w:rsidR="0010776D" w:rsidRPr="00D913E2" w:rsidRDefault="0010776D" w:rsidP="00585D2A">
            <w:pPr>
              <w:pStyle w:val="TableText"/>
              <w:jc w:val="center"/>
            </w:pPr>
            <w:r w:rsidRPr="00D913E2">
              <w:t>22,500 mg</w:t>
            </w:r>
          </w:p>
        </w:tc>
      </w:tr>
      <w:tr w:rsidR="0010776D" w:rsidRPr="00D913E2" w:rsidTr="0060609D">
        <w:tc>
          <w:tcPr>
            <w:tcW w:w="1632" w:type="pct"/>
            <w:tcBorders>
              <w:bottom w:val="single" w:sz="4" w:space="0" w:color="auto"/>
            </w:tcBorders>
            <w:vAlign w:val="center"/>
          </w:tcPr>
          <w:p w:rsidR="0010776D" w:rsidRPr="00D913E2" w:rsidRDefault="0010776D" w:rsidP="00585D2A">
            <w:pPr>
              <w:pStyle w:val="TableText"/>
            </w:pPr>
            <w:r w:rsidRPr="00D913E2">
              <w:t>Daily dose</w:t>
            </w:r>
          </w:p>
        </w:tc>
        <w:tc>
          <w:tcPr>
            <w:tcW w:w="1684" w:type="pct"/>
            <w:tcBorders>
              <w:bottom w:val="single" w:sz="4" w:space="0" w:color="auto"/>
            </w:tcBorders>
            <w:vAlign w:val="center"/>
          </w:tcPr>
          <w:p w:rsidR="0010776D" w:rsidRPr="00D913E2" w:rsidRDefault="0010776D" w:rsidP="00585D2A">
            <w:pPr>
              <w:pStyle w:val="TableText"/>
              <w:jc w:val="center"/>
            </w:pPr>
            <w:r w:rsidRPr="00D913E2">
              <w:t>1,200 mg</w:t>
            </w:r>
          </w:p>
        </w:tc>
        <w:tc>
          <w:tcPr>
            <w:tcW w:w="1684" w:type="pct"/>
            <w:tcBorders>
              <w:bottom w:val="single" w:sz="4" w:space="0" w:color="auto"/>
            </w:tcBorders>
            <w:vAlign w:val="center"/>
          </w:tcPr>
          <w:p w:rsidR="0010776D" w:rsidRPr="00D913E2" w:rsidRDefault="0010776D" w:rsidP="00585D2A">
            <w:pPr>
              <w:pStyle w:val="TableText"/>
              <w:jc w:val="center"/>
            </w:pPr>
            <w:r w:rsidRPr="00D913E2">
              <w:t>750 mg</w:t>
            </w:r>
          </w:p>
        </w:tc>
      </w:tr>
      <w:tr w:rsidR="0010776D" w:rsidRPr="00D913E2" w:rsidTr="0060609D">
        <w:tc>
          <w:tcPr>
            <w:tcW w:w="1632" w:type="pct"/>
            <w:tcBorders>
              <w:bottom w:val="double" w:sz="4" w:space="0" w:color="auto"/>
            </w:tcBorders>
            <w:vAlign w:val="center"/>
          </w:tcPr>
          <w:p w:rsidR="0010776D" w:rsidRPr="00D913E2" w:rsidRDefault="0010776D" w:rsidP="00585D2A">
            <w:pPr>
              <w:pStyle w:val="TableText"/>
            </w:pPr>
            <w:r w:rsidRPr="00D913E2">
              <w:t>Days of treatment per pack</w:t>
            </w:r>
          </w:p>
        </w:tc>
        <w:tc>
          <w:tcPr>
            <w:tcW w:w="1684" w:type="pct"/>
            <w:tcBorders>
              <w:bottom w:val="double" w:sz="4" w:space="0" w:color="auto"/>
            </w:tcBorders>
            <w:vAlign w:val="center"/>
          </w:tcPr>
          <w:p w:rsidR="0010776D" w:rsidRPr="00D913E2" w:rsidRDefault="0010776D" w:rsidP="00585D2A">
            <w:pPr>
              <w:pStyle w:val="TableText"/>
              <w:jc w:val="center"/>
            </w:pPr>
            <w:r w:rsidRPr="00D913E2">
              <w:t>28</w:t>
            </w:r>
          </w:p>
        </w:tc>
        <w:tc>
          <w:tcPr>
            <w:tcW w:w="1684" w:type="pct"/>
            <w:tcBorders>
              <w:bottom w:val="double" w:sz="4" w:space="0" w:color="auto"/>
            </w:tcBorders>
            <w:vAlign w:val="center"/>
          </w:tcPr>
          <w:p w:rsidR="0010776D" w:rsidRPr="00D913E2" w:rsidRDefault="0010776D" w:rsidP="00585D2A">
            <w:pPr>
              <w:pStyle w:val="TableText"/>
              <w:jc w:val="center"/>
            </w:pPr>
            <w:r w:rsidRPr="00D913E2">
              <w:t>30</w:t>
            </w:r>
          </w:p>
        </w:tc>
      </w:tr>
      <w:tr w:rsidR="0010776D" w:rsidRPr="00D913E2" w:rsidTr="0060609D">
        <w:tc>
          <w:tcPr>
            <w:tcW w:w="5000" w:type="pct"/>
            <w:gridSpan w:val="3"/>
            <w:tcBorders>
              <w:top w:val="double" w:sz="4" w:space="0" w:color="auto"/>
            </w:tcBorders>
            <w:vAlign w:val="center"/>
          </w:tcPr>
          <w:p w:rsidR="0010776D" w:rsidRPr="00D913E2" w:rsidRDefault="0010776D" w:rsidP="00585D2A">
            <w:pPr>
              <w:pStyle w:val="TableText"/>
            </w:pPr>
            <w:r w:rsidRPr="00D913E2">
              <w:rPr>
                <w:b/>
              </w:rPr>
              <w:t>Cost-minimis</w:t>
            </w:r>
            <w:r w:rsidR="00C3369B" w:rsidRPr="00D913E2">
              <w:rPr>
                <w:b/>
              </w:rPr>
              <w:t xml:space="preserve">ation, daily cost based on the </w:t>
            </w:r>
            <w:r w:rsidR="004D7389">
              <w:rPr>
                <w:b/>
              </w:rPr>
              <w:t>A</w:t>
            </w:r>
            <w:r w:rsidRPr="00D913E2">
              <w:rPr>
                <w:b/>
              </w:rPr>
              <w:t>EMP</w:t>
            </w:r>
          </w:p>
        </w:tc>
      </w:tr>
      <w:tr w:rsidR="00085F43" w:rsidRPr="00D913E2" w:rsidTr="0060609D">
        <w:tc>
          <w:tcPr>
            <w:tcW w:w="1632" w:type="pct"/>
            <w:vAlign w:val="center"/>
          </w:tcPr>
          <w:p w:rsidR="00085F43" w:rsidRPr="00D913E2" w:rsidRDefault="00C3369B" w:rsidP="00585D2A">
            <w:pPr>
              <w:pStyle w:val="TableText"/>
            </w:pPr>
            <w:r w:rsidRPr="00D913E2">
              <w:t>Cost/day (</w:t>
            </w:r>
            <w:r w:rsidR="004D7389">
              <w:t>A</w:t>
            </w:r>
            <w:r w:rsidR="00085F43" w:rsidRPr="00D913E2">
              <w:t>EMP)</w:t>
            </w:r>
          </w:p>
        </w:tc>
        <w:tc>
          <w:tcPr>
            <w:tcW w:w="1684" w:type="pct"/>
            <w:vAlign w:val="center"/>
          </w:tcPr>
          <w:p w:rsidR="00085F43" w:rsidRPr="002E48E2" w:rsidRDefault="00085F43" w:rsidP="00585D2A">
            <w:pPr>
              <w:pStyle w:val="TableText"/>
              <w:jc w:val="center"/>
            </w:pPr>
            <w:r w:rsidRPr="002E48E2">
              <w:t>$</w:t>
            </w:r>
            <w:r w:rsidR="001C2F0E">
              <w:rPr>
                <w:noProof/>
                <w:color w:val="000000"/>
                <w:highlight w:val="black"/>
              </w:rPr>
              <w:t>''''''''''''''''</w:t>
            </w:r>
          </w:p>
        </w:tc>
        <w:tc>
          <w:tcPr>
            <w:tcW w:w="1684" w:type="pct"/>
            <w:vAlign w:val="center"/>
          </w:tcPr>
          <w:p w:rsidR="00085F43" w:rsidRPr="002E48E2" w:rsidRDefault="00085F43" w:rsidP="00585D2A">
            <w:pPr>
              <w:pStyle w:val="TableText"/>
              <w:jc w:val="center"/>
            </w:pPr>
            <w:r w:rsidRPr="002E48E2">
              <w:t>$237.61</w:t>
            </w:r>
          </w:p>
        </w:tc>
      </w:tr>
      <w:tr w:rsidR="0010776D" w:rsidRPr="00D913E2" w:rsidTr="0060609D">
        <w:tc>
          <w:tcPr>
            <w:tcW w:w="1632" w:type="pct"/>
            <w:tcBorders>
              <w:bottom w:val="single" w:sz="4" w:space="0" w:color="auto"/>
            </w:tcBorders>
            <w:vAlign w:val="center"/>
          </w:tcPr>
          <w:p w:rsidR="0010776D" w:rsidRPr="00D913E2" w:rsidRDefault="004D7389" w:rsidP="00585D2A">
            <w:pPr>
              <w:pStyle w:val="TableText"/>
            </w:pPr>
            <w:r>
              <w:t>A</w:t>
            </w:r>
            <w:r w:rsidR="0010776D" w:rsidRPr="00D913E2">
              <w:t xml:space="preserve">EMP </w:t>
            </w:r>
          </w:p>
        </w:tc>
        <w:tc>
          <w:tcPr>
            <w:tcW w:w="1684" w:type="pct"/>
            <w:tcBorders>
              <w:bottom w:val="single" w:sz="4" w:space="0" w:color="auto"/>
            </w:tcBorders>
            <w:vAlign w:val="center"/>
          </w:tcPr>
          <w:p w:rsidR="0010776D" w:rsidRPr="002E48E2" w:rsidRDefault="0010776D" w:rsidP="00585D2A">
            <w:pPr>
              <w:pStyle w:val="TableText"/>
              <w:jc w:val="center"/>
            </w:pPr>
            <w:r w:rsidRPr="002E48E2">
              <w:t>$</w:t>
            </w:r>
            <w:r w:rsidR="001C2F0E">
              <w:rPr>
                <w:noProof/>
                <w:color w:val="000000"/>
                <w:highlight w:val="black"/>
              </w:rPr>
              <w:t>'''''''''''''''''''</w:t>
            </w:r>
          </w:p>
        </w:tc>
        <w:tc>
          <w:tcPr>
            <w:tcW w:w="1684" w:type="pct"/>
            <w:tcBorders>
              <w:bottom w:val="single" w:sz="4" w:space="0" w:color="auto"/>
            </w:tcBorders>
            <w:vAlign w:val="center"/>
          </w:tcPr>
          <w:p w:rsidR="0010776D" w:rsidRPr="002E48E2" w:rsidRDefault="0010776D" w:rsidP="00585D2A">
            <w:pPr>
              <w:pStyle w:val="TableText"/>
              <w:jc w:val="center"/>
            </w:pPr>
            <w:r w:rsidRPr="002E48E2">
              <w:t>$7,128.30</w:t>
            </w:r>
          </w:p>
        </w:tc>
      </w:tr>
      <w:tr w:rsidR="00085F43" w:rsidRPr="00D913E2" w:rsidTr="0060609D">
        <w:tc>
          <w:tcPr>
            <w:tcW w:w="1632" w:type="pct"/>
            <w:tcBorders>
              <w:bottom w:val="single" w:sz="4" w:space="0" w:color="auto"/>
            </w:tcBorders>
            <w:vAlign w:val="center"/>
          </w:tcPr>
          <w:p w:rsidR="00085F43" w:rsidRPr="00D913E2" w:rsidRDefault="00085F43" w:rsidP="00585D2A">
            <w:pPr>
              <w:pStyle w:val="TableText"/>
            </w:pPr>
            <w:r w:rsidRPr="00D913E2">
              <w:t>Cost/day (DPMQ)</w:t>
            </w:r>
          </w:p>
        </w:tc>
        <w:tc>
          <w:tcPr>
            <w:tcW w:w="1684" w:type="pct"/>
            <w:tcBorders>
              <w:bottom w:val="single" w:sz="4" w:space="0" w:color="auto"/>
            </w:tcBorders>
            <w:vAlign w:val="center"/>
          </w:tcPr>
          <w:p w:rsidR="00085F43" w:rsidRPr="002E48E2" w:rsidRDefault="00085F43" w:rsidP="00585D2A">
            <w:pPr>
              <w:pStyle w:val="TableText"/>
              <w:jc w:val="center"/>
            </w:pPr>
            <w:r w:rsidRPr="002E48E2">
              <w:t>$</w:t>
            </w:r>
            <w:r w:rsidR="001C2F0E">
              <w:rPr>
                <w:noProof/>
                <w:color w:val="000000"/>
                <w:highlight w:val="black"/>
              </w:rPr>
              <w:t>''''''''''''''''''</w:t>
            </w:r>
          </w:p>
        </w:tc>
        <w:tc>
          <w:tcPr>
            <w:tcW w:w="1684" w:type="pct"/>
            <w:tcBorders>
              <w:bottom w:val="single" w:sz="4" w:space="0" w:color="auto"/>
            </w:tcBorders>
            <w:vAlign w:val="center"/>
          </w:tcPr>
          <w:p w:rsidR="00085F43" w:rsidRPr="002E48E2" w:rsidRDefault="00085F43" w:rsidP="00585D2A">
            <w:pPr>
              <w:pStyle w:val="TableText"/>
              <w:jc w:val="center"/>
            </w:pPr>
            <w:r w:rsidRPr="002E48E2">
              <w:t>$242.54</w:t>
            </w:r>
          </w:p>
        </w:tc>
      </w:tr>
      <w:tr w:rsidR="0010776D" w:rsidRPr="00D913E2" w:rsidTr="0060609D">
        <w:tc>
          <w:tcPr>
            <w:tcW w:w="1632" w:type="pct"/>
            <w:tcBorders>
              <w:top w:val="single" w:sz="4" w:space="0" w:color="auto"/>
              <w:bottom w:val="single" w:sz="4" w:space="0" w:color="auto"/>
            </w:tcBorders>
            <w:vAlign w:val="center"/>
          </w:tcPr>
          <w:p w:rsidR="0010776D" w:rsidRPr="00D913E2" w:rsidRDefault="0010776D" w:rsidP="00585D2A">
            <w:pPr>
              <w:pStyle w:val="TableText"/>
            </w:pPr>
            <w:r w:rsidRPr="00D913E2">
              <w:t>DPMQ*</w:t>
            </w:r>
          </w:p>
        </w:tc>
        <w:tc>
          <w:tcPr>
            <w:tcW w:w="1684" w:type="pct"/>
            <w:tcBorders>
              <w:top w:val="single" w:sz="4" w:space="0" w:color="auto"/>
              <w:bottom w:val="single" w:sz="4" w:space="0" w:color="auto"/>
            </w:tcBorders>
            <w:vAlign w:val="center"/>
          </w:tcPr>
          <w:p w:rsidR="0010776D" w:rsidRPr="002E48E2" w:rsidRDefault="0010776D" w:rsidP="00585D2A">
            <w:pPr>
              <w:pStyle w:val="TableText"/>
              <w:jc w:val="center"/>
            </w:pPr>
            <w:r w:rsidRPr="002E48E2">
              <w:t>$</w:t>
            </w:r>
            <w:r w:rsidR="001C2F0E">
              <w:rPr>
                <w:noProof/>
                <w:color w:val="000000"/>
                <w:highlight w:val="black"/>
              </w:rPr>
              <w:t>''''''''''''''''''''''</w:t>
            </w:r>
          </w:p>
        </w:tc>
        <w:tc>
          <w:tcPr>
            <w:tcW w:w="1684" w:type="pct"/>
            <w:tcBorders>
              <w:top w:val="single" w:sz="4" w:space="0" w:color="auto"/>
              <w:bottom w:val="single" w:sz="4" w:space="0" w:color="auto"/>
            </w:tcBorders>
            <w:vAlign w:val="center"/>
          </w:tcPr>
          <w:p w:rsidR="0010776D" w:rsidRPr="002E48E2" w:rsidRDefault="0010776D" w:rsidP="00585D2A">
            <w:pPr>
              <w:pStyle w:val="TableText"/>
              <w:jc w:val="center"/>
            </w:pPr>
            <w:r w:rsidRPr="002E48E2">
              <w:t>$7,276.18</w:t>
            </w:r>
          </w:p>
        </w:tc>
      </w:tr>
    </w:tbl>
    <w:p w:rsidR="0010776D" w:rsidRDefault="004D7389" w:rsidP="00585D2A">
      <w:pPr>
        <w:pStyle w:val="TableFooter"/>
        <w:keepNext/>
        <w:widowControl/>
      </w:pPr>
      <w:r>
        <w:t>A</w:t>
      </w:r>
      <w:r w:rsidR="0010776D">
        <w:t xml:space="preserve">EMP = </w:t>
      </w:r>
      <w:r>
        <w:t xml:space="preserve">approved </w:t>
      </w:r>
      <w:r w:rsidR="00C3369B">
        <w:t>ex-manufacturer price</w:t>
      </w:r>
      <w:r w:rsidR="00F6522F">
        <w:t>.</w:t>
      </w:r>
    </w:p>
    <w:p w:rsidR="0010776D" w:rsidRPr="003D71FA" w:rsidRDefault="0010776D" w:rsidP="00585D2A">
      <w:pPr>
        <w:pStyle w:val="TableFooter"/>
        <w:keepNext/>
        <w:widowControl/>
      </w:pPr>
      <w:r w:rsidRPr="00057537">
        <w:t>*</w:t>
      </w:r>
      <w:r>
        <w:t xml:space="preserve"> The DPMQ includes a wholesale mark-up of $69.94, an administration fee of $70.92 and a dispensing fee of $7.02.</w:t>
      </w:r>
      <w:r w:rsidR="003538F7">
        <w:t xml:space="preserve"> </w:t>
      </w:r>
      <w:r w:rsidRPr="00D647A9">
        <w:t xml:space="preserve">Figures in italics were calculated during the </w:t>
      </w:r>
      <w:r w:rsidRPr="003D71FA">
        <w:t>evaluation.</w:t>
      </w:r>
    </w:p>
    <w:p w:rsidR="0010776D" w:rsidRPr="00057537" w:rsidRDefault="0010776D" w:rsidP="00BF5AAE">
      <w:pPr>
        <w:pStyle w:val="TableFooter"/>
        <w:widowControl/>
      </w:pPr>
      <w:r w:rsidRPr="003D71FA">
        <w:t xml:space="preserve">Source: Table 3.3, p3 Section 3 of the submission; </w:t>
      </w:r>
      <w:proofErr w:type="spellStart"/>
      <w:r w:rsidRPr="003D71FA">
        <w:t>Alectinib</w:t>
      </w:r>
      <w:proofErr w:type="spellEnd"/>
      <w:r w:rsidRPr="003D71FA">
        <w:t xml:space="preserve"> Section 3 Workbook</w:t>
      </w:r>
      <w:r>
        <w:t>_Final.xlsx</w:t>
      </w:r>
      <w:r w:rsidR="00F6522F">
        <w:t>.</w:t>
      </w:r>
    </w:p>
    <w:p w:rsidR="00C317F3" w:rsidRPr="002E48E2" w:rsidRDefault="00E9662D" w:rsidP="00BF5AAE">
      <w:pPr>
        <w:pStyle w:val="Heading2"/>
      </w:pPr>
      <w:bookmarkStart w:id="23" w:name="_Toc413139283"/>
      <w:bookmarkStart w:id="24" w:name="_Toc482699444"/>
      <w:r w:rsidRPr="00D647A9">
        <w:t>Drug cost/patient/course</w:t>
      </w:r>
      <w:r w:rsidR="00C317F3" w:rsidRPr="00D647A9">
        <w:t>: $</w:t>
      </w:r>
      <w:bookmarkEnd w:id="23"/>
      <w:bookmarkEnd w:id="24"/>
      <w:r w:rsidR="001C2F0E">
        <w:rPr>
          <w:noProof/>
          <w:color w:val="000000"/>
          <w:highlight w:val="black"/>
        </w:rPr>
        <w:t>''''''''''''</w:t>
      </w:r>
    </w:p>
    <w:p w:rsidR="00B16908" w:rsidRDefault="0083475F" w:rsidP="00863A4D">
      <w:pPr>
        <w:pStyle w:val="ListParagraph"/>
        <w:numPr>
          <w:ilvl w:val="1"/>
          <w:numId w:val="4"/>
        </w:numPr>
        <w:spacing w:before="0" w:after="120"/>
        <w:rPr>
          <w:color w:val="000000" w:themeColor="text1"/>
        </w:rPr>
      </w:pPr>
      <w:r w:rsidRPr="002E48E2">
        <w:rPr>
          <w:color w:val="000000" w:themeColor="text1"/>
        </w:rPr>
        <w:t>The cost/patient/course was estimated to be $</w:t>
      </w:r>
      <w:r w:rsidR="001C2F0E">
        <w:rPr>
          <w:noProof/>
          <w:color w:val="000000"/>
          <w:highlight w:val="black"/>
        </w:rPr>
        <w:t>''''''''''''</w:t>
      </w:r>
      <w:r w:rsidRPr="002E48E2">
        <w:rPr>
          <w:color w:val="000000" w:themeColor="text1"/>
        </w:rPr>
        <w:t>. This was calculated using the proposed published dispensed price of $</w:t>
      </w:r>
      <w:r w:rsidR="001C2F0E">
        <w:rPr>
          <w:noProof/>
          <w:color w:val="000000"/>
          <w:highlight w:val="black"/>
        </w:rPr>
        <w:t>'''''''''''''''''</w:t>
      </w:r>
      <w:r w:rsidRPr="002E48E2">
        <w:rPr>
          <w:color w:val="000000" w:themeColor="text1"/>
        </w:rPr>
        <w:t xml:space="preserve"> </w:t>
      </w:r>
      <w:r w:rsidR="00EA2026" w:rsidRPr="002E48E2">
        <w:rPr>
          <w:color w:val="000000" w:themeColor="text1"/>
        </w:rPr>
        <w:t>for 28 days</w:t>
      </w:r>
      <w:r w:rsidR="00511D72" w:rsidRPr="002E48E2">
        <w:rPr>
          <w:color w:val="000000" w:themeColor="text1"/>
        </w:rPr>
        <w:t>’</w:t>
      </w:r>
      <w:r w:rsidR="00EA2026" w:rsidRPr="002E48E2">
        <w:rPr>
          <w:color w:val="000000" w:themeColor="text1"/>
        </w:rPr>
        <w:t xml:space="preserve"> supply, </w:t>
      </w:r>
      <w:r w:rsidRPr="002E48E2">
        <w:rPr>
          <w:color w:val="000000" w:themeColor="text1"/>
        </w:rPr>
        <w:t xml:space="preserve">and assuming a mean treatment duration of </w:t>
      </w:r>
      <w:r w:rsidR="001C2F0E">
        <w:rPr>
          <w:noProof/>
          <w:color w:val="000000"/>
          <w:highlight w:val="black"/>
        </w:rPr>
        <w:t>'''''''''</w:t>
      </w:r>
      <w:r w:rsidRPr="002E48E2">
        <w:rPr>
          <w:color w:val="000000" w:themeColor="text1"/>
        </w:rPr>
        <w:t xml:space="preserve"> weeks, based on the mean PFS in the </w:t>
      </w:r>
      <w:proofErr w:type="spellStart"/>
      <w:r w:rsidRPr="002E48E2">
        <w:rPr>
          <w:color w:val="000000" w:themeColor="text1"/>
        </w:rPr>
        <w:t>alectinib</w:t>
      </w:r>
      <w:proofErr w:type="spellEnd"/>
      <w:r w:rsidRPr="002E48E2">
        <w:rPr>
          <w:color w:val="000000" w:themeColor="text1"/>
        </w:rPr>
        <w:t xml:space="preserve"> studies NP28761 and NP28673.</w:t>
      </w:r>
      <w:r w:rsidR="00B16908" w:rsidRPr="002E48E2">
        <w:rPr>
          <w:color w:val="000000" w:themeColor="text1"/>
        </w:rPr>
        <w:t xml:space="preserve"> This was compared with $</w:t>
      </w:r>
      <w:r w:rsidR="001C2F0E">
        <w:rPr>
          <w:noProof/>
          <w:color w:val="000000"/>
          <w:highlight w:val="black"/>
        </w:rPr>
        <w:t>''''''''''''''</w:t>
      </w:r>
      <w:r w:rsidR="00186F30" w:rsidRPr="002E48E2">
        <w:rPr>
          <w:color w:val="000000" w:themeColor="text1"/>
        </w:rPr>
        <w:t xml:space="preserve"> </w:t>
      </w:r>
      <w:r w:rsidR="00B16908" w:rsidRPr="002E48E2">
        <w:rPr>
          <w:color w:val="000000" w:themeColor="text1"/>
        </w:rPr>
        <w:t xml:space="preserve">per patient for </w:t>
      </w:r>
      <w:proofErr w:type="spellStart"/>
      <w:r w:rsidR="00B16908" w:rsidRPr="002E48E2">
        <w:rPr>
          <w:color w:val="000000" w:themeColor="text1"/>
        </w:rPr>
        <w:t>ceritinib</w:t>
      </w:r>
      <w:proofErr w:type="spellEnd"/>
      <w:r w:rsidR="00B16908" w:rsidRPr="002E48E2">
        <w:rPr>
          <w:color w:val="000000" w:themeColor="text1"/>
        </w:rPr>
        <w:t xml:space="preserve">, </w:t>
      </w:r>
      <w:r w:rsidR="00EA2026" w:rsidRPr="002E48E2">
        <w:rPr>
          <w:color w:val="000000" w:themeColor="text1"/>
        </w:rPr>
        <w:t>based on a published dispensed price of $7,276.18 for</w:t>
      </w:r>
      <w:r w:rsidR="00EA2026" w:rsidRPr="00D647A9">
        <w:rPr>
          <w:color w:val="000000" w:themeColor="text1"/>
        </w:rPr>
        <w:t xml:space="preserve"> 30 days</w:t>
      </w:r>
      <w:r w:rsidR="00511D72">
        <w:rPr>
          <w:color w:val="000000" w:themeColor="text1"/>
        </w:rPr>
        <w:t>’</w:t>
      </w:r>
      <w:r w:rsidR="00EA2026" w:rsidRPr="00D647A9">
        <w:rPr>
          <w:color w:val="000000" w:themeColor="text1"/>
        </w:rPr>
        <w:t xml:space="preserve"> supply, and </w:t>
      </w:r>
      <w:r w:rsidR="00B16908" w:rsidRPr="00D647A9">
        <w:rPr>
          <w:color w:val="000000" w:themeColor="text1"/>
        </w:rPr>
        <w:t xml:space="preserve">assuming the same mean duration of treatment. </w:t>
      </w:r>
      <w:r w:rsidR="00EA2026" w:rsidRPr="00D647A9">
        <w:rPr>
          <w:color w:val="000000" w:themeColor="text1"/>
        </w:rPr>
        <w:t>These estimates assume a dose intensity of 100% for both drugs.</w:t>
      </w:r>
    </w:p>
    <w:p w:rsidR="00C317F3" w:rsidRPr="00D647A9" w:rsidRDefault="00C317F3" w:rsidP="00BF5AAE">
      <w:pPr>
        <w:pStyle w:val="Heading2"/>
      </w:pPr>
      <w:bookmarkStart w:id="25" w:name="_Toc413139284"/>
      <w:bookmarkStart w:id="26" w:name="_Toc482699445"/>
      <w:r w:rsidRPr="00D647A9">
        <w:t>Estimated PBS usage &amp; financial implications</w:t>
      </w:r>
      <w:bookmarkEnd w:id="25"/>
      <w:bookmarkEnd w:id="26"/>
    </w:p>
    <w:p w:rsidR="002F34F2" w:rsidRPr="00863A4D" w:rsidRDefault="00186F30" w:rsidP="00863A4D">
      <w:pPr>
        <w:pStyle w:val="ListParagraph"/>
        <w:numPr>
          <w:ilvl w:val="1"/>
          <w:numId w:val="4"/>
        </w:numPr>
        <w:spacing w:before="0" w:after="120"/>
        <w:rPr>
          <w:color w:val="000000" w:themeColor="text1"/>
        </w:rPr>
      </w:pPr>
      <w:r w:rsidRPr="00863A4D">
        <w:rPr>
          <w:color w:val="000000" w:themeColor="text1"/>
        </w:rPr>
        <w:t xml:space="preserve">This submission </w:t>
      </w:r>
      <w:r w:rsidR="00511D72" w:rsidRPr="00863A4D">
        <w:rPr>
          <w:color w:val="000000" w:themeColor="text1"/>
        </w:rPr>
        <w:t>wa</w:t>
      </w:r>
      <w:r w:rsidRPr="00863A4D">
        <w:rPr>
          <w:color w:val="000000" w:themeColor="text1"/>
        </w:rPr>
        <w:t>s not</w:t>
      </w:r>
      <w:r w:rsidR="00C317F3" w:rsidRPr="00863A4D">
        <w:rPr>
          <w:color w:val="000000" w:themeColor="text1"/>
        </w:rPr>
        <w:t xml:space="preserve"> considered by DUSC</w:t>
      </w:r>
      <w:r w:rsidR="00511D72" w:rsidRPr="00863A4D">
        <w:rPr>
          <w:color w:val="000000" w:themeColor="text1"/>
        </w:rPr>
        <w:t>.</w:t>
      </w:r>
    </w:p>
    <w:p w:rsidR="001A00CA" w:rsidRPr="00863A4D" w:rsidRDefault="002F34F2" w:rsidP="00863A4D">
      <w:pPr>
        <w:pStyle w:val="ListParagraph"/>
        <w:numPr>
          <w:ilvl w:val="1"/>
          <w:numId w:val="4"/>
        </w:numPr>
        <w:spacing w:before="0" w:after="120"/>
        <w:rPr>
          <w:color w:val="000000" w:themeColor="text1"/>
        </w:rPr>
      </w:pPr>
      <w:r w:rsidRPr="00863A4D">
        <w:rPr>
          <w:color w:val="000000" w:themeColor="text1"/>
        </w:rPr>
        <w:t xml:space="preserve">The submission used a </w:t>
      </w:r>
      <w:r w:rsidR="006C0C3C" w:rsidRPr="00863A4D">
        <w:rPr>
          <w:color w:val="000000" w:themeColor="text1"/>
        </w:rPr>
        <w:t xml:space="preserve">mixed </w:t>
      </w:r>
      <w:r w:rsidR="008726B5" w:rsidRPr="00863A4D">
        <w:rPr>
          <w:color w:val="000000" w:themeColor="text1"/>
        </w:rPr>
        <w:t>method</w:t>
      </w:r>
      <w:r w:rsidRPr="00863A4D">
        <w:rPr>
          <w:color w:val="000000" w:themeColor="text1"/>
        </w:rPr>
        <w:t xml:space="preserve"> approach. The </w:t>
      </w:r>
      <w:r w:rsidR="001A00CA" w:rsidRPr="00863A4D">
        <w:rPr>
          <w:color w:val="000000" w:themeColor="text1"/>
        </w:rPr>
        <w:t>submission used an epidemiological approach to estimate the incidence of ALK-positive non-squamous or not otherwise specified</w:t>
      </w:r>
      <w:r w:rsidR="00803B6D" w:rsidRPr="00863A4D">
        <w:rPr>
          <w:color w:val="000000" w:themeColor="text1"/>
        </w:rPr>
        <w:t xml:space="preserve"> </w:t>
      </w:r>
      <w:r w:rsidR="001A00CA" w:rsidRPr="00863A4D">
        <w:rPr>
          <w:color w:val="000000" w:themeColor="text1"/>
        </w:rPr>
        <w:t xml:space="preserve">NSCLC, based on data published by the Australian Institute of Health and Welfare and </w:t>
      </w:r>
      <w:r w:rsidR="005F36AA" w:rsidRPr="00863A4D">
        <w:rPr>
          <w:color w:val="000000" w:themeColor="text1"/>
        </w:rPr>
        <w:t xml:space="preserve">the </w:t>
      </w:r>
      <w:r w:rsidR="005F36AA" w:rsidRPr="00863A4D">
        <w:t>MSAC PSD for testing of the ALK gene in patients with NSCLC (Application No. 1250, November 2013).</w:t>
      </w:r>
      <w:r w:rsidR="001A00CA" w:rsidRPr="00863A4D">
        <w:rPr>
          <w:color w:val="000000" w:themeColor="text1"/>
        </w:rPr>
        <w:t xml:space="preserve"> The proportion of </w:t>
      </w:r>
      <w:r w:rsidR="00E036B9" w:rsidRPr="00863A4D">
        <w:rPr>
          <w:color w:val="000000" w:themeColor="text1"/>
        </w:rPr>
        <w:t xml:space="preserve">eligible </w:t>
      </w:r>
      <w:r w:rsidR="001A00CA" w:rsidRPr="00863A4D">
        <w:rPr>
          <w:color w:val="000000" w:themeColor="text1"/>
        </w:rPr>
        <w:t xml:space="preserve">patients assumed to receive first-line </w:t>
      </w:r>
      <w:proofErr w:type="spellStart"/>
      <w:r w:rsidR="001A00CA" w:rsidRPr="00863A4D">
        <w:rPr>
          <w:color w:val="000000" w:themeColor="text1"/>
        </w:rPr>
        <w:t>crizotinib</w:t>
      </w:r>
      <w:proofErr w:type="spellEnd"/>
      <w:r w:rsidR="00E036B9" w:rsidRPr="00863A4D">
        <w:rPr>
          <w:color w:val="000000" w:themeColor="text1"/>
        </w:rPr>
        <w:t xml:space="preserve">, the proportion of patients with progressive disease who would receive second-line ALK inhibitor therapy, and the market share of </w:t>
      </w:r>
      <w:proofErr w:type="spellStart"/>
      <w:r w:rsidR="00E036B9" w:rsidRPr="00863A4D">
        <w:rPr>
          <w:color w:val="000000" w:themeColor="text1"/>
        </w:rPr>
        <w:t>alectinib</w:t>
      </w:r>
      <w:proofErr w:type="spellEnd"/>
      <w:r w:rsidR="00E036B9" w:rsidRPr="00863A4D">
        <w:rPr>
          <w:color w:val="000000" w:themeColor="text1"/>
        </w:rPr>
        <w:t xml:space="preserve"> was based on expert opinion</w:t>
      </w:r>
      <w:r w:rsidR="00D87694" w:rsidRPr="00863A4D">
        <w:t xml:space="preserve"> </w:t>
      </w:r>
      <w:r w:rsidR="00D87694" w:rsidRPr="00863A4D">
        <w:rPr>
          <w:color w:val="000000" w:themeColor="text1"/>
        </w:rPr>
        <w:t>from clinicians on the sponsor’s clinical advisory board</w:t>
      </w:r>
      <w:r w:rsidR="00E036B9" w:rsidRPr="00863A4D">
        <w:rPr>
          <w:color w:val="000000" w:themeColor="text1"/>
        </w:rPr>
        <w:t>.</w:t>
      </w:r>
    </w:p>
    <w:p w:rsidR="00BF7304" w:rsidRPr="00863A4D" w:rsidRDefault="00E948BE" w:rsidP="00863A4D">
      <w:pPr>
        <w:pStyle w:val="ListParagraph"/>
        <w:numPr>
          <w:ilvl w:val="1"/>
          <w:numId w:val="4"/>
        </w:numPr>
        <w:spacing w:before="0" w:after="120"/>
      </w:pPr>
      <w:r w:rsidRPr="00863A4D">
        <w:t xml:space="preserve">The submission estimated that </w:t>
      </w:r>
      <w:r w:rsidR="00BF7304" w:rsidRPr="00863A4D">
        <w:t xml:space="preserve">there would be </w:t>
      </w:r>
      <w:r w:rsidR="001C2F0E">
        <w:rPr>
          <w:noProof/>
          <w:color w:val="000000"/>
          <w:highlight w:val="black"/>
        </w:rPr>
        <w:t>''''''</w:t>
      </w:r>
      <w:r w:rsidR="00BF7304" w:rsidRPr="00863A4D">
        <w:t xml:space="preserve"> patients from </w:t>
      </w:r>
      <w:r w:rsidR="00D87694" w:rsidRPr="00863A4D">
        <w:t xml:space="preserve">the sponsor’s </w:t>
      </w:r>
      <w:r w:rsidR="00BF7304" w:rsidRPr="00863A4D">
        <w:t>patient access program</w:t>
      </w:r>
      <w:r w:rsidR="00953B00" w:rsidRPr="00863A4D">
        <w:t>, for whom</w:t>
      </w:r>
      <w:r w:rsidR="00BF7304" w:rsidRPr="00863A4D">
        <w:t xml:space="preserve"> </w:t>
      </w:r>
      <w:r w:rsidR="00953B00" w:rsidRPr="00863A4D">
        <w:t xml:space="preserve">a grandfathering arrangement has </w:t>
      </w:r>
      <w:r w:rsidR="00471D7B" w:rsidRPr="00863A4D">
        <w:t>been</w:t>
      </w:r>
      <w:r w:rsidR="00953B00" w:rsidRPr="00863A4D">
        <w:t xml:space="preserve"> requested </w:t>
      </w:r>
      <w:r w:rsidR="00F35FB1" w:rsidRPr="00863A4D">
        <w:t>in the first year of listing</w:t>
      </w:r>
      <w:r w:rsidR="00BF7304" w:rsidRPr="00863A4D">
        <w:t>.</w:t>
      </w:r>
      <w:r w:rsidR="00F35FB1" w:rsidRPr="00863A4D">
        <w:t xml:space="preserve"> The submission included these patients in the cost off-sets resulting from substitution for </w:t>
      </w:r>
      <w:proofErr w:type="spellStart"/>
      <w:r w:rsidR="00F35FB1" w:rsidRPr="00863A4D">
        <w:t>ceritinib</w:t>
      </w:r>
      <w:proofErr w:type="spellEnd"/>
      <w:r w:rsidR="00803B6D" w:rsidRPr="00863A4D">
        <w:t>, which is inappropriate</w:t>
      </w:r>
      <w:r w:rsidR="00F35FB1" w:rsidRPr="00863A4D">
        <w:t>.</w:t>
      </w:r>
      <w:r w:rsidR="00A47908" w:rsidRPr="00863A4D">
        <w:t xml:space="preserve"> T</w:t>
      </w:r>
      <w:r w:rsidR="005E20F0">
        <w:t>he PSCR (p</w:t>
      </w:r>
      <w:r w:rsidR="00162450" w:rsidRPr="00863A4D">
        <w:t>7</w:t>
      </w:r>
      <w:r w:rsidR="00A47908" w:rsidRPr="00863A4D">
        <w:t xml:space="preserve">) claimed that these offsets were estimated in compliance with the Departmental guidelines. The ESC </w:t>
      </w:r>
      <w:r w:rsidR="00771595" w:rsidRPr="00863A4D">
        <w:t>considered that while the approach to the estimation of offsets using script volumes rather than patient numbers was consistent with the Departmental guidelines</w:t>
      </w:r>
      <w:r w:rsidR="00A47908" w:rsidRPr="00863A4D">
        <w:t>, the inclusion of these patients in the cost</w:t>
      </w:r>
      <w:r w:rsidR="00511D72" w:rsidRPr="00863A4D">
        <w:t xml:space="preserve"> </w:t>
      </w:r>
      <w:r w:rsidR="00A47908" w:rsidRPr="00863A4D">
        <w:t>off</w:t>
      </w:r>
      <w:r w:rsidR="00511D72" w:rsidRPr="00863A4D">
        <w:t>-</w:t>
      </w:r>
      <w:r w:rsidR="00A47908" w:rsidRPr="00863A4D">
        <w:t xml:space="preserve">sets (from substitution for </w:t>
      </w:r>
      <w:proofErr w:type="spellStart"/>
      <w:r w:rsidR="00A47908" w:rsidRPr="00863A4D">
        <w:t>ceritinib</w:t>
      </w:r>
      <w:proofErr w:type="spellEnd"/>
      <w:r w:rsidR="00A47908" w:rsidRPr="00863A4D">
        <w:t xml:space="preserve">) was inappropriate, as these patients </w:t>
      </w:r>
      <w:r w:rsidR="00771595" w:rsidRPr="00863A4D">
        <w:t>were being treated with</w:t>
      </w:r>
      <w:r w:rsidR="00A47908" w:rsidRPr="00863A4D">
        <w:t xml:space="preserve"> </w:t>
      </w:r>
      <w:proofErr w:type="spellStart"/>
      <w:r w:rsidR="00A47908" w:rsidRPr="00863A4D">
        <w:t>alectinib</w:t>
      </w:r>
      <w:proofErr w:type="spellEnd"/>
      <w:r w:rsidR="00A47908" w:rsidRPr="00863A4D">
        <w:t xml:space="preserve">, rather than </w:t>
      </w:r>
      <w:proofErr w:type="spellStart"/>
      <w:r w:rsidR="00A47908" w:rsidRPr="00863A4D">
        <w:t>ceritinib</w:t>
      </w:r>
      <w:proofErr w:type="spellEnd"/>
      <w:r w:rsidR="00A47908" w:rsidRPr="00863A4D">
        <w:t>.</w:t>
      </w:r>
    </w:p>
    <w:p w:rsidR="00BF7304" w:rsidRPr="00863A4D" w:rsidRDefault="006C0C3C" w:rsidP="00863A4D">
      <w:pPr>
        <w:pStyle w:val="ListParagraph"/>
        <w:numPr>
          <w:ilvl w:val="1"/>
          <w:numId w:val="4"/>
        </w:numPr>
        <w:spacing w:before="0" w:after="120"/>
      </w:pPr>
      <w:r w:rsidRPr="00863A4D">
        <w:t>T</w:t>
      </w:r>
      <w:r w:rsidR="00BF7304" w:rsidRPr="00863A4D">
        <w:t xml:space="preserve">he </w:t>
      </w:r>
      <w:r w:rsidR="002E3F55" w:rsidRPr="00863A4D">
        <w:t xml:space="preserve">mean </w:t>
      </w:r>
      <w:r w:rsidR="00BF7304" w:rsidRPr="00863A4D">
        <w:t>duration of treatment was estimated from the IRC</w:t>
      </w:r>
      <w:r w:rsidR="00DE0770">
        <w:t xml:space="preserve"> </w:t>
      </w:r>
      <w:r w:rsidR="00BF7304" w:rsidRPr="00863A4D">
        <w:t xml:space="preserve">assessed mean PFS. The mean PFS </w:t>
      </w:r>
      <w:r w:rsidR="000F190C" w:rsidRPr="00863A4D">
        <w:t xml:space="preserve">in the studies </w:t>
      </w:r>
      <w:r w:rsidR="00BF7304" w:rsidRPr="00863A4D">
        <w:t xml:space="preserve">will be underestimated, as the largest observation was censored and the estimation was restricted to the largest event time. In addition, the mean PFS in the proposed Australian setting (second-line to a prior ALK inhibitor) may be longer than that observed in the studies, in which the majority of patients had previously been treated with both </w:t>
      </w:r>
      <w:proofErr w:type="spellStart"/>
      <w:r w:rsidR="00BF7304" w:rsidRPr="00863A4D">
        <w:t>crizotinib</w:t>
      </w:r>
      <w:proofErr w:type="spellEnd"/>
      <w:r w:rsidR="00BF7304" w:rsidRPr="00863A4D">
        <w:t xml:space="preserve"> and chemotherapy.</w:t>
      </w:r>
      <w:r w:rsidR="0004622D" w:rsidRPr="00863A4D">
        <w:t xml:space="preserve"> The ESC considered that the clinical place of </w:t>
      </w:r>
      <w:proofErr w:type="spellStart"/>
      <w:r w:rsidR="0004622D" w:rsidRPr="00863A4D">
        <w:t>alectinib</w:t>
      </w:r>
      <w:proofErr w:type="spellEnd"/>
      <w:r w:rsidR="0004622D" w:rsidRPr="00863A4D">
        <w:t xml:space="preserve"> w</w:t>
      </w:r>
      <w:r w:rsidR="000024FC" w:rsidRPr="00863A4D">
        <w:t>ould</w:t>
      </w:r>
      <w:r w:rsidR="0004622D" w:rsidRPr="00863A4D">
        <w:t xml:space="preserve"> have a significant impact on the </w:t>
      </w:r>
      <w:r w:rsidR="008C73C9" w:rsidRPr="00863A4D">
        <w:t>financial imp</w:t>
      </w:r>
      <w:r w:rsidR="000024FC" w:rsidRPr="00863A4D">
        <w:t>lications</w:t>
      </w:r>
      <w:r w:rsidR="008C73C9" w:rsidRPr="00863A4D">
        <w:t xml:space="preserve"> of </w:t>
      </w:r>
      <w:proofErr w:type="spellStart"/>
      <w:r w:rsidR="008C73C9" w:rsidRPr="00863A4D">
        <w:t>alectinib</w:t>
      </w:r>
      <w:proofErr w:type="spellEnd"/>
      <w:r w:rsidR="000024FC" w:rsidRPr="00863A4D">
        <w:t>,</w:t>
      </w:r>
      <w:r w:rsidR="008C73C9" w:rsidRPr="00863A4D">
        <w:t xml:space="preserve"> as the efficacy of </w:t>
      </w:r>
      <w:proofErr w:type="spellStart"/>
      <w:r w:rsidR="008C73C9" w:rsidRPr="00863A4D">
        <w:t>alectinib</w:t>
      </w:r>
      <w:proofErr w:type="spellEnd"/>
      <w:r w:rsidR="008C73C9" w:rsidRPr="00863A4D">
        <w:t xml:space="preserve"> and consequently </w:t>
      </w:r>
      <w:r w:rsidR="000024FC" w:rsidRPr="00863A4D">
        <w:t xml:space="preserve">its </w:t>
      </w:r>
      <w:r w:rsidR="008C73C9" w:rsidRPr="00863A4D">
        <w:t xml:space="preserve">mean duration of treatment, </w:t>
      </w:r>
      <w:r w:rsidR="000024FC" w:rsidRPr="00863A4D">
        <w:t xml:space="preserve">were </w:t>
      </w:r>
      <w:r w:rsidR="008C73C9" w:rsidRPr="00863A4D">
        <w:t>likely to vary according to its clinical place</w:t>
      </w:r>
      <w:r w:rsidR="000024FC" w:rsidRPr="00863A4D">
        <w:t xml:space="preserve"> in therapy</w:t>
      </w:r>
      <w:r w:rsidR="00321B3A" w:rsidRPr="00863A4D">
        <w:t>.</w:t>
      </w:r>
    </w:p>
    <w:p w:rsidR="00171155" w:rsidRPr="00863A4D" w:rsidRDefault="00171155" w:rsidP="00863A4D">
      <w:pPr>
        <w:pStyle w:val="ListParagraph"/>
        <w:numPr>
          <w:ilvl w:val="1"/>
          <w:numId w:val="4"/>
        </w:numPr>
        <w:spacing w:before="0" w:after="120"/>
      </w:pPr>
      <w:r w:rsidRPr="00863A4D">
        <w:t xml:space="preserve">The mean number of scripts per patient and, therefore, the mean cost per patient for a course of </w:t>
      </w:r>
      <w:proofErr w:type="spellStart"/>
      <w:r w:rsidRPr="00863A4D">
        <w:t>alectinib</w:t>
      </w:r>
      <w:proofErr w:type="spellEnd"/>
      <w:r w:rsidRPr="00863A4D">
        <w:t xml:space="preserve"> are likely to be higher than estimated in the submission, given that the mean duration of treatment, based on the estimated mean PFS in the clinical studies, is likely to underestimate the mean duration of treatment in clinical practice.</w:t>
      </w:r>
    </w:p>
    <w:p w:rsidR="00171155" w:rsidRPr="00863A4D" w:rsidRDefault="00E948BE" w:rsidP="005145B5">
      <w:pPr>
        <w:pStyle w:val="ListParagraph"/>
        <w:numPr>
          <w:ilvl w:val="1"/>
          <w:numId w:val="4"/>
        </w:numPr>
        <w:spacing w:before="0" w:after="120"/>
      </w:pPr>
      <w:r w:rsidRPr="00863A4D">
        <w:t xml:space="preserve">The submission assumed that all use of </w:t>
      </w:r>
      <w:proofErr w:type="spellStart"/>
      <w:r w:rsidRPr="00863A4D">
        <w:t>alectinib</w:t>
      </w:r>
      <w:proofErr w:type="spellEnd"/>
      <w:r w:rsidRPr="00863A4D">
        <w:t xml:space="preserve"> will substitute for use of </w:t>
      </w:r>
      <w:proofErr w:type="spellStart"/>
      <w:r w:rsidRPr="00863A4D">
        <w:t>ceritinib</w:t>
      </w:r>
      <w:proofErr w:type="spellEnd"/>
      <w:r w:rsidRPr="00863A4D">
        <w:t xml:space="preserve">. </w:t>
      </w:r>
      <w:r w:rsidR="004D7052" w:rsidRPr="00863A4D">
        <w:t xml:space="preserve">The mean duration of </w:t>
      </w:r>
      <w:proofErr w:type="spellStart"/>
      <w:r w:rsidR="004D7052" w:rsidRPr="00863A4D">
        <w:t>ceritinib</w:t>
      </w:r>
      <w:proofErr w:type="spellEnd"/>
      <w:r w:rsidR="004D7052" w:rsidRPr="00863A4D">
        <w:t xml:space="preserve"> treatment was assumed to be the same as that for</w:t>
      </w:r>
      <w:r w:rsidR="004D7052" w:rsidRPr="00D647A9">
        <w:t xml:space="preserve"> </w:t>
      </w:r>
      <w:proofErr w:type="spellStart"/>
      <w:r w:rsidR="004D7052" w:rsidRPr="00863A4D">
        <w:t>alectinib</w:t>
      </w:r>
      <w:proofErr w:type="spellEnd"/>
      <w:r w:rsidR="004D7052" w:rsidRPr="00863A4D">
        <w:t xml:space="preserve"> (i.e. the mean PFS in the </w:t>
      </w:r>
      <w:proofErr w:type="spellStart"/>
      <w:r w:rsidR="004D7052" w:rsidRPr="00863A4D">
        <w:t>alectinib</w:t>
      </w:r>
      <w:proofErr w:type="spellEnd"/>
      <w:r w:rsidR="004D7052" w:rsidRPr="00863A4D">
        <w:t xml:space="preserve"> studies). As the median PFS in the </w:t>
      </w:r>
      <w:proofErr w:type="spellStart"/>
      <w:r w:rsidR="004D7052" w:rsidRPr="00863A4D">
        <w:t>ceritinib</w:t>
      </w:r>
      <w:proofErr w:type="spellEnd"/>
      <w:r w:rsidR="004D7052" w:rsidRPr="00863A4D">
        <w:t xml:space="preserve"> studies (5.4-7.2 months) was numerically shorter than the median PFS in the </w:t>
      </w:r>
      <w:proofErr w:type="spellStart"/>
      <w:r w:rsidR="004D7052" w:rsidRPr="00863A4D">
        <w:t>alectinib</w:t>
      </w:r>
      <w:proofErr w:type="spellEnd"/>
      <w:r w:rsidR="004D7052" w:rsidRPr="00863A4D">
        <w:t xml:space="preserve"> studies (8.3 months), </w:t>
      </w:r>
      <w:r w:rsidR="0035230D" w:rsidRPr="00863A4D">
        <w:t xml:space="preserve">there is potential for the </w:t>
      </w:r>
      <w:r w:rsidR="004D7052" w:rsidRPr="00863A4D">
        <w:t xml:space="preserve">mean duration of treatment with </w:t>
      </w:r>
      <w:proofErr w:type="spellStart"/>
      <w:r w:rsidR="004D7052" w:rsidRPr="00863A4D">
        <w:t>ceritinib</w:t>
      </w:r>
      <w:proofErr w:type="spellEnd"/>
      <w:r w:rsidR="004D7052" w:rsidRPr="00863A4D">
        <w:t xml:space="preserve"> </w:t>
      </w:r>
      <w:r w:rsidR="0035230D" w:rsidRPr="00863A4D">
        <w:t>to</w:t>
      </w:r>
      <w:r w:rsidR="004D7052" w:rsidRPr="00863A4D">
        <w:t xml:space="preserve"> be shorter than the mean duration of treatment with </w:t>
      </w:r>
      <w:proofErr w:type="spellStart"/>
      <w:r w:rsidR="004D7052" w:rsidRPr="00863A4D">
        <w:t>alectinib</w:t>
      </w:r>
      <w:proofErr w:type="spellEnd"/>
      <w:r w:rsidR="004D7052" w:rsidRPr="00863A4D">
        <w:t xml:space="preserve">. </w:t>
      </w:r>
      <w:r w:rsidR="00CE7A7D" w:rsidRPr="00863A4D">
        <w:t>In addition, t</w:t>
      </w:r>
      <w:r w:rsidR="00171155" w:rsidRPr="00863A4D">
        <w:t xml:space="preserve">he submission did not take dose reductions for management of adverse events into account, despite highlighting the extent of dose reductions required with </w:t>
      </w:r>
      <w:proofErr w:type="spellStart"/>
      <w:r w:rsidR="00171155" w:rsidRPr="00863A4D">
        <w:t>ceritinib</w:t>
      </w:r>
      <w:proofErr w:type="spellEnd"/>
      <w:r w:rsidR="00171155" w:rsidRPr="00863A4D">
        <w:t xml:space="preserve"> in the submission. Therefore, the submission may have overestimated the cost off-sets resulting f</w:t>
      </w:r>
      <w:r w:rsidR="00321B3A" w:rsidRPr="00863A4D">
        <w:t xml:space="preserve">rom substitution for </w:t>
      </w:r>
      <w:proofErr w:type="spellStart"/>
      <w:r w:rsidR="00321B3A" w:rsidRPr="00863A4D">
        <w:t>ceritinib</w:t>
      </w:r>
      <w:proofErr w:type="spellEnd"/>
      <w:r w:rsidR="00321B3A" w:rsidRPr="00863A4D">
        <w:t>.</w:t>
      </w:r>
      <w:r w:rsidR="005E20F0">
        <w:t xml:space="preserve"> The pre-PBAC response (p</w:t>
      </w:r>
      <w:r w:rsidR="005145B5" w:rsidRPr="005145B5">
        <w:t>3) acknowledged this, but contended that any difference in budget impact would be expected to be minor in contrast to the clinical benefit for a small number of patients with a rare cancer.</w:t>
      </w:r>
    </w:p>
    <w:p w:rsidR="000024FC" w:rsidRPr="00863A4D" w:rsidRDefault="00387A9B" w:rsidP="00863A4D">
      <w:pPr>
        <w:pStyle w:val="ListParagraph"/>
        <w:numPr>
          <w:ilvl w:val="1"/>
          <w:numId w:val="4"/>
        </w:numPr>
        <w:spacing w:before="0" w:after="120"/>
      </w:pPr>
      <w:r w:rsidRPr="00863A4D">
        <w:t xml:space="preserve">The submission also estimated potential savings to the MBS resulting from the estimated net reduction in the use of MBS items associated with the use of radiotherapy to treat CNS metastases </w:t>
      </w:r>
      <w:r w:rsidR="00803B6D" w:rsidRPr="00863A4D">
        <w:t xml:space="preserve">due to substitution of </w:t>
      </w:r>
      <w:proofErr w:type="spellStart"/>
      <w:r w:rsidR="00803B6D" w:rsidRPr="00863A4D">
        <w:t>alectinib</w:t>
      </w:r>
      <w:proofErr w:type="spellEnd"/>
      <w:r w:rsidR="00803B6D" w:rsidRPr="00863A4D">
        <w:t xml:space="preserve"> for </w:t>
      </w:r>
      <w:proofErr w:type="spellStart"/>
      <w:r w:rsidR="00803B6D" w:rsidRPr="00863A4D">
        <w:t>ceritinib</w:t>
      </w:r>
      <w:proofErr w:type="spellEnd"/>
      <w:r w:rsidRPr="00863A4D">
        <w:t xml:space="preserve">. </w:t>
      </w:r>
      <w:r w:rsidR="008726B5" w:rsidRPr="00863A4D">
        <w:t>In addition, it is likely that in many cases these costs may be deferred, rather than completely avoided.</w:t>
      </w:r>
    </w:p>
    <w:p w:rsidR="000024FC" w:rsidRPr="00863A4D" w:rsidRDefault="00BD288C" w:rsidP="00863A4D">
      <w:pPr>
        <w:pStyle w:val="ListParagraph"/>
        <w:numPr>
          <w:ilvl w:val="2"/>
          <w:numId w:val="4"/>
        </w:numPr>
        <w:spacing w:before="0" w:after="120"/>
        <w:ind w:left="993" w:hanging="437"/>
      </w:pPr>
      <w:r>
        <w:t>The PSCR (p</w:t>
      </w:r>
      <w:r w:rsidR="000024FC" w:rsidRPr="00863A4D">
        <w:t>4) claimed that the estimated cost savings resulting from a reduction in radiotherapy utilisation to manage CNS metastases was not a significant driver of the estimate of the net financial cost ove</w:t>
      </w:r>
      <w:r w:rsidR="00511D72" w:rsidRPr="00863A4D">
        <w:t xml:space="preserve">r listing </w:t>
      </w:r>
      <w:proofErr w:type="spellStart"/>
      <w:r w:rsidR="00511D72" w:rsidRPr="00863A4D">
        <w:t>alectinib</w:t>
      </w:r>
      <w:proofErr w:type="spellEnd"/>
      <w:r w:rsidR="00511D72" w:rsidRPr="00863A4D">
        <w:t xml:space="preserve"> on the PBS.</w:t>
      </w:r>
    </w:p>
    <w:p w:rsidR="000024FC" w:rsidRPr="00863A4D" w:rsidRDefault="000024FC" w:rsidP="00863A4D">
      <w:pPr>
        <w:pStyle w:val="ListParagraph"/>
        <w:numPr>
          <w:ilvl w:val="2"/>
          <w:numId w:val="4"/>
        </w:numPr>
        <w:spacing w:before="0" w:after="120"/>
        <w:ind w:left="993" w:hanging="437"/>
      </w:pPr>
      <w:r w:rsidRPr="00863A4D">
        <w:t xml:space="preserve">The ESC considered that </w:t>
      </w:r>
      <w:r w:rsidR="003819F7" w:rsidRPr="00863A4D">
        <w:t xml:space="preserve">the </w:t>
      </w:r>
      <w:r w:rsidRPr="00863A4D">
        <w:t>estimated offset was uncertain, as it was based on the estimated difference in central nervous system objective response rat</w:t>
      </w:r>
      <w:r w:rsidR="00511D72" w:rsidRPr="00863A4D">
        <w:t xml:space="preserve">e for </w:t>
      </w:r>
      <w:proofErr w:type="spellStart"/>
      <w:r w:rsidR="00511D72" w:rsidRPr="00863A4D">
        <w:t>alectinib</w:t>
      </w:r>
      <w:proofErr w:type="spellEnd"/>
      <w:r w:rsidR="00511D72" w:rsidRPr="00863A4D">
        <w:t xml:space="preserve"> over </w:t>
      </w:r>
      <w:proofErr w:type="spellStart"/>
      <w:r w:rsidR="00511D72" w:rsidRPr="00863A4D">
        <w:t>ceritinib</w:t>
      </w:r>
      <w:proofErr w:type="spellEnd"/>
      <w:r w:rsidR="00511D72" w:rsidRPr="00863A4D">
        <w:t>.</w:t>
      </w:r>
    </w:p>
    <w:p w:rsidR="000F190C" w:rsidRPr="00863A4D" w:rsidRDefault="003819F7" w:rsidP="00863A4D">
      <w:pPr>
        <w:pStyle w:val="ListParagraph"/>
        <w:numPr>
          <w:ilvl w:val="2"/>
          <w:numId w:val="4"/>
        </w:numPr>
        <w:spacing w:before="0" w:after="120"/>
        <w:ind w:left="993" w:hanging="437"/>
      </w:pPr>
      <w:r w:rsidRPr="00863A4D">
        <w:t>Notwithstanding the PSCR’s arguments, t</w:t>
      </w:r>
      <w:r w:rsidR="009761AE" w:rsidRPr="00863A4D">
        <w:t xml:space="preserve">he ESC </w:t>
      </w:r>
      <w:r w:rsidRPr="00863A4D">
        <w:t xml:space="preserve">considered </w:t>
      </w:r>
      <w:r w:rsidR="001B6725" w:rsidRPr="00863A4D">
        <w:t>that the costs associated with radiotherapy to treat CNS metastases would likely be delayed for most patients</w:t>
      </w:r>
      <w:r w:rsidR="000024FC" w:rsidRPr="00863A4D">
        <w:t>, rather than avoided, and therefore completely off-setting these costs from the financial estimates w</w:t>
      </w:r>
      <w:r w:rsidR="00321B3A" w:rsidRPr="00863A4D">
        <w:t>as</w:t>
      </w:r>
      <w:r w:rsidR="000024FC" w:rsidRPr="00863A4D">
        <w:t xml:space="preserve"> inappropriate, and favoured </w:t>
      </w:r>
      <w:proofErr w:type="spellStart"/>
      <w:r w:rsidR="000024FC" w:rsidRPr="00863A4D">
        <w:t>alectinib</w:t>
      </w:r>
      <w:proofErr w:type="spellEnd"/>
      <w:r w:rsidR="00511D72" w:rsidRPr="00863A4D">
        <w:t>.</w:t>
      </w:r>
    </w:p>
    <w:p w:rsidR="00A074BD" w:rsidRDefault="00A074BD" w:rsidP="00A074BD">
      <w:pPr>
        <w:pStyle w:val="Caption"/>
      </w:pPr>
      <w:r>
        <w:t xml:space="preserve">Table </w:t>
      </w:r>
      <w:r>
        <w:rPr>
          <w:noProof/>
        </w:rPr>
        <w:t>11</w:t>
      </w:r>
      <w:r w:rsidRPr="00CA5FE0">
        <w:t>: Estimated use and financial implications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stimated use and financial implications"/>
      </w:tblPr>
      <w:tblGrid>
        <w:gridCol w:w="2073"/>
        <w:gridCol w:w="1189"/>
        <w:gridCol w:w="1220"/>
        <w:gridCol w:w="1190"/>
        <w:gridCol w:w="1190"/>
        <w:gridCol w:w="1190"/>
        <w:gridCol w:w="1190"/>
      </w:tblGrid>
      <w:tr w:rsidR="00881ABC" w:rsidRPr="0094528C" w:rsidTr="00566965">
        <w:trPr>
          <w:cnfStyle w:val="100000000000" w:firstRow="1" w:lastRow="0" w:firstColumn="0" w:lastColumn="0" w:oddVBand="0" w:evenVBand="0" w:oddHBand="0" w:evenHBand="0" w:firstRowFirstColumn="0" w:firstRowLastColumn="0" w:lastRowFirstColumn="0" w:lastRowLastColumn="0"/>
          <w:tblHeader/>
        </w:trPr>
        <w:tc>
          <w:tcPr>
            <w:tcW w:w="1124" w:type="pct"/>
            <w:vAlign w:val="center"/>
          </w:tcPr>
          <w:p w:rsidR="00881ABC" w:rsidRPr="0094528C" w:rsidRDefault="00881ABC" w:rsidP="00585D2A">
            <w:pPr>
              <w:pStyle w:val="TableText"/>
            </w:pPr>
          </w:p>
        </w:tc>
        <w:tc>
          <w:tcPr>
            <w:tcW w:w="646" w:type="pct"/>
            <w:vAlign w:val="center"/>
          </w:tcPr>
          <w:p w:rsidR="00881ABC" w:rsidRPr="0094528C" w:rsidRDefault="00881ABC" w:rsidP="00585D2A">
            <w:pPr>
              <w:pStyle w:val="TableText"/>
              <w:jc w:val="center"/>
            </w:pPr>
            <w:r w:rsidRPr="0094528C">
              <w:t>Year 1</w:t>
            </w:r>
          </w:p>
        </w:tc>
        <w:tc>
          <w:tcPr>
            <w:tcW w:w="646" w:type="pct"/>
            <w:vAlign w:val="center"/>
          </w:tcPr>
          <w:p w:rsidR="00881ABC" w:rsidRPr="0094528C" w:rsidRDefault="00881ABC" w:rsidP="00585D2A">
            <w:pPr>
              <w:pStyle w:val="TableText"/>
              <w:jc w:val="center"/>
            </w:pPr>
            <w:r w:rsidRPr="0094528C">
              <w:t>Year 2</w:t>
            </w:r>
          </w:p>
        </w:tc>
        <w:tc>
          <w:tcPr>
            <w:tcW w:w="646" w:type="pct"/>
            <w:vAlign w:val="center"/>
          </w:tcPr>
          <w:p w:rsidR="00881ABC" w:rsidRPr="0094528C" w:rsidRDefault="00881ABC" w:rsidP="00585D2A">
            <w:pPr>
              <w:pStyle w:val="TableText"/>
              <w:jc w:val="center"/>
            </w:pPr>
            <w:r w:rsidRPr="0094528C">
              <w:t>Year 3</w:t>
            </w:r>
          </w:p>
        </w:tc>
        <w:tc>
          <w:tcPr>
            <w:tcW w:w="646" w:type="pct"/>
            <w:vAlign w:val="center"/>
          </w:tcPr>
          <w:p w:rsidR="00881ABC" w:rsidRPr="0094528C" w:rsidRDefault="00881ABC" w:rsidP="00585D2A">
            <w:pPr>
              <w:pStyle w:val="TableText"/>
              <w:jc w:val="center"/>
            </w:pPr>
            <w:r w:rsidRPr="0094528C">
              <w:t>Year 4</w:t>
            </w:r>
          </w:p>
        </w:tc>
        <w:tc>
          <w:tcPr>
            <w:tcW w:w="646" w:type="pct"/>
            <w:vAlign w:val="center"/>
          </w:tcPr>
          <w:p w:rsidR="00881ABC" w:rsidRPr="0094528C" w:rsidRDefault="00881ABC" w:rsidP="00585D2A">
            <w:pPr>
              <w:pStyle w:val="TableText"/>
              <w:jc w:val="center"/>
            </w:pPr>
            <w:r w:rsidRPr="0094528C">
              <w:t>Year 5</w:t>
            </w:r>
          </w:p>
        </w:tc>
        <w:tc>
          <w:tcPr>
            <w:tcW w:w="646" w:type="pct"/>
            <w:vAlign w:val="center"/>
          </w:tcPr>
          <w:p w:rsidR="00881ABC" w:rsidRPr="0094528C" w:rsidRDefault="00881ABC" w:rsidP="00585D2A">
            <w:pPr>
              <w:pStyle w:val="TableText"/>
              <w:jc w:val="center"/>
            </w:pPr>
            <w:r w:rsidRPr="0094528C">
              <w:t>Year 6</w:t>
            </w:r>
          </w:p>
        </w:tc>
      </w:tr>
      <w:tr w:rsidR="00881ABC" w:rsidRPr="0094528C" w:rsidTr="004C5B8E">
        <w:tc>
          <w:tcPr>
            <w:tcW w:w="1124" w:type="pct"/>
            <w:vAlign w:val="center"/>
          </w:tcPr>
          <w:p w:rsidR="00881ABC" w:rsidRPr="0094528C" w:rsidRDefault="00881ABC" w:rsidP="00585D2A">
            <w:pPr>
              <w:pStyle w:val="TableText"/>
            </w:pPr>
            <w:r w:rsidRPr="0094528C">
              <w:t>Total patients treated</w:t>
            </w:r>
          </w:p>
        </w:tc>
        <w:tc>
          <w:tcPr>
            <w:tcW w:w="646" w:type="pct"/>
            <w:vAlign w:val="center"/>
          </w:tcPr>
          <w:p w:rsidR="00881ABC" w:rsidRPr="001C2F0E" w:rsidRDefault="001C2F0E" w:rsidP="00585D2A">
            <w:pPr>
              <w:pStyle w:val="TableText"/>
              <w:jc w:val="center"/>
              <w:rPr>
                <w:highlight w:val="black"/>
              </w:rPr>
            </w:pPr>
            <w:r>
              <w:rPr>
                <w:noProof/>
                <w:color w:val="000000"/>
                <w:highlight w:val="black"/>
              </w:rPr>
              <w:t>'''''''''</w:t>
            </w:r>
          </w:p>
        </w:tc>
        <w:tc>
          <w:tcPr>
            <w:tcW w:w="646" w:type="pct"/>
            <w:vAlign w:val="center"/>
          </w:tcPr>
          <w:p w:rsidR="00881ABC" w:rsidRPr="001C2F0E" w:rsidRDefault="001C2F0E" w:rsidP="00585D2A">
            <w:pPr>
              <w:pStyle w:val="TableText"/>
              <w:jc w:val="center"/>
              <w:rPr>
                <w:highlight w:val="black"/>
              </w:rPr>
            </w:pPr>
            <w:r>
              <w:rPr>
                <w:noProof/>
                <w:color w:val="000000"/>
                <w:highlight w:val="black"/>
              </w:rPr>
              <w:t>''''''''''</w:t>
            </w:r>
          </w:p>
        </w:tc>
        <w:tc>
          <w:tcPr>
            <w:tcW w:w="646" w:type="pct"/>
            <w:vAlign w:val="center"/>
          </w:tcPr>
          <w:p w:rsidR="00881ABC" w:rsidRPr="001C2F0E" w:rsidRDefault="001C2F0E" w:rsidP="00585D2A">
            <w:pPr>
              <w:pStyle w:val="TableText"/>
              <w:jc w:val="center"/>
              <w:rPr>
                <w:highlight w:val="black"/>
              </w:rPr>
            </w:pPr>
            <w:r>
              <w:rPr>
                <w:noProof/>
                <w:color w:val="000000"/>
                <w:highlight w:val="black"/>
              </w:rPr>
              <w:t>''''''''''</w:t>
            </w:r>
          </w:p>
        </w:tc>
        <w:tc>
          <w:tcPr>
            <w:tcW w:w="646" w:type="pct"/>
            <w:vAlign w:val="center"/>
          </w:tcPr>
          <w:p w:rsidR="00881ABC" w:rsidRPr="001C2F0E" w:rsidRDefault="001C2F0E" w:rsidP="00585D2A">
            <w:pPr>
              <w:pStyle w:val="TableText"/>
              <w:jc w:val="center"/>
              <w:rPr>
                <w:highlight w:val="black"/>
              </w:rPr>
            </w:pPr>
            <w:r>
              <w:rPr>
                <w:noProof/>
                <w:color w:val="000000"/>
                <w:highlight w:val="black"/>
              </w:rPr>
              <w:t>'''''''''</w:t>
            </w:r>
          </w:p>
        </w:tc>
        <w:tc>
          <w:tcPr>
            <w:tcW w:w="646" w:type="pct"/>
            <w:vAlign w:val="center"/>
          </w:tcPr>
          <w:p w:rsidR="00881ABC" w:rsidRPr="001C2F0E" w:rsidRDefault="001C2F0E" w:rsidP="00585D2A">
            <w:pPr>
              <w:pStyle w:val="TableText"/>
              <w:jc w:val="center"/>
              <w:rPr>
                <w:highlight w:val="black"/>
              </w:rPr>
            </w:pPr>
            <w:r>
              <w:rPr>
                <w:noProof/>
                <w:color w:val="000000"/>
                <w:highlight w:val="black"/>
              </w:rPr>
              <w:t>'''''''''</w:t>
            </w:r>
          </w:p>
        </w:tc>
        <w:tc>
          <w:tcPr>
            <w:tcW w:w="646" w:type="pct"/>
            <w:vAlign w:val="center"/>
          </w:tcPr>
          <w:p w:rsidR="00881ABC" w:rsidRPr="001C2F0E" w:rsidRDefault="001C2F0E" w:rsidP="00585D2A">
            <w:pPr>
              <w:pStyle w:val="TableText"/>
              <w:jc w:val="center"/>
              <w:rPr>
                <w:highlight w:val="black"/>
              </w:rPr>
            </w:pPr>
            <w:r>
              <w:rPr>
                <w:noProof/>
                <w:color w:val="000000"/>
                <w:highlight w:val="black"/>
              </w:rPr>
              <w:t>''''''''''</w:t>
            </w:r>
          </w:p>
        </w:tc>
      </w:tr>
      <w:tr w:rsidR="00881ABC" w:rsidRPr="0094528C" w:rsidTr="004C5B8E">
        <w:tc>
          <w:tcPr>
            <w:tcW w:w="1124" w:type="pct"/>
          </w:tcPr>
          <w:p w:rsidR="00881ABC" w:rsidRPr="0094528C" w:rsidRDefault="00CB75AA" w:rsidP="00585D2A">
            <w:pPr>
              <w:pStyle w:val="TableText"/>
              <w:jc w:val="left"/>
              <w:rPr>
                <w:vertAlign w:val="superscript"/>
              </w:rPr>
            </w:pPr>
            <w:r w:rsidRPr="0094528C">
              <w:t>No.</w:t>
            </w:r>
            <w:r w:rsidR="00881ABC" w:rsidRPr="0094528C">
              <w:t xml:space="preserve"> of scripts dispensed</w:t>
            </w:r>
          </w:p>
        </w:tc>
        <w:tc>
          <w:tcPr>
            <w:tcW w:w="646" w:type="pct"/>
            <w:vAlign w:val="center"/>
          </w:tcPr>
          <w:p w:rsidR="00881ABC" w:rsidRPr="001C2F0E" w:rsidRDefault="001C2F0E" w:rsidP="00585D2A">
            <w:pPr>
              <w:pStyle w:val="TableText"/>
              <w:jc w:val="center"/>
              <w:rPr>
                <w:highlight w:val="black"/>
              </w:rPr>
            </w:pPr>
            <w:r>
              <w:rPr>
                <w:noProof/>
                <w:color w:val="000000"/>
                <w:highlight w:val="black"/>
              </w:rPr>
              <w:t>''''''''''''''</w:t>
            </w:r>
          </w:p>
        </w:tc>
        <w:tc>
          <w:tcPr>
            <w:tcW w:w="646" w:type="pct"/>
            <w:vAlign w:val="center"/>
          </w:tcPr>
          <w:p w:rsidR="00881ABC" w:rsidRPr="001C2F0E" w:rsidRDefault="001C2F0E" w:rsidP="00585D2A">
            <w:pPr>
              <w:pStyle w:val="TableText"/>
              <w:jc w:val="center"/>
              <w:rPr>
                <w:highlight w:val="black"/>
              </w:rPr>
            </w:pPr>
            <w:r>
              <w:rPr>
                <w:noProof/>
                <w:color w:val="000000"/>
                <w:highlight w:val="black"/>
              </w:rPr>
              <w:t>''''''''''''''</w:t>
            </w:r>
          </w:p>
        </w:tc>
        <w:tc>
          <w:tcPr>
            <w:tcW w:w="646" w:type="pct"/>
            <w:vAlign w:val="center"/>
          </w:tcPr>
          <w:p w:rsidR="00881ABC" w:rsidRPr="001C2F0E" w:rsidRDefault="001C2F0E" w:rsidP="00585D2A">
            <w:pPr>
              <w:pStyle w:val="TableText"/>
              <w:jc w:val="center"/>
              <w:rPr>
                <w:highlight w:val="black"/>
              </w:rPr>
            </w:pPr>
            <w:r>
              <w:rPr>
                <w:noProof/>
                <w:color w:val="000000"/>
                <w:highlight w:val="black"/>
              </w:rPr>
              <w:t>''''''''''''</w:t>
            </w:r>
          </w:p>
        </w:tc>
        <w:tc>
          <w:tcPr>
            <w:tcW w:w="646" w:type="pct"/>
            <w:vAlign w:val="center"/>
          </w:tcPr>
          <w:p w:rsidR="00881ABC" w:rsidRPr="001C2F0E" w:rsidRDefault="001C2F0E" w:rsidP="00585D2A">
            <w:pPr>
              <w:pStyle w:val="TableText"/>
              <w:jc w:val="center"/>
              <w:rPr>
                <w:highlight w:val="black"/>
              </w:rPr>
            </w:pPr>
            <w:r>
              <w:rPr>
                <w:noProof/>
                <w:color w:val="000000"/>
                <w:highlight w:val="black"/>
              </w:rPr>
              <w:t>''''''''''''''</w:t>
            </w:r>
          </w:p>
        </w:tc>
        <w:tc>
          <w:tcPr>
            <w:tcW w:w="646" w:type="pct"/>
            <w:vAlign w:val="center"/>
          </w:tcPr>
          <w:p w:rsidR="00881ABC" w:rsidRPr="001C2F0E" w:rsidRDefault="001C2F0E" w:rsidP="00585D2A">
            <w:pPr>
              <w:pStyle w:val="TableText"/>
              <w:jc w:val="center"/>
              <w:rPr>
                <w:highlight w:val="black"/>
              </w:rPr>
            </w:pPr>
            <w:r>
              <w:rPr>
                <w:noProof/>
                <w:color w:val="000000"/>
                <w:highlight w:val="black"/>
              </w:rPr>
              <w:t>''''''''''''</w:t>
            </w:r>
          </w:p>
        </w:tc>
        <w:tc>
          <w:tcPr>
            <w:tcW w:w="646" w:type="pct"/>
            <w:vAlign w:val="center"/>
          </w:tcPr>
          <w:p w:rsidR="00881ABC" w:rsidRPr="001C2F0E" w:rsidRDefault="001C2F0E" w:rsidP="00585D2A">
            <w:pPr>
              <w:pStyle w:val="TableText"/>
              <w:jc w:val="center"/>
              <w:rPr>
                <w:highlight w:val="black"/>
              </w:rPr>
            </w:pPr>
            <w:r>
              <w:rPr>
                <w:noProof/>
                <w:color w:val="000000"/>
                <w:highlight w:val="black"/>
              </w:rPr>
              <w:t>'''''''''''''</w:t>
            </w:r>
          </w:p>
        </w:tc>
      </w:tr>
      <w:tr w:rsidR="00881ABC" w:rsidRPr="0094528C" w:rsidTr="004C5B8E">
        <w:tc>
          <w:tcPr>
            <w:tcW w:w="5000" w:type="pct"/>
            <w:gridSpan w:val="7"/>
            <w:vAlign w:val="center"/>
          </w:tcPr>
          <w:p w:rsidR="00881ABC" w:rsidRPr="002E48E2" w:rsidRDefault="00881ABC" w:rsidP="00585D2A">
            <w:pPr>
              <w:pStyle w:val="TableText"/>
            </w:pPr>
            <w:r w:rsidRPr="002E48E2">
              <w:rPr>
                <w:b/>
                <w:bCs/>
                <w:color w:val="000000"/>
              </w:rPr>
              <w:t xml:space="preserve">Estimated financial implications of </w:t>
            </w:r>
            <w:proofErr w:type="spellStart"/>
            <w:r w:rsidRPr="002E48E2">
              <w:rPr>
                <w:b/>
                <w:bCs/>
                <w:color w:val="000000"/>
              </w:rPr>
              <w:t>alectinib</w:t>
            </w:r>
            <w:proofErr w:type="spellEnd"/>
            <w:r w:rsidRPr="002E48E2">
              <w:rPr>
                <w:b/>
                <w:bCs/>
                <w:color w:val="000000"/>
              </w:rPr>
              <w:t xml:space="preserve"> </w:t>
            </w:r>
          </w:p>
        </w:tc>
      </w:tr>
      <w:tr w:rsidR="00881ABC" w:rsidRPr="0094528C" w:rsidTr="004C5B8E">
        <w:tc>
          <w:tcPr>
            <w:tcW w:w="1124" w:type="pct"/>
            <w:vAlign w:val="center"/>
          </w:tcPr>
          <w:p w:rsidR="00881ABC" w:rsidRPr="0094528C" w:rsidRDefault="00881ABC" w:rsidP="00585D2A">
            <w:pPr>
              <w:pStyle w:val="TableText"/>
              <w:ind w:left="142"/>
              <w:rPr>
                <w:vertAlign w:val="superscript"/>
              </w:rPr>
            </w:pPr>
            <w:r w:rsidRPr="0094528C">
              <w:t>Cost to PBS/</w:t>
            </w:r>
            <w:proofErr w:type="spellStart"/>
            <w:r w:rsidRPr="0094528C">
              <w:t>RPBS</w:t>
            </w:r>
            <w:r w:rsidR="006567B3" w:rsidRPr="0094528C">
              <w:rPr>
                <w:vertAlign w:val="superscript"/>
              </w:rPr>
              <w:t>a</w:t>
            </w:r>
            <w:proofErr w:type="spellEnd"/>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r>
      <w:tr w:rsidR="00881ABC" w:rsidRPr="0094528C" w:rsidTr="004C5B8E">
        <w:tc>
          <w:tcPr>
            <w:tcW w:w="1124" w:type="pct"/>
            <w:vAlign w:val="center"/>
          </w:tcPr>
          <w:p w:rsidR="00881ABC" w:rsidRPr="0094528C" w:rsidRDefault="00422BE7" w:rsidP="00585D2A">
            <w:pPr>
              <w:pStyle w:val="TableText"/>
              <w:ind w:left="142"/>
              <w:rPr>
                <w:vertAlign w:val="superscript"/>
              </w:rPr>
            </w:pPr>
            <w:proofErr w:type="spellStart"/>
            <w:r w:rsidRPr="0094528C">
              <w:t>Co</w:t>
            </w:r>
            <w:r w:rsidR="00881ABC" w:rsidRPr="0094528C">
              <w:t>payments</w:t>
            </w:r>
            <w:r w:rsidR="006567B3" w:rsidRPr="0094528C">
              <w:rPr>
                <w:vertAlign w:val="superscript"/>
              </w:rPr>
              <w:t>b</w:t>
            </w:r>
            <w:proofErr w:type="spellEnd"/>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r>
      <w:tr w:rsidR="00881ABC" w:rsidRPr="0094528C" w:rsidTr="004C5B8E">
        <w:tc>
          <w:tcPr>
            <w:tcW w:w="1124" w:type="pct"/>
            <w:vAlign w:val="center"/>
          </w:tcPr>
          <w:p w:rsidR="00881ABC" w:rsidRPr="0094528C" w:rsidRDefault="00422BE7" w:rsidP="00585D2A">
            <w:pPr>
              <w:pStyle w:val="TableText"/>
            </w:pPr>
            <w:r w:rsidRPr="0094528C">
              <w:t>C</w:t>
            </w:r>
            <w:r w:rsidR="00881ABC" w:rsidRPr="0094528C">
              <w:t>ost to PBS/RPBS</w:t>
            </w:r>
            <w:r w:rsidRPr="0094528C">
              <w:t xml:space="preserve"> less copayments</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r>
      <w:tr w:rsidR="00881ABC" w:rsidRPr="0094528C" w:rsidTr="004C5B8E">
        <w:tc>
          <w:tcPr>
            <w:tcW w:w="5000" w:type="pct"/>
            <w:gridSpan w:val="7"/>
            <w:vAlign w:val="center"/>
          </w:tcPr>
          <w:p w:rsidR="00881ABC" w:rsidRPr="002E48E2" w:rsidRDefault="00881ABC" w:rsidP="00585D2A">
            <w:pPr>
              <w:pStyle w:val="TableText"/>
            </w:pPr>
            <w:r w:rsidRPr="002E48E2">
              <w:rPr>
                <w:b/>
              </w:rPr>
              <w:t xml:space="preserve">Estimated financial implications for </w:t>
            </w:r>
            <w:proofErr w:type="spellStart"/>
            <w:r w:rsidRPr="002E48E2">
              <w:rPr>
                <w:b/>
              </w:rPr>
              <w:t>ce</w:t>
            </w:r>
            <w:r w:rsidR="007C24E6" w:rsidRPr="002E48E2">
              <w:rPr>
                <w:b/>
              </w:rPr>
              <w:t>r</w:t>
            </w:r>
            <w:r w:rsidRPr="002E48E2">
              <w:rPr>
                <w:b/>
              </w:rPr>
              <w:t>itinib</w:t>
            </w:r>
            <w:proofErr w:type="spellEnd"/>
          </w:p>
        </w:tc>
      </w:tr>
      <w:tr w:rsidR="00881ABC" w:rsidRPr="0094528C" w:rsidTr="004C5B8E">
        <w:tc>
          <w:tcPr>
            <w:tcW w:w="1124" w:type="pct"/>
            <w:vAlign w:val="center"/>
          </w:tcPr>
          <w:p w:rsidR="00881ABC" w:rsidRPr="0094528C" w:rsidRDefault="00881ABC" w:rsidP="00585D2A">
            <w:pPr>
              <w:pStyle w:val="TableText"/>
              <w:ind w:left="142"/>
              <w:rPr>
                <w:vertAlign w:val="superscript"/>
              </w:rPr>
            </w:pPr>
            <w:r w:rsidRPr="0094528C">
              <w:t>Cost to PBS/</w:t>
            </w:r>
            <w:proofErr w:type="spellStart"/>
            <w:r w:rsidRPr="0094528C">
              <w:t>RPBS</w:t>
            </w:r>
            <w:r w:rsidR="006567B3" w:rsidRPr="0094528C">
              <w:rPr>
                <w:vertAlign w:val="superscript"/>
              </w:rPr>
              <w:t>a</w:t>
            </w:r>
            <w:proofErr w:type="spellEnd"/>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r>
      <w:tr w:rsidR="00881ABC" w:rsidRPr="0094528C" w:rsidTr="004C5B8E">
        <w:tc>
          <w:tcPr>
            <w:tcW w:w="1124" w:type="pct"/>
            <w:vAlign w:val="center"/>
          </w:tcPr>
          <w:p w:rsidR="00881ABC" w:rsidRPr="0094528C" w:rsidRDefault="00422BE7" w:rsidP="00585D2A">
            <w:pPr>
              <w:pStyle w:val="TableText"/>
              <w:ind w:left="142"/>
              <w:rPr>
                <w:vertAlign w:val="superscript"/>
              </w:rPr>
            </w:pPr>
            <w:proofErr w:type="spellStart"/>
            <w:r w:rsidRPr="0094528C">
              <w:t>Co</w:t>
            </w:r>
            <w:r w:rsidR="00881ABC" w:rsidRPr="0094528C">
              <w:t>payments</w:t>
            </w:r>
            <w:r w:rsidR="006567B3" w:rsidRPr="0094528C">
              <w:rPr>
                <w:vertAlign w:val="superscript"/>
              </w:rPr>
              <w:t>b</w:t>
            </w:r>
            <w:proofErr w:type="spellEnd"/>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r>
      <w:tr w:rsidR="00881ABC" w:rsidRPr="0094528C" w:rsidTr="004C5B8E">
        <w:tc>
          <w:tcPr>
            <w:tcW w:w="1124" w:type="pct"/>
            <w:vAlign w:val="center"/>
          </w:tcPr>
          <w:p w:rsidR="00881ABC" w:rsidRPr="0094528C" w:rsidRDefault="00422BE7" w:rsidP="00585D2A">
            <w:pPr>
              <w:pStyle w:val="TableText"/>
            </w:pPr>
            <w:r w:rsidRPr="0094528C">
              <w:t>Cost to PBS/RPBS less copayments</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r>
      <w:tr w:rsidR="00881ABC" w:rsidRPr="0094528C" w:rsidTr="004C5B8E">
        <w:tc>
          <w:tcPr>
            <w:tcW w:w="5000" w:type="pct"/>
            <w:gridSpan w:val="7"/>
            <w:vAlign w:val="center"/>
          </w:tcPr>
          <w:p w:rsidR="00881ABC" w:rsidRPr="002E48E2" w:rsidRDefault="00881ABC" w:rsidP="00585D2A">
            <w:pPr>
              <w:pStyle w:val="TableText"/>
              <w:jc w:val="left"/>
            </w:pPr>
            <w:r w:rsidRPr="002E48E2">
              <w:rPr>
                <w:b/>
              </w:rPr>
              <w:t>Net financial implications</w:t>
            </w:r>
          </w:p>
        </w:tc>
      </w:tr>
      <w:tr w:rsidR="00881ABC" w:rsidRPr="0094528C" w:rsidTr="004C5B8E">
        <w:tc>
          <w:tcPr>
            <w:tcW w:w="1124" w:type="pct"/>
            <w:vAlign w:val="center"/>
          </w:tcPr>
          <w:p w:rsidR="00881ABC" w:rsidRPr="0094528C" w:rsidRDefault="00881ABC" w:rsidP="00585D2A">
            <w:pPr>
              <w:pStyle w:val="TableText"/>
              <w:jc w:val="left"/>
              <w:rPr>
                <w:vertAlign w:val="superscript"/>
              </w:rPr>
            </w:pPr>
            <w:r w:rsidRPr="0094528C">
              <w:t>Net cost to PBS/RPBS</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c>
          <w:tcPr>
            <w:tcW w:w="646" w:type="pct"/>
            <w:vAlign w:val="center"/>
          </w:tcPr>
          <w:p w:rsidR="00881ABC" w:rsidRPr="002E48E2" w:rsidRDefault="00881ABC" w:rsidP="00585D2A">
            <w:pPr>
              <w:pStyle w:val="TableText"/>
              <w:jc w:val="right"/>
            </w:pPr>
            <w:r w:rsidRPr="002E48E2">
              <w:t>-$</w:t>
            </w:r>
            <w:r w:rsidR="001C2F0E">
              <w:rPr>
                <w:noProof/>
                <w:color w:val="000000"/>
                <w:highlight w:val="black"/>
              </w:rPr>
              <w:t>'''''''''''''</w:t>
            </w:r>
          </w:p>
        </w:tc>
      </w:tr>
      <w:tr w:rsidR="00881ABC" w:rsidRPr="0094528C" w:rsidTr="004C5B8E">
        <w:tc>
          <w:tcPr>
            <w:tcW w:w="1124" w:type="pct"/>
            <w:vAlign w:val="center"/>
          </w:tcPr>
          <w:p w:rsidR="00881ABC" w:rsidRPr="0094528C" w:rsidRDefault="00881ABC" w:rsidP="00585D2A">
            <w:pPr>
              <w:pStyle w:val="TableText"/>
              <w:jc w:val="left"/>
            </w:pPr>
            <w:r w:rsidRPr="0094528C">
              <w:t>Net cost to MBS</w:t>
            </w:r>
          </w:p>
        </w:tc>
        <w:tc>
          <w:tcPr>
            <w:tcW w:w="646" w:type="pct"/>
            <w:vAlign w:val="center"/>
          </w:tcPr>
          <w:p w:rsidR="00881ABC" w:rsidRPr="002E48E2" w:rsidRDefault="000261E0" w:rsidP="00585D2A">
            <w:pPr>
              <w:pStyle w:val="TableText"/>
              <w:jc w:val="right"/>
            </w:pPr>
            <w:r w:rsidRPr="002E48E2">
              <w:t>-</w:t>
            </w:r>
            <w:r w:rsidR="00881ABC" w:rsidRPr="002E48E2">
              <w:t>$</w:t>
            </w:r>
            <w:r w:rsidR="001C2F0E">
              <w:rPr>
                <w:noProof/>
                <w:color w:val="000000"/>
                <w:highlight w:val="black"/>
              </w:rPr>
              <w:t>'''''''''''''''</w:t>
            </w:r>
          </w:p>
        </w:tc>
        <w:tc>
          <w:tcPr>
            <w:tcW w:w="646" w:type="pct"/>
            <w:vAlign w:val="center"/>
          </w:tcPr>
          <w:p w:rsidR="00881ABC" w:rsidRPr="002E48E2" w:rsidRDefault="000261E0" w:rsidP="00585D2A">
            <w:pPr>
              <w:pStyle w:val="TableText"/>
              <w:jc w:val="right"/>
            </w:pPr>
            <w:r w:rsidRPr="002E48E2">
              <w:t>-</w:t>
            </w:r>
            <w:r w:rsidR="00881ABC" w:rsidRPr="002E48E2">
              <w:t>$</w:t>
            </w:r>
            <w:r w:rsidR="001C2F0E">
              <w:rPr>
                <w:noProof/>
                <w:color w:val="000000"/>
                <w:highlight w:val="black"/>
              </w:rPr>
              <w:t>''''''''''''''''''</w:t>
            </w:r>
          </w:p>
        </w:tc>
        <w:tc>
          <w:tcPr>
            <w:tcW w:w="646" w:type="pct"/>
            <w:vAlign w:val="center"/>
          </w:tcPr>
          <w:p w:rsidR="00881ABC" w:rsidRPr="002E48E2" w:rsidRDefault="000261E0" w:rsidP="00585D2A">
            <w:pPr>
              <w:pStyle w:val="TableText"/>
              <w:jc w:val="right"/>
            </w:pPr>
            <w:r w:rsidRPr="002E48E2">
              <w:t>-</w:t>
            </w:r>
            <w:r w:rsidR="00881ABC" w:rsidRPr="002E48E2">
              <w:t>$</w:t>
            </w:r>
            <w:r w:rsidR="001C2F0E">
              <w:rPr>
                <w:noProof/>
                <w:color w:val="000000"/>
                <w:highlight w:val="black"/>
              </w:rPr>
              <w:t>''''''''''''''''</w:t>
            </w:r>
          </w:p>
        </w:tc>
        <w:tc>
          <w:tcPr>
            <w:tcW w:w="646" w:type="pct"/>
            <w:vAlign w:val="center"/>
          </w:tcPr>
          <w:p w:rsidR="00881ABC" w:rsidRPr="002E48E2" w:rsidRDefault="000261E0" w:rsidP="00585D2A">
            <w:pPr>
              <w:pStyle w:val="TableText"/>
              <w:jc w:val="right"/>
            </w:pPr>
            <w:r w:rsidRPr="002E48E2">
              <w:t>-</w:t>
            </w:r>
            <w:r w:rsidR="00881ABC" w:rsidRPr="002E48E2">
              <w:t>$</w:t>
            </w:r>
            <w:r w:rsidR="001C2F0E">
              <w:rPr>
                <w:noProof/>
                <w:color w:val="000000"/>
                <w:highlight w:val="black"/>
              </w:rPr>
              <w:t>''''''''''''''''</w:t>
            </w:r>
          </w:p>
        </w:tc>
        <w:tc>
          <w:tcPr>
            <w:tcW w:w="646" w:type="pct"/>
            <w:vAlign w:val="center"/>
          </w:tcPr>
          <w:p w:rsidR="00881ABC" w:rsidRPr="002E48E2" w:rsidRDefault="000261E0" w:rsidP="00585D2A">
            <w:pPr>
              <w:pStyle w:val="TableText"/>
              <w:jc w:val="right"/>
            </w:pPr>
            <w:r w:rsidRPr="002E48E2">
              <w:t>-</w:t>
            </w:r>
            <w:r w:rsidR="00881ABC" w:rsidRPr="002E48E2">
              <w:t>$</w:t>
            </w:r>
            <w:r w:rsidR="001C2F0E">
              <w:rPr>
                <w:noProof/>
                <w:color w:val="000000"/>
                <w:highlight w:val="black"/>
              </w:rPr>
              <w:t>'''''''''''''''</w:t>
            </w:r>
          </w:p>
        </w:tc>
        <w:tc>
          <w:tcPr>
            <w:tcW w:w="646" w:type="pct"/>
            <w:vAlign w:val="center"/>
          </w:tcPr>
          <w:p w:rsidR="00881ABC" w:rsidRPr="002E48E2" w:rsidRDefault="000261E0" w:rsidP="00585D2A">
            <w:pPr>
              <w:pStyle w:val="TableText"/>
              <w:jc w:val="right"/>
            </w:pPr>
            <w:r w:rsidRPr="002E48E2">
              <w:t>-</w:t>
            </w:r>
            <w:r w:rsidR="00881ABC" w:rsidRPr="002E48E2">
              <w:t>$</w:t>
            </w:r>
            <w:r w:rsidR="001C2F0E">
              <w:rPr>
                <w:noProof/>
                <w:color w:val="000000"/>
                <w:highlight w:val="black"/>
              </w:rPr>
              <w:t>'''''''''''''''''</w:t>
            </w:r>
          </w:p>
        </w:tc>
      </w:tr>
      <w:tr w:rsidR="001A035D" w:rsidRPr="0094528C" w:rsidTr="004C5B8E">
        <w:tc>
          <w:tcPr>
            <w:tcW w:w="1124" w:type="pct"/>
            <w:vAlign w:val="center"/>
          </w:tcPr>
          <w:p w:rsidR="001A035D" w:rsidRPr="0094528C" w:rsidRDefault="001A035D" w:rsidP="00585D2A">
            <w:pPr>
              <w:pStyle w:val="TableText"/>
              <w:jc w:val="left"/>
              <w:rPr>
                <w:b/>
              </w:rPr>
            </w:pPr>
            <w:r w:rsidRPr="0094528C">
              <w:rPr>
                <w:b/>
              </w:rPr>
              <w:t>Net cost to PBS/RPBS/MBS</w:t>
            </w:r>
          </w:p>
        </w:tc>
        <w:tc>
          <w:tcPr>
            <w:tcW w:w="646" w:type="pct"/>
            <w:vAlign w:val="center"/>
          </w:tcPr>
          <w:p w:rsidR="001A035D" w:rsidRPr="002E48E2" w:rsidRDefault="000261E0" w:rsidP="000261E0">
            <w:pPr>
              <w:pStyle w:val="TableText"/>
              <w:jc w:val="right"/>
              <w:rPr>
                <w:b/>
              </w:rPr>
            </w:pPr>
            <w:r w:rsidRPr="002E48E2">
              <w:rPr>
                <w:b/>
              </w:rPr>
              <w:t>-</w:t>
            </w:r>
            <w:r w:rsidR="001A035D" w:rsidRPr="002E48E2">
              <w:rPr>
                <w:b/>
              </w:rPr>
              <w:t>$</w:t>
            </w:r>
            <w:r w:rsidR="001C2F0E">
              <w:rPr>
                <w:b/>
                <w:noProof/>
                <w:color w:val="000000"/>
                <w:highlight w:val="black"/>
              </w:rPr>
              <w:t>''''''''''''''</w:t>
            </w:r>
          </w:p>
        </w:tc>
        <w:tc>
          <w:tcPr>
            <w:tcW w:w="646" w:type="pct"/>
            <w:vAlign w:val="center"/>
          </w:tcPr>
          <w:p w:rsidR="001A035D" w:rsidRPr="002E48E2" w:rsidRDefault="000261E0" w:rsidP="000261E0">
            <w:pPr>
              <w:pStyle w:val="TableText"/>
              <w:jc w:val="right"/>
              <w:rPr>
                <w:b/>
              </w:rPr>
            </w:pPr>
            <w:r w:rsidRPr="002E48E2">
              <w:rPr>
                <w:b/>
              </w:rPr>
              <w:t>-</w:t>
            </w:r>
            <w:r w:rsidR="001A035D" w:rsidRPr="002E48E2">
              <w:rPr>
                <w:b/>
              </w:rPr>
              <w:t>$</w:t>
            </w:r>
            <w:r w:rsidR="001C2F0E">
              <w:rPr>
                <w:b/>
                <w:noProof/>
                <w:color w:val="000000"/>
                <w:highlight w:val="black"/>
              </w:rPr>
              <w:t>'''''''''''''</w:t>
            </w:r>
          </w:p>
        </w:tc>
        <w:tc>
          <w:tcPr>
            <w:tcW w:w="646" w:type="pct"/>
            <w:vAlign w:val="center"/>
          </w:tcPr>
          <w:p w:rsidR="001A035D" w:rsidRPr="002E48E2" w:rsidRDefault="000261E0" w:rsidP="000261E0">
            <w:pPr>
              <w:pStyle w:val="TableText"/>
              <w:jc w:val="right"/>
              <w:rPr>
                <w:b/>
              </w:rPr>
            </w:pPr>
            <w:r w:rsidRPr="002E48E2">
              <w:rPr>
                <w:b/>
              </w:rPr>
              <w:t>-</w:t>
            </w:r>
            <w:r w:rsidR="001A035D" w:rsidRPr="002E48E2">
              <w:rPr>
                <w:b/>
              </w:rPr>
              <w:t>$</w:t>
            </w:r>
            <w:r w:rsidR="001C2F0E">
              <w:rPr>
                <w:b/>
                <w:noProof/>
                <w:color w:val="000000"/>
                <w:highlight w:val="black"/>
              </w:rPr>
              <w:t>''''''''''''</w:t>
            </w:r>
          </w:p>
        </w:tc>
        <w:tc>
          <w:tcPr>
            <w:tcW w:w="646" w:type="pct"/>
            <w:vAlign w:val="center"/>
          </w:tcPr>
          <w:p w:rsidR="001A035D" w:rsidRPr="002E48E2" w:rsidRDefault="000261E0" w:rsidP="000261E0">
            <w:pPr>
              <w:pStyle w:val="TableText"/>
              <w:jc w:val="right"/>
              <w:rPr>
                <w:b/>
              </w:rPr>
            </w:pPr>
            <w:r w:rsidRPr="002E48E2">
              <w:rPr>
                <w:b/>
              </w:rPr>
              <w:t>-</w:t>
            </w:r>
            <w:r w:rsidR="001A035D" w:rsidRPr="002E48E2">
              <w:rPr>
                <w:b/>
              </w:rPr>
              <w:t>$</w:t>
            </w:r>
            <w:r w:rsidR="001C2F0E">
              <w:rPr>
                <w:b/>
                <w:noProof/>
                <w:color w:val="000000"/>
                <w:highlight w:val="black"/>
              </w:rPr>
              <w:t>'''''''''''''''</w:t>
            </w:r>
          </w:p>
        </w:tc>
        <w:tc>
          <w:tcPr>
            <w:tcW w:w="646" w:type="pct"/>
            <w:vAlign w:val="center"/>
          </w:tcPr>
          <w:p w:rsidR="001A035D" w:rsidRPr="002E48E2" w:rsidRDefault="000261E0" w:rsidP="000261E0">
            <w:pPr>
              <w:pStyle w:val="TableText"/>
              <w:jc w:val="right"/>
              <w:rPr>
                <w:b/>
              </w:rPr>
            </w:pPr>
            <w:r w:rsidRPr="002E48E2">
              <w:rPr>
                <w:b/>
              </w:rPr>
              <w:t>-</w:t>
            </w:r>
            <w:r w:rsidR="001A035D" w:rsidRPr="002E48E2">
              <w:rPr>
                <w:b/>
              </w:rPr>
              <w:t>$</w:t>
            </w:r>
            <w:r w:rsidR="001C2F0E">
              <w:rPr>
                <w:b/>
                <w:noProof/>
                <w:color w:val="000000"/>
                <w:highlight w:val="black"/>
              </w:rPr>
              <w:t>'''''''''''''</w:t>
            </w:r>
          </w:p>
        </w:tc>
        <w:tc>
          <w:tcPr>
            <w:tcW w:w="646" w:type="pct"/>
            <w:vAlign w:val="center"/>
          </w:tcPr>
          <w:p w:rsidR="001A035D" w:rsidRPr="002E48E2" w:rsidRDefault="000261E0" w:rsidP="000261E0">
            <w:pPr>
              <w:pStyle w:val="TableText"/>
              <w:jc w:val="right"/>
              <w:rPr>
                <w:b/>
              </w:rPr>
            </w:pPr>
            <w:r w:rsidRPr="002E48E2">
              <w:rPr>
                <w:b/>
              </w:rPr>
              <w:t>-</w:t>
            </w:r>
            <w:r w:rsidR="001A035D" w:rsidRPr="002E48E2">
              <w:rPr>
                <w:b/>
              </w:rPr>
              <w:t>$</w:t>
            </w:r>
            <w:r w:rsidR="001C2F0E">
              <w:rPr>
                <w:b/>
                <w:noProof/>
                <w:color w:val="000000"/>
                <w:highlight w:val="black"/>
              </w:rPr>
              <w:t>'''''''''''''</w:t>
            </w:r>
          </w:p>
        </w:tc>
      </w:tr>
    </w:tbl>
    <w:p w:rsidR="006567B3" w:rsidRPr="00D647A9" w:rsidRDefault="006567B3" w:rsidP="00585D2A">
      <w:pPr>
        <w:pStyle w:val="TableFooter"/>
        <w:keepNext/>
        <w:widowControl/>
        <w:ind w:left="142" w:hanging="142"/>
      </w:pPr>
      <w:proofErr w:type="spellStart"/>
      <w:proofErr w:type="gramStart"/>
      <w:r w:rsidRPr="00D647A9">
        <w:rPr>
          <w:vertAlign w:val="superscript"/>
        </w:rPr>
        <w:t>a</w:t>
      </w:r>
      <w:proofErr w:type="spellEnd"/>
      <w:proofErr w:type="gramEnd"/>
      <w:r w:rsidRPr="00D647A9">
        <w:t xml:space="preserve"> The discrepancy in the cost to the PBS/RPBS for </w:t>
      </w:r>
      <w:proofErr w:type="spellStart"/>
      <w:r w:rsidRPr="00D647A9">
        <w:t>alectinib</w:t>
      </w:r>
      <w:proofErr w:type="spellEnd"/>
      <w:r w:rsidRPr="00D647A9">
        <w:t xml:space="preserve"> and </w:t>
      </w:r>
      <w:proofErr w:type="spellStart"/>
      <w:r w:rsidRPr="00D647A9">
        <w:t>ceritinib</w:t>
      </w:r>
      <w:proofErr w:type="spellEnd"/>
      <w:r w:rsidRPr="00D647A9">
        <w:t xml:space="preserve"> was due to rounding of the script substitution rate and the fact that the cost</w:t>
      </w:r>
      <w:r w:rsidR="00CF0D7A">
        <w:t>-</w:t>
      </w:r>
      <w:r w:rsidRPr="00D647A9">
        <w:t xml:space="preserve">minimisation </w:t>
      </w:r>
      <w:r w:rsidR="00A73E8B" w:rsidRPr="00D647A9">
        <w:t>analysis was perform</w:t>
      </w:r>
      <w:r w:rsidRPr="00D647A9">
        <w:t xml:space="preserve">ed using the </w:t>
      </w:r>
      <w:r w:rsidR="007C24E6" w:rsidRPr="00D647A9">
        <w:t>ex-manufacturer price</w:t>
      </w:r>
      <w:r w:rsidRPr="00D647A9">
        <w:t>.</w:t>
      </w:r>
    </w:p>
    <w:p w:rsidR="006567B3" w:rsidRPr="003D71FA" w:rsidRDefault="006567B3" w:rsidP="00BF5AAE">
      <w:pPr>
        <w:pStyle w:val="TableFooter"/>
        <w:widowControl/>
        <w:ind w:left="142" w:hanging="142"/>
      </w:pPr>
      <w:proofErr w:type="gramStart"/>
      <w:r w:rsidRPr="00D647A9">
        <w:rPr>
          <w:vertAlign w:val="superscript"/>
        </w:rPr>
        <w:t>b</w:t>
      </w:r>
      <w:proofErr w:type="gramEnd"/>
      <w:r w:rsidRPr="00D647A9">
        <w:t xml:space="preserve"> The discrepancy in the patient </w:t>
      </w:r>
      <w:proofErr w:type="spellStart"/>
      <w:r w:rsidRPr="00D647A9">
        <w:t>copayments</w:t>
      </w:r>
      <w:proofErr w:type="spellEnd"/>
      <w:r w:rsidRPr="00D647A9">
        <w:t xml:space="preserve"> for </w:t>
      </w:r>
      <w:proofErr w:type="spellStart"/>
      <w:r w:rsidRPr="00D647A9">
        <w:t>alectinib</w:t>
      </w:r>
      <w:proofErr w:type="spellEnd"/>
      <w:r w:rsidRPr="00D647A9">
        <w:t xml:space="preserve"> </w:t>
      </w:r>
      <w:r w:rsidRPr="003D71FA">
        <w:t xml:space="preserve">and </w:t>
      </w:r>
      <w:proofErr w:type="spellStart"/>
      <w:r w:rsidRPr="003D71FA">
        <w:t>ceritinib</w:t>
      </w:r>
      <w:proofErr w:type="spellEnd"/>
      <w:r w:rsidRPr="003D71FA">
        <w:t xml:space="preserve"> was due to the substitution of 1.07 packs of </w:t>
      </w:r>
      <w:proofErr w:type="spellStart"/>
      <w:r w:rsidRPr="003D71FA">
        <w:t>alectinib</w:t>
      </w:r>
      <w:proofErr w:type="spellEnd"/>
      <w:r w:rsidRPr="003D71FA">
        <w:t xml:space="preserve"> for 1 pack of </w:t>
      </w:r>
      <w:proofErr w:type="spellStart"/>
      <w:r w:rsidRPr="003D71FA">
        <w:t>ceritinib</w:t>
      </w:r>
      <w:proofErr w:type="spellEnd"/>
      <w:r w:rsidRPr="003D71FA">
        <w:t>.</w:t>
      </w:r>
    </w:p>
    <w:p w:rsidR="00881ABC" w:rsidRDefault="00881ABC" w:rsidP="00BF5AAE">
      <w:pPr>
        <w:pStyle w:val="TableFooter"/>
        <w:widowControl/>
      </w:pPr>
      <w:r w:rsidRPr="003D71FA">
        <w:t xml:space="preserve">Source: </w:t>
      </w:r>
      <w:r w:rsidR="0017185C" w:rsidRPr="003D71FA">
        <w:t xml:space="preserve">Table 4.13 p13, </w:t>
      </w:r>
      <w:r w:rsidRPr="003D71FA">
        <w:t>Tab</w:t>
      </w:r>
      <w:r w:rsidR="0017185C" w:rsidRPr="003D71FA">
        <w:t>le 4.16</w:t>
      </w:r>
      <w:r w:rsidRPr="003D71FA">
        <w:t xml:space="preserve"> p 15, Ta</w:t>
      </w:r>
      <w:r w:rsidR="0017185C" w:rsidRPr="003D71FA">
        <w:t>ble 4.20 p17, Table 4.21</w:t>
      </w:r>
      <w:r w:rsidR="001A035D" w:rsidRPr="003D71FA">
        <w:t xml:space="preserve"> p</w:t>
      </w:r>
      <w:r w:rsidRPr="003D71FA">
        <w:t xml:space="preserve">18 </w:t>
      </w:r>
      <w:r w:rsidR="001A035D" w:rsidRPr="003D71FA">
        <w:t>and Table 4.25, p21</w:t>
      </w:r>
      <w:r w:rsidR="0017185C" w:rsidRPr="003D71FA">
        <w:t xml:space="preserve"> </w:t>
      </w:r>
      <w:r w:rsidR="001A035D" w:rsidRPr="003D71FA">
        <w:t xml:space="preserve">Section 4 of the submission; Excel workbook </w:t>
      </w:r>
      <w:proofErr w:type="spellStart"/>
      <w:r w:rsidR="001A035D" w:rsidRPr="003D71FA">
        <w:t>Alectinib</w:t>
      </w:r>
      <w:proofErr w:type="spellEnd"/>
      <w:r w:rsidR="001A035D" w:rsidRPr="003D71FA">
        <w:t xml:space="preserve"> Section 4 Workbook, sheets 6 and 10.</w:t>
      </w:r>
    </w:p>
    <w:p w:rsidR="00C76988" w:rsidRDefault="00C76988" w:rsidP="00BF5AAE">
      <w:pPr>
        <w:pStyle w:val="TableFooter"/>
        <w:widowControl/>
      </w:pPr>
    </w:p>
    <w:p w:rsidR="00C76988" w:rsidRPr="00C76988" w:rsidRDefault="00C76988" w:rsidP="00BF5AAE">
      <w:pPr>
        <w:pStyle w:val="TableFooter"/>
        <w:widowControl/>
        <w:rPr>
          <w:rFonts w:asciiTheme="minorHAnsi" w:hAnsiTheme="minorHAnsi"/>
          <w:sz w:val="24"/>
          <w:szCs w:val="24"/>
        </w:rPr>
      </w:pPr>
      <w:r>
        <w:rPr>
          <w:rFonts w:asciiTheme="minorHAnsi" w:hAnsiTheme="minorHAnsi"/>
          <w:sz w:val="24"/>
          <w:szCs w:val="24"/>
        </w:rPr>
        <w:t xml:space="preserve">The redacted table shows that at year 5, the estimated number of patients was less than 10,000 per year and the net saving to the PBS was less than $10 million per year. </w:t>
      </w:r>
    </w:p>
    <w:p w:rsidR="00000422" w:rsidRPr="00863A4D" w:rsidRDefault="000F190C" w:rsidP="00863A4D">
      <w:pPr>
        <w:pStyle w:val="ListParagraph"/>
        <w:numPr>
          <w:ilvl w:val="1"/>
          <w:numId w:val="4"/>
        </w:numPr>
        <w:spacing w:before="0" w:after="120"/>
      </w:pPr>
      <w:r w:rsidRPr="00863A4D">
        <w:t xml:space="preserve">Given that the submission may have underestimated the cost per patient per course for </w:t>
      </w:r>
      <w:proofErr w:type="spellStart"/>
      <w:r w:rsidRPr="00863A4D">
        <w:t>alectinib</w:t>
      </w:r>
      <w:proofErr w:type="spellEnd"/>
      <w:r w:rsidR="00DA135A" w:rsidRPr="00863A4D">
        <w:t>,</w:t>
      </w:r>
      <w:r w:rsidRPr="00863A4D">
        <w:t xml:space="preserve"> and may have overestimated the cost off-sets resulting from substitution for </w:t>
      </w:r>
      <w:proofErr w:type="spellStart"/>
      <w:r w:rsidRPr="00863A4D">
        <w:t>ceritinib</w:t>
      </w:r>
      <w:proofErr w:type="spellEnd"/>
      <w:r w:rsidR="00DA135A" w:rsidRPr="00863A4D">
        <w:t>,</w:t>
      </w:r>
      <w:r w:rsidRPr="00863A4D">
        <w:t xml:space="preserve"> the </w:t>
      </w:r>
      <w:r w:rsidR="00AE28D1" w:rsidRPr="00863A4D">
        <w:t>proposed</w:t>
      </w:r>
      <w:r w:rsidRPr="00863A4D">
        <w:t xml:space="preserve"> net financial cost to the PBS/RPBS </w:t>
      </w:r>
      <w:r w:rsidR="00384700">
        <w:t>were potentially</w:t>
      </w:r>
      <w:r w:rsidRPr="00863A4D">
        <w:t xml:space="preserve"> underestimate</w:t>
      </w:r>
      <w:r w:rsidR="00384700">
        <w:t>d</w:t>
      </w:r>
      <w:r w:rsidRPr="00863A4D">
        <w:t>.</w:t>
      </w:r>
      <w:r w:rsidR="00E851D8" w:rsidRPr="00863A4D">
        <w:t xml:space="preserve"> The ESC </w:t>
      </w:r>
      <w:r w:rsidR="007164BB" w:rsidRPr="00863A4D">
        <w:t>considered</w:t>
      </w:r>
      <w:r w:rsidR="00E851D8" w:rsidRPr="00863A4D">
        <w:t xml:space="preserve"> that the net financial cost to the PBS was likely to have been underestimated.</w:t>
      </w:r>
    </w:p>
    <w:p w:rsidR="007960B2" w:rsidRDefault="008C16A4" w:rsidP="008C16A4">
      <w:pPr>
        <w:pStyle w:val="ListParagraph"/>
        <w:spacing w:after="120" w:line="276" w:lineRule="auto"/>
        <w:rPr>
          <w:rFonts w:ascii="Calibri" w:eastAsia="Times New Roman" w:hAnsi="Calibri" w:cs="Times New Roman"/>
          <w:i/>
          <w:szCs w:val="24"/>
        </w:rPr>
      </w:pPr>
      <w:r w:rsidRPr="00DE6C5B">
        <w:rPr>
          <w:rFonts w:ascii="Calibri" w:eastAsia="Times New Roman" w:hAnsi="Calibri" w:cs="Times New Roman"/>
          <w:i/>
          <w:szCs w:val="24"/>
        </w:rPr>
        <w:t>For more detail on PBAC’s view, see section 7 “PBAC outcome.”</w:t>
      </w:r>
    </w:p>
    <w:p w:rsidR="00066EA1" w:rsidRDefault="00066EA1" w:rsidP="00066EA1">
      <w:pPr>
        <w:pStyle w:val="Heading1"/>
        <w:rPr>
          <w:rFonts w:eastAsia="Times New Roman"/>
          <w:snapToGrid w:val="0"/>
        </w:rPr>
      </w:pPr>
      <w:r w:rsidRPr="004D2320">
        <w:rPr>
          <w:rFonts w:eastAsia="Times New Roman"/>
          <w:snapToGrid w:val="0"/>
        </w:rPr>
        <w:t>PBAC Outcome</w:t>
      </w:r>
    </w:p>
    <w:p w:rsidR="00FF67AA" w:rsidRPr="00066EA1" w:rsidRDefault="00FF67AA" w:rsidP="00FF67AA">
      <w:pPr>
        <w:pStyle w:val="ListParagraph"/>
        <w:numPr>
          <w:ilvl w:val="0"/>
          <w:numId w:val="4"/>
        </w:numPr>
        <w:spacing w:before="200" w:after="120"/>
        <w:jc w:val="left"/>
        <w:rPr>
          <w:rFonts w:ascii="Arial" w:eastAsia="Times New Roman" w:hAnsi="Arial" w:cs="Arial"/>
          <w:b/>
          <w:snapToGrid w:val="0"/>
          <w:vanish/>
          <w:sz w:val="22"/>
        </w:rPr>
      </w:pPr>
    </w:p>
    <w:p w:rsidR="00532F76" w:rsidRDefault="00F74FD4" w:rsidP="00E41729">
      <w:pPr>
        <w:widowControl w:val="0"/>
        <w:numPr>
          <w:ilvl w:val="1"/>
          <w:numId w:val="4"/>
        </w:numPr>
        <w:spacing w:before="0" w:after="120"/>
        <w:rPr>
          <w:rFonts w:ascii="Calibri" w:eastAsia="Times New Roman" w:hAnsi="Calibri" w:cs="Arial"/>
          <w:bCs/>
          <w:snapToGrid w:val="0"/>
          <w:szCs w:val="24"/>
          <w:lang w:val="en-GB"/>
        </w:rPr>
      </w:pPr>
      <w:r w:rsidRPr="004D2320">
        <w:rPr>
          <w:rFonts w:ascii="Calibri" w:eastAsia="Times New Roman" w:hAnsi="Calibri" w:cs="Arial"/>
          <w:bCs/>
          <w:snapToGrid w:val="0"/>
          <w:szCs w:val="24"/>
          <w:lang w:val="en-GB"/>
        </w:rPr>
        <w:t xml:space="preserve">The PBAC recommended an Authority </w:t>
      </w:r>
      <w:proofErr w:type="gramStart"/>
      <w:r w:rsidRPr="004D2320">
        <w:rPr>
          <w:rFonts w:ascii="Calibri" w:eastAsia="Times New Roman" w:hAnsi="Calibri" w:cs="Arial"/>
          <w:bCs/>
          <w:snapToGrid w:val="0"/>
          <w:szCs w:val="24"/>
          <w:lang w:val="en-GB"/>
        </w:rPr>
        <w:t>Required</w:t>
      </w:r>
      <w:proofErr w:type="gramEnd"/>
      <w:r w:rsidRPr="004D2320">
        <w:rPr>
          <w:rFonts w:ascii="Calibri" w:eastAsia="Times New Roman" w:hAnsi="Calibri" w:cs="Arial"/>
          <w:bCs/>
          <w:snapToGrid w:val="0"/>
          <w:szCs w:val="24"/>
          <w:lang w:val="en-GB"/>
        </w:rPr>
        <w:t xml:space="preserve"> listing of </w:t>
      </w:r>
      <w:proofErr w:type="spellStart"/>
      <w:r w:rsidRPr="004D2320">
        <w:rPr>
          <w:rFonts w:ascii="Calibri" w:eastAsia="Times New Roman" w:hAnsi="Calibri" w:cs="Arial"/>
          <w:bCs/>
          <w:snapToGrid w:val="0"/>
          <w:szCs w:val="24"/>
          <w:lang w:val="en-GB"/>
        </w:rPr>
        <w:t>alectinib</w:t>
      </w:r>
      <w:proofErr w:type="spellEnd"/>
      <w:r w:rsidRPr="004D2320">
        <w:rPr>
          <w:rFonts w:ascii="Calibri" w:eastAsia="Times New Roman" w:hAnsi="Calibri" w:cs="Arial"/>
          <w:bCs/>
          <w:snapToGrid w:val="0"/>
          <w:szCs w:val="24"/>
          <w:lang w:val="en-GB"/>
        </w:rPr>
        <w:t xml:space="preserve"> for the treatment of pa</w:t>
      </w:r>
      <w:r w:rsidR="00824ACE" w:rsidRPr="004D2320">
        <w:rPr>
          <w:rFonts w:ascii="Calibri" w:eastAsia="Times New Roman" w:hAnsi="Calibri" w:cs="Arial"/>
          <w:bCs/>
          <w:snapToGrid w:val="0"/>
          <w:szCs w:val="24"/>
          <w:lang w:val="en-GB"/>
        </w:rPr>
        <w:t>tients with ALK-positive NSCLC</w:t>
      </w:r>
      <w:r w:rsidR="0060609D">
        <w:rPr>
          <w:rFonts w:ascii="Calibri" w:eastAsia="Times New Roman" w:hAnsi="Calibri" w:cs="Arial"/>
          <w:bCs/>
          <w:snapToGrid w:val="0"/>
          <w:szCs w:val="24"/>
          <w:lang w:val="en-GB"/>
        </w:rPr>
        <w:t>,</w:t>
      </w:r>
      <w:r w:rsidR="00824ACE" w:rsidRPr="004D2320">
        <w:rPr>
          <w:rFonts w:ascii="Calibri" w:eastAsia="Times New Roman" w:hAnsi="Calibri" w:cs="Arial"/>
          <w:bCs/>
          <w:snapToGrid w:val="0"/>
          <w:szCs w:val="24"/>
          <w:lang w:val="en-GB"/>
        </w:rPr>
        <w:t xml:space="preserve"> on a cost-minimisation basis </w:t>
      </w:r>
      <w:r w:rsidR="0060609D">
        <w:rPr>
          <w:rFonts w:ascii="Calibri" w:eastAsia="Times New Roman" w:hAnsi="Calibri" w:cs="Arial"/>
          <w:bCs/>
          <w:snapToGrid w:val="0"/>
          <w:szCs w:val="24"/>
          <w:lang w:val="en-GB"/>
        </w:rPr>
        <w:t>against</w:t>
      </w:r>
      <w:r w:rsidR="00824ACE" w:rsidRPr="004D2320">
        <w:rPr>
          <w:rFonts w:ascii="Calibri" w:eastAsia="Times New Roman" w:hAnsi="Calibri" w:cs="Arial"/>
          <w:bCs/>
          <w:snapToGrid w:val="0"/>
          <w:szCs w:val="24"/>
          <w:lang w:val="en-GB"/>
        </w:rPr>
        <w:t xml:space="preserve"> </w:t>
      </w:r>
      <w:proofErr w:type="spellStart"/>
      <w:r w:rsidR="00824ACE" w:rsidRPr="004D2320">
        <w:rPr>
          <w:rFonts w:ascii="Calibri" w:eastAsia="Times New Roman" w:hAnsi="Calibri" w:cs="Arial"/>
          <w:bCs/>
          <w:snapToGrid w:val="0"/>
          <w:szCs w:val="24"/>
          <w:lang w:val="en-GB"/>
        </w:rPr>
        <w:t>ceritinib</w:t>
      </w:r>
      <w:proofErr w:type="spellEnd"/>
      <w:r w:rsidR="001C5156">
        <w:rPr>
          <w:rFonts w:ascii="Calibri" w:eastAsia="Times New Roman" w:hAnsi="Calibri" w:cs="Arial"/>
          <w:bCs/>
          <w:snapToGrid w:val="0"/>
          <w:szCs w:val="24"/>
          <w:lang w:val="en-GB"/>
        </w:rPr>
        <w:t>.</w:t>
      </w:r>
    </w:p>
    <w:p w:rsidR="00FF67AA" w:rsidRPr="000C0EE0" w:rsidRDefault="00974F77" w:rsidP="000C0EE0">
      <w:pPr>
        <w:widowControl w:val="0"/>
        <w:numPr>
          <w:ilvl w:val="1"/>
          <w:numId w:val="4"/>
        </w:numPr>
        <w:spacing w:before="0" w:after="120"/>
        <w:rPr>
          <w:rFonts w:ascii="Calibri" w:eastAsia="Times New Roman" w:hAnsi="Calibri" w:cs="Arial"/>
          <w:bCs/>
          <w:snapToGrid w:val="0"/>
          <w:szCs w:val="24"/>
          <w:lang w:val="en-GB"/>
        </w:rPr>
      </w:pPr>
      <w:r w:rsidRPr="00974F77">
        <w:rPr>
          <w:rFonts w:ascii="Calibri" w:eastAsia="Times New Roman" w:hAnsi="Calibri" w:cs="Arial"/>
          <w:bCs/>
          <w:snapToGrid w:val="0"/>
          <w:szCs w:val="24"/>
          <w:lang w:val="en-GB"/>
        </w:rPr>
        <w:t xml:space="preserve">In making this recommendation, the PBAC noted </w:t>
      </w:r>
      <w:r w:rsidR="00BD288C">
        <w:rPr>
          <w:rFonts w:ascii="Calibri" w:eastAsia="Times New Roman" w:hAnsi="Calibri" w:cs="Arial"/>
          <w:bCs/>
          <w:snapToGrid w:val="0"/>
          <w:szCs w:val="24"/>
          <w:lang w:val="en-GB"/>
        </w:rPr>
        <w:t xml:space="preserve">the relatively small population of patients </w:t>
      </w:r>
      <w:r>
        <w:rPr>
          <w:rFonts w:ascii="Calibri" w:eastAsia="Times New Roman" w:hAnsi="Calibri" w:cs="Arial"/>
          <w:bCs/>
          <w:snapToGrid w:val="0"/>
          <w:szCs w:val="24"/>
          <w:lang w:val="en-GB"/>
        </w:rPr>
        <w:t>with ALK-positive NSCLC and</w:t>
      </w:r>
      <w:r w:rsidRPr="00974F77">
        <w:rPr>
          <w:rFonts w:ascii="Calibri" w:eastAsia="Times New Roman" w:hAnsi="Calibri" w:cs="Arial"/>
          <w:bCs/>
          <w:snapToGrid w:val="0"/>
          <w:szCs w:val="24"/>
          <w:lang w:val="en-GB"/>
        </w:rPr>
        <w:t xml:space="preserve"> the clinical need for </w:t>
      </w:r>
      <w:r w:rsidRPr="004D2320">
        <w:rPr>
          <w:rFonts w:ascii="Calibri" w:eastAsia="Times New Roman" w:hAnsi="Calibri" w:cs="Arial"/>
          <w:bCs/>
          <w:snapToGrid w:val="0"/>
          <w:szCs w:val="24"/>
          <w:lang w:val="en-GB"/>
        </w:rPr>
        <w:t xml:space="preserve">additional targeted therapies with different safety profiles than currently available </w:t>
      </w:r>
      <w:r w:rsidRPr="00FF67AA">
        <w:rPr>
          <w:rFonts w:ascii="Calibri" w:eastAsia="Times New Roman" w:hAnsi="Calibri" w:cs="Arial"/>
          <w:bCs/>
          <w:snapToGrid w:val="0"/>
          <w:szCs w:val="24"/>
          <w:lang w:val="en-GB"/>
        </w:rPr>
        <w:t xml:space="preserve">treatments for this condition. The </w:t>
      </w:r>
      <w:r w:rsidRPr="00974F77">
        <w:rPr>
          <w:rFonts w:ascii="Calibri" w:eastAsia="Times New Roman" w:hAnsi="Calibri" w:cs="Arial"/>
          <w:bCs/>
          <w:snapToGrid w:val="0"/>
          <w:szCs w:val="24"/>
          <w:lang w:val="en-GB"/>
        </w:rPr>
        <w:t xml:space="preserve">PBAC considered that the submission’s claim of non-inferiority for efficacy and safety against </w:t>
      </w:r>
      <w:proofErr w:type="spellStart"/>
      <w:r>
        <w:rPr>
          <w:rFonts w:ascii="Calibri" w:eastAsia="Times New Roman" w:hAnsi="Calibri" w:cs="Arial"/>
          <w:bCs/>
          <w:snapToGrid w:val="0"/>
          <w:szCs w:val="24"/>
          <w:lang w:val="en-GB"/>
        </w:rPr>
        <w:t>ceritinib</w:t>
      </w:r>
      <w:proofErr w:type="spellEnd"/>
      <w:r>
        <w:rPr>
          <w:rFonts w:ascii="Calibri" w:eastAsia="Times New Roman" w:hAnsi="Calibri" w:cs="Arial"/>
          <w:bCs/>
          <w:snapToGrid w:val="0"/>
          <w:szCs w:val="24"/>
          <w:lang w:val="en-GB"/>
        </w:rPr>
        <w:t xml:space="preserve"> was reasonable, and therefore</w:t>
      </w:r>
      <w:r w:rsidRPr="00974F77">
        <w:rPr>
          <w:rFonts w:ascii="Calibri" w:eastAsia="Times New Roman" w:hAnsi="Calibri" w:cs="Arial"/>
          <w:bCs/>
          <w:snapToGrid w:val="0"/>
          <w:szCs w:val="24"/>
          <w:lang w:val="en-GB"/>
        </w:rPr>
        <w:t xml:space="preserve"> a cost-minimisation approach</w:t>
      </w:r>
      <w:r>
        <w:rPr>
          <w:rFonts w:ascii="Calibri" w:eastAsia="Times New Roman" w:hAnsi="Calibri" w:cs="Arial"/>
          <w:bCs/>
          <w:snapToGrid w:val="0"/>
          <w:szCs w:val="24"/>
          <w:lang w:val="en-GB"/>
        </w:rPr>
        <w:t xml:space="preserve"> against </w:t>
      </w:r>
      <w:proofErr w:type="spellStart"/>
      <w:r>
        <w:rPr>
          <w:rFonts w:ascii="Calibri" w:eastAsia="Times New Roman" w:hAnsi="Calibri" w:cs="Arial"/>
          <w:bCs/>
          <w:snapToGrid w:val="0"/>
          <w:szCs w:val="24"/>
          <w:lang w:val="en-GB"/>
        </w:rPr>
        <w:t>ceritinib</w:t>
      </w:r>
      <w:proofErr w:type="spellEnd"/>
      <w:r w:rsidR="001C5156">
        <w:rPr>
          <w:rFonts w:ascii="Calibri" w:eastAsia="Times New Roman" w:hAnsi="Calibri" w:cs="Arial"/>
          <w:bCs/>
          <w:snapToGrid w:val="0"/>
          <w:szCs w:val="24"/>
          <w:lang w:val="en-GB"/>
        </w:rPr>
        <w:t xml:space="preserve"> </w:t>
      </w:r>
      <w:r w:rsidRPr="00974F77">
        <w:rPr>
          <w:rFonts w:ascii="Calibri" w:eastAsia="Times New Roman" w:hAnsi="Calibri" w:cs="Arial"/>
          <w:bCs/>
          <w:snapToGrid w:val="0"/>
          <w:szCs w:val="24"/>
          <w:lang w:val="en-GB"/>
        </w:rPr>
        <w:t>was appropriate.</w:t>
      </w:r>
    </w:p>
    <w:p w:rsidR="00FF67AA" w:rsidRPr="00FD7BFB" w:rsidRDefault="00FF67AA" w:rsidP="00FD7BFB">
      <w:pPr>
        <w:widowControl w:val="0"/>
        <w:numPr>
          <w:ilvl w:val="1"/>
          <w:numId w:val="4"/>
        </w:numPr>
        <w:spacing w:before="0" w:after="120"/>
        <w:rPr>
          <w:rFonts w:ascii="Calibri" w:eastAsia="Times New Roman" w:hAnsi="Calibri" w:cs="Arial"/>
          <w:bCs/>
          <w:snapToGrid w:val="0"/>
          <w:szCs w:val="24"/>
          <w:lang w:val="en-GB"/>
        </w:rPr>
      </w:pPr>
      <w:r w:rsidRPr="00FD7BFB">
        <w:rPr>
          <w:rFonts w:ascii="Calibri" w:eastAsia="Times New Roman" w:hAnsi="Calibri" w:cs="Arial"/>
          <w:bCs/>
          <w:snapToGrid w:val="0"/>
          <w:szCs w:val="24"/>
          <w:lang w:val="en-GB"/>
        </w:rPr>
        <w:t xml:space="preserve">The PBAC noted that while the submission’s proposed PBS restriction positioned </w:t>
      </w:r>
      <w:proofErr w:type="spellStart"/>
      <w:r w:rsidRPr="00FD7BFB">
        <w:rPr>
          <w:rFonts w:ascii="Calibri" w:eastAsia="Times New Roman" w:hAnsi="Calibri" w:cs="Arial"/>
          <w:bCs/>
          <w:snapToGrid w:val="0"/>
          <w:szCs w:val="24"/>
          <w:lang w:val="en-GB"/>
        </w:rPr>
        <w:t>alectinib</w:t>
      </w:r>
      <w:proofErr w:type="spellEnd"/>
      <w:r w:rsidRPr="00FD7BFB">
        <w:rPr>
          <w:rFonts w:ascii="Calibri" w:eastAsia="Times New Roman" w:hAnsi="Calibri" w:cs="Arial"/>
          <w:bCs/>
          <w:snapToGrid w:val="0"/>
          <w:szCs w:val="24"/>
          <w:lang w:val="en-GB"/>
        </w:rPr>
        <w:t xml:space="preserve"> after </w:t>
      </w:r>
      <w:proofErr w:type="spellStart"/>
      <w:r w:rsidRPr="00FD7BFB">
        <w:rPr>
          <w:rFonts w:ascii="Calibri" w:eastAsia="Times New Roman" w:hAnsi="Calibri" w:cs="Arial"/>
          <w:bCs/>
          <w:snapToGrid w:val="0"/>
          <w:szCs w:val="24"/>
          <w:lang w:val="en-GB"/>
        </w:rPr>
        <w:t>crizotinib</w:t>
      </w:r>
      <w:proofErr w:type="spellEnd"/>
      <w:r w:rsidRPr="00FD7BFB">
        <w:rPr>
          <w:rFonts w:ascii="Calibri" w:eastAsia="Times New Roman" w:hAnsi="Calibri" w:cs="Arial"/>
          <w:bCs/>
          <w:snapToGrid w:val="0"/>
          <w:szCs w:val="24"/>
          <w:lang w:val="en-GB"/>
        </w:rPr>
        <w:t xml:space="preserve">, the evidence presented in the submission was in a different setting. The PBAC recalled it had previously recommended </w:t>
      </w:r>
      <w:proofErr w:type="spellStart"/>
      <w:r w:rsidRPr="00FD7BFB">
        <w:rPr>
          <w:rFonts w:ascii="Calibri" w:eastAsia="Times New Roman" w:hAnsi="Calibri" w:cs="Arial"/>
          <w:bCs/>
          <w:snapToGrid w:val="0"/>
          <w:szCs w:val="24"/>
          <w:lang w:val="en-GB"/>
        </w:rPr>
        <w:t>c</w:t>
      </w:r>
      <w:r w:rsidR="00FD7BFB" w:rsidRPr="00FD7BFB">
        <w:rPr>
          <w:rFonts w:ascii="Calibri" w:eastAsia="Times New Roman" w:hAnsi="Calibri" w:cs="Arial"/>
          <w:bCs/>
          <w:snapToGrid w:val="0"/>
          <w:szCs w:val="24"/>
          <w:lang w:val="en-GB"/>
        </w:rPr>
        <w:t>eritinib</w:t>
      </w:r>
      <w:proofErr w:type="spellEnd"/>
      <w:r w:rsidRPr="00FD7BFB">
        <w:rPr>
          <w:rFonts w:ascii="Calibri" w:eastAsia="Times New Roman" w:hAnsi="Calibri" w:cs="Arial"/>
          <w:bCs/>
          <w:snapToGrid w:val="0"/>
          <w:szCs w:val="24"/>
          <w:lang w:val="en-GB"/>
        </w:rPr>
        <w:t xml:space="preserve"> </w:t>
      </w:r>
      <w:r w:rsidR="00FD7BFB" w:rsidRPr="00FD7BFB">
        <w:rPr>
          <w:rFonts w:ascii="Calibri" w:eastAsia="Times New Roman" w:hAnsi="Calibri" w:cs="Arial"/>
          <w:bCs/>
          <w:snapToGrid w:val="0"/>
          <w:szCs w:val="24"/>
          <w:lang w:val="en-GB"/>
        </w:rPr>
        <w:t>without any restrictions to the line of therapy</w:t>
      </w:r>
      <w:r w:rsidRPr="00FD7BFB">
        <w:rPr>
          <w:rFonts w:ascii="Calibri" w:eastAsia="Times New Roman" w:hAnsi="Calibri" w:cs="Arial"/>
          <w:bCs/>
          <w:snapToGrid w:val="0"/>
          <w:szCs w:val="24"/>
          <w:lang w:val="en-GB"/>
        </w:rPr>
        <w:t xml:space="preserve"> for this condition, also largely on the basis of data from its use in a different setting (</w:t>
      </w:r>
      <w:proofErr w:type="spellStart"/>
      <w:r w:rsidRPr="00FD7BFB">
        <w:rPr>
          <w:rFonts w:ascii="Calibri" w:eastAsia="Times New Roman" w:hAnsi="Calibri" w:cs="Arial"/>
          <w:bCs/>
          <w:snapToGrid w:val="0"/>
          <w:szCs w:val="24"/>
          <w:lang w:val="en-GB"/>
        </w:rPr>
        <w:t>c</w:t>
      </w:r>
      <w:r w:rsidR="00FD7BFB" w:rsidRPr="00FD7BFB">
        <w:rPr>
          <w:rFonts w:ascii="Calibri" w:eastAsia="Times New Roman" w:hAnsi="Calibri" w:cs="Arial"/>
          <w:bCs/>
          <w:snapToGrid w:val="0"/>
          <w:szCs w:val="24"/>
          <w:lang w:val="en-GB"/>
        </w:rPr>
        <w:t>eritinib</w:t>
      </w:r>
      <w:proofErr w:type="spellEnd"/>
      <w:r w:rsidR="00FD7BFB" w:rsidRPr="00FD7BFB">
        <w:rPr>
          <w:rFonts w:ascii="Calibri" w:eastAsia="Times New Roman" w:hAnsi="Calibri" w:cs="Arial"/>
          <w:bCs/>
          <w:snapToGrid w:val="0"/>
          <w:szCs w:val="24"/>
          <w:lang w:val="en-GB"/>
        </w:rPr>
        <w:t xml:space="preserve"> </w:t>
      </w:r>
      <w:r w:rsidRPr="00FD7BFB">
        <w:rPr>
          <w:rFonts w:ascii="Calibri" w:eastAsia="Times New Roman" w:hAnsi="Calibri" w:cs="Arial"/>
          <w:bCs/>
          <w:snapToGrid w:val="0"/>
          <w:szCs w:val="24"/>
          <w:lang w:val="en-GB"/>
        </w:rPr>
        <w:t xml:space="preserve">Public Summary Document, November </w:t>
      </w:r>
      <w:r w:rsidR="00FD7BFB" w:rsidRPr="00FD7BFB">
        <w:rPr>
          <w:rFonts w:ascii="Calibri" w:eastAsia="Times New Roman" w:hAnsi="Calibri" w:cs="Arial"/>
          <w:bCs/>
          <w:snapToGrid w:val="0"/>
          <w:szCs w:val="24"/>
          <w:lang w:val="en-GB"/>
        </w:rPr>
        <w:t xml:space="preserve">2016 </w:t>
      </w:r>
      <w:r w:rsidRPr="00FD7BFB">
        <w:rPr>
          <w:rFonts w:ascii="Calibri" w:eastAsia="Times New Roman" w:hAnsi="Calibri" w:cs="Arial"/>
          <w:bCs/>
          <w:snapToGrid w:val="0"/>
          <w:szCs w:val="24"/>
          <w:lang w:val="en-GB"/>
        </w:rPr>
        <w:t xml:space="preserve">PBAC meeting). The PBAC therefore </w:t>
      </w:r>
      <w:r w:rsidR="00FD7BFB">
        <w:rPr>
          <w:rFonts w:ascii="Calibri" w:eastAsia="Times New Roman" w:hAnsi="Calibri" w:cs="Arial"/>
          <w:bCs/>
          <w:snapToGrid w:val="0"/>
          <w:szCs w:val="24"/>
          <w:lang w:val="en-GB"/>
        </w:rPr>
        <w:t>advised</w:t>
      </w:r>
      <w:r w:rsidRPr="00FD7BFB">
        <w:rPr>
          <w:rFonts w:ascii="Calibri" w:eastAsia="Times New Roman" w:hAnsi="Calibri" w:cs="Arial"/>
          <w:bCs/>
          <w:snapToGrid w:val="0"/>
          <w:szCs w:val="24"/>
          <w:lang w:val="en-GB"/>
        </w:rPr>
        <w:t xml:space="preserve"> that </w:t>
      </w:r>
      <w:r w:rsidR="00FD7BFB" w:rsidRPr="00FD7BFB">
        <w:rPr>
          <w:rFonts w:ascii="Calibri" w:eastAsia="Times New Roman" w:hAnsi="Calibri" w:cs="Arial"/>
          <w:bCs/>
          <w:snapToGrid w:val="0"/>
          <w:szCs w:val="24"/>
          <w:lang w:val="en-GB"/>
        </w:rPr>
        <w:t xml:space="preserve">the restriction </w:t>
      </w:r>
      <w:r w:rsidR="00612B71">
        <w:rPr>
          <w:rFonts w:ascii="Calibri" w:eastAsia="Times New Roman" w:hAnsi="Calibri" w:cs="Arial"/>
          <w:bCs/>
          <w:snapToGrid w:val="0"/>
          <w:szCs w:val="24"/>
          <w:lang w:val="en-GB"/>
        </w:rPr>
        <w:t xml:space="preserve">criteria </w:t>
      </w:r>
      <w:r w:rsidR="00FD7BFB" w:rsidRPr="00FD7BFB">
        <w:rPr>
          <w:rFonts w:ascii="Calibri" w:eastAsia="Times New Roman" w:hAnsi="Calibri" w:cs="Arial"/>
          <w:bCs/>
          <w:snapToGrid w:val="0"/>
          <w:szCs w:val="24"/>
          <w:lang w:val="en-GB"/>
        </w:rPr>
        <w:t xml:space="preserve">for </w:t>
      </w:r>
      <w:proofErr w:type="spellStart"/>
      <w:r w:rsidR="00FD7BFB" w:rsidRPr="00FD7BFB">
        <w:rPr>
          <w:rFonts w:ascii="Calibri" w:eastAsia="Times New Roman" w:hAnsi="Calibri" w:cs="Arial"/>
          <w:bCs/>
          <w:snapToGrid w:val="0"/>
          <w:szCs w:val="24"/>
          <w:lang w:val="en-GB"/>
        </w:rPr>
        <w:t>alectinib</w:t>
      </w:r>
      <w:proofErr w:type="spellEnd"/>
      <w:r w:rsidR="00FD7BFB" w:rsidRPr="00FD7BFB">
        <w:rPr>
          <w:rFonts w:ascii="Calibri" w:eastAsia="Times New Roman" w:hAnsi="Calibri" w:cs="Arial"/>
          <w:bCs/>
          <w:snapToGrid w:val="0"/>
          <w:szCs w:val="24"/>
          <w:lang w:val="en-GB"/>
        </w:rPr>
        <w:t xml:space="preserve"> should be in close alignment with the current P</w:t>
      </w:r>
      <w:r w:rsidR="0060609D">
        <w:rPr>
          <w:rFonts w:ascii="Calibri" w:eastAsia="Times New Roman" w:hAnsi="Calibri" w:cs="Arial"/>
          <w:bCs/>
          <w:snapToGrid w:val="0"/>
          <w:szCs w:val="24"/>
          <w:lang w:val="en-GB"/>
        </w:rPr>
        <w:t>B</w:t>
      </w:r>
      <w:r w:rsidR="00FD7BFB" w:rsidRPr="00FD7BFB">
        <w:rPr>
          <w:rFonts w:ascii="Calibri" w:eastAsia="Times New Roman" w:hAnsi="Calibri" w:cs="Arial"/>
          <w:bCs/>
          <w:snapToGrid w:val="0"/>
          <w:szCs w:val="24"/>
          <w:lang w:val="en-GB"/>
        </w:rPr>
        <w:t xml:space="preserve">S listing of </w:t>
      </w:r>
      <w:proofErr w:type="spellStart"/>
      <w:r w:rsidR="00FD7BFB" w:rsidRPr="00FD7BFB">
        <w:rPr>
          <w:rFonts w:ascii="Calibri" w:eastAsia="Times New Roman" w:hAnsi="Calibri" w:cs="Arial"/>
          <w:bCs/>
          <w:snapToGrid w:val="0"/>
          <w:szCs w:val="24"/>
          <w:lang w:val="en-GB"/>
        </w:rPr>
        <w:t>ceritinib</w:t>
      </w:r>
      <w:proofErr w:type="spellEnd"/>
      <w:r w:rsidR="00FD7BFB" w:rsidRPr="00FD7BFB">
        <w:rPr>
          <w:rFonts w:ascii="Calibri" w:eastAsia="Times New Roman" w:hAnsi="Calibri" w:cs="Arial"/>
          <w:bCs/>
          <w:snapToGrid w:val="0"/>
          <w:szCs w:val="24"/>
          <w:lang w:val="en-GB"/>
        </w:rPr>
        <w:t>, i.e.</w:t>
      </w:r>
      <w:r w:rsidR="00B82991">
        <w:rPr>
          <w:rFonts w:ascii="Calibri" w:eastAsia="Times New Roman" w:hAnsi="Calibri" w:cs="Arial"/>
          <w:bCs/>
          <w:snapToGrid w:val="0"/>
          <w:szCs w:val="24"/>
          <w:lang w:val="en-GB"/>
        </w:rPr>
        <w:t xml:space="preserve"> a telephone Authority listing</w:t>
      </w:r>
      <w:r w:rsidR="00FD7BFB" w:rsidRPr="00FD7BFB">
        <w:rPr>
          <w:rFonts w:ascii="Calibri" w:eastAsia="Times New Roman" w:hAnsi="Calibri" w:cs="Arial"/>
          <w:bCs/>
          <w:snapToGrid w:val="0"/>
          <w:szCs w:val="24"/>
          <w:lang w:val="en-GB"/>
        </w:rPr>
        <w:t xml:space="preserve"> without any restr</w:t>
      </w:r>
      <w:r w:rsidR="00043A7D">
        <w:rPr>
          <w:rFonts w:ascii="Calibri" w:eastAsia="Times New Roman" w:hAnsi="Calibri" w:cs="Arial"/>
          <w:bCs/>
          <w:snapToGrid w:val="0"/>
          <w:szCs w:val="24"/>
          <w:lang w:val="en-GB"/>
        </w:rPr>
        <w:t>ictions to the line of therapy.</w:t>
      </w:r>
    </w:p>
    <w:p w:rsidR="007B7799" w:rsidRDefault="007B7799" w:rsidP="007B7799">
      <w:pPr>
        <w:widowControl w:val="0"/>
        <w:numPr>
          <w:ilvl w:val="1"/>
          <w:numId w:val="4"/>
        </w:numPr>
        <w:spacing w:before="0" w:after="120"/>
        <w:rPr>
          <w:rFonts w:ascii="Calibri" w:eastAsia="Times New Roman" w:hAnsi="Calibri" w:cs="Arial"/>
          <w:bCs/>
          <w:snapToGrid w:val="0"/>
          <w:szCs w:val="24"/>
          <w:lang w:val="en-GB"/>
        </w:rPr>
      </w:pPr>
      <w:r>
        <w:rPr>
          <w:rFonts w:ascii="Calibri" w:eastAsia="Times New Roman" w:hAnsi="Calibri" w:cs="Arial"/>
          <w:bCs/>
          <w:snapToGrid w:val="0"/>
          <w:szCs w:val="24"/>
          <w:lang w:val="en-GB"/>
        </w:rPr>
        <w:t xml:space="preserve">The PBAC noted and welcomed the range of consumer comments received for </w:t>
      </w:r>
      <w:proofErr w:type="spellStart"/>
      <w:r>
        <w:rPr>
          <w:rFonts w:ascii="Calibri" w:eastAsia="Times New Roman" w:hAnsi="Calibri" w:cs="Arial"/>
          <w:bCs/>
          <w:snapToGrid w:val="0"/>
          <w:szCs w:val="24"/>
          <w:lang w:val="en-GB"/>
        </w:rPr>
        <w:t>alectinib</w:t>
      </w:r>
      <w:proofErr w:type="spellEnd"/>
      <w:r>
        <w:rPr>
          <w:rFonts w:ascii="Calibri" w:eastAsia="Times New Roman" w:hAnsi="Calibri" w:cs="Arial"/>
          <w:bCs/>
          <w:snapToGrid w:val="0"/>
          <w:szCs w:val="24"/>
          <w:lang w:val="en-GB"/>
        </w:rPr>
        <w:t xml:space="preserve"> which described its benefits in </w:t>
      </w:r>
      <w:r w:rsidR="00B82991">
        <w:rPr>
          <w:rFonts w:ascii="Calibri" w:eastAsia="Times New Roman" w:hAnsi="Calibri" w:cs="Arial"/>
          <w:bCs/>
          <w:snapToGrid w:val="0"/>
          <w:szCs w:val="24"/>
          <w:lang w:val="en-GB"/>
        </w:rPr>
        <w:t>slowing disease progression in</w:t>
      </w:r>
      <w:r>
        <w:rPr>
          <w:rFonts w:ascii="Calibri" w:eastAsia="Times New Roman" w:hAnsi="Calibri" w:cs="Arial"/>
          <w:bCs/>
          <w:snapToGrid w:val="0"/>
          <w:szCs w:val="24"/>
          <w:lang w:val="en-GB"/>
        </w:rPr>
        <w:t xml:space="preserve"> patients with ALK-positive NSCLC. The PBAC noted that a number of comments highlighting the benefit of </w:t>
      </w:r>
      <w:proofErr w:type="spellStart"/>
      <w:r>
        <w:rPr>
          <w:rFonts w:ascii="Calibri" w:eastAsia="Times New Roman" w:hAnsi="Calibri" w:cs="Arial"/>
          <w:bCs/>
          <w:snapToGrid w:val="0"/>
          <w:szCs w:val="24"/>
          <w:lang w:val="en-GB"/>
        </w:rPr>
        <w:t>alectinib</w:t>
      </w:r>
      <w:proofErr w:type="spellEnd"/>
      <w:r>
        <w:rPr>
          <w:rFonts w:ascii="Calibri" w:eastAsia="Times New Roman" w:hAnsi="Calibri" w:cs="Arial"/>
          <w:bCs/>
          <w:snapToGrid w:val="0"/>
          <w:szCs w:val="24"/>
          <w:lang w:val="en-GB"/>
        </w:rPr>
        <w:t xml:space="preserve"> were fro</w:t>
      </w:r>
      <w:r w:rsidR="00043A7D">
        <w:rPr>
          <w:rFonts w:ascii="Calibri" w:eastAsia="Times New Roman" w:hAnsi="Calibri" w:cs="Arial"/>
          <w:bCs/>
          <w:snapToGrid w:val="0"/>
          <w:szCs w:val="24"/>
          <w:lang w:val="en-GB"/>
        </w:rPr>
        <w:t>m patients with CNS metastases.</w:t>
      </w:r>
    </w:p>
    <w:p w:rsidR="000015A8" w:rsidRPr="00FD7BFB" w:rsidRDefault="005A6852" w:rsidP="00FD7BFB">
      <w:pPr>
        <w:widowControl w:val="0"/>
        <w:numPr>
          <w:ilvl w:val="1"/>
          <w:numId w:val="4"/>
        </w:numPr>
        <w:spacing w:before="0" w:after="120"/>
        <w:rPr>
          <w:rFonts w:ascii="Calibri" w:eastAsia="Times New Roman" w:hAnsi="Calibri" w:cs="Arial"/>
          <w:bCs/>
          <w:snapToGrid w:val="0"/>
          <w:szCs w:val="24"/>
          <w:lang w:val="en-GB"/>
        </w:rPr>
      </w:pPr>
      <w:r w:rsidRPr="00FD7BFB">
        <w:rPr>
          <w:rFonts w:ascii="Calibri" w:eastAsia="Times New Roman" w:hAnsi="Calibri" w:cs="Arial"/>
          <w:bCs/>
          <w:snapToGrid w:val="0"/>
          <w:szCs w:val="24"/>
          <w:lang w:val="en-GB"/>
        </w:rPr>
        <w:t xml:space="preserve">The PBAC noted </w:t>
      </w:r>
      <w:r w:rsidR="00A34E08" w:rsidRPr="00FD7BFB">
        <w:rPr>
          <w:rFonts w:ascii="Calibri" w:eastAsia="Times New Roman" w:hAnsi="Calibri" w:cs="Arial"/>
          <w:bCs/>
          <w:snapToGrid w:val="0"/>
          <w:szCs w:val="24"/>
          <w:lang w:val="en-GB"/>
        </w:rPr>
        <w:t>that</w:t>
      </w:r>
      <w:r w:rsidR="0057201C">
        <w:rPr>
          <w:rFonts w:ascii="Calibri" w:eastAsia="Times New Roman" w:hAnsi="Calibri" w:cs="Arial"/>
          <w:bCs/>
          <w:snapToGrid w:val="0"/>
          <w:szCs w:val="24"/>
          <w:lang w:val="en-GB"/>
        </w:rPr>
        <w:t>,</w:t>
      </w:r>
      <w:r w:rsidR="00A34E08" w:rsidRPr="00FD7BFB">
        <w:rPr>
          <w:rFonts w:ascii="Calibri" w:eastAsia="Times New Roman" w:hAnsi="Calibri" w:cs="Arial"/>
          <w:bCs/>
          <w:snapToGrid w:val="0"/>
          <w:szCs w:val="24"/>
          <w:lang w:val="en-GB"/>
        </w:rPr>
        <w:t xml:space="preserve"> in the </w:t>
      </w:r>
      <w:r w:rsidRPr="00FD7BFB">
        <w:rPr>
          <w:rFonts w:ascii="Calibri" w:eastAsia="Times New Roman" w:hAnsi="Calibri" w:cs="Arial"/>
          <w:bCs/>
          <w:snapToGrid w:val="0"/>
          <w:szCs w:val="24"/>
          <w:lang w:val="en-GB"/>
        </w:rPr>
        <w:t xml:space="preserve">naïve indirect </w:t>
      </w:r>
      <w:r w:rsidR="007F56FA" w:rsidRPr="00FD7BFB">
        <w:rPr>
          <w:rFonts w:ascii="Calibri" w:eastAsia="Times New Roman" w:hAnsi="Calibri" w:cs="Arial"/>
          <w:bCs/>
          <w:snapToGrid w:val="0"/>
          <w:szCs w:val="24"/>
          <w:lang w:val="en-GB"/>
        </w:rPr>
        <w:t>comparison between</w:t>
      </w:r>
      <w:r w:rsidR="00541625" w:rsidRPr="00FD7BFB">
        <w:rPr>
          <w:rFonts w:ascii="Calibri" w:eastAsia="Times New Roman" w:hAnsi="Calibri" w:cs="Arial"/>
          <w:bCs/>
          <w:snapToGrid w:val="0"/>
          <w:szCs w:val="24"/>
          <w:lang w:val="en-GB"/>
        </w:rPr>
        <w:t xml:space="preserve"> the</w:t>
      </w:r>
      <w:r w:rsidR="007F56FA" w:rsidRPr="00FD7BFB">
        <w:rPr>
          <w:rFonts w:ascii="Calibri" w:eastAsia="Times New Roman" w:hAnsi="Calibri" w:cs="Arial"/>
          <w:bCs/>
          <w:snapToGrid w:val="0"/>
          <w:szCs w:val="24"/>
          <w:lang w:val="en-GB"/>
        </w:rPr>
        <w:t xml:space="preserve"> two</w:t>
      </w:r>
      <w:r w:rsidR="009926FB" w:rsidRPr="00FD7BFB">
        <w:rPr>
          <w:rFonts w:ascii="Calibri" w:eastAsia="Times New Roman" w:hAnsi="Calibri" w:cs="Arial"/>
          <w:bCs/>
          <w:snapToGrid w:val="0"/>
          <w:szCs w:val="24"/>
          <w:lang w:val="en-GB"/>
        </w:rPr>
        <w:t xml:space="preserve"> pooled</w:t>
      </w:r>
      <w:r w:rsidR="0057201C">
        <w:rPr>
          <w:rFonts w:ascii="Calibri" w:eastAsia="Times New Roman" w:hAnsi="Calibri" w:cs="Arial"/>
          <w:bCs/>
          <w:snapToGrid w:val="0"/>
          <w:szCs w:val="24"/>
          <w:lang w:val="en-GB"/>
        </w:rPr>
        <w:t xml:space="preserve"> single-</w:t>
      </w:r>
      <w:r w:rsidR="007F56FA" w:rsidRPr="00FD7BFB">
        <w:rPr>
          <w:rFonts w:ascii="Calibri" w:eastAsia="Times New Roman" w:hAnsi="Calibri" w:cs="Arial"/>
          <w:bCs/>
          <w:snapToGrid w:val="0"/>
          <w:szCs w:val="24"/>
          <w:lang w:val="en-GB"/>
        </w:rPr>
        <w:t xml:space="preserve">arm </w:t>
      </w:r>
      <w:proofErr w:type="spellStart"/>
      <w:r w:rsidR="007F56FA" w:rsidRPr="00FD7BFB">
        <w:rPr>
          <w:rFonts w:ascii="Calibri" w:eastAsia="Times New Roman" w:hAnsi="Calibri" w:cs="Arial"/>
          <w:bCs/>
          <w:snapToGrid w:val="0"/>
          <w:szCs w:val="24"/>
          <w:lang w:val="en-GB"/>
        </w:rPr>
        <w:t>alectinib</w:t>
      </w:r>
      <w:proofErr w:type="spellEnd"/>
      <w:r w:rsidR="007F56FA" w:rsidRPr="00FD7BFB">
        <w:rPr>
          <w:rFonts w:ascii="Calibri" w:eastAsia="Times New Roman" w:hAnsi="Calibri" w:cs="Arial"/>
          <w:bCs/>
          <w:snapToGrid w:val="0"/>
          <w:szCs w:val="24"/>
          <w:lang w:val="en-GB"/>
        </w:rPr>
        <w:t xml:space="preserve"> </w:t>
      </w:r>
      <w:r w:rsidR="00043A7D">
        <w:rPr>
          <w:rFonts w:ascii="Calibri" w:eastAsia="Times New Roman" w:hAnsi="Calibri" w:cs="Arial"/>
          <w:bCs/>
          <w:snapToGrid w:val="0"/>
          <w:szCs w:val="24"/>
          <w:lang w:val="en-GB"/>
        </w:rPr>
        <w:t xml:space="preserve">studies </w:t>
      </w:r>
      <w:r w:rsidR="007F56FA" w:rsidRPr="00FD7BFB">
        <w:rPr>
          <w:rFonts w:ascii="Calibri" w:eastAsia="Times New Roman" w:hAnsi="Calibri" w:cs="Arial"/>
          <w:bCs/>
          <w:snapToGrid w:val="0"/>
          <w:szCs w:val="24"/>
          <w:lang w:val="en-GB"/>
        </w:rPr>
        <w:t>(NP</w:t>
      </w:r>
      <w:r w:rsidR="00541625" w:rsidRPr="00FD7BFB">
        <w:rPr>
          <w:rFonts w:ascii="Calibri" w:eastAsia="Times New Roman" w:hAnsi="Calibri" w:cs="Arial"/>
          <w:bCs/>
          <w:snapToGrid w:val="0"/>
          <w:szCs w:val="24"/>
          <w:lang w:val="en-GB"/>
        </w:rPr>
        <w:t>28761 &amp; NP28673) and</w:t>
      </w:r>
      <w:r w:rsidR="0057201C">
        <w:rPr>
          <w:rFonts w:ascii="Calibri" w:eastAsia="Times New Roman" w:hAnsi="Calibri" w:cs="Arial"/>
          <w:bCs/>
          <w:snapToGrid w:val="0"/>
          <w:szCs w:val="24"/>
          <w:lang w:val="en-GB"/>
        </w:rPr>
        <w:t xml:space="preserve"> </w:t>
      </w:r>
      <w:r w:rsidR="00043A7D">
        <w:rPr>
          <w:rFonts w:ascii="Calibri" w:eastAsia="Times New Roman" w:hAnsi="Calibri" w:cs="Arial"/>
          <w:bCs/>
          <w:snapToGrid w:val="0"/>
          <w:szCs w:val="24"/>
          <w:lang w:val="en-GB"/>
        </w:rPr>
        <w:t xml:space="preserve">the </w:t>
      </w:r>
      <w:r w:rsidR="0057201C">
        <w:rPr>
          <w:rFonts w:ascii="Calibri" w:eastAsia="Times New Roman" w:hAnsi="Calibri" w:cs="Arial"/>
          <w:bCs/>
          <w:snapToGrid w:val="0"/>
          <w:szCs w:val="24"/>
          <w:lang w:val="en-GB"/>
        </w:rPr>
        <w:t xml:space="preserve">two </w:t>
      </w:r>
      <w:r w:rsidR="00043A7D">
        <w:rPr>
          <w:rFonts w:ascii="Calibri" w:eastAsia="Times New Roman" w:hAnsi="Calibri" w:cs="Arial"/>
          <w:bCs/>
          <w:snapToGrid w:val="0"/>
          <w:szCs w:val="24"/>
          <w:lang w:val="en-GB"/>
        </w:rPr>
        <w:t xml:space="preserve">pooled </w:t>
      </w:r>
      <w:r w:rsidR="0057201C">
        <w:rPr>
          <w:rFonts w:ascii="Calibri" w:eastAsia="Times New Roman" w:hAnsi="Calibri" w:cs="Arial"/>
          <w:bCs/>
          <w:snapToGrid w:val="0"/>
          <w:szCs w:val="24"/>
          <w:lang w:val="en-GB"/>
        </w:rPr>
        <w:t>single-</w:t>
      </w:r>
      <w:r w:rsidR="009926FB" w:rsidRPr="00FD7BFB">
        <w:rPr>
          <w:rFonts w:ascii="Calibri" w:eastAsia="Times New Roman" w:hAnsi="Calibri" w:cs="Arial"/>
          <w:bCs/>
          <w:snapToGrid w:val="0"/>
          <w:szCs w:val="24"/>
          <w:lang w:val="en-GB"/>
        </w:rPr>
        <w:t>arm</w:t>
      </w:r>
      <w:r w:rsidR="00541625" w:rsidRPr="00FD7BFB">
        <w:rPr>
          <w:rFonts w:ascii="Calibri" w:eastAsia="Times New Roman" w:hAnsi="Calibri" w:cs="Arial"/>
          <w:bCs/>
          <w:snapToGrid w:val="0"/>
          <w:szCs w:val="24"/>
          <w:lang w:val="en-GB"/>
        </w:rPr>
        <w:t xml:space="preserve"> </w:t>
      </w:r>
      <w:proofErr w:type="spellStart"/>
      <w:r w:rsidR="007F56FA" w:rsidRPr="00FD7BFB">
        <w:rPr>
          <w:rFonts w:ascii="Calibri" w:eastAsia="Times New Roman" w:hAnsi="Calibri" w:cs="Arial"/>
          <w:bCs/>
          <w:snapToGrid w:val="0"/>
          <w:szCs w:val="24"/>
          <w:lang w:val="en-GB"/>
        </w:rPr>
        <w:t>ceritinib</w:t>
      </w:r>
      <w:proofErr w:type="spellEnd"/>
      <w:r w:rsidR="007F56FA" w:rsidRPr="00FD7BFB">
        <w:rPr>
          <w:rFonts w:ascii="Calibri" w:eastAsia="Times New Roman" w:hAnsi="Calibri" w:cs="Arial"/>
          <w:bCs/>
          <w:snapToGrid w:val="0"/>
          <w:szCs w:val="24"/>
          <w:lang w:val="en-GB"/>
        </w:rPr>
        <w:t xml:space="preserve"> </w:t>
      </w:r>
      <w:r w:rsidR="00043A7D">
        <w:rPr>
          <w:rFonts w:ascii="Calibri" w:eastAsia="Times New Roman" w:hAnsi="Calibri" w:cs="Arial"/>
          <w:bCs/>
          <w:snapToGrid w:val="0"/>
          <w:szCs w:val="24"/>
          <w:lang w:val="en-GB"/>
        </w:rPr>
        <w:t xml:space="preserve">studies </w:t>
      </w:r>
      <w:r w:rsidR="007F56FA" w:rsidRPr="00FD7BFB">
        <w:rPr>
          <w:rFonts w:ascii="Calibri" w:eastAsia="Times New Roman" w:hAnsi="Calibri" w:cs="Arial"/>
          <w:bCs/>
          <w:snapToGrid w:val="0"/>
          <w:szCs w:val="24"/>
          <w:lang w:val="en-GB"/>
        </w:rPr>
        <w:t>(ASCEND-1 &amp; ASCEND-2)</w:t>
      </w:r>
      <w:r w:rsidR="005E25E0" w:rsidRPr="00FD7BFB">
        <w:rPr>
          <w:rFonts w:ascii="Calibri" w:eastAsia="Times New Roman" w:hAnsi="Calibri" w:cs="Arial"/>
          <w:bCs/>
          <w:snapToGrid w:val="0"/>
          <w:szCs w:val="24"/>
          <w:lang w:val="en-GB"/>
        </w:rPr>
        <w:t xml:space="preserve"> presented in the submission</w:t>
      </w:r>
      <w:r w:rsidR="00A34E08" w:rsidRPr="00FD7BFB">
        <w:rPr>
          <w:rFonts w:ascii="Calibri" w:eastAsia="Times New Roman" w:hAnsi="Calibri" w:cs="Arial"/>
          <w:bCs/>
          <w:snapToGrid w:val="0"/>
          <w:szCs w:val="24"/>
          <w:lang w:val="en-GB"/>
        </w:rPr>
        <w:t>, the difference in the point estimate of median PFS</w:t>
      </w:r>
      <w:r w:rsidR="00967DFA" w:rsidRPr="00FD7BFB">
        <w:rPr>
          <w:rFonts w:ascii="Calibri" w:eastAsia="Times New Roman" w:hAnsi="Calibri" w:cs="Arial"/>
          <w:bCs/>
          <w:snapToGrid w:val="0"/>
          <w:szCs w:val="24"/>
          <w:lang w:val="en-GB"/>
        </w:rPr>
        <w:t xml:space="preserve"> (IRC assessed) </w:t>
      </w:r>
      <w:r w:rsidR="009D09A3">
        <w:rPr>
          <w:rFonts w:ascii="Calibri" w:eastAsia="Times New Roman" w:hAnsi="Calibri" w:cs="Arial"/>
          <w:bCs/>
          <w:snapToGrid w:val="0"/>
          <w:szCs w:val="24"/>
          <w:lang w:val="en-GB"/>
        </w:rPr>
        <w:t xml:space="preserve">numerically </w:t>
      </w:r>
      <w:r w:rsidR="009C1901" w:rsidRPr="00FD7BFB">
        <w:rPr>
          <w:rFonts w:ascii="Calibri" w:eastAsia="Times New Roman" w:hAnsi="Calibri" w:cs="Arial"/>
          <w:bCs/>
          <w:snapToGrid w:val="0"/>
          <w:szCs w:val="24"/>
          <w:lang w:val="en-GB"/>
        </w:rPr>
        <w:t xml:space="preserve">favoured </w:t>
      </w:r>
      <w:proofErr w:type="spellStart"/>
      <w:r w:rsidR="009C1901" w:rsidRPr="00FD7BFB">
        <w:rPr>
          <w:rFonts w:ascii="Calibri" w:eastAsia="Times New Roman" w:hAnsi="Calibri" w:cs="Arial"/>
          <w:bCs/>
          <w:snapToGrid w:val="0"/>
          <w:szCs w:val="24"/>
          <w:lang w:val="en-GB"/>
        </w:rPr>
        <w:t>alectinib</w:t>
      </w:r>
      <w:proofErr w:type="spellEnd"/>
      <w:r w:rsidR="000015A8" w:rsidRPr="00FD7BFB">
        <w:rPr>
          <w:rFonts w:ascii="Calibri" w:eastAsia="Times New Roman" w:hAnsi="Calibri" w:cs="Arial"/>
          <w:bCs/>
          <w:snapToGrid w:val="0"/>
          <w:szCs w:val="24"/>
          <w:lang w:val="en-GB"/>
        </w:rPr>
        <w:t xml:space="preserve">, with </w:t>
      </w:r>
      <w:r w:rsidR="009D09A3">
        <w:rPr>
          <w:rFonts w:ascii="Calibri" w:eastAsia="Times New Roman" w:hAnsi="Calibri" w:cs="Arial"/>
          <w:bCs/>
          <w:snapToGrid w:val="0"/>
          <w:szCs w:val="24"/>
          <w:lang w:val="en-GB"/>
        </w:rPr>
        <w:t>the</w:t>
      </w:r>
      <w:r w:rsidR="009D09A3" w:rsidRPr="00FD7BFB">
        <w:rPr>
          <w:rFonts w:ascii="Calibri" w:eastAsia="Times New Roman" w:hAnsi="Calibri" w:cs="Arial"/>
          <w:bCs/>
          <w:snapToGrid w:val="0"/>
          <w:szCs w:val="24"/>
          <w:lang w:val="en-GB"/>
        </w:rPr>
        <w:t xml:space="preserve"> </w:t>
      </w:r>
      <w:r w:rsidR="000015A8" w:rsidRPr="00FD7BFB">
        <w:rPr>
          <w:rFonts w:ascii="Calibri" w:eastAsia="Times New Roman" w:hAnsi="Calibri" w:cs="Arial"/>
          <w:bCs/>
          <w:snapToGrid w:val="0"/>
          <w:szCs w:val="24"/>
          <w:lang w:val="en-GB"/>
        </w:rPr>
        <w:t xml:space="preserve">median OS </w:t>
      </w:r>
      <w:r w:rsidR="009D09A3">
        <w:rPr>
          <w:rFonts w:ascii="Calibri" w:eastAsia="Times New Roman" w:hAnsi="Calibri" w:cs="Arial"/>
          <w:bCs/>
          <w:snapToGrid w:val="0"/>
          <w:szCs w:val="24"/>
          <w:lang w:val="en-GB"/>
        </w:rPr>
        <w:t xml:space="preserve">trending in </w:t>
      </w:r>
      <w:proofErr w:type="spellStart"/>
      <w:r w:rsidR="009D09A3">
        <w:rPr>
          <w:rFonts w:ascii="Calibri" w:eastAsia="Times New Roman" w:hAnsi="Calibri" w:cs="Arial"/>
          <w:bCs/>
          <w:snapToGrid w:val="0"/>
          <w:szCs w:val="24"/>
          <w:lang w:val="en-GB"/>
        </w:rPr>
        <w:t>alectinib’s</w:t>
      </w:r>
      <w:proofErr w:type="spellEnd"/>
      <w:r w:rsidR="009D09A3">
        <w:rPr>
          <w:rFonts w:ascii="Calibri" w:eastAsia="Times New Roman" w:hAnsi="Calibri" w:cs="Arial"/>
          <w:bCs/>
          <w:snapToGrid w:val="0"/>
          <w:szCs w:val="24"/>
          <w:lang w:val="en-GB"/>
        </w:rPr>
        <w:t xml:space="preserve"> favour as well</w:t>
      </w:r>
      <w:r w:rsidR="000015A8" w:rsidRPr="00FD7BFB">
        <w:rPr>
          <w:rFonts w:ascii="Calibri" w:eastAsia="Times New Roman" w:hAnsi="Calibri" w:cs="Arial"/>
          <w:bCs/>
          <w:snapToGrid w:val="0"/>
          <w:szCs w:val="24"/>
          <w:lang w:val="en-GB"/>
        </w:rPr>
        <w:t xml:space="preserve">. The PBAC considered that the OS comparison was potentially confounded by differences in post-progression therapies between the studies, and that </w:t>
      </w:r>
      <w:r w:rsidR="0060609D">
        <w:rPr>
          <w:rFonts w:ascii="Calibri" w:eastAsia="Times New Roman" w:hAnsi="Calibri" w:cs="Arial"/>
          <w:bCs/>
          <w:snapToGrid w:val="0"/>
          <w:szCs w:val="24"/>
          <w:lang w:val="en-GB"/>
        </w:rPr>
        <w:t xml:space="preserve">overall, </w:t>
      </w:r>
      <w:r w:rsidR="000015A8" w:rsidRPr="00FD7BFB">
        <w:rPr>
          <w:rFonts w:ascii="Calibri" w:eastAsia="Times New Roman" w:hAnsi="Calibri" w:cs="Arial"/>
          <w:bCs/>
          <w:snapToGrid w:val="0"/>
          <w:szCs w:val="24"/>
          <w:lang w:val="en-GB"/>
        </w:rPr>
        <w:t xml:space="preserve">the survival data </w:t>
      </w:r>
      <w:r w:rsidR="0060609D">
        <w:rPr>
          <w:rFonts w:ascii="Calibri" w:eastAsia="Times New Roman" w:hAnsi="Calibri" w:cs="Arial"/>
          <w:bCs/>
          <w:snapToGrid w:val="0"/>
          <w:szCs w:val="24"/>
          <w:lang w:val="en-GB"/>
        </w:rPr>
        <w:t>was</w:t>
      </w:r>
      <w:r w:rsidR="000015A8" w:rsidRPr="00FD7BFB">
        <w:rPr>
          <w:rFonts w:ascii="Calibri" w:eastAsia="Times New Roman" w:hAnsi="Calibri" w:cs="Arial"/>
          <w:bCs/>
          <w:snapToGrid w:val="0"/>
          <w:szCs w:val="24"/>
          <w:lang w:val="en-GB"/>
        </w:rPr>
        <w:t xml:space="preserve"> relatively immature with only 39%-43% of patients having experienced an event. Notwithstanding these and other inherent limitations of indirect</w:t>
      </w:r>
      <w:r w:rsidR="0057201C">
        <w:rPr>
          <w:rFonts w:ascii="Calibri" w:eastAsia="Times New Roman" w:hAnsi="Calibri" w:cs="Arial"/>
          <w:bCs/>
          <w:snapToGrid w:val="0"/>
          <w:szCs w:val="24"/>
          <w:lang w:val="en-GB"/>
        </w:rPr>
        <w:t xml:space="preserve"> comparisons between single-</w:t>
      </w:r>
      <w:r w:rsidR="000015A8" w:rsidRPr="00FD7BFB">
        <w:rPr>
          <w:rFonts w:ascii="Calibri" w:eastAsia="Times New Roman" w:hAnsi="Calibri" w:cs="Arial"/>
          <w:bCs/>
          <w:snapToGrid w:val="0"/>
          <w:szCs w:val="24"/>
          <w:lang w:val="en-GB"/>
        </w:rPr>
        <w:t xml:space="preserve">arm studies, the PBAC considered that on balance, the </w:t>
      </w:r>
      <w:r w:rsidR="00612B71">
        <w:rPr>
          <w:rFonts w:ascii="Calibri" w:eastAsia="Times New Roman" w:hAnsi="Calibri" w:cs="Arial"/>
          <w:bCs/>
          <w:snapToGrid w:val="0"/>
          <w:szCs w:val="24"/>
          <w:lang w:val="en-GB"/>
        </w:rPr>
        <w:t xml:space="preserve">submission’s </w:t>
      </w:r>
      <w:r w:rsidR="000015A8" w:rsidRPr="00FD7BFB">
        <w:rPr>
          <w:rFonts w:ascii="Calibri" w:eastAsia="Times New Roman" w:hAnsi="Calibri" w:cs="Arial"/>
          <w:bCs/>
          <w:snapToGrid w:val="0"/>
          <w:szCs w:val="24"/>
          <w:lang w:val="en-GB"/>
        </w:rPr>
        <w:t>claim of non-inferior comparative effectiveness aga</w:t>
      </w:r>
      <w:r w:rsidR="00043A7D">
        <w:rPr>
          <w:rFonts w:ascii="Calibri" w:eastAsia="Times New Roman" w:hAnsi="Calibri" w:cs="Arial"/>
          <w:bCs/>
          <w:snapToGrid w:val="0"/>
          <w:szCs w:val="24"/>
          <w:lang w:val="en-GB"/>
        </w:rPr>
        <w:t xml:space="preserve">inst </w:t>
      </w:r>
      <w:proofErr w:type="spellStart"/>
      <w:proofErr w:type="gramStart"/>
      <w:r w:rsidR="00043A7D">
        <w:rPr>
          <w:rFonts w:ascii="Calibri" w:eastAsia="Times New Roman" w:hAnsi="Calibri" w:cs="Arial"/>
          <w:bCs/>
          <w:snapToGrid w:val="0"/>
          <w:szCs w:val="24"/>
          <w:lang w:val="en-GB"/>
        </w:rPr>
        <w:t>ceritinib</w:t>
      </w:r>
      <w:proofErr w:type="spellEnd"/>
      <w:r w:rsidR="00043A7D">
        <w:rPr>
          <w:rFonts w:ascii="Calibri" w:eastAsia="Times New Roman" w:hAnsi="Calibri" w:cs="Arial"/>
          <w:bCs/>
          <w:snapToGrid w:val="0"/>
          <w:szCs w:val="24"/>
          <w:lang w:val="en-GB"/>
        </w:rPr>
        <w:t>,</w:t>
      </w:r>
      <w:proofErr w:type="gramEnd"/>
      <w:r w:rsidR="00043A7D">
        <w:rPr>
          <w:rFonts w:ascii="Calibri" w:eastAsia="Times New Roman" w:hAnsi="Calibri" w:cs="Arial"/>
          <w:bCs/>
          <w:snapToGrid w:val="0"/>
          <w:szCs w:val="24"/>
          <w:lang w:val="en-GB"/>
        </w:rPr>
        <w:t xml:space="preserve"> was acceptable.</w:t>
      </w:r>
    </w:p>
    <w:p w:rsidR="007B7799" w:rsidRPr="004D2320" w:rsidRDefault="007B7799" w:rsidP="007B7799">
      <w:pPr>
        <w:widowControl w:val="0"/>
        <w:numPr>
          <w:ilvl w:val="1"/>
          <w:numId w:val="4"/>
        </w:numPr>
        <w:spacing w:before="0" w:after="120"/>
        <w:rPr>
          <w:rFonts w:ascii="Calibri" w:eastAsia="Times New Roman" w:hAnsi="Calibri" w:cs="Arial"/>
          <w:bCs/>
          <w:snapToGrid w:val="0"/>
          <w:szCs w:val="24"/>
          <w:lang w:val="en-GB"/>
        </w:rPr>
      </w:pPr>
      <w:r>
        <w:rPr>
          <w:rFonts w:ascii="Calibri" w:eastAsia="Times New Roman" w:hAnsi="Calibri" w:cs="Arial"/>
          <w:bCs/>
          <w:snapToGrid w:val="0"/>
          <w:szCs w:val="24"/>
          <w:lang w:val="en-GB"/>
        </w:rPr>
        <w:t>Although the submission claimed that</w:t>
      </w:r>
      <w:r w:rsidRPr="008D70B4">
        <w:rPr>
          <w:rFonts w:ascii="Calibri" w:eastAsia="Times New Roman" w:hAnsi="Calibri" w:cs="Arial"/>
          <w:bCs/>
          <w:snapToGrid w:val="0"/>
          <w:szCs w:val="24"/>
          <w:lang w:val="en-GB"/>
        </w:rPr>
        <w:t xml:space="preserve"> </w:t>
      </w:r>
      <w:proofErr w:type="spellStart"/>
      <w:r w:rsidRPr="008D70B4">
        <w:rPr>
          <w:rFonts w:ascii="Calibri" w:eastAsia="Times New Roman" w:hAnsi="Calibri" w:cs="Arial"/>
          <w:bCs/>
          <w:snapToGrid w:val="0"/>
          <w:szCs w:val="24"/>
          <w:lang w:val="en-GB"/>
        </w:rPr>
        <w:t>alectinib</w:t>
      </w:r>
      <w:proofErr w:type="spellEnd"/>
      <w:r w:rsidRPr="008D70B4">
        <w:rPr>
          <w:rFonts w:ascii="Calibri" w:eastAsia="Times New Roman" w:hAnsi="Calibri" w:cs="Arial"/>
          <w:bCs/>
          <w:snapToGrid w:val="0"/>
          <w:szCs w:val="24"/>
          <w:lang w:val="en-GB"/>
        </w:rPr>
        <w:t xml:space="preserve"> demonstrated higher CNS ORR, including complete responses for patients with measurable CNS metastases at baseline</w:t>
      </w:r>
      <w:r>
        <w:rPr>
          <w:rFonts w:ascii="Calibri" w:eastAsia="Times New Roman" w:hAnsi="Calibri" w:cs="Arial"/>
          <w:bCs/>
          <w:snapToGrid w:val="0"/>
          <w:szCs w:val="24"/>
          <w:lang w:val="en-GB"/>
        </w:rPr>
        <w:t xml:space="preserve">, the PBAC considered that it was difficult to draw meaningful conclusions regarding the extent of </w:t>
      </w:r>
      <w:r w:rsidR="00043A7D">
        <w:rPr>
          <w:rFonts w:ascii="Calibri" w:eastAsia="Times New Roman" w:hAnsi="Calibri" w:cs="Arial"/>
          <w:bCs/>
          <w:snapToGrid w:val="0"/>
          <w:szCs w:val="24"/>
          <w:lang w:val="en-GB"/>
        </w:rPr>
        <w:t>incremental</w:t>
      </w:r>
      <w:r>
        <w:rPr>
          <w:rFonts w:ascii="Calibri" w:eastAsia="Times New Roman" w:hAnsi="Calibri" w:cs="Arial"/>
          <w:bCs/>
          <w:snapToGrid w:val="0"/>
          <w:szCs w:val="24"/>
          <w:lang w:val="en-GB"/>
        </w:rPr>
        <w:t xml:space="preserve"> benefit versus </w:t>
      </w:r>
      <w:proofErr w:type="spellStart"/>
      <w:r>
        <w:rPr>
          <w:rFonts w:ascii="Calibri" w:eastAsia="Times New Roman" w:hAnsi="Calibri" w:cs="Arial"/>
          <w:bCs/>
          <w:snapToGrid w:val="0"/>
          <w:szCs w:val="24"/>
          <w:lang w:val="en-GB"/>
        </w:rPr>
        <w:t>ceritinib</w:t>
      </w:r>
      <w:proofErr w:type="spellEnd"/>
      <w:r>
        <w:rPr>
          <w:rFonts w:ascii="Calibri" w:eastAsia="Times New Roman" w:hAnsi="Calibri" w:cs="Arial"/>
          <w:bCs/>
          <w:snapToGrid w:val="0"/>
          <w:szCs w:val="24"/>
          <w:lang w:val="en-GB"/>
        </w:rPr>
        <w:t>, if any, on CNS response in patients with measurable CNS lesions, given the small sample size</w:t>
      </w:r>
      <w:r w:rsidR="00043A7D">
        <w:rPr>
          <w:rFonts w:ascii="Calibri" w:eastAsia="Times New Roman" w:hAnsi="Calibri" w:cs="Arial"/>
          <w:bCs/>
          <w:snapToGrid w:val="0"/>
          <w:szCs w:val="24"/>
          <w:lang w:val="en-GB"/>
        </w:rPr>
        <w:t>s</w:t>
      </w:r>
      <w:r>
        <w:rPr>
          <w:rFonts w:ascii="Calibri" w:eastAsia="Times New Roman" w:hAnsi="Calibri" w:cs="Arial"/>
          <w:bCs/>
          <w:snapToGrid w:val="0"/>
          <w:szCs w:val="24"/>
          <w:lang w:val="en-GB"/>
        </w:rPr>
        <w:t xml:space="preserve"> across both sets of </w:t>
      </w:r>
      <w:r w:rsidR="0057201C">
        <w:rPr>
          <w:rFonts w:ascii="Calibri" w:eastAsia="Times New Roman" w:hAnsi="Calibri" w:cs="Arial"/>
          <w:bCs/>
          <w:snapToGrid w:val="0"/>
          <w:szCs w:val="24"/>
          <w:lang w:val="en-GB"/>
        </w:rPr>
        <w:t>studies</w:t>
      </w:r>
      <w:r>
        <w:rPr>
          <w:rFonts w:ascii="Calibri" w:eastAsia="Times New Roman" w:hAnsi="Calibri" w:cs="Arial"/>
          <w:bCs/>
          <w:snapToGrid w:val="0"/>
          <w:szCs w:val="24"/>
          <w:lang w:val="en-GB"/>
        </w:rPr>
        <w:t xml:space="preserve"> and the ind</w:t>
      </w:r>
      <w:r w:rsidR="00043A7D">
        <w:rPr>
          <w:rFonts w:ascii="Calibri" w:eastAsia="Times New Roman" w:hAnsi="Calibri" w:cs="Arial"/>
          <w:bCs/>
          <w:snapToGrid w:val="0"/>
          <w:szCs w:val="24"/>
          <w:lang w:val="en-GB"/>
        </w:rPr>
        <w:t>irect nature of the comparison.</w:t>
      </w:r>
    </w:p>
    <w:p w:rsidR="00535299" w:rsidRPr="004D2320" w:rsidRDefault="00535299" w:rsidP="00785811">
      <w:pPr>
        <w:widowControl w:val="0"/>
        <w:numPr>
          <w:ilvl w:val="1"/>
          <w:numId w:val="4"/>
        </w:numPr>
        <w:spacing w:before="0" w:after="120"/>
        <w:rPr>
          <w:rFonts w:ascii="Calibri" w:eastAsia="Times New Roman" w:hAnsi="Calibri" w:cs="Arial"/>
          <w:bCs/>
          <w:snapToGrid w:val="0"/>
          <w:szCs w:val="24"/>
          <w:lang w:val="en-GB"/>
        </w:rPr>
      </w:pPr>
      <w:r w:rsidRPr="004D2320">
        <w:rPr>
          <w:rFonts w:ascii="Calibri" w:eastAsia="Times New Roman" w:hAnsi="Calibri" w:cs="Arial"/>
          <w:bCs/>
          <w:snapToGrid w:val="0"/>
          <w:szCs w:val="24"/>
          <w:lang w:val="en-GB"/>
        </w:rPr>
        <w:t>The PBAC considered that</w:t>
      </w:r>
      <w:r w:rsidR="00043A7D">
        <w:rPr>
          <w:rFonts w:ascii="Calibri" w:eastAsia="Times New Roman" w:hAnsi="Calibri" w:cs="Arial"/>
          <w:bCs/>
          <w:snapToGrid w:val="0"/>
          <w:szCs w:val="24"/>
          <w:lang w:val="en-GB"/>
        </w:rPr>
        <w:t>,</w:t>
      </w:r>
      <w:r w:rsidRPr="004D2320">
        <w:rPr>
          <w:rFonts w:ascii="Calibri" w:eastAsia="Times New Roman" w:hAnsi="Calibri" w:cs="Arial"/>
          <w:bCs/>
          <w:snapToGrid w:val="0"/>
          <w:szCs w:val="24"/>
          <w:lang w:val="en-GB"/>
        </w:rPr>
        <w:t xml:space="preserve"> based on the data presented in the submission, </w:t>
      </w:r>
      <w:proofErr w:type="spellStart"/>
      <w:r w:rsidRPr="004D2320">
        <w:rPr>
          <w:rFonts w:ascii="Calibri" w:eastAsia="Times New Roman" w:hAnsi="Calibri" w:cs="Arial"/>
          <w:bCs/>
          <w:snapToGrid w:val="0"/>
          <w:szCs w:val="24"/>
          <w:lang w:val="en-GB"/>
        </w:rPr>
        <w:t>alectinib</w:t>
      </w:r>
      <w:proofErr w:type="spellEnd"/>
      <w:r w:rsidRPr="004D2320">
        <w:rPr>
          <w:rFonts w:ascii="Calibri" w:eastAsia="Times New Roman" w:hAnsi="Calibri" w:cs="Arial"/>
          <w:bCs/>
          <w:snapToGrid w:val="0"/>
          <w:szCs w:val="24"/>
          <w:lang w:val="en-GB"/>
        </w:rPr>
        <w:t xml:space="preserve"> and </w:t>
      </w:r>
      <w:proofErr w:type="spellStart"/>
      <w:r w:rsidRPr="004D2320">
        <w:rPr>
          <w:rFonts w:ascii="Calibri" w:eastAsia="Times New Roman" w:hAnsi="Calibri" w:cs="Arial"/>
          <w:bCs/>
          <w:snapToGrid w:val="0"/>
          <w:szCs w:val="24"/>
          <w:lang w:val="en-GB"/>
        </w:rPr>
        <w:t>ceritinib</w:t>
      </w:r>
      <w:proofErr w:type="spellEnd"/>
      <w:r>
        <w:rPr>
          <w:rFonts w:ascii="Calibri" w:eastAsia="Times New Roman" w:hAnsi="Calibri" w:cs="Arial"/>
          <w:bCs/>
          <w:snapToGrid w:val="0"/>
          <w:szCs w:val="24"/>
          <w:lang w:val="en-GB"/>
        </w:rPr>
        <w:t xml:space="preserve"> had different</w:t>
      </w:r>
      <w:r w:rsidRPr="004D2320">
        <w:rPr>
          <w:rFonts w:ascii="Calibri" w:eastAsia="Times New Roman" w:hAnsi="Calibri" w:cs="Arial"/>
          <w:bCs/>
          <w:snapToGrid w:val="0"/>
          <w:szCs w:val="24"/>
          <w:lang w:val="en-GB"/>
        </w:rPr>
        <w:t xml:space="preserve"> side effect profiles</w:t>
      </w:r>
      <w:r>
        <w:rPr>
          <w:rFonts w:ascii="Calibri" w:eastAsia="Times New Roman" w:hAnsi="Calibri" w:cs="Arial"/>
          <w:bCs/>
          <w:snapToGrid w:val="0"/>
          <w:szCs w:val="24"/>
          <w:lang w:val="en-GB"/>
        </w:rPr>
        <w:t xml:space="preserve">. </w:t>
      </w:r>
      <w:r w:rsidRPr="004D2320">
        <w:rPr>
          <w:rFonts w:ascii="Calibri" w:eastAsia="Times New Roman" w:hAnsi="Calibri" w:cs="Arial"/>
          <w:bCs/>
          <w:snapToGrid w:val="0"/>
          <w:szCs w:val="24"/>
          <w:lang w:val="en-GB"/>
        </w:rPr>
        <w:t xml:space="preserve">The PBAC noted that </w:t>
      </w:r>
      <w:proofErr w:type="spellStart"/>
      <w:r w:rsidRPr="004D2320">
        <w:rPr>
          <w:rFonts w:ascii="Calibri" w:eastAsia="Times New Roman" w:hAnsi="Calibri" w:cs="Arial"/>
          <w:bCs/>
          <w:snapToGrid w:val="0"/>
          <w:szCs w:val="24"/>
          <w:lang w:val="en-GB"/>
        </w:rPr>
        <w:t>ceritinib</w:t>
      </w:r>
      <w:proofErr w:type="spellEnd"/>
      <w:r w:rsidRPr="004D2320">
        <w:rPr>
          <w:rFonts w:ascii="Calibri" w:eastAsia="Times New Roman" w:hAnsi="Calibri" w:cs="Arial"/>
          <w:bCs/>
          <w:snapToGrid w:val="0"/>
          <w:szCs w:val="24"/>
          <w:lang w:val="en-GB"/>
        </w:rPr>
        <w:t xml:space="preserve"> was associated with a higher incidence of Grade 3-4 diarrhoea, nausea and vomiting</w:t>
      </w:r>
      <w:r w:rsidR="00043A7D">
        <w:rPr>
          <w:rFonts w:ascii="Calibri" w:eastAsia="Times New Roman" w:hAnsi="Calibri" w:cs="Arial"/>
          <w:bCs/>
          <w:snapToGrid w:val="0"/>
          <w:szCs w:val="24"/>
          <w:lang w:val="en-GB"/>
        </w:rPr>
        <w:t xml:space="preserve"> than </w:t>
      </w:r>
      <w:proofErr w:type="spellStart"/>
      <w:r w:rsidR="00043A7D">
        <w:rPr>
          <w:rFonts w:ascii="Calibri" w:eastAsia="Times New Roman" w:hAnsi="Calibri" w:cs="Arial"/>
          <w:bCs/>
          <w:snapToGrid w:val="0"/>
          <w:szCs w:val="24"/>
          <w:lang w:val="en-GB"/>
        </w:rPr>
        <w:t>alectinib</w:t>
      </w:r>
      <w:proofErr w:type="spellEnd"/>
      <w:r w:rsidRPr="004D2320">
        <w:rPr>
          <w:rFonts w:ascii="Calibri" w:eastAsia="Times New Roman" w:hAnsi="Calibri" w:cs="Arial"/>
          <w:bCs/>
          <w:snapToGrid w:val="0"/>
          <w:szCs w:val="24"/>
          <w:lang w:val="en-GB"/>
        </w:rPr>
        <w:t xml:space="preserve">, </w:t>
      </w:r>
      <w:r w:rsidR="00043A7D">
        <w:rPr>
          <w:rFonts w:ascii="Calibri" w:eastAsia="Times New Roman" w:hAnsi="Calibri" w:cs="Arial"/>
          <w:bCs/>
          <w:snapToGrid w:val="0"/>
          <w:szCs w:val="24"/>
          <w:lang w:val="en-GB"/>
        </w:rPr>
        <w:t xml:space="preserve">while </w:t>
      </w:r>
      <w:r w:rsidRPr="004D2320">
        <w:rPr>
          <w:rFonts w:ascii="Calibri" w:eastAsia="Times New Roman" w:hAnsi="Calibri" w:cs="Arial"/>
          <w:bCs/>
          <w:snapToGrid w:val="0"/>
          <w:szCs w:val="24"/>
          <w:lang w:val="en-GB"/>
        </w:rPr>
        <w:t xml:space="preserve">myalgia and creatinine phosphokinase elevation were prominent in the </w:t>
      </w:r>
      <w:proofErr w:type="spellStart"/>
      <w:r w:rsidRPr="004D2320">
        <w:rPr>
          <w:rFonts w:ascii="Calibri" w:eastAsia="Times New Roman" w:hAnsi="Calibri" w:cs="Arial"/>
          <w:bCs/>
          <w:snapToGrid w:val="0"/>
          <w:szCs w:val="24"/>
          <w:lang w:val="en-GB"/>
        </w:rPr>
        <w:t>alectinib</w:t>
      </w:r>
      <w:proofErr w:type="spellEnd"/>
      <w:r w:rsidRPr="004D2320">
        <w:rPr>
          <w:rFonts w:ascii="Calibri" w:eastAsia="Times New Roman" w:hAnsi="Calibri" w:cs="Arial"/>
          <w:bCs/>
          <w:snapToGrid w:val="0"/>
          <w:szCs w:val="24"/>
          <w:lang w:val="en-GB"/>
        </w:rPr>
        <w:t xml:space="preserve"> trials. The PBAC noted that </w:t>
      </w:r>
      <w:r w:rsidR="001C2F0E">
        <w:rPr>
          <w:rFonts w:ascii="Calibri" w:eastAsia="Times New Roman" w:hAnsi="Calibri" w:cs="Arial"/>
          <w:bCs/>
          <w:noProof/>
          <w:snapToGrid w:val="0"/>
          <w:color w:val="000000"/>
          <w:szCs w:val="24"/>
          <w:highlight w:val="black"/>
          <w:lang w:val="en-GB"/>
        </w:rPr>
        <w:t>''''''' ''''''''' '''''''''''''''' ''''''''''''''''''''''' ''''''''' '''''''''''''''''' ''''''' '''''' '''''''''''''''' '''' ''''''''''' '''''''''''''''''''''''''' '''''''' '''''''''''''' '''''''''''''''''''</w:t>
      </w:r>
      <w:r w:rsidRPr="004D2320">
        <w:rPr>
          <w:rFonts w:ascii="Calibri" w:eastAsia="Times New Roman" w:hAnsi="Calibri" w:cs="Arial"/>
          <w:bCs/>
          <w:snapToGrid w:val="0"/>
          <w:szCs w:val="24"/>
          <w:lang w:val="en-GB"/>
        </w:rPr>
        <w:t xml:space="preserve"> Further</w:t>
      </w:r>
      <w:r w:rsidR="00785811">
        <w:rPr>
          <w:rFonts w:ascii="Calibri" w:eastAsia="Times New Roman" w:hAnsi="Calibri" w:cs="Arial"/>
          <w:bCs/>
          <w:snapToGrid w:val="0"/>
          <w:szCs w:val="24"/>
          <w:lang w:val="en-GB"/>
        </w:rPr>
        <w:t>more</w:t>
      </w:r>
      <w:r w:rsidRPr="004D2320">
        <w:rPr>
          <w:rFonts w:ascii="Calibri" w:eastAsia="Times New Roman" w:hAnsi="Calibri" w:cs="Arial"/>
          <w:bCs/>
          <w:snapToGrid w:val="0"/>
          <w:szCs w:val="24"/>
          <w:lang w:val="en-GB"/>
        </w:rPr>
        <w:t xml:space="preserve">, </w:t>
      </w:r>
      <w:r w:rsidR="00785811">
        <w:rPr>
          <w:rFonts w:ascii="Calibri" w:eastAsia="Times New Roman" w:hAnsi="Calibri" w:cs="Arial"/>
          <w:bCs/>
          <w:snapToGrid w:val="0"/>
          <w:szCs w:val="24"/>
          <w:lang w:val="en-GB"/>
        </w:rPr>
        <w:t>c</w:t>
      </w:r>
      <w:r w:rsidR="00785811" w:rsidRPr="00785811">
        <w:rPr>
          <w:rFonts w:ascii="Calibri" w:eastAsia="Times New Roman" w:hAnsi="Calibri" w:cs="Arial"/>
          <w:bCs/>
          <w:snapToGrid w:val="0"/>
          <w:szCs w:val="24"/>
          <w:lang w:val="en-GB"/>
        </w:rPr>
        <w:t>ases of s</w:t>
      </w:r>
      <w:r w:rsidR="00612B71">
        <w:rPr>
          <w:rFonts w:ascii="Calibri" w:eastAsia="Times New Roman" w:hAnsi="Calibri" w:cs="Arial"/>
          <w:bCs/>
          <w:snapToGrid w:val="0"/>
          <w:szCs w:val="24"/>
          <w:lang w:val="en-GB"/>
        </w:rPr>
        <w:t>evere interstitial lung disease/</w:t>
      </w:r>
      <w:r w:rsidR="00785811" w:rsidRPr="00785811">
        <w:rPr>
          <w:rFonts w:ascii="Calibri" w:eastAsia="Times New Roman" w:hAnsi="Calibri" w:cs="Arial"/>
          <w:bCs/>
          <w:snapToGrid w:val="0"/>
          <w:szCs w:val="24"/>
          <w:lang w:val="en-GB"/>
        </w:rPr>
        <w:t>pneumonitis have been reported with both drugs</w:t>
      </w:r>
      <w:r w:rsidR="00785811">
        <w:rPr>
          <w:rFonts w:ascii="Calibri" w:eastAsia="Times New Roman" w:hAnsi="Calibri" w:cs="Arial"/>
          <w:bCs/>
          <w:snapToGrid w:val="0"/>
          <w:szCs w:val="24"/>
          <w:lang w:val="en-GB"/>
        </w:rPr>
        <w:t xml:space="preserve">. </w:t>
      </w:r>
      <w:r w:rsidR="00612B71">
        <w:rPr>
          <w:rFonts w:ascii="Calibri" w:eastAsia="Times New Roman" w:hAnsi="Calibri" w:cs="Arial"/>
          <w:bCs/>
          <w:snapToGrid w:val="0"/>
          <w:szCs w:val="24"/>
          <w:lang w:val="en-GB"/>
        </w:rPr>
        <w:t>As such</w:t>
      </w:r>
      <w:r w:rsidR="00785811">
        <w:rPr>
          <w:rFonts w:ascii="Calibri" w:eastAsia="Times New Roman" w:hAnsi="Calibri" w:cs="Arial"/>
          <w:bCs/>
          <w:snapToGrid w:val="0"/>
          <w:szCs w:val="24"/>
          <w:lang w:val="en-GB"/>
        </w:rPr>
        <w:t xml:space="preserve">, </w:t>
      </w:r>
      <w:r w:rsidRPr="004D2320">
        <w:rPr>
          <w:rFonts w:ascii="Calibri" w:eastAsia="Times New Roman" w:hAnsi="Calibri" w:cs="Arial"/>
          <w:bCs/>
          <w:snapToGrid w:val="0"/>
          <w:szCs w:val="24"/>
          <w:lang w:val="en-GB"/>
        </w:rPr>
        <w:t xml:space="preserve">the PBAC </w:t>
      </w:r>
      <w:r w:rsidR="00785811">
        <w:rPr>
          <w:rFonts w:ascii="Calibri" w:eastAsia="Times New Roman" w:hAnsi="Calibri" w:cs="Arial"/>
          <w:bCs/>
          <w:snapToGrid w:val="0"/>
          <w:szCs w:val="24"/>
          <w:lang w:val="en-GB"/>
        </w:rPr>
        <w:t>advised</w:t>
      </w:r>
      <w:r w:rsidRPr="004D2320">
        <w:rPr>
          <w:rFonts w:ascii="Calibri" w:eastAsia="Times New Roman" w:hAnsi="Calibri" w:cs="Arial"/>
          <w:bCs/>
          <w:snapToGrid w:val="0"/>
          <w:szCs w:val="24"/>
          <w:lang w:val="en-GB"/>
        </w:rPr>
        <w:t xml:space="preserve"> that</w:t>
      </w:r>
      <w:r w:rsidR="00043A7D">
        <w:rPr>
          <w:rFonts w:ascii="Calibri" w:eastAsia="Times New Roman" w:hAnsi="Calibri" w:cs="Arial"/>
          <w:bCs/>
          <w:snapToGrid w:val="0"/>
          <w:szCs w:val="24"/>
          <w:lang w:val="en-GB"/>
        </w:rPr>
        <w:t>,</w:t>
      </w:r>
      <w:r w:rsidRPr="004D2320">
        <w:rPr>
          <w:rFonts w:ascii="Calibri" w:eastAsia="Times New Roman" w:hAnsi="Calibri" w:cs="Arial"/>
          <w:bCs/>
          <w:snapToGrid w:val="0"/>
          <w:szCs w:val="24"/>
          <w:lang w:val="en-GB"/>
        </w:rPr>
        <w:t xml:space="preserve"> </w:t>
      </w:r>
      <w:r w:rsidR="0060609D">
        <w:rPr>
          <w:rFonts w:ascii="Calibri" w:eastAsia="Times New Roman" w:hAnsi="Calibri" w:cs="Arial"/>
          <w:bCs/>
          <w:snapToGrid w:val="0"/>
          <w:szCs w:val="24"/>
          <w:lang w:val="en-GB"/>
        </w:rPr>
        <w:t>although</w:t>
      </w:r>
      <w:r w:rsidR="00785811">
        <w:rPr>
          <w:rFonts w:ascii="Calibri" w:eastAsia="Times New Roman" w:hAnsi="Calibri" w:cs="Arial"/>
          <w:bCs/>
          <w:snapToGrid w:val="0"/>
          <w:szCs w:val="24"/>
          <w:lang w:val="en-GB"/>
        </w:rPr>
        <w:t xml:space="preserve"> </w:t>
      </w:r>
      <w:r w:rsidRPr="004D2320">
        <w:rPr>
          <w:rFonts w:ascii="Calibri" w:eastAsia="Times New Roman" w:hAnsi="Calibri" w:cs="Arial"/>
          <w:bCs/>
          <w:snapToGrid w:val="0"/>
          <w:szCs w:val="24"/>
          <w:lang w:val="en-GB"/>
        </w:rPr>
        <w:t xml:space="preserve">currently </w:t>
      </w:r>
      <w:r w:rsidR="0060609D">
        <w:rPr>
          <w:rFonts w:ascii="Calibri" w:eastAsia="Times New Roman" w:hAnsi="Calibri" w:cs="Arial"/>
          <w:bCs/>
          <w:snapToGrid w:val="0"/>
          <w:szCs w:val="24"/>
          <w:lang w:val="en-GB"/>
        </w:rPr>
        <w:t xml:space="preserve">available clinical data was insufficient </w:t>
      </w:r>
      <w:r w:rsidRPr="004D2320">
        <w:rPr>
          <w:rFonts w:ascii="Calibri" w:eastAsia="Times New Roman" w:hAnsi="Calibri" w:cs="Arial"/>
          <w:bCs/>
          <w:snapToGrid w:val="0"/>
          <w:szCs w:val="24"/>
          <w:lang w:val="en-GB"/>
        </w:rPr>
        <w:t xml:space="preserve">to fully define the safety profile of </w:t>
      </w:r>
      <w:proofErr w:type="spellStart"/>
      <w:r w:rsidRPr="004D2320">
        <w:rPr>
          <w:rFonts w:ascii="Calibri" w:eastAsia="Times New Roman" w:hAnsi="Calibri" w:cs="Arial"/>
          <w:bCs/>
          <w:snapToGrid w:val="0"/>
          <w:szCs w:val="24"/>
          <w:lang w:val="en-GB"/>
        </w:rPr>
        <w:t>alectinib</w:t>
      </w:r>
      <w:proofErr w:type="spellEnd"/>
      <w:r w:rsidR="00785811">
        <w:rPr>
          <w:rFonts w:ascii="Calibri" w:eastAsia="Times New Roman" w:hAnsi="Calibri" w:cs="Arial"/>
          <w:bCs/>
          <w:snapToGrid w:val="0"/>
          <w:szCs w:val="24"/>
          <w:lang w:val="en-GB"/>
        </w:rPr>
        <w:t xml:space="preserve">, it was reasonable to </w:t>
      </w:r>
      <w:r w:rsidR="00043A7D">
        <w:rPr>
          <w:rFonts w:ascii="Calibri" w:eastAsia="Times New Roman" w:hAnsi="Calibri" w:cs="Arial"/>
          <w:bCs/>
          <w:snapToGrid w:val="0"/>
          <w:szCs w:val="24"/>
          <w:lang w:val="en-GB"/>
        </w:rPr>
        <w:t>conclude</w:t>
      </w:r>
      <w:r w:rsidR="00785811">
        <w:rPr>
          <w:rFonts w:ascii="Calibri" w:eastAsia="Times New Roman" w:hAnsi="Calibri" w:cs="Arial"/>
          <w:bCs/>
          <w:snapToGrid w:val="0"/>
          <w:szCs w:val="24"/>
          <w:lang w:val="en-GB"/>
        </w:rPr>
        <w:t xml:space="preserve"> that it was non-inferior</w:t>
      </w:r>
      <w:r w:rsidR="0060609D">
        <w:rPr>
          <w:rFonts w:ascii="Calibri" w:eastAsia="Times New Roman" w:hAnsi="Calibri" w:cs="Arial"/>
          <w:bCs/>
          <w:snapToGrid w:val="0"/>
          <w:szCs w:val="24"/>
          <w:lang w:val="en-GB"/>
        </w:rPr>
        <w:t xml:space="preserve"> in terms of comparative safety,</w:t>
      </w:r>
      <w:r w:rsidR="00785811">
        <w:rPr>
          <w:rFonts w:ascii="Calibri" w:eastAsia="Times New Roman" w:hAnsi="Calibri" w:cs="Arial"/>
          <w:bCs/>
          <w:snapToGrid w:val="0"/>
          <w:szCs w:val="24"/>
          <w:lang w:val="en-GB"/>
        </w:rPr>
        <w:t xml:space="preserve"> compared with </w:t>
      </w:r>
      <w:proofErr w:type="spellStart"/>
      <w:r w:rsidR="00785811">
        <w:rPr>
          <w:rFonts w:ascii="Calibri" w:eastAsia="Times New Roman" w:hAnsi="Calibri" w:cs="Arial"/>
          <w:bCs/>
          <w:snapToGrid w:val="0"/>
          <w:szCs w:val="24"/>
          <w:lang w:val="en-GB"/>
        </w:rPr>
        <w:t>ceritinib</w:t>
      </w:r>
      <w:proofErr w:type="spellEnd"/>
      <w:r w:rsidR="00785811">
        <w:rPr>
          <w:rFonts w:ascii="Calibri" w:eastAsia="Times New Roman" w:hAnsi="Calibri" w:cs="Arial"/>
          <w:bCs/>
          <w:snapToGrid w:val="0"/>
          <w:szCs w:val="24"/>
          <w:lang w:val="en-GB"/>
        </w:rPr>
        <w:t>.</w:t>
      </w:r>
    </w:p>
    <w:p w:rsidR="00AE76D6" w:rsidRPr="00AE76D6" w:rsidRDefault="00AE76D6" w:rsidP="00AE76D6">
      <w:pPr>
        <w:widowControl w:val="0"/>
        <w:numPr>
          <w:ilvl w:val="1"/>
          <w:numId w:val="4"/>
        </w:numPr>
        <w:spacing w:before="0" w:after="120"/>
        <w:rPr>
          <w:rFonts w:ascii="Calibri" w:eastAsia="Times New Roman" w:hAnsi="Calibri" w:cs="Arial"/>
          <w:bCs/>
          <w:snapToGrid w:val="0"/>
          <w:szCs w:val="24"/>
          <w:lang w:val="en-GB"/>
        </w:rPr>
      </w:pPr>
      <w:r w:rsidRPr="00AE76D6">
        <w:rPr>
          <w:rFonts w:ascii="Calibri" w:eastAsia="Times New Roman" w:hAnsi="Calibri" w:cs="Arial"/>
          <w:bCs/>
          <w:snapToGrid w:val="0"/>
          <w:szCs w:val="24"/>
          <w:lang w:val="en-GB"/>
        </w:rPr>
        <w:t xml:space="preserve">The </w:t>
      </w:r>
      <w:r>
        <w:rPr>
          <w:rFonts w:ascii="Calibri" w:eastAsia="Times New Roman" w:hAnsi="Calibri" w:cs="Arial"/>
          <w:bCs/>
          <w:snapToGrid w:val="0"/>
          <w:szCs w:val="24"/>
          <w:lang w:val="en-GB"/>
        </w:rPr>
        <w:t xml:space="preserve">PBAC </w:t>
      </w:r>
      <w:r w:rsidRPr="00AE76D6">
        <w:rPr>
          <w:rFonts w:ascii="Calibri" w:eastAsia="Times New Roman" w:hAnsi="Calibri" w:cs="Arial"/>
          <w:bCs/>
          <w:snapToGrid w:val="0"/>
          <w:szCs w:val="24"/>
          <w:lang w:val="en-GB"/>
        </w:rPr>
        <w:t xml:space="preserve">noted that the </w:t>
      </w:r>
      <w:r w:rsidR="00BD288C">
        <w:rPr>
          <w:rFonts w:ascii="Calibri" w:eastAsia="Times New Roman" w:hAnsi="Calibri" w:cs="Arial"/>
          <w:bCs/>
          <w:snapToGrid w:val="0"/>
          <w:szCs w:val="24"/>
          <w:lang w:val="en-GB"/>
        </w:rPr>
        <w:t>PSCR (p</w:t>
      </w:r>
      <w:r>
        <w:rPr>
          <w:rFonts w:ascii="Calibri" w:eastAsia="Times New Roman" w:hAnsi="Calibri" w:cs="Arial"/>
          <w:bCs/>
          <w:snapToGrid w:val="0"/>
          <w:szCs w:val="24"/>
          <w:lang w:val="en-GB"/>
        </w:rPr>
        <w:t xml:space="preserve">2) and the </w:t>
      </w:r>
      <w:r w:rsidR="005E20F0">
        <w:rPr>
          <w:rFonts w:ascii="Calibri" w:eastAsia="Times New Roman" w:hAnsi="Calibri" w:cs="Arial"/>
          <w:bCs/>
          <w:snapToGrid w:val="0"/>
          <w:szCs w:val="24"/>
          <w:lang w:val="en-GB"/>
        </w:rPr>
        <w:t>p</w:t>
      </w:r>
      <w:r>
        <w:rPr>
          <w:rFonts w:ascii="Calibri" w:eastAsia="Times New Roman" w:hAnsi="Calibri" w:cs="Arial"/>
          <w:bCs/>
          <w:snapToGrid w:val="0"/>
          <w:szCs w:val="24"/>
          <w:lang w:val="en-GB"/>
        </w:rPr>
        <w:t>re-PBAC response</w:t>
      </w:r>
      <w:r w:rsidR="00BD288C">
        <w:rPr>
          <w:rFonts w:ascii="Calibri" w:eastAsia="Times New Roman" w:hAnsi="Calibri" w:cs="Arial"/>
          <w:bCs/>
          <w:snapToGrid w:val="0"/>
          <w:szCs w:val="24"/>
          <w:lang w:val="en-GB"/>
        </w:rPr>
        <w:t xml:space="preserve"> (p</w:t>
      </w:r>
      <w:r>
        <w:rPr>
          <w:rFonts w:ascii="Calibri" w:eastAsia="Times New Roman" w:hAnsi="Calibri" w:cs="Arial"/>
          <w:bCs/>
          <w:snapToGrid w:val="0"/>
          <w:szCs w:val="24"/>
          <w:lang w:val="en-GB"/>
        </w:rPr>
        <w:t>1</w:t>
      </w:r>
      <w:r w:rsidRPr="00AE76D6">
        <w:rPr>
          <w:rFonts w:ascii="Calibri" w:eastAsia="Times New Roman" w:hAnsi="Calibri" w:cs="Arial"/>
          <w:bCs/>
          <w:snapToGrid w:val="0"/>
          <w:szCs w:val="24"/>
          <w:lang w:val="en-GB"/>
        </w:rPr>
        <w:t xml:space="preserve">) presented the results for the investigator assessed PFS from the ALEX trial comparing </w:t>
      </w:r>
      <w:proofErr w:type="spellStart"/>
      <w:r w:rsidRPr="00AE76D6">
        <w:rPr>
          <w:rFonts w:ascii="Calibri" w:eastAsia="Times New Roman" w:hAnsi="Calibri" w:cs="Arial"/>
          <w:bCs/>
          <w:snapToGrid w:val="0"/>
          <w:szCs w:val="24"/>
          <w:lang w:val="en-GB"/>
        </w:rPr>
        <w:t>alectinib</w:t>
      </w:r>
      <w:proofErr w:type="spellEnd"/>
      <w:r w:rsidRPr="00AE76D6">
        <w:rPr>
          <w:rFonts w:ascii="Calibri" w:eastAsia="Times New Roman" w:hAnsi="Calibri" w:cs="Arial"/>
          <w:bCs/>
          <w:snapToGrid w:val="0"/>
          <w:szCs w:val="24"/>
          <w:lang w:val="en-GB"/>
        </w:rPr>
        <w:t xml:space="preserve"> versus </w:t>
      </w:r>
      <w:proofErr w:type="spellStart"/>
      <w:r w:rsidRPr="00AE76D6">
        <w:rPr>
          <w:rFonts w:ascii="Calibri" w:eastAsia="Times New Roman" w:hAnsi="Calibri" w:cs="Arial"/>
          <w:bCs/>
          <w:snapToGrid w:val="0"/>
          <w:szCs w:val="24"/>
          <w:lang w:val="en-GB"/>
        </w:rPr>
        <w:t>crizotinib</w:t>
      </w:r>
      <w:proofErr w:type="spellEnd"/>
      <w:r w:rsidRPr="00AE76D6">
        <w:rPr>
          <w:rFonts w:ascii="Calibri" w:eastAsia="Times New Roman" w:hAnsi="Calibri" w:cs="Arial"/>
          <w:bCs/>
          <w:snapToGrid w:val="0"/>
          <w:szCs w:val="24"/>
          <w:lang w:val="en-GB"/>
        </w:rPr>
        <w:t xml:space="preserve"> in treatment-naïve patients with ALK-positive advanced NSCLC.</w:t>
      </w:r>
      <w:r>
        <w:rPr>
          <w:rFonts w:ascii="Calibri" w:eastAsia="Times New Roman" w:hAnsi="Calibri" w:cs="Arial"/>
          <w:bCs/>
          <w:snapToGrid w:val="0"/>
          <w:szCs w:val="24"/>
          <w:lang w:val="en-GB"/>
        </w:rPr>
        <w:t xml:space="preserve"> </w:t>
      </w:r>
      <w:r w:rsidR="005E4EDB">
        <w:rPr>
          <w:rFonts w:ascii="Calibri" w:eastAsia="Times New Roman" w:hAnsi="Calibri" w:cs="Arial"/>
          <w:bCs/>
          <w:snapToGrid w:val="0"/>
          <w:szCs w:val="24"/>
          <w:lang w:val="en-GB"/>
        </w:rPr>
        <w:t>The PBAC also note</w:t>
      </w:r>
      <w:r w:rsidR="00BD288C">
        <w:rPr>
          <w:rFonts w:ascii="Calibri" w:eastAsia="Times New Roman" w:hAnsi="Calibri" w:cs="Arial"/>
          <w:bCs/>
          <w:snapToGrid w:val="0"/>
          <w:szCs w:val="24"/>
          <w:lang w:val="en-GB"/>
        </w:rPr>
        <w:t>d that the pre-PBAC response (p</w:t>
      </w:r>
      <w:r w:rsidR="005E4EDB">
        <w:rPr>
          <w:rFonts w:ascii="Calibri" w:eastAsia="Times New Roman" w:hAnsi="Calibri" w:cs="Arial"/>
          <w:bCs/>
          <w:snapToGrid w:val="0"/>
          <w:szCs w:val="24"/>
          <w:lang w:val="en-GB"/>
        </w:rPr>
        <w:t xml:space="preserve">1-2) claimed that </w:t>
      </w:r>
      <w:proofErr w:type="spellStart"/>
      <w:r w:rsidR="005E4EDB">
        <w:rPr>
          <w:rFonts w:ascii="Calibri" w:eastAsia="Times New Roman" w:hAnsi="Calibri" w:cs="Arial"/>
          <w:bCs/>
          <w:snapToGrid w:val="0"/>
          <w:szCs w:val="24"/>
          <w:lang w:val="en-GB"/>
        </w:rPr>
        <w:t>alectinib</w:t>
      </w:r>
      <w:proofErr w:type="spellEnd"/>
      <w:r w:rsidR="005E4EDB">
        <w:rPr>
          <w:rFonts w:ascii="Calibri" w:eastAsia="Times New Roman" w:hAnsi="Calibri" w:cs="Arial"/>
          <w:bCs/>
          <w:snapToGrid w:val="0"/>
          <w:szCs w:val="24"/>
          <w:lang w:val="en-GB"/>
        </w:rPr>
        <w:t xml:space="preserve"> was superior to chemotherapy in relation to comparative effectiveness and safety, based on data from the phase 3 ALUR trial. </w:t>
      </w:r>
      <w:r>
        <w:rPr>
          <w:rFonts w:ascii="Calibri" w:eastAsia="Times New Roman" w:hAnsi="Calibri" w:cs="Arial"/>
          <w:bCs/>
          <w:snapToGrid w:val="0"/>
          <w:szCs w:val="24"/>
          <w:lang w:val="en-GB"/>
        </w:rPr>
        <w:t>However, t</w:t>
      </w:r>
      <w:r w:rsidRPr="00AE76D6">
        <w:rPr>
          <w:rFonts w:ascii="Calibri" w:eastAsia="Times New Roman" w:hAnsi="Calibri" w:cs="Arial"/>
          <w:bCs/>
          <w:snapToGrid w:val="0"/>
          <w:szCs w:val="24"/>
          <w:lang w:val="en-GB"/>
        </w:rPr>
        <w:t xml:space="preserve">hese data were not considered in the </w:t>
      </w:r>
      <w:r>
        <w:rPr>
          <w:rFonts w:ascii="Calibri" w:eastAsia="Times New Roman" w:hAnsi="Calibri" w:cs="Arial"/>
          <w:bCs/>
          <w:snapToGrid w:val="0"/>
          <w:szCs w:val="24"/>
          <w:lang w:val="en-GB"/>
        </w:rPr>
        <w:t>PBAC</w:t>
      </w:r>
      <w:r w:rsidRPr="00AE76D6">
        <w:rPr>
          <w:rFonts w:ascii="Calibri" w:eastAsia="Times New Roman" w:hAnsi="Calibri" w:cs="Arial"/>
          <w:bCs/>
          <w:snapToGrid w:val="0"/>
          <w:szCs w:val="24"/>
          <w:lang w:val="en-GB"/>
        </w:rPr>
        <w:t>’s deliberations as they had not been independently evaluated.</w:t>
      </w:r>
    </w:p>
    <w:p w:rsidR="009D0604" w:rsidRDefault="00F0121E" w:rsidP="009D0604">
      <w:pPr>
        <w:widowControl w:val="0"/>
        <w:numPr>
          <w:ilvl w:val="1"/>
          <w:numId w:val="4"/>
        </w:numPr>
        <w:spacing w:before="0" w:after="120"/>
        <w:rPr>
          <w:rFonts w:ascii="Calibri" w:eastAsia="Times New Roman" w:hAnsi="Calibri" w:cs="Arial"/>
          <w:bCs/>
          <w:snapToGrid w:val="0"/>
          <w:szCs w:val="24"/>
          <w:lang w:val="en-GB"/>
        </w:rPr>
      </w:pPr>
      <w:r w:rsidRPr="00AE76D6">
        <w:rPr>
          <w:rFonts w:ascii="Calibri" w:eastAsia="Times New Roman" w:hAnsi="Calibri" w:cs="Arial"/>
          <w:bCs/>
          <w:snapToGrid w:val="0"/>
          <w:szCs w:val="24"/>
          <w:lang w:val="en-GB"/>
        </w:rPr>
        <w:t>The PBAC noted that while the submission’s cost</w:t>
      </w:r>
      <w:r w:rsidR="00B211A5">
        <w:rPr>
          <w:rFonts w:ascii="Calibri" w:eastAsia="Times New Roman" w:hAnsi="Calibri" w:cs="Arial"/>
          <w:bCs/>
          <w:snapToGrid w:val="0"/>
          <w:szCs w:val="24"/>
          <w:lang w:val="en-GB"/>
        </w:rPr>
        <w:t>-</w:t>
      </w:r>
      <w:r w:rsidRPr="00AE76D6">
        <w:rPr>
          <w:rFonts w:ascii="Calibri" w:eastAsia="Times New Roman" w:hAnsi="Calibri" w:cs="Arial"/>
          <w:bCs/>
          <w:snapToGrid w:val="0"/>
          <w:szCs w:val="24"/>
          <w:lang w:val="en-GB"/>
        </w:rPr>
        <w:t xml:space="preserve">minimisation approach to determine the cost of </w:t>
      </w:r>
      <w:proofErr w:type="spellStart"/>
      <w:r w:rsidRPr="00AE76D6">
        <w:rPr>
          <w:rFonts w:ascii="Calibri" w:eastAsia="Times New Roman" w:hAnsi="Calibri" w:cs="Arial"/>
          <w:bCs/>
          <w:snapToGrid w:val="0"/>
          <w:szCs w:val="24"/>
          <w:lang w:val="en-GB"/>
        </w:rPr>
        <w:t>alectinib</w:t>
      </w:r>
      <w:proofErr w:type="spellEnd"/>
      <w:r w:rsidRPr="00AE76D6">
        <w:rPr>
          <w:rFonts w:ascii="Calibri" w:eastAsia="Times New Roman" w:hAnsi="Calibri" w:cs="Arial"/>
          <w:bCs/>
          <w:snapToGrid w:val="0"/>
          <w:szCs w:val="24"/>
          <w:lang w:val="en-GB"/>
        </w:rPr>
        <w:t xml:space="preserve"> was based on the cost per day of treatment, the ESC advised that </w:t>
      </w:r>
      <w:proofErr w:type="spellStart"/>
      <w:r w:rsidRPr="00AE76D6">
        <w:rPr>
          <w:rFonts w:ascii="Calibri" w:eastAsia="Times New Roman" w:hAnsi="Calibri" w:cs="Arial"/>
          <w:bCs/>
          <w:snapToGrid w:val="0"/>
          <w:szCs w:val="24"/>
          <w:lang w:val="en-GB"/>
        </w:rPr>
        <w:t>alectinib</w:t>
      </w:r>
      <w:proofErr w:type="spellEnd"/>
      <w:r w:rsidRPr="00AE76D6">
        <w:rPr>
          <w:rFonts w:ascii="Calibri" w:eastAsia="Times New Roman" w:hAnsi="Calibri" w:cs="Arial"/>
          <w:bCs/>
          <w:snapToGrid w:val="0"/>
          <w:szCs w:val="24"/>
          <w:lang w:val="en-GB"/>
        </w:rPr>
        <w:t xml:space="preserve"> should be cost-minimised to </w:t>
      </w:r>
      <w:proofErr w:type="spellStart"/>
      <w:r w:rsidRPr="00AE76D6">
        <w:rPr>
          <w:rFonts w:ascii="Calibri" w:eastAsia="Times New Roman" w:hAnsi="Calibri" w:cs="Arial"/>
          <w:bCs/>
          <w:snapToGrid w:val="0"/>
          <w:szCs w:val="24"/>
          <w:lang w:val="en-GB"/>
        </w:rPr>
        <w:t>ceritinib</w:t>
      </w:r>
      <w:proofErr w:type="spellEnd"/>
      <w:r w:rsidRPr="00AE76D6">
        <w:rPr>
          <w:rFonts w:ascii="Calibri" w:eastAsia="Times New Roman" w:hAnsi="Calibri" w:cs="Arial"/>
          <w:bCs/>
          <w:snapToGrid w:val="0"/>
          <w:szCs w:val="24"/>
          <w:lang w:val="en-GB"/>
        </w:rPr>
        <w:t xml:space="preserve"> on the basis of the total drug cost that achieves the same overall survival outcome. The PBAC also noted that the</w:t>
      </w:r>
      <w:r w:rsidR="00BD288C">
        <w:rPr>
          <w:rFonts w:ascii="Calibri" w:eastAsia="Times New Roman" w:hAnsi="Calibri" w:cs="Arial"/>
          <w:bCs/>
          <w:snapToGrid w:val="0"/>
          <w:szCs w:val="24"/>
          <w:lang w:val="en-GB"/>
        </w:rPr>
        <w:t xml:space="preserve"> pre-PBAC response (p</w:t>
      </w:r>
      <w:r w:rsidRPr="00AE76D6">
        <w:rPr>
          <w:rFonts w:ascii="Calibri" w:eastAsia="Times New Roman" w:hAnsi="Calibri" w:cs="Arial"/>
          <w:bCs/>
          <w:snapToGrid w:val="0"/>
          <w:szCs w:val="24"/>
          <w:lang w:val="en-GB"/>
        </w:rPr>
        <w:t xml:space="preserve">2-3) presented an alternate economic analysis considering dose intensity, treatment duration and OS outcomes for the </w:t>
      </w:r>
      <w:proofErr w:type="spellStart"/>
      <w:r w:rsidRPr="00AE76D6">
        <w:rPr>
          <w:rFonts w:ascii="Calibri" w:eastAsia="Times New Roman" w:hAnsi="Calibri" w:cs="Arial"/>
          <w:bCs/>
          <w:snapToGrid w:val="0"/>
          <w:szCs w:val="24"/>
          <w:lang w:val="en-GB"/>
        </w:rPr>
        <w:t>alectinib</w:t>
      </w:r>
      <w:proofErr w:type="spellEnd"/>
      <w:r w:rsidRPr="00AE76D6">
        <w:rPr>
          <w:rFonts w:ascii="Calibri" w:eastAsia="Times New Roman" w:hAnsi="Calibri" w:cs="Arial"/>
          <w:bCs/>
          <w:snapToGrid w:val="0"/>
          <w:szCs w:val="24"/>
          <w:lang w:val="en-GB"/>
        </w:rPr>
        <w:t xml:space="preserve"> and </w:t>
      </w:r>
      <w:proofErr w:type="spellStart"/>
      <w:r w:rsidRPr="00AE76D6">
        <w:rPr>
          <w:rFonts w:ascii="Calibri" w:eastAsia="Times New Roman" w:hAnsi="Calibri" w:cs="Arial"/>
          <w:bCs/>
          <w:snapToGrid w:val="0"/>
          <w:szCs w:val="24"/>
          <w:lang w:val="en-GB"/>
        </w:rPr>
        <w:t>ceritinib</w:t>
      </w:r>
      <w:proofErr w:type="spellEnd"/>
      <w:r w:rsidRPr="00AE76D6">
        <w:rPr>
          <w:rFonts w:ascii="Calibri" w:eastAsia="Times New Roman" w:hAnsi="Calibri" w:cs="Arial"/>
          <w:bCs/>
          <w:snapToGrid w:val="0"/>
          <w:szCs w:val="24"/>
          <w:lang w:val="en-GB"/>
        </w:rPr>
        <w:t xml:space="preserve"> trials, in response to ESC’s concerns. The PBAC considered that a study-based cost-minimisation analysis, allowing for the difference in PFS/treatment duration and relative dose intensity observed in the </w:t>
      </w:r>
      <w:proofErr w:type="spellStart"/>
      <w:r w:rsidRPr="00AE76D6">
        <w:rPr>
          <w:rFonts w:ascii="Calibri" w:eastAsia="Times New Roman" w:hAnsi="Calibri" w:cs="Arial"/>
          <w:bCs/>
          <w:snapToGrid w:val="0"/>
          <w:szCs w:val="24"/>
          <w:lang w:val="en-GB"/>
        </w:rPr>
        <w:t>alectinib</w:t>
      </w:r>
      <w:proofErr w:type="spellEnd"/>
      <w:r w:rsidRPr="00AE76D6">
        <w:rPr>
          <w:rFonts w:ascii="Calibri" w:eastAsia="Times New Roman" w:hAnsi="Calibri" w:cs="Arial"/>
          <w:bCs/>
          <w:snapToGrid w:val="0"/>
          <w:szCs w:val="24"/>
          <w:lang w:val="en-GB"/>
        </w:rPr>
        <w:t xml:space="preserve"> and </w:t>
      </w:r>
      <w:proofErr w:type="spellStart"/>
      <w:r w:rsidRPr="00AE76D6">
        <w:rPr>
          <w:rFonts w:ascii="Calibri" w:eastAsia="Times New Roman" w:hAnsi="Calibri" w:cs="Arial"/>
          <w:bCs/>
          <w:snapToGrid w:val="0"/>
          <w:szCs w:val="24"/>
          <w:lang w:val="en-GB"/>
        </w:rPr>
        <w:t>ceritinib</w:t>
      </w:r>
      <w:proofErr w:type="spellEnd"/>
      <w:r w:rsidRPr="00AE76D6">
        <w:rPr>
          <w:rFonts w:ascii="Calibri" w:eastAsia="Times New Roman" w:hAnsi="Calibri" w:cs="Arial"/>
          <w:bCs/>
          <w:snapToGrid w:val="0"/>
          <w:szCs w:val="24"/>
          <w:lang w:val="en-GB"/>
        </w:rPr>
        <w:t xml:space="preserve"> studies, </w:t>
      </w:r>
      <w:r w:rsidR="00FA38FC" w:rsidRPr="00AE76D6">
        <w:rPr>
          <w:rFonts w:ascii="Calibri" w:eastAsia="Times New Roman" w:hAnsi="Calibri" w:cs="Arial"/>
          <w:bCs/>
          <w:snapToGrid w:val="0"/>
          <w:szCs w:val="24"/>
          <w:lang w:val="en-GB"/>
        </w:rPr>
        <w:t>in</w:t>
      </w:r>
      <w:r w:rsidR="00FA38FC">
        <w:rPr>
          <w:rFonts w:ascii="Calibri" w:eastAsia="Times New Roman" w:hAnsi="Calibri" w:cs="Arial"/>
          <w:bCs/>
          <w:snapToGrid w:val="0"/>
          <w:szCs w:val="24"/>
          <w:lang w:val="en-GB"/>
        </w:rPr>
        <w:t>t</w:t>
      </w:r>
      <w:r w:rsidR="00FA38FC" w:rsidRPr="00AE76D6">
        <w:rPr>
          <w:rFonts w:ascii="Calibri" w:eastAsia="Times New Roman" w:hAnsi="Calibri" w:cs="Arial"/>
          <w:bCs/>
          <w:snapToGrid w:val="0"/>
          <w:szCs w:val="24"/>
          <w:lang w:val="en-GB"/>
        </w:rPr>
        <w:t>roduced</w:t>
      </w:r>
      <w:r w:rsidRPr="00AE76D6">
        <w:rPr>
          <w:rFonts w:ascii="Calibri" w:eastAsia="Times New Roman" w:hAnsi="Calibri" w:cs="Arial"/>
          <w:bCs/>
          <w:snapToGrid w:val="0"/>
          <w:szCs w:val="24"/>
          <w:lang w:val="en-GB"/>
        </w:rPr>
        <w:t xml:space="preserve"> uncertainty, as (</w:t>
      </w:r>
      <w:proofErr w:type="spellStart"/>
      <w:r w:rsidRPr="00AE76D6">
        <w:rPr>
          <w:rFonts w:ascii="Calibri" w:eastAsia="Times New Roman" w:hAnsi="Calibri" w:cs="Arial"/>
          <w:bCs/>
          <w:snapToGrid w:val="0"/>
          <w:szCs w:val="24"/>
          <w:lang w:val="en-GB"/>
        </w:rPr>
        <w:t>i</w:t>
      </w:r>
      <w:proofErr w:type="spellEnd"/>
      <w:r w:rsidRPr="00AE76D6">
        <w:rPr>
          <w:rFonts w:ascii="Calibri" w:eastAsia="Times New Roman" w:hAnsi="Calibri" w:cs="Arial"/>
          <w:bCs/>
          <w:snapToGrid w:val="0"/>
          <w:szCs w:val="24"/>
          <w:lang w:val="en-GB"/>
        </w:rPr>
        <w:t xml:space="preserve">) </w:t>
      </w:r>
      <w:r w:rsidR="00D778B7" w:rsidRPr="00AE76D6">
        <w:rPr>
          <w:rFonts w:ascii="Calibri" w:eastAsia="Times New Roman" w:hAnsi="Calibri" w:cs="Arial"/>
          <w:bCs/>
          <w:snapToGrid w:val="0"/>
          <w:szCs w:val="24"/>
          <w:lang w:val="en-GB"/>
        </w:rPr>
        <w:t xml:space="preserve">such an approach would be confounded by the </w:t>
      </w:r>
      <w:r w:rsidR="00AA11D8">
        <w:rPr>
          <w:rFonts w:ascii="Calibri" w:eastAsia="Times New Roman" w:hAnsi="Calibri" w:cs="Arial"/>
          <w:bCs/>
          <w:snapToGrid w:val="0"/>
          <w:szCs w:val="24"/>
          <w:lang w:val="en-GB"/>
        </w:rPr>
        <w:t>differences</w:t>
      </w:r>
      <w:r w:rsidR="00AA11D8" w:rsidRPr="00AE76D6">
        <w:rPr>
          <w:rFonts w:ascii="Calibri" w:eastAsia="Times New Roman" w:hAnsi="Calibri" w:cs="Arial"/>
          <w:bCs/>
          <w:snapToGrid w:val="0"/>
          <w:szCs w:val="24"/>
          <w:lang w:val="en-GB"/>
        </w:rPr>
        <w:t xml:space="preserve"> </w:t>
      </w:r>
      <w:r w:rsidR="00D778B7" w:rsidRPr="00AE76D6">
        <w:rPr>
          <w:rFonts w:ascii="Calibri" w:eastAsia="Times New Roman" w:hAnsi="Calibri" w:cs="Arial"/>
          <w:bCs/>
          <w:snapToGrid w:val="0"/>
          <w:szCs w:val="24"/>
          <w:lang w:val="en-GB"/>
        </w:rPr>
        <w:t xml:space="preserve">in the duration of follow-up </w:t>
      </w:r>
      <w:r w:rsidR="002D0686">
        <w:rPr>
          <w:rFonts w:ascii="Calibri" w:eastAsia="Times New Roman" w:hAnsi="Calibri" w:cs="Arial"/>
          <w:bCs/>
          <w:snapToGrid w:val="0"/>
          <w:szCs w:val="24"/>
          <w:lang w:val="en-GB"/>
        </w:rPr>
        <w:t xml:space="preserve">for each </w:t>
      </w:r>
      <w:r w:rsidR="00D778B7" w:rsidRPr="00AE76D6">
        <w:rPr>
          <w:rFonts w:ascii="Calibri" w:eastAsia="Times New Roman" w:hAnsi="Calibri" w:cs="Arial"/>
          <w:bCs/>
          <w:snapToGrid w:val="0"/>
          <w:szCs w:val="24"/>
          <w:lang w:val="en-GB"/>
        </w:rPr>
        <w:t>of the studies</w:t>
      </w:r>
      <w:r w:rsidRPr="00AE76D6">
        <w:rPr>
          <w:rFonts w:ascii="Calibri" w:eastAsia="Times New Roman" w:hAnsi="Calibri" w:cs="Arial"/>
          <w:bCs/>
          <w:snapToGrid w:val="0"/>
          <w:szCs w:val="24"/>
          <w:lang w:val="en-GB"/>
        </w:rPr>
        <w:t xml:space="preserve">; (ii) </w:t>
      </w:r>
      <w:r w:rsidR="002D0686" w:rsidRPr="00AE76D6">
        <w:rPr>
          <w:rFonts w:ascii="Calibri" w:eastAsia="Times New Roman" w:hAnsi="Calibri" w:cs="Arial"/>
          <w:bCs/>
          <w:snapToGrid w:val="0"/>
          <w:szCs w:val="24"/>
          <w:lang w:val="en-GB"/>
        </w:rPr>
        <w:t xml:space="preserve">both </w:t>
      </w:r>
      <w:proofErr w:type="spellStart"/>
      <w:r w:rsidR="002D0686" w:rsidRPr="00AE76D6">
        <w:rPr>
          <w:rFonts w:ascii="Calibri" w:eastAsia="Times New Roman" w:hAnsi="Calibri" w:cs="Arial"/>
          <w:bCs/>
          <w:snapToGrid w:val="0"/>
          <w:szCs w:val="24"/>
          <w:lang w:val="en-GB"/>
        </w:rPr>
        <w:t>ceritinib</w:t>
      </w:r>
      <w:proofErr w:type="spellEnd"/>
      <w:r w:rsidR="002D0686" w:rsidRPr="00AE76D6">
        <w:rPr>
          <w:rFonts w:ascii="Calibri" w:eastAsia="Times New Roman" w:hAnsi="Calibri" w:cs="Arial"/>
          <w:bCs/>
          <w:snapToGrid w:val="0"/>
          <w:szCs w:val="24"/>
          <w:lang w:val="en-GB"/>
        </w:rPr>
        <w:t xml:space="preserve"> and </w:t>
      </w:r>
      <w:proofErr w:type="spellStart"/>
      <w:r w:rsidR="002D0686" w:rsidRPr="00AE76D6">
        <w:rPr>
          <w:rFonts w:ascii="Calibri" w:eastAsia="Times New Roman" w:hAnsi="Calibri" w:cs="Arial"/>
          <w:bCs/>
          <w:snapToGrid w:val="0"/>
          <w:szCs w:val="24"/>
          <w:lang w:val="en-GB"/>
        </w:rPr>
        <w:t>alectinib</w:t>
      </w:r>
      <w:proofErr w:type="spellEnd"/>
      <w:r w:rsidR="002D0686" w:rsidRPr="00AE76D6">
        <w:rPr>
          <w:rFonts w:ascii="Calibri" w:eastAsia="Times New Roman" w:hAnsi="Calibri" w:cs="Arial"/>
          <w:bCs/>
          <w:snapToGrid w:val="0"/>
          <w:szCs w:val="24"/>
          <w:lang w:val="en-GB"/>
        </w:rPr>
        <w:t xml:space="preserve"> studies allowed patients to continue treatment beyond disease progression </w:t>
      </w:r>
      <w:r w:rsidR="002D0686">
        <w:rPr>
          <w:rFonts w:ascii="Calibri" w:eastAsia="Times New Roman" w:hAnsi="Calibri" w:cs="Arial"/>
          <w:bCs/>
          <w:snapToGrid w:val="0"/>
          <w:szCs w:val="24"/>
          <w:lang w:val="en-GB"/>
        </w:rPr>
        <w:t xml:space="preserve">and; (iii) </w:t>
      </w:r>
      <w:r w:rsidR="00292BE6" w:rsidRPr="00AE76D6">
        <w:rPr>
          <w:rFonts w:ascii="Calibri" w:eastAsia="Times New Roman" w:hAnsi="Calibri" w:cs="Arial"/>
          <w:bCs/>
          <w:snapToGrid w:val="0"/>
          <w:szCs w:val="24"/>
          <w:lang w:val="en-GB"/>
        </w:rPr>
        <w:t xml:space="preserve">the </w:t>
      </w:r>
      <w:r w:rsidR="00AD7B3B">
        <w:rPr>
          <w:rFonts w:ascii="Calibri" w:eastAsia="Times New Roman" w:hAnsi="Calibri" w:cs="Arial"/>
          <w:bCs/>
          <w:snapToGrid w:val="0"/>
          <w:szCs w:val="24"/>
          <w:lang w:val="en-GB"/>
        </w:rPr>
        <w:t xml:space="preserve">impact of </w:t>
      </w:r>
      <w:r w:rsidR="002D0686">
        <w:rPr>
          <w:rFonts w:ascii="Calibri" w:eastAsia="Times New Roman" w:hAnsi="Calibri" w:cs="Arial"/>
          <w:bCs/>
          <w:snapToGrid w:val="0"/>
          <w:szCs w:val="24"/>
          <w:lang w:val="en-GB"/>
        </w:rPr>
        <w:t xml:space="preserve">the </w:t>
      </w:r>
      <w:r w:rsidR="00AD7B3B">
        <w:rPr>
          <w:rFonts w:ascii="Calibri" w:eastAsia="Times New Roman" w:hAnsi="Calibri" w:cs="Arial"/>
          <w:bCs/>
          <w:snapToGrid w:val="0"/>
          <w:szCs w:val="24"/>
          <w:lang w:val="en-GB"/>
        </w:rPr>
        <w:t xml:space="preserve">data for treatment duration and </w:t>
      </w:r>
      <w:r w:rsidR="00292BE6" w:rsidRPr="00AE76D6">
        <w:rPr>
          <w:rFonts w:ascii="Calibri" w:eastAsia="Times New Roman" w:hAnsi="Calibri" w:cs="Arial"/>
          <w:bCs/>
          <w:snapToGrid w:val="0"/>
          <w:szCs w:val="24"/>
          <w:lang w:val="en-GB"/>
        </w:rPr>
        <w:t xml:space="preserve">PFS </w:t>
      </w:r>
      <w:r w:rsidR="00AD7B3B">
        <w:rPr>
          <w:rFonts w:ascii="Calibri" w:eastAsia="Times New Roman" w:hAnsi="Calibri" w:cs="Arial"/>
          <w:bCs/>
          <w:snapToGrid w:val="0"/>
          <w:szCs w:val="24"/>
          <w:lang w:val="en-GB"/>
        </w:rPr>
        <w:t xml:space="preserve">(if used as a proxy for treatment duration) being </w:t>
      </w:r>
      <w:r w:rsidR="00292BE6" w:rsidRPr="00AE76D6">
        <w:rPr>
          <w:rFonts w:ascii="Calibri" w:eastAsia="Times New Roman" w:hAnsi="Calibri" w:cs="Arial"/>
          <w:bCs/>
          <w:snapToGrid w:val="0"/>
          <w:szCs w:val="24"/>
          <w:lang w:val="en-GB"/>
        </w:rPr>
        <w:t>censored</w:t>
      </w:r>
      <w:r w:rsidR="00F55973" w:rsidRPr="00AE76D6">
        <w:rPr>
          <w:rFonts w:ascii="Calibri" w:eastAsia="Times New Roman" w:hAnsi="Calibri" w:cs="Arial"/>
          <w:bCs/>
          <w:snapToGrid w:val="0"/>
          <w:szCs w:val="24"/>
          <w:lang w:val="en-GB"/>
        </w:rPr>
        <w:t>.</w:t>
      </w:r>
    </w:p>
    <w:p w:rsidR="009D0604" w:rsidRDefault="009D0604" w:rsidP="009D0604">
      <w:pPr>
        <w:widowControl w:val="0"/>
        <w:numPr>
          <w:ilvl w:val="1"/>
          <w:numId w:val="4"/>
        </w:numPr>
        <w:spacing w:before="0" w:after="120"/>
        <w:rPr>
          <w:rFonts w:ascii="Calibri" w:eastAsia="Times New Roman" w:hAnsi="Calibri" w:cs="Arial"/>
          <w:bCs/>
          <w:snapToGrid w:val="0"/>
          <w:szCs w:val="24"/>
          <w:lang w:val="en-GB"/>
        </w:rPr>
      </w:pPr>
      <w:r>
        <w:rPr>
          <w:rFonts w:ascii="Calibri" w:eastAsia="Times New Roman" w:hAnsi="Calibri" w:cs="Arial"/>
          <w:bCs/>
          <w:snapToGrid w:val="0"/>
          <w:szCs w:val="24"/>
          <w:lang w:val="en-GB"/>
        </w:rPr>
        <w:t>The PBAC considered that the</w:t>
      </w:r>
      <w:r w:rsidRPr="00CD4D1A">
        <w:rPr>
          <w:rFonts w:ascii="Calibri" w:eastAsia="Times New Roman" w:hAnsi="Calibri" w:cs="Arial"/>
          <w:bCs/>
          <w:snapToGrid w:val="0"/>
          <w:szCs w:val="24"/>
          <w:lang w:val="en-GB"/>
        </w:rPr>
        <w:t xml:space="preserve"> trea</w:t>
      </w:r>
      <w:r>
        <w:rPr>
          <w:rFonts w:ascii="Calibri" w:eastAsia="Times New Roman" w:hAnsi="Calibri" w:cs="Arial"/>
          <w:bCs/>
          <w:snapToGrid w:val="0"/>
          <w:szCs w:val="24"/>
          <w:lang w:val="en-GB"/>
        </w:rPr>
        <w:t xml:space="preserve">tment duration with </w:t>
      </w:r>
      <w:proofErr w:type="spellStart"/>
      <w:r>
        <w:rPr>
          <w:rFonts w:ascii="Calibri" w:eastAsia="Times New Roman" w:hAnsi="Calibri" w:cs="Arial"/>
          <w:bCs/>
          <w:snapToGrid w:val="0"/>
          <w:szCs w:val="24"/>
          <w:lang w:val="en-GB"/>
        </w:rPr>
        <w:t>ceritinib</w:t>
      </w:r>
      <w:proofErr w:type="spellEnd"/>
      <w:r>
        <w:rPr>
          <w:rFonts w:ascii="Calibri" w:eastAsia="Times New Roman" w:hAnsi="Calibri" w:cs="Arial"/>
          <w:bCs/>
          <w:snapToGrid w:val="0"/>
          <w:szCs w:val="24"/>
          <w:lang w:val="en-GB"/>
        </w:rPr>
        <w:t xml:space="preserve"> was likely to be</w:t>
      </w:r>
      <w:r w:rsidRPr="00CD4D1A">
        <w:rPr>
          <w:rFonts w:ascii="Calibri" w:eastAsia="Times New Roman" w:hAnsi="Calibri" w:cs="Arial"/>
          <w:bCs/>
          <w:snapToGrid w:val="0"/>
          <w:szCs w:val="24"/>
          <w:lang w:val="en-GB"/>
        </w:rPr>
        <w:t xml:space="preserve"> shorter than </w:t>
      </w:r>
      <w:r>
        <w:rPr>
          <w:rFonts w:ascii="Calibri" w:eastAsia="Times New Roman" w:hAnsi="Calibri" w:cs="Arial"/>
          <w:bCs/>
          <w:snapToGrid w:val="0"/>
          <w:szCs w:val="24"/>
          <w:lang w:val="en-GB"/>
        </w:rPr>
        <w:t xml:space="preserve">the </w:t>
      </w:r>
      <w:r w:rsidRPr="00CD4D1A">
        <w:rPr>
          <w:rFonts w:ascii="Calibri" w:eastAsia="Times New Roman" w:hAnsi="Calibri" w:cs="Arial"/>
          <w:bCs/>
          <w:snapToGrid w:val="0"/>
          <w:szCs w:val="24"/>
          <w:lang w:val="en-GB"/>
        </w:rPr>
        <w:t xml:space="preserve">mean treatment duration with </w:t>
      </w:r>
      <w:proofErr w:type="spellStart"/>
      <w:r w:rsidRPr="00CD4D1A">
        <w:rPr>
          <w:rFonts w:ascii="Calibri" w:eastAsia="Times New Roman" w:hAnsi="Calibri" w:cs="Arial"/>
          <w:bCs/>
          <w:snapToGrid w:val="0"/>
          <w:szCs w:val="24"/>
          <w:lang w:val="en-GB"/>
        </w:rPr>
        <w:t>alectinib</w:t>
      </w:r>
      <w:proofErr w:type="spellEnd"/>
      <w:r>
        <w:rPr>
          <w:rFonts w:ascii="Calibri" w:eastAsia="Times New Roman" w:hAnsi="Calibri" w:cs="Arial"/>
          <w:bCs/>
          <w:snapToGrid w:val="0"/>
          <w:szCs w:val="24"/>
          <w:lang w:val="en-GB"/>
        </w:rPr>
        <w:t xml:space="preserve">, given that </w:t>
      </w:r>
      <w:r w:rsidRPr="00F6028D">
        <w:t xml:space="preserve">median PFS in the </w:t>
      </w:r>
      <w:proofErr w:type="spellStart"/>
      <w:r w:rsidRPr="00F6028D">
        <w:t>ceritinib</w:t>
      </w:r>
      <w:proofErr w:type="spellEnd"/>
      <w:r w:rsidRPr="00F6028D">
        <w:t xml:space="preserve"> studies (5.4-7.2 months) was numerically shorter than </w:t>
      </w:r>
      <w:r>
        <w:t>that</w:t>
      </w:r>
      <w:r w:rsidRPr="00F6028D">
        <w:t xml:space="preserve"> in the </w:t>
      </w:r>
      <w:proofErr w:type="spellStart"/>
      <w:r w:rsidRPr="00F6028D">
        <w:t>alectinib</w:t>
      </w:r>
      <w:proofErr w:type="spellEnd"/>
      <w:r w:rsidRPr="00F6028D">
        <w:t xml:space="preserve"> studies (8.3 months)</w:t>
      </w:r>
      <w:r>
        <w:t xml:space="preserve">. </w:t>
      </w:r>
      <w:r>
        <w:rPr>
          <w:rFonts w:ascii="Calibri" w:eastAsia="Times New Roman" w:hAnsi="Calibri" w:cs="Arial"/>
          <w:bCs/>
          <w:snapToGrid w:val="0"/>
          <w:szCs w:val="24"/>
          <w:lang w:val="en-GB"/>
        </w:rPr>
        <w:t xml:space="preserve">The PBAC noted that the pre-PBAC response (p3) acknowledged this, but contended that </w:t>
      </w:r>
      <w:r>
        <w:t xml:space="preserve">any </w:t>
      </w:r>
      <w:r w:rsidRPr="00F6028D">
        <w:t xml:space="preserve">difference </w:t>
      </w:r>
      <w:r>
        <w:t xml:space="preserve">in budget impact was likely to </w:t>
      </w:r>
      <w:r w:rsidRPr="00F6028D">
        <w:t>be</w:t>
      </w:r>
      <w:r>
        <w:t xml:space="preserve"> minor in contrast to the clinical benefit for a small number of patients with a rare cancer</w:t>
      </w:r>
      <w:r>
        <w:rPr>
          <w:rFonts w:ascii="Calibri" w:eastAsia="Times New Roman" w:hAnsi="Calibri" w:cs="Arial"/>
          <w:bCs/>
          <w:snapToGrid w:val="0"/>
          <w:szCs w:val="24"/>
          <w:lang w:val="en-GB"/>
        </w:rPr>
        <w:t>. On balance, the PBAC advised that, in order to reduce the financial risk to the Commonwealth, the differential duration of therapy be taken into account in calculating the cost-minimisation approach.</w:t>
      </w:r>
    </w:p>
    <w:p w:rsidR="00F0121E" w:rsidRPr="008279C6" w:rsidRDefault="008521F5" w:rsidP="008279C6">
      <w:pPr>
        <w:widowControl w:val="0"/>
        <w:numPr>
          <w:ilvl w:val="1"/>
          <w:numId w:val="4"/>
        </w:numPr>
        <w:spacing w:before="0" w:after="120"/>
        <w:rPr>
          <w:rFonts w:ascii="Calibri" w:eastAsia="Times New Roman" w:hAnsi="Calibri" w:cs="Arial"/>
          <w:bCs/>
          <w:snapToGrid w:val="0"/>
          <w:szCs w:val="24"/>
          <w:lang w:val="en-GB"/>
        </w:rPr>
      </w:pPr>
      <w:r w:rsidRPr="00AE76D6">
        <w:rPr>
          <w:rFonts w:ascii="Calibri" w:eastAsia="Times New Roman" w:hAnsi="Calibri" w:cs="Arial"/>
          <w:bCs/>
          <w:snapToGrid w:val="0"/>
          <w:szCs w:val="24"/>
          <w:lang w:val="en-GB"/>
        </w:rPr>
        <w:t xml:space="preserve">The PBAC therefore advised </w:t>
      </w:r>
      <w:r w:rsidR="008727AF" w:rsidRPr="00AE76D6">
        <w:rPr>
          <w:rFonts w:ascii="Calibri" w:eastAsia="Times New Roman" w:hAnsi="Calibri" w:cs="Arial"/>
          <w:bCs/>
          <w:snapToGrid w:val="0"/>
          <w:szCs w:val="24"/>
          <w:lang w:val="en-GB"/>
        </w:rPr>
        <w:t xml:space="preserve">that the effective price for </w:t>
      </w:r>
      <w:proofErr w:type="spellStart"/>
      <w:r w:rsidR="008727AF" w:rsidRPr="00AE76D6">
        <w:rPr>
          <w:rFonts w:ascii="Calibri" w:eastAsia="Times New Roman" w:hAnsi="Calibri" w:cs="Arial"/>
          <w:bCs/>
          <w:snapToGrid w:val="0"/>
          <w:szCs w:val="24"/>
          <w:lang w:val="en-GB"/>
        </w:rPr>
        <w:t>alectinib</w:t>
      </w:r>
      <w:proofErr w:type="spellEnd"/>
      <w:r w:rsidR="008727AF" w:rsidRPr="00AE76D6">
        <w:rPr>
          <w:rFonts w:ascii="Calibri" w:eastAsia="Times New Roman" w:hAnsi="Calibri" w:cs="Arial"/>
          <w:bCs/>
          <w:snapToGrid w:val="0"/>
          <w:szCs w:val="24"/>
          <w:lang w:val="en-GB"/>
        </w:rPr>
        <w:t xml:space="preserve"> be no higher than the effective price for </w:t>
      </w:r>
      <w:proofErr w:type="spellStart"/>
      <w:r w:rsidR="008727AF" w:rsidRPr="00AE76D6">
        <w:rPr>
          <w:rFonts w:ascii="Calibri" w:eastAsia="Times New Roman" w:hAnsi="Calibri" w:cs="Arial"/>
          <w:bCs/>
          <w:snapToGrid w:val="0"/>
          <w:szCs w:val="24"/>
          <w:lang w:val="en-GB"/>
        </w:rPr>
        <w:t>ceritinib</w:t>
      </w:r>
      <w:proofErr w:type="spellEnd"/>
      <w:r w:rsidR="008727AF" w:rsidRPr="00AE76D6">
        <w:rPr>
          <w:rFonts w:ascii="Calibri" w:eastAsia="Times New Roman" w:hAnsi="Calibri" w:cs="Arial"/>
          <w:bCs/>
          <w:snapToGrid w:val="0"/>
          <w:szCs w:val="24"/>
          <w:lang w:val="en-GB"/>
        </w:rPr>
        <w:t xml:space="preserve">, on the basis of cost per day of treatment, with </w:t>
      </w:r>
      <w:proofErr w:type="spellStart"/>
      <w:r w:rsidR="008279C6">
        <w:rPr>
          <w:rFonts w:ascii="Calibri" w:eastAsia="Times New Roman" w:hAnsi="Calibri" w:cs="Arial"/>
          <w:bCs/>
          <w:snapToGrid w:val="0"/>
          <w:szCs w:val="24"/>
          <w:lang w:val="en-GB"/>
        </w:rPr>
        <w:t>a</w:t>
      </w:r>
      <w:r w:rsidR="008279C6" w:rsidRPr="008279C6">
        <w:rPr>
          <w:rFonts w:ascii="Calibri" w:eastAsia="Times New Roman" w:hAnsi="Calibri" w:cs="Arial"/>
          <w:bCs/>
          <w:snapToGrid w:val="0"/>
          <w:szCs w:val="24"/>
          <w:lang w:val="en-GB"/>
        </w:rPr>
        <w:t>lectinib</w:t>
      </w:r>
      <w:proofErr w:type="spellEnd"/>
      <w:r w:rsidR="008279C6" w:rsidRPr="008279C6">
        <w:rPr>
          <w:rFonts w:ascii="Calibri" w:eastAsia="Times New Roman" w:hAnsi="Calibri" w:cs="Arial"/>
          <w:bCs/>
          <w:snapToGrid w:val="0"/>
          <w:szCs w:val="24"/>
          <w:lang w:val="en-GB"/>
        </w:rPr>
        <w:t xml:space="preserve"> 600 mg (4 x 150 mg capsules) twice daily</w:t>
      </w:r>
      <w:r w:rsidR="008279C6">
        <w:rPr>
          <w:rFonts w:ascii="Calibri" w:eastAsia="Times New Roman" w:hAnsi="Calibri" w:cs="Arial"/>
          <w:bCs/>
          <w:snapToGrid w:val="0"/>
          <w:szCs w:val="24"/>
          <w:lang w:val="en-GB"/>
        </w:rPr>
        <w:t xml:space="preserve"> and </w:t>
      </w:r>
      <w:proofErr w:type="spellStart"/>
      <w:r w:rsidR="008279C6">
        <w:rPr>
          <w:rFonts w:ascii="Calibri" w:eastAsia="Times New Roman" w:hAnsi="Calibri" w:cs="Arial"/>
          <w:bCs/>
          <w:snapToGrid w:val="0"/>
          <w:szCs w:val="24"/>
          <w:lang w:val="en-GB"/>
        </w:rPr>
        <w:t>c</w:t>
      </w:r>
      <w:r w:rsidR="008279C6" w:rsidRPr="008279C6">
        <w:rPr>
          <w:rFonts w:ascii="Calibri" w:eastAsia="Times New Roman" w:hAnsi="Calibri" w:cs="Arial"/>
          <w:bCs/>
          <w:snapToGrid w:val="0"/>
          <w:szCs w:val="24"/>
          <w:lang w:val="en-GB"/>
        </w:rPr>
        <w:t>eritinib</w:t>
      </w:r>
      <w:proofErr w:type="spellEnd"/>
      <w:r w:rsidR="008279C6" w:rsidRPr="008279C6">
        <w:rPr>
          <w:rFonts w:ascii="Calibri" w:eastAsia="Times New Roman" w:hAnsi="Calibri" w:cs="Arial"/>
          <w:bCs/>
          <w:snapToGrid w:val="0"/>
          <w:szCs w:val="24"/>
          <w:lang w:val="en-GB"/>
        </w:rPr>
        <w:t xml:space="preserve"> 750 mg (5 x 150 mg capsules) daily</w:t>
      </w:r>
      <w:r w:rsidR="00DC6255">
        <w:rPr>
          <w:rFonts w:ascii="Calibri" w:eastAsia="Times New Roman" w:hAnsi="Calibri" w:cs="Arial"/>
          <w:bCs/>
          <w:snapToGrid w:val="0"/>
          <w:szCs w:val="24"/>
          <w:lang w:val="en-GB"/>
        </w:rPr>
        <w:t xml:space="preserve"> considered to be the </w:t>
      </w:r>
      <w:proofErr w:type="spellStart"/>
      <w:r w:rsidR="00DC6255" w:rsidRPr="00AE76D6">
        <w:rPr>
          <w:rFonts w:ascii="Calibri" w:eastAsia="Times New Roman" w:hAnsi="Calibri" w:cs="Arial"/>
          <w:bCs/>
          <w:snapToGrid w:val="0"/>
          <w:szCs w:val="24"/>
          <w:lang w:val="en-GB"/>
        </w:rPr>
        <w:t>equi</w:t>
      </w:r>
      <w:proofErr w:type="spellEnd"/>
      <w:r w:rsidR="00DC6255" w:rsidRPr="00AE76D6">
        <w:rPr>
          <w:rFonts w:ascii="Calibri" w:eastAsia="Times New Roman" w:hAnsi="Calibri" w:cs="Arial"/>
          <w:bCs/>
          <w:snapToGrid w:val="0"/>
          <w:szCs w:val="24"/>
          <w:lang w:val="en-GB"/>
        </w:rPr>
        <w:t>-effective doses</w:t>
      </w:r>
      <w:r w:rsidR="009D0604">
        <w:rPr>
          <w:rFonts w:ascii="Calibri" w:eastAsia="Times New Roman" w:hAnsi="Calibri" w:cs="Arial"/>
          <w:bCs/>
          <w:snapToGrid w:val="0"/>
          <w:szCs w:val="24"/>
          <w:lang w:val="en-GB"/>
        </w:rPr>
        <w:t>, also taking into account the different durations of therapy</w:t>
      </w:r>
      <w:r w:rsidRPr="008279C6">
        <w:rPr>
          <w:rFonts w:ascii="Calibri" w:eastAsia="Times New Roman" w:hAnsi="Calibri" w:cs="Arial"/>
          <w:bCs/>
          <w:snapToGrid w:val="0"/>
          <w:szCs w:val="24"/>
          <w:lang w:val="en-GB"/>
        </w:rPr>
        <w:t>.</w:t>
      </w:r>
    </w:p>
    <w:p w:rsidR="00DC6255" w:rsidRDefault="00DA3EEB" w:rsidP="00E41729">
      <w:pPr>
        <w:widowControl w:val="0"/>
        <w:numPr>
          <w:ilvl w:val="1"/>
          <w:numId w:val="4"/>
        </w:numPr>
        <w:spacing w:before="0" w:after="120"/>
        <w:rPr>
          <w:rFonts w:ascii="Calibri" w:eastAsia="Times New Roman" w:hAnsi="Calibri" w:cs="Arial"/>
          <w:bCs/>
          <w:snapToGrid w:val="0"/>
          <w:szCs w:val="24"/>
          <w:lang w:val="en-GB"/>
        </w:rPr>
      </w:pPr>
      <w:r>
        <w:rPr>
          <w:rFonts w:ascii="Calibri" w:eastAsia="Times New Roman" w:hAnsi="Calibri" w:cs="Arial"/>
          <w:bCs/>
          <w:snapToGrid w:val="0"/>
          <w:szCs w:val="24"/>
          <w:lang w:val="en-GB"/>
        </w:rPr>
        <w:t xml:space="preserve">The PBAC rejected the request in the Pre-PBAC response (p.1) for including </w:t>
      </w:r>
      <w:proofErr w:type="spellStart"/>
      <w:r>
        <w:rPr>
          <w:rFonts w:ascii="Calibri" w:eastAsia="Times New Roman" w:hAnsi="Calibri" w:cs="Arial"/>
          <w:bCs/>
          <w:snapToGrid w:val="0"/>
          <w:szCs w:val="24"/>
          <w:lang w:val="en-GB"/>
        </w:rPr>
        <w:t>crizotinib</w:t>
      </w:r>
      <w:proofErr w:type="spellEnd"/>
      <w:r>
        <w:rPr>
          <w:rFonts w:ascii="Calibri" w:eastAsia="Times New Roman" w:hAnsi="Calibri" w:cs="Arial"/>
          <w:bCs/>
          <w:snapToGrid w:val="0"/>
          <w:szCs w:val="24"/>
          <w:lang w:val="en-GB"/>
        </w:rPr>
        <w:t xml:space="preserve"> as a comparator in the event of a recommendation to list </w:t>
      </w:r>
      <w:proofErr w:type="spellStart"/>
      <w:r>
        <w:rPr>
          <w:rFonts w:ascii="Calibri" w:eastAsia="Times New Roman" w:hAnsi="Calibri" w:cs="Arial"/>
          <w:bCs/>
          <w:snapToGrid w:val="0"/>
          <w:szCs w:val="24"/>
          <w:lang w:val="en-GB"/>
        </w:rPr>
        <w:t>alectinib</w:t>
      </w:r>
      <w:proofErr w:type="spellEnd"/>
      <w:r>
        <w:rPr>
          <w:rFonts w:ascii="Calibri" w:eastAsia="Times New Roman" w:hAnsi="Calibri" w:cs="Arial"/>
          <w:bCs/>
          <w:snapToGrid w:val="0"/>
          <w:szCs w:val="24"/>
          <w:lang w:val="en-GB"/>
        </w:rPr>
        <w:t xml:space="preserve"> without reference to any line of therapy, and thus (p.3) to reflect the price of </w:t>
      </w:r>
      <w:proofErr w:type="spellStart"/>
      <w:r>
        <w:rPr>
          <w:rFonts w:ascii="Calibri" w:eastAsia="Times New Roman" w:hAnsi="Calibri" w:cs="Arial"/>
          <w:bCs/>
          <w:snapToGrid w:val="0"/>
          <w:szCs w:val="24"/>
          <w:lang w:val="en-GB"/>
        </w:rPr>
        <w:t>crizotinib</w:t>
      </w:r>
      <w:proofErr w:type="spellEnd"/>
      <w:r>
        <w:rPr>
          <w:rFonts w:ascii="Calibri" w:eastAsia="Times New Roman" w:hAnsi="Calibri" w:cs="Arial"/>
          <w:bCs/>
          <w:snapToGrid w:val="0"/>
          <w:szCs w:val="24"/>
          <w:lang w:val="en-GB"/>
        </w:rPr>
        <w:t xml:space="preserve"> in the price of </w:t>
      </w:r>
      <w:proofErr w:type="spellStart"/>
      <w:r>
        <w:rPr>
          <w:rFonts w:ascii="Calibri" w:eastAsia="Times New Roman" w:hAnsi="Calibri" w:cs="Arial"/>
          <w:bCs/>
          <w:snapToGrid w:val="0"/>
          <w:szCs w:val="24"/>
          <w:lang w:val="en-GB"/>
        </w:rPr>
        <w:t>alectinib</w:t>
      </w:r>
      <w:proofErr w:type="spellEnd"/>
      <w:r>
        <w:rPr>
          <w:rFonts w:ascii="Calibri" w:eastAsia="Times New Roman" w:hAnsi="Calibri" w:cs="Arial"/>
          <w:bCs/>
          <w:snapToGrid w:val="0"/>
          <w:szCs w:val="24"/>
          <w:lang w:val="en-GB"/>
        </w:rPr>
        <w:t xml:space="preserve">. The PBAC noted that, unlike </w:t>
      </w:r>
      <w:proofErr w:type="spellStart"/>
      <w:r>
        <w:rPr>
          <w:rFonts w:ascii="Calibri" w:eastAsia="Times New Roman" w:hAnsi="Calibri" w:cs="Arial"/>
          <w:bCs/>
          <w:snapToGrid w:val="0"/>
          <w:szCs w:val="24"/>
          <w:lang w:val="en-GB"/>
        </w:rPr>
        <w:t>ceritinib</w:t>
      </w:r>
      <w:proofErr w:type="spellEnd"/>
      <w:r>
        <w:rPr>
          <w:rFonts w:ascii="Calibri" w:eastAsia="Times New Roman" w:hAnsi="Calibri" w:cs="Arial"/>
          <w:bCs/>
          <w:snapToGrid w:val="0"/>
          <w:szCs w:val="24"/>
          <w:lang w:val="en-GB"/>
        </w:rPr>
        <w:t xml:space="preserve"> and </w:t>
      </w:r>
      <w:proofErr w:type="spellStart"/>
      <w:r>
        <w:rPr>
          <w:rFonts w:ascii="Calibri" w:eastAsia="Times New Roman" w:hAnsi="Calibri" w:cs="Arial"/>
          <w:bCs/>
          <w:snapToGrid w:val="0"/>
          <w:szCs w:val="24"/>
          <w:lang w:val="en-GB"/>
        </w:rPr>
        <w:t>alectinib</w:t>
      </w:r>
      <w:proofErr w:type="spellEnd"/>
      <w:r>
        <w:rPr>
          <w:rFonts w:ascii="Calibri" w:eastAsia="Times New Roman" w:hAnsi="Calibri" w:cs="Arial"/>
          <w:bCs/>
          <w:snapToGrid w:val="0"/>
          <w:szCs w:val="24"/>
          <w:lang w:val="en-GB"/>
        </w:rPr>
        <w:t xml:space="preserve">, </w:t>
      </w:r>
      <w:proofErr w:type="spellStart"/>
      <w:r>
        <w:rPr>
          <w:rFonts w:ascii="Calibri" w:eastAsia="Times New Roman" w:hAnsi="Calibri" w:cs="Arial"/>
          <w:bCs/>
          <w:snapToGrid w:val="0"/>
          <w:szCs w:val="24"/>
          <w:lang w:val="en-GB"/>
        </w:rPr>
        <w:t>crizotinib</w:t>
      </w:r>
      <w:proofErr w:type="spellEnd"/>
      <w:r>
        <w:rPr>
          <w:rFonts w:ascii="Calibri" w:eastAsia="Times New Roman" w:hAnsi="Calibri" w:cs="Arial"/>
          <w:bCs/>
          <w:snapToGrid w:val="0"/>
          <w:szCs w:val="24"/>
          <w:lang w:val="en-GB"/>
        </w:rPr>
        <w:t xml:space="preserve"> required written authorisation be obtained for PBS subsidy, which means that it is</w:t>
      </w:r>
      <w:r w:rsidR="0077674F">
        <w:rPr>
          <w:rFonts w:ascii="Calibri" w:eastAsia="Times New Roman" w:hAnsi="Calibri" w:cs="Arial"/>
          <w:bCs/>
          <w:snapToGrid w:val="0"/>
          <w:szCs w:val="24"/>
          <w:lang w:val="en-GB"/>
        </w:rPr>
        <w:t xml:space="preserve"> increasingly</w:t>
      </w:r>
      <w:r>
        <w:rPr>
          <w:rFonts w:ascii="Calibri" w:eastAsia="Times New Roman" w:hAnsi="Calibri" w:cs="Arial"/>
          <w:bCs/>
          <w:snapToGrid w:val="0"/>
          <w:szCs w:val="24"/>
          <w:lang w:val="en-GB"/>
        </w:rPr>
        <w:t xml:space="preserve"> less likely to be </w:t>
      </w:r>
      <w:r w:rsidR="0077674F">
        <w:rPr>
          <w:rFonts w:ascii="Calibri" w:eastAsia="Times New Roman" w:hAnsi="Calibri" w:cs="Arial"/>
          <w:bCs/>
          <w:snapToGrid w:val="0"/>
          <w:szCs w:val="24"/>
          <w:lang w:val="en-GB"/>
        </w:rPr>
        <w:t>used</w:t>
      </w:r>
      <w:r>
        <w:rPr>
          <w:rFonts w:ascii="Calibri" w:eastAsia="Times New Roman" w:hAnsi="Calibri" w:cs="Arial"/>
          <w:bCs/>
          <w:snapToGrid w:val="0"/>
          <w:szCs w:val="24"/>
          <w:lang w:val="en-GB"/>
        </w:rPr>
        <w:t>.</w:t>
      </w:r>
    </w:p>
    <w:p w:rsidR="00CD4D1A" w:rsidRDefault="007D5D6F" w:rsidP="00E41729">
      <w:pPr>
        <w:widowControl w:val="0"/>
        <w:numPr>
          <w:ilvl w:val="1"/>
          <w:numId w:val="4"/>
        </w:numPr>
        <w:spacing w:before="0" w:after="120"/>
        <w:rPr>
          <w:rFonts w:ascii="Calibri" w:eastAsia="Times New Roman" w:hAnsi="Calibri" w:cs="Arial"/>
          <w:bCs/>
          <w:snapToGrid w:val="0"/>
          <w:szCs w:val="24"/>
          <w:lang w:val="en-GB"/>
        </w:rPr>
      </w:pPr>
      <w:r>
        <w:rPr>
          <w:rFonts w:ascii="Calibri" w:eastAsia="Times New Roman" w:hAnsi="Calibri" w:cs="Arial"/>
          <w:bCs/>
          <w:snapToGrid w:val="0"/>
          <w:szCs w:val="24"/>
          <w:lang w:val="en-GB"/>
        </w:rPr>
        <w:t>The PBAC</w:t>
      </w:r>
      <w:r w:rsidR="0060609D">
        <w:rPr>
          <w:rFonts w:ascii="Calibri" w:eastAsia="Times New Roman" w:hAnsi="Calibri" w:cs="Arial"/>
          <w:bCs/>
          <w:snapToGrid w:val="0"/>
          <w:szCs w:val="24"/>
          <w:lang w:val="en-GB"/>
        </w:rPr>
        <w:t xml:space="preserve"> considered that</w:t>
      </w:r>
      <w:r>
        <w:rPr>
          <w:rFonts w:ascii="Calibri" w:eastAsia="Times New Roman" w:hAnsi="Calibri" w:cs="Arial"/>
          <w:bCs/>
          <w:snapToGrid w:val="0"/>
          <w:szCs w:val="24"/>
          <w:lang w:val="en-GB"/>
        </w:rPr>
        <w:t xml:space="preserve"> </w:t>
      </w:r>
      <w:r w:rsidR="0060609D">
        <w:rPr>
          <w:rFonts w:ascii="Calibri" w:eastAsia="Times New Roman" w:hAnsi="Calibri" w:cs="Arial"/>
          <w:bCs/>
          <w:snapToGrid w:val="0"/>
          <w:szCs w:val="24"/>
          <w:lang w:val="en-GB"/>
        </w:rPr>
        <w:t>the financial estimate</w:t>
      </w:r>
      <w:r w:rsidR="00FF5EA6">
        <w:rPr>
          <w:rFonts w:ascii="Calibri" w:eastAsia="Times New Roman" w:hAnsi="Calibri" w:cs="Arial"/>
          <w:bCs/>
          <w:snapToGrid w:val="0"/>
          <w:szCs w:val="24"/>
          <w:lang w:val="en-GB"/>
        </w:rPr>
        <w:t>s</w:t>
      </w:r>
      <w:r w:rsidR="0060609D">
        <w:rPr>
          <w:rFonts w:ascii="Calibri" w:eastAsia="Times New Roman" w:hAnsi="Calibri" w:cs="Arial"/>
          <w:bCs/>
          <w:snapToGrid w:val="0"/>
          <w:szCs w:val="24"/>
          <w:lang w:val="en-GB"/>
        </w:rPr>
        <w:t xml:space="preserve"> presented in the submission were overestimated, given that</w:t>
      </w:r>
      <w:r>
        <w:rPr>
          <w:rFonts w:ascii="Calibri" w:eastAsia="Times New Roman" w:hAnsi="Calibri" w:cs="Arial"/>
          <w:bCs/>
          <w:snapToGrid w:val="0"/>
          <w:szCs w:val="24"/>
          <w:lang w:val="en-GB"/>
        </w:rPr>
        <w:t xml:space="preserve"> the uptake rate of </w:t>
      </w:r>
      <w:proofErr w:type="spellStart"/>
      <w:r>
        <w:rPr>
          <w:rFonts w:ascii="Calibri" w:eastAsia="Times New Roman" w:hAnsi="Calibri" w:cs="Arial"/>
          <w:bCs/>
          <w:snapToGrid w:val="0"/>
          <w:szCs w:val="24"/>
          <w:lang w:val="en-GB"/>
        </w:rPr>
        <w:t>ceritinib</w:t>
      </w:r>
      <w:proofErr w:type="spellEnd"/>
      <w:r>
        <w:rPr>
          <w:rFonts w:ascii="Calibri" w:eastAsia="Times New Roman" w:hAnsi="Calibri" w:cs="Arial"/>
          <w:bCs/>
          <w:snapToGrid w:val="0"/>
          <w:szCs w:val="24"/>
          <w:lang w:val="en-GB"/>
        </w:rPr>
        <w:t xml:space="preserve"> since its lis</w:t>
      </w:r>
      <w:r w:rsidR="0060609D">
        <w:rPr>
          <w:rFonts w:ascii="Calibri" w:eastAsia="Times New Roman" w:hAnsi="Calibri" w:cs="Arial"/>
          <w:bCs/>
          <w:snapToGrid w:val="0"/>
          <w:szCs w:val="24"/>
          <w:lang w:val="en-GB"/>
        </w:rPr>
        <w:t>ting on the PBS on 1 April 2017 was substantially lower than that predicted in the submission</w:t>
      </w:r>
      <w:r>
        <w:rPr>
          <w:rFonts w:ascii="Calibri" w:eastAsia="Times New Roman" w:hAnsi="Calibri" w:cs="Arial"/>
          <w:bCs/>
          <w:snapToGrid w:val="0"/>
          <w:szCs w:val="24"/>
          <w:lang w:val="en-GB"/>
        </w:rPr>
        <w:t xml:space="preserve">. </w:t>
      </w:r>
      <w:r w:rsidR="00A30185">
        <w:rPr>
          <w:rFonts w:ascii="Calibri" w:eastAsia="Times New Roman" w:hAnsi="Calibri" w:cs="Arial"/>
          <w:bCs/>
          <w:snapToGrid w:val="0"/>
          <w:szCs w:val="24"/>
          <w:lang w:val="en-GB"/>
        </w:rPr>
        <w:t xml:space="preserve">Nonetheless, </w:t>
      </w:r>
      <w:r w:rsidR="00A30185" w:rsidRPr="004D2320">
        <w:rPr>
          <w:rFonts w:ascii="Calibri" w:eastAsia="Times New Roman" w:hAnsi="Calibri" w:cs="Arial"/>
          <w:bCs/>
          <w:snapToGrid w:val="0"/>
          <w:szCs w:val="24"/>
          <w:lang w:val="en-GB"/>
        </w:rPr>
        <w:t>the</w:t>
      </w:r>
      <w:r w:rsidR="00C67E9F" w:rsidRPr="004D2320">
        <w:rPr>
          <w:rFonts w:ascii="Calibri" w:eastAsia="Times New Roman" w:hAnsi="Calibri" w:cs="Arial"/>
          <w:bCs/>
          <w:snapToGrid w:val="0"/>
          <w:szCs w:val="24"/>
          <w:lang w:val="en-GB"/>
        </w:rPr>
        <w:t xml:space="preserve"> PBAC </w:t>
      </w:r>
      <w:r w:rsidR="0060609D">
        <w:rPr>
          <w:rFonts w:ascii="Calibri" w:eastAsia="Times New Roman" w:hAnsi="Calibri" w:cs="Arial"/>
          <w:bCs/>
          <w:snapToGrid w:val="0"/>
          <w:szCs w:val="24"/>
          <w:lang w:val="en-GB"/>
        </w:rPr>
        <w:t>advised</w:t>
      </w:r>
      <w:r w:rsidR="00C67E9F" w:rsidRPr="004D2320">
        <w:rPr>
          <w:rFonts w:ascii="Calibri" w:eastAsia="Times New Roman" w:hAnsi="Calibri" w:cs="Arial"/>
          <w:bCs/>
          <w:snapToGrid w:val="0"/>
          <w:szCs w:val="24"/>
          <w:lang w:val="en-GB"/>
        </w:rPr>
        <w:t xml:space="preserve"> that the financial estimates would need to be revised in light of its recommendation for PBS listing of </w:t>
      </w:r>
      <w:proofErr w:type="spellStart"/>
      <w:r w:rsidR="00C67E9F" w:rsidRPr="004D2320">
        <w:rPr>
          <w:rFonts w:ascii="Calibri" w:eastAsia="Times New Roman" w:hAnsi="Calibri" w:cs="Arial"/>
          <w:bCs/>
          <w:snapToGrid w:val="0"/>
          <w:szCs w:val="24"/>
          <w:lang w:val="en-GB"/>
        </w:rPr>
        <w:t>alectinib</w:t>
      </w:r>
      <w:proofErr w:type="spellEnd"/>
      <w:r w:rsidR="00C67E9F" w:rsidRPr="004D2320">
        <w:rPr>
          <w:rFonts w:ascii="Calibri" w:eastAsia="Times New Roman" w:hAnsi="Calibri" w:cs="Arial"/>
          <w:bCs/>
          <w:snapToGrid w:val="0"/>
          <w:szCs w:val="24"/>
          <w:lang w:val="en-GB"/>
        </w:rPr>
        <w:t xml:space="preserve"> for ALK-positive NSCLC without restricting the line of therapy. The PBAC considered that the revised estimates should appropriately account for patients in the sponsor’s </w:t>
      </w:r>
      <w:r w:rsidR="00162924" w:rsidRPr="004D2320">
        <w:rPr>
          <w:rFonts w:ascii="Calibri" w:eastAsia="Times New Roman" w:hAnsi="Calibri" w:cs="Arial"/>
          <w:bCs/>
          <w:snapToGrid w:val="0"/>
          <w:szCs w:val="24"/>
          <w:lang w:val="en-GB"/>
        </w:rPr>
        <w:t>patient access</w:t>
      </w:r>
      <w:r w:rsidR="00C67E9F" w:rsidRPr="004D2320">
        <w:rPr>
          <w:rFonts w:ascii="Calibri" w:eastAsia="Times New Roman" w:hAnsi="Calibri" w:cs="Arial"/>
          <w:bCs/>
          <w:snapToGrid w:val="0"/>
          <w:szCs w:val="24"/>
          <w:lang w:val="en-GB"/>
        </w:rPr>
        <w:t xml:space="preserve"> program, </w:t>
      </w:r>
      <w:r w:rsidR="00BD4B15">
        <w:rPr>
          <w:rFonts w:ascii="Calibri" w:eastAsia="Times New Roman" w:hAnsi="Calibri" w:cs="Arial"/>
          <w:bCs/>
          <w:snapToGrid w:val="0"/>
          <w:szCs w:val="24"/>
          <w:lang w:val="en-GB"/>
        </w:rPr>
        <w:t>some of whom might</w:t>
      </w:r>
      <w:r w:rsidR="00C67E9F" w:rsidRPr="004D2320">
        <w:rPr>
          <w:rFonts w:ascii="Calibri" w:eastAsia="Times New Roman" w:hAnsi="Calibri" w:cs="Arial"/>
          <w:bCs/>
          <w:snapToGrid w:val="0"/>
          <w:szCs w:val="24"/>
          <w:lang w:val="en-GB"/>
        </w:rPr>
        <w:t xml:space="preserve"> be eligible to receive </w:t>
      </w:r>
      <w:proofErr w:type="spellStart"/>
      <w:r w:rsidR="005D701D" w:rsidRPr="004D2320">
        <w:rPr>
          <w:rFonts w:ascii="Calibri" w:eastAsia="Times New Roman" w:hAnsi="Calibri" w:cs="Arial"/>
          <w:bCs/>
          <w:snapToGrid w:val="0"/>
          <w:szCs w:val="24"/>
          <w:lang w:val="en-GB"/>
        </w:rPr>
        <w:t>alectinib</w:t>
      </w:r>
      <w:proofErr w:type="spellEnd"/>
      <w:r w:rsidR="005D701D" w:rsidRPr="004D2320">
        <w:rPr>
          <w:rFonts w:ascii="Calibri" w:eastAsia="Times New Roman" w:hAnsi="Calibri" w:cs="Arial"/>
          <w:bCs/>
          <w:snapToGrid w:val="0"/>
          <w:szCs w:val="24"/>
          <w:lang w:val="en-GB"/>
        </w:rPr>
        <w:t xml:space="preserve"> via</w:t>
      </w:r>
      <w:r w:rsidR="00162924" w:rsidRPr="004D2320">
        <w:rPr>
          <w:rFonts w:ascii="Calibri" w:eastAsia="Times New Roman" w:hAnsi="Calibri" w:cs="Arial"/>
          <w:bCs/>
          <w:snapToGrid w:val="0"/>
          <w:szCs w:val="24"/>
          <w:lang w:val="en-GB"/>
        </w:rPr>
        <w:t xml:space="preserve"> a grandfathering arrangement</w:t>
      </w:r>
      <w:r w:rsidR="00CD4D1A">
        <w:rPr>
          <w:rFonts w:ascii="Calibri" w:eastAsia="Times New Roman" w:hAnsi="Calibri" w:cs="Arial"/>
          <w:bCs/>
          <w:snapToGrid w:val="0"/>
          <w:szCs w:val="24"/>
          <w:lang w:val="en-GB"/>
        </w:rPr>
        <w:t>.</w:t>
      </w:r>
    </w:p>
    <w:p w:rsidR="001244F2" w:rsidRPr="001244F2" w:rsidRDefault="001244F2" w:rsidP="001244F2">
      <w:pPr>
        <w:pStyle w:val="ListParagraph"/>
        <w:numPr>
          <w:ilvl w:val="1"/>
          <w:numId w:val="4"/>
        </w:numPr>
        <w:rPr>
          <w:rFonts w:ascii="Calibri" w:eastAsia="Times New Roman" w:hAnsi="Calibri" w:cs="Arial"/>
          <w:bCs/>
          <w:snapToGrid w:val="0"/>
          <w:szCs w:val="24"/>
          <w:lang w:val="en-GB"/>
        </w:rPr>
      </w:pPr>
      <w:r>
        <w:rPr>
          <w:rFonts w:ascii="Calibri" w:eastAsia="Times New Roman" w:hAnsi="Calibri" w:cs="Arial"/>
          <w:bCs/>
          <w:snapToGrid w:val="0"/>
          <w:szCs w:val="24"/>
          <w:lang w:val="en-GB"/>
        </w:rPr>
        <w:t>The PBAC noted that</w:t>
      </w:r>
      <w:r w:rsidR="00043A7D">
        <w:rPr>
          <w:rFonts w:ascii="Calibri" w:eastAsia="Times New Roman" w:hAnsi="Calibri" w:cs="Arial"/>
          <w:bCs/>
          <w:snapToGrid w:val="0"/>
          <w:szCs w:val="24"/>
          <w:lang w:val="en-GB"/>
        </w:rPr>
        <w:t>,</w:t>
      </w:r>
      <w:r>
        <w:rPr>
          <w:rFonts w:ascii="Calibri" w:eastAsia="Times New Roman" w:hAnsi="Calibri" w:cs="Arial"/>
          <w:bCs/>
          <w:snapToGrid w:val="0"/>
          <w:szCs w:val="24"/>
          <w:lang w:val="en-GB"/>
        </w:rPr>
        <w:t xml:space="preserve"> as </w:t>
      </w:r>
      <w:r w:rsidR="00DC6255">
        <w:rPr>
          <w:rFonts w:ascii="Calibri" w:eastAsia="Times New Roman" w:hAnsi="Calibri" w:cs="Arial"/>
          <w:bCs/>
          <w:snapToGrid w:val="0"/>
          <w:szCs w:val="24"/>
          <w:lang w:val="en-GB"/>
        </w:rPr>
        <w:t xml:space="preserve">it had recommended </w:t>
      </w:r>
      <w:proofErr w:type="spellStart"/>
      <w:r>
        <w:rPr>
          <w:rFonts w:ascii="Calibri" w:eastAsia="Times New Roman" w:hAnsi="Calibri" w:cs="Arial"/>
          <w:bCs/>
          <w:snapToGrid w:val="0"/>
          <w:szCs w:val="24"/>
          <w:lang w:val="en-GB"/>
        </w:rPr>
        <w:t>alectinib</w:t>
      </w:r>
      <w:proofErr w:type="spellEnd"/>
      <w:r>
        <w:rPr>
          <w:rFonts w:ascii="Calibri" w:eastAsia="Times New Roman" w:hAnsi="Calibri" w:cs="Arial"/>
          <w:bCs/>
          <w:snapToGrid w:val="0"/>
          <w:szCs w:val="24"/>
          <w:lang w:val="en-GB"/>
        </w:rPr>
        <w:t xml:space="preserve"> </w:t>
      </w:r>
      <w:r w:rsidRPr="001244F2">
        <w:rPr>
          <w:rFonts w:ascii="Calibri" w:eastAsia="Times New Roman" w:hAnsi="Calibri" w:cs="Arial"/>
          <w:bCs/>
          <w:snapToGrid w:val="0"/>
          <w:szCs w:val="24"/>
          <w:lang w:val="en-GB"/>
        </w:rPr>
        <w:t xml:space="preserve">for ALK-positive NSCLC patients without restricting the line of therapy, a streamlined co-dependent submission, requesting the corresponding change to MBS item 73341 for ALK testing, will </w:t>
      </w:r>
      <w:r w:rsidR="00DC6255">
        <w:rPr>
          <w:rFonts w:ascii="Calibri" w:eastAsia="Times New Roman" w:hAnsi="Calibri" w:cs="Arial"/>
          <w:bCs/>
          <w:snapToGrid w:val="0"/>
          <w:szCs w:val="24"/>
          <w:lang w:val="en-GB"/>
        </w:rPr>
        <w:t xml:space="preserve">need to </w:t>
      </w:r>
      <w:r w:rsidRPr="001244F2">
        <w:rPr>
          <w:rFonts w:ascii="Calibri" w:eastAsia="Times New Roman" w:hAnsi="Calibri" w:cs="Arial"/>
          <w:bCs/>
          <w:snapToGrid w:val="0"/>
          <w:szCs w:val="24"/>
          <w:lang w:val="en-GB"/>
        </w:rPr>
        <w:t>be considered by the Medical Services Advisory Committee (MSAC) at its July 2017 meeting.</w:t>
      </w:r>
    </w:p>
    <w:p w:rsidR="006510B7" w:rsidRPr="004D2320" w:rsidRDefault="006510B7" w:rsidP="00E41729">
      <w:pPr>
        <w:widowControl w:val="0"/>
        <w:numPr>
          <w:ilvl w:val="1"/>
          <w:numId w:val="4"/>
        </w:numPr>
        <w:spacing w:before="0" w:after="120"/>
        <w:rPr>
          <w:rFonts w:ascii="Calibri" w:eastAsia="Times New Roman" w:hAnsi="Calibri" w:cs="Arial"/>
          <w:bCs/>
          <w:snapToGrid w:val="0"/>
          <w:szCs w:val="24"/>
          <w:lang w:val="en-GB"/>
        </w:rPr>
      </w:pPr>
      <w:r w:rsidRPr="004D2320">
        <w:rPr>
          <w:rFonts w:ascii="Calibri" w:eastAsia="Times New Roman" w:hAnsi="Calibri" w:cs="Arial"/>
          <w:bCs/>
          <w:snapToGrid w:val="0"/>
          <w:szCs w:val="24"/>
          <w:lang w:val="en-GB"/>
        </w:rPr>
        <w:t>The PBAC advised that the Early Supply Rule should not apply</w:t>
      </w:r>
      <w:r w:rsidR="00BA079E">
        <w:rPr>
          <w:rFonts w:ascii="Calibri" w:eastAsia="Times New Roman" w:hAnsi="Calibri" w:cs="Arial"/>
          <w:bCs/>
          <w:snapToGrid w:val="0"/>
          <w:szCs w:val="24"/>
          <w:lang w:val="en-GB"/>
        </w:rPr>
        <w:t xml:space="preserve"> to </w:t>
      </w:r>
      <w:proofErr w:type="spellStart"/>
      <w:r w:rsidR="00BA079E">
        <w:rPr>
          <w:rFonts w:ascii="Calibri" w:eastAsia="Times New Roman" w:hAnsi="Calibri" w:cs="Arial"/>
          <w:bCs/>
          <w:snapToGrid w:val="0"/>
          <w:szCs w:val="24"/>
          <w:lang w:val="en-GB"/>
        </w:rPr>
        <w:t>alectinib</w:t>
      </w:r>
      <w:proofErr w:type="spellEnd"/>
      <w:r w:rsidR="00DC6255">
        <w:rPr>
          <w:rFonts w:ascii="Calibri" w:eastAsia="Times New Roman" w:hAnsi="Calibri" w:cs="Arial"/>
          <w:bCs/>
          <w:snapToGrid w:val="0"/>
          <w:szCs w:val="24"/>
          <w:lang w:val="en-GB"/>
        </w:rPr>
        <w:t>.</w:t>
      </w:r>
    </w:p>
    <w:p w:rsidR="00FC5507" w:rsidRDefault="00FC5507" w:rsidP="00E41729">
      <w:pPr>
        <w:widowControl w:val="0"/>
        <w:numPr>
          <w:ilvl w:val="1"/>
          <w:numId w:val="4"/>
        </w:numPr>
        <w:spacing w:before="0" w:after="120"/>
        <w:rPr>
          <w:rFonts w:ascii="Calibri" w:eastAsia="Times New Roman" w:hAnsi="Calibri" w:cs="Arial"/>
          <w:bCs/>
          <w:snapToGrid w:val="0"/>
          <w:szCs w:val="24"/>
          <w:lang w:val="en-GB"/>
        </w:rPr>
      </w:pPr>
      <w:r w:rsidRPr="004D2320">
        <w:rPr>
          <w:rFonts w:ascii="Calibri" w:eastAsia="Times New Roman" w:hAnsi="Calibri" w:cs="Arial"/>
          <w:bCs/>
          <w:snapToGrid w:val="0"/>
          <w:szCs w:val="24"/>
          <w:lang w:val="en-GB"/>
        </w:rPr>
        <w:t xml:space="preserve">The PBAC advised that </w:t>
      </w:r>
      <w:proofErr w:type="spellStart"/>
      <w:r w:rsidRPr="004D2320">
        <w:rPr>
          <w:rFonts w:ascii="Calibri" w:eastAsia="Times New Roman" w:hAnsi="Calibri" w:cs="Arial"/>
          <w:bCs/>
          <w:snapToGrid w:val="0"/>
          <w:szCs w:val="24"/>
          <w:lang w:val="en-GB"/>
        </w:rPr>
        <w:t>alectinib</w:t>
      </w:r>
      <w:proofErr w:type="spellEnd"/>
      <w:r w:rsidRPr="004D2320">
        <w:rPr>
          <w:rFonts w:ascii="Calibri" w:eastAsia="Times New Roman" w:hAnsi="Calibri" w:cs="Arial"/>
          <w:bCs/>
          <w:snapToGrid w:val="0"/>
          <w:szCs w:val="24"/>
          <w:lang w:val="en-GB"/>
        </w:rPr>
        <w:t xml:space="preserve"> was not suitable for pres</w:t>
      </w:r>
      <w:r w:rsidR="00DC6255">
        <w:rPr>
          <w:rFonts w:ascii="Calibri" w:eastAsia="Times New Roman" w:hAnsi="Calibri" w:cs="Arial"/>
          <w:bCs/>
          <w:snapToGrid w:val="0"/>
          <w:szCs w:val="24"/>
          <w:lang w:val="en-GB"/>
        </w:rPr>
        <w:t>cribing by nurse practitioners.</w:t>
      </w:r>
    </w:p>
    <w:p w:rsidR="002715AC" w:rsidRPr="002715AC" w:rsidRDefault="002715AC" w:rsidP="002715AC">
      <w:pPr>
        <w:pStyle w:val="ListParagraph"/>
        <w:numPr>
          <w:ilvl w:val="1"/>
          <w:numId w:val="4"/>
        </w:numPr>
        <w:rPr>
          <w:rFonts w:ascii="Calibri" w:eastAsia="Times New Roman" w:hAnsi="Calibri" w:cs="Arial"/>
          <w:bCs/>
          <w:snapToGrid w:val="0"/>
          <w:szCs w:val="24"/>
          <w:lang w:val="en-GB"/>
        </w:rPr>
      </w:pPr>
      <w:r w:rsidRPr="002715AC">
        <w:rPr>
          <w:rFonts w:ascii="Calibri" w:eastAsia="Times New Roman" w:hAnsi="Calibri" w:cs="Arial"/>
          <w:bCs/>
          <w:snapToGrid w:val="0"/>
          <w:szCs w:val="24"/>
          <w:lang w:val="en-GB"/>
        </w:rPr>
        <w:t>The PBAC advised that</w:t>
      </w:r>
      <w:r w:rsidR="00DC6255">
        <w:rPr>
          <w:rFonts w:ascii="Calibri" w:eastAsia="Times New Roman" w:hAnsi="Calibri" w:cs="Arial"/>
          <w:bCs/>
          <w:snapToGrid w:val="0"/>
          <w:szCs w:val="24"/>
          <w:lang w:val="en-GB"/>
        </w:rPr>
        <w:t>,</w:t>
      </w:r>
      <w:r w:rsidRPr="002715AC">
        <w:rPr>
          <w:rFonts w:ascii="Calibri" w:eastAsia="Times New Roman" w:hAnsi="Calibri" w:cs="Arial"/>
          <w:bCs/>
          <w:snapToGrid w:val="0"/>
          <w:szCs w:val="24"/>
          <w:lang w:val="en-GB"/>
        </w:rPr>
        <w:t xml:space="preserve"> under subsection 101(3BA) of the National Health Act, 1953 </w:t>
      </w:r>
      <w:proofErr w:type="spellStart"/>
      <w:r>
        <w:rPr>
          <w:rFonts w:ascii="Calibri" w:eastAsia="Times New Roman" w:hAnsi="Calibri" w:cs="Arial"/>
          <w:bCs/>
          <w:snapToGrid w:val="0"/>
          <w:szCs w:val="24"/>
          <w:lang w:val="en-GB"/>
        </w:rPr>
        <w:t>alectinib</w:t>
      </w:r>
      <w:proofErr w:type="spellEnd"/>
      <w:r w:rsidRPr="002715AC">
        <w:rPr>
          <w:rFonts w:ascii="Calibri" w:eastAsia="Times New Roman" w:hAnsi="Calibri" w:cs="Arial"/>
          <w:bCs/>
          <w:snapToGrid w:val="0"/>
          <w:szCs w:val="24"/>
          <w:lang w:val="en-GB"/>
        </w:rPr>
        <w:t xml:space="preserve"> should not be treated as interchangeable on an individual patient basis with any other drugs.</w:t>
      </w:r>
    </w:p>
    <w:p w:rsidR="005A2400" w:rsidRPr="004D2320" w:rsidRDefault="002868B1" w:rsidP="00E41729">
      <w:pPr>
        <w:widowControl w:val="0"/>
        <w:numPr>
          <w:ilvl w:val="1"/>
          <w:numId w:val="4"/>
        </w:numPr>
        <w:spacing w:before="0" w:after="120"/>
        <w:rPr>
          <w:rFonts w:ascii="Calibri" w:eastAsia="Times New Roman" w:hAnsi="Calibri" w:cs="Arial"/>
          <w:bCs/>
          <w:snapToGrid w:val="0"/>
          <w:szCs w:val="24"/>
          <w:lang w:val="en-GB"/>
        </w:rPr>
      </w:pPr>
      <w:r w:rsidRPr="004D2320">
        <w:rPr>
          <w:rFonts w:ascii="Calibri" w:eastAsia="Times New Roman" w:hAnsi="Calibri" w:cs="Arial"/>
          <w:bCs/>
          <w:snapToGrid w:val="0"/>
          <w:szCs w:val="24"/>
          <w:lang w:val="en-GB"/>
        </w:rPr>
        <w:t xml:space="preserve">The PBAC </w:t>
      </w:r>
      <w:r w:rsidR="00FC5507" w:rsidRPr="004D2320">
        <w:rPr>
          <w:rFonts w:ascii="Calibri" w:eastAsia="Times New Roman" w:hAnsi="Calibri" w:cs="Arial"/>
          <w:bCs/>
          <w:snapToGrid w:val="0"/>
          <w:szCs w:val="24"/>
          <w:lang w:val="en-GB"/>
        </w:rPr>
        <w:t>noted that this submission is not eligible for an Independent Review because the PBAC has made a positive</w:t>
      </w:r>
      <w:r w:rsidR="00DC6255">
        <w:rPr>
          <w:rFonts w:ascii="Calibri" w:eastAsia="Times New Roman" w:hAnsi="Calibri" w:cs="Arial"/>
          <w:bCs/>
          <w:snapToGrid w:val="0"/>
          <w:szCs w:val="24"/>
          <w:lang w:val="en-GB"/>
        </w:rPr>
        <w:t xml:space="preserve"> recommendation.</w:t>
      </w:r>
    </w:p>
    <w:p w:rsidR="00066EA1" w:rsidRPr="001842E9" w:rsidRDefault="00066EA1" w:rsidP="00066EA1">
      <w:pPr>
        <w:spacing w:before="240" w:after="120"/>
        <w:rPr>
          <w:rFonts w:ascii="Calibri" w:eastAsia="Times New Roman" w:hAnsi="Calibri" w:cs="Arial"/>
          <w:b/>
          <w:bCs/>
          <w:snapToGrid w:val="0"/>
          <w:szCs w:val="24"/>
          <w:lang w:val="en-GB"/>
        </w:rPr>
      </w:pPr>
      <w:r w:rsidRPr="001842E9">
        <w:rPr>
          <w:rFonts w:ascii="Calibri" w:eastAsia="Times New Roman" w:hAnsi="Calibri" w:cs="Arial"/>
          <w:b/>
          <w:bCs/>
          <w:snapToGrid w:val="0"/>
          <w:szCs w:val="24"/>
          <w:lang w:val="en-GB"/>
        </w:rPr>
        <w:t>Outcome:</w:t>
      </w:r>
    </w:p>
    <w:p w:rsidR="00066EA1" w:rsidRPr="001842E9" w:rsidRDefault="00DC6255" w:rsidP="00066EA1">
      <w:pPr>
        <w:spacing w:before="0" w:after="120"/>
        <w:rPr>
          <w:rFonts w:ascii="Calibri" w:eastAsia="Times New Roman" w:hAnsi="Calibri" w:cs="Arial"/>
          <w:bCs/>
          <w:snapToGrid w:val="0"/>
          <w:szCs w:val="24"/>
          <w:lang w:val="en-GB"/>
        </w:rPr>
      </w:pPr>
      <w:r>
        <w:rPr>
          <w:rFonts w:ascii="Calibri" w:eastAsia="Times New Roman" w:hAnsi="Calibri" w:cs="Arial"/>
          <w:bCs/>
          <w:snapToGrid w:val="0"/>
          <w:szCs w:val="24"/>
          <w:lang w:val="en-GB"/>
        </w:rPr>
        <w:t>Recommended</w:t>
      </w:r>
    </w:p>
    <w:p w:rsidR="00066EA1" w:rsidRPr="001842E9" w:rsidRDefault="00066EA1" w:rsidP="00066EA1">
      <w:pPr>
        <w:widowControl w:val="0"/>
        <w:spacing w:before="0" w:after="120"/>
        <w:rPr>
          <w:rFonts w:ascii="Calibri" w:eastAsia="Times New Roman" w:hAnsi="Calibri" w:cs="Arial"/>
          <w:bCs/>
          <w:snapToGrid w:val="0"/>
          <w:szCs w:val="24"/>
        </w:rPr>
      </w:pPr>
      <w:bookmarkStart w:id="27" w:name="_GoBack"/>
      <w:bookmarkEnd w:id="27"/>
    </w:p>
    <w:p w:rsidR="009F63E7" w:rsidRPr="00B1387B" w:rsidRDefault="009F63E7" w:rsidP="009F63E7">
      <w:pPr>
        <w:pStyle w:val="Heading1"/>
        <w:rPr>
          <w:rFonts w:eastAsia="Times New Roman"/>
          <w:snapToGrid w:val="0"/>
        </w:rPr>
      </w:pPr>
      <w:r w:rsidRPr="00B1387B">
        <w:rPr>
          <w:rFonts w:eastAsia="Times New Roman"/>
          <w:snapToGrid w:val="0"/>
        </w:rPr>
        <w:t xml:space="preserve">Recommended listing </w:t>
      </w:r>
    </w:p>
    <w:p w:rsidR="009F63E7" w:rsidRPr="009F63E7" w:rsidRDefault="009F63E7" w:rsidP="009F63E7">
      <w:pPr>
        <w:widowControl w:val="0"/>
        <w:spacing w:before="0" w:after="0"/>
        <w:rPr>
          <w:rFonts w:ascii="Arial" w:eastAsia="Times New Roman" w:hAnsi="Arial" w:cs="Arial"/>
          <w:bCs/>
          <w:snapToGrid w:val="0"/>
          <w:sz w:val="22"/>
        </w:rPr>
      </w:pPr>
    </w:p>
    <w:p w:rsidR="00B1387B" w:rsidRPr="00B1387B" w:rsidRDefault="00B1387B" w:rsidP="00B1387B">
      <w:pPr>
        <w:pStyle w:val="ListParagraph"/>
        <w:numPr>
          <w:ilvl w:val="0"/>
          <w:numId w:val="4"/>
        </w:numPr>
        <w:spacing w:before="200" w:after="120"/>
        <w:jc w:val="left"/>
        <w:rPr>
          <w:rFonts w:ascii="Arial" w:eastAsia="Times New Roman" w:hAnsi="Arial" w:cs="Arial"/>
          <w:b/>
          <w:snapToGrid w:val="0"/>
          <w:vanish/>
          <w:sz w:val="22"/>
          <w:lang w:val="en-GB"/>
        </w:rPr>
      </w:pPr>
    </w:p>
    <w:p w:rsidR="009F63E7" w:rsidRPr="00B1387B" w:rsidRDefault="009F63E7" w:rsidP="00B1387B">
      <w:pPr>
        <w:pStyle w:val="ListParagraph"/>
        <w:numPr>
          <w:ilvl w:val="1"/>
          <w:numId w:val="4"/>
        </w:numPr>
        <w:rPr>
          <w:snapToGrid w:val="0"/>
          <w:lang w:val="en-GB"/>
        </w:rPr>
      </w:pPr>
      <w:r w:rsidRPr="00B1387B">
        <w:rPr>
          <w:snapToGrid w:val="0"/>
          <w:lang w:val="en-GB"/>
        </w:rPr>
        <w:t>Add new item:</w:t>
      </w:r>
    </w:p>
    <w:p w:rsidR="009F63E7" w:rsidRPr="009F63E7" w:rsidRDefault="009F63E7" w:rsidP="009F63E7">
      <w:pPr>
        <w:widowControl w:val="0"/>
        <w:spacing w:before="0" w:after="0"/>
        <w:ind w:left="720"/>
        <w:contextualSpacing/>
        <w:rPr>
          <w:rFonts w:eastAsia="Times New Roman" w:cs="Arial"/>
          <w:bCs/>
          <w:snapToGrid w:val="0"/>
        </w:rPr>
      </w:pPr>
    </w:p>
    <w:tbl>
      <w:tblPr>
        <w:tblW w:w="8080" w:type="dxa"/>
        <w:tblInd w:w="817" w:type="dxa"/>
        <w:tblLayout w:type="fixed"/>
        <w:tblLook w:val="0000" w:firstRow="0" w:lastRow="0" w:firstColumn="0" w:lastColumn="0" w:noHBand="0" w:noVBand="0"/>
      </w:tblPr>
      <w:tblGrid>
        <w:gridCol w:w="2835"/>
        <w:gridCol w:w="1276"/>
        <w:gridCol w:w="850"/>
        <w:gridCol w:w="993"/>
        <w:gridCol w:w="2126"/>
      </w:tblGrid>
      <w:tr w:rsidR="009F63E7" w:rsidRPr="009F63E7" w:rsidTr="00E41729">
        <w:trPr>
          <w:cantSplit/>
          <w:trHeight w:val="471"/>
        </w:trPr>
        <w:tc>
          <w:tcPr>
            <w:tcW w:w="2835" w:type="dxa"/>
            <w:tcBorders>
              <w:bottom w:val="single" w:sz="4" w:space="0" w:color="auto"/>
            </w:tcBorders>
          </w:tcPr>
          <w:p w:rsidR="009F63E7" w:rsidRPr="009F63E7" w:rsidRDefault="009F63E7" w:rsidP="009F63E7">
            <w:pPr>
              <w:keepNext/>
              <w:widowControl w:val="0"/>
              <w:spacing w:before="0" w:after="0"/>
              <w:ind w:left="-108"/>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Name, Restriction,</w:t>
            </w:r>
          </w:p>
          <w:p w:rsidR="009F63E7" w:rsidRPr="009F63E7" w:rsidRDefault="009F63E7" w:rsidP="009F63E7">
            <w:pPr>
              <w:keepNext/>
              <w:widowControl w:val="0"/>
              <w:spacing w:before="0" w:after="0"/>
              <w:ind w:left="-108"/>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Manner of administration and form</w:t>
            </w:r>
          </w:p>
        </w:tc>
        <w:tc>
          <w:tcPr>
            <w:tcW w:w="1276" w:type="dxa"/>
            <w:tcBorders>
              <w:bottom w:val="single" w:sz="4" w:space="0" w:color="auto"/>
            </w:tcBorders>
          </w:tcPr>
          <w:p w:rsidR="009F63E7" w:rsidRPr="009F63E7" w:rsidRDefault="009F63E7" w:rsidP="009F63E7">
            <w:pPr>
              <w:keepNext/>
              <w:widowControl w:val="0"/>
              <w:spacing w:before="0" w:after="0"/>
              <w:ind w:left="-108"/>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Max.</w:t>
            </w:r>
          </w:p>
          <w:p w:rsidR="009F63E7" w:rsidRPr="009F63E7" w:rsidRDefault="009F63E7" w:rsidP="002E111F">
            <w:pPr>
              <w:keepNext/>
              <w:widowControl w:val="0"/>
              <w:spacing w:before="0" w:after="0"/>
              <w:ind w:left="-108"/>
              <w:rPr>
                <w:rFonts w:ascii="Arial Narrow" w:eastAsia="Times New Roman" w:hAnsi="Arial Narrow" w:cs="Arial"/>
                <w:snapToGrid w:val="0"/>
                <w:sz w:val="20"/>
                <w:szCs w:val="20"/>
              </w:rPr>
            </w:pPr>
            <w:proofErr w:type="spellStart"/>
            <w:r w:rsidRPr="009F63E7">
              <w:rPr>
                <w:rFonts w:ascii="Arial Narrow" w:eastAsia="Times New Roman" w:hAnsi="Arial Narrow" w:cs="Arial"/>
                <w:snapToGrid w:val="0"/>
                <w:sz w:val="20"/>
                <w:szCs w:val="20"/>
              </w:rPr>
              <w:t>Qty</w:t>
            </w:r>
            <w:proofErr w:type="spellEnd"/>
            <w:r w:rsidRPr="009F63E7">
              <w:rPr>
                <w:rFonts w:ascii="Arial Narrow" w:eastAsia="Times New Roman" w:hAnsi="Arial Narrow" w:cs="Arial"/>
                <w:snapToGrid w:val="0"/>
                <w:sz w:val="20"/>
                <w:szCs w:val="20"/>
              </w:rPr>
              <w:t xml:space="preserve"> </w:t>
            </w:r>
          </w:p>
        </w:tc>
        <w:tc>
          <w:tcPr>
            <w:tcW w:w="850" w:type="dxa"/>
            <w:tcBorders>
              <w:bottom w:val="single" w:sz="4" w:space="0" w:color="auto"/>
            </w:tcBorders>
          </w:tcPr>
          <w:p w:rsidR="009F63E7" w:rsidRPr="009F63E7" w:rsidRDefault="009F63E7" w:rsidP="009F63E7">
            <w:pPr>
              <w:keepNext/>
              <w:widowControl w:val="0"/>
              <w:spacing w:before="0" w:after="0"/>
              <w:ind w:left="-108"/>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№.of</w:t>
            </w:r>
          </w:p>
          <w:p w:rsidR="009F63E7" w:rsidRPr="009F63E7" w:rsidRDefault="009F63E7" w:rsidP="009F63E7">
            <w:pPr>
              <w:keepNext/>
              <w:widowControl w:val="0"/>
              <w:spacing w:before="0" w:after="0"/>
              <w:ind w:left="-108"/>
              <w:rPr>
                <w:rFonts w:ascii="Arial Narrow" w:eastAsia="Times New Roman" w:hAnsi="Arial Narrow" w:cs="Arial"/>
                <w:snapToGrid w:val="0"/>
                <w:sz w:val="20"/>
                <w:szCs w:val="20"/>
              </w:rPr>
            </w:pPr>
            <w:proofErr w:type="spellStart"/>
            <w:r w:rsidRPr="009F63E7">
              <w:rPr>
                <w:rFonts w:ascii="Arial Narrow" w:eastAsia="Times New Roman" w:hAnsi="Arial Narrow" w:cs="Arial"/>
                <w:snapToGrid w:val="0"/>
                <w:sz w:val="20"/>
                <w:szCs w:val="20"/>
              </w:rPr>
              <w:t>Rpts</w:t>
            </w:r>
            <w:proofErr w:type="spellEnd"/>
          </w:p>
        </w:tc>
        <w:tc>
          <w:tcPr>
            <w:tcW w:w="3119" w:type="dxa"/>
            <w:gridSpan w:val="2"/>
            <w:tcBorders>
              <w:bottom w:val="single" w:sz="4" w:space="0" w:color="auto"/>
            </w:tcBorders>
          </w:tcPr>
          <w:p w:rsidR="009F63E7" w:rsidRPr="009F63E7" w:rsidRDefault="009F63E7" w:rsidP="009F63E7">
            <w:pPr>
              <w:keepNext/>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Proprietary Name and Manufacturer</w:t>
            </w:r>
          </w:p>
        </w:tc>
      </w:tr>
      <w:tr w:rsidR="009F63E7" w:rsidRPr="009F63E7" w:rsidTr="00E41729">
        <w:trPr>
          <w:cantSplit/>
          <w:trHeight w:val="577"/>
        </w:trPr>
        <w:tc>
          <w:tcPr>
            <w:tcW w:w="2835" w:type="dxa"/>
          </w:tcPr>
          <w:p w:rsidR="009F63E7" w:rsidRPr="009F63E7" w:rsidRDefault="002E111F" w:rsidP="009F63E7">
            <w:pPr>
              <w:keepNext/>
              <w:widowControl w:val="0"/>
              <w:spacing w:before="0" w:after="0"/>
              <w:ind w:left="-108"/>
              <w:rPr>
                <w:rFonts w:ascii="Arial Narrow" w:eastAsia="Times New Roman" w:hAnsi="Arial Narrow" w:cs="Arial"/>
                <w:snapToGrid w:val="0"/>
                <w:sz w:val="20"/>
                <w:szCs w:val="20"/>
              </w:rPr>
            </w:pPr>
            <w:proofErr w:type="spellStart"/>
            <w:r>
              <w:rPr>
                <w:rFonts w:ascii="Arial Narrow" w:eastAsia="Times New Roman" w:hAnsi="Arial Narrow" w:cs="Arial"/>
                <w:smallCaps/>
                <w:snapToGrid w:val="0"/>
                <w:sz w:val="20"/>
                <w:szCs w:val="20"/>
              </w:rPr>
              <w:t>Alectinib</w:t>
            </w:r>
            <w:proofErr w:type="spellEnd"/>
          </w:p>
          <w:p w:rsidR="009F63E7" w:rsidRPr="009F63E7" w:rsidRDefault="002E111F" w:rsidP="009F63E7">
            <w:pPr>
              <w:keepNext/>
              <w:widowControl w:val="0"/>
              <w:spacing w:before="0" w:after="0"/>
              <w:ind w:left="-108"/>
              <w:rPr>
                <w:rFonts w:ascii="Arial Narrow" w:eastAsia="Times New Roman" w:hAnsi="Arial Narrow" w:cs="Arial"/>
                <w:snapToGrid w:val="0"/>
                <w:sz w:val="20"/>
                <w:szCs w:val="20"/>
              </w:rPr>
            </w:pPr>
            <w:proofErr w:type="spellStart"/>
            <w:r>
              <w:rPr>
                <w:rFonts w:ascii="Arial Narrow" w:eastAsia="Times New Roman" w:hAnsi="Arial Narrow" w:cs="Arial"/>
                <w:snapToGrid w:val="0"/>
                <w:sz w:val="20"/>
                <w:szCs w:val="20"/>
              </w:rPr>
              <w:t>Alectinib</w:t>
            </w:r>
            <w:proofErr w:type="spellEnd"/>
            <w:r w:rsidR="009F63E7" w:rsidRPr="009F63E7">
              <w:rPr>
                <w:rFonts w:ascii="Arial Narrow" w:eastAsia="Times New Roman" w:hAnsi="Arial Narrow" w:cs="Arial"/>
                <w:snapToGrid w:val="0"/>
                <w:sz w:val="20"/>
                <w:szCs w:val="20"/>
              </w:rPr>
              <w:t xml:space="preserve"> 150 mg capsule, </w:t>
            </w:r>
            <w:r>
              <w:rPr>
                <w:rFonts w:ascii="Arial Narrow" w:eastAsia="Times New Roman" w:hAnsi="Arial Narrow" w:cs="Arial"/>
                <w:i/>
                <w:snapToGrid w:val="0"/>
                <w:sz w:val="20"/>
                <w:szCs w:val="20"/>
              </w:rPr>
              <w:t xml:space="preserve"> </w:t>
            </w:r>
            <w:r w:rsidRPr="002E111F">
              <w:rPr>
                <w:rFonts w:ascii="Arial Narrow" w:eastAsia="Times New Roman" w:hAnsi="Arial Narrow" w:cs="Arial"/>
                <w:snapToGrid w:val="0"/>
                <w:sz w:val="20"/>
                <w:szCs w:val="20"/>
              </w:rPr>
              <w:t>2</w:t>
            </w:r>
            <w:r w:rsidR="004A3E91">
              <w:rPr>
                <w:rFonts w:ascii="Arial Narrow" w:eastAsia="Times New Roman" w:hAnsi="Arial Narrow" w:cs="Arial"/>
                <w:snapToGrid w:val="0"/>
                <w:sz w:val="20"/>
                <w:szCs w:val="20"/>
              </w:rPr>
              <w:t>2</w:t>
            </w:r>
            <w:r w:rsidRPr="002E111F">
              <w:rPr>
                <w:rFonts w:ascii="Arial Narrow" w:eastAsia="Times New Roman" w:hAnsi="Arial Narrow" w:cs="Arial"/>
                <w:snapToGrid w:val="0"/>
                <w:sz w:val="20"/>
                <w:szCs w:val="20"/>
              </w:rPr>
              <w:t>4</w:t>
            </w:r>
          </w:p>
          <w:p w:rsidR="009F63E7" w:rsidRPr="009F63E7" w:rsidRDefault="009F63E7" w:rsidP="009F63E7">
            <w:pPr>
              <w:keepNext/>
              <w:widowControl w:val="0"/>
              <w:spacing w:before="0" w:after="0"/>
              <w:rPr>
                <w:rFonts w:ascii="Arial Narrow" w:eastAsia="Times New Roman" w:hAnsi="Arial Narrow" w:cs="Arial"/>
                <w:snapToGrid w:val="0"/>
                <w:sz w:val="20"/>
                <w:szCs w:val="20"/>
              </w:rPr>
            </w:pPr>
          </w:p>
        </w:tc>
        <w:tc>
          <w:tcPr>
            <w:tcW w:w="1276" w:type="dxa"/>
          </w:tcPr>
          <w:p w:rsidR="009F63E7" w:rsidRPr="009F63E7" w:rsidRDefault="009F63E7" w:rsidP="009F63E7">
            <w:pPr>
              <w:keepNext/>
              <w:widowControl w:val="0"/>
              <w:spacing w:before="0" w:after="0"/>
              <w:ind w:left="-108"/>
              <w:rPr>
                <w:rFonts w:ascii="Arial Narrow" w:eastAsia="Times New Roman" w:hAnsi="Arial Narrow" w:cs="Arial"/>
                <w:snapToGrid w:val="0"/>
                <w:sz w:val="20"/>
                <w:szCs w:val="20"/>
              </w:rPr>
            </w:pPr>
          </w:p>
          <w:p w:rsidR="009F63E7" w:rsidRPr="009F63E7" w:rsidRDefault="002E111F" w:rsidP="009F63E7">
            <w:pPr>
              <w:keepNext/>
              <w:widowControl w:val="0"/>
              <w:spacing w:before="0" w:after="0"/>
              <w:ind w:left="-108"/>
              <w:rPr>
                <w:rFonts w:ascii="Arial Narrow" w:eastAsia="Times New Roman" w:hAnsi="Arial Narrow" w:cs="Arial"/>
                <w:snapToGrid w:val="0"/>
                <w:sz w:val="20"/>
                <w:szCs w:val="20"/>
              </w:rPr>
            </w:pPr>
            <w:r>
              <w:rPr>
                <w:rFonts w:ascii="Arial Narrow" w:eastAsia="Times New Roman" w:hAnsi="Arial Narrow" w:cs="Arial"/>
                <w:snapToGrid w:val="0"/>
                <w:sz w:val="20"/>
                <w:szCs w:val="20"/>
              </w:rPr>
              <w:t>1</w:t>
            </w:r>
          </w:p>
        </w:tc>
        <w:tc>
          <w:tcPr>
            <w:tcW w:w="850" w:type="dxa"/>
          </w:tcPr>
          <w:p w:rsidR="009F63E7" w:rsidRPr="009F63E7" w:rsidRDefault="009F63E7" w:rsidP="009F63E7">
            <w:pPr>
              <w:keepNext/>
              <w:widowControl w:val="0"/>
              <w:spacing w:before="0" w:after="0"/>
              <w:ind w:left="-108"/>
              <w:rPr>
                <w:rFonts w:ascii="Arial Narrow" w:eastAsia="Times New Roman" w:hAnsi="Arial Narrow" w:cs="Arial"/>
                <w:snapToGrid w:val="0"/>
                <w:sz w:val="20"/>
                <w:szCs w:val="20"/>
              </w:rPr>
            </w:pPr>
          </w:p>
          <w:p w:rsidR="009F63E7" w:rsidRPr="009F63E7" w:rsidRDefault="009F63E7" w:rsidP="009F63E7">
            <w:pPr>
              <w:keepNext/>
              <w:widowControl w:val="0"/>
              <w:spacing w:before="0" w:after="0"/>
              <w:ind w:left="-108"/>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1</w:t>
            </w:r>
          </w:p>
        </w:tc>
        <w:tc>
          <w:tcPr>
            <w:tcW w:w="993" w:type="dxa"/>
            <w:vAlign w:val="center"/>
          </w:tcPr>
          <w:p w:rsidR="009F63E7" w:rsidRPr="00EC26B8" w:rsidRDefault="002E111F" w:rsidP="009F63E7">
            <w:pPr>
              <w:keepNext/>
              <w:widowControl w:val="0"/>
              <w:spacing w:before="0" w:after="0"/>
              <w:jc w:val="center"/>
              <w:rPr>
                <w:rFonts w:ascii="Arial Narrow" w:eastAsia="Times New Roman" w:hAnsi="Arial Narrow" w:cs="Arial"/>
                <w:snapToGrid w:val="0"/>
                <w:sz w:val="20"/>
                <w:szCs w:val="20"/>
                <w:vertAlign w:val="superscript"/>
              </w:rPr>
            </w:pPr>
            <w:proofErr w:type="spellStart"/>
            <w:r>
              <w:rPr>
                <w:rFonts w:ascii="Arial Narrow" w:eastAsia="Times New Roman" w:hAnsi="Arial Narrow" w:cs="Arial"/>
                <w:snapToGrid w:val="0"/>
                <w:sz w:val="20"/>
                <w:szCs w:val="20"/>
              </w:rPr>
              <w:t>Alecensa</w:t>
            </w:r>
            <w:proofErr w:type="spellEnd"/>
            <w:r w:rsidR="00EC26B8">
              <w:rPr>
                <w:rFonts w:ascii="Arial Narrow" w:eastAsia="Times New Roman" w:hAnsi="Arial Narrow" w:cs="Arial"/>
                <w:snapToGrid w:val="0"/>
                <w:sz w:val="20"/>
                <w:szCs w:val="20"/>
                <w:vertAlign w:val="superscript"/>
              </w:rPr>
              <w:t>®</w:t>
            </w:r>
          </w:p>
        </w:tc>
        <w:tc>
          <w:tcPr>
            <w:tcW w:w="2126" w:type="dxa"/>
          </w:tcPr>
          <w:p w:rsidR="00EC26B8" w:rsidRDefault="00EC26B8" w:rsidP="002E111F">
            <w:pPr>
              <w:keepNext/>
              <w:widowControl w:val="0"/>
              <w:spacing w:before="0" w:after="0"/>
              <w:rPr>
                <w:rFonts w:ascii="Arial Narrow" w:eastAsia="Times New Roman" w:hAnsi="Arial Narrow" w:cs="Arial"/>
                <w:snapToGrid w:val="0"/>
                <w:sz w:val="20"/>
                <w:szCs w:val="20"/>
              </w:rPr>
            </w:pPr>
          </w:p>
          <w:p w:rsidR="009F63E7" w:rsidRPr="009F63E7" w:rsidRDefault="002E111F" w:rsidP="002E111F">
            <w:pPr>
              <w:keepNext/>
              <w:widowControl w:val="0"/>
              <w:spacing w:before="0" w:after="0"/>
              <w:rPr>
                <w:rFonts w:ascii="Arial Narrow" w:eastAsia="Times New Roman" w:hAnsi="Arial Narrow" w:cs="Arial"/>
                <w:snapToGrid w:val="0"/>
                <w:sz w:val="20"/>
                <w:szCs w:val="20"/>
              </w:rPr>
            </w:pPr>
            <w:r>
              <w:rPr>
                <w:rFonts w:ascii="Arial Narrow" w:eastAsia="Times New Roman" w:hAnsi="Arial Narrow" w:cs="Arial"/>
                <w:snapToGrid w:val="0"/>
                <w:sz w:val="20"/>
                <w:szCs w:val="20"/>
              </w:rPr>
              <w:t>Roche Products</w:t>
            </w:r>
            <w:r w:rsidR="009F63E7" w:rsidRPr="009F63E7">
              <w:rPr>
                <w:rFonts w:ascii="Arial Narrow" w:eastAsia="Times New Roman" w:hAnsi="Arial Narrow" w:cs="Arial"/>
                <w:snapToGrid w:val="0"/>
                <w:sz w:val="20"/>
                <w:szCs w:val="20"/>
              </w:rPr>
              <w:t xml:space="preserve"> Pty Ltd</w:t>
            </w:r>
          </w:p>
        </w:tc>
      </w:tr>
      <w:tr w:rsidR="009F63E7" w:rsidRPr="009F63E7" w:rsidTr="00E41729">
        <w:trPr>
          <w:cantSplit/>
          <w:trHeight w:val="360"/>
        </w:trPr>
        <w:tc>
          <w:tcPr>
            <w:tcW w:w="8080" w:type="dxa"/>
            <w:gridSpan w:val="5"/>
            <w:tcBorders>
              <w:bottom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p>
        </w:tc>
      </w:tr>
      <w:tr w:rsidR="009F63E7" w:rsidRPr="009F63E7" w:rsidTr="00E417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b/>
                <w:snapToGrid w:val="0"/>
                <w:sz w:val="20"/>
                <w:szCs w:val="20"/>
              </w:rPr>
            </w:pPr>
            <w:r w:rsidRPr="009F63E7">
              <w:rPr>
                <w:rFonts w:ascii="Arial Narrow" w:eastAsia="Times New Roman" w:hAnsi="Arial Narrow" w:cs="Arial"/>
                <w:b/>
                <w:snapToGrid w:val="0"/>
                <w:sz w:val="20"/>
                <w:szCs w:val="20"/>
              </w:rPr>
              <w:t>Category / Program</w:t>
            </w:r>
          </w:p>
        </w:tc>
        <w:tc>
          <w:tcPr>
            <w:tcW w:w="5245" w:type="dxa"/>
            <w:gridSpan w:val="4"/>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GENERAL – General Schedule (Code GE)</w:t>
            </w:r>
          </w:p>
        </w:tc>
      </w:tr>
      <w:tr w:rsidR="009F63E7" w:rsidRPr="009F63E7" w:rsidTr="00E417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b/>
                <w:snapToGrid w:val="0"/>
                <w:sz w:val="20"/>
                <w:szCs w:val="20"/>
              </w:rPr>
            </w:pPr>
            <w:r w:rsidRPr="009F63E7">
              <w:rPr>
                <w:rFonts w:ascii="Arial Narrow" w:eastAsia="Times New Roman" w:hAnsi="Arial Narrow" w:cs="Arial"/>
                <w:b/>
                <w:snapToGrid w:val="0"/>
                <w:sz w:val="20"/>
                <w:szCs w:val="20"/>
              </w:rPr>
              <w:t>Prescriber type:</w:t>
            </w:r>
          </w:p>
        </w:tc>
        <w:tc>
          <w:tcPr>
            <w:tcW w:w="5245" w:type="dxa"/>
            <w:gridSpan w:val="4"/>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fldChar w:fldCharType="begin">
                <w:ffData>
                  <w:name w:val="Check1"/>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 xml:space="preserve">Dental  </w:t>
            </w:r>
            <w:r w:rsidRPr="009F63E7">
              <w:rPr>
                <w:rFonts w:ascii="Arial Narrow" w:eastAsia="Times New Roman" w:hAnsi="Arial Narrow" w:cs="Arial"/>
                <w:snapToGrid w:val="0"/>
                <w:sz w:val="20"/>
                <w:szCs w:val="20"/>
              </w:rPr>
              <w:fldChar w:fldCharType="begin">
                <w:ffData>
                  <w:name w:val=""/>
                  <w:enabled/>
                  <w:calcOnExit w:val="0"/>
                  <w:checkBox>
                    <w:sizeAuto/>
                    <w:default w:val="1"/>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 xml:space="preserve">Medical Practitioners  </w:t>
            </w:r>
            <w:r w:rsidRPr="009F63E7">
              <w:rPr>
                <w:rFonts w:ascii="Arial Narrow" w:eastAsia="Times New Roman" w:hAnsi="Arial Narrow" w:cs="Arial"/>
                <w:snapToGrid w:val="0"/>
                <w:sz w:val="20"/>
                <w:szCs w:val="20"/>
              </w:rPr>
              <w:fldChar w:fldCharType="begin">
                <w:ffData>
                  <w:name w:val="Check3"/>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 xml:space="preserve">Nurse practitioners  </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fldChar w:fldCharType="begin">
                <w:ffData>
                  <w:name w:val=""/>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 xml:space="preserve">Optometrists </w:t>
            </w:r>
            <w:r w:rsidRPr="009F63E7">
              <w:rPr>
                <w:rFonts w:ascii="Arial Narrow" w:eastAsia="Times New Roman" w:hAnsi="Arial Narrow" w:cs="Arial"/>
                <w:snapToGrid w:val="0"/>
                <w:sz w:val="20"/>
                <w:szCs w:val="20"/>
              </w:rPr>
              <w:fldChar w:fldCharType="begin">
                <w:ffData>
                  <w:name w:val="Check5"/>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Midwives</w:t>
            </w:r>
          </w:p>
        </w:tc>
      </w:tr>
      <w:tr w:rsidR="009F63E7" w:rsidRPr="009F63E7" w:rsidTr="00E417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b/>
                <w:snapToGrid w:val="0"/>
                <w:sz w:val="20"/>
                <w:szCs w:val="20"/>
              </w:rPr>
            </w:pPr>
            <w:r w:rsidRPr="009F63E7">
              <w:rPr>
                <w:rFonts w:ascii="Arial Narrow" w:eastAsia="Times New Roman" w:hAnsi="Arial Narrow" w:cs="Arial"/>
                <w:b/>
                <w:snapToGrid w:val="0"/>
                <w:sz w:val="20"/>
                <w:szCs w:val="20"/>
              </w:rPr>
              <w:t>Severity:</w:t>
            </w:r>
          </w:p>
        </w:tc>
        <w:tc>
          <w:tcPr>
            <w:tcW w:w="5245" w:type="dxa"/>
            <w:gridSpan w:val="4"/>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stage IIIB (locally advanced) or stage IV (metastatic)</w:t>
            </w:r>
          </w:p>
        </w:tc>
      </w:tr>
      <w:tr w:rsidR="009F63E7" w:rsidRPr="009F63E7" w:rsidTr="00E417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b/>
                <w:snapToGrid w:val="0"/>
                <w:sz w:val="20"/>
                <w:szCs w:val="20"/>
              </w:rPr>
            </w:pPr>
            <w:r w:rsidRPr="009F63E7">
              <w:rPr>
                <w:rFonts w:ascii="Arial Narrow" w:eastAsia="Times New Roman" w:hAnsi="Arial Narrow" w:cs="Arial"/>
                <w:b/>
                <w:snapToGrid w:val="0"/>
                <w:sz w:val="20"/>
                <w:szCs w:val="20"/>
              </w:rPr>
              <w:t>Condition:</w:t>
            </w:r>
          </w:p>
        </w:tc>
        <w:tc>
          <w:tcPr>
            <w:tcW w:w="5245" w:type="dxa"/>
            <w:gridSpan w:val="4"/>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non-small cell lung cancer (NSCLC)</w:t>
            </w:r>
          </w:p>
        </w:tc>
      </w:tr>
      <w:tr w:rsidR="009F63E7" w:rsidRPr="009F63E7" w:rsidTr="00E417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i/>
                <w:snapToGrid w:val="0"/>
                <w:sz w:val="20"/>
                <w:szCs w:val="20"/>
              </w:rPr>
            </w:pPr>
            <w:r w:rsidRPr="009F63E7">
              <w:rPr>
                <w:rFonts w:ascii="Arial Narrow" w:eastAsia="Times New Roman" w:hAnsi="Arial Narrow" w:cs="Arial"/>
                <w:b/>
                <w:snapToGrid w:val="0"/>
                <w:sz w:val="20"/>
                <w:szCs w:val="20"/>
              </w:rPr>
              <w:t>PBS Indication:</w:t>
            </w:r>
          </w:p>
        </w:tc>
        <w:tc>
          <w:tcPr>
            <w:tcW w:w="5245" w:type="dxa"/>
            <w:gridSpan w:val="4"/>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stage IIIB (locally advanced) or stage IV (metastatic) non-small cell lung cancer (NSCLC)</w:t>
            </w:r>
          </w:p>
        </w:tc>
      </w:tr>
      <w:tr w:rsidR="009F63E7" w:rsidRPr="009F63E7" w:rsidTr="00E417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i/>
                <w:snapToGrid w:val="0"/>
                <w:sz w:val="20"/>
                <w:szCs w:val="20"/>
              </w:rPr>
            </w:pPr>
            <w:r w:rsidRPr="009F63E7">
              <w:rPr>
                <w:rFonts w:ascii="Arial Narrow" w:eastAsia="Times New Roman" w:hAnsi="Arial Narrow" w:cs="Arial"/>
                <w:b/>
                <w:snapToGrid w:val="0"/>
                <w:sz w:val="20"/>
                <w:szCs w:val="20"/>
              </w:rPr>
              <w:t>Treatment phase:</w:t>
            </w:r>
          </w:p>
        </w:tc>
        <w:tc>
          <w:tcPr>
            <w:tcW w:w="5245" w:type="dxa"/>
            <w:gridSpan w:val="4"/>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Initial treatment</w:t>
            </w:r>
          </w:p>
        </w:tc>
      </w:tr>
      <w:tr w:rsidR="009F63E7" w:rsidRPr="009F63E7" w:rsidTr="00E417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b/>
                <w:snapToGrid w:val="0"/>
                <w:sz w:val="20"/>
                <w:szCs w:val="20"/>
              </w:rPr>
            </w:pPr>
            <w:r w:rsidRPr="009F63E7">
              <w:rPr>
                <w:rFonts w:ascii="Arial Narrow" w:eastAsia="Times New Roman" w:hAnsi="Arial Narrow" w:cs="Arial"/>
                <w:b/>
                <w:snapToGrid w:val="0"/>
                <w:sz w:val="20"/>
                <w:szCs w:val="20"/>
              </w:rPr>
              <w:t>Restriction Level / Method:</w:t>
            </w:r>
          </w:p>
        </w:tc>
        <w:tc>
          <w:tcPr>
            <w:tcW w:w="5245" w:type="dxa"/>
            <w:gridSpan w:val="4"/>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fldChar w:fldCharType="begin">
                <w:ffData>
                  <w:name w:val="Check1"/>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Restricted benefit</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fldChar w:fldCharType="begin">
                <w:ffData>
                  <w:name w:val=""/>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Authority Required - In Writing</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fldChar w:fldCharType="begin">
                <w:ffData>
                  <w:name w:val="Check3"/>
                  <w:enabled/>
                  <w:calcOnExit w:val="0"/>
                  <w:checkBox>
                    <w:sizeAuto/>
                    <w:default w:val="1"/>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Authority Required - Telephone</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fldChar w:fldCharType="begin">
                <w:ffData>
                  <w:name w:val="Check1"/>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Authority Required - Emergency</w:t>
            </w:r>
          </w:p>
          <w:p w:rsidR="009F63E7" w:rsidRPr="009F63E7" w:rsidRDefault="000C0EE0" w:rsidP="009F63E7">
            <w:pPr>
              <w:widowControl w:val="0"/>
              <w:spacing w:before="0" w:after="0"/>
              <w:rPr>
                <w:rFonts w:ascii="Arial Narrow" w:eastAsia="Times New Roman" w:hAnsi="Arial Narrow" w:cs="Arial"/>
                <w:snapToGrid w:val="0"/>
                <w:sz w:val="20"/>
                <w:szCs w:val="20"/>
              </w:rPr>
            </w:pPr>
            <w:r>
              <w:rPr>
                <w:rFonts w:ascii="Arial Narrow" w:eastAsia="Times New Roman" w:hAnsi="Arial Narrow" w:cs="Arial"/>
                <w:snapToGrid w:val="0"/>
                <w:sz w:val="20"/>
                <w:szCs w:val="20"/>
              </w:rPr>
              <w:fldChar w:fldCharType="begin">
                <w:ffData>
                  <w:name w:val=""/>
                  <w:enabled/>
                  <w:calcOnExit w:val="0"/>
                  <w:checkBox>
                    <w:sizeAuto/>
                    <w:default w:val="0"/>
                  </w:checkBox>
                </w:ffData>
              </w:fldChar>
            </w:r>
            <w:r>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Pr>
                <w:rFonts w:ascii="Arial Narrow" w:eastAsia="Times New Roman" w:hAnsi="Arial Narrow" w:cs="Arial"/>
                <w:snapToGrid w:val="0"/>
                <w:sz w:val="20"/>
                <w:szCs w:val="20"/>
              </w:rPr>
              <w:fldChar w:fldCharType="end"/>
            </w:r>
            <w:r w:rsidR="009F63E7" w:rsidRPr="009F63E7">
              <w:rPr>
                <w:rFonts w:ascii="Arial Narrow" w:eastAsia="Times New Roman" w:hAnsi="Arial Narrow" w:cs="Arial"/>
                <w:snapToGrid w:val="0"/>
                <w:sz w:val="20"/>
                <w:szCs w:val="20"/>
              </w:rPr>
              <w:t>Authority Required - Electronic</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fldChar w:fldCharType="begin">
                <w:ffData>
                  <w:name w:val="Check5"/>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Streamlined</w:t>
            </w:r>
          </w:p>
        </w:tc>
      </w:tr>
      <w:tr w:rsidR="009F63E7" w:rsidRPr="009F63E7" w:rsidTr="00E417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b/>
                <w:snapToGrid w:val="0"/>
                <w:sz w:val="20"/>
                <w:szCs w:val="20"/>
              </w:rPr>
            </w:pP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b/>
                <w:snapToGrid w:val="0"/>
                <w:sz w:val="20"/>
                <w:szCs w:val="20"/>
              </w:rPr>
              <w:t>Clinical criteria:</w:t>
            </w:r>
          </w:p>
        </w:tc>
        <w:tc>
          <w:tcPr>
            <w:tcW w:w="5245" w:type="dxa"/>
            <w:gridSpan w:val="4"/>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i/>
                <w:snapToGrid w:val="0"/>
                <w:sz w:val="20"/>
                <w:szCs w:val="20"/>
              </w:rPr>
            </w:pP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The treatment must be as monotherapy</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AND</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The condition must be non-squamous type non-small cell lung cancer (NSCLC) or not otherwise specified type NSCLC</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AND</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Patient must have a WHO performance status of 2 or less.</w:t>
            </w:r>
          </w:p>
          <w:p w:rsidR="009F63E7" w:rsidRPr="009F63E7" w:rsidRDefault="009F63E7" w:rsidP="009F63E7">
            <w:pPr>
              <w:widowControl w:val="0"/>
              <w:spacing w:before="0" w:after="0"/>
              <w:rPr>
                <w:rFonts w:ascii="Arial Narrow" w:eastAsia="Times New Roman" w:hAnsi="Arial Narrow" w:cs="Arial"/>
                <w:snapToGrid w:val="0"/>
                <w:sz w:val="20"/>
                <w:szCs w:val="20"/>
              </w:rPr>
            </w:pPr>
          </w:p>
        </w:tc>
      </w:tr>
      <w:tr w:rsidR="009F63E7" w:rsidRPr="009F63E7" w:rsidTr="00E417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b/>
                <w:snapToGrid w:val="0"/>
                <w:sz w:val="20"/>
                <w:szCs w:val="20"/>
              </w:rPr>
            </w:pPr>
          </w:p>
          <w:p w:rsidR="009F63E7" w:rsidRPr="009F63E7" w:rsidRDefault="009F63E7" w:rsidP="009F63E7">
            <w:pPr>
              <w:widowControl w:val="0"/>
              <w:spacing w:before="0" w:after="0"/>
              <w:rPr>
                <w:rFonts w:ascii="Arial Narrow" w:eastAsia="Times New Roman" w:hAnsi="Arial Narrow" w:cs="Arial"/>
                <w:b/>
                <w:snapToGrid w:val="0"/>
                <w:sz w:val="20"/>
                <w:szCs w:val="20"/>
              </w:rPr>
            </w:pPr>
            <w:r w:rsidRPr="009F63E7">
              <w:rPr>
                <w:rFonts w:ascii="Arial Narrow" w:eastAsia="Times New Roman" w:hAnsi="Arial Narrow" w:cs="Arial"/>
                <w:b/>
                <w:snapToGrid w:val="0"/>
                <w:sz w:val="20"/>
                <w:szCs w:val="20"/>
              </w:rPr>
              <w:t>Population Criteria</w:t>
            </w:r>
          </w:p>
        </w:tc>
        <w:tc>
          <w:tcPr>
            <w:tcW w:w="5245" w:type="dxa"/>
            <w:gridSpan w:val="4"/>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Patient must have evidence of an anaplastic lymphoma kinase (ALK) gene rearrangement in tumour material, defined as 15% (or greater) positive cells by fluorescence in situ hybridisation (FISH) testing.</w:t>
            </w:r>
          </w:p>
          <w:p w:rsidR="009F63E7" w:rsidRPr="009F63E7" w:rsidRDefault="009F63E7" w:rsidP="009F63E7">
            <w:pPr>
              <w:widowControl w:val="0"/>
              <w:spacing w:before="0" w:after="0"/>
              <w:rPr>
                <w:rFonts w:ascii="Arial Narrow" w:eastAsia="Times New Roman" w:hAnsi="Arial Narrow" w:cs="Arial"/>
                <w:snapToGrid w:val="0"/>
                <w:sz w:val="20"/>
                <w:szCs w:val="20"/>
              </w:rPr>
            </w:pPr>
          </w:p>
        </w:tc>
      </w:tr>
      <w:tr w:rsidR="009F63E7" w:rsidRPr="009F63E7" w:rsidTr="00E417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b/>
                <w:snapToGrid w:val="0"/>
                <w:sz w:val="20"/>
                <w:szCs w:val="20"/>
              </w:rPr>
            </w:pP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b/>
                <w:snapToGrid w:val="0"/>
                <w:sz w:val="20"/>
                <w:szCs w:val="20"/>
              </w:rPr>
              <w:t>Administrative Advice</w:t>
            </w:r>
          </w:p>
        </w:tc>
        <w:tc>
          <w:tcPr>
            <w:tcW w:w="5245" w:type="dxa"/>
            <w:gridSpan w:val="4"/>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 xml:space="preserve">No increase in the maximum quantity or number of units may be authorised. </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No increase in the maximum number of repeats may be authorised. Special Pricing Arrangements apply.</w:t>
            </w:r>
          </w:p>
          <w:p w:rsidR="009F63E7" w:rsidRPr="009F63E7" w:rsidRDefault="009F63E7" w:rsidP="009F63E7">
            <w:pPr>
              <w:widowControl w:val="0"/>
              <w:spacing w:before="0" w:after="0"/>
              <w:rPr>
                <w:rFonts w:ascii="Arial Narrow" w:eastAsia="Times New Roman" w:hAnsi="Arial Narrow" w:cs="Arial"/>
                <w:snapToGrid w:val="0"/>
                <w:sz w:val="20"/>
                <w:szCs w:val="20"/>
              </w:rPr>
            </w:pPr>
          </w:p>
        </w:tc>
      </w:tr>
    </w:tbl>
    <w:p w:rsidR="009F63E7" w:rsidRPr="009F63E7" w:rsidRDefault="009F63E7" w:rsidP="009F63E7">
      <w:pPr>
        <w:widowControl w:val="0"/>
        <w:spacing w:before="0" w:after="0"/>
        <w:ind w:firstLine="709"/>
        <w:rPr>
          <w:rFonts w:ascii="Arial" w:eastAsia="Times New Roman" w:hAnsi="Arial" w:cs="Arial"/>
          <w:bCs/>
          <w:snapToGrid w:val="0"/>
          <w:sz w:val="22"/>
          <w:highlight w:val="yellow"/>
        </w:rPr>
      </w:pPr>
    </w:p>
    <w:tbl>
      <w:tblPr>
        <w:tblW w:w="8080" w:type="dxa"/>
        <w:tblInd w:w="817" w:type="dxa"/>
        <w:tblLayout w:type="fixed"/>
        <w:tblLook w:val="0000" w:firstRow="0" w:lastRow="0" w:firstColumn="0" w:lastColumn="0" w:noHBand="0" w:noVBand="0"/>
      </w:tblPr>
      <w:tblGrid>
        <w:gridCol w:w="2835"/>
        <w:gridCol w:w="5245"/>
      </w:tblGrid>
      <w:tr w:rsidR="009F63E7" w:rsidRPr="009F63E7" w:rsidTr="00E417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b/>
                <w:snapToGrid w:val="0"/>
                <w:sz w:val="20"/>
                <w:szCs w:val="20"/>
              </w:rPr>
            </w:pPr>
            <w:r w:rsidRPr="009F63E7">
              <w:rPr>
                <w:rFonts w:ascii="Arial Narrow" w:eastAsia="Times New Roman" w:hAnsi="Arial Narrow" w:cs="Arial"/>
                <w:b/>
                <w:snapToGrid w:val="0"/>
                <w:sz w:val="20"/>
                <w:szCs w:val="20"/>
              </w:rPr>
              <w:t>Category / Program</w:t>
            </w:r>
          </w:p>
        </w:tc>
        <w:tc>
          <w:tcPr>
            <w:tcW w:w="524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GENERAL – General Schedule (Code GE)</w:t>
            </w:r>
          </w:p>
        </w:tc>
      </w:tr>
      <w:tr w:rsidR="009F63E7" w:rsidRPr="009F63E7" w:rsidTr="00E417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b/>
                <w:snapToGrid w:val="0"/>
                <w:sz w:val="20"/>
                <w:szCs w:val="20"/>
              </w:rPr>
            </w:pPr>
            <w:r w:rsidRPr="009F63E7">
              <w:rPr>
                <w:rFonts w:ascii="Arial Narrow" w:eastAsia="Times New Roman" w:hAnsi="Arial Narrow" w:cs="Arial"/>
                <w:b/>
                <w:snapToGrid w:val="0"/>
                <w:sz w:val="20"/>
                <w:szCs w:val="20"/>
              </w:rPr>
              <w:t>Prescriber type:</w:t>
            </w:r>
          </w:p>
        </w:tc>
        <w:tc>
          <w:tcPr>
            <w:tcW w:w="524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fldChar w:fldCharType="begin">
                <w:ffData>
                  <w:name w:val="Check1"/>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 xml:space="preserve">Dental  </w:t>
            </w:r>
            <w:r w:rsidRPr="009F63E7">
              <w:rPr>
                <w:rFonts w:ascii="Arial Narrow" w:eastAsia="Times New Roman" w:hAnsi="Arial Narrow" w:cs="Arial"/>
                <w:snapToGrid w:val="0"/>
                <w:sz w:val="20"/>
                <w:szCs w:val="20"/>
              </w:rPr>
              <w:fldChar w:fldCharType="begin">
                <w:ffData>
                  <w:name w:val=""/>
                  <w:enabled/>
                  <w:calcOnExit w:val="0"/>
                  <w:checkBox>
                    <w:sizeAuto/>
                    <w:default w:val="1"/>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 xml:space="preserve">Medical Practitioners  </w:t>
            </w:r>
            <w:r w:rsidRPr="009F63E7">
              <w:rPr>
                <w:rFonts w:ascii="Arial Narrow" w:eastAsia="Times New Roman" w:hAnsi="Arial Narrow" w:cs="Arial"/>
                <w:snapToGrid w:val="0"/>
                <w:sz w:val="20"/>
                <w:szCs w:val="20"/>
              </w:rPr>
              <w:fldChar w:fldCharType="begin">
                <w:ffData>
                  <w:name w:val="Check3"/>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 xml:space="preserve">Nurse practitioners  </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fldChar w:fldCharType="begin">
                <w:ffData>
                  <w:name w:val=""/>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 xml:space="preserve">Optometrists </w:t>
            </w:r>
            <w:r w:rsidRPr="009F63E7">
              <w:rPr>
                <w:rFonts w:ascii="Arial Narrow" w:eastAsia="Times New Roman" w:hAnsi="Arial Narrow" w:cs="Arial"/>
                <w:snapToGrid w:val="0"/>
                <w:sz w:val="20"/>
                <w:szCs w:val="20"/>
              </w:rPr>
              <w:fldChar w:fldCharType="begin">
                <w:ffData>
                  <w:name w:val="Check5"/>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Midwives</w:t>
            </w:r>
          </w:p>
        </w:tc>
      </w:tr>
      <w:tr w:rsidR="009F63E7" w:rsidRPr="009F63E7" w:rsidTr="00E417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b/>
                <w:snapToGrid w:val="0"/>
                <w:sz w:val="20"/>
                <w:szCs w:val="20"/>
              </w:rPr>
            </w:pPr>
            <w:r w:rsidRPr="009F63E7">
              <w:rPr>
                <w:rFonts w:ascii="Arial Narrow" w:eastAsia="Times New Roman" w:hAnsi="Arial Narrow" w:cs="Arial"/>
                <w:b/>
                <w:snapToGrid w:val="0"/>
                <w:sz w:val="20"/>
                <w:szCs w:val="20"/>
              </w:rPr>
              <w:t>Severity:</w:t>
            </w:r>
          </w:p>
        </w:tc>
        <w:tc>
          <w:tcPr>
            <w:tcW w:w="524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stage IIIB (locally advanced) or stage IV (metastatic)</w:t>
            </w:r>
          </w:p>
        </w:tc>
      </w:tr>
      <w:tr w:rsidR="009F63E7" w:rsidRPr="009F63E7" w:rsidTr="00E417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b/>
                <w:snapToGrid w:val="0"/>
                <w:sz w:val="20"/>
                <w:szCs w:val="20"/>
              </w:rPr>
            </w:pPr>
            <w:r w:rsidRPr="009F63E7">
              <w:rPr>
                <w:rFonts w:ascii="Arial Narrow" w:eastAsia="Times New Roman" w:hAnsi="Arial Narrow" w:cs="Arial"/>
                <w:b/>
                <w:snapToGrid w:val="0"/>
                <w:sz w:val="20"/>
                <w:szCs w:val="20"/>
              </w:rPr>
              <w:t>Condition:</w:t>
            </w:r>
          </w:p>
        </w:tc>
        <w:tc>
          <w:tcPr>
            <w:tcW w:w="524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non-small cell lung cancer</w:t>
            </w:r>
          </w:p>
        </w:tc>
      </w:tr>
      <w:tr w:rsidR="009F63E7" w:rsidRPr="009F63E7" w:rsidTr="00E417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i/>
                <w:snapToGrid w:val="0"/>
                <w:sz w:val="20"/>
                <w:szCs w:val="20"/>
              </w:rPr>
            </w:pPr>
            <w:r w:rsidRPr="009F63E7">
              <w:rPr>
                <w:rFonts w:ascii="Arial Narrow" w:eastAsia="Times New Roman" w:hAnsi="Arial Narrow" w:cs="Arial"/>
                <w:b/>
                <w:snapToGrid w:val="0"/>
                <w:sz w:val="20"/>
                <w:szCs w:val="20"/>
              </w:rPr>
              <w:t>PBS Indication:</w:t>
            </w:r>
          </w:p>
        </w:tc>
        <w:tc>
          <w:tcPr>
            <w:tcW w:w="524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stage IIIB (locally advanced) or stage IV (metastatic) non-small cell lung cancer</w:t>
            </w:r>
          </w:p>
        </w:tc>
      </w:tr>
      <w:tr w:rsidR="009F63E7" w:rsidRPr="009F63E7" w:rsidTr="00E417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i/>
                <w:snapToGrid w:val="0"/>
                <w:sz w:val="20"/>
                <w:szCs w:val="20"/>
              </w:rPr>
            </w:pPr>
            <w:r w:rsidRPr="009F63E7">
              <w:rPr>
                <w:rFonts w:ascii="Arial Narrow" w:eastAsia="Times New Roman" w:hAnsi="Arial Narrow" w:cs="Arial"/>
                <w:b/>
                <w:snapToGrid w:val="0"/>
                <w:sz w:val="20"/>
                <w:szCs w:val="20"/>
              </w:rPr>
              <w:t>Treatment phase:</w:t>
            </w:r>
          </w:p>
        </w:tc>
        <w:tc>
          <w:tcPr>
            <w:tcW w:w="524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Continuing treatment</w:t>
            </w:r>
          </w:p>
        </w:tc>
      </w:tr>
      <w:tr w:rsidR="009F63E7" w:rsidRPr="009F63E7" w:rsidTr="00E417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i/>
                <w:snapToGrid w:val="0"/>
                <w:sz w:val="20"/>
                <w:szCs w:val="20"/>
              </w:rPr>
            </w:pPr>
            <w:r w:rsidRPr="009F63E7">
              <w:rPr>
                <w:rFonts w:ascii="Arial Narrow" w:eastAsia="Times New Roman" w:hAnsi="Arial Narrow" w:cs="Arial"/>
                <w:b/>
                <w:snapToGrid w:val="0"/>
                <w:sz w:val="20"/>
                <w:szCs w:val="20"/>
              </w:rPr>
              <w:t>Restriction Level / Method:</w:t>
            </w:r>
          </w:p>
        </w:tc>
        <w:tc>
          <w:tcPr>
            <w:tcW w:w="524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fldChar w:fldCharType="begin">
                <w:ffData>
                  <w:name w:val="Check1"/>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Restricted benefit</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fldChar w:fldCharType="begin">
                <w:ffData>
                  <w:name w:val=""/>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Authority Required - In Writing</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fldChar w:fldCharType="begin">
                <w:ffData>
                  <w:name w:val="Check3"/>
                  <w:enabled/>
                  <w:calcOnExit w:val="0"/>
                  <w:checkBox>
                    <w:sizeAuto/>
                    <w:default w:val="1"/>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Authority Required - Telephone</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fldChar w:fldCharType="begin">
                <w:ffData>
                  <w:name w:val="Check1"/>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Authority Required - Emergency</w:t>
            </w:r>
          </w:p>
          <w:p w:rsidR="009F63E7" w:rsidRPr="009F63E7" w:rsidRDefault="000C0EE0" w:rsidP="009F63E7">
            <w:pPr>
              <w:widowControl w:val="0"/>
              <w:spacing w:before="0" w:after="0"/>
              <w:rPr>
                <w:rFonts w:ascii="Arial Narrow" w:eastAsia="Times New Roman" w:hAnsi="Arial Narrow" w:cs="Arial"/>
                <w:snapToGrid w:val="0"/>
                <w:sz w:val="20"/>
                <w:szCs w:val="20"/>
              </w:rPr>
            </w:pPr>
            <w:r>
              <w:rPr>
                <w:rFonts w:ascii="Arial Narrow" w:eastAsia="Times New Roman" w:hAnsi="Arial Narrow" w:cs="Arial"/>
                <w:snapToGrid w:val="0"/>
                <w:sz w:val="20"/>
                <w:szCs w:val="20"/>
              </w:rPr>
              <w:fldChar w:fldCharType="begin">
                <w:ffData>
                  <w:name w:val=""/>
                  <w:enabled/>
                  <w:calcOnExit w:val="0"/>
                  <w:checkBox>
                    <w:sizeAuto/>
                    <w:default w:val="0"/>
                  </w:checkBox>
                </w:ffData>
              </w:fldChar>
            </w:r>
            <w:r>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Pr>
                <w:rFonts w:ascii="Arial Narrow" w:eastAsia="Times New Roman" w:hAnsi="Arial Narrow" w:cs="Arial"/>
                <w:snapToGrid w:val="0"/>
                <w:sz w:val="20"/>
                <w:szCs w:val="20"/>
              </w:rPr>
              <w:fldChar w:fldCharType="end"/>
            </w:r>
            <w:r w:rsidR="009F63E7" w:rsidRPr="009F63E7">
              <w:rPr>
                <w:rFonts w:ascii="Arial Narrow" w:eastAsia="Times New Roman" w:hAnsi="Arial Narrow" w:cs="Arial"/>
                <w:snapToGrid w:val="0"/>
                <w:sz w:val="20"/>
                <w:szCs w:val="20"/>
              </w:rPr>
              <w:t>Authority Required - Electronic</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fldChar w:fldCharType="begin">
                <w:ffData>
                  <w:name w:val="Check5"/>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Streamlined</w:t>
            </w:r>
          </w:p>
        </w:tc>
      </w:tr>
      <w:tr w:rsidR="009F63E7" w:rsidRPr="009F63E7" w:rsidTr="00E417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b/>
                <w:snapToGrid w:val="0"/>
                <w:sz w:val="20"/>
                <w:szCs w:val="20"/>
              </w:rPr>
              <w:t>Clinical criteria:</w:t>
            </w:r>
          </w:p>
        </w:tc>
        <w:tc>
          <w:tcPr>
            <w:tcW w:w="524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The treatment must be as monotherapy</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AND</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 xml:space="preserve">Patient must have previously received PBS-subsidised treatment with this drug for this condition </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AND</w:t>
            </w:r>
          </w:p>
          <w:p w:rsidR="009F63E7" w:rsidRPr="009F63E7" w:rsidRDefault="003656FC" w:rsidP="003656FC">
            <w:pPr>
              <w:widowControl w:val="0"/>
              <w:spacing w:before="0" w:after="0"/>
              <w:rPr>
                <w:rFonts w:ascii="Arial Narrow" w:eastAsia="Times New Roman" w:hAnsi="Arial Narrow" w:cs="Arial"/>
                <w:snapToGrid w:val="0"/>
                <w:sz w:val="20"/>
                <w:szCs w:val="20"/>
              </w:rPr>
            </w:pPr>
            <w:r w:rsidRPr="003656FC">
              <w:rPr>
                <w:rFonts w:ascii="Arial Narrow" w:eastAsia="Times New Roman" w:hAnsi="Arial Narrow" w:cs="Arial"/>
                <w:snapToGrid w:val="0"/>
                <w:sz w:val="20"/>
                <w:szCs w:val="20"/>
              </w:rPr>
              <w:t>Patient must not develop disease progression while receiving PBS-subsidised treatment with this drug for this condition</w:t>
            </w:r>
          </w:p>
        </w:tc>
      </w:tr>
      <w:tr w:rsidR="009F63E7" w:rsidRPr="009F63E7" w:rsidTr="00E41729">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b/>
                <w:snapToGrid w:val="0"/>
                <w:sz w:val="20"/>
                <w:szCs w:val="20"/>
              </w:rPr>
            </w:pP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b/>
                <w:snapToGrid w:val="0"/>
                <w:sz w:val="20"/>
                <w:szCs w:val="20"/>
              </w:rPr>
              <w:t>Administrative Advice</w:t>
            </w:r>
          </w:p>
        </w:tc>
        <w:tc>
          <w:tcPr>
            <w:tcW w:w="5245" w:type="dxa"/>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 xml:space="preserve">No increase in the maximum quantity or number of units may be authorised. </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 xml:space="preserve">No increase in the maximum number of repeats may be authorised. </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Special Pricing Arrangements apply.</w:t>
            </w:r>
          </w:p>
          <w:p w:rsidR="009F63E7" w:rsidRPr="009F63E7" w:rsidRDefault="009F63E7" w:rsidP="009F63E7">
            <w:pPr>
              <w:widowControl w:val="0"/>
              <w:spacing w:before="0" w:after="0"/>
              <w:rPr>
                <w:rFonts w:ascii="Arial Narrow" w:eastAsia="Times New Roman" w:hAnsi="Arial Narrow" w:cs="Arial"/>
                <w:snapToGrid w:val="0"/>
                <w:sz w:val="20"/>
                <w:szCs w:val="20"/>
              </w:rPr>
            </w:pPr>
          </w:p>
        </w:tc>
      </w:tr>
    </w:tbl>
    <w:p w:rsidR="009F63E7" w:rsidRPr="009F63E7" w:rsidRDefault="009F63E7" w:rsidP="009F63E7">
      <w:pPr>
        <w:widowControl w:val="0"/>
        <w:spacing w:before="0" w:after="0"/>
        <w:rPr>
          <w:rFonts w:ascii="Calibri" w:eastAsia="Times New Roman" w:hAnsi="Calibri" w:cs="Calibri"/>
          <w:snapToGrid w:val="0"/>
          <w:sz w:val="22"/>
          <w:szCs w:val="20"/>
        </w:rPr>
      </w:pPr>
    </w:p>
    <w:tbl>
      <w:tblPr>
        <w:tblW w:w="8080" w:type="dxa"/>
        <w:tblInd w:w="817" w:type="dxa"/>
        <w:tblLayout w:type="fixed"/>
        <w:tblLook w:val="0000" w:firstRow="0" w:lastRow="0" w:firstColumn="0" w:lastColumn="0" w:noHBand="0" w:noVBand="0"/>
      </w:tblPr>
      <w:tblGrid>
        <w:gridCol w:w="2268"/>
        <w:gridCol w:w="567"/>
        <w:gridCol w:w="425"/>
        <w:gridCol w:w="993"/>
        <w:gridCol w:w="1559"/>
        <w:gridCol w:w="2268"/>
      </w:tblGrid>
      <w:tr w:rsidR="009F63E7" w:rsidRPr="009F63E7" w:rsidTr="00E41729">
        <w:trPr>
          <w:cantSplit/>
          <w:trHeight w:val="471"/>
        </w:trPr>
        <w:tc>
          <w:tcPr>
            <w:tcW w:w="2268" w:type="dxa"/>
            <w:tcBorders>
              <w:bottom w:val="single" w:sz="4" w:space="0" w:color="auto"/>
            </w:tcBorders>
          </w:tcPr>
          <w:p w:rsidR="009F63E7" w:rsidRPr="009F63E7" w:rsidRDefault="009F63E7" w:rsidP="009F63E7">
            <w:pPr>
              <w:keepNext/>
              <w:widowControl w:val="0"/>
              <w:spacing w:before="0" w:after="0"/>
              <w:ind w:left="-108"/>
              <w:jc w:val="left"/>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Name, Restriction,</w:t>
            </w:r>
          </w:p>
          <w:p w:rsidR="009F63E7" w:rsidRPr="009F63E7" w:rsidRDefault="009F63E7" w:rsidP="009F63E7">
            <w:pPr>
              <w:keepNext/>
              <w:widowControl w:val="0"/>
              <w:spacing w:before="0" w:after="0"/>
              <w:ind w:left="-108"/>
              <w:jc w:val="left"/>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Manner of administration and form</w:t>
            </w:r>
          </w:p>
        </w:tc>
        <w:tc>
          <w:tcPr>
            <w:tcW w:w="992" w:type="dxa"/>
            <w:gridSpan w:val="2"/>
            <w:tcBorders>
              <w:bottom w:val="single" w:sz="4" w:space="0" w:color="auto"/>
            </w:tcBorders>
          </w:tcPr>
          <w:p w:rsidR="009F63E7" w:rsidRPr="009F63E7" w:rsidRDefault="009F63E7" w:rsidP="009F63E7">
            <w:pPr>
              <w:keepNext/>
              <w:widowControl w:val="0"/>
              <w:spacing w:before="0" w:after="0"/>
              <w:ind w:left="-108"/>
              <w:jc w:val="center"/>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Max.</w:t>
            </w:r>
          </w:p>
          <w:p w:rsidR="009F63E7" w:rsidRPr="009F63E7" w:rsidRDefault="009F63E7" w:rsidP="009F63E7">
            <w:pPr>
              <w:keepNext/>
              <w:widowControl w:val="0"/>
              <w:spacing w:before="0" w:after="0"/>
              <w:ind w:left="-108"/>
              <w:jc w:val="center"/>
              <w:rPr>
                <w:rFonts w:ascii="Arial Narrow" w:eastAsia="Times New Roman" w:hAnsi="Arial Narrow" w:cs="Arial"/>
                <w:snapToGrid w:val="0"/>
                <w:sz w:val="20"/>
                <w:szCs w:val="20"/>
              </w:rPr>
            </w:pPr>
            <w:proofErr w:type="spellStart"/>
            <w:r w:rsidRPr="009F63E7">
              <w:rPr>
                <w:rFonts w:ascii="Arial Narrow" w:eastAsia="Times New Roman" w:hAnsi="Arial Narrow" w:cs="Arial"/>
                <w:snapToGrid w:val="0"/>
                <w:sz w:val="20"/>
                <w:szCs w:val="20"/>
              </w:rPr>
              <w:t>Qty</w:t>
            </w:r>
            <w:proofErr w:type="spellEnd"/>
            <w:r w:rsidRPr="009F63E7">
              <w:rPr>
                <w:rFonts w:ascii="Arial Narrow" w:eastAsia="Times New Roman" w:hAnsi="Arial Narrow" w:cs="Arial"/>
                <w:snapToGrid w:val="0"/>
                <w:sz w:val="20"/>
                <w:szCs w:val="20"/>
              </w:rPr>
              <w:t xml:space="preserve"> Units</w:t>
            </w:r>
          </w:p>
        </w:tc>
        <w:tc>
          <w:tcPr>
            <w:tcW w:w="993" w:type="dxa"/>
            <w:tcBorders>
              <w:bottom w:val="single" w:sz="4" w:space="0" w:color="auto"/>
            </w:tcBorders>
          </w:tcPr>
          <w:p w:rsidR="009F63E7" w:rsidRPr="009F63E7" w:rsidRDefault="009F63E7" w:rsidP="009F63E7">
            <w:pPr>
              <w:keepNext/>
              <w:widowControl w:val="0"/>
              <w:spacing w:before="0" w:after="0"/>
              <w:ind w:left="-108"/>
              <w:jc w:val="center"/>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№.of</w:t>
            </w:r>
          </w:p>
          <w:p w:rsidR="009F63E7" w:rsidRPr="009F63E7" w:rsidRDefault="009F63E7" w:rsidP="009F63E7">
            <w:pPr>
              <w:keepNext/>
              <w:widowControl w:val="0"/>
              <w:spacing w:before="0" w:after="0"/>
              <w:ind w:left="-108"/>
              <w:jc w:val="center"/>
              <w:rPr>
                <w:rFonts w:ascii="Arial Narrow" w:eastAsia="Times New Roman" w:hAnsi="Arial Narrow" w:cs="Arial"/>
                <w:snapToGrid w:val="0"/>
                <w:sz w:val="20"/>
                <w:szCs w:val="20"/>
              </w:rPr>
            </w:pPr>
            <w:proofErr w:type="spellStart"/>
            <w:r w:rsidRPr="009F63E7">
              <w:rPr>
                <w:rFonts w:ascii="Arial Narrow" w:eastAsia="Times New Roman" w:hAnsi="Arial Narrow" w:cs="Arial"/>
                <w:snapToGrid w:val="0"/>
                <w:sz w:val="20"/>
                <w:szCs w:val="20"/>
              </w:rPr>
              <w:t>Rpts</w:t>
            </w:r>
            <w:proofErr w:type="spellEnd"/>
          </w:p>
        </w:tc>
        <w:tc>
          <w:tcPr>
            <w:tcW w:w="3827" w:type="dxa"/>
            <w:gridSpan w:val="2"/>
            <w:tcBorders>
              <w:bottom w:val="single" w:sz="4" w:space="0" w:color="auto"/>
            </w:tcBorders>
          </w:tcPr>
          <w:p w:rsidR="009F63E7" w:rsidRPr="009F63E7" w:rsidRDefault="009F63E7" w:rsidP="009F63E7">
            <w:pPr>
              <w:keepNext/>
              <w:widowControl w:val="0"/>
              <w:spacing w:before="0" w:after="0"/>
              <w:jc w:val="center"/>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Proprietary Name and Manufacturer</w:t>
            </w:r>
          </w:p>
        </w:tc>
      </w:tr>
      <w:tr w:rsidR="009F63E7" w:rsidRPr="009F63E7" w:rsidTr="00E41729">
        <w:trPr>
          <w:cantSplit/>
          <w:trHeight w:val="577"/>
        </w:trPr>
        <w:tc>
          <w:tcPr>
            <w:tcW w:w="2268" w:type="dxa"/>
          </w:tcPr>
          <w:p w:rsidR="009F63E7" w:rsidRPr="009F63E7" w:rsidRDefault="002E111F" w:rsidP="009F63E7">
            <w:pPr>
              <w:keepNext/>
              <w:widowControl w:val="0"/>
              <w:spacing w:before="0" w:after="0"/>
              <w:ind w:left="-108"/>
              <w:jc w:val="left"/>
              <w:rPr>
                <w:rFonts w:ascii="Arial Narrow" w:eastAsia="Times New Roman" w:hAnsi="Arial Narrow" w:cs="Arial"/>
                <w:snapToGrid w:val="0"/>
                <w:sz w:val="20"/>
                <w:szCs w:val="20"/>
              </w:rPr>
            </w:pPr>
            <w:proofErr w:type="spellStart"/>
            <w:r>
              <w:rPr>
                <w:rFonts w:ascii="Arial Narrow" w:eastAsia="Times New Roman" w:hAnsi="Arial Narrow" w:cs="Arial"/>
                <w:smallCaps/>
                <w:snapToGrid w:val="0"/>
                <w:sz w:val="20"/>
                <w:szCs w:val="20"/>
              </w:rPr>
              <w:t>alectinib</w:t>
            </w:r>
            <w:proofErr w:type="spellEnd"/>
          </w:p>
          <w:p w:rsidR="009F63E7" w:rsidRPr="009F63E7" w:rsidRDefault="002E111F" w:rsidP="009F63E7">
            <w:pPr>
              <w:keepNext/>
              <w:widowControl w:val="0"/>
              <w:spacing w:before="0" w:after="0"/>
              <w:ind w:left="-108"/>
              <w:jc w:val="left"/>
              <w:rPr>
                <w:rFonts w:ascii="Arial Narrow" w:eastAsia="Times New Roman" w:hAnsi="Arial Narrow" w:cs="Arial"/>
                <w:snapToGrid w:val="0"/>
                <w:sz w:val="20"/>
                <w:szCs w:val="20"/>
              </w:rPr>
            </w:pPr>
            <w:proofErr w:type="spellStart"/>
            <w:r>
              <w:rPr>
                <w:rFonts w:ascii="Arial Narrow" w:eastAsia="Times New Roman" w:hAnsi="Arial Narrow" w:cs="Arial"/>
                <w:snapToGrid w:val="0"/>
                <w:sz w:val="20"/>
                <w:szCs w:val="20"/>
              </w:rPr>
              <w:t>Alectinib</w:t>
            </w:r>
            <w:proofErr w:type="spellEnd"/>
            <w:r w:rsidR="009F63E7" w:rsidRPr="009F63E7">
              <w:rPr>
                <w:rFonts w:ascii="Arial Narrow" w:eastAsia="Times New Roman" w:hAnsi="Arial Narrow" w:cs="Arial"/>
                <w:snapToGrid w:val="0"/>
                <w:sz w:val="20"/>
                <w:szCs w:val="20"/>
              </w:rPr>
              <w:t xml:space="preserve"> 150 </w:t>
            </w:r>
            <w:r>
              <w:rPr>
                <w:rFonts w:ascii="Arial Narrow" w:eastAsia="Times New Roman" w:hAnsi="Arial Narrow" w:cs="Arial"/>
                <w:snapToGrid w:val="0"/>
                <w:sz w:val="20"/>
                <w:szCs w:val="20"/>
              </w:rPr>
              <w:t>mg capsule,  2</w:t>
            </w:r>
            <w:r w:rsidR="004A3E91">
              <w:rPr>
                <w:rFonts w:ascii="Arial Narrow" w:eastAsia="Times New Roman" w:hAnsi="Arial Narrow" w:cs="Arial"/>
                <w:snapToGrid w:val="0"/>
                <w:sz w:val="20"/>
                <w:szCs w:val="20"/>
              </w:rPr>
              <w:t>2</w:t>
            </w:r>
            <w:r>
              <w:rPr>
                <w:rFonts w:ascii="Arial Narrow" w:eastAsia="Times New Roman" w:hAnsi="Arial Narrow" w:cs="Arial"/>
                <w:snapToGrid w:val="0"/>
                <w:sz w:val="20"/>
                <w:szCs w:val="20"/>
              </w:rPr>
              <w:t>4</w:t>
            </w:r>
          </w:p>
          <w:p w:rsidR="009F63E7" w:rsidRPr="009F63E7" w:rsidRDefault="009F63E7" w:rsidP="009F63E7">
            <w:pPr>
              <w:keepNext/>
              <w:widowControl w:val="0"/>
              <w:spacing w:before="0" w:after="0"/>
              <w:jc w:val="left"/>
              <w:rPr>
                <w:rFonts w:ascii="Arial Narrow" w:eastAsia="Times New Roman" w:hAnsi="Arial Narrow" w:cs="Arial"/>
                <w:snapToGrid w:val="0"/>
                <w:sz w:val="20"/>
                <w:szCs w:val="20"/>
              </w:rPr>
            </w:pPr>
          </w:p>
        </w:tc>
        <w:tc>
          <w:tcPr>
            <w:tcW w:w="992" w:type="dxa"/>
            <w:gridSpan w:val="2"/>
          </w:tcPr>
          <w:p w:rsidR="009F63E7" w:rsidRPr="009F63E7" w:rsidRDefault="009F63E7" w:rsidP="009F63E7">
            <w:pPr>
              <w:keepNext/>
              <w:widowControl w:val="0"/>
              <w:spacing w:before="0" w:after="0"/>
              <w:ind w:left="-108"/>
              <w:jc w:val="center"/>
              <w:rPr>
                <w:rFonts w:ascii="Arial Narrow" w:eastAsia="Times New Roman" w:hAnsi="Arial Narrow" w:cs="Arial"/>
                <w:snapToGrid w:val="0"/>
                <w:sz w:val="20"/>
                <w:szCs w:val="20"/>
              </w:rPr>
            </w:pPr>
          </w:p>
          <w:p w:rsidR="009F63E7" w:rsidRPr="009F63E7" w:rsidRDefault="002E111F" w:rsidP="009F63E7">
            <w:pPr>
              <w:keepNext/>
              <w:widowControl w:val="0"/>
              <w:spacing w:before="0" w:after="0"/>
              <w:ind w:left="-108"/>
              <w:jc w:val="center"/>
              <w:rPr>
                <w:rFonts w:ascii="Arial Narrow" w:eastAsia="Times New Roman" w:hAnsi="Arial Narrow" w:cs="Arial"/>
                <w:snapToGrid w:val="0"/>
                <w:sz w:val="20"/>
                <w:szCs w:val="20"/>
              </w:rPr>
            </w:pPr>
            <w:r>
              <w:rPr>
                <w:rFonts w:ascii="Arial Narrow" w:eastAsia="Times New Roman" w:hAnsi="Arial Narrow" w:cs="Arial"/>
                <w:snapToGrid w:val="0"/>
                <w:sz w:val="20"/>
                <w:szCs w:val="20"/>
              </w:rPr>
              <w:t>1</w:t>
            </w:r>
          </w:p>
        </w:tc>
        <w:tc>
          <w:tcPr>
            <w:tcW w:w="993" w:type="dxa"/>
          </w:tcPr>
          <w:p w:rsidR="009F63E7" w:rsidRPr="009F63E7" w:rsidRDefault="009F63E7" w:rsidP="009F63E7">
            <w:pPr>
              <w:keepNext/>
              <w:widowControl w:val="0"/>
              <w:spacing w:before="0" w:after="0"/>
              <w:ind w:left="-108"/>
              <w:jc w:val="center"/>
              <w:rPr>
                <w:rFonts w:ascii="Arial Narrow" w:eastAsia="Times New Roman" w:hAnsi="Arial Narrow" w:cs="Arial"/>
                <w:snapToGrid w:val="0"/>
                <w:sz w:val="20"/>
                <w:szCs w:val="20"/>
              </w:rPr>
            </w:pPr>
          </w:p>
          <w:p w:rsidR="009F63E7" w:rsidRPr="009F63E7" w:rsidRDefault="009F63E7" w:rsidP="009F63E7">
            <w:pPr>
              <w:keepNext/>
              <w:widowControl w:val="0"/>
              <w:spacing w:before="0" w:after="0"/>
              <w:ind w:left="-108"/>
              <w:jc w:val="center"/>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1</w:t>
            </w:r>
          </w:p>
        </w:tc>
        <w:tc>
          <w:tcPr>
            <w:tcW w:w="1559" w:type="dxa"/>
            <w:vAlign w:val="center"/>
          </w:tcPr>
          <w:p w:rsidR="009F63E7" w:rsidRPr="009F63E7" w:rsidRDefault="002E111F" w:rsidP="009F63E7">
            <w:pPr>
              <w:keepNext/>
              <w:widowControl w:val="0"/>
              <w:spacing w:before="0" w:after="0"/>
              <w:jc w:val="center"/>
              <w:rPr>
                <w:rFonts w:ascii="Arial Narrow" w:eastAsia="Times New Roman" w:hAnsi="Arial Narrow" w:cs="Arial"/>
                <w:snapToGrid w:val="0"/>
                <w:sz w:val="20"/>
                <w:szCs w:val="20"/>
              </w:rPr>
            </w:pPr>
            <w:proofErr w:type="spellStart"/>
            <w:r>
              <w:rPr>
                <w:rFonts w:ascii="Arial Narrow" w:eastAsia="Times New Roman" w:hAnsi="Arial Narrow" w:cs="Arial"/>
                <w:snapToGrid w:val="0"/>
                <w:sz w:val="20"/>
                <w:szCs w:val="20"/>
              </w:rPr>
              <w:t>Alecensa</w:t>
            </w:r>
            <w:proofErr w:type="spellEnd"/>
          </w:p>
        </w:tc>
        <w:tc>
          <w:tcPr>
            <w:tcW w:w="2268" w:type="dxa"/>
          </w:tcPr>
          <w:p w:rsidR="009F63E7" w:rsidRPr="009F63E7" w:rsidRDefault="002E111F" w:rsidP="009F63E7">
            <w:pPr>
              <w:keepNext/>
              <w:widowControl w:val="0"/>
              <w:spacing w:before="0" w:after="0"/>
              <w:jc w:val="center"/>
              <w:rPr>
                <w:rFonts w:ascii="Arial Narrow" w:eastAsia="Times New Roman" w:hAnsi="Arial Narrow" w:cs="Arial"/>
                <w:snapToGrid w:val="0"/>
                <w:sz w:val="20"/>
                <w:szCs w:val="20"/>
              </w:rPr>
            </w:pPr>
            <w:r>
              <w:rPr>
                <w:rFonts w:ascii="Arial Narrow" w:eastAsia="Times New Roman" w:hAnsi="Arial Narrow" w:cs="Arial"/>
                <w:snapToGrid w:val="0"/>
                <w:sz w:val="20"/>
                <w:szCs w:val="20"/>
              </w:rPr>
              <w:t>Roche Products Pty Ltd</w:t>
            </w:r>
          </w:p>
        </w:tc>
      </w:tr>
      <w:tr w:rsidR="009F63E7" w:rsidRPr="009F63E7" w:rsidTr="00E41729">
        <w:trPr>
          <w:cantSplit/>
          <w:trHeight w:val="360"/>
        </w:trPr>
        <w:tc>
          <w:tcPr>
            <w:tcW w:w="8080" w:type="dxa"/>
            <w:gridSpan w:val="6"/>
            <w:tcBorders>
              <w:bottom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p>
        </w:tc>
      </w:tr>
      <w:tr w:rsidR="009F63E7" w:rsidRPr="009F63E7" w:rsidTr="00E41729">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b/>
                <w:snapToGrid w:val="0"/>
                <w:sz w:val="20"/>
                <w:szCs w:val="20"/>
              </w:rPr>
            </w:pPr>
            <w:r w:rsidRPr="009F63E7">
              <w:rPr>
                <w:rFonts w:ascii="Arial Narrow" w:eastAsia="Times New Roman" w:hAnsi="Arial Narrow" w:cs="Arial"/>
                <w:b/>
                <w:snapToGrid w:val="0"/>
                <w:sz w:val="20"/>
                <w:szCs w:val="20"/>
              </w:rPr>
              <w:t>Category / Program</w:t>
            </w:r>
          </w:p>
        </w:tc>
        <w:tc>
          <w:tcPr>
            <w:tcW w:w="5245" w:type="dxa"/>
            <w:gridSpan w:val="4"/>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GENERAL – General Schedule (Code GE)</w:t>
            </w:r>
          </w:p>
        </w:tc>
      </w:tr>
      <w:tr w:rsidR="009F63E7" w:rsidRPr="009F63E7" w:rsidTr="00E41729">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b/>
                <w:snapToGrid w:val="0"/>
                <w:sz w:val="20"/>
                <w:szCs w:val="20"/>
              </w:rPr>
            </w:pPr>
            <w:r w:rsidRPr="009F63E7">
              <w:rPr>
                <w:rFonts w:ascii="Arial Narrow" w:eastAsia="Times New Roman" w:hAnsi="Arial Narrow" w:cs="Arial"/>
                <w:b/>
                <w:snapToGrid w:val="0"/>
                <w:sz w:val="20"/>
                <w:szCs w:val="20"/>
              </w:rPr>
              <w:t>Prescriber type:</w:t>
            </w:r>
          </w:p>
        </w:tc>
        <w:tc>
          <w:tcPr>
            <w:tcW w:w="5245" w:type="dxa"/>
            <w:gridSpan w:val="4"/>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fldChar w:fldCharType="begin">
                <w:ffData>
                  <w:name w:val="Check1"/>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 xml:space="preserve">Dental  </w:t>
            </w:r>
            <w:r w:rsidRPr="009F63E7">
              <w:rPr>
                <w:rFonts w:ascii="Arial Narrow" w:eastAsia="Times New Roman" w:hAnsi="Arial Narrow" w:cs="Arial"/>
                <w:snapToGrid w:val="0"/>
                <w:sz w:val="20"/>
                <w:szCs w:val="20"/>
              </w:rPr>
              <w:fldChar w:fldCharType="begin">
                <w:ffData>
                  <w:name w:val=""/>
                  <w:enabled/>
                  <w:calcOnExit w:val="0"/>
                  <w:checkBox>
                    <w:sizeAuto/>
                    <w:default w:val="1"/>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 xml:space="preserve">Medical Practitioners  </w:t>
            </w:r>
            <w:r w:rsidRPr="009F63E7">
              <w:rPr>
                <w:rFonts w:ascii="Arial Narrow" w:eastAsia="Times New Roman" w:hAnsi="Arial Narrow" w:cs="Arial"/>
                <w:snapToGrid w:val="0"/>
                <w:sz w:val="20"/>
                <w:szCs w:val="20"/>
              </w:rPr>
              <w:fldChar w:fldCharType="begin">
                <w:ffData>
                  <w:name w:val="Check3"/>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 xml:space="preserve">Nurse practitioners  </w:t>
            </w:r>
            <w:r w:rsidRPr="009F63E7">
              <w:rPr>
                <w:rFonts w:ascii="Arial Narrow" w:eastAsia="Times New Roman" w:hAnsi="Arial Narrow" w:cs="Arial"/>
                <w:snapToGrid w:val="0"/>
                <w:sz w:val="20"/>
                <w:szCs w:val="20"/>
              </w:rPr>
              <w:fldChar w:fldCharType="begin">
                <w:ffData>
                  <w:name w:val=""/>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Optometrists</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fldChar w:fldCharType="begin">
                <w:ffData>
                  <w:name w:val="Check5"/>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Midwives</w:t>
            </w:r>
          </w:p>
        </w:tc>
      </w:tr>
      <w:tr w:rsidR="009F63E7" w:rsidRPr="009F63E7" w:rsidTr="00E41729">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b/>
                <w:snapToGrid w:val="0"/>
                <w:sz w:val="20"/>
                <w:szCs w:val="20"/>
              </w:rPr>
            </w:pPr>
            <w:r w:rsidRPr="009F63E7">
              <w:rPr>
                <w:rFonts w:ascii="Arial Narrow" w:eastAsia="Times New Roman" w:hAnsi="Arial Narrow" w:cs="Arial"/>
                <w:b/>
                <w:snapToGrid w:val="0"/>
                <w:sz w:val="20"/>
                <w:szCs w:val="20"/>
              </w:rPr>
              <w:t>Severity:</w:t>
            </w:r>
          </w:p>
        </w:tc>
        <w:tc>
          <w:tcPr>
            <w:tcW w:w="5245" w:type="dxa"/>
            <w:gridSpan w:val="4"/>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stage IIIB (locally advanced) or stage IV (metastatic)</w:t>
            </w:r>
          </w:p>
        </w:tc>
      </w:tr>
      <w:tr w:rsidR="009F63E7" w:rsidRPr="009F63E7" w:rsidTr="00E41729">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b/>
                <w:snapToGrid w:val="0"/>
                <w:sz w:val="20"/>
                <w:szCs w:val="20"/>
              </w:rPr>
            </w:pPr>
            <w:r w:rsidRPr="009F63E7">
              <w:rPr>
                <w:rFonts w:ascii="Arial Narrow" w:eastAsia="Times New Roman" w:hAnsi="Arial Narrow" w:cs="Arial"/>
                <w:b/>
                <w:snapToGrid w:val="0"/>
                <w:sz w:val="20"/>
                <w:szCs w:val="20"/>
              </w:rPr>
              <w:t>Condition:</w:t>
            </w:r>
          </w:p>
        </w:tc>
        <w:tc>
          <w:tcPr>
            <w:tcW w:w="5245" w:type="dxa"/>
            <w:gridSpan w:val="4"/>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non-small cell lung cancer</w:t>
            </w:r>
          </w:p>
        </w:tc>
      </w:tr>
      <w:tr w:rsidR="009F63E7" w:rsidRPr="009F63E7" w:rsidTr="00E41729">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i/>
                <w:snapToGrid w:val="0"/>
                <w:sz w:val="20"/>
                <w:szCs w:val="20"/>
              </w:rPr>
            </w:pPr>
            <w:r w:rsidRPr="009F63E7">
              <w:rPr>
                <w:rFonts w:ascii="Arial Narrow" w:eastAsia="Times New Roman" w:hAnsi="Arial Narrow" w:cs="Arial"/>
                <w:b/>
                <w:snapToGrid w:val="0"/>
                <w:sz w:val="20"/>
                <w:szCs w:val="20"/>
              </w:rPr>
              <w:t>PBS Indication:</w:t>
            </w:r>
          </w:p>
        </w:tc>
        <w:tc>
          <w:tcPr>
            <w:tcW w:w="5245" w:type="dxa"/>
            <w:gridSpan w:val="4"/>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stage IIIB (locally advanced) or stage IV (metastatic) non-small cell lung cancer</w:t>
            </w:r>
          </w:p>
        </w:tc>
      </w:tr>
      <w:tr w:rsidR="009F63E7" w:rsidRPr="009F63E7" w:rsidTr="00E41729">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i/>
                <w:snapToGrid w:val="0"/>
                <w:sz w:val="20"/>
                <w:szCs w:val="20"/>
              </w:rPr>
            </w:pPr>
            <w:r w:rsidRPr="009F63E7">
              <w:rPr>
                <w:rFonts w:ascii="Arial Narrow" w:eastAsia="Times New Roman" w:hAnsi="Arial Narrow" w:cs="Arial"/>
                <w:b/>
                <w:snapToGrid w:val="0"/>
                <w:sz w:val="20"/>
                <w:szCs w:val="20"/>
              </w:rPr>
              <w:t>Treatment phase:</w:t>
            </w:r>
          </w:p>
        </w:tc>
        <w:tc>
          <w:tcPr>
            <w:tcW w:w="5245" w:type="dxa"/>
            <w:gridSpan w:val="4"/>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Grandfathering treatment</w:t>
            </w:r>
          </w:p>
        </w:tc>
      </w:tr>
      <w:tr w:rsidR="009F63E7" w:rsidRPr="009F63E7" w:rsidTr="00E41729">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i/>
                <w:snapToGrid w:val="0"/>
                <w:sz w:val="20"/>
                <w:szCs w:val="20"/>
              </w:rPr>
            </w:pPr>
            <w:r w:rsidRPr="009F63E7">
              <w:rPr>
                <w:rFonts w:ascii="Arial Narrow" w:eastAsia="Times New Roman" w:hAnsi="Arial Narrow" w:cs="Arial"/>
                <w:b/>
                <w:snapToGrid w:val="0"/>
                <w:sz w:val="20"/>
                <w:szCs w:val="20"/>
              </w:rPr>
              <w:t>Restriction Level / Method:</w:t>
            </w:r>
          </w:p>
        </w:tc>
        <w:tc>
          <w:tcPr>
            <w:tcW w:w="5245" w:type="dxa"/>
            <w:gridSpan w:val="4"/>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fldChar w:fldCharType="begin">
                <w:ffData>
                  <w:name w:val="Check1"/>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Restricted benefit</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fldChar w:fldCharType="begin">
                <w:ffData>
                  <w:name w:val=""/>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Authority Required - In Writing</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fldChar w:fldCharType="begin">
                <w:ffData>
                  <w:name w:val="Check3"/>
                  <w:enabled/>
                  <w:calcOnExit w:val="0"/>
                  <w:checkBox>
                    <w:sizeAuto/>
                    <w:default w:val="1"/>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Authority Required - Telephone</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fldChar w:fldCharType="begin">
                <w:ffData>
                  <w:name w:val="Check1"/>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Authority Required - Emergency</w:t>
            </w:r>
          </w:p>
          <w:p w:rsidR="009F63E7" w:rsidRPr="009F63E7" w:rsidRDefault="000C0EE0" w:rsidP="009F63E7">
            <w:pPr>
              <w:widowControl w:val="0"/>
              <w:spacing w:before="0" w:after="0"/>
              <w:rPr>
                <w:rFonts w:ascii="Arial Narrow" w:eastAsia="Times New Roman" w:hAnsi="Arial Narrow" w:cs="Arial"/>
                <w:snapToGrid w:val="0"/>
                <w:sz w:val="20"/>
                <w:szCs w:val="20"/>
              </w:rPr>
            </w:pPr>
            <w:r>
              <w:rPr>
                <w:rFonts w:ascii="Arial Narrow" w:eastAsia="Times New Roman" w:hAnsi="Arial Narrow" w:cs="Arial"/>
                <w:snapToGrid w:val="0"/>
                <w:sz w:val="20"/>
                <w:szCs w:val="20"/>
              </w:rPr>
              <w:fldChar w:fldCharType="begin">
                <w:ffData>
                  <w:name w:val="Check5"/>
                  <w:enabled/>
                  <w:calcOnExit w:val="0"/>
                  <w:checkBox>
                    <w:sizeAuto/>
                    <w:default w:val="0"/>
                  </w:checkBox>
                </w:ffData>
              </w:fldChar>
            </w:r>
            <w:r>
              <w:rPr>
                <w:rFonts w:ascii="Arial Narrow" w:eastAsia="Times New Roman" w:hAnsi="Arial Narrow" w:cs="Arial"/>
                <w:snapToGrid w:val="0"/>
                <w:sz w:val="20"/>
                <w:szCs w:val="20"/>
              </w:rPr>
              <w:instrText xml:space="preserve"> </w:instrText>
            </w:r>
            <w:bookmarkStart w:id="28" w:name="Check5"/>
            <w:r>
              <w:rPr>
                <w:rFonts w:ascii="Arial Narrow" w:eastAsia="Times New Roman" w:hAnsi="Arial Narrow" w:cs="Arial"/>
                <w:snapToGrid w:val="0"/>
                <w:sz w:val="20"/>
                <w:szCs w:val="20"/>
              </w:rPr>
              <w:instrText xml:space="preserve">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Pr>
                <w:rFonts w:ascii="Arial Narrow" w:eastAsia="Times New Roman" w:hAnsi="Arial Narrow" w:cs="Arial"/>
                <w:snapToGrid w:val="0"/>
                <w:sz w:val="20"/>
                <w:szCs w:val="20"/>
              </w:rPr>
              <w:fldChar w:fldCharType="end"/>
            </w:r>
            <w:bookmarkEnd w:id="28"/>
            <w:r w:rsidR="009F63E7" w:rsidRPr="009F63E7">
              <w:rPr>
                <w:rFonts w:ascii="Arial Narrow" w:eastAsia="Times New Roman" w:hAnsi="Arial Narrow" w:cs="Arial"/>
                <w:snapToGrid w:val="0"/>
                <w:sz w:val="20"/>
                <w:szCs w:val="20"/>
              </w:rPr>
              <w:t>Authority Required - Electronic</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fldChar w:fldCharType="begin">
                <w:ffData>
                  <w:name w:val="Check5"/>
                  <w:enabled/>
                  <w:calcOnExit w:val="0"/>
                  <w:checkBox>
                    <w:sizeAuto/>
                    <w:default w:val="0"/>
                  </w:checkBox>
                </w:ffData>
              </w:fldChar>
            </w:r>
            <w:r w:rsidRPr="009F63E7">
              <w:rPr>
                <w:rFonts w:ascii="Arial Narrow" w:eastAsia="Times New Roman" w:hAnsi="Arial Narrow" w:cs="Arial"/>
                <w:snapToGrid w:val="0"/>
                <w:sz w:val="20"/>
                <w:szCs w:val="20"/>
              </w:rPr>
              <w:instrText xml:space="preserve"> FORMCHECKBOX </w:instrText>
            </w:r>
            <w:r w:rsidR="001C2F0E">
              <w:rPr>
                <w:rFonts w:ascii="Arial Narrow" w:eastAsia="Times New Roman" w:hAnsi="Arial Narrow" w:cs="Arial"/>
                <w:snapToGrid w:val="0"/>
                <w:sz w:val="20"/>
                <w:szCs w:val="20"/>
              </w:rPr>
            </w:r>
            <w:r w:rsidR="001C2F0E">
              <w:rPr>
                <w:rFonts w:ascii="Arial Narrow" w:eastAsia="Times New Roman" w:hAnsi="Arial Narrow" w:cs="Arial"/>
                <w:snapToGrid w:val="0"/>
                <w:sz w:val="20"/>
                <w:szCs w:val="20"/>
              </w:rPr>
              <w:fldChar w:fldCharType="separate"/>
            </w:r>
            <w:r w:rsidRPr="009F63E7">
              <w:rPr>
                <w:rFonts w:ascii="Arial Narrow" w:eastAsia="Times New Roman" w:hAnsi="Arial Narrow" w:cs="Arial"/>
                <w:snapToGrid w:val="0"/>
                <w:sz w:val="20"/>
                <w:szCs w:val="20"/>
              </w:rPr>
              <w:fldChar w:fldCharType="end"/>
            </w:r>
            <w:r w:rsidRPr="009F63E7">
              <w:rPr>
                <w:rFonts w:ascii="Arial Narrow" w:eastAsia="Times New Roman" w:hAnsi="Arial Narrow" w:cs="Arial"/>
                <w:snapToGrid w:val="0"/>
                <w:sz w:val="20"/>
                <w:szCs w:val="20"/>
              </w:rPr>
              <w:t>Streamlined</w:t>
            </w:r>
          </w:p>
        </w:tc>
      </w:tr>
      <w:tr w:rsidR="009F63E7" w:rsidRPr="009F63E7" w:rsidTr="00E41729">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b/>
                <w:snapToGrid w:val="0"/>
                <w:sz w:val="20"/>
                <w:szCs w:val="20"/>
              </w:rPr>
            </w:pP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b/>
                <w:snapToGrid w:val="0"/>
                <w:sz w:val="20"/>
                <w:szCs w:val="20"/>
              </w:rPr>
              <w:t>Clinical criteria:</w:t>
            </w:r>
          </w:p>
        </w:tc>
        <w:tc>
          <w:tcPr>
            <w:tcW w:w="5245" w:type="dxa"/>
            <w:gridSpan w:val="4"/>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p>
          <w:p w:rsidR="009F63E7" w:rsidRPr="009F63E7" w:rsidRDefault="009F63E7" w:rsidP="009F63E7">
            <w:pPr>
              <w:widowControl w:val="0"/>
              <w:spacing w:before="0" w:after="0"/>
              <w:rPr>
                <w:rFonts w:ascii="Arial Narrow" w:eastAsia="Times New Roman" w:hAnsi="Arial Narrow" w:cs="Arial"/>
                <w:strike/>
                <w:snapToGrid w:val="0"/>
                <w:sz w:val="20"/>
                <w:szCs w:val="20"/>
              </w:rPr>
            </w:pPr>
            <w:r w:rsidRPr="009F63E7">
              <w:rPr>
                <w:rFonts w:ascii="Arial Narrow" w:eastAsia="Times New Roman" w:hAnsi="Arial Narrow" w:cs="Arial"/>
                <w:snapToGrid w:val="0"/>
                <w:sz w:val="20"/>
                <w:szCs w:val="20"/>
              </w:rPr>
              <w:t>Patient must have previously received non-PBS subsidised treatment with this drug for this condition prior to [PBS listing date]</w:t>
            </w:r>
            <w:r w:rsidRPr="009F63E7">
              <w:rPr>
                <w:rFonts w:ascii="Arial Narrow" w:eastAsia="Times New Roman" w:hAnsi="Arial Narrow" w:cs="Arial"/>
                <w:strike/>
                <w:snapToGrid w:val="0"/>
                <w:sz w:val="20"/>
                <w:szCs w:val="20"/>
              </w:rPr>
              <w:t>;</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AND</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The treatment must be as monotherapy</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AND</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Patient must have a WHO performance status of 2 or less</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AND</w:t>
            </w:r>
          </w:p>
          <w:p w:rsidR="009F63E7" w:rsidRPr="009F63E7" w:rsidRDefault="003656FC" w:rsidP="009F63E7">
            <w:pPr>
              <w:widowControl w:val="0"/>
              <w:spacing w:before="0" w:after="0"/>
              <w:rPr>
                <w:rFonts w:ascii="Arial Narrow" w:eastAsia="Times New Roman" w:hAnsi="Arial Narrow" w:cs="Arial"/>
                <w:snapToGrid w:val="0"/>
                <w:sz w:val="20"/>
                <w:szCs w:val="20"/>
              </w:rPr>
            </w:pPr>
            <w:r w:rsidRPr="003656FC">
              <w:rPr>
                <w:rFonts w:ascii="Arial Narrow" w:eastAsia="Times New Roman" w:hAnsi="Arial Narrow" w:cs="Arial"/>
                <w:snapToGrid w:val="0"/>
                <w:sz w:val="20"/>
                <w:szCs w:val="20"/>
              </w:rPr>
              <w:t>Patient must not develop disease progression while receiving PBS-subsidised treatment with this drug for this condition</w:t>
            </w:r>
            <w:r w:rsidR="009F63E7" w:rsidRPr="009F63E7">
              <w:rPr>
                <w:rFonts w:ascii="Arial Narrow" w:eastAsia="Times New Roman" w:hAnsi="Arial Narrow" w:cs="Arial"/>
                <w:snapToGrid w:val="0"/>
                <w:sz w:val="20"/>
                <w:szCs w:val="20"/>
              </w:rPr>
              <w:t>.</w:t>
            </w:r>
          </w:p>
          <w:p w:rsidR="009F63E7" w:rsidRPr="009F63E7" w:rsidRDefault="009F63E7" w:rsidP="009F14DC">
            <w:pPr>
              <w:widowControl w:val="0"/>
              <w:spacing w:before="0" w:after="0"/>
              <w:jc w:val="center"/>
              <w:rPr>
                <w:rFonts w:ascii="Arial Narrow" w:eastAsia="Times New Roman" w:hAnsi="Arial Narrow" w:cs="Arial"/>
                <w:snapToGrid w:val="0"/>
                <w:sz w:val="20"/>
                <w:szCs w:val="20"/>
              </w:rPr>
            </w:pPr>
          </w:p>
        </w:tc>
      </w:tr>
      <w:tr w:rsidR="009F63E7" w:rsidRPr="009F63E7" w:rsidTr="00E41729">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b/>
                <w:snapToGrid w:val="0"/>
                <w:sz w:val="20"/>
                <w:szCs w:val="20"/>
              </w:rPr>
            </w:pPr>
            <w:r w:rsidRPr="009F63E7">
              <w:rPr>
                <w:rFonts w:ascii="Arial Narrow" w:eastAsia="Times New Roman" w:hAnsi="Arial Narrow" w:cs="Arial"/>
                <w:b/>
                <w:snapToGrid w:val="0"/>
                <w:sz w:val="20"/>
                <w:szCs w:val="20"/>
              </w:rPr>
              <w:t>Population criteria</w:t>
            </w:r>
          </w:p>
        </w:tc>
        <w:tc>
          <w:tcPr>
            <w:tcW w:w="5245" w:type="dxa"/>
            <w:gridSpan w:val="4"/>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Patient must have evidence of an anaplastic lymphoma kinase (ALK) gene rearrangement in tumour material, defined as 15% (or greater) positive cells by fluorescence in situ hybridisation (FISH) testing.</w:t>
            </w:r>
          </w:p>
          <w:p w:rsidR="009F63E7" w:rsidRPr="009F63E7" w:rsidRDefault="009F63E7" w:rsidP="009F63E7">
            <w:pPr>
              <w:keepNext/>
              <w:keepLines/>
              <w:widowControl w:val="0"/>
              <w:spacing w:before="40" w:after="0"/>
              <w:rPr>
                <w:rFonts w:ascii="Arial Narrow" w:eastAsia="Times New Roman" w:hAnsi="Arial Narrow" w:cs="Arial"/>
                <w:snapToGrid w:val="0"/>
                <w:sz w:val="20"/>
                <w:szCs w:val="20"/>
              </w:rPr>
            </w:pPr>
          </w:p>
        </w:tc>
      </w:tr>
      <w:tr w:rsidR="009F63E7" w:rsidRPr="009F63E7" w:rsidTr="00E41729">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b/>
                <w:snapToGrid w:val="0"/>
                <w:sz w:val="20"/>
                <w:szCs w:val="20"/>
              </w:rPr>
              <w:t>Prescriber Instructions</w:t>
            </w:r>
          </w:p>
        </w:tc>
        <w:tc>
          <w:tcPr>
            <w:tcW w:w="5245" w:type="dxa"/>
            <w:gridSpan w:val="4"/>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A patient may qualify for PBS-subsidised treatment under this restriction once only.</w:t>
            </w:r>
          </w:p>
        </w:tc>
      </w:tr>
      <w:tr w:rsidR="009F63E7" w:rsidRPr="009F63E7" w:rsidTr="00E41729">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b/>
                <w:snapToGrid w:val="0"/>
                <w:sz w:val="20"/>
                <w:szCs w:val="20"/>
              </w:rPr>
              <w:t>Administrative Advice</w:t>
            </w:r>
          </w:p>
        </w:tc>
        <w:tc>
          <w:tcPr>
            <w:tcW w:w="5245" w:type="dxa"/>
            <w:gridSpan w:val="4"/>
            <w:tcBorders>
              <w:top w:val="single" w:sz="4" w:space="0" w:color="auto"/>
              <w:left w:val="single" w:sz="4" w:space="0" w:color="auto"/>
              <w:bottom w:val="single" w:sz="4" w:space="0" w:color="auto"/>
              <w:right w:val="single" w:sz="4" w:space="0" w:color="auto"/>
            </w:tcBorders>
          </w:tcPr>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 xml:space="preserve">No increase in the maximum quantity or number of units may be authorised. </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 xml:space="preserve">No increase in the maximum number of repeats may be authorised. </w:t>
            </w:r>
          </w:p>
          <w:p w:rsidR="009F63E7" w:rsidRPr="009F63E7" w:rsidRDefault="009F63E7" w:rsidP="009F63E7">
            <w:pPr>
              <w:widowControl w:val="0"/>
              <w:spacing w:before="0" w:after="0"/>
              <w:rPr>
                <w:rFonts w:ascii="Arial Narrow" w:eastAsia="Times New Roman" w:hAnsi="Arial Narrow" w:cs="Arial"/>
                <w:snapToGrid w:val="0"/>
                <w:sz w:val="20"/>
                <w:szCs w:val="20"/>
              </w:rPr>
            </w:pPr>
            <w:r w:rsidRPr="009F63E7">
              <w:rPr>
                <w:rFonts w:ascii="Arial Narrow" w:eastAsia="Times New Roman" w:hAnsi="Arial Narrow" w:cs="Arial"/>
                <w:snapToGrid w:val="0"/>
                <w:sz w:val="20"/>
                <w:szCs w:val="20"/>
              </w:rPr>
              <w:t>Special Pricing Arrangements apply.</w:t>
            </w:r>
          </w:p>
          <w:p w:rsidR="009F63E7" w:rsidRPr="009F63E7" w:rsidRDefault="009F63E7" w:rsidP="009F63E7">
            <w:pPr>
              <w:widowControl w:val="0"/>
              <w:spacing w:before="0" w:after="0"/>
              <w:rPr>
                <w:rFonts w:ascii="Arial Narrow" w:eastAsia="Times New Roman" w:hAnsi="Arial Narrow" w:cs="Arial"/>
                <w:snapToGrid w:val="0"/>
                <w:sz w:val="20"/>
                <w:szCs w:val="20"/>
              </w:rPr>
            </w:pPr>
          </w:p>
        </w:tc>
      </w:tr>
    </w:tbl>
    <w:p w:rsidR="009F63E7" w:rsidRPr="009F63E7" w:rsidRDefault="009F63E7" w:rsidP="009F63E7">
      <w:pPr>
        <w:widowControl w:val="0"/>
        <w:spacing w:before="0" w:after="0"/>
        <w:rPr>
          <w:rFonts w:ascii="Calibri" w:eastAsia="Times New Roman" w:hAnsi="Calibri" w:cs="Calibri"/>
          <w:snapToGrid w:val="0"/>
          <w:sz w:val="22"/>
          <w:szCs w:val="20"/>
        </w:rPr>
      </w:pPr>
    </w:p>
    <w:p w:rsidR="00134C8D" w:rsidRPr="001C2F0E" w:rsidRDefault="00134C8D" w:rsidP="001C2F0E">
      <w:pPr>
        <w:pStyle w:val="Heading1"/>
        <w:rPr>
          <w:rFonts w:eastAsia="Times New Roman"/>
          <w:snapToGrid w:val="0"/>
        </w:rPr>
      </w:pPr>
      <w:r w:rsidRPr="001C2F0E">
        <w:rPr>
          <w:rFonts w:eastAsia="Times New Roman"/>
          <w:snapToGrid w:val="0"/>
        </w:rPr>
        <w:t>Context for Decision</w:t>
      </w:r>
    </w:p>
    <w:p w:rsidR="00134C8D" w:rsidRPr="00440A84" w:rsidRDefault="00134C8D" w:rsidP="00134C8D">
      <w:pPr>
        <w:spacing w:after="0"/>
        <w:ind w:left="426"/>
        <w:rPr>
          <w:rFonts w:cs="Arial"/>
          <w:szCs w:val="24"/>
        </w:rPr>
      </w:pPr>
    </w:p>
    <w:p w:rsidR="00134C8D" w:rsidRPr="00440A84" w:rsidRDefault="00134C8D" w:rsidP="001C2F0E">
      <w:pPr>
        <w:spacing w:after="0"/>
        <w:rPr>
          <w:rFonts w:cs="Arial"/>
          <w:szCs w:val="24"/>
        </w:rPr>
      </w:pPr>
      <w:r w:rsidRPr="00440A84">
        <w:rPr>
          <w:rFonts w:cs="Arial"/>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34C8D" w:rsidRPr="00440A84" w:rsidRDefault="00134C8D" w:rsidP="00134C8D">
      <w:pPr>
        <w:ind w:left="426"/>
        <w:rPr>
          <w:rFonts w:cs="Arial"/>
          <w:szCs w:val="24"/>
        </w:rPr>
      </w:pPr>
    </w:p>
    <w:p w:rsidR="00134C8D" w:rsidRDefault="00134C8D" w:rsidP="001C2F0E">
      <w:pPr>
        <w:pStyle w:val="Heading1"/>
        <w:rPr>
          <w:rFonts w:eastAsia="Times New Roman"/>
          <w:snapToGrid w:val="0"/>
        </w:rPr>
      </w:pPr>
      <w:r w:rsidRPr="001C2F0E">
        <w:rPr>
          <w:rFonts w:eastAsia="Times New Roman"/>
          <w:snapToGrid w:val="0"/>
        </w:rPr>
        <w:t>Sponsor’s Comment</w:t>
      </w:r>
    </w:p>
    <w:p w:rsidR="001C2F0E" w:rsidRPr="001C2F0E" w:rsidRDefault="001C2F0E" w:rsidP="001C2F0E"/>
    <w:p w:rsidR="00C317F3" w:rsidRPr="00066EA1" w:rsidRDefault="00DD36E7" w:rsidP="00066EA1">
      <w:r>
        <w:rPr>
          <w:rFonts w:cs="Arial"/>
          <w:bCs/>
          <w:szCs w:val="24"/>
        </w:rPr>
        <w:t xml:space="preserve">Roche welcomes the PBAC’s decision to recommend </w:t>
      </w:r>
      <w:proofErr w:type="spellStart"/>
      <w:r>
        <w:rPr>
          <w:rFonts w:cs="Arial"/>
          <w:bCs/>
          <w:szCs w:val="24"/>
        </w:rPr>
        <w:t>alectinib</w:t>
      </w:r>
      <w:proofErr w:type="spellEnd"/>
      <w:r>
        <w:rPr>
          <w:rFonts w:cs="Arial"/>
          <w:bCs/>
          <w:szCs w:val="24"/>
        </w:rPr>
        <w:t xml:space="preserve"> for patients with advanced ALK-positive NSCLC </w:t>
      </w:r>
      <w:r w:rsidRPr="00B64378">
        <w:rPr>
          <w:rFonts w:cs="Arial"/>
          <w:bCs/>
          <w:szCs w:val="24"/>
        </w:rPr>
        <w:t>and are working with the Department of Health towards a PBS listing at the earliest opportunity.</w:t>
      </w:r>
    </w:p>
    <w:sectPr w:rsidR="00C317F3" w:rsidRPr="00066EA1" w:rsidSect="006D4840">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6D14C0" w15:done="0"/>
  <w15:commentEx w15:paraId="7034A118" w15:done="0"/>
  <w15:commentEx w15:paraId="34D1B7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6D14C0" w16cid:durableId="1D1F5D31"/>
  <w16cid:commentId w16cid:paraId="7034A118" w16cid:durableId="1D1F5D32"/>
  <w16cid:commentId w16cid:paraId="34D1B7AE" w16cid:durableId="1D1F5D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F0E" w:rsidRDefault="001C2F0E" w:rsidP="00BA3306">
      <w:pPr>
        <w:spacing w:before="0" w:after="0"/>
      </w:pPr>
      <w:r>
        <w:separator/>
      </w:r>
    </w:p>
    <w:p w:rsidR="001C2F0E" w:rsidRDefault="001C2F0E"/>
  </w:endnote>
  <w:endnote w:type="continuationSeparator" w:id="0">
    <w:p w:rsidR="001C2F0E" w:rsidRDefault="001C2F0E" w:rsidP="00BA3306">
      <w:pPr>
        <w:spacing w:before="0" w:after="0"/>
      </w:pPr>
      <w:r>
        <w:continuationSeparator/>
      </w:r>
    </w:p>
    <w:p w:rsidR="001C2F0E" w:rsidRDefault="001C2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F0E" w:rsidRDefault="001C2F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F28" w:rsidRPr="008C16A4" w:rsidRDefault="00250F28" w:rsidP="008C16A4">
    <w:pPr>
      <w:tabs>
        <w:tab w:val="center" w:pos="4153"/>
        <w:tab w:val="right" w:pos="8306"/>
      </w:tabs>
      <w:spacing w:before="0" w:after="120"/>
      <w:ind w:left="360"/>
      <w:jc w:val="center"/>
      <w:rPr>
        <w:rFonts w:ascii="Calibri" w:eastAsia="Times New Roman" w:hAnsi="Calibri" w:cs="Arial"/>
        <w:szCs w:val="24"/>
      </w:rPr>
    </w:pPr>
    <w:r w:rsidRPr="008C16A4">
      <w:rPr>
        <w:rFonts w:ascii="Calibri" w:eastAsia="Times New Roman" w:hAnsi="Calibri" w:cs="Arial"/>
        <w:szCs w:val="24"/>
      </w:rPr>
      <w:fldChar w:fldCharType="begin"/>
    </w:r>
    <w:r w:rsidRPr="008C16A4">
      <w:rPr>
        <w:rFonts w:ascii="Calibri" w:eastAsia="Times New Roman" w:hAnsi="Calibri" w:cs="Arial"/>
        <w:szCs w:val="24"/>
      </w:rPr>
      <w:instrText xml:space="preserve"> PAGE   \* MERGEFORMAT </w:instrText>
    </w:r>
    <w:r w:rsidRPr="008C16A4">
      <w:rPr>
        <w:rFonts w:ascii="Calibri" w:eastAsia="Times New Roman" w:hAnsi="Calibri" w:cs="Arial"/>
        <w:szCs w:val="24"/>
      </w:rPr>
      <w:fldChar w:fldCharType="separate"/>
    </w:r>
    <w:r w:rsidR="001C2F0E">
      <w:rPr>
        <w:rFonts w:ascii="Calibri" w:eastAsia="Times New Roman" w:hAnsi="Calibri" w:cs="Arial"/>
        <w:noProof/>
        <w:szCs w:val="24"/>
      </w:rPr>
      <w:t>27</w:t>
    </w:r>
    <w:r w:rsidRPr="008C16A4">
      <w:rPr>
        <w:rFonts w:ascii="Calibri" w:eastAsia="Times New Roman" w:hAnsi="Calibri" w:cs="Arial"/>
        <w:noProof/>
        <w:szCs w:val="24"/>
      </w:rPr>
      <w:fldChar w:fldCharType="end"/>
    </w:r>
  </w:p>
  <w:p w:rsidR="00250F28" w:rsidRDefault="00250F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F0E" w:rsidRDefault="001C2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F0E" w:rsidRDefault="001C2F0E" w:rsidP="00BA3306">
      <w:pPr>
        <w:spacing w:before="0" w:after="0"/>
      </w:pPr>
      <w:r>
        <w:separator/>
      </w:r>
    </w:p>
    <w:p w:rsidR="001C2F0E" w:rsidRDefault="001C2F0E"/>
  </w:footnote>
  <w:footnote w:type="continuationSeparator" w:id="0">
    <w:p w:rsidR="001C2F0E" w:rsidRDefault="001C2F0E" w:rsidP="00BA3306">
      <w:pPr>
        <w:spacing w:before="0" w:after="0"/>
      </w:pPr>
      <w:r>
        <w:continuationSeparator/>
      </w:r>
    </w:p>
    <w:p w:rsidR="001C2F0E" w:rsidRDefault="001C2F0E"/>
  </w:footnote>
  <w:footnote w:id="1">
    <w:p w:rsidR="00250F28" w:rsidRDefault="00250F28">
      <w:pPr>
        <w:pStyle w:val="FootnoteText"/>
      </w:pPr>
      <w:r>
        <w:rPr>
          <w:rStyle w:val="FootnoteReference"/>
        </w:rPr>
        <w:footnoteRef/>
      </w:r>
      <w:r>
        <w:t xml:space="preserve"> </w:t>
      </w:r>
      <w:proofErr w:type="spellStart"/>
      <w:r w:rsidRPr="00564AEF">
        <w:t>Cherny</w:t>
      </w:r>
      <w:proofErr w:type="spellEnd"/>
      <w:r w:rsidRPr="00564AEF">
        <w:t xml:space="preserve"> NI, Sullivan R, Dafni U, et al: A standardised, generic, validated approach to stratify the magnitude of clinical benefit that can be anticipated from anti-cancer therapies: the European Society for Medical Oncology Magnitude of Clinical Benefit Scale (ESMO-MCBS). Ann </w:t>
      </w:r>
      <w:proofErr w:type="spellStart"/>
      <w:r w:rsidRPr="00564AEF">
        <w:t>Oncol</w:t>
      </w:r>
      <w:proofErr w:type="spellEnd"/>
      <w:r w:rsidRPr="00564AEF">
        <w:t xml:space="preserve"> 26:1547-73, 2015</w:t>
      </w:r>
    </w:p>
  </w:footnote>
  <w:footnote w:id="2">
    <w:p w:rsidR="00250F28" w:rsidRDefault="00250F28">
      <w:pPr>
        <w:pStyle w:val="FootnoteText"/>
      </w:pPr>
      <w:r>
        <w:rPr>
          <w:rStyle w:val="FootnoteReference"/>
        </w:rPr>
        <w:footnoteRef/>
      </w:r>
      <w:r>
        <w:t xml:space="preserve"> </w:t>
      </w:r>
      <w:r w:rsidRPr="00770A6F">
        <w:t>http://www.roche.com/media/store/releases/med-cor-2017-04-03.htm</w:t>
      </w:r>
    </w:p>
  </w:footnote>
  <w:footnote w:id="3">
    <w:p w:rsidR="00250F28" w:rsidRDefault="00250F28" w:rsidP="00683BA2">
      <w:pPr>
        <w:pStyle w:val="FootnoteText"/>
      </w:pPr>
      <w:r>
        <w:rPr>
          <w:rStyle w:val="FootnoteReference"/>
        </w:rPr>
        <w:footnoteRef/>
      </w:r>
      <w:r>
        <w:t xml:space="preserve"> </w:t>
      </w:r>
      <w:r w:rsidRPr="00747DBF">
        <w:t>Indirect Comparisons Working Group to the Pharmaceutical Benefits Advisory Committee. Report of the Indirect Comparisons Working Group to the Pharmaceutical Benefits Advisory Committee: assessing indirect comparisons. 2009.</w:t>
      </w:r>
    </w:p>
  </w:footnote>
  <w:footnote w:id="4">
    <w:p w:rsidR="00250F28" w:rsidRPr="00051C4E" w:rsidRDefault="00250F28" w:rsidP="00BC4FDA">
      <w:pPr>
        <w:pStyle w:val="FootnoteText"/>
      </w:pPr>
      <w:r>
        <w:rPr>
          <w:rStyle w:val="FootnoteReference"/>
        </w:rPr>
        <w:footnoteRef/>
      </w:r>
      <w:r>
        <w:t xml:space="preserve"> Asian ethnicity is a favourable prognostic factor for overall survival in NSCLC (</w:t>
      </w:r>
      <w:proofErr w:type="spellStart"/>
      <w:r>
        <w:t>Ou</w:t>
      </w:r>
      <w:proofErr w:type="spellEnd"/>
      <w:r>
        <w:t xml:space="preserve"> et al, </w:t>
      </w:r>
      <w:r>
        <w:rPr>
          <w:i/>
        </w:rPr>
        <w:t xml:space="preserve">J </w:t>
      </w:r>
      <w:proofErr w:type="spellStart"/>
      <w:r>
        <w:rPr>
          <w:i/>
        </w:rPr>
        <w:t>Thorac</w:t>
      </w:r>
      <w:proofErr w:type="spellEnd"/>
      <w:r>
        <w:rPr>
          <w:i/>
        </w:rPr>
        <w:t xml:space="preserve"> </w:t>
      </w:r>
      <w:proofErr w:type="spellStart"/>
      <w:r>
        <w:rPr>
          <w:i/>
        </w:rPr>
        <w:t>Oncol</w:t>
      </w:r>
      <w:proofErr w:type="spellEnd"/>
      <w:r>
        <w:t xml:space="preserve"> 2009; 4:1083-93).</w:t>
      </w:r>
    </w:p>
  </w:footnote>
  <w:footnote w:id="5">
    <w:p w:rsidR="00250F28" w:rsidRDefault="00250F28" w:rsidP="007B6968">
      <w:pPr>
        <w:pStyle w:val="FootnoteText"/>
      </w:pPr>
      <w:r>
        <w:rPr>
          <w:rStyle w:val="FootnoteReference"/>
        </w:rPr>
        <w:footnoteRef/>
      </w:r>
      <w:r>
        <w:t xml:space="preserve"> The RE population was</w:t>
      </w:r>
      <w:r w:rsidRPr="00D86FEB">
        <w:t xml:space="preserve"> defined as </w:t>
      </w:r>
      <w:r>
        <w:t xml:space="preserve">all </w:t>
      </w:r>
      <w:r w:rsidRPr="00D86FEB">
        <w:t xml:space="preserve">patients with measurable disease at baseline who had a baseline tumour assessment and received at least one dose of </w:t>
      </w:r>
      <w:proofErr w:type="spellStart"/>
      <w:r w:rsidRPr="00D86FEB">
        <w:t>alectinib</w:t>
      </w:r>
      <w:proofErr w:type="spellEnd"/>
      <w:r w:rsidRPr="00D86FEB">
        <w:t>.</w:t>
      </w:r>
    </w:p>
  </w:footnote>
  <w:footnote w:id="6">
    <w:p w:rsidR="00250F28" w:rsidRDefault="00250F28" w:rsidP="008735BD">
      <w:pPr>
        <w:pStyle w:val="FootnoteText"/>
      </w:pPr>
      <w:r>
        <w:rPr>
          <w:rStyle w:val="FootnoteReference"/>
        </w:rPr>
        <w:footnoteRef/>
      </w:r>
      <w:r>
        <w:t xml:space="preserve"> The deaths in the </w:t>
      </w:r>
      <w:proofErr w:type="spellStart"/>
      <w:r>
        <w:t>alectinib</w:t>
      </w:r>
      <w:proofErr w:type="spellEnd"/>
      <w:r>
        <w:t xml:space="preserve"> studies were attributed to</w:t>
      </w:r>
      <w:r w:rsidRPr="00186994">
        <w:t xml:space="preserve"> haemorrhage (2 patients), dyspnoea, endocarditis, intestinal perforation, pulmonary embolism, and unspecified (1 patient each).</w:t>
      </w:r>
      <w:r>
        <w:t xml:space="preserve"> The two deaths in the </w:t>
      </w:r>
      <w:proofErr w:type="spellStart"/>
      <w:r>
        <w:t>ceritinib</w:t>
      </w:r>
      <w:proofErr w:type="spellEnd"/>
      <w:r>
        <w:t xml:space="preserve"> studies were due to interstitial lung disease, and multi-organ failure in the context of infection and ischaemic hepatitis.</w:t>
      </w:r>
    </w:p>
  </w:footnote>
  <w:footnote w:id="7">
    <w:p w:rsidR="00250F28" w:rsidRDefault="00250F28">
      <w:pPr>
        <w:pStyle w:val="FootnoteText"/>
      </w:pPr>
      <w:r>
        <w:rPr>
          <w:rStyle w:val="FootnoteReference"/>
        </w:rPr>
        <w:footnoteRef/>
      </w:r>
      <w:r>
        <w:t xml:space="preserve"> </w:t>
      </w:r>
      <w:r w:rsidRPr="00597E34">
        <w:t>Clinical study report - Comparative</w:t>
      </w:r>
      <w:r w:rsidRPr="009B27BA">
        <w:t xml:space="preserve"> Efficacy In </w:t>
      </w:r>
      <w:proofErr w:type="spellStart"/>
      <w:r w:rsidRPr="009B27BA">
        <w:t>Alk</w:t>
      </w:r>
      <w:proofErr w:type="spellEnd"/>
      <w:r w:rsidRPr="009B27BA">
        <w:t xml:space="preserve">-Positive Non-Small Cell Lung Cancer Patients Following Progression With </w:t>
      </w:r>
      <w:proofErr w:type="spellStart"/>
      <w:r w:rsidRPr="009B27BA">
        <w:t>Crizotinib</w:t>
      </w:r>
      <w:proofErr w:type="spellEnd"/>
      <w:r w:rsidRPr="009B27BA">
        <w:t xml:space="preserve">: A Comparison Of </w:t>
      </w:r>
      <w:proofErr w:type="spellStart"/>
      <w:r w:rsidRPr="009B27BA">
        <w:t>Alectinib</w:t>
      </w:r>
      <w:proofErr w:type="spellEnd"/>
      <w:r w:rsidRPr="009B27BA">
        <w:t xml:space="preserve"> Phase </w:t>
      </w:r>
      <w:r>
        <w:t>II</w:t>
      </w:r>
      <w:r w:rsidRPr="009B27BA">
        <w:t xml:space="preserve"> Data Versus </w:t>
      </w:r>
      <w:proofErr w:type="spellStart"/>
      <w:r w:rsidRPr="009B27BA">
        <w:t>Ceritinib</w:t>
      </w:r>
      <w:proofErr w:type="spellEnd"/>
      <w:r w:rsidRPr="009B27BA">
        <w:t xml:space="preserve"> Real-World Data</w:t>
      </w:r>
      <w:r>
        <w:t xml:space="preserve"> </w:t>
      </w:r>
      <w:r>
        <w:fldChar w:fldCharType="begin"/>
      </w:r>
      <w:r>
        <w:instrText xml:space="preserve"> ADDIN EN.CITE &lt;EndNote&gt;&lt;Cite&gt;&lt;Author&gt;CSR&lt;/Author&gt;&lt;Year&gt;2017&lt;/Year&gt;&lt;RecNum&gt;40&lt;/RecNum&gt;&lt;DisplayText&gt;(MO39246 CSR 2017)&lt;/DisplayText&gt;&lt;record&gt;&lt;rec-number&gt;40&lt;/rec-number&gt;&lt;foreign-keys&gt;&lt;key app="EN" db-id="z5wa0zrfjpzxase0ed8pze9t2frw5tea0efr" timestamp="1486784775"&gt;40&lt;/key&gt;&lt;/foreign-keys&gt;&lt;ref-type name="Report"&gt;27&lt;/ref-type&gt;&lt;contributors&gt;&lt;authors&gt;&lt;author&gt;MO39246 CSR,&lt;/author&gt;&lt;/authors&gt;&lt;secondary-authors&gt;&lt;author&gt;Roche Products Pty Ltd&lt;/author&gt;&lt;/secondary-authors&gt;&lt;/contributors&gt;&lt;titles&gt;&lt;title&gt;Comparative Efficacy In ALK-Positive Non-Small Cell Lung Cancer Patients Following Progression With Crizotinib: A Comparison Of Alectinib Phase II Data Versus Ceritinib Real-World Data &lt;/title&gt;&lt;/titles&gt;&lt;dates&gt;&lt;year&gt;2017&lt;/year&gt;&lt;/dates&gt;&lt;urls&gt;&lt;/urls&gt;&lt;/record&gt;&lt;/Cite&gt;&lt;/EndNote&gt;</w:instrText>
      </w:r>
      <w:r>
        <w:fldChar w:fldCharType="separate"/>
      </w:r>
      <w:r>
        <w:rPr>
          <w:noProof/>
        </w:rPr>
        <w:t>(MO39246 CSR 2017)</w:t>
      </w:r>
      <w: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F0E" w:rsidRDefault="001C2F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F28" w:rsidRPr="008C16A4" w:rsidRDefault="00250F28" w:rsidP="008C16A4">
    <w:pPr>
      <w:tabs>
        <w:tab w:val="center" w:pos="4153"/>
        <w:tab w:val="right" w:pos="8306"/>
      </w:tabs>
      <w:spacing w:before="0" w:after="120"/>
      <w:ind w:left="360"/>
      <w:jc w:val="center"/>
      <w:rPr>
        <w:rFonts w:ascii="Calibri" w:eastAsia="Times New Roman" w:hAnsi="Calibri" w:cs="Arial"/>
        <w:i/>
        <w:color w:val="808080"/>
        <w:szCs w:val="24"/>
      </w:rPr>
    </w:pPr>
    <w:r>
      <w:rPr>
        <w:rFonts w:ascii="Calibri" w:eastAsia="Times New Roman" w:hAnsi="Calibri" w:cs="Arial"/>
        <w:i/>
        <w:color w:val="808080"/>
        <w:szCs w:val="24"/>
      </w:rPr>
      <w:t>Public Summary Document</w:t>
    </w:r>
    <w:r w:rsidRPr="008C16A4">
      <w:rPr>
        <w:rFonts w:ascii="Calibri" w:eastAsia="Times New Roman" w:hAnsi="Calibri" w:cs="Arial"/>
        <w:i/>
        <w:color w:val="808080"/>
        <w:szCs w:val="24"/>
      </w:rPr>
      <w:t xml:space="preserve"> – </w:t>
    </w:r>
    <w:r>
      <w:rPr>
        <w:rFonts w:ascii="Calibri" w:eastAsia="Times New Roman" w:hAnsi="Calibri" w:cs="Arial"/>
        <w:i/>
        <w:color w:val="808080"/>
        <w:szCs w:val="24"/>
      </w:rPr>
      <w:t>July 2017</w:t>
    </w:r>
    <w:r w:rsidRPr="008C16A4">
      <w:rPr>
        <w:rFonts w:ascii="Calibri" w:eastAsia="Times New Roman" w:hAnsi="Calibri" w:cs="Arial"/>
        <w:i/>
        <w:color w:val="808080"/>
        <w:szCs w:val="24"/>
      </w:rPr>
      <w:t xml:space="preserve"> PBAC Meeting</w:t>
    </w:r>
  </w:p>
  <w:p w:rsidR="00250F28" w:rsidRPr="008C16A4" w:rsidRDefault="00250F28" w:rsidP="008C16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F0E" w:rsidRDefault="001C2F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BF12DB"/>
    <w:multiLevelType w:val="hybridMultilevel"/>
    <w:tmpl w:val="23D63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753CBD"/>
    <w:multiLevelType w:val="hybridMultilevel"/>
    <w:tmpl w:val="57023F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CA5996"/>
    <w:multiLevelType w:val="hybridMultilevel"/>
    <w:tmpl w:val="508C681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84E6825"/>
    <w:multiLevelType w:val="multilevel"/>
    <w:tmpl w:val="6EE482C4"/>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3173D37"/>
    <w:multiLevelType w:val="multilevel"/>
    <w:tmpl w:val="4C58297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i w:val="0"/>
        <w:sz w:val="24"/>
        <w:szCs w:val="24"/>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698320F"/>
    <w:multiLevelType w:val="hybridMultilevel"/>
    <w:tmpl w:val="6652D7BC"/>
    <w:lvl w:ilvl="0" w:tplc="C076E0AA">
      <w:start w:val="1"/>
      <w:numFmt w:val="lowerLetter"/>
      <w:lvlText w:val="(%1)"/>
      <w:lvlJc w:val="left"/>
      <w:pPr>
        <w:ind w:left="720" w:hanging="360"/>
      </w:pPr>
      <w:rPr>
        <w:rFonts w:asciiTheme="minorHAnsi" w:eastAsiaTheme="minorHAnsi" w:hAnsiTheme="minorHAnsi" w:cstheme="minorBidi"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84E3BC4"/>
    <w:multiLevelType w:val="hybridMultilevel"/>
    <w:tmpl w:val="1048E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9391084"/>
    <w:multiLevelType w:val="hybridMultilevel"/>
    <w:tmpl w:val="709ECB3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487B53FB"/>
    <w:multiLevelType w:val="hybridMultilevel"/>
    <w:tmpl w:val="03F420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0E72A9"/>
    <w:multiLevelType w:val="hybridMultilevel"/>
    <w:tmpl w:val="22DCC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511925"/>
    <w:multiLevelType w:val="hybridMultilevel"/>
    <w:tmpl w:val="751A047C"/>
    <w:lvl w:ilvl="0" w:tplc="820ED34A">
      <w:start w:val="1"/>
      <w:numFmt w:val="bullet"/>
      <w:pStyle w:val="PBAC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D00A85"/>
    <w:multiLevelType w:val="hybridMultilevel"/>
    <w:tmpl w:val="E09679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4D033C"/>
    <w:multiLevelType w:val="multilevel"/>
    <w:tmpl w:val="5CFCAD9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i w:val="0"/>
        <w:sz w:val="24"/>
        <w:szCs w:val="24"/>
      </w:rPr>
    </w:lvl>
    <w:lvl w:ilvl="2">
      <w:start w:val="1"/>
      <w:numFmt w:val="bullet"/>
      <w:lvlText w:val=""/>
      <w:lvlJc w:val="left"/>
      <w:pPr>
        <w:ind w:left="720" w:hanging="720"/>
      </w:pPr>
      <w:rPr>
        <w:rFonts w:ascii="Symbol" w:hAnsi="Symbol" w:hint="default"/>
      </w:rPr>
    </w:lvl>
    <w:lvl w:ilvl="3">
      <w:start w:val="1"/>
      <w:numFmt w:val="bullet"/>
      <w:lvlText w:val="o"/>
      <w:lvlJc w:val="left"/>
      <w:pPr>
        <w:ind w:left="1080" w:hanging="108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6"/>
  </w:num>
  <w:num w:numId="3">
    <w:abstractNumId w:val="13"/>
  </w:num>
  <w:num w:numId="4">
    <w:abstractNumId w:val="19"/>
  </w:num>
  <w:num w:numId="5">
    <w:abstractNumId w:val="7"/>
  </w:num>
  <w:num w:numId="6">
    <w:abstractNumId w:val="18"/>
  </w:num>
  <w:num w:numId="7">
    <w:abstractNumId w:val="4"/>
  </w:num>
  <w:num w:numId="8">
    <w:abstractNumId w:val="12"/>
  </w:num>
  <w:num w:numId="9">
    <w:abstractNumId w:val="3"/>
  </w:num>
  <w:num w:numId="10">
    <w:abstractNumId w:val="11"/>
  </w:num>
  <w:num w:numId="11">
    <w:abstractNumId w:val="15"/>
  </w:num>
  <w:num w:numId="12">
    <w:abstractNumId w:val="2"/>
  </w:num>
  <w:num w:numId="13">
    <w:abstractNumId w:val="0"/>
  </w:num>
  <w:num w:numId="14">
    <w:abstractNumId w:val="5"/>
  </w:num>
  <w:num w:numId="1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6"/>
  </w:num>
  <w:num w:numId="18">
    <w:abstractNumId w:val="14"/>
  </w:num>
  <w:num w:numId="19">
    <w:abstractNumId w:val="8"/>
  </w:num>
  <w:num w:numId="20">
    <w:abstractNumId w:val="10"/>
  </w:num>
  <w:num w:numId="21">
    <w:abstractNumId w:val="9"/>
  </w:num>
  <w:num w:numId="22">
    <w:abstractNumId w:val="6"/>
  </w:num>
  <w:num w:numId="23">
    <w:abstractNumId w:val="6"/>
  </w:num>
  <w:num w:numId="24">
    <w:abstractNumId w:val="6"/>
  </w:num>
  <w:num w:numId="25">
    <w:abstractNumId w:val="6"/>
  </w:num>
  <w:num w:numId="26">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of Robyn Ward">
    <w15:presenceInfo w15:providerId="Windows Live" w15:userId="2f8c0452c87ad331"/>
  </w15:person>
  <w15:person w15:author="Prof Robyn Ward [2]">
    <w15:presenceInfo w15:providerId="Windows Live" w15:userId="2f8c0452c87ad331"/>
  </w15:person>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9xv9v55ext9keex9opvre7w095afxevr2z&quot;&gt;Alectinib&lt;record-ids&gt;&lt;item&gt;33&lt;/item&gt;&lt;item&gt;37&lt;/item&gt;&lt;item&gt;41&lt;/item&gt;&lt;item&gt;89&lt;/item&gt;&lt;item&gt;226&lt;/item&gt;&lt;item&gt;232&lt;/item&gt;&lt;item&gt;469&lt;/item&gt;&lt;item&gt;471&lt;/item&gt;&lt;item&gt;478&lt;/item&gt;&lt;item&gt;497&lt;/item&gt;&lt;item&gt;502&lt;/item&gt;&lt;item&gt;504&lt;/item&gt;&lt;item&gt;515&lt;/item&gt;&lt;item&gt;516&lt;/item&gt;&lt;item&gt;518&lt;/item&gt;&lt;item&gt;522&lt;/item&gt;&lt;item&gt;523&lt;/item&gt;&lt;item&gt;525&lt;/item&gt;&lt;item&gt;526&lt;/item&gt;&lt;item&gt;527&lt;/item&gt;&lt;item&gt;528&lt;/item&gt;&lt;item&gt;530&lt;/item&gt;&lt;item&gt;531&lt;/item&gt;&lt;item&gt;532&lt;/item&gt;&lt;item&gt;533&lt;/item&gt;&lt;item&gt;534&lt;/item&gt;&lt;item&gt;535&lt;/item&gt;&lt;/record-ids&gt;&lt;/item&gt;&lt;/Libraries&gt;"/>
  </w:docVars>
  <w:rsids>
    <w:rsidRoot w:val="00821A29"/>
    <w:rsid w:val="00000422"/>
    <w:rsid w:val="0000143F"/>
    <w:rsid w:val="000015A8"/>
    <w:rsid w:val="000015FC"/>
    <w:rsid w:val="00001AB4"/>
    <w:rsid w:val="00001FD6"/>
    <w:rsid w:val="000024FC"/>
    <w:rsid w:val="0000257E"/>
    <w:rsid w:val="000044E5"/>
    <w:rsid w:val="00005368"/>
    <w:rsid w:val="000066C1"/>
    <w:rsid w:val="00006A72"/>
    <w:rsid w:val="000071D4"/>
    <w:rsid w:val="000076B1"/>
    <w:rsid w:val="0000792D"/>
    <w:rsid w:val="0001066F"/>
    <w:rsid w:val="00010AB9"/>
    <w:rsid w:val="00010F73"/>
    <w:rsid w:val="0001232C"/>
    <w:rsid w:val="0001266C"/>
    <w:rsid w:val="00013222"/>
    <w:rsid w:val="00013594"/>
    <w:rsid w:val="0001366D"/>
    <w:rsid w:val="00013B39"/>
    <w:rsid w:val="00013C33"/>
    <w:rsid w:val="00013EBF"/>
    <w:rsid w:val="000141D0"/>
    <w:rsid w:val="0001422F"/>
    <w:rsid w:val="0001567E"/>
    <w:rsid w:val="00015773"/>
    <w:rsid w:val="00015867"/>
    <w:rsid w:val="00015A74"/>
    <w:rsid w:val="00015B88"/>
    <w:rsid w:val="0001630B"/>
    <w:rsid w:val="00016350"/>
    <w:rsid w:val="00016C50"/>
    <w:rsid w:val="0002095B"/>
    <w:rsid w:val="00022489"/>
    <w:rsid w:val="000238DA"/>
    <w:rsid w:val="00023A20"/>
    <w:rsid w:val="00023C68"/>
    <w:rsid w:val="00024DD3"/>
    <w:rsid w:val="00025651"/>
    <w:rsid w:val="00025812"/>
    <w:rsid w:val="000261E0"/>
    <w:rsid w:val="0002685B"/>
    <w:rsid w:val="00026BBC"/>
    <w:rsid w:val="00026C48"/>
    <w:rsid w:val="00027902"/>
    <w:rsid w:val="00027D42"/>
    <w:rsid w:val="000310B4"/>
    <w:rsid w:val="000315E1"/>
    <w:rsid w:val="0003359C"/>
    <w:rsid w:val="00033CD0"/>
    <w:rsid w:val="00034404"/>
    <w:rsid w:val="00036453"/>
    <w:rsid w:val="0003669B"/>
    <w:rsid w:val="00036831"/>
    <w:rsid w:val="0003733B"/>
    <w:rsid w:val="000373C1"/>
    <w:rsid w:val="00037A02"/>
    <w:rsid w:val="00037A28"/>
    <w:rsid w:val="00037B7E"/>
    <w:rsid w:val="00040146"/>
    <w:rsid w:val="00041420"/>
    <w:rsid w:val="00041B94"/>
    <w:rsid w:val="000420CF"/>
    <w:rsid w:val="00042B90"/>
    <w:rsid w:val="00043A7D"/>
    <w:rsid w:val="00043BB7"/>
    <w:rsid w:val="000445B1"/>
    <w:rsid w:val="000454A6"/>
    <w:rsid w:val="000461CF"/>
    <w:rsid w:val="0004622D"/>
    <w:rsid w:val="000466A1"/>
    <w:rsid w:val="000470E1"/>
    <w:rsid w:val="000471FF"/>
    <w:rsid w:val="00047C87"/>
    <w:rsid w:val="00047CFC"/>
    <w:rsid w:val="00047DF2"/>
    <w:rsid w:val="00050CAA"/>
    <w:rsid w:val="00051566"/>
    <w:rsid w:val="000515E1"/>
    <w:rsid w:val="00051C4E"/>
    <w:rsid w:val="00052571"/>
    <w:rsid w:val="00053092"/>
    <w:rsid w:val="0005333D"/>
    <w:rsid w:val="00053D76"/>
    <w:rsid w:val="00054407"/>
    <w:rsid w:val="0005474F"/>
    <w:rsid w:val="000548CA"/>
    <w:rsid w:val="0005506D"/>
    <w:rsid w:val="0005555B"/>
    <w:rsid w:val="000555C1"/>
    <w:rsid w:val="00055F9A"/>
    <w:rsid w:val="00056AAB"/>
    <w:rsid w:val="000573BC"/>
    <w:rsid w:val="00057537"/>
    <w:rsid w:val="000577AC"/>
    <w:rsid w:val="0005780E"/>
    <w:rsid w:val="00057F71"/>
    <w:rsid w:val="00061009"/>
    <w:rsid w:val="00061AAA"/>
    <w:rsid w:val="00062067"/>
    <w:rsid w:val="000624CB"/>
    <w:rsid w:val="00064E8A"/>
    <w:rsid w:val="00065C62"/>
    <w:rsid w:val="00065CDE"/>
    <w:rsid w:val="00065F4A"/>
    <w:rsid w:val="000666B6"/>
    <w:rsid w:val="00066EA1"/>
    <w:rsid w:val="00067061"/>
    <w:rsid w:val="00067274"/>
    <w:rsid w:val="0007171A"/>
    <w:rsid w:val="00071890"/>
    <w:rsid w:val="000729EC"/>
    <w:rsid w:val="00072E7B"/>
    <w:rsid w:val="00073399"/>
    <w:rsid w:val="000745E1"/>
    <w:rsid w:val="00075219"/>
    <w:rsid w:val="00076301"/>
    <w:rsid w:val="00077CE8"/>
    <w:rsid w:val="00080654"/>
    <w:rsid w:val="00080C5C"/>
    <w:rsid w:val="00080E08"/>
    <w:rsid w:val="00080FF3"/>
    <w:rsid w:val="0008331E"/>
    <w:rsid w:val="000837E9"/>
    <w:rsid w:val="00083F0C"/>
    <w:rsid w:val="000843DD"/>
    <w:rsid w:val="00084766"/>
    <w:rsid w:val="000847FE"/>
    <w:rsid w:val="00084BD9"/>
    <w:rsid w:val="00084DC9"/>
    <w:rsid w:val="00084E8F"/>
    <w:rsid w:val="00085D63"/>
    <w:rsid w:val="00085E3E"/>
    <w:rsid w:val="00085F43"/>
    <w:rsid w:val="00085FB4"/>
    <w:rsid w:val="00086133"/>
    <w:rsid w:val="00086404"/>
    <w:rsid w:val="0008717B"/>
    <w:rsid w:val="00087AA1"/>
    <w:rsid w:val="00087C6B"/>
    <w:rsid w:val="00090103"/>
    <w:rsid w:val="000902CB"/>
    <w:rsid w:val="00090307"/>
    <w:rsid w:val="00090DFC"/>
    <w:rsid w:val="0009183B"/>
    <w:rsid w:val="000921CE"/>
    <w:rsid w:val="0009269A"/>
    <w:rsid w:val="000929AA"/>
    <w:rsid w:val="00092ADB"/>
    <w:rsid w:val="00092C5E"/>
    <w:rsid w:val="0009511A"/>
    <w:rsid w:val="00096885"/>
    <w:rsid w:val="000A1CBE"/>
    <w:rsid w:val="000A2694"/>
    <w:rsid w:val="000A2955"/>
    <w:rsid w:val="000A2EF1"/>
    <w:rsid w:val="000A352A"/>
    <w:rsid w:val="000A3A53"/>
    <w:rsid w:val="000A4519"/>
    <w:rsid w:val="000A48EE"/>
    <w:rsid w:val="000A58DF"/>
    <w:rsid w:val="000A5F76"/>
    <w:rsid w:val="000A6C97"/>
    <w:rsid w:val="000A6FBD"/>
    <w:rsid w:val="000A7544"/>
    <w:rsid w:val="000A76E0"/>
    <w:rsid w:val="000A7D7B"/>
    <w:rsid w:val="000B000E"/>
    <w:rsid w:val="000B0217"/>
    <w:rsid w:val="000B0686"/>
    <w:rsid w:val="000B0CA7"/>
    <w:rsid w:val="000B12A1"/>
    <w:rsid w:val="000B17E6"/>
    <w:rsid w:val="000B1ABC"/>
    <w:rsid w:val="000B1D13"/>
    <w:rsid w:val="000B2BA4"/>
    <w:rsid w:val="000B37CF"/>
    <w:rsid w:val="000B3D51"/>
    <w:rsid w:val="000B4B2E"/>
    <w:rsid w:val="000B5544"/>
    <w:rsid w:val="000B56CD"/>
    <w:rsid w:val="000B6350"/>
    <w:rsid w:val="000B6952"/>
    <w:rsid w:val="000B6B69"/>
    <w:rsid w:val="000B7A20"/>
    <w:rsid w:val="000B7F66"/>
    <w:rsid w:val="000C0142"/>
    <w:rsid w:val="000C0388"/>
    <w:rsid w:val="000C0462"/>
    <w:rsid w:val="000C0EE0"/>
    <w:rsid w:val="000C1259"/>
    <w:rsid w:val="000C13BC"/>
    <w:rsid w:val="000C1513"/>
    <w:rsid w:val="000C1613"/>
    <w:rsid w:val="000C2151"/>
    <w:rsid w:val="000C338B"/>
    <w:rsid w:val="000C340C"/>
    <w:rsid w:val="000C354A"/>
    <w:rsid w:val="000C3755"/>
    <w:rsid w:val="000C48E0"/>
    <w:rsid w:val="000C4E7B"/>
    <w:rsid w:val="000C697A"/>
    <w:rsid w:val="000C6A40"/>
    <w:rsid w:val="000C73FC"/>
    <w:rsid w:val="000C7A58"/>
    <w:rsid w:val="000D0023"/>
    <w:rsid w:val="000D04CE"/>
    <w:rsid w:val="000D0E41"/>
    <w:rsid w:val="000D205E"/>
    <w:rsid w:val="000D24AC"/>
    <w:rsid w:val="000D2E44"/>
    <w:rsid w:val="000D3CD5"/>
    <w:rsid w:val="000D4174"/>
    <w:rsid w:val="000D4EB3"/>
    <w:rsid w:val="000D6397"/>
    <w:rsid w:val="000D6B9B"/>
    <w:rsid w:val="000D6E32"/>
    <w:rsid w:val="000D72C3"/>
    <w:rsid w:val="000E02E4"/>
    <w:rsid w:val="000E0CDD"/>
    <w:rsid w:val="000E14FB"/>
    <w:rsid w:val="000E2FCD"/>
    <w:rsid w:val="000E3F02"/>
    <w:rsid w:val="000E40C3"/>
    <w:rsid w:val="000E419B"/>
    <w:rsid w:val="000E4C17"/>
    <w:rsid w:val="000E5613"/>
    <w:rsid w:val="000E6206"/>
    <w:rsid w:val="000E6CD5"/>
    <w:rsid w:val="000F164E"/>
    <w:rsid w:val="000F189F"/>
    <w:rsid w:val="000F190C"/>
    <w:rsid w:val="000F1CC8"/>
    <w:rsid w:val="000F2534"/>
    <w:rsid w:val="000F260F"/>
    <w:rsid w:val="000F30F7"/>
    <w:rsid w:val="000F3652"/>
    <w:rsid w:val="000F3B87"/>
    <w:rsid w:val="000F3D33"/>
    <w:rsid w:val="000F6598"/>
    <w:rsid w:val="000F7F5F"/>
    <w:rsid w:val="0010011F"/>
    <w:rsid w:val="00100125"/>
    <w:rsid w:val="00102258"/>
    <w:rsid w:val="00102C8E"/>
    <w:rsid w:val="001035AF"/>
    <w:rsid w:val="0010370B"/>
    <w:rsid w:val="00103B64"/>
    <w:rsid w:val="001041E7"/>
    <w:rsid w:val="00105FA9"/>
    <w:rsid w:val="00106169"/>
    <w:rsid w:val="001063FA"/>
    <w:rsid w:val="00106A31"/>
    <w:rsid w:val="00106D90"/>
    <w:rsid w:val="00107178"/>
    <w:rsid w:val="0010717D"/>
    <w:rsid w:val="001072E3"/>
    <w:rsid w:val="0010776D"/>
    <w:rsid w:val="001077F8"/>
    <w:rsid w:val="00107D09"/>
    <w:rsid w:val="00111AA8"/>
    <w:rsid w:val="0011222C"/>
    <w:rsid w:val="00112319"/>
    <w:rsid w:val="001124CC"/>
    <w:rsid w:val="00114B19"/>
    <w:rsid w:val="00115166"/>
    <w:rsid w:val="00115FF8"/>
    <w:rsid w:val="00116FEB"/>
    <w:rsid w:val="001200FB"/>
    <w:rsid w:val="00120815"/>
    <w:rsid w:val="0012157D"/>
    <w:rsid w:val="001218A1"/>
    <w:rsid w:val="00121E27"/>
    <w:rsid w:val="00122920"/>
    <w:rsid w:val="00122FA6"/>
    <w:rsid w:val="00123474"/>
    <w:rsid w:val="001234F9"/>
    <w:rsid w:val="00123AB0"/>
    <w:rsid w:val="00123CCF"/>
    <w:rsid w:val="00123D48"/>
    <w:rsid w:val="00124124"/>
    <w:rsid w:val="00124169"/>
    <w:rsid w:val="001244F2"/>
    <w:rsid w:val="00125379"/>
    <w:rsid w:val="0012566D"/>
    <w:rsid w:val="0012632B"/>
    <w:rsid w:val="0012651C"/>
    <w:rsid w:val="0012701F"/>
    <w:rsid w:val="001270F1"/>
    <w:rsid w:val="00127561"/>
    <w:rsid w:val="001279AE"/>
    <w:rsid w:val="001304D0"/>
    <w:rsid w:val="001308DA"/>
    <w:rsid w:val="00130ADA"/>
    <w:rsid w:val="00130BCF"/>
    <w:rsid w:val="00131DA3"/>
    <w:rsid w:val="001329EF"/>
    <w:rsid w:val="001344EE"/>
    <w:rsid w:val="00134A52"/>
    <w:rsid w:val="00134C8D"/>
    <w:rsid w:val="0013532D"/>
    <w:rsid w:val="001366F0"/>
    <w:rsid w:val="00136B9B"/>
    <w:rsid w:val="00136E76"/>
    <w:rsid w:val="00137D76"/>
    <w:rsid w:val="00137FC4"/>
    <w:rsid w:val="0014050B"/>
    <w:rsid w:val="00140569"/>
    <w:rsid w:val="00140642"/>
    <w:rsid w:val="001407D1"/>
    <w:rsid w:val="001414AA"/>
    <w:rsid w:val="00141856"/>
    <w:rsid w:val="0014189D"/>
    <w:rsid w:val="00141FCC"/>
    <w:rsid w:val="001435B9"/>
    <w:rsid w:val="001436B3"/>
    <w:rsid w:val="0014387B"/>
    <w:rsid w:val="001444F6"/>
    <w:rsid w:val="001446CD"/>
    <w:rsid w:val="00145490"/>
    <w:rsid w:val="001455A2"/>
    <w:rsid w:val="00145763"/>
    <w:rsid w:val="00145DC2"/>
    <w:rsid w:val="00145F14"/>
    <w:rsid w:val="001468C6"/>
    <w:rsid w:val="00146C47"/>
    <w:rsid w:val="001470D0"/>
    <w:rsid w:val="001479F6"/>
    <w:rsid w:val="00150333"/>
    <w:rsid w:val="00150F95"/>
    <w:rsid w:val="0015167C"/>
    <w:rsid w:val="001518B5"/>
    <w:rsid w:val="00151987"/>
    <w:rsid w:val="00152573"/>
    <w:rsid w:val="00152E81"/>
    <w:rsid w:val="001537CB"/>
    <w:rsid w:val="00153C28"/>
    <w:rsid w:val="00153E7A"/>
    <w:rsid w:val="00154557"/>
    <w:rsid w:val="00155633"/>
    <w:rsid w:val="00155A7C"/>
    <w:rsid w:val="00155D93"/>
    <w:rsid w:val="001561F5"/>
    <w:rsid w:val="00156869"/>
    <w:rsid w:val="00157469"/>
    <w:rsid w:val="00160A2F"/>
    <w:rsid w:val="00161410"/>
    <w:rsid w:val="00162162"/>
    <w:rsid w:val="00162440"/>
    <w:rsid w:val="00162450"/>
    <w:rsid w:val="00162924"/>
    <w:rsid w:val="00162A17"/>
    <w:rsid w:val="00162D0B"/>
    <w:rsid w:val="00163901"/>
    <w:rsid w:val="00163C3C"/>
    <w:rsid w:val="00163D15"/>
    <w:rsid w:val="00164346"/>
    <w:rsid w:val="00164389"/>
    <w:rsid w:val="00165A49"/>
    <w:rsid w:val="00166335"/>
    <w:rsid w:val="00166650"/>
    <w:rsid w:val="00167231"/>
    <w:rsid w:val="00167D8A"/>
    <w:rsid w:val="001700B4"/>
    <w:rsid w:val="00170917"/>
    <w:rsid w:val="00171155"/>
    <w:rsid w:val="00171259"/>
    <w:rsid w:val="00171810"/>
    <w:rsid w:val="0017185C"/>
    <w:rsid w:val="00171923"/>
    <w:rsid w:val="00171A93"/>
    <w:rsid w:val="00173511"/>
    <w:rsid w:val="00173577"/>
    <w:rsid w:val="00173F0E"/>
    <w:rsid w:val="0017408B"/>
    <w:rsid w:val="00174887"/>
    <w:rsid w:val="00174C44"/>
    <w:rsid w:val="0017638F"/>
    <w:rsid w:val="00176AA5"/>
    <w:rsid w:val="0017720E"/>
    <w:rsid w:val="001772B1"/>
    <w:rsid w:val="001776B7"/>
    <w:rsid w:val="00177893"/>
    <w:rsid w:val="001778DE"/>
    <w:rsid w:val="0017793D"/>
    <w:rsid w:val="00177B2F"/>
    <w:rsid w:val="001801CD"/>
    <w:rsid w:val="0018082B"/>
    <w:rsid w:val="00180A2C"/>
    <w:rsid w:val="00181472"/>
    <w:rsid w:val="001818FC"/>
    <w:rsid w:val="001822E2"/>
    <w:rsid w:val="00184221"/>
    <w:rsid w:val="001842E9"/>
    <w:rsid w:val="001854AD"/>
    <w:rsid w:val="00186307"/>
    <w:rsid w:val="00186994"/>
    <w:rsid w:val="00186EBC"/>
    <w:rsid w:val="00186F30"/>
    <w:rsid w:val="00187844"/>
    <w:rsid w:val="001879C4"/>
    <w:rsid w:val="001903B2"/>
    <w:rsid w:val="0019078B"/>
    <w:rsid w:val="00190BA4"/>
    <w:rsid w:val="001910A3"/>
    <w:rsid w:val="00192327"/>
    <w:rsid w:val="00192D03"/>
    <w:rsid w:val="001932DD"/>
    <w:rsid w:val="0019349B"/>
    <w:rsid w:val="0019449E"/>
    <w:rsid w:val="00194A99"/>
    <w:rsid w:val="00195025"/>
    <w:rsid w:val="0019525D"/>
    <w:rsid w:val="00195DA4"/>
    <w:rsid w:val="001965AA"/>
    <w:rsid w:val="00197556"/>
    <w:rsid w:val="00197A3C"/>
    <w:rsid w:val="00197C9F"/>
    <w:rsid w:val="001A000A"/>
    <w:rsid w:val="001A00CA"/>
    <w:rsid w:val="001A0142"/>
    <w:rsid w:val="001A035D"/>
    <w:rsid w:val="001A0713"/>
    <w:rsid w:val="001A0870"/>
    <w:rsid w:val="001A2108"/>
    <w:rsid w:val="001A32A0"/>
    <w:rsid w:val="001A4AAB"/>
    <w:rsid w:val="001A57B3"/>
    <w:rsid w:val="001A5812"/>
    <w:rsid w:val="001A5EC3"/>
    <w:rsid w:val="001A6BC6"/>
    <w:rsid w:val="001A73E9"/>
    <w:rsid w:val="001A7B2B"/>
    <w:rsid w:val="001B00CE"/>
    <w:rsid w:val="001B0E55"/>
    <w:rsid w:val="001B14F5"/>
    <w:rsid w:val="001B17D0"/>
    <w:rsid w:val="001B1946"/>
    <w:rsid w:val="001B1ACB"/>
    <w:rsid w:val="001B1FE0"/>
    <w:rsid w:val="001B22AE"/>
    <w:rsid w:val="001B26A3"/>
    <w:rsid w:val="001B3410"/>
    <w:rsid w:val="001B4708"/>
    <w:rsid w:val="001B47E7"/>
    <w:rsid w:val="001B4882"/>
    <w:rsid w:val="001B4BC5"/>
    <w:rsid w:val="001B571C"/>
    <w:rsid w:val="001B5724"/>
    <w:rsid w:val="001B5A96"/>
    <w:rsid w:val="001B6389"/>
    <w:rsid w:val="001B6725"/>
    <w:rsid w:val="001B734C"/>
    <w:rsid w:val="001B7680"/>
    <w:rsid w:val="001C04CC"/>
    <w:rsid w:val="001C051E"/>
    <w:rsid w:val="001C1F17"/>
    <w:rsid w:val="001C2F0E"/>
    <w:rsid w:val="001C3030"/>
    <w:rsid w:val="001C33CB"/>
    <w:rsid w:val="001C3CBC"/>
    <w:rsid w:val="001C3F27"/>
    <w:rsid w:val="001C4124"/>
    <w:rsid w:val="001C5156"/>
    <w:rsid w:val="001C5265"/>
    <w:rsid w:val="001C58B9"/>
    <w:rsid w:val="001C6C4B"/>
    <w:rsid w:val="001D00AC"/>
    <w:rsid w:val="001D12BE"/>
    <w:rsid w:val="001D15D1"/>
    <w:rsid w:val="001D18DA"/>
    <w:rsid w:val="001D1B93"/>
    <w:rsid w:val="001D2387"/>
    <w:rsid w:val="001D2731"/>
    <w:rsid w:val="001D3BB4"/>
    <w:rsid w:val="001D4AA6"/>
    <w:rsid w:val="001D5803"/>
    <w:rsid w:val="001D5B6A"/>
    <w:rsid w:val="001D5DE3"/>
    <w:rsid w:val="001D63CC"/>
    <w:rsid w:val="001D65CD"/>
    <w:rsid w:val="001D6FEC"/>
    <w:rsid w:val="001D742B"/>
    <w:rsid w:val="001E114B"/>
    <w:rsid w:val="001E1ADE"/>
    <w:rsid w:val="001E1EDF"/>
    <w:rsid w:val="001E20A9"/>
    <w:rsid w:val="001E2635"/>
    <w:rsid w:val="001E29CE"/>
    <w:rsid w:val="001E335F"/>
    <w:rsid w:val="001E350D"/>
    <w:rsid w:val="001E35A8"/>
    <w:rsid w:val="001E3B1E"/>
    <w:rsid w:val="001E4B5A"/>
    <w:rsid w:val="001E5918"/>
    <w:rsid w:val="001E5AEE"/>
    <w:rsid w:val="001E5C2A"/>
    <w:rsid w:val="001E6164"/>
    <w:rsid w:val="001E65CB"/>
    <w:rsid w:val="001E6A7A"/>
    <w:rsid w:val="001E7607"/>
    <w:rsid w:val="001E7B8D"/>
    <w:rsid w:val="001F073C"/>
    <w:rsid w:val="001F07EF"/>
    <w:rsid w:val="001F14D5"/>
    <w:rsid w:val="001F2912"/>
    <w:rsid w:val="001F2C6A"/>
    <w:rsid w:val="001F3161"/>
    <w:rsid w:val="001F392E"/>
    <w:rsid w:val="001F457D"/>
    <w:rsid w:val="001F53CB"/>
    <w:rsid w:val="001F605C"/>
    <w:rsid w:val="001F6282"/>
    <w:rsid w:val="001F6677"/>
    <w:rsid w:val="001F6B68"/>
    <w:rsid w:val="001F7489"/>
    <w:rsid w:val="001F7A46"/>
    <w:rsid w:val="00200296"/>
    <w:rsid w:val="00200534"/>
    <w:rsid w:val="0020057D"/>
    <w:rsid w:val="0020079E"/>
    <w:rsid w:val="00200B31"/>
    <w:rsid w:val="00200F81"/>
    <w:rsid w:val="00201ADB"/>
    <w:rsid w:val="00201DE9"/>
    <w:rsid w:val="002021D6"/>
    <w:rsid w:val="00203021"/>
    <w:rsid w:val="00203363"/>
    <w:rsid w:val="00204286"/>
    <w:rsid w:val="00204801"/>
    <w:rsid w:val="002051A9"/>
    <w:rsid w:val="002058D5"/>
    <w:rsid w:val="002058E5"/>
    <w:rsid w:val="00205EE9"/>
    <w:rsid w:val="0020635A"/>
    <w:rsid w:val="0020650C"/>
    <w:rsid w:val="00206A3E"/>
    <w:rsid w:val="002070CD"/>
    <w:rsid w:val="00207829"/>
    <w:rsid w:val="00210FAA"/>
    <w:rsid w:val="002112C6"/>
    <w:rsid w:val="00211FBD"/>
    <w:rsid w:val="0021209F"/>
    <w:rsid w:val="00213168"/>
    <w:rsid w:val="002149FD"/>
    <w:rsid w:val="002151C3"/>
    <w:rsid w:val="00215618"/>
    <w:rsid w:val="00215821"/>
    <w:rsid w:val="00215AB8"/>
    <w:rsid w:val="0021692D"/>
    <w:rsid w:val="002174E6"/>
    <w:rsid w:val="002207C8"/>
    <w:rsid w:val="0022135E"/>
    <w:rsid w:val="002213C0"/>
    <w:rsid w:val="00222200"/>
    <w:rsid w:val="00222A2A"/>
    <w:rsid w:val="00223255"/>
    <w:rsid w:val="002234A6"/>
    <w:rsid w:val="002252EF"/>
    <w:rsid w:val="00226ECA"/>
    <w:rsid w:val="00227AB1"/>
    <w:rsid w:val="00227B2B"/>
    <w:rsid w:val="00230BCD"/>
    <w:rsid w:val="00230DF6"/>
    <w:rsid w:val="0023113F"/>
    <w:rsid w:val="00231FEC"/>
    <w:rsid w:val="00233FD9"/>
    <w:rsid w:val="00235363"/>
    <w:rsid w:val="0023587B"/>
    <w:rsid w:val="00236655"/>
    <w:rsid w:val="00236BD2"/>
    <w:rsid w:val="00237922"/>
    <w:rsid w:val="0024027B"/>
    <w:rsid w:val="00241100"/>
    <w:rsid w:val="0024141D"/>
    <w:rsid w:val="002425EA"/>
    <w:rsid w:val="00242EA0"/>
    <w:rsid w:val="00242F42"/>
    <w:rsid w:val="00243685"/>
    <w:rsid w:val="002441C5"/>
    <w:rsid w:val="002445A4"/>
    <w:rsid w:val="00244FFC"/>
    <w:rsid w:val="00245107"/>
    <w:rsid w:val="00245F10"/>
    <w:rsid w:val="002460B3"/>
    <w:rsid w:val="0024637B"/>
    <w:rsid w:val="0024653A"/>
    <w:rsid w:val="00246CDF"/>
    <w:rsid w:val="002478F5"/>
    <w:rsid w:val="002505FB"/>
    <w:rsid w:val="00250789"/>
    <w:rsid w:val="00250F28"/>
    <w:rsid w:val="00251281"/>
    <w:rsid w:val="002524B9"/>
    <w:rsid w:val="00252BEB"/>
    <w:rsid w:val="0025302E"/>
    <w:rsid w:val="0025613F"/>
    <w:rsid w:val="00256E46"/>
    <w:rsid w:val="00256EB5"/>
    <w:rsid w:val="0025736A"/>
    <w:rsid w:val="00257782"/>
    <w:rsid w:val="00257A1F"/>
    <w:rsid w:val="00257AA9"/>
    <w:rsid w:val="0026003F"/>
    <w:rsid w:val="00260080"/>
    <w:rsid w:val="0026048E"/>
    <w:rsid w:val="00260590"/>
    <w:rsid w:val="00261DC6"/>
    <w:rsid w:val="00261F44"/>
    <w:rsid w:val="00262A86"/>
    <w:rsid w:val="00262C9A"/>
    <w:rsid w:val="0026319F"/>
    <w:rsid w:val="00264623"/>
    <w:rsid w:val="002649DD"/>
    <w:rsid w:val="00265A27"/>
    <w:rsid w:val="00265A51"/>
    <w:rsid w:val="00265BFF"/>
    <w:rsid w:val="002661E2"/>
    <w:rsid w:val="00266676"/>
    <w:rsid w:val="00266823"/>
    <w:rsid w:val="00266A27"/>
    <w:rsid w:val="00266B18"/>
    <w:rsid w:val="00266E12"/>
    <w:rsid w:val="00267336"/>
    <w:rsid w:val="00267AA0"/>
    <w:rsid w:val="00267D2A"/>
    <w:rsid w:val="002706B9"/>
    <w:rsid w:val="00270F06"/>
    <w:rsid w:val="00271011"/>
    <w:rsid w:val="002710A1"/>
    <w:rsid w:val="00271261"/>
    <w:rsid w:val="002715AC"/>
    <w:rsid w:val="002719C6"/>
    <w:rsid w:val="002719F1"/>
    <w:rsid w:val="002727FA"/>
    <w:rsid w:val="0027367D"/>
    <w:rsid w:val="002740B4"/>
    <w:rsid w:val="002751D4"/>
    <w:rsid w:val="0027541E"/>
    <w:rsid w:val="002758DD"/>
    <w:rsid w:val="00275AE0"/>
    <w:rsid w:val="00276406"/>
    <w:rsid w:val="002766F8"/>
    <w:rsid w:val="00276719"/>
    <w:rsid w:val="0027702C"/>
    <w:rsid w:val="0027739B"/>
    <w:rsid w:val="00277644"/>
    <w:rsid w:val="00280ACF"/>
    <w:rsid w:val="00280B5B"/>
    <w:rsid w:val="00280C18"/>
    <w:rsid w:val="00280CDE"/>
    <w:rsid w:val="0028109C"/>
    <w:rsid w:val="00281815"/>
    <w:rsid w:val="00282B5F"/>
    <w:rsid w:val="002836DF"/>
    <w:rsid w:val="00283A88"/>
    <w:rsid w:val="00284403"/>
    <w:rsid w:val="00284A8D"/>
    <w:rsid w:val="00284DDB"/>
    <w:rsid w:val="002851E0"/>
    <w:rsid w:val="00285676"/>
    <w:rsid w:val="002868B1"/>
    <w:rsid w:val="00286E5C"/>
    <w:rsid w:val="002870C8"/>
    <w:rsid w:val="00287983"/>
    <w:rsid w:val="00290BFB"/>
    <w:rsid w:val="002927A2"/>
    <w:rsid w:val="002928F4"/>
    <w:rsid w:val="00292BE6"/>
    <w:rsid w:val="00292DFC"/>
    <w:rsid w:val="00292FF4"/>
    <w:rsid w:val="00293147"/>
    <w:rsid w:val="00293245"/>
    <w:rsid w:val="002940D3"/>
    <w:rsid w:val="00295AD1"/>
    <w:rsid w:val="00296C03"/>
    <w:rsid w:val="002971F6"/>
    <w:rsid w:val="002972E7"/>
    <w:rsid w:val="00297799"/>
    <w:rsid w:val="00297E2F"/>
    <w:rsid w:val="002A0323"/>
    <w:rsid w:val="002A11B9"/>
    <w:rsid w:val="002A19BD"/>
    <w:rsid w:val="002A3A74"/>
    <w:rsid w:val="002A4503"/>
    <w:rsid w:val="002A55CD"/>
    <w:rsid w:val="002A662B"/>
    <w:rsid w:val="002A6C7E"/>
    <w:rsid w:val="002A74AC"/>
    <w:rsid w:val="002A77FA"/>
    <w:rsid w:val="002B0598"/>
    <w:rsid w:val="002B0787"/>
    <w:rsid w:val="002B1071"/>
    <w:rsid w:val="002B163A"/>
    <w:rsid w:val="002B249A"/>
    <w:rsid w:val="002B33B9"/>
    <w:rsid w:val="002B3BB1"/>
    <w:rsid w:val="002B3EAD"/>
    <w:rsid w:val="002B47FE"/>
    <w:rsid w:val="002B4941"/>
    <w:rsid w:val="002B5D74"/>
    <w:rsid w:val="002B5DBF"/>
    <w:rsid w:val="002B6134"/>
    <w:rsid w:val="002B6239"/>
    <w:rsid w:val="002B64A2"/>
    <w:rsid w:val="002B775E"/>
    <w:rsid w:val="002B7777"/>
    <w:rsid w:val="002B7ADB"/>
    <w:rsid w:val="002B7BAC"/>
    <w:rsid w:val="002C0122"/>
    <w:rsid w:val="002C03BE"/>
    <w:rsid w:val="002C08F4"/>
    <w:rsid w:val="002C136E"/>
    <w:rsid w:val="002C1D2F"/>
    <w:rsid w:val="002C265D"/>
    <w:rsid w:val="002C3357"/>
    <w:rsid w:val="002C3E18"/>
    <w:rsid w:val="002C54E9"/>
    <w:rsid w:val="002C5AE3"/>
    <w:rsid w:val="002C71EE"/>
    <w:rsid w:val="002D0686"/>
    <w:rsid w:val="002D2A50"/>
    <w:rsid w:val="002D2FCA"/>
    <w:rsid w:val="002D3C4E"/>
    <w:rsid w:val="002D4719"/>
    <w:rsid w:val="002D525E"/>
    <w:rsid w:val="002D539C"/>
    <w:rsid w:val="002D5F7F"/>
    <w:rsid w:val="002D6005"/>
    <w:rsid w:val="002D68D6"/>
    <w:rsid w:val="002D6C39"/>
    <w:rsid w:val="002D7158"/>
    <w:rsid w:val="002D7823"/>
    <w:rsid w:val="002D7989"/>
    <w:rsid w:val="002D7FC6"/>
    <w:rsid w:val="002E0354"/>
    <w:rsid w:val="002E05B1"/>
    <w:rsid w:val="002E111F"/>
    <w:rsid w:val="002E1C65"/>
    <w:rsid w:val="002E2302"/>
    <w:rsid w:val="002E24DB"/>
    <w:rsid w:val="002E31DE"/>
    <w:rsid w:val="002E377D"/>
    <w:rsid w:val="002E3F55"/>
    <w:rsid w:val="002E40DF"/>
    <w:rsid w:val="002E4182"/>
    <w:rsid w:val="002E48E2"/>
    <w:rsid w:val="002E4C2D"/>
    <w:rsid w:val="002E5DEA"/>
    <w:rsid w:val="002E672E"/>
    <w:rsid w:val="002E69F9"/>
    <w:rsid w:val="002E6C82"/>
    <w:rsid w:val="002E724A"/>
    <w:rsid w:val="002E74AC"/>
    <w:rsid w:val="002E7C2A"/>
    <w:rsid w:val="002F1593"/>
    <w:rsid w:val="002F18D8"/>
    <w:rsid w:val="002F1FA1"/>
    <w:rsid w:val="002F2FCB"/>
    <w:rsid w:val="002F311E"/>
    <w:rsid w:val="002F34B9"/>
    <w:rsid w:val="002F34F2"/>
    <w:rsid w:val="002F3794"/>
    <w:rsid w:val="002F3B9A"/>
    <w:rsid w:val="002F3D61"/>
    <w:rsid w:val="002F493A"/>
    <w:rsid w:val="002F5E64"/>
    <w:rsid w:val="002F6343"/>
    <w:rsid w:val="002F6D11"/>
    <w:rsid w:val="002F71B8"/>
    <w:rsid w:val="002F73E9"/>
    <w:rsid w:val="002F7AA2"/>
    <w:rsid w:val="00300061"/>
    <w:rsid w:val="00300809"/>
    <w:rsid w:val="00301341"/>
    <w:rsid w:val="00301C33"/>
    <w:rsid w:val="00301EA1"/>
    <w:rsid w:val="00301EFF"/>
    <w:rsid w:val="00301F49"/>
    <w:rsid w:val="00302737"/>
    <w:rsid w:val="00302FCC"/>
    <w:rsid w:val="00303F93"/>
    <w:rsid w:val="003062AE"/>
    <w:rsid w:val="0030667B"/>
    <w:rsid w:val="00306C64"/>
    <w:rsid w:val="003100C7"/>
    <w:rsid w:val="003109F8"/>
    <w:rsid w:val="00311E6B"/>
    <w:rsid w:val="003122B2"/>
    <w:rsid w:val="00312310"/>
    <w:rsid w:val="00312E31"/>
    <w:rsid w:val="00313B70"/>
    <w:rsid w:val="00315514"/>
    <w:rsid w:val="003160DE"/>
    <w:rsid w:val="00316C4C"/>
    <w:rsid w:val="00317276"/>
    <w:rsid w:val="00317B34"/>
    <w:rsid w:val="003203AD"/>
    <w:rsid w:val="003206AF"/>
    <w:rsid w:val="00321B3A"/>
    <w:rsid w:val="00322791"/>
    <w:rsid w:val="0032351F"/>
    <w:rsid w:val="00323F9E"/>
    <w:rsid w:val="003243FA"/>
    <w:rsid w:val="00324BE9"/>
    <w:rsid w:val="00324CCC"/>
    <w:rsid w:val="00325563"/>
    <w:rsid w:val="00326824"/>
    <w:rsid w:val="00330828"/>
    <w:rsid w:val="003319CA"/>
    <w:rsid w:val="003324DB"/>
    <w:rsid w:val="00332CB7"/>
    <w:rsid w:val="00333100"/>
    <w:rsid w:val="00333837"/>
    <w:rsid w:val="00334ACF"/>
    <w:rsid w:val="00334D6E"/>
    <w:rsid w:val="003351BC"/>
    <w:rsid w:val="00337447"/>
    <w:rsid w:val="00337D74"/>
    <w:rsid w:val="00341A14"/>
    <w:rsid w:val="003436B0"/>
    <w:rsid w:val="00343EA6"/>
    <w:rsid w:val="003457B7"/>
    <w:rsid w:val="00345B78"/>
    <w:rsid w:val="00345F5E"/>
    <w:rsid w:val="00346E64"/>
    <w:rsid w:val="00346FE0"/>
    <w:rsid w:val="003470EB"/>
    <w:rsid w:val="00347790"/>
    <w:rsid w:val="003501E1"/>
    <w:rsid w:val="0035038F"/>
    <w:rsid w:val="00350F35"/>
    <w:rsid w:val="00351381"/>
    <w:rsid w:val="0035230D"/>
    <w:rsid w:val="003530A6"/>
    <w:rsid w:val="00353627"/>
    <w:rsid w:val="003538F7"/>
    <w:rsid w:val="00353F69"/>
    <w:rsid w:val="00353F8B"/>
    <w:rsid w:val="003540CA"/>
    <w:rsid w:val="0035508C"/>
    <w:rsid w:val="00355F72"/>
    <w:rsid w:val="003564A4"/>
    <w:rsid w:val="00357657"/>
    <w:rsid w:val="00357662"/>
    <w:rsid w:val="003577A4"/>
    <w:rsid w:val="003601DA"/>
    <w:rsid w:val="00360AE7"/>
    <w:rsid w:val="00360E9A"/>
    <w:rsid w:val="0036198B"/>
    <w:rsid w:val="00361F71"/>
    <w:rsid w:val="0036267E"/>
    <w:rsid w:val="00362CB2"/>
    <w:rsid w:val="00363328"/>
    <w:rsid w:val="003633AC"/>
    <w:rsid w:val="003639A6"/>
    <w:rsid w:val="00363CF1"/>
    <w:rsid w:val="00363EA0"/>
    <w:rsid w:val="003649DD"/>
    <w:rsid w:val="00364E2F"/>
    <w:rsid w:val="003656FC"/>
    <w:rsid w:val="00365AC7"/>
    <w:rsid w:val="00365F9D"/>
    <w:rsid w:val="003666B5"/>
    <w:rsid w:val="003679AE"/>
    <w:rsid w:val="00370F4C"/>
    <w:rsid w:val="00371436"/>
    <w:rsid w:val="0037164A"/>
    <w:rsid w:val="003716D4"/>
    <w:rsid w:val="003727C7"/>
    <w:rsid w:val="003740BB"/>
    <w:rsid w:val="003747C5"/>
    <w:rsid w:val="00374EE6"/>
    <w:rsid w:val="00374F65"/>
    <w:rsid w:val="00375E36"/>
    <w:rsid w:val="00375F85"/>
    <w:rsid w:val="0037601A"/>
    <w:rsid w:val="003768A3"/>
    <w:rsid w:val="00380381"/>
    <w:rsid w:val="0038162D"/>
    <w:rsid w:val="003819F7"/>
    <w:rsid w:val="00381D44"/>
    <w:rsid w:val="00382489"/>
    <w:rsid w:val="00382514"/>
    <w:rsid w:val="003827E4"/>
    <w:rsid w:val="0038281C"/>
    <w:rsid w:val="0038293C"/>
    <w:rsid w:val="00382DEB"/>
    <w:rsid w:val="003834C3"/>
    <w:rsid w:val="0038372E"/>
    <w:rsid w:val="003839F7"/>
    <w:rsid w:val="003843BD"/>
    <w:rsid w:val="00384700"/>
    <w:rsid w:val="00384A70"/>
    <w:rsid w:val="00384BA3"/>
    <w:rsid w:val="0038527D"/>
    <w:rsid w:val="00385A64"/>
    <w:rsid w:val="00385FFB"/>
    <w:rsid w:val="00386715"/>
    <w:rsid w:val="00386D1A"/>
    <w:rsid w:val="0038726F"/>
    <w:rsid w:val="0038729E"/>
    <w:rsid w:val="00387784"/>
    <w:rsid w:val="00387925"/>
    <w:rsid w:val="00387A9B"/>
    <w:rsid w:val="00387F5B"/>
    <w:rsid w:val="00390AF9"/>
    <w:rsid w:val="00390D63"/>
    <w:rsid w:val="00390DD9"/>
    <w:rsid w:val="00391772"/>
    <w:rsid w:val="00391EF0"/>
    <w:rsid w:val="0039207D"/>
    <w:rsid w:val="003922DD"/>
    <w:rsid w:val="00392A23"/>
    <w:rsid w:val="003935D0"/>
    <w:rsid w:val="0039384F"/>
    <w:rsid w:val="00393C99"/>
    <w:rsid w:val="00394114"/>
    <w:rsid w:val="003946DE"/>
    <w:rsid w:val="003958DA"/>
    <w:rsid w:val="00396EAF"/>
    <w:rsid w:val="00397099"/>
    <w:rsid w:val="00397170"/>
    <w:rsid w:val="003975BF"/>
    <w:rsid w:val="003976BC"/>
    <w:rsid w:val="003978ED"/>
    <w:rsid w:val="00397CDE"/>
    <w:rsid w:val="003A0713"/>
    <w:rsid w:val="003A19D2"/>
    <w:rsid w:val="003A1F5C"/>
    <w:rsid w:val="003A2082"/>
    <w:rsid w:val="003A2160"/>
    <w:rsid w:val="003A286C"/>
    <w:rsid w:val="003A2F21"/>
    <w:rsid w:val="003A3433"/>
    <w:rsid w:val="003A377F"/>
    <w:rsid w:val="003A41C9"/>
    <w:rsid w:val="003A42E6"/>
    <w:rsid w:val="003A4B30"/>
    <w:rsid w:val="003A537E"/>
    <w:rsid w:val="003A5F81"/>
    <w:rsid w:val="003A660F"/>
    <w:rsid w:val="003A69D4"/>
    <w:rsid w:val="003A6B04"/>
    <w:rsid w:val="003A6EFA"/>
    <w:rsid w:val="003B00A9"/>
    <w:rsid w:val="003B095E"/>
    <w:rsid w:val="003B0AF7"/>
    <w:rsid w:val="003B4412"/>
    <w:rsid w:val="003B4889"/>
    <w:rsid w:val="003B53E1"/>
    <w:rsid w:val="003B559B"/>
    <w:rsid w:val="003B591A"/>
    <w:rsid w:val="003B6A22"/>
    <w:rsid w:val="003B6E7C"/>
    <w:rsid w:val="003B7951"/>
    <w:rsid w:val="003C0EAF"/>
    <w:rsid w:val="003C11FD"/>
    <w:rsid w:val="003C1A9F"/>
    <w:rsid w:val="003C2861"/>
    <w:rsid w:val="003C33B6"/>
    <w:rsid w:val="003C355E"/>
    <w:rsid w:val="003C4344"/>
    <w:rsid w:val="003C4BAA"/>
    <w:rsid w:val="003C4DF0"/>
    <w:rsid w:val="003C6A7C"/>
    <w:rsid w:val="003C76DC"/>
    <w:rsid w:val="003C79A1"/>
    <w:rsid w:val="003D11A9"/>
    <w:rsid w:val="003D1D95"/>
    <w:rsid w:val="003D1E30"/>
    <w:rsid w:val="003D2A37"/>
    <w:rsid w:val="003D2EA6"/>
    <w:rsid w:val="003D2EB8"/>
    <w:rsid w:val="003D394A"/>
    <w:rsid w:val="003D3E7B"/>
    <w:rsid w:val="003D3FBD"/>
    <w:rsid w:val="003D5A70"/>
    <w:rsid w:val="003D5CE3"/>
    <w:rsid w:val="003D66F4"/>
    <w:rsid w:val="003D69EF"/>
    <w:rsid w:val="003D6B52"/>
    <w:rsid w:val="003D71FA"/>
    <w:rsid w:val="003D76DF"/>
    <w:rsid w:val="003D7792"/>
    <w:rsid w:val="003D7CD0"/>
    <w:rsid w:val="003E001F"/>
    <w:rsid w:val="003E07E2"/>
    <w:rsid w:val="003E0EDB"/>
    <w:rsid w:val="003E105D"/>
    <w:rsid w:val="003E16BD"/>
    <w:rsid w:val="003E1D31"/>
    <w:rsid w:val="003E1F81"/>
    <w:rsid w:val="003E2426"/>
    <w:rsid w:val="003E306E"/>
    <w:rsid w:val="003E3142"/>
    <w:rsid w:val="003E378D"/>
    <w:rsid w:val="003E5008"/>
    <w:rsid w:val="003E5C5D"/>
    <w:rsid w:val="003E6434"/>
    <w:rsid w:val="003E6475"/>
    <w:rsid w:val="003E78D2"/>
    <w:rsid w:val="003F00E5"/>
    <w:rsid w:val="003F0B9C"/>
    <w:rsid w:val="003F105A"/>
    <w:rsid w:val="003F14E9"/>
    <w:rsid w:val="003F1570"/>
    <w:rsid w:val="003F1759"/>
    <w:rsid w:val="003F2C58"/>
    <w:rsid w:val="003F363F"/>
    <w:rsid w:val="003F3BF7"/>
    <w:rsid w:val="003F3E08"/>
    <w:rsid w:val="003F6199"/>
    <w:rsid w:val="003F63EF"/>
    <w:rsid w:val="003F6D76"/>
    <w:rsid w:val="003F71FE"/>
    <w:rsid w:val="003F733E"/>
    <w:rsid w:val="00400B96"/>
    <w:rsid w:val="00400F08"/>
    <w:rsid w:val="004016BD"/>
    <w:rsid w:val="00402B4F"/>
    <w:rsid w:val="004032A8"/>
    <w:rsid w:val="004033BF"/>
    <w:rsid w:val="004035E0"/>
    <w:rsid w:val="00403697"/>
    <w:rsid w:val="00403D0D"/>
    <w:rsid w:val="00404864"/>
    <w:rsid w:val="00404C17"/>
    <w:rsid w:val="0040535E"/>
    <w:rsid w:val="004054EB"/>
    <w:rsid w:val="00405C47"/>
    <w:rsid w:val="004064F1"/>
    <w:rsid w:val="004076DC"/>
    <w:rsid w:val="0041183D"/>
    <w:rsid w:val="00412A70"/>
    <w:rsid w:val="00413928"/>
    <w:rsid w:val="00413B5C"/>
    <w:rsid w:val="00413DB1"/>
    <w:rsid w:val="004143CE"/>
    <w:rsid w:val="00414FDB"/>
    <w:rsid w:val="004158E2"/>
    <w:rsid w:val="00415EEC"/>
    <w:rsid w:val="00416F9C"/>
    <w:rsid w:val="00417A1E"/>
    <w:rsid w:val="004200AF"/>
    <w:rsid w:val="004202A0"/>
    <w:rsid w:val="004211DD"/>
    <w:rsid w:val="00421450"/>
    <w:rsid w:val="004215A1"/>
    <w:rsid w:val="00421D3A"/>
    <w:rsid w:val="0042202E"/>
    <w:rsid w:val="00422837"/>
    <w:rsid w:val="004228A4"/>
    <w:rsid w:val="00422BE7"/>
    <w:rsid w:val="00422C9B"/>
    <w:rsid w:val="00422CCF"/>
    <w:rsid w:val="00422DCA"/>
    <w:rsid w:val="00424A31"/>
    <w:rsid w:val="0042511C"/>
    <w:rsid w:val="004251C8"/>
    <w:rsid w:val="00425C3B"/>
    <w:rsid w:val="00425DE5"/>
    <w:rsid w:val="00426582"/>
    <w:rsid w:val="00426594"/>
    <w:rsid w:val="004267B9"/>
    <w:rsid w:val="004267F8"/>
    <w:rsid w:val="00426C04"/>
    <w:rsid w:val="00426E25"/>
    <w:rsid w:val="0042782B"/>
    <w:rsid w:val="00427E55"/>
    <w:rsid w:val="00427F02"/>
    <w:rsid w:val="004305E4"/>
    <w:rsid w:val="0043140F"/>
    <w:rsid w:val="00432470"/>
    <w:rsid w:val="004324D6"/>
    <w:rsid w:val="004325A2"/>
    <w:rsid w:val="00432998"/>
    <w:rsid w:val="00432A2A"/>
    <w:rsid w:val="00433F2C"/>
    <w:rsid w:val="00434819"/>
    <w:rsid w:val="00434D11"/>
    <w:rsid w:val="00434F04"/>
    <w:rsid w:val="004353BC"/>
    <w:rsid w:val="004363CE"/>
    <w:rsid w:val="00436B41"/>
    <w:rsid w:val="00436DBD"/>
    <w:rsid w:val="0043743E"/>
    <w:rsid w:val="00437BB5"/>
    <w:rsid w:val="00441475"/>
    <w:rsid w:val="00441886"/>
    <w:rsid w:val="004425FD"/>
    <w:rsid w:val="00443311"/>
    <w:rsid w:val="00443A9F"/>
    <w:rsid w:val="00444822"/>
    <w:rsid w:val="00445B3A"/>
    <w:rsid w:val="00445E33"/>
    <w:rsid w:val="00445F53"/>
    <w:rsid w:val="0044776B"/>
    <w:rsid w:val="00447B83"/>
    <w:rsid w:val="00447C83"/>
    <w:rsid w:val="00447CFE"/>
    <w:rsid w:val="0045129E"/>
    <w:rsid w:val="004519D5"/>
    <w:rsid w:val="00451F4D"/>
    <w:rsid w:val="00452D28"/>
    <w:rsid w:val="00452E9C"/>
    <w:rsid w:val="00453BAE"/>
    <w:rsid w:val="00453D59"/>
    <w:rsid w:val="004540F2"/>
    <w:rsid w:val="00454781"/>
    <w:rsid w:val="00454AE6"/>
    <w:rsid w:val="0045674D"/>
    <w:rsid w:val="00456B67"/>
    <w:rsid w:val="00457AA5"/>
    <w:rsid w:val="0046057D"/>
    <w:rsid w:val="00460EBF"/>
    <w:rsid w:val="004619BB"/>
    <w:rsid w:val="00461EBB"/>
    <w:rsid w:val="00462DBA"/>
    <w:rsid w:val="004638A5"/>
    <w:rsid w:val="004641EF"/>
    <w:rsid w:val="004644A6"/>
    <w:rsid w:val="00464843"/>
    <w:rsid w:val="0046495D"/>
    <w:rsid w:val="00465D3F"/>
    <w:rsid w:val="0046621E"/>
    <w:rsid w:val="0046681D"/>
    <w:rsid w:val="00466B11"/>
    <w:rsid w:val="00466BE2"/>
    <w:rsid w:val="00467539"/>
    <w:rsid w:val="00467983"/>
    <w:rsid w:val="00470168"/>
    <w:rsid w:val="004704E2"/>
    <w:rsid w:val="004708DF"/>
    <w:rsid w:val="004712BA"/>
    <w:rsid w:val="00471391"/>
    <w:rsid w:val="00471A92"/>
    <w:rsid w:val="00471D7B"/>
    <w:rsid w:val="00471E20"/>
    <w:rsid w:val="00472887"/>
    <w:rsid w:val="00472D4D"/>
    <w:rsid w:val="00473A27"/>
    <w:rsid w:val="00473CB8"/>
    <w:rsid w:val="00474387"/>
    <w:rsid w:val="004753D7"/>
    <w:rsid w:val="004756F5"/>
    <w:rsid w:val="004758C8"/>
    <w:rsid w:val="00475E66"/>
    <w:rsid w:val="00475F3A"/>
    <w:rsid w:val="004772CE"/>
    <w:rsid w:val="00477ADF"/>
    <w:rsid w:val="00477B73"/>
    <w:rsid w:val="00477D91"/>
    <w:rsid w:val="00480158"/>
    <w:rsid w:val="004801CE"/>
    <w:rsid w:val="00480E7D"/>
    <w:rsid w:val="00481141"/>
    <w:rsid w:val="00483180"/>
    <w:rsid w:val="004835D7"/>
    <w:rsid w:val="00483719"/>
    <w:rsid w:val="00484064"/>
    <w:rsid w:val="00485EF9"/>
    <w:rsid w:val="004866AB"/>
    <w:rsid w:val="0048698A"/>
    <w:rsid w:val="00487190"/>
    <w:rsid w:val="00487DE3"/>
    <w:rsid w:val="00490254"/>
    <w:rsid w:val="004919DD"/>
    <w:rsid w:val="0049207F"/>
    <w:rsid w:val="0049281C"/>
    <w:rsid w:val="0049349C"/>
    <w:rsid w:val="00493639"/>
    <w:rsid w:val="00494F7C"/>
    <w:rsid w:val="0049522A"/>
    <w:rsid w:val="004952EB"/>
    <w:rsid w:val="004956B9"/>
    <w:rsid w:val="004957A5"/>
    <w:rsid w:val="0049637F"/>
    <w:rsid w:val="0049647C"/>
    <w:rsid w:val="00496622"/>
    <w:rsid w:val="00497CF5"/>
    <w:rsid w:val="00497E8D"/>
    <w:rsid w:val="004A07D8"/>
    <w:rsid w:val="004A13C5"/>
    <w:rsid w:val="004A1967"/>
    <w:rsid w:val="004A2276"/>
    <w:rsid w:val="004A28BC"/>
    <w:rsid w:val="004A2DF5"/>
    <w:rsid w:val="004A34B2"/>
    <w:rsid w:val="004A3595"/>
    <w:rsid w:val="004A35C4"/>
    <w:rsid w:val="004A3B43"/>
    <w:rsid w:val="004A3E91"/>
    <w:rsid w:val="004A434C"/>
    <w:rsid w:val="004A4727"/>
    <w:rsid w:val="004A47BF"/>
    <w:rsid w:val="004A4EF3"/>
    <w:rsid w:val="004A50E9"/>
    <w:rsid w:val="004A5511"/>
    <w:rsid w:val="004A5546"/>
    <w:rsid w:val="004A596B"/>
    <w:rsid w:val="004A655E"/>
    <w:rsid w:val="004A6EC9"/>
    <w:rsid w:val="004A73A1"/>
    <w:rsid w:val="004A7A2B"/>
    <w:rsid w:val="004B20FD"/>
    <w:rsid w:val="004B2F82"/>
    <w:rsid w:val="004B3C00"/>
    <w:rsid w:val="004B4D10"/>
    <w:rsid w:val="004B5AF5"/>
    <w:rsid w:val="004B6A0C"/>
    <w:rsid w:val="004B7820"/>
    <w:rsid w:val="004B7CDC"/>
    <w:rsid w:val="004C0E62"/>
    <w:rsid w:val="004C1047"/>
    <w:rsid w:val="004C1AC3"/>
    <w:rsid w:val="004C317C"/>
    <w:rsid w:val="004C3289"/>
    <w:rsid w:val="004C333D"/>
    <w:rsid w:val="004C37B2"/>
    <w:rsid w:val="004C50B7"/>
    <w:rsid w:val="004C5A7D"/>
    <w:rsid w:val="004C5B8E"/>
    <w:rsid w:val="004C6308"/>
    <w:rsid w:val="004C6490"/>
    <w:rsid w:val="004C687A"/>
    <w:rsid w:val="004C6C5B"/>
    <w:rsid w:val="004C7025"/>
    <w:rsid w:val="004C73F6"/>
    <w:rsid w:val="004C7A11"/>
    <w:rsid w:val="004C7AAB"/>
    <w:rsid w:val="004D0472"/>
    <w:rsid w:val="004D05CA"/>
    <w:rsid w:val="004D1006"/>
    <w:rsid w:val="004D2318"/>
    <w:rsid w:val="004D2320"/>
    <w:rsid w:val="004D23A9"/>
    <w:rsid w:val="004D25F2"/>
    <w:rsid w:val="004D2E3C"/>
    <w:rsid w:val="004D40DE"/>
    <w:rsid w:val="004D45DF"/>
    <w:rsid w:val="004D499A"/>
    <w:rsid w:val="004D4FAE"/>
    <w:rsid w:val="004D56DB"/>
    <w:rsid w:val="004D5F63"/>
    <w:rsid w:val="004D6C79"/>
    <w:rsid w:val="004D7052"/>
    <w:rsid w:val="004D723B"/>
    <w:rsid w:val="004D7389"/>
    <w:rsid w:val="004D74E1"/>
    <w:rsid w:val="004E0AFB"/>
    <w:rsid w:val="004E0C0B"/>
    <w:rsid w:val="004E0FF0"/>
    <w:rsid w:val="004E103B"/>
    <w:rsid w:val="004E1B08"/>
    <w:rsid w:val="004E1CD1"/>
    <w:rsid w:val="004E1DAD"/>
    <w:rsid w:val="004E2125"/>
    <w:rsid w:val="004E3D22"/>
    <w:rsid w:val="004E4678"/>
    <w:rsid w:val="004E48A9"/>
    <w:rsid w:val="004E5268"/>
    <w:rsid w:val="004E5414"/>
    <w:rsid w:val="004E64D8"/>
    <w:rsid w:val="004F256C"/>
    <w:rsid w:val="004F3688"/>
    <w:rsid w:val="004F3AAE"/>
    <w:rsid w:val="004F3AF7"/>
    <w:rsid w:val="004F3B3A"/>
    <w:rsid w:val="004F4058"/>
    <w:rsid w:val="004F4249"/>
    <w:rsid w:val="004F43FC"/>
    <w:rsid w:val="004F4BDE"/>
    <w:rsid w:val="004F5A32"/>
    <w:rsid w:val="004F6DEB"/>
    <w:rsid w:val="004F6FE6"/>
    <w:rsid w:val="004F7152"/>
    <w:rsid w:val="004F7CAC"/>
    <w:rsid w:val="004F7CE5"/>
    <w:rsid w:val="004F7FB0"/>
    <w:rsid w:val="00500097"/>
    <w:rsid w:val="00500209"/>
    <w:rsid w:val="00501995"/>
    <w:rsid w:val="00502105"/>
    <w:rsid w:val="00502411"/>
    <w:rsid w:val="00502A3E"/>
    <w:rsid w:val="0050373B"/>
    <w:rsid w:val="00504804"/>
    <w:rsid w:val="00504AEC"/>
    <w:rsid w:val="00505AEB"/>
    <w:rsid w:val="00506AD6"/>
    <w:rsid w:val="0050710F"/>
    <w:rsid w:val="005072C0"/>
    <w:rsid w:val="00510DD6"/>
    <w:rsid w:val="00510F50"/>
    <w:rsid w:val="0051127E"/>
    <w:rsid w:val="00511320"/>
    <w:rsid w:val="005118A7"/>
    <w:rsid w:val="005118D4"/>
    <w:rsid w:val="00511D72"/>
    <w:rsid w:val="00512B1B"/>
    <w:rsid w:val="00512B94"/>
    <w:rsid w:val="00512D66"/>
    <w:rsid w:val="00512ED4"/>
    <w:rsid w:val="005143F9"/>
    <w:rsid w:val="005145B5"/>
    <w:rsid w:val="0051462F"/>
    <w:rsid w:val="0051589D"/>
    <w:rsid w:val="00516566"/>
    <w:rsid w:val="005166EB"/>
    <w:rsid w:val="005170B5"/>
    <w:rsid w:val="005175D8"/>
    <w:rsid w:val="00517D10"/>
    <w:rsid w:val="0052048E"/>
    <w:rsid w:val="00520539"/>
    <w:rsid w:val="005218C3"/>
    <w:rsid w:val="00521B4B"/>
    <w:rsid w:val="005221B5"/>
    <w:rsid w:val="005228BB"/>
    <w:rsid w:val="00522936"/>
    <w:rsid w:val="005239C8"/>
    <w:rsid w:val="00523E40"/>
    <w:rsid w:val="00523E8E"/>
    <w:rsid w:val="00523EE9"/>
    <w:rsid w:val="0052487E"/>
    <w:rsid w:val="00524B38"/>
    <w:rsid w:val="005257B9"/>
    <w:rsid w:val="00526A46"/>
    <w:rsid w:val="0052707F"/>
    <w:rsid w:val="00527B74"/>
    <w:rsid w:val="00527FFC"/>
    <w:rsid w:val="00530FFA"/>
    <w:rsid w:val="005315EA"/>
    <w:rsid w:val="00531BD1"/>
    <w:rsid w:val="00531C11"/>
    <w:rsid w:val="005328B2"/>
    <w:rsid w:val="00532F76"/>
    <w:rsid w:val="00533233"/>
    <w:rsid w:val="0053393C"/>
    <w:rsid w:val="005341F5"/>
    <w:rsid w:val="0053481D"/>
    <w:rsid w:val="00534BBB"/>
    <w:rsid w:val="00535299"/>
    <w:rsid w:val="005356A2"/>
    <w:rsid w:val="00535C74"/>
    <w:rsid w:val="005361AB"/>
    <w:rsid w:val="005370C7"/>
    <w:rsid w:val="00537ADD"/>
    <w:rsid w:val="00537D29"/>
    <w:rsid w:val="005402BD"/>
    <w:rsid w:val="0054071B"/>
    <w:rsid w:val="00540B23"/>
    <w:rsid w:val="005411B7"/>
    <w:rsid w:val="005414BE"/>
    <w:rsid w:val="00541625"/>
    <w:rsid w:val="00541A4C"/>
    <w:rsid w:val="00541D43"/>
    <w:rsid w:val="00541D9E"/>
    <w:rsid w:val="00542068"/>
    <w:rsid w:val="005426B2"/>
    <w:rsid w:val="00543AF9"/>
    <w:rsid w:val="00544663"/>
    <w:rsid w:val="0054550A"/>
    <w:rsid w:val="00545C48"/>
    <w:rsid w:val="005466BF"/>
    <w:rsid w:val="00547243"/>
    <w:rsid w:val="00547B59"/>
    <w:rsid w:val="00547B5C"/>
    <w:rsid w:val="00547E57"/>
    <w:rsid w:val="00551367"/>
    <w:rsid w:val="00551665"/>
    <w:rsid w:val="00552B87"/>
    <w:rsid w:val="0055379E"/>
    <w:rsid w:val="00553BFC"/>
    <w:rsid w:val="00554005"/>
    <w:rsid w:val="0055415A"/>
    <w:rsid w:val="0055418D"/>
    <w:rsid w:val="00555261"/>
    <w:rsid w:val="0055532F"/>
    <w:rsid w:val="005557BD"/>
    <w:rsid w:val="005558A9"/>
    <w:rsid w:val="0055627F"/>
    <w:rsid w:val="0055637A"/>
    <w:rsid w:val="0055682E"/>
    <w:rsid w:val="00556B00"/>
    <w:rsid w:val="00557D83"/>
    <w:rsid w:val="005618B7"/>
    <w:rsid w:val="00561C28"/>
    <w:rsid w:val="00561D24"/>
    <w:rsid w:val="00561FA7"/>
    <w:rsid w:val="00562657"/>
    <w:rsid w:val="005632CC"/>
    <w:rsid w:val="00564A61"/>
    <w:rsid w:val="00564AEF"/>
    <w:rsid w:val="00564F4A"/>
    <w:rsid w:val="005657EE"/>
    <w:rsid w:val="00566965"/>
    <w:rsid w:val="005674DC"/>
    <w:rsid w:val="0056797D"/>
    <w:rsid w:val="00570FFC"/>
    <w:rsid w:val="0057191F"/>
    <w:rsid w:val="0057201C"/>
    <w:rsid w:val="005724A9"/>
    <w:rsid w:val="00572E01"/>
    <w:rsid w:val="00573677"/>
    <w:rsid w:val="005747F5"/>
    <w:rsid w:val="005748D9"/>
    <w:rsid w:val="00574B64"/>
    <w:rsid w:val="00575D43"/>
    <w:rsid w:val="00575EFD"/>
    <w:rsid w:val="00576086"/>
    <w:rsid w:val="00576170"/>
    <w:rsid w:val="00576519"/>
    <w:rsid w:val="00576568"/>
    <w:rsid w:val="00576ADE"/>
    <w:rsid w:val="00577547"/>
    <w:rsid w:val="005777C6"/>
    <w:rsid w:val="00577AFE"/>
    <w:rsid w:val="00577CFD"/>
    <w:rsid w:val="00577DEF"/>
    <w:rsid w:val="005802C2"/>
    <w:rsid w:val="00580818"/>
    <w:rsid w:val="00581267"/>
    <w:rsid w:val="005816CE"/>
    <w:rsid w:val="005817D0"/>
    <w:rsid w:val="00581D5F"/>
    <w:rsid w:val="00582201"/>
    <w:rsid w:val="005845D3"/>
    <w:rsid w:val="00585250"/>
    <w:rsid w:val="00585531"/>
    <w:rsid w:val="005856A5"/>
    <w:rsid w:val="005858A1"/>
    <w:rsid w:val="00585D2A"/>
    <w:rsid w:val="00585FAA"/>
    <w:rsid w:val="00585FB9"/>
    <w:rsid w:val="00587C1C"/>
    <w:rsid w:val="00587ECD"/>
    <w:rsid w:val="005908AD"/>
    <w:rsid w:val="00591283"/>
    <w:rsid w:val="005916E2"/>
    <w:rsid w:val="00592BF1"/>
    <w:rsid w:val="0059309B"/>
    <w:rsid w:val="00594BC8"/>
    <w:rsid w:val="00595777"/>
    <w:rsid w:val="0059796E"/>
    <w:rsid w:val="00597972"/>
    <w:rsid w:val="00597E34"/>
    <w:rsid w:val="00597EDC"/>
    <w:rsid w:val="005A0B11"/>
    <w:rsid w:val="005A1C9A"/>
    <w:rsid w:val="005A2400"/>
    <w:rsid w:val="005A2463"/>
    <w:rsid w:val="005A3031"/>
    <w:rsid w:val="005A3FEE"/>
    <w:rsid w:val="005A428A"/>
    <w:rsid w:val="005A447D"/>
    <w:rsid w:val="005A66D9"/>
    <w:rsid w:val="005A6852"/>
    <w:rsid w:val="005A72A1"/>
    <w:rsid w:val="005A7E4F"/>
    <w:rsid w:val="005B060B"/>
    <w:rsid w:val="005B0855"/>
    <w:rsid w:val="005B16F9"/>
    <w:rsid w:val="005B1804"/>
    <w:rsid w:val="005B191B"/>
    <w:rsid w:val="005B23F2"/>
    <w:rsid w:val="005B2703"/>
    <w:rsid w:val="005B2FFE"/>
    <w:rsid w:val="005B315D"/>
    <w:rsid w:val="005B389B"/>
    <w:rsid w:val="005B4306"/>
    <w:rsid w:val="005B4A87"/>
    <w:rsid w:val="005B5BE1"/>
    <w:rsid w:val="005B5ECE"/>
    <w:rsid w:val="005B5F8F"/>
    <w:rsid w:val="005B7A0F"/>
    <w:rsid w:val="005B7A95"/>
    <w:rsid w:val="005B7B0D"/>
    <w:rsid w:val="005C00A8"/>
    <w:rsid w:val="005C01D2"/>
    <w:rsid w:val="005C051D"/>
    <w:rsid w:val="005C0C0F"/>
    <w:rsid w:val="005C0E96"/>
    <w:rsid w:val="005C145A"/>
    <w:rsid w:val="005C3018"/>
    <w:rsid w:val="005C3C5C"/>
    <w:rsid w:val="005C5249"/>
    <w:rsid w:val="005C5319"/>
    <w:rsid w:val="005C5815"/>
    <w:rsid w:val="005C6FA7"/>
    <w:rsid w:val="005C7181"/>
    <w:rsid w:val="005C7797"/>
    <w:rsid w:val="005C7805"/>
    <w:rsid w:val="005D05CC"/>
    <w:rsid w:val="005D0CB4"/>
    <w:rsid w:val="005D16A7"/>
    <w:rsid w:val="005D1983"/>
    <w:rsid w:val="005D1E9C"/>
    <w:rsid w:val="005D2B89"/>
    <w:rsid w:val="005D306A"/>
    <w:rsid w:val="005D30AB"/>
    <w:rsid w:val="005D3934"/>
    <w:rsid w:val="005D41CA"/>
    <w:rsid w:val="005D4BB0"/>
    <w:rsid w:val="005D5841"/>
    <w:rsid w:val="005D5BA1"/>
    <w:rsid w:val="005D701D"/>
    <w:rsid w:val="005D748F"/>
    <w:rsid w:val="005D7F1D"/>
    <w:rsid w:val="005E00C8"/>
    <w:rsid w:val="005E1871"/>
    <w:rsid w:val="005E1888"/>
    <w:rsid w:val="005E20F0"/>
    <w:rsid w:val="005E2110"/>
    <w:rsid w:val="005E25E0"/>
    <w:rsid w:val="005E25FE"/>
    <w:rsid w:val="005E26BC"/>
    <w:rsid w:val="005E3162"/>
    <w:rsid w:val="005E3B15"/>
    <w:rsid w:val="005E48CF"/>
    <w:rsid w:val="005E49B2"/>
    <w:rsid w:val="005E4A4E"/>
    <w:rsid w:val="005E4EDB"/>
    <w:rsid w:val="005E5079"/>
    <w:rsid w:val="005E5D3A"/>
    <w:rsid w:val="005E61CD"/>
    <w:rsid w:val="005E63C9"/>
    <w:rsid w:val="005E6A82"/>
    <w:rsid w:val="005E7B26"/>
    <w:rsid w:val="005F0251"/>
    <w:rsid w:val="005F04E2"/>
    <w:rsid w:val="005F0AE8"/>
    <w:rsid w:val="005F0FC8"/>
    <w:rsid w:val="005F1A94"/>
    <w:rsid w:val="005F23B8"/>
    <w:rsid w:val="005F2A6B"/>
    <w:rsid w:val="005F2AEC"/>
    <w:rsid w:val="005F2AF5"/>
    <w:rsid w:val="005F36AA"/>
    <w:rsid w:val="005F40C1"/>
    <w:rsid w:val="005F4B25"/>
    <w:rsid w:val="005F5DBB"/>
    <w:rsid w:val="005F64B2"/>
    <w:rsid w:val="005F72C9"/>
    <w:rsid w:val="005F7471"/>
    <w:rsid w:val="0060075D"/>
    <w:rsid w:val="00600E10"/>
    <w:rsid w:val="00601384"/>
    <w:rsid w:val="006013E5"/>
    <w:rsid w:val="00601570"/>
    <w:rsid w:val="00602180"/>
    <w:rsid w:val="006024D3"/>
    <w:rsid w:val="0060287A"/>
    <w:rsid w:val="00602F18"/>
    <w:rsid w:val="00602FBE"/>
    <w:rsid w:val="00605E2B"/>
    <w:rsid w:val="00606039"/>
    <w:rsid w:val="0060609D"/>
    <w:rsid w:val="006060AB"/>
    <w:rsid w:val="00606380"/>
    <w:rsid w:val="006067D9"/>
    <w:rsid w:val="0060691C"/>
    <w:rsid w:val="00606A76"/>
    <w:rsid w:val="00606EF9"/>
    <w:rsid w:val="0060706A"/>
    <w:rsid w:val="00607095"/>
    <w:rsid w:val="00607448"/>
    <w:rsid w:val="00607758"/>
    <w:rsid w:val="00610CF1"/>
    <w:rsid w:val="00610D5E"/>
    <w:rsid w:val="00610D85"/>
    <w:rsid w:val="006110E2"/>
    <w:rsid w:val="006110E8"/>
    <w:rsid w:val="00611E70"/>
    <w:rsid w:val="00611E85"/>
    <w:rsid w:val="00612B71"/>
    <w:rsid w:val="006132F7"/>
    <w:rsid w:val="00613467"/>
    <w:rsid w:val="00613F3E"/>
    <w:rsid w:val="00613F4C"/>
    <w:rsid w:val="006140C5"/>
    <w:rsid w:val="0061476C"/>
    <w:rsid w:val="00614F8E"/>
    <w:rsid w:val="006152CD"/>
    <w:rsid w:val="006155B5"/>
    <w:rsid w:val="006157C9"/>
    <w:rsid w:val="00615955"/>
    <w:rsid w:val="00615A60"/>
    <w:rsid w:val="00615B1A"/>
    <w:rsid w:val="00616AC0"/>
    <w:rsid w:val="006204D8"/>
    <w:rsid w:val="00621277"/>
    <w:rsid w:val="0062187F"/>
    <w:rsid w:val="00621D2D"/>
    <w:rsid w:val="006221AA"/>
    <w:rsid w:val="00623927"/>
    <w:rsid w:val="00624315"/>
    <w:rsid w:val="0062436B"/>
    <w:rsid w:val="006247F8"/>
    <w:rsid w:val="00624C71"/>
    <w:rsid w:val="00624FDF"/>
    <w:rsid w:val="00625447"/>
    <w:rsid w:val="0062545B"/>
    <w:rsid w:val="0062552A"/>
    <w:rsid w:val="00625F3C"/>
    <w:rsid w:val="0062663D"/>
    <w:rsid w:val="00626F02"/>
    <w:rsid w:val="00626F20"/>
    <w:rsid w:val="006273D5"/>
    <w:rsid w:val="006274BB"/>
    <w:rsid w:val="0062779B"/>
    <w:rsid w:val="00627F59"/>
    <w:rsid w:val="0063037F"/>
    <w:rsid w:val="0063038B"/>
    <w:rsid w:val="006308EF"/>
    <w:rsid w:val="0063090C"/>
    <w:rsid w:val="00630D97"/>
    <w:rsid w:val="006311D8"/>
    <w:rsid w:val="0063130F"/>
    <w:rsid w:val="0063142D"/>
    <w:rsid w:val="00631778"/>
    <w:rsid w:val="00632861"/>
    <w:rsid w:val="00632BA3"/>
    <w:rsid w:val="00632F03"/>
    <w:rsid w:val="006332BE"/>
    <w:rsid w:val="006342DB"/>
    <w:rsid w:val="006349B2"/>
    <w:rsid w:val="006359D7"/>
    <w:rsid w:val="00635CC0"/>
    <w:rsid w:val="006371DE"/>
    <w:rsid w:val="006408C3"/>
    <w:rsid w:val="00640A1F"/>
    <w:rsid w:val="00640E1E"/>
    <w:rsid w:val="006415FA"/>
    <w:rsid w:val="00641CF0"/>
    <w:rsid w:val="0064203A"/>
    <w:rsid w:val="0064234B"/>
    <w:rsid w:val="00643BAF"/>
    <w:rsid w:val="00644217"/>
    <w:rsid w:val="00644823"/>
    <w:rsid w:val="0064620D"/>
    <w:rsid w:val="0064634F"/>
    <w:rsid w:val="00646389"/>
    <w:rsid w:val="00647103"/>
    <w:rsid w:val="0064731F"/>
    <w:rsid w:val="0064768B"/>
    <w:rsid w:val="00647A27"/>
    <w:rsid w:val="00647A86"/>
    <w:rsid w:val="00650791"/>
    <w:rsid w:val="00650804"/>
    <w:rsid w:val="00650904"/>
    <w:rsid w:val="006510B7"/>
    <w:rsid w:val="0065142C"/>
    <w:rsid w:val="00652006"/>
    <w:rsid w:val="0065273F"/>
    <w:rsid w:val="00652826"/>
    <w:rsid w:val="006529CC"/>
    <w:rsid w:val="00653E4D"/>
    <w:rsid w:val="0065518C"/>
    <w:rsid w:val="00655536"/>
    <w:rsid w:val="006561A2"/>
    <w:rsid w:val="006567B3"/>
    <w:rsid w:val="00657754"/>
    <w:rsid w:val="00657AAC"/>
    <w:rsid w:val="006600CA"/>
    <w:rsid w:val="00660858"/>
    <w:rsid w:val="006611C6"/>
    <w:rsid w:val="006613C2"/>
    <w:rsid w:val="00661E45"/>
    <w:rsid w:val="00661F92"/>
    <w:rsid w:val="006623B5"/>
    <w:rsid w:val="0066298C"/>
    <w:rsid w:val="006629BC"/>
    <w:rsid w:val="00662DFF"/>
    <w:rsid w:val="00663606"/>
    <w:rsid w:val="00663E11"/>
    <w:rsid w:val="006641C3"/>
    <w:rsid w:val="006641F8"/>
    <w:rsid w:val="00664356"/>
    <w:rsid w:val="0066436A"/>
    <w:rsid w:val="006669D0"/>
    <w:rsid w:val="00666E22"/>
    <w:rsid w:val="00667011"/>
    <w:rsid w:val="00667AC4"/>
    <w:rsid w:val="00670CF3"/>
    <w:rsid w:val="00670F31"/>
    <w:rsid w:val="00670FD1"/>
    <w:rsid w:val="00671799"/>
    <w:rsid w:val="006719F4"/>
    <w:rsid w:val="00672120"/>
    <w:rsid w:val="0067251B"/>
    <w:rsid w:val="006726BF"/>
    <w:rsid w:val="006727A4"/>
    <w:rsid w:val="00673176"/>
    <w:rsid w:val="006736B4"/>
    <w:rsid w:val="0067371C"/>
    <w:rsid w:val="00673946"/>
    <w:rsid w:val="00673AF6"/>
    <w:rsid w:val="00673B08"/>
    <w:rsid w:val="0067507F"/>
    <w:rsid w:val="0067562D"/>
    <w:rsid w:val="00675EC1"/>
    <w:rsid w:val="0067664E"/>
    <w:rsid w:val="006776B7"/>
    <w:rsid w:val="0067795C"/>
    <w:rsid w:val="0068050C"/>
    <w:rsid w:val="006805BA"/>
    <w:rsid w:val="0068089E"/>
    <w:rsid w:val="0068133B"/>
    <w:rsid w:val="00681D2E"/>
    <w:rsid w:val="00682095"/>
    <w:rsid w:val="0068289C"/>
    <w:rsid w:val="00683959"/>
    <w:rsid w:val="00683BA2"/>
    <w:rsid w:val="00683BDD"/>
    <w:rsid w:val="00683BF6"/>
    <w:rsid w:val="00683CBF"/>
    <w:rsid w:val="006841BC"/>
    <w:rsid w:val="0068438D"/>
    <w:rsid w:val="006848D4"/>
    <w:rsid w:val="00686331"/>
    <w:rsid w:val="00687F69"/>
    <w:rsid w:val="0069060E"/>
    <w:rsid w:val="006906A8"/>
    <w:rsid w:val="00690E3D"/>
    <w:rsid w:val="0069189E"/>
    <w:rsid w:val="00691913"/>
    <w:rsid w:val="00691BE0"/>
    <w:rsid w:val="00692C6F"/>
    <w:rsid w:val="00693157"/>
    <w:rsid w:val="006937E7"/>
    <w:rsid w:val="00695083"/>
    <w:rsid w:val="0069581A"/>
    <w:rsid w:val="00695877"/>
    <w:rsid w:val="006966B1"/>
    <w:rsid w:val="00696DCF"/>
    <w:rsid w:val="006A071C"/>
    <w:rsid w:val="006A0A73"/>
    <w:rsid w:val="006A138B"/>
    <w:rsid w:val="006A1D9F"/>
    <w:rsid w:val="006A3FB0"/>
    <w:rsid w:val="006A425B"/>
    <w:rsid w:val="006A47D1"/>
    <w:rsid w:val="006A47FB"/>
    <w:rsid w:val="006A4C6D"/>
    <w:rsid w:val="006A562D"/>
    <w:rsid w:val="006A5B9C"/>
    <w:rsid w:val="006A5CFA"/>
    <w:rsid w:val="006A6097"/>
    <w:rsid w:val="006A6DDC"/>
    <w:rsid w:val="006A6F64"/>
    <w:rsid w:val="006A77AE"/>
    <w:rsid w:val="006A788F"/>
    <w:rsid w:val="006B0200"/>
    <w:rsid w:val="006B140A"/>
    <w:rsid w:val="006B156F"/>
    <w:rsid w:val="006B2BBA"/>
    <w:rsid w:val="006B485C"/>
    <w:rsid w:val="006B49C7"/>
    <w:rsid w:val="006B4FF7"/>
    <w:rsid w:val="006B504F"/>
    <w:rsid w:val="006B536B"/>
    <w:rsid w:val="006B5A90"/>
    <w:rsid w:val="006B61CC"/>
    <w:rsid w:val="006B6D91"/>
    <w:rsid w:val="006B789A"/>
    <w:rsid w:val="006B7A1B"/>
    <w:rsid w:val="006C055B"/>
    <w:rsid w:val="006C0C3C"/>
    <w:rsid w:val="006C1E1E"/>
    <w:rsid w:val="006C29AE"/>
    <w:rsid w:val="006C329E"/>
    <w:rsid w:val="006C3A31"/>
    <w:rsid w:val="006C41A4"/>
    <w:rsid w:val="006C46BD"/>
    <w:rsid w:val="006C4906"/>
    <w:rsid w:val="006C4944"/>
    <w:rsid w:val="006C6885"/>
    <w:rsid w:val="006C6AF0"/>
    <w:rsid w:val="006C6E83"/>
    <w:rsid w:val="006C7DE8"/>
    <w:rsid w:val="006D0B0B"/>
    <w:rsid w:val="006D1872"/>
    <w:rsid w:val="006D1D99"/>
    <w:rsid w:val="006D3271"/>
    <w:rsid w:val="006D4759"/>
    <w:rsid w:val="006D4840"/>
    <w:rsid w:val="006D52BC"/>
    <w:rsid w:val="006D6CFC"/>
    <w:rsid w:val="006D6EC5"/>
    <w:rsid w:val="006D765E"/>
    <w:rsid w:val="006E045A"/>
    <w:rsid w:val="006E0DFE"/>
    <w:rsid w:val="006E129B"/>
    <w:rsid w:val="006E13A0"/>
    <w:rsid w:val="006E1449"/>
    <w:rsid w:val="006E171F"/>
    <w:rsid w:val="006E292B"/>
    <w:rsid w:val="006E64F4"/>
    <w:rsid w:val="006E65A6"/>
    <w:rsid w:val="006E7302"/>
    <w:rsid w:val="006F0824"/>
    <w:rsid w:val="006F0B40"/>
    <w:rsid w:val="006F161E"/>
    <w:rsid w:val="006F1764"/>
    <w:rsid w:val="006F19B5"/>
    <w:rsid w:val="006F1A2A"/>
    <w:rsid w:val="006F1AF7"/>
    <w:rsid w:val="006F1DA6"/>
    <w:rsid w:val="006F21CC"/>
    <w:rsid w:val="006F387B"/>
    <w:rsid w:val="006F4919"/>
    <w:rsid w:val="006F4CDB"/>
    <w:rsid w:val="006F5081"/>
    <w:rsid w:val="006F565C"/>
    <w:rsid w:val="006F59F1"/>
    <w:rsid w:val="006F5C5A"/>
    <w:rsid w:val="006F7143"/>
    <w:rsid w:val="006F740B"/>
    <w:rsid w:val="007000BB"/>
    <w:rsid w:val="00701E0E"/>
    <w:rsid w:val="00701EBA"/>
    <w:rsid w:val="00702814"/>
    <w:rsid w:val="007034EF"/>
    <w:rsid w:val="007037A9"/>
    <w:rsid w:val="00703BEF"/>
    <w:rsid w:val="00704AF2"/>
    <w:rsid w:val="00706759"/>
    <w:rsid w:val="00706AF8"/>
    <w:rsid w:val="00706C60"/>
    <w:rsid w:val="00706D01"/>
    <w:rsid w:val="00707629"/>
    <w:rsid w:val="0071114F"/>
    <w:rsid w:val="00711768"/>
    <w:rsid w:val="007118F4"/>
    <w:rsid w:val="0071199F"/>
    <w:rsid w:val="00712C60"/>
    <w:rsid w:val="00712C73"/>
    <w:rsid w:val="007133DB"/>
    <w:rsid w:val="00713498"/>
    <w:rsid w:val="00713738"/>
    <w:rsid w:val="00714625"/>
    <w:rsid w:val="00715B56"/>
    <w:rsid w:val="00716373"/>
    <w:rsid w:val="007163D9"/>
    <w:rsid w:val="007164BB"/>
    <w:rsid w:val="00717F5A"/>
    <w:rsid w:val="00717FB1"/>
    <w:rsid w:val="00717FCD"/>
    <w:rsid w:val="00722CA4"/>
    <w:rsid w:val="00723803"/>
    <w:rsid w:val="00723E1E"/>
    <w:rsid w:val="00724643"/>
    <w:rsid w:val="00724839"/>
    <w:rsid w:val="00725035"/>
    <w:rsid w:val="007250F3"/>
    <w:rsid w:val="00725541"/>
    <w:rsid w:val="007263C0"/>
    <w:rsid w:val="007272B0"/>
    <w:rsid w:val="00730DBA"/>
    <w:rsid w:val="007312FD"/>
    <w:rsid w:val="00731415"/>
    <w:rsid w:val="0073171D"/>
    <w:rsid w:val="00733200"/>
    <w:rsid w:val="00733FF0"/>
    <w:rsid w:val="007340F0"/>
    <w:rsid w:val="007350A0"/>
    <w:rsid w:val="007364A6"/>
    <w:rsid w:val="007365F5"/>
    <w:rsid w:val="007371B6"/>
    <w:rsid w:val="00740214"/>
    <w:rsid w:val="00740420"/>
    <w:rsid w:val="0074069D"/>
    <w:rsid w:val="007409E9"/>
    <w:rsid w:val="0074185D"/>
    <w:rsid w:val="0074186B"/>
    <w:rsid w:val="00741A1E"/>
    <w:rsid w:val="00741BB3"/>
    <w:rsid w:val="00742FC1"/>
    <w:rsid w:val="0074390B"/>
    <w:rsid w:val="00743CDF"/>
    <w:rsid w:val="007449A1"/>
    <w:rsid w:val="00744AD0"/>
    <w:rsid w:val="00745A07"/>
    <w:rsid w:val="00745C55"/>
    <w:rsid w:val="00745DAA"/>
    <w:rsid w:val="00745E0A"/>
    <w:rsid w:val="00745E4B"/>
    <w:rsid w:val="007460D0"/>
    <w:rsid w:val="00746679"/>
    <w:rsid w:val="00747C10"/>
    <w:rsid w:val="00747DBF"/>
    <w:rsid w:val="00747FA5"/>
    <w:rsid w:val="007509A6"/>
    <w:rsid w:val="00750B5A"/>
    <w:rsid w:val="00752428"/>
    <w:rsid w:val="00752869"/>
    <w:rsid w:val="00752F89"/>
    <w:rsid w:val="00753100"/>
    <w:rsid w:val="0075444B"/>
    <w:rsid w:val="00754A01"/>
    <w:rsid w:val="007563B3"/>
    <w:rsid w:val="007569B0"/>
    <w:rsid w:val="00757954"/>
    <w:rsid w:val="00757C99"/>
    <w:rsid w:val="0076021F"/>
    <w:rsid w:val="0076022F"/>
    <w:rsid w:val="007605B2"/>
    <w:rsid w:val="007615E0"/>
    <w:rsid w:val="00761651"/>
    <w:rsid w:val="007617EA"/>
    <w:rsid w:val="00762129"/>
    <w:rsid w:val="0076278F"/>
    <w:rsid w:val="00763292"/>
    <w:rsid w:val="00764595"/>
    <w:rsid w:val="00764E33"/>
    <w:rsid w:val="0076611F"/>
    <w:rsid w:val="00766A10"/>
    <w:rsid w:val="00766ECF"/>
    <w:rsid w:val="00767068"/>
    <w:rsid w:val="007670A5"/>
    <w:rsid w:val="00767847"/>
    <w:rsid w:val="00767FC8"/>
    <w:rsid w:val="00770A6F"/>
    <w:rsid w:val="007710E8"/>
    <w:rsid w:val="00771595"/>
    <w:rsid w:val="0077190A"/>
    <w:rsid w:val="00771C75"/>
    <w:rsid w:val="00771D75"/>
    <w:rsid w:val="00771E60"/>
    <w:rsid w:val="00772B91"/>
    <w:rsid w:val="00772C20"/>
    <w:rsid w:val="00772C70"/>
    <w:rsid w:val="007740EB"/>
    <w:rsid w:val="007742CD"/>
    <w:rsid w:val="00774308"/>
    <w:rsid w:val="00774838"/>
    <w:rsid w:val="00775C80"/>
    <w:rsid w:val="007764B8"/>
    <w:rsid w:val="0077674F"/>
    <w:rsid w:val="00776949"/>
    <w:rsid w:val="00776F49"/>
    <w:rsid w:val="00777030"/>
    <w:rsid w:val="00777291"/>
    <w:rsid w:val="007802AF"/>
    <w:rsid w:val="00780A48"/>
    <w:rsid w:val="00780B3E"/>
    <w:rsid w:val="007818E4"/>
    <w:rsid w:val="00781B2B"/>
    <w:rsid w:val="007833FF"/>
    <w:rsid w:val="007835F1"/>
    <w:rsid w:val="00783DDD"/>
    <w:rsid w:val="00784313"/>
    <w:rsid w:val="007847C1"/>
    <w:rsid w:val="007847FA"/>
    <w:rsid w:val="007849FE"/>
    <w:rsid w:val="00785563"/>
    <w:rsid w:val="00785811"/>
    <w:rsid w:val="0078607A"/>
    <w:rsid w:val="00786852"/>
    <w:rsid w:val="00786AE0"/>
    <w:rsid w:val="00786B86"/>
    <w:rsid w:val="00786F96"/>
    <w:rsid w:val="0079042D"/>
    <w:rsid w:val="00790910"/>
    <w:rsid w:val="00790A04"/>
    <w:rsid w:val="00790B3A"/>
    <w:rsid w:val="007910D1"/>
    <w:rsid w:val="00791116"/>
    <w:rsid w:val="00791B68"/>
    <w:rsid w:val="00791C46"/>
    <w:rsid w:val="00791DE1"/>
    <w:rsid w:val="00791E66"/>
    <w:rsid w:val="00792291"/>
    <w:rsid w:val="00792C07"/>
    <w:rsid w:val="007932F9"/>
    <w:rsid w:val="007936B6"/>
    <w:rsid w:val="00793EDB"/>
    <w:rsid w:val="007947D4"/>
    <w:rsid w:val="00795A9E"/>
    <w:rsid w:val="007960B2"/>
    <w:rsid w:val="00796A12"/>
    <w:rsid w:val="00796BDE"/>
    <w:rsid w:val="00797260"/>
    <w:rsid w:val="00797B59"/>
    <w:rsid w:val="00797DE6"/>
    <w:rsid w:val="007A376B"/>
    <w:rsid w:val="007A3A8C"/>
    <w:rsid w:val="007A3DBA"/>
    <w:rsid w:val="007A5D33"/>
    <w:rsid w:val="007A6037"/>
    <w:rsid w:val="007A60F9"/>
    <w:rsid w:val="007A61F2"/>
    <w:rsid w:val="007A6446"/>
    <w:rsid w:val="007A6486"/>
    <w:rsid w:val="007A6586"/>
    <w:rsid w:val="007A6737"/>
    <w:rsid w:val="007A7C14"/>
    <w:rsid w:val="007B0E0C"/>
    <w:rsid w:val="007B1DD6"/>
    <w:rsid w:val="007B203E"/>
    <w:rsid w:val="007B236A"/>
    <w:rsid w:val="007B2608"/>
    <w:rsid w:val="007B37F8"/>
    <w:rsid w:val="007B5B58"/>
    <w:rsid w:val="007B5F4A"/>
    <w:rsid w:val="007B611A"/>
    <w:rsid w:val="007B6968"/>
    <w:rsid w:val="007B6E91"/>
    <w:rsid w:val="007B7799"/>
    <w:rsid w:val="007B78E8"/>
    <w:rsid w:val="007C0732"/>
    <w:rsid w:val="007C0EA1"/>
    <w:rsid w:val="007C151D"/>
    <w:rsid w:val="007C24E6"/>
    <w:rsid w:val="007C26E5"/>
    <w:rsid w:val="007C3169"/>
    <w:rsid w:val="007C3C4D"/>
    <w:rsid w:val="007C4893"/>
    <w:rsid w:val="007C4E92"/>
    <w:rsid w:val="007C720A"/>
    <w:rsid w:val="007C76AF"/>
    <w:rsid w:val="007D1092"/>
    <w:rsid w:val="007D121F"/>
    <w:rsid w:val="007D1996"/>
    <w:rsid w:val="007D1BAA"/>
    <w:rsid w:val="007D2621"/>
    <w:rsid w:val="007D270C"/>
    <w:rsid w:val="007D278A"/>
    <w:rsid w:val="007D29F9"/>
    <w:rsid w:val="007D2E95"/>
    <w:rsid w:val="007D2EF5"/>
    <w:rsid w:val="007D5D6F"/>
    <w:rsid w:val="007D6C42"/>
    <w:rsid w:val="007E15F0"/>
    <w:rsid w:val="007E1FFA"/>
    <w:rsid w:val="007E2140"/>
    <w:rsid w:val="007E3028"/>
    <w:rsid w:val="007E4442"/>
    <w:rsid w:val="007E4B98"/>
    <w:rsid w:val="007E5274"/>
    <w:rsid w:val="007E5EFD"/>
    <w:rsid w:val="007E71E2"/>
    <w:rsid w:val="007F08CA"/>
    <w:rsid w:val="007F08F3"/>
    <w:rsid w:val="007F0B85"/>
    <w:rsid w:val="007F11BA"/>
    <w:rsid w:val="007F1C63"/>
    <w:rsid w:val="007F365F"/>
    <w:rsid w:val="007F3801"/>
    <w:rsid w:val="007F3B4A"/>
    <w:rsid w:val="007F3B6E"/>
    <w:rsid w:val="007F3C32"/>
    <w:rsid w:val="007F56FA"/>
    <w:rsid w:val="007F5BC2"/>
    <w:rsid w:val="00800AAB"/>
    <w:rsid w:val="0080162D"/>
    <w:rsid w:val="00801C8C"/>
    <w:rsid w:val="00801D90"/>
    <w:rsid w:val="00801F43"/>
    <w:rsid w:val="00802CE2"/>
    <w:rsid w:val="008034FD"/>
    <w:rsid w:val="008036B4"/>
    <w:rsid w:val="00803B6D"/>
    <w:rsid w:val="00803D30"/>
    <w:rsid w:val="00805119"/>
    <w:rsid w:val="00805121"/>
    <w:rsid w:val="00805D7E"/>
    <w:rsid w:val="00805DF0"/>
    <w:rsid w:val="00805E17"/>
    <w:rsid w:val="00805EF4"/>
    <w:rsid w:val="00806434"/>
    <w:rsid w:val="00807457"/>
    <w:rsid w:val="00807900"/>
    <w:rsid w:val="008100AD"/>
    <w:rsid w:val="008105D5"/>
    <w:rsid w:val="00810B13"/>
    <w:rsid w:val="00812B37"/>
    <w:rsid w:val="00813288"/>
    <w:rsid w:val="008137C7"/>
    <w:rsid w:val="00813CBA"/>
    <w:rsid w:val="0081568D"/>
    <w:rsid w:val="00816151"/>
    <w:rsid w:val="00816589"/>
    <w:rsid w:val="00816D92"/>
    <w:rsid w:val="008170FC"/>
    <w:rsid w:val="008171E3"/>
    <w:rsid w:val="00820FE1"/>
    <w:rsid w:val="00820FFC"/>
    <w:rsid w:val="008218BC"/>
    <w:rsid w:val="00821A29"/>
    <w:rsid w:val="008227FD"/>
    <w:rsid w:val="008228BE"/>
    <w:rsid w:val="008228D5"/>
    <w:rsid w:val="00823186"/>
    <w:rsid w:val="00823233"/>
    <w:rsid w:val="008242FA"/>
    <w:rsid w:val="00824426"/>
    <w:rsid w:val="00824ACE"/>
    <w:rsid w:val="00825322"/>
    <w:rsid w:val="00825A36"/>
    <w:rsid w:val="00825A8F"/>
    <w:rsid w:val="00825B58"/>
    <w:rsid w:val="00826A54"/>
    <w:rsid w:val="008279C6"/>
    <w:rsid w:val="00830E52"/>
    <w:rsid w:val="008324E3"/>
    <w:rsid w:val="008324EC"/>
    <w:rsid w:val="0083252C"/>
    <w:rsid w:val="0083289F"/>
    <w:rsid w:val="00833EEF"/>
    <w:rsid w:val="0083475F"/>
    <w:rsid w:val="008349AF"/>
    <w:rsid w:val="00834C3A"/>
    <w:rsid w:val="00834DEE"/>
    <w:rsid w:val="00835950"/>
    <w:rsid w:val="00836103"/>
    <w:rsid w:val="00836554"/>
    <w:rsid w:val="0083690F"/>
    <w:rsid w:val="00836E8D"/>
    <w:rsid w:val="00837A86"/>
    <w:rsid w:val="00841432"/>
    <w:rsid w:val="008414D8"/>
    <w:rsid w:val="0084258C"/>
    <w:rsid w:val="00842E0D"/>
    <w:rsid w:val="00843254"/>
    <w:rsid w:val="008432BE"/>
    <w:rsid w:val="0084351F"/>
    <w:rsid w:val="008439CE"/>
    <w:rsid w:val="00844990"/>
    <w:rsid w:val="00844D89"/>
    <w:rsid w:val="0084550E"/>
    <w:rsid w:val="008455CE"/>
    <w:rsid w:val="0084590D"/>
    <w:rsid w:val="00845935"/>
    <w:rsid w:val="00845946"/>
    <w:rsid w:val="00845B6E"/>
    <w:rsid w:val="00845BC1"/>
    <w:rsid w:val="00846CD6"/>
    <w:rsid w:val="008476A0"/>
    <w:rsid w:val="00847A9D"/>
    <w:rsid w:val="00850929"/>
    <w:rsid w:val="00850FF0"/>
    <w:rsid w:val="008511FF"/>
    <w:rsid w:val="00851C45"/>
    <w:rsid w:val="00851F95"/>
    <w:rsid w:val="008521F5"/>
    <w:rsid w:val="00852E09"/>
    <w:rsid w:val="00852F38"/>
    <w:rsid w:val="00853036"/>
    <w:rsid w:val="008538AD"/>
    <w:rsid w:val="00854634"/>
    <w:rsid w:val="00855784"/>
    <w:rsid w:val="00855D88"/>
    <w:rsid w:val="00855F59"/>
    <w:rsid w:val="00856192"/>
    <w:rsid w:val="008561A0"/>
    <w:rsid w:val="00856346"/>
    <w:rsid w:val="00856AD0"/>
    <w:rsid w:val="00856C34"/>
    <w:rsid w:val="00856CAC"/>
    <w:rsid w:val="0085788F"/>
    <w:rsid w:val="00860136"/>
    <w:rsid w:val="008609F9"/>
    <w:rsid w:val="00860B8A"/>
    <w:rsid w:val="00860CCD"/>
    <w:rsid w:val="00860E29"/>
    <w:rsid w:val="008612E0"/>
    <w:rsid w:val="008615D0"/>
    <w:rsid w:val="00861ED1"/>
    <w:rsid w:val="008621EE"/>
    <w:rsid w:val="00862348"/>
    <w:rsid w:val="008625E5"/>
    <w:rsid w:val="00863123"/>
    <w:rsid w:val="008633ED"/>
    <w:rsid w:val="008634ED"/>
    <w:rsid w:val="0086362E"/>
    <w:rsid w:val="00863A4D"/>
    <w:rsid w:val="008642AF"/>
    <w:rsid w:val="00864310"/>
    <w:rsid w:val="00864862"/>
    <w:rsid w:val="0086521D"/>
    <w:rsid w:val="00865351"/>
    <w:rsid w:val="00865981"/>
    <w:rsid w:val="008659E1"/>
    <w:rsid w:val="00865DC1"/>
    <w:rsid w:val="00866C88"/>
    <w:rsid w:val="00867EAD"/>
    <w:rsid w:val="00867EDD"/>
    <w:rsid w:val="00870352"/>
    <w:rsid w:val="00870465"/>
    <w:rsid w:val="00870A37"/>
    <w:rsid w:val="00871129"/>
    <w:rsid w:val="008726B5"/>
    <w:rsid w:val="008727AF"/>
    <w:rsid w:val="00873443"/>
    <w:rsid w:val="008735BD"/>
    <w:rsid w:val="008738D7"/>
    <w:rsid w:val="00873BD9"/>
    <w:rsid w:val="00873F8E"/>
    <w:rsid w:val="00874529"/>
    <w:rsid w:val="00874F96"/>
    <w:rsid w:val="008750F9"/>
    <w:rsid w:val="00875341"/>
    <w:rsid w:val="0087536F"/>
    <w:rsid w:val="0087556F"/>
    <w:rsid w:val="00875CAE"/>
    <w:rsid w:val="00880A40"/>
    <w:rsid w:val="00881ABC"/>
    <w:rsid w:val="00881D80"/>
    <w:rsid w:val="008824FD"/>
    <w:rsid w:val="00882FB0"/>
    <w:rsid w:val="008841F5"/>
    <w:rsid w:val="0088425F"/>
    <w:rsid w:val="00884E59"/>
    <w:rsid w:val="0088552A"/>
    <w:rsid w:val="00885A7E"/>
    <w:rsid w:val="00885E02"/>
    <w:rsid w:val="008869F4"/>
    <w:rsid w:val="00886C12"/>
    <w:rsid w:val="00887680"/>
    <w:rsid w:val="00887751"/>
    <w:rsid w:val="00887CC5"/>
    <w:rsid w:val="00887DD3"/>
    <w:rsid w:val="008907D8"/>
    <w:rsid w:val="008909B7"/>
    <w:rsid w:val="00890C54"/>
    <w:rsid w:val="0089141F"/>
    <w:rsid w:val="00892F67"/>
    <w:rsid w:val="00893B18"/>
    <w:rsid w:val="00893EEF"/>
    <w:rsid w:val="0089458A"/>
    <w:rsid w:val="00894DB8"/>
    <w:rsid w:val="00894FA2"/>
    <w:rsid w:val="00895D9C"/>
    <w:rsid w:val="00895FF6"/>
    <w:rsid w:val="00897A3E"/>
    <w:rsid w:val="00897AA2"/>
    <w:rsid w:val="00897C2A"/>
    <w:rsid w:val="00897DEA"/>
    <w:rsid w:val="008A0F1D"/>
    <w:rsid w:val="008A17B0"/>
    <w:rsid w:val="008A2B9F"/>
    <w:rsid w:val="008A2DEC"/>
    <w:rsid w:val="008A2F9D"/>
    <w:rsid w:val="008A4880"/>
    <w:rsid w:val="008A4E31"/>
    <w:rsid w:val="008A5295"/>
    <w:rsid w:val="008A52B1"/>
    <w:rsid w:val="008A7B2B"/>
    <w:rsid w:val="008B10DE"/>
    <w:rsid w:val="008B1349"/>
    <w:rsid w:val="008B1511"/>
    <w:rsid w:val="008B1DF6"/>
    <w:rsid w:val="008B2293"/>
    <w:rsid w:val="008B2D47"/>
    <w:rsid w:val="008B335C"/>
    <w:rsid w:val="008B3553"/>
    <w:rsid w:val="008B4183"/>
    <w:rsid w:val="008B4698"/>
    <w:rsid w:val="008B4F29"/>
    <w:rsid w:val="008B5090"/>
    <w:rsid w:val="008B54DE"/>
    <w:rsid w:val="008B58AD"/>
    <w:rsid w:val="008B59FA"/>
    <w:rsid w:val="008B5A10"/>
    <w:rsid w:val="008B5B32"/>
    <w:rsid w:val="008B66C1"/>
    <w:rsid w:val="008B697E"/>
    <w:rsid w:val="008B69CB"/>
    <w:rsid w:val="008B6FDC"/>
    <w:rsid w:val="008B7CF6"/>
    <w:rsid w:val="008C16A4"/>
    <w:rsid w:val="008C26CD"/>
    <w:rsid w:val="008C28AC"/>
    <w:rsid w:val="008C33DA"/>
    <w:rsid w:val="008C364F"/>
    <w:rsid w:val="008C4301"/>
    <w:rsid w:val="008C44E0"/>
    <w:rsid w:val="008C4B80"/>
    <w:rsid w:val="008C53E6"/>
    <w:rsid w:val="008C576C"/>
    <w:rsid w:val="008C73C9"/>
    <w:rsid w:val="008C7999"/>
    <w:rsid w:val="008C7AEC"/>
    <w:rsid w:val="008C7E88"/>
    <w:rsid w:val="008D0B21"/>
    <w:rsid w:val="008D1D96"/>
    <w:rsid w:val="008D32D6"/>
    <w:rsid w:val="008D3CE3"/>
    <w:rsid w:val="008D40B2"/>
    <w:rsid w:val="008D41F0"/>
    <w:rsid w:val="008D44E1"/>
    <w:rsid w:val="008D57CC"/>
    <w:rsid w:val="008D5DDF"/>
    <w:rsid w:val="008D6C61"/>
    <w:rsid w:val="008D6E9F"/>
    <w:rsid w:val="008D706C"/>
    <w:rsid w:val="008D70B4"/>
    <w:rsid w:val="008D78B3"/>
    <w:rsid w:val="008D78FF"/>
    <w:rsid w:val="008D7979"/>
    <w:rsid w:val="008E0129"/>
    <w:rsid w:val="008E035C"/>
    <w:rsid w:val="008E06D5"/>
    <w:rsid w:val="008E084C"/>
    <w:rsid w:val="008E13DD"/>
    <w:rsid w:val="008E16BF"/>
    <w:rsid w:val="008E1E63"/>
    <w:rsid w:val="008E2F1F"/>
    <w:rsid w:val="008E3BB6"/>
    <w:rsid w:val="008E49D1"/>
    <w:rsid w:val="008E4A95"/>
    <w:rsid w:val="008E4C36"/>
    <w:rsid w:val="008E4DDC"/>
    <w:rsid w:val="008E55D9"/>
    <w:rsid w:val="008E5891"/>
    <w:rsid w:val="008E59EE"/>
    <w:rsid w:val="008E70DC"/>
    <w:rsid w:val="008E7E4B"/>
    <w:rsid w:val="008F05E6"/>
    <w:rsid w:val="008F1438"/>
    <w:rsid w:val="008F18C5"/>
    <w:rsid w:val="008F1D00"/>
    <w:rsid w:val="008F1FCB"/>
    <w:rsid w:val="008F3E39"/>
    <w:rsid w:val="008F3FC9"/>
    <w:rsid w:val="008F4385"/>
    <w:rsid w:val="008F493C"/>
    <w:rsid w:val="008F5116"/>
    <w:rsid w:val="008F6529"/>
    <w:rsid w:val="008F6BE5"/>
    <w:rsid w:val="008F794E"/>
    <w:rsid w:val="008F7DCC"/>
    <w:rsid w:val="009001C7"/>
    <w:rsid w:val="00902A31"/>
    <w:rsid w:val="00902F1A"/>
    <w:rsid w:val="00904700"/>
    <w:rsid w:val="00904EFD"/>
    <w:rsid w:val="00905154"/>
    <w:rsid w:val="00905E96"/>
    <w:rsid w:val="009069E7"/>
    <w:rsid w:val="00907A67"/>
    <w:rsid w:val="00911429"/>
    <w:rsid w:val="009118E5"/>
    <w:rsid w:val="00911C9C"/>
    <w:rsid w:val="00912CAE"/>
    <w:rsid w:val="00913082"/>
    <w:rsid w:val="00914DA7"/>
    <w:rsid w:val="00915F4A"/>
    <w:rsid w:val="00915F63"/>
    <w:rsid w:val="00916AA6"/>
    <w:rsid w:val="00916CA3"/>
    <w:rsid w:val="00916E9D"/>
    <w:rsid w:val="00917274"/>
    <w:rsid w:val="009175C4"/>
    <w:rsid w:val="00917608"/>
    <w:rsid w:val="009177E9"/>
    <w:rsid w:val="009178CB"/>
    <w:rsid w:val="00917B1A"/>
    <w:rsid w:val="0092066A"/>
    <w:rsid w:val="009215D8"/>
    <w:rsid w:val="00921B64"/>
    <w:rsid w:val="00921CF4"/>
    <w:rsid w:val="00922BE8"/>
    <w:rsid w:val="009232A2"/>
    <w:rsid w:val="00923832"/>
    <w:rsid w:val="009247C3"/>
    <w:rsid w:val="00925157"/>
    <w:rsid w:val="00925282"/>
    <w:rsid w:val="009253E1"/>
    <w:rsid w:val="00925690"/>
    <w:rsid w:val="0092598E"/>
    <w:rsid w:val="0092668D"/>
    <w:rsid w:val="009270E7"/>
    <w:rsid w:val="00927197"/>
    <w:rsid w:val="009272B7"/>
    <w:rsid w:val="00927467"/>
    <w:rsid w:val="00927601"/>
    <w:rsid w:val="009306AE"/>
    <w:rsid w:val="009307D9"/>
    <w:rsid w:val="00930852"/>
    <w:rsid w:val="00931292"/>
    <w:rsid w:val="009331CF"/>
    <w:rsid w:val="00933343"/>
    <w:rsid w:val="00933478"/>
    <w:rsid w:val="009334AC"/>
    <w:rsid w:val="00934FB0"/>
    <w:rsid w:val="009357DF"/>
    <w:rsid w:val="00936A3D"/>
    <w:rsid w:val="00936F48"/>
    <w:rsid w:val="00941A84"/>
    <w:rsid w:val="00942010"/>
    <w:rsid w:val="00942327"/>
    <w:rsid w:val="0094260E"/>
    <w:rsid w:val="0094294F"/>
    <w:rsid w:val="00942DC3"/>
    <w:rsid w:val="0094320A"/>
    <w:rsid w:val="00943396"/>
    <w:rsid w:val="009433EF"/>
    <w:rsid w:val="00943667"/>
    <w:rsid w:val="00944CC3"/>
    <w:rsid w:val="00944FEF"/>
    <w:rsid w:val="0094528C"/>
    <w:rsid w:val="00945525"/>
    <w:rsid w:val="009463B7"/>
    <w:rsid w:val="009465BD"/>
    <w:rsid w:val="00947756"/>
    <w:rsid w:val="00947A75"/>
    <w:rsid w:val="00950044"/>
    <w:rsid w:val="00951175"/>
    <w:rsid w:val="00951262"/>
    <w:rsid w:val="0095162A"/>
    <w:rsid w:val="0095170D"/>
    <w:rsid w:val="00951BAA"/>
    <w:rsid w:val="00952C75"/>
    <w:rsid w:val="00953034"/>
    <w:rsid w:val="0095307F"/>
    <w:rsid w:val="00953431"/>
    <w:rsid w:val="00953B00"/>
    <w:rsid w:val="00954323"/>
    <w:rsid w:val="00954E1C"/>
    <w:rsid w:val="00955526"/>
    <w:rsid w:val="00955BFE"/>
    <w:rsid w:val="00956358"/>
    <w:rsid w:val="00956755"/>
    <w:rsid w:val="009573D1"/>
    <w:rsid w:val="00960225"/>
    <w:rsid w:val="009604FD"/>
    <w:rsid w:val="009606CA"/>
    <w:rsid w:val="00962DFB"/>
    <w:rsid w:val="0096378D"/>
    <w:rsid w:val="00964D75"/>
    <w:rsid w:val="00966123"/>
    <w:rsid w:val="009663D1"/>
    <w:rsid w:val="009665C0"/>
    <w:rsid w:val="00966C09"/>
    <w:rsid w:val="00966C0E"/>
    <w:rsid w:val="00967A9D"/>
    <w:rsid w:val="00967C31"/>
    <w:rsid w:val="00967DFA"/>
    <w:rsid w:val="00967EAE"/>
    <w:rsid w:val="0097045A"/>
    <w:rsid w:val="00970FF3"/>
    <w:rsid w:val="00971104"/>
    <w:rsid w:val="0097225D"/>
    <w:rsid w:val="009722D8"/>
    <w:rsid w:val="009733B0"/>
    <w:rsid w:val="00973B1A"/>
    <w:rsid w:val="009740E4"/>
    <w:rsid w:val="00974F77"/>
    <w:rsid w:val="00975532"/>
    <w:rsid w:val="009761AE"/>
    <w:rsid w:val="00977E1C"/>
    <w:rsid w:val="0098078F"/>
    <w:rsid w:val="0098164E"/>
    <w:rsid w:val="00982051"/>
    <w:rsid w:val="0098214D"/>
    <w:rsid w:val="00982B67"/>
    <w:rsid w:val="00982DF5"/>
    <w:rsid w:val="00983D40"/>
    <w:rsid w:val="00984441"/>
    <w:rsid w:val="009844CF"/>
    <w:rsid w:val="009844D0"/>
    <w:rsid w:val="00984DD8"/>
    <w:rsid w:val="0098507F"/>
    <w:rsid w:val="00985C90"/>
    <w:rsid w:val="00985D88"/>
    <w:rsid w:val="00986919"/>
    <w:rsid w:val="00986D71"/>
    <w:rsid w:val="009870EA"/>
    <w:rsid w:val="00987593"/>
    <w:rsid w:val="009877D4"/>
    <w:rsid w:val="0099048A"/>
    <w:rsid w:val="009906D1"/>
    <w:rsid w:val="0099085F"/>
    <w:rsid w:val="00990BD3"/>
    <w:rsid w:val="00990F6E"/>
    <w:rsid w:val="0099141C"/>
    <w:rsid w:val="00992211"/>
    <w:rsid w:val="00992544"/>
    <w:rsid w:val="009925DB"/>
    <w:rsid w:val="009926FB"/>
    <w:rsid w:val="00993409"/>
    <w:rsid w:val="00993682"/>
    <w:rsid w:val="00993CC9"/>
    <w:rsid w:val="0099413D"/>
    <w:rsid w:val="009951CD"/>
    <w:rsid w:val="0099556C"/>
    <w:rsid w:val="0099593F"/>
    <w:rsid w:val="00995AD5"/>
    <w:rsid w:val="00996000"/>
    <w:rsid w:val="009969E8"/>
    <w:rsid w:val="00996EE1"/>
    <w:rsid w:val="00997633"/>
    <w:rsid w:val="009A0092"/>
    <w:rsid w:val="009A02DC"/>
    <w:rsid w:val="009A0910"/>
    <w:rsid w:val="009A091D"/>
    <w:rsid w:val="009A0E30"/>
    <w:rsid w:val="009A1B2F"/>
    <w:rsid w:val="009A21E5"/>
    <w:rsid w:val="009A2954"/>
    <w:rsid w:val="009A2B5E"/>
    <w:rsid w:val="009A306F"/>
    <w:rsid w:val="009A40C9"/>
    <w:rsid w:val="009A62FF"/>
    <w:rsid w:val="009A692A"/>
    <w:rsid w:val="009A6E94"/>
    <w:rsid w:val="009A6F74"/>
    <w:rsid w:val="009A715D"/>
    <w:rsid w:val="009A7957"/>
    <w:rsid w:val="009B0271"/>
    <w:rsid w:val="009B0420"/>
    <w:rsid w:val="009B0D01"/>
    <w:rsid w:val="009B1CAE"/>
    <w:rsid w:val="009B2594"/>
    <w:rsid w:val="009B2D9C"/>
    <w:rsid w:val="009B309A"/>
    <w:rsid w:val="009B323D"/>
    <w:rsid w:val="009B366D"/>
    <w:rsid w:val="009B3728"/>
    <w:rsid w:val="009B4446"/>
    <w:rsid w:val="009B4DA6"/>
    <w:rsid w:val="009B598E"/>
    <w:rsid w:val="009B616F"/>
    <w:rsid w:val="009B61B0"/>
    <w:rsid w:val="009B7337"/>
    <w:rsid w:val="009B7C73"/>
    <w:rsid w:val="009B7E7A"/>
    <w:rsid w:val="009B7F6F"/>
    <w:rsid w:val="009C0C1B"/>
    <w:rsid w:val="009C1901"/>
    <w:rsid w:val="009C4146"/>
    <w:rsid w:val="009C514D"/>
    <w:rsid w:val="009C5204"/>
    <w:rsid w:val="009C5351"/>
    <w:rsid w:val="009C580F"/>
    <w:rsid w:val="009C5F5F"/>
    <w:rsid w:val="009C6E6D"/>
    <w:rsid w:val="009C727F"/>
    <w:rsid w:val="009C7709"/>
    <w:rsid w:val="009D0604"/>
    <w:rsid w:val="009D09A3"/>
    <w:rsid w:val="009D0A7C"/>
    <w:rsid w:val="009D1EA9"/>
    <w:rsid w:val="009D2198"/>
    <w:rsid w:val="009D2A38"/>
    <w:rsid w:val="009D2C29"/>
    <w:rsid w:val="009D3628"/>
    <w:rsid w:val="009D4416"/>
    <w:rsid w:val="009D45A8"/>
    <w:rsid w:val="009D4C2A"/>
    <w:rsid w:val="009D6914"/>
    <w:rsid w:val="009D73EE"/>
    <w:rsid w:val="009D79F8"/>
    <w:rsid w:val="009E0A42"/>
    <w:rsid w:val="009E0B18"/>
    <w:rsid w:val="009E1C22"/>
    <w:rsid w:val="009E2481"/>
    <w:rsid w:val="009E24E3"/>
    <w:rsid w:val="009E27D6"/>
    <w:rsid w:val="009E281E"/>
    <w:rsid w:val="009E316B"/>
    <w:rsid w:val="009E35AC"/>
    <w:rsid w:val="009E39A8"/>
    <w:rsid w:val="009E3A72"/>
    <w:rsid w:val="009E3B80"/>
    <w:rsid w:val="009E3ECA"/>
    <w:rsid w:val="009E4202"/>
    <w:rsid w:val="009E45B1"/>
    <w:rsid w:val="009E4780"/>
    <w:rsid w:val="009E5BBD"/>
    <w:rsid w:val="009E68E5"/>
    <w:rsid w:val="009E6AD4"/>
    <w:rsid w:val="009F0259"/>
    <w:rsid w:val="009F0AFD"/>
    <w:rsid w:val="009F14DC"/>
    <w:rsid w:val="009F2E40"/>
    <w:rsid w:val="009F3631"/>
    <w:rsid w:val="009F3790"/>
    <w:rsid w:val="009F3868"/>
    <w:rsid w:val="009F4390"/>
    <w:rsid w:val="009F4ABE"/>
    <w:rsid w:val="009F63E7"/>
    <w:rsid w:val="009F6FAB"/>
    <w:rsid w:val="009F75F8"/>
    <w:rsid w:val="009F7BF3"/>
    <w:rsid w:val="009F7CEB"/>
    <w:rsid w:val="009F7E36"/>
    <w:rsid w:val="00A0001B"/>
    <w:rsid w:val="00A002ED"/>
    <w:rsid w:val="00A003C9"/>
    <w:rsid w:val="00A00ECE"/>
    <w:rsid w:val="00A011D0"/>
    <w:rsid w:val="00A01332"/>
    <w:rsid w:val="00A01666"/>
    <w:rsid w:val="00A016C1"/>
    <w:rsid w:val="00A016C2"/>
    <w:rsid w:val="00A01A55"/>
    <w:rsid w:val="00A02246"/>
    <w:rsid w:val="00A0257A"/>
    <w:rsid w:val="00A028AB"/>
    <w:rsid w:val="00A02EB8"/>
    <w:rsid w:val="00A03A65"/>
    <w:rsid w:val="00A040FD"/>
    <w:rsid w:val="00A0416D"/>
    <w:rsid w:val="00A0426A"/>
    <w:rsid w:val="00A045E3"/>
    <w:rsid w:val="00A046EC"/>
    <w:rsid w:val="00A04C0D"/>
    <w:rsid w:val="00A05076"/>
    <w:rsid w:val="00A05169"/>
    <w:rsid w:val="00A0517A"/>
    <w:rsid w:val="00A053AD"/>
    <w:rsid w:val="00A0648D"/>
    <w:rsid w:val="00A06AB2"/>
    <w:rsid w:val="00A0742C"/>
    <w:rsid w:val="00A0743F"/>
    <w:rsid w:val="00A074BD"/>
    <w:rsid w:val="00A103DE"/>
    <w:rsid w:val="00A10E8D"/>
    <w:rsid w:val="00A1158D"/>
    <w:rsid w:val="00A122B2"/>
    <w:rsid w:val="00A124F9"/>
    <w:rsid w:val="00A13ABB"/>
    <w:rsid w:val="00A13DDE"/>
    <w:rsid w:val="00A143F1"/>
    <w:rsid w:val="00A14A51"/>
    <w:rsid w:val="00A14EAB"/>
    <w:rsid w:val="00A150D8"/>
    <w:rsid w:val="00A1517E"/>
    <w:rsid w:val="00A17A1E"/>
    <w:rsid w:val="00A207B0"/>
    <w:rsid w:val="00A208AC"/>
    <w:rsid w:val="00A20B1A"/>
    <w:rsid w:val="00A20C3E"/>
    <w:rsid w:val="00A20D62"/>
    <w:rsid w:val="00A22A39"/>
    <w:rsid w:val="00A234DF"/>
    <w:rsid w:val="00A23882"/>
    <w:rsid w:val="00A251EB"/>
    <w:rsid w:val="00A25679"/>
    <w:rsid w:val="00A2598C"/>
    <w:rsid w:val="00A2605B"/>
    <w:rsid w:val="00A26B12"/>
    <w:rsid w:val="00A27080"/>
    <w:rsid w:val="00A27C79"/>
    <w:rsid w:val="00A30185"/>
    <w:rsid w:val="00A308FC"/>
    <w:rsid w:val="00A30FBA"/>
    <w:rsid w:val="00A32A48"/>
    <w:rsid w:val="00A32D4F"/>
    <w:rsid w:val="00A33240"/>
    <w:rsid w:val="00A33588"/>
    <w:rsid w:val="00A3383B"/>
    <w:rsid w:val="00A34E08"/>
    <w:rsid w:val="00A35295"/>
    <w:rsid w:val="00A35833"/>
    <w:rsid w:val="00A35E86"/>
    <w:rsid w:val="00A36F4D"/>
    <w:rsid w:val="00A376B2"/>
    <w:rsid w:val="00A3780A"/>
    <w:rsid w:val="00A37872"/>
    <w:rsid w:val="00A405C9"/>
    <w:rsid w:val="00A419F7"/>
    <w:rsid w:val="00A41DE4"/>
    <w:rsid w:val="00A41E5D"/>
    <w:rsid w:val="00A431EA"/>
    <w:rsid w:val="00A43373"/>
    <w:rsid w:val="00A44166"/>
    <w:rsid w:val="00A44DBF"/>
    <w:rsid w:val="00A44F85"/>
    <w:rsid w:val="00A467C9"/>
    <w:rsid w:val="00A4703E"/>
    <w:rsid w:val="00A47815"/>
    <w:rsid w:val="00A47908"/>
    <w:rsid w:val="00A506F1"/>
    <w:rsid w:val="00A50A76"/>
    <w:rsid w:val="00A510E0"/>
    <w:rsid w:val="00A5120E"/>
    <w:rsid w:val="00A51918"/>
    <w:rsid w:val="00A5252B"/>
    <w:rsid w:val="00A527FB"/>
    <w:rsid w:val="00A52DE8"/>
    <w:rsid w:val="00A52EAB"/>
    <w:rsid w:val="00A531B3"/>
    <w:rsid w:val="00A5338B"/>
    <w:rsid w:val="00A535FB"/>
    <w:rsid w:val="00A53D42"/>
    <w:rsid w:val="00A53D94"/>
    <w:rsid w:val="00A53FAD"/>
    <w:rsid w:val="00A541A3"/>
    <w:rsid w:val="00A549CD"/>
    <w:rsid w:val="00A55AEC"/>
    <w:rsid w:val="00A56288"/>
    <w:rsid w:val="00A56B25"/>
    <w:rsid w:val="00A6058B"/>
    <w:rsid w:val="00A61258"/>
    <w:rsid w:val="00A6374D"/>
    <w:rsid w:val="00A65CA8"/>
    <w:rsid w:val="00A668F7"/>
    <w:rsid w:val="00A66ABC"/>
    <w:rsid w:val="00A67DCB"/>
    <w:rsid w:val="00A70072"/>
    <w:rsid w:val="00A71628"/>
    <w:rsid w:val="00A71CC7"/>
    <w:rsid w:val="00A71D07"/>
    <w:rsid w:val="00A735FF"/>
    <w:rsid w:val="00A7360B"/>
    <w:rsid w:val="00A73C16"/>
    <w:rsid w:val="00A73E8B"/>
    <w:rsid w:val="00A75771"/>
    <w:rsid w:val="00A76283"/>
    <w:rsid w:val="00A767FC"/>
    <w:rsid w:val="00A77502"/>
    <w:rsid w:val="00A776EF"/>
    <w:rsid w:val="00A77FCD"/>
    <w:rsid w:val="00A803A4"/>
    <w:rsid w:val="00A8057F"/>
    <w:rsid w:val="00A8073A"/>
    <w:rsid w:val="00A81003"/>
    <w:rsid w:val="00A81190"/>
    <w:rsid w:val="00A81F82"/>
    <w:rsid w:val="00A820A3"/>
    <w:rsid w:val="00A82D0A"/>
    <w:rsid w:val="00A8394B"/>
    <w:rsid w:val="00A83CEF"/>
    <w:rsid w:val="00A841B0"/>
    <w:rsid w:val="00A85A2B"/>
    <w:rsid w:val="00A85B0B"/>
    <w:rsid w:val="00A85FB8"/>
    <w:rsid w:val="00A9215A"/>
    <w:rsid w:val="00A93543"/>
    <w:rsid w:val="00A93D1C"/>
    <w:rsid w:val="00A947AF"/>
    <w:rsid w:val="00A94EFC"/>
    <w:rsid w:val="00A9546B"/>
    <w:rsid w:val="00A96192"/>
    <w:rsid w:val="00A96AF1"/>
    <w:rsid w:val="00A97A71"/>
    <w:rsid w:val="00A97F01"/>
    <w:rsid w:val="00AA0532"/>
    <w:rsid w:val="00AA0898"/>
    <w:rsid w:val="00AA11D8"/>
    <w:rsid w:val="00AA1255"/>
    <w:rsid w:val="00AA14C2"/>
    <w:rsid w:val="00AA1681"/>
    <w:rsid w:val="00AA1FAD"/>
    <w:rsid w:val="00AA2510"/>
    <w:rsid w:val="00AA2DA9"/>
    <w:rsid w:val="00AA2DC4"/>
    <w:rsid w:val="00AA2EF0"/>
    <w:rsid w:val="00AA2FA1"/>
    <w:rsid w:val="00AA3251"/>
    <w:rsid w:val="00AA3B27"/>
    <w:rsid w:val="00AA3CCF"/>
    <w:rsid w:val="00AA4144"/>
    <w:rsid w:val="00AA416B"/>
    <w:rsid w:val="00AA4645"/>
    <w:rsid w:val="00AA4E35"/>
    <w:rsid w:val="00AA4E8F"/>
    <w:rsid w:val="00AA51C1"/>
    <w:rsid w:val="00AA6156"/>
    <w:rsid w:val="00AA660C"/>
    <w:rsid w:val="00AA6814"/>
    <w:rsid w:val="00AA6FC6"/>
    <w:rsid w:val="00AA72E9"/>
    <w:rsid w:val="00AA73AC"/>
    <w:rsid w:val="00AA78D1"/>
    <w:rsid w:val="00AA79AD"/>
    <w:rsid w:val="00AA7B77"/>
    <w:rsid w:val="00AB0B94"/>
    <w:rsid w:val="00AB15F8"/>
    <w:rsid w:val="00AB17E7"/>
    <w:rsid w:val="00AB187A"/>
    <w:rsid w:val="00AB2100"/>
    <w:rsid w:val="00AB2276"/>
    <w:rsid w:val="00AB2794"/>
    <w:rsid w:val="00AB31C3"/>
    <w:rsid w:val="00AB3556"/>
    <w:rsid w:val="00AB4EA8"/>
    <w:rsid w:val="00AB50DA"/>
    <w:rsid w:val="00AB514A"/>
    <w:rsid w:val="00AB5A8C"/>
    <w:rsid w:val="00AB5AF1"/>
    <w:rsid w:val="00AB601A"/>
    <w:rsid w:val="00AB61B5"/>
    <w:rsid w:val="00AB634F"/>
    <w:rsid w:val="00AB6A27"/>
    <w:rsid w:val="00AB7BCB"/>
    <w:rsid w:val="00AC0074"/>
    <w:rsid w:val="00AC033C"/>
    <w:rsid w:val="00AC06A6"/>
    <w:rsid w:val="00AC109C"/>
    <w:rsid w:val="00AC1D3D"/>
    <w:rsid w:val="00AC20D6"/>
    <w:rsid w:val="00AC247D"/>
    <w:rsid w:val="00AC276C"/>
    <w:rsid w:val="00AC2F6B"/>
    <w:rsid w:val="00AC5019"/>
    <w:rsid w:val="00AC50E3"/>
    <w:rsid w:val="00AC5D13"/>
    <w:rsid w:val="00AC74DD"/>
    <w:rsid w:val="00AC7563"/>
    <w:rsid w:val="00AD019D"/>
    <w:rsid w:val="00AD12B5"/>
    <w:rsid w:val="00AD1A8A"/>
    <w:rsid w:val="00AD2334"/>
    <w:rsid w:val="00AD2EC8"/>
    <w:rsid w:val="00AD3022"/>
    <w:rsid w:val="00AD306F"/>
    <w:rsid w:val="00AD37AD"/>
    <w:rsid w:val="00AD51C9"/>
    <w:rsid w:val="00AD6272"/>
    <w:rsid w:val="00AD6416"/>
    <w:rsid w:val="00AD6580"/>
    <w:rsid w:val="00AD7A02"/>
    <w:rsid w:val="00AD7B3B"/>
    <w:rsid w:val="00AE02A5"/>
    <w:rsid w:val="00AE095E"/>
    <w:rsid w:val="00AE0ABD"/>
    <w:rsid w:val="00AE0C81"/>
    <w:rsid w:val="00AE0C86"/>
    <w:rsid w:val="00AE0DA5"/>
    <w:rsid w:val="00AE0F61"/>
    <w:rsid w:val="00AE234B"/>
    <w:rsid w:val="00AE28D1"/>
    <w:rsid w:val="00AE2966"/>
    <w:rsid w:val="00AE2A68"/>
    <w:rsid w:val="00AE328B"/>
    <w:rsid w:val="00AE3C1B"/>
    <w:rsid w:val="00AE3CF1"/>
    <w:rsid w:val="00AE458D"/>
    <w:rsid w:val="00AE573A"/>
    <w:rsid w:val="00AE65A1"/>
    <w:rsid w:val="00AE739C"/>
    <w:rsid w:val="00AE76D6"/>
    <w:rsid w:val="00AE7F1F"/>
    <w:rsid w:val="00AF0496"/>
    <w:rsid w:val="00AF0C90"/>
    <w:rsid w:val="00AF0DF9"/>
    <w:rsid w:val="00AF11AC"/>
    <w:rsid w:val="00AF14B7"/>
    <w:rsid w:val="00AF291C"/>
    <w:rsid w:val="00AF40F2"/>
    <w:rsid w:val="00AF42B9"/>
    <w:rsid w:val="00AF4BE4"/>
    <w:rsid w:val="00AF6B3A"/>
    <w:rsid w:val="00AF6F66"/>
    <w:rsid w:val="00AF6FE6"/>
    <w:rsid w:val="00AF7D1E"/>
    <w:rsid w:val="00B00E49"/>
    <w:rsid w:val="00B01D20"/>
    <w:rsid w:val="00B0219D"/>
    <w:rsid w:val="00B0236D"/>
    <w:rsid w:val="00B02654"/>
    <w:rsid w:val="00B02EEF"/>
    <w:rsid w:val="00B0561D"/>
    <w:rsid w:val="00B05A6C"/>
    <w:rsid w:val="00B05B2F"/>
    <w:rsid w:val="00B067AD"/>
    <w:rsid w:val="00B06839"/>
    <w:rsid w:val="00B072FD"/>
    <w:rsid w:val="00B07A3D"/>
    <w:rsid w:val="00B10441"/>
    <w:rsid w:val="00B10612"/>
    <w:rsid w:val="00B10FE4"/>
    <w:rsid w:val="00B11EA0"/>
    <w:rsid w:val="00B1222A"/>
    <w:rsid w:val="00B1259E"/>
    <w:rsid w:val="00B1387B"/>
    <w:rsid w:val="00B13FFD"/>
    <w:rsid w:val="00B14EEA"/>
    <w:rsid w:val="00B152E4"/>
    <w:rsid w:val="00B15DC5"/>
    <w:rsid w:val="00B16908"/>
    <w:rsid w:val="00B17267"/>
    <w:rsid w:val="00B1753A"/>
    <w:rsid w:val="00B17628"/>
    <w:rsid w:val="00B17FDB"/>
    <w:rsid w:val="00B2005F"/>
    <w:rsid w:val="00B20200"/>
    <w:rsid w:val="00B21077"/>
    <w:rsid w:val="00B211A5"/>
    <w:rsid w:val="00B21492"/>
    <w:rsid w:val="00B21BB1"/>
    <w:rsid w:val="00B21CBB"/>
    <w:rsid w:val="00B21F0B"/>
    <w:rsid w:val="00B228F4"/>
    <w:rsid w:val="00B25064"/>
    <w:rsid w:val="00B2524B"/>
    <w:rsid w:val="00B25D68"/>
    <w:rsid w:val="00B2641D"/>
    <w:rsid w:val="00B269ED"/>
    <w:rsid w:val="00B272B0"/>
    <w:rsid w:val="00B2777B"/>
    <w:rsid w:val="00B278F5"/>
    <w:rsid w:val="00B30CDA"/>
    <w:rsid w:val="00B30E38"/>
    <w:rsid w:val="00B31A08"/>
    <w:rsid w:val="00B32C74"/>
    <w:rsid w:val="00B33BBA"/>
    <w:rsid w:val="00B345BD"/>
    <w:rsid w:val="00B34909"/>
    <w:rsid w:val="00B34EF4"/>
    <w:rsid w:val="00B35132"/>
    <w:rsid w:val="00B367BF"/>
    <w:rsid w:val="00B36BAC"/>
    <w:rsid w:val="00B377F0"/>
    <w:rsid w:val="00B4080C"/>
    <w:rsid w:val="00B40B65"/>
    <w:rsid w:val="00B40F6B"/>
    <w:rsid w:val="00B41F72"/>
    <w:rsid w:val="00B42449"/>
    <w:rsid w:val="00B428E6"/>
    <w:rsid w:val="00B42C1E"/>
    <w:rsid w:val="00B433CF"/>
    <w:rsid w:val="00B4384A"/>
    <w:rsid w:val="00B43971"/>
    <w:rsid w:val="00B4477D"/>
    <w:rsid w:val="00B45132"/>
    <w:rsid w:val="00B45997"/>
    <w:rsid w:val="00B45B95"/>
    <w:rsid w:val="00B46BBE"/>
    <w:rsid w:val="00B46FDE"/>
    <w:rsid w:val="00B472D9"/>
    <w:rsid w:val="00B47A0A"/>
    <w:rsid w:val="00B47B40"/>
    <w:rsid w:val="00B501A4"/>
    <w:rsid w:val="00B504BE"/>
    <w:rsid w:val="00B508C0"/>
    <w:rsid w:val="00B51A88"/>
    <w:rsid w:val="00B532C0"/>
    <w:rsid w:val="00B5341E"/>
    <w:rsid w:val="00B53725"/>
    <w:rsid w:val="00B53F30"/>
    <w:rsid w:val="00B54710"/>
    <w:rsid w:val="00B548EA"/>
    <w:rsid w:val="00B55270"/>
    <w:rsid w:val="00B5532B"/>
    <w:rsid w:val="00B553BA"/>
    <w:rsid w:val="00B55B50"/>
    <w:rsid w:val="00B55D91"/>
    <w:rsid w:val="00B56A07"/>
    <w:rsid w:val="00B56CB5"/>
    <w:rsid w:val="00B604BF"/>
    <w:rsid w:val="00B61FD9"/>
    <w:rsid w:val="00B62224"/>
    <w:rsid w:val="00B62310"/>
    <w:rsid w:val="00B62633"/>
    <w:rsid w:val="00B62E52"/>
    <w:rsid w:val="00B63844"/>
    <w:rsid w:val="00B63893"/>
    <w:rsid w:val="00B63ED7"/>
    <w:rsid w:val="00B64FA8"/>
    <w:rsid w:val="00B65235"/>
    <w:rsid w:val="00B657B8"/>
    <w:rsid w:val="00B66AD1"/>
    <w:rsid w:val="00B66C37"/>
    <w:rsid w:val="00B67119"/>
    <w:rsid w:val="00B67211"/>
    <w:rsid w:val="00B67542"/>
    <w:rsid w:val="00B67944"/>
    <w:rsid w:val="00B67F43"/>
    <w:rsid w:val="00B71078"/>
    <w:rsid w:val="00B71675"/>
    <w:rsid w:val="00B71B62"/>
    <w:rsid w:val="00B71B74"/>
    <w:rsid w:val="00B724A6"/>
    <w:rsid w:val="00B73029"/>
    <w:rsid w:val="00B731A3"/>
    <w:rsid w:val="00B7500A"/>
    <w:rsid w:val="00B75146"/>
    <w:rsid w:val="00B75606"/>
    <w:rsid w:val="00B7577E"/>
    <w:rsid w:val="00B75BC0"/>
    <w:rsid w:val="00B75CE8"/>
    <w:rsid w:val="00B75EFD"/>
    <w:rsid w:val="00B76337"/>
    <w:rsid w:val="00B769D0"/>
    <w:rsid w:val="00B76ABA"/>
    <w:rsid w:val="00B7718A"/>
    <w:rsid w:val="00B7739A"/>
    <w:rsid w:val="00B775BD"/>
    <w:rsid w:val="00B7794F"/>
    <w:rsid w:val="00B7796D"/>
    <w:rsid w:val="00B80502"/>
    <w:rsid w:val="00B805F5"/>
    <w:rsid w:val="00B80B83"/>
    <w:rsid w:val="00B80FD1"/>
    <w:rsid w:val="00B82991"/>
    <w:rsid w:val="00B84A59"/>
    <w:rsid w:val="00B84D90"/>
    <w:rsid w:val="00B8546C"/>
    <w:rsid w:val="00B8592E"/>
    <w:rsid w:val="00B859C0"/>
    <w:rsid w:val="00B85CB5"/>
    <w:rsid w:val="00B85EA4"/>
    <w:rsid w:val="00B863A0"/>
    <w:rsid w:val="00B86B5B"/>
    <w:rsid w:val="00B87142"/>
    <w:rsid w:val="00B9062A"/>
    <w:rsid w:val="00B91084"/>
    <w:rsid w:val="00B9189F"/>
    <w:rsid w:val="00B935B6"/>
    <w:rsid w:val="00B93C14"/>
    <w:rsid w:val="00B94648"/>
    <w:rsid w:val="00B949C0"/>
    <w:rsid w:val="00B9714F"/>
    <w:rsid w:val="00B976E7"/>
    <w:rsid w:val="00B97BF6"/>
    <w:rsid w:val="00BA01AB"/>
    <w:rsid w:val="00BA077B"/>
    <w:rsid w:val="00BA079E"/>
    <w:rsid w:val="00BA15E4"/>
    <w:rsid w:val="00BA3306"/>
    <w:rsid w:val="00BA3F10"/>
    <w:rsid w:val="00BA3F11"/>
    <w:rsid w:val="00BA44C8"/>
    <w:rsid w:val="00BA44E0"/>
    <w:rsid w:val="00BA4633"/>
    <w:rsid w:val="00BA4A1C"/>
    <w:rsid w:val="00BA73EE"/>
    <w:rsid w:val="00BB0804"/>
    <w:rsid w:val="00BB0CF4"/>
    <w:rsid w:val="00BB1961"/>
    <w:rsid w:val="00BB49AE"/>
    <w:rsid w:val="00BB6EA1"/>
    <w:rsid w:val="00BB7195"/>
    <w:rsid w:val="00BB7E02"/>
    <w:rsid w:val="00BC07E5"/>
    <w:rsid w:val="00BC0F6F"/>
    <w:rsid w:val="00BC1C4E"/>
    <w:rsid w:val="00BC1FAE"/>
    <w:rsid w:val="00BC21AF"/>
    <w:rsid w:val="00BC264D"/>
    <w:rsid w:val="00BC2989"/>
    <w:rsid w:val="00BC3484"/>
    <w:rsid w:val="00BC41A3"/>
    <w:rsid w:val="00BC44C4"/>
    <w:rsid w:val="00BC4B41"/>
    <w:rsid w:val="00BC4FDA"/>
    <w:rsid w:val="00BC5023"/>
    <w:rsid w:val="00BC568F"/>
    <w:rsid w:val="00BC56C3"/>
    <w:rsid w:val="00BC5FA4"/>
    <w:rsid w:val="00BC652F"/>
    <w:rsid w:val="00BC65E0"/>
    <w:rsid w:val="00BC7E49"/>
    <w:rsid w:val="00BC7FD2"/>
    <w:rsid w:val="00BD03EC"/>
    <w:rsid w:val="00BD0ADB"/>
    <w:rsid w:val="00BD1505"/>
    <w:rsid w:val="00BD288C"/>
    <w:rsid w:val="00BD2F0F"/>
    <w:rsid w:val="00BD2F5A"/>
    <w:rsid w:val="00BD4B15"/>
    <w:rsid w:val="00BD515C"/>
    <w:rsid w:val="00BD5637"/>
    <w:rsid w:val="00BD60EC"/>
    <w:rsid w:val="00BD6A5F"/>
    <w:rsid w:val="00BD6E0E"/>
    <w:rsid w:val="00BD7489"/>
    <w:rsid w:val="00BD7FA2"/>
    <w:rsid w:val="00BE0219"/>
    <w:rsid w:val="00BE03AB"/>
    <w:rsid w:val="00BE086C"/>
    <w:rsid w:val="00BE142E"/>
    <w:rsid w:val="00BE14B5"/>
    <w:rsid w:val="00BE2246"/>
    <w:rsid w:val="00BE2859"/>
    <w:rsid w:val="00BE2DAB"/>
    <w:rsid w:val="00BE301A"/>
    <w:rsid w:val="00BE3194"/>
    <w:rsid w:val="00BE3232"/>
    <w:rsid w:val="00BE3CAA"/>
    <w:rsid w:val="00BE3E5F"/>
    <w:rsid w:val="00BE410F"/>
    <w:rsid w:val="00BE4DAA"/>
    <w:rsid w:val="00BE51CA"/>
    <w:rsid w:val="00BE583A"/>
    <w:rsid w:val="00BE58F9"/>
    <w:rsid w:val="00BE5CC9"/>
    <w:rsid w:val="00BE6295"/>
    <w:rsid w:val="00BE64C8"/>
    <w:rsid w:val="00BE66CE"/>
    <w:rsid w:val="00BE7600"/>
    <w:rsid w:val="00BF051C"/>
    <w:rsid w:val="00BF073E"/>
    <w:rsid w:val="00BF08A6"/>
    <w:rsid w:val="00BF0DAA"/>
    <w:rsid w:val="00BF0EB4"/>
    <w:rsid w:val="00BF2D54"/>
    <w:rsid w:val="00BF320F"/>
    <w:rsid w:val="00BF3992"/>
    <w:rsid w:val="00BF4831"/>
    <w:rsid w:val="00BF4EBF"/>
    <w:rsid w:val="00BF56A2"/>
    <w:rsid w:val="00BF5AAE"/>
    <w:rsid w:val="00BF5C54"/>
    <w:rsid w:val="00BF5DBC"/>
    <w:rsid w:val="00BF687A"/>
    <w:rsid w:val="00BF7032"/>
    <w:rsid w:val="00BF7304"/>
    <w:rsid w:val="00BF7B2F"/>
    <w:rsid w:val="00C00832"/>
    <w:rsid w:val="00C00B21"/>
    <w:rsid w:val="00C0120D"/>
    <w:rsid w:val="00C02475"/>
    <w:rsid w:val="00C0248D"/>
    <w:rsid w:val="00C0254C"/>
    <w:rsid w:val="00C0290C"/>
    <w:rsid w:val="00C03B12"/>
    <w:rsid w:val="00C0622E"/>
    <w:rsid w:val="00C06761"/>
    <w:rsid w:val="00C07417"/>
    <w:rsid w:val="00C07BBA"/>
    <w:rsid w:val="00C10FF7"/>
    <w:rsid w:val="00C117C4"/>
    <w:rsid w:val="00C11BBC"/>
    <w:rsid w:val="00C12F97"/>
    <w:rsid w:val="00C13797"/>
    <w:rsid w:val="00C14320"/>
    <w:rsid w:val="00C149F3"/>
    <w:rsid w:val="00C15F6F"/>
    <w:rsid w:val="00C15FDF"/>
    <w:rsid w:val="00C161B6"/>
    <w:rsid w:val="00C16589"/>
    <w:rsid w:val="00C167B3"/>
    <w:rsid w:val="00C17066"/>
    <w:rsid w:val="00C200E0"/>
    <w:rsid w:val="00C205BD"/>
    <w:rsid w:val="00C20C76"/>
    <w:rsid w:val="00C20C9B"/>
    <w:rsid w:val="00C2165E"/>
    <w:rsid w:val="00C21C78"/>
    <w:rsid w:val="00C224AE"/>
    <w:rsid w:val="00C22E5F"/>
    <w:rsid w:val="00C23FEA"/>
    <w:rsid w:val="00C245B3"/>
    <w:rsid w:val="00C253E6"/>
    <w:rsid w:val="00C259C5"/>
    <w:rsid w:val="00C26C1D"/>
    <w:rsid w:val="00C27458"/>
    <w:rsid w:val="00C27672"/>
    <w:rsid w:val="00C279A5"/>
    <w:rsid w:val="00C30D9A"/>
    <w:rsid w:val="00C317F3"/>
    <w:rsid w:val="00C31F0D"/>
    <w:rsid w:val="00C3314F"/>
    <w:rsid w:val="00C33521"/>
    <w:rsid w:val="00C3369B"/>
    <w:rsid w:val="00C34A63"/>
    <w:rsid w:val="00C35D32"/>
    <w:rsid w:val="00C35D5C"/>
    <w:rsid w:val="00C35E2D"/>
    <w:rsid w:val="00C35FA2"/>
    <w:rsid w:val="00C36D56"/>
    <w:rsid w:val="00C3734D"/>
    <w:rsid w:val="00C3740F"/>
    <w:rsid w:val="00C374F2"/>
    <w:rsid w:val="00C376ED"/>
    <w:rsid w:val="00C37AB2"/>
    <w:rsid w:val="00C406E3"/>
    <w:rsid w:val="00C40740"/>
    <w:rsid w:val="00C40910"/>
    <w:rsid w:val="00C40ED1"/>
    <w:rsid w:val="00C414F5"/>
    <w:rsid w:val="00C41935"/>
    <w:rsid w:val="00C42933"/>
    <w:rsid w:val="00C42966"/>
    <w:rsid w:val="00C4350C"/>
    <w:rsid w:val="00C43EE0"/>
    <w:rsid w:val="00C43F06"/>
    <w:rsid w:val="00C44C37"/>
    <w:rsid w:val="00C46AE5"/>
    <w:rsid w:val="00C46D94"/>
    <w:rsid w:val="00C47654"/>
    <w:rsid w:val="00C4766D"/>
    <w:rsid w:val="00C47D11"/>
    <w:rsid w:val="00C47FD9"/>
    <w:rsid w:val="00C50906"/>
    <w:rsid w:val="00C522EF"/>
    <w:rsid w:val="00C52737"/>
    <w:rsid w:val="00C52D9D"/>
    <w:rsid w:val="00C53D1E"/>
    <w:rsid w:val="00C542EF"/>
    <w:rsid w:val="00C55578"/>
    <w:rsid w:val="00C55AB7"/>
    <w:rsid w:val="00C55F05"/>
    <w:rsid w:val="00C56393"/>
    <w:rsid w:val="00C566AE"/>
    <w:rsid w:val="00C57473"/>
    <w:rsid w:val="00C5773B"/>
    <w:rsid w:val="00C57E4D"/>
    <w:rsid w:val="00C60325"/>
    <w:rsid w:val="00C606F1"/>
    <w:rsid w:val="00C60724"/>
    <w:rsid w:val="00C60FEA"/>
    <w:rsid w:val="00C61EF9"/>
    <w:rsid w:val="00C626E2"/>
    <w:rsid w:val="00C628C8"/>
    <w:rsid w:val="00C62CD7"/>
    <w:rsid w:val="00C63906"/>
    <w:rsid w:val="00C63DDB"/>
    <w:rsid w:val="00C64666"/>
    <w:rsid w:val="00C64E01"/>
    <w:rsid w:val="00C64F6A"/>
    <w:rsid w:val="00C65D14"/>
    <w:rsid w:val="00C66E5A"/>
    <w:rsid w:val="00C66FFB"/>
    <w:rsid w:val="00C67240"/>
    <w:rsid w:val="00C678E0"/>
    <w:rsid w:val="00C67E9F"/>
    <w:rsid w:val="00C7030E"/>
    <w:rsid w:val="00C70426"/>
    <w:rsid w:val="00C7101F"/>
    <w:rsid w:val="00C71343"/>
    <w:rsid w:val="00C71418"/>
    <w:rsid w:val="00C72125"/>
    <w:rsid w:val="00C72183"/>
    <w:rsid w:val="00C7223D"/>
    <w:rsid w:val="00C73705"/>
    <w:rsid w:val="00C7484A"/>
    <w:rsid w:val="00C7519E"/>
    <w:rsid w:val="00C761A9"/>
    <w:rsid w:val="00C767BC"/>
    <w:rsid w:val="00C76988"/>
    <w:rsid w:val="00C77D73"/>
    <w:rsid w:val="00C80327"/>
    <w:rsid w:val="00C80D94"/>
    <w:rsid w:val="00C81A12"/>
    <w:rsid w:val="00C82A3D"/>
    <w:rsid w:val="00C82E83"/>
    <w:rsid w:val="00C83085"/>
    <w:rsid w:val="00C846BE"/>
    <w:rsid w:val="00C84CE3"/>
    <w:rsid w:val="00C853F6"/>
    <w:rsid w:val="00C90542"/>
    <w:rsid w:val="00C90BC0"/>
    <w:rsid w:val="00C90E85"/>
    <w:rsid w:val="00C91DFF"/>
    <w:rsid w:val="00C9217A"/>
    <w:rsid w:val="00C923B6"/>
    <w:rsid w:val="00C92804"/>
    <w:rsid w:val="00C951DB"/>
    <w:rsid w:val="00C963DE"/>
    <w:rsid w:val="00C96A32"/>
    <w:rsid w:val="00CA02CF"/>
    <w:rsid w:val="00CA0C26"/>
    <w:rsid w:val="00CA11D7"/>
    <w:rsid w:val="00CA158D"/>
    <w:rsid w:val="00CA20BC"/>
    <w:rsid w:val="00CA263E"/>
    <w:rsid w:val="00CA3060"/>
    <w:rsid w:val="00CA39D3"/>
    <w:rsid w:val="00CA3B69"/>
    <w:rsid w:val="00CA4E8D"/>
    <w:rsid w:val="00CA6385"/>
    <w:rsid w:val="00CA63F0"/>
    <w:rsid w:val="00CA79E0"/>
    <w:rsid w:val="00CB0057"/>
    <w:rsid w:val="00CB07A8"/>
    <w:rsid w:val="00CB0C50"/>
    <w:rsid w:val="00CB0FA3"/>
    <w:rsid w:val="00CB2AF3"/>
    <w:rsid w:val="00CB341C"/>
    <w:rsid w:val="00CB3505"/>
    <w:rsid w:val="00CB5389"/>
    <w:rsid w:val="00CB6D3F"/>
    <w:rsid w:val="00CB75AA"/>
    <w:rsid w:val="00CB7848"/>
    <w:rsid w:val="00CC043B"/>
    <w:rsid w:val="00CC0893"/>
    <w:rsid w:val="00CC10E1"/>
    <w:rsid w:val="00CC168E"/>
    <w:rsid w:val="00CC267E"/>
    <w:rsid w:val="00CC4BCD"/>
    <w:rsid w:val="00CC515C"/>
    <w:rsid w:val="00CC5894"/>
    <w:rsid w:val="00CC5DB6"/>
    <w:rsid w:val="00CC66FB"/>
    <w:rsid w:val="00CC6A25"/>
    <w:rsid w:val="00CC6E79"/>
    <w:rsid w:val="00CC72F1"/>
    <w:rsid w:val="00CC73A6"/>
    <w:rsid w:val="00CC74FB"/>
    <w:rsid w:val="00CC76B3"/>
    <w:rsid w:val="00CD01C1"/>
    <w:rsid w:val="00CD075F"/>
    <w:rsid w:val="00CD12E3"/>
    <w:rsid w:val="00CD2EAB"/>
    <w:rsid w:val="00CD46B6"/>
    <w:rsid w:val="00CD4D1A"/>
    <w:rsid w:val="00CD572F"/>
    <w:rsid w:val="00CD5FB4"/>
    <w:rsid w:val="00CD631F"/>
    <w:rsid w:val="00CD6327"/>
    <w:rsid w:val="00CD63CA"/>
    <w:rsid w:val="00CD6D4C"/>
    <w:rsid w:val="00CD78F4"/>
    <w:rsid w:val="00CD7BCE"/>
    <w:rsid w:val="00CE021D"/>
    <w:rsid w:val="00CE08C7"/>
    <w:rsid w:val="00CE0CF3"/>
    <w:rsid w:val="00CE0F31"/>
    <w:rsid w:val="00CE1E38"/>
    <w:rsid w:val="00CE2B78"/>
    <w:rsid w:val="00CE2BA0"/>
    <w:rsid w:val="00CE3ADE"/>
    <w:rsid w:val="00CE3B6C"/>
    <w:rsid w:val="00CE3BF4"/>
    <w:rsid w:val="00CE3EFF"/>
    <w:rsid w:val="00CE41B8"/>
    <w:rsid w:val="00CE47C0"/>
    <w:rsid w:val="00CE47FD"/>
    <w:rsid w:val="00CE5301"/>
    <w:rsid w:val="00CE62A5"/>
    <w:rsid w:val="00CE631B"/>
    <w:rsid w:val="00CE6BD6"/>
    <w:rsid w:val="00CE6CCB"/>
    <w:rsid w:val="00CE74A3"/>
    <w:rsid w:val="00CE798F"/>
    <w:rsid w:val="00CE7A7D"/>
    <w:rsid w:val="00CE7B35"/>
    <w:rsid w:val="00CF0D7A"/>
    <w:rsid w:val="00CF0EFD"/>
    <w:rsid w:val="00CF22A9"/>
    <w:rsid w:val="00CF2F56"/>
    <w:rsid w:val="00CF3AD1"/>
    <w:rsid w:val="00CF44CD"/>
    <w:rsid w:val="00CF53A9"/>
    <w:rsid w:val="00CF540A"/>
    <w:rsid w:val="00CF6C09"/>
    <w:rsid w:val="00CF729F"/>
    <w:rsid w:val="00D00791"/>
    <w:rsid w:val="00D017F1"/>
    <w:rsid w:val="00D01AAB"/>
    <w:rsid w:val="00D01E66"/>
    <w:rsid w:val="00D0221A"/>
    <w:rsid w:val="00D0347D"/>
    <w:rsid w:val="00D034DD"/>
    <w:rsid w:val="00D03D67"/>
    <w:rsid w:val="00D03D96"/>
    <w:rsid w:val="00D045EE"/>
    <w:rsid w:val="00D04952"/>
    <w:rsid w:val="00D065A2"/>
    <w:rsid w:val="00D06A16"/>
    <w:rsid w:val="00D06F1A"/>
    <w:rsid w:val="00D07496"/>
    <w:rsid w:val="00D077A0"/>
    <w:rsid w:val="00D07C54"/>
    <w:rsid w:val="00D100C3"/>
    <w:rsid w:val="00D1078F"/>
    <w:rsid w:val="00D10E60"/>
    <w:rsid w:val="00D1229F"/>
    <w:rsid w:val="00D12C32"/>
    <w:rsid w:val="00D12CD2"/>
    <w:rsid w:val="00D13720"/>
    <w:rsid w:val="00D144C2"/>
    <w:rsid w:val="00D14D23"/>
    <w:rsid w:val="00D1508C"/>
    <w:rsid w:val="00D15456"/>
    <w:rsid w:val="00D15793"/>
    <w:rsid w:val="00D15A46"/>
    <w:rsid w:val="00D15D8B"/>
    <w:rsid w:val="00D163E7"/>
    <w:rsid w:val="00D173F4"/>
    <w:rsid w:val="00D17984"/>
    <w:rsid w:val="00D17E41"/>
    <w:rsid w:val="00D2485C"/>
    <w:rsid w:val="00D24DAD"/>
    <w:rsid w:val="00D25916"/>
    <w:rsid w:val="00D25D43"/>
    <w:rsid w:val="00D26715"/>
    <w:rsid w:val="00D26CBA"/>
    <w:rsid w:val="00D26E36"/>
    <w:rsid w:val="00D27CF0"/>
    <w:rsid w:val="00D30E3D"/>
    <w:rsid w:val="00D31047"/>
    <w:rsid w:val="00D313D1"/>
    <w:rsid w:val="00D32006"/>
    <w:rsid w:val="00D329E6"/>
    <w:rsid w:val="00D33346"/>
    <w:rsid w:val="00D33B0D"/>
    <w:rsid w:val="00D33D27"/>
    <w:rsid w:val="00D34318"/>
    <w:rsid w:val="00D366B0"/>
    <w:rsid w:val="00D36CC8"/>
    <w:rsid w:val="00D36E7C"/>
    <w:rsid w:val="00D37492"/>
    <w:rsid w:val="00D37972"/>
    <w:rsid w:val="00D40648"/>
    <w:rsid w:val="00D40896"/>
    <w:rsid w:val="00D41506"/>
    <w:rsid w:val="00D41534"/>
    <w:rsid w:val="00D41901"/>
    <w:rsid w:val="00D41DDD"/>
    <w:rsid w:val="00D41F68"/>
    <w:rsid w:val="00D4211B"/>
    <w:rsid w:val="00D4260E"/>
    <w:rsid w:val="00D435A3"/>
    <w:rsid w:val="00D438C5"/>
    <w:rsid w:val="00D43F57"/>
    <w:rsid w:val="00D44515"/>
    <w:rsid w:val="00D44E89"/>
    <w:rsid w:val="00D451FC"/>
    <w:rsid w:val="00D4592E"/>
    <w:rsid w:val="00D465AC"/>
    <w:rsid w:val="00D46E40"/>
    <w:rsid w:val="00D4718B"/>
    <w:rsid w:val="00D47C65"/>
    <w:rsid w:val="00D47E5B"/>
    <w:rsid w:val="00D5020C"/>
    <w:rsid w:val="00D5028D"/>
    <w:rsid w:val="00D50789"/>
    <w:rsid w:val="00D5079B"/>
    <w:rsid w:val="00D50A39"/>
    <w:rsid w:val="00D50F0A"/>
    <w:rsid w:val="00D51B14"/>
    <w:rsid w:val="00D51CDA"/>
    <w:rsid w:val="00D52344"/>
    <w:rsid w:val="00D52DD7"/>
    <w:rsid w:val="00D533FD"/>
    <w:rsid w:val="00D53A72"/>
    <w:rsid w:val="00D53B5F"/>
    <w:rsid w:val="00D53EFF"/>
    <w:rsid w:val="00D54F1C"/>
    <w:rsid w:val="00D55364"/>
    <w:rsid w:val="00D557EB"/>
    <w:rsid w:val="00D56FA8"/>
    <w:rsid w:val="00D57668"/>
    <w:rsid w:val="00D577EA"/>
    <w:rsid w:val="00D602A1"/>
    <w:rsid w:val="00D608FD"/>
    <w:rsid w:val="00D60C6B"/>
    <w:rsid w:val="00D610CD"/>
    <w:rsid w:val="00D612EB"/>
    <w:rsid w:val="00D6224F"/>
    <w:rsid w:val="00D627C1"/>
    <w:rsid w:val="00D62C22"/>
    <w:rsid w:val="00D62D4D"/>
    <w:rsid w:val="00D633DA"/>
    <w:rsid w:val="00D6369D"/>
    <w:rsid w:val="00D63ADF"/>
    <w:rsid w:val="00D63C48"/>
    <w:rsid w:val="00D63D16"/>
    <w:rsid w:val="00D64289"/>
    <w:rsid w:val="00D645AD"/>
    <w:rsid w:val="00D64785"/>
    <w:rsid w:val="00D647A9"/>
    <w:rsid w:val="00D648EB"/>
    <w:rsid w:val="00D64E07"/>
    <w:rsid w:val="00D65D15"/>
    <w:rsid w:val="00D66017"/>
    <w:rsid w:val="00D6667B"/>
    <w:rsid w:val="00D67399"/>
    <w:rsid w:val="00D674A0"/>
    <w:rsid w:val="00D6761F"/>
    <w:rsid w:val="00D67829"/>
    <w:rsid w:val="00D67A42"/>
    <w:rsid w:val="00D702FF"/>
    <w:rsid w:val="00D70928"/>
    <w:rsid w:val="00D713EB"/>
    <w:rsid w:val="00D71400"/>
    <w:rsid w:val="00D71B6F"/>
    <w:rsid w:val="00D7318A"/>
    <w:rsid w:val="00D73D67"/>
    <w:rsid w:val="00D74F47"/>
    <w:rsid w:val="00D75215"/>
    <w:rsid w:val="00D75CDF"/>
    <w:rsid w:val="00D76094"/>
    <w:rsid w:val="00D76CE2"/>
    <w:rsid w:val="00D76E5C"/>
    <w:rsid w:val="00D7709F"/>
    <w:rsid w:val="00D778B7"/>
    <w:rsid w:val="00D80B91"/>
    <w:rsid w:val="00D81462"/>
    <w:rsid w:val="00D81E5B"/>
    <w:rsid w:val="00D81FC8"/>
    <w:rsid w:val="00D82753"/>
    <w:rsid w:val="00D8363D"/>
    <w:rsid w:val="00D83E38"/>
    <w:rsid w:val="00D83E42"/>
    <w:rsid w:val="00D840A6"/>
    <w:rsid w:val="00D842FD"/>
    <w:rsid w:val="00D84372"/>
    <w:rsid w:val="00D86C67"/>
    <w:rsid w:val="00D86FEB"/>
    <w:rsid w:val="00D87527"/>
    <w:rsid w:val="00D87694"/>
    <w:rsid w:val="00D90A83"/>
    <w:rsid w:val="00D90D5E"/>
    <w:rsid w:val="00D9139F"/>
    <w:rsid w:val="00D913E2"/>
    <w:rsid w:val="00D927BE"/>
    <w:rsid w:val="00D94CAC"/>
    <w:rsid w:val="00D95394"/>
    <w:rsid w:val="00D95760"/>
    <w:rsid w:val="00D95FD2"/>
    <w:rsid w:val="00D960CF"/>
    <w:rsid w:val="00D970E7"/>
    <w:rsid w:val="00DA032B"/>
    <w:rsid w:val="00DA0456"/>
    <w:rsid w:val="00DA0DC1"/>
    <w:rsid w:val="00DA135A"/>
    <w:rsid w:val="00DA1F39"/>
    <w:rsid w:val="00DA3C2E"/>
    <w:rsid w:val="00DA3EEB"/>
    <w:rsid w:val="00DA46D6"/>
    <w:rsid w:val="00DA55BB"/>
    <w:rsid w:val="00DA5A05"/>
    <w:rsid w:val="00DA6022"/>
    <w:rsid w:val="00DA6BCF"/>
    <w:rsid w:val="00DA73EE"/>
    <w:rsid w:val="00DA7E97"/>
    <w:rsid w:val="00DA7FE8"/>
    <w:rsid w:val="00DB1632"/>
    <w:rsid w:val="00DB3D60"/>
    <w:rsid w:val="00DB4010"/>
    <w:rsid w:val="00DB47A9"/>
    <w:rsid w:val="00DB47BC"/>
    <w:rsid w:val="00DB53E8"/>
    <w:rsid w:val="00DB5DF7"/>
    <w:rsid w:val="00DB6DFF"/>
    <w:rsid w:val="00DB766B"/>
    <w:rsid w:val="00DB7729"/>
    <w:rsid w:val="00DB7B64"/>
    <w:rsid w:val="00DC06B6"/>
    <w:rsid w:val="00DC0ADB"/>
    <w:rsid w:val="00DC1743"/>
    <w:rsid w:val="00DC1DE0"/>
    <w:rsid w:val="00DC2452"/>
    <w:rsid w:val="00DC2CDC"/>
    <w:rsid w:val="00DC2D52"/>
    <w:rsid w:val="00DC3599"/>
    <w:rsid w:val="00DC3BCC"/>
    <w:rsid w:val="00DC4010"/>
    <w:rsid w:val="00DC4352"/>
    <w:rsid w:val="00DC4A7D"/>
    <w:rsid w:val="00DC4BAC"/>
    <w:rsid w:val="00DC4CC9"/>
    <w:rsid w:val="00DC5032"/>
    <w:rsid w:val="00DC582F"/>
    <w:rsid w:val="00DC5DE8"/>
    <w:rsid w:val="00DC6255"/>
    <w:rsid w:val="00DC70C1"/>
    <w:rsid w:val="00DC7746"/>
    <w:rsid w:val="00DD06A1"/>
    <w:rsid w:val="00DD09D8"/>
    <w:rsid w:val="00DD1B11"/>
    <w:rsid w:val="00DD2075"/>
    <w:rsid w:val="00DD2C76"/>
    <w:rsid w:val="00DD3049"/>
    <w:rsid w:val="00DD3615"/>
    <w:rsid w:val="00DD36E7"/>
    <w:rsid w:val="00DD4600"/>
    <w:rsid w:val="00DD5256"/>
    <w:rsid w:val="00DD5C69"/>
    <w:rsid w:val="00DD5CD9"/>
    <w:rsid w:val="00DD70CA"/>
    <w:rsid w:val="00DD7796"/>
    <w:rsid w:val="00DE048E"/>
    <w:rsid w:val="00DE0538"/>
    <w:rsid w:val="00DE0770"/>
    <w:rsid w:val="00DE0864"/>
    <w:rsid w:val="00DE0920"/>
    <w:rsid w:val="00DE13F8"/>
    <w:rsid w:val="00DE1B47"/>
    <w:rsid w:val="00DE2249"/>
    <w:rsid w:val="00DE264B"/>
    <w:rsid w:val="00DE2885"/>
    <w:rsid w:val="00DE2EA5"/>
    <w:rsid w:val="00DE30E2"/>
    <w:rsid w:val="00DE3A9A"/>
    <w:rsid w:val="00DE3EB9"/>
    <w:rsid w:val="00DE4A2E"/>
    <w:rsid w:val="00DE525B"/>
    <w:rsid w:val="00DE5DA1"/>
    <w:rsid w:val="00DE6421"/>
    <w:rsid w:val="00DE6C5B"/>
    <w:rsid w:val="00DE7527"/>
    <w:rsid w:val="00DF0269"/>
    <w:rsid w:val="00DF0BDE"/>
    <w:rsid w:val="00DF16C0"/>
    <w:rsid w:val="00DF1908"/>
    <w:rsid w:val="00DF195B"/>
    <w:rsid w:val="00DF1AE8"/>
    <w:rsid w:val="00DF1B59"/>
    <w:rsid w:val="00DF1E72"/>
    <w:rsid w:val="00DF38B7"/>
    <w:rsid w:val="00DF469B"/>
    <w:rsid w:val="00DF52A0"/>
    <w:rsid w:val="00DF548B"/>
    <w:rsid w:val="00DF62F0"/>
    <w:rsid w:val="00DF6A9C"/>
    <w:rsid w:val="00DF7DF8"/>
    <w:rsid w:val="00E036B9"/>
    <w:rsid w:val="00E03721"/>
    <w:rsid w:val="00E0435E"/>
    <w:rsid w:val="00E04BC1"/>
    <w:rsid w:val="00E054AE"/>
    <w:rsid w:val="00E05FBC"/>
    <w:rsid w:val="00E0630A"/>
    <w:rsid w:val="00E0768A"/>
    <w:rsid w:val="00E07AC1"/>
    <w:rsid w:val="00E07E7C"/>
    <w:rsid w:val="00E1031A"/>
    <w:rsid w:val="00E1057E"/>
    <w:rsid w:val="00E105A2"/>
    <w:rsid w:val="00E10613"/>
    <w:rsid w:val="00E10B7D"/>
    <w:rsid w:val="00E118F0"/>
    <w:rsid w:val="00E11DC3"/>
    <w:rsid w:val="00E143EB"/>
    <w:rsid w:val="00E14A1D"/>
    <w:rsid w:val="00E14EEC"/>
    <w:rsid w:val="00E15224"/>
    <w:rsid w:val="00E160C4"/>
    <w:rsid w:val="00E16690"/>
    <w:rsid w:val="00E16853"/>
    <w:rsid w:val="00E16E04"/>
    <w:rsid w:val="00E17569"/>
    <w:rsid w:val="00E20AF9"/>
    <w:rsid w:val="00E21431"/>
    <w:rsid w:val="00E21436"/>
    <w:rsid w:val="00E22087"/>
    <w:rsid w:val="00E2217F"/>
    <w:rsid w:val="00E224D9"/>
    <w:rsid w:val="00E224FF"/>
    <w:rsid w:val="00E227EA"/>
    <w:rsid w:val="00E22EC2"/>
    <w:rsid w:val="00E23660"/>
    <w:rsid w:val="00E24058"/>
    <w:rsid w:val="00E27185"/>
    <w:rsid w:val="00E2761D"/>
    <w:rsid w:val="00E279A9"/>
    <w:rsid w:val="00E30976"/>
    <w:rsid w:val="00E30DA7"/>
    <w:rsid w:val="00E318E0"/>
    <w:rsid w:val="00E31A1E"/>
    <w:rsid w:val="00E31A25"/>
    <w:rsid w:val="00E322F3"/>
    <w:rsid w:val="00E327A2"/>
    <w:rsid w:val="00E332AB"/>
    <w:rsid w:val="00E34484"/>
    <w:rsid w:val="00E34544"/>
    <w:rsid w:val="00E34918"/>
    <w:rsid w:val="00E34D25"/>
    <w:rsid w:val="00E350FD"/>
    <w:rsid w:val="00E3560D"/>
    <w:rsid w:val="00E3564E"/>
    <w:rsid w:val="00E35D59"/>
    <w:rsid w:val="00E35DE8"/>
    <w:rsid w:val="00E364A9"/>
    <w:rsid w:val="00E36685"/>
    <w:rsid w:val="00E3726F"/>
    <w:rsid w:val="00E37424"/>
    <w:rsid w:val="00E37590"/>
    <w:rsid w:val="00E41443"/>
    <w:rsid w:val="00E414C4"/>
    <w:rsid w:val="00E415F7"/>
    <w:rsid w:val="00E41729"/>
    <w:rsid w:val="00E438C2"/>
    <w:rsid w:val="00E43CDC"/>
    <w:rsid w:val="00E443F6"/>
    <w:rsid w:val="00E444F5"/>
    <w:rsid w:val="00E45180"/>
    <w:rsid w:val="00E45305"/>
    <w:rsid w:val="00E454EC"/>
    <w:rsid w:val="00E4618C"/>
    <w:rsid w:val="00E46AC9"/>
    <w:rsid w:val="00E46C45"/>
    <w:rsid w:val="00E46DA0"/>
    <w:rsid w:val="00E46F40"/>
    <w:rsid w:val="00E471B0"/>
    <w:rsid w:val="00E476B8"/>
    <w:rsid w:val="00E50392"/>
    <w:rsid w:val="00E509CF"/>
    <w:rsid w:val="00E51155"/>
    <w:rsid w:val="00E51C6B"/>
    <w:rsid w:val="00E52DE5"/>
    <w:rsid w:val="00E534EE"/>
    <w:rsid w:val="00E53DB6"/>
    <w:rsid w:val="00E53F60"/>
    <w:rsid w:val="00E54077"/>
    <w:rsid w:val="00E5417C"/>
    <w:rsid w:val="00E541F3"/>
    <w:rsid w:val="00E548CD"/>
    <w:rsid w:val="00E54B50"/>
    <w:rsid w:val="00E54FB3"/>
    <w:rsid w:val="00E5507D"/>
    <w:rsid w:val="00E553B8"/>
    <w:rsid w:val="00E55874"/>
    <w:rsid w:val="00E55877"/>
    <w:rsid w:val="00E55904"/>
    <w:rsid w:val="00E55D53"/>
    <w:rsid w:val="00E55E72"/>
    <w:rsid w:val="00E55E88"/>
    <w:rsid w:val="00E563C3"/>
    <w:rsid w:val="00E56520"/>
    <w:rsid w:val="00E57750"/>
    <w:rsid w:val="00E57FE6"/>
    <w:rsid w:val="00E60AC0"/>
    <w:rsid w:val="00E615DA"/>
    <w:rsid w:val="00E61C12"/>
    <w:rsid w:val="00E61ED0"/>
    <w:rsid w:val="00E61EF9"/>
    <w:rsid w:val="00E6283B"/>
    <w:rsid w:val="00E62E1D"/>
    <w:rsid w:val="00E63674"/>
    <w:rsid w:val="00E6469F"/>
    <w:rsid w:val="00E64C7B"/>
    <w:rsid w:val="00E64E05"/>
    <w:rsid w:val="00E65199"/>
    <w:rsid w:val="00E65283"/>
    <w:rsid w:val="00E652DF"/>
    <w:rsid w:val="00E65DF8"/>
    <w:rsid w:val="00E66614"/>
    <w:rsid w:val="00E6727C"/>
    <w:rsid w:val="00E70763"/>
    <w:rsid w:val="00E71224"/>
    <w:rsid w:val="00E71C7D"/>
    <w:rsid w:val="00E72379"/>
    <w:rsid w:val="00E7285B"/>
    <w:rsid w:val="00E72DAF"/>
    <w:rsid w:val="00E732AD"/>
    <w:rsid w:val="00E736DA"/>
    <w:rsid w:val="00E738E0"/>
    <w:rsid w:val="00E73D56"/>
    <w:rsid w:val="00E74749"/>
    <w:rsid w:val="00E75005"/>
    <w:rsid w:val="00E75671"/>
    <w:rsid w:val="00E75D67"/>
    <w:rsid w:val="00E762F7"/>
    <w:rsid w:val="00E76440"/>
    <w:rsid w:val="00E76B86"/>
    <w:rsid w:val="00E77509"/>
    <w:rsid w:val="00E77AC9"/>
    <w:rsid w:val="00E77EB4"/>
    <w:rsid w:val="00E810B2"/>
    <w:rsid w:val="00E81295"/>
    <w:rsid w:val="00E8156B"/>
    <w:rsid w:val="00E8175A"/>
    <w:rsid w:val="00E818E8"/>
    <w:rsid w:val="00E8190D"/>
    <w:rsid w:val="00E81D34"/>
    <w:rsid w:val="00E81D6E"/>
    <w:rsid w:val="00E81E48"/>
    <w:rsid w:val="00E8269B"/>
    <w:rsid w:val="00E832EE"/>
    <w:rsid w:val="00E84291"/>
    <w:rsid w:val="00E843AF"/>
    <w:rsid w:val="00E84594"/>
    <w:rsid w:val="00E851D8"/>
    <w:rsid w:val="00E8566D"/>
    <w:rsid w:val="00E85BD1"/>
    <w:rsid w:val="00E8645A"/>
    <w:rsid w:val="00E876D6"/>
    <w:rsid w:val="00E877AA"/>
    <w:rsid w:val="00E8788A"/>
    <w:rsid w:val="00E87BCB"/>
    <w:rsid w:val="00E910BD"/>
    <w:rsid w:val="00E91A5F"/>
    <w:rsid w:val="00E920F4"/>
    <w:rsid w:val="00E92448"/>
    <w:rsid w:val="00E92589"/>
    <w:rsid w:val="00E930FA"/>
    <w:rsid w:val="00E939AB"/>
    <w:rsid w:val="00E94357"/>
    <w:rsid w:val="00E948BE"/>
    <w:rsid w:val="00E9503B"/>
    <w:rsid w:val="00E95412"/>
    <w:rsid w:val="00E9612D"/>
    <w:rsid w:val="00E9662D"/>
    <w:rsid w:val="00E96E19"/>
    <w:rsid w:val="00E97531"/>
    <w:rsid w:val="00E976EA"/>
    <w:rsid w:val="00EA1B29"/>
    <w:rsid w:val="00EA1CBE"/>
    <w:rsid w:val="00EA2026"/>
    <w:rsid w:val="00EA3960"/>
    <w:rsid w:val="00EA3C50"/>
    <w:rsid w:val="00EA3D55"/>
    <w:rsid w:val="00EA47E6"/>
    <w:rsid w:val="00EA4CD3"/>
    <w:rsid w:val="00EA59BC"/>
    <w:rsid w:val="00EA60F1"/>
    <w:rsid w:val="00EA6296"/>
    <w:rsid w:val="00EA66E6"/>
    <w:rsid w:val="00EA6858"/>
    <w:rsid w:val="00EA72C7"/>
    <w:rsid w:val="00EA7FF2"/>
    <w:rsid w:val="00EB0257"/>
    <w:rsid w:val="00EB030A"/>
    <w:rsid w:val="00EB0B3B"/>
    <w:rsid w:val="00EB0EB2"/>
    <w:rsid w:val="00EB1A9A"/>
    <w:rsid w:val="00EB1F36"/>
    <w:rsid w:val="00EB2A7C"/>
    <w:rsid w:val="00EB2D93"/>
    <w:rsid w:val="00EB2FDB"/>
    <w:rsid w:val="00EB426B"/>
    <w:rsid w:val="00EB4444"/>
    <w:rsid w:val="00EB5E6D"/>
    <w:rsid w:val="00EB60CC"/>
    <w:rsid w:val="00EB671E"/>
    <w:rsid w:val="00EB7A71"/>
    <w:rsid w:val="00EB7C52"/>
    <w:rsid w:val="00EC005C"/>
    <w:rsid w:val="00EC0AF5"/>
    <w:rsid w:val="00EC1008"/>
    <w:rsid w:val="00EC10AD"/>
    <w:rsid w:val="00EC1D17"/>
    <w:rsid w:val="00EC1D21"/>
    <w:rsid w:val="00EC1F63"/>
    <w:rsid w:val="00EC252F"/>
    <w:rsid w:val="00EC26B8"/>
    <w:rsid w:val="00EC33C1"/>
    <w:rsid w:val="00EC3DD5"/>
    <w:rsid w:val="00EC4262"/>
    <w:rsid w:val="00EC4B7A"/>
    <w:rsid w:val="00EC4E89"/>
    <w:rsid w:val="00EC5608"/>
    <w:rsid w:val="00EC56D4"/>
    <w:rsid w:val="00EC58E1"/>
    <w:rsid w:val="00EC666E"/>
    <w:rsid w:val="00EC74A0"/>
    <w:rsid w:val="00ED036F"/>
    <w:rsid w:val="00ED07A0"/>
    <w:rsid w:val="00ED0C46"/>
    <w:rsid w:val="00ED0FB3"/>
    <w:rsid w:val="00ED1967"/>
    <w:rsid w:val="00ED2173"/>
    <w:rsid w:val="00ED34C9"/>
    <w:rsid w:val="00ED369C"/>
    <w:rsid w:val="00ED39D1"/>
    <w:rsid w:val="00ED3A64"/>
    <w:rsid w:val="00ED3D5B"/>
    <w:rsid w:val="00ED64DD"/>
    <w:rsid w:val="00ED6630"/>
    <w:rsid w:val="00ED71D7"/>
    <w:rsid w:val="00EE0CBB"/>
    <w:rsid w:val="00EE1632"/>
    <w:rsid w:val="00EE2283"/>
    <w:rsid w:val="00EE2851"/>
    <w:rsid w:val="00EE2B57"/>
    <w:rsid w:val="00EE2E5E"/>
    <w:rsid w:val="00EE3DCC"/>
    <w:rsid w:val="00EE5735"/>
    <w:rsid w:val="00EE5AFD"/>
    <w:rsid w:val="00EF0B08"/>
    <w:rsid w:val="00EF1334"/>
    <w:rsid w:val="00EF242E"/>
    <w:rsid w:val="00EF3278"/>
    <w:rsid w:val="00EF4D6D"/>
    <w:rsid w:val="00EF560D"/>
    <w:rsid w:val="00EF6041"/>
    <w:rsid w:val="00EF6515"/>
    <w:rsid w:val="00EF651D"/>
    <w:rsid w:val="00EF6B1B"/>
    <w:rsid w:val="00EF7119"/>
    <w:rsid w:val="00EF7234"/>
    <w:rsid w:val="00F00074"/>
    <w:rsid w:val="00F0121E"/>
    <w:rsid w:val="00F02136"/>
    <w:rsid w:val="00F02140"/>
    <w:rsid w:val="00F033BE"/>
    <w:rsid w:val="00F03568"/>
    <w:rsid w:val="00F03611"/>
    <w:rsid w:val="00F03C87"/>
    <w:rsid w:val="00F049EC"/>
    <w:rsid w:val="00F04FA4"/>
    <w:rsid w:val="00F05379"/>
    <w:rsid w:val="00F05C6C"/>
    <w:rsid w:val="00F06AF7"/>
    <w:rsid w:val="00F07361"/>
    <w:rsid w:val="00F07C3A"/>
    <w:rsid w:val="00F07E29"/>
    <w:rsid w:val="00F10AF6"/>
    <w:rsid w:val="00F1382E"/>
    <w:rsid w:val="00F14078"/>
    <w:rsid w:val="00F143F9"/>
    <w:rsid w:val="00F14A4F"/>
    <w:rsid w:val="00F14BDC"/>
    <w:rsid w:val="00F15701"/>
    <w:rsid w:val="00F163CA"/>
    <w:rsid w:val="00F1751D"/>
    <w:rsid w:val="00F20F8C"/>
    <w:rsid w:val="00F21572"/>
    <w:rsid w:val="00F21753"/>
    <w:rsid w:val="00F21BC2"/>
    <w:rsid w:val="00F22732"/>
    <w:rsid w:val="00F229EE"/>
    <w:rsid w:val="00F22F3B"/>
    <w:rsid w:val="00F234C5"/>
    <w:rsid w:val="00F23BF7"/>
    <w:rsid w:val="00F245B0"/>
    <w:rsid w:val="00F2466D"/>
    <w:rsid w:val="00F248F7"/>
    <w:rsid w:val="00F24970"/>
    <w:rsid w:val="00F24B27"/>
    <w:rsid w:val="00F24DA3"/>
    <w:rsid w:val="00F257E5"/>
    <w:rsid w:val="00F260A4"/>
    <w:rsid w:val="00F262E0"/>
    <w:rsid w:val="00F26B4B"/>
    <w:rsid w:val="00F26FA7"/>
    <w:rsid w:val="00F2706C"/>
    <w:rsid w:val="00F272AA"/>
    <w:rsid w:val="00F2746B"/>
    <w:rsid w:val="00F27FD1"/>
    <w:rsid w:val="00F302DC"/>
    <w:rsid w:val="00F3035C"/>
    <w:rsid w:val="00F3039F"/>
    <w:rsid w:val="00F30775"/>
    <w:rsid w:val="00F3094A"/>
    <w:rsid w:val="00F316B3"/>
    <w:rsid w:val="00F31785"/>
    <w:rsid w:val="00F31B51"/>
    <w:rsid w:val="00F320AD"/>
    <w:rsid w:val="00F3222C"/>
    <w:rsid w:val="00F32EAF"/>
    <w:rsid w:val="00F32F11"/>
    <w:rsid w:val="00F32F3B"/>
    <w:rsid w:val="00F33C00"/>
    <w:rsid w:val="00F3421B"/>
    <w:rsid w:val="00F34BA3"/>
    <w:rsid w:val="00F34CCB"/>
    <w:rsid w:val="00F35FB1"/>
    <w:rsid w:val="00F36BAF"/>
    <w:rsid w:val="00F379CF"/>
    <w:rsid w:val="00F4083A"/>
    <w:rsid w:val="00F41BF3"/>
    <w:rsid w:val="00F41C2A"/>
    <w:rsid w:val="00F4334C"/>
    <w:rsid w:val="00F43672"/>
    <w:rsid w:val="00F43831"/>
    <w:rsid w:val="00F43A76"/>
    <w:rsid w:val="00F44C34"/>
    <w:rsid w:val="00F45628"/>
    <w:rsid w:val="00F4584A"/>
    <w:rsid w:val="00F45952"/>
    <w:rsid w:val="00F45A1F"/>
    <w:rsid w:val="00F45C9D"/>
    <w:rsid w:val="00F45FCB"/>
    <w:rsid w:val="00F46500"/>
    <w:rsid w:val="00F5016E"/>
    <w:rsid w:val="00F50B29"/>
    <w:rsid w:val="00F50CAB"/>
    <w:rsid w:val="00F50F69"/>
    <w:rsid w:val="00F52336"/>
    <w:rsid w:val="00F52AAA"/>
    <w:rsid w:val="00F530BD"/>
    <w:rsid w:val="00F54112"/>
    <w:rsid w:val="00F545D2"/>
    <w:rsid w:val="00F55973"/>
    <w:rsid w:val="00F56166"/>
    <w:rsid w:val="00F56178"/>
    <w:rsid w:val="00F56314"/>
    <w:rsid w:val="00F563D3"/>
    <w:rsid w:val="00F567E7"/>
    <w:rsid w:val="00F56ED2"/>
    <w:rsid w:val="00F57431"/>
    <w:rsid w:val="00F57715"/>
    <w:rsid w:val="00F60408"/>
    <w:rsid w:val="00F6092D"/>
    <w:rsid w:val="00F612FF"/>
    <w:rsid w:val="00F61BFC"/>
    <w:rsid w:val="00F61E2B"/>
    <w:rsid w:val="00F622E0"/>
    <w:rsid w:val="00F623D0"/>
    <w:rsid w:val="00F63DB9"/>
    <w:rsid w:val="00F6401B"/>
    <w:rsid w:val="00F6409C"/>
    <w:rsid w:val="00F64506"/>
    <w:rsid w:val="00F64D5A"/>
    <w:rsid w:val="00F6507E"/>
    <w:rsid w:val="00F6522F"/>
    <w:rsid w:val="00F65414"/>
    <w:rsid w:val="00F65FAA"/>
    <w:rsid w:val="00F66070"/>
    <w:rsid w:val="00F66124"/>
    <w:rsid w:val="00F66416"/>
    <w:rsid w:val="00F6715E"/>
    <w:rsid w:val="00F70838"/>
    <w:rsid w:val="00F71307"/>
    <w:rsid w:val="00F7290C"/>
    <w:rsid w:val="00F72B42"/>
    <w:rsid w:val="00F72D93"/>
    <w:rsid w:val="00F72DF9"/>
    <w:rsid w:val="00F733F3"/>
    <w:rsid w:val="00F73799"/>
    <w:rsid w:val="00F73A39"/>
    <w:rsid w:val="00F74356"/>
    <w:rsid w:val="00F749E2"/>
    <w:rsid w:val="00F74FD4"/>
    <w:rsid w:val="00F75D3A"/>
    <w:rsid w:val="00F75E83"/>
    <w:rsid w:val="00F76E9F"/>
    <w:rsid w:val="00F77B72"/>
    <w:rsid w:val="00F77D85"/>
    <w:rsid w:val="00F80139"/>
    <w:rsid w:val="00F8172A"/>
    <w:rsid w:val="00F82D47"/>
    <w:rsid w:val="00F82D72"/>
    <w:rsid w:val="00F83392"/>
    <w:rsid w:val="00F85695"/>
    <w:rsid w:val="00F85DED"/>
    <w:rsid w:val="00F86086"/>
    <w:rsid w:val="00F86CE0"/>
    <w:rsid w:val="00F8740C"/>
    <w:rsid w:val="00F87C31"/>
    <w:rsid w:val="00F90B1C"/>
    <w:rsid w:val="00F90B56"/>
    <w:rsid w:val="00F90D9D"/>
    <w:rsid w:val="00F9212E"/>
    <w:rsid w:val="00F926B5"/>
    <w:rsid w:val="00F92849"/>
    <w:rsid w:val="00F932E9"/>
    <w:rsid w:val="00F93A71"/>
    <w:rsid w:val="00F93C6F"/>
    <w:rsid w:val="00F93D06"/>
    <w:rsid w:val="00F94172"/>
    <w:rsid w:val="00F94858"/>
    <w:rsid w:val="00F95234"/>
    <w:rsid w:val="00F95C38"/>
    <w:rsid w:val="00F95E23"/>
    <w:rsid w:val="00F964F8"/>
    <w:rsid w:val="00F966A3"/>
    <w:rsid w:val="00F970A2"/>
    <w:rsid w:val="00F97A0E"/>
    <w:rsid w:val="00F97D53"/>
    <w:rsid w:val="00FA0178"/>
    <w:rsid w:val="00FA0329"/>
    <w:rsid w:val="00FA047C"/>
    <w:rsid w:val="00FA12B6"/>
    <w:rsid w:val="00FA144B"/>
    <w:rsid w:val="00FA1FB0"/>
    <w:rsid w:val="00FA2008"/>
    <w:rsid w:val="00FA25A2"/>
    <w:rsid w:val="00FA2E0C"/>
    <w:rsid w:val="00FA38FC"/>
    <w:rsid w:val="00FA39E1"/>
    <w:rsid w:val="00FA3E81"/>
    <w:rsid w:val="00FA3FA7"/>
    <w:rsid w:val="00FA4D07"/>
    <w:rsid w:val="00FA4E62"/>
    <w:rsid w:val="00FA5285"/>
    <w:rsid w:val="00FA5A45"/>
    <w:rsid w:val="00FA7587"/>
    <w:rsid w:val="00FA7C9C"/>
    <w:rsid w:val="00FB0228"/>
    <w:rsid w:val="00FB0CF1"/>
    <w:rsid w:val="00FB1132"/>
    <w:rsid w:val="00FB13A0"/>
    <w:rsid w:val="00FB1E8E"/>
    <w:rsid w:val="00FB264D"/>
    <w:rsid w:val="00FB31C1"/>
    <w:rsid w:val="00FB3226"/>
    <w:rsid w:val="00FB56BC"/>
    <w:rsid w:val="00FB57DB"/>
    <w:rsid w:val="00FB6300"/>
    <w:rsid w:val="00FB65E6"/>
    <w:rsid w:val="00FB7359"/>
    <w:rsid w:val="00FC031B"/>
    <w:rsid w:val="00FC06E3"/>
    <w:rsid w:val="00FC1895"/>
    <w:rsid w:val="00FC1C82"/>
    <w:rsid w:val="00FC1D2C"/>
    <w:rsid w:val="00FC21DA"/>
    <w:rsid w:val="00FC22AB"/>
    <w:rsid w:val="00FC381C"/>
    <w:rsid w:val="00FC3ECC"/>
    <w:rsid w:val="00FC4FCC"/>
    <w:rsid w:val="00FC5507"/>
    <w:rsid w:val="00FC57C7"/>
    <w:rsid w:val="00FC594B"/>
    <w:rsid w:val="00FC67F3"/>
    <w:rsid w:val="00FC69EC"/>
    <w:rsid w:val="00FC7048"/>
    <w:rsid w:val="00FC7545"/>
    <w:rsid w:val="00FC7693"/>
    <w:rsid w:val="00FD04E5"/>
    <w:rsid w:val="00FD0AD9"/>
    <w:rsid w:val="00FD0DA5"/>
    <w:rsid w:val="00FD13CA"/>
    <w:rsid w:val="00FD2418"/>
    <w:rsid w:val="00FD2472"/>
    <w:rsid w:val="00FD2F4A"/>
    <w:rsid w:val="00FD323F"/>
    <w:rsid w:val="00FD3538"/>
    <w:rsid w:val="00FD41DE"/>
    <w:rsid w:val="00FD45D4"/>
    <w:rsid w:val="00FD46F4"/>
    <w:rsid w:val="00FD551E"/>
    <w:rsid w:val="00FD5E97"/>
    <w:rsid w:val="00FD63BB"/>
    <w:rsid w:val="00FD663A"/>
    <w:rsid w:val="00FD6BD5"/>
    <w:rsid w:val="00FD7841"/>
    <w:rsid w:val="00FD7BFB"/>
    <w:rsid w:val="00FD7D1B"/>
    <w:rsid w:val="00FD7F23"/>
    <w:rsid w:val="00FE0510"/>
    <w:rsid w:val="00FE081F"/>
    <w:rsid w:val="00FE1476"/>
    <w:rsid w:val="00FE17B5"/>
    <w:rsid w:val="00FE1B13"/>
    <w:rsid w:val="00FE1E68"/>
    <w:rsid w:val="00FE242A"/>
    <w:rsid w:val="00FE2431"/>
    <w:rsid w:val="00FE2524"/>
    <w:rsid w:val="00FE3020"/>
    <w:rsid w:val="00FE30FF"/>
    <w:rsid w:val="00FE347A"/>
    <w:rsid w:val="00FE35D8"/>
    <w:rsid w:val="00FE4354"/>
    <w:rsid w:val="00FE4C58"/>
    <w:rsid w:val="00FE58A8"/>
    <w:rsid w:val="00FE6089"/>
    <w:rsid w:val="00FE6746"/>
    <w:rsid w:val="00FE6AE5"/>
    <w:rsid w:val="00FF033E"/>
    <w:rsid w:val="00FF1002"/>
    <w:rsid w:val="00FF10B4"/>
    <w:rsid w:val="00FF1725"/>
    <w:rsid w:val="00FF2550"/>
    <w:rsid w:val="00FF26B0"/>
    <w:rsid w:val="00FF2C91"/>
    <w:rsid w:val="00FF30D6"/>
    <w:rsid w:val="00FF3272"/>
    <w:rsid w:val="00FF3F03"/>
    <w:rsid w:val="00FF4F4C"/>
    <w:rsid w:val="00FF522D"/>
    <w:rsid w:val="00FF5EA6"/>
    <w:rsid w:val="00FF610D"/>
    <w:rsid w:val="00FF6682"/>
    <w:rsid w:val="00FF67AA"/>
    <w:rsid w:val="00FF77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uiPriority="59"/>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75"/>
    <w:pPr>
      <w:spacing w:before="120" w:line="240" w:lineRule="auto"/>
      <w:jc w:val="both"/>
    </w:pPr>
    <w:rPr>
      <w:sz w:val="24"/>
    </w:rPr>
  </w:style>
  <w:style w:type="paragraph" w:styleId="Heading1">
    <w:name w:val="heading 1"/>
    <w:basedOn w:val="Normal"/>
    <w:next w:val="Normal"/>
    <w:link w:val="Heading1Char"/>
    <w:uiPriority w:val="1"/>
    <w:qFormat/>
    <w:rsid w:val="00D24DAD"/>
    <w:pPr>
      <w:keepNext/>
      <w:keepLines/>
      <w:numPr>
        <w:numId w:val="2"/>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4DAD"/>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TableHeading"/>
    <w:next w:val="Normal"/>
    <w:link w:val="CaptionChar"/>
    <w:uiPriority w:val="35"/>
    <w:unhideWhenUsed/>
    <w:qFormat/>
    <w:rsid w:val="00A074BD"/>
  </w:style>
  <w:style w:type="paragraph" w:customStyle="1" w:styleId="V50TableText">
    <w:name w:val="V5.0 TableText"/>
    <w:link w:val="V50TableTextChar"/>
    <w:rsid w:val="00186307"/>
    <w:pPr>
      <w:spacing w:after="0" w:line="240" w:lineRule="auto"/>
    </w:pPr>
    <w:rPr>
      <w:sz w:val="20"/>
      <w:szCs w:val="24"/>
      <w:lang w:val="en-US"/>
    </w:rPr>
  </w:style>
  <w:style w:type="paragraph" w:customStyle="1" w:styleId="V50TableTextInstruction">
    <w:name w:val="V5.0 TableText Instruction"/>
    <w:basedOn w:val="V50TableText"/>
    <w:rsid w:val="00597972"/>
    <w:rPr>
      <w:b/>
      <w:color w:val="4472C4" w:themeColor="accent5"/>
    </w:rPr>
  </w:style>
  <w:style w:type="paragraph" w:customStyle="1" w:styleId="V50InstructionsBullets">
    <w:name w:val="V5.0 Instructions Bullets"/>
    <w:basedOn w:val="V50Instructions"/>
    <w:qFormat/>
    <w:rsid w:val="007F08CA"/>
    <w:pPr>
      <w:numPr>
        <w:numId w:val="3"/>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rsid w:val="00BA3306"/>
    <w:pPr>
      <w:keepNext/>
      <w:spacing w:before="0" w:after="240"/>
      <w:ind w:left="1418" w:hanging="1418"/>
    </w:pPr>
    <w:rPr>
      <w:rFonts w:ascii="Franklin Gothic Medium" w:hAnsi="Franklin Gothic Medium"/>
      <w:sz w:val="22"/>
    </w:rPr>
  </w:style>
  <w:style w:type="paragraph" w:customStyle="1" w:styleId="TableHeading0">
    <w:name w:val="TableHeading"/>
    <w:basedOn w:val="Caption"/>
    <w:rsid w:val="00624315"/>
    <w:pPr>
      <w:ind w:left="709"/>
    </w:pPr>
  </w:style>
  <w:style w:type="paragraph" w:styleId="FootnoteText">
    <w:name w:val="footnote text"/>
    <w:basedOn w:val="Normal"/>
    <w:link w:val="FootnoteTextChar"/>
    <w:uiPriority w:val="99"/>
    <w:unhideWhenUsed/>
    <w:rsid w:val="00F23BF7"/>
    <w:pPr>
      <w:spacing w:before="0" w:after="0"/>
    </w:pPr>
    <w:rPr>
      <w:sz w:val="18"/>
      <w:szCs w:val="20"/>
    </w:rPr>
  </w:style>
  <w:style w:type="character" w:customStyle="1" w:styleId="FootnoteTextChar">
    <w:name w:val="Footnote Text Char"/>
    <w:basedOn w:val="DefaultParagraphFont"/>
    <w:link w:val="FootnoteText"/>
    <w:uiPriority w:val="99"/>
    <w:rsid w:val="00F23BF7"/>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A074BD"/>
    <w:rPr>
      <w:rFonts w:ascii="Arial Narrow" w:hAnsi="Arial Narrow"/>
      <w:b/>
      <w:sz w:val="20"/>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uiPriority w:val="4"/>
    <w:qFormat/>
    <w:rsid w:val="00C846BE"/>
    <w:pPr>
      <w:widowControl w:val="0"/>
      <w:spacing w:before="0" w:after="120"/>
      <w:contextualSpacing/>
    </w:pPr>
    <w:rPr>
      <w:rFonts w:ascii="Arial Narrow" w:eastAsia="Times New Roman" w:hAnsi="Arial Narrow" w:cs="Arial"/>
      <w:snapToGrid w:val="0"/>
      <w:sz w:val="18"/>
      <w:szCs w:val="20"/>
    </w:rPr>
  </w:style>
  <w:style w:type="character" w:customStyle="1" w:styleId="TableFooterChar">
    <w:name w:val="Table Footer Char"/>
    <w:link w:val="TableFooter"/>
    <w:uiPriority w:val="4"/>
    <w:rsid w:val="00C846BE"/>
    <w:rPr>
      <w:rFonts w:ascii="Arial Narrow" w:eastAsia="Times New Roman" w:hAnsi="Arial Narrow" w:cs="Arial"/>
      <w:snapToGrid w:val="0"/>
      <w:sz w:val="18"/>
      <w:szCs w:val="20"/>
    </w:rPr>
  </w:style>
  <w:style w:type="paragraph" w:customStyle="1" w:styleId="TableNotes">
    <w:name w:val="TableNotes"/>
    <w:basedOn w:val="Normal"/>
    <w:uiPriority w:val="3"/>
    <w:qFormat/>
    <w:rsid w:val="00C317F3"/>
    <w:pPr>
      <w:spacing w:before="0" w:after="60"/>
    </w:pPr>
    <w:rPr>
      <w:sz w:val="20"/>
    </w:rPr>
  </w:style>
  <w:style w:type="paragraph" w:customStyle="1" w:styleId="oldTablefooter">
    <w:name w:val="old Table footer"/>
    <w:basedOn w:val="Normal"/>
    <w:link w:val="oldTablefooterChar"/>
    <w:rsid w:val="00C317F3"/>
    <w:pPr>
      <w:spacing w:before="0" w:after="0"/>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0"/>
    <w:uiPriority w:val="3"/>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pPr>
    <w:rPr>
      <w:rFonts w:ascii="Arial" w:eastAsia="Times New Roman" w:hAnsi="Arial" w:cs="Arial"/>
      <w:snapToGrid w:val="0"/>
      <w:sz w:val="22"/>
      <w:szCs w:val="20"/>
    </w:rPr>
  </w:style>
  <w:style w:type="paragraph" w:customStyle="1" w:styleId="PBACheading10">
    <w:name w:val="PBAC heading 1"/>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character" w:customStyle="1" w:styleId="TableTextChar0">
    <w:name w:val="TableText Char"/>
    <w:basedOn w:val="DefaultParagraphFont"/>
    <w:link w:val="TableText1"/>
    <w:uiPriority w:val="3"/>
    <w:rsid w:val="00864310"/>
    <w:rPr>
      <w:rFonts w:ascii="Arial Narrow" w:eastAsia="Times New Roman" w:hAnsi="Arial Narrow" w:cs="Arial Narrow"/>
      <w:sz w:val="20"/>
      <w:szCs w:val="20"/>
    </w:rPr>
  </w:style>
  <w:style w:type="paragraph" w:customStyle="1" w:styleId="EndNoteBibliographyTitle">
    <w:name w:val="EndNote Bibliography Title"/>
    <w:basedOn w:val="Normal"/>
    <w:link w:val="EndNoteBibliographyTitleChar"/>
    <w:rsid w:val="00864310"/>
    <w:pPr>
      <w:spacing w:before="0" w:after="0" w:line="288" w:lineRule="auto"/>
      <w:jc w:val="center"/>
    </w:pPr>
    <w:rPr>
      <w:rFonts w:ascii="Calibri" w:eastAsiaTheme="minorEastAsia" w:hAnsi="Calibri" w:cs="Calibri"/>
      <w:noProof/>
      <w:lang w:eastAsia="zh-CN"/>
    </w:rPr>
  </w:style>
  <w:style w:type="character" w:customStyle="1" w:styleId="EndNoteBibliographyTitleChar">
    <w:name w:val="EndNote Bibliography Title Char"/>
    <w:basedOn w:val="DefaultParagraphFont"/>
    <w:link w:val="EndNoteBibliographyTitle"/>
    <w:rsid w:val="00864310"/>
    <w:rPr>
      <w:rFonts w:ascii="Calibri" w:eastAsiaTheme="minorEastAsia" w:hAnsi="Calibri" w:cs="Calibri"/>
      <w:noProof/>
      <w:sz w:val="24"/>
      <w:lang w:eastAsia="zh-CN"/>
    </w:rPr>
  </w:style>
  <w:style w:type="paragraph" w:customStyle="1" w:styleId="TableHeadingRow">
    <w:name w:val="TableHeadingRow"/>
    <w:basedOn w:val="Normal"/>
    <w:uiPriority w:val="3"/>
    <w:qFormat/>
    <w:rsid w:val="000745E1"/>
    <w:pPr>
      <w:spacing w:before="20" w:after="20"/>
    </w:pPr>
    <w:rPr>
      <w:rFonts w:ascii="Calibri" w:eastAsia="Times New Roman" w:hAnsi="Calibri" w:cstheme="minorHAnsi"/>
      <w:b/>
      <w:sz w:val="20"/>
      <w:szCs w:val="20"/>
    </w:rPr>
  </w:style>
  <w:style w:type="paragraph" w:customStyle="1" w:styleId="EndNoteBibliography">
    <w:name w:val="EndNote Bibliography"/>
    <w:basedOn w:val="Normal"/>
    <w:link w:val="EndNoteBibliographyChar"/>
    <w:rsid w:val="00970FF3"/>
    <w:rPr>
      <w:rFonts w:ascii="Calibri" w:hAnsi="Calibri"/>
      <w:noProof/>
      <w:lang w:val="en-US"/>
    </w:rPr>
  </w:style>
  <w:style w:type="character" w:customStyle="1" w:styleId="EndNoteBibliographyChar">
    <w:name w:val="EndNote Bibliography Char"/>
    <w:basedOn w:val="Heading2Char"/>
    <w:link w:val="EndNoteBibliography"/>
    <w:rsid w:val="00970FF3"/>
    <w:rPr>
      <w:rFonts w:ascii="Calibri" w:eastAsiaTheme="majorEastAsia" w:hAnsi="Calibri" w:cstheme="majorBidi"/>
      <w:b w:val="0"/>
      <w:i w:val="0"/>
      <w:noProof/>
      <w:sz w:val="24"/>
      <w:szCs w:val="28"/>
      <w:lang w:val="en-US"/>
    </w:rPr>
  </w:style>
  <w:style w:type="paragraph" w:customStyle="1" w:styleId="PBACTableTextBullet">
    <w:name w:val="PBAC Table Text + Bullet"/>
    <w:basedOn w:val="Normal"/>
    <w:rsid w:val="009F63E7"/>
    <w:pPr>
      <w:numPr>
        <w:numId w:val="17"/>
      </w:numPr>
      <w:spacing w:before="40" w:after="40"/>
      <w:ind w:left="284" w:hanging="284"/>
      <w:jc w:val="left"/>
    </w:pPr>
    <w:rPr>
      <w:rFonts w:ascii="Arial Narrow" w:eastAsia="Times New Roman" w:hAnsi="Arial Narrow"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uiPriority="59"/>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75"/>
    <w:pPr>
      <w:spacing w:before="120" w:line="240" w:lineRule="auto"/>
      <w:jc w:val="both"/>
    </w:pPr>
    <w:rPr>
      <w:sz w:val="24"/>
    </w:rPr>
  </w:style>
  <w:style w:type="paragraph" w:styleId="Heading1">
    <w:name w:val="heading 1"/>
    <w:basedOn w:val="Normal"/>
    <w:next w:val="Normal"/>
    <w:link w:val="Heading1Char"/>
    <w:uiPriority w:val="1"/>
    <w:qFormat/>
    <w:rsid w:val="00D24DAD"/>
    <w:pPr>
      <w:keepNext/>
      <w:keepLines/>
      <w:numPr>
        <w:numId w:val="2"/>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4DAD"/>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TableHeading"/>
    <w:next w:val="Normal"/>
    <w:link w:val="CaptionChar"/>
    <w:uiPriority w:val="35"/>
    <w:unhideWhenUsed/>
    <w:qFormat/>
    <w:rsid w:val="00A074BD"/>
  </w:style>
  <w:style w:type="paragraph" w:customStyle="1" w:styleId="V50TableText">
    <w:name w:val="V5.0 TableText"/>
    <w:link w:val="V50TableTextChar"/>
    <w:rsid w:val="00186307"/>
    <w:pPr>
      <w:spacing w:after="0" w:line="240" w:lineRule="auto"/>
    </w:pPr>
    <w:rPr>
      <w:sz w:val="20"/>
      <w:szCs w:val="24"/>
      <w:lang w:val="en-US"/>
    </w:rPr>
  </w:style>
  <w:style w:type="paragraph" w:customStyle="1" w:styleId="V50TableTextInstruction">
    <w:name w:val="V5.0 TableText Instruction"/>
    <w:basedOn w:val="V50TableText"/>
    <w:rsid w:val="00597972"/>
    <w:rPr>
      <w:b/>
      <w:color w:val="4472C4" w:themeColor="accent5"/>
    </w:rPr>
  </w:style>
  <w:style w:type="paragraph" w:customStyle="1" w:styleId="V50InstructionsBullets">
    <w:name w:val="V5.0 Instructions Bullets"/>
    <w:basedOn w:val="V50Instructions"/>
    <w:qFormat/>
    <w:rsid w:val="007F08CA"/>
    <w:pPr>
      <w:numPr>
        <w:numId w:val="3"/>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rsid w:val="00BA3306"/>
    <w:pPr>
      <w:keepNext/>
      <w:spacing w:before="0" w:after="240"/>
      <w:ind w:left="1418" w:hanging="1418"/>
    </w:pPr>
    <w:rPr>
      <w:rFonts w:ascii="Franklin Gothic Medium" w:hAnsi="Franklin Gothic Medium"/>
      <w:sz w:val="22"/>
    </w:rPr>
  </w:style>
  <w:style w:type="paragraph" w:customStyle="1" w:styleId="TableHeading0">
    <w:name w:val="TableHeading"/>
    <w:basedOn w:val="Caption"/>
    <w:rsid w:val="00624315"/>
    <w:pPr>
      <w:ind w:left="709"/>
    </w:pPr>
  </w:style>
  <w:style w:type="paragraph" w:styleId="FootnoteText">
    <w:name w:val="footnote text"/>
    <w:basedOn w:val="Normal"/>
    <w:link w:val="FootnoteTextChar"/>
    <w:uiPriority w:val="99"/>
    <w:unhideWhenUsed/>
    <w:rsid w:val="00F23BF7"/>
    <w:pPr>
      <w:spacing w:before="0" w:after="0"/>
    </w:pPr>
    <w:rPr>
      <w:sz w:val="18"/>
      <w:szCs w:val="20"/>
    </w:rPr>
  </w:style>
  <w:style w:type="character" w:customStyle="1" w:styleId="FootnoteTextChar">
    <w:name w:val="Footnote Text Char"/>
    <w:basedOn w:val="DefaultParagraphFont"/>
    <w:link w:val="FootnoteText"/>
    <w:uiPriority w:val="99"/>
    <w:rsid w:val="00F23BF7"/>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A074BD"/>
    <w:rPr>
      <w:rFonts w:ascii="Arial Narrow" w:hAnsi="Arial Narrow"/>
      <w:b/>
      <w:sz w:val="20"/>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uiPriority w:val="4"/>
    <w:qFormat/>
    <w:rsid w:val="00C846BE"/>
    <w:pPr>
      <w:widowControl w:val="0"/>
      <w:spacing w:before="0" w:after="120"/>
      <w:contextualSpacing/>
    </w:pPr>
    <w:rPr>
      <w:rFonts w:ascii="Arial Narrow" w:eastAsia="Times New Roman" w:hAnsi="Arial Narrow" w:cs="Arial"/>
      <w:snapToGrid w:val="0"/>
      <w:sz w:val="18"/>
      <w:szCs w:val="20"/>
    </w:rPr>
  </w:style>
  <w:style w:type="character" w:customStyle="1" w:styleId="TableFooterChar">
    <w:name w:val="Table Footer Char"/>
    <w:link w:val="TableFooter"/>
    <w:uiPriority w:val="4"/>
    <w:rsid w:val="00C846BE"/>
    <w:rPr>
      <w:rFonts w:ascii="Arial Narrow" w:eastAsia="Times New Roman" w:hAnsi="Arial Narrow" w:cs="Arial"/>
      <w:snapToGrid w:val="0"/>
      <w:sz w:val="18"/>
      <w:szCs w:val="20"/>
    </w:rPr>
  </w:style>
  <w:style w:type="paragraph" w:customStyle="1" w:styleId="TableNotes">
    <w:name w:val="TableNotes"/>
    <w:basedOn w:val="Normal"/>
    <w:uiPriority w:val="3"/>
    <w:qFormat/>
    <w:rsid w:val="00C317F3"/>
    <w:pPr>
      <w:spacing w:before="0" w:after="60"/>
    </w:pPr>
    <w:rPr>
      <w:sz w:val="20"/>
    </w:rPr>
  </w:style>
  <w:style w:type="paragraph" w:customStyle="1" w:styleId="oldTablefooter">
    <w:name w:val="old Table footer"/>
    <w:basedOn w:val="Normal"/>
    <w:link w:val="oldTablefooterChar"/>
    <w:rsid w:val="00C317F3"/>
    <w:pPr>
      <w:spacing w:before="0" w:after="0"/>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0"/>
    <w:uiPriority w:val="3"/>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pPr>
    <w:rPr>
      <w:rFonts w:ascii="Arial" w:eastAsia="Times New Roman" w:hAnsi="Arial" w:cs="Arial"/>
      <w:snapToGrid w:val="0"/>
      <w:sz w:val="22"/>
      <w:szCs w:val="20"/>
    </w:rPr>
  </w:style>
  <w:style w:type="paragraph" w:customStyle="1" w:styleId="PBACheading10">
    <w:name w:val="PBAC heading 1"/>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character" w:customStyle="1" w:styleId="TableTextChar0">
    <w:name w:val="TableText Char"/>
    <w:basedOn w:val="DefaultParagraphFont"/>
    <w:link w:val="TableText1"/>
    <w:uiPriority w:val="3"/>
    <w:rsid w:val="00864310"/>
    <w:rPr>
      <w:rFonts w:ascii="Arial Narrow" w:eastAsia="Times New Roman" w:hAnsi="Arial Narrow" w:cs="Arial Narrow"/>
      <w:sz w:val="20"/>
      <w:szCs w:val="20"/>
    </w:rPr>
  </w:style>
  <w:style w:type="paragraph" w:customStyle="1" w:styleId="EndNoteBibliographyTitle">
    <w:name w:val="EndNote Bibliography Title"/>
    <w:basedOn w:val="Normal"/>
    <w:link w:val="EndNoteBibliographyTitleChar"/>
    <w:rsid w:val="00864310"/>
    <w:pPr>
      <w:spacing w:before="0" w:after="0" w:line="288" w:lineRule="auto"/>
      <w:jc w:val="center"/>
    </w:pPr>
    <w:rPr>
      <w:rFonts w:ascii="Calibri" w:eastAsiaTheme="minorEastAsia" w:hAnsi="Calibri" w:cs="Calibri"/>
      <w:noProof/>
      <w:lang w:eastAsia="zh-CN"/>
    </w:rPr>
  </w:style>
  <w:style w:type="character" w:customStyle="1" w:styleId="EndNoteBibliographyTitleChar">
    <w:name w:val="EndNote Bibliography Title Char"/>
    <w:basedOn w:val="DefaultParagraphFont"/>
    <w:link w:val="EndNoteBibliographyTitle"/>
    <w:rsid w:val="00864310"/>
    <w:rPr>
      <w:rFonts w:ascii="Calibri" w:eastAsiaTheme="minorEastAsia" w:hAnsi="Calibri" w:cs="Calibri"/>
      <w:noProof/>
      <w:sz w:val="24"/>
      <w:lang w:eastAsia="zh-CN"/>
    </w:rPr>
  </w:style>
  <w:style w:type="paragraph" w:customStyle="1" w:styleId="TableHeadingRow">
    <w:name w:val="TableHeadingRow"/>
    <w:basedOn w:val="Normal"/>
    <w:uiPriority w:val="3"/>
    <w:qFormat/>
    <w:rsid w:val="000745E1"/>
    <w:pPr>
      <w:spacing w:before="20" w:after="20"/>
    </w:pPr>
    <w:rPr>
      <w:rFonts w:ascii="Calibri" w:eastAsia="Times New Roman" w:hAnsi="Calibri" w:cstheme="minorHAnsi"/>
      <w:b/>
      <w:sz w:val="20"/>
      <w:szCs w:val="20"/>
    </w:rPr>
  </w:style>
  <w:style w:type="paragraph" w:customStyle="1" w:styleId="EndNoteBibliography">
    <w:name w:val="EndNote Bibliography"/>
    <w:basedOn w:val="Normal"/>
    <w:link w:val="EndNoteBibliographyChar"/>
    <w:rsid w:val="00970FF3"/>
    <w:rPr>
      <w:rFonts w:ascii="Calibri" w:hAnsi="Calibri"/>
      <w:noProof/>
      <w:lang w:val="en-US"/>
    </w:rPr>
  </w:style>
  <w:style w:type="character" w:customStyle="1" w:styleId="EndNoteBibliographyChar">
    <w:name w:val="EndNote Bibliography Char"/>
    <w:basedOn w:val="Heading2Char"/>
    <w:link w:val="EndNoteBibliography"/>
    <w:rsid w:val="00970FF3"/>
    <w:rPr>
      <w:rFonts w:ascii="Calibri" w:eastAsiaTheme="majorEastAsia" w:hAnsi="Calibri" w:cstheme="majorBidi"/>
      <w:b w:val="0"/>
      <w:i w:val="0"/>
      <w:noProof/>
      <w:sz w:val="24"/>
      <w:szCs w:val="28"/>
      <w:lang w:val="en-US"/>
    </w:rPr>
  </w:style>
  <w:style w:type="paragraph" w:customStyle="1" w:styleId="PBACTableTextBullet">
    <w:name w:val="PBAC Table Text + Bullet"/>
    <w:basedOn w:val="Normal"/>
    <w:rsid w:val="009F63E7"/>
    <w:pPr>
      <w:numPr>
        <w:numId w:val="17"/>
      </w:numPr>
      <w:spacing w:before="40" w:after="40"/>
      <w:ind w:left="284" w:hanging="284"/>
      <w:jc w:val="left"/>
    </w:pPr>
    <w:rPr>
      <w:rFonts w:ascii="Arial Narrow" w:eastAsia="Times New Roman" w:hAnsi="Arial Narro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34681244">
      <w:bodyDiv w:val="1"/>
      <w:marLeft w:val="0"/>
      <w:marRight w:val="0"/>
      <w:marTop w:val="0"/>
      <w:marBottom w:val="0"/>
      <w:divBdr>
        <w:top w:val="none" w:sz="0" w:space="0" w:color="auto"/>
        <w:left w:val="none" w:sz="0" w:space="0" w:color="auto"/>
        <w:bottom w:val="none" w:sz="0" w:space="0" w:color="auto"/>
        <w:right w:val="none" w:sz="0" w:space="0" w:color="auto"/>
      </w:divBdr>
    </w:div>
    <w:div w:id="27232822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808596561">
      <w:bodyDiv w:val="1"/>
      <w:marLeft w:val="0"/>
      <w:marRight w:val="0"/>
      <w:marTop w:val="0"/>
      <w:marBottom w:val="0"/>
      <w:divBdr>
        <w:top w:val="none" w:sz="0" w:space="0" w:color="auto"/>
        <w:left w:val="none" w:sz="0" w:space="0" w:color="auto"/>
        <w:bottom w:val="none" w:sz="0" w:space="0" w:color="auto"/>
        <w:right w:val="none" w:sz="0" w:space="0" w:color="auto"/>
      </w:divBdr>
    </w:div>
    <w:div w:id="1019434091">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470A-F351-4088-9EEC-DE76BDFB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10827</Words>
  <Characters>61716</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2017-10-19T00:25:00Z</dcterms:created>
  <dcterms:modified xsi:type="dcterms:W3CDTF">2017-10-19T00:30:00Z</dcterms:modified>
</cp:coreProperties>
</file>