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51" w:rsidRPr="00BB17B4" w:rsidRDefault="005C6451" w:rsidP="00C62B19">
      <w:pPr>
        <w:rPr>
          <w:rFonts w:asciiTheme="minorHAnsi" w:hAnsiTheme="minorHAnsi" w:cs="Arial"/>
          <w:sz w:val="22"/>
        </w:rPr>
      </w:pPr>
    </w:p>
    <w:p w:rsidR="00CE10C4" w:rsidRPr="00BB17B4" w:rsidRDefault="00C62B19" w:rsidP="00526141">
      <w:pPr>
        <w:pStyle w:val="Title"/>
        <w:ind w:left="720" w:hanging="720"/>
        <w:rPr>
          <w:rFonts w:cs="Arial"/>
          <w:b w:val="0"/>
        </w:rPr>
      </w:pPr>
      <w:r w:rsidRPr="00BB17B4">
        <w:rPr>
          <w:rFonts w:cs="Arial"/>
          <w:sz w:val="22"/>
        </w:rPr>
        <w:t xml:space="preserve"> </w:t>
      </w:r>
      <w:r w:rsidR="00B22ACA" w:rsidRPr="005F4B36">
        <w:rPr>
          <w:rFonts w:asciiTheme="minorHAnsi" w:hAnsiTheme="minorHAnsi" w:cs="Arial"/>
          <w:sz w:val="36"/>
          <w:szCs w:val="36"/>
        </w:rPr>
        <w:t>5.17AMINO ACID FORMULA SUPPLEMENTED WITH PREBIOTICS, PROBIOTICS AND LONG CHAIN POLYUNSATURATED FATTY ACIDS</w:t>
      </w:r>
      <w:r w:rsidR="00B64497" w:rsidRPr="005F4B36">
        <w:rPr>
          <w:rFonts w:asciiTheme="minorHAnsi" w:hAnsiTheme="minorHAnsi" w:cs="Arial"/>
          <w:sz w:val="36"/>
          <w:szCs w:val="36"/>
        </w:rPr>
        <w:br/>
      </w:r>
      <w:r w:rsidR="00B22ACA" w:rsidRPr="005F4B36">
        <w:rPr>
          <w:rFonts w:asciiTheme="minorHAnsi" w:hAnsiTheme="minorHAnsi" w:cs="Arial"/>
          <w:sz w:val="36"/>
          <w:szCs w:val="36"/>
        </w:rPr>
        <w:t>Oral powder</w:t>
      </w:r>
      <w:r w:rsidR="0004240E" w:rsidRPr="005F4B36">
        <w:rPr>
          <w:rFonts w:asciiTheme="minorHAnsi" w:hAnsiTheme="minorHAnsi" w:cs="Arial"/>
          <w:sz w:val="36"/>
          <w:szCs w:val="36"/>
        </w:rPr>
        <w:t xml:space="preserve">, </w:t>
      </w:r>
      <w:r w:rsidR="00B22ACA" w:rsidRPr="005F4B36">
        <w:rPr>
          <w:rFonts w:asciiTheme="minorHAnsi" w:hAnsiTheme="minorHAnsi" w:cs="Arial"/>
          <w:sz w:val="36"/>
          <w:szCs w:val="36"/>
        </w:rPr>
        <w:t>400g</w:t>
      </w:r>
      <w:r w:rsidR="00BE5ABB" w:rsidRPr="005F4B36">
        <w:rPr>
          <w:rFonts w:asciiTheme="minorHAnsi" w:hAnsiTheme="minorHAnsi" w:cs="Arial"/>
          <w:sz w:val="36"/>
          <w:szCs w:val="36"/>
        </w:rPr>
        <w:t xml:space="preserve"> (</w:t>
      </w:r>
      <w:r w:rsidR="00B22ACA" w:rsidRPr="005F4B36">
        <w:rPr>
          <w:rFonts w:asciiTheme="minorHAnsi" w:hAnsiTheme="minorHAnsi" w:cs="Arial"/>
          <w:sz w:val="36"/>
          <w:szCs w:val="36"/>
        </w:rPr>
        <w:t>Neocate Syneo</w:t>
      </w:r>
      <w:r w:rsidR="00BE5ABB" w:rsidRPr="005F4B36">
        <w:rPr>
          <w:rFonts w:asciiTheme="minorHAnsi" w:hAnsiTheme="minorHAnsi" w:cs="Arial"/>
          <w:sz w:val="36"/>
          <w:szCs w:val="36"/>
        </w:rPr>
        <w:t>)</w:t>
      </w:r>
      <w:r w:rsidR="0004240E" w:rsidRPr="005F4B36">
        <w:rPr>
          <w:rFonts w:asciiTheme="minorHAnsi" w:hAnsiTheme="minorHAnsi" w:cs="Arial"/>
          <w:sz w:val="36"/>
          <w:szCs w:val="36"/>
        </w:rPr>
        <w:t>,</w:t>
      </w:r>
      <w:r w:rsidR="00B64497" w:rsidRPr="005F4B36">
        <w:rPr>
          <w:rFonts w:asciiTheme="minorHAnsi" w:hAnsiTheme="minorHAnsi" w:cs="Arial"/>
          <w:b w:val="0"/>
          <w:sz w:val="36"/>
          <w:szCs w:val="36"/>
        </w:rPr>
        <w:br/>
      </w:r>
      <w:r w:rsidR="00B22ACA" w:rsidRPr="005F4B36">
        <w:rPr>
          <w:rFonts w:asciiTheme="minorHAnsi" w:hAnsiTheme="minorHAnsi" w:cs="Arial"/>
          <w:sz w:val="36"/>
          <w:szCs w:val="36"/>
        </w:rPr>
        <w:t>Neocate Syneo</w:t>
      </w:r>
      <w:r w:rsidR="0004240E" w:rsidRPr="005F4B36">
        <w:rPr>
          <w:rFonts w:asciiTheme="minorHAnsi" w:hAnsiTheme="minorHAnsi" w:cs="Arial"/>
          <w:sz w:val="36"/>
          <w:szCs w:val="36"/>
          <w:vertAlign w:val="superscript"/>
        </w:rPr>
        <w:t>®</w:t>
      </w:r>
      <w:r w:rsidR="00EF44A0" w:rsidRPr="005F4B36">
        <w:rPr>
          <w:rFonts w:asciiTheme="minorHAnsi" w:hAnsiTheme="minorHAnsi" w:cs="Arial"/>
          <w:sz w:val="36"/>
          <w:szCs w:val="36"/>
        </w:rPr>
        <w:t xml:space="preserve">, </w:t>
      </w:r>
      <w:r w:rsidR="00B22ACA" w:rsidRPr="005F4B36">
        <w:rPr>
          <w:rFonts w:asciiTheme="minorHAnsi" w:hAnsiTheme="minorHAnsi" w:cs="Arial"/>
          <w:sz w:val="36"/>
          <w:szCs w:val="36"/>
        </w:rPr>
        <w:t>Nutricia</w:t>
      </w:r>
      <w:r w:rsidR="00C12C27" w:rsidRPr="005F4B36">
        <w:rPr>
          <w:rFonts w:asciiTheme="minorHAnsi" w:hAnsiTheme="minorHAnsi" w:cs="Arial"/>
          <w:sz w:val="36"/>
          <w:szCs w:val="36"/>
        </w:rPr>
        <w:t xml:space="preserve"> Australia Pty Ltd</w:t>
      </w:r>
    </w:p>
    <w:p w:rsidR="00C27B58" w:rsidRPr="00BB17B4" w:rsidRDefault="00C27B58" w:rsidP="00C27B58">
      <w:pPr>
        <w:pStyle w:val="NoSpacing"/>
        <w:rPr>
          <w:rFonts w:cs="Arial"/>
        </w:rPr>
      </w:pPr>
    </w:p>
    <w:p w:rsidR="00CE10C4" w:rsidRPr="008531D2" w:rsidRDefault="00CE10C4" w:rsidP="00B64497">
      <w:pPr>
        <w:pStyle w:val="Heading1"/>
        <w:numPr>
          <w:ilvl w:val="0"/>
          <w:numId w:val="2"/>
        </w:numPr>
        <w:rPr>
          <w:rFonts w:asciiTheme="minorHAnsi" w:hAnsiTheme="minorHAnsi" w:cs="Arial"/>
          <w:sz w:val="32"/>
          <w:szCs w:val="32"/>
        </w:rPr>
      </w:pPr>
      <w:r w:rsidRPr="008531D2">
        <w:rPr>
          <w:rFonts w:asciiTheme="minorHAnsi" w:hAnsiTheme="minorHAnsi" w:cs="Arial"/>
          <w:sz w:val="32"/>
          <w:szCs w:val="32"/>
        </w:rPr>
        <w:t xml:space="preserve">Purpose of </w:t>
      </w:r>
      <w:r w:rsidR="0004240E" w:rsidRPr="008531D2">
        <w:rPr>
          <w:rFonts w:asciiTheme="minorHAnsi" w:hAnsiTheme="minorHAnsi" w:cs="Arial"/>
          <w:sz w:val="32"/>
          <w:szCs w:val="32"/>
        </w:rPr>
        <w:t>Application</w:t>
      </w:r>
    </w:p>
    <w:p w:rsidR="006A12A5" w:rsidRPr="00BB17B4" w:rsidRDefault="006A12A5" w:rsidP="00882085">
      <w:pPr>
        <w:jc w:val="both"/>
        <w:rPr>
          <w:rFonts w:asciiTheme="minorHAnsi" w:hAnsiTheme="minorHAnsi" w:cs="Arial"/>
          <w:sz w:val="22"/>
          <w:szCs w:val="22"/>
        </w:rPr>
      </w:pPr>
    </w:p>
    <w:p w:rsidR="006A12A5" w:rsidRPr="008531D2" w:rsidRDefault="00EF44A0" w:rsidP="00FA7361">
      <w:pPr>
        <w:pStyle w:val="ListParagraph"/>
        <w:numPr>
          <w:ilvl w:val="1"/>
          <w:numId w:val="2"/>
        </w:numPr>
        <w:spacing w:after="240"/>
        <w:contextualSpacing w:val="0"/>
        <w:jc w:val="both"/>
        <w:rPr>
          <w:rFonts w:asciiTheme="minorHAnsi" w:hAnsiTheme="minorHAnsi" w:cs="Arial"/>
          <w:b/>
        </w:rPr>
      </w:pPr>
      <w:r w:rsidRPr="008531D2">
        <w:rPr>
          <w:rFonts w:asciiTheme="minorHAnsi" w:hAnsiTheme="minorHAnsi" w:cs="Arial"/>
        </w:rPr>
        <w:t>The mi</w:t>
      </w:r>
      <w:r w:rsidR="00FF2801" w:rsidRPr="008531D2">
        <w:rPr>
          <w:rFonts w:asciiTheme="minorHAnsi" w:hAnsiTheme="minorHAnsi" w:cs="Arial"/>
        </w:rPr>
        <w:t xml:space="preserve">nor submission </w:t>
      </w:r>
      <w:r w:rsidR="00C12C27" w:rsidRPr="008531D2">
        <w:rPr>
          <w:rFonts w:asciiTheme="minorHAnsi" w:hAnsiTheme="minorHAnsi" w:cs="Arial"/>
        </w:rPr>
        <w:t>r</w:t>
      </w:r>
      <w:r w:rsidR="00FF2801" w:rsidRPr="008531D2">
        <w:rPr>
          <w:rFonts w:asciiTheme="minorHAnsi" w:hAnsiTheme="minorHAnsi" w:cs="Arial"/>
        </w:rPr>
        <w:t>equested</w:t>
      </w:r>
      <w:r w:rsidR="00C12C27" w:rsidRPr="008531D2">
        <w:rPr>
          <w:rFonts w:asciiTheme="minorHAnsi" w:hAnsiTheme="minorHAnsi" w:cs="Arial"/>
        </w:rPr>
        <w:t xml:space="preserve"> an Authority Required listing</w:t>
      </w:r>
      <w:r w:rsidR="00512175" w:rsidRPr="008531D2">
        <w:rPr>
          <w:rFonts w:asciiTheme="minorHAnsi" w:hAnsiTheme="minorHAnsi" w:cs="Arial"/>
        </w:rPr>
        <w:t xml:space="preserve"> of a new drug</w:t>
      </w:r>
      <w:r w:rsidR="00C12C27" w:rsidRPr="008531D2">
        <w:rPr>
          <w:rFonts w:asciiTheme="minorHAnsi" w:hAnsiTheme="minorHAnsi" w:cs="Arial"/>
        </w:rPr>
        <w:t xml:space="preserve"> for the following indications:</w:t>
      </w:r>
    </w:p>
    <w:p w:rsidR="00526141" w:rsidRPr="008531D2" w:rsidRDefault="00526141" w:rsidP="00C12C27">
      <w:pPr>
        <w:pStyle w:val="ListParagraph"/>
        <w:numPr>
          <w:ilvl w:val="0"/>
          <w:numId w:val="23"/>
        </w:numPr>
        <w:jc w:val="both"/>
        <w:rPr>
          <w:rFonts w:asciiTheme="minorHAnsi" w:hAnsiTheme="minorHAnsi" w:cs="Arial"/>
        </w:rPr>
      </w:pPr>
      <w:r w:rsidRPr="008531D2">
        <w:rPr>
          <w:rFonts w:asciiTheme="minorHAnsi" w:hAnsiTheme="minorHAnsi" w:cs="Arial"/>
        </w:rPr>
        <w:t xml:space="preserve">Cows' milk anaphylaxis; </w:t>
      </w:r>
    </w:p>
    <w:p w:rsidR="00C12C27" w:rsidRPr="008531D2" w:rsidRDefault="00C12C27" w:rsidP="00C12C27">
      <w:pPr>
        <w:pStyle w:val="ListParagraph"/>
        <w:numPr>
          <w:ilvl w:val="0"/>
          <w:numId w:val="23"/>
        </w:numPr>
        <w:jc w:val="both"/>
        <w:rPr>
          <w:rFonts w:asciiTheme="minorHAnsi" w:hAnsiTheme="minorHAnsi" w:cs="Arial"/>
        </w:rPr>
      </w:pPr>
      <w:r w:rsidRPr="008531D2">
        <w:rPr>
          <w:rFonts w:asciiTheme="minorHAnsi" w:hAnsiTheme="minorHAnsi" w:cs="Arial"/>
        </w:rPr>
        <w:t xml:space="preserve">Cows' milk protein enteropathy; </w:t>
      </w:r>
    </w:p>
    <w:p w:rsidR="00C12C27" w:rsidRPr="008531D2" w:rsidRDefault="00C12C27" w:rsidP="00C12C27">
      <w:pPr>
        <w:pStyle w:val="ListParagraph"/>
        <w:numPr>
          <w:ilvl w:val="0"/>
          <w:numId w:val="23"/>
        </w:numPr>
        <w:jc w:val="both"/>
        <w:rPr>
          <w:rFonts w:asciiTheme="minorHAnsi" w:hAnsiTheme="minorHAnsi" w:cs="Arial"/>
        </w:rPr>
      </w:pPr>
      <w:r w:rsidRPr="008531D2">
        <w:rPr>
          <w:rFonts w:asciiTheme="minorHAnsi" w:hAnsiTheme="minorHAnsi" w:cs="Arial"/>
        </w:rPr>
        <w:t xml:space="preserve">Severe cows' milk protein enteropathy with failure to thrive; </w:t>
      </w:r>
    </w:p>
    <w:p w:rsidR="00C12C27" w:rsidRPr="008531D2" w:rsidRDefault="00C12C27" w:rsidP="00C12C27">
      <w:pPr>
        <w:pStyle w:val="ListParagraph"/>
        <w:numPr>
          <w:ilvl w:val="0"/>
          <w:numId w:val="23"/>
        </w:numPr>
        <w:jc w:val="both"/>
        <w:rPr>
          <w:rFonts w:asciiTheme="minorHAnsi" w:hAnsiTheme="minorHAnsi" w:cs="Arial"/>
        </w:rPr>
      </w:pPr>
      <w:r w:rsidRPr="008531D2">
        <w:rPr>
          <w:rFonts w:asciiTheme="minorHAnsi" w:hAnsiTheme="minorHAnsi" w:cs="Arial"/>
        </w:rPr>
        <w:t xml:space="preserve">Combined intolerance to cows' milk protein, soy protein and protein hydrolysate formulae; </w:t>
      </w:r>
    </w:p>
    <w:p w:rsidR="00C12C27" w:rsidRPr="008531D2" w:rsidRDefault="00C12C27" w:rsidP="00C12C27">
      <w:pPr>
        <w:pStyle w:val="ListParagraph"/>
        <w:numPr>
          <w:ilvl w:val="0"/>
          <w:numId w:val="23"/>
        </w:numPr>
        <w:jc w:val="both"/>
        <w:rPr>
          <w:rFonts w:asciiTheme="minorHAnsi" w:hAnsiTheme="minorHAnsi" w:cs="Arial"/>
        </w:rPr>
      </w:pPr>
      <w:r w:rsidRPr="008531D2">
        <w:rPr>
          <w:rFonts w:asciiTheme="minorHAnsi" w:hAnsiTheme="minorHAnsi" w:cs="Arial"/>
        </w:rPr>
        <w:t>Proven combined immunoglobulin E (IgE) mediated allergy to cows' milk protein and soy protein;</w:t>
      </w:r>
    </w:p>
    <w:p w:rsidR="00526141" w:rsidRPr="008531D2" w:rsidRDefault="00526141" w:rsidP="00C12C27">
      <w:pPr>
        <w:pStyle w:val="ListParagraph"/>
        <w:numPr>
          <w:ilvl w:val="0"/>
          <w:numId w:val="23"/>
        </w:numPr>
        <w:jc w:val="both"/>
        <w:rPr>
          <w:rFonts w:asciiTheme="minorHAnsi" w:hAnsiTheme="minorHAnsi" w:cs="Arial"/>
          <w:b/>
        </w:rPr>
      </w:pPr>
      <w:r w:rsidRPr="008531D2">
        <w:rPr>
          <w:rFonts w:asciiTheme="minorHAnsi" w:hAnsiTheme="minorHAnsi" w:cs="Arial"/>
        </w:rPr>
        <w:t>Severe intestinal malabsorption including short bowel syndrome; and</w:t>
      </w:r>
    </w:p>
    <w:p w:rsidR="00C12C27" w:rsidRPr="008531D2" w:rsidRDefault="00C12C27" w:rsidP="00526141">
      <w:pPr>
        <w:pStyle w:val="ListParagraph"/>
        <w:numPr>
          <w:ilvl w:val="0"/>
          <w:numId w:val="23"/>
        </w:numPr>
        <w:jc w:val="both"/>
        <w:rPr>
          <w:rFonts w:asciiTheme="minorHAnsi" w:hAnsiTheme="minorHAnsi" w:cs="Arial"/>
          <w:b/>
        </w:rPr>
      </w:pPr>
      <w:r w:rsidRPr="008531D2">
        <w:rPr>
          <w:rFonts w:asciiTheme="minorHAnsi" w:hAnsiTheme="minorHAnsi" w:cs="Arial"/>
        </w:rPr>
        <w:t>Eosinophilic oesophagitis (EoE)</w:t>
      </w:r>
      <w:r w:rsidR="00526141" w:rsidRPr="008531D2">
        <w:rPr>
          <w:rFonts w:asciiTheme="minorHAnsi" w:hAnsiTheme="minorHAnsi" w:cs="Arial"/>
        </w:rPr>
        <w:t>.</w:t>
      </w:r>
    </w:p>
    <w:p w:rsidR="00FD6711" w:rsidRPr="00BB17B4" w:rsidRDefault="00FD6711" w:rsidP="00882085">
      <w:pPr>
        <w:jc w:val="both"/>
        <w:rPr>
          <w:rFonts w:asciiTheme="minorHAnsi" w:hAnsiTheme="minorHAnsi" w:cs="Arial"/>
          <w:b/>
          <w:sz w:val="22"/>
          <w:szCs w:val="22"/>
        </w:rPr>
      </w:pPr>
    </w:p>
    <w:p w:rsidR="00A475FC" w:rsidRPr="00BB17B4" w:rsidRDefault="00A475FC" w:rsidP="00882085">
      <w:pPr>
        <w:jc w:val="both"/>
        <w:rPr>
          <w:rFonts w:asciiTheme="minorHAnsi" w:hAnsiTheme="minorHAnsi" w:cs="Arial"/>
          <w:b/>
          <w:sz w:val="22"/>
          <w:szCs w:val="22"/>
        </w:rPr>
      </w:pPr>
    </w:p>
    <w:p w:rsidR="00873C89" w:rsidRPr="008531D2" w:rsidRDefault="00C94810" w:rsidP="00C94810">
      <w:pPr>
        <w:pStyle w:val="Heading1"/>
        <w:numPr>
          <w:ilvl w:val="0"/>
          <w:numId w:val="2"/>
        </w:numPr>
        <w:rPr>
          <w:rFonts w:asciiTheme="minorHAnsi" w:hAnsiTheme="minorHAnsi" w:cs="Arial"/>
          <w:sz w:val="32"/>
          <w:szCs w:val="32"/>
        </w:rPr>
      </w:pPr>
      <w:r w:rsidRPr="008531D2">
        <w:rPr>
          <w:rFonts w:asciiTheme="minorHAnsi" w:hAnsiTheme="minorHAnsi" w:cs="Arial"/>
          <w:sz w:val="32"/>
          <w:szCs w:val="32"/>
        </w:rPr>
        <w:t>Requested Listing</w:t>
      </w:r>
    </w:p>
    <w:p w:rsidR="00C94810" w:rsidRPr="00BB17B4" w:rsidRDefault="00C94810" w:rsidP="00C94810">
      <w:pPr>
        <w:rPr>
          <w:rFonts w:asciiTheme="minorHAnsi" w:hAnsiTheme="minorHAnsi" w:cs="Arial"/>
        </w:rPr>
      </w:pPr>
    </w:p>
    <w:p w:rsidR="002D5C51" w:rsidRPr="008531D2" w:rsidRDefault="00EF44A0" w:rsidP="008543E9">
      <w:pPr>
        <w:pStyle w:val="ListParagraph"/>
        <w:numPr>
          <w:ilvl w:val="1"/>
          <w:numId w:val="2"/>
        </w:numPr>
        <w:spacing w:after="240"/>
        <w:contextualSpacing w:val="0"/>
        <w:jc w:val="both"/>
        <w:rPr>
          <w:rFonts w:asciiTheme="minorHAnsi" w:hAnsiTheme="minorHAnsi" w:cs="Arial"/>
        </w:rPr>
      </w:pPr>
      <w:r w:rsidRPr="008531D2">
        <w:rPr>
          <w:rFonts w:asciiTheme="minorHAnsi" w:hAnsiTheme="minorHAnsi" w:cs="Arial"/>
        </w:rPr>
        <w:t xml:space="preserve">The submission </w:t>
      </w:r>
      <w:r w:rsidR="00FF2801" w:rsidRPr="008531D2">
        <w:rPr>
          <w:rFonts w:asciiTheme="minorHAnsi" w:hAnsiTheme="minorHAnsi" w:cs="Arial"/>
        </w:rPr>
        <w:t>requested</w:t>
      </w:r>
      <w:r w:rsidR="00B94A6D" w:rsidRPr="008531D2">
        <w:rPr>
          <w:rFonts w:asciiTheme="minorHAnsi" w:hAnsiTheme="minorHAnsi" w:cs="Arial"/>
        </w:rPr>
        <w:t xml:space="preserve"> that Neocate Syneo® be listed for the same indications as the existing listings for Neocate Gold® (item codes</w:t>
      </w:r>
      <w:r w:rsidR="008543E9" w:rsidRPr="008531D2">
        <w:rPr>
          <w:rFonts w:asciiTheme="minorHAnsi" w:hAnsiTheme="minorHAnsi" w:cs="Arial"/>
        </w:rPr>
        <w:t xml:space="preserve"> 5466Q, 5467R and 1545H</w:t>
      </w:r>
      <w:r w:rsidR="00B94A6D" w:rsidRPr="008531D2">
        <w:rPr>
          <w:rFonts w:asciiTheme="minorHAnsi" w:hAnsiTheme="minorHAnsi" w:cs="Arial"/>
        </w:rPr>
        <w:t>):</w:t>
      </w:r>
    </w:p>
    <w:p w:rsidR="00826F6D" w:rsidRPr="00BB17B4" w:rsidRDefault="00826F6D" w:rsidP="00C27B58">
      <w:pPr>
        <w:pStyle w:val="NoSpacing"/>
        <w:rPr>
          <w:rFonts w:asciiTheme="minorHAnsi" w:hAnsiTheme="minorHAnsi" w:cs="Arial"/>
        </w:rPr>
      </w:pPr>
    </w:p>
    <w:p w:rsidR="005F4B36" w:rsidRDefault="005F4B36">
      <w:r>
        <w:br w:type="page"/>
      </w: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BB17B4" w:rsidTr="00C27B58">
        <w:trPr>
          <w:cantSplit/>
          <w:trHeight w:val="471"/>
        </w:trPr>
        <w:tc>
          <w:tcPr>
            <w:tcW w:w="3119" w:type="dxa"/>
            <w:gridSpan w:val="2"/>
            <w:tcBorders>
              <w:bottom w:val="single" w:sz="4" w:space="0" w:color="auto"/>
            </w:tcBorders>
          </w:tcPr>
          <w:p w:rsidR="00826F6D" w:rsidRPr="00BB17B4" w:rsidRDefault="00826F6D" w:rsidP="00C27B58">
            <w:pPr>
              <w:keepNext/>
              <w:ind w:left="-108"/>
              <w:jc w:val="both"/>
              <w:rPr>
                <w:rFonts w:ascii="Arial Narrow" w:hAnsi="Arial Narrow" w:cs="Arial"/>
                <w:b/>
                <w:sz w:val="20"/>
                <w:szCs w:val="20"/>
              </w:rPr>
            </w:pPr>
            <w:r w:rsidRPr="00BB17B4">
              <w:rPr>
                <w:rFonts w:ascii="Arial Narrow" w:hAnsi="Arial Narrow" w:cs="Arial"/>
                <w:b/>
                <w:sz w:val="20"/>
                <w:szCs w:val="20"/>
              </w:rPr>
              <w:lastRenderedPageBreak/>
              <w:t>Name, Restriction,</w:t>
            </w:r>
          </w:p>
          <w:p w:rsidR="00826F6D" w:rsidRPr="00BB17B4" w:rsidRDefault="00826F6D" w:rsidP="00C27B58">
            <w:pPr>
              <w:keepNext/>
              <w:ind w:left="-108"/>
              <w:jc w:val="both"/>
              <w:rPr>
                <w:rFonts w:ascii="Arial Narrow" w:hAnsi="Arial Narrow" w:cs="Arial"/>
                <w:b/>
                <w:sz w:val="20"/>
                <w:szCs w:val="20"/>
              </w:rPr>
            </w:pPr>
            <w:r w:rsidRPr="00BB17B4">
              <w:rPr>
                <w:rFonts w:ascii="Arial Narrow" w:hAnsi="Arial Narrow" w:cs="Arial"/>
                <w:b/>
                <w:sz w:val="20"/>
                <w:szCs w:val="20"/>
              </w:rPr>
              <w:t>Manner of administration and form</w:t>
            </w:r>
          </w:p>
        </w:tc>
        <w:tc>
          <w:tcPr>
            <w:tcW w:w="850" w:type="dxa"/>
            <w:tcBorders>
              <w:bottom w:val="single" w:sz="4" w:space="0" w:color="auto"/>
            </w:tcBorders>
          </w:tcPr>
          <w:p w:rsidR="00826F6D" w:rsidRPr="00BB17B4" w:rsidRDefault="00826F6D" w:rsidP="00C27B58">
            <w:pPr>
              <w:keepNext/>
              <w:ind w:left="-108"/>
              <w:jc w:val="both"/>
              <w:rPr>
                <w:rFonts w:ascii="Arial Narrow" w:hAnsi="Arial Narrow" w:cs="Arial"/>
                <w:b/>
                <w:sz w:val="20"/>
                <w:szCs w:val="20"/>
              </w:rPr>
            </w:pPr>
            <w:r w:rsidRPr="00BB17B4">
              <w:rPr>
                <w:rFonts w:ascii="Arial Narrow" w:hAnsi="Arial Narrow" w:cs="Arial"/>
                <w:b/>
                <w:sz w:val="20"/>
                <w:szCs w:val="20"/>
              </w:rPr>
              <w:t>Max.</w:t>
            </w:r>
          </w:p>
          <w:p w:rsidR="00826F6D" w:rsidRPr="00BB17B4" w:rsidRDefault="00826F6D" w:rsidP="00C27B58">
            <w:pPr>
              <w:keepNext/>
              <w:ind w:left="-108"/>
              <w:jc w:val="both"/>
              <w:rPr>
                <w:rFonts w:ascii="Arial Narrow" w:hAnsi="Arial Narrow" w:cs="Arial"/>
                <w:b/>
                <w:sz w:val="20"/>
                <w:szCs w:val="20"/>
              </w:rPr>
            </w:pPr>
            <w:r w:rsidRPr="00BB17B4">
              <w:rPr>
                <w:rFonts w:ascii="Arial Narrow" w:hAnsi="Arial Narrow" w:cs="Arial"/>
                <w:b/>
                <w:sz w:val="20"/>
                <w:szCs w:val="20"/>
              </w:rPr>
              <w:t>Qty</w:t>
            </w:r>
          </w:p>
        </w:tc>
        <w:tc>
          <w:tcPr>
            <w:tcW w:w="709" w:type="dxa"/>
            <w:tcBorders>
              <w:bottom w:val="single" w:sz="4" w:space="0" w:color="auto"/>
            </w:tcBorders>
          </w:tcPr>
          <w:p w:rsidR="00826F6D" w:rsidRPr="00BB17B4" w:rsidRDefault="00826F6D" w:rsidP="00C27B58">
            <w:pPr>
              <w:keepNext/>
              <w:ind w:left="-108"/>
              <w:jc w:val="both"/>
              <w:rPr>
                <w:rFonts w:ascii="Arial Narrow" w:hAnsi="Arial Narrow" w:cs="Arial"/>
                <w:b/>
                <w:sz w:val="20"/>
                <w:szCs w:val="20"/>
              </w:rPr>
            </w:pPr>
            <w:r w:rsidRPr="00BB17B4">
              <w:rPr>
                <w:rFonts w:ascii="Arial Narrow" w:hAnsi="Arial Narrow" w:cs="Arial"/>
                <w:b/>
                <w:sz w:val="20"/>
                <w:szCs w:val="20"/>
              </w:rPr>
              <w:t>№.of</w:t>
            </w:r>
          </w:p>
          <w:p w:rsidR="00826F6D" w:rsidRPr="00BB17B4" w:rsidRDefault="00826F6D" w:rsidP="00C27B58">
            <w:pPr>
              <w:keepNext/>
              <w:ind w:left="-108"/>
              <w:jc w:val="both"/>
              <w:rPr>
                <w:rFonts w:ascii="Arial Narrow" w:hAnsi="Arial Narrow" w:cs="Arial"/>
                <w:b/>
                <w:sz w:val="20"/>
                <w:szCs w:val="20"/>
              </w:rPr>
            </w:pPr>
            <w:r w:rsidRPr="00BB17B4">
              <w:rPr>
                <w:rFonts w:ascii="Arial Narrow" w:hAnsi="Arial Narrow" w:cs="Arial"/>
                <w:b/>
                <w:sz w:val="20"/>
                <w:szCs w:val="20"/>
              </w:rPr>
              <w:t>Rpts</w:t>
            </w:r>
          </w:p>
        </w:tc>
        <w:tc>
          <w:tcPr>
            <w:tcW w:w="1276" w:type="dxa"/>
            <w:tcBorders>
              <w:bottom w:val="single" w:sz="4" w:space="0" w:color="auto"/>
            </w:tcBorders>
          </w:tcPr>
          <w:p w:rsidR="00826F6D" w:rsidRPr="00BB17B4" w:rsidRDefault="00826F6D" w:rsidP="00C27B58">
            <w:pPr>
              <w:keepNext/>
              <w:ind w:left="-108"/>
              <w:jc w:val="both"/>
              <w:rPr>
                <w:rFonts w:ascii="Arial Narrow" w:hAnsi="Arial Narrow" w:cs="Arial"/>
                <w:b/>
                <w:sz w:val="20"/>
                <w:szCs w:val="20"/>
              </w:rPr>
            </w:pPr>
            <w:r w:rsidRPr="00BB17B4">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4C4D7A" w:rsidRDefault="00826F6D" w:rsidP="00C27B58">
            <w:pPr>
              <w:keepNext/>
              <w:jc w:val="both"/>
              <w:rPr>
                <w:rFonts w:ascii="Arial Narrow" w:hAnsi="Arial Narrow" w:cs="Arial"/>
                <w:b/>
                <w:sz w:val="20"/>
                <w:szCs w:val="20"/>
              </w:rPr>
            </w:pPr>
            <w:r w:rsidRPr="00BB17B4">
              <w:rPr>
                <w:rFonts w:ascii="Arial Narrow" w:hAnsi="Arial Narrow" w:cs="Arial"/>
                <w:b/>
                <w:sz w:val="20"/>
                <w:szCs w:val="20"/>
              </w:rPr>
              <w:t>Proprietary Name and Manufacturer</w:t>
            </w:r>
          </w:p>
        </w:tc>
      </w:tr>
      <w:tr w:rsidR="00826F6D" w:rsidRPr="00BB17B4" w:rsidTr="00C27B58">
        <w:trPr>
          <w:cantSplit/>
          <w:trHeight w:val="577"/>
        </w:trPr>
        <w:tc>
          <w:tcPr>
            <w:tcW w:w="3119" w:type="dxa"/>
            <w:gridSpan w:val="2"/>
          </w:tcPr>
          <w:p w:rsidR="00826F6D" w:rsidRPr="00BB17B4" w:rsidRDefault="00B22ACA" w:rsidP="00B94A6D">
            <w:pPr>
              <w:keepNext/>
              <w:ind w:left="-108"/>
              <w:rPr>
                <w:rFonts w:ascii="Arial Narrow" w:hAnsi="Arial Narrow" w:cs="Arial"/>
                <w:smallCaps/>
                <w:sz w:val="20"/>
                <w:szCs w:val="20"/>
              </w:rPr>
            </w:pPr>
            <w:r w:rsidRPr="00BB17B4">
              <w:rPr>
                <w:rFonts w:ascii="Arial Narrow" w:hAnsi="Arial Narrow" w:cs="Arial"/>
                <w:smallCaps/>
                <w:sz w:val="20"/>
                <w:szCs w:val="20"/>
              </w:rPr>
              <w:t>AMINO ACID FORMULA SUPPLEMENTED WITH PREBIOTICS, PROBIOTICS AND LONG CHAIN POLYUNSATURATED FATTY ACIDS</w:t>
            </w:r>
          </w:p>
          <w:p w:rsidR="00826F6D" w:rsidRPr="00BB17B4" w:rsidRDefault="0011552C" w:rsidP="00B22ACA">
            <w:pPr>
              <w:keepNext/>
              <w:ind w:left="-108"/>
              <w:jc w:val="both"/>
              <w:rPr>
                <w:rFonts w:ascii="Arial Narrow" w:hAnsi="Arial Narrow" w:cs="Arial"/>
                <w:sz w:val="20"/>
                <w:szCs w:val="20"/>
              </w:rPr>
            </w:pPr>
            <w:r w:rsidRPr="00BB17B4">
              <w:rPr>
                <w:rFonts w:ascii="Arial Narrow" w:hAnsi="Arial Narrow" w:cs="Arial"/>
                <w:sz w:val="20"/>
                <w:szCs w:val="20"/>
              </w:rPr>
              <w:t>power for oral liquid,</w:t>
            </w:r>
            <w:r w:rsidR="00B22ACA" w:rsidRPr="00BB17B4">
              <w:rPr>
                <w:rFonts w:ascii="Arial Narrow" w:hAnsi="Arial Narrow" w:cs="Arial"/>
                <w:sz w:val="20"/>
                <w:szCs w:val="20"/>
              </w:rPr>
              <w:t xml:space="preserve"> 400g</w:t>
            </w:r>
          </w:p>
        </w:tc>
        <w:tc>
          <w:tcPr>
            <w:tcW w:w="850" w:type="dxa"/>
          </w:tcPr>
          <w:p w:rsidR="00826F6D" w:rsidRPr="00BB17B4" w:rsidRDefault="00826F6D" w:rsidP="00C27B58">
            <w:pPr>
              <w:keepNext/>
              <w:ind w:left="-108"/>
              <w:jc w:val="both"/>
              <w:rPr>
                <w:rFonts w:ascii="Arial Narrow" w:hAnsi="Arial Narrow" w:cs="Arial"/>
                <w:sz w:val="20"/>
                <w:szCs w:val="20"/>
              </w:rPr>
            </w:pPr>
          </w:p>
          <w:p w:rsidR="00C03AD5" w:rsidRPr="00BB17B4" w:rsidRDefault="00C03AD5" w:rsidP="00C27B58">
            <w:pPr>
              <w:keepNext/>
              <w:ind w:left="-108"/>
              <w:jc w:val="both"/>
              <w:rPr>
                <w:rFonts w:ascii="Arial Narrow" w:hAnsi="Arial Narrow" w:cs="Arial"/>
                <w:sz w:val="20"/>
                <w:szCs w:val="20"/>
              </w:rPr>
            </w:pPr>
            <w:r w:rsidRPr="00BB17B4">
              <w:rPr>
                <w:rFonts w:ascii="Arial Narrow" w:hAnsi="Arial Narrow" w:cs="Arial"/>
                <w:sz w:val="20"/>
                <w:szCs w:val="20"/>
              </w:rPr>
              <w:t>8</w:t>
            </w:r>
          </w:p>
        </w:tc>
        <w:tc>
          <w:tcPr>
            <w:tcW w:w="709" w:type="dxa"/>
          </w:tcPr>
          <w:p w:rsidR="00826F6D" w:rsidRPr="00BB17B4" w:rsidRDefault="00826F6D" w:rsidP="00C27B58">
            <w:pPr>
              <w:keepNext/>
              <w:ind w:left="-108"/>
              <w:jc w:val="both"/>
              <w:rPr>
                <w:rFonts w:ascii="Arial Narrow" w:hAnsi="Arial Narrow" w:cs="Arial"/>
                <w:sz w:val="20"/>
                <w:szCs w:val="20"/>
              </w:rPr>
            </w:pPr>
          </w:p>
          <w:p w:rsidR="00C03AD5" w:rsidRPr="00BB17B4" w:rsidRDefault="00C03AD5" w:rsidP="00C27B58">
            <w:pPr>
              <w:keepNext/>
              <w:ind w:left="-108"/>
              <w:jc w:val="both"/>
              <w:rPr>
                <w:rFonts w:ascii="Arial Narrow" w:hAnsi="Arial Narrow" w:cs="Arial"/>
                <w:sz w:val="20"/>
                <w:szCs w:val="20"/>
              </w:rPr>
            </w:pPr>
            <w:r w:rsidRPr="00BB17B4">
              <w:rPr>
                <w:rFonts w:ascii="Arial Narrow" w:hAnsi="Arial Narrow" w:cs="Arial"/>
                <w:sz w:val="20"/>
                <w:szCs w:val="20"/>
              </w:rPr>
              <w:t>5</w:t>
            </w:r>
          </w:p>
        </w:tc>
        <w:tc>
          <w:tcPr>
            <w:tcW w:w="1276" w:type="dxa"/>
          </w:tcPr>
          <w:p w:rsidR="00826F6D" w:rsidRPr="00BB17B4" w:rsidRDefault="00826F6D" w:rsidP="00C27B58">
            <w:pPr>
              <w:keepNext/>
              <w:ind w:left="-108"/>
              <w:jc w:val="both"/>
              <w:rPr>
                <w:rFonts w:ascii="Arial Narrow" w:hAnsi="Arial Narrow" w:cs="Arial"/>
                <w:sz w:val="20"/>
                <w:szCs w:val="20"/>
              </w:rPr>
            </w:pPr>
          </w:p>
          <w:p w:rsidR="00C03AD5" w:rsidRPr="00BB17B4" w:rsidRDefault="00C03AD5" w:rsidP="00C27B58">
            <w:pPr>
              <w:keepNext/>
              <w:ind w:left="-108"/>
              <w:jc w:val="both"/>
              <w:rPr>
                <w:rFonts w:ascii="Arial Narrow" w:hAnsi="Arial Narrow" w:cs="Arial"/>
                <w:sz w:val="20"/>
                <w:szCs w:val="20"/>
              </w:rPr>
            </w:pPr>
            <w:r w:rsidRPr="00BB17B4">
              <w:rPr>
                <w:rFonts w:ascii="Arial Narrow" w:hAnsi="Arial Narrow" w:cs="Arial"/>
                <w:sz w:val="20"/>
                <w:szCs w:val="20"/>
              </w:rPr>
              <w:t>$</w:t>
            </w:r>
            <w:r w:rsidR="007F25B6">
              <w:rPr>
                <w:rFonts w:ascii="Arial Narrow" w:hAnsi="Arial Narrow" w:cs="Arial"/>
                <w:noProof/>
                <w:color w:val="000000"/>
                <w:sz w:val="20"/>
                <w:szCs w:val="20"/>
                <w:highlight w:val="black"/>
              </w:rPr>
              <w:t>''''''''''''''''''</w:t>
            </w:r>
          </w:p>
        </w:tc>
        <w:tc>
          <w:tcPr>
            <w:tcW w:w="1275" w:type="dxa"/>
          </w:tcPr>
          <w:p w:rsidR="00C27B58" w:rsidRPr="00BB17B4" w:rsidRDefault="00C27B58" w:rsidP="00C27B58">
            <w:pPr>
              <w:keepNext/>
              <w:jc w:val="both"/>
              <w:rPr>
                <w:rFonts w:ascii="Arial Narrow" w:hAnsi="Arial Narrow" w:cs="Arial"/>
                <w:sz w:val="20"/>
                <w:szCs w:val="20"/>
              </w:rPr>
            </w:pPr>
          </w:p>
          <w:p w:rsidR="00826F6D" w:rsidRPr="00BB17B4" w:rsidRDefault="00C12C27" w:rsidP="00C12C27">
            <w:pPr>
              <w:keepNext/>
              <w:jc w:val="both"/>
              <w:rPr>
                <w:rFonts w:ascii="Arial Narrow" w:hAnsi="Arial Narrow" w:cs="Arial"/>
                <w:sz w:val="20"/>
                <w:szCs w:val="20"/>
              </w:rPr>
            </w:pPr>
            <w:r w:rsidRPr="00BB17B4">
              <w:rPr>
                <w:rFonts w:ascii="Arial Narrow" w:hAnsi="Arial Narrow" w:cs="Arial"/>
                <w:sz w:val="20"/>
                <w:szCs w:val="20"/>
              </w:rPr>
              <w:t>Neocate Syneo®</w:t>
            </w:r>
          </w:p>
        </w:tc>
        <w:tc>
          <w:tcPr>
            <w:tcW w:w="1134" w:type="dxa"/>
          </w:tcPr>
          <w:p w:rsidR="00C27B58" w:rsidRPr="00BB17B4" w:rsidRDefault="00C27B58" w:rsidP="00C27B58">
            <w:pPr>
              <w:keepNext/>
              <w:jc w:val="both"/>
              <w:rPr>
                <w:rFonts w:ascii="Arial Narrow" w:hAnsi="Arial Narrow" w:cs="Arial"/>
                <w:sz w:val="20"/>
                <w:szCs w:val="20"/>
              </w:rPr>
            </w:pPr>
          </w:p>
          <w:p w:rsidR="00826F6D" w:rsidRPr="00BB17B4" w:rsidRDefault="00C12C27" w:rsidP="00C27B58">
            <w:pPr>
              <w:keepNext/>
              <w:jc w:val="both"/>
              <w:rPr>
                <w:rFonts w:ascii="Arial Narrow" w:hAnsi="Arial Narrow" w:cs="Arial"/>
                <w:sz w:val="20"/>
                <w:szCs w:val="20"/>
              </w:rPr>
            </w:pPr>
            <w:r w:rsidRPr="00BB17B4">
              <w:rPr>
                <w:rFonts w:ascii="Arial Narrow" w:hAnsi="Arial Narrow" w:cs="Arial"/>
                <w:sz w:val="20"/>
                <w:szCs w:val="20"/>
              </w:rPr>
              <w:t>Nutricia Australia Pty Ltd</w:t>
            </w:r>
          </w:p>
        </w:tc>
      </w:tr>
      <w:tr w:rsidR="00826F6D" w:rsidRPr="00BB17B4" w:rsidTr="00C27B58">
        <w:trPr>
          <w:cantSplit/>
          <w:trHeight w:val="360"/>
        </w:trPr>
        <w:tc>
          <w:tcPr>
            <w:tcW w:w="8363" w:type="dxa"/>
            <w:gridSpan w:val="7"/>
            <w:tcBorders>
              <w:bottom w:val="single" w:sz="4" w:space="0" w:color="auto"/>
            </w:tcBorders>
          </w:tcPr>
          <w:p w:rsidR="00826F6D" w:rsidRPr="00BB17B4" w:rsidRDefault="00826F6D" w:rsidP="00C27B58">
            <w:pPr>
              <w:jc w:val="both"/>
              <w:rPr>
                <w:rFonts w:ascii="Arial Narrow" w:hAnsi="Arial Narrow" w:cs="Arial"/>
                <w:sz w:val="20"/>
                <w:szCs w:val="20"/>
              </w:rPr>
            </w:pPr>
          </w:p>
        </w:tc>
      </w:tr>
      <w:tr w:rsidR="00826F6D" w:rsidRPr="00BB17B4"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BB17B4" w:rsidRDefault="00826F6D" w:rsidP="00C27B58">
            <w:pPr>
              <w:jc w:val="both"/>
              <w:rPr>
                <w:rFonts w:ascii="Arial Narrow" w:hAnsi="Arial Narrow" w:cs="Arial"/>
                <w:b/>
                <w:sz w:val="20"/>
                <w:szCs w:val="20"/>
              </w:rPr>
            </w:pPr>
            <w:r w:rsidRPr="00BB17B4">
              <w:rPr>
                <w:rFonts w:ascii="Arial Narrow" w:hAnsi="Arial Narrow" w:cs="Arial"/>
                <w:b/>
                <w:sz w:val="20"/>
                <w:szCs w:val="20"/>
              </w:rPr>
              <w:t xml:space="preserve">Category / </w:t>
            </w:r>
          </w:p>
          <w:p w:rsidR="00826F6D" w:rsidRPr="00BB17B4" w:rsidRDefault="00826F6D" w:rsidP="00C27B58">
            <w:pPr>
              <w:jc w:val="both"/>
              <w:rPr>
                <w:rFonts w:ascii="Arial Narrow" w:hAnsi="Arial Narrow" w:cs="Arial"/>
                <w:b/>
                <w:sz w:val="20"/>
                <w:szCs w:val="20"/>
              </w:rPr>
            </w:pPr>
            <w:r w:rsidRPr="00BB17B4">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BB17B4" w:rsidRDefault="00826F6D" w:rsidP="00C27B58">
            <w:pPr>
              <w:rPr>
                <w:rFonts w:ascii="Arial Narrow" w:hAnsi="Arial Narrow" w:cs="Arial"/>
                <w:sz w:val="20"/>
                <w:szCs w:val="20"/>
              </w:rPr>
            </w:pPr>
            <w:r w:rsidRPr="00BB17B4">
              <w:rPr>
                <w:rFonts w:ascii="Arial Narrow" w:hAnsi="Arial Narrow" w:cs="Arial"/>
                <w:sz w:val="20"/>
                <w:szCs w:val="20"/>
              </w:rPr>
              <w:t>GENERAL – General Schedule (Code GE)</w:t>
            </w:r>
          </w:p>
        </w:tc>
      </w:tr>
      <w:tr w:rsidR="00826F6D" w:rsidRPr="00BB17B4"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BB17B4" w:rsidRDefault="00826F6D" w:rsidP="00C27B58">
            <w:pPr>
              <w:jc w:val="both"/>
              <w:rPr>
                <w:rFonts w:ascii="Arial Narrow" w:hAnsi="Arial Narrow" w:cs="Arial"/>
                <w:b/>
                <w:sz w:val="20"/>
                <w:szCs w:val="20"/>
              </w:rPr>
            </w:pPr>
            <w:r w:rsidRPr="00BB17B4">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BB17B4" w:rsidRDefault="00826F6D" w:rsidP="00C27B58">
            <w:pPr>
              <w:rPr>
                <w:rFonts w:ascii="Arial Narrow" w:hAnsi="Arial Narrow" w:cs="Arial"/>
                <w:sz w:val="20"/>
                <w:szCs w:val="20"/>
              </w:rPr>
            </w:pPr>
            <w:r w:rsidRPr="004C4D7A">
              <w:rPr>
                <w:rFonts w:ascii="Arial Narrow" w:hAnsi="Arial Narrow" w:cs="Arial"/>
                <w:sz w:val="20"/>
                <w:szCs w:val="20"/>
              </w:rPr>
              <w:fldChar w:fldCharType="begin">
                <w:ffData>
                  <w:name w:val="Check1"/>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Dental  </w:t>
            </w:r>
            <w:r w:rsidR="00C12C27" w:rsidRPr="004C4D7A">
              <w:rPr>
                <w:rFonts w:ascii="Arial Narrow" w:hAnsi="Arial Narrow" w:cs="Arial"/>
                <w:sz w:val="20"/>
                <w:szCs w:val="20"/>
              </w:rPr>
              <w:fldChar w:fldCharType="begin">
                <w:ffData>
                  <w:name w:val=""/>
                  <w:enabled/>
                  <w:calcOnExit w:val="0"/>
                  <w:checkBox>
                    <w:sizeAuto/>
                    <w:default w:val="1"/>
                  </w:checkBox>
                </w:ffData>
              </w:fldChar>
            </w:r>
            <w:r w:rsidR="00C12C27"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00C12C27" w:rsidRPr="004C4D7A">
              <w:rPr>
                <w:rFonts w:ascii="Arial Narrow" w:hAnsi="Arial Narrow" w:cs="Arial"/>
                <w:sz w:val="20"/>
                <w:szCs w:val="20"/>
              </w:rPr>
              <w:fldChar w:fldCharType="end"/>
            </w:r>
            <w:r w:rsidRPr="00BB17B4">
              <w:rPr>
                <w:rFonts w:ascii="Arial Narrow" w:hAnsi="Arial Narrow" w:cs="Arial"/>
                <w:sz w:val="20"/>
                <w:szCs w:val="20"/>
              </w:rPr>
              <w:t xml:space="preserve">Medical Practitioners  </w:t>
            </w:r>
            <w:r w:rsidR="00C12C27" w:rsidRPr="004C4D7A">
              <w:rPr>
                <w:rFonts w:ascii="Arial Narrow" w:hAnsi="Arial Narrow" w:cs="Arial"/>
                <w:sz w:val="20"/>
                <w:szCs w:val="20"/>
              </w:rPr>
              <w:fldChar w:fldCharType="begin">
                <w:ffData>
                  <w:name w:val="Check3"/>
                  <w:enabled/>
                  <w:calcOnExit w:val="0"/>
                  <w:checkBox>
                    <w:sizeAuto/>
                    <w:default w:val="1"/>
                  </w:checkBox>
                </w:ffData>
              </w:fldChar>
            </w:r>
            <w:bookmarkStart w:id="0" w:name="Check3"/>
            <w:r w:rsidR="00C12C27"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00C12C27" w:rsidRPr="004C4D7A">
              <w:rPr>
                <w:rFonts w:ascii="Arial Narrow" w:hAnsi="Arial Narrow" w:cs="Arial"/>
                <w:sz w:val="20"/>
                <w:szCs w:val="20"/>
              </w:rPr>
              <w:fldChar w:fldCharType="end"/>
            </w:r>
            <w:bookmarkEnd w:id="0"/>
            <w:r w:rsidRPr="00BB17B4">
              <w:rPr>
                <w:rFonts w:ascii="Arial Narrow" w:hAnsi="Arial Narrow" w:cs="Arial"/>
                <w:sz w:val="20"/>
                <w:szCs w:val="20"/>
              </w:rPr>
              <w:t xml:space="preserve">Nurse practitioners  </w:t>
            </w:r>
            <w:r w:rsidRPr="004C4D7A">
              <w:rPr>
                <w:rFonts w:ascii="Arial Narrow" w:hAnsi="Arial Narrow" w:cs="Arial"/>
                <w:sz w:val="20"/>
                <w:szCs w:val="20"/>
              </w:rPr>
              <w:fldChar w:fldCharType="begin">
                <w:ffData>
                  <w:name w:val=""/>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Optometrists</w:t>
            </w:r>
          </w:p>
          <w:p w:rsidR="00826F6D" w:rsidRPr="00BB17B4" w:rsidRDefault="00826F6D" w:rsidP="00C27B58">
            <w:pPr>
              <w:rPr>
                <w:rFonts w:ascii="Arial Narrow" w:hAnsi="Arial Narrow" w:cs="Arial"/>
                <w:sz w:val="20"/>
                <w:szCs w:val="20"/>
              </w:rPr>
            </w:pPr>
            <w:r w:rsidRPr="004C4D7A">
              <w:rPr>
                <w:rFonts w:ascii="Arial Narrow" w:hAnsi="Arial Narrow" w:cs="Arial"/>
                <w:sz w:val="20"/>
                <w:szCs w:val="20"/>
              </w:rPr>
              <w:fldChar w:fldCharType="begin">
                <w:ffData>
                  <w:name w:val="Check5"/>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Midwives</w:t>
            </w:r>
          </w:p>
        </w:tc>
      </w:tr>
      <w:tr w:rsidR="00C12C27" w:rsidRPr="00BB17B4"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2C27" w:rsidRPr="00BB17B4" w:rsidRDefault="00C12C27" w:rsidP="00C62B19">
            <w:pPr>
              <w:jc w:val="both"/>
              <w:rPr>
                <w:rFonts w:ascii="Arial Narrow" w:hAnsi="Arial Narrow" w:cs="Arial"/>
                <w:b/>
                <w:sz w:val="20"/>
                <w:szCs w:val="20"/>
              </w:rPr>
            </w:pPr>
            <w:r w:rsidRPr="00BB17B4">
              <w:rPr>
                <w:rFonts w:ascii="Arial Narrow" w:hAnsi="Arial Narrow" w:cs="Arial"/>
                <w:b/>
                <w:sz w:val="20"/>
                <w:szCs w:val="20"/>
              </w:rPr>
              <w:t>Restriction Level / Method:</w:t>
            </w:r>
          </w:p>
          <w:p w:rsidR="00C12C27" w:rsidRPr="00BB17B4" w:rsidRDefault="00C12C27" w:rsidP="00C62B19">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C12C27" w:rsidRPr="00BB17B4" w:rsidRDefault="00E43EED" w:rsidP="00C62B19">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00C12C27" w:rsidRPr="00BB17B4">
              <w:rPr>
                <w:rFonts w:ascii="Arial Narrow" w:hAnsi="Arial Narrow" w:cs="Arial"/>
                <w:sz w:val="20"/>
                <w:szCs w:val="20"/>
              </w:rPr>
              <w:t>Authority Required - In Writing</w:t>
            </w:r>
          </w:p>
          <w:p w:rsidR="00C12C27" w:rsidRPr="00BB17B4" w:rsidRDefault="00E43EED" w:rsidP="00C62B19">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00C12C27" w:rsidRPr="00BB17B4">
              <w:rPr>
                <w:rFonts w:ascii="Arial Narrow" w:hAnsi="Arial Narrow" w:cs="Arial"/>
                <w:sz w:val="20"/>
                <w:szCs w:val="20"/>
              </w:rPr>
              <w:t>Authority Required - Telephone</w:t>
            </w:r>
          </w:p>
          <w:p w:rsidR="00C12C27" w:rsidRPr="00BB17B4" w:rsidRDefault="00E43EED" w:rsidP="00C62B19">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00C12C27" w:rsidRPr="00BB17B4">
              <w:rPr>
                <w:rFonts w:ascii="Arial Narrow" w:hAnsi="Arial Narrow" w:cs="Arial"/>
                <w:sz w:val="20"/>
                <w:szCs w:val="20"/>
              </w:rPr>
              <w:t>Authority Required – Emergency</w:t>
            </w:r>
          </w:p>
          <w:p w:rsidR="00C12C27" w:rsidRPr="00BB17B4" w:rsidRDefault="00E43EED" w:rsidP="00C62B19">
            <w:pPr>
              <w:rPr>
                <w:rFonts w:ascii="Arial Narrow" w:hAnsi="Arial Narrow" w:cs="Arial"/>
                <w:sz w:val="20"/>
                <w:szCs w:val="20"/>
              </w:rPr>
            </w:pPr>
            <w:r w:rsidRPr="004C4D7A">
              <w:rPr>
                <w:rFonts w:ascii="Arial Narrow" w:hAnsi="Arial Narrow" w:cs="Arial"/>
                <w:sz w:val="20"/>
                <w:szCs w:val="20"/>
              </w:rPr>
              <w:fldChar w:fldCharType="begin">
                <w:ffData>
                  <w:name w:val="Check5"/>
                  <w:enabled/>
                  <w:calcOnExit w:val="0"/>
                  <w:checkBox>
                    <w:sizeAuto/>
                    <w:default w:val="1"/>
                  </w:checkBox>
                </w:ffData>
              </w:fldChar>
            </w:r>
            <w:bookmarkStart w:id="1" w:name="Check5"/>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bookmarkEnd w:id="1"/>
            <w:r w:rsidR="00C12C27" w:rsidRPr="00BB17B4">
              <w:rPr>
                <w:rFonts w:ascii="Arial Narrow" w:hAnsi="Arial Narrow" w:cs="Arial"/>
                <w:sz w:val="20"/>
                <w:szCs w:val="20"/>
              </w:rPr>
              <w:t>Authority Required - Electronic</w:t>
            </w:r>
          </w:p>
        </w:tc>
      </w:tr>
    </w:tbl>
    <w:p w:rsidR="00C50B81" w:rsidRPr="00BB17B4" w:rsidRDefault="00C50B81"/>
    <w:p w:rsidR="00C50B81" w:rsidRPr="00BB17B4" w:rsidRDefault="00C50B81"/>
    <w:p w:rsidR="00C50B81" w:rsidRPr="00BB17B4" w:rsidRDefault="00C50B81"/>
    <w:tbl>
      <w:tblPr>
        <w:tblW w:w="8363" w:type="dxa"/>
        <w:tblInd w:w="817" w:type="dxa"/>
        <w:tblLayout w:type="fixed"/>
        <w:tblLook w:val="0000" w:firstRow="0" w:lastRow="0" w:firstColumn="0" w:lastColumn="0" w:noHBand="0" w:noVBand="0"/>
      </w:tblPr>
      <w:tblGrid>
        <w:gridCol w:w="1985"/>
        <w:gridCol w:w="6378"/>
      </w:tblGrid>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Cows' milk anaphylaxis</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b/>
                <w:sz w:val="20"/>
                <w:szCs w:val="20"/>
              </w:rPr>
            </w:pPr>
            <w:r w:rsidRPr="00BB17B4">
              <w:rPr>
                <w:rFonts w:ascii="Arial Narrow" w:hAnsi="Arial Narrow" w:cs="Arial"/>
                <w:b/>
                <w:sz w:val="20"/>
                <w:szCs w:val="20"/>
              </w:rPr>
              <w:t>Treatment criteria:</w:t>
            </w:r>
          </w:p>
          <w:p w:rsidR="00C15041" w:rsidRPr="00BB17B4" w:rsidRDefault="00C15041" w:rsidP="00C62B19">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Must be treated by a specialist allergist or clinical immunologist, or in consultation with a specialist allergist or clinical immunologist.</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Patient must be up to the age of 24 months.</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Anaphylaxis is defined as a severe and/or potentially life threatening allergic reaction.</w:t>
            </w:r>
          </w:p>
          <w:p w:rsidR="00C15041" w:rsidRPr="00BB17B4" w:rsidRDefault="00C15041" w:rsidP="00C62B19">
            <w:pPr>
              <w:rPr>
                <w:rFonts w:ascii="Arial Narrow" w:hAnsi="Arial Narrow" w:cs="Arial"/>
                <w:sz w:val="20"/>
                <w:szCs w:val="20"/>
              </w:rPr>
            </w:pPr>
          </w:p>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Administrative Advice</w:t>
            </w:r>
          </w:p>
          <w:p w:rsidR="00C15041" w:rsidRPr="00BB17B4" w:rsidRDefault="00C15041" w:rsidP="00C62B19">
            <w:pPr>
              <w:jc w:val="both"/>
              <w:rPr>
                <w:rFonts w:ascii="Arial Narrow" w:hAnsi="Arial Narrow" w:cs="Arial"/>
                <w:b/>
                <w:sz w:val="20"/>
                <w:szCs w:val="20"/>
              </w:rPr>
            </w:pP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826F6D" w:rsidRPr="00BB17B4" w:rsidRDefault="00826F6D"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Cows' milk protein enteropathy</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b/>
                <w:sz w:val="20"/>
                <w:szCs w:val="20"/>
              </w:rPr>
            </w:pPr>
            <w:r w:rsidRPr="00BB17B4">
              <w:rPr>
                <w:rFonts w:ascii="Arial Narrow" w:hAnsi="Arial Narrow" w:cs="Arial"/>
                <w:b/>
                <w:sz w:val="20"/>
                <w:szCs w:val="20"/>
              </w:rPr>
              <w:t>Treatment phase:</w:t>
            </w:r>
          </w:p>
          <w:p w:rsidR="00C15041" w:rsidRPr="00BB17B4" w:rsidRDefault="00C15041" w:rsidP="00C62B19">
            <w:pPr>
              <w:keepNext/>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 xml:space="preserve">Initial treatment for up to 6 months </w:t>
            </w:r>
          </w:p>
          <w:p w:rsidR="00C15041" w:rsidRPr="00BB17B4" w:rsidRDefault="00C15041" w:rsidP="00C62B19">
            <w:pPr>
              <w:keepNext/>
              <w:rPr>
                <w:rFonts w:ascii="Arial Narrow" w:hAnsi="Arial Narrow" w:cs="Arial"/>
                <w:sz w:val="20"/>
                <w:szCs w:val="20"/>
              </w:rPr>
            </w:pP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b/>
                <w:sz w:val="20"/>
                <w:szCs w:val="20"/>
              </w:rPr>
            </w:pPr>
            <w:r w:rsidRPr="00BB17B4">
              <w:rPr>
                <w:rFonts w:ascii="Arial Narrow" w:hAnsi="Arial Narrow" w:cs="Arial"/>
                <w:b/>
                <w:sz w:val="20"/>
                <w:szCs w:val="20"/>
              </w:rPr>
              <w:t>Treatment criteria:</w:t>
            </w:r>
          </w:p>
          <w:p w:rsidR="00C15041" w:rsidRPr="00BB17B4" w:rsidRDefault="00C15041" w:rsidP="00C62B19">
            <w:pPr>
              <w:rPr>
                <w:rFonts w:ascii="Arial Narrow" w:hAnsi="Arial Narrow" w:cs="Arial"/>
                <w:i/>
                <w:sz w:val="20"/>
                <w:szCs w:val="20"/>
              </w:rPr>
            </w:pPr>
          </w:p>
          <w:p w:rsidR="00C15041" w:rsidRPr="00BB17B4" w:rsidRDefault="00C15041" w:rsidP="00C62B19">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Clinical criteria:</w:t>
            </w:r>
          </w:p>
          <w:p w:rsidR="00C15041" w:rsidRPr="00BB17B4" w:rsidRDefault="00C15041" w:rsidP="00C62B19">
            <w:pPr>
              <w:jc w:val="both"/>
              <w:rPr>
                <w:rFonts w:ascii="Arial Narrow" w:hAnsi="Arial Narrow" w:cs="Arial"/>
                <w:i/>
                <w:sz w:val="20"/>
                <w:szCs w:val="20"/>
              </w:rPr>
            </w:pPr>
          </w:p>
          <w:p w:rsidR="00C15041" w:rsidRPr="00BB17B4" w:rsidRDefault="00C15041" w:rsidP="00C62B19">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The condition must not be isolated infant colic or reflux,</w:t>
            </w:r>
          </w:p>
          <w:p w:rsidR="00C15041" w:rsidRPr="00BB17B4" w:rsidRDefault="00C15041" w:rsidP="00C62B19">
            <w:pPr>
              <w:rPr>
                <w:rFonts w:ascii="Arial Narrow" w:hAnsi="Arial Narrow" w:cs="Arial"/>
                <w:bCs/>
                <w:sz w:val="20"/>
                <w:szCs w:val="20"/>
              </w:rPr>
            </w:pPr>
            <w:r w:rsidRPr="00BB17B4">
              <w:rPr>
                <w:rFonts w:ascii="Arial Narrow" w:hAnsi="Arial Narrow" w:cs="Arial"/>
                <w:bCs/>
                <w:sz w:val="20"/>
                <w:szCs w:val="20"/>
              </w:rPr>
              <w:t>AND</w:t>
            </w:r>
          </w:p>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Patient must be up to the age of 24 months.</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Administrative Advice</w:t>
            </w:r>
          </w:p>
          <w:p w:rsidR="00C15041" w:rsidRPr="00BB17B4" w:rsidRDefault="00C15041" w:rsidP="00C62B19">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No increase in the maximum quantity or number of units may be authorised.</w:t>
            </w:r>
          </w:p>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No increase in the maximum number of repeats may be authorised.</w:t>
            </w:r>
          </w:p>
        </w:tc>
      </w:tr>
    </w:tbl>
    <w:p w:rsidR="00C15041" w:rsidRPr="00BB17B4" w:rsidRDefault="00C15041"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b/>
                <w:sz w:val="20"/>
                <w:szCs w:val="20"/>
              </w:rPr>
            </w:pPr>
            <w:r w:rsidRPr="00BB17B4">
              <w:rPr>
                <w:rFonts w:ascii="Arial Narrow" w:hAnsi="Arial Narrow" w:cs="Arial"/>
                <w:b/>
                <w:sz w:val="20"/>
                <w:szCs w:val="20"/>
              </w:rPr>
              <w:lastRenderedPageBreak/>
              <w:t>PBS Indication:</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Cows' milk protein enteropathy</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Continuing treatment</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have an appointment to be assessed by one of these specialists.</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The condition must not be isolated infant colic or reflux,</w:t>
            </w:r>
          </w:p>
          <w:p w:rsidR="00C15041" w:rsidRPr="00BB17B4" w:rsidRDefault="00C15041" w:rsidP="00C62B19">
            <w:pPr>
              <w:keepNext/>
              <w:rPr>
                <w:rFonts w:ascii="Arial Narrow" w:hAnsi="Arial Narrow" w:cs="Arial"/>
                <w:sz w:val="20"/>
                <w:szCs w:val="20"/>
              </w:rPr>
            </w:pPr>
          </w:p>
          <w:p w:rsidR="00C15041" w:rsidRPr="00BB17B4" w:rsidRDefault="00C15041" w:rsidP="00C62B19">
            <w:pPr>
              <w:keepNext/>
              <w:rPr>
                <w:rFonts w:ascii="Arial Narrow" w:hAnsi="Arial Narrow" w:cs="Arial"/>
                <w:bCs/>
                <w:sz w:val="20"/>
                <w:szCs w:val="20"/>
              </w:rPr>
            </w:pPr>
            <w:r w:rsidRPr="00BB17B4">
              <w:rPr>
                <w:rFonts w:ascii="Arial Narrow" w:hAnsi="Arial Narrow" w:cs="Arial"/>
                <w:bCs/>
                <w:sz w:val="20"/>
                <w:szCs w:val="20"/>
              </w:rPr>
              <w:t>AND</w:t>
            </w:r>
          </w:p>
          <w:p w:rsidR="00C15041" w:rsidRPr="00BB17B4" w:rsidRDefault="00C15041" w:rsidP="00C62B19">
            <w:pPr>
              <w:keepNext/>
              <w:rPr>
                <w:rFonts w:ascii="Arial Narrow" w:hAnsi="Arial Narrow" w:cs="Arial"/>
                <w:sz w:val="20"/>
                <w:szCs w:val="20"/>
              </w:rPr>
            </w:pPr>
          </w:p>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Patient must be up to the age of 24 months.</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Administrative Advice</w:t>
            </w:r>
          </w:p>
          <w:p w:rsidR="00C15041" w:rsidRPr="00BB17B4" w:rsidRDefault="00C15041" w:rsidP="00C62B19">
            <w:pPr>
              <w:jc w:val="both"/>
              <w:rPr>
                <w:rFonts w:ascii="Arial Narrow" w:hAnsi="Arial Narrow" w:cs="Arial"/>
                <w:b/>
                <w:sz w:val="20"/>
                <w:szCs w:val="20"/>
              </w:rPr>
            </w:pP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C15041" w:rsidRPr="00BB17B4" w:rsidRDefault="00C15041"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Severe cows' milk protein enteropathy with failure to thrive</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 xml:space="preserve">Initial treatment for up to 6 months </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C15041" w:rsidRPr="00BB17B4" w:rsidTr="00C62B19">
        <w:trPr>
          <w:cantSplit/>
          <w:trHeight w:val="265"/>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The condition must not be isolated infant colic or reflux</w:t>
            </w:r>
          </w:p>
        </w:tc>
      </w:tr>
      <w:tr w:rsidR="00C15041" w:rsidRPr="00BB17B4" w:rsidTr="00C62B19">
        <w:trPr>
          <w:cantSplit/>
          <w:trHeight w:val="283"/>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Patient must be up to the age of 24 months.</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Administrative Advice</w:t>
            </w:r>
          </w:p>
          <w:p w:rsidR="00C15041" w:rsidRPr="00BB17B4" w:rsidRDefault="00C15041" w:rsidP="00C62B19">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No increase in the maximum quantity or number of units may be authorised.</w:t>
            </w:r>
          </w:p>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No increase in the maximum number of repeats may be authorised.</w:t>
            </w:r>
          </w:p>
        </w:tc>
      </w:tr>
    </w:tbl>
    <w:p w:rsidR="00C15041" w:rsidRPr="00BB17B4" w:rsidRDefault="00C15041"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 xml:space="preserve">Severe cows' milk protein enteropathy with failure to thrive </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Continuing treatment</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have been assessed at least once or have an appointment to be assessed by one of these specialists.</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The condition must not be isolated infant colic or reflux,</w:t>
            </w:r>
          </w:p>
          <w:p w:rsidR="00C15041" w:rsidRPr="00BB17B4" w:rsidRDefault="00C15041" w:rsidP="00C62B19">
            <w:pPr>
              <w:keepNext/>
              <w:rPr>
                <w:rFonts w:ascii="Arial Narrow" w:hAnsi="Arial Narrow" w:cs="Arial"/>
                <w:sz w:val="20"/>
                <w:szCs w:val="20"/>
              </w:rPr>
            </w:pPr>
          </w:p>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AND</w:t>
            </w:r>
          </w:p>
          <w:p w:rsidR="00C15041" w:rsidRPr="00BB17B4" w:rsidRDefault="00C15041" w:rsidP="00C62B19">
            <w:pPr>
              <w:keepNext/>
              <w:rPr>
                <w:rFonts w:ascii="Arial Narrow" w:hAnsi="Arial Narrow" w:cs="Arial"/>
                <w:sz w:val="20"/>
                <w:szCs w:val="20"/>
              </w:rPr>
            </w:pPr>
          </w:p>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 xml:space="preserve">Patient must have had failure to thrive prior to commencement with initial treatment. </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Patient must be up to the age of 24 months.</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keepNext/>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C15041"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C15041" w:rsidRPr="00BB17B4" w:rsidRDefault="00C15041" w:rsidP="00C62B19">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C15041" w:rsidRPr="00BB17B4" w:rsidRDefault="00C15041"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Combined intolerance to cows' milk protein, soy protein and protein hydrolysate formulae</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 xml:space="preserve">Initial treatment for up to 6 months </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The condition must not be isolated infant colic or reflux</w:t>
            </w:r>
          </w:p>
        </w:tc>
      </w:tr>
      <w:tr w:rsidR="00BF3D0B" w:rsidRPr="00BB17B4" w:rsidTr="00C62B19">
        <w:trPr>
          <w:cantSplit/>
          <w:trHeight w:val="275"/>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Patient must be up to the age of 24 months.</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Administrative Advice</w:t>
            </w:r>
          </w:p>
          <w:p w:rsidR="00BF3D0B" w:rsidRPr="00BB17B4" w:rsidRDefault="00BF3D0B" w:rsidP="00C62B19">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No increase in the maximum quantity or number of units may be authorised.</w:t>
            </w:r>
          </w:p>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No increase in the maximum number of repeats may be authorised.</w:t>
            </w:r>
          </w:p>
        </w:tc>
      </w:tr>
    </w:tbl>
    <w:p w:rsidR="00C15041" w:rsidRPr="00BB17B4" w:rsidRDefault="00C15041"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Combined intolerance to cows' milk protein, soy protein and protein hydrolysate formulae</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Continuing treatment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at intervals not greater than 12 months.</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The condition must not be isolated infant colic or reflux</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Patient must be older than 24 months of age.</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BF3D0B" w:rsidRPr="00BB17B4" w:rsidRDefault="00BF3D0B"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Proven combined immunoglobulin E (IgE) mediated allergy to cows' milk protein and soy protein</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 xml:space="preserve">Initial treatment for up to 6 months </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Patient must have failed a trial of protein hydrolysate formulae (with or without medium chain triglycerides).</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Patient must be up to the age of 24 months.</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No increase in the maximum quantity or number of units may be authorised.</w:t>
            </w:r>
          </w:p>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No increase in the maximum number of repeats may be authorised.</w:t>
            </w:r>
          </w:p>
        </w:tc>
      </w:tr>
    </w:tbl>
    <w:p w:rsidR="00BF3D0B" w:rsidRPr="00BB17B4" w:rsidRDefault="00BF3D0B"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Proven combined immunoglobulin E (IgE) mediated allergy to cows' milk protein and soy protein</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Continuing treatment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b/>
                <w:sz w:val="20"/>
                <w:szCs w:val="20"/>
              </w:rPr>
            </w:pPr>
            <w:r w:rsidRPr="00BB17B4">
              <w:rPr>
                <w:rFonts w:ascii="Arial Narrow" w:hAnsi="Arial Narrow" w:cs="Arial"/>
                <w:b/>
                <w:sz w:val="20"/>
                <w:szCs w:val="20"/>
              </w:rPr>
              <w:t>Treatment criteria:</w:t>
            </w:r>
          </w:p>
          <w:p w:rsidR="00BF3D0B" w:rsidRPr="00BB17B4" w:rsidRDefault="00BF3D0B" w:rsidP="00C62B19">
            <w:pPr>
              <w:keepNext/>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Clinical criteria:</w:t>
            </w:r>
          </w:p>
          <w:p w:rsidR="00BF3D0B" w:rsidRPr="00BB17B4" w:rsidRDefault="00BF3D0B" w:rsidP="00C62B19">
            <w:pPr>
              <w:keepNext/>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Patient must have failed a trial of protein hydrolysate formulae (with or without medium chain triglycerides) prior to commencement with initial treatment.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Patient must be up to the age of 24 months</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Administrative Advice</w:t>
            </w:r>
          </w:p>
          <w:p w:rsidR="00BF3D0B" w:rsidRPr="00BB17B4" w:rsidRDefault="00BF3D0B" w:rsidP="00C62B19">
            <w:pPr>
              <w:jc w:val="both"/>
              <w:rPr>
                <w:rFonts w:ascii="Arial Narrow" w:hAnsi="Arial Narrow" w:cs="Arial"/>
                <w:b/>
                <w:sz w:val="20"/>
                <w:szCs w:val="20"/>
              </w:rPr>
            </w:pP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BF3D0B" w:rsidRPr="00BB17B4" w:rsidRDefault="00BF3D0B"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Severe intestinal malabsorption including short bowel syndrome.</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Patient must have failed to respond to protein hydrolysate formulae; OR</w:t>
            </w:r>
          </w:p>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Patient must have been receiving parenteral nutrition.</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BF3D0B" w:rsidRPr="00BB17B4" w:rsidRDefault="00BF3D0B"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3A3D75" w:rsidRPr="00BB17B4" w:rsidTr="00C62B19">
        <w:trPr>
          <w:cantSplit/>
          <w:trHeight w:val="471"/>
        </w:trPr>
        <w:tc>
          <w:tcPr>
            <w:tcW w:w="3119" w:type="dxa"/>
            <w:gridSpan w:val="2"/>
            <w:tcBorders>
              <w:bottom w:val="single" w:sz="4" w:space="0" w:color="auto"/>
            </w:tcBorders>
          </w:tcPr>
          <w:p w:rsidR="003A3D75" w:rsidRPr="00BB17B4" w:rsidRDefault="003A3D75" w:rsidP="00C62B19">
            <w:pPr>
              <w:keepNext/>
              <w:ind w:left="-108"/>
              <w:jc w:val="both"/>
              <w:rPr>
                <w:rFonts w:ascii="Arial Narrow" w:hAnsi="Arial Narrow" w:cs="Arial"/>
                <w:b/>
                <w:sz w:val="20"/>
                <w:szCs w:val="20"/>
              </w:rPr>
            </w:pPr>
            <w:r w:rsidRPr="00BB17B4">
              <w:rPr>
                <w:rFonts w:ascii="Arial Narrow" w:hAnsi="Arial Narrow" w:cs="Arial"/>
                <w:b/>
                <w:sz w:val="20"/>
                <w:szCs w:val="20"/>
              </w:rPr>
              <w:t>Name, Restriction,</w:t>
            </w:r>
          </w:p>
          <w:p w:rsidR="003A3D75" w:rsidRPr="00BB17B4" w:rsidRDefault="003A3D75" w:rsidP="00C62B19">
            <w:pPr>
              <w:keepNext/>
              <w:ind w:left="-108"/>
              <w:jc w:val="both"/>
              <w:rPr>
                <w:rFonts w:ascii="Arial Narrow" w:hAnsi="Arial Narrow" w:cs="Arial"/>
                <w:b/>
                <w:sz w:val="20"/>
                <w:szCs w:val="20"/>
              </w:rPr>
            </w:pPr>
            <w:r w:rsidRPr="00BB17B4">
              <w:rPr>
                <w:rFonts w:ascii="Arial Narrow" w:hAnsi="Arial Narrow" w:cs="Arial"/>
                <w:b/>
                <w:sz w:val="20"/>
                <w:szCs w:val="20"/>
              </w:rPr>
              <w:t>Manner of administration and form</w:t>
            </w:r>
          </w:p>
        </w:tc>
        <w:tc>
          <w:tcPr>
            <w:tcW w:w="850" w:type="dxa"/>
            <w:tcBorders>
              <w:bottom w:val="single" w:sz="4" w:space="0" w:color="auto"/>
            </w:tcBorders>
          </w:tcPr>
          <w:p w:rsidR="003A3D75" w:rsidRPr="00BB17B4" w:rsidRDefault="003A3D75" w:rsidP="00C62B19">
            <w:pPr>
              <w:keepNext/>
              <w:ind w:left="-108"/>
              <w:jc w:val="both"/>
              <w:rPr>
                <w:rFonts w:ascii="Arial Narrow" w:hAnsi="Arial Narrow" w:cs="Arial"/>
                <w:b/>
                <w:sz w:val="20"/>
                <w:szCs w:val="20"/>
              </w:rPr>
            </w:pPr>
            <w:r w:rsidRPr="00BB17B4">
              <w:rPr>
                <w:rFonts w:ascii="Arial Narrow" w:hAnsi="Arial Narrow" w:cs="Arial"/>
                <w:b/>
                <w:sz w:val="20"/>
                <w:szCs w:val="20"/>
              </w:rPr>
              <w:t>Max.</w:t>
            </w:r>
          </w:p>
          <w:p w:rsidR="003A3D75" w:rsidRPr="00BB17B4" w:rsidRDefault="003A3D75" w:rsidP="00C62B19">
            <w:pPr>
              <w:keepNext/>
              <w:ind w:left="-108"/>
              <w:jc w:val="both"/>
              <w:rPr>
                <w:rFonts w:ascii="Arial Narrow" w:hAnsi="Arial Narrow" w:cs="Arial"/>
                <w:b/>
                <w:sz w:val="20"/>
                <w:szCs w:val="20"/>
              </w:rPr>
            </w:pPr>
            <w:r w:rsidRPr="00BB17B4">
              <w:rPr>
                <w:rFonts w:ascii="Arial Narrow" w:hAnsi="Arial Narrow" w:cs="Arial"/>
                <w:b/>
                <w:sz w:val="20"/>
                <w:szCs w:val="20"/>
              </w:rPr>
              <w:t>Qty</w:t>
            </w:r>
          </w:p>
        </w:tc>
        <w:tc>
          <w:tcPr>
            <w:tcW w:w="709" w:type="dxa"/>
            <w:tcBorders>
              <w:bottom w:val="single" w:sz="4" w:space="0" w:color="auto"/>
            </w:tcBorders>
          </w:tcPr>
          <w:p w:rsidR="003A3D75" w:rsidRPr="00BB17B4" w:rsidRDefault="003A3D75" w:rsidP="00C62B19">
            <w:pPr>
              <w:keepNext/>
              <w:ind w:left="-108"/>
              <w:jc w:val="both"/>
              <w:rPr>
                <w:rFonts w:ascii="Arial Narrow" w:hAnsi="Arial Narrow" w:cs="Arial"/>
                <w:b/>
                <w:sz w:val="20"/>
                <w:szCs w:val="20"/>
              </w:rPr>
            </w:pPr>
            <w:r w:rsidRPr="00BB17B4">
              <w:rPr>
                <w:rFonts w:ascii="Arial Narrow" w:hAnsi="Arial Narrow" w:cs="Arial"/>
                <w:b/>
                <w:sz w:val="20"/>
                <w:szCs w:val="20"/>
              </w:rPr>
              <w:t>№.of</w:t>
            </w:r>
          </w:p>
          <w:p w:rsidR="003A3D75" w:rsidRPr="00BB17B4" w:rsidRDefault="003A3D75" w:rsidP="00C62B19">
            <w:pPr>
              <w:keepNext/>
              <w:ind w:left="-108"/>
              <w:jc w:val="both"/>
              <w:rPr>
                <w:rFonts w:ascii="Arial Narrow" w:hAnsi="Arial Narrow" w:cs="Arial"/>
                <w:b/>
                <w:sz w:val="20"/>
                <w:szCs w:val="20"/>
              </w:rPr>
            </w:pPr>
            <w:r w:rsidRPr="00BB17B4">
              <w:rPr>
                <w:rFonts w:ascii="Arial Narrow" w:hAnsi="Arial Narrow" w:cs="Arial"/>
                <w:b/>
                <w:sz w:val="20"/>
                <w:szCs w:val="20"/>
              </w:rPr>
              <w:t>Rpts</w:t>
            </w:r>
          </w:p>
        </w:tc>
        <w:tc>
          <w:tcPr>
            <w:tcW w:w="1276" w:type="dxa"/>
            <w:tcBorders>
              <w:bottom w:val="single" w:sz="4" w:space="0" w:color="auto"/>
            </w:tcBorders>
          </w:tcPr>
          <w:p w:rsidR="003A3D75" w:rsidRPr="00BB17B4" w:rsidRDefault="003A3D75" w:rsidP="00C62B19">
            <w:pPr>
              <w:keepNext/>
              <w:ind w:left="-108"/>
              <w:jc w:val="both"/>
              <w:rPr>
                <w:rFonts w:ascii="Arial Narrow" w:hAnsi="Arial Narrow" w:cs="Arial"/>
                <w:b/>
                <w:sz w:val="20"/>
                <w:szCs w:val="20"/>
              </w:rPr>
            </w:pPr>
            <w:r w:rsidRPr="00BB17B4">
              <w:rPr>
                <w:rFonts w:ascii="Arial Narrow" w:hAnsi="Arial Narrow" w:cs="Arial"/>
                <w:b/>
                <w:sz w:val="20"/>
                <w:szCs w:val="20"/>
              </w:rPr>
              <w:t>Dispensed Price for Max. Qty</w:t>
            </w:r>
          </w:p>
        </w:tc>
        <w:tc>
          <w:tcPr>
            <w:tcW w:w="2409" w:type="dxa"/>
            <w:gridSpan w:val="2"/>
            <w:tcBorders>
              <w:bottom w:val="single" w:sz="4" w:space="0" w:color="auto"/>
            </w:tcBorders>
          </w:tcPr>
          <w:p w:rsidR="003A3D75" w:rsidRPr="004C4D7A" w:rsidRDefault="003A3D75" w:rsidP="00C62B19">
            <w:pPr>
              <w:keepNext/>
              <w:jc w:val="both"/>
              <w:rPr>
                <w:rFonts w:ascii="Arial Narrow" w:hAnsi="Arial Narrow" w:cs="Arial"/>
                <w:b/>
                <w:sz w:val="20"/>
                <w:szCs w:val="20"/>
              </w:rPr>
            </w:pPr>
            <w:r w:rsidRPr="00BB17B4">
              <w:rPr>
                <w:rFonts w:ascii="Arial Narrow" w:hAnsi="Arial Narrow" w:cs="Arial"/>
                <w:b/>
                <w:sz w:val="20"/>
                <w:szCs w:val="20"/>
              </w:rPr>
              <w:t>Proprietary Name and Manufacturer</w:t>
            </w:r>
          </w:p>
        </w:tc>
      </w:tr>
      <w:tr w:rsidR="003A3D75" w:rsidRPr="00BB17B4" w:rsidTr="00C62B19">
        <w:trPr>
          <w:cantSplit/>
          <w:trHeight w:val="577"/>
        </w:trPr>
        <w:tc>
          <w:tcPr>
            <w:tcW w:w="3119" w:type="dxa"/>
            <w:gridSpan w:val="2"/>
          </w:tcPr>
          <w:p w:rsidR="003A3D75" w:rsidRPr="00BB17B4" w:rsidRDefault="003A3D75" w:rsidP="00C62B19">
            <w:pPr>
              <w:keepNext/>
              <w:ind w:left="-108"/>
              <w:rPr>
                <w:rFonts w:ascii="Arial Narrow" w:hAnsi="Arial Narrow" w:cs="Arial"/>
                <w:smallCaps/>
                <w:sz w:val="20"/>
                <w:szCs w:val="20"/>
              </w:rPr>
            </w:pPr>
            <w:r w:rsidRPr="00BB17B4">
              <w:rPr>
                <w:rFonts w:ascii="Arial Narrow" w:hAnsi="Arial Narrow" w:cs="Arial"/>
                <w:smallCaps/>
                <w:sz w:val="20"/>
                <w:szCs w:val="20"/>
              </w:rPr>
              <w:t>AMINO ACID FORMULA SUPPLEMENTED WITH PREBIOTICS, PROBIOTICS AND LONG CHAIN POLYUNSATURATED FATTY ACIDS</w:t>
            </w:r>
          </w:p>
          <w:p w:rsidR="0011552C" w:rsidRPr="00BB17B4" w:rsidRDefault="0011552C" w:rsidP="0011552C">
            <w:pPr>
              <w:keepNext/>
              <w:ind w:left="-108"/>
              <w:rPr>
                <w:rFonts w:ascii="Arial Narrow" w:hAnsi="Arial Narrow" w:cs="Arial"/>
                <w:sz w:val="20"/>
                <w:szCs w:val="20"/>
              </w:rPr>
            </w:pPr>
            <w:r w:rsidRPr="00BB17B4">
              <w:rPr>
                <w:rFonts w:ascii="Arial Narrow" w:hAnsi="Arial Narrow" w:cs="Arial"/>
                <w:sz w:val="20"/>
                <w:szCs w:val="20"/>
              </w:rPr>
              <w:t xml:space="preserve">power for oral liquid, 400g </w:t>
            </w:r>
          </w:p>
          <w:p w:rsidR="003A3D75" w:rsidRPr="00BB17B4" w:rsidRDefault="003A3D75" w:rsidP="00C62B19">
            <w:pPr>
              <w:keepNext/>
              <w:ind w:left="-108"/>
              <w:jc w:val="both"/>
              <w:rPr>
                <w:rFonts w:ascii="Arial Narrow" w:hAnsi="Arial Narrow" w:cs="Arial"/>
                <w:sz w:val="20"/>
                <w:szCs w:val="20"/>
              </w:rPr>
            </w:pPr>
          </w:p>
        </w:tc>
        <w:tc>
          <w:tcPr>
            <w:tcW w:w="850" w:type="dxa"/>
          </w:tcPr>
          <w:p w:rsidR="003A3D75" w:rsidRPr="00BB17B4" w:rsidRDefault="003A3D75" w:rsidP="00C62B19">
            <w:pPr>
              <w:keepNext/>
              <w:ind w:left="-108"/>
              <w:jc w:val="both"/>
              <w:rPr>
                <w:rFonts w:ascii="Arial Narrow" w:hAnsi="Arial Narrow" w:cs="Arial"/>
                <w:sz w:val="20"/>
                <w:szCs w:val="20"/>
              </w:rPr>
            </w:pPr>
          </w:p>
          <w:p w:rsidR="003A3D75" w:rsidRPr="00BB17B4" w:rsidRDefault="003A3D75" w:rsidP="00C62B19">
            <w:pPr>
              <w:keepNext/>
              <w:ind w:left="-108"/>
              <w:jc w:val="both"/>
              <w:rPr>
                <w:rFonts w:ascii="Arial Narrow" w:hAnsi="Arial Narrow" w:cs="Arial"/>
                <w:sz w:val="20"/>
                <w:szCs w:val="20"/>
              </w:rPr>
            </w:pPr>
            <w:r w:rsidRPr="00BB17B4">
              <w:rPr>
                <w:rFonts w:ascii="Arial Narrow" w:hAnsi="Arial Narrow" w:cs="Arial"/>
                <w:sz w:val="20"/>
                <w:szCs w:val="20"/>
              </w:rPr>
              <w:t>12</w:t>
            </w:r>
          </w:p>
        </w:tc>
        <w:tc>
          <w:tcPr>
            <w:tcW w:w="709" w:type="dxa"/>
          </w:tcPr>
          <w:p w:rsidR="003A3D75" w:rsidRPr="00BB17B4" w:rsidRDefault="003A3D75" w:rsidP="00C62B19">
            <w:pPr>
              <w:keepNext/>
              <w:ind w:left="-108"/>
              <w:jc w:val="both"/>
              <w:rPr>
                <w:rFonts w:ascii="Arial Narrow" w:hAnsi="Arial Narrow" w:cs="Arial"/>
                <w:sz w:val="20"/>
                <w:szCs w:val="20"/>
              </w:rPr>
            </w:pPr>
          </w:p>
          <w:p w:rsidR="003A3D75" w:rsidRPr="00BB17B4" w:rsidRDefault="003A3D75" w:rsidP="00C62B19">
            <w:pPr>
              <w:keepNext/>
              <w:ind w:left="-108"/>
              <w:jc w:val="both"/>
              <w:rPr>
                <w:rFonts w:ascii="Arial Narrow" w:hAnsi="Arial Narrow" w:cs="Arial"/>
                <w:sz w:val="20"/>
                <w:szCs w:val="20"/>
              </w:rPr>
            </w:pPr>
            <w:r w:rsidRPr="00BB17B4">
              <w:rPr>
                <w:rFonts w:ascii="Arial Narrow" w:hAnsi="Arial Narrow" w:cs="Arial"/>
                <w:sz w:val="20"/>
                <w:szCs w:val="20"/>
              </w:rPr>
              <w:t>5</w:t>
            </w:r>
          </w:p>
        </w:tc>
        <w:tc>
          <w:tcPr>
            <w:tcW w:w="1276" w:type="dxa"/>
          </w:tcPr>
          <w:p w:rsidR="003A3D75" w:rsidRPr="00BB17B4" w:rsidRDefault="003A3D75" w:rsidP="00C62B19">
            <w:pPr>
              <w:keepNext/>
              <w:ind w:left="-108"/>
              <w:jc w:val="both"/>
              <w:rPr>
                <w:rFonts w:ascii="Arial Narrow" w:hAnsi="Arial Narrow" w:cs="Arial"/>
                <w:sz w:val="20"/>
                <w:szCs w:val="20"/>
              </w:rPr>
            </w:pPr>
          </w:p>
          <w:p w:rsidR="003A3D75" w:rsidRPr="00BB17B4" w:rsidRDefault="003A3D75" w:rsidP="00C62B19">
            <w:pPr>
              <w:keepNext/>
              <w:ind w:left="-108"/>
              <w:jc w:val="both"/>
              <w:rPr>
                <w:rFonts w:ascii="Arial Narrow" w:hAnsi="Arial Narrow" w:cs="Arial"/>
                <w:sz w:val="20"/>
                <w:szCs w:val="20"/>
              </w:rPr>
            </w:pPr>
            <w:r w:rsidRPr="00BB17B4">
              <w:rPr>
                <w:rFonts w:ascii="Arial Narrow" w:hAnsi="Arial Narrow" w:cs="Arial"/>
                <w:sz w:val="20"/>
                <w:szCs w:val="20"/>
              </w:rPr>
              <w:t>$</w:t>
            </w:r>
            <w:r w:rsidR="007F25B6">
              <w:rPr>
                <w:rFonts w:ascii="Arial Narrow" w:hAnsi="Arial Narrow" w:cs="Arial"/>
                <w:noProof/>
                <w:color w:val="000000"/>
                <w:sz w:val="20"/>
                <w:szCs w:val="20"/>
                <w:highlight w:val="black"/>
              </w:rPr>
              <w:t>'''''''''''''''''</w:t>
            </w:r>
          </w:p>
        </w:tc>
        <w:tc>
          <w:tcPr>
            <w:tcW w:w="1275" w:type="dxa"/>
          </w:tcPr>
          <w:p w:rsidR="003A3D75" w:rsidRPr="00BB17B4" w:rsidRDefault="003A3D75" w:rsidP="00C62B19">
            <w:pPr>
              <w:keepNext/>
              <w:jc w:val="both"/>
              <w:rPr>
                <w:rFonts w:ascii="Arial Narrow" w:hAnsi="Arial Narrow" w:cs="Arial"/>
                <w:sz w:val="20"/>
                <w:szCs w:val="20"/>
              </w:rPr>
            </w:pPr>
          </w:p>
          <w:p w:rsidR="003A3D75" w:rsidRPr="00BB17B4" w:rsidRDefault="003A3D75" w:rsidP="00C62B19">
            <w:pPr>
              <w:keepNext/>
              <w:jc w:val="both"/>
              <w:rPr>
                <w:rFonts w:ascii="Arial Narrow" w:hAnsi="Arial Narrow" w:cs="Arial"/>
                <w:sz w:val="20"/>
                <w:szCs w:val="20"/>
              </w:rPr>
            </w:pPr>
            <w:r w:rsidRPr="00BB17B4">
              <w:rPr>
                <w:rFonts w:ascii="Arial Narrow" w:hAnsi="Arial Narrow" w:cs="Arial"/>
                <w:sz w:val="20"/>
                <w:szCs w:val="20"/>
              </w:rPr>
              <w:t>Neocate Syneo®</w:t>
            </w:r>
          </w:p>
        </w:tc>
        <w:tc>
          <w:tcPr>
            <w:tcW w:w="1134" w:type="dxa"/>
          </w:tcPr>
          <w:p w:rsidR="003A3D75" w:rsidRPr="00BB17B4" w:rsidRDefault="003A3D75" w:rsidP="00C62B19">
            <w:pPr>
              <w:keepNext/>
              <w:jc w:val="both"/>
              <w:rPr>
                <w:rFonts w:ascii="Arial Narrow" w:hAnsi="Arial Narrow" w:cs="Arial"/>
                <w:sz w:val="20"/>
                <w:szCs w:val="20"/>
              </w:rPr>
            </w:pPr>
          </w:p>
          <w:p w:rsidR="003A3D75" w:rsidRPr="00BB17B4" w:rsidRDefault="003A3D75" w:rsidP="00C62B19">
            <w:pPr>
              <w:keepNext/>
              <w:jc w:val="both"/>
              <w:rPr>
                <w:rFonts w:ascii="Arial Narrow" w:hAnsi="Arial Narrow" w:cs="Arial"/>
                <w:sz w:val="20"/>
                <w:szCs w:val="20"/>
              </w:rPr>
            </w:pPr>
            <w:r w:rsidRPr="00BB17B4">
              <w:rPr>
                <w:rFonts w:ascii="Arial Narrow" w:hAnsi="Arial Narrow" w:cs="Arial"/>
                <w:sz w:val="20"/>
                <w:szCs w:val="20"/>
              </w:rPr>
              <w:t>Nutricia Australia Pty Ltd</w:t>
            </w:r>
          </w:p>
        </w:tc>
      </w:tr>
      <w:tr w:rsidR="003A3D75" w:rsidRPr="00BB17B4" w:rsidTr="00C62B19">
        <w:trPr>
          <w:cantSplit/>
          <w:trHeight w:val="360"/>
        </w:trPr>
        <w:tc>
          <w:tcPr>
            <w:tcW w:w="8363" w:type="dxa"/>
            <w:gridSpan w:val="7"/>
            <w:tcBorders>
              <w:bottom w:val="single" w:sz="4" w:space="0" w:color="auto"/>
            </w:tcBorders>
          </w:tcPr>
          <w:p w:rsidR="003A3D75" w:rsidRPr="00BB17B4" w:rsidRDefault="003A3D75" w:rsidP="00C62B19">
            <w:pPr>
              <w:jc w:val="both"/>
              <w:rPr>
                <w:rFonts w:ascii="Arial Narrow" w:hAnsi="Arial Narrow" w:cs="Arial"/>
                <w:sz w:val="20"/>
                <w:szCs w:val="20"/>
              </w:rPr>
            </w:pPr>
          </w:p>
        </w:tc>
      </w:tr>
      <w:tr w:rsidR="003A3D75"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75" w:rsidRPr="00BB17B4" w:rsidRDefault="003A3D75" w:rsidP="00C62B19">
            <w:pPr>
              <w:jc w:val="both"/>
              <w:rPr>
                <w:rFonts w:ascii="Arial Narrow" w:hAnsi="Arial Narrow" w:cs="Arial"/>
                <w:b/>
                <w:sz w:val="20"/>
                <w:szCs w:val="20"/>
              </w:rPr>
            </w:pPr>
            <w:r w:rsidRPr="00BB17B4">
              <w:rPr>
                <w:rFonts w:ascii="Arial Narrow" w:hAnsi="Arial Narrow" w:cs="Arial"/>
                <w:b/>
                <w:sz w:val="20"/>
                <w:szCs w:val="20"/>
              </w:rPr>
              <w:t xml:space="preserve">Category / </w:t>
            </w:r>
          </w:p>
          <w:p w:rsidR="003A3D75" w:rsidRPr="00BB17B4" w:rsidRDefault="003A3D75" w:rsidP="00C62B19">
            <w:pPr>
              <w:jc w:val="both"/>
              <w:rPr>
                <w:rFonts w:ascii="Arial Narrow" w:hAnsi="Arial Narrow" w:cs="Arial"/>
                <w:b/>
                <w:sz w:val="20"/>
                <w:szCs w:val="20"/>
              </w:rPr>
            </w:pPr>
            <w:r w:rsidRPr="00BB17B4">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3A3D75" w:rsidRPr="00BB17B4" w:rsidRDefault="003A3D75" w:rsidP="00C62B19">
            <w:pPr>
              <w:rPr>
                <w:rFonts w:ascii="Arial Narrow" w:hAnsi="Arial Narrow" w:cs="Arial"/>
                <w:sz w:val="20"/>
                <w:szCs w:val="20"/>
              </w:rPr>
            </w:pPr>
            <w:r w:rsidRPr="00BB17B4">
              <w:rPr>
                <w:rFonts w:ascii="Arial Narrow" w:hAnsi="Arial Narrow" w:cs="Arial"/>
                <w:sz w:val="20"/>
                <w:szCs w:val="20"/>
              </w:rPr>
              <w:t>GENERAL – General Schedule (Code GE)</w:t>
            </w:r>
          </w:p>
        </w:tc>
      </w:tr>
      <w:tr w:rsidR="003A3D75"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75" w:rsidRPr="00BB17B4" w:rsidRDefault="003A3D75" w:rsidP="00C62B19">
            <w:pPr>
              <w:jc w:val="both"/>
              <w:rPr>
                <w:rFonts w:ascii="Arial Narrow" w:hAnsi="Arial Narrow" w:cs="Arial"/>
                <w:b/>
                <w:sz w:val="20"/>
                <w:szCs w:val="20"/>
              </w:rPr>
            </w:pPr>
            <w:r w:rsidRPr="00BB17B4">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3A3D75" w:rsidRPr="00BB17B4" w:rsidRDefault="003A3D75" w:rsidP="00C62B19">
            <w:pPr>
              <w:rPr>
                <w:rFonts w:ascii="Arial Narrow" w:hAnsi="Arial Narrow" w:cs="Arial"/>
                <w:sz w:val="20"/>
                <w:szCs w:val="20"/>
              </w:rPr>
            </w:pPr>
            <w:r w:rsidRPr="004C4D7A">
              <w:rPr>
                <w:rFonts w:ascii="Arial Narrow" w:hAnsi="Arial Narrow" w:cs="Arial"/>
                <w:sz w:val="20"/>
                <w:szCs w:val="20"/>
              </w:rPr>
              <w:fldChar w:fldCharType="begin">
                <w:ffData>
                  <w:name w:val="Check1"/>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Dental  </w:t>
            </w: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Medical Practitioners  </w:t>
            </w:r>
            <w:r w:rsidRPr="004C4D7A">
              <w:rPr>
                <w:rFonts w:ascii="Arial Narrow" w:hAnsi="Arial Narrow" w:cs="Arial"/>
                <w:sz w:val="20"/>
                <w:szCs w:val="20"/>
              </w:rPr>
              <w:fldChar w:fldCharType="begin">
                <w:ffData>
                  <w:name w:val="Check3"/>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Nurse practitioners  </w:t>
            </w:r>
            <w:r w:rsidRPr="004C4D7A">
              <w:rPr>
                <w:rFonts w:ascii="Arial Narrow" w:hAnsi="Arial Narrow" w:cs="Arial"/>
                <w:sz w:val="20"/>
                <w:szCs w:val="20"/>
              </w:rPr>
              <w:fldChar w:fldCharType="begin">
                <w:ffData>
                  <w:name w:val=""/>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Optometrists</w:t>
            </w:r>
          </w:p>
          <w:p w:rsidR="003A3D75" w:rsidRPr="00BB17B4" w:rsidRDefault="003A3D75" w:rsidP="00C62B19">
            <w:pPr>
              <w:rPr>
                <w:rFonts w:ascii="Arial Narrow" w:hAnsi="Arial Narrow" w:cs="Arial"/>
                <w:sz w:val="20"/>
                <w:szCs w:val="20"/>
              </w:rPr>
            </w:pPr>
            <w:r w:rsidRPr="004C4D7A">
              <w:rPr>
                <w:rFonts w:ascii="Arial Narrow" w:hAnsi="Arial Narrow" w:cs="Arial"/>
                <w:sz w:val="20"/>
                <w:szCs w:val="20"/>
              </w:rPr>
              <w:fldChar w:fldCharType="begin">
                <w:ffData>
                  <w:name w:val="Check5"/>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Midwives</w:t>
            </w:r>
          </w:p>
        </w:tc>
      </w:tr>
      <w:tr w:rsidR="003A3D75"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3A3D75" w:rsidRPr="00BB17B4" w:rsidRDefault="003A3D75" w:rsidP="00C62B19">
            <w:pPr>
              <w:jc w:val="both"/>
              <w:rPr>
                <w:rFonts w:ascii="Arial Narrow" w:hAnsi="Arial Narrow" w:cs="Arial"/>
                <w:b/>
                <w:sz w:val="20"/>
                <w:szCs w:val="20"/>
              </w:rPr>
            </w:pPr>
            <w:r w:rsidRPr="00BB17B4">
              <w:rPr>
                <w:rFonts w:ascii="Arial Narrow" w:hAnsi="Arial Narrow" w:cs="Arial"/>
                <w:b/>
                <w:sz w:val="20"/>
                <w:szCs w:val="20"/>
              </w:rPr>
              <w:t>Restriction Level / Method:</w:t>
            </w:r>
          </w:p>
          <w:p w:rsidR="003A3D75" w:rsidRPr="00BB17B4" w:rsidRDefault="003A3D75" w:rsidP="00C62B19">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3A3D75" w:rsidRPr="00BB17B4" w:rsidRDefault="003A3D75" w:rsidP="00C62B19">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In Writing</w:t>
            </w:r>
          </w:p>
          <w:p w:rsidR="003A3D75" w:rsidRPr="00BB17B4" w:rsidRDefault="003A3D75" w:rsidP="00C62B19">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Telephone</w:t>
            </w:r>
          </w:p>
          <w:p w:rsidR="003A3D75" w:rsidRPr="00BB17B4" w:rsidRDefault="003A3D75" w:rsidP="00C62B19">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Emergency</w:t>
            </w:r>
          </w:p>
          <w:p w:rsidR="003A3D75" w:rsidRPr="00BB17B4" w:rsidRDefault="003A3D75" w:rsidP="00C62B19">
            <w:pPr>
              <w:rPr>
                <w:rFonts w:ascii="Arial Narrow" w:hAnsi="Arial Narrow" w:cs="Arial"/>
                <w:sz w:val="20"/>
                <w:szCs w:val="20"/>
              </w:rPr>
            </w:pPr>
            <w:r w:rsidRPr="004C4D7A">
              <w:rPr>
                <w:rFonts w:ascii="Arial Narrow" w:hAnsi="Arial Narrow" w:cs="Arial"/>
                <w:sz w:val="20"/>
                <w:szCs w:val="20"/>
              </w:rPr>
              <w:fldChar w:fldCharType="begin">
                <w:ffData>
                  <w:name w:val="Check5"/>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Electronic</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Eosinophilic oesophagitis (EoE)</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Initial treatment for up to 3 months</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b/>
                <w:sz w:val="20"/>
                <w:szCs w:val="20"/>
              </w:rPr>
              <w:t>Treatment criteria:</w:t>
            </w:r>
          </w:p>
        </w:tc>
        <w:tc>
          <w:tcPr>
            <w:tcW w:w="6378" w:type="dxa"/>
            <w:gridSpan w:val="6"/>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Must be treated by a clinical immunologist, suitably qualified allergist or gastroenterologist.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Patient must require an amino acid based formula as a component of a dietary elimination program.</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gridSpan w:val="6"/>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Patient must be 18 years of age or less.</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gridSpan w:val="6"/>
            <w:tcBorders>
              <w:top w:val="single" w:sz="4" w:space="0" w:color="auto"/>
              <w:left w:val="single" w:sz="4" w:space="0" w:color="auto"/>
              <w:bottom w:val="single" w:sz="4" w:space="0" w:color="auto"/>
              <w:right w:val="single" w:sz="4" w:space="0" w:color="auto"/>
            </w:tcBorders>
          </w:tcPr>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Treatment with oral steroids should not be commenced during the period of initial treatment.</w:t>
            </w:r>
          </w:p>
          <w:p w:rsidR="00BF3D0B" w:rsidRPr="00BB17B4" w:rsidRDefault="00BF3D0B" w:rsidP="00C62B19">
            <w:pPr>
              <w:tabs>
                <w:tab w:val="left" w:pos="1203"/>
              </w:tabs>
              <w:rPr>
                <w:rFonts w:ascii="Arial Narrow" w:hAnsi="Arial Narrow" w:cs="Arial"/>
                <w:sz w:val="20"/>
                <w:szCs w:val="20"/>
              </w:rPr>
            </w:pPr>
          </w:p>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Eosinophilic oesophagitis is demonstrated by the following criteria:</w:t>
            </w:r>
          </w:p>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(i) Chronic symptoms of reflux that persisted despite a 2-month trial of a proton pump inhibitor or chronic dysphagia; and</w:t>
            </w:r>
          </w:p>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(ii) A lack of demonstrable anatomic abnormality with the exception of stricture, which can be attributable to eosinophilic oesophagitis; and</w:t>
            </w:r>
          </w:p>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rsidR="00BF3D0B" w:rsidRPr="00BB17B4" w:rsidRDefault="00BF3D0B" w:rsidP="00C62B19">
            <w:pPr>
              <w:rPr>
                <w:rFonts w:ascii="Arial Narrow" w:hAnsi="Arial Narrow" w:cs="Arial"/>
                <w:sz w:val="20"/>
                <w:szCs w:val="20"/>
              </w:rPr>
            </w:pPr>
          </w:p>
          <w:p w:rsidR="00BF3D0B" w:rsidRPr="00BB17B4" w:rsidRDefault="00BF3D0B" w:rsidP="00C62B19">
            <w:pPr>
              <w:rPr>
                <w:rFonts w:ascii="Arial Narrow" w:hAnsi="Arial Narrow" w:cs="Arial"/>
                <w:sz w:val="20"/>
                <w:szCs w:val="20"/>
              </w:rPr>
            </w:pPr>
            <w:r w:rsidRPr="00BB17B4">
              <w:rPr>
                <w:rFonts w:ascii="Arial Narrow" w:hAnsi="Arial Narrow" w:cs="Arial"/>
                <w:sz w:val="20"/>
                <w:szCs w:val="20"/>
              </w:rPr>
              <w:t>The date of birth of the patient must be included in the authority application.</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Administrative Advice</w:t>
            </w:r>
          </w:p>
          <w:p w:rsidR="00BF3D0B" w:rsidRPr="00BB17B4" w:rsidRDefault="00BF3D0B" w:rsidP="00C62B19">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BF3D0B" w:rsidRPr="00BB17B4" w:rsidRDefault="004B4F71" w:rsidP="00C62B19">
            <w:pPr>
              <w:rPr>
                <w:rFonts w:ascii="Arial Narrow" w:hAnsi="Arial Narrow" w:cs="Arial"/>
                <w:sz w:val="20"/>
                <w:szCs w:val="20"/>
              </w:rPr>
            </w:pPr>
            <w:r w:rsidRPr="004B4F71">
              <w:rPr>
                <w:rFonts w:ascii="Arial Narrow" w:hAnsi="Arial Narrow" w:cs="Arial"/>
                <w:sz w:val="20"/>
                <w:szCs w:val="20"/>
              </w:rPr>
              <w:t>Authorities for increased maximum quantities, up to a maximum of 52, may be authorised.</w:t>
            </w:r>
          </w:p>
        </w:tc>
      </w:tr>
    </w:tbl>
    <w:p w:rsidR="00BF3D0B" w:rsidRPr="00BB17B4" w:rsidRDefault="00BF3D0B" w:rsidP="00826F6D">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Eosinophilic oesophagitis (EoE)</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Continuing treatment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 xml:space="preserve">Must be treated by a clinical immunologist, suitably qualified allergist or gastroenterologist. </w:t>
            </w:r>
          </w:p>
          <w:p w:rsidR="00BF3D0B" w:rsidRPr="00BB17B4" w:rsidRDefault="00BF3D0B" w:rsidP="00C62B19">
            <w:pPr>
              <w:keepNext/>
              <w:rPr>
                <w:rFonts w:ascii="Arial Narrow" w:hAnsi="Arial Narrow" w:cs="Arial"/>
                <w:sz w:val="20"/>
                <w:szCs w:val="20"/>
              </w:rPr>
            </w:pP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Patient must have responded to an initial course of PBS-subsidised treatment.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Patient must be 18 years of age or less.</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keepNext/>
              <w:rPr>
                <w:rFonts w:ascii="Arial Narrow" w:hAnsi="Arial Narrow" w:cs="Arial"/>
                <w:sz w:val="20"/>
                <w:szCs w:val="20"/>
              </w:rPr>
            </w:pPr>
            <w:r w:rsidRPr="00BB17B4">
              <w:rPr>
                <w:rFonts w:ascii="Arial Narrow" w:hAnsi="Arial Narrow" w:cs="Arial"/>
                <w:sz w:val="20"/>
                <w:szCs w:val="20"/>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r>
      <w:tr w:rsidR="00BF3D0B" w:rsidRPr="00BB17B4" w:rsidTr="00C62B19">
        <w:trPr>
          <w:cantSplit/>
          <w:trHeight w:val="360"/>
        </w:trPr>
        <w:tc>
          <w:tcPr>
            <w:tcW w:w="1985" w:type="dxa"/>
            <w:tcBorders>
              <w:top w:val="single" w:sz="4" w:space="0" w:color="auto"/>
              <w:left w:val="single" w:sz="4" w:space="0" w:color="auto"/>
              <w:bottom w:val="single" w:sz="4" w:space="0" w:color="auto"/>
              <w:right w:val="single" w:sz="4" w:space="0" w:color="auto"/>
            </w:tcBorders>
          </w:tcPr>
          <w:p w:rsidR="00BF3D0B" w:rsidRPr="00BB17B4" w:rsidRDefault="00BF3D0B" w:rsidP="00C62B19">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BF3D0B" w:rsidRPr="00BB17B4" w:rsidRDefault="004B4F71" w:rsidP="00C62B19">
            <w:pPr>
              <w:rPr>
                <w:rFonts w:ascii="Arial Narrow" w:hAnsi="Arial Narrow" w:cs="Arial"/>
                <w:sz w:val="20"/>
                <w:szCs w:val="20"/>
              </w:rPr>
            </w:pPr>
            <w:r w:rsidRPr="004B4F71">
              <w:rPr>
                <w:rFonts w:ascii="Arial Narrow" w:hAnsi="Arial Narrow" w:cs="Arial"/>
                <w:sz w:val="20"/>
                <w:szCs w:val="20"/>
              </w:rPr>
              <w:t>Authorities for increased maximum quantities, up to a maximum of 52, may be authorised.</w:t>
            </w:r>
          </w:p>
        </w:tc>
      </w:tr>
    </w:tbl>
    <w:p w:rsidR="00BF3D0B" w:rsidRPr="00BB17B4" w:rsidRDefault="00BF3D0B" w:rsidP="00826F6D">
      <w:pPr>
        <w:pStyle w:val="ListParagraph"/>
        <w:jc w:val="both"/>
        <w:rPr>
          <w:rFonts w:asciiTheme="minorHAnsi" w:hAnsiTheme="minorHAnsi"/>
          <w:sz w:val="22"/>
          <w:szCs w:val="22"/>
        </w:rPr>
      </w:pPr>
    </w:p>
    <w:p w:rsidR="00C62B19" w:rsidRDefault="00C62B19" w:rsidP="00826F6D">
      <w:pPr>
        <w:pStyle w:val="ListParagraph"/>
        <w:jc w:val="both"/>
        <w:rPr>
          <w:rFonts w:asciiTheme="minorHAnsi" w:hAnsiTheme="minorHAnsi"/>
          <w:i/>
        </w:rPr>
      </w:pPr>
      <w:r w:rsidRPr="008531D2">
        <w:rPr>
          <w:rFonts w:asciiTheme="minorHAnsi" w:hAnsiTheme="minorHAnsi"/>
          <w:i/>
        </w:rPr>
        <w:t>For more detail on PBAC’s view, see section 6 “PBAC outcome”.</w:t>
      </w:r>
    </w:p>
    <w:p w:rsidR="00C17D42" w:rsidRDefault="00C17D42" w:rsidP="00826F6D">
      <w:pPr>
        <w:pStyle w:val="ListParagraph"/>
        <w:jc w:val="both"/>
        <w:rPr>
          <w:rFonts w:asciiTheme="minorHAnsi" w:hAnsiTheme="minorHAnsi"/>
          <w:i/>
        </w:rPr>
      </w:pPr>
    </w:p>
    <w:p w:rsidR="00C17D42" w:rsidRPr="008531D2" w:rsidRDefault="00C17D42" w:rsidP="00826F6D">
      <w:pPr>
        <w:pStyle w:val="ListParagraph"/>
        <w:jc w:val="both"/>
        <w:rPr>
          <w:rFonts w:asciiTheme="minorHAnsi" w:hAnsiTheme="minorHAnsi"/>
          <w:i/>
        </w:rPr>
      </w:pPr>
    </w:p>
    <w:p w:rsidR="00C94810" w:rsidRPr="008531D2" w:rsidRDefault="00C94810" w:rsidP="00C94810">
      <w:pPr>
        <w:pStyle w:val="Heading1"/>
        <w:numPr>
          <w:ilvl w:val="0"/>
          <w:numId w:val="2"/>
        </w:numPr>
        <w:rPr>
          <w:rFonts w:asciiTheme="minorHAnsi" w:hAnsiTheme="minorHAnsi" w:cs="Arial"/>
          <w:sz w:val="32"/>
          <w:szCs w:val="32"/>
        </w:rPr>
      </w:pPr>
      <w:r w:rsidRPr="008531D2">
        <w:rPr>
          <w:rFonts w:asciiTheme="minorHAnsi" w:hAnsiTheme="minorHAnsi" w:cs="Arial"/>
          <w:sz w:val="32"/>
          <w:szCs w:val="32"/>
        </w:rPr>
        <w:t>Background</w:t>
      </w:r>
    </w:p>
    <w:p w:rsidR="00C94810" w:rsidRPr="00BB17B4" w:rsidRDefault="00C94810" w:rsidP="00C94810">
      <w:pPr>
        <w:rPr>
          <w:rFonts w:asciiTheme="minorHAnsi" w:hAnsiTheme="minorHAnsi" w:cs="Arial"/>
        </w:rPr>
      </w:pPr>
    </w:p>
    <w:p w:rsidR="00704DE3" w:rsidRPr="008531D2" w:rsidRDefault="00582ECD" w:rsidP="00FA7361">
      <w:pPr>
        <w:pStyle w:val="ListParagraph"/>
        <w:numPr>
          <w:ilvl w:val="1"/>
          <w:numId w:val="2"/>
        </w:numPr>
        <w:spacing w:after="240"/>
        <w:contextualSpacing w:val="0"/>
        <w:jc w:val="both"/>
        <w:rPr>
          <w:rFonts w:asciiTheme="minorHAnsi" w:hAnsiTheme="minorHAnsi" w:cs="Arial"/>
        </w:rPr>
      </w:pPr>
      <w:r w:rsidRPr="008531D2">
        <w:rPr>
          <w:rFonts w:asciiTheme="minorHAnsi" w:hAnsiTheme="minorHAnsi" w:cs="Arial"/>
        </w:rPr>
        <w:t xml:space="preserve">Neocate Syneo® does not require registration with the TGA. </w:t>
      </w:r>
      <w:r w:rsidR="00704DE3" w:rsidRPr="008531D2">
        <w:rPr>
          <w:rFonts w:asciiTheme="minorHAnsi" w:hAnsiTheme="minorHAnsi" w:cs="Arial"/>
        </w:rPr>
        <w:t xml:space="preserve">The sponsor of </w:t>
      </w:r>
      <w:r w:rsidR="00BB1E36" w:rsidRPr="008531D2">
        <w:rPr>
          <w:rFonts w:asciiTheme="minorHAnsi" w:hAnsiTheme="minorHAnsi" w:cs="Arial"/>
        </w:rPr>
        <w:t>Neocate Syneo®</w:t>
      </w:r>
      <w:r w:rsidR="00704DE3" w:rsidRPr="008531D2">
        <w:rPr>
          <w:rFonts w:asciiTheme="minorHAnsi" w:hAnsiTheme="minorHAnsi" w:cs="Arial"/>
        </w:rPr>
        <w:t xml:space="preserve"> confirms that it meets the requirements for foods that have medical purposes as set out under </w:t>
      </w:r>
      <w:r w:rsidR="00704DE3" w:rsidRPr="008531D2">
        <w:rPr>
          <w:rFonts w:asciiTheme="minorHAnsi" w:hAnsiTheme="minorHAnsi" w:cs="Arial"/>
          <w:i/>
        </w:rPr>
        <w:t>The Australia New Zealand Food Standards Code — Standard 2.9.5: Food for Special Medical Purposes</w:t>
      </w:r>
      <w:r w:rsidRPr="008531D2">
        <w:rPr>
          <w:rFonts w:asciiTheme="minorHAnsi" w:hAnsiTheme="minorHAnsi" w:cs="Arial"/>
          <w:i/>
        </w:rPr>
        <w:t>.</w:t>
      </w:r>
    </w:p>
    <w:p w:rsidR="000F47FD" w:rsidRPr="008531D2" w:rsidRDefault="000F47FD" w:rsidP="00055CAD">
      <w:pPr>
        <w:pStyle w:val="ListParagraph"/>
        <w:numPr>
          <w:ilvl w:val="1"/>
          <w:numId w:val="2"/>
        </w:numPr>
        <w:spacing w:after="240"/>
        <w:contextualSpacing w:val="0"/>
        <w:jc w:val="both"/>
        <w:rPr>
          <w:rFonts w:asciiTheme="minorHAnsi" w:hAnsiTheme="minorHAnsi" w:cs="Arial"/>
        </w:rPr>
      </w:pPr>
      <w:r w:rsidRPr="008531D2">
        <w:rPr>
          <w:rFonts w:asciiTheme="minorHAnsi" w:hAnsiTheme="minorHAnsi" w:cs="Arial"/>
        </w:rPr>
        <w:t>Th</w:t>
      </w:r>
      <w:r w:rsidR="002D0E8E" w:rsidRPr="008531D2">
        <w:rPr>
          <w:rFonts w:asciiTheme="minorHAnsi" w:hAnsiTheme="minorHAnsi" w:cs="Arial"/>
        </w:rPr>
        <w:t xml:space="preserve">e </w:t>
      </w:r>
      <w:r w:rsidR="00D305E2" w:rsidRPr="008531D2">
        <w:rPr>
          <w:rFonts w:asciiTheme="minorHAnsi" w:hAnsiTheme="minorHAnsi" w:cs="Arial"/>
        </w:rPr>
        <w:t>Secretariat noted</w:t>
      </w:r>
      <w:r w:rsidR="002D0E8E" w:rsidRPr="008531D2">
        <w:rPr>
          <w:rFonts w:asciiTheme="minorHAnsi" w:hAnsiTheme="minorHAnsi" w:cs="Arial"/>
        </w:rPr>
        <w:t xml:space="preserve"> that Neocate Syneo</w:t>
      </w:r>
      <w:r w:rsidR="00C43CDC" w:rsidRPr="008531D2">
        <w:rPr>
          <w:rFonts w:asciiTheme="minorHAnsi" w:hAnsiTheme="minorHAnsi" w:cs="Arial"/>
        </w:rPr>
        <w:t>®</w:t>
      </w:r>
      <w:r w:rsidR="002D0E8E" w:rsidRPr="008531D2">
        <w:rPr>
          <w:rFonts w:asciiTheme="minorHAnsi" w:hAnsiTheme="minorHAnsi" w:cs="Arial"/>
        </w:rPr>
        <w:t xml:space="preserve"> does not meet Standard 2.9.5 of the Australian New Zealand Food Standards Code (ANZFSC) for manganese and molybdenum. The sponsor claim</w:t>
      </w:r>
      <w:r w:rsidR="00C97396" w:rsidRPr="008531D2">
        <w:rPr>
          <w:rFonts w:asciiTheme="minorHAnsi" w:hAnsiTheme="minorHAnsi" w:cs="Arial"/>
        </w:rPr>
        <w:t>ed</w:t>
      </w:r>
      <w:r w:rsidR="002D0E8E" w:rsidRPr="008531D2">
        <w:rPr>
          <w:rFonts w:asciiTheme="minorHAnsi" w:hAnsiTheme="minorHAnsi" w:cs="Arial"/>
        </w:rPr>
        <w:t xml:space="preserve"> that the lower amounts of these minerals </w:t>
      </w:r>
      <w:r w:rsidR="002705FF" w:rsidRPr="008531D2">
        <w:rPr>
          <w:rFonts w:asciiTheme="minorHAnsi" w:hAnsiTheme="minorHAnsi" w:cs="Arial"/>
        </w:rPr>
        <w:t xml:space="preserve">were </w:t>
      </w:r>
      <w:r w:rsidR="002D0E8E" w:rsidRPr="008531D2">
        <w:rPr>
          <w:rFonts w:asciiTheme="minorHAnsi" w:hAnsiTheme="minorHAnsi" w:cs="Arial"/>
        </w:rPr>
        <w:t xml:space="preserve">of no </w:t>
      </w:r>
      <w:r w:rsidR="00FB57C1" w:rsidRPr="008531D2">
        <w:rPr>
          <w:rFonts w:asciiTheme="minorHAnsi" w:hAnsiTheme="minorHAnsi" w:cs="Arial"/>
        </w:rPr>
        <w:t>nutritional</w:t>
      </w:r>
      <w:r w:rsidR="002D0E8E" w:rsidRPr="008531D2">
        <w:rPr>
          <w:rFonts w:asciiTheme="minorHAnsi" w:hAnsiTheme="minorHAnsi" w:cs="Arial"/>
        </w:rPr>
        <w:t xml:space="preserve"> conc</w:t>
      </w:r>
      <w:r w:rsidR="00FB57C1" w:rsidRPr="008531D2">
        <w:rPr>
          <w:rFonts w:asciiTheme="minorHAnsi" w:hAnsiTheme="minorHAnsi" w:cs="Arial"/>
        </w:rPr>
        <w:t>ern</w:t>
      </w:r>
      <w:r w:rsidR="002705FF" w:rsidRPr="008531D2">
        <w:rPr>
          <w:rFonts w:asciiTheme="minorHAnsi" w:hAnsiTheme="minorHAnsi" w:cs="Arial"/>
        </w:rPr>
        <w:t xml:space="preserve"> and were directly comparable with the currently listed comparator</w:t>
      </w:r>
      <w:r w:rsidR="00055CAD" w:rsidRPr="008531D2">
        <w:rPr>
          <w:rFonts w:asciiTheme="minorHAnsi" w:hAnsiTheme="minorHAnsi" w:cs="Arial"/>
        </w:rPr>
        <w:t xml:space="preserve"> Neocate Gold®</w:t>
      </w:r>
      <w:r w:rsidR="00FB57C1" w:rsidRPr="008531D2">
        <w:rPr>
          <w:rFonts w:asciiTheme="minorHAnsi" w:hAnsiTheme="minorHAnsi" w:cs="Arial"/>
        </w:rPr>
        <w:t>.</w:t>
      </w:r>
      <w:r w:rsidR="00055CAD" w:rsidRPr="008531D2">
        <w:rPr>
          <w:rFonts w:asciiTheme="minorHAnsi" w:hAnsiTheme="minorHAnsi" w:cs="Arial"/>
        </w:rPr>
        <w:t xml:space="preserve"> </w:t>
      </w:r>
    </w:p>
    <w:p w:rsidR="008A1956" w:rsidRPr="008531D2" w:rsidRDefault="00582ECD" w:rsidP="00882085">
      <w:pPr>
        <w:pStyle w:val="ListParagraph"/>
        <w:numPr>
          <w:ilvl w:val="1"/>
          <w:numId w:val="2"/>
        </w:numPr>
        <w:spacing w:after="240"/>
        <w:contextualSpacing w:val="0"/>
        <w:jc w:val="both"/>
        <w:rPr>
          <w:rFonts w:asciiTheme="minorHAnsi" w:hAnsiTheme="minorHAnsi" w:cs="Arial"/>
        </w:rPr>
      </w:pPr>
      <w:r w:rsidRPr="008531D2">
        <w:rPr>
          <w:rFonts w:asciiTheme="minorHAnsi" w:hAnsiTheme="minorHAnsi" w:cs="Arial"/>
        </w:rPr>
        <w:t>Neocate Syneo® has not been</w:t>
      </w:r>
      <w:r w:rsidR="00614159" w:rsidRPr="008531D2">
        <w:rPr>
          <w:rFonts w:asciiTheme="minorHAnsi" w:hAnsiTheme="minorHAnsi" w:cs="Arial"/>
        </w:rPr>
        <w:t xml:space="preserve"> previous</w:t>
      </w:r>
      <w:r w:rsidRPr="008531D2">
        <w:rPr>
          <w:rFonts w:asciiTheme="minorHAnsi" w:hAnsiTheme="minorHAnsi" w:cs="Arial"/>
        </w:rPr>
        <w:t>ly</w:t>
      </w:r>
      <w:r w:rsidR="00614159" w:rsidRPr="008531D2">
        <w:rPr>
          <w:rFonts w:asciiTheme="minorHAnsi" w:hAnsiTheme="minorHAnsi" w:cs="Arial"/>
        </w:rPr>
        <w:t xml:space="preserve"> </w:t>
      </w:r>
      <w:r w:rsidRPr="008531D2">
        <w:rPr>
          <w:rFonts w:asciiTheme="minorHAnsi" w:hAnsiTheme="minorHAnsi" w:cs="Arial"/>
        </w:rPr>
        <w:t>considered by the PBAC</w:t>
      </w:r>
      <w:r w:rsidR="006A12A5" w:rsidRPr="008531D2">
        <w:rPr>
          <w:rFonts w:asciiTheme="minorHAnsi" w:hAnsiTheme="minorHAnsi" w:cs="Arial"/>
        </w:rPr>
        <w:t>.</w:t>
      </w:r>
    </w:p>
    <w:p w:rsidR="00E62864" w:rsidRPr="00BB17B4" w:rsidRDefault="00E62864" w:rsidP="00882085">
      <w:pPr>
        <w:pStyle w:val="Header"/>
        <w:tabs>
          <w:tab w:val="clear" w:pos="4153"/>
          <w:tab w:val="clear" w:pos="8306"/>
        </w:tabs>
        <w:jc w:val="both"/>
        <w:rPr>
          <w:rFonts w:asciiTheme="minorHAnsi" w:hAnsiTheme="minorHAnsi" w:cs="Arial"/>
          <w:sz w:val="22"/>
          <w:szCs w:val="22"/>
        </w:rPr>
      </w:pPr>
    </w:p>
    <w:p w:rsidR="005A3173" w:rsidRPr="008531D2" w:rsidRDefault="005A3173" w:rsidP="00C94810">
      <w:pPr>
        <w:pStyle w:val="Heading1"/>
        <w:numPr>
          <w:ilvl w:val="0"/>
          <w:numId w:val="2"/>
        </w:numPr>
        <w:rPr>
          <w:rFonts w:asciiTheme="minorHAnsi" w:hAnsiTheme="minorHAnsi" w:cs="Arial"/>
          <w:sz w:val="32"/>
          <w:szCs w:val="32"/>
        </w:rPr>
      </w:pPr>
      <w:r w:rsidRPr="008531D2">
        <w:rPr>
          <w:rFonts w:asciiTheme="minorHAnsi" w:hAnsiTheme="minorHAnsi" w:cs="Arial"/>
          <w:sz w:val="32"/>
          <w:szCs w:val="32"/>
        </w:rPr>
        <w:t>Comparator</w:t>
      </w:r>
    </w:p>
    <w:p w:rsidR="005A3173" w:rsidRPr="00BB17B4" w:rsidRDefault="005A3173" w:rsidP="00882085">
      <w:pPr>
        <w:pStyle w:val="Header"/>
        <w:tabs>
          <w:tab w:val="clear" w:pos="4153"/>
          <w:tab w:val="clear" w:pos="8306"/>
        </w:tabs>
        <w:jc w:val="both"/>
        <w:rPr>
          <w:rFonts w:asciiTheme="minorHAnsi" w:hAnsiTheme="minorHAnsi" w:cs="Arial"/>
          <w:b/>
          <w:sz w:val="22"/>
          <w:szCs w:val="22"/>
        </w:rPr>
      </w:pPr>
    </w:p>
    <w:p w:rsidR="00476245" w:rsidRPr="008531D2" w:rsidRDefault="00FF2801" w:rsidP="00FA7361">
      <w:pPr>
        <w:pStyle w:val="ListParagraph"/>
        <w:numPr>
          <w:ilvl w:val="1"/>
          <w:numId w:val="2"/>
        </w:numPr>
        <w:spacing w:after="240"/>
        <w:contextualSpacing w:val="0"/>
        <w:jc w:val="both"/>
        <w:rPr>
          <w:rFonts w:asciiTheme="minorHAnsi" w:hAnsiTheme="minorHAnsi" w:cs="Arial"/>
        </w:rPr>
      </w:pPr>
      <w:r w:rsidRPr="008531D2">
        <w:rPr>
          <w:rFonts w:asciiTheme="minorHAnsi" w:hAnsiTheme="minorHAnsi" w:cs="Arial"/>
        </w:rPr>
        <w:t>The minor submission nominated</w:t>
      </w:r>
      <w:r w:rsidR="00582ECD" w:rsidRPr="008531D2">
        <w:rPr>
          <w:rFonts w:asciiTheme="minorHAnsi" w:hAnsiTheme="minorHAnsi" w:cs="Arial"/>
        </w:rPr>
        <w:t xml:space="preserve"> Neocate Gold® as the comparato</w:t>
      </w:r>
      <w:r w:rsidR="009B6DAF" w:rsidRPr="008531D2">
        <w:rPr>
          <w:rFonts w:asciiTheme="minorHAnsi" w:hAnsiTheme="minorHAnsi" w:cs="Arial"/>
        </w:rPr>
        <w:t>r. The submission claimed that Neocate Gold</w:t>
      </w:r>
      <w:r w:rsidR="00C43CDC" w:rsidRPr="008531D2">
        <w:rPr>
          <w:rFonts w:asciiTheme="minorHAnsi" w:hAnsiTheme="minorHAnsi" w:cs="Arial"/>
        </w:rPr>
        <w:t>®</w:t>
      </w:r>
      <w:r w:rsidR="009B6DAF" w:rsidRPr="008531D2">
        <w:rPr>
          <w:rFonts w:asciiTheme="minorHAnsi" w:hAnsiTheme="minorHAnsi" w:cs="Arial"/>
        </w:rPr>
        <w:t xml:space="preserve"> would be the therapy that prescribers would most replace in clinical practice.</w:t>
      </w:r>
    </w:p>
    <w:p w:rsidR="00DF26A7" w:rsidRPr="008531D2" w:rsidRDefault="00412B07" w:rsidP="00476245">
      <w:pPr>
        <w:pStyle w:val="ListParagraph"/>
        <w:numPr>
          <w:ilvl w:val="1"/>
          <w:numId w:val="2"/>
        </w:numPr>
        <w:spacing w:after="240"/>
        <w:contextualSpacing w:val="0"/>
        <w:jc w:val="both"/>
        <w:rPr>
          <w:rFonts w:asciiTheme="minorHAnsi" w:hAnsiTheme="minorHAnsi" w:cs="Arial"/>
        </w:rPr>
      </w:pPr>
      <w:r w:rsidRPr="008531D2">
        <w:rPr>
          <w:rFonts w:asciiTheme="minorHAnsi" w:hAnsiTheme="minorHAnsi" w:cs="Arial"/>
        </w:rPr>
        <w:t xml:space="preserve">The Secretariat noted that there is slightly less energy per gram in Neocate Syneo® </w:t>
      </w:r>
      <w:r w:rsidR="00132188" w:rsidRPr="008531D2">
        <w:rPr>
          <w:rFonts w:asciiTheme="minorHAnsi" w:hAnsiTheme="minorHAnsi" w:cs="Arial"/>
        </w:rPr>
        <w:t>(1941 kJ per 100g)</w:t>
      </w:r>
      <w:r w:rsidRPr="008531D2">
        <w:rPr>
          <w:rFonts w:asciiTheme="minorHAnsi" w:hAnsiTheme="minorHAnsi" w:cs="Arial"/>
        </w:rPr>
        <w:t xml:space="preserve"> than Neocate Gold®</w:t>
      </w:r>
      <w:r w:rsidR="00132188" w:rsidRPr="008531D2">
        <w:rPr>
          <w:rFonts w:asciiTheme="minorHAnsi" w:hAnsiTheme="minorHAnsi" w:cs="Arial"/>
        </w:rPr>
        <w:t xml:space="preserve"> (2020 kJ per 100g)</w:t>
      </w:r>
      <w:r w:rsidRPr="008531D2">
        <w:rPr>
          <w:rFonts w:asciiTheme="minorHAnsi" w:hAnsiTheme="minorHAnsi" w:cs="Arial"/>
        </w:rPr>
        <w:t>, due to the addition of synbiotics and nucleotides in the form of di</w:t>
      </w:r>
      <w:r w:rsidR="00132188" w:rsidRPr="008531D2">
        <w:rPr>
          <w:rFonts w:asciiTheme="minorHAnsi" w:hAnsiTheme="minorHAnsi" w:cs="Arial"/>
        </w:rPr>
        <w:t xml:space="preserve">etary fibre. The sponsor claimed </w:t>
      </w:r>
      <w:r w:rsidRPr="008531D2">
        <w:rPr>
          <w:rFonts w:asciiTheme="minorHAnsi" w:hAnsiTheme="minorHAnsi" w:cs="Arial"/>
        </w:rPr>
        <w:t xml:space="preserve">that this is not considered to be nutritionally significant. </w:t>
      </w:r>
    </w:p>
    <w:p w:rsidR="008A1956" w:rsidRPr="008531D2" w:rsidRDefault="00E62864" w:rsidP="00E62864">
      <w:pPr>
        <w:ind w:left="720"/>
        <w:jc w:val="both"/>
        <w:rPr>
          <w:rFonts w:asciiTheme="minorHAnsi" w:hAnsiTheme="minorHAnsi"/>
          <w:i/>
        </w:rPr>
      </w:pPr>
      <w:r w:rsidRPr="008531D2">
        <w:rPr>
          <w:rFonts w:asciiTheme="minorHAnsi" w:hAnsiTheme="minorHAnsi"/>
          <w:i/>
        </w:rPr>
        <w:t xml:space="preserve">For more detail on PBAC’s view, see section </w:t>
      </w:r>
      <w:r w:rsidR="001D3422" w:rsidRPr="008531D2">
        <w:rPr>
          <w:rFonts w:asciiTheme="minorHAnsi" w:hAnsiTheme="minorHAnsi"/>
          <w:i/>
        </w:rPr>
        <w:t>6</w:t>
      </w:r>
      <w:r w:rsidRPr="008531D2">
        <w:rPr>
          <w:rFonts w:asciiTheme="minorHAnsi" w:hAnsiTheme="minorHAnsi"/>
          <w:i/>
        </w:rPr>
        <w:t xml:space="preserve"> “PBAC outcome.”</w:t>
      </w:r>
    </w:p>
    <w:p w:rsidR="00E62864" w:rsidRPr="00BB17B4" w:rsidRDefault="00E62864" w:rsidP="00E62864">
      <w:pPr>
        <w:ind w:left="720"/>
        <w:jc w:val="both"/>
        <w:rPr>
          <w:rFonts w:asciiTheme="minorHAnsi" w:hAnsiTheme="minorHAnsi" w:cs="Arial"/>
          <w:sz w:val="22"/>
          <w:szCs w:val="22"/>
        </w:rPr>
      </w:pPr>
    </w:p>
    <w:p w:rsidR="00A475FC" w:rsidRPr="00BB17B4" w:rsidRDefault="00A475FC" w:rsidP="00E62864">
      <w:pPr>
        <w:ind w:left="720"/>
        <w:jc w:val="both"/>
        <w:rPr>
          <w:rFonts w:asciiTheme="minorHAnsi" w:hAnsiTheme="minorHAnsi" w:cs="Arial"/>
          <w:sz w:val="22"/>
          <w:szCs w:val="22"/>
        </w:rPr>
      </w:pPr>
    </w:p>
    <w:p w:rsidR="000B558D" w:rsidRPr="008531D2" w:rsidRDefault="008D7A41" w:rsidP="00B64497">
      <w:pPr>
        <w:pStyle w:val="Heading1"/>
        <w:numPr>
          <w:ilvl w:val="0"/>
          <w:numId w:val="2"/>
        </w:numPr>
        <w:rPr>
          <w:rFonts w:asciiTheme="minorHAnsi" w:hAnsiTheme="minorHAnsi" w:cs="Arial"/>
          <w:sz w:val="32"/>
          <w:szCs w:val="32"/>
        </w:rPr>
      </w:pPr>
      <w:r w:rsidRPr="008531D2">
        <w:rPr>
          <w:rFonts w:asciiTheme="minorHAnsi" w:hAnsiTheme="minorHAnsi" w:cs="Arial"/>
          <w:sz w:val="32"/>
          <w:szCs w:val="32"/>
        </w:rPr>
        <w:t>C</w:t>
      </w:r>
      <w:r w:rsidR="00D84934" w:rsidRPr="008531D2">
        <w:rPr>
          <w:rFonts w:asciiTheme="minorHAnsi" w:hAnsiTheme="minorHAnsi" w:cs="Arial"/>
          <w:sz w:val="32"/>
          <w:szCs w:val="32"/>
        </w:rPr>
        <w:t>onsideration of the evidence</w:t>
      </w:r>
    </w:p>
    <w:p w:rsidR="00BB7EC3" w:rsidRPr="00BB17B4" w:rsidRDefault="00BB7EC3" w:rsidP="00E43EED">
      <w:pPr>
        <w:ind w:firstLine="720"/>
        <w:jc w:val="both"/>
        <w:rPr>
          <w:rFonts w:asciiTheme="minorHAnsi" w:hAnsiTheme="minorHAnsi" w:cs="Arial"/>
          <w:sz w:val="22"/>
          <w:szCs w:val="22"/>
        </w:rPr>
      </w:pPr>
    </w:p>
    <w:p w:rsidR="00E62864" w:rsidRPr="008531D2" w:rsidRDefault="00E62864" w:rsidP="00E62864">
      <w:pPr>
        <w:pStyle w:val="Heading2"/>
        <w:rPr>
          <w:rFonts w:asciiTheme="minorHAnsi" w:hAnsiTheme="minorHAnsi" w:cs="Arial"/>
          <w:sz w:val="28"/>
          <w:szCs w:val="28"/>
        </w:rPr>
      </w:pPr>
      <w:r w:rsidRPr="008531D2">
        <w:rPr>
          <w:rFonts w:asciiTheme="minorHAnsi" w:hAnsiTheme="minorHAnsi" w:cs="Arial"/>
          <w:sz w:val="28"/>
          <w:szCs w:val="28"/>
        </w:rPr>
        <w:t xml:space="preserve">Sponsor hearing </w:t>
      </w:r>
    </w:p>
    <w:p w:rsidR="00E62864" w:rsidRPr="008531D2" w:rsidRDefault="00E62864" w:rsidP="00E62864"/>
    <w:p w:rsidR="008531D2" w:rsidRPr="005F4B36" w:rsidRDefault="00E62864" w:rsidP="00E62864">
      <w:pPr>
        <w:pStyle w:val="ListParagraph"/>
        <w:numPr>
          <w:ilvl w:val="1"/>
          <w:numId w:val="2"/>
        </w:numPr>
        <w:spacing w:after="240"/>
        <w:contextualSpacing w:val="0"/>
        <w:jc w:val="both"/>
      </w:pPr>
      <w:r w:rsidRPr="005F4B36">
        <w:rPr>
          <w:rFonts w:asciiTheme="minorHAnsi" w:hAnsiTheme="minorHAnsi" w:cs="Arial"/>
        </w:rPr>
        <w:t xml:space="preserve">There was no hearing for this item as it was a minor submission. </w:t>
      </w:r>
    </w:p>
    <w:p w:rsidR="00E62864" w:rsidRPr="008531D2" w:rsidRDefault="00E62864" w:rsidP="00E62864">
      <w:pPr>
        <w:pStyle w:val="Heading2"/>
        <w:rPr>
          <w:rFonts w:asciiTheme="minorHAnsi" w:hAnsiTheme="minorHAnsi" w:cs="Arial"/>
          <w:sz w:val="28"/>
          <w:szCs w:val="28"/>
        </w:rPr>
      </w:pPr>
      <w:r w:rsidRPr="008531D2">
        <w:rPr>
          <w:rFonts w:asciiTheme="minorHAnsi" w:hAnsiTheme="minorHAnsi" w:cs="Arial"/>
          <w:sz w:val="28"/>
          <w:szCs w:val="28"/>
        </w:rPr>
        <w:t xml:space="preserve">Consumer comments </w:t>
      </w:r>
    </w:p>
    <w:p w:rsidR="00E62864" w:rsidRPr="00BB17B4" w:rsidRDefault="00E62864" w:rsidP="0009288C"/>
    <w:p w:rsidR="00C17D42" w:rsidRPr="005F4B36" w:rsidRDefault="00E62864" w:rsidP="00C17D42">
      <w:pPr>
        <w:pStyle w:val="ListParagraph"/>
        <w:numPr>
          <w:ilvl w:val="1"/>
          <w:numId w:val="2"/>
        </w:numPr>
        <w:spacing w:after="240"/>
        <w:contextualSpacing w:val="0"/>
        <w:jc w:val="both"/>
        <w:rPr>
          <w:rFonts w:asciiTheme="minorHAnsi" w:hAnsiTheme="minorHAnsi" w:cs="Arial"/>
          <w:b/>
          <w:i/>
          <w:sz w:val="22"/>
        </w:rPr>
      </w:pPr>
      <w:r w:rsidRPr="008531D2">
        <w:rPr>
          <w:rFonts w:asciiTheme="minorHAnsi" w:hAnsiTheme="minorHAnsi" w:cs="Arial"/>
        </w:rPr>
        <w:t xml:space="preserve">The PBAC noted that no consumer comments were received for this item. </w:t>
      </w:r>
    </w:p>
    <w:p w:rsidR="00D84934" w:rsidRPr="008531D2" w:rsidRDefault="00D84934" w:rsidP="00A3715D">
      <w:pPr>
        <w:pStyle w:val="Heading2"/>
        <w:rPr>
          <w:rFonts w:asciiTheme="minorHAnsi" w:hAnsiTheme="minorHAnsi" w:cs="Arial"/>
          <w:sz w:val="28"/>
          <w:szCs w:val="28"/>
        </w:rPr>
      </w:pPr>
      <w:r w:rsidRPr="008531D2">
        <w:rPr>
          <w:rFonts w:asciiTheme="minorHAnsi" w:hAnsiTheme="minorHAnsi" w:cs="Arial"/>
          <w:sz w:val="28"/>
          <w:szCs w:val="28"/>
        </w:rPr>
        <w:t>Clinical trials</w:t>
      </w:r>
    </w:p>
    <w:p w:rsidR="00D84934" w:rsidRPr="00BB17B4" w:rsidRDefault="00D84934" w:rsidP="00F9629A">
      <w:pPr>
        <w:jc w:val="both"/>
        <w:rPr>
          <w:rFonts w:asciiTheme="minorHAnsi" w:hAnsiTheme="minorHAnsi" w:cs="Arial"/>
          <w:sz w:val="22"/>
          <w:szCs w:val="22"/>
        </w:rPr>
      </w:pPr>
    </w:p>
    <w:p w:rsidR="00A15C90" w:rsidRPr="008531D2" w:rsidRDefault="00582ECD" w:rsidP="00A15C90">
      <w:pPr>
        <w:pStyle w:val="ListParagraph"/>
        <w:numPr>
          <w:ilvl w:val="1"/>
          <w:numId w:val="2"/>
        </w:numPr>
        <w:spacing w:after="240"/>
        <w:contextualSpacing w:val="0"/>
        <w:jc w:val="both"/>
        <w:rPr>
          <w:rFonts w:asciiTheme="minorHAnsi" w:hAnsiTheme="minorHAnsi" w:cs="Arial"/>
          <w:b/>
          <w:i/>
        </w:rPr>
      </w:pPr>
      <w:r w:rsidRPr="008531D2">
        <w:rPr>
          <w:rFonts w:asciiTheme="minorHAnsi" w:hAnsiTheme="minorHAnsi" w:cs="Arial"/>
        </w:rPr>
        <w:t>The basis for listing Neocate Syneo® presented in the minor submission is that it will meet a clinical need for</w:t>
      </w:r>
      <w:r w:rsidR="002D0E8E" w:rsidRPr="008531D2">
        <w:rPr>
          <w:rFonts w:asciiTheme="minorHAnsi" w:hAnsiTheme="minorHAnsi" w:cs="Arial"/>
        </w:rPr>
        <w:t xml:space="preserve"> the treatment of cow’s milk allergy and multiple food protein intolerance in infants, and eosinophilic oesophagitis and </w:t>
      </w:r>
      <w:r w:rsidR="00BB17B4" w:rsidRPr="008531D2">
        <w:rPr>
          <w:rFonts w:asciiTheme="minorHAnsi" w:hAnsiTheme="minorHAnsi" w:cs="Arial"/>
        </w:rPr>
        <w:t>severe</w:t>
      </w:r>
      <w:r w:rsidR="002D0E8E" w:rsidRPr="008531D2">
        <w:rPr>
          <w:rFonts w:asciiTheme="minorHAnsi" w:hAnsiTheme="minorHAnsi" w:cs="Arial"/>
        </w:rPr>
        <w:t xml:space="preserve"> malabsorption including short bowel syndrome in children 18 year of age or less. The</w:t>
      </w:r>
      <w:r w:rsidR="008A54B1" w:rsidRPr="008531D2">
        <w:rPr>
          <w:rFonts w:asciiTheme="minorHAnsi" w:hAnsiTheme="minorHAnsi" w:cs="Arial"/>
        </w:rPr>
        <w:t xml:space="preserve"> minor</w:t>
      </w:r>
      <w:r w:rsidR="002D0E8E" w:rsidRPr="008531D2">
        <w:rPr>
          <w:rFonts w:asciiTheme="minorHAnsi" w:hAnsiTheme="minorHAnsi" w:cs="Arial"/>
        </w:rPr>
        <w:t xml:space="preserve"> submission </w:t>
      </w:r>
      <w:r w:rsidR="0084274C" w:rsidRPr="008531D2">
        <w:rPr>
          <w:rFonts w:asciiTheme="minorHAnsi" w:hAnsiTheme="minorHAnsi" w:cs="Arial"/>
        </w:rPr>
        <w:t>claim</w:t>
      </w:r>
      <w:r w:rsidR="008A54B1" w:rsidRPr="008531D2">
        <w:rPr>
          <w:rFonts w:asciiTheme="minorHAnsi" w:hAnsiTheme="minorHAnsi" w:cs="Arial"/>
        </w:rPr>
        <w:t>ed</w:t>
      </w:r>
      <w:r w:rsidR="002D0E8E" w:rsidRPr="008531D2">
        <w:rPr>
          <w:rFonts w:asciiTheme="minorHAnsi" w:hAnsiTheme="minorHAnsi" w:cs="Arial"/>
        </w:rPr>
        <w:t xml:space="preserve"> that whilst Neocate Syneo</w:t>
      </w:r>
      <w:r w:rsidR="00C43CDC" w:rsidRPr="008531D2">
        <w:rPr>
          <w:rFonts w:asciiTheme="minorHAnsi" w:hAnsiTheme="minorHAnsi" w:cs="Arial"/>
        </w:rPr>
        <w:t>®</w:t>
      </w:r>
      <w:r w:rsidR="002D0E8E" w:rsidRPr="008531D2">
        <w:rPr>
          <w:rFonts w:asciiTheme="minorHAnsi" w:hAnsiTheme="minorHAnsi" w:cs="Arial"/>
        </w:rPr>
        <w:t xml:space="preserve"> is nutritionally similar to Neocate Gold</w:t>
      </w:r>
      <w:r w:rsidR="00C43CDC" w:rsidRPr="008531D2">
        <w:rPr>
          <w:rFonts w:asciiTheme="minorHAnsi" w:hAnsiTheme="minorHAnsi" w:cs="Arial"/>
        </w:rPr>
        <w:t>®</w:t>
      </w:r>
      <w:r w:rsidR="002D0E8E" w:rsidRPr="008531D2">
        <w:rPr>
          <w:rFonts w:asciiTheme="minorHAnsi" w:hAnsiTheme="minorHAnsi" w:cs="Arial"/>
        </w:rPr>
        <w:t>, it contains the addition of synbiotics (Syneo blend scFOS/IcFOS/</w:t>
      </w:r>
      <w:r w:rsidR="002D0E8E" w:rsidRPr="008531D2">
        <w:rPr>
          <w:rFonts w:asciiTheme="minorHAnsi" w:hAnsiTheme="minorHAnsi" w:cs="Arial"/>
          <w:i/>
        </w:rPr>
        <w:t>B. breve</w:t>
      </w:r>
      <w:r w:rsidR="002D0E8E" w:rsidRPr="008531D2">
        <w:rPr>
          <w:rFonts w:asciiTheme="minorHAnsi" w:hAnsiTheme="minorHAnsi" w:cs="Arial"/>
        </w:rPr>
        <w:t xml:space="preserve"> M-16V</w:t>
      </w:r>
      <w:r w:rsidR="0084274C" w:rsidRPr="008531D2">
        <w:rPr>
          <w:rFonts w:asciiTheme="minorHAnsi" w:hAnsiTheme="minorHAnsi" w:cs="Arial"/>
        </w:rPr>
        <w:t>) which foster</w:t>
      </w:r>
      <w:r w:rsidR="00C43CDC" w:rsidRPr="008531D2">
        <w:rPr>
          <w:rFonts w:asciiTheme="minorHAnsi" w:hAnsiTheme="minorHAnsi" w:cs="Arial"/>
        </w:rPr>
        <w:t>s</w:t>
      </w:r>
      <w:r w:rsidR="0084274C" w:rsidRPr="008531D2">
        <w:rPr>
          <w:rFonts w:asciiTheme="minorHAnsi" w:hAnsiTheme="minorHAnsi" w:cs="Arial"/>
        </w:rPr>
        <w:t xml:space="preserve"> a gut microbiota composition in allergic infants similar to that seen in breast fed infants. The spons</w:t>
      </w:r>
      <w:r w:rsidR="0097365C" w:rsidRPr="008531D2">
        <w:rPr>
          <w:rFonts w:asciiTheme="minorHAnsi" w:hAnsiTheme="minorHAnsi" w:cs="Arial"/>
        </w:rPr>
        <w:t>or claim</w:t>
      </w:r>
      <w:r w:rsidR="008A54B1" w:rsidRPr="008531D2">
        <w:rPr>
          <w:rFonts w:asciiTheme="minorHAnsi" w:hAnsiTheme="minorHAnsi" w:cs="Arial"/>
        </w:rPr>
        <w:t>ed</w:t>
      </w:r>
      <w:r w:rsidR="0097365C" w:rsidRPr="008531D2">
        <w:rPr>
          <w:rFonts w:asciiTheme="minorHAnsi" w:hAnsiTheme="minorHAnsi" w:cs="Arial"/>
        </w:rPr>
        <w:t xml:space="preserve"> that Neocate Syneo</w:t>
      </w:r>
      <w:r w:rsidR="00C43CDC" w:rsidRPr="008531D2">
        <w:rPr>
          <w:rFonts w:asciiTheme="minorHAnsi" w:hAnsiTheme="minorHAnsi" w:cs="Arial"/>
        </w:rPr>
        <w:t>®</w:t>
      </w:r>
      <w:r w:rsidR="0097365C" w:rsidRPr="008531D2">
        <w:rPr>
          <w:rFonts w:asciiTheme="minorHAnsi" w:hAnsiTheme="minorHAnsi" w:cs="Arial"/>
        </w:rPr>
        <w:t xml:space="preserve"> would provide an additional choice for physicians and patients.</w:t>
      </w:r>
    </w:p>
    <w:p w:rsidR="00C17D42" w:rsidRPr="00C17D42" w:rsidRDefault="008A54B1" w:rsidP="00C17D42">
      <w:pPr>
        <w:pStyle w:val="ListParagraph"/>
        <w:numPr>
          <w:ilvl w:val="1"/>
          <w:numId w:val="2"/>
        </w:numPr>
        <w:spacing w:after="240"/>
        <w:contextualSpacing w:val="0"/>
        <w:jc w:val="both"/>
        <w:rPr>
          <w:rFonts w:asciiTheme="minorHAnsi" w:hAnsiTheme="minorHAnsi" w:cs="Arial"/>
          <w:b/>
          <w:i/>
        </w:rPr>
      </w:pPr>
      <w:r w:rsidRPr="008531D2">
        <w:rPr>
          <w:rFonts w:asciiTheme="minorHAnsi" w:hAnsiTheme="minorHAnsi" w:cs="Arial"/>
        </w:rPr>
        <w:t xml:space="preserve">The minor submission claimed that Neocate Syneo® </w:t>
      </w:r>
      <w:r w:rsidR="00492147" w:rsidRPr="008531D2">
        <w:rPr>
          <w:rFonts w:asciiTheme="minorHAnsi" w:hAnsiTheme="minorHAnsi" w:cs="Arial"/>
        </w:rPr>
        <w:t xml:space="preserve">has been shown to </w:t>
      </w:r>
      <w:r w:rsidR="007549A1" w:rsidRPr="008531D2">
        <w:rPr>
          <w:rFonts w:asciiTheme="minorHAnsi" w:hAnsiTheme="minorHAnsi" w:cs="Arial"/>
        </w:rPr>
        <w:t>foster a gut microbiota composition in allergic infants similar to that seen in breast fed infants when breast feeding is not possible</w:t>
      </w:r>
      <w:r w:rsidR="00492147" w:rsidRPr="008531D2">
        <w:rPr>
          <w:rFonts w:asciiTheme="minorHAnsi" w:hAnsiTheme="minorHAnsi" w:cs="Arial"/>
        </w:rPr>
        <w:t>.</w:t>
      </w:r>
      <w:r w:rsidR="00F81C7E" w:rsidRPr="008531D2">
        <w:rPr>
          <w:rFonts w:asciiTheme="minorHAnsi" w:hAnsiTheme="minorHAnsi" w:cs="Arial"/>
        </w:rPr>
        <w:t xml:space="preserve"> To support its claim of an effect on gut microbiota, the</w:t>
      </w:r>
      <w:r w:rsidR="00492147" w:rsidRPr="008531D2">
        <w:rPr>
          <w:rFonts w:asciiTheme="minorHAnsi" w:hAnsiTheme="minorHAnsi" w:cs="Arial"/>
        </w:rPr>
        <w:t xml:space="preserve"> minor submission presented the following </w:t>
      </w:r>
      <w:r w:rsidR="001331E7" w:rsidRPr="008531D2">
        <w:rPr>
          <w:rFonts w:asciiTheme="minorHAnsi" w:hAnsiTheme="minorHAnsi" w:cs="Arial"/>
        </w:rPr>
        <w:t>trials</w:t>
      </w:r>
      <w:r w:rsidR="00492147" w:rsidRPr="008531D2">
        <w:rPr>
          <w:rFonts w:asciiTheme="minorHAnsi" w:hAnsiTheme="minorHAnsi" w:cs="Arial"/>
        </w:rPr>
        <w:t>:</w:t>
      </w:r>
    </w:p>
    <w:p w:rsidR="00C17D42" w:rsidRPr="00C17D42" w:rsidRDefault="00C17D42" w:rsidP="00C17D42">
      <w:pPr>
        <w:pStyle w:val="Caption"/>
        <w:keepNext/>
        <w:spacing w:after="0"/>
        <w:ind w:left="709"/>
        <w:rPr>
          <w:rFonts w:ascii="Arial Narrow" w:hAnsi="Arial Narrow"/>
          <w:color w:val="000000" w:themeColor="text1"/>
          <w:sz w:val="20"/>
          <w:szCs w:val="20"/>
        </w:rPr>
      </w:pPr>
      <w:r w:rsidRPr="00C17D42">
        <w:rPr>
          <w:rFonts w:ascii="Arial Narrow" w:hAnsi="Arial Narrow"/>
          <w:color w:val="000000" w:themeColor="text1"/>
          <w:sz w:val="20"/>
          <w:szCs w:val="20"/>
        </w:rPr>
        <w:t xml:space="preserve">Table </w:t>
      </w:r>
      <w:r w:rsidRPr="00C17D42">
        <w:rPr>
          <w:rFonts w:ascii="Arial Narrow" w:hAnsi="Arial Narrow"/>
          <w:noProof/>
          <w:color w:val="000000" w:themeColor="text1"/>
          <w:sz w:val="20"/>
          <w:szCs w:val="20"/>
        </w:rPr>
        <w:t>1</w:t>
      </w:r>
      <w:r w:rsidRPr="00C17D42">
        <w:rPr>
          <w:rFonts w:ascii="Arial Narrow" w:hAnsi="Arial Narrow"/>
          <w:color w:val="000000" w:themeColor="text1"/>
          <w:sz w:val="20"/>
          <w:szCs w:val="20"/>
        </w:rPr>
        <w:t>: Clinical trials presented in the 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1331E7" w:rsidRPr="00BB17B4" w:rsidTr="00C62B19">
        <w:trPr>
          <w:cantSplit/>
          <w:tblHeader/>
        </w:trPr>
        <w:tc>
          <w:tcPr>
            <w:tcW w:w="1701" w:type="dxa"/>
          </w:tcPr>
          <w:p w:rsidR="001331E7" w:rsidRPr="00BB17B4" w:rsidRDefault="001331E7" w:rsidP="00C62B19">
            <w:pPr>
              <w:pStyle w:val="NoSpacing"/>
              <w:rPr>
                <w:rFonts w:ascii="Arial Narrow" w:hAnsi="Arial Narrow" w:cs="Arial"/>
                <w:b/>
                <w:sz w:val="20"/>
              </w:rPr>
            </w:pPr>
            <w:r w:rsidRPr="00BB17B4">
              <w:rPr>
                <w:rFonts w:ascii="Arial Narrow" w:hAnsi="Arial Narrow" w:cs="Arial"/>
                <w:b/>
                <w:sz w:val="20"/>
              </w:rPr>
              <w:t>Trial ID</w:t>
            </w:r>
          </w:p>
        </w:tc>
        <w:tc>
          <w:tcPr>
            <w:tcW w:w="4820" w:type="dxa"/>
          </w:tcPr>
          <w:p w:rsidR="001331E7" w:rsidRPr="00BB17B4" w:rsidRDefault="001331E7" w:rsidP="00C62B19">
            <w:pPr>
              <w:keepNext/>
              <w:jc w:val="center"/>
              <w:rPr>
                <w:rFonts w:ascii="Arial Narrow" w:hAnsi="Arial Narrow" w:cs="Arial"/>
                <w:b/>
                <w:sz w:val="20"/>
              </w:rPr>
            </w:pPr>
            <w:r w:rsidRPr="00BB17B4">
              <w:rPr>
                <w:rFonts w:ascii="Arial Narrow" w:hAnsi="Arial Narrow" w:cs="Arial"/>
                <w:b/>
                <w:sz w:val="20"/>
              </w:rPr>
              <w:t>Publication title</w:t>
            </w:r>
          </w:p>
        </w:tc>
        <w:tc>
          <w:tcPr>
            <w:tcW w:w="1843" w:type="dxa"/>
          </w:tcPr>
          <w:p w:rsidR="001331E7" w:rsidRPr="00BB17B4" w:rsidRDefault="001331E7" w:rsidP="00C62B19">
            <w:pPr>
              <w:keepNext/>
              <w:rPr>
                <w:rFonts w:ascii="Arial Narrow" w:hAnsi="Arial Narrow" w:cs="Arial"/>
                <w:b/>
                <w:sz w:val="20"/>
              </w:rPr>
            </w:pPr>
            <w:r w:rsidRPr="00BB17B4">
              <w:rPr>
                <w:rFonts w:ascii="Arial Narrow" w:hAnsi="Arial Narrow" w:cs="Arial"/>
                <w:b/>
                <w:sz w:val="20"/>
              </w:rPr>
              <w:t>Publication citation</w:t>
            </w:r>
          </w:p>
        </w:tc>
      </w:tr>
      <w:tr w:rsidR="001331E7" w:rsidRPr="00BB17B4" w:rsidTr="00C62B19">
        <w:trPr>
          <w:cantSplit/>
        </w:trPr>
        <w:tc>
          <w:tcPr>
            <w:tcW w:w="8364" w:type="dxa"/>
            <w:gridSpan w:val="3"/>
          </w:tcPr>
          <w:p w:rsidR="001331E7" w:rsidRPr="00BB17B4" w:rsidRDefault="001331E7" w:rsidP="00C62B19">
            <w:pPr>
              <w:pStyle w:val="NoSpacing"/>
              <w:rPr>
                <w:rFonts w:ascii="Arial Narrow" w:hAnsi="Arial Narrow" w:cs="Arial"/>
                <w:b/>
                <w:sz w:val="20"/>
              </w:rPr>
            </w:pPr>
            <w:r w:rsidRPr="00BB17B4">
              <w:rPr>
                <w:rFonts w:ascii="Arial Narrow" w:hAnsi="Arial Narrow" w:cs="Arial"/>
                <w:b/>
                <w:sz w:val="20"/>
              </w:rPr>
              <w:t>Direct randomised trials</w:t>
            </w:r>
          </w:p>
        </w:tc>
      </w:tr>
      <w:tr w:rsidR="001331E7" w:rsidRPr="00BB17B4" w:rsidTr="00C62B19">
        <w:trPr>
          <w:cantSplit/>
        </w:trPr>
        <w:tc>
          <w:tcPr>
            <w:tcW w:w="1701" w:type="dxa"/>
          </w:tcPr>
          <w:p w:rsidR="001331E7" w:rsidRPr="00BB17B4" w:rsidRDefault="009D508B" w:rsidP="009D508B">
            <w:pPr>
              <w:pStyle w:val="NoSpacing"/>
              <w:rPr>
                <w:rFonts w:ascii="Arial Narrow" w:hAnsi="Arial Narrow" w:cs="Arial"/>
                <w:sz w:val="20"/>
              </w:rPr>
            </w:pPr>
            <w:r w:rsidRPr="00BB17B4">
              <w:rPr>
                <w:rFonts w:ascii="Arial Narrow" w:hAnsi="Arial Narrow" w:cs="Arial"/>
                <w:sz w:val="20"/>
              </w:rPr>
              <w:t>NCT00664768</w:t>
            </w:r>
          </w:p>
        </w:tc>
        <w:tc>
          <w:tcPr>
            <w:tcW w:w="4820" w:type="dxa"/>
          </w:tcPr>
          <w:p w:rsidR="001331E7" w:rsidRPr="00BB17B4" w:rsidRDefault="001331E7" w:rsidP="001331E7">
            <w:pPr>
              <w:keepNext/>
              <w:rPr>
                <w:rFonts w:ascii="Arial Narrow" w:hAnsi="Arial Narrow" w:cs="Arial"/>
                <w:sz w:val="20"/>
              </w:rPr>
            </w:pPr>
            <w:r w:rsidRPr="00BB17B4">
              <w:rPr>
                <w:rFonts w:ascii="Arial Narrow" w:hAnsi="Arial Narrow" w:cs="Arial"/>
                <w:sz w:val="20"/>
              </w:rPr>
              <w:t>Effects on growth and tolerance and hypoallergenicity</w:t>
            </w:r>
          </w:p>
          <w:p w:rsidR="001331E7" w:rsidRPr="00BB17B4" w:rsidRDefault="001331E7" w:rsidP="001331E7">
            <w:pPr>
              <w:keepNext/>
              <w:rPr>
                <w:rFonts w:ascii="Arial Narrow" w:hAnsi="Arial Narrow" w:cs="Arial"/>
                <w:sz w:val="20"/>
              </w:rPr>
            </w:pPr>
            <w:r w:rsidRPr="00BB17B4">
              <w:rPr>
                <w:rFonts w:ascii="Arial Narrow" w:hAnsi="Arial Narrow" w:cs="Arial"/>
                <w:sz w:val="20"/>
              </w:rPr>
              <w:t>of an amino acid–based formula with synbiotics</w:t>
            </w:r>
          </w:p>
          <w:p w:rsidR="005E162E" w:rsidRPr="00BB17B4" w:rsidRDefault="005E162E" w:rsidP="001331E7">
            <w:pPr>
              <w:keepNext/>
              <w:rPr>
                <w:rFonts w:ascii="Arial Narrow" w:hAnsi="Arial Narrow" w:cs="Arial"/>
                <w:sz w:val="20"/>
              </w:rPr>
            </w:pPr>
          </w:p>
        </w:tc>
        <w:tc>
          <w:tcPr>
            <w:tcW w:w="1843" w:type="dxa"/>
          </w:tcPr>
          <w:p w:rsidR="001331E7" w:rsidRPr="00BB17B4" w:rsidRDefault="009D508B" w:rsidP="00C62B19">
            <w:pPr>
              <w:keepNext/>
              <w:rPr>
                <w:rFonts w:ascii="Arial Narrow" w:hAnsi="Arial Narrow" w:cs="Arial"/>
                <w:sz w:val="20"/>
              </w:rPr>
            </w:pPr>
            <w:r w:rsidRPr="00BB17B4">
              <w:rPr>
                <w:rFonts w:ascii="Arial Narrow" w:hAnsi="Arial Narrow" w:cs="Arial"/>
                <w:sz w:val="20"/>
              </w:rPr>
              <w:t>Pediatr Res. 2014 Feb;75(2):343-51</w:t>
            </w:r>
          </w:p>
          <w:p w:rsidR="00F81C7E" w:rsidRPr="00BB17B4" w:rsidRDefault="00F81C7E" w:rsidP="00C62B19">
            <w:pPr>
              <w:keepNext/>
              <w:rPr>
                <w:rFonts w:ascii="Arial Narrow" w:hAnsi="Arial Narrow" w:cs="Arial"/>
                <w:sz w:val="20"/>
              </w:rPr>
            </w:pPr>
            <w:r w:rsidRPr="00BB17B4">
              <w:rPr>
                <w:rFonts w:ascii="Arial Narrow" w:hAnsi="Arial Narrow" w:cs="Arial"/>
                <w:sz w:val="20"/>
              </w:rPr>
              <w:t>(Harvey et al. (2014)</w:t>
            </w:r>
          </w:p>
        </w:tc>
      </w:tr>
      <w:tr w:rsidR="001331E7" w:rsidRPr="00BB17B4" w:rsidTr="00C62B19">
        <w:trPr>
          <w:cantSplit/>
        </w:trPr>
        <w:tc>
          <w:tcPr>
            <w:tcW w:w="1701" w:type="dxa"/>
          </w:tcPr>
          <w:p w:rsidR="001331E7" w:rsidRPr="00BB17B4" w:rsidRDefault="001331E7" w:rsidP="00C62B19">
            <w:pPr>
              <w:pStyle w:val="NoSpacing"/>
              <w:rPr>
                <w:rFonts w:ascii="Arial Narrow" w:hAnsi="Arial Narrow" w:cs="Arial"/>
                <w:sz w:val="20"/>
              </w:rPr>
            </w:pPr>
            <w:r w:rsidRPr="00BB17B4">
              <w:rPr>
                <w:rFonts w:ascii="Arial Narrow" w:hAnsi="Arial Narrow" w:cs="Arial"/>
                <w:sz w:val="20"/>
              </w:rPr>
              <w:t xml:space="preserve">NCT00664768 </w:t>
            </w:r>
          </w:p>
        </w:tc>
        <w:tc>
          <w:tcPr>
            <w:tcW w:w="4820" w:type="dxa"/>
          </w:tcPr>
          <w:p w:rsidR="001331E7" w:rsidRPr="00BB17B4" w:rsidRDefault="001331E7" w:rsidP="001331E7">
            <w:pPr>
              <w:keepNext/>
              <w:rPr>
                <w:rFonts w:ascii="Arial Narrow" w:hAnsi="Arial Narrow" w:cs="Arial"/>
                <w:sz w:val="20"/>
              </w:rPr>
            </w:pPr>
            <w:r w:rsidRPr="00BB17B4">
              <w:rPr>
                <w:rFonts w:ascii="Arial Narrow" w:hAnsi="Arial Narrow" w:cs="Arial"/>
                <w:sz w:val="20"/>
              </w:rPr>
              <w:t>Synbiotics-supplemented amino acid-based formula</w:t>
            </w:r>
          </w:p>
          <w:p w:rsidR="001331E7" w:rsidRPr="00BB17B4" w:rsidRDefault="001331E7" w:rsidP="001331E7">
            <w:pPr>
              <w:keepNext/>
              <w:rPr>
                <w:rFonts w:ascii="Arial Narrow" w:hAnsi="Arial Narrow" w:cs="Arial"/>
                <w:sz w:val="20"/>
              </w:rPr>
            </w:pPr>
            <w:r w:rsidRPr="00BB17B4">
              <w:rPr>
                <w:rFonts w:ascii="Arial Narrow" w:hAnsi="Arial Narrow" w:cs="Arial"/>
                <w:sz w:val="20"/>
              </w:rPr>
              <w:t>supports adequate growth in cow’s milk allergic infants</w:t>
            </w:r>
          </w:p>
        </w:tc>
        <w:tc>
          <w:tcPr>
            <w:tcW w:w="1843" w:type="dxa"/>
          </w:tcPr>
          <w:p w:rsidR="001331E7" w:rsidRPr="00BB17B4" w:rsidRDefault="009D508B" w:rsidP="009D508B">
            <w:pPr>
              <w:keepNext/>
              <w:rPr>
                <w:rFonts w:ascii="Arial Narrow" w:hAnsi="Arial Narrow" w:cs="Arial"/>
                <w:sz w:val="20"/>
              </w:rPr>
            </w:pPr>
            <w:r w:rsidRPr="00BB17B4">
              <w:rPr>
                <w:rFonts w:ascii="Arial Narrow" w:hAnsi="Arial Narrow" w:cs="Arial"/>
                <w:sz w:val="20"/>
              </w:rPr>
              <w:t>Pediatr Allergy Immunol 2015: 26: 316–322.</w:t>
            </w:r>
          </w:p>
        </w:tc>
      </w:tr>
      <w:tr w:rsidR="001331E7" w:rsidRPr="00BB17B4" w:rsidTr="00C62B19">
        <w:trPr>
          <w:cantSplit/>
        </w:trPr>
        <w:tc>
          <w:tcPr>
            <w:tcW w:w="1701" w:type="dxa"/>
          </w:tcPr>
          <w:p w:rsidR="001331E7" w:rsidRPr="00BB17B4" w:rsidRDefault="005E162E" w:rsidP="00C62B19">
            <w:pPr>
              <w:pStyle w:val="NoSpacing"/>
              <w:rPr>
                <w:rFonts w:ascii="Arial Narrow" w:hAnsi="Arial Narrow" w:cs="Arial"/>
                <w:sz w:val="20"/>
              </w:rPr>
            </w:pPr>
            <w:r w:rsidRPr="00BB17B4">
              <w:rPr>
                <w:rFonts w:ascii="Arial Narrow" w:hAnsi="Arial Narrow" w:cs="Arial"/>
                <w:sz w:val="20"/>
              </w:rPr>
              <w:t>NTR3979</w:t>
            </w:r>
          </w:p>
        </w:tc>
        <w:tc>
          <w:tcPr>
            <w:tcW w:w="4820" w:type="dxa"/>
          </w:tcPr>
          <w:p w:rsidR="001331E7" w:rsidRPr="00BB17B4" w:rsidRDefault="001331E7" w:rsidP="001331E7">
            <w:pPr>
              <w:keepNext/>
              <w:rPr>
                <w:rFonts w:ascii="Arial Narrow" w:hAnsi="Arial Narrow" w:cs="Arial"/>
                <w:sz w:val="20"/>
              </w:rPr>
            </w:pPr>
            <w:r w:rsidRPr="00BB17B4">
              <w:rPr>
                <w:rFonts w:ascii="Arial Narrow" w:hAnsi="Arial Narrow" w:cs="Arial"/>
                <w:sz w:val="20"/>
              </w:rPr>
              <w:t>An amino acid-based formula with</w:t>
            </w:r>
          </w:p>
          <w:p w:rsidR="001331E7" w:rsidRPr="00BB17B4" w:rsidRDefault="001331E7" w:rsidP="001331E7">
            <w:pPr>
              <w:keepNext/>
              <w:rPr>
                <w:rFonts w:ascii="Arial Narrow" w:hAnsi="Arial Narrow" w:cs="Arial"/>
                <w:sz w:val="20"/>
              </w:rPr>
            </w:pPr>
            <w:r w:rsidRPr="00BB17B4">
              <w:rPr>
                <w:rFonts w:ascii="Arial Narrow" w:hAnsi="Arial Narrow" w:cs="Arial"/>
                <w:sz w:val="20"/>
              </w:rPr>
              <w:t>synbiotics affects faecal microbiota in</w:t>
            </w:r>
          </w:p>
          <w:p w:rsidR="001331E7" w:rsidRPr="00BB17B4" w:rsidRDefault="001331E7" w:rsidP="001331E7">
            <w:pPr>
              <w:keepNext/>
              <w:rPr>
                <w:rFonts w:ascii="Arial Narrow" w:hAnsi="Arial Narrow" w:cs="Arial"/>
                <w:sz w:val="20"/>
              </w:rPr>
            </w:pPr>
            <w:r w:rsidRPr="00BB17B4">
              <w:rPr>
                <w:rFonts w:ascii="Arial Narrow" w:hAnsi="Arial Narrow" w:cs="Arial"/>
                <w:sz w:val="20"/>
              </w:rPr>
              <w:t>Non-IgE mediated cow’s milk allergic</w:t>
            </w:r>
          </w:p>
          <w:p w:rsidR="001331E7" w:rsidRPr="00BB17B4" w:rsidRDefault="001331E7" w:rsidP="001331E7">
            <w:pPr>
              <w:keepNext/>
              <w:rPr>
                <w:rFonts w:ascii="Arial Narrow" w:hAnsi="Arial Narrow" w:cs="Arial"/>
                <w:sz w:val="20"/>
              </w:rPr>
            </w:pPr>
            <w:r w:rsidRPr="00BB17B4">
              <w:rPr>
                <w:rFonts w:ascii="Arial Narrow" w:hAnsi="Arial Narrow" w:cs="Arial"/>
                <w:sz w:val="20"/>
              </w:rPr>
              <w:t>infants</w:t>
            </w:r>
          </w:p>
        </w:tc>
        <w:tc>
          <w:tcPr>
            <w:tcW w:w="1843" w:type="dxa"/>
          </w:tcPr>
          <w:p w:rsidR="001331E7" w:rsidRPr="00BB17B4" w:rsidRDefault="005E162E" w:rsidP="005E162E">
            <w:pPr>
              <w:keepNext/>
              <w:rPr>
                <w:rFonts w:ascii="Arial Narrow" w:hAnsi="Arial Narrow" w:cs="Arial"/>
                <w:sz w:val="20"/>
              </w:rPr>
            </w:pPr>
            <w:r w:rsidRPr="00BB17B4">
              <w:rPr>
                <w:rFonts w:ascii="Arial Narrow" w:hAnsi="Arial Narrow" w:cs="Arial"/>
                <w:sz w:val="20"/>
              </w:rPr>
              <w:t xml:space="preserve">European Academy of Allergy and Clinical Immunology Congress Oral Abstract Session OAS 19-114 </w:t>
            </w:r>
          </w:p>
        </w:tc>
      </w:tr>
    </w:tbl>
    <w:p w:rsidR="00492147" w:rsidRPr="00BB17B4" w:rsidRDefault="007771EC" w:rsidP="004D1FDB">
      <w:pPr>
        <w:pStyle w:val="ListParagraph"/>
        <w:spacing w:after="240"/>
        <w:contextualSpacing w:val="0"/>
        <w:jc w:val="both"/>
        <w:rPr>
          <w:rFonts w:ascii="Arial Narrow" w:hAnsi="Arial Narrow" w:cs="Arial"/>
          <w:sz w:val="22"/>
          <w:szCs w:val="22"/>
        </w:rPr>
      </w:pPr>
      <w:r w:rsidRPr="00BB17B4">
        <w:rPr>
          <w:rFonts w:ascii="Arial Narrow" w:hAnsi="Arial Narrow" w:cs="Arial"/>
          <w:sz w:val="18"/>
          <w:szCs w:val="18"/>
        </w:rPr>
        <w:t>Source: Table 9 of the mi</w:t>
      </w:r>
      <w:r w:rsidR="00F81C7E" w:rsidRPr="00BB17B4">
        <w:rPr>
          <w:rFonts w:ascii="Arial Narrow" w:hAnsi="Arial Narrow" w:cs="Arial"/>
          <w:sz w:val="18"/>
          <w:szCs w:val="18"/>
        </w:rPr>
        <w:t xml:space="preserve">nor submission </w:t>
      </w:r>
    </w:p>
    <w:p w:rsidR="00A15C90" w:rsidRPr="008531D2" w:rsidRDefault="00AF593D" w:rsidP="0011552C">
      <w:pPr>
        <w:pStyle w:val="ListParagraph"/>
        <w:numPr>
          <w:ilvl w:val="1"/>
          <w:numId w:val="2"/>
        </w:numPr>
        <w:spacing w:after="240"/>
        <w:contextualSpacing w:val="0"/>
        <w:jc w:val="both"/>
        <w:rPr>
          <w:rFonts w:asciiTheme="minorHAnsi" w:hAnsiTheme="minorHAnsi" w:cs="Arial"/>
        </w:rPr>
      </w:pPr>
      <w:r w:rsidRPr="008531D2">
        <w:rPr>
          <w:rFonts w:asciiTheme="minorHAnsi" w:hAnsiTheme="minorHAnsi" w:cs="Arial"/>
        </w:rPr>
        <w:t xml:space="preserve">As a minor </w:t>
      </w:r>
      <w:r w:rsidR="00BB17B4" w:rsidRPr="008531D2">
        <w:rPr>
          <w:rFonts w:asciiTheme="minorHAnsi" w:hAnsiTheme="minorHAnsi" w:cs="Arial"/>
        </w:rPr>
        <w:t>submission,</w:t>
      </w:r>
      <w:r w:rsidRPr="008531D2">
        <w:rPr>
          <w:rFonts w:asciiTheme="minorHAnsi" w:hAnsiTheme="minorHAnsi" w:cs="Arial"/>
        </w:rPr>
        <w:t xml:space="preserve"> the studies presented in the submission have not been independently evaluated.</w:t>
      </w:r>
    </w:p>
    <w:p w:rsidR="00A24CA1" w:rsidRPr="008531D2" w:rsidRDefault="00A24CA1" w:rsidP="00A24CA1">
      <w:pPr>
        <w:pStyle w:val="ListParagraph"/>
        <w:numPr>
          <w:ilvl w:val="1"/>
          <w:numId w:val="2"/>
        </w:numPr>
        <w:spacing w:after="240"/>
        <w:contextualSpacing w:val="0"/>
        <w:jc w:val="both"/>
        <w:rPr>
          <w:rFonts w:asciiTheme="minorHAnsi" w:hAnsiTheme="minorHAnsi" w:cs="Arial"/>
        </w:rPr>
      </w:pPr>
      <w:r w:rsidRPr="008531D2">
        <w:rPr>
          <w:rFonts w:asciiTheme="minorHAnsi" w:hAnsiTheme="minorHAnsi" w:cs="Arial"/>
        </w:rPr>
        <w:t>In consideration of the submission, the NPWP noted that:</w:t>
      </w:r>
    </w:p>
    <w:p w:rsidR="00836D17" w:rsidRPr="008531D2" w:rsidRDefault="00836D17" w:rsidP="00836D17">
      <w:pPr>
        <w:pStyle w:val="ListParagraph"/>
        <w:numPr>
          <w:ilvl w:val="1"/>
          <w:numId w:val="28"/>
        </w:numPr>
        <w:ind w:left="1134"/>
        <w:contextualSpacing w:val="0"/>
        <w:jc w:val="both"/>
        <w:rPr>
          <w:rFonts w:asciiTheme="minorHAnsi" w:hAnsiTheme="minorHAnsi" w:cs="Arial"/>
        </w:rPr>
      </w:pPr>
      <w:r w:rsidRPr="008531D2">
        <w:rPr>
          <w:rFonts w:asciiTheme="minorHAnsi" w:hAnsiTheme="minorHAnsi" w:cs="Arial"/>
        </w:rPr>
        <w:t xml:space="preserve">The sponsor provided a suitable comparison against the requirements of the </w:t>
      </w:r>
      <w:r w:rsidRPr="008531D2">
        <w:rPr>
          <w:rFonts w:asciiTheme="minorHAnsi" w:hAnsiTheme="minorHAnsi" w:cs="Arial"/>
          <w:i/>
        </w:rPr>
        <w:t>Australia New Zealand Food Standards Code - Standard 2.9.5: Food for Special Medical Purposes</w:t>
      </w:r>
      <w:r w:rsidRPr="008531D2">
        <w:rPr>
          <w:rFonts w:asciiTheme="minorHAnsi" w:hAnsiTheme="minorHAnsi" w:cs="Arial"/>
        </w:rPr>
        <w:t>.</w:t>
      </w:r>
    </w:p>
    <w:p w:rsidR="00836D17" w:rsidRPr="008531D2" w:rsidRDefault="00836D17" w:rsidP="00836D17">
      <w:pPr>
        <w:pStyle w:val="ListParagraph"/>
        <w:ind w:left="1134"/>
        <w:contextualSpacing w:val="0"/>
        <w:jc w:val="both"/>
        <w:rPr>
          <w:rFonts w:asciiTheme="minorHAnsi" w:hAnsiTheme="minorHAnsi" w:cs="Arial"/>
        </w:rPr>
      </w:pPr>
    </w:p>
    <w:p w:rsidR="00836D17" w:rsidRPr="008531D2" w:rsidRDefault="00836D17" w:rsidP="00836D17">
      <w:pPr>
        <w:pStyle w:val="ListParagraph"/>
        <w:numPr>
          <w:ilvl w:val="1"/>
          <w:numId w:val="28"/>
        </w:numPr>
        <w:contextualSpacing w:val="0"/>
        <w:jc w:val="both"/>
        <w:rPr>
          <w:rFonts w:asciiTheme="minorHAnsi" w:hAnsiTheme="minorHAnsi" w:cs="Arial"/>
        </w:rPr>
      </w:pPr>
      <w:r w:rsidRPr="008531D2">
        <w:rPr>
          <w:rFonts w:asciiTheme="minorHAnsi" w:hAnsiTheme="minorHAnsi" w:cs="Arial"/>
        </w:rPr>
        <w:t>Neocate Syneo</w:t>
      </w:r>
      <w:r w:rsidR="00BB17B4" w:rsidRPr="008531D2">
        <w:rPr>
          <w:rFonts w:asciiTheme="minorHAnsi" w:hAnsiTheme="minorHAnsi" w:cs="Arial"/>
        </w:rPr>
        <w:t>®</w:t>
      </w:r>
      <w:r w:rsidRPr="008531D2">
        <w:rPr>
          <w:rFonts w:asciiTheme="minorHAnsi" w:hAnsiTheme="minorHAnsi" w:cs="Arial"/>
        </w:rPr>
        <w:t xml:space="preserve"> does not </w:t>
      </w:r>
      <w:r w:rsidR="0041663C" w:rsidRPr="008531D2">
        <w:rPr>
          <w:rFonts w:asciiTheme="minorHAnsi" w:hAnsiTheme="minorHAnsi" w:cs="Arial"/>
        </w:rPr>
        <w:t>meet Standard</w:t>
      </w:r>
      <w:r w:rsidRPr="008531D2">
        <w:rPr>
          <w:rFonts w:asciiTheme="minorHAnsi" w:hAnsiTheme="minorHAnsi" w:cs="Arial"/>
        </w:rPr>
        <w:t xml:space="preserve"> 2.9.5 for manganese and molybdenum but does meet Standard 2.9.1, which is appropriate given the age group most likely to use the product (infants).</w:t>
      </w:r>
    </w:p>
    <w:p w:rsidR="00836D17" w:rsidRPr="008531D2" w:rsidRDefault="00836D17" w:rsidP="00836D17">
      <w:pPr>
        <w:pStyle w:val="ListParagraph"/>
        <w:ind w:left="1134"/>
        <w:contextualSpacing w:val="0"/>
        <w:jc w:val="both"/>
        <w:rPr>
          <w:rFonts w:asciiTheme="minorHAnsi" w:hAnsiTheme="minorHAnsi" w:cs="Arial"/>
        </w:rPr>
      </w:pPr>
    </w:p>
    <w:p w:rsidR="00836D17" w:rsidRPr="005F4B36" w:rsidRDefault="00836D17" w:rsidP="00836D17">
      <w:pPr>
        <w:pStyle w:val="ListParagraph"/>
        <w:numPr>
          <w:ilvl w:val="1"/>
          <w:numId w:val="28"/>
        </w:numPr>
        <w:ind w:left="1134"/>
        <w:contextualSpacing w:val="0"/>
        <w:jc w:val="both"/>
        <w:rPr>
          <w:rFonts w:asciiTheme="minorHAnsi" w:hAnsiTheme="minorHAnsi" w:cs="Arial"/>
        </w:rPr>
      </w:pPr>
      <w:r w:rsidRPr="008531D2">
        <w:rPr>
          <w:rFonts w:ascii="Calibri" w:hAnsi="Calibri" w:cs="Calibri"/>
        </w:rPr>
        <w:t>Neocate Syneo</w:t>
      </w:r>
      <w:r w:rsidRPr="008531D2">
        <w:rPr>
          <w:rFonts w:asciiTheme="minorHAnsi" w:hAnsiTheme="minorHAnsi" w:cs="Arial"/>
          <w:bCs/>
        </w:rPr>
        <w:t>® has slightly less energy (1941 kJ) per 100g than the comparator Neocate Gold® (2020 kJ per 100g), due to the addition of synbiotics and nucleotid</w:t>
      </w:r>
      <w:r w:rsidR="005F4B36">
        <w:rPr>
          <w:rFonts w:asciiTheme="minorHAnsi" w:hAnsiTheme="minorHAnsi" w:cs="Arial"/>
          <w:bCs/>
        </w:rPr>
        <w:t>es in the form of dietary fibre.</w:t>
      </w:r>
    </w:p>
    <w:p w:rsidR="005F4B36" w:rsidRPr="005F4B36" w:rsidRDefault="005F4B36" w:rsidP="005F4B36">
      <w:pPr>
        <w:jc w:val="both"/>
        <w:rPr>
          <w:rFonts w:asciiTheme="minorHAnsi" w:hAnsiTheme="minorHAnsi" w:cs="Arial"/>
        </w:rPr>
      </w:pPr>
    </w:p>
    <w:p w:rsidR="007D725D" w:rsidRPr="008531D2" w:rsidRDefault="007D725D" w:rsidP="00836D17">
      <w:pPr>
        <w:pStyle w:val="ListParagraph"/>
        <w:numPr>
          <w:ilvl w:val="1"/>
          <w:numId w:val="28"/>
        </w:numPr>
        <w:ind w:left="1134"/>
        <w:contextualSpacing w:val="0"/>
        <w:jc w:val="both"/>
        <w:rPr>
          <w:rFonts w:asciiTheme="minorHAnsi" w:hAnsiTheme="minorHAnsi" w:cs="Arial"/>
        </w:rPr>
      </w:pPr>
      <w:r w:rsidRPr="008531D2">
        <w:rPr>
          <w:rFonts w:asciiTheme="minorHAnsi" w:hAnsiTheme="minorHAnsi" w:cs="Arial"/>
          <w:bCs/>
        </w:rPr>
        <w:t>The proposed additional $</w:t>
      </w:r>
      <w:r w:rsidR="007F25B6">
        <w:rPr>
          <w:rFonts w:asciiTheme="minorHAnsi" w:hAnsiTheme="minorHAnsi" w:cs="Arial"/>
          <w:bCs/>
          <w:noProof/>
          <w:color w:val="000000"/>
          <w:highlight w:val="black"/>
        </w:rPr>
        <w:t>'''''''''</w:t>
      </w:r>
      <w:r w:rsidRPr="008531D2">
        <w:rPr>
          <w:rFonts w:asciiTheme="minorHAnsi" w:hAnsiTheme="minorHAnsi" w:cs="Arial"/>
          <w:bCs/>
        </w:rPr>
        <w:t xml:space="preserve"> per can (at the AEMP level), although a small cost, was not justified, as the evidence presented in the submission did not support any additional clinical benefits in relation to the addition of symbiotic flora over the comparator.</w:t>
      </w:r>
    </w:p>
    <w:p w:rsidR="00C23C90" w:rsidRPr="008531D2" w:rsidRDefault="00C23C90" w:rsidP="00C23C90">
      <w:pPr>
        <w:pStyle w:val="ListParagraph"/>
        <w:rPr>
          <w:rFonts w:asciiTheme="minorHAnsi" w:hAnsiTheme="minorHAnsi" w:cs="Arial"/>
        </w:rPr>
      </w:pPr>
    </w:p>
    <w:p w:rsidR="00C23C90" w:rsidRPr="008531D2" w:rsidRDefault="00C23C90" w:rsidP="00836D17">
      <w:pPr>
        <w:pStyle w:val="ListParagraph"/>
        <w:numPr>
          <w:ilvl w:val="1"/>
          <w:numId w:val="28"/>
        </w:numPr>
        <w:ind w:left="1134"/>
        <w:contextualSpacing w:val="0"/>
        <w:jc w:val="both"/>
        <w:rPr>
          <w:rFonts w:asciiTheme="minorHAnsi" w:hAnsiTheme="minorHAnsi" w:cs="Arial"/>
        </w:rPr>
      </w:pPr>
      <w:r w:rsidRPr="008531D2">
        <w:rPr>
          <w:rFonts w:asciiTheme="minorHAnsi" w:hAnsiTheme="minorHAnsi" w:cs="Arial"/>
          <w:bCs/>
        </w:rPr>
        <w:t>The product is not suitable for use for short bowel syndrome in infants without a risk/benefit analysis from a health care professional and unless the patient is monitored.</w:t>
      </w:r>
    </w:p>
    <w:p w:rsidR="001F2451" w:rsidRPr="008531D2" w:rsidRDefault="001F2451" w:rsidP="001F2451">
      <w:pPr>
        <w:pStyle w:val="ListParagraph"/>
        <w:rPr>
          <w:rFonts w:asciiTheme="minorHAnsi" w:hAnsiTheme="minorHAnsi" w:cs="Arial"/>
        </w:rPr>
      </w:pPr>
    </w:p>
    <w:p w:rsidR="00AF593D" w:rsidRPr="008531D2" w:rsidRDefault="001F2451" w:rsidP="005D3098">
      <w:pPr>
        <w:ind w:left="720"/>
        <w:jc w:val="both"/>
        <w:rPr>
          <w:rFonts w:ascii="Calibri" w:hAnsi="Calibri" w:cs="Calibri"/>
        </w:rPr>
      </w:pPr>
      <w:r w:rsidRPr="008531D2">
        <w:rPr>
          <w:rFonts w:ascii="Calibri" w:hAnsi="Calibri" w:cs="Calibri"/>
        </w:rPr>
        <w:t>The NPWP supported the Authority required listing of Neocate Syneo</w:t>
      </w:r>
      <w:r w:rsidRPr="008531D2">
        <w:rPr>
          <w:rFonts w:asciiTheme="minorHAnsi" w:hAnsiTheme="minorHAnsi" w:cs="Arial"/>
          <w:bCs/>
        </w:rPr>
        <w:t>® on a cost-minimisation basis against Neocate Gold® for the dietary management of cow’s milk allergy (CMA), multiple protein food intolerance (MPFI) and other medical conditions where an elemental diet is required (e.g. eosinophilic oesophagitis)</w:t>
      </w:r>
      <w:r w:rsidRPr="008531D2">
        <w:rPr>
          <w:rFonts w:ascii="Calibri" w:hAnsi="Calibri" w:cs="Calibri"/>
        </w:rPr>
        <w:t>, at an equivalent price per kilojoule (kJ) of energy to the nominated comparator Neocate Gold®. The NPWP considered that an administrative note should be added to the restriction for short bowel syndrome advising clinicians of the need to complete a risk/benefit analysis prior to treatment and of a need to monitor the patient.</w:t>
      </w:r>
    </w:p>
    <w:p w:rsidR="001F2451" w:rsidRPr="00BB17B4" w:rsidRDefault="001F2451" w:rsidP="00A15C90">
      <w:pPr>
        <w:jc w:val="both"/>
        <w:rPr>
          <w:rFonts w:asciiTheme="minorHAnsi" w:hAnsiTheme="minorHAnsi" w:cs="Arial"/>
          <w:b/>
          <w:i/>
          <w:sz w:val="20"/>
          <w:szCs w:val="22"/>
        </w:rPr>
      </w:pPr>
    </w:p>
    <w:p w:rsidR="005A3173" w:rsidRPr="008531D2" w:rsidRDefault="005A3173" w:rsidP="00A3715D">
      <w:pPr>
        <w:pStyle w:val="Heading2"/>
        <w:rPr>
          <w:rFonts w:asciiTheme="minorHAnsi" w:hAnsiTheme="minorHAnsi" w:cs="Arial"/>
          <w:sz w:val="28"/>
          <w:szCs w:val="28"/>
        </w:rPr>
      </w:pPr>
      <w:r w:rsidRPr="008531D2">
        <w:rPr>
          <w:rFonts w:asciiTheme="minorHAnsi" w:hAnsiTheme="minorHAnsi" w:cs="Arial"/>
          <w:sz w:val="28"/>
          <w:szCs w:val="28"/>
        </w:rPr>
        <w:t>Estimated PBS usage &amp; financial implications</w:t>
      </w:r>
    </w:p>
    <w:p w:rsidR="005A3173" w:rsidRPr="00BB17B4" w:rsidRDefault="005A3173" w:rsidP="00882085">
      <w:pPr>
        <w:ind w:left="720" w:hanging="720"/>
        <w:jc w:val="both"/>
        <w:rPr>
          <w:rFonts w:asciiTheme="minorHAnsi" w:hAnsiTheme="minorHAnsi" w:cs="Arial"/>
          <w:b/>
          <w:i/>
          <w:sz w:val="22"/>
          <w:szCs w:val="22"/>
        </w:rPr>
      </w:pPr>
    </w:p>
    <w:p w:rsidR="007549A1" w:rsidRPr="008531D2" w:rsidRDefault="007549A1" w:rsidP="007549A1">
      <w:pPr>
        <w:pStyle w:val="ListParagraph"/>
        <w:numPr>
          <w:ilvl w:val="1"/>
          <w:numId w:val="2"/>
        </w:numPr>
        <w:spacing w:after="240"/>
        <w:jc w:val="both"/>
        <w:rPr>
          <w:rFonts w:asciiTheme="minorHAnsi" w:hAnsiTheme="minorHAnsi" w:cs="Arial"/>
          <w:color w:val="000000" w:themeColor="text1"/>
        </w:rPr>
      </w:pPr>
      <w:r w:rsidRPr="008531D2">
        <w:rPr>
          <w:rFonts w:asciiTheme="minorHAnsi" w:hAnsiTheme="minorHAnsi" w:cs="Arial"/>
          <w:color w:val="000000" w:themeColor="text1"/>
        </w:rPr>
        <w:t>The proposed DPMQs of Neocate Syneo® is $</w:t>
      </w:r>
      <w:r w:rsidR="007F25B6">
        <w:rPr>
          <w:rFonts w:asciiTheme="minorHAnsi" w:hAnsiTheme="minorHAnsi" w:cs="Arial"/>
          <w:noProof/>
          <w:color w:val="000000"/>
          <w:highlight w:val="black"/>
        </w:rPr>
        <w:t>'''''''''''''</w:t>
      </w:r>
      <w:r w:rsidRPr="008531D2">
        <w:rPr>
          <w:rFonts w:asciiTheme="minorHAnsi" w:hAnsiTheme="minorHAnsi" w:cs="Arial"/>
          <w:color w:val="000000" w:themeColor="text1"/>
        </w:rPr>
        <w:t xml:space="preserve"> for 8 cans and $</w:t>
      </w:r>
      <w:r w:rsidR="007F25B6">
        <w:rPr>
          <w:rFonts w:asciiTheme="minorHAnsi" w:hAnsiTheme="minorHAnsi" w:cs="Arial"/>
          <w:noProof/>
          <w:color w:val="000000"/>
          <w:highlight w:val="black"/>
        </w:rPr>
        <w:t>''''''''''''''</w:t>
      </w:r>
      <w:r w:rsidRPr="008531D2">
        <w:rPr>
          <w:rFonts w:asciiTheme="minorHAnsi" w:hAnsiTheme="minorHAnsi" w:cs="Arial"/>
          <w:color w:val="000000" w:themeColor="text1"/>
        </w:rPr>
        <w:t xml:space="preserve"> for 12 cans. These proposed DPMQ</w:t>
      </w:r>
      <w:r w:rsidR="00067865" w:rsidRPr="008531D2">
        <w:rPr>
          <w:rFonts w:asciiTheme="minorHAnsi" w:hAnsiTheme="minorHAnsi" w:cs="Arial"/>
          <w:color w:val="000000" w:themeColor="text1"/>
        </w:rPr>
        <w:t>s</w:t>
      </w:r>
      <w:r w:rsidRPr="008531D2">
        <w:rPr>
          <w:rFonts w:asciiTheme="minorHAnsi" w:hAnsiTheme="minorHAnsi" w:cs="Arial"/>
          <w:color w:val="000000" w:themeColor="text1"/>
        </w:rPr>
        <w:t xml:space="preserve"> are based on the</w:t>
      </w:r>
      <w:r w:rsidR="00067865" w:rsidRPr="008531D2">
        <w:rPr>
          <w:rFonts w:asciiTheme="minorHAnsi" w:hAnsiTheme="minorHAnsi" w:cs="Arial"/>
          <w:color w:val="000000" w:themeColor="text1"/>
        </w:rPr>
        <w:t xml:space="preserve"> cost-minimised price to</w:t>
      </w:r>
      <w:r w:rsidRPr="008531D2">
        <w:rPr>
          <w:rFonts w:asciiTheme="minorHAnsi" w:hAnsiTheme="minorHAnsi" w:cs="Arial"/>
          <w:color w:val="000000" w:themeColor="text1"/>
        </w:rPr>
        <w:t xml:space="preserve"> Neocate Gold® plus an additional $</w:t>
      </w:r>
      <w:r w:rsidR="007F25B6">
        <w:rPr>
          <w:rFonts w:asciiTheme="minorHAnsi" w:hAnsiTheme="minorHAnsi" w:cs="Arial"/>
          <w:noProof/>
          <w:color w:val="000000"/>
          <w:highlight w:val="black"/>
        </w:rPr>
        <w:t>''''''''</w:t>
      </w:r>
      <w:r w:rsidRPr="008531D2">
        <w:rPr>
          <w:rFonts w:asciiTheme="minorHAnsi" w:hAnsiTheme="minorHAnsi" w:cs="Arial"/>
          <w:color w:val="000000" w:themeColor="text1"/>
        </w:rPr>
        <w:t xml:space="preserve"> per can (at the AEMP level) to account for the increased manufacturing costs</w:t>
      </w:r>
      <w:r w:rsidR="002705FF" w:rsidRPr="008531D2">
        <w:rPr>
          <w:rFonts w:asciiTheme="minorHAnsi" w:hAnsiTheme="minorHAnsi" w:cs="Arial"/>
          <w:color w:val="000000" w:themeColor="text1"/>
        </w:rPr>
        <w:t xml:space="preserve"> from the addition of the synbiotics</w:t>
      </w:r>
      <w:r w:rsidRPr="008531D2">
        <w:rPr>
          <w:rFonts w:asciiTheme="minorHAnsi" w:hAnsiTheme="minorHAnsi" w:cs="Arial"/>
          <w:color w:val="000000" w:themeColor="text1"/>
        </w:rPr>
        <w:t>.</w:t>
      </w:r>
    </w:p>
    <w:p w:rsidR="005D3586" w:rsidRPr="008531D2" w:rsidRDefault="005D3586" w:rsidP="004D1FDB">
      <w:pPr>
        <w:pStyle w:val="ListParagraph"/>
        <w:spacing w:after="240"/>
        <w:jc w:val="both"/>
        <w:rPr>
          <w:rFonts w:asciiTheme="minorHAnsi" w:hAnsiTheme="minorHAnsi" w:cs="Arial"/>
          <w:color w:val="000000" w:themeColor="text1"/>
        </w:rPr>
      </w:pPr>
    </w:p>
    <w:p w:rsidR="007549A1" w:rsidRPr="008531D2" w:rsidRDefault="005D3586" w:rsidP="005D3586">
      <w:pPr>
        <w:pStyle w:val="ListParagraph"/>
        <w:numPr>
          <w:ilvl w:val="1"/>
          <w:numId w:val="2"/>
        </w:numPr>
        <w:spacing w:after="240"/>
        <w:contextualSpacing w:val="0"/>
        <w:jc w:val="both"/>
        <w:rPr>
          <w:rFonts w:asciiTheme="minorHAnsi" w:hAnsiTheme="minorHAnsi" w:cs="Arial"/>
          <w:color w:val="000000" w:themeColor="text1"/>
        </w:rPr>
      </w:pPr>
      <w:r w:rsidRPr="008531D2">
        <w:rPr>
          <w:rFonts w:asciiTheme="minorHAnsi" w:hAnsiTheme="minorHAnsi" w:cs="Arial"/>
          <w:color w:val="000000" w:themeColor="text1"/>
        </w:rPr>
        <w:t>It is noted that the AEMP per kJ is $</w:t>
      </w:r>
      <w:r w:rsidR="007F25B6">
        <w:rPr>
          <w:rFonts w:asciiTheme="minorHAnsi" w:hAnsiTheme="minorHAnsi" w:cs="Arial"/>
          <w:noProof/>
          <w:color w:val="000000"/>
          <w:highlight w:val="black"/>
        </w:rPr>
        <w:t>'''''''''''''</w:t>
      </w:r>
      <w:r w:rsidRPr="008531D2">
        <w:rPr>
          <w:rFonts w:asciiTheme="minorHAnsi" w:hAnsiTheme="minorHAnsi" w:cs="Arial"/>
          <w:color w:val="000000" w:themeColor="text1"/>
        </w:rPr>
        <w:t xml:space="preserve"> for Neocate Gold® and $</w:t>
      </w:r>
      <w:r w:rsidR="007F25B6">
        <w:rPr>
          <w:rFonts w:asciiTheme="minorHAnsi" w:hAnsiTheme="minorHAnsi" w:cs="Arial"/>
          <w:noProof/>
          <w:color w:val="000000"/>
          <w:highlight w:val="black"/>
        </w:rPr>
        <w:t>''''''''''''</w:t>
      </w:r>
      <w:r w:rsidRPr="008531D2">
        <w:rPr>
          <w:rFonts w:asciiTheme="minorHAnsi" w:hAnsiTheme="minorHAnsi" w:cs="Arial"/>
          <w:color w:val="000000" w:themeColor="text1"/>
        </w:rPr>
        <w:t xml:space="preserve"> for Neocate Syneo®.</w:t>
      </w:r>
    </w:p>
    <w:p w:rsidR="004903C4" w:rsidRPr="008531D2" w:rsidRDefault="001B65C1" w:rsidP="004903C4">
      <w:pPr>
        <w:pStyle w:val="ListParagraph"/>
        <w:numPr>
          <w:ilvl w:val="1"/>
          <w:numId w:val="2"/>
        </w:numPr>
        <w:spacing w:after="240"/>
        <w:contextualSpacing w:val="0"/>
        <w:jc w:val="both"/>
        <w:rPr>
          <w:rFonts w:asciiTheme="minorHAnsi" w:hAnsiTheme="minorHAnsi" w:cs="Arial"/>
          <w:color w:val="000000" w:themeColor="text1"/>
        </w:rPr>
      </w:pPr>
      <w:r w:rsidRPr="008531D2">
        <w:rPr>
          <w:rFonts w:asciiTheme="minorHAnsi" w:hAnsiTheme="minorHAnsi" w:cs="Arial"/>
          <w:color w:val="000000" w:themeColor="text1"/>
        </w:rPr>
        <w:t xml:space="preserve">The minor submission estimated a minimal financial impact to the PBS, reflective of the increased cost of </w:t>
      </w:r>
      <w:r w:rsidR="005D3586" w:rsidRPr="008531D2">
        <w:rPr>
          <w:rFonts w:asciiTheme="minorHAnsi" w:hAnsiTheme="minorHAnsi" w:cs="Arial"/>
          <w:color w:val="000000" w:themeColor="text1"/>
        </w:rPr>
        <w:t>manufacturing</w:t>
      </w:r>
      <w:r w:rsidR="002705FF" w:rsidRPr="008531D2">
        <w:rPr>
          <w:rFonts w:asciiTheme="minorHAnsi" w:hAnsiTheme="minorHAnsi" w:cs="Arial"/>
          <w:color w:val="000000" w:themeColor="text1"/>
        </w:rPr>
        <w:t>,</w:t>
      </w:r>
      <w:r w:rsidR="005D3586" w:rsidRPr="008531D2">
        <w:rPr>
          <w:rFonts w:asciiTheme="minorHAnsi" w:hAnsiTheme="minorHAnsi" w:cs="Arial"/>
          <w:color w:val="000000" w:themeColor="text1"/>
        </w:rPr>
        <w:t xml:space="preserve"> associated with the </w:t>
      </w:r>
      <w:r w:rsidRPr="008531D2">
        <w:rPr>
          <w:rFonts w:asciiTheme="minorHAnsi" w:hAnsiTheme="minorHAnsi" w:cs="Arial"/>
          <w:color w:val="000000" w:themeColor="text1"/>
        </w:rPr>
        <w:t xml:space="preserve">added synbiotics and nucleotides in Neocate Syneo®. </w:t>
      </w:r>
    </w:p>
    <w:p w:rsidR="00C02D3A" w:rsidRPr="008531D2" w:rsidRDefault="00382FE3" w:rsidP="00533DD5">
      <w:pPr>
        <w:pStyle w:val="ListParagraph"/>
        <w:numPr>
          <w:ilvl w:val="1"/>
          <w:numId w:val="2"/>
        </w:numPr>
        <w:spacing w:after="240"/>
        <w:contextualSpacing w:val="0"/>
        <w:jc w:val="both"/>
        <w:rPr>
          <w:rFonts w:asciiTheme="minorHAnsi" w:hAnsiTheme="minorHAnsi" w:cs="Arial"/>
          <w:color w:val="000000" w:themeColor="text1"/>
        </w:rPr>
      </w:pPr>
      <w:r w:rsidRPr="008531D2">
        <w:rPr>
          <w:rFonts w:asciiTheme="minorHAnsi" w:hAnsiTheme="minorHAnsi" w:cs="Arial"/>
          <w:color w:val="000000" w:themeColor="text1"/>
        </w:rPr>
        <w:t xml:space="preserve">The total net cost to the PBS is estimated to be </w:t>
      </w:r>
      <w:r w:rsidR="00533DD5" w:rsidRPr="00533DD5">
        <w:rPr>
          <w:rFonts w:asciiTheme="minorHAnsi" w:hAnsiTheme="minorHAnsi" w:cs="Arial"/>
          <w:color w:val="000000" w:themeColor="text1"/>
        </w:rPr>
        <w:t xml:space="preserve">substantially less than $10 million dollars </w:t>
      </w:r>
      <w:r w:rsidRPr="008531D2">
        <w:rPr>
          <w:rFonts w:asciiTheme="minorHAnsi" w:hAnsiTheme="minorHAnsi" w:cs="Arial"/>
          <w:color w:val="000000" w:themeColor="text1"/>
        </w:rPr>
        <w:t xml:space="preserve">by year five. </w:t>
      </w:r>
      <w:r w:rsidR="004903C4" w:rsidRPr="008531D2">
        <w:rPr>
          <w:rFonts w:asciiTheme="minorHAnsi" w:hAnsiTheme="minorHAnsi" w:cs="Arial"/>
          <w:color w:val="000000" w:themeColor="text1"/>
        </w:rPr>
        <w:t xml:space="preserve">No other costs or cost offsets to the Government </w:t>
      </w:r>
      <w:r w:rsidR="001265E3" w:rsidRPr="008531D2">
        <w:rPr>
          <w:rFonts w:asciiTheme="minorHAnsi" w:hAnsiTheme="minorHAnsi" w:cs="Arial"/>
          <w:color w:val="000000" w:themeColor="text1"/>
        </w:rPr>
        <w:t>were</w:t>
      </w:r>
      <w:r w:rsidR="004903C4" w:rsidRPr="008531D2">
        <w:rPr>
          <w:rFonts w:asciiTheme="minorHAnsi" w:hAnsiTheme="minorHAnsi" w:cs="Arial"/>
          <w:color w:val="000000" w:themeColor="text1"/>
        </w:rPr>
        <w:t xml:space="preserve"> anticipated by the sponsor. </w:t>
      </w:r>
    </w:p>
    <w:p w:rsidR="00C94810" w:rsidRPr="008531D2" w:rsidRDefault="00E62864" w:rsidP="00E62864">
      <w:pPr>
        <w:ind w:left="720"/>
        <w:jc w:val="both"/>
        <w:rPr>
          <w:rFonts w:asciiTheme="minorHAnsi" w:hAnsiTheme="minorHAnsi" w:cs="Arial"/>
        </w:rPr>
      </w:pPr>
      <w:r w:rsidRPr="008531D2">
        <w:rPr>
          <w:rFonts w:asciiTheme="minorHAnsi" w:hAnsiTheme="minorHAnsi"/>
          <w:i/>
        </w:rPr>
        <w:t xml:space="preserve">For more detail on PBAC’s view, see section </w:t>
      </w:r>
      <w:r w:rsidR="001D3422" w:rsidRPr="008531D2">
        <w:rPr>
          <w:rFonts w:asciiTheme="minorHAnsi" w:hAnsiTheme="minorHAnsi"/>
          <w:i/>
        </w:rPr>
        <w:t>6</w:t>
      </w:r>
      <w:r w:rsidRPr="008531D2">
        <w:rPr>
          <w:rFonts w:asciiTheme="minorHAnsi" w:hAnsiTheme="minorHAnsi"/>
          <w:i/>
        </w:rPr>
        <w:t xml:space="preserve"> “PBAC outcome.”</w:t>
      </w:r>
    </w:p>
    <w:p w:rsidR="00BB17B4" w:rsidRDefault="00BB17B4">
      <w:pPr>
        <w:rPr>
          <w:rFonts w:asciiTheme="minorHAnsi" w:hAnsiTheme="minorHAnsi" w:cs="Arial"/>
          <w:sz w:val="22"/>
          <w:szCs w:val="22"/>
        </w:rPr>
      </w:pPr>
    </w:p>
    <w:p w:rsidR="0009288C" w:rsidRPr="008531D2" w:rsidRDefault="00EB2E81" w:rsidP="0009288C">
      <w:pPr>
        <w:pStyle w:val="Heading1"/>
        <w:numPr>
          <w:ilvl w:val="0"/>
          <w:numId w:val="2"/>
        </w:numPr>
        <w:rPr>
          <w:rFonts w:asciiTheme="minorHAnsi" w:hAnsiTheme="minorHAnsi" w:cs="Arial"/>
          <w:sz w:val="32"/>
          <w:szCs w:val="32"/>
        </w:rPr>
      </w:pPr>
      <w:r w:rsidRPr="008531D2">
        <w:rPr>
          <w:rFonts w:asciiTheme="minorHAnsi" w:hAnsiTheme="minorHAnsi" w:cs="Arial"/>
          <w:i/>
          <w:sz w:val="28"/>
          <w:szCs w:val="28"/>
        </w:rPr>
        <w:t xml:space="preserve"> </w:t>
      </w:r>
      <w:r w:rsidR="0009288C" w:rsidRPr="008531D2">
        <w:rPr>
          <w:rFonts w:asciiTheme="minorHAnsi" w:hAnsiTheme="minorHAnsi" w:cs="Arial"/>
          <w:sz w:val="32"/>
          <w:szCs w:val="32"/>
        </w:rPr>
        <w:t xml:space="preserve">PBAC Outcome </w:t>
      </w:r>
    </w:p>
    <w:p w:rsidR="00201C31" w:rsidRPr="00BB17B4" w:rsidRDefault="00201C31" w:rsidP="00201C31">
      <w:pPr>
        <w:rPr>
          <w:rFonts w:asciiTheme="minorHAnsi" w:hAnsiTheme="minorHAnsi" w:cs="Arial"/>
          <w:sz w:val="22"/>
          <w:szCs w:val="22"/>
        </w:rPr>
      </w:pPr>
    </w:p>
    <w:p w:rsidR="005D3098" w:rsidRPr="008531D2" w:rsidRDefault="005D3098" w:rsidP="00201C31">
      <w:pPr>
        <w:pStyle w:val="ListParagraph"/>
        <w:numPr>
          <w:ilvl w:val="1"/>
          <w:numId w:val="2"/>
        </w:numPr>
        <w:spacing w:after="240"/>
        <w:contextualSpacing w:val="0"/>
        <w:jc w:val="both"/>
        <w:rPr>
          <w:rFonts w:asciiTheme="minorHAnsi" w:hAnsiTheme="minorHAnsi"/>
          <w:b/>
        </w:rPr>
      </w:pPr>
      <w:r w:rsidRPr="008531D2">
        <w:rPr>
          <w:rFonts w:asciiTheme="minorHAnsi" w:hAnsiTheme="minorHAnsi" w:cs="Arial"/>
          <w:bCs/>
          <w:snapToGrid w:val="0"/>
        </w:rPr>
        <w:t xml:space="preserve">The PBAC recommended the Authority Required listing of Neocate </w:t>
      </w:r>
      <w:r w:rsidR="005E4C57" w:rsidRPr="008531D2">
        <w:rPr>
          <w:rFonts w:asciiTheme="minorHAnsi" w:hAnsiTheme="minorHAnsi" w:cs="Arial"/>
          <w:bCs/>
          <w:snapToGrid w:val="0"/>
        </w:rPr>
        <w:t>Syneo</w:t>
      </w:r>
      <w:r w:rsidRPr="008531D2">
        <w:rPr>
          <w:rFonts w:asciiTheme="minorHAnsi" w:hAnsiTheme="minorHAnsi" w:cs="Arial"/>
          <w:bCs/>
          <w:snapToGrid w:val="0"/>
        </w:rPr>
        <w:t>®, for the treatment of: cows’</w:t>
      </w:r>
      <w:r w:rsidRPr="008531D2">
        <w:rPr>
          <w:rFonts w:asciiTheme="minorHAnsi" w:hAnsiTheme="minorHAnsi"/>
        </w:rPr>
        <w:t xml:space="preserve"> </w:t>
      </w:r>
      <w:r w:rsidRPr="008531D2">
        <w:rPr>
          <w:rFonts w:asciiTheme="minorHAnsi" w:hAnsiTheme="minorHAnsi" w:cs="Arial"/>
          <w:bCs/>
          <w:snapToGrid w:val="0"/>
        </w:rPr>
        <w:t>milk protein enteropathy;</w:t>
      </w:r>
      <w:r w:rsidRPr="008531D2">
        <w:rPr>
          <w:rFonts w:asciiTheme="minorHAnsi" w:hAnsiTheme="minorHAnsi"/>
        </w:rPr>
        <w:t xml:space="preserve"> severe cows' milk protein enteropathy with failure to thrive; combined intolerance to cows' milk protein, soy protein and protein hydrolysate formula; proven combined immunoglobulin E (IgE) mediated allergy to cows' milk protein and soy protein; eosinophilic oesophagitis (EoE); cows' milk anaphylaxis and; severe intestinal malabsorption including short bowel syndrome; </w:t>
      </w:r>
      <w:r w:rsidRPr="008531D2">
        <w:rPr>
          <w:rFonts w:asciiTheme="minorHAnsi" w:hAnsiTheme="minorHAnsi" w:cs="Arial"/>
          <w:bCs/>
          <w:snapToGrid w:val="0"/>
        </w:rPr>
        <w:t>on a cost-minimisation basis to</w:t>
      </w:r>
      <w:r w:rsidRPr="008531D2">
        <w:rPr>
          <w:rFonts w:asciiTheme="minorHAnsi" w:hAnsiTheme="minorHAnsi"/>
        </w:rPr>
        <w:t xml:space="preserve"> </w:t>
      </w:r>
      <w:r w:rsidR="00CB29EB" w:rsidRPr="008531D2">
        <w:rPr>
          <w:rFonts w:asciiTheme="minorHAnsi" w:hAnsiTheme="minorHAnsi"/>
        </w:rPr>
        <w:t>Neocate Gold</w:t>
      </w:r>
      <w:r w:rsidRPr="008531D2">
        <w:rPr>
          <w:rFonts w:asciiTheme="minorHAnsi" w:hAnsiTheme="minorHAnsi"/>
        </w:rPr>
        <w:t>®</w:t>
      </w:r>
      <w:r w:rsidR="004E0CB9">
        <w:rPr>
          <w:rFonts w:asciiTheme="minorHAnsi" w:hAnsiTheme="minorHAnsi"/>
        </w:rPr>
        <w:t>, at an equivalent price per kilojoule of energy.</w:t>
      </w:r>
      <w:r w:rsidRPr="008531D2">
        <w:rPr>
          <w:rFonts w:asciiTheme="minorHAnsi" w:hAnsiTheme="minorHAnsi"/>
        </w:rPr>
        <w:t xml:space="preserve"> </w:t>
      </w:r>
    </w:p>
    <w:p w:rsidR="00201C31" w:rsidRPr="008531D2" w:rsidRDefault="00201C31" w:rsidP="00201C31">
      <w:pPr>
        <w:pStyle w:val="ListParagraph"/>
        <w:numPr>
          <w:ilvl w:val="1"/>
          <w:numId w:val="2"/>
        </w:numPr>
        <w:spacing w:after="240"/>
        <w:contextualSpacing w:val="0"/>
        <w:jc w:val="both"/>
        <w:rPr>
          <w:rFonts w:asciiTheme="minorHAnsi" w:hAnsiTheme="minorHAnsi"/>
          <w:b/>
        </w:rPr>
      </w:pPr>
      <w:r w:rsidRPr="008531D2">
        <w:rPr>
          <w:rFonts w:asciiTheme="minorHAnsi" w:hAnsiTheme="minorHAnsi"/>
        </w:rPr>
        <w:t>The PBAC noted the advice of the NPWP supported the listing of Neocate Syneo</w:t>
      </w:r>
      <w:r w:rsidRPr="008531D2">
        <w:rPr>
          <w:rFonts w:asciiTheme="minorHAnsi" w:hAnsiTheme="minorHAnsi" w:cs="Arial"/>
          <w:bCs/>
          <w:snapToGrid w:val="0"/>
        </w:rPr>
        <w:t>®</w:t>
      </w:r>
      <w:r w:rsidRPr="008531D2">
        <w:rPr>
          <w:rFonts w:asciiTheme="minorHAnsi" w:hAnsiTheme="minorHAnsi"/>
        </w:rPr>
        <w:t xml:space="preserve"> on the PBS. </w:t>
      </w:r>
    </w:p>
    <w:p w:rsidR="00201C31" w:rsidRPr="008531D2" w:rsidRDefault="00201C31" w:rsidP="00201C31">
      <w:pPr>
        <w:pStyle w:val="ListParagraph"/>
        <w:numPr>
          <w:ilvl w:val="1"/>
          <w:numId w:val="2"/>
        </w:numPr>
        <w:spacing w:after="240"/>
        <w:contextualSpacing w:val="0"/>
        <w:jc w:val="both"/>
        <w:rPr>
          <w:rFonts w:asciiTheme="minorHAnsi" w:hAnsiTheme="minorHAnsi"/>
          <w:b/>
        </w:rPr>
      </w:pPr>
      <w:r w:rsidRPr="008531D2">
        <w:rPr>
          <w:rFonts w:asciiTheme="minorHAnsi" w:hAnsiTheme="minorHAnsi"/>
        </w:rPr>
        <w:t>The PBAC considered that Neocate Gold</w:t>
      </w:r>
      <w:r w:rsidRPr="008531D2">
        <w:rPr>
          <w:rFonts w:asciiTheme="minorHAnsi" w:hAnsiTheme="minorHAnsi" w:cs="Arial"/>
          <w:bCs/>
          <w:snapToGrid w:val="0"/>
        </w:rPr>
        <w:t>®</w:t>
      </w:r>
      <w:r w:rsidRPr="008531D2">
        <w:rPr>
          <w:rFonts w:asciiTheme="minorHAnsi" w:hAnsiTheme="minorHAnsi"/>
        </w:rPr>
        <w:t xml:space="preserve"> </w:t>
      </w:r>
      <w:r w:rsidRPr="008531D2">
        <w:rPr>
          <w:rFonts w:asciiTheme="minorHAnsi" w:hAnsiTheme="minorHAnsi" w:cs="Arial"/>
        </w:rPr>
        <w:t xml:space="preserve">was the appropriate main comparator. </w:t>
      </w:r>
    </w:p>
    <w:p w:rsidR="00201C31" w:rsidRPr="008531D2" w:rsidRDefault="00201C31" w:rsidP="00201C31">
      <w:pPr>
        <w:pStyle w:val="ListParagraph"/>
        <w:numPr>
          <w:ilvl w:val="1"/>
          <w:numId w:val="2"/>
        </w:numPr>
        <w:spacing w:after="240"/>
        <w:contextualSpacing w:val="0"/>
        <w:jc w:val="both"/>
        <w:rPr>
          <w:rFonts w:asciiTheme="minorHAnsi" w:hAnsiTheme="minorHAnsi" w:cs="Arial"/>
        </w:rPr>
      </w:pPr>
      <w:r w:rsidRPr="008531D2">
        <w:rPr>
          <w:rFonts w:asciiTheme="minorHAnsi" w:hAnsiTheme="minorHAnsi" w:cs="Arial"/>
          <w:bCs/>
          <w:snapToGrid w:val="0"/>
        </w:rPr>
        <w:t xml:space="preserve">The PBAC noted that the proposed maximum quantity and number of repeats is consistent with the main comparator </w:t>
      </w:r>
      <w:r w:rsidRPr="008531D2">
        <w:rPr>
          <w:rFonts w:asciiTheme="minorHAnsi" w:hAnsiTheme="minorHAnsi"/>
        </w:rPr>
        <w:t>Neocate Gold</w:t>
      </w:r>
      <w:r w:rsidRPr="008531D2">
        <w:rPr>
          <w:rFonts w:asciiTheme="minorHAnsi" w:hAnsiTheme="minorHAnsi" w:cs="Arial"/>
        </w:rPr>
        <w:t xml:space="preserve">® currently listed on the PBS. </w:t>
      </w:r>
    </w:p>
    <w:p w:rsidR="00201C31" w:rsidRPr="008531D2" w:rsidRDefault="00201C31" w:rsidP="00201C31">
      <w:pPr>
        <w:pStyle w:val="ListParagraph"/>
        <w:numPr>
          <w:ilvl w:val="1"/>
          <w:numId w:val="2"/>
        </w:numPr>
        <w:contextualSpacing w:val="0"/>
        <w:jc w:val="both"/>
        <w:rPr>
          <w:rFonts w:asciiTheme="minorHAnsi" w:hAnsiTheme="minorHAnsi" w:cs="Arial"/>
        </w:rPr>
      </w:pPr>
      <w:r w:rsidRPr="008531D2">
        <w:rPr>
          <w:rFonts w:asciiTheme="minorHAnsi" w:hAnsiTheme="minorHAnsi" w:cs="Arial"/>
          <w:bCs/>
          <w:snapToGrid w:val="0"/>
        </w:rPr>
        <w:t xml:space="preserve">The PBAC agreed with the NPWP’s advice </w:t>
      </w:r>
      <w:r w:rsidR="005E4C57" w:rsidRPr="008531D2">
        <w:rPr>
          <w:rFonts w:asciiTheme="minorHAnsi" w:hAnsiTheme="minorHAnsi" w:cs="Arial"/>
          <w:bCs/>
        </w:rPr>
        <w:t>that the product is not suitable for use for short bowel syndrome in infants without a risk/benefit analysis from a health care professional and unless the patient is monitored. The PBAC advised that an administrative note should be added to the restriction for short bowel syndrome</w:t>
      </w:r>
      <w:r w:rsidR="00486FF3" w:rsidRPr="008531D2">
        <w:rPr>
          <w:rFonts w:asciiTheme="minorHAnsi" w:hAnsiTheme="minorHAnsi" w:cs="Arial"/>
          <w:bCs/>
        </w:rPr>
        <w:t xml:space="preserve"> advising clinicians of this issue. </w:t>
      </w:r>
    </w:p>
    <w:p w:rsidR="00201C31" w:rsidRPr="008531D2" w:rsidRDefault="00201C31" w:rsidP="00201C31">
      <w:pPr>
        <w:pStyle w:val="ListParagraph"/>
        <w:contextualSpacing w:val="0"/>
        <w:jc w:val="both"/>
        <w:rPr>
          <w:rFonts w:asciiTheme="minorHAnsi" w:hAnsiTheme="minorHAnsi" w:cs="Arial"/>
        </w:rPr>
      </w:pPr>
    </w:p>
    <w:p w:rsidR="00201C31" w:rsidRPr="008531D2" w:rsidRDefault="00201C31" w:rsidP="00201C31">
      <w:pPr>
        <w:pStyle w:val="ListParagraph"/>
        <w:numPr>
          <w:ilvl w:val="1"/>
          <w:numId w:val="2"/>
        </w:numPr>
        <w:spacing w:after="240"/>
        <w:contextualSpacing w:val="0"/>
        <w:jc w:val="both"/>
        <w:rPr>
          <w:rFonts w:asciiTheme="minorHAnsi" w:hAnsiTheme="minorHAnsi" w:cs="Arial"/>
          <w:color w:val="000000" w:themeColor="text1"/>
        </w:rPr>
      </w:pPr>
      <w:r w:rsidRPr="008531D2">
        <w:rPr>
          <w:rFonts w:asciiTheme="minorHAnsi" w:hAnsiTheme="minorHAnsi" w:cs="Arial"/>
        </w:rPr>
        <w:t xml:space="preserve">The PBAC noted </w:t>
      </w:r>
      <w:r w:rsidR="00B24534" w:rsidRPr="008531D2">
        <w:rPr>
          <w:rFonts w:asciiTheme="minorHAnsi" w:hAnsiTheme="minorHAnsi" w:cs="Arial"/>
        </w:rPr>
        <w:t>that</w:t>
      </w:r>
      <w:r w:rsidR="00486FF3" w:rsidRPr="008531D2">
        <w:rPr>
          <w:rFonts w:asciiTheme="minorHAnsi" w:hAnsiTheme="minorHAnsi" w:cs="Arial"/>
        </w:rPr>
        <w:t xml:space="preserve"> </w:t>
      </w:r>
      <w:r w:rsidRPr="008531D2">
        <w:rPr>
          <w:rFonts w:asciiTheme="minorHAnsi" w:hAnsiTheme="minorHAnsi" w:cs="Arial"/>
          <w:color w:val="000000" w:themeColor="text1"/>
        </w:rPr>
        <w:t>the Pre-PBAC response</w:t>
      </w:r>
      <w:r w:rsidR="001265E3" w:rsidRPr="008531D2">
        <w:rPr>
          <w:rFonts w:asciiTheme="minorHAnsi" w:hAnsiTheme="minorHAnsi" w:cs="Arial"/>
          <w:color w:val="000000" w:themeColor="text1"/>
        </w:rPr>
        <w:t xml:space="preserve"> claimed </w:t>
      </w:r>
      <w:r w:rsidR="00B24534" w:rsidRPr="008531D2">
        <w:rPr>
          <w:rFonts w:asciiTheme="minorHAnsi" w:hAnsiTheme="minorHAnsi" w:cs="Arial"/>
          <w:color w:val="000000" w:themeColor="text1"/>
        </w:rPr>
        <w:t>the proposed additional manufacturing cost of $</w:t>
      </w:r>
      <w:r w:rsidR="007F25B6">
        <w:rPr>
          <w:rFonts w:asciiTheme="minorHAnsi" w:hAnsiTheme="minorHAnsi" w:cs="Arial"/>
          <w:noProof/>
          <w:color w:val="000000"/>
          <w:highlight w:val="black"/>
        </w:rPr>
        <w:t>'''''''''</w:t>
      </w:r>
      <w:r w:rsidR="00B24534" w:rsidRPr="008531D2">
        <w:rPr>
          <w:rFonts w:asciiTheme="minorHAnsi" w:hAnsiTheme="minorHAnsi" w:cs="Arial"/>
          <w:color w:val="000000" w:themeColor="text1"/>
        </w:rPr>
        <w:t xml:space="preserve"> per can was </w:t>
      </w:r>
      <w:r w:rsidR="00376A22" w:rsidRPr="008531D2">
        <w:rPr>
          <w:rFonts w:asciiTheme="minorHAnsi" w:hAnsiTheme="minorHAnsi" w:cs="Arial"/>
          <w:color w:val="000000" w:themeColor="text1"/>
        </w:rPr>
        <w:t xml:space="preserve">attributed to </w:t>
      </w:r>
      <w:r w:rsidR="00B24534" w:rsidRPr="008531D2">
        <w:rPr>
          <w:rFonts w:asciiTheme="minorHAnsi" w:hAnsiTheme="minorHAnsi" w:cs="Arial"/>
          <w:color w:val="000000" w:themeColor="text1"/>
        </w:rPr>
        <w:t>manufacturing</w:t>
      </w:r>
      <w:r w:rsidR="00376A22" w:rsidRPr="008531D2">
        <w:rPr>
          <w:rFonts w:asciiTheme="minorHAnsi" w:hAnsiTheme="minorHAnsi" w:cs="Arial"/>
          <w:color w:val="000000" w:themeColor="text1"/>
        </w:rPr>
        <w:t xml:space="preserve"> costs</w:t>
      </w:r>
      <w:r w:rsidR="00B24534" w:rsidRPr="008531D2">
        <w:rPr>
          <w:rFonts w:asciiTheme="minorHAnsi" w:hAnsiTheme="minorHAnsi" w:cs="Arial"/>
          <w:color w:val="000000" w:themeColor="text1"/>
        </w:rPr>
        <w:t xml:space="preserve"> associated with added synbiotics and nucleotides </w:t>
      </w:r>
      <w:r w:rsidR="00376A22" w:rsidRPr="008531D2">
        <w:rPr>
          <w:rFonts w:asciiTheme="minorHAnsi" w:hAnsiTheme="minorHAnsi" w:cs="Arial"/>
          <w:color w:val="000000" w:themeColor="text1"/>
        </w:rPr>
        <w:t>only and not to a claim of additional benefit</w:t>
      </w:r>
      <w:r w:rsidR="00961A42" w:rsidRPr="008531D2">
        <w:rPr>
          <w:rFonts w:asciiTheme="minorHAnsi" w:hAnsiTheme="minorHAnsi" w:cs="Arial"/>
          <w:color w:val="000000" w:themeColor="text1"/>
        </w:rPr>
        <w:t>. However, the PBAC considered that any additional cost</w:t>
      </w:r>
      <w:r w:rsidR="008A4BA5" w:rsidRPr="008531D2">
        <w:rPr>
          <w:rFonts w:asciiTheme="minorHAnsi" w:hAnsiTheme="minorHAnsi" w:cs="Arial"/>
          <w:color w:val="000000" w:themeColor="text1"/>
        </w:rPr>
        <w:t xml:space="preserve"> in addition to the cost minimised price</w:t>
      </w:r>
      <w:r w:rsidR="00961A42" w:rsidRPr="008531D2">
        <w:rPr>
          <w:rFonts w:asciiTheme="minorHAnsi" w:hAnsiTheme="minorHAnsi" w:cs="Arial"/>
          <w:color w:val="000000" w:themeColor="text1"/>
        </w:rPr>
        <w:t xml:space="preserve"> in the absence of </w:t>
      </w:r>
      <w:r w:rsidR="00003C8A" w:rsidRPr="008531D2">
        <w:rPr>
          <w:rFonts w:asciiTheme="minorHAnsi" w:hAnsiTheme="minorHAnsi" w:cs="Arial"/>
          <w:color w:val="000000" w:themeColor="text1"/>
        </w:rPr>
        <w:t xml:space="preserve">supportive </w:t>
      </w:r>
      <w:r w:rsidR="00961A42" w:rsidRPr="008531D2">
        <w:rPr>
          <w:rFonts w:asciiTheme="minorHAnsi" w:hAnsiTheme="minorHAnsi" w:cs="Arial"/>
          <w:color w:val="000000" w:themeColor="text1"/>
        </w:rPr>
        <w:t xml:space="preserve">evidence of additional benefit was not justified. </w:t>
      </w:r>
    </w:p>
    <w:p w:rsidR="00201C31" w:rsidRPr="008531D2" w:rsidRDefault="00201C31" w:rsidP="00201C31">
      <w:pPr>
        <w:pStyle w:val="ListParagraph"/>
        <w:numPr>
          <w:ilvl w:val="1"/>
          <w:numId w:val="2"/>
        </w:numPr>
        <w:spacing w:after="240"/>
        <w:contextualSpacing w:val="0"/>
        <w:jc w:val="both"/>
        <w:rPr>
          <w:rFonts w:asciiTheme="minorHAnsi" w:hAnsiTheme="minorHAnsi"/>
          <w:b/>
        </w:rPr>
      </w:pPr>
      <w:r w:rsidRPr="008531D2">
        <w:rPr>
          <w:rFonts w:asciiTheme="minorHAnsi" w:hAnsiTheme="minorHAnsi"/>
        </w:rPr>
        <w:t>The PBAC recommended that the Early Supply Rule should not apply as it has been the PBAC’s view that general nutrients</w:t>
      </w:r>
      <w:r w:rsidR="0059716D" w:rsidRPr="008531D2">
        <w:rPr>
          <w:rFonts w:asciiTheme="minorHAnsi" w:hAnsiTheme="minorHAnsi"/>
        </w:rPr>
        <w:t xml:space="preserve"> should</w:t>
      </w:r>
      <w:r w:rsidRPr="008531D2">
        <w:rPr>
          <w:rFonts w:asciiTheme="minorHAnsi" w:hAnsiTheme="minorHAnsi"/>
        </w:rPr>
        <w:t xml:space="preserve"> be exempt. </w:t>
      </w:r>
    </w:p>
    <w:p w:rsidR="00201C31" w:rsidRPr="008531D2" w:rsidRDefault="00201C31" w:rsidP="00201C31">
      <w:pPr>
        <w:pStyle w:val="ListParagraph"/>
        <w:numPr>
          <w:ilvl w:val="1"/>
          <w:numId w:val="2"/>
        </w:numPr>
        <w:spacing w:before="100" w:beforeAutospacing="1" w:after="240"/>
        <w:contextualSpacing w:val="0"/>
        <w:jc w:val="both"/>
        <w:rPr>
          <w:rFonts w:asciiTheme="minorHAnsi" w:hAnsiTheme="minorHAnsi"/>
          <w:b/>
        </w:rPr>
      </w:pPr>
      <w:r w:rsidRPr="008531D2">
        <w:rPr>
          <w:rFonts w:asciiTheme="minorHAnsi" w:hAnsiTheme="minorHAnsi"/>
        </w:rPr>
        <w:t>The PBAC recommended that Neocate Syneo</w:t>
      </w:r>
      <w:r w:rsidRPr="008531D2">
        <w:rPr>
          <w:rFonts w:asciiTheme="minorHAnsi" w:hAnsiTheme="minorHAnsi" w:cs="Arial"/>
          <w:bCs/>
          <w:snapToGrid w:val="0"/>
        </w:rPr>
        <w:t>®</w:t>
      </w:r>
      <w:r w:rsidRPr="008531D2">
        <w:rPr>
          <w:rFonts w:asciiTheme="minorHAnsi" w:hAnsiTheme="minorHAnsi"/>
        </w:rPr>
        <w:t xml:space="preserve"> is suitable for prescribing by nurse </w:t>
      </w:r>
      <w:r w:rsidR="00BB17B4" w:rsidRPr="008531D2">
        <w:rPr>
          <w:rFonts w:asciiTheme="minorHAnsi" w:hAnsiTheme="minorHAnsi"/>
        </w:rPr>
        <w:t>practitioners,</w:t>
      </w:r>
      <w:r w:rsidRPr="008531D2">
        <w:rPr>
          <w:rFonts w:asciiTheme="minorHAnsi" w:hAnsiTheme="minorHAnsi"/>
        </w:rPr>
        <w:t xml:space="preserve"> as nutritional products are currently included for prescribing by nurse practitioners.</w:t>
      </w:r>
    </w:p>
    <w:p w:rsidR="00201C31" w:rsidRPr="008531D2" w:rsidRDefault="00201C31" w:rsidP="00201C31">
      <w:pPr>
        <w:pStyle w:val="ListParagraph"/>
        <w:numPr>
          <w:ilvl w:val="1"/>
          <w:numId w:val="2"/>
        </w:numPr>
        <w:spacing w:before="100" w:beforeAutospacing="1" w:after="240"/>
        <w:contextualSpacing w:val="0"/>
        <w:jc w:val="both"/>
        <w:rPr>
          <w:rFonts w:asciiTheme="minorHAnsi" w:hAnsiTheme="minorHAnsi"/>
        </w:rPr>
      </w:pPr>
      <w:r w:rsidRPr="008531D2">
        <w:rPr>
          <w:rFonts w:asciiTheme="minorHAnsi" w:hAnsiTheme="minorHAnsi"/>
        </w:rPr>
        <w:t>In accordance with Section 101 (3BA) of the National Health Act, the PBAC advised that on the basis of the material available to its March 2017 meeting, Neocate Syneo</w:t>
      </w:r>
      <w:r w:rsidRPr="008531D2">
        <w:rPr>
          <w:rFonts w:asciiTheme="minorHAnsi" w:hAnsiTheme="minorHAnsi" w:cs="Arial"/>
          <w:bCs/>
          <w:snapToGrid w:val="0"/>
        </w:rPr>
        <w:t xml:space="preserve">® </w:t>
      </w:r>
      <w:r w:rsidR="0059716D" w:rsidRPr="008531D2">
        <w:rPr>
          <w:rFonts w:asciiTheme="minorHAnsi" w:hAnsiTheme="minorHAnsi" w:cs="Arial"/>
          <w:bCs/>
          <w:snapToGrid w:val="0"/>
        </w:rPr>
        <w:t xml:space="preserve">should </w:t>
      </w:r>
      <w:r w:rsidRPr="008531D2">
        <w:rPr>
          <w:rFonts w:asciiTheme="minorHAnsi" w:hAnsiTheme="minorHAnsi" w:cs="Arial"/>
          <w:bCs/>
          <w:snapToGrid w:val="0"/>
        </w:rPr>
        <w:t xml:space="preserve">be treated as interchangeable on an individual patient basis with any other similar nutritional product. </w:t>
      </w:r>
    </w:p>
    <w:p w:rsidR="00201C31" w:rsidRPr="008531D2" w:rsidRDefault="00201C31" w:rsidP="00201C31">
      <w:pPr>
        <w:pStyle w:val="ListParagraph"/>
        <w:numPr>
          <w:ilvl w:val="1"/>
          <w:numId w:val="2"/>
        </w:numPr>
        <w:contextualSpacing w:val="0"/>
        <w:jc w:val="both"/>
        <w:rPr>
          <w:rFonts w:asciiTheme="minorHAnsi" w:hAnsiTheme="minorHAnsi"/>
        </w:rPr>
      </w:pPr>
      <w:r w:rsidRPr="008531D2">
        <w:rPr>
          <w:rFonts w:asciiTheme="minorHAnsi" w:hAnsiTheme="minorHAnsi"/>
        </w:rPr>
        <w:t xml:space="preserve">The PBAC noted that this submission was not eligible for an Independent Review, as it had received a positive recommendation.  </w:t>
      </w:r>
    </w:p>
    <w:p w:rsidR="00201C31" w:rsidRPr="008531D2" w:rsidRDefault="00201C31" w:rsidP="0009288C"/>
    <w:p w:rsidR="00FD6711" w:rsidRDefault="00FD6711" w:rsidP="00F12550">
      <w:pPr>
        <w:widowControl w:val="0"/>
        <w:jc w:val="both"/>
        <w:rPr>
          <w:rFonts w:asciiTheme="minorHAnsi" w:hAnsiTheme="minorHAnsi" w:cs="Arial"/>
          <w:b/>
          <w:bCs/>
          <w:snapToGrid w:val="0"/>
          <w:sz w:val="28"/>
          <w:szCs w:val="28"/>
          <w:lang w:eastAsia="en-US"/>
        </w:rPr>
      </w:pPr>
    </w:p>
    <w:p w:rsidR="00F12550" w:rsidRPr="00F12550" w:rsidRDefault="00F12550" w:rsidP="00F12550">
      <w:pPr>
        <w:widowControl w:val="0"/>
        <w:jc w:val="both"/>
        <w:rPr>
          <w:rFonts w:asciiTheme="minorHAnsi" w:hAnsiTheme="minorHAnsi" w:cs="Arial"/>
          <w:b/>
          <w:bCs/>
          <w:snapToGrid w:val="0"/>
          <w:sz w:val="28"/>
          <w:szCs w:val="28"/>
          <w:lang w:eastAsia="en-US"/>
        </w:rPr>
      </w:pPr>
      <w:r w:rsidRPr="00F12550">
        <w:rPr>
          <w:rFonts w:asciiTheme="minorHAnsi" w:hAnsiTheme="minorHAnsi" w:cs="Arial"/>
          <w:b/>
          <w:bCs/>
          <w:snapToGrid w:val="0"/>
          <w:sz w:val="28"/>
          <w:szCs w:val="28"/>
          <w:lang w:eastAsia="en-US"/>
        </w:rPr>
        <w:t>Outcome:</w:t>
      </w:r>
    </w:p>
    <w:p w:rsidR="00F12550" w:rsidRPr="00F12550" w:rsidRDefault="00F12550" w:rsidP="00F12550">
      <w:pPr>
        <w:widowControl w:val="0"/>
        <w:jc w:val="both"/>
        <w:rPr>
          <w:rFonts w:asciiTheme="minorHAnsi" w:hAnsiTheme="minorHAnsi" w:cs="Arial"/>
          <w:bCs/>
          <w:snapToGrid w:val="0"/>
          <w:lang w:eastAsia="en-US"/>
        </w:rPr>
      </w:pPr>
      <w:r w:rsidRPr="00F12550">
        <w:rPr>
          <w:rFonts w:asciiTheme="minorHAnsi" w:hAnsiTheme="minorHAnsi" w:cs="Arial"/>
          <w:bCs/>
          <w:snapToGrid w:val="0"/>
          <w:lang w:eastAsia="en-US"/>
        </w:rPr>
        <w:t xml:space="preserve">Recommended </w:t>
      </w:r>
    </w:p>
    <w:p w:rsidR="0009288C" w:rsidRPr="00BB17B4" w:rsidRDefault="0009288C" w:rsidP="0009288C">
      <w:pPr>
        <w:widowControl w:val="0"/>
        <w:spacing w:after="120"/>
        <w:jc w:val="both"/>
        <w:rPr>
          <w:rFonts w:asciiTheme="minorHAnsi" w:hAnsiTheme="minorHAnsi" w:cs="Arial"/>
          <w:bCs/>
          <w:snapToGrid w:val="0"/>
          <w:sz w:val="22"/>
          <w:szCs w:val="22"/>
          <w:highlight w:val="yellow"/>
          <w:lang w:eastAsia="en-US"/>
        </w:rPr>
      </w:pPr>
    </w:p>
    <w:p w:rsidR="0009288C" w:rsidRPr="008531D2" w:rsidRDefault="0009288C" w:rsidP="00C17D42">
      <w:pPr>
        <w:widowControl w:val="0"/>
        <w:numPr>
          <w:ilvl w:val="0"/>
          <w:numId w:val="2"/>
        </w:numPr>
        <w:spacing w:before="240" w:after="120"/>
        <w:jc w:val="both"/>
        <w:outlineLvl w:val="0"/>
        <w:rPr>
          <w:rFonts w:asciiTheme="minorHAnsi" w:hAnsiTheme="minorHAnsi" w:cs="Arial"/>
          <w:b/>
          <w:bCs/>
          <w:i/>
          <w:snapToGrid w:val="0"/>
          <w:sz w:val="32"/>
          <w:szCs w:val="32"/>
          <w:lang w:eastAsia="en-US"/>
        </w:rPr>
      </w:pPr>
      <w:r w:rsidRPr="008531D2">
        <w:rPr>
          <w:rFonts w:asciiTheme="minorHAnsi" w:hAnsiTheme="minorHAnsi" w:cs="Arial"/>
          <w:b/>
          <w:bCs/>
          <w:snapToGrid w:val="0"/>
          <w:sz w:val="32"/>
          <w:szCs w:val="32"/>
          <w:lang w:eastAsia="en-US"/>
        </w:rPr>
        <w:t>Recommended listing</w:t>
      </w:r>
    </w:p>
    <w:p w:rsidR="0009288C" w:rsidRPr="005F4B36" w:rsidRDefault="0009288C" w:rsidP="0009288C">
      <w:pPr>
        <w:widowControl w:val="0"/>
        <w:spacing w:after="120"/>
        <w:ind w:firstLine="720"/>
        <w:jc w:val="both"/>
        <w:rPr>
          <w:rFonts w:asciiTheme="minorHAnsi" w:hAnsiTheme="minorHAnsi" w:cs="Arial"/>
          <w:bCs/>
          <w:snapToGrid w:val="0"/>
          <w:lang w:eastAsia="en-US"/>
        </w:rPr>
      </w:pPr>
      <w:r w:rsidRPr="005F4B36">
        <w:rPr>
          <w:rFonts w:asciiTheme="minorHAnsi" w:hAnsiTheme="minorHAnsi" w:cs="Arial"/>
          <w:bCs/>
          <w:snapToGrid w:val="0"/>
          <w:lang w:eastAsia="en-US"/>
        </w:rPr>
        <w:t>Add new item:</w:t>
      </w:r>
    </w:p>
    <w:p w:rsidR="00517BDA" w:rsidRPr="00BB17B4" w:rsidRDefault="00517BDA" w:rsidP="0009288C">
      <w:pPr>
        <w:widowControl w:val="0"/>
        <w:spacing w:after="120"/>
        <w:ind w:firstLine="720"/>
        <w:jc w:val="both"/>
        <w:rPr>
          <w:rFonts w:asciiTheme="minorHAnsi" w:hAnsiTheme="minorHAnsi" w:cs="Arial"/>
          <w:bCs/>
          <w:snapToGrid w:val="0"/>
          <w:sz w:val="22"/>
          <w:szCs w:val="22"/>
          <w:highlight w:val="yellow"/>
          <w:lang w:eastAsia="en-US"/>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517BDA" w:rsidRPr="00BB17B4" w:rsidTr="00E05F54">
        <w:trPr>
          <w:cantSplit/>
          <w:trHeight w:val="471"/>
        </w:trPr>
        <w:tc>
          <w:tcPr>
            <w:tcW w:w="3119" w:type="dxa"/>
            <w:gridSpan w:val="2"/>
            <w:tcBorders>
              <w:bottom w:val="single" w:sz="4" w:space="0" w:color="auto"/>
            </w:tcBorders>
          </w:tcPr>
          <w:p w:rsidR="00517BDA" w:rsidRPr="00BB17B4" w:rsidRDefault="00517BDA" w:rsidP="005E568F">
            <w:pPr>
              <w:keepNext/>
              <w:ind w:left="-108"/>
              <w:jc w:val="both"/>
              <w:rPr>
                <w:rFonts w:ascii="Arial Narrow" w:hAnsi="Arial Narrow" w:cs="Arial"/>
                <w:b/>
                <w:sz w:val="20"/>
                <w:szCs w:val="20"/>
              </w:rPr>
            </w:pPr>
            <w:r w:rsidRPr="00BB17B4">
              <w:rPr>
                <w:rFonts w:ascii="Arial Narrow" w:hAnsi="Arial Narrow" w:cs="Arial"/>
                <w:b/>
                <w:sz w:val="20"/>
                <w:szCs w:val="20"/>
              </w:rPr>
              <w:t>Name, Restriction,</w:t>
            </w:r>
          </w:p>
          <w:p w:rsidR="00517BDA" w:rsidRPr="00BB17B4" w:rsidRDefault="00517BDA" w:rsidP="005E568F">
            <w:pPr>
              <w:keepNext/>
              <w:ind w:left="-108"/>
              <w:jc w:val="both"/>
              <w:rPr>
                <w:rFonts w:ascii="Arial Narrow" w:hAnsi="Arial Narrow" w:cs="Arial"/>
                <w:b/>
                <w:sz w:val="20"/>
                <w:szCs w:val="20"/>
              </w:rPr>
            </w:pPr>
            <w:r w:rsidRPr="00BB17B4">
              <w:rPr>
                <w:rFonts w:ascii="Arial Narrow" w:hAnsi="Arial Narrow" w:cs="Arial"/>
                <w:b/>
                <w:sz w:val="20"/>
                <w:szCs w:val="20"/>
              </w:rPr>
              <w:t>Manner of administration and form</w:t>
            </w:r>
          </w:p>
        </w:tc>
        <w:tc>
          <w:tcPr>
            <w:tcW w:w="850" w:type="dxa"/>
            <w:tcBorders>
              <w:bottom w:val="single" w:sz="4" w:space="0" w:color="auto"/>
            </w:tcBorders>
          </w:tcPr>
          <w:p w:rsidR="00517BDA" w:rsidRPr="00BB17B4" w:rsidRDefault="00517BDA" w:rsidP="005E568F">
            <w:pPr>
              <w:keepNext/>
              <w:ind w:left="-108"/>
              <w:jc w:val="both"/>
              <w:rPr>
                <w:rFonts w:ascii="Arial Narrow" w:hAnsi="Arial Narrow" w:cs="Arial"/>
                <w:b/>
                <w:sz w:val="20"/>
                <w:szCs w:val="20"/>
              </w:rPr>
            </w:pPr>
            <w:r w:rsidRPr="00BB17B4">
              <w:rPr>
                <w:rFonts w:ascii="Arial Narrow" w:hAnsi="Arial Narrow" w:cs="Arial"/>
                <w:b/>
                <w:sz w:val="20"/>
                <w:szCs w:val="20"/>
              </w:rPr>
              <w:t>Max.</w:t>
            </w:r>
          </w:p>
          <w:p w:rsidR="00517BDA" w:rsidRPr="00BB17B4" w:rsidRDefault="00517BDA" w:rsidP="005E568F">
            <w:pPr>
              <w:keepNext/>
              <w:ind w:left="-108"/>
              <w:jc w:val="both"/>
              <w:rPr>
                <w:rFonts w:ascii="Arial Narrow" w:hAnsi="Arial Narrow" w:cs="Arial"/>
                <w:b/>
                <w:sz w:val="20"/>
                <w:szCs w:val="20"/>
              </w:rPr>
            </w:pPr>
            <w:r w:rsidRPr="00BB17B4">
              <w:rPr>
                <w:rFonts w:ascii="Arial Narrow" w:hAnsi="Arial Narrow" w:cs="Arial"/>
                <w:b/>
                <w:sz w:val="20"/>
                <w:szCs w:val="20"/>
              </w:rPr>
              <w:t>Qty</w:t>
            </w:r>
          </w:p>
        </w:tc>
        <w:tc>
          <w:tcPr>
            <w:tcW w:w="709" w:type="dxa"/>
            <w:tcBorders>
              <w:bottom w:val="single" w:sz="4" w:space="0" w:color="auto"/>
            </w:tcBorders>
          </w:tcPr>
          <w:p w:rsidR="00517BDA" w:rsidRPr="00BB17B4" w:rsidRDefault="00517BDA" w:rsidP="005E568F">
            <w:pPr>
              <w:keepNext/>
              <w:ind w:left="-108"/>
              <w:jc w:val="both"/>
              <w:rPr>
                <w:rFonts w:ascii="Arial Narrow" w:hAnsi="Arial Narrow" w:cs="Arial"/>
                <w:b/>
                <w:sz w:val="20"/>
                <w:szCs w:val="20"/>
              </w:rPr>
            </w:pPr>
            <w:r w:rsidRPr="00BB17B4">
              <w:rPr>
                <w:rFonts w:ascii="Arial Narrow" w:hAnsi="Arial Narrow" w:cs="Arial"/>
                <w:b/>
                <w:sz w:val="20"/>
                <w:szCs w:val="20"/>
              </w:rPr>
              <w:t>№.of</w:t>
            </w:r>
          </w:p>
          <w:p w:rsidR="00517BDA" w:rsidRPr="00BB17B4" w:rsidRDefault="00517BDA" w:rsidP="005E568F">
            <w:pPr>
              <w:keepNext/>
              <w:ind w:left="-108"/>
              <w:jc w:val="both"/>
              <w:rPr>
                <w:rFonts w:ascii="Arial Narrow" w:hAnsi="Arial Narrow" w:cs="Arial"/>
                <w:b/>
                <w:sz w:val="20"/>
                <w:szCs w:val="20"/>
              </w:rPr>
            </w:pPr>
            <w:r w:rsidRPr="00BB17B4">
              <w:rPr>
                <w:rFonts w:ascii="Arial Narrow" w:hAnsi="Arial Narrow" w:cs="Arial"/>
                <w:b/>
                <w:sz w:val="20"/>
                <w:szCs w:val="20"/>
              </w:rPr>
              <w:t>Rpts</w:t>
            </w:r>
          </w:p>
        </w:tc>
        <w:tc>
          <w:tcPr>
            <w:tcW w:w="3685" w:type="dxa"/>
            <w:gridSpan w:val="2"/>
            <w:tcBorders>
              <w:bottom w:val="single" w:sz="4" w:space="0" w:color="auto"/>
            </w:tcBorders>
          </w:tcPr>
          <w:p w:rsidR="00517BDA" w:rsidRPr="004C4D7A" w:rsidRDefault="00517BDA" w:rsidP="005E568F">
            <w:pPr>
              <w:keepNext/>
              <w:jc w:val="both"/>
              <w:rPr>
                <w:rFonts w:ascii="Arial Narrow" w:hAnsi="Arial Narrow" w:cs="Arial"/>
                <w:b/>
                <w:sz w:val="20"/>
                <w:szCs w:val="20"/>
              </w:rPr>
            </w:pPr>
            <w:r w:rsidRPr="00BB17B4">
              <w:rPr>
                <w:rFonts w:ascii="Arial Narrow" w:hAnsi="Arial Narrow" w:cs="Arial"/>
                <w:b/>
                <w:sz w:val="20"/>
                <w:szCs w:val="20"/>
              </w:rPr>
              <w:t>Proprietary Name and Manufacturer</w:t>
            </w:r>
          </w:p>
        </w:tc>
      </w:tr>
      <w:tr w:rsidR="00517BDA" w:rsidRPr="00BB17B4" w:rsidTr="00E05F54">
        <w:trPr>
          <w:cantSplit/>
          <w:trHeight w:val="577"/>
        </w:trPr>
        <w:tc>
          <w:tcPr>
            <w:tcW w:w="3119" w:type="dxa"/>
            <w:gridSpan w:val="2"/>
          </w:tcPr>
          <w:p w:rsidR="00517BDA" w:rsidRPr="00BB17B4" w:rsidRDefault="00517BDA" w:rsidP="005E568F">
            <w:pPr>
              <w:keepNext/>
              <w:ind w:left="-108"/>
              <w:rPr>
                <w:rFonts w:ascii="Arial Narrow" w:hAnsi="Arial Narrow" w:cs="Arial"/>
                <w:smallCaps/>
                <w:sz w:val="20"/>
                <w:szCs w:val="20"/>
              </w:rPr>
            </w:pPr>
            <w:r w:rsidRPr="00BB17B4">
              <w:rPr>
                <w:rFonts w:ascii="Arial Narrow" w:hAnsi="Arial Narrow" w:cs="Arial"/>
                <w:smallCaps/>
                <w:sz w:val="20"/>
                <w:szCs w:val="20"/>
              </w:rPr>
              <w:t>AMINO ACID FORMULA SUPPLEMENTED WITH PREBIOTICS, PROBIOTICS AND LONG CHAIN POLYUNSATURATED FATTY ACIDS</w:t>
            </w:r>
          </w:p>
          <w:p w:rsidR="00517BDA" w:rsidRPr="00BB17B4" w:rsidRDefault="00517BDA" w:rsidP="005E568F">
            <w:pPr>
              <w:keepNext/>
              <w:ind w:left="-108"/>
              <w:jc w:val="both"/>
              <w:rPr>
                <w:rFonts w:ascii="Arial Narrow" w:hAnsi="Arial Narrow" w:cs="Arial"/>
                <w:sz w:val="20"/>
                <w:szCs w:val="20"/>
              </w:rPr>
            </w:pPr>
            <w:r w:rsidRPr="00BB17B4">
              <w:rPr>
                <w:rFonts w:ascii="Arial Narrow" w:hAnsi="Arial Narrow" w:cs="Arial"/>
                <w:sz w:val="20"/>
                <w:szCs w:val="20"/>
              </w:rPr>
              <w:t>power for oral liquid, 400g</w:t>
            </w:r>
          </w:p>
        </w:tc>
        <w:tc>
          <w:tcPr>
            <w:tcW w:w="850" w:type="dxa"/>
          </w:tcPr>
          <w:p w:rsidR="00517BDA" w:rsidRPr="00BB17B4" w:rsidRDefault="00517BDA" w:rsidP="005E568F">
            <w:pPr>
              <w:keepNext/>
              <w:ind w:left="-108"/>
              <w:jc w:val="both"/>
              <w:rPr>
                <w:rFonts w:ascii="Arial Narrow" w:hAnsi="Arial Narrow" w:cs="Arial"/>
                <w:sz w:val="20"/>
                <w:szCs w:val="20"/>
              </w:rPr>
            </w:pPr>
          </w:p>
          <w:p w:rsidR="00517BDA" w:rsidRPr="00BB17B4" w:rsidRDefault="00517BDA" w:rsidP="005E568F">
            <w:pPr>
              <w:keepNext/>
              <w:ind w:left="-108"/>
              <w:jc w:val="both"/>
              <w:rPr>
                <w:rFonts w:ascii="Arial Narrow" w:hAnsi="Arial Narrow" w:cs="Arial"/>
                <w:sz w:val="20"/>
                <w:szCs w:val="20"/>
              </w:rPr>
            </w:pPr>
            <w:r w:rsidRPr="00BB17B4">
              <w:rPr>
                <w:rFonts w:ascii="Arial Narrow" w:hAnsi="Arial Narrow" w:cs="Arial"/>
                <w:sz w:val="20"/>
                <w:szCs w:val="20"/>
              </w:rPr>
              <w:t>8</w:t>
            </w:r>
          </w:p>
        </w:tc>
        <w:tc>
          <w:tcPr>
            <w:tcW w:w="709" w:type="dxa"/>
          </w:tcPr>
          <w:p w:rsidR="00517BDA" w:rsidRPr="00BB17B4" w:rsidRDefault="00517BDA" w:rsidP="005E568F">
            <w:pPr>
              <w:keepNext/>
              <w:ind w:left="-108"/>
              <w:jc w:val="both"/>
              <w:rPr>
                <w:rFonts w:ascii="Arial Narrow" w:hAnsi="Arial Narrow" w:cs="Arial"/>
                <w:sz w:val="20"/>
                <w:szCs w:val="20"/>
              </w:rPr>
            </w:pPr>
          </w:p>
          <w:p w:rsidR="00517BDA" w:rsidRPr="00BB17B4" w:rsidRDefault="00517BDA" w:rsidP="005E568F">
            <w:pPr>
              <w:keepNext/>
              <w:ind w:left="-108"/>
              <w:jc w:val="both"/>
              <w:rPr>
                <w:rFonts w:ascii="Arial Narrow" w:hAnsi="Arial Narrow" w:cs="Arial"/>
                <w:sz w:val="20"/>
                <w:szCs w:val="20"/>
              </w:rPr>
            </w:pPr>
            <w:r w:rsidRPr="00BB17B4">
              <w:rPr>
                <w:rFonts w:ascii="Arial Narrow" w:hAnsi="Arial Narrow" w:cs="Arial"/>
                <w:sz w:val="20"/>
                <w:szCs w:val="20"/>
              </w:rPr>
              <w:t>5</w:t>
            </w:r>
          </w:p>
        </w:tc>
        <w:tc>
          <w:tcPr>
            <w:tcW w:w="1275" w:type="dxa"/>
          </w:tcPr>
          <w:p w:rsidR="00517BDA" w:rsidRPr="00BB17B4" w:rsidRDefault="00517BDA" w:rsidP="005E568F">
            <w:pPr>
              <w:keepNext/>
              <w:jc w:val="both"/>
              <w:rPr>
                <w:rFonts w:ascii="Arial Narrow" w:hAnsi="Arial Narrow" w:cs="Arial"/>
                <w:sz w:val="20"/>
                <w:szCs w:val="20"/>
              </w:rPr>
            </w:pPr>
          </w:p>
          <w:p w:rsidR="00517BDA" w:rsidRPr="00BB17B4" w:rsidRDefault="00517BDA" w:rsidP="005E568F">
            <w:pPr>
              <w:keepNext/>
              <w:jc w:val="both"/>
              <w:rPr>
                <w:rFonts w:ascii="Arial Narrow" w:hAnsi="Arial Narrow" w:cs="Arial"/>
                <w:sz w:val="20"/>
                <w:szCs w:val="20"/>
              </w:rPr>
            </w:pPr>
            <w:r w:rsidRPr="00BB17B4">
              <w:rPr>
                <w:rFonts w:ascii="Arial Narrow" w:hAnsi="Arial Narrow" w:cs="Arial"/>
                <w:sz w:val="20"/>
                <w:szCs w:val="20"/>
              </w:rPr>
              <w:t>Neocate Syneo®</w:t>
            </w:r>
          </w:p>
        </w:tc>
        <w:tc>
          <w:tcPr>
            <w:tcW w:w="2410" w:type="dxa"/>
          </w:tcPr>
          <w:p w:rsidR="00517BDA" w:rsidRPr="00BB17B4" w:rsidRDefault="00517BDA" w:rsidP="005E568F">
            <w:pPr>
              <w:keepNext/>
              <w:jc w:val="both"/>
              <w:rPr>
                <w:rFonts w:ascii="Arial Narrow" w:hAnsi="Arial Narrow" w:cs="Arial"/>
                <w:sz w:val="20"/>
                <w:szCs w:val="20"/>
              </w:rPr>
            </w:pPr>
          </w:p>
          <w:p w:rsidR="00517BDA" w:rsidRPr="00BB17B4" w:rsidRDefault="00517BDA" w:rsidP="005E568F">
            <w:pPr>
              <w:keepNext/>
              <w:jc w:val="both"/>
              <w:rPr>
                <w:rFonts w:ascii="Arial Narrow" w:hAnsi="Arial Narrow" w:cs="Arial"/>
                <w:sz w:val="20"/>
                <w:szCs w:val="20"/>
              </w:rPr>
            </w:pPr>
            <w:r w:rsidRPr="00BB17B4">
              <w:rPr>
                <w:rFonts w:ascii="Arial Narrow" w:hAnsi="Arial Narrow" w:cs="Arial"/>
                <w:sz w:val="20"/>
                <w:szCs w:val="20"/>
              </w:rPr>
              <w:t>Nutricia Australia Pty Ltd</w:t>
            </w:r>
          </w:p>
        </w:tc>
      </w:tr>
      <w:tr w:rsidR="00517BDA" w:rsidRPr="00BB17B4" w:rsidTr="005E568F">
        <w:trPr>
          <w:cantSplit/>
          <w:trHeight w:val="360"/>
        </w:trPr>
        <w:tc>
          <w:tcPr>
            <w:tcW w:w="8363" w:type="dxa"/>
            <w:gridSpan w:val="6"/>
            <w:tcBorders>
              <w:bottom w:val="single" w:sz="4" w:space="0" w:color="auto"/>
            </w:tcBorders>
          </w:tcPr>
          <w:p w:rsidR="00517BDA" w:rsidRPr="00BB17B4" w:rsidRDefault="00517BDA" w:rsidP="005E568F">
            <w:pPr>
              <w:jc w:val="both"/>
              <w:rPr>
                <w:rFonts w:ascii="Arial Narrow" w:hAnsi="Arial Narrow" w:cs="Arial"/>
                <w:sz w:val="20"/>
                <w:szCs w:val="20"/>
              </w:rPr>
            </w:pP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 xml:space="preserve">Category / </w:t>
            </w:r>
          </w:p>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GENERAL – General Schedule (Code GE)</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Check1"/>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Dental  </w:t>
            </w: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Medical Practitioners  </w:t>
            </w:r>
            <w:r w:rsidRPr="004C4D7A">
              <w:rPr>
                <w:rFonts w:ascii="Arial Narrow" w:hAnsi="Arial Narrow" w:cs="Arial"/>
                <w:sz w:val="20"/>
                <w:szCs w:val="20"/>
              </w:rPr>
              <w:fldChar w:fldCharType="begin">
                <w:ffData>
                  <w:name w:val="Check3"/>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Nurse practitioners  </w:t>
            </w:r>
            <w:r w:rsidRPr="004C4D7A">
              <w:rPr>
                <w:rFonts w:ascii="Arial Narrow" w:hAnsi="Arial Narrow" w:cs="Arial"/>
                <w:sz w:val="20"/>
                <w:szCs w:val="20"/>
              </w:rPr>
              <w:fldChar w:fldCharType="begin">
                <w:ffData>
                  <w:name w:val=""/>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Optometrists</w:t>
            </w:r>
          </w:p>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Check5"/>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Midwives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Restriction Level / Method:</w:t>
            </w:r>
          </w:p>
          <w:p w:rsidR="00517BDA" w:rsidRPr="00BB17B4" w:rsidRDefault="00517BDA" w:rsidP="005E568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In Writing</w:t>
            </w:r>
          </w:p>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Telephone</w:t>
            </w:r>
          </w:p>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Emergency</w:t>
            </w:r>
          </w:p>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Check5"/>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Electronic</w:t>
            </w:r>
          </w:p>
        </w:tc>
      </w:tr>
    </w:tbl>
    <w:p w:rsidR="00517BDA" w:rsidRPr="00BB17B4" w:rsidRDefault="00517BDA" w:rsidP="00517BDA"/>
    <w:p w:rsidR="00517BDA" w:rsidRPr="00BB17B4" w:rsidRDefault="00517BDA" w:rsidP="00517BDA"/>
    <w:p w:rsidR="00517BDA" w:rsidRPr="00BB17B4" w:rsidRDefault="00517BDA" w:rsidP="00517BDA"/>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Cows' milk anaphylaxis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b/>
                <w:sz w:val="20"/>
                <w:szCs w:val="20"/>
              </w:rPr>
            </w:pPr>
            <w:r w:rsidRPr="00BB17B4">
              <w:rPr>
                <w:rFonts w:ascii="Arial Narrow" w:hAnsi="Arial Narrow" w:cs="Arial"/>
                <w:b/>
                <w:sz w:val="20"/>
                <w:szCs w:val="20"/>
              </w:rPr>
              <w:t>Treatment criteria:</w:t>
            </w:r>
          </w:p>
          <w:p w:rsidR="00517BDA" w:rsidRPr="00BB17B4" w:rsidRDefault="00517BDA" w:rsidP="005E568F">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Must be treated by a specialist allergist or clinical immunologist, or in consultation with a specialist allergist or clinical immunologist.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be up to the age of 24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Anaphylaxis is defined as a severe and/or potentially life threatening allergic reaction.</w:t>
            </w:r>
          </w:p>
          <w:p w:rsidR="00517BDA" w:rsidRPr="00BB17B4" w:rsidRDefault="00517BDA" w:rsidP="005E568F">
            <w:pPr>
              <w:rPr>
                <w:rFonts w:ascii="Arial Narrow" w:hAnsi="Arial Narrow" w:cs="Arial"/>
                <w:sz w:val="20"/>
                <w:szCs w:val="20"/>
              </w:rPr>
            </w:pP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p w:rsidR="00517BDA" w:rsidRPr="00BB17B4" w:rsidRDefault="00517BDA" w:rsidP="005E568F">
            <w:pPr>
              <w:jc w:val="both"/>
              <w:rPr>
                <w:rFonts w:ascii="Arial Narrow" w:hAnsi="Arial Narrow" w:cs="Arial"/>
                <w:b/>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Cows' milk protein enteropathy</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Treatment phase:</w:t>
            </w:r>
          </w:p>
          <w:p w:rsidR="00517BDA" w:rsidRPr="00BB17B4" w:rsidRDefault="00517BDA" w:rsidP="005E568F">
            <w:pPr>
              <w:keepNext/>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 xml:space="preserve">Initial treatment for up to 6 months </w:t>
            </w:r>
          </w:p>
          <w:p w:rsidR="00517BDA" w:rsidRPr="00BB17B4" w:rsidRDefault="00517BDA" w:rsidP="005E568F">
            <w:pPr>
              <w:keepNext/>
              <w:rPr>
                <w:rFonts w:ascii="Arial Narrow" w:hAnsi="Arial Narrow" w:cs="Arial"/>
                <w:sz w:val="20"/>
                <w:szCs w:val="20"/>
              </w:rPr>
            </w:pP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b/>
                <w:sz w:val="20"/>
                <w:szCs w:val="20"/>
              </w:rPr>
            </w:pPr>
            <w:r w:rsidRPr="00BB17B4">
              <w:rPr>
                <w:rFonts w:ascii="Arial Narrow" w:hAnsi="Arial Narrow" w:cs="Arial"/>
                <w:b/>
                <w:sz w:val="20"/>
                <w:szCs w:val="20"/>
              </w:rPr>
              <w:t>Treatment criteria:</w:t>
            </w:r>
          </w:p>
          <w:p w:rsidR="00517BDA" w:rsidRPr="00BB17B4" w:rsidRDefault="00517BDA" w:rsidP="005E568F">
            <w:pPr>
              <w:rPr>
                <w:rFonts w:ascii="Arial Narrow" w:hAnsi="Arial Narrow" w:cs="Arial"/>
                <w:i/>
                <w:sz w:val="20"/>
                <w:szCs w:val="20"/>
              </w:rPr>
            </w:pPr>
          </w:p>
          <w:p w:rsidR="00517BDA" w:rsidRPr="00BB17B4" w:rsidRDefault="00517BDA" w:rsidP="005E568F">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Clinical criteria:</w:t>
            </w:r>
          </w:p>
          <w:p w:rsidR="00517BDA" w:rsidRPr="00BB17B4" w:rsidRDefault="00517BDA" w:rsidP="005E568F">
            <w:pPr>
              <w:jc w:val="both"/>
              <w:rPr>
                <w:rFonts w:ascii="Arial Narrow" w:hAnsi="Arial Narrow" w:cs="Arial"/>
                <w:i/>
                <w:sz w:val="20"/>
                <w:szCs w:val="20"/>
              </w:rPr>
            </w:pPr>
          </w:p>
          <w:p w:rsidR="00517BDA" w:rsidRPr="00BB17B4" w:rsidRDefault="00517BDA" w:rsidP="005E568F">
            <w:pPr>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condition must not be isolated infant colic or reflux,</w:t>
            </w:r>
          </w:p>
          <w:p w:rsidR="00517BDA" w:rsidRPr="00BB17B4" w:rsidRDefault="00517BDA" w:rsidP="005E568F">
            <w:pPr>
              <w:rPr>
                <w:rFonts w:ascii="Arial Narrow" w:hAnsi="Arial Narrow" w:cs="Arial"/>
                <w:bCs/>
                <w:sz w:val="20"/>
                <w:szCs w:val="20"/>
              </w:rPr>
            </w:pPr>
            <w:r w:rsidRPr="00BB17B4">
              <w:rPr>
                <w:rFonts w:ascii="Arial Narrow" w:hAnsi="Arial Narrow" w:cs="Arial"/>
                <w:bCs/>
                <w:sz w:val="20"/>
                <w:szCs w:val="20"/>
              </w:rPr>
              <w:t>AND</w:t>
            </w: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be up to the age of 24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p w:rsidR="00517BDA" w:rsidRPr="00BB17B4" w:rsidRDefault="00517BDA" w:rsidP="005E568F">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No increase in the maximum quantity or number of units may be authorised.</w:t>
            </w: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No increase in the maximum number of repeats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Cows' milk protein enteropathy</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Continuing treatment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have an appointment to be assessed by one of these specialists.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The condition must not be isolated infant colic or reflux,</w:t>
            </w:r>
          </w:p>
          <w:p w:rsidR="00517BDA" w:rsidRPr="00BB17B4" w:rsidRDefault="00517BDA" w:rsidP="005E568F">
            <w:pPr>
              <w:keepNext/>
              <w:rPr>
                <w:rFonts w:ascii="Arial Narrow" w:hAnsi="Arial Narrow" w:cs="Arial"/>
                <w:sz w:val="20"/>
                <w:szCs w:val="20"/>
              </w:rPr>
            </w:pPr>
          </w:p>
          <w:p w:rsidR="00517BDA" w:rsidRPr="00BB17B4" w:rsidRDefault="00517BDA" w:rsidP="005E568F">
            <w:pPr>
              <w:keepNext/>
              <w:rPr>
                <w:rFonts w:ascii="Arial Narrow" w:hAnsi="Arial Narrow" w:cs="Arial"/>
                <w:bCs/>
                <w:sz w:val="20"/>
                <w:szCs w:val="20"/>
              </w:rPr>
            </w:pPr>
            <w:r w:rsidRPr="00BB17B4">
              <w:rPr>
                <w:rFonts w:ascii="Arial Narrow" w:hAnsi="Arial Narrow" w:cs="Arial"/>
                <w:bCs/>
                <w:sz w:val="20"/>
                <w:szCs w:val="20"/>
              </w:rPr>
              <w:t>AND</w:t>
            </w:r>
          </w:p>
          <w:p w:rsidR="00517BDA" w:rsidRPr="00BB17B4" w:rsidRDefault="00517BDA" w:rsidP="005E568F">
            <w:pPr>
              <w:keepNext/>
              <w:rPr>
                <w:rFonts w:ascii="Arial Narrow" w:hAnsi="Arial Narrow" w:cs="Arial"/>
                <w:sz w:val="20"/>
                <w:szCs w:val="20"/>
              </w:rPr>
            </w:pPr>
          </w:p>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Patient must be intolerant to both soy protein and protein hydrolysate formulae, as demonstrated when the child has failed to respond to a strict cows' milk protein free and strict soy protein free diet with a protein hydrolysate (with or without medium chain triglycerides) as the principal formula.</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Patient must be up to the age of 24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p w:rsidR="00517BDA" w:rsidRPr="00BB17B4" w:rsidRDefault="00517BDA" w:rsidP="005E568F">
            <w:pPr>
              <w:jc w:val="both"/>
              <w:rPr>
                <w:rFonts w:ascii="Arial Narrow" w:hAnsi="Arial Narrow" w:cs="Arial"/>
                <w:b/>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Severe cows' milk protein enteropathy with failure to thrive</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 xml:space="preserve">Initial treatment for up to 6 months </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517BDA" w:rsidRPr="00BB17B4" w:rsidTr="005E568F">
        <w:trPr>
          <w:cantSplit/>
          <w:trHeight w:val="265"/>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condition must not be isolated infant colic or reflux</w:t>
            </w:r>
          </w:p>
        </w:tc>
      </w:tr>
      <w:tr w:rsidR="00517BDA" w:rsidRPr="00BB17B4" w:rsidTr="005E568F">
        <w:trPr>
          <w:cantSplit/>
          <w:trHeight w:val="283"/>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be up to the age of 24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p w:rsidR="00517BDA" w:rsidRPr="00BB17B4" w:rsidRDefault="00517BDA" w:rsidP="005E568F">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No increase in the maximum quantity or number of units may be authorised.</w:t>
            </w: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No increase in the maximum number of repeats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 xml:space="preserve">Severe cows' milk protein enteropathy with failure to thrive </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Continuing treatment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have been assessed at least once or have an appointment to be assessed by one of these specialists.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The condition must not be isolated infant colic or reflux,</w:t>
            </w:r>
          </w:p>
          <w:p w:rsidR="00517BDA" w:rsidRPr="00BB17B4" w:rsidRDefault="00517BDA" w:rsidP="005E568F">
            <w:pPr>
              <w:keepNext/>
              <w:rPr>
                <w:rFonts w:ascii="Arial Narrow" w:hAnsi="Arial Narrow" w:cs="Arial"/>
                <w:sz w:val="20"/>
                <w:szCs w:val="20"/>
              </w:rPr>
            </w:pPr>
          </w:p>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AND</w:t>
            </w:r>
          </w:p>
          <w:p w:rsidR="00517BDA" w:rsidRPr="00BB17B4" w:rsidRDefault="00517BDA" w:rsidP="005E568F">
            <w:pPr>
              <w:keepNext/>
              <w:rPr>
                <w:rFonts w:ascii="Arial Narrow" w:hAnsi="Arial Narrow" w:cs="Arial"/>
                <w:sz w:val="20"/>
                <w:szCs w:val="20"/>
              </w:rPr>
            </w:pPr>
          </w:p>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 xml:space="preserve">Patient must have had failure to thrive prior to commencement with initial treatment. </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Patient must be up to the age of 24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Combined intolerance to cows' milk protein, soy protein and protein hydrolysate formulae</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 xml:space="preserve">Initial treatment for up to 6 months </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condition must not be isolated infant colic or reflux</w:t>
            </w:r>
          </w:p>
        </w:tc>
      </w:tr>
      <w:tr w:rsidR="00517BDA" w:rsidRPr="00BB17B4" w:rsidTr="005E568F">
        <w:trPr>
          <w:cantSplit/>
          <w:trHeight w:val="275"/>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be up to the age of 24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p w:rsidR="00517BDA" w:rsidRPr="00BB17B4" w:rsidRDefault="00517BDA" w:rsidP="005E568F">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No increase in the maximum quantity or number of units may be authorised.</w:t>
            </w: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No increase in the maximum number of repeats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Combined intolerance to cows' milk protein, soy protein and protein hydrolysate formulae</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Continuing treatment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at intervals not greater than 12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condition must not be isolated infant colic or reflux</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be older than 24 months of age.</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Proven combined immunoglobulin E (IgE) mediated allergy to cows' milk protein and soy protein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 xml:space="preserve">Initial treatment for up to 6 months </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 or in consultation with a specialist allergist, clinical immunologist or specialist paediatric gastroenterologist and hepatologist.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Patient must have failed a trial of protein hydrolysate formulae (with or without medium chain triglycerides).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Patient must be up to the age of 24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No increase in the maximum quantity or number of units may be authorised.</w:t>
            </w: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No increase in the maximum number of repeats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Proven combined immunoglobulin E (IgE) mediated allergy to cows' milk protein and soy protein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Continuing treatment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b/>
                <w:sz w:val="20"/>
                <w:szCs w:val="20"/>
              </w:rPr>
            </w:pPr>
            <w:r w:rsidRPr="00BB17B4">
              <w:rPr>
                <w:rFonts w:ascii="Arial Narrow" w:hAnsi="Arial Narrow" w:cs="Arial"/>
                <w:b/>
                <w:sz w:val="20"/>
                <w:szCs w:val="20"/>
              </w:rPr>
              <w:t>Treatment criteria:</w:t>
            </w:r>
          </w:p>
          <w:p w:rsidR="00517BDA" w:rsidRPr="00BB17B4" w:rsidRDefault="00517BDA" w:rsidP="005E568F">
            <w:pPr>
              <w:keepNext/>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Must be treated by a specialist allergist, clinical immunologist or specialist paediatric gastroenterologist and hepatologist.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Clinical criteria:</w:t>
            </w:r>
          </w:p>
          <w:p w:rsidR="00517BDA" w:rsidRPr="00BB17B4" w:rsidRDefault="00517BDA" w:rsidP="005E568F">
            <w:pPr>
              <w:keepNext/>
              <w:jc w:val="both"/>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Patient must have failed a trial of protein hydrolysate formulae (with or without medium chain triglycerides) prior to commencement with initial treatment.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Patient must be up to the age of 24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The name of the specialist and 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p w:rsidR="00517BDA" w:rsidRPr="00BB17B4" w:rsidRDefault="00517BDA" w:rsidP="005E568F">
            <w:pPr>
              <w:jc w:val="both"/>
              <w:rPr>
                <w:rFonts w:ascii="Arial Narrow" w:hAnsi="Arial Narrow" w:cs="Arial"/>
                <w:b/>
                <w:sz w:val="20"/>
                <w:szCs w:val="20"/>
              </w:rPr>
            </w:pP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Severe intestinal malabsorption including short bowel syndrome.</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have failed to respond to protein hydrolysate formulae; OR</w:t>
            </w: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have been receiving parenteral nutrition.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Authorities for increased maximum quantities, up to a maximum of 20, may be authorised.</w:t>
            </w:r>
          </w:p>
          <w:p w:rsidR="00AC36ED" w:rsidRPr="00BB17B4" w:rsidRDefault="00AC36ED" w:rsidP="005E568F">
            <w:pPr>
              <w:rPr>
                <w:rFonts w:ascii="Arial Narrow" w:hAnsi="Arial Narrow" w:cs="Arial"/>
                <w:sz w:val="20"/>
                <w:szCs w:val="20"/>
              </w:rPr>
            </w:pPr>
          </w:p>
          <w:p w:rsidR="00F31808" w:rsidRPr="00BB17B4" w:rsidRDefault="00AC36ED" w:rsidP="005E568F">
            <w:pPr>
              <w:rPr>
                <w:rFonts w:ascii="Arial Narrow" w:hAnsi="Arial Narrow" w:cs="Arial"/>
                <w:sz w:val="20"/>
                <w:szCs w:val="20"/>
              </w:rPr>
            </w:pPr>
            <w:r w:rsidRPr="00BB17B4">
              <w:rPr>
                <w:rFonts w:ascii="Arial Narrow" w:hAnsi="Arial Narrow" w:cs="Arial"/>
                <w:sz w:val="20"/>
                <w:szCs w:val="20"/>
              </w:rPr>
              <w:t xml:space="preserve">A risk/benefit analysis from a health care professional and patient monitoring is required for the use of this product for this indication. </w:t>
            </w:r>
          </w:p>
        </w:tc>
      </w:tr>
    </w:tbl>
    <w:p w:rsidR="00517BDA" w:rsidRDefault="00517BDA" w:rsidP="00517BDA">
      <w:pPr>
        <w:pStyle w:val="ListParagraph"/>
        <w:jc w:val="both"/>
        <w:rPr>
          <w:rFonts w:asciiTheme="minorHAnsi" w:hAnsiTheme="minorHAnsi"/>
          <w:sz w:val="22"/>
          <w:szCs w:val="22"/>
        </w:rPr>
      </w:pPr>
    </w:p>
    <w:p w:rsidR="008531D2" w:rsidRDefault="008531D2" w:rsidP="00517BDA">
      <w:pPr>
        <w:pStyle w:val="ListParagraph"/>
        <w:jc w:val="both"/>
        <w:rPr>
          <w:rFonts w:asciiTheme="minorHAnsi" w:hAnsiTheme="minorHAnsi"/>
          <w:sz w:val="22"/>
          <w:szCs w:val="22"/>
        </w:rPr>
      </w:pPr>
    </w:p>
    <w:p w:rsidR="008531D2" w:rsidRPr="00BB17B4" w:rsidRDefault="008531D2"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2410"/>
      </w:tblGrid>
      <w:tr w:rsidR="00F31808" w:rsidRPr="00BB17B4" w:rsidTr="00494F79">
        <w:trPr>
          <w:cantSplit/>
          <w:trHeight w:val="471"/>
        </w:trPr>
        <w:tc>
          <w:tcPr>
            <w:tcW w:w="3119" w:type="dxa"/>
            <w:gridSpan w:val="2"/>
            <w:tcBorders>
              <w:bottom w:val="single" w:sz="4" w:space="0" w:color="auto"/>
            </w:tcBorders>
          </w:tcPr>
          <w:p w:rsidR="00F31808" w:rsidRPr="00BB17B4" w:rsidRDefault="00F31808" w:rsidP="005E568F">
            <w:pPr>
              <w:keepNext/>
              <w:ind w:left="-108"/>
              <w:jc w:val="both"/>
              <w:rPr>
                <w:rFonts w:ascii="Arial Narrow" w:hAnsi="Arial Narrow" w:cs="Arial"/>
                <w:b/>
                <w:sz w:val="20"/>
                <w:szCs w:val="20"/>
              </w:rPr>
            </w:pPr>
            <w:r w:rsidRPr="00BB17B4">
              <w:rPr>
                <w:rFonts w:ascii="Arial Narrow" w:hAnsi="Arial Narrow" w:cs="Arial"/>
                <w:b/>
                <w:sz w:val="20"/>
                <w:szCs w:val="20"/>
              </w:rPr>
              <w:t>Name, Restriction,</w:t>
            </w:r>
          </w:p>
          <w:p w:rsidR="00F31808" w:rsidRPr="00BB17B4" w:rsidRDefault="00F31808" w:rsidP="005E568F">
            <w:pPr>
              <w:keepNext/>
              <w:ind w:left="-108"/>
              <w:jc w:val="both"/>
              <w:rPr>
                <w:rFonts w:ascii="Arial Narrow" w:hAnsi="Arial Narrow" w:cs="Arial"/>
                <w:b/>
                <w:sz w:val="20"/>
                <w:szCs w:val="20"/>
              </w:rPr>
            </w:pPr>
            <w:r w:rsidRPr="00BB17B4">
              <w:rPr>
                <w:rFonts w:ascii="Arial Narrow" w:hAnsi="Arial Narrow" w:cs="Arial"/>
                <w:b/>
                <w:sz w:val="20"/>
                <w:szCs w:val="20"/>
              </w:rPr>
              <w:t>Manner of administration and form</w:t>
            </w:r>
          </w:p>
        </w:tc>
        <w:tc>
          <w:tcPr>
            <w:tcW w:w="850" w:type="dxa"/>
            <w:tcBorders>
              <w:bottom w:val="single" w:sz="4" w:space="0" w:color="auto"/>
            </w:tcBorders>
          </w:tcPr>
          <w:p w:rsidR="00F31808" w:rsidRPr="00BB17B4" w:rsidRDefault="00F31808" w:rsidP="005E568F">
            <w:pPr>
              <w:keepNext/>
              <w:ind w:left="-108"/>
              <w:jc w:val="both"/>
              <w:rPr>
                <w:rFonts w:ascii="Arial Narrow" w:hAnsi="Arial Narrow" w:cs="Arial"/>
                <w:b/>
                <w:sz w:val="20"/>
                <w:szCs w:val="20"/>
              </w:rPr>
            </w:pPr>
            <w:r w:rsidRPr="00BB17B4">
              <w:rPr>
                <w:rFonts w:ascii="Arial Narrow" w:hAnsi="Arial Narrow" w:cs="Arial"/>
                <w:b/>
                <w:sz w:val="20"/>
                <w:szCs w:val="20"/>
              </w:rPr>
              <w:t>Max.</w:t>
            </w:r>
          </w:p>
          <w:p w:rsidR="00F31808" w:rsidRPr="00BB17B4" w:rsidRDefault="00F31808" w:rsidP="005E568F">
            <w:pPr>
              <w:keepNext/>
              <w:ind w:left="-108"/>
              <w:jc w:val="both"/>
              <w:rPr>
                <w:rFonts w:ascii="Arial Narrow" w:hAnsi="Arial Narrow" w:cs="Arial"/>
                <w:b/>
                <w:sz w:val="20"/>
                <w:szCs w:val="20"/>
              </w:rPr>
            </w:pPr>
            <w:r w:rsidRPr="00BB17B4">
              <w:rPr>
                <w:rFonts w:ascii="Arial Narrow" w:hAnsi="Arial Narrow" w:cs="Arial"/>
                <w:b/>
                <w:sz w:val="20"/>
                <w:szCs w:val="20"/>
              </w:rPr>
              <w:t>Qty</w:t>
            </w:r>
          </w:p>
        </w:tc>
        <w:tc>
          <w:tcPr>
            <w:tcW w:w="709" w:type="dxa"/>
            <w:tcBorders>
              <w:bottom w:val="single" w:sz="4" w:space="0" w:color="auto"/>
            </w:tcBorders>
          </w:tcPr>
          <w:p w:rsidR="00F31808" w:rsidRPr="00BB17B4" w:rsidRDefault="00F31808" w:rsidP="005E568F">
            <w:pPr>
              <w:keepNext/>
              <w:ind w:left="-108"/>
              <w:jc w:val="both"/>
              <w:rPr>
                <w:rFonts w:ascii="Arial Narrow" w:hAnsi="Arial Narrow" w:cs="Arial"/>
                <w:b/>
                <w:sz w:val="20"/>
                <w:szCs w:val="20"/>
              </w:rPr>
            </w:pPr>
            <w:r w:rsidRPr="00BB17B4">
              <w:rPr>
                <w:rFonts w:ascii="Arial Narrow" w:hAnsi="Arial Narrow" w:cs="Arial"/>
                <w:b/>
                <w:sz w:val="20"/>
                <w:szCs w:val="20"/>
              </w:rPr>
              <w:t>№.of</w:t>
            </w:r>
          </w:p>
          <w:p w:rsidR="00F31808" w:rsidRPr="00BB17B4" w:rsidRDefault="00F31808" w:rsidP="005E568F">
            <w:pPr>
              <w:keepNext/>
              <w:ind w:left="-108"/>
              <w:jc w:val="both"/>
              <w:rPr>
                <w:rFonts w:ascii="Arial Narrow" w:hAnsi="Arial Narrow" w:cs="Arial"/>
                <w:b/>
                <w:sz w:val="20"/>
                <w:szCs w:val="20"/>
              </w:rPr>
            </w:pPr>
            <w:r w:rsidRPr="00BB17B4">
              <w:rPr>
                <w:rFonts w:ascii="Arial Narrow" w:hAnsi="Arial Narrow" w:cs="Arial"/>
                <w:b/>
                <w:sz w:val="20"/>
                <w:szCs w:val="20"/>
              </w:rPr>
              <w:t>Rpts</w:t>
            </w:r>
          </w:p>
        </w:tc>
        <w:tc>
          <w:tcPr>
            <w:tcW w:w="3685" w:type="dxa"/>
            <w:gridSpan w:val="2"/>
            <w:tcBorders>
              <w:bottom w:val="single" w:sz="4" w:space="0" w:color="auto"/>
            </w:tcBorders>
          </w:tcPr>
          <w:p w:rsidR="00F31808" w:rsidRPr="004C4D7A" w:rsidRDefault="00F31808" w:rsidP="005E568F">
            <w:pPr>
              <w:keepNext/>
              <w:jc w:val="both"/>
              <w:rPr>
                <w:rFonts w:ascii="Arial Narrow" w:hAnsi="Arial Narrow" w:cs="Arial"/>
                <w:b/>
                <w:sz w:val="20"/>
                <w:szCs w:val="20"/>
              </w:rPr>
            </w:pPr>
            <w:r w:rsidRPr="00BB17B4">
              <w:rPr>
                <w:rFonts w:ascii="Arial Narrow" w:hAnsi="Arial Narrow" w:cs="Arial"/>
                <w:b/>
                <w:sz w:val="20"/>
                <w:szCs w:val="20"/>
              </w:rPr>
              <w:t>Proprietary Name and Manufacturer</w:t>
            </w:r>
          </w:p>
        </w:tc>
      </w:tr>
      <w:tr w:rsidR="00F31808" w:rsidRPr="00BB17B4" w:rsidTr="00494F79">
        <w:trPr>
          <w:cantSplit/>
          <w:trHeight w:val="577"/>
        </w:trPr>
        <w:tc>
          <w:tcPr>
            <w:tcW w:w="3119" w:type="dxa"/>
            <w:gridSpan w:val="2"/>
          </w:tcPr>
          <w:p w:rsidR="00F31808" w:rsidRPr="00BB17B4" w:rsidRDefault="00F31808" w:rsidP="005E568F">
            <w:pPr>
              <w:keepNext/>
              <w:ind w:left="-108"/>
              <w:rPr>
                <w:rFonts w:ascii="Arial Narrow" w:hAnsi="Arial Narrow" w:cs="Arial"/>
                <w:smallCaps/>
                <w:sz w:val="20"/>
                <w:szCs w:val="20"/>
              </w:rPr>
            </w:pPr>
            <w:r w:rsidRPr="00BB17B4">
              <w:rPr>
                <w:rFonts w:ascii="Arial Narrow" w:hAnsi="Arial Narrow" w:cs="Arial"/>
                <w:smallCaps/>
                <w:sz w:val="20"/>
                <w:szCs w:val="20"/>
              </w:rPr>
              <w:t>AMINO ACID FORMULA SUPPLEMENTED WITH PREBIOTICS, PROBIOTICS AND LONG CHAIN POLYUNSATURATED FATTY ACIDS</w:t>
            </w:r>
          </w:p>
          <w:p w:rsidR="00F31808" w:rsidRPr="00BB17B4" w:rsidRDefault="00F31808" w:rsidP="005E568F">
            <w:pPr>
              <w:keepNext/>
              <w:ind w:left="-108"/>
              <w:rPr>
                <w:rFonts w:ascii="Arial Narrow" w:hAnsi="Arial Narrow" w:cs="Arial"/>
                <w:sz w:val="20"/>
                <w:szCs w:val="20"/>
              </w:rPr>
            </w:pPr>
            <w:r w:rsidRPr="00BB17B4">
              <w:rPr>
                <w:rFonts w:ascii="Arial Narrow" w:hAnsi="Arial Narrow" w:cs="Arial"/>
                <w:sz w:val="20"/>
                <w:szCs w:val="20"/>
              </w:rPr>
              <w:t xml:space="preserve">power for oral liquid, 400g </w:t>
            </w:r>
          </w:p>
          <w:p w:rsidR="00F31808" w:rsidRPr="00BB17B4" w:rsidRDefault="00F31808" w:rsidP="005E568F">
            <w:pPr>
              <w:keepNext/>
              <w:ind w:left="-108"/>
              <w:jc w:val="both"/>
              <w:rPr>
                <w:rFonts w:ascii="Arial Narrow" w:hAnsi="Arial Narrow" w:cs="Arial"/>
                <w:sz w:val="20"/>
                <w:szCs w:val="20"/>
              </w:rPr>
            </w:pPr>
          </w:p>
        </w:tc>
        <w:tc>
          <w:tcPr>
            <w:tcW w:w="850" w:type="dxa"/>
          </w:tcPr>
          <w:p w:rsidR="00F31808" w:rsidRPr="00BB17B4" w:rsidRDefault="00F31808" w:rsidP="005E568F">
            <w:pPr>
              <w:keepNext/>
              <w:ind w:left="-108"/>
              <w:jc w:val="both"/>
              <w:rPr>
                <w:rFonts w:ascii="Arial Narrow" w:hAnsi="Arial Narrow" w:cs="Arial"/>
                <w:sz w:val="20"/>
                <w:szCs w:val="20"/>
              </w:rPr>
            </w:pPr>
          </w:p>
          <w:p w:rsidR="00F31808" w:rsidRPr="00BB17B4" w:rsidRDefault="00F31808" w:rsidP="005E568F">
            <w:pPr>
              <w:keepNext/>
              <w:ind w:left="-108"/>
              <w:jc w:val="both"/>
              <w:rPr>
                <w:rFonts w:ascii="Arial Narrow" w:hAnsi="Arial Narrow" w:cs="Arial"/>
                <w:sz w:val="20"/>
                <w:szCs w:val="20"/>
              </w:rPr>
            </w:pPr>
            <w:r w:rsidRPr="00BB17B4">
              <w:rPr>
                <w:rFonts w:ascii="Arial Narrow" w:hAnsi="Arial Narrow" w:cs="Arial"/>
                <w:sz w:val="20"/>
                <w:szCs w:val="20"/>
              </w:rPr>
              <w:t>12</w:t>
            </w:r>
          </w:p>
        </w:tc>
        <w:tc>
          <w:tcPr>
            <w:tcW w:w="709" w:type="dxa"/>
          </w:tcPr>
          <w:p w:rsidR="00F31808" w:rsidRPr="00BB17B4" w:rsidRDefault="00F31808" w:rsidP="005E568F">
            <w:pPr>
              <w:keepNext/>
              <w:ind w:left="-108"/>
              <w:jc w:val="both"/>
              <w:rPr>
                <w:rFonts w:ascii="Arial Narrow" w:hAnsi="Arial Narrow" w:cs="Arial"/>
                <w:sz w:val="20"/>
                <w:szCs w:val="20"/>
              </w:rPr>
            </w:pPr>
          </w:p>
          <w:p w:rsidR="00F31808" w:rsidRPr="00BB17B4" w:rsidRDefault="00F31808" w:rsidP="005E568F">
            <w:pPr>
              <w:keepNext/>
              <w:ind w:left="-108"/>
              <w:jc w:val="both"/>
              <w:rPr>
                <w:rFonts w:ascii="Arial Narrow" w:hAnsi="Arial Narrow" w:cs="Arial"/>
                <w:sz w:val="20"/>
                <w:szCs w:val="20"/>
              </w:rPr>
            </w:pPr>
            <w:r w:rsidRPr="00BB17B4">
              <w:rPr>
                <w:rFonts w:ascii="Arial Narrow" w:hAnsi="Arial Narrow" w:cs="Arial"/>
                <w:sz w:val="20"/>
                <w:szCs w:val="20"/>
              </w:rPr>
              <w:t>5</w:t>
            </w:r>
          </w:p>
        </w:tc>
        <w:tc>
          <w:tcPr>
            <w:tcW w:w="1275" w:type="dxa"/>
          </w:tcPr>
          <w:p w:rsidR="00F31808" w:rsidRPr="00BB17B4" w:rsidRDefault="00F31808" w:rsidP="005E568F">
            <w:pPr>
              <w:keepNext/>
              <w:jc w:val="both"/>
              <w:rPr>
                <w:rFonts w:ascii="Arial Narrow" w:hAnsi="Arial Narrow" w:cs="Arial"/>
                <w:sz w:val="20"/>
                <w:szCs w:val="20"/>
              </w:rPr>
            </w:pPr>
          </w:p>
          <w:p w:rsidR="00F31808" w:rsidRPr="00BB17B4" w:rsidRDefault="00F31808" w:rsidP="005E568F">
            <w:pPr>
              <w:keepNext/>
              <w:jc w:val="both"/>
              <w:rPr>
                <w:rFonts w:ascii="Arial Narrow" w:hAnsi="Arial Narrow" w:cs="Arial"/>
                <w:sz w:val="20"/>
                <w:szCs w:val="20"/>
              </w:rPr>
            </w:pPr>
            <w:r w:rsidRPr="00BB17B4">
              <w:rPr>
                <w:rFonts w:ascii="Arial Narrow" w:hAnsi="Arial Narrow" w:cs="Arial"/>
                <w:sz w:val="20"/>
                <w:szCs w:val="20"/>
              </w:rPr>
              <w:t>Neocate Syneo®</w:t>
            </w:r>
          </w:p>
        </w:tc>
        <w:tc>
          <w:tcPr>
            <w:tcW w:w="2410" w:type="dxa"/>
          </w:tcPr>
          <w:p w:rsidR="00F31808" w:rsidRPr="00BB17B4" w:rsidRDefault="00F31808" w:rsidP="005E568F">
            <w:pPr>
              <w:keepNext/>
              <w:jc w:val="both"/>
              <w:rPr>
                <w:rFonts w:ascii="Arial Narrow" w:hAnsi="Arial Narrow" w:cs="Arial"/>
                <w:sz w:val="20"/>
                <w:szCs w:val="20"/>
              </w:rPr>
            </w:pPr>
          </w:p>
          <w:p w:rsidR="00F31808" w:rsidRPr="00BB17B4" w:rsidRDefault="00F31808" w:rsidP="005E568F">
            <w:pPr>
              <w:keepNext/>
              <w:jc w:val="both"/>
              <w:rPr>
                <w:rFonts w:ascii="Arial Narrow" w:hAnsi="Arial Narrow" w:cs="Arial"/>
                <w:sz w:val="20"/>
                <w:szCs w:val="20"/>
              </w:rPr>
            </w:pPr>
            <w:r w:rsidRPr="00BB17B4">
              <w:rPr>
                <w:rFonts w:ascii="Arial Narrow" w:hAnsi="Arial Narrow" w:cs="Arial"/>
                <w:sz w:val="20"/>
                <w:szCs w:val="20"/>
              </w:rPr>
              <w:t>Nutricia Australia Pty Ltd</w:t>
            </w:r>
          </w:p>
        </w:tc>
      </w:tr>
      <w:tr w:rsidR="00517BDA" w:rsidRPr="00BB17B4" w:rsidTr="005E568F">
        <w:trPr>
          <w:cantSplit/>
          <w:trHeight w:val="360"/>
        </w:trPr>
        <w:tc>
          <w:tcPr>
            <w:tcW w:w="8363" w:type="dxa"/>
            <w:gridSpan w:val="6"/>
            <w:tcBorders>
              <w:bottom w:val="single" w:sz="4" w:space="0" w:color="auto"/>
            </w:tcBorders>
          </w:tcPr>
          <w:p w:rsidR="00517BDA" w:rsidRPr="00BB17B4" w:rsidRDefault="00517BDA" w:rsidP="005E568F">
            <w:pPr>
              <w:jc w:val="both"/>
              <w:rPr>
                <w:rFonts w:ascii="Arial Narrow" w:hAnsi="Arial Narrow" w:cs="Arial"/>
                <w:sz w:val="20"/>
                <w:szCs w:val="20"/>
              </w:rPr>
            </w:pP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 xml:space="preserve">Category / </w:t>
            </w:r>
          </w:p>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GENERAL – General Schedule (Code GE)</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Check1"/>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Dental  </w:t>
            </w: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Medical Practitioners  </w:t>
            </w:r>
            <w:r w:rsidRPr="004C4D7A">
              <w:rPr>
                <w:rFonts w:ascii="Arial Narrow" w:hAnsi="Arial Narrow" w:cs="Arial"/>
                <w:sz w:val="20"/>
                <w:szCs w:val="20"/>
              </w:rPr>
              <w:fldChar w:fldCharType="begin">
                <w:ffData>
                  <w:name w:val="Check3"/>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 xml:space="preserve">Nurse practitioners  </w:t>
            </w:r>
            <w:r w:rsidRPr="004C4D7A">
              <w:rPr>
                <w:rFonts w:ascii="Arial Narrow" w:hAnsi="Arial Narrow" w:cs="Arial"/>
                <w:sz w:val="20"/>
                <w:szCs w:val="20"/>
              </w:rPr>
              <w:fldChar w:fldCharType="begin">
                <w:ffData>
                  <w:name w:val=""/>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Optometrists</w:t>
            </w:r>
          </w:p>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Check5"/>
                  <w:enabled/>
                  <w:calcOnExit w:val="0"/>
                  <w:checkBox>
                    <w:sizeAuto/>
                    <w:default w:val="0"/>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Midwives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Restriction Level / Method:</w:t>
            </w:r>
          </w:p>
          <w:p w:rsidR="00517BDA" w:rsidRPr="00BB17B4" w:rsidRDefault="00517BDA" w:rsidP="005E568F">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In Writing</w:t>
            </w:r>
          </w:p>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Telephone</w:t>
            </w:r>
          </w:p>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Emergency</w:t>
            </w:r>
          </w:p>
          <w:p w:rsidR="00517BDA" w:rsidRPr="00BB17B4" w:rsidRDefault="00517BDA" w:rsidP="005E568F">
            <w:pPr>
              <w:rPr>
                <w:rFonts w:ascii="Arial Narrow" w:hAnsi="Arial Narrow" w:cs="Arial"/>
                <w:sz w:val="20"/>
                <w:szCs w:val="20"/>
              </w:rPr>
            </w:pPr>
            <w:r w:rsidRPr="004C4D7A">
              <w:rPr>
                <w:rFonts w:ascii="Arial Narrow" w:hAnsi="Arial Narrow" w:cs="Arial"/>
                <w:sz w:val="20"/>
                <w:szCs w:val="20"/>
              </w:rPr>
              <w:fldChar w:fldCharType="begin">
                <w:ffData>
                  <w:name w:val="Check5"/>
                  <w:enabled/>
                  <w:calcOnExit w:val="0"/>
                  <w:checkBox>
                    <w:sizeAuto/>
                    <w:default w:val="1"/>
                  </w:checkBox>
                </w:ffData>
              </w:fldChar>
            </w:r>
            <w:r w:rsidRPr="00BB17B4">
              <w:rPr>
                <w:rFonts w:ascii="Arial Narrow" w:hAnsi="Arial Narrow" w:cs="Arial"/>
                <w:sz w:val="20"/>
                <w:szCs w:val="20"/>
              </w:rPr>
              <w:instrText xml:space="preserve"> FORMCHECKBOX </w:instrText>
            </w:r>
            <w:r w:rsidR="007F25B6">
              <w:rPr>
                <w:rFonts w:ascii="Arial Narrow" w:hAnsi="Arial Narrow" w:cs="Arial"/>
                <w:sz w:val="20"/>
                <w:szCs w:val="20"/>
              </w:rPr>
            </w:r>
            <w:r w:rsidR="007F25B6">
              <w:rPr>
                <w:rFonts w:ascii="Arial Narrow" w:hAnsi="Arial Narrow" w:cs="Arial"/>
                <w:sz w:val="20"/>
                <w:szCs w:val="20"/>
              </w:rPr>
              <w:fldChar w:fldCharType="separate"/>
            </w:r>
            <w:r w:rsidRPr="004C4D7A">
              <w:rPr>
                <w:rFonts w:ascii="Arial Narrow" w:hAnsi="Arial Narrow" w:cs="Arial"/>
                <w:sz w:val="20"/>
                <w:szCs w:val="20"/>
              </w:rPr>
              <w:fldChar w:fldCharType="end"/>
            </w:r>
            <w:r w:rsidRPr="00BB17B4">
              <w:rPr>
                <w:rFonts w:ascii="Arial Narrow" w:hAnsi="Arial Narrow" w:cs="Arial"/>
                <w:sz w:val="20"/>
                <w:szCs w:val="20"/>
              </w:rPr>
              <w:t>Authority Required - Electronic</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Eosinophilic oesophagitis (EoE)</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Treatment phase:</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Initial treatment for up to 3 months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b/>
                <w:sz w:val="20"/>
                <w:szCs w:val="20"/>
              </w:rPr>
              <w:t>Treatment criteria:</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Must be treated by a clinical immunologist, suitably qualified allergist or gastroenterologist.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Clinical criteria:</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require an amino acid based formula as a component of a dietary elimination program.</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Patient must be 18 years of age or less.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Treatment with oral steroids should not be commenced during the period of initial treatment.</w:t>
            </w:r>
          </w:p>
          <w:p w:rsidR="00517BDA" w:rsidRPr="00BB17B4" w:rsidRDefault="00517BDA" w:rsidP="005E568F">
            <w:pPr>
              <w:tabs>
                <w:tab w:val="left" w:pos="1203"/>
              </w:tabs>
              <w:rPr>
                <w:rFonts w:ascii="Arial Narrow" w:hAnsi="Arial Narrow" w:cs="Arial"/>
                <w:sz w:val="20"/>
                <w:szCs w:val="20"/>
              </w:rPr>
            </w:pP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Eosinophilic oesophagitis is demonstrated by the following criteria:</w:t>
            </w: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(i) Chronic symptoms of reflux that persisted despite a 2-month trial of a proton pump inhibitor or chronic dysphagia; and</w:t>
            </w: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(ii) A lack of demonstrable anatomic abnormality with the exception of stricture, which can be attributable to eosinophilic oesophagitis; and</w:t>
            </w: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rsidR="00517BDA" w:rsidRPr="00BB17B4" w:rsidRDefault="00517BDA" w:rsidP="005E568F">
            <w:pPr>
              <w:rPr>
                <w:rFonts w:ascii="Arial Narrow" w:hAnsi="Arial Narrow" w:cs="Arial"/>
                <w:sz w:val="20"/>
                <w:szCs w:val="20"/>
              </w:rPr>
            </w:pPr>
          </w:p>
          <w:p w:rsidR="00517BDA" w:rsidRPr="00BB17B4" w:rsidRDefault="00517BDA" w:rsidP="005E568F">
            <w:pPr>
              <w:rPr>
                <w:rFonts w:ascii="Arial Narrow" w:hAnsi="Arial Narrow" w:cs="Arial"/>
                <w:sz w:val="20"/>
                <w:szCs w:val="20"/>
              </w:rPr>
            </w:pPr>
            <w:r w:rsidRPr="00BB17B4">
              <w:rPr>
                <w:rFonts w:ascii="Arial Narrow" w:hAnsi="Arial Narrow" w:cs="Arial"/>
                <w:sz w:val="20"/>
                <w:szCs w:val="20"/>
              </w:rPr>
              <w:t>The date of birth of the patient must be included in the authority application.</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p w:rsidR="00517BDA" w:rsidRPr="00BB17B4" w:rsidRDefault="00517BDA" w:rsidP="005E568F">
            <w:pPr>
              <w:jc w:val="both"/>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tcPr>
          <w:p w:rsidR="00517BDA" w:rsidRPr="00BB17B4" w:rsidRDefault="004B4F71" w:rsidP="005E568F">
            <w:pPr>
              <w:rPr>
                <w:rFonts w:ascii="Arial Narrow" w:hAnsi="Arial Narrow" w:cs="Arial"/>
                <w:sz w:val="20"/>
                <w:szCs w:val="20"/>
              </w:rPr>
            </w:pPr>
            <w:r w:rsidRPr="004B4F71">
              <w:rPr>
                <w:rFonts w:ascii="Arial Narrow" w:hAnsi="Arial Narrow" w:cs="Arial"/>
                <w:sz w:val="20"/>
                <w:szCs w:val="20"/>
              </w:rPr>
              <w:t>Authorities for increased maximum quantities, up to a maximum of 52, may be authorised.</w:t>
            </w:r>
          </w:p>
        </w:tc>
      </w:tr>
    </w:tbl>
    <w:p w:rsidR="00517BDA" w:rsidRPr="00BB17B4" w:rsidRDefault="00517BDA" w:rsidP="00517BDA">
      <w:pPr>
        <w:pStyle w:val="ListParagraph"/>
        <w:jc w:val="both"/>
        <w:rPr>
          <w:rFonts w:asciiTheme="minorHAnsi" w:hAnsiTheme="minorHAnsi"/>
          <w:sz w:val="22"/>
          <w:szCs w:val="22"/>
        </w:rPr>
      </w:pPr>
    </w:p>
    <w:tbl>
      <w:tblPr>
        <w:tblW w:w="8363" w:type="dxa"/>
        <w:tblInd w:w="817" w:type="dxa"/>
        <w:tblLayout w:type="fixed"/>
        <w:tblLook w:val="0000" w:firstRow="0" w:lastRow="0" w:firstColumn="0" w:lastColumn="0" w:noHBand="0" w:noVBand="0"/>
      </w:tblPr>
      <w:tblGrid>
        <w:gridCol w:w="1985"/>
        <w:gridCol w:w="6378"/>
      </w:tblGrid>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Eosinophilic oesophagitis (EoE)</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i/>
                <w:sz w:val="20"/>
                <w:szCs w:val="20"/>
              </w:rPr>
            </w:pPr>
            <w:r w:rsidRPr="00BB17B4">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Continuing treatment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b/>
                <w:sz w:val="20"/>
                <w:szCs w:val="20"/>
              </w:rPr>
            </w:pPr>
            <w:r w:rsidRPr="00BB17B4">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 xml:space="preserve">Must be treated by a clinical immunologist, suitably qualified allergist or gastroenterologist. </w:t>
            </w:r>
          </w:p>
          <w:p w:rsidR="00517BDA" w:rsidRPr="00BB17B4" w:rsidRDefault="00517BDA" w:rsidP="005E568F">
            <w:pPr>
              <w:keepNext/>
              <w:rPr>
                <w:rFonts w:ascii="Arial Narrow" w:hAnsi="Arial Narrow" w:cs="Arial"/>
                <w:sz w:val="20"/>
                <w:szCs w:val="20"/>
              </w:rPr>
            </w:pP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sz w:val="20"/>
                <w:szCs w:val="20"/>
              </w:rPr>
            </w:pPr>
            <w:r w:rsidRPr="00BB17B4">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Patient must have responded to an initial course of PBS-subsidised treatment.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Patient must be 18 years of age or less.</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jc w:val="both"/>
              <w:rPr>
                <w:rFonts w:ascii="Arial Narrow" w:hAnsi="Arial Narrow" w:cs="Arial"/>
                <w:b/>
                <w:sz w:val="20"/>
                <w:szCs w:val="20"/>
              </w:rPr>
            </w:pPr>
            <w:r w:rsidRPr="00BB17B4">
              <w:rPr>
                <w:rFonts w:ascii="Arial Narrow" w:hAnsi="Arial Narrow" w:cs="Arial"/>
                <w:b/>
                <w:sz w:val="20"/>
                <w:szCs w:val="20"/>
              </w:rPr>
              <w:t>Prescribing Instructions</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keepNext/>
              <w:rPr>
                <w:rFonts w:ascii="Arial Narrow" w:hAnsi="Arial Narrow" w:cs="Arial"/>
                <w:sz w:val="20"/>
                <w:szCs w:val="20"/>
              </w:rPr>
            </w:pPr>
            <w:r w:rsidRPr="00BB17B4">
              <w:rPr>
                <w:rFonts w:ascii="Arial Narrow" w:hAnsi="Arial Narrow" w:cs="Arial"/>
                <w:sz w:val="20"/>
                <w:szCs w:val="20"/>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r>
      <w:tr w:rsidR="00517BDA" w:rsidRPr="00BB17B4" w:rsidTr="005E568F">
        <w:trPr>
          <w:cantSplit/>
          <w:trHeight w:val="360"/>
        </w:trPr>
        <w:tc>
          <w:tcPr>
            <w:tcW w:w="1985" w:type="dxa"/>
            <w:tcBorders>
              <w:top w:val="single" w:sz="4" w:space="0" w:color="auto"/>
              <w:left w:val="single" w:sz="4" w:space="0" w:color="auto"/>
              <w:bottom w:val="single" w:sz="4" w:space="0" w:color="auto"/>
              <w:right w:val="single" w:sz="4" w:space="0" w:color="auto"/>
            </w:tcBorders>
          </w:tcPr>
          <w:p w:rsidR="00517BDA" w:rsidRPr="00BB17B4" w:rsidRDefault="00517BDA" w:rsidP="005E568F">
            <w:pPr>
              <w:jc w:val="both"/>
              <w:rPr>
                <w:rFonts w:ascii="Arial Narrow" w:hAnsi="Arial Narrow" w:cs="Arial"/>
                <w:b/>
                <w:sz w:val="20"/>
                <w:szCs w:val="20"/>
              </w:rPr>
            </w:pPr>
            <w:r w:rsidRPr="00BB17B4">
              <w:rPr>
                <w:rFonts w:ascii="Arial Narrow" w:hAnsi="Arial Narrow" w:cs="Arial"/>
                <w:b/>
                <w:sz w:val="20"/>
                <w:szCs w:val="20"/>
              </w:rPr>
              <w:t>Administrative Advice</w:t>
            </w:r>
          </w:p>
        </w:tc>
        <w:tc>
          <w:tcPr>
            <w:tcW w:w="6378" w:type="dxa"/>
            <w:tcBorders>
              <w:top w:val="single" w:sz="4" w:space="0" w:color="auto"/>
              <w:left w:val="single" w:sz="4" w:space="0" w:color="auto"/>
              <w:bottom w:val="single" w:sz="4" w:space="0" w:color="auto"/>
              <w:right w:val="single" w:sz="4" w:space="0" w:color="auto"/>
            </w:tcBorders>
          </w:tcPr>
          <w:p w:rsidR="00517BDA" w:rsidRPr="00BB17B4" w:rsidRDefault="004B4F71" w:rsidP="005E568F">
            <w:pPr>
              <w:rPr>
                <w:rFonts w:ascii="Arial Narrow" w:hAnsi="Arial Narrow" w:cs="Arial"/>
                <w:sz w:val="20"/>
                <w:szCs w:val="20"/>
              </w:rPr>
            </w:pPr>
            <w:r w:rsidRPr="004B4F71">
              <w:rPr>
                <w:rFonts w:ascii="Arial Narrow" w:hAnsi="Arial Narrow" w:cs="Arial"/>
                <w:sz w:val="20"/>
                <w:szCs w:val="20"/>
              </w:rPr>
              <w:t>Authorities for increased maximum quantities, up to a maximum of 52, may be authorised.</w:t>
            </w:r>
          </w:p>
        </w:tc>
      </w:tr>
    </w:tbl>
    <w:p w:rsidR="0009288C" w:rsidRPr="00BB17B4" w:rsidRDefault="0009288C" w:rsidP="00AC36ED">
      <w:pPr>
        <w:contextualSpacing/>
        <w:rPr>
          <w:rFonts w:ascii="Calibri" w:hAnsi="Calibri" w:cs="Calibri"/>
        </w:rPr>
      </w:pPr>
    </w:p>
    <w:p w:rsidR="00533DD5" w:rsidRPr="00832088" w:rsidRDefault="00533DD5" w:rsidP="00C17D42">
      <w:pPr>
        <w:widowControl w:val="0"/>
        <w:numPr>
          <w:ilvl w:val="0"/>
          <w:numId w:val="2"/>
        </w:numPr>
        <w:spacing w:before="240" w:after="120"/>
        <w:jc w:val="both"/>
        <w:outlineLvl w:val="0"/>
        <w:rPr>
          <w:rFonts w:asciiTheme="minorHAnsi" w:eastAsiaTheme="minorHAnsi" w:hAnsiTheme="minorHAnsi" w:cstheme="minorBidi"/>
          <w:b/>
          <w:sz w:val="32"/>
          <w:szCs w:val="32"/>
          <w:lang w:eastAsia="en-US"/>
        </w:rPr>
      </w:pPr>
      <w:r w:rsidRPr="00832088">
        <w:rPr>
          <w:rFonts w:asciiTheme="minorHAnsi" w:eastAsiaTheme="minorHAnsi" w:hAnsiTheme="minorHAnsi" w:cstheme="minorBidi"/>
          <w:b/>
          <w:sz w:val="32"/>
          <w:szCs w:val="32"/>
          <w:lang w:eastAsia="en-US"/>
        </w:rPr>
        <w:t>Context for Decision</w:t>
      </w:r>
    </w:p>
    <w:p w:rsidR="00533DD5" w:rsidRPr="00832088" w:rsidRDefault="00533DD5" w:rsidP="00533DD5">
      <w:pPr>
        <w:spacing w:line="276" w:lineRule="auto"/>
        <w:ind w:left="426"/>
        <w:jc w:val="both"/>
        <w:rPr>
          <w:rFonts w:asciiTheme="minorHAnsi" w:eastAsiaTheme="minorHAnsi" w:hAnsiTheme="minorHAnsi" w:cs="Arial"/>
          <w:lang w:eastAsia="en-US"/>
        </w:rPr>
      </w:pPr>
    </w:p>
    <w:p w:rsidR="00533DD5" w:rsidRPr="00832088" w:rsidRDefault="00533DD5" w:rsidP="00C17D42">
      <w:pPr>
        <w:spacing w:line="276" w:lineRule="auto"/>
        <w:jc w:val="both"/>
        <w:rPr>
          <w:rFonts w:asciiTheme="minorHAnsi" w:eastAsiaTheme="minorHAnsi" w:hAnsiTheme="minorHAnsi" w:cs="Arial"/>
          <w:lang w:eastAsia="en-US"/>
        </w:rPr>
      </w:pPr>
      <w:r w:rsidRPr="00832088">
        <w:rPr>
          <w:rFonts w:asciiTheme="minorHAnsi" w:eastAsiaTheme="minorHAnsi" w:hAnsiTheme="minorHAnsi" w:cs="Arial"/>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33DD5" w:rsidRPr="00832088" w:rsidRDefault="00533DD5" w:rsidP="00C17D42">
      <w:pPr>
        <w:widowControl w:val="0"/>
        <w:numPr>
          <w:ilvl w:val="0"/>
          <w:numId w:val="2"/>
        </w:numPr>
        <w:spacing w:before="240" w:after="120"/>
        <w:jc w:val="both"/>
        <w:outlineLvl w:val="0"/>
        <w:rPr>
          <w:rFonts w:asciiTheme="minorHAnsi" w:eastAsiaTheme="minorHAnsi" w:hAnsiTheme="minorHAnsi" w:cstheme="minorBidi"/>
          <w:b/>
          <w:sz w:val="32"/>
          <w:szCs w:val="32"/>
          <w:lang w:eastAsia="en-US"/>
        </w:rPr>
      </w:pPr>
      <w:r w:rsidRPr="00832088">
        <w:rPr>
          <w:rFonts w:asciiTheme="minorHAnsi" w:eastAsiaTheme="minorHAnsi" w:hAnsiTheme="minorHAnsi" w:cstheme="minorBidi"/>
          <w:b/>
          <w:sz w:val="32"/>
          <w:szCs w:val="32"/>
          <w:lang w:eastAsia="en-US"/>
        </w:rPr>
        <w:t>Sponsor’s Comment</w:t>
      </w:r>
    </w:p>
    <w:p w:rsidR="00C17D42" w:rsidRDefault="00C17D42" w:rsidP="00533DD5">
      <w:pPr>
        <w:spacing w:after="120" w:line="276" w:lineRule="auto"/>
        <w:ind w:left="426"/>
        <w:jc w:val="both"/>
        <w:rPr>
          <w:rFonts w:asciiTheme="minorHAnsi" w:eastAsiaTheme="minorHAnsi" w:hAnsiTheme="minorHAnsi" w:cs="Arial"/>
          <w:bCs/>
          <w:highlight w:val="yellow"/>
          <w:lang w:val="en-GB" w:eastAsia="en-US"/>
        </w:rPr>
      </w:pPr>
    </w:p>
    <w:p w:rsidR="0009288C" w:rsidRPr="00BB17B4" w:rsidRDefault="00533DD5" w:rsidP="00321875">
      <w:pPr>
        <w:spacing w:after="120" w:line="276" w:lineRule="auto"/>
        <w:jc w:val="both"/>
        <w:rPr>
          <w:rFonts w:asciiTheme="minorHAnsi" w:hAnsiTheme="minorHAnsi" w:cs="Arial"/>
          <w:sz w:val="22"/>
          <w:szCs w:val="22"/>
        </w:rPr>
      </w:pPr>
      <w:r w:rsidRPr="00832088">
        <w:rPr>
          <w:rFonts w:asciiTheme="minorHAnsi" w:eastAsiaTheme="minorHAnsi" w:hAnsiTheme="minorHAnsi" w:cs="Arial"/>
          <w:bCs/>
          <w:lang w:eastAsia="en-US"/>
        </w:rPr>
        <w:t>The sponsor had no comment.</w:t>
      </w:r>
      <w:bookmarkStart w:id="2" w:name="_GoBack"/>
      <w:bookmarkEnd w:id="2"/>
    </w:p>
    <w:sectPr w:rsidR="0009288C" w:rsidRPr="00BB17B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5B6" w:rsidRDefault="007F25B6">
      <w:r>
        <w:separator/>
      </w:r>
    </w:p>
    <w:p w:rsidR="007F25B6" w:rsidRDefault="007F25B6"/>
    <w:p w:rsidR="007F25B6" w:rsidRDefault="007F25B6"/>
  </w:endnote>
  <w:endnote w:type="continuationSeparator" w:id="0">
    <w:p w:rsidR="007F25B6" w:rsidRDefault="007F25B6">
      <w:r>
        <w:continuationSeparator/>
      </w:r>
    </w:p>
    <w:p w:rsidR="007F25B6" w:rsidRDefault="007F25B6"/>
    <w:p w:rsidR="007F25B6" w:rsidRDefault="007F2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93BCA" w:rsidTr="005A3173">
      <w:trPr>
        <w:trHeight w:val="151"/>
      </w:trPr>
      <w:tc>
        <w:tcPr>
          <w:tcW w:w="2250" w:type="pct"/>
          <w:tcBorders>
            <w:top w:val="nil"/>
            <w:left w:val="nil"/>
            <w:bottom w:val="single" w:sz="4" w:space="0" w:color="4F81BD"/>
            <w:right w:val="nil"/>
          </w:tcBorders>
        </w:tcPr>
        <w:p w:rsidR="00D93BCA" w:rsidRPr="005A3173" w:rsidRDefault="00D93BC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93BCA" w:rsidRPr="005A3173" w:rsidRDefault="00D93BC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3BCA" w:rsidRPr="005A3173" w:rsidRDefault="00D93BCA" w:rsidP="005A3173">
          <w:pPr>
            <w:pStyle w:val="Header"/>
            <w:spacing w:line="276" w:lineRule="auto"/>
            <w:rPr>
              <w:rFonts w:ascii="Calibri" w:eastAsia="MS Gothic" w:hAnsi="Calibri"/>
              <w:b/>
              <w:bCs/>
              <w:color w:val="4F81BD"/>
            </w:rPr>
          </w:pPr>
        </w:p>
      </w:tc>
    </w:tr>
    <w:tr w:rsidR="00D93BCA" w:rsidTr="005A3173">
      <w:trPr>
        <w:trHeight w:val="150"/>
      </w:trPr>
      <w:tc>
        <w:tcPr>
          <w:tcW w:w="2250" w:type="pct"/>
          <w:tcBorders>
            <w:top w:val="single" w:sz="4" w:space="0" w:color="4F81BD"/>
            <w:left w:val="nil"/>
            <w:bottom w:val="nil"/>
            <w:right w:val="nil"/>
          </w:tcBorders>
        </w:tcPr>
        <w:p w:rsidR="00D93BCA" w:rsidRPr="005A3173" w:rsidRDefault="00D93BCA" w:rsidP="005A3173">
          <w:pPr>
            <w:pStyle w:val="Header"/>
            <w:spacing w:line="276" w:lineRule="auto"/>
            <w:rPr>
              <w:rFonts w:ascii="Calibri" w:eastAsia="MS Gothic" w:hAnsi="Calibri"/>
              <w:b/>
              <w:bCs/>
              <w:color w:val="4F81BD"/>
            </w:rPr>
          </w:pPr>
        </w:p>
      </w:tc>
      <w:tc>
        <w:tcPr>
          <w:tcW w:w="0" w:type="auto"/>
          <w:vMerge/>
          <w:vAlign w:val="center"/>
          <w:hideMark/>
        </w:tcPr>
        <w:p w:rsidR="00D93BCA" w:rsidRPr="005A3173" w:rsidRDefault="00D93BCA" w:rsidP="005A3173">
          <w:pPr>
            <w:rPr>
              <w:rFonts w:ascii="Calibri" w:hAnsi="Calibri"/>
              <w:color w:val="365F91"/>
              <w:sz w:val="22"/>
              <w:szCs w:val="22"/>
            </w:rPr>
          </w:pPr>
        </w:p>
      </w:tc>
      <w:tc>
        <w:tcPr>
          <w:tcW w:w="2250" w:type="pct"/>
          <w:tcBorders>
            <w:top w:val="single" w:sz="4" w:space="0" w:color="4F81BD"/>
            <w:left w:val="nil"/>
            <w:bottom w:val="nil"/>
            <w:right w:val="nil"/>
          </w:tcBorders>
        </w:tcPr>
        <w:p w:rsidR="00D93BCA" w:rsidRPr="005A3173" w:rsidRDefault="00D93BCA" w:rsidP="005A3173">
          <w:pPr>
            <w:pStyle w:val="Header"/>
            <w:spacing w:line="276" w:lineRule="auto"/>
            <w:rPr>
              <w:rFonts w:ascii="Calibri" w:eastAsia="MS Gothic" w:hAnsi="Calibri"/>
              <w:b/>
              <w:bCs/>
              <w:color w:val="4F81BD"/>
            </w:rPr>
          </w:pPr>
        </w:p>
      </w:tc>
    </w:tr>
  </w:tbl>
  <w:p w:rsidR="00D93BCA" w:rsidRDefault="00D93BC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3BCA" w:rsidRDefault="00D93BCA">
    <w:pPr>
      <w:pStyle w:val="Footer"/>
    </w:pPr>
  </w:p>
  <w:p w:rsidR="00D93BCA" w:rsidRDefault="00D93BCA"/>
  <w:p w:rsidR="00D93BCA" w:rsidRDefault="00D93B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BCA" w:rsidRDefault="00D93BCA" w:rsidP="00E62864">
    <w:pPr>
      <w:tabs>
        <w:tab w:val="center" w:pos="4153"/>
        <w:tab w:val="right" w:pos="8306"/>
      </w:tabs>
      <w:spacing w:after="120"/>
      <w:ind w:left="360"/>
      <w:jc w:val="center"/>
      <w:rPr>
        <w:rFonts w:asciiTheme="minorHAnsi" w:hAnsiTheme="minorHAnsi" w:cs="Arial"/>
        <w:lang w:eastAsia="en-US"/>
      </w:rPr>
    </w:pPr>
  </w:p>
  <w:p w:rsidR="00D93BCA" w:rsidRPr="00EE74A5" w:rsidRDefault="00D93BCA" w:rsidP="00EE74A5">
    <w:pPr>
      <w:tabs>
        <w:tab w:val="center" w:pos="4153"/>
        <w:tab w:val="right" w:pos="8306"/>
      </w:tabs>
      <w:spacing w:after="120"/>
      <w:ind w:left="360"/>
      <w:jc w:val="center"/>
      <w:rPr>
        <w:rFonts w:asciiTheme="minorHAnsi" w:hAnsiTheme="minorHAnsi" w:cs="Arial"/>
        <w:lang w:eastAsia="en-US"/>
      </w:rPr>
    </w:pPr>
    <w:r w:rsidRPr="00E62864">
      <w:rPr>
        <w:rFonts w:asciiTheme="minorHAnsi" w:hAnsiTheme="minorHAnsi" w:cs="Arial"/>
        <w:lang w:eastAsia="en-US"/>
      </w:rPr>
      <w:fldChar w:fldCharType="begin"/>
    </w:r>
    <w:r w:rsidRPr="00E62864">
      <w:rPr>
        <w:rFonts w:asciiTheme="minorHAnsi" w:hAnsiTheme="minorHAnsi" w:cs="Arial"/>
        <w:lang w:eastAsia="en-US"/>
      </w:rPr>
      <w:instrText xml:space="preserve"> PAGE   \* MERGEFORMAT </w:instrText>
    </w:r>
    <w:r w:rsidRPr="00E62864">
      <w:rPr>
        <w:rFonts w:asciiTheme="minorHAnsi" w:hAnsiTheme="minorHAnsi" w:cs="Arial"/>
        <w:lang w:eastAsia="en-US"/>
      </w:rPr>
      <w:fldChar w:fldCharType="separate"/>
    </w:r>
    <w:r w:rsidR="007F25B6">
      <w:rPr>
        <w:rFonts w:asciiTheme="minorHAnsi" w:hAnsiTheme="minorHAnsi" w:cs="Arial"/>
        <w:noProof/>
        <w:lang w:eastAsia="en-US"/>
      </w:rPr>
      <w:t>15</w:t>
    </w:r>
    <w:r w:rsidRPr="00E62864">
      <w:rPr>
        <w:rFonts w:asciiTheme="minorHAnsi" w:hAnsiTheme="minorHAnsi" w:cs="Arial"/>
        <w:noProof/>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93BCA" w:rsidTr="005A3173">
      <w:trPr>
        <w:trHeight w:val="151"/>
      </w:trPr>
      <w:tc>
        <w:tcPr>
          <w:tcW w:w="2250" w:type="pct"/>
          <w:tcBorders>
            <w:top w:val="nil"/>
            <w:left w:val="nil"/>
            <w:bottom w:val="single" w:sz="4" w:space="0" w:color="4F81BD"/>
            <w:right w:val="nil"/>
          </w:tcBorders>
        </w:tcPr>
        <w:p w:rsidR="00D93BCA" w:rsidRPr="005A3173" w:rsidRDefault="00D93BC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93BCA" w:rsidRPr="005A3173" w:rsidRDefault="00D93BC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3BCA" w:rsidRPr="005A3173" w:rsidRDefault="00D93BCA" w:rsidP="005A3173">
          <w:pPr>
            <w:pStyle w:val="Header"/>
            <w:spacing w:line="276" w:lineRule="auto"/>
            <w:rPr>
              <w:rFonts w:ascii="Calibri" w:eastAsia="MS Gothic" w:hAnsi="Calibri"/>
              <w:b/>
              <w:bCs/>
              <w:color w:val="4F81BD"/>
            </w:rPr>
          </w:pPr>
        </w:p>
      </w:tc>
    </w:tr>
    <w:tr w:rsidR="00D93BCA" w:rsidTr="005A3173">
      <w:trPr>
        <w:trHeight w:val="150"/>
      </w:trPr>
      <w:tc>
        <w:tcPr>
          <w:tcW w:w="2250" w:type="pct"/>
          <w:tcBorders>
            <w:top w:val="single" w:sz="4" w:space="0" w:color="4F81BD"/>
            <w:left w:val="nil"/>
            <w:bottom w:val="nil"/>
            <w:right w:val="nil"/>
          </w:tcBorders>
        </w:tcPr>
        <w:p w:rsidR="00D93BCA" w:rsidRPr="005A3173" w:rsidRDefault="00D93BCA" w:rsidP="005A3173">
          <w:pPr>
            <w:pStyle w:val="Header"/>
            <w:spacing w:line="276" w:lineRule="auto"/>
            <w:rPr>
              <w:rFonts w:ascii="Calibri" w:eastAsia="MS Gothic" w:hAnsi="Calibri"/>
              <w:b/>
              <w:bCs/>
              <w:color w:val="4F81BD"/>
            </w:rPr>
          </w:pPr>
        </w:p>
      </w:tc>
      <w:tc>
        <w:tcPr>
          <w:tcW w:w="0" w:type="auto"/>
          <w:vMerge/>
          <w:vAlign w:val="center"/>
          <w:hideMark/>
        </w:tcPr>
        <w:p w:rsidR="00D93BCA" w:rsidRPr="005A3173" w:rsidRDefault="00D93BCA" w:rsidP="005A3173">
          <w:pPr>
            <w:rPr>
              <w:rFonts w:ascii="Calibri" w:hAnsi="Calibri"/>
              <w:color w:val="365F91"/>
              <w:sz w:val="22"/>
              <w:szCs w:val="22"/>
            </w:rPr>
          </w:pPr>
        </w:p>
      </w:tc>
      <w:tc>
        <w:tcPr>
          <w:tcW w:w="2250" w:type="pct"/>
          <w:tcBorders>
            <w:top w:val="single" w:sz="4" w:space="0" w:color="4F81BD"/>
            <w:left w:val="nil"/>
            <w:bottom w:val="nil"/>
            <w:right w:val="nil"/>
          </w:tcBorders>
        </w:tcPr>
        <w:p w:rsidR="00D93BCA" w:rsidRPr="005A3173" w:rsidRDefault="00D93BC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93BCA" w:rsidTr="005A3173">
      <w:trPr>
        <w:trHeight w:val="151"/>
      </w:trPr>
      <w:tc>
        <w:tcPr>
          <w:tcW w:w="2250" w:type="pct"/>
          <w:tcBorders>
            <w:top w:val="nil"/>
            <w:left w:val="nil"/>
            <w:bottom w:val="single" w:sz="4" w:space="0" w:color="4F81BD"/>
            <w:right w:val="nil"/>
          </w:tcBorders>
        </w:tcPr>
        <w:p w:rsidR="00D93BCA" w:rsidRPr="005A3173" w:rsidRDefault="00D93BC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93BCA" w:rsidRPr="005A3173" w:rsidRDefault="00D93BC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93BCA" w:rsidRPr="005A3173" w:rsidRDefault="00D93BCA" w:rsidP="005A3173">
          <w:pPr>
            <w:pStyle w:val="Header"/>
            <w:spacing w:line="276" w:lineRule="auto"/>
            <w:rPr>
              <w:rFonts w:ascii="Calibri" w:eastAsia="MS Gothic" w:hAnsi="Calibri"/>
              <w:b/>
              <w:bCs/>
              <w:color w:val="4F81BD"/>
            </w:rPr>
          </w:pPr>
        </w:p>
      </w:tc>
    </w:tr>
    <w:tr w:rsidR="00D93BCA" w:rsidTr="005A3173">
      <w:trPr>
        <w:trHeight w:val="150"/>
      </w:trPr>
      <w:tc>
        <w:tcPr>
          <w:tcW w:w="2250" w:type="pct"/>
          <w:tcBorders>
            <w:top w:val="single" w:sz="4" w:space="0" w:color="4F81BD"/>
            <w:left w:val="nil"/>
            <w:bottom w:val="nil"/>
            <w:right w:val="nil"/>
          </w:tcBorders>
        </w:tcPr>
        <w:p w:rsidR="00D93BCA" w:rsidRPr="005A3173" w:rsidRDefault="00D93BCA" w:rsidP="005A3173">
          <w:pPr>
            <w:pStyle w:val="Header"/>
            <w:spacing w:line="276" w:lineRule="auto"/>
            <w:rPr>
              <w:rFonts w:ascii="Calibri" w:eastAsia="MS Gothic" w:hAnsi="Calibri"/>
              <w:b/>
              <w:bCs/>
              <w:color w:val="4F81BD"/>
            </w:rPr>
          </w:pPr>
        </w:p>
      </w:tc>
      <w:tc>
        <w:tcPr>
          <w:tcW w:w="0" w:type="auto"/>
          <w:vMerge/>
          <w:vAlign w:val="center"/>
          <w:hideMark/>
        </w:tcPr>
        <w:p w:rsidR="00D93BCA" w:rsidRPr="005A3173" w:rsidRDefault="00D93BCA" w:rsidP="005A3173">
          <w:pPr>
            <w:rPr>
              <w:rFonts w:ascii="Calibri" w:hAnsi="Calibri"/>
              <w:color w:val="365F91"/>
              <w:sz w:val="22"/>
              <w:szCs w:val="22"/>
            </w:rPr>
          </w:pPr>
        </w:p>
      </w:tc>
      <w:tc>
        <w:tcPr>
          <w:tcW w:w="2250" w:type="pct"/>
          <w:tcBorders>
            <w:top w:val="single" w:sz="4" w:space="0" w:color="4F81BD"/>
            <w:left w:val="nil"/>
            <w:bottom w:val="nil"/>
            <w:right w:val="nil"/>
          </w:tcBorders>
        </w:tcPr>
        <w:p w:rsidR="00D93BCA" w:rsidRPr="005A3173" w:rsidRDefault="00D93BCA" w:rsidP="005A3173">
          <w:pPr>
            <w:pStyle w:val="Header"/>
            <w:spacing w:line="276" w:lineRule="auto"/>
            <w:rPr>
              <w:rFonts w:ascii="Calibri" w:eastAsia="MS Gothic" w:hAnsi="Calibri"/>
              <w:b/>
              <w:bCs/>
              <w:color w:val="4F81BD"/>
            </w:rPr>
          </w:pPr>
        </w:p>
      </w:tc>
    </w:tr>
  </w:tbl>
  <w:p w:rsidR="00D93BCA" w:rsidRPr="007C0F57" w:rsidRDefault="00D93BC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93BCA" w:rsidRPr="007C0F57" w:rsidRDefault="00D93BCA" w:rsidP="007C0F57">
    <w:pPr>
      <w:pStyle w:val="Footer"/>
      <w:jc w:val="center"/>
      <w:rPr>
        <w:b/>
        <w:i/>
        <w:sz w:val="20"/>
        <w:szCs w:val="20"/>
      </w:rPr>
    </w:pPr>
    <w:r w:rsidRPr="007C0F57">
      <w:rPr>
        <w:b/>
        <w:i/>
        <w:sz w:val="20"/>
        <w:szCs w:val="20"/>
      </w:rPr>
      <w:t>Commercial-in-Confidence</w:t>
    </w:r>
  </w:p>
  <w:p w:rsidR="00D93BCA" w:rsidRDefault="00D93BCA"/>
  <w:p w:rsidR="00D93BCA" w:rsidRDefault="00D93BC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5B6" w:rsidRDefault="007F25B6">
      <w:r>
        <w:separator/>
      </w:r>
    </w:p>
    <w:p w:rsidR="007F25B6" w:rsidRDefault="007F25B6"/>
    <w:p w:rsidR="007F25B6" w:rsidRDefault="007F25B6"/>
  </w:footnote>
  <w:footnote w:type="continuationSeparator" w:id="0">
    <w:p w:rsidR="007F25B6" w:rsidRDefault="007F25B6">
      <w:r>
        <w:continuationSeparator/>
      </w:r>
    </w:p>
    <w:p w:rsidR="007F25B6" w:rsidRDefault="007F25B6"/>
    <w:p w:rsidR="007F25B6" w:rsidRDefault="007F25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93BCA" w:rsidRPr="008E0D90" w:rsidTr="00A06225">
      <w:trPr>
        <w:trHeight w:val="151"/>
      </w:trPr>
      <w:tc>
        <w:tcPr>
          <w:tcW w:w="2389" w:type="pct"/>
          <w:tcBorders>
            <w:top w:val="nil"/>
            <w:left w:val="nil"/>
            <w:bottom w:val="single" w:sz="4" w:space="0" w:color="4F81BD"/>
            <w:right w:val="nil"/>
          </w:tcBorders>
        </w:tcPr>
        <w:p w:rsidR="00D93BCA" w:rsidRPr="00A06225" w:rsidRDefault="00D93BCA">
          <w:pPr>
            <w:pStyle w:val="Header"/>
            <w:spacing w:line="276" w:lineRule="auto"/>
            <w:rPr>
              <w:rFonts w:ascii="Cambria" w:eastAsia="MS Gothic" w:hAnsi="Cambria"/>
              <w:b/>
              <w:bCs/>
              <w:color w:val="4F81BD"/>
            </w:rPr>
          </w:pPr>
        </w:p>
      </w:tc>
      <w:tc>
        <w:tcPr>
          <w:tcW w:w="333" w:type="pct"/>
          <w:vMerge w:val="restart"/>
          <w:noWrap/>
          <w:vAlign w:val="center"/>
          <w:hideMark/>
        </w:tcPr>
        <w:p w:rsidR="00D93BCA" w:rsidRPr="00A06225" w:rsidRDefault="00D93BC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93BCA" w:rsidRPr="00A06225" w:rsidRDefault="00D93BCA">
          <w:pPr>
            <w:pStyle w:val="Header"/>
            <w:spacing w:line="276" w:lineRule="auto"/>
            <w:rPr>
              <w:rFonts w:ascii="Cambria" w:eastAsia="MS Gothic" w:hAnsi="Cambria"/>
              <w:b/>
              <w:bCs/>
              <w:color w:val="4F81BD"/>
            </w:rPr>
          </w:pPr>
        </w:p>
      </w:tc>
    </w:tr>
    <w:tr w:rsidR="00D93BCA" w:rsidRPr="008E0D90" w:rsidTr="00A06225">
      <w:trPr>
        <w:trHeight w:val="150"/>
      </w:trPr>
      <w:tc>
        <w:tcPr>
          <w:tcW w:w="2389" w:type="pct"/>
          <w:tcBorders>
            <w:top w:val="single" w:sz="4" w:space="0" w:color="4F81BD"/>
            <w:left w:val="nil"/>
            <w:bottom w:val="nil"/>
            <w:right w:val="nil"/>
          </w:tcBorders>
        </w:tcPr>
        <w:p w:rsidR="00D93BCA" w:rsidRPr="00A06225" w:rsidRDefault="00D93BCA">
          <w:pPr>
            <w:pStyle w:val="Header"/>
            <w:spacing w:line="276" w:lineRule="auto"/>
            <w:rPr>
              <w:rFonts w:ascii="Cambria" w:eastAsia="MS Gothic" w:hAnsi="Cambria"/>
              <w:b/>
              <w:bCs/>
              <w:color w:val="4F81BD"/>
            </w:rPr>
          </w:pPr>
        </w:p>
      </w:tc>
      <w:tc>
        <w:tcPr>
          <w:tcW w:w="0" w:type="auto"/>
          <w:vMerge/>
          <w:vAlign w:val="center"/>
          <w:hideMark/>
        </w:tcPr>
        <w:p w:rsidR="00D93BCA" w:rsidRPr="00A06225" w:rsidRDefault="00D93BCA">
          <w:pPr>
            <w:rPr>
              <w:rFonts w:ascii="Cambria" w:hAnsi="Cambria"/>
              <w:color w:val="4F81BD"/>
              <w:sz w:val="22"/>
              <w:szCs w:val="22"/>
            </w:rPr>
          </w:pPr>
        </w:p>
      </w:tc>
      <w:tc>
        <w:tcPr>
          <w:tcW w:w="2278" w:type="pct"/>
          <w:tcBorders>
            <w:top w:val="single" w:sz="4" w:space="0" w:color="4F81BD"/>
            <w:left w:val="nil"/>
            <w:bottom w:val="nil"/>
            <w:right w:val="nil"/>
          </w:tcBorders>
        </w:tcPr>
        <w:p w:rsidR="00D93BCA" w:rsidRPr="00A06225" w:rsidRDefault="00D93BCA">
          <w:pPr>
            <w:pStyle w:val="Header"/>
            <w:spacing w:line="276" w:lineRule="auto"/>
            <w:rPr>
              <w:rFonts w:ascii="Cambria" w:eastAsia="MS Gothic" w:hAnsi="Cambria"/>
              <w:b/>
              <w:bCs/>
              <w:color w:val="4F81BD"/>
            </w:rPr>
          </w:pPr>
        </w:p>
      </w:tc>
    </w:tr>
  </w:tbl>
  <w:p w:rsidR="00D93BCA" w:rsidRDefault="00D93BCA">
    <w:pPr>
      <w:pStyle w:val="Header"/>
    </w:pPr>
  </w:p>
  <w:p w:rsidR="00D93BCA" w:rsidRDefault="00D93BCA"/>
  <w:p w:rsidR="00D93BCA" w:rsidRDefault="00D93BC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BCA" w:rsidRPr="00E62864" w:rsidRDefault="00533DD5" w:rsidP="00EE74A5">
    <w:pPr>
      <w:tabs>
        <w:tab w:val="center" w:pos="4153"/>
        <w:tab w:val="right" w:pos="8306"/>
      </w:tabs>
      <w:jc w:val="center"/>
      <w:rPr>
        <w:rFonts w:asciiTheme="minorHAnsi" w:hAnsiTheme="minorHAnsi" w:cs="Arial"/>
        <w:i/>
        <w:color w:val="808080"/>
        <w:lang w:eastAsia="en-US"/>
      </w:rPr>
    </w:pPr>
    <w:r>
      <w:rPr>
        <w:rFonts w:asciiTheme="minorHAnsi" w:hAnsiTheme="minorHAnsi" w:cs="Arial"/>
        <w:i/>
        <w:color w:val="808080"/>
        <w:lang w:eastAsia="en-US"/>
      </w:rPr>
      <w:t xml:space="preserve">Public Summary Document </w:t>
    </w:r>
    <w:r w:rsidR="00D93BCA" w:rsidRPr="00E62864">
      <w:rPr>
        <w:rFonts w:asciiTheme="minorHAnsi" w:hAnsiTheme="minorHAnsi" w:cs="Arial"/>
        <w:i/>
        <w:color w:val="808080"/>
        <w:lang w:eastAsia="en-US"/>
      </w:rPr>
      <w:t xml:space="preserve">– </w:t>
    </w:r>
    <w:r w:rsidR="00D93BCA">
      <w:rPr>
        <w:rFonts w:asciiTheme="minorHAnsi" w:hAnsiTheme="minorHAnsi" w:cs="Arial"/>
        <w:i/>
        <w:color w:val="808080"/>
        <w:lang w:eastAsia="en-US"/>
      </w:rPr>
      <w:t>July 2017</w:t>
    </w:r>
    <w:r w:rsidR="00D93BCA" w:rsidRPr="00E62864">
      <w:rPr>
        <w:rFonts w:asciiTheme="minorHAnsi" w:hAnsiTheme="minorHAnsi" w:cs="Arial"/>
        <w:i/>
        <w:color w:val="808080"/>
        <w:lang w:eastAsia="en-US"/>
      </w:rPr>
      <w:t xml:space="preserve"> PBAC Meeting</w:t>
    </w:r>
  </w:p>
  <w:p w:rsidR="00D93BCA" w:rsidRDefault="00D93B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3BE" w:rsidRDefault="00A66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8B592B"/>
    <w:multiLevelType w:val="hybridMultilevel"/>
    <w:tmpl w:val="B0BC94B6"/>
    <w:lvl w:ilvl="0" w:tplc="E6F86D82">
      <w:numFmt w:val="bullet"/>
      <w:lvlText w:val="-"/>
      <w:lvlJc w:val="left"/>
      <w:pPr>
        <w:ind w:left="405" w:hanging="360"/>
      </w:pPr>
      <w:rPr>
        <w:rFonts w:ascii="Arial Narrow" w:eastAsia="Times New Roman" w:hAnsi="Arial Narrow"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2E5DC1"/>
    <w:multiLevelType w:val="multilevel"/>
    <w:tmpl w:val="FE52507E"/>
    <w:lvl w:ilvl="0">
      <w:start w:val="1"/>
      <w:numFmt w:val="decimal"/>
      <w:lvlText w:val="%1"/>
      <w:lvlJc w:val="left"/>
      <w:pPr>
        <w:ind w:left="720" w:hanging="720"/>
      </w:pPr>
      <w:rPr>
        <w:rFonts w:hint="default"/>
        <w:b/>
        <w:i w:val="0"/>
      </w:rPr>
    </w:lvl>
    <w:lvl w:ilvl="1">
      <w:start w:val="1"/>
      <w:numFmt w:val="bullet"/>
      <w:lvlText w:val=""/>
      <w:lvlJc w:val="left"/>
      <w:pPr>
        <w:ind w:left="1146"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1BF1E1F"/>
    <w:multiLevelType w:val="multilevel"/>
    <w:tmpl w:val="68FE478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7">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6B2B1BEF"/>
    <w:multiLevelType w:val="hybridMultilevel"/>
    <w:tmpl w:val="AA8C3FE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5">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784D033C"/>
    <w:multiLevelType w:val="multilevel"/>
    <w:tmpl w:val="063C65D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6"/>
  </w:num>
  <w:num w:numId="3">
    <w:abstractNumId w:val="4"/>
  </w:num>
  <w:num w:numId="4">
    <w:abstractNumId w:val="23"/>
  </w:num>
  <w:num w:numId="5">
    <w:abstractNumId w:val="5"/>
  </w:num>
  <w:num w:numId="6">
    <w:abstractNumId w:val="10"/>
  </w:num>
  <w:num w:numId="7">
    <w:abstractNumId w:val="20"/>
  </w:num>
  <w:num w:numId="8">
    <w:abstractNumId w:val="15"/>
  </w:num>
  <w:num w:numId="9">
    <w:abstractNumId w:val="25"/>
  </w:num>
  <w:num w:numId="10">
    <w:abstractNumId w:val="22"/>
  </w:num>
  <w:num w:numId="11">
    <w:abstractNumId w:val="16"/>
  </w:num>
  <w:num w:numId="12">
    <w:abstractNumId w:val="18"/>
  </w:num>
  <w:num w:numId="13">
    <w:abstractNumId w:val="6"/>
  </w:num>
  <w:num w:numId="14">
    <w:abstractNumId w:val="3"/>
  </w:num>
  <w:num w:numId="15">
    <w:abstractNumId w:val="0"/>
  </w:num>
  <w:num w:numId="16">
    <w:abstractNumId w:val="11"/>
  </w:num>
  <w:num w:numId="17">
    <w:abstractNumId w:val="19"/>
  </w:num>
  <w:num w:numId="18">
    <w:abstractNumId w:val="7"/>
  </w:num>
  <w:num w:numId="19">
    <w:abstractNumId w:val="17"/>
  </w:num>
  <w:num w:numId="20">
    <w:abstractNumId w:val="12"/>
  </w:num>
  <w:num w:numId="21">
    <w:abstractNumId w:val="27"/>
  </w:num>
  <w:num w:numId="22">
    <w:abstractNumId w:val="14"/>
  </w:num>
  <w:num w:numId="23">
    <w:abstractNumId w:val="24"/>
  </w:num>
  <w:num w:numId="24">
    <w:abstractNumId w:val="2"/>
  </w:num>
  <w:num w:numId="25">
    <w:abstractNumId w:val="21"/>
  </w:num>
  <w:num w:numId="26">
    <w:abstractNumId w:val="1"/>
  </w:num>
  <w:num w:numId="27">
    <w:abstractNumId w:val="9"/>
  </w:num>
  <w:num w:numId="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C8A"/>
    <w:rsid w:val="00017516"/>
    <w:rsid w:val="0002464A"/>
    <w:rsid w:val="0003106B"/>
    <w:rsid w:val="0003116E"/>
    <w:rsid w:val="00040932"/>
    <w:rsid w:val="000421A1"/>
    <w:rsid w:val="0004240E"/>
    <w:rsid w:val="00045E26"/>
    <w:rsid w:val="000514B5"/>
    <w:rsid w:val="0005154F"/>
    <w:rsid w:val="000541C4"/>
    <w:rsid w:val="00055CAD"/>
    <w:rsid w:val="00060E64"/>
    <w:rsid w:val="0006262B"/>
    <w:rsid w:val="00066755"/>
    <w:rsid w:val="00067865"/>
    <w:rsid w:val="00067955"/>
    <w:rsid w:val="00067964"/>
    <w:rsid w:val="00077C95"/>
    <w:rsid w:val="000824B1"/>
    <w:rsid w:val="0009288C"/>
    <w:rsid w:val="000969AD"/>
    <w:rsid w:val="00096ECB"/>
    <w:rsid w:val="000B558D"/>
    <w:rsid w:val="000C6996"/>
    <w:rsid w:val="000D23BA"/>
    <w:rsid w:val="000E681E"/>
    <w:rsid w:val="000E7D96"/>
    <w:rsid w:val="000F47FD"/>
    <w:rsid w:val="000F4E6A"/>
    <w:rsid w:val="001107BF"/>
    <w:rsid w:val="0011552C"/>
    <w:rsid w:val="0012417C"/>
    <w:rsid w:val="001265E3"/>
    <w:rsid w:val="00132188"/>
    <w:rsid w:val="001331E7"/>
    <w:rsid w:val="00142395"/>
    <w:rsid w:val="00142714"/>
    <w:rsid w:val="001452ED"/>
    <w:rsid w:val="001531AD"/>
    <w:rsid w:val="0016410F"/>
    <w:rsid w:val="001830CE"/>
    <w:rsid w:val="00187CF9"/>
    <w:rsid w:val="00196307"/>
    <w:rsid w:val="001A7184"/>
    <w:rsid w:val="001B017F"/>
    <w:rsid w:val="001B5129"/>
    <w:rsid w:val="001B5B58"/>
    <w:rsid w:val="001B65C1"/>
    <w:rsid w:val="001C1195"/>
    <w:rsid w:val="001D3422"/>
    <w:rsid w:val="001D62A8"/>
    <w:rsid w:val="001F2451"/>
    <w:rsid w:val="00201C31"/>
    <w:rsid w:val="00213CFB"/>
    <w:rsid w:val="002705FF"/>
    <w:rsid w:val="00271BA1"/>
    <w:rsid w:val="00277505"/>
    <w:rsid w:val="0029458F"/>
    <w:rsid w:val="002A104C"/>
    <w:rsid w:val="002A4960"/>
    <w:rsid w:val="002B1AE6"/>
    <w:rsid w:val="002B30F8"/>
    <w:rsid w:val="002C14A4"/>
    <w:rsid w:val="002C212F"/>
    <w:rsid w:val="002D0E8E"/>
    <w:rsid w:val="002D1002"/>
    <w:rsid w:val="002D5C51"/>
    <w:rsid w:val="002E3153"/>
    <w:rsid w:val="002E72CA"/>
    <w:rsid w:val="00321875"/>
    <w:rsid w:val="00326E79"/>
    <w:rsid w:val="003367EF"/>
    <w:rsid w:val="00341AE4"/>
    <w:rsid w:val="003448DC"/>
    <w:rsid w:val="003679D5"/>
    <w:rsid w:val="0037514F"/>
    <w:rsid w:val="00376A22"/>
    <w:rsid w:val="00377334"/>
    <w:rsid w:val="00381050"/>
    <w:rsid w:val="00382FE3"/>
    <w:rsid w:val="003872CF"/>
    <w:rsid w:val="00391A85"/>
    <w:rsid w:val="0039782C"/>
    <w:rsid w:val="003A1303"/>
    <w:rsid w:val="003A3D75"/>
    <w:rsid w:val="003A596A"/>
    <w:rsid w:val="003A5B4A"/>
    <w:rsid w:val="003A5FCF"/>
    <w:rsid w:val="003B23C5"/>
    <w:rsid w:val="003B2A75"/>
    <w:rsid w:val="003D4AC4"/>
    <w:rsid w:val="003D63B7"/>
    <w:rsid w:val="003E468B"/>
    <w:rsid w:val="003F5C8C"/>
    <w:rsid w:val="00412B07"/>
    <w:rsid w:val="0041663C"/>
    <w:rsid w:val="00437468"/>
    <w:rsid w:val="004465BD"/>
    <w:rsid w:val="00450195"/>
    <w:rsid w:val="00466ADA"/>
    <w:rsid w:val="004720C8"/>
    <w:rsid w:val="00476245"/>
    <w:rsid w:val="00485940"/>
    <w:rsid w:val="00486FF3"/>
    <w:rsid w:val="004903C4"/>
    <w:rsid w:val="00492147"/>
    <w:rsid w:val="00493682"/>
    <w:rsid w:val="0049407A"/>
    <w:rsid w:val="00494F79"/>
    <w:rsid w:val="004A08DA"/>
    <w:rsid w:val="004A5A85"/>
    <w:rsid w:val="004B4F71"/>
    <w:rsid w:val="004B5640"/>
    <w:rsid w:val="004C1BD7"/>
    <w:rsid w:val="004C4D7A"/>
    <w:rsid w:val="004C691D"/>
    <w:rsid w:val="004D1FDB"/>
    <w:rsid w:val="004E0CB9"/>
    <w:rsid w:val="004E692D"/>
    <w:rsid w:val="00501554"/>
    <w:rsid w:val="005028B3"/>
    <w:rsid w:val="00512175"/>
    <w:rsid w:val="00514CD7"/>
    <w:rsid w:val="00517BDA"/>
    <w:rsid w:val="00520160"/>
    <w:rsid w:val="00526141"/>
    <w:rsid w:val="005319B2"/>
    <w:rsid w:val="00532C74"/>
    <w:rsid w:val="00533DD5"/>
    <w:rsid w:val="00534E2E"/>
    <w:rsid w:val="00544552"/>
    <w:rsid w:val="00560F24"/>
    <w:rsid w:val="0058002E"/>
    <w:rsid w:val="00581932"/>
    <w:rsid w:val="00582ECD"/>
    <w:rsid w:val="00591733"/>
    <w:rsid w:val="005963BB"/>
    <w:rsid w:val="0059716D"/>
    <w:rsid w:val="005A3173"/>
    <w:rsid w:val="005A3223"/>
    <w:rsid w:val="005A39D7"/>
    <w:rsid w:val="005A3DA3"/>
    <w:rsid w:val="005A52C4"/>
    <w:rsid w:val="005B2207"/>
    <w:rsid w:val="005C6451"/>
    <w:rsid w:val="005D03AB"/>
    <w:rsid w:val="005D3098"/>
    <w:rsid w:val="005D3586"/>
    <w:rsid w:val="005D5017"/>
    <w:rsid w:val="005E162E"/>
    <w:rsid w:val="005E4C57"/>
    <w:rsid w:val="005E568F"/>
    <w:rsid w:val="005F4B36"/>
    <w:rsid w:val="00601A91"/>
    <w:rsid w:val="00602BA3"/>
    <w:rsid w:val="00614159"/>
    <w:rsid w:val="00617C00"/>
    <w:rsid w:val="006240F8"/>
    <w:rsid w:val="006263BF"/>
    <w:rsid w:val="0062748A"/>
    <w:rsid w:val="00630A2C"/>
    <w:rsid w:val="00632BC9"/>
    <w:rsid w:val="00635B9A"/>
    <w:rsid w:val="00636484"/>
    <w:rsid w:val="00651169"/>
    <w:rsid w:val="00653D69"/>
    <w:rsid w:val="00670A76"/>
    <w:rsid w:val="006711AA"/>
    <w:rsid w:val="00672B57"/>
    <w:rsid w:val="00675622"/>
    <w:rsid w:val="00680B43"/>
    <w:rsid w:val="00680E9E"/>
    <w:rsid w:val="006856CD"/>
    <w:rsid w:val="006906DB"/>
    <w:rsid w:val="00692ACF"/>
    <w:rsid w:val="006A12A5"/>
    <w:rsid w:val="006A37C1"/>
    <w:rsid w:val="006B0D94"/>
    <w:rsid w:val="006B485D"/>
    <w:rsid w:val="006C708E"/>
    <w:rsid w:val="006D22A0"/>
    <w:rsid w:val="006D6EC7"/>
    <w:rsid w:val="006F5125"/>
    <w:rsid w:val="00704DE3"/>
    <w:rsid w:val="00713A79"/>
    <w:rsid w:val="00713B02"/>
    <w:rsid w:val="007174BB"/>
    <w:rsid w:val="00730056"/>
    <w:rsid w:val="007378D1"/>
    <w:rsid w:val="007461DB"/>
    <w:rsid w:val="00753DE7"/>
    <w:rsid w:val="007549A1"/>
    <w:rsid w:val="0076420C"/>
    <w:rsid w:val="007753C2"/>
    <w:rsid w:val="00776919"/>
    <w:rsid w:val="007771EC"/>
    <w:rsid w:val="007838B8"/>
    <w:rsid w:val="007A14C5"/>
    <w:rsid w:val="007A2B91"/>
    <w:rsid w:val="007C0402"/>
    <w:rsid w:val="007C065B"/>
    <w:rsid w:val="007C0F57"/>
    <w:rsid w:val="007C40B6"/>
    <w:rsid w:val="007C729F"/>
    <w:rsid w:val="007D725D"/>
    <w:rsid w:val="007E1D28"/>
    <w:rsid w:val="007F25B6"/>
    <w:rsid w:val="007F2641"/>
    <w:rsid w:val="007F7C36"/>
    <w:rsid w:val="00806796"/>
    <w:rsid w:val="00826F6D"/>
    <w:rsid w:val="008363DF"/>
    <w:rsid w:val="00836D17"/>
    <w:rsid w:val="0084274C"/>
    <w:rsid w:val="00850BB8"/>
    <w:rsid w:val="00850C78"/>
    <w:rsid w:val="008531D2"/>
    <w:rsid w:val="008543E9"/>
    <w:rsid w:val="00856DDD"/>
    <w:rsid w:val="00863E68"/>
    <w:rsid w:val="00873C89"/>
    <w:rsid w:val="00882085"/>
    <w:rsid w:val="00883188"/>
    <w:rsid w:val="00897D58"/>
    <w:rsid w:val="008A1956"/>
    <w:rsid w:val="008A4937"/>
    <w:rsid w:val="008A4BA5"/>
    <w:rsid w:val="008A54B1"/>
    <w:rsid w:val="008B4604"/>
    <w:rsid w:val="008B58E0"/>
    <w:rsid w:val="008C2E00"/>
    <w:rsid w:val="008C4C93"/>
    <w:rsid w:val="008D3C82"/>
    <w:rsid w:val="008D447E"/>
    <w:rsid w:val="008D7A41"/>
    <w:rsid w:val="008E3680"/>
    <w:rsid w:val="008E5870"/>
    <w:rsid w:val="008F1434"/>
    <w:rsid w:val="008F7355"/>
    <w:rsid w:val="0090592F"/>
    <w:rsid w:val="009067B7"/>
    <w:rsid w:val="009071BE"/>
    <w:rsid w:val="00930937"/>
    <w:rsid w:val="00933E6C"/>
    <w:rsid w:val="00942160"/>
    <w:rsid w:val="00946C55"/>
    <w:rsid w:val="0096019A"/>
    <w:rsid w:val="009602C5"/>
    <w:rsid w:val="00961A42"/>
    <w:rsid w:val="00964C23"/>
    <w:rsid w:val="0097365C"/>
    <w:rsid w:val="00974C21"/>
    <w:rsid w:val="00995382"/>
    <w:rsid w:val="009B0F67"/>
    <w:rsid w:val="009B6DAF"/>
    <w:rsid w:val="009C703C"/>
    <w:rsid w:val="009D3CAA"/>
    <w:rsid w:val="009D508B"/>
    <w:rsid w:val="009E644F"/>
    <w:rsid w:val="009F4E46"/>
    <w:rsid w:val="009F5A51"/>
    <w:rsid w:val="009F5B65"/>
    <w:rsid w:val="009F5F2E"/>
    <w:rsid w:val="00A06225"/>
    <w:rsid w:val="00A128E6"/>
    <w:rsid w:val="00A15C90"/>
    <w:rsid w:val="00A21683"/>
    <w:rsid w:val="00A24CA1"/>
    <w:rsid w:val="00A31CB7"/>
    <w:rsid w:val="00A33536"/>
    <w:rsid w:val="00A3715D"/>
    <w:rsid w:val="00A37C8D"/>
    <w:rsid w:val="00A475FC"/>
    <w:rsid w:val="00A51804"/>
    <w:rsid w:val="00A5273B"/>
    <w:rsid w:val="00A53A9D"/>
    <w:rsid w:val="00A55FEE"/>
    <w:rsid w:val="00A62C1A"/>
    <w:rsid w:val="00A6426D"/>
    <w:rsid w:val="00A663BE"/>
    <w:rsid w:val="00A70622"/>
    <w:rsid w:val="00A70977"/>
    <w:rsid w:val="00A8390C"/>
    <w:rsid w:val="00A928BD"/>
    <w:rsid w:val="00AA4D1C"/>
    <w:rsid w:val="00AB1F97"/>
    <w:rsid w:val="00AC36ED"/>
    <w:rsid w:val="00AC5206"/>
    <w:rsid w:val="00AE11A5"/>
    <w:rsid w:val="00AE13E2"/>
    <w:rsid w:val="00AF593D"/>
    <w:rsid w:val="00AF6435"/>
    <w:rsid w:val="00AF68CC"/>
    <w:rsid w:val="00B10CA5"/>
    <w:rsid w:val="00B205AA"/>
    <w:rsid w:val="00B22ACA"/>
    <w:rsid w:val="00B22E84"/>
    <w:rsid w:val="00B24534"/>
    <w:rsid w:val="00B25F75"/>
    <w:rsid w:val="00B37CE0"/>
    <w:rsid w:val="00B37DF9"/>
    <w:rsid w:val="00B43B7E"/>
    <w:rsid w:val="00B43E90"/>
    <w:rsid w:val="00B56118"/>
    <w:rsid w:val="00B64497"/>
    <w:rsid w:val="00B6773F"/>
    <w:rsid w:val="00B801BA"/>
    <w:rsid w:val="00B9088F"/>
    <w:rsid w:val="00B94A6D"/>
    <w:rsid w:val="00BB17B4"/>
    <w:rsid w:val="00BB1E36"/>
    <w:rsid w:val="00BB69F5"/>
    <w:rsid w:val="00BB7EC3"/>
    <w:rsid w:val="00BC4B9A"/>
    <w:rsid w:val="00BD589B"/>
    <w:rsid w:val="00BD784C"/>
    <w:rsid w:val="00BE4594"/>
    <w:rsid w:val="00BE5ABB"/>
    <w:rsid w:val="00BF3D0B"/>
    <w:rsid w:val="00BF4CB6"/>
    <w:rsid w:val="00C00DA7"/>
    <w:rsid w:val="00C02D3A"/>
    <w:rsid w:val="00C03AD5"/>
    <w:rsid w:val="00C06339"/>
    <w:rsid w:val="00C12768"/>
    <w:rsid w:val="00C12C27"/>
    <w:rsid w:val="00C15041"/>
    <w:rsid w:val="00C17D42"/>
    <w:rsid w:val="00C23C90"/>
    <w:rsid w:val="00C27B58"/>
    <w:rsid w:val="00C33850"/>
    <w:rsid w:val="00C35996"/>
    <w:rsid w:val="00C43CDC"/>
    <w:rsid w:val="00C50B81"/>
    <w:rsid w:val="00C52FFC"/>
    <w:rsid w:val="00C5342C"/>
    <w:rsid w:val="00C6256A"/>
    <w:rsid w:val="00C62B19"/>
    <w:rsid w:val="00C7792B"/>
    <w:rsid w:val="00C91449"/>
    <w:rsid w:val="00C92CFB"/>
    <w:rsid w:val="00C92D10"/>
    <w:rsid w:val="00C94810"/>
    <w:rsid w:val="00C97396"/>
    <w:rsid w:val="00CA3B47"/>
    <w:rsid w:val="00CB29EB"/>
    <w:rsid w:val="00CE10C4"/>
    <w:rsid w:val="00CE27B5"/>
    <w:rsid w:val="00CF17FA"/>
    <w:rsid w:val="00D0321E"/>
    <w:rsid w:val="00D046D8"/>
    <w:rsid w:val="00D1455A"/>
    <w:rsid w:val="00D305E2"/>
    <w:rsid w:val="00D3280C"/>
    <w:rsid w:val="00D3406A"/>
    <w:rsid w:val="00D469B2"/>
    <w:rsid w:val="00D73A73"/>
    <w:rsid w:val="00D741EB"/>
    <w:rsid w:val="00D84934"/>
    <w:rsid w:val="00D91271"/>
    <w:rsid w:val="00D9160A"/>
    <w:rsid w:val="00D93BCA"/>
    <w:rsid w:val="00DA2CB5"/>
    <w:rsid w:val="00DA4BAC"/>
    <w:rsid w:val="00DE6D27"/>
    <w:rsid w:val="00DF217D"/>
    <w:rsid w:val="00DF26A7"/>
    <w:rsid w:val="00DF2B73"/>
    <w:rsid w:val="00E05F54"/>
    <w:rsid w:val="00E07E6D"/>
    <w:rsid w:val="00E164B3"/>
    <w:rsid w:val="00E16910"/>
    <w:rsid w:val="00E4183E"/>
    <w:rsid w:val="00E43EED"/>
    <w:rsid w:val="00E4733D"/>
    <w:rsid w:val="00E62864"/>
    <w:rsid w:val="00E65E54"/>
    <w:rsid w:val="00E72ED6"/>
    <w:rsid w:val="00E80155"/>
    <w:rsid w:val="00E848C0"/>
    <w:rsid w:val="00E91B96"/>
    <w:rsid w:val="00E941A1"/>
    <w:rsid w:val="00E95CE3"/>
    <w:rsid w:val="00EA2825"/>
    <w:rsid w:val="00EB2E81"/>
    <w:rsid w:val="00EB5088"/>
    <w:rsid w:val="00ED1644"/>
    <w:rsid w:val="00EE74A5"/>
    <w:rsid w:val="00EF10D3"/>
    <w:rsid w:val="00EF44A0"/>
    <w:rsid w:val="00EF4FED"/>
    <w:rsid w:val="00F020E1"/>
    <w:rsid w:val="00F050BD"/>
    <w:rsid w:val="00F05657"/>
    <w:rsid w:val="00F12550"/>
    <w:rsid w:val="00F22606"/>
    <w:rsid w:val="00F243F5"/>
    <w:rsid w:val="00F25578"/>
    <w:rsid w:val="00F258E5"/>
    <w:rsid w:val="00F300BC"/>
    <w:rsid w:val="00F31808"/>
    <w:rsid w:val="00F3334E"/>
    <w:rsid w:val="00F35FFB"/>
    <w:rsid w:val="00F4557B"/>
    <w:rsid w:val="00F45BFC"/>
    <w:rsid w:val="00F50EC4"/>
    <w:rsid w:val="00F57A6D"/>
    <w:rsid w:val="00F638CC"/>
    <w:rsid w:val="00F64CC1"/>
    <w:rsid w:val="00F8176B"/>
    <w:rsid w:val="00F81C7E"/>
    <w:rsid w:val="00F8247A"/>
    <w:rsid w:val="00F95C9C"/>
    <w:rsid w:val="00F9629A"/>
    <w:rsid w:val="00FA5883"/>
    <w:rsid w:val="00FA6055"/>
    <w:rsid w:val="00FA7361"/>
    <w:rsid w:val="00FB322F"/>
    <w:rsid w:val="00FB442F"/>
    <w:rsid w:val="00FB57C1"/>
    <w:rsid w:val="00FC1929"/>
    <w:rsid w:val="00FC5B46"/>
    <w:rsid w:val="00FD03B6"/>
    <w:rsid w:val="00FD1DC0"/>
    <w:rsid w:val="00FD6711"/>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09288C"/>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201C31"/>
    <w:rPr>
      <w:sz w:val="24"/>
      <w:szCs w:val="24"/>
    </w:rPr>
  </w:style>
  <w:style w:type="paragraph" w:styleId="Caption">
    <w:name w:val="caption"/>
    <w:basedOn w:val="Normal"/>
    <w:next w:val="Normal"/>
    <w:unhideWhenUsed/>
    <w:qFormat/>
    <w:rsid w:val="00C17D4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qFormat/>
    <w:rsid w:val="00A3715D"/>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paragraph" w:customStyle="1" w:styleId="PBACHeading1">
    <w:name w:val="PBAC Heading 1"/>
    <w:qFormat/>
    <w:rsid w:val="0009288C"/>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link w:val="ListParagraph"/>
    <w:uiPriority w:val="72"/>
    <w:rsid w:val="00201C31"/>
    <w:rPr>
      <w:sz w:val="24"/>
      <w:szCs w:val="24"/>
    </w:rPr>
  </w:style>
  <w:style w:type="paragraph" w:styleId="Caption">
    <w:name w:val="caption"/>
    <w:basedOn w:val="Normal"/>
    <w:next w:val="Normal"/>
    <w:unhideWhenUsed/>
    <w:qFormat/>
    <w:rsid w:val="00C17D4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4FA78-3507-45B4-A0F8-45778ED2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4843</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2017-10-12T00:20:00Z</dcterms:created>
  <dcterms:modified xsi:type="dcterms:W3CDTF">2017-10-12T00:24:00Z</dcterms:modified>
</cp:coreProperties>
</file>