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4C" w:rsidRPr="00CA6009" w:rsidRDefault="003F064C" w:rsidP="003F064C">
      <w:pPr>
        <w:pStyle w:val="Title"/>
        <w:ind w:left="720" w:hanging="720"/>
        <w:rPr>
          <w:rFonts w:asciiTheme="minorHAnsi" w:hAnsiTheme="minorHAnsi" w:cs="Arial"/>
        </w:rPr>
      </w:pPr>
      <w:bookmarkStart w:id="0" w:name="_GoBack"/>
      <w:bookmarkEnd w:id="0"/>
      <w:r w:rsidRPr="00CA6009">
        <w:rPr>
          <w:rFonts w:asciiTheme="minorHAnsi" w:hAnsiTheme="minorHAnsi" w:cs="Arial"/>
          <w:sz w:val="36"/>
          <w:szCs w:val="36"/>
        </w:rPr>
        <w:t>5.18</w:t>
      </w:r>
      <w:r w:rsidRPr="00CA6009">
        <w:rPr>
          <w:rFonts w:asciiTheme="minorHAnsi" w:hAnsiTheme="minorHAnsi" w:cs="Arial"/>
          <w:sz w:val="36"/>
          <w:szCs w:val="36"/>
        </w:rPr>
        <w:tab/>
        <w:t>AMINO ACID FORMULA WITH CARBOHYDRATE, VITAMINS, MINERALS AND TRACE ELEMENTS WITHOUT PHENYLALANINE, SUPPLEMENTED WITH DOCOSAHEXAENOIC ACID</w:t>
      </w:r>
      <w:r w:rsidRPr="00CA6009">
        <w:rPr>
          <w:rFonts w:asciiTheme="minorHAnsi" w:hAnsiTheme="minorHAnsi" w:cs="Arial"/>
          <w:sz w:val="36"/>
          <w:szCs w:val="36"/>
        </w:rPr>
        <w:br/>
        <w:t>Sachets containing oral powder 33 g, 30 (PKU Synergy),</w:t>
      </w:r>
      <w:r w:rsidRPr="00CA6009">
        <w:rPr>
          <w:rFonts w:asciiTheme="minorHAnsi" w:hAnsiTheme="minorHAnsi" w:cs="Arial"/>
          <w:b w:val="0"/>
          <w:sz w:val="36"/>
          <w:szCs w:val="36"/>
        </w:rPr>
        <w:br/>
      </w:r>
      <w:r w:rsidRPr="00CA6009">
        <w:rPr>
          <w:rFonts w:asciiTheme="minorHAnsi" w:hAnsiTheme="minorHAnsi" w:cs="Arial"/>
          <w:sz w:val="36"/>
          <w:szCs w:val="36"/>
        </w:rPr>
        <w:t>PKU Synergy</w:t>
      </w:r>
      <w:r w:rsidRPr="00CA6009">
        <w:rPr>
          <w:rFonts w:asciiTheme="minorHAnsi" w:hAnsiTheme="minorHAnsi" w:cs="Arial"/>
          <w:sz w:val="36"/>
          <w:szCs w:val="36"/>
          <w:vertAlign w:val="superscript"/>
        </w:rPr>
        <w:t>®</w:t>
      </w:r>
      <w:r w:rsidRPr="00CA6009">
        <w:rPr>
          <w:rFonts w:asciiTheme="minorHAnsi" w:hAnsiTheme="minorHAnsi" w:cs="Arial"/>
          <w:sz w:val="36"/>
          <w:szCs w:val="36"/>
        </w:rPr>
        <w:t>, Nutricia Australia Pty Ltd</w:t>
      </w:r>
    </w:p>
    <w:p w:rsidR="003F064C" w:rsidRPr="00CA6009" w:rsidRDefault="003F064C" w:rsidP="003F064C">
      <w:pPr>
        <w:pStyle w:val="NoSpacing"/>
        <w:rPr>
          <w:rFonts w:asciiTheme="minorHAnsi" w:hAnsiTheme="minorHAnsi" w:cs="Arial"/>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Purpose of Application</w:t>
      </w:r>
    </w:p>
    <w:p w:rsidR="003F064C" w:rsidRPr="00CA6009" w:rsidRDefault="003F064C" w:rsidP="003F064C">
      <w:pPr>
        <w:jc w:val="both"/>
        <w:rPr>
          <w:rFonts w:asciiTheme="minorHAnsi" w:hAnsiTheme="minorHAnsi" w:cs="Arial"/>
          <w:sz w:val="22"/>
          <w:szCs w:val="22"/>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b/>
        </w:rPr>
      </w:pPr>
      <w:r w:rsidRPr="00CA6009">
        <w:rPr>
          <w:rFonts w:asciiTheme="minorHAnsi" w:hAnsiTheme="minorHAnsi" w:cs="Arial"/>
        </w:rPr>
        <w:t>The minor submission requested an Authority Required listing of PKU Synergy® for the dietary management of Phenylketonuria (PKU) or hyperphenylalaninaemia in children from 10 years of age or adults.</w:t>
      </w:r>
    </w:p>
    <w:p w:rsidR="003F064C" w:rsidRPr="00CA6009" w:rsidRDefault="003F064C" w:rsidP="003F064C">
      <w:pPr>
        <w:pStyle w:val="ListParagraph"/>
        <w:spacing w:after="240"/>
        <w:contextualSpacing w:val="0"/>
        <w:jc w:val="both"/>
        <w:rPr>
          <w:rFonts w:asciiTheme="minorHAnsi" w:hAnsiTheme="minorHAnsi" w:cs="Arial"/>
          <w:b/>
          <w:sz w:val="22"/>
          <w:szCs w:val="22"/>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Requested Listing</w:t>
      </w:r>
    </w:p>
    <w:p w:rsidR="003F064C" w:rsidRPr="00CA6009" w:rsidRDefault="003F064C" w:rsidP="003F064C">
      <w:pPr>
        <w:rPr>
          <w:rFonts w:asciiTheme="minorHAnsi" w:hAnsiTheme="minorHAnsi" w:cs="Arial"/>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submission requested the following new listing: </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Secretariat noted that patients with hyperphenylalaninaemia are not a separate population and </w:t>
      </w:r>
      <w:r>
        <w:rPr>
          <w:rFonts w:asciiTheme="minorHAnsi" w:hAnsiTheme="minorHAnsi" w:cs="Arial"/>
        </w:rPr>
        <w:t xml:space="preserve">are </w:t>
      </w:r>
      <w:r w:rsidRPr="00CA6009">
        <w:rPr>
          <w:rFonts w:asciiTheme="minorHAnsi" w:hAnsiTheme="minorHAnsi" w:cs="Arial"/>
        </w:rPr>
        <w:t xml:space="preserve">captured by the indication for PKU. </w:t>
      </w:r>
    </w:p>
    <w:p w:rsidR="003F064C" w:rsidRPr="00CA6009" w:rsidRDefault="003F064C" w:rsidP="003F064C">
      <w:pPr>
        <w:pStyle w:val="NoSpacing"/>
        <w:rPr>
          <w:rFonts w:cs="Arial"/>
        </w:rPr>
      </w:pPr>
    </w:p>
    <w:p w:rsidR="00255952" w:rsidRDefault="00255952">
      <w:r>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F064C" w:rsidRPr="00CA6009" w:rsidTr="008274FA">
        <w:trPr>
          <w:cantSplit/>
          <w:trHeight w:val="471"/>
        </w:trPr>
        <w:tc>
          <w:tcPr>
            <w:tcW w:w="3119" w:type="dxa"/>
            <w:gridSpan w:val="2"/>
            <w:tcBorders>
              <w:bottom w:val="single" w:sz="4" w:space="0" w:color="auto"/>
            </w:tcBorders>
          </w:tcPr>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lastRenderedPageBreak/>
              <w:t>Name, Restriction,</w:t>
            </w:r>
          </w:p>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Manner of administration and form</w:t>
            </w:r>
          </w:p>
        </w:tc>
        <w:tc>
          <w:tcPr>
            <w:tcW w:w="850" w:type="dxa"/>
            <w:tcBorders>
              <w:bottom w:val="single" w:sz="4" w:space="0" w:color="auto"/>
            </w:tcBorders>
          </w:tcPr>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Max.</w:t>
            </w:r>
          </w:p>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Qty</w:t>
            </w:r>
          </w:p>
        </w:tc>
        <w:tc>
          <w:tcPr>
            <w:tcW w:w="709" w:type="dxa"/>
            <w:tcBorders>
              <w:bottom w:val="single" w:sz="4" w:space="0" w:color="auto"/>
            </w:tcBorders>
          </w:tcPr>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№.of</w:t>
            </w:r>
          </w:p>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Rpts</w:t>
            </w:r>
          </w:p>
        </w:tc>
        <w:tc>
          <w:tcPr>
            <w:tcW w:w="1276" w:type="dxa"/>
            <w:tcBorders>
              <w:bottom w:val="single" w:sz="4" w:space="0" w:color="auto"/>
            </w:tcBorders>
          </w:tcPr>
          <w:p w:rsidR="003F064C" w:rsidRPr="00CA6009" w:rsidRDefault="003F064C" w:rsidP="008274FA">
            <w:pPr>
              <w:keepNext/>
              <w:ind w:left="-108"/>
              <w:jc w:val="both"/>
              <w:rPr>
                <w:rFonts w:ascii="Arial Narrow" w:hAnsi="Arial Narrow" w:cs="Arial"/>
                <w:b/>
                <w:sz w:val="20"/>
                <w:szCs w:val="20"/>
              </w:rPr>
            </w:pPr>
            <w:r w:rsidRPr="00CA6009">
              <w:rPr>
                <w:rFonts w:ascii="Arial Narrow" w:hAnsi="Arial Narrow" w:cs="Arial"/>
                <w:b/>
                <w:sz w:val="20"/>
                <w:szCs w:val="20"/>
              </w:rPr>
              <w:t>Dispensed Price for Max. Qty</w:t>
            </w:r>
          </w:p>
        </w:tc>
        <w:tc>
          <w:tcPr>
            <w:tcW w:w="2409" w:type="dxa"/>
            <w:gridSpan w:val="2"/>
            <w:tcBorders>
              <w:bottom w:val="single" w:sz="4" w:space="0" w:color="auto"/>
            </w:tcBorders>
          </w:tcPr>
          <w:p w:rsidR="003F064C" w:rsidRPr="00E343A7" w:rsidRDefault="003F064C" w:rsidP="008274FA">
            <w:pPr>
              <w:keepNext/>
              <w:jc w:val="both"/>
              <w:rPr>
                <w:rFonts w:ascii="Arial Narrow" w:hAnsi="Arial Narrow" w:cs="Arial"/>
                <w:b/>
                <w:sz w:val="20"/>
                <w:szCs w:val="20"/>
              </w:rPr>
            </w:pPr>
            <w:r w:rsidRPr="00CA6009">
              <w:rPr>
                <w:rFonts w:ascii="Arial Narrow" w:hAnsi="Arial Narrow" w:cs="Arial"/>
                <w:b/>
                <w:sz w:val="20"/>
                <w:szCs w:val="20"/>
              </w:rPr>
              <w:t>Proprietary Name and Manufacturer</w:t>
            </w:r>
          </w:p>
        </w:tc>
      </w:tr>
      <w:tr w:rsidR="003F064C" w:rsidRPr="00CA6009" w:rsidTr="008274FA">
        <w:trPr>
          <w:cantSplit/>
          <w:trHeight w:val="577"/>
        </w:trPr>
        <w:tc>
          <w:tcPr>
            <w:tcW w:w="3119" w:type="dxa"/>
            <w:gridSpan w:val="2"/>
          </w:tcPr>
          <w:p w:rsidR="003F064C" w:rsidRPr="00CA6009" w:rsidRDefault="003F064C" w:rsidP="008274FA">
            <w:pPr>
              <w:keepNext/>
              <w:ind w:left="-108"/>
              <w:rPr>
                <w:rFonts w:ascii="Arial Narrow" w:hAnsi="Arial Narrow" w:cs="Arial"/>
                <w:smallCaps/>
                <w:sz w:val="20"/>
                <w:szCs w:val="20"/>
              </w:rPr>
            </w:pPr>
            <w:r w:rsidRPr="00CA6009">
              <w:rPr>
                <w:rFonts w:ascii="Arial Narrow" w:hAnsi="Arial Narrow" w:cs="Arial"/>
                <w:smallCaps/>
                <w:sz w:val="20"/>
                <w:szCs w:val="20"/>
              </w:rPr>
              <w:t>AMINO ACID FORMULA WITH CARBOHYDRATE, VITAMINS, MINERALS AND TRACE ELEMENTS WITHOUT PHENYLALANINE, SUPPLEMENTED WITH DOCOSAHEXAENOIC ACID</w:t>
            </w:r>
          </w:p>
          <w:p w:rsidR="003F064C" w:rsidRPr="00CA6009" w:rsidRDefault="003F064C" w:rsidP="008274FA">
            <w:pPr>
              <w:keepNext/>
              <w:ind w:left="-108"/>
              <w:jc w:val="both"/>
              <w:rPr>
                <w:rFonts w:ascii="Arial Narrow" w:hAnsi="Arial Narrow" w:cs="Arial"/>
                <w:sz w:val="20"/>
                <w:szCs w:val="20"/>
              </w:rPr>
            </w:pPr>
            <w:r w:rsidRPr="00CA6009">
              <w:rPr>
                <w:rFonts w:ascii="Arial Narrow" w:hAnsi="Arial Narrow" w:cs="Arial"/>
                <w:sz w:val="20"/>
                <w:szCs w:val="20"/>
              </w:rPr>
              <w:t>oral liquid: powder for, 30 x 33 g sachets</w:t>
            </w:r>
          </w:p>
        </w:tc>
        <w:tc>
          <w:tcPr>
            <w:tcW w:w="850" w:type="dxa"/>
          </w:tcPr>
          <w:p w:rsidR="003F064C" w:rsidRPr="00CA6009" w:rsidRDefault="003F064C" w:rsidP="008274FA">
            <w:pPr>
              <w:keepNext/>
              <w:ind w:left="-108"/>
              <w:jc w:val="both"/>
              <w:rPr>
                <w:rFonts w:ascii="Arial Narrow" w:hAnsi="Arial Narrow" w:cs="Arial"/>
                <w:sz w:val="20"/>
                <w:szCs w:val="20"/>
              </w:rPr>
            </w:pPr>
          </w:p>
          <w:p w:rsidR="003F064C" w:rsidRPr="00CA6009" w:rsidRDefault="003F064C" w:rsidP="008274FA">
            <w:pPr>
              <w:keepNext/>
              <w:ind w:left="-108"/>
              <w:jc w:val="both"/>
              <w:rPr>
                <w:rFonts w:ascii="Arial Narrow" w:hAnsi="Arial Narrow" w:cs="Arial"/>
                <w:sz w:val="20"/>
                <w:szCs w:val="20"/>
              </w:rPr>
            </w:pPr>
            <w:r w:rsidRPr="00CA6009">
              <w:rPr>
                <w:rFonts w:ascii="Arial Narrow" w:hAnsi="Arial Narrow" w:cs="Arial"/>
                <w:sz w:val="20"/>
                <w:szCs w:val="20"/>
              </w:rPr>
              <w:t>2</w:t>
            </w:r>
          </w:p>
        </w:tc>
        <w:tc>
          <w:tcPr>
            <w:tcW w:w="709" w:type="dxa"/>
          </w:tcPr>
          <w:p w:rsidR="003F064C" w:rsidRPr="00CA6009" w:rsidRDefault="003F064C" w:rsidP="008274FA">
            <w:pPr>
              <w:keepNext/>
              <w:ind w:left="-108"/>
              <w:jc w:val="both"/>
              <w:rPr>
                <w:rFonts w:ascii="Arial Narrow" w:hAnsi="Arial Narrow" w:cs="Arial"/>
                <w:sz w:val="20"/>
                <w:szCs w:val="20"/>
              </w:rPr>
            </w:pPr>
          </w:p>
          <w:p w:rsidR="003F064C" w:rsidRPr="00CA6009" w:rsidRDefault="003F064C" w:rsidP="008274FA">
            <w:pPr>
              <w:keepNext/>
              <w:ind w:left="-108"/>
              <w:jc w:val="both"/>
              <w:rPr>
                <w:rFonts w:ascii="Arial Narrow" w:hAnsi="Arial Narrow" w:cs="Arial"/>
                <w:sz w:val="20"/>
                <w:szCs w:val="20"/>
              </w:rPr>
            </w:pPr>
            <w:r w:rsidRPr="00CA6009">
              <w:rPr>
                <w:rFonts w:ascii="Arial Narrow" w:hAnsi="Arial Narrow" w:cs="Arial"/>
                <w:sz w:val="20"/>
                <w:szCs w:val="20"/>
              </w:rPr>
              <w:t>5</w:t>
            </w:r>
          </w:p>
        </w:tc>
        <w:tc>
          <w:tcPr>
            <w:tcW w:w="1276" w:type="dxa"/>
          </w:tcPr>
          <w:p w:rsidR="003F064C" w:rsidRPr="00CA6009" w:rsidRDefault="003F064C" w:rsidP="008274FA">
            <w:pPr>
              <w:keepNext/>
              <w:ind w:left="-108"/>
              <w:jc w:val="both"/>
              <w:rPr>
                <w:rFonts w:ascii="Arial Narrow" w:hAnsi="Arial Narrow" w:cs="Arial"/>
                <w:sz w:val="20"/>
                <w:szCs w:val="20"/>
              </w:rPr>
            </w:pPr>
          </w:p>
          <w:p w:rsidR="003F064C" w:rsidRPr="00CA6009" w:rsidRDefault="003F064C" w:rsidP="008274FA">
            <w:pPr>
              <w:keepNext/>
              <w:ind w:left="-108"/>
              <w:jc w:val="both"/>
              <w:rPr>
                <w:rFonts w:ascii="Arial Narrow" w:hAnsi="Arial Narrow" w:cs="Arial"/>
                <w:sz w:val="20"/>
                <w:szCs w:val="20"/>
              </w:rPr>
            </w:pPr>
            <w:r w:rsidRPr="00CA6009">
              <w:rPr>
                <w:rFonts w:ascii="Arial Narrow" w:hAnsi="Arial Narrow" w:cs="Arial"/>
                <w:sz w:val="20"/>
                <w:szCs w:val="20"/>
              </w:rPr>
              <w:t>$</w:t>
            </w:r>
            <w:r w:rsidRPr="006D676C">
              <w:rPr>
                <w:rFonts w:ascii="Arial Narrow" w:hAnsi="Arial Narrow" w:cs="Arial"/>
                <w:sz w:val="20"/>
                <w:szCs w:val="20"/>
              </w:rPr>
              <w:t>979.24</w:t>
            </w:r>
          </w:p>
        </w:tc>
        <w:tc>
          <w:tcPr>
            <w:tcW w:w="1275" w:type="dxa"/>
          </w:tcPr>
          <w:p w:rsidR="003F064C" w:rsidRPr="00CA6009" w:rsidRDefault="003F064C" w:rsidP="008274FA">
            <w:pPr>
              <w:keepNext/>
              <w:jc w:val="both"/>
              <w:rPr>
                <w:rFonts w:ascii="Arial Narrow" w:hAnsi="Arial Narrow" w:cs="Arial"/>
                <w:sz w:val="20"/>
                <w:szCs w:val="20"/>
              </w:rPr>
            </w:pPr>
          </w:p>
          <w:p w:rsidR="003F064C" w:rsidRPr="00CA6009" w:rsidRDefault="003F064C" w:rsidP="008274FA">
            <w:pPr>
              <w:keepNext/>
              <w:jc w:val="both"/>
              <w:rPr>
                <w:rFonts w:ascii="Arial Narrow" w:hAnsi="Arial Narrow" w:cs="Arial"/>
                <w:sz w:val="20"/>
                <w:szCs w:val="20"/>
              </w:rPr>
            </w:pPr>
            <w:r w:rsidRPr="00CA6009">
              <w:rPr>
                <w:rFonts w:ascii="Arial Narrow" w:hAnsi="Arial Narrow" w:cs="Arial"/>
                <w:sz w:val="20"/>
                <w:szCs w:val="20"/>
              </w:rPr>
              <w:t>PKU Synergy®</w:t>
            </w:r>
          </w:p>
        </w:tc>
        <w:tc>
          <w:tcPr>
            <w:tcW w:w="1134" w:type="dxa"/>
          </w:tcPr>
          <w:p w:rsidR="003F064C" w:rsidRPr="00CA6009" w:rsidRDefault="003F064C" w:rsidP="008274FA">
            <w:pPr>
              <w:keepNext/>
              <w:jc w:val="both"/>
              <w:rPr>
                <w:rFonts w:ascii="Arial Narrow" w:hAnsi="Arial Narrow" w:cs="Arial"/>
                <w:sz w:val="20"/>
                <w:szCs w:val="20"/>
              </w:rPr>
            </w:pPr>
          </w:p>
          <w:p w:rsidR="003F064C" w:rsidRPr="00CA6009" w:rsidRDefault="003F064C" w:rsidP="008274FA">
            <w:pPr>
              <w:keepNext/>
              <w:jc w:val="both"/>
              <w:rPr>
                <w:rFonts w:ascii="Arial Narrow" w:hAnsi="Arial Narrow" w:cs="Arial"/>
                <w:sz w:val="20"/>
                <w:szCs w:val="20"/>
              </w:rPr>
            </w:pPr>
            <w:r w:rsidRPr="00CA6009">
              <w:rPr>
                <w:rFonts w:ascii="Arial Narrow" w:hAnsi="Arial Narrow" w:cs="Arial"/>
                <w:sz w:val="20"/>
                <w:szCs w:val="20"/>
              </w:rPr>
              <w:t>Nutricia Australia Pty Ltd</w:t>
            </w:r>
          </w:p>
        </w:tc>
      </w:tr>
      <w:tr w:rsidR="003F064C" w:rsidRPr="00CA6009" w:rsidTr="008274FA">
        <w:trPr>
          <w:cantSplit/>
          <w:trHeight w:val="360"/>
        </w:trPr>
        <w:tc>
          <w:tcPr>
            <w:tcW w:w="8363" w:type="dxa"/>
            <w:gridSpan w:val="7"/>
            <w:tcBorders>
              <w:bottom w:val="single" w:sz="4" w:space="0" w:color="auto"/>
            </w:tcBorders>
          </w:tcPr>
          <w:p w:rsidR="003F064C" w:rsidRPr="00CA6009" w:rsidRDefault="003F064C" w:rsidP="008274FA">
            <w:pPr>
              <w:jc w:val="both"/>
              <w:rPr>
                <w:rFonts w:ascii="Arial Narrow" w:hAnsi="Arial Narrow" w:cs="Arial"/>
                <w:sz w:val="20"/>
                <w:szCs w:val="20"/>
              </w:rPr>
            </w:pPr>
          </w:p>
        </w:tc>
      </w:tr>
      <w:tr w:rsidR="003F064C" w:rsidRPr="00CA6009"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064C" w:rsidRPr="00CA6009" w:rsidRDefault="003F064C" w:rsidP="008274FA">
            <w:pPr>
              <w:jc w:val="both"/>
              <w:rPr>
                <w:rFonts w:ascii="Arial Narrow" w:hAnsi="Arial Narrow" w:cs="Arial"/>
                <w:b/>
                <w:sz w:val="20"/>
                <w:szCs w:val="20"/>
              </w:rPr>
            </w:pPr>
            <w:r w:rsidRPr="00CA6009">
              <w:rPr>
                <w:rFonts w:ascii="Arial Narrow" w:hAnsi="Arial Narrow" w:cs="Arial"/>
                <w:b/>
                <w:sz w:val="20"/>
                <w:szCs w:val="20"/>
              </w:rPr>
              <w:t xml:space="preserve">Category / </w:t>
            </w:r>
          </w:p>
          <w:p w:rsidR="003F064C" w:rsidRPr="00CA6009" w:rsidRDefault="003F064C" w:rsidP="008274FA">
            <w:pPr>
              <w:jc w:val="both"/>
              <w:rPr>
                <w:rFonts w:ascii="Arial Narrow" w:hAnsi="Arial Narrow" w:cs="Arial"/>
                <w:b/>
                <w:sz w:val="20"/>
                <w:szCs w:val="20"/>
              </w:rPr>
            </w:pPr>
            <w:r w:rsidRPr="00CA6009">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3F064C" w:rsidRPr="00CA6009" w:rsidRDefault="003F064C" w:rsidP="008274FA">
            <w:pPr>
              <w:rPr>
                <w:rFonts w:ascii="Arial Narrow" w:hAnsi="Arial Narrow" w:cs="Arial"/>
                <w:sz w:val="20"/>
                <w:szCs w:val="20"/>
              </w:rPr>
            </w:pPr>
            <w:r w:rsidRPr="00CA6009">
              <w:rPr>
                <w:rFonts w:ascii="Arial Narrow" w:hAnsi="Arial Narrow" w:cs="Arial"/>
                <w:sz w:val="20"/>
                <w:szCs w:val="20"/>
              </w:rPr>
              <w:t>GENERAL – General Schedule (Code GE)</w:t>
            </w:r>
          </w:p>
        </w:tc>
      </w:tr>
      <w:tr w:rsidR="003F064C" w:rsidRPr="00CA6009"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064C" w:rsidRPr="00CA6009" w:rsidRDefault="003F064C" w:rsidP="008274FA">
            <w:pPr>
              <w:jc w:val="both"/>
              <w:rPr>
                <w:rFonts w:ascii="Arial Narrow" w:hAnsi="Arial Narrow" w:cs="Arial"/>
                <w:b/>
                <w:sz w:val="20"/>
                <w:szCs w:val="20"/>
              </w:rPr>
            </w:pPr>
            <w:r w:rsidRPr="00CA6009">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1"/>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 xml:space="preserve">Dental  </w:t>
            </w:r>
            <w:r w:rsidRPr="00E343A7">
              <w:rPr>
                <w:rFonts w:ascii="Arial Narrow" w:hAnsi="Arial Narrow" w:cs="Arial"/>
                <w:sz w:val="20"/>
                <w:szCs w:val="20"/>
              </w:rPr>
              <w:fldChar w:fldCharType="begin">
                <w:ffData>
                  <w:name w:val=""/>
                  <w:enabled/>
                  <w:calcOnExit w:val="0"/>
                  <w:checkBox>
                    <w:sizeAuto/>
                    <w:default w:val="1"/>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 xml:space="preserve">Medical Practitioners  </w:t>
            </w:r>
            <w:r w:rsidRPr="00E343A7">
              <w:rPr>
                <w:rFonts w:ascii="Arial Narrow" w:hAnsi="Arial Narrow" w:cs="Arial"/>
                <w:sz w:val="20"/>
                <w:szCs w:val="20"/>
              </w:rPr>
              <w:fldChar w:fldCharType="begin">
                <w:ffData>
                  <w:name w:val="Check3"/>
                  <w:enabled/>
                  <w:calcOnExit w:val="0"/>
                  <w:checkBox>
                    <w:sizeAuto/>
                    <w:default w:val="1"/>
                  </w:checkBox>
                </w:ffData>
              </w:fldChar>
            </w:r>
            <w:bookmarkStart w:id="1" w:name="Check3"/>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bookmarkEnd w:id="1"/>
            <w:r w:rsidRPr="00CA6009">
              <w:rPr>
                <w:rFonts w:ascii="Arial Narrow" w:hAnsi="Arial Narrow" w:cs="Arial"/>
                <w:sz w:val="20"/>
                <w:szCs w:val="20"/>
              </w:rPr>
              <w:t xml:space="preserve">Nurse practitioners  </w:t>
            </w:r>
            <w:r w:rsidRPr="00E343A7">
              <w:rPr>
                <w:rFonts w:ascii="Arial Narrow" w:hAnsi="Arial Narrow" w:cs="Arial"/>
                <w:sz w:val="20"/>
                <w:szCs w:val="20"/>
              </w:rPr>
              <w:fldChar w:fldCharType="begin">
                <w:ffData>
                  <w:name w:val=""/>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Optometrists</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5"/>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Midwives</w:t>
            </w:r>
          </w:p>
        </w:tc>
      </w:tr>
      <w:tr w:rsidR="003F064C" w:rsidRPr="00CA6009"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064C" w:rsidRPr="00CA6009" w:rsidRDefault="003F064C" w:rsidP="008274FA">
            <w:pPr>
              <w:jc w:val="both"/>
              <w:rPr>
                <w:rFonts w:ascii="Arial Narrow" w:hAnsi="Arial Narrow" w:cs="Arial"/>
                <w:b/>
                <w:sz w:val="20"/>
                <w:szCs w:val="20"/>
              </w:rPr>
            </w:pPr>
            <w:r w:rsidRPr="00CA6009">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3F064C" w:rsidRPr="00CA6009" w:rsidRDefault="003F064C" w:rsidP="008274FA">
            <w:pPr>
              <w:rPr>
                <w:rFonts w:ascii="Arial Narrow" w:hAnsi="Arial Narrow" w:cs="Arial"/>
                <w:sz w:val="20"/>
                <w:szCs w:val="20"/>
              </w:rPr>
            </w:pPr>
            <w:r w:rsidRPr="00CA6009">
              <w:rPr>
                <w:rFonts w:ascii="Arial Narrow" w:hAnsi="Arial Narrow" w:cs="Arial"/>
                <w:sz w:val="20"/>
                <w:szCs w:val="20"/>
              </w:rPr>
              <w:t>Phenylketonuria</w:t>
            </w:r>
          </w:p>
        </w:tc>
      </w:tr>
      <w:tr w:rsidR="003F064C" w:rsidRPr="00CA6009" w:rsidTr="00827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3F064C" w:rsidRPr="00CA6009" w:rsidRDefault="003F064C" w:rsidP="008274FA">
            <w:pPr>
              <w:jc w:val="both"/>
              <w:rPr>
                <w:rFonts w:ascii="Arial Narrow" w:hAnsi="Arial Narrow" w:cs="Arial"/>
                <w:b/>
                <w:sz w:val="20"/>
                <w:szCs w:val="20"/>
              </w:rPr>
            </w:pPr>
            <w:r w:rsidRPr="00CA6009">
              <w:rPr>
                <w:rFonts w:ascii="Arial Narrow" w:hAnsi="Arial Narrow" w:cs="Arial"/>
                <w:b/>
                <w:sz w:val="20"/>
                <w:szCs w:val="20"/>
              </w:rPr>
              <w:t>Restriction Level / Method:</w:t>
            </w:r>
          </w:p>
          <w:p w:rsidR="003F064C" w:rsidRPr="00CA6009" w:rsidRDefault="003F064C" w:rsidP="008274FA">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1"/>
                  <w:enabled/>
                  <w:calcOnExit w:val="0"/>
                  <w:checkBox>
                    <w:sizeAuto/>
                    <w:default w:val="1"/>
                  </w:checkBox>
                </w:ffData>
              </w:fldChar>
            </w:r>
            <w:bookmarkStart w:id="2" w:name="Check1"/>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bookmarkEnd w:id="2"/>
            <w:r w:rsidRPr="00CA6009">
              <w:rPr>
                <w:rFonts w:ascii="Arial Narrow" w:hAnsi="Arial Narrow" w:cs="Arial"/>
                <w:sz w:val="20"/>
                <w:szCs w:val="20"/>
              </w:rPr>
              <w:t>Restricted benefit</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Authority Required - In Writing</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3"/>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Authority Required - Telephone</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Authority Required – Emergency</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5"/>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Authority Required - Electronic</w:t>
            </w:r>
          </w:p>
          <w:p w:rsidR="003F064C" w:rsidRPr="00CA6009" w:rsidRDefault="003F064C" w:rsidP="008274FA">
            <w:pPr>
              <w:rPr>
                <w:rFonts w:ascii="Arial Narrow" w:hAnsi="Arial Narrow" w:cs="Arial"/>
                <w:sz w:val="20"/>
                <w:szCs w:val="20"/>
              </w:rPr>
            </w:pPr>
            <w:r w:rsidRPr="00E343A7">
              <w:rPr>
                <w:rFonts w:ascii="Arial Narrow" w:hAnsi="Arial Narrow" w:cs="Arial"/>
                <w:sz w:val="20"/>
                <w:szCs w:val="20"/>
              </w:rPr>
              <w:fldChar w:fldCharType="begin">
                <w:ffData>
                  <w:name w:val="Check5"/>
                  <w:enabled/>
                  <w:calcOnExit w:val="0"/>
                  <w:checkBox>
                    <w:sizeAuto/>
                    <w:default w:val="0"/>
                  </w:checkBox>
                </w:ffData>
              </w:fldChar>
            </w:r>
            <w:r w:rsidRPr="00CA6009">
              <w:rPr>
                <w:rFonts w:ascii="Arial Narrow" w:hAnsi="Arial Narrow" w:cs="Arial"/>
                <w:sz w:val="20"/>
                <w:szCs w:val="20"/>
              </w:rPr>
              <w:instrText xml:space="preserve"> FORMCHECKBOX </w:instrText>
            </w:r>
            <w:r w:rsidR="00202E7E">
              <w:rPr>
                <w:rFonts w:ascii="Arial Narrow" w:hAnsi="Arial Narrow" w:cs="Arial"/>
                <w:sz w:val="20"/>
                <w:szCs w:val="20"/>
              </w:rPr>
            </w:r>
            <w:r w:rsidR="00202E7E">
              <w:rPr>
                <w:rFonts w:ascii="Arial Narrow" w:hAnsi="Arial Narrow" w:cs="Arial"/>
                <w:sz w:val="20"/>
                <w:szCs w:val="20"/>
              </w:rPr>
              <w:fldChar w:fldCharType="separate"/>
            </w:r>
            <w:r w:rsidRPr="00E343A7">
              <w:rPr>
                <w:rFonts w:ascii="Arial Narrow" w:hAnsi="Arial Narrow" w:cs="Arial"/>
                <w:sz w:val="20"/>
                <w:szCs w:val="20"/>
              </w:rPr>
              <w:fldChar w:fldCharType="end"/>
            </w:r>
            <w:r w:rsidRPr="00CA6009">
              <w:rPr>
                <w:rFonts w:ascii="Arial Narrow" w:hAnsi="Arial Narrow" w:cs="Arial"/>
                <w:sz w:val="20"/>
                <w:szCs w:val="20"/>
              </w:rPr>
              <w:t>Streamlined</w:t>
            </w:r>
          </w:p>
        </w:tc>
      </w:tr>
    </w:tbl>
    <w:p w:rsidR="003F064C" w:rsidRPr="00CA6009" w:rsidRDefault="003F064C" w:rsidP="003F064C">
      <w:pPr>
        <w:pStyle w:val="ListParagraph"/>
        <w:jc w:val="both"/>
        <w:rPr>
          <w:rFonts w:asciiTheme="minorHAnsi" w:hAnsiTheme="minorHAnsi"/>
          <w:sz w:val="22"/>
          <w:szCs w:val="22"/>
        </w:rPr>
      </w:pPr>
    </w:p>
    <w:p w:rsidR="003F064C" w:rsidRPr="00CA6009" w:rsidRDefault="003F064C" w:rsidP="003F064C">
      <w:pPr>
        <w:ind w:firstLine="720"/>
        <w:jc w:val="both"/>
        <w:rPr>
          <w:rFonts w:asciiTheme="minorHAnsi" w:hAnsiTheme="minorHAnsi" w:cs="Arial"/>
          <w:sz w:val="22"/>
          <w:szCs w:val="22"/>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Background</w:t>
      </w:r>
    </w:p>
    <w:p w:rsidR="003F064C" w:rsidRPr="00CA6009" w:rsidRDefault="003F064C" w:rsidP="003F064C">
      <w:pPr>
        <w:rPr>
          <w:rFonts w:asciiTheme="minorHAnsi" w:hAnsiTheme="minorHAnsi" w:cs="Arial"/>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sponsor of PKU Synergy® claimed that it meets the requirements for foods that have medical purposes as set out under </w:t>
      </w:r>
      <w:r w:rsidRPr="00CA6009">
        <w:rPr>
          <w:rFonts w:asciiTheme="minorHAnsi" w:hAnsiTheme="minorHAnsi" w:cs="Arial"/>
          <w:i/>
        </w:rPr>
        <w:t>The Australia New Zealand Food Standards Code — Standard 2.9.5: Food for Special Medical Purposes.</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minor submission claimed that PKU Synergy® is nutritionally incomplete and is intended to be used as a supplement. </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PKU Synergy® contains magnesium and calcium at levels that exceed the upper limit of the recommended daily intake for some patients. The sponsor claimed that dietary intake of these nutrients would be limited in patients with phenylketonuria and therefore the higher levels of these nutrients were of no nutritional concern.</w:t>
      </w:r>
    </w:p>
    <w:p w:rsidR="003F064C" w:rsidRPr="00C43936" w:rsidRDefault="003F064C" w:rsidP="003F064C">
      <w:pPr>
        <w:pStyle w:val="ListParagraph"/>
        <w:numPr>
          <w:ilvl w:val="1"/>
          <w:numId w:val="2"/>
        </w:numPr>
        <w:spacing w:after="240"/>
        <w:contextualSpacing w:val="0"/>
        <w:jc w:val="both"/>
        <w:rPr>
          <w:rFonts w:asciiTheme="minorHAnsi" w:hAnsiTheme="minorHAnsi" w:cs="Arial"/>
        </w:rPr>
      </w:pPr>
      <w:r w:rsidRPr="00C43936">
        <w:rPr>
          <w:rFonts w:asciiTheme="minorHAnsi" w:hAnsiTheme="minorHAnsi" w:cs="Arial"/>
        </w:rPr>
        <w:t>PKU Synergy® has not been considered by PBAC previously.</w:t>
      </w:r>
    </w:p>
    <w:p w:rsidR="003F064C" w:rsidRPr="00CA6009" w:rsidRDefault="003F064C" w:rsidP="003F064C">
      <w:pPr>
        <w:rPr>
          <w:rFonts w:asciiTheme="minorHAnsi" w:hAnsiTheme="minorHAnsi" w:cs="Arial"/>
          <w:b/>
          <w:sz w:val="32"/>
          <w:szCs w:val="32"/>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Comparator</w:t>
      </w:r>
    </w:p>
    <w:p w:rsidR="003F064C" w:rsidRPr="00CA6009" w:rsidRDefault="003F064C" w:rsidP="003F064C">
      <w:pPr>
        <w:pStyle w:val="Header"/>
        <w:tabs>
          <w:tab w:val="clear" w:pos="4153"/>
          <w:tab w:val="clear" w:pos="8306"/>
        </w:tabs>
        <w:jc w:val="both"/>
        <w:rPr>
          <w:rFonts w:asciiTheme="minorHAnsi" w:hAnsiTheme="minorHAnsi" w:cs="Arial"/>
          <w:b/>
          <w:sz w:val="22"/>
          <w:szCs w:val="22"/>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The minor submission nominated</w:t>
      </w:r>
      <w:r w:rsidRPr="00CA6009">
        <w:rPr>
          <w:rFonts w:asciiTheme="minorHAnsi" w:hAnsiTheme="minorHAnsi"/>
        </w:rPr>
        <w:t xml:space="preserve"> </w:t>
      </w:r>
      <w:r w:rsidRPr="00CA6009">
        <w:rPr>
          <w:rFonts w:asciiTheme="minorHAnsi" w:hAnsiTheme="minorHAnsi" w:cs="Arial"/>
        </w:rPr>
        <w:t xml:space="preserve">PKU Express 20® and Lophlex® as the main comparators. All three products contain 20 g protein equivalent (PE) per sachet and are all powdered protein substitutes. </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lastRenderedPageBreak/>
        <w:t>It was noted that PKU Synergy® contains 4.3 mg of phenylalanine per sachet, whereas the main comparators PKU Express 20® and Lophlex® are phenylalanine free.</w:t>
      </w:r>
    </w:p>
    <w:p w:rsidR="003F064C" w:rsidRPr="00CA6009" w:rsidRDefault="003F064C" w:rsidP="003F064C">
      <w:pPr>
        <w:ind w:left="720"/>
        <w:jc w:val="both"/>
        <w:rPr>
          <w:rFonts w:asciiTheme="minorHAnsi" w:hAnsiTheme="minorHAnsi" w:cs="Arial"/>
        </w:rPr>
      </w:pPr>
      <w:r w:rsidRPr="00CA6009">
        <w:rPr>
          <w:rFonts w:asciiTheme="minorHAnsi" w:hAnsiTheme="minorHAnsi"/>
          <w:i/>
        </w:rPr>
        <w:t>For more detail on PBAC’s view, see section 6 “PBAC outcome.”</w:t>
      </w:r>
    </w:p>
    <w:p w:rsidR="003F064C" w:rsidRDefault="003F064C" w:rsidP="003F064C">
      <w:pPr>
        <w:ind w:left="720"/>
        <w:jc w:val="both"/>
        <w:rPr>
          <w:rFonts w:asciiTheme="minorHAnsi" w:hAnsiTheme="minorHAnsi" w:cs="Arial"/>
          <w:sz w:val="22"/>
          <w:szCs w:val="22"/>
        </w:rPr>
      </w:pPr>
    </w:p>
    <w:p w:rsidR="003F064C" w:rsidRPr="00CA6009" w:rsidRDefault="003F064C" w:rsidP="003F064C">
      <w:pPr>
        <w:ind w:left="720"/>
        <w:jc w:val="both"/>
        <w:rPr>
          <w:rFonts w:asciiTheme="minorHAnsi" w:hAnsiTheme="minorHAnsi" w:cs="Arial"/>
          <w:sz w:val="22"/>
          <w:szCs w:val="22"/>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Consideration of the evidence</w:t>
      </w:r>
    </w:p>
    <w:p w:rsidR="003F064C" w:rsidRPr="00CA6009" w:rsidRDefault="003F064C" w:rsidP="003F064C"/>
    <w:p w:rsidR="003F064C" w:rsidRPr="00CA6009" w:rsidRDefault="003F064C" w:rsidP="003F064C">
      <w:pPr>
        <w:pStyle w:val="Heading2"/>
        <w:rPr>
          <w:rFonts w:asciiTheme="minorHAnsi" w:hAnsiTheme="minorHAnsi" w:cs="Arial"/>
          <w:sz w:val="28"/>
          <w:szCs w:val="28"/>
        </w:rPr>
      </w:pPr>
      <w:r w:rsidRPr="00CA6009">
        <w:rPr>
          <w:rFonts w:asciiTheme="minorHAnsi" w:hAnsiTheme="minorHAnsi" w:cs="Arial"/>
          <w:sz w:val="28"/>
          <w:szCs w:val="28"/>
        </w:rPr>
        <w:t xml:space="preserve">Sponsor hearing </w:t>
      </w:r>
    </w:p>
    <w:p w:rsidR="003F064C" w:rsidRPr="00CA6009" w:rsidRDefault="003F064C" w:rsidP="003F064C"/>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There was no hearing for this item as it was a minor submission.</w:t>
      </w:r>
    </w:p>
    <w:p w:rsidR="003F064C" w:rsidRDefault="003F064C" w:rsidP="003F064C"/>
    <w:p w:rsidR="003F064C" w:rsidRPr="00CA6009" w:rsidRDefault="003F064C" w:rsidP="003F064C">
      <w:pPr>
        <w:pStyle w:val="Heading2"/>
        <w:rPr>
          <w:rFonts w:asciiTheme="minorHAnsi" w:hAnsiTheme="minorHAnsi" w:cs="Arial"/>
          <w:sz w:val="28"/>
          <w:szCs w:val="28"/>
        </w:rPr>
      </w:pPr>
      <w:r w:rsidRPr="00CA6009">
        <w:rPr>
          <w:rFonts w:asciiTheme="minorHAnsi" w:hAnsiTheme="minorHAnsi" w:cs="Arial"/>
          <w:sz w:val="28"/>
          <w:szCs w:val="28"/>
        </w:rPr>
        <w:t>Consumer comments</w:t>
      </w:r>
    </w:p>
    <w:p w:rsidR="003F064C" w:rsidRPr="00CA6009" w:rsidRDefault="003F064C" w:rsidP="003F064C">
      <w:pPr>
        <w:jc w:val="both"/>
        <w:rPr>
          <w:rFonts w:asciiTheme="minorHAnsi" w:hAnsiTheme="minorHAnsi" w:cs="Arial"/>
          <w:sz w:val="22"/>
          <w:szCs w:val="22"/>
        </w:rPr>
      </w:pPr>
    </w:p>
    <w:p w:rsidR="003F064C" w:rsidRPr="00C43936" w:rsidRDefault="003F064C" w:rsidP="003F064C">
      <w:pPr>
        <w:pStyle w:val="ListParagraph"/>
        <w:numPr>
          <w:ilvl w:val="1"/>
          <w:numId w:val="2"/>
        </w:numPr>
        <w:spacing w:after="240"/>
        <w:contextualSpacing w:val="0"/>
        <w:jc w:val="both"/>
        <w:rPr>
          <w:rFonts w:asciiTheme="minorHAnsi" w:hAnsiTheme="minorHAnsi" w:cs="Arial"/>
          <w:sz w:val="22"/>
          <w:szCs w:val="22"/>
        </w:rPr>
      </w:pPr>
      <w:r w:rsidRPr="00C43936">
        <w:rPr>
          <w:rFonts w:asciiTheme="minorHAnsi" w:hAnsiTheme="minorHAnsi" w:cs="Arial"/>
        </w:rPr>
        <w:t xml:space="preserve">The PBAC noted that no consumer comments were received for this item. </w:t>
      </w:r>
    </w:p>
    <w:p w:rsidR="003F064C" w:rsidRPr="00CA6009" w:rsidRDefault="003F064C" w:rsidP="003F064C">
      <w:pPr>
        <w:pStyle w:val="Heading2"/>
        <w:rPr>
          <w:rFonts w:asciiTheme="minorHAnsi" w:hAnsiTheme="minorHAnsi" w:cs="Arial"/>
          <w:sz w:val="28"/>
          <w:szCs w:val="28"/>
        </w:rPr>
      </w:pPr>
      <w:r w:rsidRPr="00CA6009">
        <w:rPr>
          <w:rFonts w:asciiTheme="minorHAnsi" w:hAnsiTheme="minorHAnsi" w:cs="Arial"/>
          <w:sz w:val="28"/>
          <w:szCs w:val="28"/>
        </w:rPr>
        <w:t xml:space="preserve">Clinical trials </w:t>
      </w:r>
    </w:p>
    <w:p w:rsidR="003F064C" w:rsidRPr="00CA6009" w:rsidRDefault="003F064C" w:rsidP="003F064C">
      <w:pPr>
        <w:jc w:val="both"/>
        <w:rPr>
          <w:rFonts w:asciiTheme="minorHAnsi" w:hAnsiTheme="minorHAnsi" w:cs="Arial"/>
          <w:sz w:val="22"/>
          <w:szCs w:val="22"/>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As a minor submission, no clinical trials were presented in the submission.</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In consideration of the submission, the Nutritional Products Working Party (NPWP) noted that:</w:t>
      </w:r>
    </w:p>
    <w:p w:rsidR="003F064C" w:rsidRPr="00CA6009" w:rsidRDefault="003F064C" w:rsidP="003F064C">
      <w:pPr>
        <w:pStyle w:val="ListParagraph"/>
        <w:numPr>
          <w:ilvl w:val="0"/>
          <w:numId w:val="27"/>
        </w:numPr>
        <w:spacing w:after="240"/>
        <w:ind w:left="1134" w:hanging="708"/>
        <w:jc w:val="both"/>
        <w:rPr>
          <w:rFonts w:asciiTheme="minorHAnsi" w:hAnsiTheme="minorHAnsi" w:cs="Arial"/>
        </w:rPr>
      </w:pPr>
      <w:r w:rsidRPr="00CA6009">
        <w:rPr>
          <w:rFonts w:asciiTheme="minorHAnsi" w:hAnsiTheme="minorHAnsi" w:cs="Arial"/>
        </w:rPr>
        <w:t>The sponsor did not provide a suitable comparison against the requirements of the Australia New Zealand Food Standards Code - Standard 2.9.5: Food for Special Medical Purposes. The NPWP also noted that the relevant comparison is per serve – the product is only 1 serve per day and the comparators 3-4 serves per day (if compliant).</w:t>
      </w:r>
    </w:p>
    <w:p w:rsidR="003F064C" w:rsidRPr="00CA6009" w:rsidRDefault="003F064C" w:rsidP="003F064C">
      <w:pPr>
        <w:pStyle w:val="ListParagraph"/>
        <w:spacing w:after="240"/>
        <w:ind w:left="1134"/>
        <w:jc w:val="both"/>
        <w:rPr>
          <w:rFonts w:asciiTheme="minorHAnsi" w:hAnsiTheme="minorHAnsi" w:cs="Arial"/>
        </w:rPr>
      </w:pPr>
    </w:p>
    <w:p w:rsidR="003F064C" w:rsidRPr="00CA6009" w:rsidRDefault="003F064C" w:rsidP="003F064C">
      <w:pPr>
        <w:pStyle w:val="ListParagraph"/>
        <w:numPr>
          <w:ilvl w:val="0"/>
          <w:numId w:val="27"/>
        </w:numPr>
        <w:ind w:left="1134" w:hanging="708"/>
        <w:rPr>
          <w:rFonts w:asciiTheme="minorHAnsi" w:hAnsiTheme="minorHAnsi" w:cs="Arial"/>
        </w:rPr>
      </w:pPr>
      <w:r w:rsidRPr="00CA6009">
        <w:rPr>
          <w:rFonts w:asciiTheme="minorHAnsi" w:hAnsiTheme="minorHAnsi" w:cs="Arial"/>
        </w:rPr>
        <w:t>The product does not contain copper and only extremely low levels of phosphorus both of which are essential elements.</w:t>
      </w:r>
    </w:p>
    <w:p w:rsidR="003F064C" w:rsidRPr="00CA6009" w:rsidRDefault="003F064C" w:rsidP="003F064C">
      <w:pPr>
        <w:rPr>
          <w:rFonts w:asciiTheme="minorHAnsi" w:hAnsiTheme="minorHAnsi" w:cs="Arial"/>
        </w:rPr>
      </w:pPr>
    </w:p>
    <w:p w:rsidR="003F064C" w:rsidRPr="00CA6009" w:rsidRDefault="003F064C" w:rsidP="003F064C">
      <w:pPr>
        <w:pStyle w:val="ListParagraph"/>
        <w:numPr>
          <w:ilvl w:val="0"/>
          <w:numId w:val="27"/>
        </w:numPr>
        <w:spacing w:after="240"/>
        <w:ind w:left="1134" w:hanging="708"/>
        <w:jc w:val="both"/>
        <w:rPr>
          <w:rFonts w:asciiTheme="minorHAnsi" w:hAnsiTheme="minorHAnsi" w:cs="Arial"/>
        </w:rPr>
      </w:pPr>
      <w:r w:rsidRPr="00CA6009">
        <w:rPr>
          <w:rFonts w:asciiTheme="minorHAnsi" w:hAnsiTheme="minorHAnsi" w:cs="Arial"/>
        </w:rPr>
        <w:t>The product actually contains lower levels of vitamin B6, folate, biotin and niacin than comparators.</w:t>
      </w:r>
    </w:p>
    <w:p w:rsidR="003F064C" w:rsidRPr="00CA6009" w:rsidRDefault="003F064C" w:rsidP="003F064C">
      <w:pPr>
        <w:pStyle w:val="ListParagraph"/>
        <w:spacing w:after="240"/>
        <w:jc w:val="both"/>
        <w:rPr>
          <w:rFonts w:asciiTheme="minorHAnsi" w:hAnsiTheme="minorHAnsi" w:cs="Arial"/>
        </w:rPr>
      </w:pPr>
    </w:p>
    <w:p w:rsidR="003F064C" w:rsidRPr="00CA6009" w:rsidRDefault="003F064C" w:rsidP="003F064C">
      <w:pPr>
        <w:pStyle w:val="ListParagraph"/>
        <w:numPr>
          <w:ilvl w:val="0"/>
          <w:numId w:val="27"/>
        </w:numPr>
        <w:spacing w:after="240"/>
        <w:ind w:left="1134" w:hanging="708"/>
        <w:jc w:val="both"/>
        <w:rPr>
          <w:rFonts w:asciiTheme="minorHAnsi" w:hAnsiTheme="minorHAnsi" w:cs="Arial"/>
        </w:rPr>
      </w:pPr>
      <w:r w:rsidRPr="00CA6009">
        <w:rPr>
          <w:rFonts w:asciiTheme="minorHAnsi" w:hAnsiTheme="minorHAnsi" w:cs="Arial"/>
        </w:rPr>
        <w:t>There were higher levels of only some vitamins in the formulation compared to the comparators PKU Express 20® and Lophlex®. The NPWP questioned whether there would be any additional benefits, because patients with phenylketonuria do not typically present with vitamin deficiencies if compliant with supplements.</w:t>
      </w:r>
    </w:p>
    <w:p w:rsidR="003F064C" w:rsidRPr="00CA6009" w:rsidRDefault="003F064C" w:rsidP="003F064C">
      <w:pPr>
        <w:pStyle w:val="ListParagraph"/>
        <w:rPr>
          <w:rFonts w:asciiTheme="minorHAnsi" w:hAnsiTheme="minorHAnsi" w:cs="Arial"/>
        </w:rPr>
      </w:pPr>
    </w:p>
    <w:p w:rsidR="003F064C" w:rsidRDefault="003F064C" w:rsidP="003F064C">
      <w:pPr>
        <w:pStyle w:val="ListParagraph"/>
        <w:numPr>
          <w:ilvl w:val="0"/>
          <w:numId w:val="27"/>
        </w:numPr>
        <w:ind w:left="1134" w:hanging="774"/>
        <w:rPr>
          <w:rFonts w:asciiTheme="minorHAnsi" w:hAnsiTheme="minorHAnsi" w:cs="Arial"/>
        </w:rPr>
      </w:pPr>
      <w:r w:rsidRPr="00CA6009">
        <w:rPr>
          <w:rFonts w:asciiTheme="minorHAnsi" w:hAnsiTheme="minorHAnsi" w:cs="Arial"/>
        </w:rPr>
        <w:t>There was a lack of clinical data to indicate a clinical need for the product to support this application.</w:t>
      </w:r>
    </w:p>
    <w:p w:rsidR="003F064C" w:rsidRPr="006D676C" w:rsidRDefault="003F064C" w:rsidP="003F064C">
      <w:pPr>
        <w:rPr>
          <w:rFonts w:asciiTheme="minorHAnsi" w:hAnsiTheme="minorHAnsi" w:cs="Arial"/>
        </w:rPr>
      </w:pPr>
    </w:p>
    <w:p w:rsidR="003F064C" w:rsidRDefault="003F064C" w:rsidP="001C3DB2">
      <w:pPr>
        <w:pStyle w:val="ListParagraph"/>
        <w:spacing w:after="240"/>
        <w:contextualSpacing w:val="0"/>
        <w:jc w:val="both"/>
      </w:pPr>
      <w:r w:rsidRPr="00CA6009">
        <w:rPr>
          <w:rFonts w:asciiTheme="minorHAnsi" w:hAnsiTheme="minorHAnsi" w:cs="Arial"/>
        </w:rPr>
        <w:lastRenderedPageBreak/>
        <w:t>The NPWP did not support the request to list PKU Synergy® for the dietary management of phenylketonuria. The NPWP considered there was no clinical need for the requested listing, noting that the formula does not contain copper or adequate levels of phosphorus, contains higher levels of only some vitamins compared with the comparators, and that there were no obvious additional benefits. Further, the NPWP considered the recommendation to restrict the proposed treatment to one sachet a day is potentially confusing for consumers as this is different from what is currently recommended for other amino acids supplements.</w:t>
      </w:r>
      <w:r w:rsidR="001C3DB2">
        <w:t xml:space="preserve"> </w:t>
      </w:r>
    </w:p>
    <w:p w:rsidR="003F064C" w:rsidRDefault="003F064C" w:rsidP="003F064C"/>
    <w:p w:rsidR="003F064C" w:rsidRPr="00CA6009" w:rsidRDefault="003F064C" w:rsidP="003F064C">
      <w:pPr>
        <w:pStyle w:val="Heading2"/>
        <w:rPr>
          <w:rFonts w:asciiTheme="minorHAnsi" w:hAnsiTheme="minorHAnsi" w:cs="Arial"/>
          <w:sz w:val="28"/>
          <w:szCs w:val="28"/>
        </w:rPr>
      </w:pPr>
      <w:r w:rsidRPr="00CA6009">
        <w:rPr>
          <w:rFonts w:asciiTheme="minorHAnsi" w:hAnsiTheme="minorHAnsi" w:cs="Arial"/>
          <w:sz w:val="28"/>
          <w:szCs w:val="28"/>
        </w:rPr>
        <w:t xml:space="preserve">Estimated PBS usage &amp; financial implications </w:t>
      </w:r>
    </w:p>
    <w:p w:rsidR="003F064C" w:rsidRPr="00CA6009" w:rsidRDefault="003F064C" w:rsidP="003F064C">
      <w:pPr>
        <w:ind w:left="720" w:hanging="720"/>
        <w:jc w:val="both"/>
        <w:rPr>
          <w:rFonts w:asciiTheme="minorHAnsi" w:hAnsiTheme="minorHAnsi" w:cs="Arial"/>
          <w:b/>
          <w:i/>
        </w:rPr>
      </w:pP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The minor submission claimed that PKU Synergy® will be essentially cost neutral to the PBS as PKU Synergy® is priced per PE at the same price as PKU Express 20® and Lophlex® of $</w:t>
      </w:r>
      <w:r w:rsidRPr="006D676C">
        <w:rPr>
          <w:rFonts w:asciiTheme="minorHAnsi" w:hAnsiTheme="minorHAnsi" w:cs="Arial"/>
        </w:rPr>
        <w:t>0.81</w:t>
      </w:r>
      <w:r w:rsidRPr="00CA6009">
        <w:rPr>
          <w:rFonts w:asciiTheme="minorHAnsi" w:hAnsiTheme="minorHAnsi" w:cs="Arial"/>
        </w:rPr>
        <w:t xml:space="preserve"> per gram PE (calculated based on the DPMQ). The proposed DPMQ for PKU Synergy® is $</w:t>
      </w:r>
      <w:r w:rsidRPr="006D676C">
        <w:rPr>
          <w:rFonts w:asciiTheme="minorHAnsi" w:hAnsiTheme="minorHAnsi" w:cs="Arial"/>
        </w:rPr>
        <w:t>979.24</w:t>
      </w:r>
      <w:r w:rsidRPr="00CA6009">
        <w:rPr>
          <w:rFonts w:asciiTheme="minorHAnsi" w:hAnsiTheme="minorHAnsi" w:cs="Arial"/>
        </w:rPr>
        <w:t>.</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The minor submission claimed that the volume and proportion of usage will be small in terms of patient numbers as the introduction of PKU Synergy® into the Australian market will not result in any new patients commencing dietary therapy.</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minor submission estimated that approximately </w:t>
      </w:r>
      <w:r>
        <w:rPr>
          <w:rFonts w:asciiTheme="minorHAnsi" w:hAnsiTheme="minorHAnsi" w:cs="Arial"/>
          <w:noProof/>
          <w:color w:val="000000"/>
          <w:highlight w:val="black"/>
        </w:rPr>
        <w:t>'''''</w:t>
      </w:r>
      <w:r w:rsidRPr="00CA6009">
        <w:rPr>
          <w:rFonts w:asciiTheme="minorHAnsi" w:hAnsiTheme="minorHAnsi" w:cs="Arial"/>
        </w:rPr>
        <w:t>% (n=</w:t>
      </w:r>
      <w:r>
        <w:rPr>
          <w:rFonts w:asciiTheme="minorHAnsi" w:hAnsiTheme="minorHAnsi" w:cs="Arial"/>
          <w:noProof/>
          <w:color w:val="000000"/>
          <w:highlight w:val="black"/>
        </w:rPr>
        <w:t>'''''</w:t>
      </w:r>
      <w:r w:rsidRPr="00CA6009">
        <w:rPr>
          <w:rFonts w:asciiTheme="minorHAnsi" w:hAnsiTheme="minorHAnsi" w:cs="Arial"/>
        </w:rPr>
        <w:t>) of patients currently taking PKU Express 20® or Lophlex® would be non-compliant in their dietary therapy and will therefore switch to PKU Synergy®. The minor submission presented this estimate (n=</w:t>
      </w:r>
      <w:r>
        <w:rPr>
          <w:rFonts w:asciiTheme="minorHAnsi" w:hAnsiTheme="minorHAnsi" w:cs="Arial"/>
          <w:noProof/>
          <w:color w:val="000000"/>
          <w:highlight w:val="black"/>
        </w:rPr>
        <w:t>'''''</w:t>
      </w:r>
      <w:r w:rsidRPr="00CA6009">
        <w:rPr>
          <w:rFonts w:asciiTheme="minorHAnsi" w:hAnsiTheme="minorHAnsi" w:cs="Arial"/>
        </w:rPr>
        <w:t>) as the maximum number of patients that would be expected to convert to PKU Synergy® in the first five years of listing.</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minor submission estimated a net cost to the PBS of </w:t>
      </w:r>
      <w:r>
        <w:rPr>
          <w:rFonts w:asciiTheme="minorHAnsi" w:hAnsiTheme="minorHAnsi" w:cs="Arial"/>
        </w:rPr>
        <w:t>substantially less than $10 </w:t>
      </w:r>
      <w:r w:rsidRPr="00C21FA5">
        <w:rPr>
          <w:rFonts w:asciiTheme="minorHAnsi" w:hAnsiTheme="minorHAnsi" w:cs="Arial"/>
        </w:rPr>
        <w:t>million</w:t>
      </w:r>
      <w:r>
        <w:rPr>
          <w:rFonts w:asciiTheme="minorHAnsi" w:hAnsiTheme="minorHAnsi" w:cs="Arial"/>
        </w:rPr>
        <w:t xml:space="preserve"> </w:t>
      </w:r>
      <w:r w:rsidRPr="00CA6009">
        <w:rPr>
          <w:rFonts w:asciiTheme="minorHAnsi" w:hAnsiTheme="minorHAnsi" w:cs="Arial"/>
        </w:rPr>
        <w:t>over the first 5 years of listing, due to the requirement for an additional number of scripts required per year compared to the main comparators.</w:t>
      </w:r>
    </w:p>
    <w:p w:rsidR="003F064C" w:rsidRPr="00CA6009" w:rsidRDefault="003F064C" w:rsidP="003F064C">
      <w:pPr>
        <w:pStyle w:val="ListParagraph"/>
        <w:numPr>
          <w:ilvl w:val="1"/>
          <w:numId w:val="2"/>
        </w:numPr>
        <w:spacing w:after="240"/>
        <w:contextualSpacing w:val="0"/>
        <w:jc w:val="both"/>
        <w:rPr>
          <w:rFonts w:asciiTheme="minorHAnsi" w:hAnsiTheme="minorHAnsi" w:cs="Arial"/>
        </w:rPr>
      </w:pPr>
      <w:r w:rsidRPr="00CA6009">
        <w:rPr>
          <w:rFonts w:asciiTheme="minorHAnsi" w:hAnsiTheme="minorHAnsi" w:cs="Arial"/>
        </w:rPr>
        <w:t xml:space="preserve">The minor submission claimed that PKU synergy® will improve compliance in PKU patients with a higher phenylalanine tolerance, therefore potentially reducing product wastage resulting in savings to the PBS. </w:t>
      </w:r>
    </w:p>
    <w:p w:rsidR="003F064C" w:rsidRPr="00CA6009" w:rsidRDefault="003F064C" w:rsidP="003F064C">
      <w:pPr>
        <w:ind w:left="720"/>
        <w:rPr>
          <w:rFonts w:asciiTheme="minorHAnsi" w:hAnsiTheme="minorHAnsi"/>
          <w:i/>
        </w:rPr>
      </w:pPr>
      <w:r w:rsidRPr="00CA6009">
        <w:rPr>
          <w:rFonts w:asciiTheme="minorHAnsi" w:hAnsiTheme="minorHAnsi"/>
          <w:i/>
        </w:rPr>
        <w:t>For more detail on PBAC’s view, see section 6 “PBAC outcome.”</w:t>
      </w:r>
    </w:p>
    <w:p w:rsidR="003F064C" w:rsidRDefault="003F064C" w:rsidP="003F064C">
      <w:pPr>
        <w:ind w:left="720"/>
        <w:rPr>
          <w:rFonts w:asciiTheme="minorHAnsi" w:hAnsiTheme="minorHAnsi"/>
          <w:i/>
        </w:rPr>
      </w:pPr>
    </w:p>
    <w:p w:rsidR="003F064C" w:rsidRPr="00CA6009" w:rsidRDefault="003F064C" w:rsidP="003F064C">
      <w:pPr>
        <w:ind w:left="720"/>
        <w:rPr>
          <w:rFonts w:asciiTheme="minorHAnsi" w:hAnsiTheme="minorHAnsi"/>
          <w:i/>
        </w:rPr>
      </w:pPr>
    </w:p>
    <w:p w:rsidR="003F064C" w:rsidRPr="00CA6009" w:rsidRDefault="003F064C" w:rsidP="003F064C">
      <w:pPr>
        <w:pStyle w:val="Heading1"/>
        <w:numPr>
          <w:ilvl w:val="0"/>
          <w:numId w:val="2"/>
        </w:numPr>
        <w:rPr>
          <w:rFonts w:asciiTheme="minorHAnsi" w:hAnsiTheme="minorHAnsi" w:cs="Arial"/>
          <w:sz w:val="32"/>
          <w:szCs w:val="32"/>
        </w:rPr>
      </w:pPr>
      <w:r w:rsidRPr="00CA6009">
        <w:rPr>
          <w:rFonts w:asciiTheme="minorHAnsi" w:hAnsiTheme="minorHAnsi" w:cs="Arial"/>
          <w:sz w:val="32"/>
          <w:szCs w:val="32"/>
        </w:rPr>
        <w:t>PBAC Outcome</w:t>
      </w:r>
    </w:p>
    <w:p w:rsidR="003F064C" w:rsidRPr="00CA6009" w:rsidRDefault="003F064C" w:rsidP="003F064C"/>
    <w:p w:rsidR="003F064C" w:rsidRPr="00E343A7" w:rsidRDefault="003F064C" w:rsidP="003F064C">
      <w:pPr>
        <w:widowControl w:val="0"/>
        <w:numPr>
          <w:ilvl w:val="1"/>
          <w:numId w:val="2"/>
        </w:numPr>
        <w:spacing w:after="120"/>
        <w:jc w:val="both"/>
        <w:rPr>
          <w:rFonts w:asciiTheme="minorHAnsi" w:hAnsiTheme="minorHAnsi" w:cs="Arial"/>
          <w:bCs/>
          <w:snapToGrid w:val="0"/>
          <w:lang w:eastAsia="en-US"/>
        </w:rPr>
      </w:pPr>
      <w:r w:rsidRPr="00E343A7">
        <w:rPr>
          <w:rFonts w:asciiTheme="minorHAnsi" w:hAnsiTheme="minorHAnsi" w:cs="Arial"/>
          <w:bCs/>
          <w:snapToGrid w:val="0"/>
          <w:lang w:eastAsia="en-US"/>
        </w:rPr>
        <w:t>The PBAC decided to defer its decision on whether to recommend the listing of amino acid formula with carbohydrate, vitamins, minerals and trace elements without phenyl</w:t>
      </w:r>
      <w:r>
        <w:rPr>
          <w:rFonts w:asciiTheme="minorHAnsi" w:hAnsiTheme="minorHAnsi" w:cs="Arial"/>
          <w:bCs/>
          <w:snapToGrid w:val="0"/>
          <w:lang w:eastAsia="en-US"/>
        </w:rPr>
        <w:t>al</w:t>
      </w:r>
      <w:r w:rsidRPr="00E343A7">
        <w:rPr>
          <w:rFonts w:asciiTheme="minorHAnsi" w:hAnsiTheme="minorHAnsi" w:cs="Arial"/>
          <w:bCs/>
          <w:snapToGrid w:val="0"/>
          <w:lang w:eastAsia="en-US"/>
        </w:rPr>
        <w:t xml:space="preserve">anine, supplemented with docosahexaenoic acid; for the dietary management of PKU. The PBAC considered that there was a lack of clinical data to indicate a clinical need for the product but noted the pre-PBAC response from the </w:t>
      </w:r>
      <w:r w:rsidRPr="00E343A7">
        <w:rPr>
          <w:rFonts w:asciiTheme="minorHAnsi" w:hAnsiTheme="minorHAnsi" w:cs="Arial"/>
          <w:bCs/>
          <w:snapToGrid w:val="0"/>
          <w:lang w:eastAsia="en-US"/>
        </w:rPr>
        <w:lastRenderedPageBreak/>
        <w:t>sponsor and considered that these responses should be considered by the NPWP before finalising its decision.</w:t>
      </w:r>
    </w:p>
    <w:p w:rsidR="003F064C" w:rsidRPr="00E343A7" w:rsidRDefault="003F064C" w:rsidP="003F064C">
      <w:pPr>
        <w:widowControl w:val="0"/>
        <w:numPr>
          <w:ilvl w:val="1"/>
          <w:numId w:val="2"/>
        </w:numPr>
        <w:spacing w:after="120"/>
        <w:jc w:val="both"/>
        <w:rPr>
          <w:rFonts w:asciiTheme="minorHAnsi" w:hAnsiTheme="minorHAnsi" w:cs="Arial"/>
          <w:bCs/>
          <w:snapToGrid w:val="0"/>
          <w:lang w:eastAsia="en-US"/>
        </w:rPr>
      </w:pPr>
      <w:r w:rsidRPr="00E343A7">
        <w:rPr>
          <w:rFonts w:asciiTheme="minorHAnsi" w:hAnsiTheme="minorHAnsi" w:cs="Arial"/>
          <w:bCs/>
          <w:snapToGrid w:val="0"/>
          <w:lang w:eastAsia="en-US"/>
        </w:rPr>
        <w:t xml:space="preserve">The PBAC noted that the requested listing also included patients with hyperphenylalaninaemia; </w:t>
      </w:r>
      <w:r w:rsidRPr="008A6AF4">
        <w:rPr>
          <w:rFonts w:asciiTheme="minorHAnsi" w:hAnsiTheme="minorHAnsi" w:cs="Arial"/>
          <w:bCs/>
          <w:snapToGrid w:val="0"/>
          <w:lang w:eastAsia="en-US"/>
        </w:rPr>
        <w:t>however,</w:t>
      </w:r>
      <w:r w:rsidRPr="00E343A7">
        <w:rPr>
          <w:rFonts w:asciiTheme="minorHAnsi" w:hAnsiTheme="minorHAnsi" w:cs="Arial"/>
          <w:bCs/>
          <w:snapToGrid w:val="0"/>
          <w:lang w:eastAsia="en-US"/>
        </w:rPr>
        <w:t xml:space="preserve"> the PBAC noted that these patients were not a separate patient population from the PKU patient population. </w:t>
      </w: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The PBAC noted the advice of the Nutritional Products Working Party (NPWP) that supported the decision to not recommend listing the product on the PBS.</w:t>
      </w:r>
    </w:p>
    <w:p w:rsidR="003F064C" w:rsidRPr="00E343A7" w:rsidRDefault="003F064C" w:rsidP="003F064C">
      <w:pPr>
        <w:rPr>
          <w:rFonts w:asciiTheme="minorHAnsi" w:hAnsiTheme="minorHAnsi" w:cs="Arial"/>
          <w:bCs/>
          <w:snapToGrid w:val="0"/>
          <w:lang w:eastAsia="en-US"/>
        </w:rPr>
      </w:pP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 xml:space="preserve">The PBAC noted that the product does not contain copper and only extremely low levels of </w:t>
      </w:r>
      <w:r w:rsidRPr="008A6AF4">
        <w:rPr>
          <w:rFonts w:asciiTheme="minorHAnsi" w:hAnsiTheme="minorHAnsi" w:cs="Arial"/>
          <w:bCs/>
          <w:snapToGrid w:val="0"/>
          <w:lang w:eastAsia="en-US"/>
        </w:rPr>
        <w:t>phosphorus that</w:t>
      </w:r>
      <w:r w:rsidRPr="00E343A7">
        <w:rPr>
          <w:rFonts w:asciiTheme="minorHAnsi" w:hAnsiTheme="minorHAnsi" w:cs="Arial"/>
          <w:bCs/>
          <w:snapToGrid w:val="0"/>
          <w:lang w:eastAsia="en-US"/>
        </w:rPr>
        <w:t xml:space="preserve"> are essential elements, and also lower levels of Vitamin B6 folate, biotin and niacin than its comparators,</w:t>
      </w:r>
      <w:r w:rsidRPr="00CA6009">
        <w:rPr>
          <w:rFonts w:asciiTheme="minorHAnsi" w:hAnsiTheme="minorHAnsi" w:cs="Arial"/>
        </w:rPr>
        <w:t xml:space="preserve"> PKU Express 20® and Lophlex®</w:t>
      </w:r>
      <w:r w:rsidRPr="00E343A7">
        <w:rPr>
          <w:rFonts w:asciiTheme="minorHAnsi" w:hAnsiTheme="minorHAnsi" w:cs="Arial"/>
          <w:bCs/>
          <w:snapToGrid w:val="0"/>
          <w:lang w:eastAsia="en-US"/>
        </w:rPr>
        <w:t>.</w:t>
      </w:r>
    </w:p>
    <w:p w:rsidR="003F064C" w:rsidRPr="00E343A7" w:rsidRDefault="003F064C" w:rsidP="003F064C">
      <w:pPr>
        <w:pStyle w:val="ListParagraph"/>
        <w:rPr>
          <w:rFonts w:asciiTheme="minorHAnsi" w:hAnsiTheme="minorHAnsi" w:cs="Arial"/>
          <w:bCs/>
          <w:snapToGrid w:val="0"/>
          <w:lang w:eastAsia="en-US"/>
        </w:rPr>
      </w:pP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The PBAC considered the recommendation to restrict the proposed treatment to one sachet a day would be potentially confusing for consumers as this is different from what is currently recommended for other amino acids supplements in this indication.</w:t>
      </w:r>
    </w:p>
    <w:p w:rsidR="003F064C" w:rsidRPr="00E343A7" w:rsidRDefault="003F064C" w:rsidP="003F064C">
      <w:pPr>
        <w:pStyle w:val="ListParagraph"/>
        <w:rPr>
          <w:rFonts w:asciiTheme="minorHAnsi" w:hAnsiTheme="minorHAnsi" w:cs="Arial"/>
          <w:bCs/>
          <w:snapToGrid w:val="0"/>
          <w:lang w:eastAsia="en-US"/>
        </w:rPr>
      </w:pP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The PBAC noted the pre-PBAC response from the sponsor and considered that input form the NPWP was required to assess whether the response adequately justified their claims.</w:t>
      </w:r>
    </w:p>
    <w:p w:rsidR="003F064C" w:rsidRPr="00E343A7" w:rsidRDefault="003F064C" w:rsidP="003F064C">
      <w:pPr>
        <w:rPr>
          <w:rFonts w:asciiTheme="minorHAnsi" w:hAnsiTheme="minorHAnsi" w:cs="Arial"/>
          <w:bCs/>
          <w:snapToGrid w:val="0"/>
          <w:lang w:eastAsia="en-US"/>
        </w:rPr>
      </w:pP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The PBAC noted the NPWP’s advice that there was no clinical need for the requested listing.</w:t>
      </w:r>
    </w:p>
    <w:p w:rsidR="003F064C" w:rsidRPr="00E343A7" w:rsidRDefault="003F064C" w:rsidP="003F064C">
      <w:pPr>
        <w:pStyle w:val="ListParagraph"/>
        <w:rPr>
          <w:rFonts w:asciiTheme="minorHAnsi" w:hAnsiTheme="minorHAnsi" w:cs="Arial"/>
          <w:bCs/>
          <w:snapToGrid w:val="0"/>
          <w:lang w:eastAsia="en-US"/>
        </w:rPr>
      </w:pPr>
    </w:p>
    <w:p w:rsidR="003F064C" w:rsidRPr="00E343A7" w:rsidRDefault="003F064C" w:rsidP="003F064C">
      <w:pPr>
        <w:pStyle w:val="ListParagraph"/>
        <w:numPr>
          <w:ilvl w:val="1"/>
          <w:numId w:val="2"/>
        </w:numPr>
        <w:rPr>
          <w:rFonts w:asciiTheme="minorHAnsi" w:hAnsiTheme="minorHAnsi" w:cs="Arial"/>
          <w:bCs/>
          <w:snapToGrid w:val="0"/>
          <w:lang w:eastAsia="en-US"/>
        </w:rPr>
      </w:pPr>
      <w:r w:rsidRPr="00E343A7">
        <w:rPr>
          <w:rFonts w:asciiTheme="minorHAnsi" w:hAnsiTheme="minorHAnsi" w:cs="Arial"/>
          <w:bCs/>
          <w:snapToGrid w:val="0"/>
          <w:lang w:eastAsia="en-US"/>
        </w:rPr>
        <w:t>The PBAC noted that this submission is not eligible for an Independent Review as it has been deferred for further discussion.</w:t>
      </w:r>
    </w:p>
    <w:p w:rsidR="003F064C" w:rsidRDefault="003F064C" w:rsidP="003F064C">
      <w:pPr>
        <w:spacing w:after="120"/>
        <w:jc w:val="both"/>
        <w:rPr>
          <w:rFonts w:asciiTheme="minorHAnsi" w:hAnsiTheme="minorHAnsi" w:cs="Arial"/>
          <w:b/>
          <w:bCs/>
          <w:snapToGrid w:val="0"/>
          <w:sz w:val="28"/>
          <w:szCs w:val="28"/>
          <w:lang w:eastAsia="en-US"/>
        </w:rPr>
      </w:pPr>
    </w:p>
    <w:p w:rsidR="003F064C" w:rsidRDefault="003F064C" w:rsidP="003F064C">
      <w:pPr>
        <w:spacing w:after="120"/>
        <w:jc w:val="both"/>
        <w:rPr>
          <w:rFonts w:asciiTheme="minorHAnsi" w:hAnsiTheme="minorHAnsi" w:cs="Arial"/>
          <w:b/>
          <w:bCs/>
          <w:snapToGrid w:val="0"/>
          <w:sz w:val="28"/>
          <w:szCs w:val="28"/>
          <w:lang w:eastAsia="en-US"/>
        </w:rPr>
      </w:pPr>
      <w:r w:rsidRPr="00E343A7">
        <w:rPr>
          <w:rFonts w:asciiTheme="minorHAnsi" w:hAnsiTheme="minorHAnsi" w:cs="Arial"/>
          <w:b/>
          <w:bCs/>
          <w:snapToGrid w:val="0"/>
          <w:sz w:val="28"/>
          <w:szCs w:val="28"/>
          <w:lang w:eastAsia="en-US"/>
        </w:rPr>
        <w:t>Outcome:</w:t>
      </w:r>
      <w:r>
        <w:rPr>
          <w:rFonts w:asciiTheme="minorHAnsi" w:hAnsiTheme="minorHAnsi" w:cs="Arial"/>
          <w:b/>
          <w:bCs/>
          <w:snapToGrid w:val="0"/>
          <w:sz w:val="28"/>
          <w:szCs w:val="28"/>
          <w:lang w:eastAsia="en-US"/>
        </w:rPr>
        <w:t xml:space="preserve"> </w:t>
      </w:r>
    </w:p>
    <w:p w:rsidR="003F064C" w:rsidRDefault="003F064C" w:rsidP="003F064C">
      <w:pPr>
        <w:spacing w:after="120"/>
        <w:jc w:val="both"/>
        <w:rPr>
          <w:rFonts w:asciiTheme="minorHAnsi" w:hAnsiTheme="minorHAnsi" w:cs="Arial"/>
          <w:bCs/>
          <w:snapToGrid w:val="0"/>
          <w:lang w:eastAsia="en-US"/>
        </w:rPr>
      </w:pPr>
      <w:r w:rsidRPr="00E343A7">
        <w:rPr>
          <w:rFonts w:asciiTheme="minorHAnsi" w:hAnsiTheme="minorHAnsi" w:cs="Arial"/>
          <w:bCs/>
          <w:snapToGrid w:val="0"/>
          <w:lang w:eastAsia="en-US"/>
        </w:rPr>
        <w:t>Deferred</w:t>
      </w:r>
    </w:p>
    <w:p w:rsidR="003F064C" w:rsidRPr="00E343A7" w:rsidRDefault="003F064C" w:rsidP="003F064C">
      <w:pPr>
        <w:spacing w:after="120"/>
        <w:jc w:val="both"/>
        <w:rPr>
          <w:rFonts w:asciiTheme="minorHAnsi" w:hAnsiTheme="minorHAnsi" w:cs="Arial"/>
          <w:b/>
          <w:bCs/>
          <w:snapToGrid w:val="0"/>
          <w:sz w:val="28"/>
          <w:szCs w:val="28"/>
          <w:lang w:eastAsia="en-US"/>
        </w:rPr>
      </w:pPr>
    </w:p>
    <w:p w:rsidR="003F064C" w:rsidRPr="00714BCC" w:rsidRDefault="003F064C" w:rsidP="003F064C">
      <w:pPr>
        <w:pStyle w:val="Heading1"/>
        <w:numPr>
          <w:ilvl w:val="0"/>
          <w:numId w:val="2"/>
        </w:numPr>
        <w:rPr>
          <w:rFonts w:asciiTheme="minorHAnsi" w:eastAsiaTheme="minorHAnsi" w:hAnsiTheme="minorHAnsi" w:cstheme="minorBidi"/>
          <w:sz w:val="32"/>
          <w:szCs w:val="32"/>
          <w:lang w:eastAsia="en-US"/>
        </w:rPr>
      </w:pPr>
      <w:r w:rsidRPr="00714BCC">
        <w:rPr>
          <w:rFonts w:asciiTheme="minorHAnsi" w:eastAsiaTheme="minorHAnsi" w:hAnsiTheme="minorHAnsi" w:cstheme="minorBidi"/>
          <w:sz w:val="32"/>
          <w:szCs w:val="32"/>
          <w:lang w:eastAsia="en-US"/>
        </w:rPr>
        <w:t>Context for Decision</w:t>
      </w:r>
    </w:p>
    <w:p w:rsidR="003F064C" w:rsidRPr="00714BCC" w:rsidRDefault="003F064C" w:rsidP="003F064C">
      <w:pPr>
        <w:spacing w:line="276" w:lineRule="auto"/>
        <w:ind w:left="426"/>
        <w:jc w:val="both"/>
        <w:rPr>
          <w:rFonts w:asciiTheme="minorHAnsi" w:eastAsiaTheme="minorHAnsi" w:hAnsiTheme="minorHAnsi" w:cs="Arial"/>
          <w:lang w:eastAsia="en-US"/>
        </w:rPr>
      </w:pPr>
    </w:p>
    <w:p w:rsidR="003F064C" w:rsidRPr="00714BCC" w:rsidRDefault="003F064C" w:rsidP="003F064C">
      <w:pPr>
        <w:spacing w:line="276" w:lineRule="auto"/>
        <w:ind w:left="426"/>
        <w:jc w:val="both"/>
        <w:rPr>
          <w:rFonts w:asciiTheme="minorHAnsi" w:eastAsiaTheme="minorHAnsi" w:hAnsiTheme="minorHAnsi" w:cs="Arial"/>
          <w:lang w:eastAsia="en-US"/>
        </w:rPr>
      </w:pPr>
      <w:r w:rsidRPr="00714BCC">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064C" w:rsidRPr="00714BCC" w:rsidRDefault="003F064C" w:rsidP="003F064C">
      <w:pPr>
        <w:spacing w:after="200" w:line="276" w:lineRule="auto"/>
        <w:ind w:left="426"/>
        <w:jc w:val="both"/>
        <w:rPr>
          <w:rFonts w:asciiTheme="minorHAnsi" w:eastAsiaTheme="minorHAnsi" w:hAnsiTheme="minorHAnsi" w:cs="Arial"/>
          <w:lang w:eastAsia="en-US"/>
        </w:rPr>
      </w:pPr>
    </w:p>
    <w:p w:rsidR="003F064C" w:rsidRPr="00714BCC" w:rsidRDefault="003F064C" w:rsidP="003F064C">
      <w:pPr>
        <w:pStyle w:val="Heading1"/>
        <w:numPr>
          <w:ilvl w:val="0"/>
          <w:numId w:val="2"/>
        </w:numPr>
        <w:rPr>
          <w:rFonts w:asciiTheme="minorHAnsi" w:eastAsiaTheme="minorHAnsi" w:hAnsiTheme="minorHAnsi" w:cstheme="minorBidi"/>
          <w:sz w:val="32"/>
          <w:szCs w:val="32"/>
          <w:lang w:eastAsia="en-US"/>
        </w:rPr>
      </w:pPr>
      <w:r w:rsidRPr="00714BCC">
        <w:rPr>
          <w:rFonts w:asciiTheme="minorHAnsi" w:eastAsiaTheme="minorHAnsi" w:hAnsiTheme="minorHAnsi" w:cstheme="minorBidi"/>
          <w:sz w:val="32"/>
          <w:szCs w:val="32"/>
          <w:lang w:eastAsia="en-US"/>
        </w:rPr>
        <w:lastRenderedPageBreak/>
        <w:t xml:space="preserve"> Sponsor’s Comment</w:t>
      </w:r>
    </w:p>
    <w:p w:rsidR="003F064C" w:rsidRPr="00714BCC" w:rsidRDefault="003F064C" w:rsidP="003F064C">
      <w:pPr>
        <w:spacing w:line="276" w:lineRule="auto"/>
        <w:ind w:left="426"/>
        <w:jc w:val="both"/>
        <w:rPr>
          <w:rFonts w:asciiTheme="minorHAnsi" w:eastAsiaTheme="minorHAnsi" w:hAnsiTheme="minorHAnsi" w:cs="Arial"/>
          <w:bCs/>
          <w:highlight w:val="yellow"/>
          <w:lang w:val="en-GB" w:eastAsia="en-US"/>
        </w:rPr>
      </w:pPr>
    </w:p>
    <w:p w:rsidR="003F064C" w:rsidRPr="00714BCC" w:rsidRDefault="003F064C" w:rsidP="003F064C">
      <w:pPr>
        <w:spacing w:after="120" w:line="276" w:lineRule="auto"/>
        <w:ind w:left="426"/>
        <w:jc w:val="both"/>
        <w:rPr>
          <w:rFonts w:asciiTheme="minorHAnsi" w:eastAsiaTheme="minorHAnsi" w:hAnsiTheme="minorHAnsi" w:cs="Arial"/>
          <w:bCs/>
          <w:lang w:eastAsia="en-US"/>
        </w:rPr>
      </w:pPr>
      <w:r w:rsidRPr="00714BCC">
        <w:rPr>
          <w:rFonts w:asciiTheme="minorHAnsi" w:eastAsiaTheme="minorHAnsi" w:hAnsiTheme="minorHAnsi" w:cs="Arial"/>
          <w:bCs/>
          <w:lang w:eastAsia="en-US"/>
        </w:rPr>
        <w:t>The sponsor had no comment.</w:t>
      </w:r>
    </w:p>
    <w:p w:rsidR="001466F2" w:rsidRDefault="001466F2"/>
    <w:p w:rsidR="001466F2" w:rsidRPr="00CE7162" w:rsidRDefault="00C83F92" w:rsidP="00190678">
      <w:pPr>
        <w:widowControl w:val="0"/>
        <w:jc w:val="both"/>
        <w:outlineLvl w:val="0"/>
        <w:rPr>
          <w:rFonts w:asciiTheme="minorHAnsi" w:hAnsiTheme="minorHAnsi" w:cstheme="minorHAnsi"/>
          <w:b/>
          <w:bCs/>
          <w:snapToGrid w:val="0"/>
          <w:color w:val="FF0000"/>
          <w:sz w:val="22"/>
          <w:szCs w:val="22"/>
        </w:rPr>
      </w:pPr>
      <w:r w:rsidRPr="00CE7162">
        <w:rPr>
          <w:rFonts w:asciiTheme="minorHAnsi" w:hAnsiTheme="minorHAnsi" w:cstheme="minorHAnsi"/>
          <w:b/>
          <w:bCs/>
          <w:snapToGrid w:val="0"/>
          <w:sz w:val="28"/>
          <w:szCs w:val="22"/>
        </w:rPr>
        <w:t>November 2017 a</w:t>
      </w:r>
      <w:r w:rsidR="001466F2" w:rsidRPr="00CE7162">
        <w:rPr>
          <w:rFonts w:asciiTheme="minorHAnsi" w:hAnsiTheme="minorHAnsi" w:cstheme="minorHAnsi"/>
          <w:b/>
          <w:bCs/>
          <w:snapToGrid w:val="0"/>
          <w:sz w:val="28"/>
          <w:szCs w:val="22"/>
        </w:rPr>
        <w:t>ddendum</w:t>
      </w:r>
      <w:r w:rsidR="00F6634E" w:rsidRPr="00CE7162">
        <w:rPr>
          <w:rFonts w:asciiTheme="minorHAnsi" w:hAnsiTheme="minorHAnsi" w:cstheme="minorHAnsi"/>
          <w:b/>
          <w:bCs/>
          <w:snapToGrid w:val="0"/>
          <w:sz w:val="28"/>
          <w:szCs w:val="22"/>
        </w:rPr>
        <w:t xml:space="preserve"> to the</w:t>
      </w:r>
      <w:r w:rsidR="001466F2" w:rsidRPr="00CE7162">
        <w:rPr>
          <w:rFonts w:asciiTheme="minorHAnsi" w:hAnsiTheme="minorHAnsi" w:cstheme="minorHAnsi"/>
          <w:b/>
          <w:bCs/>
          <w:snapToGrid w:val="0"/>
          <w:sz w:val="28"/>
          <w:szCs w:val="22"/>
        </w:rPr>
        <w:t xml:space="preserve"> July 2017 PBAC Minutes:</w:t>
      </w:r>
    </w:p>
    <w:p w:rsidR="00E92C78" w:rsidRDefault="00E92C78" w:rsidP="00915951"/>
    <w:p w:rsidR="001466F2" w:rsidRDefault="00C83F92" w:rsidP="00C83F92">
      <w:pPr>
        <w:pStyle w:val="Title"/>
        <w:ind w:left="720" w:hanging="720"/>
        <w:rPr>
          <w:rFonts w:asciiTheme="minorHAnsi" w:hAnsiTheme="minorHAnsi" w:cs="Arial"/>
          <w:sz w:val="36"/>
          <w:szCs w:val="36"/>
        </w:rPr>
      </w:pPr>
      <w:r>
        <w:rPr>
          <w:rFonts w:asciiTheme="minorHAnsi" w:hAnsiTheme="minorHAnsi" w:cs="Arial"/>
          <w:sz w:val="36"/>
          <w:szCs w:val="36"/>
        </w:rPr>
        <w:t xml:space="preserve">4.01 </w:t>
      </w:r>
      <w:r w:rsidR="001466F2" w:rsidRPr="00CA6009">
        <w:rPr>
          <w:rFonts w:asciiTheme="minorHAnsi" w:hAnsiTheme="minorHAnsi" w:cs="Arial"/>
          <w:sz w:val="36"/>
          <w:szCs w:val="36"/>
        </w:rPr>
        <w:t>AMINO ACID FORMULA WITH CARBOHYDRATE, VITAMINS, MINERALS AND TRACE ELEMENTS WITHOUT PHENYLALANINE, SUPPLEMENTED WITH DOCOSAHEXAENOIC ACID</w:t>
      </w:r>
      <w:r w:rsidR="001466F2" w:rsidRPr="00CA6009">
        <w:rPr>
          <w:rFonts w:asciiTheme="minorHAnsi" w:hAnsiTheme="minorHAnsi" w:cs="Arial"/>
          <w:sz w:val="36"/>
          <w:szCs w:val="36"/>
        </w:rPr>
        <w:br/>
        <w:t>Sachets containing oral powder 33 g, 30 (PKU Synergy</w:t>
      </w:r>
      <w:r w:rsidR="00DC640F">
        <w:rPr>
          <w:rFonts w:asciiTheme="minorHAnsi" w:hAnsiTheme="minorHAnsi" w:cs="Arial"/>
          <w:sz w:val="36"/>
          <w:szCs w:val="36"/>
        </w:rPr>
        <w:t>®</w:t>
      </w:r>
      <w:r w:rsidR="001466F2" w:rsidRPr="00CA6009">
        <w:rPr>
          <w:rFonts w:asciiTheme="minorHAnsi" w:hAnsiTheme="minorHAnsi" w:cs="Arial"/>
          <w:sz w:val="36"/>
          <w:szCs w:val="36"/>
        </w:rPr>
        <w:t>),</w:t>
      </w:r>
      <w:r w:rsidR="001466F2" w:rsidRPr="00CA6009">
        <w:rPr>
          <w:rFonts w:asciiTheme="minorHAnsi" w:hAnsiTheme="minorHAnsi" w:cs="Arial"/>
          <w:b w:val="0"/>
          <w:sz w:val="36"/>
          <w:szCs w:val="36"/>
        </w:rPr>
        <w:br/>
      </w:r>
      <w:r w:rsidR="001466F2" w:rsidRPr="00CA6009">
        <w:rPr>
          <w:rFonts w:asciiTheme="minorHAnsi" w:hAnsiTheme="minorHAnsi" w:cs="Arial"/>
          <w:sz w:val="36"/>
          <w:szCs w:val="36"/>
        </w:rPr>
        <w:t>PKU Synergy</w:t>
      </w:r>
      <w:r w:rsidR="001466F2" w:rsidRPr="00CA6009">
        <w:rPr>
          <w:rFonts w:asciiTheme="minorHAnsi" w:hAnsiTheme="minorHAnsi" w:cs="Arial"/>
          <w:sz w:val="36"/>
          <w:szCs w:val="36"/>
          <w:vertAlign w:val="superscript"/>
        </w:rPr>
        <w:t>®</w:t>
      </w:r>
      <w:r w:rsidR="001466F2" w:rsidRPr="00CA6009">
        <w:rPr>
          <w:rFonts w:asciiTheme="minorHAnsi" w:hAnsiTheme="minorHAnsi" w:cs="Arial"/>
          <w:sz w:val="36"/>
          <w:szCs w:val="36"/>
        </w:rPr>
        <w:t>, Nutricia Australia Pty Ltd</w:t>
      </w:r>
    </w:p>
    <w:p w:rsidR="00255952" w:rsidRPr="00F96517" w:rsidRDefault="00255952" w:rsidP="00F96517">
      <w:pPr>
        <w:jc w:val="both"/>
        <w:rPr>
          <w:rFonts w:asciiTheme="minorHAnsi" w:hAnsiTheme="minorHAnsi" w:cs="Arial"/>
        </w:rPr>
      </w:pPr>
    </w:p>
    <w:p w:rsidR="00DC640F" w:rsidRPr="001C3DB2" w:rsidRDefault="00DC640F" w:rsidP="001C3DB2">
      <w:pPr>
        <w:pStyle w:val="Heading1"/>
        <w:numPr>
          <w:ilvl w:val="0"/>
          <w:numId w:val="2"/>
        </w:numPr>
        <w:rPr>
          <w:rFonts w:asciiTheme="minorHAnsi" w:eastAsiaTheme="minorHAnsi" w:hAnsiTheme="minorHAnsi" w:cstheme="minorBidi"/>
          <w:sz w:val="32"/>
          <w:szCs w:val="32"/>
          <w:lang w:eastAsia="en-US"/>
        </w:rPr>
      </w:pPr>
      <w:r w:rsidRPr="001C3DB2">
        <w:rPr>
          <w:rFonts w:asciiTheme="minorHAnsi" w:eastAsiaTheme="minorHAnsi" w:hAnsiTheme="minorHAnsi" w:cstheme="minorBidi"/>
          <w:sz w:val="32"/>
          <w:szCs w:val="32"/>
          <w:lang w:eastAsia="en-US"/>
        </w:rPr>
        <w:t>Background</w:t>
      </w:r>
    </w:p>
    <w:p w:rsidR="00F42A0B" w:rsidRPr="00373A8D" w:rsidRDefault="008E324F"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A173E4">
        <w:rPr>
          <w:rFonts w:asciiTheme="minorHAnsi" w:hAnsiTheme="minorHAnsi" w:cs="Arial"/>
          <w:bCs/>
          <w:snapToGrid w:val="0"/>
          <w:lang w:eastAsia="en-US"/>
        </w:rPr>
        <w:t>At the July</w:t>
      </w:r>
      <w:r w:rsidR="00C8568D" w:rsidRPr="00A173E4">
        <w:rPr>
          <w:rFonts w:asciiTheme="minorHAnsi" w:hAnsiTheme="minorHAnsi" w:cs="Arial"/>
          <w:bCs/>
          <w:snapToGrid w:val="0"/>
          <w:lang w:eastAsia="en-US"/>
        </w:rPr>
        <w:t xml:space="preserve"> 2017</w:t>
      </w:r>
      <w:r w:rsidRPr="00A173E4">
        <w:rPr>
          <w:rFonts w:asciiTheme="minorHAnsi" w:hAnsiTheme="minorHAnsi" w:cs="Arial"/>
          <w:bCs/>
          <w:snapToGrid w:val="0"/>
          <w:lang w:eastAsia="en-US"/>
        </w:rPr>
        <w:t xml:space="preserve"> PBAC meeting, </w:t>
      </w:r>
      <w:r w:rsidR="00343B24">
        <w:rPr>
          <w:rFonts w:asciiTheme="minorHAnsi" w:hAnsiTheme="minorHAnsi" w:cs="Arial"/>
          <w:bCs/>
          <w:snapToGrid w:val="0"/>
          <w:lang w:eastAsia="en-US"/>
        </w:rPr>
        <w:t>t</w:t>
      </w:r>
      <w:r w:rsidR="00343B24" w:rsidRPr="00E343A7">
        <w:rPr>
          <w:rFonts w:asciiTheme="minorHAnsi" w:hAnsiTheme="minorHAnsi" w:cs="Arial"/>
          <w:bCs/>
          <w:snapToGrid w:val="0"/>
          <w:lang w:eastAsia="en-US"/>
        </w:rPr>
        <w:t>he PBAC</w:t>
      </w:r>
      <w:r w:rsidR="007072E8">
        <w:rPr>
          <w:rFonts w:asciiTheme="minorHAnsi" w:hAnsiTheme="minorHAnsi" w:cs="Arial"/>
          <w:bCs/>
          <w:snapToGrid w:val="0"/>
          <w:lang w:eastAsia="en-US"/>
        </w:rPr>
        <w:t xml:space="preserve"> noted the </w:t>
      </w:r>
      <w:r w:rsidR="00D4624D" w:rsidRPr="00A173E4">
        <w:rPr>
          <w:rFonts w:asciiTheme="minorHAnsi" w:hAnsiTheme="minorHAnsi" w:cs="Arial"/>
          <w:bCs/>
          <w:snapToGrid w:val="0"/>
          <w:lang w:eastAsia="en-US"/>
        </w:rPr>
        <w:t>Nutritional Products Working Party</w:t>
      </w:r>
      <w:r w:rsidR="00D4624D" w:rsidRPr="00A173E4">
        <w:rPr>
          <w:rFonts w:asciiTheme="minorHAnsi" w:hAnsiTheme="minorHAnsi" w:cs="Arial"/>
        </w:rPr>
        <w:t xml:space="preserve"> (NPWP) </w:t>
      </w:r>
      <w:r w:rsidR="007072E8">
        <w:rPr>
          <w:rFonts w:asciiTheme="minorHAnsi" w:hAnsiTheme="minorHAnsi" w:cs="Arial"/>
          <w:bCs/>
          <w:snapToGrid w:val="0"/>
          <w:lang w:eastAsia="en-US"/>
        </w:rPr>
        <w:t>advice and</w:t>
      </w:r>
      <w:r w:rsidR="00343B24" w:rsidRPr="00E343A7">
        <w:rPr>
          <w:rFonts w:asciiTheme="minorHAnsi" w:hAnsiTheme="minorHAnsi" w:cs="Arial"/>
          <w:bCs/>
          <w:snapToGrid w:val="0"/>
          <w:lang w:eastAsia="en-US"/>
        </w:rPr>
        <w:t xml:space="preserve"> considered there was a lack of clinical data to indicate a clinical need for </w:t>
      </w:r>
      <w:r w:rsidR="00343B24">
        <w:rPr>
          <w:rFonts w:asciiTheme="minorHAnsi" w:hAnsiTheme="minorHAnsi" w:cs="Arial"/>
          <w:bCs/>
          <w:snapToGrid w:val="0"/>
          <w:lang w:eastAsia="en-US"/>
        </w:rPr>
        <w:t>PKU Synergy®</w:t>
      </w:r>
      <w:r w:rsidR="00185682">
        <w:rPr>
          <w:rFonts w:asciiTheme="minorHAnsi" w:hAnsiTheme="minorHAnsi" w:cs="Arial"/>
          <w:bCs/>
          <w:snapToGrid w:val="0"/>
          <w:lang w:eastAsia="en-US"/>
        </w:rPr>
        <w:t>,</w:t>
      </w:r>
      <w:r w:rsidR="00185682" w:rsidRPr="00185682">
        <w:rPr>
          <w:rFonts w:asciiTheme="minorHAnsi" w:hAnsiTheme="minorHAnsi" w:cs="Arial"/>
        </w:rPr>
        <w:t xml:space="preserve"> </w:t>
      </w:r>
      <w:r w:rsidR="00185682" w:rsidRPr="00CA6009">
        <w:rPr>
          <w:rFonts w:asciiTheme="minorHAnsi" w:hAnsiTheme="minorHAnsi" w:cs="Arial"/>
        </w:rPr>
        <w:t>noting that the formula does not contain copper or adequate levels of phosphorus, contains higher levels of only some vitamins compared with the comparators, and that there were no obvious additional benefits</w:t>
      </w:r>
      <w:r w:rsidR="007072E8">
        <w:rPr>
          <w:rFonts w:asciiTheme="minorHAnsi" w:hAnsiTheme="minorHAnsi" w:cs="Arial"/>
          <w:bCs/>
          <w:snapToGrid w:val="0"/>
          <w:lang w:eastAsia="en-US"/>
        </w:rPr>
        <w:t xml:space="preserve">. However, </w:t>
      </w:r>
      <w:r w:rsidR="00B07038">
        <w:rPr>
          <w:rFonts w:asciiTheme="minorHAnsi" w:hAnsiTheme="minorHAnsi" w:cs="Arial"/>
          <w:bCs/>
          <w:snapToGrid w:val="0"/>
          <w:lang w:eastAsia="en-US"/>
        </w:rPr>
        <w:t>the committee</w:t>
      </w:r>
      <w:r w:rsidR="007072E8">
        <w:rPr>
          <w:rFonts w:asciiTheme="minorHAnsi" w:hAnsiTheme="minorHAnsi" w:cs="Arial"/>
          <w:bCs/>
          <w:snapToGrid w:val="0"/>
          <w:lang w:eastAsia="en-US"/>
        </w:rPr>
        <w:t xml:space="preserve"> </w:t>
      </w:r>
      <w:r w:rsidR="00343B24" w:rsidRPr="00E343A7">
        <w:rPr>
          <w:rFonts w:asciiTheme="minorHAnsi" w:hAnsiTheme="minorHAnsi" w:cs="Arial"/>
          <w:bCs/>
          <w:snapToGrid w:val="0"/>
          <w:lang w:eastAsia="en-US"/>
        </w:rPr>
        <w:t xml:space="preserve">noted the pre-PBAC response from the sponsor and </w:t>
      </w:r>
      <w:r w:rsidR="00B07038">
        <w:rPr>
          <w:rFonts w:asciiTheme="minorHAnsi" w:hAnsiTheme="minorHAnsi" w:cs="Arial"/>
          <w:bCs/>
          <w:snapToGrid w:val="0"/>
          <w:lang w:eastAsia="en-US"/>
        </w:rPr>
        <w:t xml:space="preserve">decided to defer their decision </w:t>
      </w:r>
      <w:r w:rsidR="00B07038" w:rsidRPr="00A173E4">
        <w:rPr>
          <w:rFonts w:asciiTheme="minorHAnsi" w:hAnsiTheme="minorHAnsi" w:cs="Arial"/>
          <w:bCs/>
          <w:snapToGrid w:val="0"/>
          <w:lang w:eastAsia="en-US"/>
        </w:rPr>
        <w:t>on PKU Synergy® to allow for consideration of the pre-PBAC response by the NPWP.</w:t>
      </w:r>
    </w:p>
    <w:p w:rsidR="00467EAD" w:rsidRPr="00255952" w:rsidRDefault="00467EAD" w:rsidP="00255952">
      <w:pPr>
        <w:pStyle w:val="Heading1"/>
        <w:numPr>
          <w:ilvl w:val="0"/>
          <w:numId w:val="2"/>
        </w:numPr>
        <w:rPr>
          <w:rFonts w:asciiTheme="minorHAnsi" w:eastAsiaTheme="minorHAnsi" w:hAnsiTheme="minorHAnsi" w:cstheme="minorBidi"/>
          <w:sz w:val="32"/>
          <w:szCs w:val="32"/>
          <w:lang w:eastAsia="en-US"/>
        </w:rPr>
      </w:pPr>
      <w:r w:rsidRPr="00255952">
        <w:rPr>
          <w:rFonts w:asciiTheme="minorHAnsi" w:eastAsiaTheme="minorHAnsi" w:hAnsiTheme="minorHAnsi" w:cstheme="minorBidi"/>
          <w:sz w:val="32"/>
          <w:szCs w:val="32"/>
          <w:lang w:eastAsia="en-US"/>
        </w:rPr>
        <w:t>Consideration of the evidence</w:t>
      </w:r>
    </w:p>
    <w:p w:rsidR="00467EAD" w:rsidRPr="00A173E4" w:rsidRDefault="00467EAD" w:rsidP="00190678">
      <w:pPr>
        <w:pStyle w:val="ListParagraph"/>
        <w:numPr>
          <w:ilvl w:val="1"/>
          <w:numId w:val="2"/>
        </w:numPr>
        <w:spacing w:before="120" w:after="120"/>
        <w:contextualSpacing w:val="0"/>
        <w:rPr>
          <w:rFonts w:asciiTheme="minorHAnsi" w:hAnsiTheme="minorHAnsi" w:cs="Arial"/>
        </w:rPr>
      </w:pPr>
      <w:r w:rsidRPr="00A173E4">
        <w:rPr>
          <w:rFonts w:asciiTheme="minorHAnsi" w:hAnsiTheme="minorHAnsi" w:cs="Arial"/>
          <w:bCs/>
          <w:snapToGrid w:val="0"/>
          <w:lang w:eastAsia="en-US"/>
        </w:rPr>
        <w:t xml:space="preserve">In consideration of the </w:t>
      </w:r>
      <w:r>
        <w:rPr>
          <w:rFonts w:asciiTheme="minorHAnsi" w:hAnsiTheme="minorHAnsi" w:cs="Arial"/>
          <w:bCs/>
          <w:snapToGrid w:val="0"/>
          <w:lang w:eastAsia="en-US"/>
        </w:rPr>
        <w:t>July 2017 pre-PBAC response</w:t>
      </w:r>
      <w:r w:rsidRPr="00A173E4">
        <w:rPr>
          <w:rFonts w:asciiTheme="minorHAnsi" w:hAnsiTheme="minorHAnsi" w:cs="Arial"/>
          <w:bCs/>
          <w:snapToGrid w:val="0"/>
          <w:lang w:eastAsia="en-US"/>
        </w:rPr>
        <w:t>,</w:t>
      </w:r>
      <w:r w:rsidRPr="00A173E4">
        <w:rPr>
          <w:rFonts w:asciiTheme="minorHAnsi" w:hAnsiTheme="minorHAnsi" w:cs="Arial"/>
        </w:rPr>
        <w:t>:</w:t>
      </w:r>
    </w:p>
    <w:p w:rsidR="00467EAD" w:rsidRPr="00467EAD" w:rsidRDefault="00467EAD" w:rsidP="006F1132">
      <w:pPr>
        <w:pStyle w:val="ListParagraph"/>
        <w:numPr>
          <w:ilvl w:val="0"/>
          <w:numId w:val="33"/>
        </w:numPr>
        <w:spacing w:after="120"/>
        <w:contextualSpacing w:val="0"/>
        <w:jc w:val="both"/>
        <w:rPr>
          <w:rFonts w:ascii="Calibri" w:hAnsi="Calibri" w:cs="Calibri"/>
        </w:rPr>
      </w:pPr>
      <w:r w:rsidRPr="00467EAD">
        <w:rPr>
          <w:rFonts w:ascii="Calibri" w:hAnsi="Calibri" w:cs="Calibri"/>
        </w:rPr>
        <w:t>The NPWP noted that the sponsor claimed that the intended population for PKU Synergy® is adolescent and adult PKU patients with relatively ‘relaxed diets’ with higher phenylalanine tolerance, and an increase in protein intake, which negated the need for copper and phosphorus in PKU Synergy®. The sponsor also stated that the one dose per day was appropriate for the intended patient population based on its use under medical supervision.</w:t>
      </w:r>
    </w:p>
    <w:p w:rsidR="005E0026" w:rsidRDefault="00467EAD" w:rsidP="006F1132">
      <w:pPr>
        <w:pStyle w:val="ListParagraph"/>
        <w:numPr>
          <w:ilvl w:val="0"/>
          <w:numId w:val="33"/>
        </w:numPr>
        <w:spacing w:after="120"/>
        <w:contextualSpacing w:val="0"/>
        <w:jc w:val="both"/>
        <w:rPr>
          <w:rFonts w:ascii="Calibri" w:hAnsi="Calibri" w:cs="Calibri"/>
        </w:rPr>
      </w:pPr>
      <w:r w:rsidRPr="00467EAD">
        <w:rPr>
          <w:rFonts w:ascii="Calibri" w:hAnsi="Calibri" w:cs="Calibri"/>
        </w:rPr>
        <w:t xml:space="preserve">The NPWP noted that the pre-PBAC response did not provide any new clinical evidence to support the claim. The NPWP remained unconvinced that use of the product would provide enough copper and phosphorus for patients on a relaxed diet and considered that if the diets were sufficiently relaxed to meet requirements for these nutrients, that there was no need for this product. </w:t>
      </w:r>
    </w:p>
    <w:p w:rsidR="00467EAD" w:rsidRPr="00467EAD" w:rsidRDefault="00467EAD" w:rsidP="006F1132">
      <w:pPr>
        <w:pStyle w:val="ListParagraph"/>
        <w:numPr>
          <w:ilvl w:val="0"/>
          <w:numId w:val="33"/>
        </w:numPr>
        <w:spacing w:after="120"/>
        <w:contextualSpacing w:val="0"/>
        <w:jc w:val="both"/>
        <w:rPr>
          <w:rFonts w:ascii="Calibri" w:hAnsi="Calibri" w:cs="Calibri"/>
        </w:rPr>
      </w:pPr>
      <w:r w:rsidRPr="00467EAD">
        <w:rPr>
          <w:rFonts w:ascii="Calibri" w:hAnsi="Calibri" w:cs="Calibri"/>
        </w:rPr>
        <w:lastRenderedPageBreak/>
        <w:t>The NPWP remained concerned with the proposed dosing regimen of one sachet per day and reiterated that this dosing regimen would be confusing and possibly detrimental to patients with PKU. The NPWP considered that there were other products with better nutritional profiles for this patient population and that there was no clinical need for the listing of PKU Synergy®.</w:t>
      </w:r>
    </w:p>
    <w:p w:rsidR="00467EAD" w:rsidRPr="007306C7" w:rsidRDefault="00467EAD" w:rsidP="006F1132">
      <w:pPr>
        <w:pStyle w:val="ListParagraph"/>
        <w:numPr>
          <w:ilvl w:val="0"/>
          <w:numId w:val="33"/>
        </w:numPr>
        <w:spacing w:after="120"/>
        <w:contextualSpacing w:val="0"/>
        <w:jc w:val="both"/>
        <w:rPr>
          <w:rFonts w:ascii="Calibri" w:hAnsi="Calibri" w:cs="Calibri"/>
        </w:rPr>
      </w:pPr>
      <w:r w:rsidRPr="00467EAD">
        <w:rPr>
          <w:rFonts w:ascii="Calibri" w:hAnsi="Calibri" w:cs="Calibri"/>
        </w:rPr>
        <w:t xml:space="preserve">The NPWP rejected the referred submission on the basis of the remaining significant concerns in regards to the nutritional profile in PKU Synergy®, which could be potentially harmful to patients with PKU. </w:t>
      </w:r>
    </w:p>
    <w:p w:rsidR="00467EAD" w:rsidRPr="00A173E4" w:rsidRDefault="00467EAD"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A173E4">
        <w:rPr>
          <w:rFonts w:asciiTheme="minorHAnsi" w:hAnsiTheme="minorHAnsi" w:cs="Arial"/>
          <w:bCs/>
          <w:snapToGrid w:val="0"/>
          <w:lang w:eastAsia="en-US"/>
        </w:rPr>
        <w:t xml:space="preserve">The PBAC </w:t>
      </w:r>
      <w:r w:rsidR="00225CEB">
        <w:rPr>
          <w:rFonts w:asciiTheme="minorHAnsi" w:hAnsiTheme="minorHAnsi" w:cs="Arial"/>
          <w:bCs/>
          <w:snapToGrid w:val="0"/>
          <w:lang w:eastAsia="en-US"/>
        </w:rPr>
        <w:t xml:space="preserve">noted </w:t>
      </w:r>
      <w:r w:rsidRPr="00A173E4">
        <w:rPr>
          <w:rFonts w:asciiTheme="minorHAnsi" w:hAnsiTheme="minorHAnsi" w:cs="Arial"/>
          <w:bCs/>
          <w:snapToGrid w:val="0"/>
          <w:lang w:eastAsia="en-US"/>
        </w:rPr>
        <w:t xml:space="preserve">that the NPWP did not support the request to list PKU Synergy® for the dietary management of PKU. </w:t>
      </w:r>
    </w:p>
    <w:p w:rsidR="00467EAD" w:rsidRDefault="00467EAD" w:rsidP="00915951">
      <w:pPr>
        <w:rPr>
          <w:rFonts w:ascii="Calibri" w:hAnsi="Calibri" w:cs="Calibri"/>
        </w:rPr>
      </w:pPr>
    </w:p>
    <w:p w:rsidR="00F42A0B" w:rsidRPr="00CA6009" w:rsidRDefault="00F42A0B" w:rsidP="00190678">
      <w:pPr>
        <w:pStyle w:val="Heading1"/>
        <w:numPr>
          <w:ilvl w:val="0"/>
          <w:numId w:val="2"/>
        </w:numPr>
        <w:rPr>
          <w:rFonts w:asciiTheme="minorHAnsi" w:hAnsiTheme="minorHAnsi" w:cs="Arial"/>
          <w:sz w:val="32"/>
          <w:szCs w:val="32"/>
        </w:rPr>
      </w:pPr>
      <w:r>
        <w:rPr>
          <w:rFonts w:asciiTheme="minorHAnsi" w:hAnsiTheme="minorHAnsi" w:cs="Arial"/>
          <w:sz w:val="32"/>
          <w:szCs w:val="32"/>
        </w:rPr>
        <w:t>PBAC Outcome</w:t>
      </w:r>
    </w:p>
    <w:p w:rsidR="00343B24" w:rsidRDefault="00343B24" w:rsidP="00915951">
      <w:pPr>
        <w:rPr>
          <w:rFonts w:ascii="Calibri" w:hAnsi="Calibri" w:cs="Calibri"/>
        </w:rPr>
      </w:pPr>
    </w:p>
    <w:p w:rsidR="00F42A0B" w:rsidRPr="00A173E4" w:rsidRDefault="00F42A0B"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A173E4">
        <w:rPr>
          <w:rFonts w:asciiTheme="minorHAnsi" w:hAnsiTheme="minorHAnsi" w:cs="Arial"/>
          <w:bCs/>
          <w:snapToGrid w:val="0"/>
          <w:lang w:eastAsia="en-US"/>
        </w:rPr>
        <w:t xml:space="preserve">The PBAC did not recommend the listing of PKU Synergy® for the dietary management of </w:t>
      </w:r>
      <w:r w:rsidR="005E0026">
        <w:rPr>
          <w:rFonts w:asciiTheme="minorHAnsi" w:hAnsiTheme="minorHAnsi" w:cs="Arial"/>
          <w:bCs/>
          <w:snapToGrid w:val="0"/>
          <w:lang w:eastAsia="en-US"/>
        </w:rPr>
        <w:t>p</w:t>
      </w:r>
      <w:r w:rsidRPr="00A173E4">
        <w:rPr>
          <w:rFonts w:asciiTheme="minorHAnsi" w:hAnsiTheme="minorHAnsi" w:cs="Arial"/>
          <w:bCs/>
          <w:snapToGrid w:val="0"/>
          <w:lang w:eastAsia="en-US"/>
        </w:rPr>
        <w:t>henylketonuria (PKU) or hyperphenylalanaemia in children from 10 years of age</w:t>
      </w:r>
      <w:r w:rsidR="00755D76">
        <w:rPr>
          <w:rFonts w:asciiTheme="minorHAnsi" w:hAnsiTheme="minorHAnsi" w:cs="Arial"/>
          <w:bCs/>
          <w:snapToGrid w:val="0"/>
          <w:lang w:eastAsia="en-US"/>
        </w:rPr>
        <w:t xml:space="preserve"> on the basis that t</w:t>
      </w:r>
      <w:r w:rsidR="00120973" w:rsidRPr="00A173E4">
        <w:rPr>
          <w:rFonts w:asciiTheme="minorHAnsi" w:hAnsiTheme="minorHAnsi" w:cs="Arial"/>
          <w:bCs/>
          <w:snapToGrid w:val="0"/>
          <w:lang w:eastAsia="en-US"/>
        </w:rPr>
        <w:t>he PBAC</w:t>
      </w:r>
      <w:r w:rsidR="005E0026">
        <w:rPr>
          <w:rFonts w:asciiTheme="minorHAnsi" w:hAnsiTheme="minorHAnsi" w:cs="Arial"/>
          <w:bCs/>
          <w:snapToGrid w:val="0"/>
          <w:lang w:eastAsia="en-US"/>
        </w:rPr>
        <w:t xml:space="preserve"> considered that </w:t>
      </w:r>
      <w:r w:rsidR="005E0026" w:rsidRPr="00467EAD">
        <w:rPr>
          <w:rFonts w:ascii="Calibri" w:hAnsi="Calibri" w:cs="Calibri"/>
        </w:rPr>
        <w:t>there were other products with better nutritional profiles for this patient population</w:t>
      </w:r>
      <w:r w:rsidR="00120973" w:rsidRPr="00A173E4">
        <w:rPr>
          <w:rFonts w:asciiTheme="minorHAnsi" w:hAnsiTheme="minorHAnsi" w:cs="Arial"/>
          <w:bCs/>
          <w:snapToGrid w:val="0"/>
          <w:lang w:eastAsia="en-US"/>
        </w:rPr>
        <w:t>. T</w:t>
      </w:r>
      <w:r w:rsidR="00755D76">
        <w:rPr>
          <w:rFonts w:asciiTheme="minorHAnsi" w:hAnsiTheme="minorHAnsi" w:cs="Arial"/>
          <w:bCs/>
          <w:snapToGrid w:val="0"/>
          <w:lang w:eastAsia="en-US"/>
        </w:rPr>
        <w:t xml:space="preserve">he PBAC advised that </w:t>
      </w:r>
      <w:r w:rsidR="00120973" w:rsidRPr="00A173E4">
        <w:rPr>
          <w:rFonts w:asciiTheme="minorHAnsi" w:hAnsiTheme="minorHAnsi" w:cs="Arial"/>
          <w:bCs/>
          <w:snapToGrid w:val="0"/>
          <w:lang w:eastAsia="en-US"/>
        </w:rPr>
        <w:t xml:space="preserve">there </w:t>
      </w:r>
      <w:r w:rsidR="00755D76">
        <w:rPr>
          <w:rFonts w:asciiTheme="minorHAnsi" w:hAnsiTheme="minorHAnsi" w:cs="Arial"/>
          <w:bCs/>
          <w:snapToGrid w:val="0"/>
          <w:lang w:eastAsia="en-US"/>
        </w:rPr>
        <w:t>was</w:t>
      </w:r>
      <w:r w:rsidR="00120973" w:rsidRPr="00A173E4">
        <w:rPr>
          <w:rFonts w:asciiTheme="minorHAnsi" w:hAnsiTheme="minorHAnsi" w:cs="Arial"/>
          <w:bCs/>
          <w:snapToGrid w:val="0"/>
          <w:lang w:eastAsia="en-US"/>
        </w:rPr>
        <w:t xml:space="preserve"> no clinical need for </w:t>
      </w:r>
      <w:r w:rsidR="00755D76">
        <w:rPr>
          <w:rFonts w:asciiTheme="minorHAnsi" w:hAnsiTheme="minorHAnsi" w:cs="Arial"/>
          <w:bCs/>
          <w:snapToGrid w:val="0"/>
          <w:lang w:eastAsia="en-US"/>
        </w:rPr>
        <w:t xml:space="preserve">listing </w:t>
      </w:r>
      <w:r w:rsidR="00120973" w:rsidRPr="00A173E4">
        <w:rPr>
          <w:rFonts w:asciiTheme="minorHAnsi" w:hAnsiTheme="minorHAnsi" w:cs="Arial"/>
          <w:bCs/>
          <w:snapToGrid w:val="0"/>
          <w:lang w:eastAsia="en-US"/>
        </w:rPr>
        <w:t>this product</w:t>
      </w:r>
      <w:r w:rsidRPr="00A173E4">
        <w:rPr>
          <w:rFonts w:asciiTheme="minorHAnsi" w:hAnsiTheme="minorHAnsi" w:cs="Arial"/>
          <w:bCs/>
          <w:snapToGrid w:val="0"/>
          <w:lang w:eastAsia="en-US"/>
        </w:rPr>
        <w:t xml:space="preserve">. </w:t>
      </w:r>
    </w:p>
    <w:p w:rsidR="00120973" w:rsidRPr="00A173E4" w:rsidRDefault="00755D76" w:rsidP="006F1132">
      <w:pPr>
        <w:pStyle w:val="ListParagraph"/>
        <w:numPr>
          <w:ilvl w:val="1"/>
          <w:numId w:val="2"/>
        </w:numPr>
        <w:spacing w:before="120" w:after="120"/>
        <w:contextualSpacing w:val="0"/>
        <w:jc w:val="both"/>
        <w:rPr>
          <w:rFonts w:asciiTheme="minorHAnsi" w:hAnsiTheme="minorHAnsi" w:cs="Arial"/>
          <w:bCs/>
          <w:snapToGrid w:val="0"/>
          <w:lang w:eastAsia="en-US"/>
        </w:rPr>
      </w:pPr>
      <w:r>
        <w:rPr>
          <w:rFonts w:asciiTheme="minorHAnsi" w:hAnsiTheme="minorHAnsi" w:cs="Arial"/>
          <w:bCs/>
          <w:snapToGrid w:val="0"/>
          <w:lang w:eastAsia="en-US"/>
        </w:rPr>
        <w:t>T</w:t>
      </w:r>
      <w:r w:rsidR="00D96268" w:rsidRPr="00A173E4">
        <w:rPr>
          <w:rFonts w:asciiTheme="minorHAnsi" w:hAnsiTheme="minorHAnsi" w:cs="Arial"/>
          <w:bCs/>
          <w:snapToGrid w:val="0"/>
          <w:lang w:eastAsia="en-US"/>
        </w:rPr>
        <w:t xml:space="preserve">he PBAC noted that </w:t>
      </w:r>
      <w:r w:rsidR="00E81605" w:rsidRPr="00A173E4">
        <w:rPr>
          <w:rFonts w:asciiTheme="minorHAnsi" w:hAnsiTheme="minorHAnsi" w:cs="Arial"/>
          <w:bCs/>
          <w:snapToGrid w:val="0"/>
          <w:lang w:eastAsia="en-US"/>
        </w:rPr>
        <w:t>the pre-PBAC response</w:t>
      </w:r>
      <w:r w:rsidR="003E6C68">
        <w:rPr>
          <w:rFonts w:asciiTheme="minorHAnsi" w:hAnsiTheme="minorHAnsi" w:cs="Arial"/>
          <w:bCs/>
          <w:snapToGrid w:val="0"/>
          <w:lang w:eastAsia="en-US"/>
        </w:rPr>
        <w:t xml:space="preserve"> for the November meeting has provided a</w:t>
      </w:r>
      <w:r w:rsidR="0044595D">
        <w:rPr>
          <w:rFonts w:asciiTheme="minorHAnsi" w:hAnsiTheme="minorHAnsi" w:cs="Arial"/>
          <w:bCs/>
          <w:snapToGrid w:val="0"/>
          <w:lang w:eastAsia="en-US"/>
        </w:rPr>
        <w:t xml:space="preserve">dditional </w:t>
      </w:r>
      <w:r w:rsidR="003E6C68">
        <w:rPr>
          <w:rFonts w:asciiTheme="minorHAnsi" w:hAnsiTheme="minorHAnsi" w:cs="Arial"/>
          <w:bCs/>
          <w:snapToGrid w:val="0"/>
          <w:lang w:eastAsia="en-US"/>
        </w:rPr>
        <w:t xml:space="preserve">information </w:t>
      </w:r>
      <w:r w:rsidR="0092376C">
        <w:rPr>
          <w:rFonts w:asciiTheme="minorHAnsi" w:hAnsiTheme="minorHAnsi" w:cs="Arial"/>
          <w:bCs/>
          <w:snapToGrid w:val="0"/>
          <w:lang w:eastAsia="en-US"/>
        </w:rPr>
        <w:t xml:space="preserve">to </w:t>
      </w:r>
      <w:r w:rsidR="0044595D">
        <w:rPr>
          <w:rFonts w:asciiTheme="minorHAnsi" w:hAnsiTheme="minorHAnsi" w:cs="Arial"/>
          <w:bCs/>
          <w:snapToGrid w:val="0"/>
          <w:lang w:eastAsia="en-US"/>
        </w:rPr>
        <w:t>justify</w:t>
      </w:r>
      <w:r w:rsidR="0092376C">
        <w:rPr>
          <w:rFonts w:asciiTheme="minorHAnsi" w:hAnsiTheme="minorHAnsi" w:cs="Arial"/>
          <w:bCs/>
          <w:snapToGrid w:val="0"/>
          <w:lang w:eastAsia="en-US"/>
        </w:rPr>
        <w:t xml:space="preserve"> </w:t>
      </w:r>
      <w:r w:rsidR="003E6C68">
        <w:rPr>
          <w:rFonts w:asciiTheme="minorHAnsi" w:hAnsiTheme="minorHAnsi" w:cs="Arial"/>
          <w:bCs/>
          <w:snapToGrid w:val="0"/>
          <w:lang w:eastAsia="en-US"/>
        </w:rPr>
        <w:t xml:space="preserve">the rationale behind the </w:t>
      </w:r>
      <w:r w:rsidR="0044595D">
        <w:rPr>
          <w:rFonts w:asciiTheme="minorHAnsi" w:hAnsiTheme="minorHAnsi" w:cs="Arial"/>
          <w:bCs/>
          <w:snapToGrid w:val="0"/>
          <w:lang w:eastAsia="en-US"/>
        </w:rPr>
        <w:t>requested</w:t>
      </w:r>
      <w:r w:rsidR="003E6C68">
        <w:rPr>
          <w:rFonts w:asciiTheme="minorHAnsi" w:hAnsiTheme="minorHAnsi" w:cs="Arial"/>
          <w:bCs/>
          <w:snapToGrid w:val="0"/>
          <w:lang w:eastAsia="en-US"/>
        </w:rPr>
        <w:t xml:space="preserve"> listing</w:t>
      </w:r>
      <w:r w:rsidR="0044595D">
        <w:rPr>
          <w:rFonts w:asciiTheme="minorHAnsi" w:hAnsiTheme="minorHAnsi" w:cs="Arial"/>
          <w:bCs/>
          <w:snapToGrid w:val="0"/>
          <w:lang w:eastAsia="en-US"/>
        </w:rPr>
        <w:t>. This information included</w:t>
      </w:r>
      <w:r w:rsidR="003E6C68">
        <w:rPr>
          <w:rFonts w:asciiTheme="minorHAnsi" w:hAnsiTheme="minorHAnsi" w:cs="Arial"/>
          <w:bCs/>
          <w:snapToGrid w:val="0"/>
          <w:lang w:eastAsia="en-US"/>
        </w:rPr>
        <w:t xml:space="preserve"> </w:t>
      </w:r>
      <w:r w:rsidR="0044595D">
        <w:rPr>
          <w:rFonts w:asciiTheme="minorHAnsi" w:hAnsiTheme="minorHAnsi" w:cs="Arial"/>
          <w:bCs/>
          <w:snapToGrid w:val="0"/>
          <w:lang w:eastAsia="en-US"/>
        </w:rPr>
        <w:t>anecdotal support from the sponsor’s</w:t>
      </w:r>
      <w:r w:rsidR="003E6C68">
        <w:rPr>
          <w:rFonts w:asciiTheme="minorHAnsi" w:hAnsiTheme="minorHAnsi" w:cs="Arial"/>
          <w:bCs/>
          <w:snapToGrid w:val="0"/>
          <w:lang w:eastAsia="en-US"/>
        </w:rPr>
        <w:t xml:space="preserve"> advisory board</w:t>
      </w:r>
      <w:r w:rsidR="0044595D">
        <w:rPr>
          <w:rFonts w:asciiTheme="minorHAnsi" w:hAnsiTheme="minorHAnsi" w:cs="Arial"/>
          <w:bCs/>
          <w:snapToGrid w:val="0"/>
          <w:lang w:eastAsia="en-US"/>
        </w:rPr>
        <w:t xml:space="preserve"> (which</w:t>
      </w:r>
      <w:r w:rsidR="003E6C68">
        <w:rPr>
          <w:rFonts w:asciiTheme="minorHAnsi" w:hAnsiTheme="minorHAnsi" w:cs="Arial"/>
          <w:bCs/>
          <w:snapToGrid w:val="0"/>
          <w:lang w:eastAsia="en-US"/>
        </w:rPr>
        <w:t xml:space="preserve"> </w:t>
      </w:r>
      <w:r w:rsidR="0044595D">
        <w:rPr>
          <w:rFonts w:asciiTheme="minorHAnsi" w:hAnsiTheme="minorHAnsi" w:cs="Arial"/>
          <w:bCs/>
          <w:snapToGrid w:val="0"/>
          <w:lang w:eastAsia="en-US"/>
        </w:rPr>
        <w:t>consisted of</w:t>
      </w:r>
      <w:r w:rsidR="003E6C68">
        <w:rPr>
          <w:rFonts w:asciiTheme="minorHAnsi" w:hAnsiTheme="minorHAnsi" w:cs="Arial"/>
          <w:bCs/>
          <w:snapToGrid w:val="0"/>
          <w:lang w:eastAsia="en-US"/>
        </w:rPr>
        <w:t xml:space="preserve"> six metabolic dietitians</w:t>
      </w:r>
      <w:r w:rsidR="005718AC">
        <w:rPr>
          <w:rFonts w:asciiTheme="minorHAnsi" w:hAnsiTheme="minorHAnsi" w:cs="Arial"/>
          <w:bCs/>
          <w:snapToGrid w:val="0"/>
          <w:lang w:eastAsia="en-US"/>
        </w:rPr>
        <w:t xml:space="preserve"> from Australia</w:t>
      </w:r>
      <w:r w:rsidR="0083186D">
        <w:rPr>
          <w:rFonts w:asciiTheme="minorHAnsi" w:hAnsiTheme="minorHAnsi" w:cs="Arial"/>
          <w:bCs/>
          <w:snapToGrid w:val="0"/>
          <w:lang w:eastAsia="en-US"/>
        </w:rPr>
        <w:t xml:space="preserve"> and New Zealand</w:t>
      </w:r>
      <w:r w:rsidR="0044595D">
        <w:rPr>
          <w:rFonts w:asciiTheme="minorHAnsi" w:hAnsiTheme="minorHAnsi" w:cs="Arial"/>
          <w:bCs/>
          <w:snapToGrid w:val="0"/>
          <w:lang w:eastAsia="en-US"/>
        </w:rPr>
        <w:t>)</w:t>
      </w:r>
      <w:r w:rsidR="005718AC">
        <w:rPr>
          <w:rFonts w:asciiTheme="minorHAnsi" w:hAnsiTheme="minorHAnsi" w:cs="Arial"/>
          <w:bCs/>
          <w:snapToGrid w:val="0"/>
          <w:lang w:eastAsia="en-US"/>
        </w:rPr>
        <w:t xml:space="preserve">. </w:t>
      </w:r>
      <w:r w:rsidR="003E6C68">
        <w:rPr>
          <w:rFonts w:asciiTheme="minorHAnsi" w:hAnsiTheme="minorHAnsi" w:cs="Arial"/>
          <w:bCs/>
          <w:snapToGrid w:val="0"/>
          <w:lang w:eastAsia="en-US"/>
        </w:rPr>
        <w:t>However, the sponsor</w:t>
      </w:r>
      <w:r w:rsidR="00E81605" w:rsidRPr="00A173E4">
        <w:rPr>
          <w:rFonts w:asciiTheme="minorHAnsi" w:hAnsiTheme="minorHAnsi" w:cs="Arial"/>
          <w:bCs/>
          <w:snapToGrid w:val="0"/>
          <w:lang w:eastAsia="en-US"/>
        </w:rPr>
        <w:t xml:space="preserve"> did not provide any new clinical evidence to support</w:t>
      </w:r>
      <w:r w:rsidR="006555BA" w:rsidRPr="00A173E4">
        <w:rPr>
          <w:rFonts w:asciiTheme="minorHAnsi" w:hAnsiTheme="minorHAnsi" w:cs="Arial"/>
          <w:bCs/>
          <w:snapToGrid w:val="0"/>
          <w:lang w:eastAsia="en-US"/>
        </w:rPr>
        <w:t xml:space="preserve"> its</w:t>
      </w:r>
      <w:r w:rsidR="00E81605" w:rsidRPr="00A173E4">
        <w:rPr>
          <w:rFonts w:asciiTheme="minorHAnsi" w:hAnsiTheme="minorHAnsi" w:cs="Arial"/>
          <w:bCs/>
          <w:snapToGrid w:val="0"/>
          <w:lang w:eastAsia="en-US"/>
        </w:rPr>
        <w:t xml:space="preserve"> </w:t>
      </w:r>
      <w:r>
        <w:rPr>
          <w:rFonts w:asciiTheme="minorHAnsi" w:hAnsiTheme="minorHAnsi" w:cs="Arial"/>
          <w:bCs/>
          <w:snapToGrid w:val="0"/>
          <w:lang w:eastAsia="en-US"/>
        </w:rPr>
        <w:t>requested listing</w:t>
      </w:r>
      <w:r w:rsidR="00D96268" w:rsidRPr="00A173E4">
        <w:rPr>
          <w:rFonts w:asciiTheme="minorHAnsi" w:hAnsiTheme="minorHAnsi" w:cs="Arial"/>
          <w:bCs/>
          <w:snapToGrid w:val="0"/>
          <w:lang w:eastAsia="en-US"/>
        </w:rPr>
        <w:t xml:space="preserve">. </w:t>
      </w:r>
    </w:p>
    <w:p w:rsidR="00120973" w:rsidRPr="00A173E4" w:rsidRDefault="00120973"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120973">
        <w:rPr>
          <w:rFonts w:asciiTheme="minorHAnsi" w:hAnsiTheme="minorHAnsi" w:cs="Arial"/>
          <w:bCs/>
          <w:snapToGrid w:val="0"/>
          <w:lang w:eastAsia="en-US"/>
        </w:rPr>
        <w:t>The PBAC noted the advice of the Nutritional Products Working Party (NPWP) to not recommend listing the product on the PBS.</w:t>
      </w:r>
    </w:p>
    <w:p w:rsidR="002061BD" w:rsidRPr="00A173E4" w:rsidRDefault="002061BD"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A173E4">
        <w:rPr>
          <w:rFonts w:asciiTheme="minorHAnsi" w:hAnsiTheme="minorHAnsi" w:cs="Arial"/>
          <w:bCs/>
          <w:snapToGrid w:val="0"/>
          <w:lang w:eastAsia="en-US"/>
        </w:rPr>
        <w:t>The PBAC</w:t>
      </w:r>
      <w:r w:rsidR="00755D76">
        <w:rPr>
          <w:rFonts w:asciiTheme="minorHAnsi" w:hAnsiTheme="minorHAnsi" w:cs="Arial"/>
          <w:bCs/>
          <w:snapToGrid w:val="0"/>
          <w:lang w:eastAsia="en-US"/>
        </w:rPr>
        <w:t xml:space="preserve"> also</w:t>
      </w:r>
      <w:r w:rsidRPr="00A173E4">
        <w:rPr>
          <w:rFonts w:asciiTheme="minorHAnsi" w:hAnsiTheme="minorHAnsi" w:cs="Arial"/>
          <w:bCs/>
          <w:snapToGrid w:val="0"/>
          <w:lang w:eastAsia="en-US"/>
        </w:rPr>
        <w:t xml:space="preserve"> noted the </w:t>
      </w:r>
      <w:r w:rsidR="00D96268" w:rsidRPr="00A173E4">
        <w:rPr>
          <w:rFonts w:asciiTheme="minorHAnsi" w:hAnsiTheme="minorHAnsi" w:cs="Arial"/>
          <w:bCs/>
          <w:snapToGrid w:val="0"/>
          <w:lang w:eastAsia="en-US"/>
        </w:rPr>
        <w:t>NPWP</w:t>
      </w:r>
      <w:r w:rsidRPr="00A173E4">
        <w:rPr>
          <w:rFonts w:asciiTheme="minorHAnsi" w:hAnsiTheme="minorHAnsi" w:cs="Arial"/>
          <w:bCs/>
          <w:snapToGrid w:val="0"/>
          <w:lang w:eastAsia="en-US"/>
        </w:rPr>
        <w:t>’s advice that it</w:t>
      </w:r>
      <w:r w:rsidR="00D96268" w:rsidRPr="00A173E4">
        <w:rPr>
          <w:rFonts w:asciiTheme="minorHAnsi" w:hAnsiTheme="minorHAnsi" w:cs="Arial"/>
          <w:bCs/>
          <w:snapToGrid w:val="0"/>
          <w:lang w:eastAsia="en-US"/>
        </w:rPr>
        <w:t xml:space="preserve"> remained unconvinced that use of the product would provide enough copper and phosphorus for patients on a relaxed diet and considered that if the diets were sufficiently relaxed to meet requirements for these nutrients, that there was no </w:t>
      </w:r>
      <w:r w:rsidR="00755D76">
        <w:rPr>
          <w:rFonts w:asciiTheme="minorHAnsi" w:hAnsiTheme="minorHAnsi" w:cs="Arial"/>
          <w:bCs/>
          <w:snapToGrid w:val="0"/>
          <w:lang w:eastAsia="en-US"/>
        </w:rPr>
        <w:t xml:space="preserve">clinical </w:t>
      </w:r>
      <w:r w:rsidR="00D96268" w:rsidRPr="00A173E4">
        <w:rPr>
          <w:rFonts w:asciiTheme="minorHAnsi" w:hAnsiTheme="minorHAnsi" w:cs="Arial"/>
          <w:bCs/>
          <w:snapToGrid w:val="0"/>
          <w:lang w:eastAsia="en-US"/>
        </w:rPr>
        <w:t>need for PKU Synergy®.</w:t>
      </w:r>
      <w:r w:rsidR="006555BA" w:rsidRPr="00A173E4">
        <w:rPr>
          <w:rFonts w:asciiTheme="minorHAnsi" w:hAnsiTheme="minorHAnsi" w:cs="Arial"/>
          <w:bCs/>
          <w:snapToGrid w:val="0"/>
          <w:lang w:eastAsia="en-US"/>
        </w:rPr>
        <w:t xml:space="preserve"> </w:t>
      </w:r>
    </w:p>
    <w:p w:rsidR="00D96268" w:rsidRPr="00A173E4" w:rsidRDefault="002061BD" w:rsidP="006F1132">
      <w:pPr>
        <w:pStyle w:val="ListParagraph"/>
        <w:numPr>
          <w:ilvl w:val="1"/>
          <w:numId w:val="2"/>
        </w:numPr>
        <w:spacing w:before="120" w:after="120"/>
        <w:contextualSpacing w:val="0"/>
        <w:jc w:val="both"/>
        <w:rPr>
          <w:rFonts w:asciiTheme="minorHAnsi" w:hAnsiTheme="minorHAnsi" w:cs="Arial"/>
          <w:bCs/>
          <w:snapToGrid w:val="0"/>
          <w:lang w:eastAsia="en-US"/>
        </w:rPr>
      </w:pPr>
      <w:r w:rsidRPr="00A173E4">
        <w:rPr>
          <w:rFonts w:asciiTheme="minorHAnsi" w:hAnsiTheme="minorHAnsi" w:cs="Arial"/>
          <w:bCs/>
          <w:snapToGrid w:val="0"/>
          <w:lang w:eastAsia="en-US"/>
        </w:rPr>
        <w:t>The PBAC noted that this submission is eligible for an Independent Review.</w:t>
      </w:r>
    </w:p>
    <w:p w:rsidR="00DC640F" w:rsidRDefault="00DC640F" w:rsidP="00915951">
      <w:pPr>
        <w:rPr>
          <w:rFonts w:ascii="Calibri" w:hAnsi="Calibri" w:cs="Calibri"/>
        </w:rPr>
      </w:pPr>
    </w:p>
    <w:p w:rsidR="00946442" w:rsidRPr="00A173E4" w:rsidRDefault="00946442" w:rsidP="00946442">
      <w:pPr>
        <w:spacing w:before="240"/>
        <w:jc w:val="both"/>
        <w:rPr>
          <w:rFonts w:asciiTheme="minorHAnsi" w:hAnsiTheme="minorHAnsi" w:cs="Arial"/>
          <w:b/>
          <w:bCs/>
          <w:snapToGrid w:val="0"/>
          <w:lang w:val="en-GB"/>
        </w:rPr>
      </w:pPr>
      <w:r w:rsidRPr="00A173E4">
        <w:rPr>
          <w:rFonts w:asciiTheme="minorHAnsi" w:hAnsiTheme="minorHAnsi" w:cs="Arial"/>
          <w:b/>
          <w:bCs/>
          <w:snapToGrid w:val="0"/>
          <w:lang w:val="en-GB"/>
        </w:rPr>
        <w:t>Outcome:</w:t>
      </w:r>
    </w:p>
    <w:p w:rsidR="00FC4955" w:rsidRPr="005A48A5" w:rsidRDefault="00946442" w:rsidP="00373A8D">
      <w:pPr>
        <w:jc w:val="both"/>
        <w:rPr>
          <w:rFonts w:asciiTheme="minorHAnsi" w:hAnsiTheme="minorHAnsi" w:cs="Arial"/>
          <w:b/>
          <w:bCs/>
          <w:snapToGrid w:val="0"/>
          <w:highlight w:val="yellow"/>
        </w:rPr>
      </w:pPr>
      <w:r w:rsidRPr="00A173E4">
        <w:rPr>
          <w:rFonts w:asciiTheme="minorHAnsi" w:hAnsiTheme="minorHAnsi" w:cs="Arial"/>
          <w:bCs/>
          <w:snapToGrid w:val="0"/>
          <w:lang w:val="en-GB"/>
        </w:rPr>
        <w:t xml:space="preserve">Rejected </w:t>
      </w:r>
    </w:p>
    <w:p w:rsidR="00FF09BB" w:rsidRDefault="00FF09BB" w:rsidP="00915951">
      <w:pPr>
        <w:rPr>
          <w:rFonts w:ascii="Calibri" w:hAnsi="Calibri" w:cs="Calibri"/>
        </w:rPr>
      </w:pPr>
    </w:p>
    <w:p w:rsidR="003F064C" w:rsidRPr="003F064C" w:rsidRDefault="003F064C" w:rsidP="00190678">
      <w:pPr>
        <w:pStyle w:val="Heading1"/>
        <w:numPr>
          <w:ilvl w:val="0"/>
          <w:numId w:val="2"/>
        </w:numPr>
        <w:rPr>
          <w:rFonts w:asciiTheme="minorHAnsi" w:hAnsiTheme="minorHAnsi" w:cs="Arial"/>
          <w:sz w:val="32"/>
          <w:szCs w:val="32"/>
        </w:rPr>
      </w:pPr>
      <w:r w:rsidRPr="003F064C">
        <w:rPr>
          <w:rFonts w:asciiTheme="minorHAnsi" w:hAnsiTheme="minorHAnsi" w:cs="Arial"/>
          <w:sz w:val="32"/>
          <w:szCs w:val="32"/>
        </w:rPr>
        <w:t>Context for Decision</w:t>
      </w:r>
    </w:p>
    <w:p w:rsidR="003F064C" w:rsidRPr="006F1132" w:rsidRDefault="003F064C" w:rsidP="006F1132">
      <w:pPr>
        <w:pStyle w:val="ListParagraph"/>
        <w:spacing w:before="120" w:after="120"/>
        <w:contextualSpacing w:val="0"/>
        <w:jc w:val="both"/>
        <w:rPr>
          <w:rFonts w:asciiTheme="minorHAnsi" w:hAnsiTheme="minorHAnsi" w:cs="Arial"/>
          <w:bCs/>
          <w:snapToGrid w:val="0"/>
          <w:lang w:eastAsia="en-US"/>
        </w:rPr>
      </w:pPr>
      <w:r w:rsidRPr="006F1132">
        <w:rPr>
          <w:rFonts w:asciiTheme="minorHAnsi" w:hAnsiTheme="minorHAnsi" w:cs="Arial"/>
          <w:bCs/>
          <w:snapToGrid w:val="0"/>
          <w:lang w:eastAsia="en-US"/>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6F1132">
        <w:rPr>
          <w:rFonts w:asciiTheme="minorHAnsi" w:hAnsiTheme="minorHAnsi" w:cs="Arial"/>
          <w:bCs/>
          <w:snapToGrid w:val="0"/>
          <w:lang w:eastAsia="en-US"/>
        </w:rPr>
        <w:lastRenderedPageBreak/>
        <w:t>PBAC view about the merits of the medicine. A company can resubmit to the PBAC or seek independent review of the PBAC decision.</w:t>
      </w:r>
    </w:p>
    <w:p w:rsidR="003F064C" w:rsidRPr="003F064C" w:rsidRDefault="003F064C" w:rsidP="00190678">
      <w:pPr>
        <w:pStyle w:val="Heading1"/>
        <w:numPr>
          <w:ilvl w:val="0"/>
          <w:numId w:val="2"/>
        </w:numPr>
        <w:rPr>
          <w:rFonts w:asciiTheme="minorHAnsi" w:hAnsiTheme="minorHAnsi" w:cs="Arial"/>
          <w:sz w:val="32"/>
          <w:szCs w:val="32"/>
        </w:rPr>
      </w:pPr>
      <w:r w:rsidRPr="003F064C">
        <w:rPr>
          <w:rFonts w:asciiTheme="minorHAnsi" w:hAnsiTheme="minorHAnsi" w:cs="Arial"/>
          <w:sz w:val="32"/>
          <w:szCs w:val="32"/>
        </w:rPr>
        <w:t>Sponsor’s Comment</w:t>
      </w:r>
    </w:p>
    <w:p w:rsidR="003F064C" w:rsidRPr="006F1132" w:rsidRDefault="00D51833" w:rsidP="006F1132">
      <w:pPr>
        <w:pStyle w:val="ListParagraph"/>
        <w:spacing w:before="120" w:after="120"/>
        <w:contextualSpacing w:val="0"/>
        <w:jc w:val="both"/>
        <w:rPr>
          <w:rFonts w:asciiTheme="minorHAnsi" w:hAnsiTheme="minorHAnsi" w:cs="Arial"/>
          <w:bCs/>
          <w:snapToGrid w:val="0"/>
          <w:lang w:eastAsia="en-US"/>
        </w:rPr>
      </w:pPr>
      <w:r w:rsidRPr="006F1132">
        <w:rPr>
          <w:rFonts w:asciiTheme="minorHAnsi" w:hAnsiTheme="minorHAnsi" w:cs="Arial"/>
          <w:bCs/>
          <w:snapToGrid w:val="0"/>
          <w:lang w:eastAsia="en-US"/>
        </w:rPr>
        <w:t>Whilst Nutricia is disappointed in the PBAC outcome, we will continue to work with the PBAC on demonstrating the value of PKU Synergy. Nutricia firmly believes that medical nutrition products are important in the nutritional management of patients with a disease, disorder or medical condition and will continue to seek subsidised access for patients.</w:t>
      </w:r>
    </w:p>
    <w:p w:rsidR="003F064C" w:rsidRDefault="003F064C" w:rsidP="00915951">
      <w:pPr>
        <w:rPr>
          <w:rFonts w:ascii="Calibri" w:hAnsi="Calibri" w:cs="Calibri"/>
        </w:rPr>
      </w:pPr>
    </w:p>
    <w:sectPr w:rsidR="003F064C" w:rsidSect="00C4393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2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9A" w:rsidRDefault="002E2F9A">
      <w:r>
        <w:separator/>
      </w:r>
    </w:p>
    <w:p w:rsidR="002E2F9A" w:rsidRDefault="002E2F9A"/>
    <w:p w:rsidR="002E2F9A" w:rsidRDefault="002E2F9A"/>
  </w:endnote>
  <w:endnote w:type="continuationSeparator" w:id="0">
    <w:p w:rsidR="002E2F9A" w:rsidRDefault="002E2F9A">
      <w:r>
        <w:continuationSeparator/>
      </w:r>
    </w:p>
    <w:p w:rsidR="002E2F9A" w:rsidRDefault="002E2F9A"/>
    <w:p w:rsidR="002E2F9A" w:rsidRDefault="002E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algun Gothic Semilight"/>
    <w:panose1 w:val="02020500000000000000"/>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83E" w:rsidRPr="00661FE4" w:rsidRDefault="00922396" w:rsidP="00922396">
    <w:pPr>
      <w:jc w:val="center"/>
      <w:rPr>
        <w:b/>
        <w:sz w:val="22"/>
        <w:szCs w:val="22"/>
      </w:rPr>
    </w:pPr>
    <w:r w:rsidRPr="00661FE4">
      <w:rPr>
        <w:rFonts w:asciiTheme="minorHAnsi" w:hAnsiTheme="minorHAnsi" w:cs="Arial"/>
        <w:b/>
        <w:sz w:val="22"/>
        <w:szCs w:val="22"/>
      </w:rPr>
      <w:fldChar w:fldCharType="begin"/>
    </w:r>
    <w:r w:rsidRPr="00661FE4">
      <w:rPr>
        <w:rFonts w:asciiTheme="minorHAnsi" w:hAnsiTheme="minorHAnsi" w:cs="Arial"/>
        <w:b/>
        <w:sz w:val="22"/>
        <w:szCs w:val="22"/>
      </w:rPr>
      <w:instrText xml:space="preserve"> PAGE   \* MERGEFORMAT </w:instrText>
    </w:r>
    <w:r w:rsidRPr="00661FE4">
      <w:rPr>
        <w:rFonts w:asciiTheme="minorHAnsi" w:hAnsiTheme="minorHAnsi" w:cs="Arial"/>
        <w:b/>
        <w:sz w:val="22"/>
        <w:szCs w:val="22"/>
      </w:rPr>
      <w:fldChar w:fldCharType="separate"/>
    </w:r>
    <w:r w:rsidR="00202E7E">
      <w:rPr>
        <w:rFonts w:asciiTheme="minorHAnsi" w:hAnsiTheme="minorHAnsi" w:cs="Arial"/>
        <w:b/>
        <w:noProof/>
        <w:sz w:val="22"/>
        <w:szCs w:val="22"/>
      </w:rPr>
      <w:t>1</w:t>
    </w:r>
    <w:r w:rsidRPr="00661FE4">
      <w:rPr>
        <w:rFonts w:asciiTheme="minorHAnsi" w:hAnsiTheme="minorHAnsi" w:cs="Arial"/>
        <w:b/>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9A" w:rsidRDefault="002E2F9A">
      <w:r>
        <w:separator/>
      </w:r>
    </w:p>
    <w:p w:rsidR="002E2F9A" w:rsidRDefault="002E2F9A"/>
    <w:p w:rsidR="002E2F9A" w:rsidRDefault="002E2F9A"/>
  </w:footnote>
  <w:footnote w:type="continuationSeparator" w:id="0">
    <w:p w:rsidR="002E2F9A" w:rsidRDefault="002E2F9A">
      <w:r>
        <w:continuationSeparator/>
      </w:r>
    </w:p>
    <w:p w:rsidR="002E2F9A" w:rsidRDefault="002E2F9A"/>
    <w:p w:rsidR="002E2F9A" w:rsidRDefault="002E2F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F2" w:rsidRPr="00661FE4" w:rsidRDefault="007344FD" w:rsidP="00661FE4">
    <w:pPr>
      <w:pStyle w:val="Header"/>
      <w:jc w:val="center"/>
      <w:rPr>
        <w:rFonts w:asciiTheme="minorHAnsi" w:hAnsiTheme="minorHAnsi" w:cs="Arial"/>
        <w:i/>
      </w:rPr>
    </w:pPr>
    <w:r>
      <w:rPr>
        <w:rFonts w:asciiTheme="minorHAnsi" w:hAnsiTheme="minorHAnsi" w:cs="Arial"/>
        <w:i/>
      </w:rPr>
      <w:t>Public Summary Document</w:t>
    </w:r>
    <w:r w:rsidR="00661FE4" w:rsidRPr="00661FE4">
      <w:rPr>
        <w:rFonts w:asciiTheme="minorHAnsi" w:hAnsiTheme="minorHAnsi" w:cs="Arial"/>
        <w:i/>
      </w:rPr>
      <w:t xml:space="preserve"> – </w:t>
    </w:r>
    <w:r w:rsidR="00F82985">
      <w:rPr>
        <w:rFonts w:asciiTheme="minorHAnsi" w:hAnsiTheme="minorHAnsi" w:cs="Arial"/>
        <w:i/>
      </w:rPr>
      <w:t>July 2017</w:t>
    </w:r>
    <w:r w:rsidR="00661FE4" w:rsidRPr="00661FE4">
      <w:rPr>
        <w:rFonts w:asciiTheme="minorHAnsi" w:hAnsiTheme="minorHAnsi" w:cs="Arial"/>
        <w:i/>
      </w:rPr>
      <w:t xml:space="preserve"> PBAC Meeting</w:t>
    </w:r>
  </w:p>
  <w:p w:rsidR="00446A0C" w:rsidRPr="00446A0C" w:rsidRDefault="00446A0C" w:rsidP="00446A0C">
    <w:pPr>
      <w:tabs>
        <w:tab w:val="center" w:pos="4153"/>
        <w:tab w:val="right" w:pos="8306"/>
      </w:tabs>
      <w:spacing w:after="120"/>
      <w:ind w:left="360"/>
      <w:jc w:val="center"/>
      <w:rPr>
        <w:rFonts w:asciiTheme="minorHAnsi" w:hAnsiTheme="minorHAnsi" w:cs="Arial"/>
        <w:i/>
        <w:color w:val="80808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9A" w:rsidRDefault="002E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CD0FC5"/>
    <w:multiLevelType w:val="hybridMultilevel"/>
    <w:tmpl w:val="3D7293D4"/>
    <w:lvl w:ilvl="0" w:tplc="94342B16">
      <w:start w:val="1"/>
      <w:numFmt w:val="decimal"/>
      <w:lvlText w:val="%1.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F9440E"/>
    <w:multiLevelType w:val="hybridMultilevel"/>
    <w:tmpl w:val="0E1CC05A"/>
    <w:lvl w:ilvl="0" w:tplc="272AF616">
      <w:start w:val="1"/>
      <w:numFmt w:val="decimal"/>
      <w:lvlText w:val="%1.1"/>
      <w:lvlJc w:val="left"/>
      <w:pPr>
        <w:ind w:left="1440" w:hanging="360"/>
      </w:pPr>
      <w:rPr>
        <w:rFonts w:ascii="Calibri" w:hAnsi="Calibri" w:hint="default"/>
        <w:color w:val="auto"/>
        <w:sz w:val="3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A1EA4"/>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1F06530"/>
    <w:multiLevelType w:val="multilevel"/>
    <w:tmpl w:val="542CB2BE"/>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A25262B"/>
    <w:multiLevelType w:val="hybridMultilevel"/>
    <w:tmpl w:val="E2160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838B7"/>
    <w:multiLevelType w:val="hybridMultilevel"/>
    <w:tmpl w:val="F19A42A2"/>
    <w:lvl w:ilvl="0" w:tplc="D6005034">
      <w:start w:val="1"/>
      <w:numFmt w:val="decimal"/>
      <w:lvlText w:val="%1"/>
      <w:lvlJc w:val="left"/>
      <w:pPr>
        <w:ind w:left="720" w:hanging="360"/>
      </w:pPr>
      <w:rPr>
        <w:rFonts w:ascii="Calibri" w:hAnsi="Calibri" w:hint="default"/>
        <w:b/>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6F64304B"/>
    <w:multiLevelType w:val="hybridMultilevel"/>
    <w:tmpl w:val="49E68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0"/>
  </w:num>
  <w:num w:numId="3">
    <w:abstractNumId w:val="3"/>
  </w:num>
  <w:num w:numId="4">
    <w:abstractNumId w:val="27"/>
  </w:num>
  <w:num w:numId="5">
    <w:abstractNumId w:val="5"/>
  </w:num>
  <w:num w:numId="6">
    <w:abstractNumId w:val="11"/>
  </w:num>
  <w:num w:numId="7">
    <w:abstractNumId w:val="23"/>
  </w:num>
  <w:num w:numId="8">
    <w:abstractNumId w:val="16"/>
  </w:num>
  <w:num w:numId="9">
    <w:abstractNumId w:val="28"/>
  </w:num>
  <w:num w:numId="10">
    <w:abstractNumId w:val="26"/>
  </w:num>
  <w:num w:numId="11">
    <w:abstractNumId w:val="17"/>
  </w:num>
  <w:num w:numId="12">
    <w:abstractNumId w:val="19"/>
  </w:num>
  <w:num w:numId="13">
    <w:abstractNumId w:val="6"/>
  </w:num>
  <w:num w:numId="14">
    <w:abstractNumId w:val="2"/>
  </w:num>
  <w:num w:numId="15">
    <w:abstractNumId w:val="0"/>
  </w:num>
  <w:num w:numId="16">
    <w:abstractNumId w:val="12"/>
  </w:num>
  <w:num w:numId="17">
    <w:abstractNumId w:val="21"/>
  </w:num>
  <w:num w:numId="18">
    <w:abstractNumId w:val="8"/>
  </w:num>
  <w:num w:numId="19">
    <w:abstractNumId w:val="18"/>
  </w:num>
  <w:num w:numId="20">
    <w:abstractNumId w:val="13"/>
  </w:num>
  <w:num w:numId="21">
    <w:abstractNumId w:val="31"/>
  </w:num>
  <w:num w:numId="22">
    <w:abstractNumId w:val="15"/>
  </w:num>
  <w:num w:numId="23">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10"/>
  </w:num>
  <w:num w:numId="27">
    <w:abstractNumId w:val="29"/>
  </w:num>
  <w:num w:numId="28">
    <w:abstractNumId w:val="14"/>
  </w:num>
  <w:num w:numId="29">
    <w:abstractNumId w:val="22"/>
  </w:num>
  <w:num w:numId="30">
    <w:abstractNumId w:val="25"/>
  </w:num>
  <w:num w:numId="31">
    <w:abstractNumId w:val="4"/>
  </w:num>
  <w:num w:numId="32">
    <w:abstractNumId w:val="7"/>
  </w:num>
  <w:num w:numId="3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16E"/>
    <w:rsid w:val="000421A1"/>
    <w:rsid w:val="0004240E"/>
    <w:rsid w:val="00045E26"/>
    <w:rsid w:val="000514B5"/>
    <w:rsid w:val="0005154F"/>
    <w:rsid w:val="00052566"/>
    <w:rsid w:val="00060B3C"/>
    <w:rsid w:val="00060E64"/>
    <w:rsid w:val="00065316"/>
    <w:rsid w:val="00066755"/>
    <w:rsid w:val="00067955"/>
    <w:rsid w:val="00067964"/>
    <w:rsid w:val="00072B4F"/>
    <w:rsid w:val="0007466A"/>
    <w:rsid w:val="00074BE2"/>
    <w:rsid w:val="000969AD"/>
    <w:rsid w:val="00096ECB"/>
    <w:rsid w:val="000B369B"/>
    <w:rsid w:val="000B558D"/>
    <w:rsid w:val="000B59FC"/>
    <w:rsid w:val="000C6996"/>
    <w:rsid w:val="000D096E"/>
    <w:rsid w:val="000D23BA"/>
    <w:rsid w:val="000D4D03"/>
    <w:rsid w:val="000E681E"/>
    <w:rsid w:val="000F4E6A"/>
    <w:rsid w:val="001107BF"/>
    <w:rsid w:val="001126E7"/>
    <w:rsid w:val="00120973"/>
    <w:rsid w:val="00120A95"/>
    <w:rsid w:val="0012417C"/>
    <w:rsid w:val="00142395"/>
    <w:rsid w:val="00142714"/>
    <w:rsid w:val="00143C75"/>
    <w:rsid w:val="001452ED"/>
    <w:rsid w:val="001466F2"/>
    <w:rsid w:val="0016410F"/>
    <w:rsid w:val="001744AA"/>
    <w:rsid w:val="001830CE"/>
    <w:rsid w:val="00185682"/>
    <w:rsid w:val="00185F62"/>
    <w:rsid w:val="00187CF9"/>
    <w:rsid w:val="00190678"/>
    <w:rsid w:val="00196307"/>
    <w:rsid w:val="001B017F"/>
    <w:rsid w:val="001B5129"/>
    <w:rsid w:val="001B7E22"/>
    <w:rsid w:val="001C1195"/>
    <w:rsid w:val="001C3DB2"/>
    <w:rsid w:val="001C5CDB"/>
    <w:rsid w:val="001E1ADF"/>
    <w:rsid w:val="001E1F99"/>
    <w:rsid w:val="00202E7E"/>
    <w:rsid w:val="002058C1"/>
    <w:rsid w:val="002061BD"/>
    <w:rsid w:val="00213CFB"/>
    <w:rsid w:val="00225CEB"/>
    <w:rsid w:val="00234C9E"/>
    <w:rsid w:val="00255952"/>
    <w:rsid w:val="00271BA1"/>
    <w:rsid w:val="00277505"/>
    <w:rsid w:val="00277BA0"/>
    <w:rsid w:val="00294482"/>
    <w:rsid w:val="0029458F"/>
    <w:rsid w:val="002A104C"/>
    <w:rsid w:val="002A1733"/>
    <w:rsid w:val="002A4960"/>
    <w:rsid w:val="002B1AE6"/>
    <w:rsid w:val="002B30F8"/>
    <w:rsid w:val="002C14A4"/>
    <w:rsid w:val="002C212F"/>
    <w:rsid w:val="002C5451"/>
    <w:rsid w:val="002D4AB9"/>
    <w:rsid w:val="002D5C51"/>
    <w:rsid w:val="002E2F9A"/>
    <w:rsid w:val="002E3153"/>
    <w:rsid w:val="002E72CA"/>
    <w:rsid w:val="003012EB"/>
    <w:rsid w:val="003214CD"/>
    <w:rsid w:val="00322996"/>
    <w:rsid w:val="00326E79"/>
    <w:rsid w:val="003367EF"/>
    <w:rsid w:val="00336991"/>
    <w:rsid w:val="00341AE4"/>
    <w:rsid w:val="00343B24"/>
    <w:rsid w:val="003456B4"/>
    <w:rsid w:val="00373A8D"/>
    <w:rsid w:val="00377334"/>
    <w:rsid w:val="00377B9E"/>
    <w:rsid w:val="003872CF"/>
    <w:rsid w:val="00392343"/>
    <w:rsid w:val="003935F4"/>
    <w:rsid w:val="0039782C"/>
    <w:rsid w:val="003A596A"/>
    <w:rsid w:val="003A5B4A"/>
    <w:rsid w:val="003A5FCF"/>
    <w:rsid w:val="003A66C0"/>
    <w:rsid w:val="003B23C5"/>
    <w:rsid w:val="003B2A75"/>
    <w:rsid w:val="003D0957"/>
    <w:rsid w:val="003D4AC4"/>
    <w:rsid w:val="003D63B7"/>
    <w:rsid w:val="003E1846"/>
    <w:rsid w:val="003E468B"/>
    <w:rsid w:val="003E6C68"/>
    <w:rsid w:val="003F064C"/>
    <w:rsid w:val="003F5C8C"/>
    <w:rsid w:val="003F6B38"/>
    <w:rsid w:val="0042649F"/>
    <w:rsid w:val="00437468"/>
    <w:rsid w:val="0044595D"/>
    <w:rsid w:val="004465BD"/>
    <w:rsid w:val="00446A0C"/>
    <w:rsid w:val="00466ADA"/>
    <w:rsid w:val="00467EAD"/>
    <w:rsid w:val="00476245"/>
    <w:rsid w:val="00477E5F"/>
    <w:rsid w:val="00483825"/>
    <w:rsid w:val="00485940"/>
    <w:rsid w:val="0049407A"/>
    <w:rsid w:val="004A08DA"/>
    <w:rsid w:val="004A5A85"/>
    <w:rsid w:val="004B5640"/>
    <w:rsid w:val="004C1BD7"/>
    <w:rsid w:val="004C2B69"/>
    <w:rsid w:val="004C6030"/>
    <w:rsid w:val="004C691D"/>
    <w:rsid w:val="004D14E3"/>
    <w:rsid w:val="004E17DB"/>
    <w:rsid w:val="004E692D"/>
    <w:rsid w:val="004F6DB0"/>
    <w:rsid w:val="00501554"/>
    <w:rsid w:val="00514CD7"/>
    <w:rsid w:val="00516698"/>
    <w:rsid w:val="00526887"/>
    <w:rsid w:val="005319B2"/>
    <w:rsid w:val="00532C74"/>
    <w:rsid w:val="00534E2E"/>
    <w:rsid w:val="00540D20"/>
    <w:rsid w:val="00544552"/>
    <w:rsid w:val="0054518C"/>
    <w:rsid w:val="00546547"/>
    <w:rsid w:val="005718AC"/>
    <w:rsid w:val="005768CB"/>
    <w:rsid w:val="00581932"/>
    <w:rsid w:val="0058717D"/>
    <w:rsid w:val="00591733"/>
    <w:rsid w:val="005963BB"/>
    <w:rsid w:val="005A3173"/>
    <w:rsid w:val="005A3223"/>
    <w:rsid w:val="005A39D7"/>
    <w:rsid w:val="005A3DA3"/>
    <w:rsid w:val="005A52C4"/>
    <w:rsid w:val="005A6461"/>
    <w:rsid w:val="005B2207"/>
    <w:rsid w:val="005B3D84"/>
    <w:rsid w:val="005D03AB"/>
    <w:rsid w:val="005D329F"/>
    <w:rsid w:val="005D5017"/>
    <w:rsid w:val="005E0026"/>
    <w:rsid w:val="005E59D4"/>
    <w:rsid w:val="005E6B55"/>
    <w:rsid w:val="00601A91"/>
    <w:rsid w:val="00602BA3"/>
    <w:rsid w:val="0061170F"/>
    <w:rsid w:val="00614159"/>
    <w:rsid w:val="006164AE"/>
    <w:rsid w:val="006177BF"/>
    <w:rsid w:val="00617C00"/>
    <w:rsid w:val="006220DF"/>
    <w:rsid w:val="006263BF"/>
    <w:rsid w:val="0062748A"/>
    <w:rsid w:val="00630A2C"/>
    <w:rsid w:val="00635B9A"/>
    <w:rsid w:val="006370FE"/>
    <w:rsid w:val="0064060D"/>
    <w:rsid w:val="0064252E"/>
    <w:rsid w:val="006467A8"/>
    <w:rsid w:val="00651169"/>
    <w:rsid w:val="00653D69"/>
    <w:rsid w:val="006555BA"/>
    <w:rsid w:val="00661FE4"/>
    <w:rsid w:val="00667C3E"/>
    <w:rsid w:val="00670A76"/>
    <w:rsid w:val="006711AA"/>
    <w:rsid w:val="00672B57"/>
    <w:rsid w:val="00675622"/>
    <w:rsid w:val="00680B43"/>
    <w:rsid w:val="00680E9E"/>
    <w:rsid w:val="006856CD"/>
    <w:rsid w:val="006906DB"/>
    <w:rsid w:val="00692ACF"/>
    <w:rsid w:val="006971EC"/>
    <w:rsid w:val="006A1015"/>
    <w:rsid w:val="006A12A5"/>
    <w:rsid w:val="006A370A"/>
    <w:rsid w:val="006A37C1"/>
    <w:rsid w:val="006A7812"/>
    <w:rsid w:val="006B0D94"/>
    <w:rsid w:val="006B2A67"/>
    <w:rsid w:val="006B485D"/>
    <w:rsid w:val="006B7FBA"/>
    <w:rsid w:val="006C708E"/>
    <w:rsid w:val="006D22A0"/>
    <w:rsid w:val="006D6EC7"/>
    <w:rsid w:val="006F028A"/>
    <w:rsid w:val="006F1132"/>
    <w:rsid w:val="006F5125"/>
    <w:rsid w:val="00704DE3"/>
    <w:rsid w:val="007072E8"/>
    <w:rsid w:val="00713A79"/>
    <w:rsid w:val="007174BB"/>
    <w:rsid w:val="00730056"/>
    <w:rsid w:val="007306C7"/>
    <w:rsid w:val="007344FD"/>
    <w:rsid w:val="007378D1"/>
    <w:rsid w:val="00737E7A"/>
    <w:rsid w:val="007461DB"/>
    <w:rsid w:val="00755D76"/>
    <w:rsid w:val="0076420C"/>
    <w:rsid w:val="007753C2"/>
    <w:rsid w:val="007838B8"/>
    <w:rsid w:val="00794705"/>
    <w:rsid w:val="007A2B91"/>
    <w:rsid w:val="007C065B"/>
    <w:rsid w:val="007C0F57"/>
    <w:rsid w:val="007C40B6"/>
    <w:rsid w:val="007C46A7"/>
    <w:rsid w:val="007C729F"/>
    <w:rsid w:val="007E1D28"/>
    <w:rsid w:val="007E734C"/>
    <w:rsid w:val="007F2641"/>
    <w:rsid w:val="007F4213"/>
    <w:rsid w:val="007F7C36"/>
    <w:rsid w:val="00806796"/>
    <w:rsid w:val="00826F6D"/>
    <w:rsid w:val="0083186D"/>
    <w:rsid w:val="00841479"/>
    <w:rsid w:val="0084346B"/>
    <w:rsid w:val="00856DDD"/>
    <w:rsid w:val="00863E68"/>
    <w:rsid w:val="00870419"/>
    <w:rsid w:val="008730C6"/>
    <w:rsid w:val="00873C89"/>
    <w:rsid w:val="008765D9"/>
    <w:rsid w:val="00882085"/>
    <w:rsid w:val="00883188"/>
    <w:rsid w:val="008853B4"/>
    <w:rsid w:val="00893352"/>
    <w:rsid w:val="00895E20"/>
    <w:rsid w:val="00897688"/>
    <w:rsid w:val="00897D58"/>
    <w:rsid w:val="008A11DD"/>
    <w:rsid w:val="008A1956"/>
    <w:rsid w:val="008A4937"/>
    <w:rsid w:val="008A6AF4"/>
    <w:rsid w:val="008A710E"/>
    <w:rsid w:val="008B3CA1"/>
    <w:rsid w:val="008B58E0"/>
    <w:rsid w:val="008C2E00"/>
    <w:rsid w:val="008C482F"/>
    <w:rsid w:val="008C4C93"/>
    <w:rsid w:val="008C700C"/>
    <w:rsid w:val="008D3C82"/>
    <w:rsid w:val="008D447E"/>
    <w:rsid w:val="008D4CA5"/>
    <w:rsid w:val="008D56A1"/>
    <w:rsid w:val="008D7A41"/>
    <w:rsid w:val="008E324F"/>
    <w:rsid w:val="008E3680"/>
    <w:rsid w:val="008E5870"/>
    <w:rsid w:val="008E67A9"/>
    <w:rsid w:val="008F1434"/>
    <w:rsid w:val="008F17D2"/>
    <w:rsid w:val="008F7355"/>
    <w:rsid w:val="00902B49"/>
    <w:rsid w:val="009067B7"/>
    <w:rsid w:val="00915951"/>
    <w:rsid w:val="00922396"/>
    <w:rsid w:val="0092376C"/>
    <w:rsid w:val="00930937"/>
    <w:rsid w:val="00933E6C"/>
    <w:rsid w:val="00942160"/>
    <w:rsid w:val="0094397E"/>
    <w:rsid w:val="00945B13"/>
    <w:rsid w:val="00946442"/>
    <w:rsid w:val="00946C55"/>
    <w:rsid w:val="009602C5"/>
    <w:rsid w:val="00964C23"/>
    <w:rsid w:val="00965855"/>
    <w:rsid w:val="00974C21"/>
    <w:rsid w:val="009812A8"/>
    <w:rsid w:val="009B0F67"/>
    <w:rsid w:val="009B2672"/>
    <w:rsid w:val="009C703C"/>
    <w:rsid w:val="009D3CAA"/>
    <w:rsid w:val="009E1D6E"/>
    <w:rsid w:val="009F4E46"/>
    <w:rsid w:val="009F5B65"/>
    <w:rsid w:val="009F5CAB"/>
    <w:rsid w:val="009F5F2E"/>
    <w:rsid w:val="00A06225"/>
    <w:rsid w:val="00A10576"/>
    <w:rsid w:val="00A10C7F"/>
    <w:rsid w:val="00A128E6"/>
    <w:rsid w:val="00A15C90"/>
    <w:rsid w:val="00A173E4"/>
    <w:rsid w:val="00A21683"/>
    <w:rsid w:val="00A267E2"/>
    <w:rsid w:val="00A3715D"/>
    <w:rsid w:val="00A37C8D"/>
    <w:rsid w:val="00A421CA"/>
    <w:rsid w:val="00A51804"/>
    <w:rsid w:val="00A5271A"/>
    <w:rsid w:val="00A5273B"/>
    <w:rsid w:val="00A53A9D"/>
    <w:rsid w:val="00A55FEE"/>
    <w:rsid w:val="00A565C3"/>
    <w:rsid w:val="00A627D4"/>
    <w:rsid w:val="00A62C1A"/>
    <w:rsid w:val="00A6426D"/>
    <w:rsid w:val="00A70622"/>
    <w:rsid w:val="00A70977"/>
    <w:rsid w:val="00A8390C"/>
    <w:rsid w:val="00A87FC9"/>
    <w:rsid w:val="00A925E1"/>
    <w:rsid w:val="00A928BD"/>
    <w:rsid w:val="00AA4D1C"/>
    <w:rsid w:val="00AB1F97"/>
    <w:rsid w:val="00AB3751"/>
    <w:rsid w:val="00AC5206"/>
    <w:rsid w:val="00AE11A5"/>
    <w:rsid w:val="00AE13E2"/>
    <w:rsid w:val="00AF68CC"/>
    <w:rsid w:val="00B07038"/>
    <w:rsid w:val="00B205AA"/>
    <w:rsid w:val="00B22E84"/>
    <w:rsid w:val="00B23A32"/>
    <w:rsid w:val="00B25F75"/>
    <w:rsid w:val="00B26F74"/>
    <w:rsid w:val="00B3122F"/>
    <w:rsid w:val="00B32188"/>
    <w:rsid w:val="00B43B7E"/>
    <w:rsid w:val="00B43E90"/>
    <w:rsid w:val="00B56118"/>
    <w:rsid w:val="00B62028"/>
    <w:rsid w:val="00B64497"/>
    <w:rsid w:val="00B6773F"/>
    <w:rsid w:val="00B801BA"/>
    <w:rsid w:val="00B84805"/>
    <w:rsid w:val="00B8634B"/>
    <w:rsid w:val="00BA5C7B"/>
    <w:rsid w:val="00BA5E8A"/>
    <w:rsid w:val="00BB69F5"/>
    <w:rsid w:val="00BB7EC3"/>
    <w:rsid w:val="00BC4B9A"/>
    <w:rsid w:val="00BD4F48"/>
    <w:rsid w:val="00BD50B1"/>
    <w:rsid w:val="00BD589B"/>
    <w:rsid w:val="00BD784C"/>
    <w:rsid w:val="00BE4594"/>
    <w:rsid w:val="00BE5ABB"/>
    <w:rsid w:val="00BF4CB6"/>
    <w:rsid w:val="00C00DA7"/>
    <w:rsid w:val="00C06339"/>
    <w:rsid w:val="00C12768"/>
    <w:rsid w:val="00C27B58"/>
    <w:rsid w:val="00C35996"/>
    <w:rsid w:val="00C43936"/>
    <w:rsid w:val="00C5342C"/>
    <w:rsid w:val="00C6256A"/>
    <w:rsid w:val="00C7712F"/>
    <w:rsid w:val="00C7792B"/>
    <w:rsid w:val="00C83F92"/>
    <w:rsid w:val="00C8568D"/>
    <w:rsid w:val="00C91449"/>
    <w:rsid w:val="00C92D10"/>
    <w:rsid w:val="00C942F4"/>
    <w:rsid w:val="00C94810"/>
    <w:rsid w:val="00CA068B"/>
    <w:rsid w:val="00CA08D1"/>
    <w:rsid w:val="00CA39AF"/>
    <w:rsid w:val="00CA3B47"/>
    <w:rsid w:val="00CA6009"/>
    <w:rsid w:val="00CC49C1"/>
    <w:rsid w:val="00CD42CF"/>
    <w:rsid w:val="00CD7CF5"/>
    <w:rsid w:val="00CE10C4"/>
    <w:rsid w:val="00CE27B5"/>
    <w:rsid w:val="00CE7162"/>
    <w:rsid w:val="00CF2B52"/>
    <w:rsid w:val="00D0321E"/>
    <w:rsid w:val="00D046D8"/>
    <w:rsid w:val="00D1455A"/>
    <w:rsid w:val="00D3280C"/>
    <w:rsid w:val="00D33372"/>
    <w:rsid w:val="00D3406A"/>
    <w:rsid w:val="00D4624D"/>
    <w:rsid w:val="00D469B2"/>
    <w:rsid w:val="00D51833"/>
    <w:rsid w:val="00D54B80"/>
    <w:rsid w:val="00D62B6C"/>
    <w:rsid w:val="00D657B8"/>
    <w:rsid w:val="00D741EB"/>
    <w:rsid w:val="00D80CE9"/>
    <w:rsid w:val="00D84934"/>
    <w:rsid w:val="00D904B2"/>
    <w:rsid w:val="00D91271"/>
    <w:rsid w:val="00D9160A"/>
    <w:rsid w:val="00D96268"/>
    <w:rsid w:val="00DA20ED"/>
    <w:rsid w:val="00DA2CB5"/>
    <w:rsid w:val="00DA4BAC"/>
    <w:rsid w:val="00DB5A52"/>
    <w:rsid w:val="00DB75EC"/>
    <w:rsid w:val="00DC640F"/>
    <w:rsid w:val="00DE601F"/>
    <w:rsid w:val="00DE6D27"/>
    <w:rsid w:val="00DF217D"/>
    <w:rsid w:val="00DF26A7"/>
    <w:rsid w:val="00DF466C"/>
    <w:rsid w:val="00E07E6D"/>
    <w:rsid w:val="00E164B3"/>
    <w:rsid w:val="00E16910"/>
    <w:rsid w:val="00E343A7"/>
    <w:rsid w:val="00E4183E"/>
    <w:rsid w:val="00E44FAE"/>
    <w:rsid w:val="00E51AB2"/>
    <w:rsid w:val="00E60966"/>
    <w:rsid w:val="00E65E54"/>
    <w:rsid w:val="00E72ED6"/>
    <w:rsid w:val="00E80155"/>
    <w:rsid w:val="00E81605"/>
    <w:rsid w:val="00E844AA"/>
    <w:rsid w:val="00E848C0"/>
    <w:rsid w:val="00E865FF"/>
    <w:rsid w:val="00E91B96"/>
    <w:rsid w:val="00E92C78"/>
    <w:rsid w:val="00E941A1"/>
    <w:rsid w:val="00E95CE3"/>
    <w:rsid w:val="00EA2825"/>
    <w:rsid w:val="00EB2E81"/>
    <w:rsid w:val="00EB5088"/>
    <w:rsid w:val="00ED1644"/>
    <w:rsid w:val="00EF44A0"/>
    <w:rsid w:val="00EF4FED"/>
    <w:rsid w:val="00F01AF6"/>
    <w:rsid w:val="00F020E1"/>
    <w:rsid w:val="00F050BD"/>
    <w:rsid w:val="00F05657"/>
    <w:rsid w:val="00F22606"/>
    <w:rsid w:val="00F243F5"/>
    <w:rsid w:val="00F25578"/>
    <w:rsid w:val="00F258E5"/>
    <w:rsid w:val="00F300BC"/>
    <w:rsid w:val="00F3334E"/>
    <w:rsid w:val="00F4080B"/>
    <w:rsid w:val="00F41BAF"/>
    <w:rsid w:val="00F42A0B"/>
    <w:rsid w:val="00F45BFC"/>
    <w:rsid w:val="00F50EC4"/>
    <w:rsid w:val="00F57A6D"/>
    <w:rsid w:val="00F638CC"/>
    <w:rsid w:val="00F64CC1"/>
    <w:rsid w:val="00F66179"/>
    <w:rsid w:val="00F6634E"/>
    <w:rsid w:val="00F8247A"/>
    <w:rsid w:val="00F82985"/>
    <w:rsid w:val="00F92F58"/>
    <w:rsid w:val="00F9629A"/>
    <w:rsid w:val="00F96517"/>
    <w:rsid w:val="00FA5883"/>
    <w:rsid w:val="00FA6055"/>
    <w:rsid w:val="00FA7361"/>
    <w:rsid w:val="00FB322F"/>
    <w:rsid w:val="00FB442F"/>
    <w:rsid w:val="00FC0D96"/>
    <w:rsid w:val="00FC1929"/>
    <w:rsid w:val="00FC4955"/>
    <w:rsid w:val="00FC5B46"/>
    <w:rsid w:val="00FD30ED"/>
    <w:rsid w:val="00FF00BD"/>
    <w:rsid w:val="00FF09BB"/>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737E7A"/>
    <w:pPr>
      <w:ind w:left="720" w:hanging="720"/>
    </w:pPr>
    <w:rPr>
      <w:rFonts w:ascii="Arial" w:hAnsi="Arial" w:cs="Arial"/>
      <w:b/>
      <w:snapToGrid w:val="0"/>
      <w:sz w:val="22"/>
      <w:szCs w:val="22"/>
      <w:lang w:eastAsia="en-US"/>
    </w:rPr>
  </w:style>
  <w:style w:type="character" w:customStyle="1" w:styleId="Heading2Char">
    <w:name w:val="Heading 2 Char"/>
    <w:basedOn w:val="DefaultParagraphFont"/>
    <w:link w:val="Heading2"/>
    <w:rsid w:val="00FF09BB"/>
    <w:rPr>
      <w:rFonts w:ascii="Arial" w:hAnsi="Arial"/>
      <w:b/>
      <w:i/>
      <w:sz w:val="22"/>
      <w:szCs w:val="24"/>
    </w:rPr>
  </w:style>
  <w:style w:type="character" w:customStyle="1" w:styleId="ListParagraphChar">
    <w:name w:val="List Paragraph Char"/>
    <w:aliases w:val="BulletPoints Char"/>
    <w:link w:val="ListParagraph"/>
    <w:uiPriority w:val="72"/>
    <w:rsid w:val="00FC4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399180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097D-4008-43D8-9445-1F83A011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2018-02-14T02:30:00Z</dcterms:created>
  <dcterms:modified xsi:type="dcterms:W3CDTF">2020-05-13T07:02:00Z</dcterms:modified>
</cp:coreProperties>
</file>