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D458AE" w:rsidRDefault="00797FE0" w:rsidP="008A50F1">
      <w:pPr>
        <w:pStyle w:val="Title"/>
        <w:ind w:left="720" w:hanging="720"/>
        <w:rPr>
          <w:rFonts w:asciiTheme="minorHAnsi" w:hAnsiTheme="minorHAnsi"/>
          <w:sz w:val="36"/>
          <w:szCs w:val="36"/>
        </w:rPr>
      </w:pPr>
      <w:r w:rsidRPr="00D458AE">
        <w:rPr>
          <w:rFonts w:asciiTheme="minorHAnsi" w:hAnsiTheme="minorHAnsi"/>
          <w:sz w:val="36"/>
          <w:szCs w:val="36"/>
        </w:rPr>
        <w:t>6.06</w:t>
      </w:r>
      <w:r w:rsidR="007C0F57" w:rsidRPr="00D458AE">
        <w:rPr>
          <w:rFonts w:asciiTheme="minorHAnsi" w:hAnsiTheme="minorHAnsi"/>
          <w:sz w:val="36"/>
          <w:szCs w:val="36"/>
        </w:rPr>
        <w:tab/>
      </w:r>
      <w:r w:rsidRPr="00D458AE">
        <w:rPr>
          <w:rFonts w:asciiTheme="minorHAnsi" w:hAnsiTheme="minorHAnsi"/>
          <w:sz w:val="36"/>
          <w:szCs w:val="36"/>
        </w:rPr>
        <w:t>ANAKINRA</w:t>
      </w:r>
      <w:r w:rsidR="008A50F1" w:rsidRPr="00D458AE">
        <w:rPr>
          <w:rFonts w:asciiTheme="minorHAnsi" w:hAnsiTheme="minorHAnsi"/>
          <w:sz w:val="36"/>
          <w:szCs w:val="36"/>
        </w:rPr>
        <w:t xml:space="preserve"> </w:t>
      </w:r>
      <w:bookmarkStart w:id="0" w:name="_GoBack"/>
      <w:bookmarkEnd w:id="0"/>
      <w:r w:rsidR="008A50F1" w:rsidRPr="00D458AE">
        <w:rPr>
          <w:rFonts w:asciiTheme="minorHAnsi" w:hAnsiTheme="minorHAnsi"/>
          <w:sz w:val="36"/>
          <w:szCs w:val="36"/>
        </w:rPr>
        <w:br/>
      </w:r>
      <w:r w:rsidR="00391F62" w:rsidRPr="00D458AE">
        <w:rPr>
          <w:rFonts w:asciiTheme="minorHAnsi" w:hAnsiTheme="minorHAnsi"/>
          <w:sz w:val="36"/>
          <w:szCs w:val="36"/>
        </w:rPr>
        <w:t>I</w:t>
      </w:r>
      <w:r w:rsidR="0081706B" w:rsidRPr="00D458AE">
        <w:rPr>
          <w:rFonts w:asciiTheme="minorHAnsi" w:hAnsiTheme="minorHAnsi"/>
          <w:sz w:val="36"/>
          <w:szCs w:val="36"/>
        </w:rPr>
        <w:t>njection</w:t>
      </w:r>
      <w:r w:rsidR="0004240E" w:rsidRPr="00D458AE">
        <w:rPr>
          <w:rFonts w:asciiTheme="minorHAnsi" w:hAnsiTheme="minorHAnsi"/>
          <w:sz w:val="36"/>
          <w:szCs w:val="36"/>
        </w:rPr>
        <w:t xml:space="preserve">, </w:t>
      </w:r>
      <w:r w:rsidR="0081706B" w:rsidRPr="00D458AE">
        <w:rPr>
          <w:rFonts w:asciiTheme="minorHAnsi" w:hAnsiTheme="minorHAnsi"/>
          <w:sz w:val="36"/>
          <w:szCs w:val="36"/>
        </w:rPr>
        <w:t xml:space="preserve">100 mg </w:t>
      </w:r>
      <w:r w:rsidR="00391F62" w:rsidRPr="00D458AE">
        <w:rPr>
          <w:rFonts w:asciiTheme="minorHAnsi" w:hAnsiTheme="minorHAnsi"/>
          <w:sz w:val="36"/>
          <w:szCs w:val="36"/>
        </w:rPr>
        <w:t>in</w:t>
      </w:r>
      <w:r w:rsidR="0081706B" w:rsidRPr="00D458AE">
        <w:rPr>
          <w:rFonts w:asciiTheme="minorHAnsi" w:hAnsiTheme="minorHAnsi"/>
          <w:sz w:val="36"/>
          <w:szCs w:val="36"/>
        </w:rPr>
        <w:t xml:space="preserve"> 0.67 mL </w:t>
      </w:r>
      <w:r w:rsidR="00391F62" w:rsidRPr="00D458AE">
        <w:rPr>
          <w:rFonts w:asciiTheme="minorHAnsi" w:hAnsiTheme="minorHAnsi"/>
          <w:sz w:val="36"/>
          <w:szCs w:val="36"/>
        </w:rPr>
        <w:t xml:space="preserve">single use pre-filled </w:t>
      </w:r>
      <w:r w:rsidR="0081706B" w:rsidRPr="00D458AE">
        <w:rPr>
          <w:rFonts w:asciiTheme="minorHAnsi" w:hAnsiTheme="minorHAnsi"/>
          <w:sz w:val="36"/>
          <w:szCs w:val="36"/>
        </w:rPr>
        <w:t>syringe</w:t>
      </w:r>
      <w:r w:rsidR="008A50F1" w:rsidRPr="00D458AE">
        <w:rPr>
          <w:rFonts w:asciiTheme="minorHAnsi" w:hAnsiTheme="minorHAnsi"/>
          <w:sz w:val="36"/>
          <w:szCs w:val="36"/>
        </w:rPr>
        <w:br/>
      </w:r>
      <w:r w:rsidRPr="00D458AE">
        <w:rPr>
          <w:rFonts w:asciiTheme="minorHAnsi" w:hAnsiTheme="minorHAnsi"/>
          <w:sz w:val="36"/>
          <w:szCs w:val="36"/>
        </w:rPr>
        <w:t>Kineret</w:t>
      </w:r>
      <w:r w:rsidR="0004240E" w:rsidRPr="00D458AE">
        <w:rPr>
          <w:rFonts w:asciiTheme="minorHAnsi" w:hAnsiTheme="minorHAnsi"/>
          <w:sz w:val="36"/>
          <w:szCs w:val="36"/>
        </w:rPr>
        <w:t>®</w:t>
      </w:r>
      <w:r w:rsidR="00EF44A0" w:rsidRPr="00D458AE">
        <w:rPr>
          <w:rFonts w:asciiTheme="minorHAnsi" w:hAnsiTheme="minorHAnsi"/>
          <w:sz w:val="36"/>
          <w:szCs w:val="36"/>
        </w:rPr>
        <w:t xml:space="preserve">, </w:t>
      </w:r>
      <w:r w:rsidRPr="00D458AE">
        <w:rPr>
          <w:rFonts w:asciiTheme="minorHAnsi" w:hAnsiTheme="minorHAnsi"/>
          <w:sz w:val="36"/>
          <w:szCs w:val="36"/>
        </w:rPr>
        <w:t>A.Menarini Australia</w:t>
      </w:r>
      <w:r w:rsidR="00B85EC1">
        <w:rPr>
          <w:rFonts w:asciiTheme="minorHAnsi" w:hAnsiTheme="minorHAnsi"/>
          <w:sz w:val="36"/>
          <w:szCs w:val="36"/>
        </w:rPr>
        <w:t xml:space="preserve"> Pty Ltd</w:t>
      </w:r>
    </w:p>
    <w:p w:rsidR="00E15627" w:rsidRPr="00D458AE" w:rsidRDefault="00CE10C4" w:rsidP="00D458AE">
      <w:pPr>
        <w:pStyle w:val="PBACHeading1"/>
        <w:numPr>
          <w:ilvl w:val="0"/>
          <w:numId w:val="5"/>
        </w:numPr>
        <w:rPr>
          <w:rFonts w:asciiTheme="minorHAnsi" w:hAnsiTheme="minorHAnsi"/>
          <w:sz w:val="32"/>
          <w:szCs w:val="32"/>
        </w:rPr>
      </w:pPr>
      <w:r w:rsidRPr="00D458AE">
        <w:rPr>
          <w:rFonts w:asciiTheme="minorHAnsi" w:hAnsiTheme="minorHAnsi"/>
          <w:sz w:val="32"/>
          <w:szCs w:val="32"/>
        </w:rPr>
        <w:t xml:space="preserve">Purpose of </w:t>
      </w:r>
      <w:r w:rsidR="0004240E" w:rsidRPr="00D458AE">
        <w:rPr>
          <w:rFonts w:asciiTheme="minorHAnsi" w:hAnsiTheme="minorHAnsi"/>
          <w:sz w:val="32"/>
          <w:szCs w:val="32"/>
        </w:rPr>
        <w:t>Application</w:t>
      </w:r>
    </w:p>
    <w:p w:rsidR="008A50F1" w:rsidRPr="00F36CCB" w:rsidRDefault="008A50F1" w:rsidP="00E15627">
      <w:pPr>
        <w:rPr>
          <w:rFonts w:asciiTheme="minorHAnsi" w:hAnsiTheme="minorHAnsi"/>
        </w:rPr>
      </w:pPr>
    </w:p>
    <w:p w:rsidR="00797FE0" w:rsidRPr="00D458AE" w:rsidRDefault="00EF44A0" w:rsidP="00E15627">
      <w:pPr>
        <w:pStyle w:val="ListParagraph"/>
        <w:numPr>
          <w:ilvl w:val="1"/>
          <w:numId w:val="5"/>
        </w:numPr>
        <w:rPr>
          <w:rFonts w:asciiTheme="minorHAnsi" w:hAnsiTheme="minorHAnsi"/>
          <w:sz w:val="24"/>
          <w:szCs w:val="24"/>
        </w:rPr>
      </w:pPr>
      <w:r w:rsidRPr="00D458AE">
        <w:rPr>
          <w:rFonts w:asciiTheme="minorHAnsi" w:hAnsiTheme="minorHAnsi"/>
          <w:sz w:val="24"/>
          <w:szCs w:val="24"/>
        </w:rPr>
        <w:t>The mi</w:t>
      </w:r>
      <w:r w:rsidR="00FF2801" w:rsidRPr="00D458AE">
        <w:rPr>
          <w:rFonts w:asciiTheme="minorHAnsi" w:hAnsiTheme="minorHAnsi"/>
          <w:sz w:val="24"/>
          <w:szCs w:val="24"/>
        </w:rPr>
        <w:t>nor submission requested</w:t>
      </w:r>
      <w:r w:rsidR="00797FE0" w:rsidRPr="00D458AE">
        <w:rPr>
          <w:rFonts w:asciiTheme="minorHAnsi" w:hAnsiTheme="minorHAnsi"/>
          <w:sz w:val="24"/>
          <w:szCs w:val="24"/>
        </w:rPr>
        <w:t xml:space="preserve"> </w:t>
      </w:r>
      <w:r w:rsidR="00EA447B" w:rsidRPr="00D458AE">
        <w:rPr>
          <w:rFonts w:asciiTheme="minorHAnsi" w:hAnsiTheme="minorHAnsi"/>
          <w:sz w:val="24"/>
          <w:szCs w:val="24"/>
        </w:rPr>
        <w:t xml:space="preserve">an </w:t>
      </w:r>
      <w:r w:rsidR="00CE234C" w:rsidRPr="00D458AE">
        <w:rPr>
          <w:rFonts w:asciiTheme="minorHAnsi" w:hAnsiTheme="minorHAnsi"/>
          <w:sz w:val="24"/>
          <w:szCs w:val="24"/>
        </w:rPr>
        <w:t xml:space="preserve">amendment of the </w:t>
      </w:r>
      <w:r w:rsidR="00797FE0" w:rsidRPr="00D458AE">
        <w:rPr>
          <w:rFonts w:asciiTheme="minorHAnsi" w:hAnsiTheme="minorHAnsi"/>
          <w:sz w:val="24"/>
          <w:szCs w:val="24"/>
        </w:rPr>
        <w:t>PBS listing of anakinra from Authority Required (STREAMLINED) to Authority Required for treatment of patients with moderate to severe cryopyrin associated periodic syndromes (CAPS).</w:t>
      </w:r>
    </w:p>
    <w:p w:rsidR="00D458AE" w:rsidRDefault="00D458AE" w:rsidP="00D458AE">
      <w:pPr>
        <w:pStyle w:val="ListParagraph"/>
        <w:rPr>
          <w:rFonts w:asciiTheme="minorHAnsi" w:hAnsiTheme="minorHAnsi"/>
          <w:szCs w:val="22"/>
        </w:rPr>
      </w:pPr>
    </w:p>
    <w:p w:rsidR="004D4E35" w:rsidRPr="00797FE0" w:rsidRDefault="004D4E35" w:rsidP="00D458AE">
      <w:pPr>
        <w:pStyle w:val="ListParagraph"/>
        <w:rPr>
          <w:rFonts w:asciiTheme="minorHAnsi" w:hAnsiTheme="minorHAnsi"/>
          <w:szCs w:val="22"/>
        </w:rPr>
      </w:pPr>
    </w:p>
    <w:p w:rsidR="00962223" w:rsidRPr="00D458AE" w:rsidRDefault="006A12A5" w:rsidP="00D458AE">
      <w:pPr>
        <w:pStyle w:val="PBACHeading1"/>
        <w:numPr>
          <w:ilvl w:val="0"/>
          <w:numId w:val="5"/>
        </w:numPr>
        <w:rPr>
          <w:rFonts w:asciiTheme="minorHAnsi" w:hAnsiTheme="minorHAnsi"/>
          <w:sz w:val="32"/>
          <w:szCs w:val="32"/>
        </w:rPr>
      </w:pPr>
      <w:r w:rsidRPr="00D458AE">
        <w:rPr>
          <w:rFonts w:asciiTheme="minorHAnsi" w:hAnsiTheme="minorHAnsi"/>
          <w:sz w:val="32"/>
          <w:szCs w:val="32"/>
        </w:rPr>
        <w:t>Requested listing</w:t>
      </w:r>
    </w:p>
    <w:p w:rsidR="006A12A5" w:rsidRPr="00F36CCB" w:rsidRDefault="006A12A5" w:rsidP="00882085">
      <w:pPr>
        <w:jc w:val="both"/>
        <w:rPr>
          <w:rFonts w:asciiTheme="minorHAnsi" w:hAnsiTheme="minorHAnsi"/>
          <w:b/>
          <w:sz w:val="22"/>
          <w:szCs w:val="22"/>
        </w:rPr>
      </w:pPr>
    </w:p>
    <w:p w:rsidR="00826F6D" w:rsidRPr="00D458AE" w:rsidRDefault="00EF44A0" w:rsidP="008A50F1">
      <w:pPr>
        <w:pStyle w:val="ListParagraph"/>
        <w:numPr>
          <w:ilvl w:val="1"/>
          <w:numId w:val="5"/>
        </w:numPr>
        <w:rPr>
          <w:rFonts w:asciiTheme="minorHAnsi" w:hAnsiTheme="minorHAnsi"/>
          <w:sz w:val="24"/>
          <w:szCs w:val="24"/>
        </w:rPr>
      </w:pPr>
      <w:r w:rsidRPr="00D458AE">
        <w:rPr>
          <w:rFonts w:asciiTheme="minorHAnsi" w:hAnsiTheme="minorHAnsi"/>
          <w:sz w:val="24"/>
          <w:szCs w:val="24"/>
        </w:rPr>
        <w:t xml:space="preserve">The submission </w:t>
      </w:r>
      <w:r w:rsidR="00FF2801" w:rsidRPr="00D458AE">
        <w:rPr>
          <w:rFonts w:asciiTheme="minorHAnsi" w:hAnsiTheme="minorHAnsi"/>
          <w:sz w:val="24"/>
          <w:szCs w:val="24"/>
        </w:rPr>
        <w:t>requested</w:t>
      </w:r>
      <w:r w:rsidRPr="00D458AE">
        <w:rPr>
          <w:rFonts w:asciiTheme="minorHAnsi" w:hAnsiTheme="minorHAnsi"/>
          <w:sz w:val="24"/>
          <w:szCs w:val="24"/>
        </w:rPr>
        <w:t xml:space="preserve"> </w:t>
      </w:r>
      <w:r w:rsidR="008E6BE2" w:rsidRPr="00D458AE">
        <w:rPr>
          <w:rFonts w:asciiTheme="minorHAnsi" w:hAnsiTheme="minorHAnsi"/>
          <w:sz w:val="24"/>
          <w:szCs w:val="24"/>
        </w:rPr>
        <w:t>a change of the restriction level of the current restriction from Authority Required (STREAMLINED) to Authority Required. No changes to the existing restriction wording</w:t>
      </w:r>
      <w:r w:rsidR="00DC7762" w:rsidRPr="00D458AE">
        <w:rPr>
          <w:rFonts w:asciiTheme="minorHAnsi" w:hAnsiTheme="minorHAnsi"/>
          <w:sz w:val="24"/>
          <w:szCs w:val="24"/>
        </w:rPr>
        <w:t xml:space="preserve"> were requested</w:t>
      </w:r>
      <w:r w:rsidR="008E6BE2" w:rsidRPr="00D458AE">
        <w:rPr>
          <w:rFonts w:asciiTheme="minorHAnsi" w:hAnsiTheme="minorHAnsi"/>
          <w:sz w:val="24"/>
          <w:szCs w:val="24"/>
        </w:rPr>
        <w:t xml:space="preserve">. </w:t>
      </w:r>
    </w:p>
    <w:p w:rsidR="00826F6D" w:rsidRPr="00826F6D" w:rsidRDefault="00826F6D" w:rsidP="00826F6D">
      <w:pPr>
        <w:pStyle w:val="ListParagraph"/>
        <w:rPr>
          <w:szCs w:val="22"/>
        </w:rPr>
      </w:pPr>
    </w:p>
    <w:p w:rsidR="00B74370" w:rsidRPr="00EB3F99" w:rsidRDefault="00B74370" w:rsidP="00454F3B">
      <w:pPr>
        <w:ind w:left="720"/>
        <w:rPr>
          <w:rFonts w:asciiTheme="minorHAnsi" w:hAnsiTheme="minorHAnsi"/>
          <w:i/>
        </w:rPr>
      </w:pPr>
      <w:r w:rsidRPr="00454F3B">
        <w:rPr>
          <w:rFonts w:asciiTheme="minorHAnsi" w:hAnsiTheme="minorHAnsi"/>
          <w:i/>
        </w:rPr>
        <w:t xml:space="preserve">For more detail on PBAC’s view, see section </w:t>
      </w:r>
      <w:r w:rsidR="006D0F6B">
        <w:rPr>
          <w:rFonts w:asciiTheme="minorHAnsi" w:hAnsiTheme="minorHAnsi"/>
          <w:i/>
        </w:rPr>
        <w:t>5</w:t>
      </w:r>
      <w:r w:rsidRPr="00454F3B">
        <w:rPr>
          <w:rFonts w:asciiTheme="minorHAnsi" w:hAnsiTheme="minorHAnsi"/>
          <w:i/>
        </w:rPr>
        <w:t xml:space="preserve"> “PBAC outcome.”</w:t>
      </w:r>
    </w:p>
    <w:p w:rsidR="0067524E" w:rsidRDefault="0067524E" w:rsidP="00882085">
      <w:pPr>
        <w:jc w:val="both"/>
        <w:rPr>
          <w:rFonts w:asciiTheme="minorHAnsi" w:hAnsiTheme="minorHAnsi"/>
          <w:b/>
          <w:sz w:val="22"/>
          <w:szCs w:val="22"/>
        </w:rPr>
      </w:pPr>
    </w:p>
    <w:p w:rsidR="004D4E35" w:rsidRPr="00F36CCB" w:rsidRDefault="004D4E35" w:rsidP="00882085">
      <w:pPr>
        <w:jc w:val="both"/>
        <w:rPr>
          <w:rFonts w:asciiTheme="minorHAnsi" w:hAnsiTheme="minorHAnsi"/>
          <w:b/>
          <w:sz w:val="22"/>
          <w:szCs w:val="22"/>
        </w:rPr>
      </w:pPr>
    </w:p>
    <w:p w:rsidR="00CE10C4" w:rsidRPr="00D458AE" w:rsidRDefault="00CE10C4" w:rsidP="00D458AE">
      <w:pPr>
        <w:pStyle w:val="PBACHeading1"/>
        <w:numPr>
          <w:ilvl w:val="0"/>
          <w:numId w:val="5"/>
        </w:numPr>
        <w:rPr>
          <w:rFonts w:asciiTheme="minorHAnsi" w:hAnsiTheme="minorHAnsi"/>
          <w:sz w:val="32"/>
          <w:szCs w:val="32"/>
        </w:rPr>
      </w:pPr>
      <w:r w:rsidRPr="00D458AE">
        <w:rPr>
          <w:rFonts w:asciiTheme="minorHAnsi" w:hAnsiTheme="minorHAnsi"/>
          <w:sz w:val="32"/>
          <w:szCs w:val="32"/>
        </w:rPr>
        <w:t>Background</w:t>
      </w:r>
    </w:p>
    <w:p w:rsidR="00C603D4" w:rsidRPr="00F36CCB" w:rsidRDefault="00C603D4" w:rsidP="00C603D4">
      <w:pPr>
        <w:pStyle w:val="ListParagraph"/>
        <w:rPr>
          <w:rFonts w:asciiTheme="minorHAnsi" w:hAnsiTheme="minorHAnsi"/>
          <w:i/>
          <w:szCs w:val="22"/>
        </w:rPr>
      </w:pPr>
    </w:p>
    <w:p w:rsidR="000C5082" w:rsidRPr="00D458AE" w:rsidRDefault="003F77C1" w:rsidP="008A50F1">
      <w:pPr>
        <w:pStyle w:val="ListParagraph"/>
        <w:numPr>
          <w:ilvl w:val="1"/>
          <w:numId w:val="5"/>
        </w:numPr>
        <w:rPr>
          <w:rFonts w:asciiTheme="minorHAnsi" w:hAnsiTheme="minorHAnsi"/>
          <w:i/>
          <w:sz w:val="24"/>
          <w:szCs w:val="24"/>
        </w:rPr>
      </w:pPr>
      <w:r w:rsidRPr="00D458AE">
        <w:rPr>
          <w:rFonts w:asciiTheme="minorHAnsi" w:hAnsiTheme="minorHAnsi"/>
          <w:sz w:val="24"/>
          <w:szCs w:val="24"/>
        </w:rPr>
        <w:t>Anakinra</w:t>
      </w:r>
      <w:r w:rsidR="00476245" w:rsidRPr="00D458AE">
        <w:rPr>
          <w:rFonts w:asciiTheme="minorHAnsi" w:hAnsiTheme="minorHAnsi"/>
          <w:sz w:val="24"/>
          <w:szCs w:val="24"/>
        </w:rPr>
        <w:t xml:space="preserve"> is TGA registered for</w:t>
      </w:r>
      <w:r w:rsidR="000C5082" w:rsidRPr="00D458AE">
        <w:rPr>
          <w:rFonts w:asciiTheme="minorHAnsi" w:hAnsiTheme="minorHAnsi"/>
          <w:sz w:val="24"/>
          <w:szCs w:val="24"/>
        </w:rPr>
        <w:t>:</w:t>
      </w:r>
    </w:p>
    <w:p w:rsidR="000C5082" w:rsidRPr="00D458AE" w:rsidRDefault="000C5082" w:rsidP="000C5082">
      <w:pPr>
        <w:pStyle w:val="ListParagraph"/>
        <w:numPr>
          <w:ilvl w:val="0"/>
          <w:numId w:val="15"/>
        </w:numPr>
        <w:rPr>
          <w:rFonts w:asciiTheme="minorHAnsi" w:hAnsiTheme="minorHAnsi"/>
          <w:sz w:val="24"/>
          <w:szCs w:val="24"/>
        </w:rPr>
      </w:pPr>
      <w:r w:rsidRPr="00D458AE">
        <w:rPr>
          <w:rFonts w:asciiTheme="minorHAnsi" w:hAnsiTheme="minorHAnsi"/>
          <w:sz w:val="24"/>
          <w:szCs w:val="24"/>
        </w:rPr>
        <w:t>The treatment of active adult rheumatoid arthritis in patients who have inadequate response to one or more other Disease Modifying Anti Rheumatic Drugs (DMARDs);</w:t>
      </w:r>
    </w:p>
    <w:p w:rsidR="000C5082" w:rsidRPr="00D458AE" w:rsidRDefault="000C5082" w:rsidP="000C5082">
      <w:pPr>
        <w:pStyle w:val="ListParagraph"/>
        <w:numPr>
          <w:ilvl w:val="0"/>
          <w:numId w:val="15"/>
        </w:numPr>
        <w:rPr>
          <w:rFonts w:asciiTheme="minorHAnsi" w:hAnsiTheme="minorHAnsi"/>
          <w:sz w:val="24"/>
          <w:szCs w:val="24"/>
        </w:rPr>
      </w:pPr>
      <w:r w:rsidRPr="00D458AE">
        <w:rPr>
          <w:rFonts w:asciiTheme="minorHAnsi" w:hAnsiTheme="minorHAnsi"/>
          <w:sz w:val="24"/>
          <w:szCs w:val="24"/>
        </w:rPr>
        <w:t>In adult and paediatric patients for the treatment of Cryopyrin-Associated Periodic Syndromes (CAPS) including Neonatal-Onset Multisy</w:t>
      </w:r>
      <w:r w:rsidR="00625C5E" w:rsidRPr="00D458AE">
        <w:rPr>
          <w:rFonts w:asciiTheme="minorHAnsi" w:hAnsiTheme="minorHAnsi"/>
          <w:sz w:val="24"/>
          <w:szCs w:val="24"/>
        </w:rPr>
        <w:t>s</w:t>
      </w:r>
      <w:r w:rsidRPr="00D458AE">
        <w:rPr>
          <w:rFonts w:asciiTheme="minorHAnsi" w:hAnsiTheme="minorHAnsi"/>
          <w:sz w:val="24"/>
          <w:szCs w:val="24"/>
        </w:rPr>
        <w:t xml:space="preserve">tem </w:t>
      </w:r>
      <w:r w:rsidR="00625C5E" w:rsidRPr="00D458AE">
        <w:rPr>
          <w:rFonts w:asciiTheme="minorHAnsi" w:hAnsiTheme="minorHAnsi"/>
          <w:sz w:val="24"/>
          <w:szCs w:val="24"/>
        </w:rPr>
        <w:t>Inflammatory</w:t>
      </w:r>
      <w:r w:rsidRPr="00D458AE">
        <w:rPr>
          <w:rFonts w:asciiTheme="minorHAnsi" w:hAnsiTheme="minorHAnsi"/>
          <w:sz w:val="24"/>
          <w:szCs w:val="24"/>
        </w:rPr>
        <w:t xml:space="preserve"> Disease (NOMID) / Chronic Infantile Neurological, Cutaneous, Articular Syndrome (CINCA), Muckle-Wells Syndrome (NWS), and Familiar Cold </w:t>
      </w:r>
      <w:r w:rsidR="00625C5E" w:rsidRPr="00D458AE">
        <w:rPr>
          <w:rFonts w:asciiTheme="minorHAnsi" w:hAnsiTheme="minorHAnsi"/>
          <w:sz w:val="24"/>
          <w:szCs w:val="24"/>
        </w:rPr>
        <w:t>Autoinflammatory</w:t>
      </w:r>
      <w:r w:rsidRPr="00D458AE">
        <w:rPr>
          <w:rFonts w:asciiTheme="minorHAnsi" w:hAnsiTheme="minorHAnsi"/>
          <w:sz w:val="24"/>
          <w:szCs w:val="24"/>
        </w:rPr>
        <w:t xml:space="preserve"> Syndrome (FCAS); and</w:t>
      </w:r>
    </w:p>
    <w:p w:rsidR="000C5082" w:rsidRPr="00D458AE" w:rsidRDefault="000C5082" w:rsidP="000C5082">
      <w:pPr>
        <w:pStyle w:val="ListParagraph"/>
        <w:numPr>
          <w:ilvl w:val="0"/>
          <w:numId w:val="15"/>
        </w:numPr>
        <w:rPr>
          <w:rFonts w:asciiTheme="minorHAnsi" w:hAnsiTheme="minorHAnsi"/>
          <w:sz w:val="24"/>
          <w:szCs w:val="24"/>
        </w:rPr>
      </w:pPr>
      <w:r w:rsidRPr="00D458AE">
        <w:rPr>
          <w:rFonts w:asciiTheme="minorHAnsi" w:hAnsiTheme="minorHAnsi"/>
          <w:sz w:val="24"/>
          <w:szCs w:val="24"/>
        </w:rPr>
        <w:t xml:space="preserve">The treatment of active Systemic Juvenile idiopathic Arthritis (SJIA) in patients 2 years and above who have failed to respond adequately to non-biological DMARDs. </w:t>
      </w:r>
    </w:p>
    <w:p w:rsidR="002B1AE6" w:rsidRPr="00161ADE" w:rsidRDefault="002B1AE6" w:rsidP="000C5082">
      <w:pPr>
        <w:pStyle w:val="ListParagraph"/>
        <w:rPr>
          <w:rFonts w:asciiTheme="minorHAnsi" w:hAnsiTheme="minorHAnsi"/>
          <w:i/>
          <w:szCs w:val="22"/>
        </w:rPr>
      </w:pPr>
    </w:p>
    <w:p w:rsidR="00BB7EC3" w:rsidRPr="00D458AE" w:rsidRDefault="00161ADE" w:rsidP="00882085">
      <w:pPr>
        <w:pStyle w:val="ListParagraph"/>
        <w:numPr>
          <w:ilvl w:val="1"/>
          <w:numId w:val="5"/>
        </w:numPr>
        <w:rPr>
          <w:rFonts w:asciiTheme="minorHAnsi" w:hAnsiTheme="minorHAnsi"/>
          <w:sz w:val="24"/>
          <w:szCs w:val="24"/>
        </w:rPr>
      </w:pPr>
      <w:r w:rsidRPr="00D458AE">
        <w:rPr>
          <w:rFonts w:asciiTheme="minorHAnsi" w:hAnsiTheme="minorHAnsi"/>
          <w:sz w:val="24"/>
          <w:szCs w:val="24"/>
        </w:rPr>
        <w:t xml:space="preserve">The </w:t>
      </w:r>
      <w:r w:rsidR="00A54E8E" w:rsidRPr="00D458AE">
        <w:rPr>
          <w:rFonts w:asciiTheme="minorHAnsi" w:hAnsiTheme="minorHAnsi"/>
          <w:sz w:val="24"/>
          <w:szCs w:val="24"/>
        </w:rPr>
        <w:t>PBAC recall</w:t>
      </w:r>
      <w:r w:rsidRPr="00D458AE">
        <w:rPr>
          <w:rFonts w:asciiTheme="minorHAnsi" w:hAnsiTheme="minorHAnsi"/>
          <w:sz w:val="24"/>
          <w:szCs w:val="24"/>
        </w:rPr>
        <w:t xml:space="preserve">ed that anakinra </w:t>
      </w:r>
      <w:r w:rsidR="00A54E8E" w:rsidRPr="00D458AE">
        <w:rPr>
          <w:rFonts w:asciiTheme="minorHAnsi" w:hAnsiTheme="minorHAnsi"/>
          <w:sz w:val="24"/>
          <w:szCs w:val="24"/>
        </w:rPr>
        <w:t>was recommend</w:t>
      </w:r>
      <w:r w:rsidR="0097539B">
        <w:rPr>
          <w:rFonts w:asciiTheme="minorHAnsi" w:hAnsiTheme="minorHAnsi"/>
          <w:sz w:val="24"/>
          <w:szCs w:val="24"/>
        </w:rPr>
        <w:t>ed</w:t>
      </w:r>
      <w:r w:rsidR="00A54E8E" w:rsidRPr="00D458AE">
        <w:rPr>
          <w:rFonts w:asciiTheme="minorHAnsi" w:hAnsiTheme="minorHAnsi"/>
          <w:sz w:val="24"/>
          <w:szCs w:val="24"/>
        </w:rPr>
        <w:t xml:space="preserve"> </w:t>
      </w:r>
      <w:r w:rsidRPr="00D458AE">
        <w:rPr>
          <w:rFonts w:asciiTheme="minorHAnsi" w:hAnsiTheme="minorHAnsi"/>
          <w:sz w:val="24"/>
          <w:szCs w:val="24"/>
        </w:rPr>
        <w:t xml:space="preserve">for patients with moderate to severe CAPS under the Authority Required (STREAMLINED) Section 100 Highly Special Drugs schedule </w:t>
      </w:r>
      <w:r w:rsidR="000B64DF" w:rsidRPr="00D458AE">
        <w:rPr>
          <w:rFonts w:asciiTheme="minorHAnsi" w:hAnsiTheme="minorHAnsi"/>
          <w:sz w:val="24"/>
          <w:szCs w:val="24"/>
        </w:rPr>
        <w:t>at</w:t>
      </w:r>
      <w:r w:rsidRPr="00D458AE">
        <w:rPr>
          <w:rFonts w:asciiTheme="minorHAnsi" w:hAnsiTheme="minorHAnsi"/>
          <w:sz w:val="24"/>
          <w:szCs w:val="24"/>
        </w:rPr>
        <w:t xml:space="preserve"> the November 2014 PBAC meeting. </w:t>
      </w:r>
    </w:p>
    <w:p w:rsidR="003F77C1" w:rsidRDefault="003F77C1" w:rsidP="003F77C1">
      <w:pPr>
        <w:pStyle w:val="Header"/>
        <w:tabs>
          <w:tab w:val="clear" w:pos="4153"/>
          <w:tab w:val="clear" w:pos="8306"/>
          <w:tab w:val="left" w:pos="2581"/>
        </w:tabs>
        <w:jc w:val="both"/>
        <w:rPr>
          <w:rFonts w:asciiTheme="minorHAnsi" w:hAnsiTheme="minorHAnsi"/>
          <w:sz w:val="22"/>
          <w:szCs w:val="22"/>
        </w:rPr>
      </w:pPr>
    </w:p>
    <w:p w:rsidR="00B74370" w:rsidRPr="00D458AE" w:rsidRDefault="00B74370" w:rsidP="00D458AE">
      <w:pPr>
        <w:pStyle w:val="PBACHeading1"/>
        <w:numPr>
          <w:ilvl w:val="0"/>
          <w:numId w:val="5"/>
        </w:numPr>
        <w:rPr>
          <w:rFonts w:asciiTheme="minorHAnsi" w:hAnsiTheme="minorHAnsi"/>
          <w:sz w:val="32"/>
          <w:szCs w:val="32"/>
        </w:rPr>
      </w:pPr>
      <w:r w:rsidRPr="00D458AE">
        <w:rPr>
          <w:rFonts w:asciiTheme="minorHAnsi" w:hAnsiTheme="minorHAnsi"/>
          <w:sz w:val="32"/>
          <w:szCs w:val="32"/>
        </w:rPr>
        <w:lastRenderedPageBreak/>
        <w:t>Consideration of the evidence</w:t>
      </w:r>
    </w:p>
    <w:p w:rsidR="00335F50" w:rsidRPr="00F36CCB" w:rsidRDefault="00335F50" w:rsidP="00335F50"/>
    <w:p w:rsidR="00335F50" w:rsidRPr="00D458AE" w:rsidRDefault="00335F50" w:rsidP="00335F50">
      <w:pPr>
        <w:pStyle w:val="Heading2"/>
        <w:rPr>
          <w:rFonts w:asciiTheme="minorHAnsi" w:hAnsiTheme="minorHAnsi"/>
          <w:sz w:val="28"/>
          <w:szCs w:val="28"/>
        </w:rPr>
      </w:pPr>
      <w:r w:rsidRPr="00D458AE">
        <w:rPr>
          <w:rFonts w:asciiTheme="minorHAnsi" w:hAnsiTheme="minorHAnsi"/>
          <w:sz w:val="28"/>
          <w:szCs w:val="28"/>
        </w:rPr>
        <w:t>Sponsor hearing</w:t>
      </w:r>
    </w:p>
    <w:p w:rsidR="00335F50" w:rsidRPr="000627FE" w:rsidRDefault="00335F50" w:rsidP="004570D9">
      <w:pPr>
        <w:widowControl w:val="0"/>
        <w:numPr>
          <w:ilvl w:val="1"/>
          <w:numId w:val="5"/>
        </w:numPr>
        <w:spacing w:before="120" w:after="120"/>
        <w:jc w:val="both"/>
        <w:rPr>
          <w:rFonts w:asciiTheme="minorHAnsi" w:hAnsiTheme="minorHAnsi" w:cs="Arial"/>
          <w:bCs/>
          <w:snapToGrid w:val="0"/>
        </w:rPr>
      </w:pPr>
      <w:r w:rsidRPr="000627FE">
        <w:rPr>
          <w:rFonts w:asciiTheme="minorHAnsi" w:hAnsiTheme="minorHAnsi" w:cs="Arial"/>
          <w:bCs/>
          <w:snapToGrid w:val="0"/>
        </w:rPr>
        <w:t xml:space="preserve">There was no hearing for this item as it was a minor submission. </w:t>
      </w:r>
    </w:p>
    <w:p w:rsidR="00B74370" w:rsidRPr="000627FE" w:rsidRDefault="00B74370" w:rsidP="003F77C1">
      <w:pPr>
        <w:pStyle w:val="Header"/>
        <w:tabs>
          <w:tab w:val="clear" w:pos="4153"/>
          <w:tab w:val="clear" w:pos="8306"/>
          <w:tab w:val="left" w:pos="2581"/>
        </w:tabs>
        <w:jc w:val="both"/>
        <w:rPr>
          <w:rFonts w:asciiTheme="minorHAnsi" w:hAnsiTheme="minorHAnsi"/>
          <w:sz w:val="22"/>
          <w:szCs w:val="22"/>
        </w:rPr>
      </w:pPr>
    </w:p>
    <w:p w:rsidR="00335F50" w:rsidRPr="00D458AE" w:rsidRDefault="00335F50" w:rsidP="00335F50">
      <w:pPr>
        <w:pStyle w:val="Heading2"/>
        <w:rPr>
          <w:rFonts w:asciiTheme="minorHAnsi" w:hAnsiTheme="minorHAnsi"/>
          <w:sz w:val="28"/>
          <w:szCs w:val="28"/>
        </w:rPr>
      </w:pPr>
      <w:r w:rsidRPr="00D458AE">
        <w:rPr>
          <w:rFonts w:asciiTheme="minorHAnsi" w:hAnsiTheme="minorHAnsi"/>
          <w:sz w:val="28"/>
          <w:szCs w:val="28"/>
        </w:rPr>
        <w:t>Consumer comments</w:t>
      </w:r>
    </w:p>
    <w:p w:rsidR="00B74370" w:rsidRPr="000627FE" w:rsidRDefault="00B74370" w:rsidP="004570D9">
      <w:pPr>
        <w:widowControl w:val="0"/>
        <w:numPr>
          <w:ilvl w:val="1"/>
          <w:numId w:val="5"/>
        </w:numPr>
        <w:spacing w:before="120" w:after="120"/>
        <w:jc w:val="both"/>
        <w:rPr>
          <w:rFonts w:asciiTheme="minorHAnsi" w:hAnsiTheme="minorHAnsi" w:cs="Arial"/>
          <w:bCs/>
          <w:snapToGrid w:val="0"/>
        </w:rPr>
      </w:pPr>
      <w:r w:rsidRPr="000627FE">
        <w:rPr>
          <w:rFonts w:asciiTheme="minorHAnsi" w:hAnsiTheme="minorHAnsi" w:cs="Arial"/>
          <w:bCs/>
          <w:snapToGrid w:val="0"/>
        </w:rPr>
        <w:t>The PBAC noted that no consumer comme</w:t>
      </w:r>
      <w:r w:rsidR="00316C96" w:rsidRPr="000627FE">
        <w:rPr>
          <w:rFonts w:asciiTheme="minorHAnsi" w:hAnsiTheme="minorHAnsi" w:cs="Arial"/>
          <w:bCs/>
          <w:snapToGrid w:val="0"/>
        </w:rPr>
        <w:t>nts were received for this item</w:t>
      </w:r>
      <w:r w:rsidRPr="000627FE">
        <w:rPr>
          <w:rFonts w:asciiTheme="minorHAnsi" w:hAnsiTheme="minorHAnsi" w:cs="Arial"/>
          <w:bCs/>
          <w:snapToGrid w:val="0"/>
        </w:rPr>
        <w:t>.</w:t>
      </w:r>
    </w:p>
    <w:p w:rsidR="00335F50" w:rsidRPr="00EB3F99" w:rsidRDefault="00335F50" w:rsidP="00B74370">
      <w:pPr>
        <w:rPr>
          <w:rFonts w:asciiTheme="minorHAnsi" w:hAnsiTheme="minorHAnsi"/>
          <w:i/>
        </w:rPr>
      </w:pPr>
    </w:p>
    <w:p w:rsidR="00335F50" w:rsidRPr="00D458AE" w:rsidRDefault="00335F50" w:rsidP="00335F50">
      <w:pPr>
        <w:pStyle w:val="Heading2"/>
        <w:rPr>
          <w:rFonts w:asciiTheme="minorHAnsi" w:hAnsiTheme="minorHAnsi"/>
          <w:sz w:val="28"/>
          <w:szCs w:val="28"/>
        </w:rPr>
      </w:pPr>
      <w:r w:rsidRPr="00D458AE">
        <w:rPr>
          <w:rFonts w:asciiTheme="minorHAnsi" w:hAnsiTheme="minorHAnsi"/>
          <w:sz w:val="28"/>
          <w:szCs w:val="28"/>
        </w:rPr>
        <w:t>Estimated PBS usage &amp; financial implications</w:t>
      </w:r>
    </w:p>
    <w:p w:rsidR="005A3173" w:rsidRPr="00F36CCB" w:rsidRDefault="005A3173" w:rsidP="00335F50">
      <w:pPr>
        <w:jc w:val="both"/>
        <w:rPr>
          <w:rFonts w:asciiTheme="minorHAnsi" w:hAnsiTheme="minorHAnsi"/>
          <w:b/>
          <w:i/>
          <w:sz w:val="22"/>
          <w:szCs w:val="22"/>
        </w:rPr>
      </w:pPr>
    </w:p>
    <w:p w:rsidR="000B64DF" w:rsidRPr="00D458AE" w:rsidRDefault="00FF2801" w:rsidP="000B64DF">
      <w:pPr>
        <w:pStyle w:val="ListParagraph"/>
        <w:numPr>
          <w:ilvl w:val="1"/>
          <w:numId w:val="5"/>
        </w:numPr>
        <w:rPr>
          <w:rFonts w:asciiTheme="minorHAnsi" w:hAnsiTheme="minorHAnsi"/>
          <w:sz w:val="24"/>
          <w:szCs w:val="24"/>
        </w:rPr>
      </w:pPr>
      <w:r w:rsidRPr="00D458AE">
        <w:rPr>
          <w:rFonts w:asciiTheme="minorHAnsi" w:hAnsiTheme="minorHAnsi"/>
          <w:sz w:val="24"/>
          <w:szCs w:val="24"/>
        </w:rPr>
        <w:t>The minor submission</w:t>
      </w:r>
      <w:r w:rsidR="005F49E2" w:rsidRPr="00D458AE">
        <w:rPr>
          <w:rFonts w:asciiTheme="minorHAnsi" w:hAnsiTheme="minorHAnsi"/>
          <w:sz w:val="24"/>
          <w:szCs w:val="24"/>
        </w:rPr>
        <w:t xml:space="preserve"> did not present</w:t>
      </w:r>
      <w:r w:rsidR="00161ADE" w:rsidRPr="00D458AE">
        <w:rPr>
          <w:rFonts w:asciiTheme="minorHAnsi" w:hAnsiTheme="minorHAnsi"/>
          <w:sz w:val="24"/>
          <w:szCs w:val="24"/>
        </w:rPr>
        <w:t xml:space="preserve"> </w:t>
      </w:r>
      <w:r w:rsidR="005F49E2" w:rsidRPr="00D458AE">
        <w:rPr>
          <w:rFonts w:asciiTheme="minorHAnsi" w:hAnsiTheme="minorHAnsi"/>
          <w:sz w:val="24"/>
          <w:szCs w:val="24"/>
        </w:rPr>
        <w:t>any information regarding</w:t>
      </w:r>
      <w:r w:rsidR="000D6092" w:rsidRPr="00D458AE">
        <w:rPr>
          <w:rFonts w:asciiTheme="minorHAnsi" w:hAnsiTheme="minorHAnsi"/>
          <w:sz w:val="24"/>
          <w:szCs w:val="24"/>
        </w:rPr>
        <w:t xml:space="preserve"> estimated PBS usage or financial implication</w:t>
      </w:r>
      <w:r w:rsidR="0097539B">
        <w:rPr>
          <w:rFonts w:asciiTheme="minorHAnsi" w:hAnsiTheme="minorHAnsi"/>
          <w:sz w:val="24"/>
          <w:szCs w:val="24"/>
        </w:rPr>
        <w:t>s</w:t>
      </w:r>
      <w:r w:rsidR="000D6092" w:rsidRPr="00D458AE">
        <w:rPr>
          <w:rFonts w:asciiTheme="minorHAnsi" w:hAnsiTheme="minorHAnsi"/>
          <w:sz w:val="24"/>
          <w:szCs w:val="24"/>
        </w:rPr>
        <w:t xml:space="preserve">. However, </w:t>
      </w:r>
      <w:r w:rsidR="00C00DA7" w:rsidRPr="00D458AE">
        <w:rPr>
          <w:rFonts w:asciiTheme="minorHAnsi" w:hAnsiTheme="minorHAnsi"/>
          <w:sz w:val="24"/>
          <w:szCs w:val="24"/>
        </w:rPr>
        <w:t xml:space="preserve">the submission </w:t>
      </w:r>
      <w:r w:rsidR="000B64DF" w:rsidRPr="00D458AE">
        <w:rPr>
          <w:rFonts w:asciiTheme="minorHAnsi" w:hAnsiTheme="minorHAnsi"/>
          <w:sz w:val="24"/>
          <w:szCs w:val="24"/>
        </w:rPr>
        <w:t>expected that</w:t>
      </w:r>
      <w:r w:rsidR="00C00DA7" w:rsidRPr="00D458AE">
        <w:rPr>
          <w:rFonts w:asciiTheme="minorHAnsi" w:hAnsiTheme="minorHAnsi"/>
          <w:sz w:val="24"/>
          <w:szCs w:val="24"/>
        </w:rPr>
        <w:t xml:space="preserve"> </w:t>
      </w:r>
      <w:r w:rsidR="000D6092" w:rsidRPr="00D458AE">
        <w:rPr>
          <w:rFonts w:asciiTheme="minorHAnsi" w:hAnsiTheme="minorHAnsi"/>
          <w:sz w:val="24"/>
          <w:szCs w:val="24"/>
        </w:rPr>
        <w:t xml:space="preserve">the change </w:t>
      </w:r>
      <w:r w:rsidR="000B64DF" w:rsidRPr="00D458AE">
        <w:rPr>
          <w:rFonts w:asciiTheme="minorHAnsi" w:hAnsiTheme="minorHAnsi"/>
          <w:sz w:val="24"/>
          <w:szCs w:val="24"/>
        </w:rPr>
        <w:t>in</w:t>
      </w:r>
      <w:r w:rsidR="000D6092" w:rsidRPr="00D458AE">
        <w:rPr>
          <w:rFonts w:asciiTheme="minorHAnsi" w:hAnsiTheme="minorHAnsi"/>
          <w:sz w:val="24"/>
          <w:szCs w:val="24"/>
        </w:rPr>
        <w:t xml:space="preserve"> restriction level </w:t>
      </w:r>
      <w:r w:rsidR="000B64DF" w:rsidRPr="00D458AE">
        <w:rPr>
          <w:rFonts w:asciiTheme="minorHAnsi" w:hAnsiTheme="minorHAnsi"/>
          <w:sz w:val="24"/>
          <w:szCs w:val="24"/>
        </w:rPr>
        <w:t>would</w:t>
      </w:r>
      <w:r w:rsidR="000D6092" w:rsidRPr="00D458AE">
        <w:rPr>
          <w:rFonts w:asciiTheme="minorHAnsi" w:hAnsiTheme="minorHAnsi"/>
          <w:sz w:val="24"/>
          <w:szCs w:val="24"/>
        </w:rPr>
        <w:t xml:space="preserve"> prevent the use of </w:t>
      </w:r>
      <w:r w:rsidR="0097539B">
        <w:rPr>
          <w:rFonts w:asciiTheme="minorHAnsi" w:hAnsiTheme="minorHAnsi"/>
          <w:sz w:val="24"/>
          <w:szCs w:val="24"/>
        </w:rPr>
        <w:t xml:space="preserve">the </w:t>
      </w:r>
      <w:r w:rsidR="000D6092" w:rsidRPr="00D458AE">
        <w:rPr>
          <w:rFonts w:asciiTheme="minorHAnsi" w:hAnsiTheme="minorHAnsi"/>
          <w:sz w:val="24"/>
          <w:szCs w:val="24"/>
        </w:rPr>
        <w:t xml:space="preserve">drug outside of the current restriction, and hence </w:t>
      </w:r>
      <w:r w:rsidR="000B64DF" w:rsidRPr="00D458AE">
        <w:rPr>
          <w:rFonts w:asciiTheme="minorHAnsi" w:hAnsiTheme="minorHAnsi"/>
          <w:sz w:val="24"/>
          <w:szCs w:val="24"/>
        </w:rPr>
        <w:t>lower the overall</w:t>
      </w:r>
      <w:r w:rsidR="005F49E2" w:rsidRPr="00D458AE">
        <w:rPr>
          <w:rFonts w:asciiTheme="minorHAnsi" w:hAnsiTheme="minorHAnsi"/>
          <w:sz w:val="24"/>
          <w:szCs w:val="24"/>
        </w:rPr>
        <w:t xml:space="preserve"> use of anakinra</w:t>
      </w:r>
      <w:r w:rsidR="000B64DF" w:rsidRPr="00D458AE">
        <w:rPr>
          <w:rFonts w:asciiTheme="minorHAnsi" w:hAnsiTheme="minorHAnsi"/>
          <w:sz w:val="24"/>
          <w:szCs w:val="24"/>
        </w:rPr>
        <w:t xml:space="preserve"> as subsidised by the PBS</w:t>
      </w:r>
      <w:r w:rsidR="00C00DA7" w:rsidRPr="00D458AE">
        <w:rPr>
          <w:rFonts w:asciiTheme="minorHAnsi" w:hAnsiTheme="minorHAnsi"/>
          <w:sz w:val="24"/>
          <w:szCs w:val="24"/>
        </w:rPr>
        <w:t xml:space="preserve">. </w:t>
      </w:r>
    </w:p>
    <w:p w:rsidR="00694A98" w:rsidRPr="00D458AE" w:rsidRDefault="00694A98" w:rsidP="00D72674">
      <w:pPr>
        <w:pStyle w:val="ListParagraph"/>
        <w:rPr>
          <w:rFonts w:asciiTheme="minorHAnsi" w:hAnsiTheme="minorHAnsi"/>
          <w:sz w:val="24"/>
          <w:szCs w:val="24"/>
        </w:rPr>
      </w:pPr>
    </w:p>
    <w:p w:rsidR="00694A98" w:rsidRPr="00D458AE" w:rsidRDefault="00694A98" w:rsidP="000B64DF">
      <w:pPr>
        <w:pStyle w:val="ListParagraph"/>
        <w:numPr>
          <w:ilvl w:val="1"/>
          <w:numId w:val="5"/>
        </w:numPr>
        <w:rPr>
          <w:rFonts w:asciiTheme="minorHAnsi" w:hAnsiTheme="minorHAnsi"/>
          <w:sz w:val="24"/>
          <w:szCs w:val="24"/>
        </w:rPr>
      </w:pPr>
      <w:r w:rsidRPr="00D458AE">
        <w:rPr>
          <w:rFonts w:asciiTheme="minorHAnsi" w:hAnsiTheme="minorHAnsi"/>
          <w:sz w:val="24"/>
          <w:szCs w:val="24"/>
        </w:rPr>
        <w:t>Overall, the submission</w:t>
      </w:r>
      <w:r w:rsidR="006E075E" w:rsidRPr="00D458AE">
        <w:rPr>
          <w:rFonts w:asciiTheme="minorHAnsi" w:hAnsiTheme="minorHAnsi"/>
          <w:sz w:val="24"/>
          <w:szCs w:val="24"/>
        </w:rPr>
        <w:t xml:space="preserve">’s assumption of </w:t>
      </w:r>
      <w:r w:rsidR="0097539B">
        <w:rPr>
          <w:rFonts w:asciiTheme="minorHAnsi" w:hAnsiTheme="minorHAnsi"/>
          <w:sz w:val="24"/>
          <w:szCs w:val="24"/>
        </w:rPr>
        <w:t>use</w:t>
      </w:r>
      <w:r w:rsidR="006E075E" w:rsidRPr="00D458AE">
        <w:rPr>
          <w:rFonts w:asciiTheme="minorHAnsi" w:hAnsiTheme="minorHAnsi"/>
          <w:sz w:val="24"/>
          <w:szCs w:val="24"/>
        </w:rPr>
        <w:t xml:space="preserve"> of anakinra outside the current restriction may not be reasonable as the submission</w:t>
      </w:r>
      <w:r w:rsidRPr="00D458AE">
        <w:rPr>
          <w:rFonts w:asciiTheme="minorHAnsi" w:hAnsiTheme="minorHAnsi"/>
          <w:sz w:val="24"/>
          <w:szCs w:val="24"/>
        </w:rPr>
        <w:t xml:space="preserve"> did not provide any evidence to support th</w:t>
      </w:r>
      <w:r w:rsidR="0019153B" w:rsidRPr="00D458AE">
        <w:rPr>
          <w:rFonts w:asciiTheme="minorHAnsi" w:hAnsiTheme="minorHAnsi"/>
          <w:sz w:val="24"/>
          <w:szCs w:val="24"/>
        </w:rPr>
        <w:t>is</w:t>
      </w:r>
      <w:r w:rsidRPr="00D458AE">
        <w:rPr>
          <w:rFonts w:asciiTheme="minorHAnsi" w:hAnsiTheme="minorHAnsi"/>
          <w:sz w:val="24"/>
          <w:szCs w:val="24"/>
        </w:rPr>
        <w:t xml:space="preserve"> claim</w:t>
      </w:r>
      <w:r w:rsidR="006E075E" w:rsidRPr="00D458AE">
        <w:rPr>
          <w:rFonts w:asciiTheme="minorHAnsi" w:hAnsiTheme="minorHAnsi"/>
          <w:sz w:val="24"/>
          <w:szCs w:val="24"/>
        </w:rPr>
        <w:t xml:space="preserve">. </w:t>
      </w:r>
      <w:r w:rsidR="00BD642A" w:rsidRPr="00D458AE">
        <w:rPr>
          <w:rFonts w:asciiTheme="minorHAnsi" w:hAnsiTheme="minorHAnsi"/>
          <w:sz w:val="24"/>
          <w:szCs w:val="24"/>
        </w:rPr>
        <w:t>The PBAC noted</w:t>
      </w:r>
      <w:r w:rsidR="004D4E35">
        <w:rPr>
          <w:rFonts w:asciiTheme="minorHAnsi" w:hAnsiTheme="minorHAnsi"/>
          <w:sz w:val="24"/>
          <w:szCs w:val="24"/>
        </w:rPr>
        <w:t xml:space="preserve"> that</w:t>
      </w:r>
      <w:r w:rsidR="00BD642A" w:rsidRPr="00D458AE">
        <w:rPr>
          <w:rFonts w:asciiTheme="minorHAnsi" w:hAnsiTheme="minorHAnsi"/>
          <w:sz w:val="24"/>
          <w:szCs w:val="24"/>
        </w:rPr>
        <w:t>, a</w:t>
      </w:r>
      <w:r w:rsidRPr="00D458AE">
        <w:rPr>
          <w:rFonts w:asciiTheme="minorHAnsi" w:hAnsiTheme="minorHAnsi"/>
          <w:sz w:val="24"/>
          <w:szCs w:val="24"/>
        </w:rPr>
        <w:t xml:space="preserve">s indicated by the DUSC Secretariat, </w:t>
      </w:r>
      <w:r w:rsidR="0097539B">
        <w:rPr>
          <w:rFonts w:asciiTheme="minorHAnsi" w:hAnsiTheme="minorHAnsi"/>
          <w:sz w:val="24"/>
          <w:szCs w:val="24"/>
        </w:rPr>
        <w:t>a small number of</w:t>
      </w:r>
      <w:r w:rsidRPr="00D458AE">
        <w:rPr>
          <w:rFonts w:asciiTheme="minorHAnsi" w:hAnsiTheme="minorHAnsi"/>
          <w:sz w:val="24"/>
          <w:szCs w:val="24"/>
        </w:rPr>
        <w:t xml:space="preserve"> patients </w:t>
      </w:r>
      <w:r w:rsidR="0097539B">
        <w:rPr>
          <w:rFonts w:asciiTheme="minorHAnsi" w:hAnsiTheme="minorHAnsi"/>
          <w:sz w:val="24"/>
          <w:szCs w:val="24"/>
        </w:rPr>
        <w:t xml:space="preserve">may be </w:t>
      </w:r>
      <w:r w:rsidRPr="00D458AE">
        <w:rPr>
          <w:rFonts w:asciiTheme="minorHAnsi" w:hAnsiTheme="minorHAnsi"/>
          <w:sz w:val="24"/>
          <w:szCs w:val="24"/>
        </w:rPr>
        <w:t xml:space="preserve">using higher </w:t>
      </w:r>
      <w:r w:rsidR="0097539B">
        <w:rPr>
          <w:rFonts w:asciiTheme="minorHAnsi" w:hAnsiTheme="minorHAnsi"/>
          <w:sz w:val="24"/>
          <w:szCs w:val="24"/>
        </w:rPr>
        <w:t xml:space="preserve">than expected </w:t>
      </w:r>
      <w:r w:rsidRPr="00D458AE">
        <w:rPr>
          <w:rFonts w:asciiTheme="minorHAnsi" w:hAnsiTheme="minorHAnsi"/>
          <w:sz w:val="24"/>
          <w:szCs w:val="24"/>
        </w:rPr>
        <w:t xml:space="preserve">doses of anakinra, which </w:t>
      </w:r>
      <w:r w:rsidR="0097539B">
        <w:rPr>
          <w:rFonts w:asciiTheme="minorHAnsi" w:hAnsiTheme="minorHAnsi"/>
          <w:sz w:val="24"/>
          <w:szCs w:val="24"/>
        </w:rPr>
        <w:t>may</w:t>
      </w:r>
      <w:r w:rsidR="0097539B" w:rsidRPr="00D458AE">
        <w:rPr>
          <w:rFonts w:asciiTheme="minorHAnsi" w:hAnsiTheme="minorHAnsi"/>
          <w:sz w:val="24"/>
          <w:szCs w:val="24"/>
        </w:rPr>
        <w:t xml:space="preserve"> </w:t>
      </w:r>
      <w:r w:rsidRPr="00D458AE">
        <w:rPr>
          <w:rFonts w:asciiTheme="minorHAnsi" w:hAnsiTheme="minorHAnsi"/>
          <w:sz w:val="24"/>
          <w:szCs w:val="24"/>
        </w:rPr>
        <w:t xml:space="preserve">contribute to </w:t>
      </w:r>
      <w:r w:rsidR="0097539B">
        <w:rPr>
          <w:rFonts w:asciiTheme="minorHAnsi" w:hAnsiTheme="minorHAnsi"/>
          <w:sz w:val="24"/>
          <w:szCs w:val="24"/>
        </w:rPr>
        <w:t>higher expenditure</w:t>
      </w:r>
      <w:r w:rsidRPr="00D458AE">
        <w:rPr>
          <w:rFonts w:asciiTheme="minorHAnsi" w:hAnsiTheme="minorHAnsi"/>
          <w:sz w:val="24"/>
          <w:szCs w:val="24"/>
        </w:rPr>
        <w:t xml:space="preserve">. </w:t>
      </w:r>
    </w:p>
    <w:p w:rsidR="003872CF" w:rsidRPr="00F36CCB" w:rsidRDefault="003872CF" w:rsidP="00A87548">
      <w:pPr>
        <w:rPr>
          <w:rFonts w:asciiTheme="minorHAnsi" w:hAnsiTheme="minorHAnsi"/>
          <w:sz w:val="22"/>
          <w:szCs w:val="22"/>
        </w:rPr>
      </w:pPr>
    </w:p>
    <w:p w:rsidR="00B74370" w:rsidRPr="00EB3F99" w:rsidRDefault="00B74370" w:rsidP="00454F3B">
      <w:pPr>
        <w:ind w:left="720"/>
        <w:rPr>
          <w:rFonts w:asciiTheme="minorHAnsi" w:hAnsiTheme="minorHAnsi"/>
          <w:i/>
        </w:rPr>
      </w:pPr>
      <w:r w:rsidRPr="00454F3B">
        <w:rPr>
          <w:rFonts w:asciiTheme="minorHAnsi" w:hAnsiTheme="minorHAnsi"/>
          <w:i/>
        </w:rPr>
        <w:t xml:space="preserve">For more detail on PBAC’s view, see section </w:t>
      </w:r>
      <w:r w:rsidR="006D0F6B">
        <w:rPr>
          <w:rFonts w:asciiTheme="minorHAnsi" w:hAnsiTheme="minorHAnsi"/>
          <w:i/>
        </w:rPr>
        <w:t>5</w:t>
      </w:r>
      <w:r w:rsidR="006D0F6B" w:rsidRPr="00454F3B">
        <w:rPr>
          <w:rFonts w:asciiTheme="minorHAnsi" w:hAnsiTheme="minorHAnsi"/>
          <w:i/>
        </w:rPr>
        <w:t xml:space="preserve"> </w:t>
      </w:r>
      <w:r w:rsidRPr="00454F3B">
        <w:rPr>
          <w:rFonts w:asciiTheme="minorHAnsi" w:hAnsiTheme="minorHAnsi"/>
          <w:i/>
        </w:rPr>
        <w:t>“PBAC outcome.”</w:t>
      </w:r>
    </w:p>
    <w:p w:rsidR="00D945B2" w:rsidRDefault="00D945B2">
      <w:pPr>
        <w:rPr>
          <w:rFonts w:asciiTheme="minorHAnsi" w:hAnsiTheme="minorHAnsi"/>
          <w:sz w:val="22"/>
          <w:szCs w:val="22"/>
        </w:rPr>
      </w:pPr>
    </w:p>
    <w:p w:rsidR="00335F50" w:rsidRPr="00D458AE" w:rsidRDefault="00335F50" w:rsidP="00D458AE">
      <w:pPr>
        <w:pStyle w:val="PBACHeading1"/>
        <w:numPr>
          <w:ilvl w:val="0"/>
          <w:numId w:val="5"/>
        </w:numPr>
        <w:rPr>
          <w:rFonts w:asciiTheme="minorHAnsi" w:hAnsiTheme="minorHAnsi"/>
          <w:sz w:val="32"/>
          <w:szCs w:val="32"/>
        </w:rPr>
      </w:pPr>
      <w:r w:rsidRPr="00D458AE">
        <w:rPr>
          <w:rFonts w:asciiTheme="minorHAnsi" w:hAnsiTheme="minorHAnsi"/>
          <w:sz w:val="32"/>
          <w:szCs w:val="32"/>
        </w:rPr>
        <w:t>PBAC Outcome</w:t>
      </w:r>
    </w:p>
    <w:p w:rsidR="00335F50" w:rsidRPr="00335F50" w:rsidRDefault="00335F50" w:rsidP="00335F50"/>
    <w:p w:rsidR="002667F2" w:rsidRDefault="002667F2" w:rsidP="009C3694">
      <w:pPr>
        <w:pStyle w:val="ListParagraph"/>
        <w:numPr>
          <w:ilvl w:val="1"/>
          <w:numId w:val="5"/>
        </w:numPr>
        <w:rPr>
          <w:rFonts w:asciiTheme="minorHAnsi" w:hAnsiTheme="minorHAnsi"/>
          <w:sz w:val="24"/>
          <w:szCs w:val="24"/>
        </w:rPr>
      </w:pPr>
      <w:r w:rsidRPr="009C3694">
        <w:rPr>
          <w:rFonts w:asciiTheme="minorHAnsi" w:hAnsiTheme="minorHAnsi"/>
          <w:sz w:val="24"/>
          <w:szCs w:val="24"/>
        </w:rPr>
        <w:t xml:space="preserve">The PBAC did not recommend amending the Authority </w:t>
      </w:r>
      <w:r w:rsidR="0097539B" w:rsidRPr="009C3694">
        <w:rPr>
          <w:rFonts w:asciiTheme="minorHAnsi" w:hAnsiTheme="minorHAnsi"/>
          <w:sz w:val="24"/>
          <w:szCs w:val="24"/>
        </w:rPr>
        <w:t>Required</w:t>
      </w:r>
      <w:r w:rsidRPr="009C3694">
        <w:rPr>
          <w:rFonts w:asciiTheme="minorHAnsi" w:hAnsiTheme="minorHAnsi"/>
          <w:sz w:val="24"/>
          <w:szCs w:val="24"/>
        </w:rPr>
        <w:t xml:space="preserve"> (STREAMLINED) listing for anakinra to </w:t>
      </w:r>
      <w:r w:rsidR="004D4E35">
        <w:rPr>
          <w:rFonts w:asciiTheme="minorHAnsi" w:hAnsiTheme="minorHAnsi"/>
          <w:sz w:val="24"/>
          <w:szCs w:val="24"/>
        </w:rPr>
        <w:t xml:space="preserve">an </w:t>
      </w:r>
      <w:r w:rsidRPr="009C3694">
        <w:rPr>
          <w:rFonts w:asciiTheme="minorHAnsi" w:hAnsiTheme="minorHAnsi"/>
          <w:sz w:val="24"/>
          <w:szCs w:val="24"/>
        </w:rPr>
        <w:t xml:space="preserve">Authority Required </w:t>
      </w:r>
      <w:r w:rsidR="00DC68BC" w:rsidRPr="009C3694">
        <w:rPr>
          <w:rFonts w:asciiTheme="minorHAnsi" w:hAnsiTheme="minorHAnsi"/>
          <w:sz w:val="24"/>
          <w:szCs w:val="24"/>
        </w:rPr>
        <w:t xml:space="preserve">listing </w:t>
      </w:r>
      <w:r w:rsidRPr="009C3694">
        <w:rPr>
          <w:rFonts w:asciiTheme="minorHAnsi" w:hAnsiTheme="minorHAnsi"/>
          <w:sz w:val="24"/>
          <w:szCs w:val="24"/>
        </w:rPr>
        <w:t xml:space="preserve">for </w:t>
      </w:r>
      <w:r w:rsidR="004D4E35">
        <w:rPr>
          <w:rFonts w:asciiTheme="minorHAnsi" w:hAnsiTheme="minorHAnsi"/>
          <w:sz w:val="24"/>
          <w:szCs w:val="24"/>
        </w:rPr>
        <w:t xml:space="preserve">the </w:t>
      </w:r>
      <w:r w:rsidRPr="009C3694">
        <w:rPr>
          <w:rFonts w:asciiTheme="minorHAnsi" w:hAnsiTheme="minorHAnsi"/>
          <w:sz w:val="24"/>
          <w:szCs w:val="24"/>
        </w:rPr>
        <w:t>treatment of patients with moderate to severe cryopyrin associated periodic syndromes (CAPS).</w:t>
      </w:r>
    </w:p>
    <w:p w:rsidR="004D4E35" w:rsidRPr="009C3694" w:rsidRDefault="004D4E35" w:rsidP="00454F3B">
      <w:pPr>
        <w:pStyle w:val="ListParagraph"/>
        <w:rPr>
          <w:rFonts w:asciiTheme="minorHAnsi" w:hAnsiTheme="minorHAnsi"/>
          <w:sz w:val="24"/>
          <w:szCs w:val="24"/>
        </w:rPr>
      </w:pPr>
    </w:p>
    <w:p w:rsidR="006E2B79" w:rsidRDefault="00A2071E" w:rsidP="00D7347F">
      <w:pPr>
        <w:pStyle w:val="ListParagraph"/>
        <w:numPr>
          <w:ilvl w:val="1"/>
          <w:numId w:val="5"/>
        </w:numPr>
        <w:rPr>
          <w:rFonts w:asciiTheme="minorHAnsi" w:hAnsiTheme="minorHAnsi"/>
          <w:sz w:val="24"/>
          <w:szCs w:val="24"/>
        </w:rPr>
      </w:pPr>
      <w:r w:rsidRPr="009C3694">
        <w:rPr>
          <w:rFonts w:asciiTheme="minorHAnsi" w:hAnsiTheme="minorHAnsi"/>
          <w:sz w:val="24"/>
          <w:szCs w:val="24"/>
        </w:rPr>
        <w:t xml:space="preserve">The </w:t>
      </w:r>
      <w:r w:rsidR="004D4E35">
        <w:rPr>
          <w:rFonts w:asciiTheme="minorHAnsi" w:hAnsiTheme="minorHAnsi"/>
          <w:sz w:val="24"/>
          <w:szCs w:val="24"/>
        </w:rPr>
        <w:t xml:space="preserve">PBAC noted that the </w:t>
      </w:r>
      <w:r w:rsidRPr="009C3694">
        <w:rPr>
          <w:rFonts w:asciiTheme="minorHAnsi" w:hAnsiTheme="minorHAnsi"/>
          <w:sz w:val="24"/>
          <w:szCs w:val="24"/>
        </w:rPr>
        <w:t>Sponsor presented utilisation</w:t>
      </w:r>
      <w:r w:rsidR="004D4E35">
        <w:rPr>
          <w:rFonts w:asciiTheme="minorHAnsi" w:hAnsiTheme="minorHAnsi"/>
          <w:sz w:val="24"/>
          <w:szCs w:val="24"/>
        </w:rPr>
        <w:t xml:space="preserve"> data</w:t>
      </w:r>
      <w:r w:rsidRPr="009C3694">
        <w:rPr>
          <w:rFonts w:asciiTheme="minorHAnsi" w:hAnsiTheme="minorHAnsi"/>
          <w:sz w:val="24"/>
          <w:szCs w:val="24"/>
        </w:rPr>
        <w:t xml:space="preserve"> f</w:t>
      </w:r>
      <w:r w:rsidR="004D4E35">
        <w:rPr>
          <w:rFonts w:asciiTheme="minorHAnsi" w:hAnsiTheme="minorHAnsi"/>
          <w:sz w:val="24"/>
          <w:szCs w:val="24"/>
        </w:rPr>
        <w:t>or</w:t>
      </w:r>
      <w:r w:rsidRPr="009C3694">
        <w:rPr>
          <w:rFonts w:asciiTheme="minorHAnsi" w:hAnsiTheme="minorHAnsi"/>
          <w:sz w:val="24"/>
          <w:szCs w:val="24"/>
        </w:rPr>
        <w:t xml:space="preserve"> anakinra in the first 21 months of listing, and claimed that the number of scripts used was higher than anticipated. Based on these utilisation data and the sponsor’s assumption of leakage to patients with other conditions</w:t>
      </w:r>
      <w:r w:rsidR="004D4E35">
        <w:rPr>
          <w:rFonts w:asciiTheme="minorHAnsi" w:hAnsiTheme="minorHAnsi"/>
          <w:sz w:val="24"/>
          <w:szCs w:val="24"/>
        </w:rPr>
        <w:t xml:space="preserve"> the sponsor requested a </w:t>
      </w:r>
      <w:r w:rsidR="006E2B79">
        <w:rPr>
          <w:rFonts w:asciiTheme="minorHAnsi" w:hAnsiTheme="minorHAnsi"/>
          <w:sz w:val="24"/>
          <w:szCs w:val="24"/>
        </w:rPr>
        <w:t>change in restriction level to Authority Required</w:t>
      </w:r>
      <w:r w:rsidRPr="009C3694">
        <w:rPr>
          <w:rFonts w:asciiTheme="minorHAnsi" w:hAnsiTheme="minorHAnsi"/>
          <w:sz w:val="24"/>
          <w:szCs w:val="24"/>
        </w:rPr>
        <w:t xml:space="preserve">. </w:t>
      </w:r>
    </w:p>
    <w:p w:rsidR="006E2B79" w:rsidRDefault="006E2B79" w:rsidP="00454F3B">
      <w:pPr>
        <w:pStyle w:val="ListParagraph"/>
        <w:rPr>
          <w:rFonts w:asciiTheme="minorHAnsi" w:hAnsiTheme="minorHAnsi"/>
          <w:sz w:val="24"/>
          <w:szCs w:val="24"/>
        </w:rPr>
      </w:pPr>
    </w:p>
    <w:p w:rsidR="007E0A15" w:rsidRDefault="007E0A15" w:rsidP="00454F3B">
      <w:pPr>
        <w:pStyle w:val="ListParagraph"/>
        <w:rPr>
          <w:rFonts w:asciiTheme="minorHAnsi" w:hAnsiTheme="minorHAnsi"/>
          <w:sz w:val="24"/>
          <w:szCs w:val="24"/>
        </w:rPr>
      </w:pPr>
    </w:p>
    <w:p w:rsidR="007E0A15" w:rsidRDefault="007E0A15" w:rsidP="00454F3B">
      <w:pPr>
        <w:pStyle w:val="ListParagraph"/>
        <w:rPr>
          <w:rFonts w:asciiTheme="minorHAnsi" w:hAnsiTheme="minorHAnsi"/>
          <w:sz w:val="24"/>
          <w:szCs w:val="24"/>
        </w:rPr>
      </w:pPr>
    </w:p>
    <w:p w:rsidR="007E0A15" w:rsidRDefault="007E0A15" w:rsidP="00454F3B">
      <w:pPr>
        <w:pStyle w:val="ListParagraph"/>
        <w:rPr>
          <w:rFonts w:asciiTheme="minorHAnsi" w:hAnsiTheme="minorHAnsi"/>
          <w:sz w:val="24"/>
          <w:szCs w:val="24"/>
        </w:rPr>
      </w:pPr>
    </w:p>
    <w:p w:rsidR="007E0A15" w:rsidRDefault="007E0A15" w:rsidP="00454F3B">
      <w:pPr>
        <w:pStyle w:val="ListParagraph"/>
        <w:rPr>
          <w:rFonts w:asciiTheme="minorHAnsi" w:hAnsiTheme="minorHAnsi"/>
          <w:sz w:val="24"/>
          <w:szCs w:val="24"/>
        </w:rPr>
      </w:pPr>
    </w:p>
    <w:p w:rsidR="007E0A15" w:rsidRDefault="007E0A15" w:rsidP="00454F3B">
      <w:pPr>
        <w:pStyle w:val="ListParagraph"/>
        <w:rPr>
          <w:rFonts w:asciiTheme="minorHAnsi" w:hAnsiTheme="minorHAnsi"/>
          <w:sz w:val="24"/>
          <w:szCs w:val="24"/>
        </w:rPr>
      </w:pPr>
    </w:p>
    <w:p w:rsidR="00AD0C32" w:rsidRDefault="006E2B79" w:rsidP="00D7347F">
      <w:pPr>
        <w:pStyle w:val="ListParagraph"/>
        <w:numPr>
          <w:ilvl w:val="1"/>
          <w:numId w:val="5"/>
        </w:numPr>
        <w:rPr>
          <w:rFonts w:asciiTheme="minorHAnsi" w:hAnsiTheme="minorHAnsi"/>
          <w:sz w:val="24"/>
          <w:szCs w:val="24"/>
        </w:rPr>
      </w:pPr>
      <w:r>
        <w:rPr>
          <w:rFonts w:asciiTheme="minorHAnsi" w:hAnsiTheme="minorHAnsi"/>
          <w:sz w:val="24"/>
          <w:szCs w:val="24"/>
        </w:rPr>
        <w:lastRenderedPageBreak/>
        <w:t>T</w:t>
      </w:r>
      <w:r w:rsidR="00D7347F" w:rsidRPr="009C3694">
        <w:rPr>
          <w:rFonts w:asciiTheme="minorHAnsi" w:hAnsiTheme="minorHAnsi"/>
          <w:sz w:val="24"/>
          <w:szCs w:val="24"/>
        </w:rPr>
        <w:t xml:space="preserve">he PBAC </w:t>
      </w:r>
      <w:r>
        <w:rPr>
          <w:rFonts w:asciiTheme="minorHAnsi" w:hAnsiTheme="minorHAnsi"/>
          <w:sz w:val="24"/>
          <w:szCs w:val="24"/>
        </w:rPr>
        <w:t xml:space="preserve">did not </w:t>
      </w:r>
      <w:r w:rsidR="0097539B">
        <w:rPr>
          <w:rFonts w:asciiTheme="minorHAnsi" w:hAnsiTheme="minorHAnsi"/>
          <w:sz w:val="24"/>
          <w:szCs w:val="24"/>
        </w:rPr>
        <w:t xml:space="preserve">consider </w:t>
      </w:r>
      <w:r>
        <w:rPr>
          <w:rFonts w:asciiTheme="minorHAnsi" w:hAnsiTheme="minorHAnsi"/>
          <w:sz w:val="24"/>
          <w:szCs w:val="24"/>
        </w:rPr>
        <w:t>that the</w:t>
      </w:r>
      <w:r w:rsidR="00D7347F" w:rsidRPr="009C3694">
        <w:rPr>
          <w:rFonts w:asciiTheme="minorHAnsi" w:hAnsiTheme="minorHAnsi"/>
          <w:sz w:val="24"/>
          <w:szCs w:val="24"/>
        </w:rPr>
        <w:t xml:space="preserve"> claim </w:t>
      </w:r>
      <w:r>
        <w:rPr>
          <w:rFonts w:asciiTheme="minorHAnsi" w:hAnsiTheme="minorHAnsi"/>
          <w:sz w:val="24"/>
          <w:szCs w:val="24"/>
        </w:rPr>
        <w:t xml:space="preserve">of use outside of the current restriction </w:t>
      </w:r>
      <w:r w:rsidR="00D7347F" w:rsidRPr="009C3694">
        <w:rPr>
          <w:rFonts w:asciiTheme="minorHAnsi" w:hAnsiTheme="minorHAnsi"/>
          <w:sz w:val="24"/>
          <w:szCs w:val="24"/>
        </w:rPr>
        <w:t xml:space="preserve">was reasonable </w:t>
      </w:r>
      <w:r w:rsidR="00907449">
        <w:rPr>
          <w:rFonts w:asciiTheme="minorHAnsi" w:hAnsiTheme="minorHAnsi"/>
          <w:sz w:val="24"/>
          <w:szCs w:val="24"/>
        </w:rPr>
        <w:t>as no evidence was provided to support this claim</w:t>
      </w:r>
      <w:r w:rsidR="00AD0C32">
        <w:rPr>
          <w:rFonts w:asciiTheme="minorHAnsi" w:hAnsiTheme="minorHAnsi"/>
          <w:sz w:val="24"/>
          <w:szCs w:val="24"/>
        </w:rPr>
        <w:t>. Based on data provided by the DUSC Secretariat, the PBAC noted that the number of patients was similar to expected in Year 1 of listing and slightly higher than expected based on available data for year 2. However, the number of prescriptions has been lower than expected as outlined in the following table.</w:t>
      </w:r>
    </w:p>
    <w:p w:rsidR="00AD0C32" w:rsidRPr="000D18C4" w:rsidRDefault="00AD0C32" w:rsidP="000D18C4">
      <w:pPr>
        <w:pStyle w:val="ListParagraph"/>
        <w:rPr>
          <w:rFonts w:asciiTheme="minorHAnsi" w:hAnsiTheme="minorHAnsi"/>
          <w:sz w:val="24"/>
          <w:szCs w:val="24"/>
        </w:rPr>
      </w:pPr>
    </w:p>
    <w:p w:rsidR="00AD0C32" w:rsidRPr="001B6BFB" w:rsidRDefault="00AD0C32" w:rsidP="001B6BFB">
      <w:pPr>
        <w:ind w:left="709"/>
        <w:rPr>
          <w:rFonts w:ascii="Arial Narrow" w:hAnsi="Arial Narrow"/>
          <w:b/>
          <w:sz w:val="20"/>
          <w:szCs w:val="20"/>
        </w:rPr>
      </w:pPr>
    </w:p>
    <w:p w:rsidR="001B6BFB" w:rsidRPr="001B6BFB" w:rsidRDefault="001B6BFB" w:rsidP="001B6BFB">
      <w:pPr>
        <w:pStyle w:val="Caption"/>
        <w:keepNext/>
        <w:spacing w:after="0"/>
        <w:ind w:left="709"/>
        <w:rPr>
          <w:rFonts w:ascii="Arial Narrow" w:hAnsi="Arial Narrow"/>
          <w:color w:val="000000" w:themeColor="text1"/>
          <w:sz w:val="20"/>
          <w:szCs w:val="20"/>
        </w:rPr>
      </w:pPr>
      <w:r w:rsidRPr="001B6BFB">
        <w:rPr>
          <w:rFonts w:ascii="Arial Narrow" w:hAnsi="Arial Narrow"/>
          <w:color w:val="000000" w:themeColor="text1"/>
          <w:sz w:val="20"/>
          <w:szCs w:val="20"/>
        </w:rPr>
        <w:t xml:space="preserve">Table </w:t>
      </w:r>
      <w:r w:rsidRPr="001B6BFB">
        <w:rPr>
          <w:rFonts w:ascii="Arial Narrow" w:hAnsi="Arial Narrow"/>
          <w:noProof/>
          <w:color w:val="000000" w:themeColor="text1"/>
          <w:sz w:val="20"/>
          <w:szCs w:val="20"/>
        </w:rPr>
        <w:t>1</w:t>
      </w:r>
      <w:r w:rsidRPr="001B6BFB">
        <w:rPr>
          <w:rFonts w:ascii="Arial Narrow" w:hAnsi="Arial Narrow"/>
          <w:color w:val="000000" w:themeColor="text1"/>
          <w:sz w:val="20"/>
          <w:szCs w:val="20"/>
        </w:rPr>
        <w:t xml:space="preserve">: Predicted vs. actual prescriptions of anakinra </w:t>
      </w:r>
    </w:p>
    <w:tbl>
      <w:tblPr>
        <w:tblStyle w:val="TableGrid"/>
        <w:tblW w:w="0" w:type="auto"/>
        <w:tblInd w:w="720" w:type="dxa"/>
        <w:tblLayout w:type="fixed"/>
        <w:tblLook w:val="04A0" w:firstRow="1" w:lastRow="0" w:firstColumn="1" w:lastColumn="0" w:noHBand="0" w:noVBand="1"/>
        <w:tblCaption w:val="Predicted vs. actual prescriptions of anakinra "/>
      </w:tblPr>
      <w:tblGrid>
        <w:gridCol w:w="1515"/>
        <w:gridCol w:w="1516"/>
        <w:gridCol w:w="1515"/>
        <w:gridCol w:w="1516"/>
      </w:tblGrid>
      <w:tr w:rsidR="00AD0C32" w:rsidRPr="007E0A15" w:rsidTr="001B6BFB">
        <w:trPr>
          <w:trHeight w:val="300"/>
          <w:tblHeader/>
        </w:trPr>
        <w:tc>
          <w:tcPr>
            <w:tcW w:w="1515" w:type="dxa"/>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Year</w:t>
            </w:r>
          </w:p>
        </w:tc>
        <w:tc>
          <w:tcPr>
            <w:tcW w:w="1516" w:type="dxa"/>
            <w:noWrap/>
            <w:vAlign w:val="center"/>
            <w:hideMark/>
          </w:tcPr>
          <w:p w:rsidR="00AD0C32" w:rsidRPr="007E0A15" w:rsidRDefault="00AD0C32" w:rsidP="00756D10">
            <w:pPr>
              <w:rPr>
                <w:rFonts w:ascii="Arial Narrow" w:hAnsi="Arial Narrow"/>
                <w:sz w:val="20"/>
                <w:szCs w:val="20"/>
              </w:rPr>
            </w:pPr>
          </w:p>
        </w:tc>
        <w:tc>
          <w:tcPr>
            <w:tcW w:w="1515" w:type="dxa"/>
            <w:noWrap/>
            <w:vAlign w:val="center"/>
            <w:hideMark/>
          </w:tcPr>
          <w:p w:rsidR="00AD0C32" w:rsidRPr="007E0A15" w:rsidRDefault="00AD0C32" w:rsidP="00756D10">
            <w:pPr>
              <w:jc w:val="right"/>
              <w:rPr>
                <w:rFonts w:ascii="Arial Narrow" w:hAnsi="Arial Narrow"/>
                <w:sz w:val="20"/>
                <w:szCs w:val="20"/>
              </w:rPr>
            </w:pPr>
            <w:r w:rsidRPr="007E0A15">
              <w:rPr>
                <w:rFonts w:ascii="Arial Narrow" w:hAnsi="Arial Narrow"/>
                <w:sz w:val="20"/>
                <w:szCs w:val="20"/>
              </w:rPr>
              <w:t>Year 1</w:t>
            </w:r>
          </w:p>
        </w:tc>
        <w:tc>
          <w:tcPr>
            <w:tcW w:w="1516" w:type="dxa"/>
            <w:noWrap/>
            <w:vAlign w:val="center"/>
            <w:hideMark/>
          </w:tcPr>
          <w:p w:rsidR="00AD0C32" w:rsidRPr="007E0A15" w:rsidRDefault="00AD0C32" w:rsidP="00756D10">
            <w:pPr>
              <w:jc w:val="right"/>
              <w:rPr>
                <w:rFonts w:ascii="Arial Narrow" w:hAnsi="Arial Narrow"/>
                <w:sz w:val="20"/>
                <w:szCs w:val="20"/>
              </w:rPr>
            </w:pPr>
            <w:r w:rsidRPr="007E0A15">
              <w:rPr>
                <w:rFonts w:ascii="Arial Narrow" w:hAnsi="Arial Narrow"/>
                <w:sz w:val="20"/>
                <w:szCs w:val="20"/>
              </w:rPr>
              <w:t>Year 2*</w:t>
            </w:r>
          </w:p>
        </w:tc>
      </w:tr>
      <w:tr w:rsidR="00AD0C32" w:rsidRPr="007E0A15" w:rsidTr="00AB000A">
        <w:trPr>
          <w:trHeight w:val="300"/>
        </w:trPr>
        <w:tc>
          <w:tcPr>
            <w:tcW w:w="1515" w:type="dxa"/>
            <w:vMerge w:val="restart"/>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Patients</w:t>
            </w:r>
          </w:p>
        </w:tc>
        <w:tc>
          <w:tcPr>
            <w:tcW w:w="1516" w:type="dxa"/>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Predicted</w:t>
            </w:r>
          </w:p>
        </w:tc>
        <w:tc>
          <w:tcPr>
            <w:tcW w:w="1515" w:type="dxa"/>
            <w:noWrap/>
            <w:vAlign w:val="center"/>
            <w:hideMark/>
          </w:tcPr>
          <w:p w:rsidR="00AD0C32" w:rsidRPr="00BF3C76" w:rsidRDefault="00BF3C76" w:rsidP="00756D10">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516" w:type="dxa"/>
            <w:noWrap/>
            <w:vAlign w:val="center"/>
            <w:hideMark/>
          </w:tcPr>
          <w:p w:rsidR="00AD0C32" w:rsidRPr="00BF3C76" w:rsidRDefault="00BF3C76" w:rsidP="00756D10">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AD0C32" w:rsidRPr="007E0A15" w:rsidTr="00AB000A">
        <w:trPr>
          <w:trHeight w:val="300"/>
        </w:trPr>
        <w:tc>
          <w:tcPr>
            <w:tcW w:w="1515" w:type="dxa"/>
            <w:vMerge/>
            <w:vAlign w:val="center"/>
            <w:hideMark/>
          </w:tcPr>
          <w:p w:rsidR="00AD0C32" w:rsidRPr="007E0A15" w:rsidRDefault="00AD0C32" w:rsidP="00756D10">
            <w:pPr>
              <w:rPr>
                <w:rFonts w:ascii="Arial Narrow" w:hAnsi="Arial Narrow"/>
                <w:sz w:val="20"/>
                <w:szCs w:val="20"/>
              </w:rPr>
            </w:pPr>
          </w:p>
        </w:tc>
        <w:tc>
          <w:tcPr>
            <w:tcW w:w="1516" w:type="dxa"/>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Actual</w:t>
            </w:r>
          </w:p>
        </w:tc>
        <w:tc>
          <w:tcPr>
            <w:tcW w:w="1515" w:type="dxa"/>
            <w:noWrap/>
            <w:vAlign w:val="center"/>
            <w:hideMark/>
          </w:tcPr>
          <w:p w:rsidR="00AD0C32" w:rsidRPr="00BF3C76" w:rsidRDefault="00BF3C76" w:rsidP="00756D10">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516" w:type="dxa"/>
            <w:noWrap/>
            <w:vAlign w:val="center"/>
            <w:hideMark/>
          </w:tcPr>
          <w:p w:rsidR="00AD0C32" w:rsidRPr="00BF3C76" w:rsidRDefault="00BF3C76" w:rsidP="00756D10">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AD0C32" w:rsidRPr="007E0A15" w:rsidTr="00AB000A">
        <w:trPr>
          <w:trHeight w:val="300"/>
        </w:trPr>
        <w:tc>
          <w:tcPr>
            <w:tcW w:w="1515" w:type="dxa"/>
            <w:vMerge w:val="restart"/>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Packs</w:t>
            </w:r>
          </w:p>
        </w:tc>
        <w:tc>
          <w:tcPr>
            <w:tcW w:w="1516" w:type="dxa"/>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Predicted</w:t>
            </w:r>
          </w:p>
        </w:tc>
        <w:tc>
          <w:tcPr>
            <w:tcW w:w="1515" w:type="dxa"/>
            <w:noWrap/>
            <w:vAlign w:val="center"/>
            <w:hideMark/>
          </w:tcPr>
          <w:p w:rsidR="00AD0C32" w:rsidRPr="00BF3C76" w:rsidRDefault="00BF3C76" w:rsidP="00756D10">
            <w:pPr>
              <w:jc w:val="right"/>
              <w:rPr>
                <w:rFonts w:ascii="Arial Narrow" w:hAnsi="Arial Narrow"/>
                <w:sz w:val="20"/>
                <w:szCs w:val="20"/>
                <w:highlight w:val="black"/>
              </w:rPr>
            </w:pPr>
            <w:r>
              <w:rPr>
                <w:rFonts w:ascii="Arial Narrow" w:hAnsi="Arial Narrow"/>
                <w:noProof/>
                <w:color w:val="000000"/>
                <w:sz w:val="20"/>
                <w:szCs w:val="20"/>
                <w:highlight w:val="black"/>
              </w:rPr>
              <w:t>'''''''''</w:t>
            </w:r>
          </w:p>
        </w:tc>
        <w:tc>
          <w:tcPr>
            <w:tcW w:w="1516" w:type="dxa"/>
            <w:noWrap/>
            <w:vAlign w:val="center"/>
            <w:hideMark/>
          </w:tcPr>
          <w:p w:rsidR="00AD0C32" w:rsidRPr="00BF3C76" w:rsidRDefault="00BF3C76" w:rsidP="00756D10">
            <w:pPr>
              <w:jc w:val="right"/>
              <w:rPr>
                <w:rFonts w:ascii="Arial Narrow" w:hAnsi="Arial Narrow"/>
                <w:sz w:val="20"/>
                <w:szCs w:val="20"/>
                <w:highlight w:val="black"/>
              </w:rPr>
            </w:pPr>
            <w:r>
              <w:rPr>
                <w:rFonts w:ascii="Arial Narrow" w:hAnsi="Arial Narrow"/>
                <w:noProof/>
                <w:color w:val="000000"/>
                <w:sz w:val="20"/>
                <w:szCs w:val="20"/>
                <w:highlight w:val="black"/>
              </w:rPr>
              <w:t>'''''''''</w:t>
            </w:r>
          </w:p>
        </w:tc>
      </w:tr>
      <w:tr w:rsidR="00AD0C32" w:rsidRPr="007E0A15" w:rsidTr="00AB000A">
        <w:trPr>
          <w:trHeight w:val="300"/>
        </w:trPr>
        <w:tc>
          <w:tcPr>
            <w:tcW w:w="1515" w:type="dxa"/>
            <w:vMerge/>
            <w:hideMark/>
          </w:tcPr>
          <w:p w:rsidR="00AD0C32" w:rsidRPr="007E0A15" w:rsidRDefault="00AD0C32" w:rsidP="00756D10">
            <w:pPr>
              <w:rPr>
                <w:rFonts w:ascii="Arial Narrow" w:hAnsi="Arial Narrow"/>
                <w:sz w:val="20"/>
                <w:szCs w:val="20"/>
              </w:rPr>
            </w:pPr>
          </w:p>
        </w:tc>
        <w:tc>
          <w:tcPr>
            <w:tcW w:w="1516" w:type="dxa"/>
            <w:noWrap/>
            <w:vAlign w:val="center"/>
            <w:hideMark/>
          </w:tcPr>
          <w:p w:rsidR="00AD0C32" w:rsidRPr="007E0A15" w:rsidRDefault="00AD0C32" w:rsidP="00756D10">
            <w:pPr>
              <w:rPr>
                <w:rFonts w:ascii="Arial Narrow" w:hAnsi="Arial Narrow"/>
                <w:sz w:val="20"/>
                <w:szCs w:val="20"/>
              </w:rPr>
            </w:pPr>
            <w:r w:rsidRPr="007E0A15">
              <w:rPr>
                <w:rFonts w:ascii="Arial Narrow" w:hAnsi="Arial Narrow"/>
                <w:sz w:val="20"/>
                <w:szCs w:val="20"/>
              </w:rPr>
              <w:t>Actual</w:t>
            </w:r>
          </w:p>
        </w:tc>
        <w:tc>
          <w:tcPr>
            <w:tcW w:w="1515" w:type="dxa"/>
            <w:noWrap/>
            <w:vAlign w:val="center"/>
            <w:hideMark/>
          </w:tcPr>
          <w:p w:rsidR="00AD0C32" w:rsidRPr="007E0A15" w:rsidRDefault="00AD0C32" w:rsidP="00756D10">
            <w:pPr>
              <w:jc w:val="right"/>
              <w:rPr>
                <w:rFonts w:ascii="Arial Narrow" w:hAnsi="Arial Narrow"/>
                <w:sz w:val="20"/>
                <w:szCs w:val="20"/>
              </w:rPr>
            </w:pPr>
            <w:r w:rsidRPr="007E0A15">
              <w:rPr>
                <w:rFonts w:ascii="Arial Narrow" w:hAnsi="Arial Narrow"/>
                <w:sz w:val="20"/>
                <w:szCs w:val="20"/>
              </w:rPr>
              <w:t>492</w:t>
            </w:r>
          </w:p>
        </w:tc>
        <w:tc>
          <w:tcPr>
            <w:tcW w:w="1516" w:type="dxa"/>
            <w:noWrap/>
            <w:vAlign w:val="center"/>
            <w:hideMark/>
          </w:tcPr>
          <w:p w:rsidR="00AD0C32" w:rsidRPr="007E0A15" w:rsidRDefault="00AD0C32" w:rsidP="00756D10">
            <w:pPr>
              <w:jc w:val="right"/>
              <w:rPr>
                <w:rFonts w:ascii="Arial Narrow" w:hAnsi="Arial Narrow"/>
                <w:sz w:val="20"/>
                <w:szCs w:val="20"/>
              </w:rPr>
            </w:pPr>
            <w:r w:rsidRPr="007E0A15">
              <w:rPr>
                <w:rFonts w:ascii="Arial Narrow" w:hAnsi="Arial Narrow"/>
                <w:sz w:val="20"/>
                <w:szCs w:val="20"/>
              </w:rPr>
              <w:t>534</w:t>
            </w:r>
          </w:p>
        </w:tc>
      </w:tr>
      <w:tr w:rsidR="00AD0C32" w:rsidRPr="007E0A15" w:rsidTr="00AB000A">
        <w:trPr>
          <w:trHeight w:val="300"/>
        </w:trPr>
        <w:tc>
          <w:tcPr>
            <w:tcW w:w="1515" w:type="dxa"/>
            <w:vMerge/>
          </w:tcPr>
          <w:p w:rsidR="00AD0C32" w:rsidRPr="007E0A15" w:rsidRDefault="00AD0C32" w:rsidP="00756D10">
            <w:pPr>
              <w:rPr>
                <w:rFonts w:ascii="Arial Narrow" w:hAnsi="Arial Narrow"/>
                <w:sz w:val="20"/>
                <w:szCs w:val="20"/>
              </w:rPr>
            </w:pPr>
          </w:p>
        </w:tc>
        <w:tc>
          <w:tcPr>
            <w:tcW w:w="1516" w:type="dxa"/>
            <w:noWrap/>
            <w:vAlign w:val="center"/>
          </w:tcPr>
          <w:p w:rsidR="00AD0C32" w:rsidRPr="007E0A15" w:rsidRDefault="00AD0C32" w:rsidP="00756D10">
            <w:pPr>
              <w:rPr>
                <w:rFonts w:ascii="Arial Narrow" w:hAnsi="Arial Narrow"/>
                <w:sz w:val="20"/>
                <w:szCs w:val="20"/>
              </w:rPr>
            </w:pPr>
          </w:p>
        </w:tc>
        <w:tc>
          <w:tcPr>
            <w:tcW w:w="1515" w:type="dxa"/>
            <w:noWrap/>
            <w:vAlign w:val="center"/>
          </w:tcPr>
          <w:p w:rsidR="00AD0C32" w:rsidRPr="007E0A15" w:rsidRDefault="00AD0C32" w:rsidP="00756D10">
            <w:pPr>
              <w:jc w:val="right"/>
              <w:rPr>
                <w:rFonts w:ascii="Arial Narrow" w:hAnsi="Arial Narrow"/>
                <w:sz w:val="20"/>
                <w:szCs w:val="20"/>
              </w:rPr>
            </w:pPr>
          </w:p>
        </w:tc>
        <w:tc>
          <w:tcPr>
            <w:tcW w:w="1516" w:type="dxa"/>
            <w:noWrap/>
            <w:vAlign w:val="center"/>
          </w:tcPr>
          <w:p w:rsidR="00AD0C32" w:rsidRPr="007E0A15" w:rsidRDefault="00AD0C32" w:rsidP="00756D10">
            <w:pPr>
              <w:jc w:val="right"/>
              <w:rPr>
                <w:rFonts w:ascii="Arial Narrow" w:hAnsi="Arial Narrow"/>
                <w:sz w:val="20"/>
                <w:szCs w:val="20"/>
              </w:rPr>
            </w:pPr>
          </w:p>
        </w:tc>
      </w:tr>
    </w:tbl>
    <w:p w:rsidR="00AD0C32" w:rsidRDefault="00AD0C32" w:rsidP="00AB000A">
      <w:pPr>
        <w:ind w:left="720"/>
        <w:rPr>
          <w:rFonts w:asciiTheme="minorHAnsi" w:hAnsiTheme="minorHAnsi"/>
        </w:rPr>
      </w:pPr>
      <w:r w:rsidRPr="007E0A15">
        <w:rPr>
          <w:rFonts w:ascii="Arial Narrow" w:hAnsi="Arial Narrow"/>
          <w:sz w:val="20"/>
          <w:szCs w:val="20"/>
        </w:rPr>
        <w:t>Note: Year 2 includes nine months of the year (June 2016 to February 2017)</w:t>
      </w:r>
    </w:p>
    <w:p w:rsidR="00AD0C32" w:rsidRDefault="00AD0C32" w:rsidP="00AD0C32">
      <w:pPr>
        <w:rPr>
          <w:rFonts w:asciiTheme="minorHAnsi" w:hAnsiTheme="minorHAnsi"/>
        </w:rPr>
      </w:pPr>
    </w:p>
    <w:p w:rsidR="00A2071E" w:rsidRPr="000C4D91" w:rsidRDefault="00A2071E" w:rsidP="00454F3B">
      <w:pPr>
        <w:pStyle w:val="ListParagraph"/>
        <w:numPr>
          <w:ilvl w:val="1"/>
          <w:numId w:val="5"/>
        </w:numPr>
        <w:rPr>
          <w:rFonts w:asciiTheme="minorHAnsi" w:hAnsiTheme="minorHAnsi"/>
        </w:rPr>
      </w:pPr>
      <w:r w:rsidRPr="00454F3B">
        <w:rPr>
          <w:rFonts w:asciiTheme="minorHAnsi" w:hAnsiTheme="minorHAnsi"/>
          <w:sz w:val="24"/>
          <w:szCs w:val="24"/>
        </w:rPr>
        <w:t xml:space="preserve">The PBAC </w:t>
      </w:r>
      <w:r w:rsidR="00D7347F" w:rsidRPr="00454F3B">
        <w:rPr>
          <w:rFonts w:asciiTheme="minorHAnsi" w:hAnsiTheme="minorHAnsi"/>
          <w:sz w:val="24"/>
          <w:szCs w:val="24"/>
        </w:rPr>
        <w:t xml:space="preserve">previously </w:t>
      </w:r>
      <w:r w:rsidR="00A54E8E" w:rsidRPr="00D458AE">
        <w:rPr>
          <w:rFonts w:asciiTheme="minorHAnsi" w:hAnsiTheme="minorHAnsi"/>
          <w:sz w:val="24"/>
          <w:szCs w:val="24"/>
        </w:rPr>
        <w:t>recommend</w:t>
      </w:r>
      <w:r w:rsidRPr="009C3694">
        <w:rPr>
          <w:rFonts w:asciiTheme="minorHAnsi" w:hAnsiTheme="minorHAnsi"/>
          <w:sz w:val="24"/>
          <w:szCs w:val="24"/>
        </w:rPr>
        <w:t xml:space="preserve"> the listing of anakinra for patients with moderate to severe CAPS under the Authority Required (STREAMLINED) Section 100 Highly Special Drugs (HSD) schedule at the November 2014 PBAC meeting. </w:t>
      </w:r>
      <w:r w:rsidR="00D7347F" w:rsidRPr="009C3694">
        <w:rPr>
          <w:rFonts w:asciiTheme="minorHAnsi" w:hAnsiTheme="minorHAnsi"/>
          <w:sz w:val="24"/>
          <w:szCs w:val="24"/>
        </w:rPr>
        <w:t>The PBAC recalled that a</w:t>
      </w:r>
      <w:r w:rsidRPr="009C3694">
        <w:rPr>
          <w:rFonts w:asciiTheme="minorHAnsi" w:hAnsiTheme="minorHAnsi"/>
          <w:sz w:val="24"/>
          <w:szCs w:val="24"/>
        </w:rPr>
        <w:t xml:space="preserve"> </w:t>
      </w:r>
      <w:r w:rsidR="000C4D91">
        <w:rPr>
          <w:rFonts w:asciiTheme="minorHAnsi" w:hAnsiTheme="minorHAnsi"/>
          <w:sz w:val="24"/>
          <w:szCs w:val="24"/>
        </w:rPr>
        <w:t>R</w:t>
      </w:r>
      <w:r w:rsidR="000C4D91" w:rsidRPr="009C3694">
        <w:rPr>
          <w:rFonts w:asciiTheme="minorHAnsi" w:hAnsiTheme="minorHAnsi"/>
          <w:sz w:val="24"/>
          <w:szCs w:val="24"/>
        </w:rPr>
        <w:t xml:space="preserve">isk </w:t>
      </w:r>
      <w:r w:rsidR="000C4D91">
        <w:rPr>
          <w:rFonts w:asciiTheme="minorHAnsi" w:hAnsiTheme="minorHAnsi"/>
          <w:sz w:val="24"/>
          <w:szCs w:val="24"/>
        </w:rPr>
        <w:t>S</w:t>
      </w:r>
      <w:r w:rsidRPr="009C3694">
        <w:rPr>
          <w:rFonts w:asciiTheme="minorHAnsi" w:hAnsiTheme="minorHAnsi"/>
          <w:sz w:val="24"/>
          <w:szCs w:val="24"/>
        </w:rPr>
        <w:t xml:space="preserve">haring </w:t>
      </w:r>
      <w:r w:rsidR="000C4D91">
        <w:rPr>
          <w:rFonts w:asciiTheme="minorHAnsi" w:hAnsiTheme="minorHAnsi"/>
          <w:sz w:val="24"/>
          <w:szCs w:val="24"/>
        </w:rPr>
        <w:t>A</w:t>
      </w:r>
      <w:r w:rsidRPr="009C3694">
        <w:rPr>
          <w:rFonts w:asciiTheme="minorHAnsi" w:hAnsiTheme="minorHAnsi"/>
          <w:sz w:val="24"/>
          <w:szCs w:val="24"/>
        </w:rPr>
        <w:t>rrangement was also recommended at the time of recommendation to manage any risk of leakage into rheumatoid arthritis and mild forms of CAPS (</w:t>
      </w:r>
      <w:r w:rsidR="000C4D91">
        <w:rPr>
          <w:rFonts w:asciiTheme="minorHAnsi" w:hAnsiTheme="minorHAnsi"/>
          <w:sz w:val="24"/>
          <w:szCs w:val="24"/>
        </w:rPr>
        <w:t xml:space="preserve">such as </w:t>
      </w:r>
      <w:r w:rsidRPr="009C3694">
        <w:rPr>
          <w:rFonts w:asciiTheme="minorHAnsi" w:hAnsiTheme="minorHAnsi"/>
          <w:sz w:val="24"/>
          <w:szCs w:val="24"/>
        </w:rPr>
        <w:t>Familiar Cold Autoinflammatory Syndrome) (</w:t>
      </w:r>
      <w:r w:rsidR="007E0A15">
        <w:rPr>
          <w:rFonts w:asciiTheme="minorHAnsi" w:hAnsiTheme="minorHAnsi"/>
          <w:sz w:val="24"/>
          <w:szCs w:val="24"/>
        </w:rPr>
        <w:t>Anakinra public summary document</w:t>
      </w:r>
      <w:r w:rsidRPr="009C3694">
        <w:rPr>
          <w:rFonts w:asciiTheme="minorHAnsi" w:hAnsiTheme="minorHAnsi"/>
          <w:sz w:val="24"/>
          <w:szCs w:val="24"/>
        </w:rPr>
        <w:t xml:space="preserve">, November 2014 PBAC Meeting). The PBAC noted </w:t>
      </w:r>
      <w:r w:rsidRPr="009118A8">
        <w:rPr>
          <w:rFonts w:asciiTheme="minorHAnsi" w:hAnsiTheme="minorHAnsi"/>
          <w:sz w:val="24"/>
          <w:szCs w:val="24"/>
        </w:rPr>
        <w:t>that the cap</w:t>
      </w:r>
      <w:r w:rsidRPr="009C3694">
        <w:rPr>
          <w:rFonts w:asciiTheme="minorHAnsi" w:hAnsiTheme="minorHAnsi"/>
          <w:sz w:val="24"/>
          <w:szCs w:val="24"/>
        </w:rPr>
        <w:t xml:space="preserve"> established as part of the </w:t>
      </w:r>
      <w:r w:rsidR="000C4D91">
        <w:rPr>
          <w:rFonts w:asciiTheme="minorHAnsi" w:hAnsiTheme="minorHAnsi"/>
          <w:sz w:val="24"/>
          <w:szCs w:val="24"/>
        </w:rPr>
        <w:t>R</w:t>
      </w:r>
      <w:r w:rsidRPr="009C3694">
        <w:rPr>
          <w:rFonts w:asciiTheme="minorHAnsi" w:hAnsiTheme="minorHAnsi"/>
          <w:sz w:val="24"/>
          <w:szCs w:val="24"/>
        </w:rPr>
        <w:t xml:space="preserve">isk </w:t>
      </w:r>
      <w:r w:rsidR="000C4D91">
        <w:rPr>
          <w:rFonts w:asciiTheme="minorHAnsi" w:hAnsiTheme="minorHAnsi"/>
          <w:sz w:val="24"/>
          <w:szCs w:val="24"/>
        </w:rPr>
        <w:t>S</w:t>
      </w:r>
      <w:r w:rsidRPr="009C3694">
        <w:rPr>
          <w:rFonts w:asciiTheme="minorHAnsi" w:hAnsiTheme="minorHAnsi"/>
          <w:sz w:val="24"/>
          <w:szCs w:val="24"/>
        </w:rPr>
        <w:t xml:space="preserve">haring </w:t>
      </w:r>
      <w:r w:rsidR="000C4D91">
        <w:rPr>
          <w:rFonts w:asciiTheme="minorHAnsi" w:hAnsiTheme="minorHAnsi"/>
          <w:sz w:val="24"/>
          <w:szCs w:val="24"/>
        </w:rPr>
        <w:t>A</w:t>
      </w:r>
      <w:r w:rsidRPr="009C3694">
        <w:rPr>
          <w:rFonts w:asciiTheme="minorHAnsi" w:hAnsiTheme="minorHAnsi"/>
          <w:sz w:val="24"/>
          <w:szCs w:val="24"/>
        </w:rPr>
        <w:t xml:space="preserve">rrangement </w:t>
      </w:r>
      <w:r w:rsidR="00BF3C76">
        <w:rPr>
          <w:rFonts w:asciiTheme="minorHAnsi" w:hAnsiTheme="minorHAnsi"/>
          <w:noProof/>
          <w:color w:val="000000"/>
          <w:sz w:val="24"/>
          <w:szCs w:val="24"/>
          <w:highlight w:val="black"/>
        </w:rPr>
        <w:t xml:space="preserve">''''''' '''''''' ''''''''' ''''''''''''''''''' ''''' ''''''' '''''''' '''' '''''' ''''''''''''''''''''' </w:t>
      </w:r>
      <w:r w:rsidR="000C4D91">
        <w:rPr>
          <w:rFonts w:asciiTheme="minorHAnsi" w:hAnsiTheme="minorHAnsi"/>
          <w:sz w:val="24"/>
          <w:szCs w:val="24"/>
        </w:rPr>
        <w:t>indicating that the current restriction appears appropriate</w:t>
      </w:r>
      <w:r w:rsidRPr="009C3694">
        <w:rPr>
          <w:rFonts w:asciiTheme="minorHAnsi" w:hAnsiTheme="minorHAnsi"/>
          <w:sz w:val="24"/>
          <w:szCs w:val="24"/>
        </w:rPr>
        <w:t>.</w:t>
      </w:r>
    </w:p>
    <w:p w:rsidR="000C4D91" w:rsidRPr="009C3694" w:rsidRDefault="000C4D91" w:rsidP="00454F3B">
      <w:pPr>
        <w:pStyle w:val="ListParagraph"/>
        <w:rPr>
          <w:rFonts w:asciiTheme="minorHAnsi" w:hAnsiTheme="minorHAnsi"/>
        </w:rPr>
      </w:pPr>
    </w:p>
    <w:p w:rsidR="00970A16" w:rsidRDefault="000C4D91" w:rsidP="00970A16">
      <w:pPr>
        <w:pStyle w:val="ListParagraph"/>
        <w:numPr>
          <w:ilvl w:val="1"/>
          <w:numId w:val="5"/>
        </w:numPr>
        <w:rPr>
          <w:rFonts w:asciiTheme="minorHAnsi" w:hAnsiTheme="minorHAnsi"/>
          <w:sz w:val="24"/>
          <w:szCs w:val="24"/>
        </w:rPr>
      </w:pPr>
      <w:r>
        <w:rPr>
          <w:rFonts w:asciiTheme="minorHAnsi" w:hAnsiTheme="minorHAnsi"/>
          <w:sz w:val="24"/>
          <w:szCs w:val="24"/>
        </w:rPr>
        <w:t xml:space="preserve">The PBAC considered that </w:t>
      </w:r>
      <w:r w:rsidR="00D7347F" w:rsidRPr="009C3694">
        <w:rPr>
          <w:rFonts w:asciiTheme="minorHAnsi" w:hAnsiTheme="minorHAnsi"/>
          <w:sz w:val="24"/>
          <w:szCs w:val="24"/>
        </w:rPr>
        <w:t>t</w:t>
      </w:r>
      <w:r w:rsidR="000511B5" w:rsidRPr="009C3694">
        <w:rPr>
          <w:rFonts w:asciiTheme="minorHAnsi" w:hAnsiTheme="minorHAnsi"/>
          <w:sz w:val="24"/>
          <w:szCs w:val="24"/>
        </w:rPr>
        <w:t xml:space="preserve">he submission provided no clinical basis to </w:t>
      </w:r>
      <w:r>
        <w:rPr>
          <w:rFonts w:asciiTheme="minorHAnsi" w:hAnsiTheme="minorHAnsi"/>
          <w:sz w:val="24"/>
          <w:szCs w:val="24"/>
        </w:rPr>
        <w:t>change</w:t>
      </w:r>
      <w:r w:rsidRPr="009C3694">
        <w:rPr>
          <w:rFonts w:asciiTheme="minorHAnsi" w:hAnsiTheme="minorHAnsi"/>
          <w:sz w:val="24"/>
          <w:szCs w:val="24"/>
        </w:rPr>
        <w:t xml:space="preserve"> </w:t>
      </w:r>
      <w:r w:rsidR="000511B5" w:rsidRPr="009C3694">
        <w:rPr>
          <w:rFonts w:asciiTheme="minorHAnsi" w:hAnsiTheme="minorHAnsi"/>
          <w:sz w:val="24"/>
          <w:szCs w:val="24"/>
        </w:rPr>
        <w:t>the level of authority</w:t>
      </w:r>
      <w:r>
        <w:rPr>
          <w:rFonts w:asciiTheme="minorHAnsi" w:hAnsiTheme="minorHAnsi"/>
          <w:sz w:val="24"/>
          <w:szCs w:val="24"/>
        </w:rPr>
        <w:t>,</w:t>
      </w:r>
      <w:r w:rsidR="000511B5" w:rsidRPr="009C3694">
        <w:rPr>
          <w:rFonts w:asciiTheme="minorHAnsi" w:hAnsiTheme="minorHAnsi"/>
          <w:sz w:val="24"/>
          <w:szCs w:val="24"/>
        </w:rPr>
        <w:t xml:space="preserve"> </w:t>
      </w:r>
      <w:r>
        <w:rPr>
          <w:rFonts w:asciiTheme="minorHAnsi" w:hAnsiTheme="minorHAnsi"/>
          <w:sz w:val="24"/>
          <w:szCs w:val="24"/>
        </w:rPr>
        <w:t>and therefore increase the administrative burden for prescribers,</w:t>
      </w:r>
      <w:r w:rsidRPr="009C3694">
        <w:rPr>
          <w:rFonts w:asciiTheme="minorHAnsi" w:hAnsiTheme="minorHAnsi"/>
          <w:sz w:val="24"/>
          <w:szCs w:val="24"/>
        </w:rPr>
        <w:t xml:space="preserve"> </w:t>
      </w:r>
      <w:r w:rsidR="000511B5" w:rsidRPr="009C3694">
        <w:rPr>
          <w:rFonts w:asciiTheme="minorHAnsi" w:hAnsiTheme="minorHAnsi"/>
          <w:sz w:val="24"/>
          <w:szCs w:val="24"/>
        </w:rPr>
        <w:t>for anakinra. The PBAC considered the current restriction</w:t>
      </w:r>
      <w:r>
        <w:rPr>
          <w:rFonts w:asciiTheme="minorHAnsi" w:hAnsiTheme="minorHAnsi"/>
          <w:sz w:val="24"/>
          <w:szCs w:val="24"/>
        </w:rPr>
        <w:t xml:space="preserve"> level</w:t>
      </w:r>
      <w:r w:rsidR="000511B5" w:rsidRPr="009C3694">
        <w:rPr>
          <w:rFonts w:asciiTheme="minorHAnsi" w:hAnsiTheme="minorHAnsi"/>
          <w:sz w:val="24"/>
          <w:szCs w:val="24"/>
        </w:rPr>
        <w:t xml:space="preserve"> is appropriate. </w:t>
      </w:r>
      <w:r w:rsidR="00D7347F" w:rsidRPr="009C3694">
        <w:rPr>
          <w:rFonts w:asciiTheme="minorHAnsi" w:hAnsiTheme="minorHAnsi"/>
          <w:sz w:val="24"/>
          <w:szCs w:val="24"/>
        </w:rPr>
        <w:t xml:space="preserve">The </w:t>
      </w:r>
      <w:r w:rsidR="000627FE" w:rsidRPr="009C3694">
        <w:rPr>
          <w:rFonts w:asciiTheme="minorHAnsi" w:hAnsiTheme="minorHAnsi"/>
          <w:sz w:val="24"/>
          <w:szCs w:val="24"/>
        </w:rPr>
        <w:t xml:space="preserve">PBAC recommend that the Department should remain in communication with the </w:t>
      </w:r>
      <w:r w:rsidR="000511B5" w:rsidRPr="009C3694">
        <w:rPr>
          <w:rFonts w:asciiTheme="minorHAnsi" w:hAnsiTheme="minorHAnsi"/>
          <w:sz w:val="24"/>
          <w:szCs w:val="24"/>
        </w:rPr>
        <w:t>sponsor</w:t>
      </w:r>
      <w:r w:rsidR="000627FE" w:rsidRPr="009C3694">
        <w:rPr>
          <w:rFonts w:asciiTheme="minorHAnsi" w:hAnsiTheme="minorHAnsi"/>
          <w:sz w:val="24"/>
          <w:szCs w:val="24"/>
        </w:rPr>
        <w:t xml:space="preserve"> to monitor the </w:t>
      </w:r>
      <w:r>
        <w:rPr>
          <w:rFonts w:asciiTheme="minorHAnsi" w:hAnsiTheme="minorHAnsi"/>
          <w:sz w:val="24"/>
          <w:szCs w:val="24"/>
        </w:rPr>
        <w:t>utilisation</w:t>
      </w:r>
      <w:r w:rsidRPr="009C3694">
        <w:rPr>
          <w:rFonts w:asciiTheme="minorHAnsi" w:hAnsiTheme="minorHAnsi"/>
          <w:sz w:val="24"/>
          <w:szCs w:val="24"/>
        </w:rPr>
        <w:t xml:space="preserve"> </w:t>
      </w:r>
      <w:r w:rsidR="000627FE" w:rsidRPr="009C3694">
        <w:rPr>
          <w:rFonts w:asciiTheme="minorHAnsi" w:hAnsiTheme="minorHAnsi"/>
          <w:sz w:val="24"/>
          <w:szCs w:val="24"/>
        </w:rPr>
        <w:t xml:space="preserve">of anakinra. </w:t>
      </w:r>
    </w:p>
    <w:p w:rsidR="000C4D91" w:rsidRPr="00D458AE" w:rsidRDefault="000C4D91" w:rsidP="00454F3B">
      <w:pPr>
        <w:pStyle w:val="ListParagraph"/>
        <w:rPr>
          <w:rFonts w:asciiTheme="minorHAnsi" w:hAnsiTheme="minorHAnsi"/>
          <w:sz w:val="24"/>
          <w:szCs w:val="24"/>
        </w:rPr>
      </w:pPr>
    </w:p>
    <w:p w:rsidR="00A9093F" w:rsidRPr="009C3694" w:rsidRDefault="00A9093F" w:rsidP="00970A16">
      <w:pPr>
        <w:pStyle w:val="ListParagraph"/>
        <w:numPr>
          <w:ilvl w:val="1"/>
          <w:numId w:val="5"/>
        </w:numPr>
        <w:rPr>
          <w:rFonts w:asciiTheme="minorHAnsi" w:hAnsiTheme="minorHAnsi"/>
          <w:sz w:val="24"/>
          <w:szCs w:val="24"/>
        </w:rPr>
      </w:pPr>
      <w:r w:rsidRPr="009C3694">
        <w:rPr>
          <w:rFonts w:asciiTheme="minorHAnsi" w:hAnsiTheme="minorHAnsi"/>
          <w:sz w:val="24"/>
          <w:szCs w:val="24"/>
        </w:rPr>
        <w:t>The PBAC noted that this submission is not eligible for an Independent Review as an Independent Review is not available in response to a request to modify an existing listing.</w:t>
      </w:r>
    </w:p>
    <w:p w:rsidR="00B74370" w:rsidRPr="007E0A15" w:rsidRDefault="00B74370" w:rsidP="007E0A15">
      <w:pPr>
        <w:spacing w:before="240"/>
        <w:jc w:val="both"/>
        <w:outlineLvl w:val="1"/>
        <w:rPr>
          <w:rFonts w:asciiTheme="minorHAnsi" w:hAnsiTheme="minorHAnsi" w:cs="Arial"/>
          <w:b/>
          <w:bCs/>
          <w:snapToGrid w:val="0"/>
          <w:sz w:val="28"/>
          <w:szCs w:val="28"/>
          <w:lang w:val="en-GB"/>
        </w:rPr>
      </w:pPr>
      <w:r w:rsidRPr="00D458AE">
        <w:rPr>
          <w:rFonts w:asciiTheme="minorHAnsi" w:hAnsiTheme="minorHAnsi" w:cs="Arial"/>
          <w:b/>
          <w:bCs/>
          <w:snapToGrid w:val="0"/>
          <w:sz w:val="28"/>
          <w:szCs w:val="28"/>
          <w:lang w:val="en-GB"/>
        </w:rPr>
        <w:t>Outcome:</w:t>
      </w:r>
      <w:r w:rsidR="007E0A15">
        <w:rPr>
          <w:rFonts w:asciiTheme="minorHAnsi" w:hAnsiTheme="minorHAnsi" w:cs="Arial"/>
          <w:b/>
          <w:bCs/>
          <w:snapToGrid w:val="0"/>
          <w:sz w:val="28"/>
          <w:szCs w:val="28"/>
          <w:lang w:val="en-GB"/>
        </w:rPr>
        <w:br/>
      </w:r>
      <w:r w:rsidRPr="00A54E8E">
        <w:rPr>
          <w:rFonts w:asciiTheme="minorHAnsi" w:hAnsiTheme="minorHAnsi" w:cs="Arial"/>
          <w:bCs/>
          <w:snapToGrid w:val="0"/>
          <w:lang w:val="en-GB"/>
        </w:rPr>
        <w:t xml:space="preserve">Rejected </w:t>
      </w:r>
      <w:r w:rsidR="00970A16" w:rsidRPr="00A54E8E">
        <w:rPr>
          <w:rFonts w:asciiTheme="minorHAnsi" w:hAnsiTheme="minorHAnsi" w:cs="Arial"/>
          <w:bCs/>
          <w:snapToGrid w:val="0"/>
          <w:lang w:val="en-GB"/>
        </w:rPr>
        <w:tab/>
      </w:r>
    </w:p>
    <w:p w:rsidR="00B74370" w:rsidRDefault="00B74370" w:rsidP="00B74370">
      <w:pPr>
        <w:widowControl w:val="0"/>
        <w:jc w:val="both"/>
        <w:rPr>
          <w:rFonts w:asciiTheme="minorHAnsi" w:hAnsiTheme="minorHAnsi" w:cs="Arial"/>
          <w:b/>
          <w:bCs/>
          <w:snapToGrid w:val="0"/>
        </w:rPr>
      </w:pPr>
    </w:p>
    <w:p w:rsidR="007E0A15" w:rsidRDefault="007E0A15" w:rsidP="00B74370">
      <w:pPr>
        <w:widowControl w:val="0"/>
        <w:jc w:val="both"/>
        <w:rPr>
          <w:rFonts w:asciiTheme="minorHAnsi" w:hAnsiTheme="minorHAnsi" w:cs="Arial"/>
          <w:b/>
          <w:bCs/>
          <w:snapToGrid w:val="0"/>
        </w:rPr>
      </w:pPr>
    </w:p>
    <w:p w:rsidR="007E0A15" w:rsidRDefault="007E0A15" w:rsidP="00B74370">
      <w:pPr>
        <w:widowControl w:val="0"/>
        <w:jc w:val="both"/>
        <w:rPr>
          <w:rFonts w:asciiTheme="minorHAnsi" w:hAnsiTheme="minorHAnsi" w:cs="Arial"/>
          <w:b/>
          <w:bCs/>
          <w:snapToGrid w:val="0"/>
        </w:rPr>
      </w:pPr>
    </w:p>
    <w:p w:rsidR="007E0A15" w:rsidRDefault="007E0A15" w:rsidP="00B74370">
      <w:pPr>
        <w:widowControl w:val="0"/>
        <w:jc w:val="both"/>
        <w:rPr>
          <w:rFonts w:asciiTheme="minorHAnsi" w:hAnsiTheme="minorHAnsi" w:cs="Arial"/>
          <w:b/>
          <w:bCs/>
          <w:snapToGrid w:val="0"/>
        </w:rPr>
      </w:pPr>
    </w:p>
    <w:p w:rsidR="007E0A15" w:rsidRPr="007E0A15" w:rsidRDefault="007E0A15" w:rsidP="007E0A15">
      <w:pPr>
        <w:pStyle w:val="PBACHeading1"/>
        <w:numPr>
          <w:ilvl w:val="0"/>
          <w:numId w:val="5"/>
        </w:numPr>
        <w:rPr>
          <w:rFonts w:asciiTheme="minorHAnsi" w:hAnsiTheme="minorHAnsi"/>
          <w:sz w:val="32"/>
          <w:szCs w:val="32"/>
        </w:rPr>
      </w:pPr>
      <w:r w:rsidRPr="006C2DAA">
        <w:rPr>
          <w:rFonts w:asciiTheme="minorHAnsi" w:hAnsiTheme="minorHAnsi"/>
          <w:sz w:val="32"/>
          <w:szCs w:val="32"/>
        </w:rPr>
        <w:t>Context for Decision</w:t>
      </w:r>
    </w:p>
    <w:p w:rsidR="007E0A15" w:rsidRPr="00440A84" w:rsidRDefault="007E0A15" w:rsidP="007E0A15">
      <w:pPr>
        <w:ind w:left="426"/>
        <w:jc w:val="both"/>
        <w:rPr>
          <w:rFonts w:asciiTheme="minorHAnsi" w:hAnsiTheme="minorHAnsi" w:cs="Arial"/>
        </w:rPr>
      </w:pPr>
    </w:p>
    <w:p w:rsidR="007E0A15" w:rsidRPr="00440A84" w:rsidRDefault="007E0A15" w:rsidP="007E0A15">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E0A15" w:rsidRPr="00440A84" w:rsidRDefault="007E0A15" w:rsidP="007E0A15">
      <w:pPr>
        <w:ind w:left="426"/>
        <w:jc w:val="both"/>
        <w:rPr>
          <w:rFonts w:asciiTheme="minorHAnsi" w:hAnsiTheme="minorHAnsi" w:cs="Arial"/>
        </w:rPr>
      </w:pPr>
    </w:p>
    <w:p w:rsidR="007E0A15" w:rsidRPr="007E0A15" w:rsidRDefault="007E0A15" w:rsidP="007E0A15">
      <w:pPr>
        <w:pStyle w:val="PBACHeading1"/>
        <w:numPr>
          <w:ilvl w:val="0"/>
          <w:numId w:val="5"/>
        </w:numPr>
        <w:rPr>
          <w:rFonts w:asciiTheme="minorHAnsi" w:hAnsiTheme="minorHAnsi"/>
          <w:sz w:val="32"/>
          <w:szCs w:val="32"/>
        </w:rPr>
      </w:pPr>
      <w:r w:rsidRPr="006C2DAA">
        <w:rPr>
          <w:rFonts w:asciiTheme="minorHAnsi" w:hAnsiTheme="minorHAnsi"/>
          <w:sz w:val="32"/>
          <w:szCs w:val="32"/>
        </w:rPr>
        <w:t>Sponsor’s Comment</w:t>
      </w:r>
    </w:p>
    <w:p w:rsidR="007E0A15" w:rsidRPr="00440A84" w:rsidRDefault="007E0A15" w:rsidP="007E0A15">
      <w:pPr>
        <w:ind w:left="426"/>
        <w:jc w:val="both"/>
        <w:rPr>
          <w:rFonts w:asciiTheme="minorHAnsi" w:hAnsiTheme="minorHAnsi" w:cs="Arial"/>
          <w:bCs/>
          <w:highlight w:val="yellow"/>
          <w:lang w:val="en-GB"/>
        </w:rPr>
      </w:pPr>
    </w:p>
    <w:p w:rsidR="007E0A15" w:rsidRPr="00440A84" w:rsidRDefault="007E0A15" w:rsidP="007E0A15">
      <w:pPr>
        <w:spacing w:after="120"/>
        <w:jc w:val="both"/>
        <w:rPr>
          <w:rFonts w:asciiTheme="minorHAnsi" w:hAnsiTheme="minorHAnsi" w:cs="Arial"/>
          <w:bCs/>
        </w:rPr>
      </w:pPr>
      <w:r w:rsidRPr="00440A84">
        <w:rPr>
          <w:rFonts w:asciiTheme="minorHAnsi" w:hAnsiTheme="minorHAnsi" w:cs="Arial"/>
          <w:bCs/>
        </w:rPr>
        <w:t>The sponsor had no comment.</w:t>
      </w:r>
    </w:p>
    <w:p w:rsidR="007E0A15" w:rsidRPr="00A54E8E" w:rsidRDefault="007E0A15" w:rsidP="00B74370">
      <w:pPr>
        <w:widowControl w:val="0"/>
        <w:jc w:val="both"/>
        <w:rPr>
          <w:rFonts w:asciiTheme="minorHAnsi" w:hAnsiTheme="minorHAnsi" w:cs="Arial"/>
          <w:b/>
          <w:bCs/>
          <w:snapToGrid w:val="0"/>
        </w:rPr>
      </w:pPr>
    </w:p>
    <w:sectPr w:rsidR="007E0A15" w:rsidRPr="00A54E8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76" w:rsidRDefault="00BF3C76">
      <w:r>
        <w:separator/>
      </w:r>
    </w:p>
    <w:p w:rsidR="00BF3C76" w:rsidRDefault="00BF3C76"/>
  </w:endnote>
  <w:endnote w:type="continuationSeparator" w:id="0">
    <w:p w:rsidR="00BF3C76" w:rsidRDefault="00BF3C76">
      <w:r>
        <w:continuationSeparator/>
      </w:r>
    </w:p>
    <w:p w:rsidR="00BF3C76" w:rsidRDefault="00BF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97FE0" w:rsidTr="005A3173">
      <w:trPr>
        <w:trHeight w:val="151"/>
      </w:trPr>
      <w:tc>
        <w:tcPr>
          <w:tcW w:w="2250" w:type="pct"/>
          <w:tcBorders>
            <w:top w:val="nil"/>
            <w:left w:val="nil"/>
            <w:bottom w:val="single" w:sz="4" w:space="0" w:color="4F81BD"/>
            <w:right w:val="nil"/>
          </w:tcBorders>
        </w:tcPr>
        <w:p w:rsidR="00797FE0" w:rsidRPr="005A3173" w:rsidRDefault="00797FE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97FE0" w:rsidRPr="005A3173" w:rsidRDefault="00797FE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97FE0" w:rsidRPr="005A3173" w:rsidRDefault="00797FE0" w:rsidP="005A3173">
          <w:pPr>
            <w:pStyle w:val="Header"/>
            <w:spacing w:line="276" w:lineRule="auto"/>
            <w:rPr>
              <w:rFonts w:ascii="Calibri" w:eastAsia="MS Gothic" w:hAnsi="Calibri"/>
              <w:b/>
              <w:bCs/>
              <w:color w:val="4F81BD"/>
            </w:rPr>
          </w:pPr>
        </w:p>
      </w:tc>
    </w:tr>
    <w:tr w:rsidR="00797FE0" w:rsidTr="005A3173">
      <w:trPr>
        <w:trHeight w:val="150"/>
      </w:trPr>
      <w:tc>
        <w:tcPr>
          <w:tcW w:w="2250" w:type="pct"/>
          <w:tcBorders>
            <w:top w:val="single" w:sz="4" w:space="0" w:color="4F81BD"/>
            <w:left w:val="nil"/>
            <w:bottom w:val="nil"/>
            <w:right w:val="nil"/>
          </w:tcBorders>
        </w:tcPr>
        <w:p w:rsidR="00797FE0" w:rsidRPr="005A3173" w:rsidRDefault="00797FE0" w:rsidP="005A3173">
          <w:pPr>
            <w:pStyle w:val="Header"/>
            <w:spacing w:line="276" w:lineRule="auto"/>
            <w:rPr>
              <w:rFonts w:ascii="Calibri" w:eastAsia="MS Gothic" w:hAnsi="Calibri"/>
              <w:b/>
              <w:bCs/>
              <w:color w:val="4F81BD"/>
            </w:rPr>
          </w:pPr>
        </w:p>
      </w:tc>
      <w:tc>
        <w:tcPr>
          <w:tcW w:w="0" w:type="auto"/>
          <w:vMerge/>
          <w:vAlign w:val="center"/>
          <w:hideMark/>
        </w:tcPr>
        <w:p w:rsidR="00797FE0" w:rsidRPr="005A3173" w:rsidRDefault="00797FE0" w:rsidP="005A3173">
          <w:pPr>
            <w:rPr>
              <w:rFonts w:ascii="Calibri" w:hAnsi="Calibri"/>
              <w:color w:val="365F91"/>
              <w:sz w:val="22"/>
              <w:szCs w:val="22"/>
            </w:rPr>
          </w:pPr>
        </w:p>
      </w:tc>
      <w:tc>
        <w:tcPr>
          <w:tcW w:w="2250" w:type="pct"/>
          <w:tcBorders>
            <w:top w:val="single" w:sz="4" w:space="0" w:color="4F81BD"/>
            <w:left w:val="nil"/>
            <w:bottom w:val="nil"/>
            <w:right w:val="nil"/>
          </w:tcBorders>
        </w:tcPr>
        <w:p w:rsidR="00797FE0" w:rsidRPr="005A3173" w:rsidRDefault="00797FE0" w:rsidP="005A3173">
          <w:pPr>
            <w:pStyle w:val="Header"/>
            <w:spacing w:line="276" w:lineRule="auto"/>
            <w:rPr>
              <w:rFonts w:ascii="Calibri" w:eastAsia="MS Gothic" w:hAnsi="Calibri"/>
              <w:b/>
              <w:bCs/>
              <w:color w:val="4F81BD"/>
            </w:rPr>
          </w:pPr>
        </w:p>
      </w:tc>
    </w:tr>
  </w:tbl>
  <w:p w:rsidR="00797FE0" w:rsidRDefault="00797FE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FE0" w:rsidRDefault="00797FE0">
    <w:pPr>
      <w:pStyle w:val="Footer"/>
    </w:pPr>
  </w:p>
  <w:p w:rsidR="00797FE0" w:rsidRDefault="00797FE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7557"/>
      <w:docPartObj>
        <w:docPartGallery w:val="Page Numbers (Bottom of Page)"/>
        <w:docPartUnique/>
      </w:docPartObj>
    </w:sdtPr>
    <w:sdtEndPr>
      <w:rPr>
        <w:rFonts w:asciiTheme="minorHAnsi" w:hAnsiTheme="minorHAnsi"/>
        <w:noProof/>
      </w:rPr>
    </w:sdtEndPr>
    <w:sdtContent>
      <w:p w:rsidR="00B74370" w:rsidRDefault="00B74370">
        <w:pPr>
          <w:pStyle w:val="Footer"/>
          <w:jc w:val="center"/>
        </w:pPr>
      </w:p>
      <w:p w:rsidR="00B74370" w:rsidRPr="00B74370" w:rsidRDefault="00B74370">
        <w:pPr>
          <w:pStyle w:val="Footer"/>
          <w:jc w:val="center"/>
          <w:rPr>
            <w:rFonts w:asciiTheme="minorHAnsi" w:hAnsiTheme="minorHAnsi"/>
          </w:rPr>
        </w:pPr>
        <w:r w:rsidRPr="00B74370">
          <w:rPr>
            <w:rFonts w:asciiTheme="minorHAnsi" w:hAnsiTheme="minorHAnsi"/>
          </w:rPr>
          <w:fldChar w:fldCharType="begin"/>
        </w:r>
        <w:r w:rsidRPr="00B74370">
          <w:rPr>
            <w:rFonts w:asciiTheme="minorHAnsi" w:hAnsiTheme="minorHAnsi"/>
          </w:rPr>
          <w:instrText xml:space="preserve"> PAGE   \* MERGEFORMAT </w:instrText>
        </w:r>
        <w:r w:rsidRPr="00B74370">
          <w:rPr>
            <w:rFonts w:asciiTheme="minorHAnsi" w:hAnsiTheme="minorHAnsi"/>
          </w:rPr>
          <w:fldChar w:fldCharType="separate"/>
        </w:r>
        <w:r w:rsidR="00BF3C76">
          <w:rPr>
            <w:rFonts w:asciiTheme="minorHAnsi" w:hAnsiTheme="minorHAnsi"/>
            <w:noProof/>
          </w:rPr>
          <w:t>1</w:t>
        </w:r>
        <w:r w:rsidRPr="00B74370">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97FE0" w:rsidTr="005A3173">
      <w:trPr>
        <w:trHeight w:val="151"/>
      </w:trPr>
      <w:tc>
        <w:tcPr>
          <w:tcW w:w="2250" w:type="pct"/>
          <w:tcBorders>
            <w:top w:val="nil"/>
            <w:left w:val="nil"/>
            <w:bottom w:val="single" w:sz="4" w:space="0" w:color="4F81BD"/>
            <w:right w:val="nil"/>
          </w:tcBorders>
        </w:tcPr>
        <w:p w:rsidR="00797FE0" w:rsidRPr="005A3173" w:rsidRDefault="00797FE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97FE0" w:rsidRPr="005A3173" w:rsidRDefault="00797FE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97FE0" w:rsidRPr="005A3173" w:rsidRDefault="00797FE0" w:rsidP="005A3173">
          <w:pPr>
            <w:pStyle w:val="Header"/>
            <w:spacing w:line="276" w:lineRule="auto"/>
            <w:rPr>
              <w:rFonts w:ascii="Calibri" w:eastAsia="MS Gothic" w:hAnsi="Calibri"/>
              <w:b/>
              <w:bCs/>
              <w:color w:val="4F81BD"/>
            </w:rPr>
          </w:pPr>
        </w:p>
      </w:tc>
    </w:tr>
    <w:tr w:rsidR="00797FE0" w:rsidTr="005A3173">
      <w:trPr>
        <w:trHeight w:val="150"/>
      </w:trPr>
      <w:tc>
        <w:tcPr>
          <w:tcW w:w="2250" w:type="pct"/>
          <w:tcBorders>
            <w:top w:val="single" w:sz="4" w:space="0" w:color="4F81BD"/>
            <w:left w:val="nil"/>
            <w:bottom w:val="nil"/>
            <w:right w:val="nil"/>
          </w:tcBorders>
        </w:tcPr>
        <w:p w:rsidR="00797FE0" w:rsidRPr="005A3173" w:rsidRDefault="00797FE0" w:rsidP="005A3173">
          <w:pPr>
            <w:pStyle w:val="Header"/>
            <w:spacing w:line="276" w:lineRule="auto"/>
            <w:rPr>
              <w:rFonts w:ascii="Calibri" w:eastAsia="MS Gothic" w:hAnsi="Calibri"/>
              <w:b/>
              <w:bCs/>
              <w:color w:val="4F81BD"/>
            </w:rPr>
          </w:pPr>
        </w:p>
      </w:tc>
      <w:tc>
        <w:tcPr>
          <w:tcW w:w="0" w:type="auto"/>
          <w:vMerge/>
          <w:vAlign w:val="center"/>
          <w:hideMark/>
        </w:tcPr>
        <w:p w:rsidR="00797FE0" w:rsidRPr="005A3173" w:rsidRDefault="00797FE0" w:rsidP="005A3173">
          <w:pPr>
            <w:rPr>
              <w:rFonts w:ascii="Calibri" w:hAnsi="Calibri"/>
              <w:color w:val="365F91"/>
              <w:sz w:val="22"/>
              <w:szCs w:val="22"/>
            </w:rPr>
          </w:pPr>
        </w:p>
      </w:tc>
      <w:tc>
        <w:tcPr>
          <w:tcW w:w="2250" w:type="pct"/>
          <w:tcBorders>
            <w:top w:val="single" w:sz="4" w:space="0" w:color="4F81BD"/>
            <w:left w:val="nil"/>
            <w:bottom w:val="nil"/>
            <w:right w:val="nil"/>
          </w:tcBorders>
        </w:tcPr>
        <w:p w:rsidR="00797FE0" w:rsidRPr="005A3173" w:rsidRDefault="00797FE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97FE0" w:rsidTr="005A3173">
      <w:trPr>
        <w:trHeight w:val="151"/>
      </w:trPr>
      <w:tc>
        <w:tcPr>
          <w:tcW w:w="2250" w:type="pct"/>
          <w:tcBorders>
            <w:top w:val="nil"/>
            <w:left w:val="nil"/>
            <w:bottom w:val="single" w:sz="4" w:space="0" w:color="4F81BD"/>
            <w:right w:val="nil"/>
          </w:tcBorders>
        </w:tcPr>
        <w:p w:rsidR="00797FE0" w:rsidRPr="005A3173" w:rsidRDefault="00797FE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97FE0" w:rsidRPr="005A3173" w:rsidRDefault="00797FE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97FE0" w:rsidRPr="005A3173" w:rsidRDefault="00797FE0" w:rsidP="005A3173">
          <w:pPr>
            <w:pStyle w:val="Header"/>
            <w:spacing w:line="276" w:lineRule="auto"/>
            <w:rPr>
              <w:rFonts w:ascii="Calibri" w:eastAsia="MS Gothic" w:hAnsi="Calibri"/>
              <w:b/>
              <w:bCs/>
              <w:color w:val="4F81BD"/>
            </w:rPr>
          </w:pPr>
        </w:p>
      </w:tc>
    </w:tr>
    <w:tr w:rsidR="00797FE0" w:rsidTr="005A3173">
      <w:trPr>
        <w:trHeight w:val="150"/>
      </w:trPr>
      <w:tc>
        <w:tcPr>
          <w:tcW w:w="2250" w:type="pct"/>
          <w:tcBorders>
            <w:top w:val="single" w:sz="4" w:space="0" w:color="4F81BD"/>
            <w:left w:val="nil"/>
            <w:bottom w:val="nil"/>
            <w:right w:val="nil"/>
          </w:tcBorders>
        </w:tcPr>
        <w:p w:rsidR="00797FE0" w:rsidRPr="005A3173" w:rsidRDefault="00797FE0" w:rsidP="005A3173">
          <w:pPr>
            <w:pStyle w:val="Header"/>
            <w:spacing w:line="276" w:lineRule="auto"/>
            <w:rPr>
              <w:rFonts w:ascii="Calibri" w:eastAsia="MS Gothic" w:hAnsi="Calibri"/>
              <w:b/>
              <w:bCs/>
              <w:color w:val="4F81BD"/>
            </w:rPr>
          </w:pPr>
        </w:p>
      </w:tc>
      <w:tc>
        <w:tcPr>
          <w:tcW w:w="0" w:type="auto"/>
          <w:vMerge/>
          <w:vAlign w:val="center"/>
          <w:hideMark/>
        </w:tcPr>
        <w:p w:rsidR="00797FE0" w:rsidRPr="005A3173" w:rsidRDefault="00797FE0" w:rsidP="005A3173">
          <w:pPr>
            <w:rPr>
              <w:rFonts w:ascii="Calibri" w:hAnsi="Calibri"/>
              <w:color w:val="365F91"/>
              <w:sz w:val="22"/>
              <w:szCs w:val="22"/>
            </w:rPr>
          </w:pPr>
        </w:p>
      </w:tc>
      <w:tc>
        <w:tcPr>
          <w:tcW w:w="2250" w:type="pct"/>
          <w:tcBorders>
            <w:top w:val="single" w:sz="4" w:space="0" w:color="4F81BD"/>
            <w:left w:val="nil"/>
            <w:bottom w:val="nil"/>
            <w:right w:val="nil"/>
          </w:tcBorders>
        </w:tcPr>
        <w:p w:rsidR="00797FE0" w:rsidRPr="005A3173" w:rsidRDefault="00797FE0" w:rsidP="005A3173">
          <w:pPr>
            <w:pStyle w:val="Header"/>
            <w:spacing w:line="276" w:lineRule="auto"/>
            <w:rPr>
              <w:rFonts w:ascii="Calibri" w:eastAsia="MS Gothic" w:hAnsi="Calibri"/>
              <w:b/>
              <w:bCs/>
              <w:color w:val="4F81BD"/>
            </w:rPr>
          </w:pPr>
        </w:p>
      </w:tc>
    </w:tr>
  </w:tbl>
  <w:p w:rsidR="00797FE0" w:rsidRPr="007C0F57" w:rsidRDefault="00797FE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97FE0" w:rsidRPr="007C0F57" w:rsidRDefault="00797FE0" w:rsidP="007C0F57">
    <w:pPr>
      <w:pStyle w:val="Footer"/>
      <w:jc w:val="center"/>
      <w:rPr>
        <w:b/>
        <w:i/>
        <w:sz w:val="20"/>
        <w:szCs w:val="20"/>
      </w:rPr>
    </w:pPr>
    <w:r w:rsidRPr="007C0F57">
      <w:rPr>
        <w:b/>
        <w:i/>
        <w:sz w:val="20"/>
        <w:szCs w:val="20"/>
      </w:rPr>
      <w:t>Commercial-in-Confidence</w:t>
    </w:r>
  </w:p>
  <w:p w:rsidR="00797FE0" w:rsidRDefault="00797F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76" w:rsidRDefault="00BF3C76">
      <w:r>
        <w:separator/>
      </w:r>
    </w:p>
    <w:p w:rsidR="00BF3C76" w:rsidRDefault="00BF3C76"/>
  </w:footnote>
  <w:footnote w:type="continuationSeparator" w:id="0">
    <w:p w:rsidR="00BF3C76" w:rsidRDefault="00BF3C76">
      <w:r>
        <w:continuationSeparator/>
      </w:r>
    </w:p>
    <w:p w:rsidR="00BF3C76" w:rsidRDefault="00BF3C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97FE0" w:rsidRPr="008E0D90" w:rsidTr="00A06225">
      <w:trPr>
        <w:trHeight w:val="151"/>
      </w:trPr>
      <w:tc>
        <w:tcPr>
          <w:tcW w:w="2389" w:type="pct"/>
          <w:tcBorders>
            <w:top w:val="nil"/>
            <w:left w:val="nil"/>
            <w:bottom w:val="single" w:sz="4" w:space="0" w:color="4F81BD"/>
            <w:right w:val="nil"/>
          </w:tcBorders>
        </w:tcPr>
        <w:p w:rsidR="00797FE0" w:rsidRPr="00A06225" w:rsidRDefault="00797FE0">
          <w:pPr>
            <w:pStyle w:val="Header"/>
            <w:spacing w:line="276" w:lineRule="auto"/>
            <w:rPr>
              <w:rFonts w:ascii="Cambria" w:eastAsia="MS Gothic" w:hAnsi="Cambria"/>
              <w:b/>
              <w:bCs/>
              <w:color w:val="4F81BD"/>
            </w:rPr>
          </w:pPr>
        </w:p>
      </w:tc>
      <w:tc>
        <w:tcPr>
          <w:tcW w:w="333" w:type="pct"/>
          <w:vMerge w:val="restart"/>
          <w:noWrap/>
          <w:vAlign w:val="center"/>
          <w:hideMark/>
        </w:tcPr>
        <w:p w:rsidR="00797FE0" w:rsidRPr="00A06225" w:rsidRDefault="00797FE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97FE0" w:rsidRPr="00A06225" w:rsidRDefault="00797FE0">
          <w:pPr>
            <w:pStyle w:val="Header"/>
            <w:spacing w:line="276" w:lineRule="auto"/>
            <w:rPr>
              <w:rFonts w:ascii="Cambria" w:eastAsia="MS Gothic" w:hAnsi="Cambria"/>
              <w:b/>
              <w:bCs/>
              <w:color w:val="4F81BD"/>
            </w:rPr>
          </w:pPr>
        </w:p>
      </w:tc>
    </w:tr>
    <w:tr w:rsidR="00797FE0" w:rsidRPr="008E0D90" w:rsidTr="00A06225">
      <w:trPr>
        <w:trHeight w:val="150"/>
      </w:trPr>
      <w:tc>
        <w:tcPr>
          <w:tcW w:w="2389" w:type="pct"/>
          <w:tcBorders>
            <w:top w:val="single" w:sz="4" w:space="0" w:color="4F81BD"/>
            <w:left w:val="nil"/>
            <w:bottom w:val="nil"/>
            <w:right w:val="nil"/>
          </w:tcBorders>
        </w:tcPr>
        <w:p w:rsidR="00797FE0" w:rsidRPr="00A06225" w:rsidRDefault="00797FE0">
          <w:pPr>
            <w:pStyle w:val="Header"/>
            <w:spacing w:line="276" w:lineRule="auto"/>
            <w:rPr>
              <w:rFonts w:ascii="Cambria" w:eastAsia="MS Gothic" w:hAnsi="Cambria"/>
              <w:b/>
              <w:bCs/>
              <w:color w:val="4F81BD"/>
            </w:rPr>
          </w:pPr>
        </w:p>
      </w:tc>
      <w:tc>
        <w:tcPr>
          <w:tcW w:w="0" w:type="auto"/>
          <w:vMerge/>
          <w:vAlign w:val="center"/>
          <w:hideMark/>
        </w:tcPr>
        <w:p w:rsidR="00797FE0" w:rsidRPr="00A06225" w:rsidRDefault="00797FE0">
          <w:pPr>
            <w:rPr>
              <w:rFonts w:ascii="Cambria" w:hAnsi="Cambria"/>
              <w:color w:val="4F81BD"/>
              <w:sz w:val="22"/>
              <w:szCs w:val="22"/>
            </w:rPr>
          </w:pPr>
        </w:p>
      </w:tc>
      <w:tc>
        <w:tcPr>
          <w:tcW w:w="2278" w:type="pct"/>
          <w:tcBorders>
            <w:top w:val="single" w:sz="4" w:space="0" w:color="4F81BD"/>
            <w:left w:val="nil"/>
            <w:bottom w:val="nil"/>
            <w:right w:val="nil"/>
          </w:tcBorders>
        </w:tcPr>
        <w:p w:rsidR="00797FE0" w:rsidRPr="00A06225" w:rsidRDefault="00797FE0">
          <w:pPr>
            <w:pStyle w:val="Header"/>
            <w:spacing w:line="276" w:lineRule="auto"/>
            <w:rPr>
              <w:rFonts w:ascii="Cambria" w:eastAsia="MS Gothic" w:hAnsi="Cambria"/>
              <w:b/>
              <w:bCs/>
              <w:color w:val="4F81BD"/>
            </w:rPr>
          </w:pPr>
        </w:p>
      </w:tc>
    </w:tr>
  </w:tbl>
  <w:p w:rsidR="00797FE0" w:rsidRDefault="00797FE0">
    <w:pPr>
      <w:pStyle w:val="Header"/>
    </w:pPr>
  </w:p>
  <w:p w:rsidR="00797FE0" w:rsidRDefault="00797F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70" w:rsidRPr="004E3124" w:rsidRDefault="007E0A15" w:rsidP="00B74370">
    <w:pPr>
      <w:pStyle w:val="Header"/>
      <w:tabs>
        <w:tab w:val="left" w:pos="1725"/>
      </w:tabs>
      <w:jc w:val="center"/>
      <w:rPr>
        <w:rFonts w:asciiTheme="minorHAnsi" w:hAnsiTheme="minorHAnsi"/>
        <w:i/>
        <w:noProof/>
      </w:rPr>
    </w:pPr>
    <w:r>
      <w:rPr>
        <w:rFonts w:asciiTheme="minorHAnsi" w:hAnsiTheme="minorHAnsi"/>
        <w:i/>
        <w:noProof/>
      </w:rPr>
      <w:t>Public Summary Document</w:t>
    </w:r>
    <w:r w:rsidR="00C25923" w:rsidRPr="004E3124">
      <w:rPr>
        <w:rFonts w:asciiTheme="minorHAnsi" w:hAnsiTheme="minorHAnsi"/>
        <w:i/>
        <w:noProof/>
      </w:rPr>
      <w:t xml:space="preserve"> </w:t>
    </w:r>
    <w:r w:rsidR="00B74370" w:rsidRPr="004E3124">
      <w:rPr>
        <w:rFonts w:asciiTheme="minorHAnsi" w:hAnsiTheme="minorHAnsi"/>
        <w:i/>
        <w:noProof/>
      </w:rPr>
      <w:t xml:space="preserve"> – July 2017 PBAC Meeting</w:t>
    </w:r>
  </w:p>
  <w:p w:rsidR="00B74370" w:rsidRPr="004E3124" w:rsidRDefault="007E0A15" w:rsidP="00B74370">
    <w:pPr>
      <w:pStyle w:val="Header"/>
      <w:tabs>
        <w:tab w:val="left" w:pos="1725"/>
        <w:tab w:val="left" w:pos="2970"/>
      </w:tabs>
      <w:rPr>
        <w:rFonts w:asciiTheme="minorHAnsi" w:hAnsiTheme="minorHAnsi"/>
        <w:i/>
        <w:noProof/>
      </w:rPr>
    </w:pPr>
    <w:r>
      <w:rPr>
        <w:rFonts w:asciiTheme="minorHAnsi" w:hAnsiTheme="minorHAnsi"/>
        <w:i/>
        <w:noProof/>
      </w:rPr>
      <w:tab/>
    </w:r>
    <w:r>
      <w:rPr>
        <w:rFonts w:asciiTheme="minorHAnsi" w:hAnsiTheme="minorHAnsi"/>
        <w:i/>
        <w:noProof/>
      </w:rPr>
      <w:tab/>
    </w:r>
    <w:r>
      <w:rPr>
        <w:rFonts w:asciiTheme="minorHAnsi" w:hAnsiTheme="minorHAnsi"/>
        <w:i/>
        <w:noProof/>
      </w:rPr>
      <w:tab/>
    </w:r>
  </w:p>
  <w:p w:rsidR="00797FE0" w:rsidRDefault="00797FE0"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C76" w:rsidRDefault="00BF3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C77FFB"/>
    <w:multiLevelType w:val="hybridMultilevel"/>
    <w:tmpl w:val="0AA6E9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F95253"/>
    <w:multiLevelType w:val="multilevel"/>
    <w:tmpl w:val="DB64177A"/>
    <w:lvl w:ilvl="0">
      <w:start w:val="1"/>
      <w:numFmt w:val="decimal"/>
      <w:lvlText w:val="%1"/>
      <w:lvlJc w:val="left"/>
      <w:pPr>
        <w:ind w:left="862" w:hanging="720"/>
      </w:pPr>
      <w:rPr>
        <w:rFonts w:hint="default"/>
        <w:b/>
        <w:i w:val="0"/>
        <w:specVanish w:val="0"/>
      </w:rPr>
    </w:lvl>
    <w:lvl w:ilvl="1">
      <w:start w:val="1"/>
      <w:numFmt w:val="decimal"/>
      <w:lvlText w:val="%1.%2"/>
      <w:lvlJc w:val="left"/>
      <w:pPr>
        <w:ind w:left="720" w:hanging="720"/>
      </w:pPr>
      <w:rPr>
        <w:rFonts w:ascii="Arial" w:hAnsi="Arial" w:cs="Aria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27AAEEF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6"/>
  </w:num>
  <w:num w:numId="5">
    <w:abstractNumId w:val="18"/>
  </w:num>
  <w:num w:numId="6">
    <w:abstractNumId w:val="8"/>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8"/>
  </w:num>
  <w:num w:numId="15">
    <w:abstractNumId w:val="6"/>
  </w:num>
  <w:num w:numId="16">
    <w:abstractNumId w:val="18"/>
  </w:num>
  <w:num w:numId="17">
    <w:abstractNumId w:val="17"/>
  </w:num>
  <w:num w:numId="18">
    <w:abstractNumId w:val="5"/>
  </w:num>
  <w:num w:numId="19">
    <w:abstractNumId w:val="2"/>
  </w:num>
  <w:num w:numId="20">
    <w:abstractNumId w:val="10"/>
  </w:num>
  <w:num w:numId="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7037"/>
    <w:rsid w:val="00023687"/>
    <w:rsid w:val="0002464A"/>
    <w:rsid w:val="0003106B"/>
    <w:rsid w:val="000421A1"/>
    <w:rsid w:val="0004240E"/>
    <w:rsid w:val="00045E26"/>
    <w:rsid w:val="000511B5"/>
    <w:rsid w:val="000514B5"/>
    <w:rsid w:val="00060E64"/>
    <w:rsid w:val="000627FE"/>
    <w:rsid w:val="00066755"/>
    <w:rsid w:val="00077143"/>
    <w:rsid w:val="000969AD"/>
    <w:rsid w:val="000B558D"/>
    <w:rsid w:val="000B64DF"/>
    <w:rsid w:val="000C4D91"/>
    <w:rsid w:val="000C5082"/>
    <w:rsid w:val="000C6996"/>
    <w:rsid w:val="000D18C4"/>
    <w:rsid w:val="000D23BA"/>
    <w:rsid w:val="000D6092"/>
    <w:rsid w:val="000E681E"/>
    <w:rsid w:val="000F4E6A"/>
    <w:rsid w:val="001107BF"/>
    <w:rsid w:val="0012417C"/>
    <w:rsid w:val="00142395"/>
    <w:rsid w:val="00142714"/>
    <w:rsid w:val="001452ED"/>
    <w:rsid w:val="00155C6D"/>
    <w:rsid w:val="00161ADE"/>
    <w:rsid w:val="001830CE"/>
    <w:rsid w:val="0018643B"/>
    <w:rsid w:val="0019153B"/>
    <w:rsid w:val="00196307"/>
    <w:rsid w:val="001A33EA"/>
    <w:rsid w:val="001B017F"/>
    <w:rsid w:val="001B5129"/>
    <w:rsid w:val="001B6BFB"/>
    <w:rsid w:val="001B762E"/>
    <w:rsid w:val="001C1195"/>
    <w:rsid w:val="001D5047"/>
    <w:rsid w:val="00213CFB"/>
    <w:rsid w:val="0022278E"/>
    <w:rsid w:val="002667F2"/>
    <w:rsid w:val="00271BA1"/>
    <w:rsid w:val="002762FA"/>
    <w:rsid w:val="00277505"/>
    <w:rsid w:val="0029458F"/>
    <w:rsid w:val="002A104C"/>
    <w:rsid w:val="002A4960"/>
    <w:rsid w:val="002B1AE6"/>
    <w:rsid w:val="002B30F8"/>
    <w:rsid w:val="002C212F"/>
    <w:rsid w:val="002D3FCF"/>
    <w:rsid w:val="002E3153"/>
    <w:rsid w:val="002E72CA"/>
    <w:rsid w:val="00300AD6"/>
    <w:rsid w:val="00316C96"/>
    <w:rsid w:val="00324C99"/>
    <w:rsid w:val="00326E79"/>
    <w:rsid w:val="00335F50"/>
    <w:rsid w:val="003367EF"/>
    <w:rsid w:val="00341AE4"/>
    <w:rsid w:val="00347128"/>
    <w:rsid w:val="00352754"/>
    <w:rsid w:val="00366776"/>
    <w:rsid w:val="003700E0"/>
    <w:rsid w:val="003872CF"/>
    <w:rsid w:val="00391F62"/>
    <w:rsid w:val="0039782C"/>
    <w:rsid w:val="003A5B4A"/>
    <w:rsid w:val="003B23C5"/>
    <w:rsid w:val="003B2A75"/>
    <w:rsid w:val="003B4D52"/>
    <w:rsid w:val="003D4AC4"/>
    <w:rsid w:val="003D63B7"/>
    <w:rsid w:val="003E468B"/>
    <w:rsid w:val="003F5C8C"/>
    <w:rsid w:val="003F77C1"/>
    <w:rsid w:val="0040687A"/>
    <w:rsid w:val="004337E9"/>
    <w:rsid w:val="004465BD"/>
    <w:rsid w:val="00454F3B"/>
    <w:rsid w:val="004570D9"/>
    <w:rsid w:val="00466ADA"/>
    <w:rsid w:val="00476245"/>
    <w:rsid w:val="00485940"/>
    <w:rsid w:val="00497339"/>
    <w:rsid w:val="004A1528"/>
    <w:rsid w:val="004A2484"/>
    <w:rsid w:val="004A4898"/>
    <w:rsid w:val="004A5A85"/>
    <w:rsid w:val="004B5640"/>
    <w:rsid w:val="004C1BD7"/>
    <w:rsid w:val="004C691D"/>
    <w:rsid w:val="004D4E35"/>
    <w:rsid w:val="004E3124"/>
    <w:rsid w:val="004E52E8"/>
    <w:rsid w:val="004E692D"/>
    <w:rsid w:val="00501554"/>
    <w:rsid w:val="00514CD7"/>
    <w:rsid w:val="005214B4"/>
    <w:rsid w:val="005319B2"/>
    <w:rsid w:val="00532C74"/>
    <w:rsid w:val="00534E2E"/>
    <w:rsid w:val="00544552"/>
    <w:rsid w:val="00581932"/>
    <w:rsid w:val="005963BB"/>
    <w:rsid w:val="005A3173"/>
    <w:rsid w:val="005A3223"/>
    <w:rsid w:val="005A3DA3"/>
    <w:rsid w:val="005A52C4"/>
    <w:rsid w:val="005D03AB"/>
    <w:rsid w:val="005D5017"/>
    <w:rsid w:val="005F49E2"/>
    <w:rsid w:val="00601A91"/>
    <w:rsid w:val="00602BA3"/>
    <w:rsid w:val="00614159"/>
    <w:rsid w:val="00617C00"/>
    <w:rsid w:val="00625C5E"/>
    <w:rsid w:val="006263BF"/>
    <w:rsid w:val="0062748A"/>
    <w:rsid w:val="006300C5"/>
    <w:rsid w:val="00630A2C"/>
    <w:rsid w:val="006436CD"/>
    <w:rsid w:val="00645A56"/>
    <w:rsid w:val="00651169"/>
    <w:rsid w:val="00653D69"/>
    <w:rsid w:val="00660B9B"/>
    <w:rsid w:val="00670A76"/>
    <w:rsid w:val="006711AA"/>
    <w:rsid w:val="00672B57"/>
    <w:rsid w:val="00673957"/>
    <w:rsid w:val="0067524E"/>
    <w:rsid w:val="00675622"/>
    <w:rsid w:val="006906DB"/>
    <w:rsid w:val="00694A98"/>
    <w:rsid w:val="006A12A5"/>
    <w:rsid w:val="006A2FCE"/>
    <w:rsid w:val="006A49E8"/>
    <w:rsid w:val="006B0D94"/>
    <w:rsid w:val="006B485D"/>
    <w:rsid w:val="006B5D51"/>
    <w:rsid w:val="006C3C0A"/>
    <w:rsid w:val="006C708E"/>
    <w:rsid w:val="006D0F6B"/>
    <w:rsid w:val="006D6EC7"/>
    <w:rsid w:val="006E075E"/>
    <w:rsid w:val="006E2B79"/>
    <w:rsid w:val="006F5125"/>
    <w:rsid w:val="00710711"/>
    <w:rsid w:val="007174BB"/>
    <w:rsid w:val="0076420C"/>
    <w:rsid w:val="007753C2"/>
    <w:rsid w:val="007838B8"/>
    <w:rsid w:val="00797FE0"/>
    <w:rsid w:val="007C0F57"/>
    <w:rsid w:val="007C261B"/>
    <w:rsid w:val="007C40B6"/>
    <w:rsid w:val="007C5978"/>
    <w:rsid w:val="007C729F"/>
    <w:rsid w:val="007E0A15"/>
    <w:rsid w:val="007E1D28"/>
    <w:rsid w:val="007F2641"/>
    <w:rsid w:val="007F7C36"/>
    <w:rsid w:val="00806796"/>
    <w:rsid w:val="008151D6"/>
    <w:rsid w:val="0081706B"/>
    <w:rsid w:val="00826F6D"/>
    <w:rsid w:val="00856DDD"/>
    <w:rsid w:val="0086062B"/>
    <w:rsid w:val="00863CF2"/>
    <w:rsid w:val="00863E68"/>
    <w:rsid w:val="00882085"/>
    <w:rsid w:val="00883188"/>
    <w:rsid w:val="00897D58"/>
    <w:rsid w:val="008A1956"/>
    <w:rsid w:val="008A4937"/>
    <w:rsid w:val="008A50F1"/>
    <w:rsid w:val="008B0F86"/>
    <w:rsid w:val="008C0891"/>
    <w:rsid w:val="008C0DA7"/>
    <w:rsid w:val="008D1B5C"/>
    <w:rsid w:val="008D3C82"/>
    <w:rsid w:val="008D447E"/>
    <w:rsid w:val="008D7A41"/>
    <w:rsid w:val="008E3680"/>
    <w:rsid w:val="008E5870"/>
    <w:rsid w:val="008E6BE2"/>
    <w:rsid w:val="008F1434"/>
    <w:rsid w:val="008F3A40"/>
    <w:rsid w:val="008F7355"/>
    <w:rsid w:val="009067B7"/>
    <w:rsid w:val="00907449"/>
    <w:rsid w:val="009118A8"/>
    <w:rsid w:val="00930937"/>
    <w:rsid w:val="00933E6C"/>
    <w:rsid w:val="00942160"/>
    <w:rsid w:val="0095146F"/>
    <w:rsid w:val="009602C5"/>
    <w:rsid w:val="00962223"/>
    <w:rsid w:val="00970A16"/>
    <w:rsid w:val="00974C21"/>
    <w:rsid w:val="0097539B"/>
    <w:rsid w:val="00996E53"/>
    <w:rsid w:val="009A26F5"/>
    <w:rsid w:val="009B0F67"/>
    <w:rsid w:val="009C3694"/>
    <w:rsid w:val="009C4349"/>
    <w:rsid w:val="009C6F35"/>
    <w:rsid w:val="009C703C"/>
    <w:rsid w:val="009D029C"/>
    <w:rsid w:val="009D3CAA"/>
    <w:rsid w:val="009D6E5A"/>
    <w:rsid w:val="009F4E46"/>
    <w:rsid w:val="009F5B65"/>
    <w:rsid w:val="009F5F2E"/>
    <w:rsid w:val="00A06225"/>
    <w:rsid w:val="00A128E6"/>
    <w:rsid w:val="00A2071E"/>
    <w:rsid w:val="00A3407D"/>
    <w:rsid w:val="00A37C8D"/>
    <w:rsid w:val="00A42BA2"/>
    <w:rsid w:val="00A5273B"/>
    <w:rsid w:val="00A53A9D"/>
    <w:rsid w:val="00A54E8E"/>
    <w:rsid w:val="00A55816"/>
    <w:rsid w:val="00A55FEE"/>
    <w:rsid w:val="00A62C1A"/>
    <w:rsid w:val="00A6426D"/>
    <w:rsid w:val="00A70622"/>
    <w:rsid w:val="00A70977"/>
    <w:rsid w:val="00A77613"/>
    <w:rsid w:val="00A8390C"/>
    <w:rsid w:val="00A85496"/>
    <w:rsid w:val="00A87548"/>
    <w:rsid w:val="00A876B3"/>
    <w:rsid w:val="00A9093F"/>
    <w:rsid w:val="00A928BD"/>
    <w:rsid w:val="00A936F7"/>
    <w:rsid w:val="00AA4D1C"/>
    <w:rsid w:val="00AB000A"/>
    <w:rsid w:val="00AC193C"/>
    <w:rsid w:val="00AC5206"/>
    <w:rsid w:val="00AD0C32"/>
    <w:rsid w:val="00AE11A5"/>
    <w:rsid w:val="00AE13E2"/>
    <w:rsid w:val="00AE3296"/>
    <w:rsid w:val="00AF68CC"/>
    <w:rsid w:val="00B045CC"/>
    <w:rsid w:val="00B1059E"/>
    <w:rsid w:val="00B17DDE"/>
    <w:rsid w:val="00B205AA"/>
    <w:rsid w:val="00B22E84"/>
    <w:rsid w:val="00B25F75"/>
    <w:rsid w:val="00B43E90"/>
    <w:rsid w:val="00B467DC"/>
    <w:rsid w:val="00B56118"/>
    <w:rsid w:val="00B6773F"/>
    <w:rsid w:val="00B74370"/>
    <w:rsid w:val="00B801BA"/>
    <w:rsid w:val="00B85EC1"/>
    <w:rsid w:val="00BB69F5"/>
    <w:rsid w:val="00BB7EC3"/>
    <w:rsid w:val="00BC4B9A"/>
    <w:rsid w:val="00BD642A"/>
    <w:rsid w:val="00BD784C"/>
    <w:rsid w:val="00BE4B85"/>
    <w:rsid w:val="00BF3C76"/>
    <w:rsid w:val="00BF4CB6"/>
    <w:rsid w:val="00C00DA7"/>
    <w:rsid w:val="00C12768"/>
    <w:rsid w:val="00C25923"/>
    <w:rsid w:val="00C27B58"/>
    <w:rsid w:val="00C35996"/>
    <w:rsid w:val="00C5342C"/>
    <w:rsid w:val="00C603D4"/>
    <w:rsid w:val="00C6256A"/>
    <w:rsid w:val="00C91449"/>
    <w:rsid w:val="00C92D10"/>
    <w:rsid w:val="00CE10C4"/>
    <w:rsid w:val="00CE234C"/>
    <w:rsid w:val="00CE27B5"/>
    <w:rsid w:val="00D0321E"/>
    <w:rsid w:val="00D1455A"/>
    <w:rsid w:val="00D14AE0"/>
    <w:rsid w:val="00D3136E"/>
    <w:rsid w:val="00D3138B"/>
    <w:rsid w:val="00D3280C"/>
    <w:rsid w:val="00D3406A"/>
    <w:rsid w:val="00D458AE"/>
    <w:rsid w:val="00D469B2"/>
    <w:rsid w:val="00D72674"/>
    <w:rsid w:val="00D7347F"/>
    <w:rsid w:val="00D741EB"/>
    <w:rsid w:val="00D77378"/>
    <w:rsid w:val="00D83605"/>
    <w:rsid w:val="00D84934"/>
    <w:rsid w:val="00D91271"/>
    <w:rsid w:val="00D945B2"/>
    <w:rsid w:val="00DA2CB5"/>
    <w:rsid w:val="00DA4BAC"/>
    <w:rsid w:val="00DC68BC"/>
    <w:rsid w:val="00DC7762"/>
    <w:rsid w:val="00DD6E96"/>
    <w:rsid w:val="00DE2210"/>
    <w:rsid w:val="00DE6D27"/>
    <w:rsid w:val="00DF217D"/>
    <w:rsid w:val="00DF26A7"/>
    <w:rsid w:val="00E15627"/>
    <w:rsid w:val="00E164B3"/>
    <w:rsid w:val="00E16910"/>
    <w:rsid w:val="00E60EAE"/>
    <w:rsid w:val="00E65E54"/>
    <w:rsid w:val="00E80155"/>
    <w:rsid w:val="00E848C0"/>
    <w:rsid w:val="00E91B96"/>
    <w:rsid w:val="00E941A1"/>
    <w:rsid w:val="00E95CE3"/>
    <w:rsid w:val="00EA2825"/>
    <w:rsid w:val="00EA447B"/>
    <w:rsid w:val="00EB5088"/>
    <w:rsid w:val="00EC3519"/>
    <w:rsid w:val="00EC4264"/>
    <w:rsid w:val="00ED1644"/>
    <w:rsid w:val="00ED2593"/>
    <w:rsid w:val="00EF44A0"/>
    <w:rsid w:val="00EF4FED"/>
    <w:rsid w:val="00F050BD"/>
    <w:rsid w:val="00F05657"/>
    <w:rsid w:val="00F25578"/>
    <w:rsid w:val="00F258E5"/>
    <w:rsid w:val="00F300BC"/>
    <w:rsid w:val="00F3334E"/>
    <w:rsid w:val="00F33FA9"/>
    <w:rsid w:val="00F36CCB"/>
    <w:rsid w:val="00F47E83"/>
    <w:rsid w:val="00F50EC4"/>
    <w:rsid w:val="00F57A6D"/>
    <w:rsid w:val="00F6319B"/>
    <w:rsid w:val="00F638CC"/>
    <w:rsid w:val="00F64CC1"/>
    <w:rsid w:val="00F81E70"/>
    <w:rsid w:val="00F8247A"/>
    <w:rsid w:val="00F9629A"/>
    <w:rsid w:val="00FA5883"/>
    <w:rsid w:val="00FA6055"/>
    <w:rsid w:val="00FB322F"/>
    <w:rsid w:val="00FB3D56"/>
    <w:rsid w:val="00FB442F"/>
    <w:rsid w:val="00FC1929"/>
    <w:rsid w:val="00FC5B46"/>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B74370"/>
    <w:rPr>
      <w:rFonts w:ascii="Arial" w:hAnsi="Arial"/>
      <w:b/>
      <w:i/>
      <w:sz w:val="22"/>
      <w:szCs w:val="24"/>
    </w:rPr>
  </w:style>
  <w:style w:type="paragraph" w:styleId="Caption">
    <w:name w:val="caption"/>
    <w:basedOn w:val="Normal"/>
    <w:next w:val="Normal"/>
    <w:unhideWhenUsed/>
    <w:qFormat/>
    <w:rsid w:val="001B6BF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character" w:customStyle="1" w:styleId="Heading2Char">
    <w:name w:val="Heading 2 Char"/>
    <w:basedOn w:val="DefaultParagraphFont"/>
    <w:link w:val="Heading2"/>
    <w:rsid w:val="00B74370"/>
    <w:rPr>
      <w:rFonts w:ascii="Arial" w:hAnsi="Arial"/>
      <w:b/>
      <w:i/>
      <w:sz w:val="22"/>
      <w:szCs w:val="24"/>
    </w:rPr>
  </w:style>
  <w:style w:type="paragraph" w:styleId="Caption">
    <w:name w:val="caption"/>
    <w:basedOn w:val="Normal"/>
    <w:next w:val="Normal"/>
    <w:unhideWhenUsed/>
    <w:qFormat/>
    <w:rsid w:val="001B6BF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394084858">
      <w:bodyDiv w:val="1"/>
      <w:marLeft w:val="0"/>
      <w:marRight w:val="0"/>
      <w:marTop w:val="0"/>
      <w:marBottom w:val="0"/>
      <w:divBdr>
        <w:top w:val="none" w:sz="0" w:space="0" w:color="auto"/>
        <w:left w:val="none" w:sz="0" w:space="0" w:color="auto"/>
        <w:bottom w:val="none" w:sz="0" w:space="0" w:color="auto"/>
        <w:right w:val="none" w:sz="0" w:space="0" w:color="auto"/>
      </w:divBdr>
    </w:div>
    <w:div w:id="165571731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7A33E-A1D2-4B7B-B136-E20E0138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2017-10-12T00:49:00Z</dcterms:created>
  <dcterms:modified xsi:type="dcterms:W3CDTF">2017-10-12T00:51:00Z</dcterms:modified>
</cp:coreProperties>
</file>